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F4" w:rsidRDefault="008566F4" w:rsidP="008566F4">
      <w:pPr>
        <w:spacing w:line="360" w:lineRule="auto"/>
        <w:jc w:val="center"/>
        <w:rPr>
          <w:rFonts w:ascii="Raavi" w:eastAsia="Calibri" w:hAnsi="Raavi" w:cs="Raavi"/>
          <w:b/>
          <w:sz w:val="28"/>
          <w:szCs w:val="28"/>
          <w:u w:val="single"/>
        </w:rPr>
      </w:pPr>
      <w:bookmarkStart w:id="0" w:name="_GoBack"/>
      <w:bookmarkEnd w:id="0"/>
      <w:r>
        <w:rPr>
          <w:noProof/>
          <w:lang w:val="en-US"/>
        </w:rPr>
        <w:drawing>
          <wp:inline distT="0" distB="0" distL="0" distR="0" wp14:anchorId="642FD37E" wp14:editId="19D17B1E">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6" cstate="print">
                      <a:extLst>
                        <a:ext uri="{BEBA8EAE-BF5A-486C-A8C5-ECC9F3942E4B}">
                          <a14:imgProps xmlns:a14="http://schemas.microsoft.com/office/drawing/2010/main">
                            <a14:imgLayer r:embed="rId7">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8566F4" w:rsidRPr="00D14312" w:rsidRDefault="008566F4" w:rsidP="008566F4">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8566F4" w:rsidRPr="00D14312" w:rsidRDefault="008566F4" w:rsidP="008566F4">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8566F4" w:rsidRPr="00D14312" w:rsidTr="007D7CD8">
        <w:tc>
          <w:tcPr>
            <w:tcW w:w="4428" w:type="dxa"/>
          </w:tcPr>
          <w:p w:rsidR="008566F4" w:rsidRPr="00D14312" w:rsidRDefault="008566F4" w:rsidP="007D7CD8">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8566F4" w:rsidRPr="00D14312" w:rsidRDefault="00A3736F" w:rsidP="007D7CD8">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008566F4" w:rsidRPr="00D14312">
              <w:rPr>
                <w:rFonts w:ascii="Arial" w:eastAsia="Calibri" w:hAnsi="Arial" w:cs="Arial"/>
                <w:b/>
                <w:sz w:val="18"/>
                <w:szCs w:val="18"/>
              </w:rPr>
              <w:t>NO.</w:t>
            </w:r>
          </w:p>
          <w:p w:rsidR="008566F4" w:rsidRPr="00D14312" w:rsidRDefault="008566F4" w:rsidP="007D7CD8">
            <w:pPr>
              <w:spacing w:line="240" w:lineRule="auto"/>
              <w:rPr>
                <w:rFonts w:ascii="Arial" w:eastAsia="Calibri" w:hAnsi="Arial" w:cs="Arial"/>
                <w:b/>
                <w:sz w:val="18"/>
                <w:szCs w:val="18"/>
              </w:rPr>
            </w:pPr>
            <w:r w:rsidRPr="00D14312">
              <w:rPr>
                <w:rFonts w:ascii="Arial" w:eastAsia="Calibri" w:hAnsi="Arial" w:cs="Arial"/>
                <w:b/>
                <w:sz w:val="18"/>
                <w:szCs w:val="18"/>
              </w:rPr>
              <w:t>(2) OF I</w:t>
            </w:r>
            <w:r w:rsidR="00A3736F">
              <w:rPr>
                <w:rFonts w:ascii="Arial" w:eastAsia="Calibri" w:hAnsi="Arial" w:cs="Arial"/>
                <w:b/>
                <w:sz w:val="18"/>
                <w:szCs w:val="18"/>
              </w:rPr>
              <w:t xml:space="preserve">NTEREST TO OTHER JUDGES:  </w:t>
            </w:r>
            <w:r w:rsidRPr="00D14312">
              <w:rPr>
                <w:rFonts w:ascii="Arial" w:eastAsia="Calibri" w:hAnsi="Arial" w:cs="Arial"/>
                <w:b/>
                <w:sz w:val="18"/>
                <w:szCs w:val="18"/>
              </w:rPr>
              <w:t>NO.</w:t>
            </w:r>
          </w:p>
          <w:p w:rsidR="008566F4" w:rsidRPr="00D14312" w:rsidRDefault="008566F4" w:rsidP="007D7CD8">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8566F4" w:rsidRPr="00D14312" w:rsidRDefault="00A3736F" w:rsidP="007D7CD8">
            <w:pPr>
              <w:spacing w:line="240" w:lineRule="auto"/>
              <w:rPr>
                <w:rFonts w:ascii="Arial" w:eastAsia="Calibri" w:hAnsi="Arial" w:cs="Arial"/>
                <w:b/>
                <w:sz w:val="18"/>
                <w:szCs w:val="18"/>
              </w:rPr>
            </w:pPr>
            <w:r>
              <w:rPr>
                <w:rFonts w:ascii="Arial" w:eastAsia="Calibri" w:hAnsi="Arial" w:cs="Arial"/>
                <w:b/>
                <w:sz w:val="18"/>
                <w:szCs w:val="18"/>
              </w:rPr>
              <w:t>2023-08-10</w:t>
            </w:r>
          </w:p>
          <w:p w:rsidR="008566F4" w:rsidRPr="00D14312" w:rsidRDefault="008566F4" w:rsidP="007D7CD8">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8566F4" w:rsidRPr="008566F4" w:rsidRDefault="008566F4" w:rsidP="008566F4">
      <w:pPr>
        <w:spacing w:line="360" w:lineRule="auto"/>
        <w:jc w:val="right"/>
        <w:rPr>
          <w:rFonts w:ascii="Arial" w:eastAsia="Calibri" w:hAnsi="Arial" w:cs="Arial"/>
          <w:sz w:val="24"/>
          <w:szCs w:val="24"/>
        </w:rPr>
      </w:pPr>
      <w:r w:rsidRPr="008566F4">
        <w:rPr>
          <w:rFonts w:ascii="Arial" w:eastAsia="Calibri" w:hAnsi="Arial" w:cs="Arial"/>
          <w:sz w:val="24"/>
          <w:szCs w:val="24"/>
        </w:rPr>
        <w:t>Case Number:  A58/2021</w:t>
      </w:r>
    </w:p>
    <w:p w:rsidR="008566F4" w:rsidRPr="008566F4" w:rsidRDefault="008566F4" w:rsidP="008566F4">
      <w:pPr>
        <w:spacing w:line="360" w:lineRule="auto"/>
        <w:jc w:val="both"/>
        <w:rPr>
          <w:rFonts w:ascii="Arial" w:eastAsia="Calibri" w:hAnsi="Arial" w:cs="Arial"/>
          <w:sz w:val="24"/>
          <w:szCs w:val="24"/>
        </w:rPr>
      </w:pPr>
      <w:r w:rsidRPr="008566F4">
        <w:rPr>
          <w:rFonts w:ascii="Arial" w:eastAsia="Calibri" w:hAnsi="Arial" w:cs="Arial"/>
          <w:sz w:val="24"/>
          <w:szCs w:val="24"/>
        </w:rPr>
        <w:t>In the matter between:</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DIRK CORNELIUS UYS N.O.</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(in his capacity as trustee of the Cornelis</w:t>
      </w:r>
    </w:p>
    <w:p w:rsidR="008566F4" w:rsidRPr="008566F4" w:rsidRDefault="008566F4" w:rsidP="008566F4">
      <w:pPr>
        <w:spacing w:line="360" w:lineRule="auto"/>
        <w:rPr>
          <w:rFonts w:ascii="Arial" w:hAnsi="Arial" w:cs="Arial"/>
          <w:sz w:val="24"/>
          <w:szCs w:val="24"/>
        </w:rPr>
      </w:pPr>
      <w:r w:rsidRPr="008566F4">
        <w:rPr>
          <w:rFonts w:ascii="Arial" w:hAnsi="Arial" w:cs="Arial"/>
          <w:b/>
          <w:sz w:val="24"/>
          <w:szCs w:val="24"/>
        </w:rPr>
        <w:t xml:space="preserve">Family Trust with IT number 1524/2004)                          </w:t>
      </w:r>
      <w:r>
        <w:rPr>
          <w:rFonts w:ascii="Arial" w:hAnsi="Arial" w:cs="Arial"/>
          <w:b/>
          <w:sz w:val="24"/>
          <w:szCs w:val="24"/>
        </w:rPr>
        <w:t xml:space="preserve">                   </w:t>
      </w:r>
      <w:r w:rsidRPr="008566F4">
        <w:rPr>
          <w:rFonts w:ascii="Arial" w:hAnsi="Arial" w:cs="Arial"/>
          <w:sz w:val="24"/>
          <w:szCs w:val="24"/>
        </w:rPr>
        <w:t>First Applicant</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CARL ALEXANDER GREATOREX N.O.</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(in his capacity as trustee of the Cornelis</w:t>
      </w:r>
    </w:p>
    <w:p w:rsidR="008566F4" w:rsidRPr="008566F4" w:rsidRDefault="008566F4" w:rsidP="008566F4">
      <w:pPr>
        <w:spacing w:line="360" w:lineRule="auto"/>
        <w:rPr>
          <w:rFonts w:ascii="Arial" w:hAnsi="Arial" w:cs="Arial"/>
          <w:sz w:val="24"/>
          <w:szCs w:val="24"/>
        </w:rPr>
      </w:pPr>
      <w:r w:rsidRPr="008566F4">
        <w:rPr>
          <w:rFonts w:ascii="Arial" w:hAnsi="Arial" w:cs="Arial"/>
          <w:b/>
          <w:sz w:val="24"/>
          <w:szCs w:val="24"/>
        </w:rPr>
        <w:t xml:space="preserve">Family Trust with IT number 1524/2004)                    </w:t>
      </w:r>
      <w:r>
        <w:rPr>
          <w:rFonts w:ascii="Arial" w:hAnsi="Arial" w:cs="Arial"/>
          <w:b/>
          <w:sz w:val="24"/>
          <w:szCs w:val="24"/>
        </w:rPr>
        <w:t xml:space="preserve">                    </w:t>
      </w:r>
      <w:r w:rsidRPr="008566F4">
        <w:rPr>
          <w:rFonts w:ascii="Arial" w:hAnsi="Arial" w:cs="Arial"/>
          <w:sz w:val="24"/>
          <w:szCs w:val="24"/>
        </w:rPr>
        <w:t>Second Applicant</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HESTER SOPHIA UYS N.O.</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(in his capacity as trustee of the Cornelis</w:t>
      </w:r>
    </w:p>
    <w:p w:rsidR="008566F4" w:rsidRPr="008566F4" w:rsidRDefault="008566F4" w:rsidP="008566F4">
      <w:pPr>
        <w:spacing w:line="360" w:lineRule="auto"/>
        <w:rPr>
          <w:rFonts w:ascii="Arial" w:hAnsi="Arial" w:cs="Arial"/>
          <w:b/>
          <w:sz w:val="24"/>
          <w:szCs w:val="24"/>
        </w:rPr>
      </w:pPr>
      <w:r w:rsidRPr="008566F4">
        <w:rPr>
          <w:rFonts w:ascii="Arial" w:hAnsi="Arial" w:cs="Arial"/>
          <w:b/>
          <w:sz w:val="24"/>
          <w:szCs w:val="24"/>
        </w:rPr>
        <w:t xml:space="preserve">Family Trust with IT number 1524/2004)                        </w:t>
      </w:r>
      <w:r>
        <w:rPr>
          <w:rFonts w:ascii="Arial" w:hAnsi="Arial" w:cs="Arial"/>
          <w:b/>
          <w:sz w:val="24"/>
          <w:szCs w:val="24"/>
        </w:rPr>
        <w:t xml:space="preserve">                    </w:t>
      </w:r>
      <w:r w:rsidRPr="008566F4">
        <w:rPr>
          <w:rFonts w:ascii="Arial" w:hAnsi="Arial" w:cs="Arial"/>
          <w:sz w:val="24"/>
          <w:szCs w:val="24"/>
        </w:rPr>
        <w:t>Third Applicant</w:t>
      </w:r>
    </w:p>
    <w:p w:rsidR="008566F4" w:rsidRPr="008566F4" w:rsidRDefault="008566F4" w:rsidP="008566F4">
      <w:pPr>
        <w:spacing w:line="360" w:lineRule="auto"/>
        <w:rPr>
          <w:rFonts w:ascii="Arial" w:hAnsi="Arial" w:cs="Arial"/>
          <w:b/>
          <w:sz w:val="24"/>
          <w:szCs w:val="24"/>
        </w:rPr>
      </w:pPr>
    </w:p>
    <w:p w:rsidR="008566F4" w:rsidRPr="008566F4" w:rsidRDefault="008566F4" w:rsidP="008566F4">
      <w:pPr>
        <w:spacing w:line="360" w:lineRule="auto"/>
        <w:rPr>
          <w:rFonts w:ascii="Arial" w:hAnsi="Arial" w:cs="Arial"/>
          <w:sz w:val="24"/>
          <w:szCs w:val="24"/>
        </w:rPr>
      </w:pPr>
      <w:r w:rsidRPr="008566F4">
        <w:rPr>
          <w:rFonts w:ascii="Arial" w:hAnsi="Arial" w:cs="Arial"/>
          <w:sz w:val="24"/>
          <w:szCs w:val="24"/>
        </w:rPr>
        <w:t>and</w:t>
      </w:r>
    </w:p>
    <w:p w:rsidR="008566F4" w:rsidRPr="008566F4" w:rsidRDefault="008566F4" w:rsidP="008566F4">
      <w:pPr>
        <w:spacing w:line="360" w:lineRule="auto"/>
        <w:rPr>
          <w:rFonts w:ascii="Arial" w:hAnsi="Arial" w:cs="Arial"/>
          <w:sz w:val="24"/>
          <w:szCs w:val="24"/>
        </w:rPr>
      </w:pPr>
    </w:p>
    <w:p w:rsidR="008566F4" w:rsidRPr="008566F4" w:rsidRDefault="008566F4" w:rsidP="008566F4">
      <w:pPr>
        <w:spacing w:line="360" w:lineRule="auto"/>
        <w:rPr>
          <w:rFonts w:ascii="Arial" w:hAnsi="Arial" w:cs="Arial"/>
          <w:sz w:val="24"/>
          <w:szCs w:val="24"/>
        </w:rPr>
      </w:pPr>
      <w:r w:rsidRPr="008566F4">
        <w:rPr>
          <w:rFonts w:ascii="Arial" w:hAnsi="Arial" w:cs="Arial"/>
          <w:b/>
          <w:sz w:val="24"/>
          <w:szCs w:val="24"/>
        </w:rPr>
        <w:t xml:space="preserve">THE NATIONAL CREDIT REGULATOR                       </w:t>
      </w:r>
      <w:r>
        <w:rPr>
          <w:rFonts w:ascii="Arial" w:hAnsi="Arial" w:cs="Arial"/>
          <w:b/>
          <w:sz w:val="24"/>
          <w:szCs w:val="24"/>
        </w:rPr>
        <w:t xml:space="preserve">                   </w:t>
      </w:r>
      <w:r w:rsidRPr="008566F4">
        <w:rPr>
          <w:rFonts w:ascii="Arial" w:hAnsi="Arial" w:cs="Arial"/>
          <w:sz w:val="24"/>
          <w:szCs w:val="24"/>
        </w:rPr>
        <w:t>First Respondent</w:t>
      </w:r>
    </w:p>
    <w:p w:rsidR="008566F4" w:rsidRPr="008566F4" w:rsidRDefault="008566F4" w:rsidP="008566F4">
      <w:pPr>
        <w:spacing w:line="360" w:lineRule="auto"/>
        <w:rPr>
          <w:rFonts w:ascii="Arial" w:hAnsi="Arial" w:cs="Arial"/>
          <w:sz w:val="24"/>
          <w:szCs w:val="24"/>
        </w:rPr>
      </w:pPr>
      <w:r w:rsidRPr="008566F4">
        <w:rPr>
          <w:rFonts w:ascii="Arial" w:hAnsi="Arial" w:cs="Arial"/>
          <w:b/>
          <w:sz w:val="24"/>
          <w:szCs w:val="24"/>
        </w:rPr>
        <w:t xml:space="preserve">THE NATIONAL CONSUMER TRIBUNAL               </w:t>
      </w:r>
      <w:r>
        <w:rPr>
          <w:rFonts w:ascii="Arial" w:hAnsi="Arial" w:cs="Arial"/>
          <w:b/>
          <w:sz w:val="24"/>
          <w:szCs w:val="24"/>
        </w:rPr>
        <w:t xml:space="preserve">                   </w:t>
      </w:r>
      <w:r w:rsidRPr="008566F4">
        <w:rPr>
          <w:rFonts w:ascii="Arial" w:hAnsi="Arial" w:cs="Arial"/>
          <w:sz w:val="24"/>
          <w:szCs w:val="24"/>
        </w:rPr>
        <w:t>Second Respondent</w:t>
      </w:r>
    </w:p>
    <w:p w:rsidR="008566F4" w:rsidRPr="008566F4" w:rsidRDefault="008566F4" w:rsidP="008566F4">
      <w:pPr>
        <w:spacing w:line="360" w:lineRule="auto"/>
        <w:rPr>
          <w:rFonts w:ascii="Arial" w:hAnsi="Arial" w:cs="Arial"/>
          <w:sz w:val="24"/>
          <w:szCs w:val="24"/>
        </w:rPr>
      </w:pPr>
    </w:p>
    <w:p w:rsidR="008566F4" w:rsidRPr="008566F4" w:rsidRDefault="008566F4" w:rsidP="008566F4">
      <w:pPr>
        <w:pBdr>
          <w:top w:val="single" w:sz="12" w:space="1" w:color="auto"/>
          <w:bottom w:val="single" w:sz="12" w:space="1" w:color="auto"/>
        </w:pBdr>
        <w:spacing w:line="240" w:lineRule="auto"/>
        <w:jc w:val="center"/>
        <w:rPr>
          <w:rFonts w:ascii="Arial" w:hAnsi="Arial" w:cs="Arial"/>
          <w:b/>
          <w:sz w:val="24"/>
          <w:szCs w:val="24"/>
        </w:rPr>
      </w:pPr>
    </w:p>
    <w:p w:rsidR="008566F4" w:rsidRPr="008566F4" w:rsidRDefault="008566F4" w:rsidP="008566F4">
      <w:pPr>
        <w:pBdr>
          <w:top w:val="single" w:sz="12" w:space="1" w:color="auto"/>
          <w:bottom w:val="single" w:sz="12" w:space="1" w:color="auto"/>
        </w:pBdr>
        <w:spacing w:line="240" w:lineRule="auto"/>
        <w:jc w:val="center"/>
        <w:rPr>
          <w:rFonts w:ascii="Arial" w:hAnsi="Arial" w:cs="Arial"/>
          <w:b/>
          <w:sz w:val="24"/>
          <w:szCs w:val="24"/>
        </w:rPr>
      </w:pPr>
      <w:r w:rsidRPr="008566F4">
        <w:rPr>
          <w:rFonts w:ascii="Arial" w:hAnsi="Arial" w:cs="Arial"/>
          <w:b/>
          <w:sz w:val="24"/>
          <w:szCs w:val="24"/>
        </w:rPr>
        <w:t>JUDGMENT</w:t>
      </w:r>
      <w:r>
        <w:rPr>
          <w:rFonts w:ascii="Arial" w:hAnsi="Arial" w:cs="Arial"/>
          <w:b/>
          <w:sz w:val="24"/>
          <w:szCs w:val="24"/>
        </w:rPr>
        <w:t>:  APPLICATION FOR LEAVE TO APPEAL</w:t>
      </w:r>
    </w:p>
    <w:p w:rsidR="008566F4" w:rsidRPr="008566F4" w:rsidRDefault="008566F4" w:rsidP="008566F4">
      <w:pPr>
        <w:pBdr>
          <w:top w:val="single" w:sz="12" w:space="1" w:color="auto"/>
          <w:bottom w:val="single" w:sz="12" w:space="1" w:color="auto"/>
        </w:pBdr>
        <w:spacing w:line="360" w:lineRule="auto"/>
        <w:jc w:val="center"/>
        <w:rPr>
          <w:rFonts w:ascii="Arial" w:hAnsi="Arial" w:cs="Arial"/>
          <w:b/>
          <w:sz w:val="24"/>
          <w:szCs w:val="24"/>
        </w:rPr>
      </w:pPr>
    </w:p>
    <w:p w:rsidR="008566F4" w:rsidRPr="00D14312" w:rsidRDefault="008566F4" w:rsidP="008566F4">
      <w:pPr>
        <w:spacing w:line="360" w:lineRule="auto"/>
        <w:jc w:val="both"/>
        <w:rPr>
          <w:rFonts w:ascii="Arial" w:hAnsi="Arial" w:cs="Arial"/>
          <w:b/>
          <w:sz w:val="28"/>
          <w:szCs w:val="28"/>
        </w:rPr>
      </w:pPr>
    </w:p>
    <w:p w:rsidR="008566F4" w:rsidRDefault="008566F4" w:rsidP="008566F4">
      <w:pPr>
        <w:rPr>
          <w:rFonts w:ascii="Arial" w:hAnsi="Arial" w:cs="Arial"/>
          <w:b/>
          <w:sz w:val="24"/>
          <w:szCs w:val="24"/>
        </w:rPr>
      </w:pPr>
      <w:r w:rsidRPr="008566F4">
        <w:rPr>
          <w:rFonts w:ascii="Arial" w:hAnsi="Arial" w:cs="Arial"/>
          <w:b/>
          <w:sz w:val="24"/>
          <w:szCs w:val="24"/>
        </w:rPr>
        <w:t>POTTERILL J</w:t>
      </w:r>
    </w:p>
    <w:p w:rsidR="008566F4" w:rsidRDefault="008566F4" w:rsidP="008566F4">
      <w:pPr>
        <w:rPr>
          <w:rFonts w:ascii="Arial" w:hAnsi="Arial" w:cs="Arial"/>
          <w:b/>
          <w:sz w:val="24"/>
          <w:szCs w:val="24"/>
        </w:rPr>
      </w:pPr>
    </w:p>
    <w:p w:rsidR="008566F4" w:rsidRPr="008566F4" w:rsidRDefault="008566F4" w:rsidP="008566F4">
      <w:pPr>
        <w:spacing w:after="160" w:line="360" w:lineRule="auto"/>
        <w:jc w:val="both"/>
        <w:rPr>
          <w:rFonts w:ascii="Arial" w:hAnsi="Arial" w:cs="Arial"/>
          <w:sz w:val="24"/>
          <w:szCs w:val="24"/>
        </w:rPr>
      </w:pPr>
      <w:r w:rsidRPr="008566F4">
        <w:rPr>
          <w:rFonts w:ascii="Arial" w:hAnsi="Arial" w:cs="Arial"/>
          <w:sz w:val="24"/>
          <w:szCs w:val="24"/>
        </w:rPr>
        <w:t>Background</w:t>
      </w:r>
    </w:p>
    <w:p w:rsidR="008566F4" w:rsidRDefault="00A60233" w:rsidP="008566F4">
      <w:pPr>
        <w:spacing w:after="16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566F4" w:rsidRPr="008566F4">
        <w:rPr>
          <w:rFonts w:ascii="Arial" w:hAnsi="Arial" w:cs="Arial"/>
          <w:sz w:val="24"/>
          <w:szCs w:val="24"/>
        </w:rPr>
        <w:t>A Tribunal decision under section 148(2</w:t>
      </w:r>
      <w:r w:rsidR="008D2056">
        <w:rPr>
          <w:rFonts w:ascii="Arial" w:hAnsi="Arial" w:cs="Arial"/>
          <w:sz w:val="24"/>
          <w:szCs w:val="24"/>
        </w:rPr>
        <w:t xml:space="preserve">)(b) of the National Credit Act 34 of 2005 </w:t>
      </w:r>
      <w:r w:rsidR="008566F4" w:rsidRPr="008566F4">
        <w:rPr>
          <w:rFonts w:ascii="Arial" w:hAnsi="Arial" w:cs="Arial"/>
          <w:sz w:val="24"/>
          <w:szCs w:val="24"/>
        </w:rPr>
        <w:t>was appealed t</w:t>
      </w:r>
      <w:r>
        <w:rPr>
          <w:rFonts w:ascii="Arial" w:hAnsi="Arial" w:cs="Arial"/>
          <w:sz w:val="24"/>
          <w:szCs w:val="24"/>
        </w:rPr>
        <w:t xml:space="preserve">o </w:t>
      </w:r>
      <w:r w:rsidR="008566F4" w:rsidRPr="008566F4">
        <w:rPr>
          <w:rFonts w:ascii="Arial" w:hAnsi="Arial" w:cs="Arial"/>
          <w:sz w:val="24"/>
          <w:szCs w:val="24"/>
        </w:rPr>
        <w:t>the Full Court. We dismissed the appeal with costs and the appellants are seeking leaving to appeal that order. The appellants are also seeking condonation for the late filing of the application for leave to appeal. The respondent filed an answering affidavit opposing the condonation application. The appellants filed an application to strike out irrelevant paragraphs in this answering affidavit and annexures attached to the affidavit of the respondent.</w:t>
      </w:r>
    </w:p>
    <w:p w:rsidR="00A60233" w:rsidRPr="008566F4" w:rsidRDefault="00A60233" w:rsidP="008566F4">
      <w:pPr>
        <w:spacing w:after="160" w:line="360" w:lineRule="auto"/>
        <w:jc w:val="both"/>
        <w:rPr>
          <w:rFonts w:ascii="Arial" w:hAnsi="Arial" w:cs="Arial"/>
          <w:sz w:val="24"/>
          <w:szCs w:val="24"/>
        </w:rPr>
      </w:pPr>
    </w:p>
    <w:p w:rsidR="008566F4" w:rsidRPr="008566F4" w:rsidRDefault="008566F4" w:rsidP="008566F4">
      <w:pPr>
        <w:spacing w:after="160" w:line="360" w:lineRule="auto"/>
        <w:jc w:val="both"/>
        <w:rPr>
          <w:rFonts w:ascii="Arial" w:hAnsi="Arial" w:cs="Arial"/>
          <w:sz w:val="24"/>
          <w:szCs w:val="24"/>
        </w:rPr>
      </w:pPr>
      <w:r w:rsidRPr="008566F4">
        <w:rPr>
          <w:rFonts w:ascii="Arial" w:hAnsi="Arial" w:cs="Arial"/>
          <w:sz w:val="24"/>
          <w:szCs w:val="24"/>
        </w:rPr>
        <w:t>Application for condonation</w:t>
      </w:r>
    </w:p>
    <w:p w:rsidR="008566F4" w:rsidRDefault="008566F4" w:rsidP="008566F4">
      <w:pPr>
        <w:spacing w:after="160" w:line="360" w:lineRule="auto"/>
        <w:jc w:val="both"/>
        <w:rPr>
          <w:rFonts w:ascii="Arial" w:hAnsi="Arial" w:cs="Arial"/>
          <w:sz w:val="24"/>
          <w:szCs w:val="24"/>
        </w:rPr>
      </w:pPr>
      <w:r w:rsidRPr="008566F4">
        <w:rPr>
          <w:rFonts w:ascii="Arial" w:hAnsi="Arial" w:cs="Arial"/>
          <w:sz w:val="24"/>
          <w:szCs w:val="24"/>
        </w:rPr>
        <w:t>[2]</w:t>
      </w:r>
      <w:r w:rsidRPr="008566F4">
        <w:rPr>
          <w:rFonts w:ascii="Arial" w:hAnsi="Arial" w:cs="Arial"/>
          <w:sz w:val="24"/>
          <w:szCs w:val="24"/>
        </w:rPr>
        <w:tab/>
        <w:t>The degree of lat</w:t>
      </w:r>
      <w:r w:rsidR="00A60233">
        <w:rPr>
          <w:rFonts w:ascii="Arial" w:hAnsi="Arial" w:cs="Arial"/>
          <w:sz w:val="24"/>
          <w:szCs w:val="24"/>
        </w:rPr>
        <w:t>eness is six</w:t>
      </w:r>
      <w:r w:rsidRPr="008566F4">
        <w:rPr>
          <w:rFonts w:ascii="Arial" w:hAnsi="Arial" w:cs="Arial"/>
          <w:sz w:val="24"/>
          <w:szCs w:val="24"/>
        </w:rPr>
        <w:t xml:space="preserve"> days. The reason for the delay was due to confusion as to which court leave to appeal against a decision of a Full Court, sitting as a court of first instance, lay. Counsel within the prescribed time limit, appealed to the Supreme Court of Appeal, but later came across the matter of </w:t>
      </w:r>
      <w:r w:rsidRPr="008566F4">
        <w:rPr>
          <w:rFonts w:ascii="Arial" w:hAnsi="Arial" w:cs="Arial"/>
          <w:i/>
          <w:sz w:val="24"/>
          <w:szCs w:val="24"/>
        </w:rPr>
        <w:t>National Credit Regulator v Lewis Stores</w:t>
      </w:r>
      <w:r w:rsidR="003524AE">
        <w:rPr>
          <w:rFonts w:ascii="Arial" w:hAnsi="Arial" w:cs="Arial"/>
          <w:i/>
          <w:sz w:val="24"/>
          <w:szCs w:val="24"/>
        </w:rPr>
        <w:t xml:space="preserve"> (Pty) Ltd and Another</w:t>
      </w:r>
      <w:r w:rsidRPr="008566F4">
        <w:rPr>
          <w:rFonts w:ascii="Arial" w:hAnsi="Arial" w:cs="Arial"/>
          <w:sz w:val="24"/>
          <w:szCs w:val="24"/>
        </w:rPr>
        <w:t xml:space="preserve"> 2020</w:t>
      </w:r>
      <w:r w:rsidR="00A60233">
        <w:rPr>
          <w:rFonts w:ascii="Arial" w:hAnsi="Arial" w:cs="Arial"/>
          <w:sz w:val="24"/>
          <w:szCs w:val="24"/>
        </w:rPr>
        <w:t xml:space="preserve"> </w:t>
      </w:r>
      <w:r w:rsidRPr="008566F4">
        <w:rPr>
          <w:rFonts w:ascii="Arial" w:hAnsi="Arial" w:cs="Arial"/>
          <w:sz w:val="24"/>
          <w:szCs w:val="24"/>
        </w:rPr>
        <w:t xml:space="preserve">(2) SA 390 (SCA) that determined the appeal lay to the Full Court. On behalf of the appellant it was submitted the lateness was caused by a </w:t>
      </w:r>
      <w:r w:rsidRPr="008566F4">
        <w:rPr>
          <w:rFonts w:ascii="Arial" w:hAnsi="Arial" w:cs="Arial"/>
          <w:i/>
          <w:sz w:val="24"/>
          <w:szCs w:val="24"/>
        </w:rPr>
        <w:t>bona fide</w:t>
      </w:r>
      <w:r w:rsidRPr="008566F4">
        <w:rPr>
          <w:rFonts w:ascii="Arial" w:hAnsi="Arial" w:cs="Arial"/>
          <w:sz w:val="24"/>
          <w:szCs w:val="24"/>
        </w:rPr>
        <w:t xml:space="preserve"> error in law and the respondent would suffer no prejudice with a six-day delay.</w:t>
      </w:r>
    </w:p>
    <w:p w:rsidR="00A60233" w:rsidRPr="008566F4" w:rsidRDefault="00A60233" w:rsidP="008566F4">
      <w:pPr>
        <w:spacing w:after="160" w:line="360" w:lineRule="auto"/>
        <w:jc w:val="both"/>
        <w:rPr>
          <w:rFonts w:ascii="Arial" w:hAnsi="Arial" w:cs="Arial"/>
          <w:sz w:val="24"/>
          <w:szCs w:val="24"/>
        </w:rPr>
      </w:pPr>
    </w:p>
    <w:p w:rsidR="008566F4" w:rsidRPr="008566F4" w:rsidRDefault="008566F4" w:rsidP="008566F4">
      <w:pPr>
        <w:spacing w:after="160" w:line="360" w:lineRule="auto"/>
        <w:jc w:val="both"/>
        <w:rPr>
          <w:rFonts w:ascii="Arial" w:hAnsi="Arial" w:cs="Arial"/>
          <w:sz w:val="24"/>
          <w:szCs w:val="24"/>
        </w:rPr>
      </w:pPr>
      <w:r w:rsidRPr="008566F4">
        <w:rPr>
          <w:rFonts w:ascii="Arial" w:hAnsi="Arial" w:cs="Arial"/>
          <w:sz w:val="24"/>
          <w:szCs w:val="24"/>
        </w:rPr>
        <w:t>[3]</w:t>
      </w:r>
      <w:r w:rsidRPr="008566F4">
        <w:rPr>
          <w:rFonts w:ascii="Arial" w:hAnsi="Arial" w:cs="Arial"/>
          <w:sz w:val="24"/>
          <w:szCs w:val="24"/>
        </w:rPr>
        <w:tab/>
        <w:t xml:space="preserve">The respondent filed a 400 page answering affidavit including annexures opposing the application for condonation. It was submitted that counsel for the appellants could not rely on ignorance of the law. The new evidence was attached to display how the appellants undermine the regulatory role of the Regulator. The prejudice for the respondent lay in the consumer market with the consumers being exploited those six days. </w:t>
      </w:r>
    </w:p>
    <w:p w:rsidR="00A60233" w:rsidRDefault="00A60233" w:rsidP="008566F4">
      <w:pPr>
        <w:tabs>
          <w:tab w:val="left" w:pos="720"/>
          <w:tab w:val="left" w:pos="1590"/>
        </w:tabs>
        <w:spacing w:after="160" w:line="360" w:lineRule="auto"/>
        <w:jc w:val="both"/>
        <w:rPr>
          <w:rFonts w:ascii="Arial" w:hAnsi="Arial" w:cs="Arial"/>
          <w:sz w:val="24"/>
          <w:szCs w:val="24"/>
        </w:rPr>
      </w:pPr>
    </w:p>
    <w:p w:rsidR="008566F4" w:rsidRP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 xml:space="preserve">Application to strike </w:t>
      </w:r>
      <w:r w:rsidR="008566F4" w:rsidRPr="008566F4">
        <w:rPr>
          <w:rFonts w:ascii="Arial" w:hAnsi="Arial" w:cs="Arial"/>
          <w:sz w:val="24"/>
          <w:szCs w:val="24"/>
        </w:rPr>
        <w:t>out</w:t>
      </w: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[4]</w:t>
      </w:r>
      <w:r w:rsidRPr="008566F4">
        <w:rPr>
          <w:rFonts w:ascii="Arial" w:hAnsi="Arial" w:cs="Arial"/>
          <w:sz w:val="24"/>
          <w:szCs w:val="24"/>
        </w:rPr>
        <w:tab/>
        <w:t>The appellants seek to strike out paragraphs 13-35,</w:t>
      </w:r>
      <w:r w:rsidR="00A60233">
        <w:rPr>
          <w:rFonts w:ascii="Arial" w:hAnsi="Arial" w:cs="Arial"/>
          <w:sz w:val="24"/>
          <w:szCs w:val="24"/>
        </w:rPr>
        <w:t xml:space="preserve"> </w:t>
      </w:r>
      <w:r w:rsidRPr="008566F4">
        <w:rPr>
          <w:rFonts w:ascii="Arial" w:hAnsi="Arial" w:cs="Arial"/>
          <w:sz w:val="24"/>
          <w:szCs w:val="24"/>
        </w:rPr>
        <w:t>41.6 and 41.18 as well as Annexures AA1-AA7. This evidence introduced allegations against a new entity, Solveprop (Pty) Ltd and new allegations against the appellants that were not before the Tribunal or the Full Court. The respondent submits it has a duty to inform this Court as to how rife these practices are and how the Tribunal is undermined.</w:t>
      </w:r>
    </w:p>
    <w:p w:rsidR="008566F4" w:rsidRPr="008566F4" w:rsidRDefault="008566F4" w:rsidP="008566F4">
      <w:pPr>
        <w:tabs>
          <w:tab w:val="left" w:pos="720"/>
          <w:tab w:val="left" w:pos="1590"/>
        </w:tabs>
        <w:spacing w:after="160" w:line="360" w:lineRule="auto"/>
        <w:jc w:val="both"/>
        <w:rPr>
          <w:rFonts w:ascii="Arial" w:hAnsi="Arial" w:cs="Arial"/>
          <w:sz w:val="24"/>
          <w:szCs w:val="24"/>
        </w:rPr>
      </w:pP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Leave to appeal</w:t>
      </w:r>
    </w:p>
    <w:p w:rsid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[5]</w:t>
      </w:r>
      <w:r w:rsidRPr="008566F4">
        <w:rPr>
          <w:rFonts w:ascii="Arial" w:hAnsi="Arial" w:cs="Arial"/>
          <w:sz w:val="24"/>
          <w:szCs w:val="24"/>
        </w:rPr>
        <w:tab/>
        <w:t xml:space="preserve">In a nutshell the appellants submit that this Court took a wrong approach; review versus appeal, that there was no proof of the intention of both parties to simulate without resort to oral evidence and the transactions do not fall under the definitions of a credit transaction. Furthermore, it was submitted that the sanctions pertaining to the other 4 contracts could not have been imposed. Alternatively leave should be granted for a compelling reason; the issue and relief is novel and of public importance. </w:t>
      </w:r>
    </w:p>
    <w:p w:rsidR="00A60233" w:rsidRPr="008566F4" w:rsidRDefault="00A60233" w:rsidP="008566F4">
      <w:pPr>
        <w:tabs>
          <w:tab w:val="left" w:pos="720"/>
          <w:tab w:val="left" w:pos="1590"/>
        </w:tabs>
        <w:spacing w:after="160" w:line="360" w:lineRule="auto"/>
        <w:jc w:val="both"/>
        <w:rPr>
          <w:rFonts w:ascii="Arial" w:hAnsi="Arial" w:cs="Arial"/>
          <w:sz w:val="24"/>
          <w:szCs w:val="24"/>
        </w:rPr>
      </w:pP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[6]</w:t>
      </w:r>
      <w:r w:rsidRPr="008566F4">
        <w:rPr>
          <w:rFonts w:ascii="Arial" w:hAnsi="Arial" w:cs="Arial"/>
          <w:sz w:val="24"/>
          <w:szCs w:val="24"/>
        </w:rPr>
        <w:tab/>
        <w:t xml:space="preserve">The respondent submitted the sale and rental agreements were simulated, in fact constituting loans falling within the definition of a credit transaction. It was clear that the consumers needed cash and did not want to sell their homes. The process provided by the appellants constituted reckless credit. The Court was empowered to impose the sanctions as it did. </w:t>
      </w:r>
    </w:p>
    <w:p w:rsidR="00A60233" w:rsidRDefault="00A60233" w:rsidP="008566F4">
      <w:pPr>
        <w:tabs>
          <w:tab w:val="left" w:pos="720"/>
          <w:tab w:val="left" w:pos="1590"/>
        </w:tabs>
        <w:spacing w:after="160" w:line="360" w:lineRule="auto"/>
        <w:jc w:val="both"/>
        <w:rPr>
          <w:rFonts w:ascii="Arial" w:hAnsi="Arial" w:cs="Arial"/>
          <w:sz w:val="24"/>
          <w:szCs w:val="24"/>
        </w:rPr>
      </w:pP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lastRenderedPageBreak/>
        <w:t>Decisions</w:t>
      </w: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Condonation</w:t>
      </w:r>
    </w:p>
    <w:p w:rsidR="008566F4" w:rsidRP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[7</w:t>
      </w:r>
      <w:r w:rsidR="008566F4" w:rsidRPr="008566F4">
        <w:rPr>
          <w:rFonts w:ascii="Arial" w:hAnsi="Arial" w:cs="Arial"/>
          <w:sz w:val="24"/>
          <w:szCs w:val="24"/>
        </w:rPr>
        <w:t>]</w:t>
      </w:r>
      <w:r w:rsidR="008566F4" w:rsidRPr="008566F4">
        <w:rPr>
          <w:rFonts w:ascii="Arial" w:hAnsi="Arial" w:cs="Arial"/>
          <w:sz w:val="24"/>
          <w:szCs w:val="24"/>
        </w:rPr>
        <w:tab/>
        <w:t>A court considers the reason for, and extent of the delay. A six-day delay is trivial. The reason for the delay is set out fully. The confusion as to which court to appeal to is reasonable; this Court would also have grappled with this question, but the question has now been answered by the Supreme Court of Appeal. The six-day delay caused no prejudice to the respondent. The reason proffered by the respondent as to the credit market and consumers being prejudiced for another six days is untenable. Condonation is granted.</w:t>
      </w:r>
    </w:p>
    <w:p w:rsidR="00A60233" w:rsidRDefault="00A60233" w:rsidP="008566F4">
      <w:pPr>
        <w:tabs>
          <w:tab w:val="left" w:pos="720"/>
          <w:tab w:val="left" w:pos="1590"/>
        </w:tabs>
        <w:spacing w:after="160" w:line="360" w:lineRule="auto"/>
        <w:jc w:val="both"/>
        <w:rPr>
          <w:rFonts w:ascii="Arial" w:hAnsi="Arial" w:cs="Arial"/>
          <w:sz w:val="24"/>
          <w:szCs w:val="24"/>
        </w:rPr>
      </w:pP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Striking out</w:t>
      </w:r>
    </w:p>
    <w:p w:rsidR="008566F4" w:rsidRP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[8</w:t>
      </w:r>
      <w:r w:rsidR="008566F4" w:rsidRPr="008566F4">
        <w:rPr>
          <w:rFonts w:ascii="Arial" w:hAnsi="Arial" w:cs="Arial"/>
          <w:sz w:val="24"/>
          <w:szCs w:val="24"/>
        </w:rPr>
        <w:t>]</w:t>
      </w:r>
      <w:r w:rsidR="008566F4" w:rsidRPr="008566F4">
        <w:rPr>
          <w:rFonts w:ascii="Arial" w:hAnsi="Arial" w:cs="Arial"/>
          <w:sz w:val="24"/>
          <w:szCs w:val="24"/>
        </w:rPr>
        <w:tab/>
        <w:t>There was no application to submit new evidence on appeal. The paragraphs and annexures sought to be struck out is new evidence that was not before the Tribunal or before the Full Court. The matter sought to be struck out are allegations that do not apply to the matter at hand and cannot contribute to the appeal on the facts before the Full Court and are thus irrelevant. The striking out of the numbered paragraphs and Annexures as requested is to be granted.</w:t>
      </w:r>
    </w:p>
    <w:p w:rsidR="008566F4" w:rsidRPr="008566F4" w:rsidRDefault="008566F4" w:rsidP="008566F4">
      <w:pPr>
        <w:tabs>
          <w:tab w:val="left" w:pos="720"/>
          <w:tab w:val="left" w:pos="1590"/>
        </w:tabs>
        <w:spacing w:after="160" w:line="360" w:lineRule="auto"/>
        <w:jc w:val="both"/>
        <w:rPr>
          <w:rFonts w:ascii="Arial" w:hAnsi="Arial" w:cs="Arial"/>
          <w:sz w:val="24"/>
          <w:szCs w:val="24"/>
        </w:rPr>
      </w:pPr>
    </w:p>
    <w:p w:rsidR="008566F4" w:rsidRPr="008566F4" w:rsidRDefault="008566F4" w:rsidP="008566F4">
      <w:pPr>
        <w:tabs>
          <w:tab w:val="left" w:pos="720"/>
          <w:tab w:val="left" w:pos="1590"/>
        </w:tabs>
        <w:spacing w:after="160" w:line="360" w:lineRule="auto"/>
        <w:jc w:val="both"/>
        <w:rPr>
          <w:rFonts w:ascii="Arial" w:hAnsi="Arial" w:cs="Arial"/>
          <w:sz w:val="24"/>
          <w:szCs w:val="24"/>
        </w:rPr>
      </w:pPr>
      <w:r w:rsidRPr="008566F4">
        <w:rPr>
          <w:rFonts w:ascii="Arial" w:hAnsi="Arial" w:cs="Arial"/>
          <w:sz w:val="24"/>
          <w:szCs w:val="24"/>
        </w:rPr>
        <w:t>Leave to appeal</w:t>
      </w:r>
    </w:p>
    <w:p w:rsid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[9</w:t>
      </w:r>
      <w:r w:rsidR="008566F4" w:rsidRPr="008566F4">
        <w:rPr>
          <w:rFonts w:ascii="Arial" w:hAnsi="Arial" w:cs="Arial"/>
          <w:sz w:val="24"/>
          <w:szCs w:val="24"/>
        </w:rPr>
        <w:t>]</w:t>
      </w:r>
      <w:r w:rsidR="008566F4" w:rsidRPr="008566F4">
        <w:rPr>
          <w:rFonts w:ascii="Arial" w:hAnsi="Arial" w:cs="Arial"/>
          <w:sz w:val="24"/>
          <w:szCs w:val="24"/>
        </w:rPr>
        <w:tab/>
        <w:t>Leave to appeal is granted. It is granted on the basis that the issue and relief is novel. It is also of public importance to determine whether an agreement of sale of immovable property coupled with a lease agreement can constitute a credit agreement and thus attract the Tribunal’s jurisdiction.</w:t>
      </w:r>
    </w:p>
    <w:p w:rsidR="00A60233" w:rsidRPr="008566F4" w:rsidRDefault="00A60233" w:rsidP="008566F4">
      <w:pPr>
        <w:tabs>
          <w:tab w:val="left" w:pos="720"/>
          <w:tab w:val="left" w:pos="1590"/>
        </w:tabs>
        <w:spacing w:after="160" w:line="360" w:lineRule="auto"/>
        <w:jc w:val="both"/>
        <w:rPr>
          <w:rFonts w:ascii="Arial" w:hAnsi="Arial" w:cs="Arial"/>
          <w:sz w:val="24"/>
          <w:szCs w:val="24"/>
        </w:rPr>
      </w:pPr>
    </w:p>
    <w:p w:rsidR="008566F4" w:rsidRP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[10</w:t>
      </w:r>
      <w:r w:rsidR="008566F4" w:rsidRPr="008566F4">
        <w:rPr>
          <w:rFonts w:ascii="Arial" w:hAnsi="Arial" w:cs="Arial"/>
          <w:sz w:val="24"/>
          <w:szCs w:val="24"/>
        </w:rPr>
        <w:t>]</w:t>
      </w:r>
      <w:r w:rsidR="008566F4" w:rsidRPr="008566F4">
        <w:rPr>
          <w:rFonts w:ascii="Arial" w:hAnsi="Arial" w:cs="Arial"/>
          <w:sz w:val="24"/>
          <w:szCs w:val="24"/>
        </w:rPr>
        <w:tab/>
        <w:t>The following order is granted:</w:t>
      </w:r>
    </w:p>
    <w:p w:rsidR="008566F4" w:rsidRP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ab/>
        <w:t>10</w:t>
      </w:r>
      <w:r w:rsidR="00082F81">
        <w:rPr>
          <w:rFonts w:ascii="Arial" w:hAnsi="Arial" w:cs="Arial"/>
          <w:sz w:val="24"/>
          <w:szCs w:val="24"/>
        </w:rPr>
        <w:t>.1</w:t>
      </w:r>
      <w:r w:rsidR="00082F81">
        <w:rPr>
          <w:rFonts w:ascii="Arial" w:hAnsi="Arial" w:cs="Arial"/>
          <w:sz w:val="24"/>
          <w:szCs w:val="24"/>
        </w:rPr>
        <w:tab/>
      </w:r>
      <w:r w:rsidR="008566F4" w:rsidRPr="008566F4">
        <w:rPr>
          <w:rFonts w:ascii="Arial" w:hAnsi="Arial" w:cs="Arial"/>
          <w:sz w:val="24"/>
          <w:szCs w:val="24"/>
        </w:rPr>
        <w:t>Condonation is granted. Each party to pay their own costs.</w:t>
      </w:r>
    </w:p>
    <w:p w:rsidR="008566F4" w:rsidRPr="008566F4" w:rsidRDefault="00A60233" w:rsidP="008566F4">
      <w:pPr>
        <w:tabs>
          <w:tab w:val="left" w:pos="720"/>
          <w:tab w:val="left" w:pos="1590"/>
        </w:tabs>
        <w:spacing w:after="160" w:line="360" w:lineRule="auto"/>
        <w:jc w:val="both"/>
        <w:rPr>
          <w:rFonts w:ascii="Arial" w:hAnsi="Arial" w:cs="Arial"/>
          <w:sz w:val="24"/>
          <w:szCs w:val="24"/>
        </w:rPr>
      </w:pPr>
      <w:r>
        <w:rPr>
          <w:rFonts w:ascii="Arial" w:hAnsi="Arial" w:cs="Arial"/>
          <w:sz w:val="24"/>
          <w:szCs w:val="24"/>
        </w:rPr>
        <w:tab/>
        <w:t>10</w:t>
      </w:r>
      <w:r w:rsidR="00082F81">
        <w:rPr>
          <w:rFonts w:ascii="Arial" w:hAnsi="Arial" w:cs="Arial"/>
          <w:sz w:val="24"/>
          <w:szCs w:val="24"/>
        </w:rPr>
        <w:t>.2</w:t>
      </w:r>
      <w:r w:rsidR="00082F81">
        <w:rPr>
          <w:rFonts w:ascii="Arial" w:hAnsi="Arial" w:cs="Arial"/>
          <w:sz w:val="24"/>
          <w:szCs w:val="24"/>
        </w:rPr>
        <w:tab/>
      </w:r>
      <w:r w:rsidR="008566F4" w:rsidRPr="008566F4">
        <w:rPr>
          <w:rFonts w:ascii="Arial" w:hAnsi="Arial" w:cs="Arial"/>
          <w:sz w:val="24"/>
          <w:szCs w:val="24"/>
        </w:rPr>
        <w:t>The application to strike out is granted with costs</w:t>
      </w:r>
    </w:p>
    <w:p w:rsidR="008566F4" w:rsidRDefault="00A60233" w:rsidP="00E62D80">
      <w:pPr>
        <w:spacing w:line="360" w:lineRule="auto"/>
        <w:ind w:left="1639" w:hanging="930"/>
        <w:jc w:val="both"/>
        <w:rPr>
          <w:rFonts w:ascii="Arial" w:hAnsi="Arial" w:cs="Arial"/>
          <w:sz w:val="24"/>
          <w:szCs w:val="24"/>
        </w:rPr>
      </w:pPr>
      <w:r>
        <w:rPr>
          <w:rFonts w:ascii="Arial" w:hAnsi="Arial" w:cs="Arial"/>
          <w:sz w:val="24"/>
          <w:szCs w:val="24"/>
        </w:rPr>
        <w:t>10</w:t>
      </w:r>
      <w:r w:rsidR="00E62D80">
        <w:rPr>
          <w:rFonts w:ascii="Arial" w:hAnsi="Arial" w:cs="Arial"/>
          <w:sz w:val="24"/>
          <w:szCs w:val="24"/>
        </w:rPr>
        <w:t>.3</w:t>
      </w:r>
      <w:r w:rsidR="00E62D80">
        <w:rPr>
          <w:rFonts w:ascii="Arial" w:hAnsi="Arial" w:cs="Arial"/>
          <w:sz w:val="24"/>
          <w:szCs w:val="24"/>
        </w:rPr>
        <w:tab/>
      </w:r>
      <w:r w:rsidR="008566F4" w:rsidRPr="008566F4">
        <w:rPr>
          <w:rFonts w:ascii="Arial" w:hAnsi="Arial" w:cs="Arial"/>
          <w:sz w:val="24"/>
          <w:szCs w:val="24"/>
        </w:rPr>
        <w:t xml:space="preserve">Leave to appeal is granted </w:t>
      </w:r>
      <w:r w:rsidR="00E62D80">
        <w:rPr>
          <w:rFonts w:ascii="Arial" w:hAnsi="Arial" w:cs="Arial"/>
          <w:sz w:val="24"/>
          <w:szCs w:val="24"/>
        </w:rPr>
        <w:t xml:space="preserve">to the Supreme Court of Appeal </w:t>
      </w:r>
      <w:r w:rsidR="008566F4" w:rsidRPr="008566F4">
        <w:rPr>
          <w:rFonts w:ascii="Arial" w:hAnsi="Arial" w:cs="Arial"/>
          <w:sz w:val="24"/>
          <w:szCs w:val="24"/>
        </w:rPr>
        <w:t>with costs in the appeal</w:t>
      </w:r>
      <w:r>
        <w:rPr>
          <w:rFonts w:ascii="Arial" w:hAnsi="Arial" w:cs="Arial"/>
          <w:sz w:val="24"/>
          <w:szCs w:val="24"/>
        </w:rPr>
        <w:t>.</w:t>
      </w:r>
    </w:p>
    <w:p w:rsidR="00A60233" w:rsidRPr="008566F4" w:rsidRDefault="00A60233" w:rsidP="00A60233">
      <w:pPr>
        <w:spacing w:line="360" w:lineRule="auto"/>
        <w:ind w:firstLine="720"/>
        <w:jc w:val="both"/>
        <w:rPr>
          <w:rFonts w:ascii="Arial" w:hAnsi="Arial" w:cs="Arial"/>
          <w:sz w:val="24"/>
          <w:szCs w:val="24"/>
        </w:rPr>
      </w:pPr>
    </w:p>
    <w:p w:rsidR="008566F4" w:rsidRPr="008566F4" w:rsidRDefault="008566F4" w:rsidP="008566F4">
      <w:pPr>
        <w:spacing w:line="360" w:lineRule="auto"/>
        <w:jc w:val="both"/>
        <w:rPr>
          <w:rFonts w:ascii="Arial" w:hAnsi="Arial" w:cs="Arial"/>
          <w:b/>
          <w:sz w:val="24"/>
          <w:szCs w:val="24"/>
        </w:rPr>
      </w:pPr>
    </w:p>
    <w:p w:rsidR="008566F4" w:rsidRDefault="008566F4" w:rsidP="008566F4">
      <w:pPr>
        <w:spacing w:line="240" w:lineRule="auto"/>
        <w:jc w:val="right"/>
        <w:rPr>
          <w:rFonts w:ascii="Arial" w:hAnsi="Arial" w:cs="Arial"/>
          <w:sz w:val="24"/>
          <w:szCs w:val="24"/>
        </w:rPr>
      </w:pPr>
    </w:p>
    <w:p w:rsidR="008566F4" w:rsidRPr="00D14312" w:rsidRDefault="008566F4" w:rsidP="008566F4">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8566F4" w:rsidRPr="00D14312" w:rsidRDefault="008566F4" w:rsidP="008566F4">
      <w:pPr>
        <w:spacing w:line="240" w:lineRule="auto"/>
        <w:jc w:val="right"/>
        <w:rPr>
          <w:rFonts w:ascii="Arial" w:eastAsia="Calibri" w:hAnsi="Arial" w:cs="Arial"/>
          <w:b/>
          <w:sz w:val="24"/>
          <w:szCs w:val="24"/>
        </w:rPr>
      </w:pPr>
      <w:r w:rsidRPr="00D14312">
        <w:rPr>
          <w:rFonts w:ascii="Arial" w:eastAsia="Calibri" w:hAnsi="Arial" w:cs="Arial"/>
          <w:b/>
          <w:sz w:val="24"/>
          <w:szCs w:val="24"/>
        </w:rPr>
        <w:t>S. POTTERILL</w:t>
      </w:r>
    </w:p>
    <w:p w:rsidR="008566F4" w:rsidRDefault="008566F4" w:rsidP="008566F4">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A60233" w:rsidRDefault="00A60233" w:rsidP="008566F4">
      <w:pPr>
        <w:spacing w:line="240" w:lineRule="auto"/>
        <w:jc w:val="right"/>
        <w:rPr>
          <w:rFonts w:ascii="Arial" w:eastAsia="Calibri" w:hAnsi="Arial" w:cs="Arial"/>
          <w:b/>
          <w:sz w:val="24"/>
          <w:szCs w:val="24"/>
        </w:rPr>
      </w:pPr>
    </w:p>
    <w:p w:rsidR="00A60233" w:rsidRDefault="00A60233" w:rsidP="00A60233">
      <w:pPr>
        <w:spacing w:line="240" w:lineRule="auto"/>
        <w:jc w:val="both"/>
        <w:rPr>
          <w:rFonts w:ascii="Arial" w:eastAsia="Calibri" w:hAnsi="Arial" w:cs="Arial"/>
          <w:sz w:val="24"/>
          <w:szCs w:val="24"/>
        </w:rPr>
      </w:pPr>
      <w:r>
        <w:rPr>
          <w:rFonts w:ascii="Arial" w:eastAsia="Calibri" w:hAnsi="Arial" w:cs="Arial"/>
          <w:sz w:val="24"/>
          <w:szCs w:val="24"/>
        </w:rPr>
        <w:t>I agree</w:t>
      </w:r>
    </w:p>
    <w:p w:rsidR="00A60233" w:rsidRDefault="00A60233" w:rsidP="00A60233">
      <w:pPr>
        <w:spacing w:line="240" w:lineRule="auto"/>
        <w:jc w:val="both"/>
        <w:rPr>
          <w:rFonts w:ascii="Arial" w:eastAsia="Calibri" w:hAnsi="Arial" w:cs="Arial"/>
          <w:sz w:val="24"/>
          <w:szCs w:val="24"/>
        </w:rPr>
      </w:pPr>
    </w:p>
    <w:p w:rsidR="00A60233" w:rsidRPr="00A60233" w:rsidRDefault="00A60233" w:rsidP="00A60233">
      <w:pPr>
        <w:spacing w:line="240" w:lineRule="auto"/>
        <w:jc w:val="both"/>
        <w:rPr>
          <w:rFonts w:ascii="Arial" w:eastAsia="Calibri" w:hAnsi="Arial" w:cs="Arial"/>
          <w:sz w:val="24"/>
          <w:szCs w:val="24"/>
        </w:rPr>
      </w:pPr>
    </w:p>
    <w:p w:rsidR="008566F4" w:rsidRPr="00D14312" w:rsidRDefault="008566F4" w:rsidP="008566F4">
      <w:pPr>
        <w:spacing w:line="240" w:lineRule="auto"/>
        <w:rPr>
          <w:rFonts w:ascii="Arial" w:eastAsia="Calibri" w:hAnsi="Arial" w:cs="Arial"/>
          <w:sz w:val="24"/>
          <w:szCs w:val="24"/>
        </w:rPr>
      </w:pPr>
    </w:p>
    <w:p w:rsidR="00A60233" w:rsidRPr="00D14312" w:rsidRDefault="00A60233" w:rsidP="00A60233">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A60233" w:rsidRPr="00D14312" w:rsidRDefault="00C70F51" w:rsidP="00A60233">
      <w:pPr>
        <w:spacing w:line="240" w:lineRule="auto"/>
        <w:jc w:val="right"/>
        <w:rPr>
          <w:rFonts w:ascii="Arial" w:eastAsia="Calibri" w:hAnsi="Arial" w:cs="Arial"/>
          <w:b/>
          <w:sz w:val="24"/>
          <w:szCs w:val="24"/>
        </w:rPr>
      </w:pPr>
      <w:r>
        <w:rPr>
          <w:rFonts w:ascii="Arial" w:eastAsia="Calibri" w:hAnsi="Arial" w:cs="Arial"/>
          <w:b/>
          <w:sz w:val="24"/>
          <w:szCs w:val="24"/>
        </w:rPr>
        <w:t xml:space="preserve">M.P.N. </w:t>
      </w:r>
      <w:r w:rsidR="00A60233">
        <w:rPr>
          <w:rFonts w:ascii="Arial" w:eastAsia="Calibri" w:hAnsi="Arial" w:cs="Arial"/>
          <w:b/>
          <w:sz w:val="24"/>
          <w:szCs w:val="24"/>
        </w:rPr>
        <w:t>MBONGWE</w:t>
      </w:r>
    </w:p>
    <w:p w:rsidR="008566F4" w:rsidRDefault="00A60233" w:rsidP="00A60233">
      <w:pPr>
        <w:jc w:val="right"/>
        <w:rPr>
          <w:rFonts w:ascii="Arial" w:eastAsia="Calibri" w:hAnsi="Arial" w:cs="Arial"/>
          <w:b/>
          <w:sz w:val="24"/>
          <w:szCs w:val="24"/>
        </w:rPr>
      </w:pPr>
      <w:r w:rsidRPr="00D14312">
        <w:rPr>
          <w:rFonts w:ascii="Arial" w:eastAsia="Calibri" w:hAnsi="Arial" w:cs="Arial"/>
          <w:b/>
          <w:sz w:val="24"/>
          <w:szCs w:val="24"/>
        </w:rPr>
        <w:t>JUDGE OF THE HIGH COURT</w:t>
      </w:r>
    </w:p>
    <w:p w:rsidR="00A60233" w:rsidRDefault="00A60233" w:rsidP="00A60233">
      <w:pPr>
        <w:jc w:val="right"/>
        <w:rPr>
          <w:rFonts w:ascii="Arial" w:eastAsia="Calibri" w:hAnsi="Arial" w:cs="Arial"/>
          <w:b/>
          <w:sz w:val="24"/>
          <w:szCs w:val="24"/>
        </w:rPr>
      </w:pPr>
    </w:p>
    <w:p w:rsidR="00A60233" w:rsidRDefault="00A60233" w:rsidP="00A60233">
      <w:pPr>
        <w:rPr>
          <w:rFonts w:ascii="Arial" w:eastAsia="Calibri" w:hAnsi="Arial" w:cs="Arial"/>
          <w:sz w:val="24"/>
          <w:szCs w:val="24"/>
        </w:rPr>
      </w:pPr>
      <w:r>
        <w:rPr>
          <w:rFonts w:ascii="Arial" w:eastAsia="Calibri" w:hAnsi="Arial" w:cs="Arial"/>
          <w:sz w:val="24"/>
          <w:szCs w:val="24"/>
        </w:rPr>
        <w:t>I agree</w:t>
      </w:r>
    </w:p>
    <w:p w:rsidR="00A60233" w:rsidRDefault="00A60233" w:rsidP="00A60233">
      <w:pPr>
        <w:rPr>
          <w:rFonts w:ascii="Arial" w:eastAsia="Calibri" w:hAnsi="Arial" w:cs="Arial"/>
          <w:sz w:val="24"/>
          <w:szCs w:val="24"/>
        </w:rPr>
      </w:pPr>
    </w:p>
    <w:p w:rsidR="00A60233" w:rsidRDefault="00A60233" w:rsidP="00A60233">
      <w:pPr>
        <w:rPr>
          <w:rFonts w:ascii="Arial" w:eastAsia="Calibri" w:hAnsi="Arial" w:cs="Arial"/>
          <w:sz w:val="24"/>
          <w:szCs w:val="24"/>
        </w:rPr>
      </w:pPr>
    </w:p>
    <w:p w:rsidR="00A60233" w:rsidRPr="00D14312" w:rsidRDefault="00A60233" w:rsidP="00A60233">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A60233" w:rsidRPr="00D14312" w:rsidRDefault="00C70F51" w:rsidP="00A60233">
      <w:pPr>
        <w:spacing w:line="240" w:lineRule="auto"/>
        <w:jc w:val="right"/>
        <w:rPr>
          <w:rFonts w:ascii="Arial" w:eastAsia="Calibri" w:hAnsi="Arial" w:cs="Arial"/>
          <w:b/>
          <w:sz w:val="24"/>
          <w:szCs w:val="24"/>
        </w:rPr>
      </w:pPr>
      <w:r>
        <w:rPr>
          <w:rFonts w:ascii="Arial" w:eastAsia="Calibri" w:hAnsi="Arial" w:cs="Arial"/>
          <w:b/>
          <w:sz w:val="24"/>
          <w:szCs w:val="24"/>
        </w:rPr>
        <w:t xml:space="preserve">M.P. </w:t>
      </w:r>
      <w:r w:rsidR="00A60233">
        <w:rPr>
          <w:rFonts w:ascii="Arial" w:eastAsia="Calibri" w:hAnsi="Arial" w:cs="Arial"/>
          <w:b/>
          <w:sz w:val="24"/>
          <w:szCs w:val="24"/>
        </w:rPr>
        <w:t>KUMALO</w:t>
      </w:r>
    </w:p>
    <w:p w:rsidR="00A60233" w:rsidRDefault="00A60233" w:rsidP="00A60233">
      <w:pPr>
        <w:jc w:val="right"/>
        <w:rPr>
          <w:rFonts w:ascii="Arial" w:eastAsia="Calibri" w:hAnsi="Arial" w:cs="Arial"/>
          <w:b/>
          <w:sz w:val="24"/>
          <w:szCs w:val="24"/>
        </w:rPr>
      </w:pPr>
      <w:r w:rsidRPr="00D14312">
        <w:rPr>
          <w:rFonts w:ascii="Arial" w:eastAsia="Calibri" w:hAnsi="Arial" w:cs="Arial"/>
          <w:b/>
          <w:sz w:val="24"/>
          <w:szCs w:val="24"/>
        </w:rPr>
        <w:t>JUDGE OF THE HIGH COURT</w:t>
      </w:r>
    </w:p>
    <w:p w:rsidR="00A60233" w:rsidRDefault="00A60233">
      <w:pPr>
        <w:spacing w:after="160" w:line="259" w:lineRule="auto"/>
        <w:rPr>
          <w:rFonts w:ascii="Arial" w:eastAsia="Calibri" w:hAnsi="Arial" w:cs="Arial"/>
          <w:b/>
          <w:sz w:val="24"/>
          <w:szCs w:val="24"/>
        </w:rPr>
      </w:pPr>
      <w:r>
        <w:rPr>
          <w:rFonts w:ascii="Arial" w:eastAsia="Calibri" w:hAnsi="Arial" w:cs="Arial"/>
          <w:b/>
          <w:sz w:val="24"/>
          <w:szCs w:val="24"/>
        </w:rPr>
        <w:br w:type="page"/>
      </w:r>
    </w:p>
    <w:p w:rsidR="00C70F51" w:rsidRPr="00444FF1" w:rsidRDefault="00C70F51" w:rsidP="00C70F51">
      <w:pPr>
        <w:spacing w:line="240" w:lineRule="auto"/>
        <w:rPr>
          <w:rFonts w:ascii="Arial" w:eastAsia="Calibri" w:hAnsi="Arial" w:cs="Arial"/>
          <w:sz w:val="24"/>
          <w:szCs w:val="24"/>
        </w:rPr>
      </w:pPr>
      <w:r>
        <w:rPr>
          <w:rFonts w:ascii="Arial" w:eastAsia="Calibri" w:hAnsi="Arial" w:cs="Arial"/>
          <w:sz w:val="24"/>
          <w:szCs w:val="24"/>
        </w:rPr>
        <w:lastRenderedPageBreak/>
        <w:t>CASE NO:  A58/2021</w:t>
      </w:r>
    </w:p>
    <w:p w:rsidR="00C70F51" w:rsidRPr="00444FF1" w:rsidRDefault="00C70F51" w:rsidP="00C70F51">
      <w:pPr>
        <w:spacing w:line="240" w:lineRule="auto"/>
        <w:rPr>
          <w:rFonts w:ascii="Arial" w:eastAsia="Calibri" w:hAnsi="Arial" w:cs="Arial"/>
          <w:sz w:val="24"/>
          <w:szCs w:val="24"/>
        </w:rPr>
      </w:pPr>
    </w:p>
    <w:p w:rsidR="00C70F51" w:rsidRPr="00444FF1" w:rsidRDefault="00C70F51" w:rsidP="00C70F51">
      <w:pPr>
        <w:spacing w:line="240" w:lineRule="auto"/>
        <w:rPr>
          <w:rFonts w:ascii="Arial" w:eastAsia="Calibri" w:hAnsi="Arial" w:cs="Arial"/>
          <w:sz w:val="24"/>
          <w:szCs w:val="24"/>
        </w:rPr>
      </w:pPr>
      <w:r w:rsidRPr="00444FF1">
        <w:rPr>
          <w:rFonts w:ascii="Arial" w:eastAsia="Calibri" w:hAnsi="Arial" w:cs="Arial"/>
          <w:sz w:val="24"/>
          <w:szCs w:val="24"/>
        </w:rPr>
        <w:t xml:space="preserve">HEARD ON:    </w:t>
      </w:r>
      <w:r>
        <w:rPr>
          <w:rFonts w:ascii="Arial" w:eastAsia="Calibri" w:hAnsi="Arial" w:cs="Arial"/>
          <w:sz w:val="24"/>
          <w:szCs w:val="24"/>
        </w:rPr>
        <w:t>3 August 2023</w:t>
      </w:r>
    </w:p>
    <w:p w:rsidR="00C70F51" w:rsidRPr="00444FF1" w:rsidRDefault="00C70F51" w:rsidP="00C70F51">
      <w:pPr>
        <w:spacing w:line="240" w:lineRule="auto"/>
        <w:rPr>
          <w:rFonts w:ascii="Arial" w:eastAsia="Calibri" w:hAnsi="Arial" w:cs="Arial"/>
          <w:sz w:val="24"/>
          <w:szCs w:val="24"/>
        </w:rPr>
      </w:pPr>
    </w:p>
    <w:p w:rsidR="00C70F51" w:rsidRDefault="00C70F51" w:rsidP="00C70F51">
      <w:pPr>
        <w:spacing w:line="240" w:lineRule="auto"/>
        <w:rPr>
          <w:rFonts w:ascii="Arial" w:eastAsia="Calibri" w:hAnsi="Arial" w:cs="Arial"/>
          <w:sz w:val="24"/>
          <w:szCs w:val="24"/>
        </w:rPr>
      </w:pPr>
      <w:r>
        <w:rPr>
          <w:rFonts w:ascii="Arial" w:eastAsia="Calibri" w:hAnsi="Arial" w:cs="Arial"/>
          <w:sz w:val="24"/>
          <w:szCs w:val="24"/>
        </w:rPr>
        <w:t>FOR THE APPLICANTS</w:t>
      </w:r>
      <w:r w:rsidRPr="00444FF1">
        <w:rPr>
          <w:rFonts w:ascii="Arial" w:eastAsia="Calibri" w:hAnsi="Arial" w:cs="Arial"/>
          <w:sz w:val="24"/>
          <w:szCs w:val="24"/>
        </w:rPr>
        <w:t xml:space="preserve">:  </w:t>
      </w:r>
      <w:r>
        <w:rPr>
          <w:rFonts w:ascii="Arial" w:eastAsia="Calibri" w:hAnsi="Arial" w:cs="Arial"/>
          <w:sz w:val="24"/>
          <w:szCs w:val="24"/>
        </w:rPr>
        <w:t>ADV. N. REDMAN SC</w:t>
      </w:r>
    </w:p>
    <w:p w:rsidR="00C70F51" w:rsidRPr="00444FF1" w:rsidRDefault="00C70F51" w:rsidP="00C70F51">
      <w:pPr>
        <w:spacing w:line="240" w:lineRule="auto"/>
        <w:rPr>
          <w:rFonts w:ascii="Arial" w:eastAsia="Calibri" w:hAnsi="Arial" w:cs="Arial"/>
          <w:sz w:val="24"/>
          <w:szCs w:val="24"/>
        </w:rPr>
      </w:pPr>
      <w:r>
        <w:rPr>
          <w:rFonts w:ascii="Arial" w:eastAsia="Calibri" w:hAnsi="Arial" w:cs="Arial"/>
          <w:sz w:val="24"/>
          <w:szCs w:val="24"/>
        </w:rPr>
        <w:t xml:space="preserve">                                          ADV. Y. PEER</w:t>
      </w:r>
    </w:p>
    <w:p w:rsidR="00C70F51" w:rsidRPr="00444FF1" w:rsidRDefault="00C70F51" w:rsidP="00C70F51">
      <w:pPr>
        <w:spacing w:line="240" w:lineRule="auto"/>
        <w:rPr>
          <w:rFonts w:ascii="Arial" w:eastAsia="Calibri" w:hAnsi="Arial" w:cs="Arial"/>
          <w:sz w:val="24"/>
          <w:szCs w:val="24"/>
        </w:rPr>
      </w:pPr>
    </w:p>
    <w:p w:rsidR="00C70F51" w:rsidRPr="00444FF1" w:rsidRDefault="00C70F51" w:rsidP="00C70F51">
      <w:pPr>
        <w:spacing w:line="240" w:lineRule="auto"/>
        <w:rPr>
          <w:rFonts w:ascii="Arial" w:eastAsia="Calibri" w:hAnsi="Arial" w:cs="Arial"/>
          <w:sz w:val="24"/>
          <w:szCs w:val="24"/>
        </w:rPr>
      </w:pPr>
      <w:r w:rsidRPr="00444FF1">
        <w:rPr>
          <w:rFonts w:ascii="Arial" w:eastAsia="Calibri" w:hAnsi="Arial" w:cs="Arial"/>
          <w:sz w:val="24"/>
          <w:szCs w:val="24"/>
        </w:rPr>
        <w:t xml:space="preserve">INSTRUCTED BY:  </w:t>
      </w:r>
      <w:r w:rsidR="00D5099A">
        <w:rPr>
          <w:rFonts w:ascii="Arial" w:eastAsia="Calibri" w:hAnsi="Arial" w:cs="Arial"/>
          <w:sz w:val="24"/>
          <w:szCs w:val="24"/>
        </w:rPr>
        <w:t>B Karolia Inc.</w:t>
      </w:r>
    </w:p>
    <w:p w:rsidR="00C70F51" w:rsidRPr="00444FF1" w:rsidRDefault="00C70F51" w:rsidP="00C70F51">
      <w:pPr>
        <w:spacing w:line="240" w:lineRule="auto"/>
        <w:rPr>
          <w:rFonts w:ascii="Arial" w:eastAsia="Calibri" w:hAnsi="Arial" w:cs="Arial"/>
          <w:sz w:val="24"/>
          <w:szCs w:val="24"/>
        </w:rPr>
      </w:pPr>
    </w:p>
    <w:p w:rsidR="00C70F51" w:rsidRPr="00444FF1" w:rsidRDefault="00C70F51" w:rsidP="00C70F51">
      <w:pPr>
        <w:spacing w:line="240" w:lineRule="auto"/>
        <w:rPr>
          <w:rFonts w:ascii="Arial" w:eastAsia="Calibri" w:hAnsi="Arial" w:cs="Arial"/>
          <w:sz w:val="24"/>
          <w:szCs w:val="24"/>
        </w:rPr>
      </w:pPr>
      <w:r>
        <w:rPr>
          <w:rFonts w:ascii="Arial" w:eastAsia="Calibri" w:hAnsi="Arial" w:cs="Arial"/>
          <w:sz w:val="24"/>
          <w:szCs w:val="24"/>
        </w:rPr>
        <w:t xml:space="preserve">FOR THE </w:t>
      </w:r>
      <w:r w:rsidR="00D5099A">
        <w:rPr>
          <w:rFonts w:ascii="Arial" w:eastAsia="Calibri" w:hAnsi="Arial" w:cs="Arial"/>
          <w:sz w:val="24"/>
          <w:szCs w:val="24"/>
        </w:rPr>
        <w:t>FIRST RESPONDENT</w:t>
      </w:r>
      <w:r>
        <w:rPr>
          <w:rFonts w:ascii="Arial" w:eastAsia="Calibri" w:hAnsi="Arial" w:cs="Arial"/>
          <w:sz w:val="24"/>
          <w:szCs w:val="24"/>
        </w:rPr>
        <w:t>:  ADV. M. MAKGATO</w:t>
      </w:r>
    </w:p>
    <w:p w:rsidR="00C70F51" w:rsidRPr="00444FF1" w:rsidRDefault="00C70F51" w:rsidP="00C70F51">
      <w:pPr>
        <w:spacing w:line="240" w:lineRule="auto"/>
        <w:rPr>
          <w:rFonts w:ascii="Arial" w:eastAsia="Calibri" w:hAnsi="Arial" w:cs="Arial"/>
          <w:sz w:val="24"/>
          <w:szCs w:val="24"/>
        </w:rPr>
      </w:pPr>
    </w:p>
    <w:p w:rsidR="00C70F51" w:rsidRPr="00444FF1" w:rsidRDefault="00C70F51" w:rsidP="00C70F51">
      <w:pPr>
        <w:spacing w:line="240" w:lineRule="auto"/>
        <w:rPr>
          <w:rFonts w:ascii="Arial" w:eastAsia="Calibri" w:hAnsi="Arial" w:cs="Arial"/>
          <w:sz w:val="24"/>
          <w:szCs w:val="24"/>
        </w:rPr>
      </w:pPr>
      <w:r w:rsidRPr="00444FF1">
        <w:rPr>
          <w:rFonts w:ascii="Arial" w:eastAsia="Calibri" w:hAnsi="Arial" w:cs="Arial"/>
          <w:sz w:val="24"/>
          <w:szCs w:val="24"/>
        </w:rPr>
        <w:t xml:space="preserve">INSTRUCTED BY:  </w:t>
      </w:r>
      <w:r w:rsidR="00D5099A">
        <w:rPr>
          <w:rFonts w:ascii="Arial" w:eastAsia="Calibri" w:hAnsi="Arial" w:cs="Arial"/>
          <w:sz w:val="24"/>
          <w:szCs w:val="24"/>
        </w:rPr>
        <w:t>Lebethe Attorneys &amp; Associates Inc.</w:t>
      </w:r>
    </w:p>
    <w:p w:rsidR="00C70F51" w:rsidRPr="00444FF1" w:rsidRDefault="00C70F51" w:rsidP="00C70F51">
      <w:pPr>
        <w:spacing w:line="240" w:lineRule="auto"/>
        <w:rPr>
          <w:rFonts w:ascii="Arial" w:eastAsia="Calibri" w:hAnsi="Arial" w:cs="Arial"/>
          <w:sz w:val="24"/>
          <w:szCs w:val="24"/>
        </w:rPr>
      </w:pPr>
    </w:p>
    <w:p w:rsidR="00C70F51" w:rsidRPr="00444FF1" w:rsidRDefault="00C70F51" w:rsidP="00C70F51">
      <w:pPr>
        <w:spacing w:line="240" w:lineRule="auto"/>
        <w:rPr>
          <w:rFonts w:ascii="Arial" w:eastAsia="Calibri" w:hAnsi="Arial" w:cs="Arial"/>
          <w:sz w:val="24"/>
          <w:szCs w:val="24"/>
        </w:rPr>
      </w:pPr>
      <w:r w:rsidRPr="00444FF1">
        <w:rPr>
          <w:rFonts w:ascii="Arial" w:eastAsia="Calibri" w:hAnsi="Arial" w:cs="Arial"/>
          <w:sz w:val="24"/>
          <w:szCs w:val="24"/>
        </w:rPr>
        <w:t xml:space="preserve">DATE OF JUDGMENT:   </w:t>
      </w:r>
      <w:r w:rsidR="005C7378">
        <w:rPr>
          <w:rFonts w:ascii="Arial" w:eastAsia="Calibri" w:hAnsi="Arial" w:cs="Arial"/>
          <w:sz w:val="24"/>
          <w:szCs w:val="24"/>
        </w:rPr>
        <w:t>10 August 2023</w:t>
      </w:r>
    </w:p>
    <w:p w:rsidR="008566F4" w:rsidRDefault="008566F4" w:rsidP="008566F4"/>
    <w:p w:rsidR="008566F4" w:rsidRDefault="008566F4" w:rsidP="008566F4"/>
    <w:p w:rsidR="004928EA" w:rsidRDefault="00A8057E"/>
    <w:sectPr w:rsidR="004928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7E" w:rsidRDefault="00A8057E">
      <w:pPr>
        <w:spacing w:after="0" w:line="240" w:lineRule="auto"/>
      </w:pPr>
      <w:r>
        <w:separator/>
      </w:r>
    </w:p>
  </w:endnote>
  <w:endnote w:type="continuationSeparator" w:id="0">
    <w:p w:rsidR="00A8057E" w:rsidRDefault="00A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7E" w:rsidRDefault="00A8057E">
      <w:pPr>
        <w:spacing w:after="0" w:line="240" w:lineRule="auto"/>
      </w:pPr>
      <w:r>
        <w:separator/>
      </w:r>
    </w:p>
  </w:footnote>
  <w:footnote w:type="continuationSeparator" w:id="0">
    <w:p w:rsidR="00A8057E" w:rsidRDefault="00A80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040901" w:rsidRDefault="003524AE">
        <w:pPr>
          <w:pStyle w:val="Header"/>
          <w:jc w:val="center"/>
        </w:pPr>
        <w:r>
          <w:fldChar w:fldCharType="begin"/>
        </w:r>
        <w:r>
          <w:instrText xml:space="preserve"> PAGE   \* MERGEFORMAT </w:instrText>
        </w:r>
        <w:r>
          <w:fldChar w:fldCharType="separate"/>
        </w:r>
        <w:r w:rsidR="000165CE">
          <w:rPr>
            <w:noProof/>
          </w:rPr>
          <w:t>2</w:t>
        </w:r>
        <w:r>
          <w:rPr>
            <w:noProof/>
          </w:rPr>
          <w:fldChar w:fldCharType="end"/>
        </w:r>
      </w:p>
    </w:sdtContent>
  </w:sdt>
  <w:p w:rsidR="00040901" w:rsidRDefault="00A80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F4"/>
    <w:rsid w:val="00014984"/>
    <w:rsid w:val="000165CE"/>
    <w:rsid w:val="00042337"/>
    <w:rsid w:val="00082F81"/>
    <w:rsid w:val="00171512"/>
    <w:rsid w:val="001D5B54"/>
    <w:rsid w:val="003524AE"/>
    <w:rsid w:val="004A3DAD"/>
    <w:rsid w:val="005C7378"/>
    <w:rsid w:val="007D2858"/>
    <w:rsid w:val="008566F4"/>
    <w:rsid w:val="008D2056"/>
    <w:rsid w:val="009D037C"/>
    <w:rsid w:val="00A3736F"/>
    <w:rsid w:val="00A60233"/>
    <w:rsid w:val="00A8057E"/>
    <w:rsid w:val="00B40B58"/>
    <w:rsid w:val="00C70F51"/>
    <w:rsid w:val="00D5099A"/>
    <w:rsid w:val="00E62D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C54A3-D0CB-4168-907F-CC24ABA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dcterms:created xsi:type="dcterms:W3CDTF">2023-08-15T10:07:00Z</dcterms:created>
  <dcterms:modified xsi:type="dcterms:W3CDTF">2023-08-15T10:07:00Z</dcterms:modified>
</cp:coreProperties>
</file>