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8E6813">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8E6813">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tblGrid>
      <w:tr w:rsidR="00C519B2" w:rsidRPr="004164F3" w14:paraId="7564B942" w14:textId="77777777" w:rsidTr="008E6813">
        <w:trPr>
          <w:trHeight w:val="2205"/>
        </w:trPr>
        <w:tc>
          <w:tcPr>
            <w:tcW w:w="3856" w:type="dxa"/>
          </w:tcPr>
          <w:p w14:paraId="0C1A8C99" w14:textId="77777777" w:rsidR="00C519B2" w:rsidRPr="004164F3" w:rsidRDefault="00C519B2" w:rsidP="00C64B6A">
            <w:pPr>
              <w:rPr>
                <w:rFonts w:ascii="Arial Unicode MS" w:eastAsia="Arial Unicode MS" w:hAnsi="Arial Unicode MS" w:cs="Arial Unicode MS"/>
                <w:b/>
                <w:sz w:val="16"/>
                <w:szCs w:val="16"/>
              </w:rPr>
            </w:pPr>
            <w:r w:rsidRPr="004164F3">
              <w:rPr>
                <w:rFonts w:ascii="Arial Unicode MS" w:eastAsia="Arial Unicode MS" w:hAnsi="Arial Unicode MS" w:cs="Arial Unicode MS"/>
                <w:b/>
                <w:sz w:val="16"/>
                <w:szCs w:val="16"/>
              </w:rPr>
              <w:t>DELETE WHICHEVER IS NOT APPLICABLE</w:t>
            </w:r>
          </w:p>
          <w:p w14:paraId="719093FC" w14:textId="64B5F9B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(1)</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REPORTABLE:</w:t>
            </w:r>
            <w:r w:rsidRPr="004164F3">
              <w:rPr>
                <w:rFonts w:ascii="Arial Unicode MS" w:eastAsia="Arial Unicode MS" w:hAnsi="Arial Unicode MS" w:cs="Arial Unicode MS"/>
                <w:sz w:val="16"/>
                <w:szCs w:val="16"/>
              </w:rPr>
              <w:tab/>
            </w:r>
            <w:r w:rsidRPr="0069018B">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69018B">
              <w:rPr>
                <w:rFonts w:ascii="Arial Unicode MS" w:eastAsia="Arial Unicode MS" w:hAnsi="Arial Unicode MS" w:cs="Arial Unicode MS"/>
                <w:b/>
                <w:bCs/>
                <w:sz w:val="16"/>
                <w:szCs w:val="16"/>
              </w:rPr>
              <w:t>NO</w:t>
            </w:r>
          </w:p>
          <w:p w14:paraId="528A128C" w14:textId="4608575A"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(2)</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 xml:space="preserve">OF INTEREST TO OTHER JUDGES: </w:t>
            </w:r>
            <w:r w:rsidRPr="0069018B">
              <w:rPr>
                <w:rFonts w:ascii="Arial Unicode MS" w:eastAsia="Arial Unicode MS" w:hAnsi="Arial Unicode MS" w:cs="Arial Unicode MS"/>
                <w:strike/>
                <w:sz w:val="16"/>
                <w:szCs w:val="16"/>
              </w:rPr>
              <w:t>YES</w:t>
            </w:r>
            <w:r w:rsidRPr="004164F3">
              <w:rPr>
                <w:rFonts w:ascii="Arial Unicode MS" w:eastAsia="Arial Unicode MS" w:hAnsi="Arial Unicode MS" w:cs="Arial Unicode MS"/>
                <w:sz w:val="16"/>
                <w:szCs w:val="16"/>
              </w:rPr>
              <w:t>/</w:t>
            </w:r>
            <w:r w:rsidRPr="0069018B">
              <w:rPr>
                <w:rFonts w:ascii="Arial Unicode MS" w:eastAsia="Arial Unicode MS" w:hAnsi="Arial Unicode MS" w:cs="Arial Unicode MS"/>
                <w:b/>
                <w:bCs/>
                <w:sz w:val="16"/>
                <w:szCs w:val="16"/>
              </w:rPr>
              <w:t>NO</w:t>
            </w:r>
          </w:p>
          <w:p w14:paraId="15F66332" w14:textId="7A6D1695"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(3)</w:t>
            </w:r>
            <w:r w:rsidR="008E6813">
              <w:rPr>
                <w:rFonts w:ascii="Arial Unicode MS" w:eastAsia="Arial Unicode MS" w:hAnsi="Arial Unicode MS" w:cs="Arial Unicode MS"/>
                <w:sz w:val="16"/>
                <w:szCs w:val="16"/>
              </w:rPr>
              <w:t xml:space="preserve">  </w:t>
            </w:r>
            <w:r w:rsidRPr="004164F3">
              <w:rPr>
                <w:rFonts w:ascii="Arial Unicode MS" w:eastAsia="Arial Unicode MS" w:hAnsi="Arial Unicode MS" w:cs="Arial Unicode MS"/>
                <w:sz w:val="16"/>
                <w:szCs w:val="16"/>
              </w:rPr>
              <w:t>REVISED</w:t>
            </w:r>
          </w:p>
          <w:p w14:paraId="284842F1" w14:textId="22413487" w:rsidR="00C519B2" w:rsidRPr="004164F3" w:rsidRDefault="00C519B2" w:rsidP="00C64B6A">
            <w:pPr>
              <w:spacing w:before="120"/>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DATE:…</w:t>
            </w:r>
            <w:r w:rsidR="0069018B" w:rsidRPr="0069018B">
              <w:rPr>
                <w:rFonts w:ascii="Arial Unicode MS" w:eastAsia="Arial Unicode MS" w:hAnsi="Arial Unicode MS" w:cs="Arial Unicode MS"/>
                <w:b/>
                <w:bCs/>
                <w:sz w:val="16"/>
                <w:szCs w:val="16"/>
              </w:rPr>
              <w:t>17 AUGUST 2023</w:t>
            </w:r>
            <w:r>
              <w:rPr>
                <w:rFonts w:ascii="Arial Unicode MS" w:eastAsia="Arial Unicode MS" w:hAnsi="Arial Unicode MS" w:cs="Arial Unicode MS"/>
                <w:sz w:val="16"/>
                <w:szCs w:val="16"/>
              </w:rPr>
              <w:br/>
            </w:r>
          </w:p>
          <w:p w14:paraId="773CDFDB" w14:textId="38719BD2" w:rsidR="00C519B2" w:rsidRPr="004164F3" w:rsidRDefault="00C519B2" w:rsidP="00C64B6A">
            <w:pPr>
              <w:rPr>
                <w:rFonts w:ascii="Arial Unicode MS" w:eastAsia="Arial Unicode MS" w:hAnsi="Arial Unicode MS" w:cs="Arial Unicode MS"/>
                <w:sz w:val="16"/>
                <w:szCs w:val="16"/>
              </w:rPr>
            </w:pPr>
            <w:r w:rsidRPr="004164F3">
              <w:rPr>
                <w:rFonts w:ascii="Arial Unicode MS" w:eastAsia="Arial Unicode MS" w:hAnsi="Arial Unicode MS" w:cs="Arial Unicode MS"/>
                <w:sz w:val="16"/>
                <w:szCs w:val="16"/>
              </w:rPr>
              <w:t>SIGNATURE:.……………………</w:t>
            </w:r>
          </w:p>
        </w:tc>
      </w:tr>
    </w:tbl>
    <w:p w14:paraId="46E43E32" w14:textId="0AFA25C1" w:rsidR="00B50E11" w:rsidRPr="0031449E" w:rsidRDefault="00B50E11" w:rsidP="008E0B52">
      <w:pPr>
        <w:pStyle w:val="Body"/>
        <w:spacing w:line="360" w:lineRule="auto"/>
        <w:jc w:val="right"/>
        <w:outlineLvl w:val="0"/>
        <w:rPr>
          <w:rFonts w:cs="Arial"/>
          <w:sz w:val="24"/>
          <w:szCs w:val="24"/>
        </w:rPr>
      </w:pPr>
      <w:r w:rsidRPr="0031449E">
        <w:rPr>
          <w:rFonts w:cs="Arial"/>
          <w:sz w:val="24"/>
          <w:szCs w:val="24"/>
        </w:rPr>
        <w:tab/>
      </w:r>
      <w:r w:rsidRPr="0031449E">
        <w:rPr>
          <w:rFonts w:cs="Arial"/>
          <w:b/>
          <w:bCs/>
          <w:sz w:val="24"/>
          <w:szCs w:val="24"/>
        </w:rPr>
        <w:t xml:space="preserve">Case No. </w:t>
      </w:r>
      <w:r w:rsidR="0051199C">
        <w:rPr>
          <w:rFonts w:cs="Arial"/>
          <w:b/>
          <w:bCs/>
          <w:sz w:val="24"/>
          <w:szCs w:val="24"/>
        </w:rPr>
        <w:t>15820/2</w:t>
      </w:r>
      <w:r w:rsidR="00684B6A">
        <w:rPr>
          <w:rFonts w:cs="Arial"/>
          <w:b/>
          <w:bCs/>
          <w:sz w:val="24"/>
          <w:szCs w:val="24"/>
        </w:rPr>
        <w:t>02</w:t>
      </w:r>
      <w:r w:rsidR="0051199C">
        <w:rPr>
          <w:rFonts w:cs="Arial"/>
          <w:b/>
          <w:bCs/>
          <w:sz w:val="24"/>
          <w:szCs w:val="24"/>
        </w:rPr>
        <w:t>2</w:t>
      </w:r>
    </w:p>
    <w:tbl>
      <w:tblPr>
        <w:tblStyle w:val="TableGrid"/>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36"/>
        <w:gridCol w:w="4519"/>
        <w:gridCol w:w="54"/>
      </w:tblGrid>
      <w:tr w:rsidR="00B50E11" w:rsidRPr="0031449E" w14:paraId="22698168" w14:textId="77777777" w:rsidTr="00860E60">
        <w:trPr>
          <w:gridAfter w:val="1"/>
          <w:wAfter w:w="54" w:type="dxa"/>
        </w:trPr>
        <w:tc>
          <w:tcPr>
            <w:tcW w:w="5121" w:type="dxa"/>
            <w:gridSpan w:val="2"/>
          </w:tcPr>
          <w:p w14:paraId="3D32D802" w14:textId="77777777" w:rsidR="00B50E11" w:rsidRPr="0031449E" w:rsidRDefault="00B50E11" w:rsidP="008E6813">
            <w:pPr>
              <w:pStyle w:val="Body"/>
              <w:spacing w:line="360" w:lineRule="auto"/>
              <w:jc w:val="both"/>
              <w:rPr>
                <w:rFonts w:cs="Arial"/>
                <w:sz w:val="24"/>
                <w:szCs w:val="24"/>
              </w:rPr>
            </w:pPr>
            <w:r w:rsidRPr="0031449E">
              <w:rPr>
                <w:rFonts w:cs="Arial"/>
                <w:sz w:val="24"/>
                <w:szCs w:val="24"/>
              </w:rPr>
              <w:t>In the matter between:</w:t>
            </w:r>
          </w:p>
        </w:tc>
        <w:tc>
          <w:tcPr>
            <w:tcW w:w="4519" w:type="dxa"/>
          </w:tcPr>
          <w:p w14:paraId="6295A861" w14:textId="77777777"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860E60">
        <w:trPr>
          <w:gridAfter w:val="1"/>
          <w:wAfter w:w="54" w:type="dxa"/>
          <w:trHeight w:val="1045"/>
        </w:trPr>
        <w:tc>
          <w:tcPr>
            <w:tcW w:w="5121" w:type="dxa"/>
            <w:gridSpan w:val="2"/>
          </w:tcPr>
          <w:p w14:paraId="2456782D"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sz w:val="24"/>
                <w:szCs w:val="24"/>
              </w:rPr>
            </w:pPr>
          </w:p>
          <w:p w14:paraId="548AA6FE" w14:textId="5D67E856" w:rsidR="007F7FED" w:rsidRPr="0051199C" w:rsidRDefault="0051199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sidRPr="0051199C">
              <w:rPr>
                <w:rFonts w:cs="Arial"/>
                <w:b/>
                <w:bCs/>
                <w:sz w:val="24"/>
                <w:szCs w:val="24"/>
              </w:rPr>
              <w:t>ABSA BANK LIMITED</w:t>
            </w:r>
          </w:p>
        </w:tc>
        <w:tc>
          <w:tcPr>
            <w:tcW w:w="4519" w:type="dxa"/>
          </w:tcPr>
          <w:p w14:paraId="66354F6A"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263479FD" w14:textId="529B75C9" w:rsidR="00B50E11" w:rsidRPr="0031449E" w:rsidRDefault="000218A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APPLICANT</w:t>
            </w:r>
          </w:p>
        </w:tc>
      </w:tr>
      <w:tr w:rsidR="00B50E11" w:rsidRPr="0031449E" w14:paraId="2DE3831D" w14:textId="77777777" w:rsidTr="00860E60">
        <w:trPr>
          <w:gridAfter w:val="1"/>
          <w:wAfter w:w="54" w:type="dxa"/>
        </w:trPr>
        <w:tc>
          <w:tcPr>
            <w:tcW w:w="5121" w:type="dxa"/>
            <w:gridSpan w:val="2"/>
          </w:tcPr>
          <w:p w14:paraId="06AA6B3B" w14:textId="7CD9CC68" w:rsidR="00B50E11" w:rsidRPr="00F43C52" w:rsidRDefault="00B50E11" w:rsidP="008E6813">
            <w:pPr>
              <w:pStyle w:val="Body"/>
              <w:spacing w:line="360" w:lineRule="auto"/>
              <w:jc w:val="both"/>
              <w:rPr>
                <w:rFonts w:cs="Arial"/>
                <w:b/>
                <w:sz w:val="24"/>
                <w:szCs w:val="24"/>
              </w:rPr>
            </w:pPr>
          </w:p>
          <w:p w14:paraId="52E06D21" w14:textId="65F278A7" w:rsidR="00B50E11" w:rsidRPr="0031449E" w:rsidRDefault="00416EA1" w:rsidP="008E6813">
            <w:pPr>
              <w:pStyle w:val="Body"/>
              <w:spacing w:line="360" w:lineRule="auto"/>
              <w:jc w:val="both"/>
              <w:rPr>
                <w:rFonts w:eastAsia="Tahoma" w:cs="Arial"/>
                <w:sz w:val="24"/>
                <w:szCs w:val="24"/>
              </w:rPr>
            </w:pPr>
            <w:r w:rsidRPr="0031449E">
              <w:rPr>
                <w:rFonts w:cs="Arial"/>
                <w:sz w:val="24"/>
                <w:szCs w:val="24"/>
              </w:rPr>
              <w:t>A</w:t>
            </w:r>
            <w:r w:rsidR="00B50E11" w:rsidRPr="0031449E">
              <w:rPr>
                <w:rFonts w:cs="Arial"/>
                <w:sz w:val="24"/>
                <w:szCs w:val="24"/>
              </w:rPr>
              <w:t>nd</w:t>
            </w:r>
          </w:p>
        </w:tc>
        <w:tc>
          <w:tcPr>
            <w:tcW w:w="4519" w:type="dxa"/>
          </w:tcPr>
          <w:p w14:paraId="06C77BC2" w14:textId="032FD205" w:rsidR="00B50E11" w:rsidRPr="0031449E"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tc>
      </w:tr>
      <w:tr w:rsidR="00B50E11" w:rsidRPr="0031449E" w14:paraId="4829D036" w14:textId="77777777" w:rsidTr="00860E60">
        <w:trPr>
          <w:gridAfter w:val="1"/>
          <w:wAfter w:w="54" w:type="dxa"/>
        </w:trPr>
        <w:tc>
          <w:tcPr>
            <w:tcW w:w="5121" w:type="dxa"/>
            <w:gridSpan w:val="2"/>
          </w:tcPr>
          <w:p w14:paraId="0C29CDE0"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480DF639" w14:textId="1C56ED2E" w:rsidR="001F07DD" w:rsidRDefault="0051199C"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r>
              <w:rPr>
                <w:rFonts w:cs="Arial"/>
                <w:b/>
                <w:bCs/>
                <w:sz w:val="24"/>
                <w:szCs w:val="24"/>
                <w:lang w:val="de-DE"/>
              </w:rPr>
              <w:t>MOSIMA, J</w:t>
            </w:r>
          </w:p>
          <w:p w14:paraId="3ACBB1CA" w14:textId="05144C07" w:rsidR="00B50E11" w:rsidRPr="00DA7A8D"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405"/>
              <w:jc w:val="both"/>
              <w:rPr>
                <w:rFonts w:cs="Arial"/>
                <w:b/>
                <w:bCs/>
                <w:sz w:val="24"/>
                <w:szCs w:val="24"/>
                <w:lang w:val="de-DE"/>
              </w:rPr>
            </w:pPr>
          </w:p>
        </w:tc>
        <w:tc>
          <w:tcPr>
            <w:tcW w:w="4519" w:type="dxa"/>
          </w:tcPr>
          <w:p w14:paraId="33705AB1" w14:textId="77777777" w:rsidR="00B50E11" w:rsidRDefault="00B50E11"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7853F6A3" w14:textId="0BDDAC04" w:rsidR="00B50E11" w:rsidRPr="0031449E" w:rsidRDefault="001F07DD"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 xml:space="preserve">FIRST </w:t>
            </w:r>
            <w:r w:rsidR="000218AC">
              <w:rPr>
                <w:rFonts w:cs="Arial"/>
                <w:b/>
                <w:sz w:val="24"/>
                <w:szCs w:val="24"/>
              </w:rPr>
              <w:t>RESPONDENT</w:t>
            </w:r>
          </w:p>
        </w:tc>
      </w:tr>
      <w:tr w:rsidR="0027008F" w:rsidRPr="0031449E" w14:paraId="0432C152" w14:textId="77777777" w:rsidTr="00860E60">
        <w:trPr>
          <w:gridAfter w:val="1"/>
          <w:wAfter w:w="54" w:type="dxa"/>
        </w:trPr>
        <w:tc>
          <w:tcPr>
            <w:tcW w:w="5121" w:type="dxa"/>
            <w:gridSpan w:val="2"/>
          </w:tcPr>
          <w:p w14:paraId="25DA77DC"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p>
          <w:p w14:paraId="7F45D086" w14:textId="646167B8" w:rsidR="0027008F" w:rsidRDefault="00684B6A"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bCs/>
                <w:sz w:val="24"/>
                <w:szCs w:val="24"/>
                <w:lang w:val="de-DE"/>
              </w:rPr>
            </w:pPr>
            <w:r>
              <w:rPr>
                <w:rFonts w:cs="Arial"/>
                <w:b/>
                <w:bCs/>
                <w:sz w:val="24"/>
                <w:szCs w:val="24"/>
                <w:lang w:val="de-DE"/>
              </w:rPr>
              <w:t>MOSIMA, NL</w:t>
            </w:r>
          </w:p>
        </w:tc>
        <w:tc>
          <w:tcPr>
            <w:tcW w:w="4519" w:type="dxa"/>
          </w:tcPr>
          <w:p w14:paraId="12E9CA02" w14:textId="77777777"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p>
          <w:p w14:paraId="345D8E8F" w14:textId="09251848" w:rsidR="0027008F" w:rsidRDefault="0027008F" w:rsidP="008E6813">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right"/>
              <w:rPr>
                <w:rFonts w:cs="Arial"/>
                <w:b/>
                <w:sz w:val="24"/>
                <w:szCs w:val="24"/>
              </w:rPr>
            </w:pPr>
            <w:r>
              <w:rPr>
                <w:rFonts w:cs="Arial"/>
                <w:b/>
                <w:sz w:val="24"/>
                <w:szCs w:val="24"/>
              </w:rPr>
              <w:t>SECOND RESPONDENT</w:t>
            </w:r>
          </w:p>
        </w:tc>
      </w:tr>
      <w:tr w:rsidR="001D7244" w:rsidRPr="00217B1F" w14:paraId="0BE69F19" w14:textId="77777777" w:rsidTr="005931AB">
        <w:trPr>
          <w:trHeight w:val="1045"/>
        </w:trPr>
        <w:tc>
          <w:tcPr>
            <w:tcW w:w="9694" w:type="dxa"/>
            <w:gridSpan w:val="4"/>
          </w:tcPr>
          <w:p w14:paraId="0CA1B4FB" w14:textId="6BF03ACD" w:rsidR="001D7244" w:rsidRPr="00217B1F" w:rsidRDefault="008E0B52" w:rsidP="005931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r>
              <w:rPr>
                <w:rFonts w:cs="Arial"/>
                <w:b/>
                <w:bCs/>
                <w:sz w:val="24"/>
                <w:szCs w:val="24"/>
              </w:rPr>
              <w:t>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7513"/>
            </w:tblGrid>
            <w:tr w:rsidR="001D7244" w14:paraId="0E758531" w14:textId="77777777" w:rsidTr="005931AB">
              <w:tc>
                <w:tcPr>
                  <w:tcW w:w="1734" w:type="dxa"/>
                </w:tcPr>
                <w:p w14:paraId="32A8A6B9" w14:textId="77777777" w:rsidR="001D7244" w:rsidRPr="008E0B52" w:rsidRDefault="001D7244" w:rsidP="005931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4"/>
                    <w:rPr>
                      <w:rFonts w:ascii="Times" w:hAnsi="Times" w:cs="Arial"/>
                      <w:b/>
                      <w:bCs/>
                      <w:i/>
                      <w:iCs/>
                      <w:sz w:val="24"/>
                      <w:szCs w:val="24"/>
                    </w:rPr>
                  </w:pPr>
                  <w:r w:rsidRPr="008E0B52">
                    <w:rPr>
                      <w:rFonts w:ascii="Times" w:eastAsia="Times New Roman" w:hAnsi="Times" w:cs="Arial"/>
                      <w:b/>
                      <w:bCs/>
                      <w:i/>
                      <w:iCs/>
                      <w:sz w:val="24"/>
                      <w:szCs w:val="24"/>
                      <w:lang w:val="en-ZA"/>
                    </w:rPr>
                    <w:t>Coram:          </w:t>
                  </w:r>
                </w:p>
              </w:tc>
              <w:tc>
                <w:tcPr>
                  <w:tcW w:w="7513" w:type="dxa"/>
                </w:tcPr>
                <w:p w14:paraId="0B10E120" w14:textId="77777777" w:rsidR="001D7244" w:rsidRPr="00217B1F" w:rsidRDefault="001D7244" w:rsidP="005931AB">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p w14:paraId="21993AE7" w14:textId="77777777" w:rsidR="001D7244" w:rsidRDefault="001D7244" w:rsidP="005931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6DA38292" w14:textId="77777777" w:rsidTr="005931AB">
              <w:tc>
                <w:tcPr>
                  <w:tcW w:w="1734" w:type="dxa"/>
                </w:tcPr>
                <w:p w14:paraId="4D835109" w14:textId="77777777" w:rsidR="001D7244" w:rsidRPr="008E0B52" w:rsidRDefault="001D7244" w:rsidP="005931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E0B52">
                    <w:rPr>
                      <w:rFonts w:ascii="Times" w:eastAsia="Times New Roman" w:hAnsi="Times" w:cs="Arial"/>
                      <w:b/>
                      <w:bCs/>
                      <w:i/>
                      <w:iCs/>
                      <w:sz w:val="24"/>
                      <w:szCs w:val="24"/>
                      <w:lang w:val="en-ZA"/>
                    </w:rPr>
                    <w:t>Heard on:      </w:t>
                  </w:r>
                </w:p>
              </w:tc>
              <w:tc>
                <w:tcPr>
                  <w:tcW w:w="7513" w:type="dxa"/>
                </w:tcPr>
                <w:p w14:paraId="41C8B4DD" w14:textId="4D5839F8" w:rsidR="001D7244" w:rsidRPr="00217B1F" w:rsidRDefault="0051199C" w:rsidP="005931AB">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26 July</w:t>
                  </w:r>
                  <w:r w:rsidR="001D7244" w:rsidRPr="00217B1F">
                    <w:rPr>
                      <w:rFonts w:ascii="Arial" w:eastAsia="Times New Roman" w:hAnsi="Arial" w:cs="Arial"/>
                      <w:color w:val="000000"/>
                      <w:sz w:val="24"/>
                      <w:szCs w:val="24"/>
                      <w:lang w:val="en-ZA"/>
                    </w:rPr>
                    <w:t xml:space="preserve"> 202</w:t>
                  </w:r>
                  <w:r>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 xml:space="preserve"> </w:t>
                  </w:r>
                </w:p>
                <w:p w14:paraId="4BCF6005" w14:textId="77777777" w:rsidR="001D7244" w:rsidRDefault="001D7244" w:rsidP="005931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1D7244" w14:paraId="34C7BFA8" w14:textId="77777777" w:rsidTr="00FA2702">
              <w:tc>
                <w:tcPr>
                  <w:tcW w:w="1734" w:type="dxa"/>
                </w:tcPr>
                <w:p w14:paraId="34D50450" w14:textId="77777777" w:rsidR="001D7244" w:rsidRPr="008E0B52" w:rsidRDefault="001D7244" w:rsidP="005931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imes" w:hAnsi="Times" w:cs="Arial"/>
                      <w:b/>
                      <w:bCs/>
                      <w:i/>
                      <w:iCs/>
                      <w:sz w:val="24"/>
                      <w:szCs w:val="24"/>
                    </w:rPr>
                  </w:pPr>
                  <w:r w:rsidRPr="008E0B52">
                    <w:rPr>
                      <w:rFonts w:ascii="Times" w:eastAsia="Times New Roman" w:hAnsi="Times" w:cs="Arial"/>
                      <w:b/>
                      <w:bCs/>
                      <w:i/>
                      <w:iCs/>
                      <w:sz w:val="24"/>
                      <w:szCs w:val="24"/>
                      <w:lang w:val="en-ZA"/>
                    </w:rPr>
                    <w:lastRenderedPageBreak/>
                    <w:t xml:space="preserve">Delivered:   </w:t>
                  </w:r>
                </w:p>
              </w:tc>
              <w:tc>
                <w:tcPr>
                  <w:tcW w:w="7513" w:type="dxa"/>
                </w:tcPr>
                <w:p w14:paraId="5F5E03E1" w14:textId="4A342502" w:rsidR="001D7244" w:rsidRPr="00860E60" w:rsidRDefault="0069018B" w:rsidP="005931AB">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17 August</w:t>
                  </w:r>
                  <w:r w:rsidR="001D7244" w:rsidRPr="00217B1F">
                    <w:rPr>
                      <w:rFonts w:ascii="Arial" w:eastAsia="Times New Roman" w:hAnsi="Arial" w:cs="Arial"/>
                      <w:color w:val="000000"/>
                      <w:sz w:val="24"/>
                      <w:szCs w:val="24"/>
                      <w:lang w:val="en-ZA"/>
                    </w:rPr>
                    <w:t xml:space="preserve"> 202</w:t>
                  </w:r>
                  <w:r w:rsidR="0051199C">
                    <w:rPr>
                      <w:rFonts w:ascii="Arial" w:eastAsia="Times New Roman" w:hAnsi="Arial" w:cs="Arial"/>
                      <w:color w:val="000000"/>
                      <w:sz w:val="24"/>
                      <w:szCs w:val="24"/>
                      <w:lang w:val="en-ZA"/>
                    </w:rPr>
                    <w:t>3</w:t>
                  </w:r>
                  <w:r w:rsidR="001D7244">
                    <w:rPr>
                      <w:rFonts w:ascii="Arial" w:eastAsia="Times New Roman" w:hAnsi="Arial" w:cs="Arial"/>
                      <w:color w:val="000000"/>
                      <w:sz w:val="24"/>
                      <w:szCs w:val="24"/>
                      <w:lang w:val="en-ZA"/>
                    </w:rPr>
                    <w:t xml:space="preserve"> - T</w:t>
                  </w:r>
                  <w:r w:rsidR="001D7244" w:rsidRPr="00217B1F">
                    <w:rPr>
                      <w:rFonts w:ascii="Arial" w:eastAsia="Times New Roman" w:hAnsi="Arial" w:cs="Arial"/>
                      <w:color w:val="000000"/>
                      <w:sz w:val="24"/>
                      <w:szCs w:val="24"/>
                      <w:lang w:val="en-ZA"/>
                    </w:rPr>
                    <w:t>his judgment was handed down electronically by</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circulation to the</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parties' representatives by email, by being uploaded to the </w:t>
                  </w:r>
                  <w:r w:rsidR="001D7244" w:rsidRPr="00217B1F">
                    <w:rPr>
                      <w:rFonts w:ascii="Arial" w:eastAsia="Times New Roman" w:hAnsi="Arial" w:cs="Arial"/>
                      <w:i/>
                      <w:iCs/>
                      <w:color w:val="000000"/>
                      <w:sz w:val="24"/>
                      <w:szCs w:val="24"/>
                      <w:lang w:val="en-ZA"/>
                    </w:rPr>
                    <w:t>CaseLines</w:t>
                  </w:r>
                  <w:r w:rsidR="001D7244" w:rsidRPr="00217B1F">
                    <w:rPr>
                      <w:rFonts w:ascii="Arial" w:eastAsia="Times New Roman" w:hAnsi="Arial" w:cs="Arial"/>
                      <w:color w:val="000000"/>
                      <w:sz w:val="24"/>
                      <w:szCs w:val="24"/>
                      <w:lang w:val="en-ZA"/>
                    </w:rPr>
                    <w:t> system of the GD and by release to SAFLII. The date and time for hand-down is deemed to be 1</w:t>
                  </w:r>
                  <w:r w:rsidR="001D7244">
                    <w:rPr>
                      <w:rFonts w:ascii="Arial" w:eastAsia="Times New Roman" w:hAnsi="Arial" w:cs="Arial"/>
                      <w:color w:val="000000"/>
                      <w:sz w:val="24"/>
                      <w:szCs w:val="24"/>
                      <w:lang w:val="en-ZA"/>
                    </w:rPr>
                    <w:t>0</w:t>
                  </w:r>
                  <w:r w:rsidR="001D7244"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17 August</w:t>
                  </w:r>
                  <w:r w:rsidR="001D7244">
                    <w:rPr>
                      <w:rFonts w:ascii="Arial" w:eastAsia="Times New Roman" w:hAnsi="Arial" w:cs="Arial"/>
                      <w:color w:val="000000"/>
                      <w:sz w:val="24"/>
                      <w:szCs w:val="24"/>
                      <w:lang w:val="en-ZA"/>
                    </w:rPr>
                    <w:t xml:space="preserve">  </w:t>
                  </w:r>
                  <w:r w:rsidR="001D7244" w:rsidRPr="00217B1F">
                    <w:rPr>
                      <w:rFonts w:ascii="Arial" w:eastAsia="Times New Roman" w:hAnsi="Arial" w:cs="Arial"/>
                      <w:color w:val="000000"/>
                      <w:sz w:val="24"/>
                      <w:szCs w:val="24"/>
                      <w:lang w:val="en-ZA"/>
                    </w:rPr>
                    <w:t>202</w:t>
                  </w:r>
                  <w:r w:rsidR="0051199C">
                    <w:rPr>
                      <w:rFonts w:ascii="Arial" w:eastAsia="Times New Roman" w:hAnsi="Arial" w:cs="Arial"/>
                      <w:color w:val="000000"/>
                      <w:sz w:val="24"/>
                      <w:szCs w:val="24"/>
                      <w:lang w:val="en-ZA"/>
                    </w:rPr>
                    <w:t>3</w:t>
                  </w:r>
                  <w:r w:rsidR="001D7244" w:rsidRPr="00217B1F">
                    <w:rPr>
                      <w:rFonts w:ascii="Arial" w:eastAsia="Times New Roman" w:hAnsi="Arial" w:cs="Arial"/>
                      <w:color w:val="000000"/>
                      <w:sz w:val="24"/>
                      <w:szCs w:val="24"/>
                      <w:lang w:val="en-ZA"/>
                    </w:rPr>
                    <w:t>.</w:t>
                  </w:r>
                </w:p>
              </w:tc>
            </w:tr>
          </w:tbl>
          <w:p w14:paraId="422E790C" w14:textId="77777777" w:rsidR="001D7244" w:rsidRPr="00217B1F" w:rsidRDefault="001D7244" w:rsidP="005931A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860E60" w:rsidRPr="005D79B5" w14:paraId="35407B94" w14:textId="77777777" w:rsidTr="005931AB">
        <w:tc>
          <w:tcPr>
            <w:tcW w:w="1985" w:type="dxa"/>
          </w:tcPr>
          <w:p w14:paraId="2C8CC3AE" w14:textId="4CAA2EC1" w:rsidR="00860E60" w:rsidRPr="005931AB" w:rsidRDefault="005931AB" w:rsidP="005931AB">
            <w:pPr>
              <w:spacing w:after="120" w:line="360" w:lineRule="auto"/>
              <w:jc w:val="both"/>
              <w:rPr>
                <w:rFonts w:ascii="Arial" w:eastAsia="Times New Roman" w:hAnsi="Arial" w:cs="Arial"/>
                <w:i/>
                <w:iCs/>
                <w:color w:val="000000"/>
              </w:rPr>
            </w:pPr>
            <w:r w:rsidRPr="005931AB">
              <w:rPr>
                <w:rFonts w:eastAsia="Tahoma" w:cs="Arial"/>
                <w:b/>
                <w:bCs/>
                <w:i/>
                <w:iCs/>
                <w:sz w:val="24"/>
                <w:szCs w:val="24"/>
              </w:rPr>
              <w:lastRenderedPageBreak/>
              <w:t>Summary:</w:t>
            </w:r>
          </w:p>
        </w:tc>
        <w:tc>
          <w:tcPr>
            <w:tcW w:w="7709" w:type="dxa"/>
            <w:gridSpan w:val="3"/>
          </w:tcPr>
          <w:p w14:paraId="1EF4ED4E" w14:textId="6FD8360A" w:rsidR="00860E60" w:rsidRPr="006E694C" w:rsidRDefault="00860E60" w:rsidP="000E49CE">
            <w:pPr>
              <w:spacing w:after="120" w:line="360" w:lineRule="auto"/>
              <w:ind w:right="371"/>
              <w:jc w:val="both"/>
              <w:rPr>
                <w:rFonts w:ascii="Arial" w:eastAsia="Times New Roman" w:hAnsi="Arial" w:cs="Arial"/>
                <w:color w:val="000000"/>
                <w:sz w:val="24"/>
                <w:szCs w:val="24"/>
              </w:rPr>
            </w:pPr>
            <w:r>
              <w:rPr>
                <w:rFonts w:ascii="Arial" w:eastAsia="Times New Roman" w:hAnsi="Arial" w:cs="Arial"/>
                <w:color w:val="000000"/>
                <w:sz w:val="24"/>
                <w:szCs w:val="24"/>
              </w:rPr>
              <w:t>Application in terms of Rule 30A and exception heard together – Rule 30A predicated on a misunderstanding</w:t>
            </w:r>
            <w:r w:rsidR="005931AB">
              <w:rPr>
                <w:rFonts w:ascii="Arial" w:eastAsia="Times New Roman" w:hAnsi="Arial" w:cs="Arial"/>
                <w:color w:val="000000"/>
                <w:sz w:val="24"/>
                <w:szCs w:val="24"/>
              </w:rPr>
              <w:t xml:space="preserve"> of Rule 25 – exception – failure to make out a cause of action – inclusion of reference to non-existent paragraphs – exception upheld.</w:t>
            </w:r>
          </w:p>
        </w:tc>
      </w:tr>
    </w:tbl>
    <w:p w14:paraId="07259158" w14:textId="7EB6FA38" w:rsidR="00B50E11" w:rsidRPr="0031449E" w:rsidRDefault="00B50E11" w:rsidP="00B50E11">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F25A36">
        <w:tc>
          <w:tcPr>
            <w:tcW w:w="9350" w:type="dxa"/>
          </w:tcPr>
          <w:p w14:paraId="3A5115EF" w14:textId="77777777" w:rsidR="00650745" w:rsidRDefault="00650745"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32"/>
                <w:szCs w:val="24"/>
                <w:lang w:val="de-DE"/>
              </w:rPr>
            </w:pPr>
          </w:p>
          <w:p w14:paraId="47459BC2" w14:textId="77777777" w:rsidR="00B50E11" w:rsidRPr="008E6813" w:rsidRDefault="00B50E11" w:rsidP="00F25A36">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8E6813">
              <w:rPr>
                <w:rFonts w:eastAsia="Tahoma" w:cs="Arial"/>
                <w:b/>
                <w:bCs/>
                <w:sz w:val="32"/>
                <w:szCs w:val="32"/>
                <w:lang w:val="de-DE"/>
              </w:rPr>
              <w:t>JUDGMENT</w:t>
            </w: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508C58F5" w14:textId="333D9D26" w:rsidR="008E6813" w:rsidRPr="008E6813" w:rsidRDefault="008E6813" w:rsidP="008E0B52">
      <w:pPr>
        <w:pStyle w:val="Body"/>
        <w:tabs>
          <w:tab w:val="center" w:pos="851"/>
          <w:tab w:val="center" w:pos="1418"/>
          <w:tab w:val="center" w:pos="1985"/>
          <w:tab w:val="center" w:pos="2552"/>
        </w:tabs>
        <w:spacing w:line="360" w:lineRule="auto"/>
        <w:jc w:val="both"/>
        <w:rPr>
          <w:bCs/>
          <w:sz w:val="24"/>
          <w:szCs w:val="24"/>
        </w:rPr>
      </w:pPr>
    </w:p>
    <w:p w14:paraId="5DC29517" w14:textId="6F0138A0" w:rsidR="008E6813" w:rsidRPr="00AC0B2A" w:rsidRDefault="00696168" w:rsidP="00696168">
      <w:pPr>
        <w:pStyle w:val="Body"/>
        <w:spacing w:line="360" w:lineRule="auto"/>
        <w:ind w:left="851" w:hanging="851"/>
        <w:jc w:val="both"/>
        <w:rPr>
          <w:b/>
          <w:sz w:val="24"/>
          <w:szCs w:val="24"/>
          <w:u w:val="single"/>
        </w:rPr>
      </w:pPr>
      <w:r w:rsidRPr="00AC0B2A">
        <w:rPr>
          <w:sz w:val="24"/>
          <w:szCs w:val="24"/>
        </w:rPr>
        <w:t>[</w:t>
      </w:r>
      <w:bookmarkStart w:id="0" w:name="_GoBack"/>
      <w:bookmarkEnd w:id="0"/>
      <w:r w:rsidRPr="00AC0B2A">
        <w:rPr>
          <w:sz w:val="24"/>
          <w:szCs w:val="24"/>
        </w:rPr>
        <w:t>1]</w:t>
      </w:r>
      <w:r w:rsidRPr="00AC0B2A">
        <w:rPr>
          <w:sz w:val="24"/>
          <w:szCs w:val="24"/>
        </w:rPr>
        <w:tab/>
      </w:r>
      <w:r w:rsidR="00093DC4" w:rsidRPr="00931F3C">
        <w:rPr>
          <w:bCs/>
          <w:sz w:val="24"/>
          <w:szCs w:val="24"/>
        </w:rPr>
        <w:t>This judgment concerns two applications – one in terms of rule 30A</w:t>
      </w:r>
      <w:r w:rsidR="00F653D0">
        <w:rPr>
          <w:rStyle w:val="FootnoteReference"/>
          <w:bCs/>
          <w:sz w:val="24"/>
          <w:szCs w:val="24"/>
        </w:rPr>
        <w:footnoteReference w:id="1"/>
      </w:r>
      <w:r w:rsidR="00093DC4" w:rsidRPr="00931F3C">
        <w:rPr>
          <w:bCs/>
          <w:sz w:val="24"/>
          <w:szCs w:val="24"/>
        </w:rPr>
        <w:t xml:space="preserve"> of the Uniform Rules of Court and the second an exception. The former is brought by the cited defendants and the latter by the plaintiff. For convenience I intend to refer to the parties in this manner.</w:t>
      </w:r>
    </w:p>
    <w:p w14:paraId="68B2599B" w14:textId="77777777" w:rsidR="00AC0B2A" w:rsidRPr="00931F3C" w:rsidRDefault="00AC0B2A" w:rsidP="00AC0B2A">
      <w:pPr>
        <w:pStyle w:val="Body"/>
        <w:spacing w:line="360" w:lineRule="auto"/>
        <w:ind w:left="851"/>
        <w:jc w:val="both"/>
        <w:rPr>
          <w:b/>
          <w:sz w:val="24"/>
          <w:szCs w:val="24"/>
          <w:u w:val="single"/>
        </w:rPr>
      </w:pPr>
    </w:p>
    <w:p w14:paraId="342B3B8F" w14:textId="49D4776E" w:rsidR="00093DC4" w:rsidRDefault="00AC0B2A" w:rsidP="00AC0B2A">
      <w:pPr>
        <w:pStyle w:val="Body"/>
        <w:spacing w:line="360" w:lineRule="auto"/>
        <w:jc w:val="both"/>
        <w:rPr>
          <w:bCs/>
          <w:sz w:val="24"/>
          <w:szCs w:val="24"/>
        </w:rPr>
      </w:pPr>
      <w:r w:rsidRPr="00AC0B2A">
        <w:rPr>
          <w:b/>
          <w:sz w:val="24"/>
          <w:szCs w:val="24"/>
        </w:rPr>
        <w:t>BACKGROUND</w:t>
      </w:r>
    </w:p>
    <w:p w14:paraId="30DCF6F7" w14:textId="77777777" w:rsidR="00AC0B2A" w:rsidRPr="00AC0B2A" w:rsidRDefault="00AC0B2A" w:rsidP="00AC0B2A">
      <w:pPr>
        <w:pStyle w:val="Body"/>
        <w:spacing w:line="360" w:lineRule="auto"/>
        <w:jc w:val="both"/>
        <w:rPr>
          <w:bCs/>
          <w:sz w:val="24"/>
          <w:szCs w:val="24"/>
        </w:rPr>
      </w:pPr>
    </w:p>
    <w:p w14:paraId="4826E5F7" w14:textId="155EC03A" w:rsidR="00093DC4" w:rsidRPr="00931F3C" w:rsidRDefault="00696168" w:rsidP="00696168">
      <w:pPr>
        <w:pStyle w:val="Body"/>
        <w:spacing w:line="360" w:lineRule="auto"/>
        <w:ind w:left="851" w:hanging="851"/>
        <w:jc w:val="both"/>
        <w:rPr>
          <w:b/>
          <w:sz w:val="24"/>
          <w:szCs w:val="24"/>
          <w:u w:val="single"/>
        </w:rPr>
      </w:pPr>
      <w:r w:rsidRPr="00931F3C">
        <w:rPr>
          <w:sz w:val="24"/>
          <w:szCs w:val="24"/>
        </w:rPr>
        <w:t>[2]</w:t>
      </w:r>
      <w:r w:rsidRPr="00931F3C">
        <w:rPr>
          <w:sz w:val="24"/>
          <w:szCs w:val="24"/>
        </w:rPr>
        <w:tab/>
      </w:r>
      <w:r w:rsidR="00093DC4" w:rsidRPr="00931F3C">
        <w:rPr>
          <w:bCs/>
          <w:sz w:val="24"/>
          <w:szCs w:val="24"/>
        </w:rPr>
        <w:t xml:space="preserve">On </w:t>
      </w:r>
      <w:r w:rsidR="001E321D">
        <w:rPr>
          <w:bCs/>
          <w:sz w:val="24"/>
          <w:szCs w:val="24"/>
        </w:rPr>
        <w:t>15 March 2022</w:t>
      </w:r>
      <w:r w:rsidR="00093DC4" w:rsidRPr="00931F3C">
        <w:rPr>
          <w:bCs/>
          <w:sz w:val="24"/>
          <w:szCs w:val="24"/>
        </w:rPr>
        <w:t xml:space="preserve"> the plaintiff instituted action against the defendants claiming that they were in default of their obligations to the plaintiff in respect of a loan agreement that the parties had entered into on </w:t>
      </w:r>
      <w:r w:rsidR="00EB62B5">
        <w:rPr>
          <w:bCs/>
          <w:sz w:val="24"/>
          <w:szCs w:val="24"/>
        </w:rPr>
        <w:t>13 November 2017</w:t>
      </w:r>
      <w:r w:rsidR="00093DC4" w:rsidRPr="00931F3C">
        <w:rPr>
          <w:bCs/>
          <w:sz w:val="24"/>
          <w:szCs w:val="24"/>
        </w:rPr>
        <w:t>.</w:t>
      </w:r>
    </w:p>
    <w:p w14:paraId="1E9A5A0E" w14:textId="77777777" w:rsidR="00931F3C" w:rsidRPr="00931F3C" w:rsidRDefault="00931F3C" w:rsidP="00931F3C">
      <w:pPr>
        <w:pStyle w:val="ListParagraph"/>
        <w:rPr>
          <w:b/>
          <w:u w:val="single"/>
        </w:rPr>
      </w:pPr>
    </w:p>
    <w:p w14:paraId="54230971" w14:textId="4F29E5B9" w:rsidR="00F35D51" w:rsidRPr="00F35D51" w:rsidRDefault="00696168" w:rsidP="00696168">
      <w:pPr>
        <w:pStyle w:val="Body"/>
        <w:spacing w:line="360" w:lineRule="auto"/>
        <w:ind w:left="851" w:hanging="851"/>
        <w:jc w:val="both"/>
        <w:rPr>
          <w:b/>
          <w:sz w:val="24"/>
          <w:szCs w:val="24"/>
          <w:u w:val="single"/>
        </w:rPr>
      </w:pPr>
      <w:r w:rsidRPr="00F35D51">
        <w:rPr>
          <w:sz w:val="24"/>
          <w:szCs w:val="24"/>
        </w:rPr>
        <w:t>[3]</w:t>
      </w:r>
      <w:r w:rsidRPr="00F35D51">
        <w:rPr>
          <w:sz w:val="24"/>
          <w:szCs w:val="24"/>
        </w:rPr>
        <w:tab/>
      </w:r>
      <w:r w:rsidR="00931F3C" w:rsidRPr="00931F3C">
        <w:rPr>
          <w:bCs/>
          <w:sz w:val="24"/>
          <w:szCs w:val="24"/>
        </w:rPr>
        <w:t xml:space="preserve">Initially, after service, the matter was held in abeyance when the parties attempted to mediate. Inexplicably, the mediation was unsuccessful. </w:t>
      </w:r>
    </w:p>
    <w:p w14:paraId="5F2E2797" w14:textId="5B8DBD8E" w:rsidR="00F35D51" w:rsidRDefault="00F35D51" w:rsidP="00F35D51">
      <w:pPr>
        <w:pStyle w:val="ListParagraph"/>
        <w:rPr>
          <w:bCs/>
        </w:rPr>
      </w:pPr>
    </w:p>
    <w:p w14:paraId="67ADE639" w14:textId="1565F94B" w:rsidR="005931AB" w:rsidRDefault="005931AB" w:rsidP="00F35D51">
      <w:pPr>
        <w:pStyle w:val="ListParagraph"/>
        <w:rPr>
          <w:bCs/>
        </w:rPr>
      </w:pPr>
    </w:p>
    <w:p w14:paraId="04196AE5" w14:textId="77777777" w:rsidR="005931AB" w:rsidRDefault="005931AB" w:rsidP="00F35D51">
      <w:pPr>
        <w:pStyle w:val="ListParagraph"/>
        <w:rPr>
          <w:bCs/>
        </w:rPr>
      </w:pPr>
    </w:p>
    <w:p w14:paraId="22B2A964" w14:textId="22310F6F" w:rsidR="00F35D51" w:rsidRPr="00F35D51" w:rsidRDefault="00696168" w:rsidP="00696168">
      <w:pPr>
        <w:pStyle w:val="Body"/>
        <w:spacing w:line="360" w:lineRule="auto"/>
        <w:ind w:left="851" w:hanging="851"/>
        <w:jc w:val="both"/>
        <w:rPr>
          <w:b/>
          <w:sz w:val="24"/>
          <w:szCs w:val="24"/>
          <w:u w:val="single"/>
        </w:rPr>
      </w:pPr>
      <w:r w:rsidRPr="00F35D51">
        <w:rPr>
          <w:sz w:val="24"/>
          <w:szCs w:val="24"/>
        </w:rPr>
        <w:t>[4]</w:t>
      </w:r>
      <w:r w:rsidRPr="00F35D51">
        <w:rPr>
          <w:sz w:val="24"/>
          <w:szCs w:val="24"/>
        </w:rPr>
        <w:tab/>
      </w:r>
      <w:r w:rsidR="00931F3C" w:rsidRPr="00931F3C">
        <w:rPr>
          <w:bCs/>
          <w:sz w:val="24"/>
          <w:szCs w:val="24"/>
        </w:rPr>
        <w:t>It is inexplicable because once the plaintiff put the defendants on terms to file a plea</w:t>
      </w:r>
      <w:r w:rsidR="001E321D">
        <w:rPr>
          <w:bCs/>
          <w:sz w:val="24"/>
          <w:szCs w:val="24"/>
        </w:rPr>
        <w:t xml:space="preserve"> on 28 November 2022</w:t>
      </w:r>
      <w:r w:rsidR="00931F3C" w:rsidRPr="00931F3C">
        <w:rPr>
          <w:bCs/>
          <w:sz w:val="24"/>
          <w:szCs w:val="24"/>
        </w:rPr>
        <w:t>, they did so and lo and behold put up as a defence a written settlement agreement entered into between the parties on</w:t>
      </w:r>
      <w:r w:rsidR="00F35D51">
        <w:rPr>
          <w:bCs/>
          <w:sz w:val="24"/>
          <w:szCs w:val="24"/>
        </w:rPr>
        <w:t xml:space="preserve"> 13 November 2017</w:t>
      </w:r>
      <w:r w:rsidR="00931F3C" w:rsidRPr="00931F3C">
        <w:rPr>
          <w:bCs/>
          <w:sz w:val="24"/>
          <w:szCs w:val="24"/>
        </w:rPr>
        <w:t xml:space="preserve"> in respect of the same </w:t>
      </w:r>
      <w:r w:rsidR="00F35D51" w:rsidRPr="00931F3C">
        <w:rPr>
          <w:bCs/>
          <w:sz w:val="24"/>
          <w:szCs w:val="24"/>
        </w:rPr>
        <w:t>loan,</w:t>
      </w:r>
      <w:r w:rsidR="00931F3C" w:rsidRPr="00931F3C">
        <w:rPr>
          <w:bCs/>
          <w:sz w:val="24"/>
          <w:szCs w:val="24"/>
        </w:rPr>
        <w:t xml:space="preserve"> and which had been entered into when action </w:t>
      </w:r>
      <w:r w:rsidR="00EB62B5" w:rsidRPr="00931F3C">
        <w:rPr>
          <w:bCs/>
          <w:sz w:val="24"/>
          <w:szCs w:val="24"/>
        </w:rPr>
        <w:t>had previously been</w:t>
      </w:r>
      <w:r w:rsidR="00931F3C" w:rsidRPr="00931F3C">
        <w:rPr>
          <w:bCs/>
          <w:sz w:val="24"/>
          <w:szCs w:val="24"/>
        </w:rPr>
        <w:t xml:space="preserve"> instituted against the defendants. </w:t>
      </w:r>
      <w:r w:rsidR="00D31DA0">
        <w:rPr>
          <w:bCs/>
          <w:sz w:val="24"/>
          <w:szCs w:val="24"/>
        </w:rPr>
        <w:t>Apparently neither were aware of this for the months that mediation was underway</w:t>
      </w:r>
      <w:r w:rsidR="00860E60">
        <w:rPr>
          <w:bCs/>
          <w:sz w:val="24"/>
          <w:szCs w:val="24"/>
        </w:rPr>
        <w:t>.</w:t>
      </w:r>
    </w:p>
    <w:p w14:paraId="3B19169A" w14:textId="77777777" w:rsidR="00F35D51" w:rsidRDefault="00F35D51" w:rsidP="00F35D51">
      <w:pPr>
        <w:pStyle w:val="ListParagraph"/>
        <w:rPr>
          <w:bCs/>
        </w:rPr>
      </w:pPr>
    </w:p>
    <w:p w14:paraId="66CB4170" w14:textId="24BA829A" w:rsidR="00931F3C" w:rsidRPr="00931F3C" w:rsidRDefault="00696168" w:rsidP="00696168">
      <w:pPr>
        <w:pStyle w:val="Body"/>
        <w:spacing w:line="360" w:lineRule="auto"/>
        <w:ind w:left="851" w:hanging="851"/>
        <w:jc w:val="both"/>
        <w:rPr>
          <w:b/>
          <w:sz w:val="24"/>
          <w:szCs w:val="24"/>
          <w:u w:val="single"/>
        </w:rPr>
      </w:pPr>
      <w:r w:rsidRPr="00931F3C">
        <w:rPr>
          <w:sz w:val="24"/>
          <w:szCs w:val="24"/>
        </w:rPr>
        <w:t>[5]</w:t>
      </w:r>
      <w:r w:rsidRPr="00931F3C">
        <w:rPr>
          <w:sz w:val="24"/>
          <w:szCs w:val="24"/>
        </w:rPr>
        <w:tab/>
      </w:r>
      <w:r w:rsidR="00F52C68">
        <w:rPr>
          <w:bCs/>
          <w:sz w:val="24"/>
          <w:szCs w:val="24"/>
        </w:rPr>
        <w:t>Now a</w:t>
      </w:r>
      <w:r w:rsidR="00931F3C" w:rsidRPr="00931F3C">
        <w:rPr>
          <w:bCs/>
          <w:sz w:val="24"/>
          <w:szCs w:val="24"/>
        </w:rPr>
        <w:t>ggrieved, the defendants filed</w:t>
      </w:r>
      <w:r w:rsidR="00465876">
        <w:rPr>
          <w:bCs/>
          <w:sz w:val="24"/>
          <w:szCs w:val="24"/>
        </w:rPr>
        <w:t>, together with their plea</w:t>
      </w:r>
      <w:r w:rsidR="001E321D">
        <w:rPr>
          <w:bCs/>
          <w:sz w:val="24"/>
          <w:szCs w:val="24"/>
        </w:rPr>
        <w:t xml:space="preserve"> on 9 December 2022</w:t>
      </w:r>
      <w:r w:rsidR="00465876">
        <w:rPr>
          <w:bCs/>
          <w:sz w:val="24"/>
          <w:szCs w:val="24"/>
        </w:rPr>
        <w:t>,</w:t>
      </w:r>
      <w:r w:rsidR="00931F3C" w:rsidRPr="00931F3C">
        <w:rPr>
          <w:bCs/>
          <w:sz w:val="24"/>
          <w:szCs w:val="24"/>
        </w:rPr>
        <w:t xml:space="preserve"> counterclaims for </w:t>
      </w:r>
      <w:r w:rsidR="00FC5FC9" w:rsidRPr="00FC5FC9">
        <w:rPr>
          <w:bCs/>
          <w:i/>
          <w:iCs/>
          <w:sz w:val="24"/>
          <w:szCs w:val="24"/>
        </w:rPr>
        <w:t>inter alia</w:t>
      </w:r>
      <w:r w:rsidR="00FC5FC9">
        <w:rPr>
          <w:rStyle w:val="FootnoteReference"/>
          <w:bCs/>
          <w:sz w:val="24"/>
          <w:szCs w:val="24"/>
        </w:rPr>
        <w:footnoteReference w:id="2"/>
      </w:r>
      <w:r w:rsidR="00FC5FC9">
        <w:rPr>
          <w:bCs/>
          <w:i/>
          <w:iCs/>
          <w:sz w:val="24"/>
          <w:szCs w:val="24"/>
        </w:rPr>
        <w:t xml:space="preserve"> </w:t>
      </w:r>
      <w:r w:rsidR="00931F3C" w:rsidRPr="00931F3C">
        <w:rPr>
          <w:bCs/>
          <w:sz w:val="24"/>
          <w:szCs w:val="24"/>
        </w:rPr>
        <w:t xml:space="preserve">damages arising out </w:t>
      </w:r>
      <w:r w:rsidR="00EB62B5">
        <w:rPr>
          <w:bCs/>
          <w:sz w:val="24"/>
          <w:szCs w:val="24"/>
        </w:rPr>
        <w:t xml:space="preserve">of what was said to be </w:t>
      </w:r>
      <w:r w:rsidR="00EB62B5" w:rsidRPr="00EB62B5">
        <w:rPr>
          <w:bCs/>
          <w:i/>
          <w:iCs/>
          <w:sz w:val="24"/>
          <w:szCs w:val="24"/>
        </w:rPr>
        <w:t>inuria</w:t>
      </w:r>
      <w:r w:rsidR="00EB62B5">
        <w:rPr>
          <w:bCs/>
          <w:sz w:val="24"/>
          <w:szCs w:val="24"/>
        </w:rPr>
        <w:t xml:space="preserve"> suffered by them in consequence of the plaintiff’s failure to comply with the settlement agreement.</w:t>
      </w:r>
    </w:p>
    <w:p w14:paraId="0A524007" w14:textId="77777777" w:rsidR="00931F3C" w:rsidRPr="00931F3C" w:rsidRDefault="00931F3C" w:rsidP="00931F3C">
      <w:pPr>
        <w:pStyle w:val="ListParagraph"/>
        <w:rPr>
          <w:b/>
          <w:u w:val="single"/>
        </w:rPr>
      </w:pPr>
    </w:p>
    <w:p w14:paraId="6D3E4E64" w14:textId="0EE28FFC" w:rsidR="00931F3C" w:rsidRPr="001A0799" w:rsidRDefault="00696168" w:rsidP="00696168">
      <w:pPr>
        <w:pStyle w:val="Body"/>
        <w:spacing w:line="360" w:lineRule="auto"/>
        <w:ind w:left="851" w:hanging="851"/>
        <w:jc w:val="both"/>
        <w:rPr>
          <w:b/>
          <w:sz w:val="24"/>
          <w:szCs w:val="24"/>
          <w:u w:val="single"/>
        </w:rPr>
      </w:pPr>
      <w:r w:rsidRPr="001A0799">
        <w:rPr>
          <w:sz w:val="24"/>
          <w:szCs w:val="24"/>
        </w:rPr>
        <w:t>[6]</w:t>
      </w:r>
      <w:r w:rsidRPr="001A0799">
        <w:rPr>
          <w:sz w:val="24"/>
          <w:szCs w:val="24"/>
        </w:rPr>
        <w:tab/>
      </w:r>
      <w:r w:rsidR="00931F3C" w:rsidRPr="00931F3C">
        <w:rPr>
          <w:bCs/>
          <w:sz w:val="24"/>
          <w:szCs w:val="24"/>
        </w:rPr>
        <w:t>The plaintiff</w:t>
      </w:r>
      <w:r w:rsidR="00931F3C">
        <w:rPr>
          <w:bCs/>
          <w:sz w:val="24"/>
          <w:szCs w:val="24"/>
        </w:rPr>
        <w:t xml:space="preserve"> decided to withdraw its action against the defendants and tender costs – this occurred on</w:t>
      </w:r>
      <w:r w:rsidR="00115743">
        <w:rPr>
          <w:bCs/>
          <w:sz w:val="24"/>
          <w:szCs w:val="24"/>
        </w:rPr>
        <w:t xml:space="preserve"> 21 December 2022</w:t>
      </w:r>
      <w:r w:rsidR="00931F3C">
        <w:rPr>
          <w:bCs/>
          <w:sz w:val="24"/>
          <w:szCs w:val="24"/>
        </w:rPr>
        <w:t xml:space="preserve"> .</w:t>
      </w:r>
      <w:r w:rsidR="003E0018">
        <w:rPr>
          <w:bCs/>
          <w:sz w:val="24"/>
          <w:szCs w:val="24"/>
        </w:rPr>
        <w:t xml:space="preserve"> When</w:t>
      </w:r>
      <w:r w:rsidR="001A0799">
        <w:rPr>
          <w:bCs/>
          <w:sz w:val="24"/>
          <w:szCs w:val="24"/>
        </w:rPr>
        <w:t xml:space="preserve"> the plaintiff withdrew its claim, there ceased to be any </w:t>
      </w:r>
      <w:r w:rsidR="001A0799" w:rsidRPr="00F52C68">
        <w:rPr>
          <w:bCs/>
          <w:i/>
          <w:iCs/>
          <w:sz w:val="24"/>
          <w:szCs w:val="24"/>
        </w:rPr>
        <w:t>lis</w:t>
      </w:r>
      <w:r w:rsidR="001A0799">
        <w:rPr>
          <w:bCs/>
          <w:sz w:val="24"/>
          <w:szCs w:val="24"/>
        </w:rPr>
        <w:t xml:space="preserve"> between the parties on the grounds set out in the plaintiffs’ particulars of claim. All that was left before the court is the defendants’ counterclaims.</w:t>
      </w:r>
      <w:r w:rsidR="004E2904">
        <w:rPr>
          <w:bCs/>
          <w:sz w:val="24"/>
          <w:szCs w:val="24"/>
        </w:rPr>
        <w:t xml:space="preserve"> </w:t>
      </w:r>
      <w:r w:rsidR="00860E60">
        <w:rPr>
          <w:bCs/>
          <w:sz w:val="24"/>
          <w:szCs w:val="24"/>
        </w:rPr>
        <w:t>For</w:t>
      </w:r>
      <w:r w:rsidR="004E2904">
        <w:rPr>
          <w:bCs/>
          <w:sz w:val="24"/>
          <w:szCs w:val="24"/>
        </w:rPr>
        <w:t xml:space="preserve"> all intents and purposes and notwithstanding the citation of the parties, the defendants were now the plaintiffs and the plaintiff the defendant</w:t>
      </w:r>
      <w:r w:rsidR="00CA6F8E">
        <w:rPr>
          <w:bCs/>
          <w:sz w:val="24"/>
          <w:szCs w:val="24"/>
        </w:rPr>
        <w:t>.</w:t>
      </w:r>
    </w:p>
    <w:p w14:paraId="55376837" w14:textId="77777777" w:rsidR="001A0799" w:rsidRDefault="001A0799" w:rsidP="001A0799">
      <w:pPr>
        <w:pStyle w:val="ListParagraph"/>
        <w:rPr>
          <w:b/>
          <w:u w:val="single"/>
        </w:rPr>
      </w:pPr>
    </w:p>
    <w:p w14:paraId="7010F296" w14:textId="2200AC66" w:rsidR="001A0799" w:rsidRPr="00CA6F8E" w:rsidRDefault="00696168" w:rsidP="00696168">
      <w:pPr>
        <w:pStyle w:val="Body"/>
        <w:spacing w:line="360" w:lineRule="auto"/>
        <w:ind w:left="851" w:hanging="851"/>
        <w:jc w:val="both"/>
        <w:rPr>
          <w:b/>
          <w:i/>
          <w:iCs/>
          <w:sz w:val="24"/>
          <w:szCs w:val="24"/>
          <w:u w:val="single"/>
        </w:rPr>
      </w:pPr>
      <w:r w:rsidRPr="00CA6F8E">
        <w:rPr>
          <w:sz w:val="24"/>
          <w:szCs w:val="24"/>
        </w:rPr>
        <w:t>[7]</w:t>
      </w:r>
      <w:r w:rsidRPr="00CA6F8E">
        <w:rPr>
          <w:sz w:val="24"/>
          <w:szCs w:val="24"/>
        </w:rPr>
        <w:tab/>
      </w:r>
      <w:r w:rsidR="00F52C68">
        <w:rPr>
          <w:bCs/>
          <w:sz w:val="24"/>
          <w:szCs w:val="24"/>
        </w:rPr>
        <w:t xml:space="preserve">The </w:t>
      </w:r>
      <w:r w:rsidR="00CA6F8E">
        <w:rPr>
          <w:bCs/>
          <w:sz w:val="24"/>
          <w:szCs w:val="24"/>
        </w:rPr>
        <w:t xml:space="preserve">20-day </w:t>
      </w:r>
      <w:r w:rsidR="00F52C68">
        <w:rPr>
          <w:bCs/>
          <w:sz w:val="24"/>
          <w:szCs w:val="24"/>
        </w:rPr>
        <w:t>time period for the delivery of the plaintiff’s plea to the counterclaims commenced reckoning from 1</w:t>
      </w:r>
      <w:r w:rsidR="004E2904">
        <w:rPr>
          <w:bCs/>
          <w:sz w:val="24"/>
          <w:szCs w:val="24"/>
        </w:rPr>
        <w:t>2</w:t>
      </w:r>
      <w:r w:rsidR="00F52C68">
        <w:rPr>
          <w:bCs/>
          <w:sz w:val="24"/>
          <w:szCs w:val="24"/>
        </w:rPr>
        <w:t xml:space="preserve"> December 2022</w:t>
      </w:r>
      <w:r w:rsidR="00CA6F8E">
        <w:rPr>
          <w:bCs/>
          <w:sz w:val="24"/>
          <w:szCs w:val="24"/>
        </w:rPr>
        <w:t>.</w:t>
      </w:r>
      <w:r w:rsidR="00F52C68">
        <w:rPr>
          <w:bCs/>
          <w:sz w:val="24"/>
          <w:szCs w:val="24"/>
        </w:rPr>
        <w:t xml:space="preserve"> </w:t>
      </w:r>
      <w:r w:rsidR="00CA6F8E">
        <w:rPr>
          <w:bCs/>
          <w:sz w:val="24"/>
          <w:szCs w:val="24"/>
        </w:rPr>
        <w:t>H</w:t>
      </w:r>
      <w:r w:rsidR="00F52C68">
        <w:rPr>
          <w:bCs/>
          <w:sz w:val="24"/>
          <w:szCs w:val="24"/>
        </w:rPr>
        <w:t xml:space="preserve">aving regard to the </w:t>
      </w:r>
      <w:r w:rsidR="00F52C68" w:rsidRPr="00F52C68">
        <w:rPr>
          <w:bCs/>
          <w:i/>
          <w:iCs/>
          <w:sz w:val="24"/>
          <w:szCs w:val="24"/>
        </w:rPr>
        <w:t>dies non</w:t>
      </w:r>
      <w:r w:rsidR="00F653D0">
        <w:rPr>
          <w:rStyle w:val="FootnoteReference"/>
          <w:bCs/>
          <w:sz w:val="24"/>
          <w:szCs w:val="24"/>
        </w:rPr>
        <w:footnoteReference w:id="3"/>
      </w:r>
      <w:r w:rsidR="00F653D0">
        <w:rPr>
          <w:bCs/>
          <w:i/>
          <w:iCs/>
          <w:sz w:val="24"/>
          <w:szCs w:val="24"/>
        </w:rPr>
        <w:t xml:space="preserve"> </w:t>
      </w:r>
      <w:r w:rsidR="00F52C68">
        <w:rPr>
          <w:bCs/>
          <w:sz w:val="24"/>
          <w:szCs w:val="24"/>
        </w:rPr>
        <w:t xml:space="preserve">between 16 December 2022 and 15 January 2023, the last day for the filing of the </w:t>
      </w:r>
      <w:r w:rsidR="00CA6F8E">
        <w:rPr>
          <w:bCs/>
          <w:sz w:val="24"/>
          <w:szCs w:val="24"/>
        </w:rPr>
        <w:t>plaintiff’s</w:t>
      </w:r>
      <w:r w:rsidR="00F52C68">
        <w:rPr>
          <w:bCs/>
          <w:sz w:val="24"/>
          <w:szCs w:val="24"/>
        </w:rPr>
        <w:t xml:space="preserve"> plea would have been </w:t>
      </w:r>
      <w:r w:rsidR="004E2904">
        <w:rPr>
          <w:bCs/>
          <w:sz w:val="24"/>
          <w:szCs w:val="24"/>
        </w:rPr>
        <w:t>6 February 2023.</w:t>
      </w:r>
    </w:p>
    <w:p w14:paraId="06EAF3F9" w14:textId="77777777" w:rsidR="00CA6F8E" w:rsidRDefault="00CA6F8E" w:rsidP="00CA6F8E">
      <w:pPr>
        <w:pStyle w:val="ListParagraph"/>
        <w:rPr>
          <w:b/>
          <w:i/>
          <w:iCs/>
          <w:u w:val="single"/>
        </w:rPr>
      </w:pPr>
    </w:p>
    <w:p w14:paraId="7D0D4524" w14:textId="340E41D7" w:rsidR="00596431" w:rsidRPr="00596431" w:rsidRDefault="00696168" w:rsidP="00696168">
      <w:pPr>
        <w:pStyle w:val="Body"/>
        <w:spacing w:line="360" w:lineRule="auto"/>
        <w:ind w:left="851" w:hanging="851"/>
        <w:jc w:val="both"/>
        <w:rPr>
          <w:b/>
          <w:i/>
          <w:iCs/>
          <w:sz w:val="24"/>
          <w:szCs w:val="24"/>
          <w:u w:val="single"/>
        </w:rPr>
      </w:pPr>
      <w:r w:rsidRPr="00596431">
        <w:rPr>
          <w:sz w:val="24"/>
          <w:szCs w:val="24"/>
        </w:rPr>
        <w:t>[8]</w:t>
      </w:r>
      <w:r w:rsidRPr="00596431">
        <w:rPr>
          <w:sz w:val="24"/>
          <w:szCs w:val="24"/>
        </w:rPr>
        <w:tab/>
      </w:r>
      <w:r w:rsidR="00CA6F8E">
        <w:rPr>
          <w:bCs/>
          <w:sz w:val="24"/>
          <w:szCs w:val="24"/>
        </w:rPr>
        <w:t xml:space="preserve">In the meantime, on 28 January 2023 the defendants delivered a notice of intention to amend their counterclaims. The amendment was not opposed and was </w:t>
      </w:r>
      <w:r w:rsidR="00596431">
        <w:rPr>
          <w:bCs/>
          <w:sz w:val="24"/>
          <w:szCs w:val="24"/>
        </w:rPr>
        <w:t xml:space="preserve">subsequently effected </w:t>
      </w:r>
      <w:r w:rsidR="00CA6F8E">
        <w:rPr>
          <w:bCs/>
          <w:sz w:val="24"/>
          <w:szCs w:val="24"/>
        </w:rPr>
        <w:t xml:space="preserve"> on</w:t>
      </w:r>
      <w:r w:rsidR="00596431">
        <w:rPr>
          <w:bCs/>
          <w:sz w:val="24"/>
          <w:szCs w:val="24"/>
        </w:rPr>
        <w:t xml:space="preserve"> 9 February 2023. </w:t>
      </w:r>
    </w:p>
    <w:p w14:paraId="0122710A" w14:textId="77777777" w:rsidR="00596431" w:rsidRDefault="00596431" w:rsidP="00596431">
      <w:pPr>
        <w:pStyle w:val="ListParagraph"/>
        <w:rPr>
          <w:bCs/>
        </w:rPr>
      </w:pPr>
    </w:p>
    <w:p w14:paraId="39BBB70F" w14:textId="5A6A1E03" w:rsidR="00653641" w:rsidRPr="00653641" w:rsidRDefault="00696168" w:rsidP="00696168">
      <w:pPr>
        <w:pStyle w:val="Body"/>
        <w:spacing w:line="360" w:lineRule="auto"/>
        <w:ind w:left="851" w:hanging="851"/>
        <w:jc w:val="both"/>
        <w:rPr>
          <w:b/>
          <w:i/>
          <w:iCs/>
          <w:sz w:val="24"/>
          <w:szCs w:val="24"/>
          <w:u w:val="single"/>
        </w:rPr>
      </w:pPr>
      <w:r w:rsidRPr="00653641">
        <w:rPr>
          <w:sz w:val="24"/>
          <w:szCs w:val="24"/>
        </w:rPr>
        <w:t>[9]</w:t>
      </w:r>
      <w:r w:rsidRPr="00653641">
        <w:rPr>
          <w:sz w:val="24"/>
          <w:szCs w:val="24"/>
        </w:rPr>
        <w:tab/>
      </w:r>
      <w:r w:rsidR="00596431">
        <w:rPr>
          <w:bCs/>
          <w:sz w:val="24"/>
          <w:szCs w:val="24"/>
        </w:rPr>
        <w:t xml:space="preserve">The plaintiffs had in the meantime delivered, quite unnecessarily, a notice of intention to defend the counterclaims on 6 February 2023, labouring under the </w:t>
      </w:r>
      <w:r w:rsidR="00596431">
        <w:rPr>
          <w:bCs/>
          <w:sz w:val="24"/>
          <w:szCs w:val="24"/>
        </w:rPr>
        <w:lastRenderedPageBreak/>
        <w:t xml:space="preserve">mistaken belief that as it had withdrawn its action, notice of opposition to the counterclaims needed to be given. </w:t>
      </w:r>
    </w:p>
    <w:p w14:paraId="716A7FAE" w14:textId="77777777" w:rsidR="00653641" w:rsidRDefault="00653641" w:rsidP="00653641">
      <w:pPr>
        <w:pStyle w:val="ListParagraph"/>
        <w:rPr>
          <w:bCs/>
        </w:rPr>
      </w:pPr>
    </w:p>
    <w:p w14:paraId="60A96355" w14:textId="253E19A2" w:rsidR="005E41EB" w:rsidRDefault="00696168" w:rsidP="00696168">
      <w:pPr>
        <w:pStyle w:val="Body"/>
        <w:spacing w:line="360" w:lineRule="auto"/>
        <w:ind w:left="851" w:hanging="851"/>
        <w:jc w:val="both"/>
        <w:rPr>
          <w:bCs/>
          <w:sz w:val="24"/>
          <w:szCs w:val="24"/>
        </w:rPr>
      </w:pPr>
      <w:r>
        <w:rPr>
          <w:sz w:val="24"/>
          <w:szCs w:val="24"/>
        </w:rPr>
        <w:t>[10]</w:t>
      </w:r>
      <w:r>
        <w:rPr>
          <w:sz w:val="24"/>
          <w:szCs w:val="24"/>
        </w:rPr>
        <w:tab/>
      </w:r>
      <w:r w:rsidR="00653641" w:rsidRPr="00AC0B2A">
        <w:rPr>
          <w:bCs/>
          <w:sz w:val="24"/>
          <w:szCs w:val="24"/>
        </w:rPr>
        <w:t xml:space="preserve">On 9 February 2023 and at the same time that the amendment was effected, the defendants delivered a notice in terms of </w:t>
      </w:r>
      <w:r w:rsidR="00860E60">
        <w:rPr>
          <w:bCs/>
          <w:sz w:val="24"/>
          <w:szCs w:val="24"/>
        </w:rPr>
        <w:t>R</w:t>
      </w:r>
      <w:r w:rsidR="00653641" w:rsidRPr="00AC0B2A">
        <w:rPr>
          <w:bCs/>
          <w:sz w:val="24"/>
          <w:szCs w:val="24"/>
        </w:rPr>
        <w:t>ule 30A in which it was claimed that</w:t>
      </w:r>
      <w:r w:rsidR="005E41EB" w:rsidRPr="00AC0B2A">
        <w:rPr>
          <w:bCs/>
          <w:sz w:val="24"/>
          <w:szCs w:val="24"/>
        </w:rPr>
        <w:t xml:space="preserve"> the delivery of the notice of intention to defend was an irregular step. This was then followed by the plaintiff with a notice in terms of rule 30A in which it was claimed that the defendant’s failure to attach the written contract upon which the first counterclaim was premised also constituted an irregular step. Neither of these were pursued</w:t>
      </w:r>
      <w:r w:rsidR="00AC0B2A" w:rsidRPr="00AC0B2A">
        <w:rPr>
          <w:bCs/>
          <w:sz w:val="24"/>
          <w:szCs w:val="24"/>
        </w:rPr>
        <w:t>.</w:t>
      </w:r>
      <w:r w:rsidR="005E41EB" w:rsidRPr="00AC0B2A">
        <w:rPr>
          <w:bCs/>
          <w:sz w:val="24"/>
          <w:szCs w:val="24"/>
        </w:rPr>
        <w:t xml:space="preserve"> </w:t>
      </w:r>
    </w:p>
    <w:p w14:paraId="68D4B1A4" w14:textId="77777777" w:rsidR="00BE0DFF" w:rsidRPr="00AC0B2A" w:rsidRDefault="00BE0DFF" w:rsidP="000F76FF">
      <w:pPr>
        <w:pStyle w:val="Body"/>
        <w:spacing w:line="360" w:lineRule="auto"/>
        <w:jc w:val="both"/>
        <w:rPr>
          <w:bCs/>
          <w:sz w:val="24"/>
          <w:szCs w:val="24"/>
        </w:rPr>
      </w:pPr>
    </w:p>
    <w:p w14:paraId="01945E45" w14:textId="38B57B0B" w:rsidR="00FC5FC9" w:rsidRPr="00FC5FC9" w:rsidRDefault="00696168" w:rsidP="00696168">
      <w:pPr>
        <w:pStyle w:val="Body"/>
        <w:spacing w:line="360" w:lineRule="auto"/>
        <w:ind w:left="851" w:hanging="851"/>
        <w:jc w:val="both"/>
        <w:rPr>
          <w:b/>
          <w:i/>
          <w:iCs/>
          <w:sz w:val="24"/>
          <w:szCs w:val="24"/>
          <w:u w:val="single"/>
        </w:rPr>
      </w:pPr>
      <w:r w:rsidRPr="00FC5FC9">
        <w:rPr>
          <w:sz w:val="24"/>
          <w:szCs w:val="24"/>
        </w:rPr>
        <w:t>[11]</w:t>
      </w:r>
      <w:r w:rsidRPr="00FC5FC9">
        <w:rPr>
          <w:sz w:val="24"/>
          <w:szCs w:val="24"/>
        </w:rPr>
        <w:tab/>
      </w:r>
      <w:r w:rsidR="005E41EB">
        <w:rPr>
          <w:bCs/>
          <w:sz w:val="24"/>
          <w:szCs w:val="24"/>
        </w:rPr>
        <w:t xml:space="preserve">Once the amendment of the counterclaims was effected, there were now 3 such claims that the plaintiff was faced with. On </w:t>
      </w:r>
      <w:r w:rsidR="005E41EB" w:rsidRPr="004C5733">
        <w:rPr>
          <w:bCs/>
          <w:sz w:val="24"/>
          <w:szCs w:val="24"/>
        </w:rPr>
        <w:t>17 February 2023</w:t>
      </w:r>
      <w:r w:rsidR="005E41EB">
        <w:rPr>
          <w:bCs/>
          <w:sz w:val="24"/>
          <w:szCs w:val="24"/>
        </w:rPr>
        <w:t xml:space="preserve"> the plaintiff delivered a</w:t>
      </w:r>
      <w:r w:rsidR="004C5733">
        <w:rPr>
          <w:bCs/>
          <w:sz w:val="24"/>
          <w:szCs w:val="24"/>
        </w:rPr>
        <w:t xml:space="preserve"> notice to remove cause of complaint</w:t>
      </w:r>
      <w:r w:rsidR="004C5733">
        <w:rPr>
          <w:rStyle w:val="FootnoteReference"/>
          <w:bCs/>
          <w:sz w:val="24"/>
          <w:szCs w:val="24"/>
        </w:rPr>
        <w:footnoteReference w:id="4"/>
      </w:r>
      <w:r w:rsidR="00AC0B2A">
        <w:rPr>
          <w:bCs/>
          <w:sz w:val="24"/>
          <w:szCs w:val="24"/>
        </w:rPr>
        <w:t xml:space="preserve"> in terms of Rule 23(1)</w:t>
      </w:r>
      <w:r w:rsidR="005E41EB">
        <w:rPr>
          <w:bCs/>
          <w:sz w:val="24"/>
          <w:szCs w:val="24"/>
        </w:rPr>
        <w:t xml:space="preserve"> to the defendant’s claims</w:t>
      </w:r>
      <w:r w:rsidR="00FC5FC9">
        <w:rPr>
          <w:bCs/>
          <w:sz w:val="24"/>
          <w:szCs w:val="24"/>
        </w:rPr>
        <w:t xml:space="preserve"> for </w:t>
      </w:r>
      <w:r w:rsidR="00FC5FC9" w:rsidRPr="00FC5FC9">
        <w:rPr>
          <w:bCs/>
          <w:i/>
          <w:iCs/>
          <w:sz w:val="24"/>
          <w:szCs w:val="24"/>
        </w:rPr>
        <w:t>iniuria</w:t>
      </w:r>
      <w:r w:rsidR="004C5733">
        <w:rPr>
          <w:bCs/>
          <w:sz w:val="24"/>
          <w:szCs w:val="24"/>
        </w:rPr>
        <w:t xml:space="preserve"> and afforded the defendant’s 15 days within which to remove the cause of complaint</w:t>
      </w:r>
      <w:r w:rsidR="005E41EB">
        <w:rPr>
          <w:bCs/>
          <w:sz w:val="24"/>
          <w:szCs w:val="24"/>
        </w:rPr>
        <w:t xml:space="preserve">. </w:t>
      </w:r>
      <w:r w:rsidR="00BE0DFF">
        <w:rPr>
          <w:bCs/>
          <w:sz w:val="24"/>
          <w:szCs w:val="24"/>
        </w:rPr>
        <w:t xml:space="preserve"> </w:t>
      </w:r>
    </w:p>
    <w:p w14:paraId="33F12F0B" w14:textId="77777777" w:rsidR="00FC5FC9" w:rsidRDefault="00FC5FC9" w:rsidP="00FC5FC9">
      <w:pPr>
        <w:pStyle w:val="ListParagraph"/>
        <w:rPr>
          <w:bCs/>
        </w:rPr>
      </w:pPr>
    </w:p>
    <w:p w14:paraId="3F965FEE" w14:textId="19BE6856" w:rsidR="00CA6F8E" w:rsidRPr="00FD7DF0" w:rsidRDefault="00696168" w:rsidP="00696168">
      <w:pPr>
        <w:pStyle w:val="Body"/>
        <w:spacing w:line="360" w:lineRule="auto"/>
        <w:ind w:left="851" w:hanging="851"/>
        <w:jc w:val="both"/>
        <w:rPr>
          <w:b/>
          <w:i/>
          <w:iCs/>
          <w:sz w:val="24"/>
          <w:szCs w:val="24"/>
          <w:u w:val="single"/>
        </w:rPr>
      </w:pPr>
      <w:r w:rsidRPr="00FD7DF0">
        <w:rPr>
          <w:sz w:val="24"/>
          <w:szCs w:val="24"/>
        </w:rPr>
        <w:t>[12]</w:t>
      </w:r>
      <w:r w:rsidRPr="00FD7DF0">
        <w:rPr>
          <w:sz w:val="24"/>
          <w:szCs w:val="24"/>
        </w:rPr>
        <w:tab/>
      </w:r>
      <w:r w:rsidR="00BE0DFF">
        <w:rPr>
          <w:bCs/>
          <w:sz w:val="24"/>
          <w:szCs w:val="24"/>
        </w:rPr>
        <w:t xml:space="preserve">There was no response from the defendants and so an exception was taken on 27 March 2023. </w:t>
      </w:r>
      <w:r w:rsidR="00AC0B2A">
        <w:rPr>
          <w:bCs/>
          <w:sz w:val="24"/>
          <w:szCs w:val="24"/>
        </w:rPr>
        <w:t>The exception was subsequently set down for hearing. It was followed on 30 June 2023 with an application in terms of Rule 30A by the defendants.</w:t>
      </w:r>
    </w:p>
    <w:p w14:paraId="74D796E4" w14:textId="77777777" w:rsidR="00FD7DF0" w:rsidRDefault="00FD7DF0" w:rsidP="00FD7DF0">
      <w:pPr>
        <w:pStyle w:val="ListParagraph"/>
        <w:rPr>
          <w:b/>
          <w:i/>
          <w:iCs/>
          <w:u w:val="single"/>
        </w:rPr>
      </w:pPr>
    </w:p>
    <w:p w14:paraId="4C550618" w14:textId="03777B36" w:rsidR="00FD7DF0" w:rsidRPr="00FD7DF0" w:rsidRDefault="00696168" w:rsidP="00696168">
      <w:pPr>
        <w:pStyle w:val="Body"/>
        <w:spacing w:line="360" w:lineRule="auto"/>
        <w:ind w:left="851" w:hanging="851"/>
        <w:jc w:val="both"/>
        <w:rPr>
          <w:b/>
          <w:i/>
          <w:iCs/>
          <w:sz w:val="24"/>
          <w:szCs w:val="24"/>
          <w:u w:val="single"/>
        </w:rPr>
      </w:pPr>
      <w:r w:rsidRPr="00FD7DF0">
        <w:rPr>
          <w:sz w:val="24"/>
          <w:szCs w:val="24"/>
        </w:rPr>
        <w:t>[13]</w:t>
      </w:r>
      <w:r w:rsidRPr="00FD7DF0">
        <w:rPr>
          <w:sz w:val="24"/>
          <w:szCs w:val="24"/>
        </w:rPr>
        <w:tab/>
      </w:r>
      <w:r w:rsidR="00AC0B2A">
        <w:rPr>
          <w:bCs/>
          <w:sz w:val="24"/>
          <w:szCs w:val="24"/>
        </w:rPr>
        <w:t xml:space="preserve">It is convenient to deal firstly with the </w:t>
      </w:r>
      <w:r w:rsidR="00860E60">
        <w:rPr>
          <w:bCs/>
          <w:sz w:val="24"/>
          <w:szCs w:val="24"/>
        </w:rPr>
        <w:t>R</w:t>
      </w:r>
      <w:r w:rsidR="00AC0B2A">
        <w:rPr>
          <w:bCs/>
          <w:sz w:val="24"/>
          <w:szCs w:val="24"/>
        </w:rPr>
        <w:t>ule 30A application and then the exception.</w:t>
      </w:r>
    </w:p>
    <w:p w14:paraId="17456061" w14:textId="77777777" w:rsidR="0069018B" w:rsidRDefault="0069018B" w:rsidP="0069018B">
      <w:pPr>
        <w:rPr>
          <w:rFonts w:ascii="Arial" w:hAnsi="Arial" w:cs="Arial"/>
          <w:b/>
        </w:rPr>
      </w:pPr>
    </w:p>
    <w:p w14:paraId="07CAF805" w14:textId="77777777" w:rsidR="000F76FF" w:rsidRDefault="000F76FF" w:rsidP="0069018B">
      <w:pPr>
        <w:rPr>
          <w:rFonts w:ascii="Arial" w:hAnsi="Arial" w:cs="Arial"/>
          <w:b/>
        </w:rPr>
      </w:pPr>
    </w:p>
    <w:p w14:paraId="3A3DAE2A" w14:textId="61FB7BD8" w:rsidR="00FD7DF0" w:rsidRDefault="00D537CE" w:rsidP="0069018B">
      <w:pPr>
        <w:rPr>
          <w:rFonts w:ascii="Arial" w:hAnsi="Arial" w:cs="Arial"/>
          <w:b/>
        </w:rPr>
      </w:pPr>
      <w:r>
        <w:rPr>
          <w:rFonts w:ascii="Arial" w:hAnsi="Arial" w:cs="Arial"/>
          <w:b/>
        </w:rPr>
        <w:t xml:space="preserve">THE </w:t>
      </w:r>
      <w:r w:rsidR="00AC0B2A" w:rsidRPr="0069018B">
        <w:rPr>
          <w:rFonts w:ascii="Arial" w:hAnsi="Arial" w:cs="Arial"/>
          <w:b/>
        </w:rPr>
        <w:t>RULE 30A APPLICATION</w:t>
      </w:r>
    </w:p>
    <w:p w14:paraId="6F30BA84" w14:textId="77777777" w:rsidR="000F76FF" w:rsidRPr="0069018B" w:rsidRDefault="000F76FF" w:rsidP="0069018B">
      <w:pPr>
        <w:rPr>
          <w:rFonts w:ascii="Arial" w:hAnsi="Arial" w:cs="Arial"/>
          <w:b/>
        </w:rPr>
      </w:pPr>
    </w:p>
    <w:p w14:paraId="09F367FA" w14:textId="77777777" w:rsidR="0069018B" w:rsidRPr="00AC0B2A" w:rsidRDefault="0069018B" w:rsidP="00FD7DF0">
      <w:pPr>
        <w:pStyle w:val="ListParagraph"/>
        <w:rPr>
          <w:rFonts w:ascii="Arial" w:hAnsi="Arial" w:cs="Arial"/>
          <w:b/>
        </w:rPr>
      </w:pPr>
    </w:p>
    <w:p w14:paraId="761261C5" w14:textId="34001D79" w:rsidR="00FD7DF0" w:rsidRPr="000F76FF" w:rsidRDefault="00696168" w:rsidP="00696168">
      <w:pPr>
        <w:pStyle w:val="Body"/>
        <w:spacing w:line="360" w:lineRule="auto"/>
        <w:ind w:left="851" w:hanging="851"/>
        <w:jc w:val="both"/>
        <w:rPr>
          <w:b/>
          <w:i/>
          <w:iCs/>
          <w:sz w:val="24"/>
          <w:szCs w:val="24"/>
          <w:u w:val="single"/>
        </w:rPr>
      </w:pPr>
      <w:r w:rsidRPr="000F76FF">
        <w:rPr>
          <w:sz w:val="24"/>
          <w:szCs w:val="24"/>
        </w:rPr>
        <w:t>[14]</w:t>
      </w:r>
      <w:r w:rsidRPr="000F76FF">
        <w:rPr>
          <w:sz w:val="24"/>
          <w:szCs w:val="24"/>
        </w:rPr>
        <w:tab/>
      </w:r>
      <w:r w:rsidR="0069018B">
        <w:rPr>
          <w:bCs/>
          <w:sz w:val="24"/>
          <w:szCs w:val="24"/>
        </w:rPr>
        <w:t>The rule 30A application was advanced on the following basis:</w:t>
      </w:r>
    </w:p>
    <w:p w14:paraId="0559CDE1" w14:textId="77777777" w:rsidR="000F76FF" w:rsidRPr="0069018B" w:rsidRDefault="000F76FF" w:rsidP="000F76FF">
      <w:pPr>
        <w:pStyle w:val="Body"/>
        <w:spacing w:line="360" w:lineRule="auto"/>
        <w:ind w:left="851"/>
        <w:jc w:val="both"/>
        <w:rPr>
          <w:b/>
          <w:i/>
          <w:iCs/>
          <w:sz w:val="24"/>
          <w:szCs w:val="24"/>
          <w:u w:val="single"/>
        </w:rPr>
      </w:pPr>
    </w:p>
    <w:p w14:paraId="143D5FD3" w14:textId="782E8E2C" w:rsidR="00D537CE" w:rsidRPr="000F76FF" w:rsidRDefault="0069018B" w:rsidP="000F76FF">
      <w:pPr>
        <w:spacing w:after="401" w:line="360" w:lineRule="auto"/>
        <w:ind w:left="2268" w:right="496" w:hanging="850"/>
        <w:jc w:val="both"/>
        <w:rPr>
          <w:rFonts w:ascii="Arial" w:hAnsi="Arial" w:cs="Arial"/>
          <w:i/>
          <w:iCs/>
          <w:sz w:val="22"/>
          <w:szCs w:val="22"/>
        </w:rPr>
      </w:pPr>
      <w:r w:rsidRPr="000F76FF">
        <w:rPr>
          <w:rFonts w:ascii="Arial" w:hAnsi="Arial" w:cs="Arial"/>
          <w:bCs/>
          <w:i/>
          <w:iCs/>
          <w:sz w:val="22"/>
          <w:szCs w:val="22"/>
        </w:rPr>
        <w:t>“</w:t>
      </w:r>
      <w:r w:rsidR="00D537CE" w:rsidRPr="000F76FF">
        <w:rPr>
          <w:rFonts w:ascii="Arial" w:hAnsi="Arial" w:cs="Arial"/>
          <w:i/>
          <w:iCs/>
          <w:sz w:val="22"/>
          <w:szCs w:val="22"/>
        </w:rPr>
        <w:t xml:space="preserve">1 . </w:t>
      </w:r>
      <w:r w:rsidR="000F76FF">
        <w:rPr>
          <w:rFonts w:ascii="Arial" w:hAnsi="Arial" w:cs="Arial"/>
          <w:i/>
          <w:iCs/>
          <w:sz w:val="22"/>
          <w:szCs w:val="22"/>
        </w:rPr>
        <w:tab/>
      </w:r>
      <w:r w:rsidR="00D537CE" w:rsidRPr="000F76FF">
        <w:rPr>
          <w:rFonts w:ascii="Arial" w:hAnsi="Arial" w:cs="Arial"/>
          <w:i/>
          <w:iCs/>
          <w:sz w:val="22"/>
          <w:szCs w:val="22"/>
        </w:rPr>
        <w:t xml:space="preserve">That the Respondent's said Exception, be and is hereby declared to be an improper or irregular step on account of same not being compliant with the provisions of Rules 23(1), 25 and 26, read with </w:t>
      </w:r>
      <w:r w:rsidR="00D537CE" w:rsidRPr="000F76FF">
        <w:rPr>
          <w:rFonts w:ascii="Arial" w:hAnsi="Arial" w:cs="Arial"/>
          <w:i/>
          <w:iCs/>
          <w:sz w:val="22"/>
          <w:szCs w:val="22"/>
        </w:rPr>
        <w:lastRenderedPageBreak/>
        <w:t xml:space="preserve">Sections 34 and 171 of the Constitution of the Republic of South Africa Act </w:t>
      </w:r>
      <w:r w:rsidR="00D537CE" w:rsidRPr="000F76FF">
        <w:rPr>
          <w:rFonts w:ascii="Arial" w:hAnsi="Arial" w:cs="Arial"/>
          <w:i/>
          <w:iCs/>
          <w:sz w:val="22"/>
          <w:szCs w:val="22"/>
          <w:vertAlign w:val="superscript"/>
        </w:rPr>
        <w:t xml:space="preserve">1 </w:t>
      </w:r>
      <w:r w:rsidR="00D537CE" w:rsidRPr="000F76FF">
        <w:rPr>
          <w:rFonts w:ascii="Arial" w:hAnsi="Arial" w:cs="Arial"/>
          <w:i/>
          <w:iCs/>
          <w:sz w:val="22"/>
          <w:szCs w:val="22"/>
        </w:rPr>
        <w:t>and the Superior Courts Act</w:t>
      </w:r>
      <w:r w:rsidR="00D537CE" w:rsidRPr="000F76FF">
        <w:rPr>
          <w:rFonts w:ascii="Arial" w:hAnsi="Arial" w:cs="Arial"/>
          <w:i/>
          <w:iCs/>
          <w:sz w:val="22"/>
          <w:szCs w:val="22"/>
          <w:vertAlign w:val="superscript"/>
        </w:rPr>
        <w:t>2</w:t>
      </w:r>
      <w:r w:rsidR="00D537CE" w:rsidRPr="000F76FF">
        <w:rPr>
          <w:rFonts w:ascii="Arial" w:hAnsi="Arial" w:cs="Arial"/>
          <w:i/>
          <w:iCs/>
          <w:sz w:val="22"/>
          <w:szCs w:val="22"/>
        </w:rPr>
        <w:t>.</w:t>
      </w:r>
    </w:p>
    <w:p w14:paraId="0FF89B4C" w14:textId="7723D06F" w:rsidR="000F76FF" w:rsidRPr="00FC5FC9" w:rsidRDefault="00696168" w:rsidP="00696168">
      <w:pPr>
        <w:spacing w:after="401" w:line="360" w:lineRule="auto"/>
        <w:ind w:left="2268" w:right="496" w:hanging="850"/>
        <w:jc w:val="both"/>
        <w:rPr>
          <w:rFonts w:ascii="Arial" w:hAnsi="Arial" w:cs="Arial"/>
          <w:i/>
          <w:iCs/>
          <w:sz w:val="22"/>
          <w:szCs w:val="22"/>
        </w:rPr>
      </w:pPr>
      <w:r w:rsidRPr="00FC5FC9">
        <w:rPr>
          <w:rFonts w:ascii="Calibri" w:eastAsia="Calibri" w:hAnsi="Calibri" w:cs="Calibri"/>
          <w:iCs/>
          <w:color w:val="000000"/>
          <w:sz w:val="26"/>
          <w:szCs w:val="26"/>
          <w:u w:color="000000"/>
        </w:rPr>
        <w:t>2.</w:t>
      </w:r>
      <w:r w:rsidRPr="00FC5FC9">
        <w:rPr>
          <w:rFonts w:ascii="Calibri" w:eastAsia="Calibri" w:hAnsi="Calibri" w:cs="Calibri"/>
          <w:iCs/>
          <w:color w:val="000000"/>
          <w:sz w:val="26"/>
          <w:szCs w:val="26"/>
          <w:u w:color="000000"/>
        </w:rPr>
        <w:tab/>
      </w:r>
      <w:r w:rsidR="00D537CE" w:rsidRPr="000F76FF">
        <w:rPr>
          <w:rFonts w:ascii="Arial" w:hAnsi="Arial" w:cs="Arial"/>
          <w:i/>
          <w:iCs/>
          <w:sz w:val="22"/>
          <w:szCs w:val="22"/>
        </w:rPr>
        <w:t>That the Respondent's said Exception be set aside and/or struck out.</w:t>
      </w:r>
    </w:p>
    <w:p w14:paraId="6B1A39BD" w14:textId="2C2734DD" w:rsidR="0069018B" w:rsidRPr="000F76FF" w:rsidRDefault="00696168" w:rsidP="00696168">
      <w:pPr>
        <w:spacing w:after="407" w:line="360" w:lineRule="auto"/>
        <w:ind w:left="2268" w:right="496" w:hanging="850"/>
        <w:jc w:val="both"/>
        <w:rPr>
          <w:rFonts w:ascii="Arial" w:hAnsi="Arial" w:cs="Arial"/>
          <w:i/>
          <w:iCs/>
          <w:sz w:val="22"/>
          <w:szCs w:val="22"/>
        </w:rPr>
      </w:pPr>
      <w:r w:rsidRPr="000F76FF">
        <w:rPr>
          <w:rFonts w:ascii="Calibri" w:eastAsia="Calibri" w:hAnsi="Calibri" w:cs="Calibri"/>
          <w:iCs/>
          <w:color w:val="000000"/>
          <w:sz w:val="26"/>
          <w:szCs w:val="26"/>
          <w:u w:color="000000"/>
        </w:rPr>
        <w:t>3.</w:t>
      </w:r>
      <w:r w:rsidRPr="000F76FF">
        <w:rPr>
          <w:rFonts w:ascii="Calibri" w:eastAsia="Calibri" w:hAnsi="Calibri" w:cs="Calibri"/>
          <w:iCs/>
          <w:color w:val="000000"/>
          <w:sz w:val="26"/>
          <w:szCs w:val="26"/>
          <w:u w:color="000000"/>
        </w:rPr>
        <w:tab/>
      </w:r>
      <w:r w:rsidR="00D537CE" w:rsidRPr="000F76FF">
        <w:rPr>
          <w:rFonts w:ascii="Arial" w:hAnsi="Arial" w:cs="Arial"/>
          <w:i/>
          <w:iCs/>
          <w:sz w:val="22"/>
          <w:szCs w:val="22"/>
        </w:rPr>
        <w:t xml:space="preserve">Alternatively, that the Respondent comply with the Applicants' Rule 30A </w:t>
      </w:r>
      <w:r w:rsidR="00D537CE" w:rsidRPr="000F76FF">
        <w:rPr>
          <w:rFonts w:ascii="Arial" w:hAnsi="Arial" w:cs="Arial"/>
          <w:i/>
          <w:iCs/>
          <w:noProof/>
          <w:sz w:val="22"/>
          <w:szCs w:val="22"/>
        </w:rPr>
        <w:drawing>
          <wp:inline distT="0" distB="0" distL="0" distR="0" wp14:anchorId="612CDDDF" wp14:editId="114891E6">
            <wp:extent cx="18288" cy="27432"/>
            <wp:effectExtent l="0" t="0" r="0" b="0"/>
            <wp:docPr id="4658" name="Picture 4658"/>
            <wp:cNvGraphicFramePr/>
            <a:graphic xmlns:a="http://schemas.openxmlformats.org/drawingml/2006/main">
              <a:graphicData uri="http://schemas.openxmlformats.org/drawingml/2006/picture">
                <pic:pic xmlns:pic="http://schemas.openxmlformats.org/drawingml/2006/picture">
                  <pic:nvPicPr>
                    <pic:cNvPr id="4658" name="Picture 4658"/>
                    <pic:cNvPicPr/>
                  </pic:nvPicPr>
                  <pic:blipFill>
                    <a:blip r:embed="rId9"/>
                    <a:stretch>
                      <a:fillRect/>
                    </a:stretch>
                  </pic:blipFill>
                  <pic:spPr>
                    <a:xfrm>
                      <a:off x="0" y="0"/>
                      <a:ext cx="18288" cy="27432"/>
                    </a:xfrm>
                    <a:prstGeom prst="rect">
                      <a:avLst/>
                    </a:prstGeom>
                  </pic:spPr>
                </pic:pic>
              </a:graphicData>
            </a:graphic>
          </wp:inline>
        </w:drawing>
      </w:r>
      <w:r w:rsidR="00D537CE" w:rsidRPr="000F76FF">
        <w:rPr>
          <w:rFonts w:ascii="Arial" w:hAnsi="Arial" w:cs="Arial"/>
          <w:i/>
          <w:iCs/>
          <w:sz w:val="22"/>
          <w:szCs w:val="22"/>
        </w:rPr>
        <w:t>Notice, within an appropriate time period to be set by the Court in its order in terms hereof.”</w:t>
      </w:r>
    </w:p>
    <w:p w14:paraId="3C00B820" w14:textId="1C600EDF" w:rsidR="00276A30" w:rsidRPr="00276A30" w:rsidRDefault="00696168" w:rsidP="00696168">
      <w:pPr>
        <w:pStyle w:val="Body"/>
        <w:spacing w:line="360" w:lineRule="auto"/>
        <w:ind w:left="851" w:hanging="851"/>
        <w:jc w:val="both"/>
        <w:rPr>
          <w:b/>
          <w:i/>
          <w:iCs/>
          <w:sz w:val="24"/>
          <w:szCs w:val="24"/>
          <w:u w:val="single"/>
        </w:rPr>
      </w:pPr>
      <w:r w:rsidRPr="00276A30">
        <w:rPr>
          <w:sz w:val="24"/>
          <w:szCs w:val="24"/>
        </w:rPr>
        <w:t>[15]</w:t>
      </w:r>
      <w:r w:rsidRPr="00276A30">
        <w:rPr>
          <w:sz w:val="24"/>
          <w:szCs w:val="24"/>
        </w:rPr>
        <w:tab/>
      </w:r>
      <w:r w:rsidR="0069018B">
        <w:rPr>
          <w:bCs/>
          <w:sz w:val="24"/>
          <w:szCs w:val="24"/>
        </w:rPr>
        <w:t xml:space="preserve">The crux of the argument advanced by the defendants is that the plaintiff’s plea to the counterclaims is not a plea in the ordinary sense as provided for in rule 22 of the rules of court but rather something different. </w:t>
      </w:r>
      <w:r w:rsidR="00F917BA">
        <w:rPr>
          <w:bCs/>
          <w:sz w:val="24"/>
          <w:szCs w:val="24"/>
        </w:rPr>
        <w:t xml:space="preserve"> </w:t>
      </w:r>
    </w:p>
    <w:p w14:paraId="798B25A0" w14:textId="77777777" w:rsidR="00276A30" w:rsidRPr="00276A30" w:rsidRDefault="00276A30" w:rsidP="00276A30">
      <w:pPr>
        <w:pStyle w:val="Body"/>
        <w:spacing w:line="360" w:lineRule="auto"/>
        <w:ind w:left="851"/>
        <w:jc w:val="both"/>
        <w:rPr>
          <w:b/>
          <w:i/>
          <w:iCs/>
          <w:sz w:val="24"/>
          <w:szCs w:val="24"/>
          <w:u w:val="single"/>
        </w:rPr>
      </w:pPr>
    </w:p>
    <w:p w14:paraId="3ECEA797" w14:textId="223D151F" w:rsidR="00AC0B2A" w:rsidRPr="00276A30" w:rsidRDefault="00696168" w:rsidP="00696168">
      <w:pPr>
        <w:pStyle w:val="Body"/>
        <w:spacing w:line="360" w:lineRule="auto"/>
        <w:ind w:left="851" w:hanging="851"/>
        <w:jc w:val="both"/>
        <w:rPr>
          <w:b/>
          <w:i/>
          <w:iCs/>
          <w:sz w:val="24"/>
          <w:szCs w:val="24"/>
          <w:u w:val="single"/>
        </w:rPr>
      </w:pPr>
      <w:r w:rsidRPr="00276A30">
        <w:rPr>
          <w:sz w:val="24"/>
          <w:szCs w:val="24"/>
        </w:rPr>
        <w:t>[16]</w:t>
      </w:r>
      <w:r w:rsidRPr="00276A30">
        <w:rPr>
          <w:sz w:val="24"/>
          <w:szCs w:val="24"/>
        </w:rPr>
        <w:tab/>
      </w:r>
      <w:r w:rsidR="0069018B">
        <w:rPr>
          <w:bCs/>
          <w:sz w:val="24"/>
          <w:szCs w:val="24"/>
        </w:rPr>
        <w:t xml:space="preserve">It was argued that it is </w:t>
      </w:r>
      <w:r w:rsidR="0069018B" w:rsidRPr="00F917BA">
        <w:rPr>
          <w:bCs/>
          <w:i/>
          <w:iCs/>
          <w:sz w:val="22"/>
          <w:szCs w:val="22"/>
        </w:rPr>
        <w:t>“another pleading”</w:t>
      </w:r>
      <w:r w:rsidR="0069018B">
        <w:rPr>
          <w:bCs/>
          <w:sz w:val="24"/>
          <w:szCs w:val="24"/>
        </w:rPr>
        <w:t xml:space="preserve"> as referred to in rule 25</w:t>
      </w:r>
      <w:r w:rsidR="00276A30">
        <w:rPr>
          <w:bCs/>
          <w:sz w:val="24"/>
          <w:szCs w:val="24"/>
        </w:rPr>
        <w:t xml:space="preserve">.  On this argument, it was not necessary for it to </w:t>
      </w:r>
      <w:r w:rsidR="0069018B">
        <w:rPr>
          <w:bCs/>
          <w:sz w:val="24"/>
          <w:szCs w:val="24"/>
        </w:rPr>
        <w:t xml:space="preserve">comply with the requirements of rule 22, particularly insofar </w:t>
      </w:r>
      <w:r w:rsidR="00FC5FC9">
        <w:rPr>
          <w:bCs/>
          <w:sz w:val="24"/>
          <w:szCs w:val="24"/>
        </w:rPr>
        <w:t>as it had to</w:t>
      </w:r>
      <w:r w:rsidR="0069018B">
        <w:rPr>
          <w:bCs/>
          <w:sz w:val="24"/>
          <w:szCs w:val="24"/>
        </w:rPr>
        <w:t xml:space="preserve"> be delivered within 20 days</w:t>
      </w:r>
      <w:r w:rsidR="00276A30">
        <w:rPr>
          <w:bCs/>
          <w:sz w:val="24"/>
          <w:szCs w:val="24"/>
        </w:rPr>
        <w:t>.  Furthermore,</w:t>
      </w:r>
      <w:r w:rsidR="0069018B" w:rsidRPr="00276A30">
        <w:rPr>
          <w:bCs/>
          <w:sz w:val="24"/>
          <w:szCs w:val="24"/>
        </w:rPr>
        <w:t xml:space="preserve"> rule 26 which requires the delivery of a notice of bar </w:t>
      </w:r>
      <w:r w:rsidR="00FC5FC9">
        <w:rPr>
          <w:bCs/>
          <w:sz w:val="24"/>
          <w:szCs w:val="24"/>
        </w:rPr>
        <w:t xml:space="preserve">after the 20 day period, </w:t>
      </w:r>
      <w:r w:rsidR="0069018B" w:rsidRPr="00276A30">
        <w:rPr>
          <w:bCs/>
          <w:sz w:val="24"/>
          <w:szCs w:val="24"/>
        </w:rPr>
        <w:t xml:space="preserve">before the defaulting party is </w:t>
      </w:r>
      <w:r w:rsidR="0069018B" w:rsidRPr="00276A30">
        <w:rPr>
          <w:bCs/>
          <w:i/>
          <w:iCs/>
          <w:sz w:val="24"/>
          <w:szCs w:val="24"/>
        </w:rPr>
        <w:t>ipso facto</w:t>
      </w:r>
      <w:r w:rsidR="0069018B" w:rsidRPr="00276A30">
        <w:rPr>
          <w:bCs/>
          <w:sz w:val="24"/>
          <w:szCs w:val="24"/>
        </w:rPr>
        <w:t xml:space="preserve"> barred from delivering a plea</w:t>
      </w:r>
      <w:r w:rsidR="00276A30">
        <w:rPr>
          <w:bCs/>
          <w:sz w:val="24"/>
          <w:szCs w:val="24"/>
        </w:rPr>
        <w:t xml:space="preserve"> </w:t>
      </w:r>
      <w:r w:rsidR="00FC5FC9">
        <w:rPr>
          <w:bCs/>
          <w:sz w:val="24"/>
          <w:szCs w:val="24"/>
        </w:rPr>
        <w:t xml:space="preserve">was </w:t>
      </w:r>
      <w:r w:rsidR="00276A30">
        <w:rPr>
          <w:bCs/>
          <w:sz w:val="24"/>
          <w:szCs w:val="24"/>
        </w:rPr>
        <w:t>also</w:t>
      </w:r>
      <w:r w:rsidR="00FC5FC9">
        <w:rPr>
          <w:bCs/>
          <w:sz w:val="24"/>
          <w:szCs w:val="24"/>
        </w:rPr>
        <w:t xml:space="preserve"> argued to find</w:t>
      </w:r>
      <w:r w:rsidR="00276A30">
        <w:rPr>
          <w:bCs/>
          <w:sz w:val="24"/>
          <w:szCs w:val="24"/>
        </w:rPr>
        <w:t xml:space="preserve"> no application</w:t>
      </w:r>
      <w:r w:rsidR="0069018B" w:rsidRPr="00276A30">
        <w:rPr>
          <w:bCs/>
          <w:sz w:val="24"/>
          <w:szCs w:val="24"/>
        </w:rPr>
        <w:t>.</w:t>
      </w:r>
    </w:p>
    <w:p w14:paraId="1BC80C6C" w14:textId="77777777" w:rsidR="00F917BA" w:rsidRPr="00AC0B2A" w:rsidRDefault="00F917BA" w:rsidP="00F917BA">
      <w:pPr>
        <w:pStyle w:val="Body"/>
        <w:spacing w:line="360" w:lineRule="auto"/>
        <w:ind w:left="851"/>
        <w:jc w:val="both"/>
        <w:rPr>
          <w:b/>
          <w:i/>
          <w:iCs/>
          <w:sz w:val="24"/>
          <w:szCs w:val="24"/>
          <w:u w:val="single"/>
        </w:rPr>
      </w:pPr>
    </w:p>
    <w:p w14:paraId="76F73859" w14:textId="57CB02F3" w:rsidR="005F18AB" w:rsidRPr="005F18AB" w:rsidRDefault="00696168" w:rsidP="00696168">
      <w:pPr>
        <w:pStyle w:val="Body"/>
        <w:spacing w:line="360" w:lineRule="auto"/>
        <w:ind w:left="851" w:hanging="851"/>
        <w:jc w:val="both"/>
        <w:rPr>
          <w:b/>
          <w:i/>
          <w:iCs/>
          <w:sz w:val="24"/>
          <w:szCs w:val="24"/>
          <w:u w:val="single"/>
        </w:rPr>
      </w:pPr>
      <w:r w:rsidRPr="005F18AB">
        <w:rPr>
          <w:sz w:val="24"/>
          <w:szCs w:val="24"/>
        </w:rPr>
        <w:t>[17]</w:t>
      </w:r>
      <w:r w:rsidRPr="005F18AB">
        <w:rPr>
          <w:sz w:val="24"/>
          <w:szCs w:val="24"/>
        </w:rPr>
        <w:tab/>
      </w:r>
      <w:r w:rsidR="006F4B6B">
        <w:rPr>
          <w:bCs/>
          <w:sz w:val="24"/>
          <w:szCs w:val="24"/>
        </w:rPr>
        <w:t xml:space="preserve">The defendant also argued that the plaintiff was barred from pleading on 6 February 2023.  This date was calculated based on the plaintiff having 15 days from the date on which the counterclaim was delivered, excluding the </w:t>
      </w:r>
      <w:r w:rsidR="006F4B6B" w:rsidRPr="006F4B6B">
        <w:rPr>
          <w:bCs/>
          <w:i/>
          <w:iCs/>
          <w:sz w:val="24"/>
          <w:szCs w:val="24"/>
        </w:rPr>
        <w:t>dies non</w:t>
      </w:r>
      <w:r w:rsidR="006F4B6B">
        <w:rPr>
          <w:bCs/>
          <w:i/>
          <w:iCs/>
          <w:sz w:val="24"/>
          <w:szCs w:val="24"/>
        </w:rPr>
        <w:t xml:space="preserve">.  </w:t>
      </w:r>
      <w:r w:rsidR="006F4B6B">
        <w:rPr>
          <w:bCs/>
          <w:sz w:val="24"/>
          <w:szCs w:val="24"/>
        </w:rPr>
        <w:t xml:space="preserve">It was also argued that the delivery of the notice of intention to amend the counterclaim on 28 January 2023 was of no moment and that because the plaintiff’s reply </w:t>
      </w:r>
      <w:r w:rsidR="005F18AB">
        <w:rPr>
          <w:bCs/>
          <w:sz w:val="24"/>
          <w:szCs w:val="24"/>
        </w:rPr>
        <w:t>fell within what was termed “</w:t>
      </w:r>
      <w:r w:rsidR="005F18AB" w:rsidRPr="00FC5FC9">
        <w:rPr>
          <w:bCs/>
          <w:i/>
          <w:iCs/>
          <w:sz w:val="22"/>
          <w:szCs w:val="22"/>
        </w:rPr>
        <w:t>another pleading</w:t>
      </w:r>
      <w:r w:rsidR="005F18AB">
        <w:rPr>
          <w:bCs/>
          <w:sz w:val="24"/>
          <w:szCs w:val="24"/>
        </w:rPr>
        <w:t xml:space="preserve">” in rule 25, that once the </w:t>
      </w:r>
      <w:r w:rsidR="00FC5FC9">
        <w:rPr>
          <w:bCs/>
          <w:sz w:val="24"/>
          <w:szCs w:val="24"/>
        </w:rPr>
        <w:t>15-day</w:t>
      </w:r>
      <w:r w:rsidR="005F18AB">
        <w:rPr>
          <w:bCs/>
          <w:sz w:val="24"/>
          <w:szCs w:val="24"/>
        </w:rPr>
        <w:t xml:space="preserve"> period referred to in that rule had passed, the plaintiff was </w:t>
      </w:r>
      <w:r w:rsidR="005F18AB" w:rsidRPr="005F18AB">
        <w:rPr>
          <w:bCs/>
          <w:i/>
          <w:iCs/>
          <w:sz w:val="24"/>
          <w:szCs w:val="24"/>
        </w:rPr>
        <w:t>ipso facto</w:t>
      </w:r>
      <w:r w:rsidR="005F18AB">
        <w:rPr>
          <w:bCs/>
          <w:sz w:val="24"/>
          <w:szCs w:val="24"/>
        </w:rPr>
        <w:t xml:space="preserve"> barred.</w:t>
      </w:r>
    </w:p>
    <w:p w14:paraId="0539A399" w14:textId="77777777" w:rsidR="005F18AB" w:rsidRDefault="005F18AB" w:rsidP="005F18AB">
      <w:pPr>
        <w:pStyle w:val="ListParagraph"/>
        <w:rPr>
          <w:bCs/>
        </w:rPr>
      </w:pPr>
    </w:p>
    <w:p w14:paraId="49A7741F" w14:textId="253E0824" w:rsidR="00AC0B2A" w:rsidRPr="005F18AB" w:rsidRDefault="00696168" w:rsidP="00696168">
      <w:pPr>
        <w:pStyle w:val="Body"/>
        <w:spacing w:line="360" w:lineRule="auto"/>
        <w:ind w:left="851" w:hanging="851"/>
        <w:jc w:val="both"/>
        <w:rPr>
          <w:b/>
          <w:i/>
          <w:iCs/>
          <w:sz w:val="24"/>
          <w:szCs w:val="24"/>
          <w:u w:val="single"/>
        </w:rPr>
      </w:pPr>
      <w:r w:rsidRPr="005F18AB">
        <w:rPr>
          <w:sz w:val="24"/>
          <w:szCs w:val="24"/>
        </w:rPr>
        <w:t>[18]</w:t>
      </w:r>
      <w:r w:rsidRPr="005F18AB">
        <w:rPr>
          <w:sz w:val="24"/>
          <w:szCs w:val="24"/>
        </w:rPr>
        <w:tab/>
      </w:r>
      <w:r w:rsidR="005F18AB">
        <w:rPr>
          <w:bCs/>
          <w:sz w:val="24"/>
          <w:szCs w:val="24"/>
        </w:rPr>
        <w:t xml:space="preserve">This somewhat convoluted argument had as its conclusion the relief sought by the defendants in the rule 30A application.  The effect of the relief sought is to have the delivery of the exception when it was, declared an irregular step and in </w:t>
      </w:r>
      <w:r w:rsidR="005F18AB">
        <w:rPr>
          <w:bCs/>
          <w:sz w:val="24"/>
          <w:szCs w:val="24"/>
        </w:rPr>
        <w:lastRenderedPageBreak/>
        <w:t>so doing either to have it set aside or to put the plaintiff to the effort of bringing an application for condonation</w:t>
      </w:r>
      <w:r w:rsidR="00AC0B2A">
        <w:rPr>
          <w:bCs/>
          <w:sz w:val="24"/>
          <w:szCs w:val="24"/>
        </w:rPr>
        <w:t>.</w:t>
      </w:r>
    </w:p>
    <w:p w14:paraId="4671D45F" w14:textId="77777777" w:rsidR="005F18AB" w:rsidRDefault="005F18AB" w:rsidP="005F18AB">
      <w:pPr>
        <w:pStyle w:val="ListParagraph"/>
        <w:rPr>
          <w:b/>
          <w:i/>
          <w:iCs/>
          <w:u w:val="single"/>
        </w:rPr>
      </w:pPr>
    </w:p>
    <w:p w14:paraId="7A5FC0BC" w14:textId="68EE9E5B" w:rsidR="005F18AB" w:rsidRPr="00744810" w:rsidRDefault="00696168" w:rsidP="00696168">
      <w:pPr>
        <w:pStyle w:val="Body"/>
        <w:spacing w:line="360" w:lineRule="auto"/>
        <w:ind w:left="851" w:hanging="851"/>
        <w:jc w:val="both"/>
        <w:rPr>
          <w:bCs/>
          <w:i/>
          <w:iCs/>
          <w:sz w:val="24"/>
          <w:szCs w:val="24"/>
          <w:u w:val="single"/>
        </w:rPr>
      </w:pPr>
      <w:r w:rsidRPr="00744810">
        <w:rPr>
          <w:sz w:val="24"/>
          <w:szCs w:val="24"/>
        </w:rPr>
        <w:t>[19]</w:t>
      </w:r>
      <w:r w:rsidRPr="00744810">
        <w:rPr>
          <w:sz w:val="24"/>
          <w:szCs w:val="24"/>
        </w:rPr>
        <w:tab/>
      </w:r>
      <w:r w:rsidR="005F18AB" w:rsidRPr="005F18AB">
        <w:rPr>
          <w:bCs/>
          <w:sz w:val="24"/>
          <w:szCs w:val="24"/>
        </w:rPr>
        <w:t>The argument</w:t>
      </w:r>
      <w:r w:rsidR="005F18AB">
        <w:rPr>
          <w:bCs/>
          <w:sz w:val="24"/>
          <w:szCs w:val="24"/>
        </w:rPr>
        <w:t xml:space="preserve"> advanced by the defendants </w:t>
      </w:r>
      <w:r w:rsidR="00EF635B">
        <w:rPr>
          <w:bCs/>
          <w:sz w:val="24"/>
          <w:szCs w:val="24"/>
        </w:rPr>
        <w:t>is predicated on a misunderstanding of</w:t>
      </w:r>
      <w:r w:rsidR="00744810">
        <w:rPr>
          <w:bCs/>
          <w:sz w:val="24"/>
          <w:szCs w:val="24"/>
        </w:rPr>
        <w:t xml:space="preserve"> the provisions of rule 25(1) which provides:</w:t>
      </w:r>
    </w:p>
    <w:p w14:paraId="0F44CE86" w14:textId="77777777" w:rsidR="00744810" w:rsidRDefault="00744810" w:rsidP="00744810">
      <w:pPr>
        <w:pStyle w:val="ListParagraph"/>
        <w:rPr>
          <w:bCs/>
          <w:i/>
          <w:iCs/>
          <w:u w:val="single"/>
        </w:rPr>
      </w:pPr>
    </w:p>
    <w:p w14:paraId="2D2C1595" w14:textId="456806FC" w:rsidR="00744810" w:rsidRPr="00022BBD" w:rsidRDefault="00744810" w:rsidP="00744810">
      <w:pPr>
        <w:spacing w:before="100" w:beforeAutospacing="1" w:after="100" w:afterAutospacing="1" w:line="360" w:lineRule="auto"/>
        <w:ind w:left="1418"/>
        <w:jc w:val="both"/>
        <w:rPr>
          <w:rFonts w:ascii="Times New Roman" w:eastAsia="Times New Roman" w:hAnsi="Times New Roman" w:cs="Times New Roman"/>
          <w:sz w:val="28"/>
          <w:szCs w:val="28"/>
          <w:lang w:val="en-ZA"/>
        </w:rPr>
      </w:pPr>
      <w:r w:rsidRPr="00744810">
        <w:rPr>
          <w:rFonts w:ascii="ArialMT" w:eastAsia="Times New Roman" w:hAnsi="ArialMT" w:cs="Times New Roman"/>
          <w:i/>
          <w:iCs/>
          <w:sz w:val="22"/>
          <w:szCs w:val="21"/>
          <w:lang w:val="en-ZA"/>
        </w:rPr>
        <w:t xml:space="preserve">“Within 15 days after the service upon him of a plea and subject to subrule (2) hereof, the plaintiff shall where necessary deliver a replication to the plea </w:t>
      </w:r>
      <w:r w:rsidRPr="00FC5FC9">
        <w:rPr>
          <w:rFonts w:ascii="ArialMT" w:eastAsia="Times New Roman" w:hAnsi="ArialMT" w:cs="Times New Roman"/>
          <w:i/>
          <w:iCs/>
          <w:sz w:val="22"/>
          <w:szCs w:val="21"/>
          <w:u w:val="single"/>
          <w:lang w:val="en-ZA"/>
        </w:rPr>
        <w:t xml:space="preserve">and a plea to any claim in reconvention, which plea shall comply with rule 22.” </w:t>
      </w:r>
      <w:r w:rsidR="00022BBD">
        <w:rPr>
          <w:rFonts w:ascii="ArialMT" w:eastAsia="Times New Roman" w:hAnsi="ArialMT" w:cs="Times New Roman"/>
          <w:sz w:val="22"/>
          <w:szCs w:val="21"/>
          <w:lang w:val="en-ZA"/>
        </w:rPr>
        <w:t>[my underlining]</w:t>
      </w:r>
    </w:p>
    <w:p w14:paraId="1BB10F76" w14:textId="31035C09" w:rsidR="00022BBD" w:rsidRPr="00022BBD" w:rsidRDefault="00696168" w:rsidP="00696168">
      <w:pPr>
        <w:pStyle w:val="Body"/>
        <w:spacing w:line="360" w:lineRule="auto"/>
        <w:ind w:left="851" w:hanging="851"/>
        <w:jc w:val="both"/>
        <w:rPr>
          <w:b/>
          <w:i/>
          <w:iCs/>
          <w:sz w:val="24"/>
          <w:szCs w:val="24"/>
          <w:u w:val="single"/>
        </w:rPr>
      </w:pPr>
      <w:r w:rsidRPr="00022BBD">
        <w:rPr>
          <w:sz w:val="24"/>
          <w:szCs w:val="24"/>
        </w:rPr>
        <w:t>[20]</w:t>
      </w:r>
      <w:r w:rsidRPr="00022BBD">
        <w:rPr>
          <w:sz w:val="24"/>
          <w:szCs w:val="24"/>
        </w:rPr>
        <w:tab/>
      </w:r>
      <w:r w:rsidR="00744810">
        <w:rPr>
          <w:bCs/>
          <w:sz w:val="24"/>
          <w:szCs w:val="24"/>
        </w:rPr>
        <w:t xml:space="preserve">The interpretation that the defendants cast upon rule 25(1) is that the 15-day period refers to both a replication as well as a plea in reconvention.  The way in which the rule is cast however, is that a distinction is drawn between a replication, to which the 15-day period applies and a plea in reconvention which </w:t>
      </w:r>
      <w:r w:rsidR="00744810" w:rsidRPr="00744810">
        <w:rPr>
          <w:bCs/>
          <w:i/>
          <w:iCs/>
          <w:sz w:val="22"/>
          <w:szCs w:val="22"/>
        </w:rPr>
        <w:t xml:space="preserve">“shall comply with rule 22”.  </w:t>
      </w:r>
      <w:r w:rsidR="00744810">
        <w:rPr>
          <w:bCs/>
          <w:sz w:val="24"/>
          <w:szCs w:val="24"/>
        </w:rPr>
        <w:t xml:space="preserve">  The last clause of the rule contains this qualification</w:t>
      </w:r>
      <w:r w:rsidR="00022BBD">
        <w:rPr>
          <w:bCs/>
          <w:sz w:val="24"/>
          <w:szCs w:val="24"/>
        </w:rPr>
        <w:t xml:space="preserve"> and is to be read disjunctively from the clause preceding it</w:t>
      </w:r>
      <w:r w:rsidR="00744810">
        <w:rPr>
          <w:bCs/>
          <w:sz w:val="24"/>
          <w:szCs w:val="24"/>
        </w:rPr>
        <w:t xml:space="preserve">. </w:t>
      </w:r>
    </w:p>
    <w:p w14:paraId="0A11C0F6" w14:textId="66245A82" w:rsidR="00022BBD" w:rsidRPr="00022BBD" w:rsidRDefault="00744810" w:rsidP="00022BBD">
      <w:pPr>
        <w:pStyle w:val="Body"/>
        <w:spacing w:line="360" w:lineRule="auto"/>
        <w:ind w:left="851"/>
        <w:jc w:val="both"/>
        <w:rPr>
          <w:b/>
          <w:i/>
          <w:iCs/>
          <w:sz w:val="24"/>
          <w:szCs w:val="24"/>
          <w:u w:val="single"/>
        </w:rPr>
      </w:pPr>
      <w:r>
        <w:rPr>
          <w:bCs/>
          <w:sz w:val="24"/>
          <w:szCs w:val="24"/>
        </w:rPr>
        <w:t xml:space="preserve"> </w:t>
      </w:r>
    </w:p>
    <w:p w14:paraId="0C630ADA" w14:textId="6D4FFF55" w:rsidR="00744810" w:rsidRPr="00022BBD" w:rsidRDefault="00696168" w:rsidP="00696168">
      <w:pPr>
        <w:pStyle w:val="Body"/>
        <w:spacing w:line="360" w:lineRule="auto"/>
        <w:ind w:left="851" w:hanging="851"/>
        <w:jc w:val="both"/>
        <w:rPr>
          <w:b/>
          <w:i/>
          <w:iCs/>
          <w:sz w:val="24"/>
          <w:szCs w:val="24"/>
          <w:u w:val="single"/>
        </w:rPr>
      </w:pPr>
      <w:r w:rsidRPr="00022BBD">
        <w:rPr>
          <w:sz w:val="24"/>
          <w:szCs w:val="24"/>
        </w:rPr>
        <w:t>[21]</w:t>
      </w:r>
      <w:r w:rsidRPr="00022BBD">
        <w:rPr>
          <w:sz w:val="24"/>
          <w:szCs w:val="24"/>
        </w:rPr>
        <w:tab/>
      </w:r>
      <w:r w:rsidR="00744810" w:rsidRPr="00022BBD">
        <w:rPr>
          <w:bCs/>
          <w:sz w:val="24"/>
          <w:szCs w:val="24"/>
        </w:rPr>
        <w:t>Rule 22(1) specifically provides that a party who is required to deliver a plea, whether in convention or in reconvention, as in the present case, is only obligated to do so within a period of 20 days.</w:t>
      </w:r>
      <w:r w:rsidR="00022BBD" w:rsidRPr="00022BBD">
        <w:rPr>
          <w:bCs/>
          <w:sz w:val="24"/>
          <w:szCs w:val="24"/>
        </w:rPr>
        <w:t xml:space="preserve"> </w:t>
      </w:r>
    </w:p>
    <w:p w14:paraId="12AAF732" w14:textId="77777777" w:rsidR="00022BBD" w:rsidRDefault="00022BBD" w:rsidP="00022BBD">
      <w:pPr>
        <w:pStyle w:val="ListParagraph"/>
        <w:rPr>
          <w:b/>
          <w:i/>
          <w:iCs/>
          <w:u w:val="single"/>
        </w:rPr>
      </w:pPr>
    </w:p>
    <w:p w14:paraId="2506D876" w14:textId="77777777" w:rsidR="00022BBD" w:rsidRPr="00022BBD" w:rsidRDefault="00022BBD" w:rsidP="00022BBD">
      <w:pPr>
        <w:pStyle w:val="Body"/>
        <w:spacing w:line="360" w:lineRule="auto"/>
        <w:ind w:left="851"/>
        <w:jc w:val="both"/>
        <w:rPr>
          <w:b/>
          <w:i/>
          <w:iCs/>
          <w:sz w:val="24"/>
          <w:szCs w:val="24"/>
          <w:u w:val="single"/>
        </w:rPr>
      </w:pPr>
    </w:p>
    <w:p w14:paraId="17E8FBB5" w14:textId="614348E2" w:rsidR="00734F09" w:rsidRPr="00734F09" w:rsidRDefault="00696168" w:rsidP="00696168">
      <w:pPr>
        <w:pStyle w:val="Body"/>
        <w:spacing w:line="360" w:lineRule="auto"/>
        <w:ind w:left="851" w:hanging="851"/>
        <w:jc w:val="both"/>
        <w:rPr>
          <w:b/>
          <w:i/>
          <w:iCs/>
          <w:sz w:val="24"/>
          <w:szCs w:val="24"/>
          <w:u w:val="single"/>
        </w:rPr>
      </w:pPr>
      <w:r w:rsidRPr="00734F09">
        <w:rPr>
          <w:sz w:val="24"/>
          <w:szCs w:val="24"/>
        </w:rPr>
        <w:t>[22]</w:t>
      </w:r>
      <w:r w:rsidRPr="00734F09">
        <w:rPr>
          <w:sz w:val="24"/>
          <w:szCs w:val="24"/>
        </w:rPr>
        <w:tab/>
      </w:r>
      <w:r w:rsidR="00744810">
        <w:rPr>
          <w:bCs/>
          <w:sz w:val="24"/>
          <w:szCs w:val="24"/>
        </w:rPr>
        <w:t>Furthermore, rule</w:t>
      </w:r>
      <w:r w:rsidR="00734F09">
        <w:rPr>
          <w:bCs/>
          <w:sz w:val="24"/>
          <w:szCs w:val="24"/>
        </w:rPr>
        <w:t xml:space="preserve"> 26 provides that:</w:t>
      </w:r>
    </w:p>
    <w:p w14:paraId="6401E9D8" w14:textId="3B685DD6" w:rsidR="00D31DA0" w:rsidRDefault="00734F09" w:rsidP="00734F09">
      <w:pPr>
        <w:pStyle w:val="NormalWeb"/>
        <w:spacing w:line="360" w:lineRule="auto"/>
        <w:ind w:left="1418"/>
        <w:jc w:val="both"/>
        <w:rPr>
          <w:rFonts w:ascii="Arial" w:eastAsia="Times New Roman" w:hAnsi="Arial" w:cs="Arial"/>
          <w:i/>
          <w:iCs/>
          <w:sz w:val="22"/>
          <w:szCs w:val="22"/>
          <w:lang w:val="en-ZA"/>
        </w:rPr>
      </w:pPr>
      <w:r w:rsidRPr="00734F09">
        <w:rPr>
          <w:rFonts w:ascii="Arial" w:hAnsi="Arial" w:cs="Arial"/>
          <w:bCs/>
          <w:i/>
          <w:iCs/>
          <w:sz w:val="22"/>
          <w:szCs w:val="22"/>
        </w:rPr>
        <w:t>“</w:t>
      </w:r>
      <w:r w:rsidRPr="00734F09">
        <w:rPr>
          <w:rFonts w:ascii="Arial" w:eastAsia="Times New Roman" w:hAnsi="Arial" w:cs="Arial"/>
          <w:i/>
          <w:iCs/>
          <w:sz w:val="22"/>
          <w:szCs w:val="22"/>
          <w:lang w:val="en-ZA"/>
        </w:rPr>
        <w:t xml:space="preserve">Any party who fails to deliver a replication or subsequent pleading within the time stated in rule 25 shall be ipso facto barred. If any party fails to deliver any other pleading within the time laid down in these Rules or within any extended time allowed in terms thereof, any other party may by notice served upon him require him to deliver such pleading within five days after the day upon which the notice is delivered. Any party failing to deliver the pleading referred to in the notice within the time therein required or within such further period as may be agreed between the parties, shall be in default of filing such pleading, and ipso facto barred: Provided that for the purposes of this rule the days between 16 December and 15 </w:t>
      </w:r>
      <w:r w:rsidRPr="00734F09">
        <w:rPr>
          <w:rFonts w:ascii="Arial" w:eastAsia="Times New Roman" w:hAnsi="Arial" w:cs="Arial"/>
          <w:i/>
          <w:iCs/>
          <w:sz w:val="22"/>
          <w:szCs w:val="22"/>
          <w:lang w:val="en-ZA"/>
        </w:rPr>
        <w:lastRenderedPageBreak/>
        <w:t>January, both inclusive shall not be counted in the time allowed for the delivery of any pleading.“</w:t>
      </w:r>
    </w:p>
    <w:p w14:paraId="40257B42" w14:textId="6020B16B" w:rsidR="000E49CE" w:rsidRDefault="00696168" w:rsidP="00696168">
      <w:pPr>
        <w:pStyle w:val="NormalWeb"/>
        <w:spacing w:before="240" w:beforeAutospacing="0" w:after="240" w:afterAutospacing="0" w:line="360" w:lineRule="auto"/>
        <w:ind w:left="851" w:hanging="851"/>
        <w:jc w:val="both"/>
        <w:rPr>
          <w:rFonts w:ascii="Arial" w:hAnsi="Arial" w:cs="Arial"/>
          <w:bCs/>
        </w:rPr>
      </w:pPr>
      <w:r>
        <w:rPr>
          <w:rFonts w:ascii="Arial" w:hAnsi="Arial" w:cs="Arial"/>
        </w:rPr>
        <w:t>[23]</w:t>
      </w:r>
      <w:r>
        <w:rPr>
          <w:rFonts w:ascii="Arial" w:hAnsi="Arial" w:cs="Arial"/>
        </w:rPr>
        <w:tab/>
      </w:r>
      <w:r w:rsidR="00734F09" w:rsidRPr="005931AB">
        <w:rPr>
          <w:rFonts w:ascii="Arial" w:hAnsi="Arial" w:cs="Arial"/>
          <w:bCs/>
        </w:rPr>
        <w:t xml:space="preserve">So, having regard to the provisions of rules 22, 25 and rule 26, insofar as a plea in reconvention is concerned, the plea in reconvention is a plea, and once the time period for the filing of that plea has elapsed, it is only upon the service of a notice of bar in terms of rule 26 and failure to comply within the 5 days referred to in that notice, that the party would be </w:t>
      </w:r>
      <w:r w:rsidR="00734F09" w:rsidRPr="005931AB">
        <w:rPr>
          <w:rFonts w:ascii="Arial" w:hAnsi="Arial" w:cs="Arial"/>
          <w:bCs/>
          <w:i/>
          <w:iCs/>
        </w:rPr>
        <w:t>ipso facto</w:t>
      </w:r>
      <w:r w:rsidR="00734F09" w:rsidRPr="005931AB">
        <w:rPr>
          <w:rFonts w:ascii="Arial" w:hAnsi="Arial" w:cs="Arial"/>
          <w:bCs/>
        </w:rPr>
        <w:t xml:space="preserve"> barred.</w:t>
      </w:r>
    </w:p>
    <w:p w14:paraId="6205A71D" w14:textId="77777777" w:rsidR="000E49CE" w:rsidRPr="000E49CE" w:rsidRDefault="000E49CE" w:rsidP="000E49CE">
      <w:pPr>
        <w:pStyle w:val="NormalWeb"/>
        <w:spacing w:before="240" w:beforeAutospacing="0" w:after="240" w:afterAutospacing="0" w:line="360" w:lineRule="auto"/>
        <w:jc w:val="both"/>
        <w:rPr>
          <w:rFonts w:ascii="Arial" w:hAnsi="Arial" w:cs="Arial"/>
          <w:bCs/>
        </w:rPr>
      </w:pPr>
    </w:p>
    <w:p w14:paraId="618C4F76" w14:textId="5213E40D" w:rsidR="00022BBD" w:rsidRPr="000E49CE" w:rsidRDefault="00696168" w:rsidP="00696168">
      <w:pPr>
        <w:pStyle w:val="NormalWeb"/>
        <w:spacing w:before="240" w:beforeAutospacing="0" w:after="240" w:afterAutospacing="0" w:line="360" w:lineRule="auto"/>
        <w:ind w:left="851" w:hanging="851"/>
        <w:jc w:val="both"/>
        <w:rPr>
          <w:rFonts w:ascii="Arial" w:hAnsi="Arial" w:cs="Arial"/>
          <w:bCs/>
        </w:rPr>
      </w:pPr>
      <w:r w:rsidRPr="000E49CE">
        <w:rPr>
          <w:rFonts w:ascii="Arial" w:hAnsi="Arial" w:cs="Arial"/>
        </w:rPr>
        <w:t>[24]</w:t>
      </w:r>
      <w:r w:rsidRPr="000E49CE">
        <w:rPr>
          <w:rFonts w:ascii="Arial" w:hAnsi="Arial" w:cs="Arial"/>
        </w:rPr>
        <w:tab/>
      </w:r>
      <w:r w:rsidR="00092CA6" w:rsidRPr="000E49CE">
        <w:rPr>
          <w:rFonts w:ascii="Arial" w:eastAsia="Times New Roman" w:hAnsi="Arial" w:cs="Arial"/>
          <w:lang w:val="en-ZA"/>
        </w:rPr>
        <w:t>A plea in reconvention is neither a replication nor a “</w:t>
      </w:r>
      <w:r w:rsidR="00092CA6" w:rsidRPr="000E49CE">
        <w:rPr>
          <w:rFonts w:ascii="Arial" w:eastAsia="Times New Roman" w:hAnsi="Arial" w:cs="Arial"/>
          <w:i/>
          <w:iCs/>
          <w:lang w:val="en-ZA"/>
        </w:rPr>
        <w:t>subsequent pleading</w:t>
      </w:r>
      <w:r w:rsidR="00092CA6" w:rsidRPr="000E49CE">
        <w:rPr>
          <w:rFonts w:ascii="Arial" w:eastAsia="Times New Roman" w:hAnsi="Arial" w:cs="Arial"/>
          <w:lang w:val="en-ZA"/>
        </w:rPr>
        <w:t>” and accordingly there is no automatic bar as the defendants argue.</w:t>
      </w:r>
      <w:r w:rsidR="00022BBD" w:rsidRPr="000E49CE">
        <w:rPr>
          <w:rFonts w:ascii="Arial" w:hAnsi="Arial" w:cs="Arial"/>
          <w:bCs/>
        </w:rPr>
        <w:t xml:space="preserve"> </w:t>
      </w:r>
    </w:p>
    <w:p w14:paraId="13A08BF0" w14:textId="77777777" w:rsidR="009B24C0" w:rsidRPr="009B24C0" w:rsidRDefault="009B24C0" w:rsidP="009B24C0">
      <w:pPr>
        <w:pStyle w:val="Body"/>
        <w:spacing w:line="360" w:lineRule="auto"/>
        <w:ind w:left="851"/>
        <w:jc w:val="both"/>
        <w:rPr>
          <w:b/>
          <w:i/>
          <w:iCs/>
          <w:sz w:val="24"/>
          <w:szCs w:val="24"/>
          <w:u w:val="single"/>
        </w:rPr>
      </w:pPr>
    </w:p>
    <w:p w14:paraId="20FCC61A" w14:textId="77AB1686" w:rsidR="00022BBD" w:rsidRPr="009B24C0" w:rsidRDefault="009B24C0" w:rsidP="005931AB">
      <w:pPr>
        <w:pStyle w:val="Body"/>
        <w:spacing w:line="360" w:lineRule="auto"/>
        <w:ind w:left="1418"/>
        <w:jc w:val="both"/>
        <w:rPr>
          <w:b/>
          <w:i/>
          <w:iCs/>
          <w:sz w:val="22"/>
          <w:szCs w:val="22"/>
          <w:u w:val="single"/>
        </w:rPr>
      </w:pPr>
      <w:r w:rsidRPr="009B24C0">
        <w:rPr>
          <w:bCs/>
          <w:i/>
          <w:iCs/>
          <w:sz w:val="22"/>
          <w:szCs w:val="22"/>
        </w:rPr>
        <w:t>“The object of the rules is to secure the inexpensive and expeditious completion of litigation before the courts: they are not an end in themselves. Consequently, the rules should be interpreted and applied in a spirit that will facilitate the work of the courts and enable litigants to resolve their disputes in as speedy and inexpensive manner as possible”</w:t>
      </w:r>
      <w:r w:rsidR="005931AB">
        <w:rPr>
          <w:bCs/>
          <w:i/>
          <w:iCs/>
          <w:sz w:val="22"/>
          <w:szCs w:val="22"/>
        </w:rPr>
        <w:t xml:space="preserve"> </w:t>
      </w:r>
      <w:r>
        <w:rPr>
          <w:rStyle w:val="FootnoteReference"/>
          <w:bCs/>
          <w:i/>
          <w:iCs/>
          <w:sz w:val="22"/>
          <w:szCs w:val="22"/>
        </w:rPr>
        <w:footnoteReference w:id="5"/>
      </w:r>
    </w:p>
    <w:p w14:paraId="24E9284A" w14:textId="77777777" w:rsidR="008D5E22" w:rsidRDefault="008D5E22" w:rsidP="008D5E22">
      <w:pPr>
        <w:pStyle w:val="Body"/>
        <w:spacing w:line="360" w:lineRule="auto"/>
        <w:jc w:val="both"/>
        <w:rPr>
          <w:bCs/>
          <w:sz w:val="24"/>
          <w:szCs w:val="24"/>
        </w:rPr>
      </w:pPr>
    </w:p>
    <w:p w14:paraId="0D57EDD3" w14:textId="2583531D" w:rsidR="00734F09" w:rsidRDefault="008D5E22" w:rsidP="008D5E22">
      <w:pPr>
        <w:pStyle w:val="Body"/>
        <w:spacing w:line="360" w:lineRule="auto"/>
        <w:ind w:left="851" w:hanging="851"/>
        <w:jc w:val="both"/>
        <w:rPr>
          <w:bCs/>
          <w:sz w:val="24"/>
          <w:szCs w:val="24"/>
        </w:rPr>
      </w:pPr>
      <w:r>
        <w:rPr>
          <w:bCs/>
          <w:sz w:val="24"/>
          <w:szCs w:val="24"/>
        </w:rPr>
        <w:t>[25]</w:t>
      </w:r>
      <w:r>
        <w:rPr>
          <w:bCs/>
          <w:sz w:val="24"/>
          <w:szCs w:val="24"/>
        </w:rPr>
        <w:tab/>
      </w:r>
      <w:r w:rsidR="009B24C0">
        <w:rPr>
          <w:bCs/>
          <w:sz w:val="24"/>
          <w:szCs w:val="24"/>
        </w:rPr>
        <w:t>T</w:t>
      </w:r>
      <w:r w:rsidR="00022BBD">
        <w:rPr>
          <w:bCs/>
          <w:sz w:val="24"/>
          <w:szCs w:val="24"/>
        </w:rPr>
        <w:t>he interpretation that the defendants argue for, would as a consequence, if it were to be accepted, create a parallel</w:t>
      </w:r>
      <w:r w:rsidR="00860E60">
        <w:rPr>
          <w:bCs/>
          <w:sz w:val="24"/>
          <w:szCs w:val="24"/>
        </w:rPr>
        <w:t xml:space="preserve"> </w:t>
      </w:r>
      <w:r w:rsidR="00022BBD">
        <w:rPr>
          <w:bCs/>
          <w:sz w:val="24"/>
          <w:szCs w:val="24"/>
        </w:rPr>
        <w:t xml:space="preserve">and more onerous process for parties required to plead in reconvention. This is untenable and not consonant with the overall scheme and purpose of the rules. </w:t>
      </w:r>
    </w:p>
    <w:p w14:paraId="3A1840CC" w14:textId="77777777" w:rsidR="008D5E22" w:rsidRPr="008D5E22" w:rsidRDefault="008D5E22" w:rsidP="008D5E22">
      <w:pPr>
        <w:pStyle w:val="Body"/>
        <w:spacing w:line="360" w:lineRule="auto"/>
        <w:ind w:left="851" w:hanging="851"/>
        <w:jc w:val="both"/>
        <w:rPr>
          <w:b/>
          <w:i/>
          <w:iCs/>
          <w:sz w:val="24"/>
          <w:szCs w:val="24"/>
          <w:u w:val="single"/>
        </w:rPr>
      </w:pPr>
    </w:p>
    <w:p w14:paraId="7957D16E" w14:textId="19BBBB7A" w:rsidR="00092CA6" w:rsidRDefault="00696168" w:rsidP="00696168">
      <w:pPr>
        <w:pStyle w:val="NormalWeb"/>
        <w:spacing w:line="360" w:lineRule="auto"/>
        <w:ind w:left="851" w:hanging="851"/>
        <w:jc w:val="both"/>
        <w:rPr>
          <w:rFonts w:ascii="Arial" w:eastAsia="Times New Roman" w:hAnsi="Arial" w:cs="Arial"/>
          <w:lang w:val="en-ZA"/>
        </w:rPr>
      </w:pPr>
      <w:r>
        <w:rPr>
          <w:rFonts w:ascii="Arial" w:eastAsia="Times New Roman" w:hAnsi="Arial" w:cs="Arial"/>
          <w:lang w:val="en-ZA"/>
        </w:rPr>
        <w:t>[26]</w:t>
      </w:r>
      <w:r>
        <w:rPr>
          <w:rFonts w:ascii="Arial" w:eastAsia="Times New Roman" w:hAnsi="Arial" w:cs="Arial"/>
          <w:lang w:val="en-ZA"/>
        </w:rPr>
        <w:tab/>
      </w:r>
      <w:r w:rsidR="00092CA6">
        <w:rPr>
          <w:rFonts w:ascii="Arial" w:eastAsia="Times New Roman" w:hAnsi="Arial" w:cs="Arial"/>
          <w:lang w:val="en-ZA"/>
        </w:rPr>
        <w:t>Since it is common cause that there was no notice of bar served by the defendants on the plaintiff, either before or after the effecting of the amendment, both the notice in terms of rule 23(1) and the subsequently delivered exception were timeous.</w:t>
      </w:r>
    </w:p>
    <w:p w14:paraId="5D1E6FD4" w14:textId="77777777" w:rsidR="008D5E22" w:rsidRDefault="008D5E22" w:rsidP="008D5E22">
      <w:pPr>
        <w:pStyle w:val="NormalWeb"/>
        <w:spacing w:line="360" w:lineRule="auto"/>
        <w:ind w:left="851"/>
        <w:jc w:val="both"/>
        <w:rPr>
          <w:rFonts w:ascii="Arial" w:eastAsia="Times New Roman" w:hAnsi="Arial" w:cs="Arial"/>
          <w:lang w:val="en-ZA"/>
        </w:rPr>
      </w:pPr>
    </w:p>
    <w:p w14:paraId="0ED1DF8C" w14:textId="3156ED1D" w:rsidR="00092CA6" w:rsidRPr="00734F09" w:rsidRDefault="00092CA6" w:rsidP="00092CA6">
      <w:pPr>
        <w:pStyle w:val="NormalWeb"/>
        <w:spacing w:line="360" w:lineRule="auto"/>
        <w:ind w:left="851" w:hanging="851"/>
        <w:jc w:val="both"/>
        <w:rPr>
          <w:rFonts w:ascii="Arial" w:eastAsia="Times New Roman" w:hAnsi="Arial" w:cs="Arial"/>
          <w:lang w:val="en-ZA"/>
        </w:rPr>
      </w:pPr>
      <w:r>
        <w:rPr>
          <w:rFonts w:ascii="Arial" w:eastAsia="Times New Roman" w:hAnsi="Arial" w:cs="Arial"/>
          <w:lang w:val="en-ZA"/>
        </w:rPr>
        <w:lastRenderedPageBreak/>
        <w:t>[2</w:t>
      </w:r>
      <w:r w:rsidR="008D5E22">
        <w:rPr>
          <w:rFonts w:ascii="Arial" w:eastAsia="Times New Roman" w:hAnsi="Arial" w:cs="Arial"/>
          <w:lang w:val="en-ZA"/>
        </w:rPr>
        <w:t>7</w:t>
      </w:r>
      <w:r>
        <w:rPr>
          <w:rFonts w:ascii="Arial" w:eastAsia="Times New Roman" w:hAnsi="Arial" w:cs="Arial"/>
          <w:lang w:val="en-ZA"/>
        </w:rPr>
        <w:t>]</w:t>
      </w:r>
      <w:r>
        <w:rPr>
          <w:rFonts w:ascii="Arial" w:eastAsia="Times New Roman" w:hAnsi="Arial" w:cs="Arial"/>
          <w:lang w:val="en-ZA"/>
        </w:rPr>
        <w:tab/>
        <w:t>It follows that since the plaintiff has complied with the rules, the application in terms of rule 30A must fail.</w:t>
      </w:r>
    </w:p>
    <w:p w14:paraId="13893E51" w14:textId="77777777" w:rsidR="00296EFB" w:rsidRDefault="00296EFB" w:rsidP="00D31DA0">
      <w:pPr>
        <w:rPr>
          <w:rFonts w:ascii="Arial" w:hAnsi="Arial" w:cs="Arial"/>
          <w:b/>
        </w:rPr>
      </w:pPr>
    </w:p>
    <w:p w14:paraId="5A290E1C" w14:textId="669C417D" w:rsidR="00FD7DF0" w:rsidRDefault="00D537CE" w:rsidP="00D31DA0">
      <w:pPr>
        <w:rPr>
          <w:rFonts w:ascii="Arial" w:hAnsi="Arial" w:cs="Arial"/>
          <w:bCs/>
        </w:rPr>
      </w:pPr>
      <w:r>
        <w:rPr>
          <w:rFonts w:ascii="Arial" w:hAnsi="Arial" w:cs="Arial"/>
          <w:b/>
        </w:rPr>
        <w:t xml:space="preserve">THE </w:t>
      </w:r>
      <w:r w:rsidR="00AC0B2A" w:rsidRPr="00D31DA0">
        <w:rPr>
          <w:rFonts w:ascii="Arial" w:hAnsi="Arial" w:cs="Arial"/>
          <w:b/>
        </w:rPr>
        <w:t>EXCEPTION</w:t>
      </w:r>
    </w:p>
    <w:p w14:paraId="6C37EABB" w14:textId="77777777" w:rsidR="00D31DA0" w:rsidRPr="00D31DA0" w:rsidRDefault="00D31DA0" w:rsidP="00D31DA0">
      <w:pPr>
        <w:rPr>
          <w:rFonts w:ascii="Arial" w:hAnsi="Arial" w:cs="Arial"/>
          <w:bCs/>
        </w:rPr>
      </w:pPr>
    </w:p>
    <w:p w14:paraId="064F3DF7" w14:textId="77777777" w:rsidR="00D14326" w:rsidRPr="00D14326" w:rsidRDefault="00D14326" w:rsidP="00092CA6">
      <w:pPr>
        <w:pStyle w:val="Body"/>
        <w:spacing w:line="360" w:lineRule="auto"/>
        <w:jc w:val="both"/>
        <w:rPr>
          <w:b/>
          <w:i/>
          <w:iCs/>
          <w:sz w:val="24"/>
          <w:szCs w:val="24"/>
          <w:u w:val="single"/>
        </w:rPr>
      </w:pPr>
    </w:p>
    <w:p w14:paraId="0EAED986" w14:textId="27A5ABC7" w:rsidR="00296EFB" w:rsidRDefault="00696168" w:rsidP="00696168">
      <w:pPr>
        <w:pStyle w:val="Body"/>
        <w:spacing w:line="360" w:lineRule="auto"/>
        <w:ind w:left="851" w:hanging="851"/>
        <w:jc w:val="both"/>
        <w:rPr>
          <w:bCs/>
          <w:sz w:val="24"/>
          <w:szCs w:val="24"/>
        </w:rPr>
      </w:pPr>
      <w:r>
        <w:rPr>
          <w:sz w:val="24"/>
          <w:szCs w:val="24"/>
        </w:rPr>
        <w:t>[28]</w:t>
      </w:r>
      <w:r>
        <w:rPr>
          <w:sz w:val="24"/>
          <w:szCs w:val="24"/>
        </w:rPr>
        <w:tab/>
      </w:r>
      <w:r w:rsidR="00296EFB">
        <w:rPr>
          <w:bCs/>
          <w:sz w:val="24"/>
          <w:szCs w:val="24"/>
        </w:rPr>
        <w:t>The plaintiff excepted to two of the three counterclaims made by the defendants.  The grounds upon which the exceptions were brought were the following:</w:t>
      </w:r>
    </w:p>
    <w:p w14:paraId="492D7C24" w14:textId="71003C87" w:rsidR="00296EFB" w:rsidRDefault="00296EFB" w:rsidP="00296EFB">
      <w:pPr>
        <w:pStyle w:val="Body"/>
        <w:spacing w:line="360" w:lineRule="auto"/>
        <w:ind w:left="851" w:hanging="851"/>
        <w:jc w:val="both"/>
        <w:rPr>
          <w:bCs/>
          <w:sz w:val="24"/>
          <w:szCs w:val="24"/>
        </w:rPr>
      </w:pPr>
    </w:p>
    <w:p w14:paraId="311F03E0" w14:textId="17D0F99E" w:rsidR="00296EFB" w:rsidRPr="000F6328" w:rsidRDefault="00296EFB" w:rsidP="000F6328">
      <w:pPr>
        <w:pStyle w:val="Body"/>
        <w:spacing w:line="360" w:lineRule="auto"/>
        <w:ind w:left="1418" w:hanging="1418"/>
        <w:jc w:val="both"/>
        <w:rPr>
          <w:bCs/>
          <w:i/>
          <w:iCs/>
          <w:sz w:val="22"/>
          <w:szCs w:val="22"/>
        </w:rPr>
      </w:pPr>
      <w:r>
        <w:rPr>
          <w:bCs/>
          <w:sz w:val="24"/>
          <w:szCs w:val="24"/>
        </w:rPr>
        <w:tab/>
      </w:r>
      <w:r w:rsidRPr="000F6328">
        <w:rPr>
          <w:bCs/>
          <w:i/>
          <w:iCs/>
          <w:sz w:val="22"/>
          <w:szCs w:val="22"/>
        </w:rPr>
        <w:t>“In respect of Counterclaim B:-</w:t>
      </w:r>
    </w:p>
    <w:p w14:paraId="4DD9C78E" w14:textId="36C981C8" w:rsidR="00296EFB" w:rsidRPr="000F6328" w:rsidRDefault="00296EFB" w:rsidP="000F6328">
      <w:pPr>
        <w:pStyle w:val="Body"/>
        <w:spacing w:line="360" w:lineRule="auto"/>
        <w:ind w:left="2268" w:hanging="850"/>
        <w:jc w:val="both"/>
        <w:rPr>
          <w:bCs/>
          <w:i/>
          <w:iCs/>
          <w:sz w:val="22"/>
          <w:szCs w:val="22"/>
        </w:rPr>
      </w:pPr>
    </w:p>
    <w:p w14:paraId="6B849E69" w14:textId="130AFD57" w:rsidR="00296EFB" w:rsidRPr="000F6328" w:rsidRDefault="00696168" w:rsidP="00696168">
      <w:pPr>
        <w:pStyle w:val="Body"/>
        <w:spacing w:line="360" w:lineRule="auto"/>
        <w:ind w:left="2268" w:hanging="850"/>
        <w:jc w:val="both"/>
        <w:rPr>
          <w:bCs/>
          <w:i/>
          <w:iCs/>
          <w:sz w:val="22"/>
          <w:szCs w:val="22"/>
        </w:rPr>
      </w:pPr>
      <w:r w:rsidRPr="000F6328">
        <w:rPr>
          <w:bCs/>
          <w:i/>
          <w:iCs/>
          <w:sz w:val="22"/>
          <w:szCs w:val="22"/>
        </w:rPr>
        <w:t>1.1</w:t>
      </w:r>
      <w:r w:rsidRPr="000F6328">
        <w:rPr>
          <w:bCs/>
          <w:i/>
          <w:iCs/>
          <w:sz w:val="22"/>
          <w:szCs w:val="22"/>
        </w:rPr>
        <w:tab/>
      </w:r>
      <w:r w:rsidR="00296EFB" w:rsidRPr="000F6328">
        <w:rPr>
          <w:bCs/>
          <w:i/>
          <w:iCs/>
          <w:sz w:val="22"/>
          <w:szCs w:val="22"/>
        </w:rPr>
        <w:t>Counterclaim B, constitute</w:t>
      </w:r>
      <w:r w:rsidR="009B24C0">
        <w:rPr>
          <w:bCs/>
          <w:i/>
          <w:iCs/>
          <w:sz w:val="22"/>
          <w:szCs w:val="22"/>
        </w:rPr>
        <w:t>s</w:t>
      </w:r>
      <w:r w:rsidR="00296EFB" w:rsidRPr="000F6328">
        <w:rPr>
          <w:bCs/>
          <w:i/>
          <w:iCs/>
          <w:sz w:val="22"/>
          <w:szCs w:val="22"/>
        </w:rPr>
        <w:t xml:space="preserve"> a claim of “INJURIA”, </w:t>
      </w:r>
      <w:r w:rsidR="004F4CD5" w:rsidRPr="000F6328">
        <w:rPr>
          <w:bCs/>
          <w:i/>
          <w:iCs/>
          <w:sz w:val="22"/>
          <w:szCs w:val="22"/>
        </w:rPr>
        <w:t>which is ostensibly premised on either a breach of contract or the provisions of Sections 110, 111, 112, 129 and/or 3 of the National Credit Act, 34 of 2005.</w:t>
      </w:r>
    </w:p>
    <w:p w14:paraId="201D7D95" w14:textId="77777777" w:rsidR="000F6328" w:rsidRPr="000F6328" w:rsidRDefault="000F6328" w:rsidP="000F6328">
      <w:pPr>
        <w:pStyle w:val="Body"/>
        <w:spacing w:line="360" w:lineRule="auto"/>
        <w:ind w:left="2268" w:hanging="850"/>
        <w:jc w:val="both"/>
        <w:rPr>
          <w:bCs/>
          <w:i/>
          <w:iCs/>
          <w:sz w:val="22"/>
          <w:szCs w:val="22"/>
        </w:rPr>
      </w:pPr>
    </w:p>
    <w:p w14:paraId="693DADF3" w14:textId="03CAB83F" w:rsidR="004F4CD5" w:rsidRPr="000F6328" w:rsidRDefault="00696168" w:rsidP="00696168">
      <w:pPr>
        <w:pStyle w:val="Body"/>
        <w:spacing w:line="360" w:lineRule="auto"/>
        <w:ind w:left="2268" w:hanging="850"/>
        <w:jc w:val="both"/>
        <w:rPr>
          <w:bCs/>
          <w:i/>
          <w:iCs/>
          <w:sz w:val="22"/>
          <w:szCs w:val="22"/>
        </w:rPr>
      </w:pPr>
      <w:r w:rsidRPr="000F6328">
        <w:rPr>
          <w:bCs/>
          <w:i/>
          <w:iCs/>
          <w:sz w:val="22"/>
          <w:szCs w:val="22"/>
        </w:rPr>
        <w:t>1.2</w:t>
      </w:r>
      <w:r w:rsidRPr="000F6328">
        <w:rPr>
          <w:bCs/>
          <w:i/>
          <w:iCs/>
          <w:sz w:val="22"/>
          <w:szCs w:val="22"/>
        </w:rPr>
        <w:tab/>
      </w:r>
      <w:r w:rsidR="004F4CD5" w:rsidRPr="000F6328">
        <w:rPr>
          <w:bCs/>
          <w:i/>
          <w:iCs/>
          <w:sz w:val="22"/>
          <w:szCs w:val="22"/>
        </w:rPr>
        <w:t>Insofar as breach of contract is relied upon, the Plaintiffs have failed to plead the basis upon which the conduct of breach constitutes a wrongful omission for purposes of sustained a delictual claim.</w:t>
      </w:r>
    </w:p>
    <w:p w14:paraId="6CE4131C" w14:textId="77777777" w:rsidR="000F6328" w:rsidRPr="000F6328" w:rsidRDefault="000F6328" w:rsidP="000F6328">
      <w:pPr>
        <w:pStyle w:val="Body"/>
        <w:spacing w:line="360" w:lineRule="auto"/>
        <w:ind w:left="2268" w:hanging="850"/>
        <w:jc w:val="both"/>
        <w:rPr>
          <w:bCs/>
          <w:i/>
          <w:iCs/>
          <w:sz w:val="22"/>
          <w:szCs w:val="22"/>
        </w:rPr>
      </w:pPr>
    </w:p>
    <w:p w14:paraId="650443D9" w14:textId="46389576" w:rsidR="004F4CD5" w:rsidRPr="000F6328" w:rsidRDefault="00696168" w:rsidP="00696168">
      <w:pPr>
        <w:pStyle w:val="Body"/>
        <w:spacing w:line="360" w:lineRule="auto"/>
        <w:ind w:left="2268" w:hanging="850"/>
        <w:jc w:val="both"/>
        <w:rPr>
          <w:bCs/>
          <w:i/>
          <w:iCs/>
          <w:sz w:val="22"/>
          <w:szCs w:val="22"/>
        </w:rPr>
      </w:pPr>
      <w:r w:rsidRPr="000F6328">
        <w:rPr>
          <w:bCs/>
          <w:i/>
          <w:iCs/>
          <w:sz w:val="22"/>
          <w:szCs w:val="22"/>
        </w:rPr>
        <w:t>1.3</w:t>
      </w:r>
      <w:r w:rsidRPr="000F6328">
        <w:rPr>
          <w:bCs/>
          <w:i/>
          <w:iCs/>
          <w:sz w:val="22"/>
          <w:szCs w:val="22"/>
        </w:rPr>
        <w:tab/>
      </w:r>
      <w:r w:rsidR="004F4CD5" w:rsidRPr="000F6328">
        <w:rPr>
          <w:bCs/>
          <w:i/>
          <w:iCs/>
          <w:sz w:val="22"/>
          <w:szCs w:val="22"/>
        </w:rPr>
        <w:t>The Plaintiffs have failed to plead the basis to sustain the conclusion that the provisions of Sections 3, 110, 111, 112 or 129 of the National Credit Act, 34 of 2005 (hereinafter “the Act”), provides a statutory basis to sustain a claim for in that a statutory duty of care is imposed for purposes of sustaining a delictual claim, especially one premised on the action iniuriarum.  Without detracting from the generality hereof and in addition hereto:-</w:t>
      </w:r>
    </w:p>
    <w:p w14:paraId="308252B7" w14:textId="77777777" w:rsidR="000F6328" w:rsidRDefault="000F6328" w:rsidP="000F6328">
      <w:pPr>
        <w:pStyle w:val="Body"/>
        <w:spacing w:line="360" w:lineRule="auto"/>
        <w:jc w:val="both"/>
        <w:rPr>
          <w:bCs/>
          <w:sz w:val="24"/>
          <w:szCs w:val="24"/>
        </w:rPr>
      </w:pPr>
    </w:p>
    <w:p w14:paraId="59E1E9A8" w14:textId="2435FD06" w:rsidR="004F4CD5" w:rsidRPr="000F6328" w:rsidRDefault="00696168" w:rsidP="00696168">
      <w:pPr>
        <w:pStyle w:val="Body"/>
        <w:spacing w:line="360" w:lineRule="auto"/>
        <w:ind w:left="3402" w:hanging="1134"/>
        <w:jc w:val="both"/>
        <w:rPr>
          <w:bCs/>
          <w:i/>
          <w:iCs/>
          <w:sz w:val="22"/>
          <w:szCs w:val="22"/>
        </w:rPr>
      </w:pPr>
      <w:r w:rsidRPr="000F6328">
        <w:rPr>
          <w:bCs/>
          <w:i/>
          <w:iCs/>
          <w:sz w:val="22"/>
          <w:szCs w:val="22"/>
        </w:rPr>
        <w:t>1.3.1</w:t>
      </w:r>
      <w:r w:rsidRPr="000F6328">
        <w:rPr>
          <w:bCs/>
          <w:i/>
          <w:iCs/>
          <w:sz w:val="22"/>
          <w:szCs w:val="22"/>
        </w:rPr>
        <w:tab/>
      </w:r>
      <w:r w:rsidR="004F4CD5" w:rsidRPr="000F6328">
        <w:rPr>
          <w:bCs/>
          <w:i/>
          <w:iCs/>
          <w:sz w:val="22"/>
          <w:szCs w:val="22"/>
        </w:rPr>
        <w:t>Respectively Sections 3, 112 and 129 of the Act do not contain any right of action;</w:t>
      </w:r>
    </w:p>
    <w:p w14:paraId="3AA68A31" w14:textId="77777777" w:rsidR="000F6328" w:rsidRPr="000F6328" w:rsidRDefault="000F6328" w:rsidP="000F6328">
      <w:pPr>
        <w:pStyle w:val="Body"/>
        <w:spacing w:line="360" w:lineRule="auto"/>
        <w:ind w:left="3402" w:hanging="1134"/>
        <w:jc w:val="both"/>
        <w:rPr>
          <w:bCs/>
          <w:i/>
          <w:iCs/>
          <w:sz w:val="22"/>
          <w:szCs w:val="22"/>
        </w:rPr>
      </w:pPr>
    </w:p>
    <w:p w14:paraId="73527970" w14:textId="10263117" w:rsidR="004F4CD5" w:rsidRPr="000F6328" w:rsidRDefault="00696168" w:rsidP="00696168">
      <w:pPr>
        <w:pStyle w:val="Body"/>
        <w:spacing w:line="360" w:lineRule="auto"/>
        <w:ind w:left="3402" w:hanging="1134"/>
        <w:jc w:val="both"/>
        <w:rPr>
          <w:bCs/>
          <w:i/>
          <w:iCs/>
          <w:sz w:val="22"/>
          <w:szCs w:val="22"/>
        </w:rPr>
      </w:pPr>
      <w:r w:rsidRPr="000F6328">
        <w:rPr>
          <w:bCs/>
          <w:i/>
          <w:iCs/>
          <w:sz w:val="22"/>
          <w:szCs w:val="22"/>
        </w:rPr>
        <w:t>1.3.2</w:t>
      </w:r>
      <w:r w:rsidRPr="000F6328">
        <w:rPr>
          <w:bCs/>
          <w:i/>
          <w:iCs/>
          <w:sz w:val="22"/>
          <w:szCs w:val="22"/>
        </w:rPr>
        <w:tab/>
      </w:r>
      <w:r w:rsidR="004F4CD5" w:rsidRPr="000F6328">
        <w:rPr>
          <w:bCs/>
          <w:i/>
          <w:iCs/>
          <w:sz w:val="22"/>
          <w:szCs w:val="22"/>
        </w:rPr>
        <w:t>Section 110 of the Act presupposes that a request for statements was made on part of the Plaintiffs, no allegation in this respect is pleaded; and</w:t>
      </w:r>
    </w:p>
    <w:p w14:paraId="65CD5E9D" w14:textId="77777777" w:rsidR="000F6328" w:rsidRPr="000F6328" w:rsidRDefault="000F6328" w:rsidP="000F6328">
      <w:pPr>
        <w:pStyle w:val="Body"/>
        <w:spacing w:line="360" w:lineRule="auto"/>
        <w:ind w:left="3402" w:hanging="1134"/>
        <w:jc w:val="both"/>
        <w:rPr>
          <w:bCs/>
          <w:i/>
          <w:iCs/>
          <w:sz w:val="22"/>
          <w:szCs w:val="22"/>
        </w:rPr>
      </w:pPr>
    </w:p>
    <w:p w14:paraId="1F52252E" w14:textId="34147701" w:rsidR="004F4CD5" w:rsidRPr="000F6328" w:rsidRDefault="00696168" w:rsidP="00696168">
      <w:pPr>
        <w:pStyle w:val="Body"/>
        <w:spacing w:line="360" w:lineRule="auto"/>
        <w:ind w:left="3402" w:hanging="1134"/>
        <w:jc w:val="both"/>
        <w:rPr>
          <w:bCs/>
          <w:i/>
          <w:iCs/>
          <w:sz w:val="22"/>
          <w:szCs w:val="22"/>
        </w:rPr>
      </w:pPr>
      <w:r w:rsidRPr="000F6328">
        <w:rPr>
          <w:bCs/>
          <w:i/>
          <w:iCs/>
          <w:sz w:val="22"/>
          <w:szCs w:val="22"/>
        </w:rPr>
        <w:lastRenderedPageBreak/>
        <w:t>1.3.3</w:t>
      </w:r>
      <w:r w:rsidRPr="000F6328">
        <w:rPr>
          <w:bCs/>
          <w:i/>
          <w:iCs/>
          <w:sz w:val="22"/>
          <w:szCs w:val="22"/>
        </w:rPr>
        <w:tab/>
      </w:r>
      <w:r w:rsidR="004F4CD5" w:rsidRPr="000F6328">
        <w:rPr>
          <w:bCs/>
          <w:i/>
          <w:iCs/>
          <w:sz w:val="22"/>
          <w:szCs w:val="22"/>
        </w:rPr>
        <w:t>Section 111 of the Act presupposes that the Plaintiffs have disputed an account entry, no allegation in this respect is pleaded.</w:t>
      </w:r>
    </w:p>
    <w:p w14:paraId="022D9524" w14:textId="29BF2D58" w:rsidR="004F4CD5" w:rsidRDefault="004F4CD5" w:rsidP="004F4CD5">
      <w:pPr>
        <w:pStyle w:val="Body"/>
        <w:spacing w:line="360" w:lineRule="auto"/>
        <w:jc w:val="both"/>
        <w:rPr>
          <w:bCs/>
          <w:sz w:val="24"/>
          <w:szCs w:val="24"/>
        </w:rPr>
      </w:pPr>
    </w:p>
    <w:p w14:paraId="263B4358" w14:textId="349E32ED" w:rsidR="004F4CD5" w:rsidRPr="000F6328" w:rsidRDefault="00696168" w:rsidP="00696168">
      <w:pPr>
        <w:pStyle w:val="Body"/>
        <w:spacing w:line="360" w:lineRule="auto"/>
        <w:ind w:left="2268" w:hanging="850"/>
        <w:jc w:val="both"/>
        <w:rPr>
          <w:bCs/>
          <w:i/>
          <w:iCs/>
          <w:sz w:val="22"/>
          <w:szCs w:val="22"/>
        </w:rPr>
      </w:pPr>
      <w:r w:rsidRPr="000F6328">
        <w:rPr>
          <w:bCs/>
          <w:i/>
          <w:iCs/>
          <w:sz w:val="22"/>
          <w:szCs w:val="22"/>
        </w:rPr>
        <w:t>1.4</w:t>
      </w:r>
      <w:r w:rsidRPr="000F6328">
        <w:rPr>
          <w:bCs/>
          <w:i/>
          <w:iCs/>
          <w:sz w:val="22"/>
          <w:szCs w:val="22"/>
        </w:rPr>
        <w:tab/>
      </w:r>
      <w:r w:rsidR="004F4CD5" w:rsidRPr="000F6328">
        <w:rPr>
          <w:bCs/>
          <w:i/>
          <w:iCs/>
          <w:sz w:val="22"/>
          <w:szCs w:val="22"/>
        </w:rPr>
        <w:t xml:space="preserve">The Plaintiffs have failed to plead the impairment of the relevant aspect of personality relied upon. Specifically, the Plaintiffs have failed to plead whether the impairment pertain to person </w:t>
      </w:r>
      <w:r w:rsidR="004F4CD5" w:rsidRPr="000F6328">
        <w:rPr>
          <w:bCs/>
          <w:i/>
          <w:iCs/>
          <w:sz w:val="22"/>
          <w:szCs w:val="22"/>
          <w:u w:val="single"/>
        </w:rPr>
        <w:t>or</w:t>
      </w:r>
      <w:r w:rsidR="004F4CD5" w:rsidRPr="000F6328">
        <w:rPr>
          <w:bCs/>
          <w:i/>
          <w:iCs/>
          <w:sz w:val="22"/>
          <w:szCs w:val="22"/>
        </w:rPr>
        <w:t xml:space="preserve"> dignity </w:t>
      </w:r>
      <w:r w:rsidR="004F4CD5" w:rsidRPr="000F6328">
        <w:rPr>
          <w:bCs/>
          <w:i/>
          <w:iCs/>
          <w:sz w:val="22"/>
          <w:szCs w:val="22"/>
          <w:u w:val="single"/>
        </w:rPr>
        <w:t>or</w:t>
      </w:r>
      <w:r w:rsidR="004F4CD5" w:rsidRPr="000F6328">
        <w:rPr>
          <w:bCs/>
          <w:i/>
          <w:iCs/>
          <w:sz w:val="22"/>
          <w:szCs w:val="22"/>
        </w:rPr>
        <w:t xml:space="preserve"> reputation</w:t>
      </w:r>
      <w:r w:rsidR="000D661E" w:rsidRPr="000F6328">
        <w:rPr>
          <w:bCs/>
          <w:i/>
          <w:iCs/>
          <w:sz w:val="22"/>
          <w:szCs w:val="22"/>
        </w:rPr>
        <w:t>, under circumstances where the claim is not divisible and therefore multiple claims premised on the same alleged wrongful act cannot be sustained.</w:t>
      </w:r>
    </w:p>
    <w:p w14:paraId="7A981D30" w14:textId="77777777" w:rsidR="000F6328" w:rsidRPr="000F6328" w:rsidRDefault="000F6328" w:rsidP="000F6328">
      <w:pPr>
        <w:pStyle w:val="Body"/>
        <w:spacing w:line="360" w:lineRule="auto"/>
        <w:ind w:left="2268" w:hanging="850"/>
        <w:jc w:val="both"/>
        <w:rPr>
          <w:bCs/>
          <w:i/>
          <w:iCs/>
          <w:sz w:val="22"/>
          <w:szCs w:val="22"/>
        </w:rPr>
      </w:pPr>
    </w:p>
    <w:p w14:paraId="0D2CFB7D" w14:textId="4E2D22D5" w:rsidR="000D661E" w:rsidRPr="000F6328" w:rsidRDefault="00696168" w:rsidP="00696168">
      <w:pPr>
        <w:pStyle w:val="Body"/>
        <w:spacing w:line="360" w:lineRule="auto"/>
        <w:ind w:left="2268" w:hanging="850"/>
        <w:jc w:val="both"/>
        <w:rPr>
          <w:bCs/>
          <w:i/>
          <w:iCs/>
          <w:sz w:val="22"/>
          <w:szCs w:val="22"/>
        </w:rPr>
      </w:pPr>
      <w:r w:rsidRPr="000F6328">
        <w:rPr>
          <w:bCs/>
          <w:i/>
          <w:iCs/>
          <w:sz w:val="22"/>
          <w:szCs w:val="22"/>
        </w:rPr>
        <w:t>1.5</w:t>
      </w:r>
      <w:r w:rsidRPr="000F6328">
        <w:rPr>
          <w:bCs/>
          <w:i/>
          <w:iCs/>
          <w:sz w:val="22"/>
          <w:szCs w:val="22"/>
        </w:rPr>
        <w:tab/>
      </w:r>
      <w:r w:rsidR="000D661E" w:rsidRPr="000F6328">
        <w:rPr>
          <w:bCs/>
          <w:i/>
          <w:iCs/>
          <w:sz w:val="22"/>
          <w:szCs w:val="22"/>
        </w:rPr>
        <w:t>Insofar as the impairment sought to be relied upon pertain to reputation, the Plaintiffs have failed to plead any publication.  Moreover, the Plaintiffs cannot plead publication in light thereof that the conduct relied upon constitutes an omission instead of a positive act.</w:t>
      </w:r>
    </w:p>
    <w:p w14:paraId="2211DD55" w14:textId="77777777" w:rsidR="000F6328" w:rsidRPr="000F6328" w:rsidRDefault="000F6328" w:rsidP="000F6328">
      <w:pPr>
        <w:pStyle w:val="Body"/>
        <w:spacing w:line="360" w:lineRule="auto"/>
        <w:ind w:left="2268" w:hanging="850"/>
        <w:jc w:val="both"/>
        <w:rPr>
          <w:bCs/>
          <w:i/>
          <w:iCs/>
          <w:sz w:val="22"/>
          <w:szCs w:val="22"/>
        </w:rPr>
      </w:pPr>
    </w:p>
    <w:p w14:paraId="3591317F" w14:textId="67193C59" w:rsidR="000D661E" w:rsidRPr="000F6328" w:rsidRDefault="00696168" w:rsidP="00696168">
      <w:pPr>
        <w:pStyle w:val="Body"/>
        <w:spacing w:line="360" w:lineRule="auto"/>
        <w:ind w:left="2268" w:hanging="850"/>
        <w:jc w:val="both"/>
        <w:rPr>
          <w:bCs/>
          <w:i/>
          <w:iCs/>
          <w:sz w:val="22"/>
          <w:szCs w:val="22"/>
        </w:rPr>
      </w:pPr>
      <w:r w:rsidRPr="000F6328">
        <w:rPr>
          <w:bCs/>
          <w:i/>
          <w:iCs/>
          <w:sz w:val="22"/>
          <w:szCs w:val="22"/>
        </w:rPr>
        <w:t>1.6</w:t>
      </w:r>
      <w:r w:rsidRPr="000F6328">
        <w:rPr>
          <w:bCs/>
          <w:i/>
          <w:iCs/>
          <w:sz w:val="22"/>
          <w:szCs w:val="22"/>
        </w:rPr>
        <w:tab/>
      </w:r>
      <w:r w:rsidR="000D661E" w:rsidRPr="000F6328">
        <w:rPr>
          <w:bCs/>
          <w:i/>
          <w:iCs/>
          <w:sz w:val="22"/>
          <w:szCs w:val="22"/>
        </w:rPr>
        <w:t>The Plaintiffs have failed to plead the basis for the calculation of the quantum of the claim with sufficient particularity to enable the Defendant to plead thereto.  Additionally</w:t>
      </w:r>
      <w:r w:rsidR="000F6328" w:rsidRPr="000F6328">
        <w:rPr>
          <w:bCs/>
          <w:i/>
          <w:iCs/>
          <w:sz w:val="22"/>
          <w:szCs w:val="22"/>
        </w:rPr>
        <w:t>,</w:t>
      </w:r>
      <w:r w:rsidR="000D661E" w:rsidRPr="000F6328">
        <w:rPr>
          <w:bCs/>
          <w:i/>
          <w:iCs/>
          <w:sz w:val="22"/>
          <w:szCs w:val="22"/>
        </w:rPr>
        <w:t xml:space="preserve"> the Plaintiffs have failed to plead the basis upon which the Defendants have respective claims for damages.</w:t>
      </w:r>
    </w:p>
    <w:p w14:paraId="2535FE67" w14:textId="236D8572" w:rsidR="000D661E" w:rsidRDefault="000D661E" w:rsidP="000D661E">
      <w:pPr>
        <w:pStyle w:val="Body"/>
        <w:spacing w:line="360" w:lineRule="auto"/>
        <w:jc w:val="both"/>
        <w:rPr>
          <w:bCs/>
          <w:sz w:val="24"/>
          <w:szCs w:val="24"/>
        </w:rPr>
      </w:pPr>
    </w:p>
    <w:p w14:paraId="3BA51997" w14:textId="5415F375" w:rsidR="000D661E" w:rsidRPr="000F6328" w:rsidRDefault="000D661E" w:rsidP="000F6328">
      <w:pPr>
        <w:pStyle w:val="Body"/>
        <w:spacing w:line="360" w:lineRule="auto"/>
        <w:ind w:left="1418"/>
        <w:jc w:val="both"/>
        <w:rPr>
          <w:bCs/>
          <w:i/>
          <w:iCs/>
          <w:sz w:val="24"/>
          <w:szCs w:val="24"/>
        </w:rPr>
      </w:pPr>
      <w:r w:rsidRPr="000F6328">
        <w:rPr>
          <w:bCs/>
          <w:i/>
          <w:iCs/>
          <w:sz w:val="24"/>
          <w:szCs w:val="24"/>
        </w:rPr>
        <w:t>In respect of Counterc</w:t>
      </w:r>
      <w:r w:rsidR="009B24C0">
        <w:rPr>
          <w:bCs/>
          <w:i/>
          <w:iCs/>
          <w:sz w:val="24"/>
          <w:szCs w:val="24"/>
        </w:rPr>
        <w:t>l</w:t>
      </w:r>
      <w:r w:rsidRPr="000F6328">
        <w:rPr>
          <w:bCs/>
          <w:i/>
          <w:iCs/>
          <w:sz w:val="24"/>
          <w:szCs w:val="24"/>
        </w:rPr>
        <w:t>aim C:-</w:t>
      </w:r>
    </w:p>
    <w:p w14:paraId="27609409" w14:textId="3F1BE9D9" w:rsidR="000D661E" w:rsidRDefault="000D661E" w:rsidP="000D661E">
      <w:pPr>
        <w:pStyle w:val="Body"/>
        <w:spacing w:line="360" w:lineRule="auto"/>
        <w:jc w:val="both"/>
        <w:rPr>
          <w:bCs/>
          <w:sz w:val="24"/>
          <w:szCs w:val="24"/>
        </w:rPr>
      </w:pPr>
    </w:p>
    <w:p w14:paraId="2CE6F5BC" w14:textId="4BB9529E" w:rsidR="000D661E" w:rsidRPr="000F6328" w:rsidRDefault="000D661E" w:rsidP="000F6328">
      <w:pPr>
        <w:pStyle w:val="Body"/>
        <w:spacing w:line="360" w:lineRule="auto"/>
        <w:ind w:left="2268" w:hanging="850"/>
        <w:jc w:val="both"/>
        <w:rPr>
          <w:bCs/>
          <w:i/>
          <w:iCs/>
          <w:sz w:val="22"/>
          <w:szCs w:val="22"/>
        </w:rPr>
      </w:pPr>
      <w:r w:rsidRPr="000F6328">
        <w:rPr>
          <w:bCs/>
          <w:i/>
          <w:iCs/>
          <w:sz w:val="22"/>
          <w:szCs w:val="22"/>
        </w:rPr>
        <w:t>2.1</w:t>
      </w:r>
      <w:r w:rsidRPr="000F6328">
        <w:rPr>
          <w:bCs/>
          <w:i/>
          <w:iCs/>
          <w:sz w:val="22"/>
          <w:szCs w:val="22"/>
        </w:rPr>
        <w:tab/>
        <w:t>The Plaintiffs have failed to allege and plead facts in substantiation of the relevant intent (animo iniuriandi) in the institution of process that will sustain a</w:t>
      </w:r>
      <w:r w:rsidR="00992748">
        <w:rPr>
          <w:bCs/>
          <w:i/>
          <w:iCs/>
          <w:sz w:val="22"/>
          <w:szCs w:val="22"/>
        </w:rPr>
        <w:t>n</w:t>
      </w:r>
      <w:r w:rsidRPr="000F6328">
        <w:rPr>
          <w:bCs/>
          <w:i/>
          <w:iCs/>
          <w:sz w:val="22"/>
          <w:szCs w:val="22"/>
        </w:rPr>
        <w:t xml:space="preserve"> action iniuriarum for institution of malicious proceedings.</w:t>
      </w:r>
    </w:p>
    <w:p w14:paraId="3902C25B" w14:textId="39E6F207" w:rsidR="000D661E" w:rsidRPr="000F6328" w:rsidRDefault="000D661E" w:rsidP="000F6328">
      <w:pPr>
        <w:pStyle w:val="Body"/>
        <w:spacing w:line="360" w:lineRule="auto"/>
        <w:ind w:left="2268" w:hanging="850"/>
        <w:jc w:val="both"/>
        <w:rPr>
          <w:bCs/>
          <w:i/>
          <w:iCs/>
          <w:sz w:val="22"/>
          <w:szCs w:val="22"/>
        </w:rPr>
      </w:pPr>
    </w:p>
    <w:p w14:paraId="6BDFCFA1" w14:textId="72775797" w:rsidR="000D661E" w:rsidRPr="000F6328" w:rsidRDefault="000D661E" w:rsidP="000F6328">
      <w:pPr>
        <w:pStyle w:val="Body"/>
        <w:spacing w:line="360" w:lineRule="auto"/>
        <w:ind w:left="2268" w:hanging="850"/>
        <w:jc w:val="both"/>
        <w:rPr>
          <w:bCs/>
          <w:i/>
          <w:iCs/>
          <w:sz w:val="22"/>
          <w:szCs w:val="22"/>
        </w:rPr>
      </w:pPr>
      <w:r w:rsidRPr="000F6328">
        <w:rPr>
          <w:bCs/>
          <w:i/>
          <w:iCs/>
          <w:sz w:val="22"/>
          <w:szCs w:val="22"/>
        </w:rPr>
        <w:t>2.2</w:t>
      </w:r>
      <w:r w:rsidRPr="000F6328">
        <w:rPr>
          <w:bCs/>
          <w:i/>
          <w:iCs/>
          <w:sz w:val="22"/>
          <w:szCs w:val="22"/>
        </w:rPr>
        <w:tab/>
        <w:t>The allegation that the proceedings were withdrawn does not factually sustain the legal conclusion pleaded that the proceedings were terminated in the Plaintiffs’ favour.</w:t>
      </w:r>
    </w:p>
    <w:p w14:paraId="67682E58" w14:textId="22C6D4CA" w:rsidR="000D661E" w:rsidRPr="000F6328" w:rsidRDefault="000D661E" w:rsidP="000F6328">
      <w:pPr>
        <w:pStyle w:val="Body"/>
        <w:spacing w:line="360" w:lineRule="auto"/>
        <w:ind w:left="2268" w:hanging="850"/>
        <w:jc w:val="both"/>
        <w:rPr>
          <w:bCs/>
          <w:i/>
          <w:iCs/>
          <w:sz w:val="22"/>
          <w:szCs w:val="22"/>
        </w:rPr>
      </w:pPr>
    </w:p>
    <w:p w14:paraId="40DE15A9" w14:textId="455B8189" w:rsidR="000D661E" w:rsidRPr="000F6328" w:rsidRDefault="000D661E" w:rsidP="000F6328">
      <w:pPr>
        <w:pStyle w:val="Body"/>
        <w:spacing w:line="360" w:lineRule="auto"/>
        <w:ind w:left="2268" w:hanging="850"/>
        <w:jc w:val="both"/>
        <w:rPr>
          <w:bCs/>
          <w:i/>
          <w:iCs/>
          <w:sz w:val="22"/>
          <w:szCs w:val="22"/>
        </w:rPr>
      </w:pPr>
      <w:r w:rsidRPr="000F6328">
        <w:rPr>
          <w:bCs/>
          <w:i/>
          <w:iCs/>
          <w:sz w:val="22"/>
          <w:szCs w:val="22"/>
        </w:rPr>
        <w:t>2.3</w:t>
      </w:r>
      <w:r w:rsidRPr="000F6328">
        <w:rPr>
          <w:bCs/>
          <w:i/>
          <w:iCs/>
          <w:sz w:val="22"/>
          <w:szCs w:val="22"/>
        </w:rPr>
        <w:tab/>
        <w:t xml:space="preserve">Insofar as the damages sought to be recovered in terms of Counterclaim C relate to special damages relating to legal costs, this constitutes special damages which has not been </w:t>
      </w:r>
      <w:r w:rsidR="000F6328" w:rsidRPr="000F6328">
        <w:rPr>
          <w:bCs/>
          <w:i/>
          <w:iCs/>
          <w:sz w:val="22"/>
          <w:szCs w:val="22"/>
        </w:rPr>
        <w:t>particularized, under circumstances where the Plaintiffs’ costs were tendered in the notice of withdrawal attached to the counterclaim as annexure “JM6”.</w:t>
      </w:r>
    </w:p>
    <w:p w14:paraId="62852E6C" w14:textId="2A52D448" w:rsidR="000F6328" w:rsidRPr="000F6328" w:rsidRDefault="000F6328" w:rsidP="000F6328">
      <w:pPr>
        <w:pStyle w:val="Body"/>
        <w:spacing w:line="360" w:lineRule="auto"/>
        <w:ind w:left="2268" w:hanging="850"/>
        <w:jc w:val="both"/>
        <w:rPr>
          <w:bCs/>
          <w:i/>
          <w:iCs/>
          <w:sz w:val="22"/>
          <w:szCs w:val="22"/>
        </w:rPr>
      </w:pPr>
    </w:p>
    <w:p w14:paraId="46A688FA" w14:textId="31F17500" w:rsidR="000F6328" w:rsidRPr="000F6328" w:rsidRDefault="000F6328" w:rsidP="000F6328">
      <w:pPr>
        <w:pStyle w:val="Body"/>
        <w:spacing w:line="360" w:lineRule="auto"/>
        <w:ind w:left="2268" w:hanging="850"/>
        <w:jc w:val="both"/>
        <w:rPr>
          <w:bCs/>
          <w:i/>
          <w:iCs/>
          <w:sz w:val="22"/>
          <w:szCs w:val="22"/>
        </w:rPr>
      </w:pPr>
      <w:r w:rsidRPr="000F6328">
        <w:rPr>
          <w:bCs/>
          <w:i/>
          <w:iCs/>
          <w:sz w:val="22"/>
          <w:szCs w:val="22"/>
        </w:rPr>
        <w:t>2.4</w:t>
      </w:r>
      <w:r w:rsidRPr="000F6328">
        <w:rPr>
          <w:bCs/>
          <w:i/>
          <w:iCs/>
          <w:sz w:val="22"/>
          <w:szCs w:val="22"/>
        </w:rPr>
        <w:tab/>
        <w:t>The Plaintiffs have failed to plead facts that sustains a causal link between the conduct of the Defendant and the damages allegedly suffered.</w:t>
      </w:r>
    </w:p>
    <w:p w14:paraId="17224915" w14:textId="195A7A6E" w:rsidR="000F6328" w:rsidRPr="000F6328" w:rsidRDefault="000F6328" w:rsidP="000F6328">
      <w:pPr>
        <w:pStyle w:val="Body"/>
        <w:spacing w:line="360" w:lineRule="auto"/>
        <w:ind w:left="2268" w:hanging="850"/>
        <w:jc w:val="both"/>
        <w:rPr>
          <w:bCs/>
          <w:i/>
          <w:iCs/>
          <w:sz w:val="22"/>
          <w:szCs w:val="22"/>
        </w:rPr>
      </w:pPr>
    </w:p>
    <w:p w14:paraId="3F179298" w14:textId="3D841F3A" w:rsidR="000F6328" w:rsidRPr="000F6328" w:rsidRDefault="000F6328" w:rsidP="000F6328">
      <w:pPr>
        <w:pStyle w:val="Body"/>
        <w:spacing w:line="360" w:lineRule="auto"/>
        <w:ind w:left="2268" w:hanging="850"/>
        <w:jc w:val="both"/>
        <w:rPr>
          <w:bCs/>
          <w:i/>
          <w:iCs/>
          <w:sz w:val="22"/>
          <w:szCs w:val="22"/>
        </w:rPr>
      </w:pPr>
      <w:r w:rsidRPr="000F6328">
        <w:rPr>
          <w:bCs/>
          <w:i/>
          <w:iCs/>
          <w:sz w:val="22"/>
          <w:szCs w:val="22"/>
        </w:rPr>
        <w:t>2.5</w:t>
      </w:r>
      <w:r w:rsidRPr="000F6328">
        <w:rPr>
          <w:bCs/>
          <w:i/>
          <w:iCs/>
          <w:sz w:val="22"/>
          <w:szCs w:val="22"/>
        </w:rPr>
        <w:tab/>
        <w:t>The Plaintiffs have failed to plead the basis upon which the Defendants have respective claims for damages.”</w:t>
      </w:r>
    </w:p>
    <w:p w14:paraId="59B5875B" w14:textId="77777777" w:rsidR="00296EFB" w:rsidRDefault="00296EFB" w:rsidP="00296EFB">
      <w:pPr>
        <w:pStyle w:val="Body"/>
        <w:spacing w:line="360" w:lineRule="auto"/>
        <w:ind w:left="851" w:hanging="851"/>
        <w:jc w:val="both"/>
        <w:rPr>
          <w:bCs/>
          <w:sz w:val="24"/>
          <w:szCs w:val="24"/>
        </w:rPr>
      </w:pPr>
    </w:p>
    <w:p w14:paraId="040F20EB" w14:textId="6939653E" w:rsidR="001A6161" w:rsidRDefault="000F6328" w:rsidP="0081204A">
      <w:pPr>
        <w:pStyle w:val="Body"/>
        <w:spacing w:line="360" w:lineRule="auto"/>
        <w:ind w:left="851" w:hanging="851"/>
        <w:jc w:val="both"/>
        <w:rPr>
          <w:bCs/>
          <w:sz w:val="24"/>
          <w:szCs w:val="24"/>
        </w:rPr>
      </w:pPr>
      <w:r>
        <w:rPr>
          <w:bCs/>
          <w:sz w:val="24"/>
          <w:szCs w:val="24"/>
        </w:rPr>
        <w:t>[2</w:t>
      </w:r>
      <w:r w:rsidR="008D5E22">
        <w:rPr>
          <w:bCs/>
          <w:sz w:val="24"/>
          <w:szCs w:val="24"/>
        </w:rPr>
        <w:t>9</w:t>
      </w:r>
      <w:r>
        <w:rPr>
          <w:bCs/>
          <w:sz w:val="24"/>
          <w:szCs w:val="24"/>
        </w:rPr>
        <w:t>]</w:t>
      </w:r>
      <w:r>
        <w:rPr>
          <w:bCs/>
          <w:sz w:val="24"/>
          <w:szCs w:val="24"/>
        </w:rPr>
        <w:tab/>
      </w:r>
      <w:r w:rsidR="009B24C0">
        <w:rPr>
          <w:bCs/>
          <w:sz w:val="24"/>
          <w:szCs w:val="24"/>
        </w:rPr>
        <w:t xml:space="preserve">Both </w:t>
      </w:r>
      <w:r w:rsidR="00306A16">
        <w:rPr>
          <w:bCs/>
          <w:sz w:val="24"/>
          <w:szCs w:val="24"/>
        </w:rPr>
        <w:t>claims</w:t>
      </w:r>
      <w:r w:rsidR="009B24C0">
        <w:rPr>
          <w:bCs/>
          <w:sz w:val="24"/>
          <w:szCs w:val="24"/>
        </w:rPr>
        <w:t xml:space="preserve"> to which the plaintiff has excepted</w:t>
      </w:r>
      <w:r w:rsidR="00306A16">
        <w:rPr>
          <w:bCs/>
          <w:sz w:val="24"/>
          <w:szCs w:val="24"/>
        </w:rPr>
        <w:t xml:space="preserve"> are claims for </w:t>
      </w:r>
      <w:r w:rsidR="00306A16" w:rsidRPr="00306A16">
        <w:rPr>
          <w:bCs/>
          <w:i/>
          <w:iCs/>
          <w:sz w:val="24"/>
          <w:szCs w:val="24"/>
        </w:rPr>
        <w:t>iniuria</w:t>
      </w:r>
      <w:r w:rsidR="00306A16">
        <w:rPr>
          <w:bCs/>
          <w:sz w:val="24"/>
          <w:szCs w:val="24"/>
        </w:rPr>
        <w:t xml:space="preserve">.   This cause of action is for relief for an impairment of the person, </w:t>
      </w:r>
      <w:r w:rsidR="00992748">
        <w:rPr>
          <w:bCs/>
          <w:sz w:val="24"/>
          <w:szCs w:val="24"/>
        </w:rPr>
        <w:t>dignity,</w:t>
      </w:r>
      <w:r w:rsidR="00306A16">
        <w:rPr>
          <w:bCs/>
          <w:sz w:val="24"/>
          <w:szCs w:val="24"/>
        </w:rPr>
        <w:t xml:space="preserve"> or reputation which impairment is committed wrongfully and intentionally.</w:t>
      </w:r>
      <w:r w:rsidR="001A6161">
        <w:rPr>
          <w:rStyle w:val="FootnoteReference"/>
          <w:bCs/>
          <w:sz w:val="24"/>
          <w:szCs w:val="24"/>
        </w:rPr>
        <w:footnoteReference w:id="6"/>
      </w:r>
      <w:r w:rsidR="001A6161">
        <w:rPr>
          <w:bCs/>
          <w:sz w:val="24"/>
          <w:szCs w:val="24"/>
        </w:rPr>
        <w:t xml:space="preserve"> </w:t>
      </w:r>
      <w:r w:rsidR="00306A16">
        <w:rPr>
          <w:bCs/>
          <w:sz w:val="24"/>
          <w:szCs w:val="24"/>
        </w:rPr>
        <w:t xml:space="preserve"> </w:t>
      </w:r>
    </w:p>
    <w:p w14:paraId="51840781" w14:textId="77777777" w:rsidR="001A6161" w:rsidRDefault="001A6161" w:rsidP="0081204A">
      <w:pPr>
        <w:pStyle w:val="Body"/>
        <w:spacing w:line="360" w:lineRule="auto"/>
        <w:ind w:left="851" w:hanging="851"/>
        <w:jc w:val="both"/>
        <w:rPr>
          <w:bCs/>
          <w:sz w:val="24"/>
          <w:szCs w:val="24"/>
        </w:rPr>
      </w:pPr>
    </w:p>
    <w:p w14:paraId="3C99BC19" w14:textId="22169688" w:rsidR="000F6328" w:rsidRDefault="001A6161" w:rsidP="0081204A">
      <w:pPr>
        <w:pStyle w:val="Body"/>
        <w:spacing w:line="360" w:lineRule="auto"/>
        <w:ind w:left="851" w:hanging="851"/>
        <w:jc w:val="both"/>
        <w:rPr>
          <w:bCs/>
          <w:sz w:val="24"/>
          <w:szCs w:val="24"/>
        </w:rPr>
      </w:pPr>
      <w:r>
        <w:rPr>
          <w:bCs/>
          <w:sz w:val="24"/>
          <w:szCs w:val="24"/>
        </w:rPr>
        <w:t>[</w:t>
      </w:r>
      <w:r w:rsidR="008D5E22">
        <w:rPr>
          <w:bCs/>
          <w:sz w:val="24"/>
          <w:szCs w:val="24"/>
        </w:rPr>
        <w:t>30</w:t>
      </w:r>
      <w:r>
        <w:rPr>
          <w:bCs/>
          <w:sz w:val="24"/>
          <w:szCs w:val="24"/>
        </w:rPr>
        <w:t>]</w:t>
      </w:r>
      <w:r>
        <w:rPr>
          <w:bCs/>
          <w:sz w:val="24"/>
          <w:szCs w:val="24"/>
        </w:rPr>
        <w:tab/>
        <w:t xml:space="preserve">In </w:t>
      </w:r>
      <w:r w:rsidRPr="001A6161">
        <w:rPr>
          <w:bCs/>
          <w:i/>
          <w:iCs/>
          <w:sz w:val="24"/>
          <w:szCs w:val="24"/>
        </w:rPr>
        <w:t>Dendy v University of the Witwatersrand and Others</w:t>
      </w:r>
      <w:r>
        <w:rPr>
          <w:bCs/>
          <w:sz w:val="24"/>
          <w:szCs w:val="24"/>
        </w:rPr>
        <w:t xml:space="preserve"> </w:t>
      </w:r>
      <w:r>
        <w:rPr>
          <w:rStyle w:val="FootnoteReference"/>
          <w:bCs/>
          <w:sz w:val="24"/>
          <w:szCs w:val="24"/>
        </w:rPr>
        <w:footnoteReference w:id="7"/>
      </w:r>
      <w:r>
        <w:rPr>
          <w:bCs/>
          <w:sz w:val="24"/>
          <w:szCs w:val="24"/>
        </w:rPr>
        <w:t xml:space="preserve"> the three essential requirements to establish such an action were held to be:</w:t>
      </w:r>
    </w:p>
    <w:p w14:paraId="4A890503" w14:textId="05921517" w:rsidR="001A6161" w:rsidRDefault="001A6161" w:rsidP="0081204A">
      <w:pPr>
        <w:pStyle w:val="Body"/>
        <w:spacing w:line="360" w:lineRule="auto"/>
        <w:ind w:left="851" w:hanging="851"/>
        <w:jc w:val="both"/>
        <w:rPr>
          <w:bCs/>
          <w:sz w:val="24"/>
          <w:szCs w:val="24"/>
        </w:rPr>
      </w:pPr>
    </w:p>
    <w:p w14:paraId="416563EA" w14:textId="47427829" w:rsidR="001A6161" w:rsidRDefault="001A6161" w:rsidP="001A6161">
      <w:pPr>
        <w:pStyle w:val="Body"/>
        <w:spacing w:line="360" w:lineRule="auto"/>
        <w:ind w:left="2268" w:hanging="850"/>
        <w:jc w:val="both"/>
        <w:rPr>
          <w:bCs/>
          <w:i/>
          <w:iCs/>
          <w:sz w:val="22"/>
          <w:szCs w:val="22"/>
        </w:rPr>
      </w:pPr>
      <w:r w:rsidRPr="001A6161">
        <w:rPr>
          <w:bCs/>
          <w:i/>
          <w:iCs/>
          <w:sz w:val="22"/>
          <w:szCs w:val="22"/>
        </w:rPr>
        <w:t>“(i)</w:t>
      </w:r>
      <w:r w:rsidRPr="001A6161">
        <w:rPr>
          <w:bCs/>
          <w:i/>
          <w:iCs/>
          <w:sz w:val="22"/>
          <w:szCs w:val="22"/>
        </w:rPr>
        <w:tab/>
        <w:t>An intention on the part of the offender to produce the effect of his act;</w:t>
      </w:r>
    </w:p>
    <w:p w14:paraId="5C089E86" w14:textId="77777777" w:rsidR="001A6161" w:rsidRPr="001A6161" w:rsidRDefault="001A6161" w:rsidP="001A6161">
      <w:pPr>
        <w:pStyle w:val="Body"/>
        <w:spacing w:line="360" w:lineRule="auto"/>
        <w:ind w:left="2268" w:hanging="850"/>
        <w:jc w:val="both"/>
        <w:rPr>
          <w:bCs/>
          <w:i/>
          <w:iCs/>
          <w:sz w:val="22"/>
          <w:szCs w:val="22"/>
        </w:rPr>
      </w:pPr>
    </w:p>
    <w:p w14:paraId="257FD275" w14:textId="51B66E85" w:rsidR="001A6161" w:rsidRDefault="001A6161" w:rsidP="001A6161">
      <w:pPr>
        <w:pStyle w:val="Body"/>
        <w:spacing w:line="360" w:lineRule="auto"/>
        <w:ind w:left="2268" w:hanging="850"/>
        <w:jc w:val="both"/>
        <w:rPr>
          <w:bCs/>
          <w:i/>
          <w:iCs/>
          <w:sz w:val="22"/>
          <w:szCs w:val="22"/>
        </w:rPr>
      </w:pPr>
      <w:r w:rsidRPr="001A6161">
        <w:rPr>
          <w:bCs/>
          <w:i/>
          <w:iCs/>
          <w:sz w:val="22"/>
          <w:szCs w:val="22"/>
        </w:rPr>
        <w:t>(ii)</w:t>
      </w:r>
      <w:r w:rsidRPr="001A6161">
        <w:rPr>
          <w:bCs/>
          <w:i/>
          <w:iCs/>
          <w:sz w:val="22"/>
          <w:szCs w:val="22"/>
        </w:rPr>
        <w:tab/>
        <w:t>An overt act which the person doing it is not legally competent to do; and which at the same time is;</w:t>
      </w:r>
    </w:p>
    <w:p w14:paraId="3605EB5A" w14:textId="77777777" w:rsidR="001913BA" w:rsidRPr="001A6161" w:rsidRDefault="001913BA" w:rsidP="008D5E22">
      <w:pPr>
        <w:pStyle w:val="Body"/>
        <w:spacing w:line="360" w:lineRule="auto"/>
        <w:jc w:val="both"/>
        <w:rPr>
          <w:bCs/>
          <w:i/>
          <w:iCs/>
          <w:sz w:val="22"/>
          <w:szCs w:val="22"/>
        </w:rPr>
      </w:pPr>
    </w:p>
    <w:p w14:paraId="3B3A8ECC" w14:textId="3A5D5BDD" w:rsidR="001A6161" w:rsidRPr="001A6161" w:rsidRDefault="001A6161" w:rsidP="001A6161">
      <w:pPr>
        <w:pStyle w:val="Body"/>
        <w:spacing w:line="360" w:lineRule="auto"/>
        <w:ind w:left="2268" w:hanging="850"/>
        <w:jc w:val="both"/>
        <w:rPr>
          <w:bCs/>
          <w:i/>
          <w:iCs/>
          <w:sz w:val="22"/>
          <w:szCs w:val="22"/>
        </w:rPr>
      </w:pPr>
      <w:r w:rsidRPr="001A6161">
        <w:rPr>
          <w:bCs/>
          <w:i/>
          <w:iCs/>
          <w:sz w:val="22"/>
          <w:szCs w:val="22"/>
        </w:rPr>
        <w:t>(iii)</w:t>
      </w:r>
      <w:r w:rsidRPr="001A6161">
        <w:rPr>
          <w:bCs/>
          <w:i/>
          <w:iCs/>
          <w:sz w:val="22"/>
          <w:szCs w:val="22"/>
        </w:rPr>
        <w:tab/>
        <w:t>An aggression upon the right of another, by which aggression the other is aggrieved and which constitutes an impairment of the person, dignity or reputation of the other.”</w:t>
      </w:r>
    </w:p>
    <w:p w14:paraId="3E454F0C" w14:textId="77777777" w:rsidR="000F6328" w:rsidRDefault="000F6328" w:rsidP="0081204A">
      <w:pPr>
        <w:pStyle w:val="Body"/>
        <w:spacing w:line="360" w:lineRule="auto"/>
        <w:ind w:left="851" w:hanging="851"/>
        <w:jc w:val="both"/>
        <w:rPr>
          <w:bCs/>
          <w:sz w:val="24"/>
          <w:szCs w:val="24"/>
        </w:rPr>
      </w:pPr>
    </w:p>
    <w:p w14:paraId="1610D126" w14:textId="6D3D65F5" w:rsidR="00D14326" w:rsidRPr="00353222" w:rsidRDefault="0081204A" w:rsidP="00353222">
      <w:pPr>
        <w:pStyle w:val="Body"/>
        <w:spacing w:line="360" w:lineRule="auto"/>
        <w:ind w:left="851" w:hanging="851"/>
        <w:jc w:val="both"/>
        <w:rPr>
          <w:bCs/>
          <w:sz w:val="24"/>
          <w:szCs w:val="24"/>
        </w:rPr>
      </w:pPr>
      <w:r>
        <w:rPr>
          <w:bCs/>
          <w:sz w:val="24"/>
          <w:szCs w:val="24"/>
        </w:rPr>
        <w:t>[</w:t>
      </w:r>
      <w:r w:rsidR="008D5E22">
        <w:rPr>
          <w:bCs/>
          <w:sz w:val="24"/>
          <w:szCs w:val="24"/>
        </w:rPr>
        <w:t>31</w:t>
      </w:r>
      <w:r>
        <w:rPr>
          <w:bCs/>
          <w:sz w:val="24"/>
          <w:szCs w:val="24"/>
        </w:rPr>
        <w:t>]</w:t>
      </w:r>
      <w:r>
        <w:rPr>
          <w:bCs/>
          <w:sz w:val="24"/>
          <w:szCs w:val="24"/>
        </w:rPr>
        <w:tab/>
      </w:r>
      <w:r w:rsidR="00D14326" w:rsidRPr="00D14326">
        <w:rPr>
          <w:bCs/>
          <w:sz w:val="24"/>
          <w:szCs w:val="24"/>
        </w:rPr>
        <w:t>It is trite that when considering an exception, this must be done within the confines of the case as pleaded and that all the averments contained in the pleading are accepted as being correct.</w:t>
      </w:r>
      <w:r w:rsidR="00D14326">
        <w:rPr>
          <w:rStyle w:val="FootnoteReference"/>
          <w:bCs/>
          <w:sz w:val="24"/>
          <w:szCs w:val="24"/>
        </w:rPr>
        <w:footnoteReference w:id="8"/>
      </w:r>
      <w:r w:rsidR="00D14326" w:rsidRPr="00D14326">
        <w:rPr>
          <w:bCs/>
          <w:sz w:val="24"/>
          <w:szCs w:val="24"/>
        </w:rPr>
        <w:t xml:space="preserve"> Relevant to the determination of the present exception</w:t>
      </w:r>
      <w:r w:rsidR="00D14326">
        <w:rPr>
          <w:rStyle w:val="FootnoteReference"/>
          <w:bCs/>
          <w:sz w:val="24"/>
          <w:szCs w:val="24"/>
        </w:rPr>
        <w:footnoteReference w:id="9"/>
      </w:r>
      <w:r w:rsidR="00D14326" w:rsidRPr="00D14326">
        <w:rPr>
          <w:bCs/>
          <w:sz w:val="24"/>
          <w:szCs w:val="24"/>
        </w:rPr>
        <w:t xml:space="preserve">, is whether or not on the case as pleaded by the </w:t>
      </w:r>
      <w:r w:rsidR="00992748">
        <w:rPr>
          <w:bCs/>
          <w:sz w:val="24"/>
          <w:szCs w:val="24"/>
        </w:rPr>
        <w:t>defendants</w:t>
      </w:r>
      <w:r w:rsidR="00D14326" w:rsidRPr="00D14326">
        <w:rPr>
          <w:bCs/>
          <w:sz w:val="24"/>
          <w:szCs w:val="24"/>
        </w:rPr>
        <w:t xml:space="preserve">, there is </w:t>
      </w:r>
      <w:r w:rsidR="00D14326" w:rsidRPr="00D14326">
        <w:rPr>
          <w:bCs/>
          <w:sz w:val="24"/>
          <w:szCs w:val="24"/>
        </w:rPr>
        <w:lastRenderedPageBreak/>
        <w:t xml:space="preserve">a cause of action. The test to be applied is set out in </w:t>
      </w:r>
      <w:r w:rsidR="00D14326" w:rsidRPr="00D14326">
        <w:rPr>
          <w:bCs/>
          <w:i/>
          <w:iCs/>
          <w:sz w:val="24"/>
          <w:szCs w:val="24"/>
        </w:rPr>
        <w:t>H v Fetal Assessment Centre</w:t>
      </w:r>
      <w:r w:rsidR="00D14326">
        <w:rPr>
          <w:rStyle w:val="FootnoteReference"/>
          <w:bCs/>
          <w:sz w:val="24"/>
          <w:szCs w:val="24"/>
        </w:rPr>
        <w:footnoteReference w:id="10"/>
      </w:r>
      <w:r w:rsidR="00D14326" w:rsidRPr="00D14326">
        <w:rPr>
          <w:bCs/>
          <w:sz w:val="24"/>
          <w:szCs w:val="24"/>
        </w:rPr>
        <w:t xml:space="preserve">  where it was held:</w:t>
      </w:r>
    </w:p>
    <w:p w14:paraId="1E344D6A" w14:textId="77777777" w:rsidR="00D14326" w:rsidRDefault="00D14326" w:rsidP="00D14326">
      <w:pPr>
        <w:pStyle w:val="Body"/>
        <w:spacing w:line="360" w:lineRule="auto"/>
        <w:ind w:left="720"/>
        <w:jc w:val="both"/>
        <w:rPr>
          <w:bCs/>
          <w:sz w:val="24"/>
          <w:szCs w:val="24"/>
        </w:rPr>
      </w:pPr>
    </w:p>
    <w:p w14:paraId="578A8E3C" w14:textId="77777777" w:rsidR="00D14326" w:rsidRDefault="00D14326" w:rsidP="00296EFB">
      <w:pPr>
        <w:pStyle w:val="Body"/>
        <w:spacing w:line="360" w:lineRule="auto"/>
        <w:ind w:left="2268" w:hanging="850"/>
        <w:jc w:val="both"/>
        <w:rPr>
          <w:bCs/>
          <w:sz w:val="22"/>
          <w:szCs w:val="22"/>
        </w:rPr>
      </w:pPr>
      <w:r w:rsidRPr="004E00DD">
        <w:rPr>
          <w:bCs/>
          <w:i/>
          <w:iCs/>
          <w:sz w:val="22"/>
          <w:szCs w:val="22"/>
        </w:rPr>
        <w:t>“[10]</w:t>
      </w:r>
      <w:r w:rsidRPr="004E00DD">
        <w:rPr>
          <w:bCs/>
          <w:i/>
          <w:iCs/>
          <w:sz w:val="22"/>
          <w:szCs w:val="22"/>
        </w:rPr>
        <w:tab/>
        <w:t xml:space="preserve">In the high court the matter was decided on exception. Exceptions provide a useful mechanism “to weed out cases without legal merit,” as Harms JA said in Telematrix. The test on exception is </w:t>
      </w:r>
      <w:r w:rsidRPr="007A65B6">
        <w:rPr>
          <w:b/>
          <w:i/>
          <w:iCs/>
          <w:sz w:val="22"/>
          <w:szCs w:val="22"/>
          <w:u w:val="single"/>
        </w:rPr>
        <w:t xml:space="preserve">whether on all possible readings </w:t>
      </w:r>
      <w:r w:rsidRPr="004E00DD">
        <w:rPr>
          <w:bCs/>
          <w:i/>
          <w:iCs/>
          <w:sz w:val="22"/>
          <w:szCs w:val="22"/>
        </w:rPr>
        <w:t>of the facts no cause of action may be made out.  It is for the excipient to satisfy the court that the conclusion of law for which the plaintiff contends cannot be supported on every interpretation that can be put upon the facts”.</w:t>
      </w:r>
      <w:r>
        <w:rPr>
          <w:bCs/>
          <w:i/>
          <w:iCs/>
          <w:sz w:val="22"/>
          <w:szCs w:val="22"/>
        </w:rPr>
        <w:t xml:space="preserve">  </w:t>
      </w:r>
      <w:r w:rsidRPr="007A65B6">
        <w:rPr>
          <w:bCs/>
          <w:sz w:val="22"/>
          <w:szCs w:val="22"/>
        </w:rPr>
        <w:t>[my emphasis]</w:t>
      </w:r>
    </w:p>
    <w:p w14:paraId="68975F1C" w14:textId="77777777" w:rsidR="00D14326" w:rsidRDefault="00D14326" w:rsidP="00D14326">
      <w:pPr>
        <w:pStyle w:val="Body"/>
        <w:spacing w:line="360" w:lineRule="auto"/>
        <w:ind w:left="720"/>
        <w:jc w:val="both"/>
        <w:rPr>
          <w:bCs/>
          <w:i/>
          <w:iCs/>
          <w:sz w:val="22"/>
          <w:szCs w:val="22"/>
        </w:rPr>
      </w:pPr>
    </w:p>
    <w:p w14:paraId="5C4F0822" w14:textId="0C8BB7DC" w:rsidR="008D5E22" w:rsidRDefault="00696168" w:rsidP="00696168">
      <w:pPr>
        <w:pStyle w:val="Body"/>
        <w:spacing w:line="360" w:lineRule="auto"/>
        <w:ind w:left="851" w:hanging="851"/>
        <w:jc w:val="both"/>
        <w:rPr>
          <w:bCs/>
          <w:sz w:val="24"/>
          <w:szCs w:val="24"/>
        </w:rPr>
      </w:pPr>
      <w:r>
        <w:rPr>
          <w:sz w:val="24"/>
          <w:szCs w:val="24"/>
        </w:rPr>
        <w:t>[32]</w:t>
      </w:r>
      <w:r>
        <w:rPr>
          <w:sz w:val="24"/>
          <w:szCs w:val="24"/>
        </w:rPr>
        <w:tab/>
      </w:r>
      <w:r w:rsidR="00353222">
        <w:rPr>
          <w:bCs/>
          <w:sz w:val="24"/>
          <w:szCs w:val="24"/>
        </w:rPr>
        <w:t xml:space="preserve">It was argued on the part of the </w:t>
      </w:r>
      <w:r w:rsidR="00992748">
        <w:rPr>
          <w:bCs/>
          <w:sz w:val="24"/>
          <w:szCs w:val="24"/>
        </w:rPr>
        <w:t>p</w:t>
      </w:r>
      <w:r w:rsidR="00353222">
        <w:rPr>
          <w:bCs/>
          <w:sz w:val="24"/>
          <w:szCs w:val="24"/>
        </w:rPr>
        <w:t xml:space="preserve">laintiff that properly construed, claim B does not disclose a cause of action.  It was argued that since there was no overt act pleaded and relied upon, there was no cause of action.  </w:t>
      </w:r>
      <w:r w:rsidR="00CD4172">
        <w:rPr>
          <w:bCs/>
          <w:sz w:val="24"/>
          <w:szCs w:val="24"/>
        </w:rPr>
        <w:t xml:space="preserve">Furthermore, even if a cause of action was found, the pleading did not disclose the impairment of the relevant aspect of personality relied upon. </w:t>
      </w:r>
    </w:p>
    <w:p w14:paraId="6A17C651" w14:textId="77777777" w:rsidR="008D5E22" w:rsidRDefault="008D5E22" w:rsidP="008D5E22">
      <w:pPr>
        <w:pStyle w:val="Body"/>
        <w:spacing w:line="360" w:lineRule="auto"/>
        <w:ind w:left="851" w:hanging="851"/>
        <w:jc w:val="both"/>
        <w:rPr>
          <w:bCs/>
          <w:sz w:val="24"/>
          <w:szCs w:val="24"/>
        </w:rPr>
      </w:pPr>
    </w:p>
    <w:p w14:paraId="349A9F3E" w14:textId="49744519" w:rsidR="00992748" w:rsidRPr="008D5E22" w:rsidRDefault="00696168" w:rsidP="00696168">
      <w:pPr>
        <w:pStyle w:val="Body"/>
        <w:spacing w:line="360" w:lineRule="auto"/>
        <w:ind w:left="851" w:hanging="851"/>
        <w:jc w:val="both"/>
        <w:rPr>
          <w:bCs/>
          <w:sz w:val="24"/>
          <w:szCs w:val="24"/>
        </w:rPr>
      </w:pPr>
      <w:r w:rsidRPr="008D5E22">
        <w:rPr>
          <w:sz w:val="24"/>
          <w:szCs w:val="24"/>
        </w:rPr>
        <w:t>[33]</w:t>
      </w:r>
      <w:r w:rsidRPr="008D5E22">
        <w:rPr>
          <w:sz w:val="24"/>
          <w:szCs w:val="24"/>
        </w:rPr>
        <w:tab/>
      </w:r>
      <w:r w:rsidR="00992748" w:rsidRPr="008D5E22">
        <w:rPr>
          <w:bCs/>
          <w:sz w:val="24"/>
          <w:szCs w:val="24"/>
        </w:rPr>
        <w:t>The high-water mark of the defendants pleading in this regard was paragraph 25 of claim B in which it was stated:</w:t>
      </w:r>
    </w:p>
    <w:p w14:paraId="5B1A8FD6" w14:textId="77777777" w:rsidR="00992748" w:rsidRDefault="00992748" w:rsidP="00353222">
      <w:pPr>
        <w:pStyle w:val="Body"/>
        <w:spacing w:line="360" w:lineRule="auto"/>
        <w:ind w:left="851" w:hanging="851"/>
        <w:jc w:val="both"/>
        <w:rPr>
          <w:bCs/>
          <w:sz w:val="24"/>
          <w:szCs w:val="24"/>
        </w:rPr>
      </w:pPr>
    </w:p>
    <w:p w14:paraId="7B089D2F" w14:textId="45367526" w:rsidR="00992748" w:rsidRPr="00CD3B7C" w:rsidRDefault="00992748" w:rsidP="008D5E22">
      <w:pPr>
        <w:pStyle w:val="Body"/>
        <w:spacing w:line="360" w:lineRule="auto"/>
        <w:ind w:left="1418"/>
        <w:jc w:val="both"/>
        <w:rPr>
          <w:bCs/>
          <w:i/>
          <w:iCs/>
          <w:sz w:val="24"/>
          <w:szCs w:val="24"/>
        </w:rPr>
      </w:pPr>
      <w:r>
        <w:rPr>
          <w:bCs/>
          <w:sz w:val="24"/>
          <w:szCs w:val="24"/>
        </w:rPr>
        <w:tab/>
      </w:r>
      <w:r w:rsidRPr="00CD3B7C">
        <w:rPr>
          <w:bCs/>
          <w:i/>
          <w:iCs/>
          <w:sz w:val="22"/>
          <w:szCs w:val="22"/>
        </w:rPr>
        <w:t>“</w:t>
      </w:r>
      <w:r w:rsidR="00CD3B7C" w:rsidRPr="00CD3B7C">
        <w:rPr>
          <w:bCs/>
          <w:i/>
          <w:iCs/>
          <w:sz w:val="22"/>
          <w:szCs w:val="22"/>
        </w:rPr>
        <w:t>The Defendants further aver that the Plaintiff’s conduct aforesaid, as well as the Plaintiff’s conduct set out in in paragraphs 17 to 39 and 41 to 46 above, amounted to and constituted an unfair and degrading treatment against them, particularly when regard is had to the provisions of Section 3 of the NCA”</w:t>
      </w:r>
    </w:p>
    <w:p w14:paraId="34D5F2D3" w14:textId="0ED14C3E" w:rsidR="00CD4172" w:rsidRDefault="00CD4172" w:rsidP="00353222">
      <w:pPr>
        <w:pStyle w:val="Body"/>
        <w:spacing w:line="360" w:lineRule="auto"/>
        <w:ind w:left="851" w:hanging="851"/>
        <w:jc w:val="both"/>
        <w:rPr>
          <w:bCs/>
          <w:sz w:val="24"/>
          <w:szCs w:val="24"/>
        </w:rPr>
      </w:pPr>
    </w:p>
    <w:p w14:paraId="566D8C2B" w14:textId="416289E5" w:rsidR="00CD3B7C" w:rsidRDefault="00CD4172" w:rsidP="00353222">
      <w:pPr>
        <w:pStyle w:val="Body"/>
        <w:spacing w:line="360" w:lineRule="auto"/>
        <w:ind w:left="851" w:hanging="851"/>
        <w:jc w:val="both"/>
        <w:rPr>
          <w:bCs/>
          <w:sz w:val="24"/>
          <w:szCs w:val="24"/>
        </w:rPr>
      </w:pPr>
      <w:r>
        <w:rPr>
          <w:bCs/>
          <w:sz w:val="24"/>
          <w:szCs w:val="24"/>
        </w:rPr>
        <w:t>[3</w:t>
      </w:r>
      <w:r w:rsidR="008D5E22">
        <w:rPr>
          <w:bCs/>
          <w:sz w:val="24"/>
          <w:szCs w:val="24"/>
        </w:rPr>
        <w:t>4</w:t>
      </w:r>
      <w:r>
        <w:rPr>
          <w:bCs/>
          <w:sz w:val="24"/>
          <w:szCs w:val="24"/>
        </w:rPr>
        <w:t>]</w:t>
      </w:r>
      <w:r>
        <w:rPr>
          <w:bCs/>
          <w:sz w:val="24"/>
          <w:szCs w:val="24"/>
        </w:rPr>
        <w:tab/>
      </w:r>
      <w:r w:rsidR="00CD3B7C">
        <w:rPr>
          <w:bCs/>
          <w:sz w:val="24"/>
          <w:szCs w:val="24"/>
        </w:rPr>
        <w:t>A number of issues arise from this paragraph. Firstly, the reference to paragraphs 17 onward includes claim A which refers to the loan agreement entered into and its terms and the plaintiff’s breach of the agreement. This reference insofar as it does, only goes as far as paragraph 22. Claim B is set out from paragraph 23 to 28 and claim C from 29 to 41.</w:t>
      </w:r>
      <w:r w:rsidR="00A00BC3">
        <w:rPr>
          <w:bCs/>
          <w:sz w:val="24"/>
          <w:szCs w:val="24"/>
        </w:rPr>
        <w:t xml:space="preserve"> Paragraph is the allegation of demand. So besides </w:t>
      </w:r>
      <w:r w:rsidR="00A00BC3">
        <w:rPr>
          <w:bCs/>
          <w:sz w:val="24"/>
          <w:szCs w:val="24"/>
        </w:rPr>
        <w:lastRenderedPageBreak/>
        <w:t>there being no overt act pleaded, there is in the plea reference to non-existent paragraphs.</w:t>
      </w:r>
    </w:p>
    <w:p w14:paraId="41A6AFB3" w14:textId="77777777" w:rsidR="00A00BC3" w:rsidRDefault="00A00BC3" w:rsidP="00353222">
      <w:pPr>
        <w:pStyle w:val="Body"/>
        <w:spacing w:line="360" w:lineRule="auto"/>
        <w:ind w:left="851" w:hanging="851"/>
        <w:jc w:val="both"/>
        <w:rPr>
          <w:bCs/>
          <w:sz w:val="24"/>
          <w:szCs w:val="24"/>
        </w:rPr>
      </w:pPr>
    </w:p>
    <w:p w14:paraId="0E6693DC" w14:textId="47885AEA" w:rsidR="00CD4172" w:rsidRDefault="00CD3B7C" w:rsidP="00A00BC3">
      <w:pPr>
        <w:pStyle w:val="Body"/>
        <w:spacing w:line="360" w:lineRule="auto"/>
        <w:ind w:left="851" w:hanging="851"/>
        <w:jc w:val="both"/>
        <w:rPr>
          <w:bCs/>
          <w:sz w:val="24"/>
          <w:szCs w:val="24"/>
        </w:rPr>
      </w:pPr>
      <w:r>
        <w:rPr>
          <w:bCs/>
          <w:sz w:val="24"/>
          <w:szCs w:val="24"/>
        </w:rPr>
        <w:t>[3</w:t>
      </w:r>
      <w:r w:rsidR="008D5E22">
        <w:rPr>
          <w:bCs/>
          <w:sz w:val="24"/>
          <w:szCs w:val="24"/>
        </w:rPr>
        <w:t>5</w:t>
      </w:r>
      <w:r>
        <w:rPr>
          <w:bCs/>
          <w:sz w:val="24"/>
          <w:szCs w:val="24"/>
        </w:rPr>
        <w:t>]</w:t>
      </w:r>
      <w:r>
        <w:rPr>
          <w:bCs/>
          <w:sz w:val="24"/>
          <w:szCs w:val="24"/>
        </w:rPr>
        <w:tab/>
      </w:r>
      <w:r w:rsidR="00CD4172">
        <w:rPr>
          <w:bCs/>
          <w:sz w:val="24"/>
          <w:szCs w:val="24"/>
        </w:rPr>
        <w:t xml:space="preserve">In </w:t>
      </w:r>
      <w:r w:rsidR="00CD4172" w:rsidRPr="00CD4172">
        <w:rPr>
          <w:bCs/>
          <w:i/>
          <w:iCs/>
          <w:sz w:val="24"/>
          <w:szCs w:val="24"/>
        </w:rPr>
        <w:t>Le Roux and Others v Dey; Freedom of Expression Institute and Another as Amici Curiae</w:t>
      </w:r>
      <w:r w:rsidR="00CD4172">
        <w:rPr>
          <w:rStyle w:val="FootnoteReference"/>
          <w:bCs/>
          <w:sz w:val="24"/>
          <w:szCs w:val="24"/>
        </w:rPr>
        <w:footnoteReference w:id="11"/>
      </w:r>
      <w:r w:rsidR="00CD4172">
        <w:rPr>
          <w:bCs/>
          <w:i/>
          <w:iCs/>
          <w:sz w:val="24"/>
          <w:szCs w:val="24"/>
        </w:rPr>
        <w:t xml:space="preserve"> </w:t>
      </w:r>
      <w:r w:rsidR="00CD4172">
        <w:rPr>
          <w:bCs/>
          <w:sz w:val="24"/>
          <w:szCs w:val="24"/>
        </w:rPr>
        <w:t>it was held that it was necessary to plead specifically whether the impairment pertained to person or dignity or reputation as such a claim was not divisible and for this reason multiple claims premised on the same alleged wrongful act were unsustainable.</w:t>
      </w:r>
    </w:p>
    <w:p w14:paraId="6BC0BDB3" w14:textId="5C3A6C91" w:rsidR="00056FD9" w:rsidRDefault="00056FD9" w:rsidP="00353222">
      <w:pPr>
        <w:pStyle w:val="Body"/>
        <w:spacing w:line="360" w:lineRule="auto"/>
        <w:ind w:left="851" w:hanging="851"/>
        <w:jc w:val="both"/>
        <w:rPr>
          <w:bCs/>
          <w:sz w:val="24"/>
          <w:szCs w:val="24"/>
        </w:rPr>
      </w:pPr>
    </w:p>
    <w:p w14:paraId="4180130B" w14:textId="60E8438C" w:rsidR="008D5E22" w:rsidRDefault="00696168" w:rsidP="00696168">
      <w:pPr>
        <w:pStyle w:val="Body"/>
        <w:spacing w:line="360" w:lineRule="auto"/>
        <w:ind w:left="851" w:hanging="851"/>
        <w:jc w:val="both"/>
        <w:rPr>
          <w:bCs/>
          <w:sz w:val="24"/>
          <w:szCs w:val="24"/>
        </w:rPr>
      </w:pPr>
      <w:r>
        <w:rPr>
          <w:sz w:val="24"/>
          <w:szCs w:val="24"/>
        </w:rPr>
        <w:t>[36]</w:t>
      </w:r>
      <w:r>
        <w:rPr>
          <w:sz w:val="24"/>
          <w:szCs w:val="24"/>
        </w:rPr>
        <w:tab/>
      </w:r>
      <w:r w:rsidR="00056FD9">
        <w:rPr>
          <w:bCs/>
          <w:sz w:val="24"/>
          <w:szCs w:val="24"/>
        </w:rPr>
        <w:t>The final argument advanced in respect of the exception in respect of claim B was that the defendants had failed to plead the basis for the calculation of the quantum.</w:t>
      </w:r>
      <w:r w:rsidR="00E16173" w:rsidRPr="00E16173">
        <w:rPr>
          <w:bCs/>
          <w:sz w:val="24"/>
          <w:szCs w:val="24"/>
        </w:rPr>
        <w:t xml:space="preserve"> </w:t>
      </w:r>
      <w:r w:rsidR="00A00BC3">
        <w:rPr>
          <w:bCs/>
          <w:sz w:val="24"/>
          <w:szCs w:val="24"/>
        </w:rPr>
        <w:t xml:space="preserve">It is accepted that </w:t>
      </w:r>
      <w:r w:rsidR="00E16173">
        <w:rPr>
          <w:bCs/>
          <w:sz w:val="24"/>
          <w:szCs w:val="24"/>
        </w:rPr>
        <w:t xml:space="preserve">since the </w:t>
      </w:r>
      <w:r w:rsidR="00E16173" w:rsidRPr="00E16173">
        <w:rPr>
          <w:bCs/>
          <w:i/>
          <w:iCs/>
          <w:sz w:val="24"/>
          <w:szCs w:val="24"/>
        </w:rPr>
        <w:t>“purpose of the actio iniuriarum is to recover sentimental damages.  It is not necessary to quantify them for the purposes of pleading”.</w:t>
      </w:r>
      <w:r w:rsidR="00E16173">
        <w:rPr>
          <w:rStyle w:val="FootnoteReference"/>
          <w:bCs/>
          <w:i/>
          <w:iCs/>
          <w:sz w:val="24"/>
          <w:szCs w:val="24"/>
        </w:rPr>
        <w:footnoteReference w:id="12"/>
      </w:r>
      <w:r w:rsidR="00A00BC3">
        <w:rPr>
          <w:bCs/>
          <w:sz w:val="24"/>
          <w:szCs w:val="24"/>
        </w:rPr>
        <w:t xml:space="preserve"> Nothing more need be said in this regard.</w:t>
      </w:r>
    </w:p>
    <w:p w14:paraId="3E0C3AFC" w14:textId="77777777" w:rsidR="008D5E22" w:rsidRDefault="008D5E22" w:rsidP="008D5E22">
      <w:pPr>
        <w:pStyle w:val="Body"/>
        <w:spacing w:line="360" w:lineRule="auto"/>
        <w:ind w:left="851" w:hanging="851"/>
        <w:jc w:val="both"/>
        <w:rPr>
          <w:bCs/>
          <w:sz w:val="24"/>
          <w:szCs w:val="24"/>
        </w:rPr>
      </w:pPr>
    </w:p>
    <w:p w14:paraId="3EF373B0" w14:textId="65B80D6F" w:rsidR="008D5E22" w:rsidRDefault="00696168" w:rsidP="00696168">
      <w:pPr>
        <w:pStyle w:val="Body"/>
        <w:spacing w:line="360" w:lineRule="auto"/>
        <w:ind w:left="851" w:hanging="851"/>
        <w:jc w:val="both"/>
        <w:rPr>
          <w:bCs/>
          <w:sz w:val="24"/>
          <w:szCs w:val="24"/>
        </w:rPr>
      </w:pPr>
      <w:r>
        <w:rPr>
          <w:sz w:val="24"/>
          <w:szCs w:val="24"/>
        </w:rPr>
        <w:t>[37]</w:t>
      </w:r>
      <w:r>
        <w:rPr>
          <w:sz w:val="24"/>
          <w:szCs w:val="24"/>
        </w:rPr>
        <w:tab/>
      </w:r>
      <w:r w:rsidR="00056FD9" w:rsidRPr="008D5E22">
        <w:rPr>
          <w:bCs/>
          <w:sz w:val="24"/>
          <w:szCs w:val="24"/>
        </w:rPr>
        <w:t xml:space="preserve">On consideration of claim B as framed, </w:t>
      </w:r>
      <w:r w:rsidR="00E16173" w:rsidRPr="008D5E22">
        <w:rPr>
          <w:bCs/>
          <w:sz w:val="24"/>
          <w:szCs w:val="24"/>
        </w:rPr>
        <w:t xml:space="preserve">it is readily apparent that no overt act has been pleaded and similarly there is no allegation in regard to the specific impairment alleged to have been suffered. This is clear on any reading of claim B.  For these reasons the exception in respect of claim B should be upheld.  </w:t>
      </w:r>
    </w:p>
    <w:p w14:paraId="1CA9F2C4" w14:textId="77777777" w:rsidR="008D5E22" w:rsidRDefault="008D5E22" w:rsidP="008D5E22">
      <w:pPr>
        <w:pStyle w:val="ListParagraph"/>
        <w:ind w:left="851" w:hanging="851"/>
        <w:rPr>
          <w:bCs/>
        </w:rPr>
      </w:pPr>
    </w:p>
    <w:p w14:paraId="75B4DFB9" w14:textId="73F6FF96" w:rsidR="008D5E22" w:rsidRDefault="00696168" w:rsidP="00696168">
      <w:pPr>
        <w:pStyle w:val="Body"/>
        <w:spacing w:line="360" w:lineRule="auto"/>
        <w:ind w:left="851" w:hanging="851"/>
        <w:jc w:val="both"/>
        <w:rPr>
          <w:bCs/>
          <w:sz w:val="24"/>
          <w:szCs w:val="24"/>
        </w:rPr>
      </w:pPr>
      <w:r>
        <w:rPr>
          <w:sz w:val="24"/>
          <w:szCs w:val="24"/>
        </w:rPr>
        <w:t>[38]</w:t>
      </w:r>
      <w:r>
        <w:rPr>
          <w:sz w:val="24"/>
          <w:szCs w:val="24"/>
        </w:rPr>
        <w:tab/>
      </w:r>
      <w:r w:rsidR="00171161" w:rsidRPr="008D5E22">
        <w:rPr>
          <w:bCs/>
          <w:sz w:val="24"/>
          <w:szCs w:val="24"/>
        </w:rPr>
        <w:t xml:space="preserve">In regard to claim C, which is a claim in respect of the institution of malicious proceedings, it was argued that while the overt act upon which the action was premised had been pleaded, </w:t>
      </w:r>
      <w:r w:rsidR="00D013CD" w:rsidRPr="008D5E22">
        <w:rPr>
          <w:bCs/>
          <w:sz w:val="24"/>
          <w:szCs w:val="24"/>
        </w:rPr>
        <w:t>the defendants had failed to allege and plead facts in order to substantiate the intention</w:t>
      </w:r>
      <w:r w:rsidR="001F3771" w:rsidRPr="008D5E22">
        <w:rPr>
          <w:bCs/>
          <w:sz w:val="24"/>
          <w:szCs w:val="24"/>
        </w:rPr>
        <w:t xml:space="preserve"> (malice</w:t>
      </w:r>
      <w:r w:rsidR="002F4AE6" w:rsidRPr="008D5E22">
        <w:rPr>
          <w:bCs/>
          <w:sz w:val="24"/>
          <w:szCs w:val="24"/>
        </w:rPr>
        <w:t xml:space="preserve"> or </w:t>
      </w:r>
      <w:r w:rsidR="002F4AE6" w:rsidRPr="008D5E22">
        <w:rPr>
          <w:bCs/>
          <w:i/>
          <w:iCs/>
          <w:sz w:val="24"/>
          <w:szCs w:val="24"/>
        </w:rPr>
        <w:t>animo iniuriarum</w:t>
      </w:r>
      <w:r w:rsidR="002F4AE6" w:rsidRPr="008D5E22">
        <w:rPr>
          <w:bCs/>
          <w:sz w:val="24"/>
          <w:szCs w:val="24"/>
        </w:rPr>
        <w:t>)</w:t>
      </w:r>
      <w:r w:rsidR="002F4AE6" w:rsidRPr="008D5E22">
        <w:rPr>
          <w:rStyle w:val="FootnoteReference"/>
          <w:bCs/>
          <w:sz w:val="24"/>
          <w:szCs w:val="24"/>
        </w:rPr>
        <w:t xml:space="preserve"> </w:t>
      </w:r>
      <w:r w:rsidR="002F4AE6">
        <w:rPr>
          <w:rStyle w:val="FootnoteReference"/>
          <w:bCs/>
          <w:sz w:val="24"/>
          <w:szCs w:val="24"/>
        </w:rPr>
        <w:footnoteReference w:id="13"/>
      </w:r>
      <w:r w:rsidR="00D013CD" w:rsidRPr="008D5E22">
        <w:rPr>
          <w:bCs/>
          <w:sz w:val="24"/>
          <w:szCs w:val="24"/>
        </w:rPr>
        <w:t xml:space="preserve"> on the part of the plaintiff.</w:t>
      </w:r>
    </w:p>
    <w:p w14:paraId="36F7A09D" w14:textId="77777777" w:rsidR="008D5E22" w:rsidRDefault="008D5E22" w:rsidP="008D5E22">
      <w:pPr>
        <w:pStyle w:val="ListParagraph"/>
        <w:rPr>
          <w:bCs/>
        </w:rPr>
      </w:pPr>
    </w:p>
    <w:p w14:paraId="05DD52C7" w14:textId="52BB3BEE" w:rsidR="008D5E22" w:rsidRDefault="00696168" w:rsidP="00696168">
      <w:pPr>
        <w:pStyle w:val="Body"/>
        <w:spacing w:line="360" w:lineRule="auto"/>
        <w:ind w:left="851" w:hanging="851"/>
        <w:jc w:val="both"/>
        <w:rPr>
          <w:bCs/>
          <w:sz w:val="24"/>
          <w:szCs w:val="24"/>
        </w:rPr>
      </w:pPr>
      <w:r>
        <w:rPr>
          <w:sz w:val="24"/>
          <w:szCs w:val="24"/>
        </w:rPr>
        <w:t>[39]</w:t>
      </w:r>
      <w:r>
        <w:rPr>
          <w:sz w:val="24"/>
          <w:szCs w:val="24"/>
        </w:rPr>
        <w:tab/>
      </w:r>
      <w:r w:rsidR="00D013CD" w:rsidRPr="008D5E22">
        <w:rPr>
          <w:bCs/>
          <w:sz w:val="24"/>
          <w:szCs w:val="24"/>
        </w:rPr>
        <w:t xml:space="preserve">Additionally, </w:t>
      </w:r>
      <w:r w:rsidR="00AB2AE7" w:rsidRPr="008D5E22">
        <w:rPr>
          <w:bCs/>
          <w:sz w:val="24"/>
          <w:szCs w:val="24"/>
        </w:rPr>
        <w:t>it was argued that in respect of claim C, the damages sought were special damages relating to legal costs</w:t>
      </w:r>
      <w:r w:rsidR="00AB2AE7">
        <w:rPr>
          <w:rStyle w:val="FootnoteReference"/>
          <w:bCs/>
          <w:sz w:val="24"/>
          <w:szCs w:val="24"/>
        </w:rPr>
        <w:footnoteReference w:id="14"/>
      </w:r>
      <w:r w:rsidR="00AB2AE7" w:rsidRPr="008D5E22">
        <w:rPr>
          <w:bCs/>
          <w:sz w:val="24"/>
          <w:szCs w:val="24"/>
        </w:rPr>
        <w:t xml:space="preserve"> but these were not particularized.</w:t>
      </w:r>
    </w:p>
    <w:p w14:paraId="16BD4189" w14:textId="7587E2CF" w:rsidR="008D5E22" w:rsidRDefault="008D5E22" w:rsidP="008D5E22">
      <w:pPr>
        <w:pStyle w:val="ListParagraph"/>
        <w:rPr>
          <w:bCs/>
        </w:rPr>
      </w:pPr>
    </w:p>
    <w:p w14:paraId="79150852" w14:textId="36ED2BFF" w:rsidR="008D5E22" w:rsidRDefault="008D5E22" w:rsidP="008D5E22">
      <w:pPr>
        <w:pStyle w:val="ListParagraph"/>
        <w:rPr>
          <w:bCs/>
        </w:rPr>
      </w:pPr>
    </w:p>
    <w:p w14:paraId="43BDB95E" w14:textId="607D1BEB" w:rsidR="008D5E22" w:rsidRDefault="008D5E22" w:rsidP="008D5E22">
      <w:pPr>
        <w:pStyle w:val="ListParagraph"/>
        <w:rPr>
          <w:bCs/>
        </w:rPr>
      </w:pPr>
    </w:p>
    <w:p w14:paraId="3AA4FF3B" w14:textId="77777777" w:rsidR="008D5E22" w:rsidRDefault="008D5E22" w:rsidP="008D5E22">
      <w:pPr>
        <w:pStyle w:val="ListParagraph"/>
        <w:rPr>
          <w:bCs/>
        </w:rPr>
      </w:pPr>
    </w:p>
    <w:p w14:paraId="13603294" w14:textId="7F82A9DB" w:rsidR="008D5E22" w:rsidRDefault="00696168" w:rsidP="00696168">
      <w:pPr>
        <w:pStyle w:val="Body"/>
        <w:spacing w:line="360" w:lineRule="auto"/>
        <w:ind w:left="851" w:hanging="851"/>
        <w:jc w:val="both"/>
        <w:rPr>
          <w:bCs/>
          <w:sz w:val="24"/>
          <w:szCs w:val="24"/>
        </w:rPr>
      </w:pPr>
      <w:r>
        <w:rPr>
          <w:sz w:val="24"/>
          <w:szCs w:val="24"/>
        </w:rPr>
        <w:t>[40]</w:t>
      </w:r>
      <w:r>
        <w:rPr>
          <w:sz w:val="24"/>
          <w:szCs w:val="24"/>
        </w:rPr>
        <w:tab/>
      </w:r>
      <w:r w:rsidR="00AB2AE7" w:rsidRPr="008D5E22">
        <w:rPr>
          <w:bCs/>
          <w:sz w:val="24"/>
          <w:szCs w:val="24"/>
        </w:rPr>
        <w:t>For their part, the defendant</w:t>
      </w:r>
      <w:r w:rsidR="00860E60" w:rsidRPr="008D5E22">
        <w:rPr>
          <w:bCs/>
          <w:sz w:val="24"/>
          <w:szCs w:val="24"/>
        </w:rPr>
        <w:t>’</w:t>
      </w:r>
      <w:r w:rsidR="00AB2AE7" w:rsidRPr="008D5E22">
        <w:rPr>
          <w:bCs/>
          <w:sz w:val="24"/>
          <w:szCs w:val="24"/>
        </w:rPr>
        <w:t xml:space="preserve">s argued </w:t>
      </w:r>
      <w:r w:rsidR="00982701" w:rsidRPr="008D5E22">
        <w:rPr>
          <w:bCs/>
          <w:sz w:val="24"/>
          <w:szCs w:val="24"/>
        </w:rPr>
        <w:t xml:space="preserve">that the plaintiff’s exception lacked merit on the basis that the </w:t>
      </w:r>
      <w:r w:rsidR="002F4AE6" w:rsidRPr="008D5E22">
        <w:rPr>
          <w:bCs/>
          <w:sz w:val="24"/>
          <w:szCs w:val="24"/>
        </w:rPr>
        <w:t>defendant’s</w:t>
      </w:r>
      <w:r w:rsidR="00982701" w:rsidRPr="008D5E22">
        <w:rPr>
          <w:bCs/>
          <w:sz w:val="24"/>
          <w:szCs w:val="24"/>
        </w:rPr>
        <w:t xml:space="preserve"> counterclaims were not founded on any agreement or contract between the parties.</w:t>
      </w:r>
      <w:r w:rsidR="002F4AE6" w:rsidRPr="008D5E22">
        <w:rPr>
          <w:bCs/>
          <w:sz w:val="24"/>
          <w:szCs w:val="24"/>
        </w:rPr>
        <w:t xml:space="preserve"> This was beside the point.</w:t>
      </w:r>
      <w:r w:rsidR="00982701" w:rsidRPr="008D5E22">
        <w:rPr>
          <w:bCs/>
          <w:sz w:val="24"/>
          <w:szCs w:val="24"/>
        </w:rPr>
        <w:t xml:space="preserve">  </w:t>
      </w:r>
    </w:p>
    <w:p w14:paraId="2C9946B5" w14:textId="77777777" w:rsidR="008D5E22" w:rsidRDefault="008D5E22" w:rsidP="008D5E22">
      <w:pPr>
        <w:pStyle w:val="Body"/>
        <w:spacing w:line="360" w:lineRule="auto"/>
        <w:ind w:left="851"/>
        <w:jc w:val="both"/>
        <w:rPr>
          <w:bCs/>
          <w:sz w:val="24"/>
          <w:szCs w:val="24"/>
        </w:rPr>
      </w:pPr>
    </w:p>
    <w:p w14:paraId="5D95B05B" w14:textId="3FE2EBF3" w:rsidR="008D5E22" w:rsidRDefault="00696168" w:rsidP="00696168">
      <w:pPr>
        <w:pStyle w:val="Body"/>
        <w:spacing w:line="360" w:lineRule="auto"/>
        <w:ind w:left="851" w:hanging="851"/>
        <w:jc w:val="both"/>
        <w:rPr>
          <w:bCs/>
          <w:sz w:val="24"/>
          <w:szCs w:val="24"/>
        </w:rPr>
      </w:pPr>
      <w:r>
        <w:rPr>
          <w:sz w:val="24"/>
          <w:szCs w:val="24"/>
        </w:rPr>
        <w:t>[41]</w:t>
      </w:r>
      <w:r>
        <w:rPr>
          <w:sz w:val="24"/>
          <w:szCs w:val="24"/>
        </w:rPr>
        <w:tab/>
      </w:r>
      <w:r w:rsidR="00982701" w:rsidRPr="008D5E22">
        <w:rPr>
          <w:bCs/>
          <w:sz w:val="24"/>
          <w:szCs w:val="24"/>
        </w:rPr>
        <w:t>It was also argued, without much conviction, that in any event the appropriate time for the plaintiff to have objected, in particular to claim C, was when the defendants sought its introduction through the notice of intention to amend on 28 January 2023.  It was argued that the failure to object to the proposed amendment divested the plaintiff from the right to deliver a notice to remove cause of complaint or to except to the claim as formulated.</w:t>
      </w:r>
      <w:r w:rsidR="002F4AE6" w:rsidRPr="008D5E22">
        <w:rPr>
          <w:bCs/>
          <w:sz w:val="24"/>
          <w:szCs w:val="24"/>
        </w:rPr>
        <w:t xml:space="preserve"> </w:t>
      </w:r>
      <w:r w:rsidR="00B742C4" w:rsidRPr="008D5E22">
        <w:rPr>
          <w:bCs/>
          <w:sz w:val="24"/>
          <w:szCs w:val="24"/>
        </w:rPr>
        <w:t xml:space="preserve"> </w:t>
      </w:r>
      <w:r w:rsidR="002F4AE6" w:rsidRPr="008D5E22">
        <w:rPr>
          <w:bCs/>
          <w:sz w:val="24"/>
          <w:szCs w:val="24"/>
        </w:rPr>
        <w:t>There is no merit to this argument</w:t>
      </w:r>
      <w:r w:rsidR="00B742C4" w:rsidRPr="008D5E22">
        <w:rPr>
          <w:bCs/>
          <w:sz w:val="24"/>
          <w:szCs w:val="24"/>
        </w:rPr>
        <w:t xml:space="preserve"> – it disregards the provisions of rule 28(8)</w:t>
      </w:r>
      <w:r w:rsidR="00B742C4">
        <w:rPr>
          <w:rStyle w:val="FootnoteReference"/>
          <w:bCs/>
          <w:sz w:val="24"/>
          <w:szCs w:val="24"/>
        </w:rPr>
        <w:footnoteReference w:id="15"/>
      </w:r>
      <w:r w:rsidR="00B742C4" w:rsidRPr="008D5E22">
        <w:rPr>
          <w:bCs/>
          <w:sz w:val="24"/>
          <w:szCs w:val="24"/>
        </w:rPr>
        <w:t xml:space="preserve"> which specifically provides that after an amendment has been effected, the other party may make consequential adjustments to any documents filed by it and “</w:t>
      </w:r>
      <w:r w:rsidR="00B742C4" w:rsidRPr="008D5E22">
        <w:rPr>
          <w:bCs/>
          <w:i/>
          <w:iCs/>
          <w:sz w:val="22"/>
          <w:szCs w:val="22"/>
        </w:rPr>
        <w:t>may also take the steps contemplated in rules 23 and 30.”</w:t>
      </w:r>
    </w:p>
    <w:p w14:paraId="529B8BB1" w14:textId="77777777" w:rsidR="008D5E22" w:rsidRDefault="008D5E22" w:rsidP="008D5E22">
      <w:pPr>
        <w:pStyle w:val="ListParagraph"/>
        <w:rPr>
          <w:bCs/>
        </w:rPr>
      </w:pPr>
    </w:p>
    <w:p w14:paraId="1ED9866A" w14:textId="273C36D2" w:rsidR="001D00F2" w:rsidRPr="008D5E22" w:rsidRDefault="00696168" w:rsidP="00696168">
      <w:pPr>
        <w:pStyle w:val="Body"/>
        <w:spacing w:line="360" w:lineRule="auto"/>
        <w:ind w:left="851" w:hanging="851"/>
        <w:jc w:val="both"/>
        <w:rPr>
          <w:bCs/>
          <w:sz w:val="24"/>
          <w:szCs w:val="24"/>
        </w:rPr>
      </w:pPr>
      <w:r w:rsidRPr="008D5E22">
        <w:rPr>
          <w:sz w:val="24"/>
          <w:szCs w:val="24"/>
        </w:rPr>
        <w:t>[42]</w:t>
      </w:r>
      <w:r w:rsidRPr="008D5E22">
        <w:rPr>
          <w:sz w:val="24"/>
          <w:szCs w:val="24"/>
        </w:rPr>
        <w:tab/>
      </w:r>
      <w:r w:rsidR="001D00F2" w:rsidRPr="008D5E22">
        <w:rPr>
          <w:bCs/>
          <w:sz w:val="24"/>
          <w:szCs w:val="24"/>
        </w:rPr>
        <w:t>For the reasons set out above, the exception in respect of claim C should be upheld.</w:t>
      </w:r>
    </w:p>
    <w:p w14:paraId="4306BB4E" w14:textId="77777777" w:rsidR="001D00F2" w:rsidRPr="00982701" w:rsidRDefault="001D00F2" w:rsidP="00982701">
      <w:pPr>
        <w:pStyle w:val="Body"/>
        <w:spacing w:line="360" w:lineRule="auto"/>
        <w:ind w:left="851" w:hanging="851"/>
        <w:jc w:val="both"/>
        <w:rPr>
          <w:bCs/>
          <w:sz w:val="24"/>
          <w:szCs w:val="24"/>
        </w:rPr>
      </w:pPr>
    </w:p>
    <w:p w14:paraId="3E55BAC9" w14:textId="6355EE21" w:rsidR="00AC0B2A" w:rsidRDefault="00AC0B2A" w:rsidP="00D31DA0">
      <w:pPr>
        <w:pStyle w:val="Body"/>
        <w:spacing w:line="360" w:lineRule="auto"/>
        <w:jc w:val="both"/>
        <w:rPr>
          <w:bCs/>
          <w:sz w:val="24"/>
          <w:szCs w:val="24"/>
        </w:rPr>
      </w:pPr>
      <w:r>
        <w:rPr>
          <w:b/>
          <w:sz w:val="24"/>
          <w:szCs w:val="24"/>
        </w:rPr>
        <w:t>COSTS</w:t>
      </w:r>
    </w:p>
    <w:p w14:paraId="57119983" w14:textId="77777777" w:rsidR="00D31DA0" w:rsidRPr="00D31DA0" w:rsidRDefault="00D31DA0" w:rsidP="00AC0B2A">
      <w:pPr>
        <w:pStyle w:val="Body"/>
        <w:spacing w:line="360" w:lineRule="auto"/>
        <w:ind w:left="851"/>
        <w:jc w:val="both"/>
        <w:rPr>
          <w:bCs/>
          <w:i/>
          <w:iCs/>
          <w:sz w:val="24"/>
          <w:szCs w:val="24"/>
          <w:u w:val="single"/>
        </w:rPr>
      </w:pPr>
    </w:p>
    <w:p w14:paraId="267ADFA1" w14:textId="5E028521" w:rsidR="007060EB" w:rsidRDefault="007060EB" w:rsidP="007060EB">
      <w:pPr>
        <w:pStyle w:val="Body"/>
        <w:spacing w:line="360" w:lineRule="auto"/>
        <w:ind w:left="851" w:hanging="851"/>
        <w:jc w:val="both"/>
        <w:rPr>
          <w:bCs/>
          <w:sz w:val="24"/>
          <w:szCs w:val="24"/>
        </w:rPr>
      </w:pPr>
      <w:r>
        <w:rPr>
          <w:bCs/>
          <w:sz w:val="24"/>
          <w:szCs w:val="24"/>
        </w:rPr>
        <w:t>[</w:t>
      </w:r>
      <w:r w:rsidR="008D5E22">
        <w:rPr>
          <w:bCs/>
          <w:sz w:val="24"/>
          <w:szCs w:val="24"/>
        </w:rPr>
        <w:t>43</w:t>
      </w:r>
      <w:r>
        <w:rPr>
          <w:bCs/>
          <w:sz w:val="24"/>
          <w:szCs w:val="24"/>
        </w:rPr>
        <w:t>]</w:t>
      </w:r>
      <w:r>
        <w:rPr>
          <w:bCs/>
          <w:sz w:val="24"/>
          <w:szCs w:val="24"/>
        </w:rPr>
        <w:tab/>
      </w:r>
      <w:r w:rsidRPr="007060EB">
        <w:rPr>
          <w:bCs/>
          <w:sz w:val="24"/>
          <w:szCs w:val="24"/>
        </w:rPr>
        <w:t>Both parties</w:t>
      </w:r>
      <w:r>
        <w:rPr>
          <w:bCs/>
          <w:sz w:val="24"/>
          <w:szCs w:val="24"/>
        </w:rPr>
        <w:t xml:space="preserve"> sought orders for punitive costs against the other.  I am not persuaded that punitive costs are warranted </w:t>
      </w:r>
      <w:r w:rsidR="00E6471A">
        <w:rPr>
          <w:bCs/>
          <w:sz w:val="24"/>
          <w:szCs w:val="24"/>
        </w:rPr>
        <w:t>and, in the circumstances,</w:t>
      </w:r>
      <w:r>
        <w:rPr>
          <w:bCs/>
          <w:sz w:val="24"/>
          <w:szCs w:val="24"/>
        </w:rPr>
        <w:t xml:space="preserve"> intend to make an ordinary order for costs which will follow the result in each of the applications.</w:t>
      </w:r>
    </w:p>
    <w:p w14:paraId="0B992356" w14:textId="77777777" w:rsidR="007060EB" w:rsidRDefault="007060EB" w:rsidP="007060EB">
      <w:pPr>
        <w:pStyle w:val="Body"/>
        <w:spacing w:line="360" w:lineRule="auto"/>
        <w:ind w:left="851"/>
        <w:jc w:val="both"/>
        <w:rPr>
          <w:bCs/>
          <w:sz w:val="24"/>
          <w:szCs w:val="24"/>
        </w:rPr>
      </w:pPr>
    </w:p>
    <w:p w14:paraId="3BE09FEC" w14:textId="23DDB0A9" w:rsidR="00AC0B2A" w:rsidRPr="00AC0B2A" w:rsidRDefault="00AC0B2A" w:rsidP="007060EB">
      <w:pPr>
        <w:pStyle w:val="Body"/>
        <w:spacing w:line="360" w:lineRule="auto"/>
        <w:jc w:val="both"/>
        <w:rPr>
          <w:b/>
          <w:i/>
          <w:iCs/>
          <w:sz w:val="24"/>
          <w:szCs w:val="24"/>
          <w:u w:val="single"/>
        </w:rPr>
      </w:pPr>
      <w:r>
        <w:rPr>
          <w:b/>
          <w:sz w:val="24"/>
          <w:szCs w:val="24"/>
        </w:rPr>
        <w:t>ORDER</w:t>
      </w:r>
    </w:p>
    <w:p w14:paraId="2E9E11A2" w14:textId="77777777" w:rsidR="00AC0B2A" w:rsidRPr="00AC0B2A" w:rsidRDefault="00AC0B2A" w:rsidP="00AC0B2A">
      <w:pPr>
        <w:pStyle w:val="Body"/>
        <w:spacing w:line="360" w:lineRule="auto"/>
        <w:ind w:left="851"/>
        <w:jc w:val="both"/>
        <w:rPr>
          <w:b/>
          <w:i/>
          <w:iCs/>
          <w:sz w:val="24"/>
          <w:szCs w:val="24"/>
          <w:u w:val="single"/>
        </w:rPr>
      </w:pPr>
    </w:p>
    <w:p w14:paraId="1FF537F2" w14:textId="7B4A0A2F" w:rsidR="00AC0B2A" w:rsidRDefault="007060EB" w:rsidP="00E6471A">
      <w:pPr>
        <w:pStyle w:val="Body"/>
        <w:spacing w:line="360" w:lineRule="auto"/>
        <w:ind w:left="851" w:hanging="851"/>
        <w:jc w:val="both"/>
        <w:rPr>
          <w:bCs/>
          <w:sz w:val="24"/>
          <w:szCs w:val="24"/>
        </w:rPr>
      </w:pPr>
      <w:r>
        <w:rPr>
          <w:bCs/>
          <w:sz w:val="24"/>
          <w:szCs w:val="24"/>
        </w:rPr>
        <w:t>[4</w:t>
      </w:r>
      <w:r w:rsidR="008D5E22">
        <w:rPr>
          <w:bCs/>
          <w:sz w:val="24"/>
          <w:szCs w:val="24"/>
        </w:rPr>
        <w:t>4</w:t>
      </w:r>
      <w:r>
        <w:rPr>
          <w:bCs/>
          <w:sz w:val="24"/>
          <w:szCs w:val="24"/>
        </w:rPr>
        <w:t>]</w:t>
      </w:r>
      <w:r>
        <w:rPr>
          <w:bCs/>
          <w:sz w:val="24"/>
          <w:szCs w:val="24"/>
        </w:rPr>
        <w:tab/>
        <w:t>In the circumstances, I make the following orders:</w:t>
      </w:r>
    </w:p>
    <w:p w14:paraId="7BA011FD" w14:textId="46DF12EB" w:rsidR="007060EB" w:rsidRDefault="007060EB" w:rsidP="00AC0B2A">
      <w:pPr>
        <w:pStyle w:val="Body"/>
        <w:spacing w:line="360" w:lineRule="auto"/>
        <w:jc w:val="both"/>
        <w:rPr>
          <w:bCs/>
          <w:sz w:val="24"/>
          <w:szCs w:val="24"/>
        </w:rPr>
      </w:pPr>
    </w:p>
    <w:p w14:paraId="76E58C85" w14:textId="58C7400E" w:rsidR="007060EB" w:rsidRDefault="007060EB" w:rsidP="00E6471A">
      <w:pPr>
        <w:pStyle w:val="Body"/>
        <w:spacing w:line="360" w:lineRule="auto"/>
        <w:ind w:left="1701" w:hanging="850"/>
        <w:jc w:val="both"/>
        <w:rPr>
          <w:bCs/>
          <w:sz w:val="24"/>
          <w:szCs w:val="24"/>
        </w:rPr>
      </w:pPr>
      <w:r>
        <w:rPr>
          <w:bCs/>
          <w:sz w:val="24"/>
          <w:szCs w:val="24"/>
        </w:rPr>
        <w:t>[4</w:t>
      </w:r>
      <w:r w:rsidR="008D5E22">
        <w:rPr>
          <w:bCs/>
          <w:sz w:val="24"/>
          <w:szCs w:val="24"/>
        </w:rPr>
        <w:t>4</w:t>
      </w:r>
      <w:r>
        <w:rPr>
          <w:bCs/>
          <w:sz w:val="24"/>
          <w:szCs w:val="24"/>
        </w:rPr>
        <w:t>.1]</w:t>
      </w:r>
      <w:r>
        <w:rPr>
          <w:bCs/>
          <w:sz w:val="24"/>
          <w:szCs w:val="24"/>
        </w:rPr>
        <w:tab/>
        <w:t>The application in terms of rule 30A is dismissed with costs.</w:t>
      </w:r>
    </w:p>
    <w:p w14:paraId="207948F9" w14:textId="67F1499A" w:rsidR="007060EB" w:rsidRDefault="007060EB" w:rsidP="00E6471A">
      <w:pPr>
        <w:pStyle w:val="Body"/>
        <w:spacing w:line="360" w:lineRule="auto"/>
        <w:ind w:left="1701" w:hanging="850"/>
        <w:jc w:val="both"/>
        <w:rPr>
          <w:bCs/>
          <w:sz w:val="24"/>
          <w:szCs w:val="24"/>
        </w:rPr>
      </w:pPr>
    </w:p>
    <w:p w14:paraId="2EA18E49" w14:textId="37079697" w:rsidR="007060EB" w:rsidRDefault="007060EB" w:rsidP="00E6471A">
      <w:pPr>
        <w:pStyle w:val="Body"/>
        <w:spacing w:line="360" w:lineRule="auto"/>
        <w:ind w:left="1701" w:hanging="850"/>
        <w:jc w:val="both"/>
        <w:rPr>
          <w:bCs/>
          <w:sz w:val="24"/>
          <w:szCs w:val="24"/>
        </w:rPr>
      </w:pPr>
      <w:r>
        <w:rPr>
          <w:bCs/>
          <w:sz w:val="24"/>
          <w:szCs w:val="24"/>
        </w:rPr>
        <w:t>[4</w:t>
      </w:r>
      <w:r w:rsidR="008D5E22">
        <w:rPr>
          <w:bCs/>
          <w:sz w:val="24"/>
          <w:szCs w:val="24"/>
        </w:rPr>
        <w:t>4</w:t>
      </w:r>
      <w:r>
        <w:rPr>
          <w:bCs/>
          <w:sz w:val="24"/>
          <w:szCs w:val="24"/>
        </w:rPr>
        <w:t>.2]</w:t>
      </w:r>
      <w:r>
        <w:rPr>
          <w:bCs/>
          <w:sz w:val="24"/>
          <w:szCs w:val="24"/>
        </w:rPr>
        <w:tab/>
        <w:t>The exception</w:t>
      </w:r>
      <w:r w:rsidR="00E6471A">
        <w:rPr>
          <w:bCs/>
          <w:sz w:val="24"/>
          <w:szCs w:val="24"/>
        </w:rPr>
        <w:t>s to claims B and C are upheld with costs.</w:t>
      </w:r>
    </w:p>
    <w:p w14:paraId="3841ADFD" w14:textId="4ABC90C3" w:rsidR="00E6471A" w:rsidRDefault="00E6471A" w:rsidP="00E6471A">
      <w:pPr>
        <w:pStyle w:val="Body"/>
        <w:spacing w:line="360" w:lineRule="auto"/>
        <w:ind w:left="851"/>
        <w:jc w:val="both"/>
        <w:rPr>
          <w:bCs/>
          <w:sz w:val="24"/>
          <w:szCs w:val="24"/>
        </w:rPr>
      </w:pPr>
    </w:p>
    <w:p w14:paraId="65416376" w14:textId="0FBE6247" w:rsidR="008E6813" w:rsidRPr="008D5E22" w:rsidRDefault="00E6471A" w:rsidP="008D5E22">
      <w:pPr>
        <w:pStyle w:val="Body"/>
        <w:spacing w:line="360" w:lineRule="auto"/>
        <w:ind w:left="1701" w:hanging="850"/>
        <w:jc w:val="both"/>
        <w:rPr>
          <w:bCs/>
          <w:sz w:val="24"/>
          <w:szCs w:val="24"/>
        </w:rPr>
      </w:pPr>
      <w:r>
        <w:rPr>
          <w:bCs/>
          <w:sz w:val="24"/>
          <w:szCs w:val="24"/>
        </w:rPr>
        <w:t>[4</w:t>
      </w:r>
      <w:r w:rsidR="008D5E22">
        <w:rPr>
          <w:bCs/>
          <w:sz w:val="24"/>
          <w:szCs w:val="24"/>
        </w:rPr>
        <w:t>4</w:t>
      </w:r>
      <w:r>
        <w:rPr>
          <w:bCs/>
          <w:sz w:val="24"/>
          <w:szCs w:val="24"/>
        </w:rPr>
        <w:t>.3]</w:t>
      </w:r>
      <w:r>
        <w:rPr>
          <w:bCs/>
          <w:sz w:val="24"/>
          <w:szCs w:val="24"/>
        </w:rPr>
        <w:tab/>
        <w:t>The defendants are granted leave to amend claims B and C within a period of 20 (twenty) days from the granting of this order.</w:t>
      </w:r>
    </w:p>
    <w:p w14:paraId="24E22621" w14:textId="77777777" w:rsidR="008E6813" w:rsidRDefault="008E6813" w:rsidP="00413603">
      <w:pPr>
        <w:pStyle w:val="Body"/>
        <w:ind w:left="720"/>
        <w:jc w:val="right"/>
        <w:rPr>
          <w:rFonts w:cs="Arial"/>
          <w:b/>
          <w:bCs/>
          <w:sz w:val="24"/>
          <w:szCs w:val="24"/>
        </w:rPr>
      </w:pPr>
    </w:p>
    <w:p w14:paraId="75814BE3" w14:textId="18919A89"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8E6813">
      <w:pPr>
        <w:pStyle w:val="BodyA"/>
        <w:spacing w:line="360" w:lineRule="auto"/>
        <w:ind w:left="720"/>
        <w:jc w:val="right"/>
        <w:rPr>
          <w:rFonts w:ascii="Arial" w:hAnsi="Arial" w:cs="Arial"/>
          <w:b/>
          <w:bCs/>
        </w:rPr>
      </w:pPr>
    </w:p>
    <w:p w14:paraId="7C493B1F" w14:textId="65ACEF1C" w:rsidR="00101D88" w:rsidRPr="00242E76" w:rsidRDefault="00101D88" w:rsidP="00E6471A">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E6471A">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E6471A">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7B9ED32D" w:rsidR="002040D5" w:rsidRPr="00242E76" w:rsidRDefault="00412E0C" w:rsidP="008E6813">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51199C">
        <w:rPr>
          <w:rFonts w:ascii="Arial" w:hAnsi="Arial" w:cs="Arial"/>
          <w:sz w:val="22"/>
          <w:szCs w:val="22"/>
        </w:rPr>
        <w:t>26 JULY 2023</w:t>
      </w:r>
    </w:p>
    <w:p w14:paraId="7E6457D4" w14:textId="3EA4A3C1" w:rsidR="002040D5"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 DELIVERED ON:</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69018B">
        <w:rPr>
          <w:rFonts w:ascii="Arial" w:hAnsi="Arial" w:cs="Arial"/>
          <w:sz w:val="22"/>
          <w:szCs w:val="22"/>
        </w:rPr>
        <w:t>17 AUGUST 2023</w:t>
      </w:r>
    </w:p>
    <w:p w14:paraId="70B75637" w14:textId="77777777" w:rsidR="006710DC" w:rsidRDefault="006710DC" w:rsidP="008E6813">
      <w:pPr>
        <w:spacing w:line="360" w:lineRule="auto"/>
        <w:ind w:left="567" w:hanging="567"/>
        <w:jc w:val="both"/>
        <w:rPr>
          <w:rFonts w:ascii="Arial" w:hAnsi="Arial" w:cs="Arial"/>
          <w:sz w:val="22"/>
          <w:szCs w:val="22"/>
        </w:rPr>
      </w:pPr>
    </w:p>
    <w:p w14:paraId="02474508" w14:textId="73801995"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COUNSEL</w:t>
      </w:r>
      <w:r w:rsidR="000E6633" w:rsidRPr="00242E76">
        <w:rPr>
          <w:rFonts w:ascii="Arial" w:hAnsi="Arial" w:cs="Arial"/>
          <w:sz w:val="22"/>
          <w:szCs w:val="22"/>
        </w:rPr>
        <w:t xml:space="preserve"> FOR THE </w:t>
      </w:r>
      <w:r w:rsidR="000218AC">
        <w:rPr>
          <w:rFonts w:ascii="Arial" w:hAnsi="Arial" w:cs="Arial"/>
          <w:sz w:val="22"/>
          <w:szCs w:val="22"/>
        </w:rPr>
        <w:t>APPLICANT</w:t>
      </w:r>
      <w:r w:rsidR="00412E0C" w:rsidRPr="00242E76">
        <w:rPr>
          <w:rFonts w:ascii="Arial" w:hAnsi="Arial" w:cs="Arial"/>
          <w:sz w:val="22"/>
          <w:szCs w:val="22"/>
        </w:rPr>
        <w:t>:</w:t>
      </w:r>
      <w:r w:rsidR="00242E76">
        <w:rPr>
          <w:rFonts w:ascii="Arial" w:hAnsi="Arial" w:cs="Arial"/>
          <w:sz w:val="22"/>
          <w:szCs w:val="22"/>
        </w:rPr>
        <w:tab/>
      </w:r>
      <w:r w:rsidR="00D77C76">
        <w:rPr>
          <w:rFonts w:ascii="Arial" w:hAnsi="Arial" w:cs="Arial"/>
          <w:sz w:val="22"/>
          <w:szCs w:val="22"/>
        </w:rPr>
        <w:tab/>
      </w:r>
      <w:r w:rsidR="0027008F">
        <w:rPr>
          <w:rFonts w:ascii="Arial" w:hAnsi="Arial" w:cs="Arial"/>
          <w:sz w:val="22"/>
          <w:szCs w:val="22"/>
        </w:rPr>
        <w:tab/>
      </w:r>
      <w:r w:rsidR="00D77C76">
        <w:rPr>
          <w:rFonts w:ascii="Arial" w:hAnsi="Arial" w:cs="Arial"/>
          <w:sz w:val="22"/>
          <w:szCs w:val="22"/>
        </w:rPr>
        <w:t>ADV.</w:t>
      </w:r>
      <w:r w:rsidR="001F07DD">
        <w:rPr>
          <w:rFonts w:ascii="Arial" w:hAnsi="Arial" w:cs="Arial"/>
          <w:sz w:val="22"/>
          <w:szCs w:val="22"/>
        </w:rPr>
        <w:t xml:space="preserve"> </w:t>
      </w:r>
      <w:r w:rsidR="00093DC4">
        <w:rPr>
          <w:rFonts w:ascii="Arial" w:hAnsi="Arial" w:cs="Arial"/>
          <w:sz w:val="22"/>
          <w:szCs w:val="22"/>
        </w:rPr>
        <w:t>C MARKRAM-JOOSTE</w:t>
      </w:r>
    </w:p>
    <w:p w14:paraId="6434C520" w14:textId="42FD46EE" w:rsidR="006630FB"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7008F">
        <w:rPr>
          <w:rFonts w:ascii="Arial" w:hAnsi="Arial" w:cs="Arial"/>
          <w:sz w:val="22"/>
          <w:szCs w:val="22"/>
        </w:rPr>
        <w:tab/>
      </w:r>
      <w:r w:rsidR="00684B6A">
        <w:rPr>
          <w:rFonts w:ascii="Arial" w:hAnsi="Arial" w:cs="Arial"/>
          <w:sz w:val="22"/>
          <w:szCs w:val="22"/>
        </w:rPr>
        <w:t>VZLR INC</w:t>
      </w:r>
    </w:p>
    <w:p w14:paraId="7383FC0C" w14:textId="5037354C" w:rsidR="000E6633" w:rsidRPr="00242E76" w:rsidRDefault="000E6633" w:rsidP="008E6813">
      <w:pPr>
        <w:spacing w:line="360" w:lineRule="auto"/>
        <w:ind w:left="567" w:hanging="567"/>
        <w:jc w:val="both"/>
        <w:rPr>
          <w:rFonts w:ascii="Arial" w:hAnsi="Arial" w:cs="Arial"/>
          <w:sz w:val="22"/>
          <w:szCs w:val="22"/>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27008F">
        <w:rPr>
          <w:rFonts w:ascii="Arial" w:hAnsi="Arial" w:cs="Arial"/>
          <w:sz w:val="22"/>
          <w:szCs w:val="22"/>
        </w:rPr>
        <w:tab/>
      </w:r>
      <w:r w:rsidR="00684B6A">
        <w:rPr>
          <w:rFonts w:ascii="Arial" w:hAnsi="Arial" w:cs="Arial"/>
          <w:sz w:val="22"/>
          <w:szCs w:val="22"/>
        </w:rPr>
        <w:t>MAT175152/E NIEMAND/RK</w:t>
      </w:r>
    </w:p>
    <w:p w14:paraId="4502317A" w14:textId="77777777" w:rsidR="000E6633" w:rsidRPr="00242E76" w:rsidRDefault="000E6633" w:rsidP="008E6813">
      <w:pPr>
        <w:spacing w:line="360" w:lineRule="auto"/>
        <w:ind w:left="567" w:hanging="567"/>
        <w:jc w:val="both"/>
        <w:rPr>
          <w:rFonts w:ascii="Arial" w:hAnsi="Arial" w:cs="Arial"/>
          <w:sz w:val="22"/>
          <w:szCs w:val="22"/>
        </w:rPr>
      </w:pPr>
    </w:p>
    <w:p w14:paraId="577B443F" w14:textId="2D93FFBE" w:rsidR="006630FB" w:rsidRDefault="002A6A3F" w:rsidP="008E6813">
      <w:pPr>
        <w:spacing w:line="360" w:lineRule="auto"/>
        <w:ind w:left="567" w:hanging="567"/>
        <w:jc w:val="both"/>
        <w:rPr>
          <w:rFonts w:ascii="Arial" w:hAnsi="Arial" w:cs="Arial"/>
          <w:sz w:val="22"/>
          <w:szCs w:val="22"/>
        </w:rPr>
      </w:pPr>
      <w:r w:rsidRPr="00242E76">
        <w:rPr>
          <w:rFonts w:ascii="Arial" w:hAnsi="Arial" w:cs="Arial"/>
          <w:sz w:val="22"/>
          <w:szCs w:val="22"/>
        </w:rPr>
        <w:t xml:space="preserve">COUNSEL FOR </w:t>
      </w:r>
      <w:r w:rsidR="00D77C76" w:rsidRPr="00242E76">
        <w:rPr>
          <w:rFonts w:ascii="Arial" w:hAnsi="Arial" w:cs="Arial"/>
          <w:sz w:val="22"/>
          <w:szCs w:val="22"/>
        </w:rPr>
        <w:t>THE</w:t>
      </w:r>
      <w:r w:rsidR="00684B6A">
        <w:rPr>
          <w:rFonts w:ascii="Arial" w:hAnsi="Arial" w:cs="Arial"/>
          <w:sz w:val="22"/>
          <w:szCs w:val="22"/>
        </w:rPr>
        <w:t xml:space="preserve"> </w:t>
      </w:r>
      <w:r w:rsidR="000218AC">
        <w:rPr>
          <w:rFonts w:ascii="Arial" w:hAnsi="Arial" w:cs="Arial"/>
          <w:sz w:val="22"/>
          <w:szCs w:val="22"/>
        </w:rPr>
        <w:t>RESPONDEN</w:t>
      </w:r>
      <w:r w:rsidR="00093DC4">
        <w:rPr>
          <w:rFonts w:ascii="Arial" w:hAnsi="Arial" w:cs="Arial"/>
          <w:sz w:val="22"/>
          <w:szCs w:val="22"/>
        </w:rPr>
        <w:t>T</w:t>
      </w:r>
      <w:r w:rsidR="00684B6A">
        <w:rPr>
          <w:rFonts w:ascii="Arial" w:hAnsi="Arial" w:cs="Arial"/>
          <w:sz w:val="22"/>
          <w:szCs w:val="22"/>
        </w:rPr>
        <w:t>S</w:t>
      </w:r>
      <w:r w:rsidR="006630FB" w:rsidRPr="00242E76">
        <w:rPr>
          <w:rFonts w:ascii="Arial" w:hAnsi="Arial" w:cs="Arial"/>
          <w:sz w:val="22"/>
          <w:szCs w:val="22"/>
        </w:rPr>
        <w:t>:</w:t>
      </w:r>
      <w:r w:rsidR="000E07B1">
        <w:rPr>
          <w:rFonts w:ascii="Arial" w:hAnsi="Arial" w:cs="Arial"/>
          <w:sz w:val="22"/>
          <w:szCs w:val="22"/>
        </w:rPr>
        <w:tab/>
      </w:r>
      <w:r w:rsidR="00093DC4">
        <w:rPr>
          <w:rFonts w:ascii="Arial" w:hAnsi="Arial" w:cs="Arial"/>
          <w:sz w:val="22"/>
          <w:szCs w:val="22"/>
        </w:rPr>
        <w:tab/>
      </w:r>
      <w:r w:rsidR="006630FB" w:rsidRPr="00242E76">
        <w:rPr>
          <w:rFonts w:ascii="Arial" w:hAnsi="Arial" w:cs="Arial"/>
          <w:sz w:val="22"/>
          <w:szCs w:val="22"/>
        </w:rPr>
        <w:t>ADV</w:t>
      </w:r>
      <w:r w:rsidR="00D77C76">
        <w:rPr>
          <w:rFonts w:ascii="Arial" w:hAnsi="Arial" w:cs="Arial"/>
          <w:sz w:val="22"/>
          <w:szCs w:val="22"/>
        </w:rPr>
        <w:t xml:space="preserve">. </w:t>
      </w:r>
      <w:r w:rsidR="00093DC4">
        <w:rPr>
          <w:rFonts w:ascii="Arial" w:hAnsi="Arial" w:cs="Arial"/>
          <w:sz w:val="22"/>
          <w:szCs w:val="22"/>
        </w:rPr>
        <w:t>G SHAKOANE SC</w:t>
      </w:r>
    </w:p>
    <w:p w14:paraId="66FB862A" w14:textId="619F7C8C" w:rsidR="00093DC4" w:rsidRPr="00242E76" w:rsidRDefault="00093DC4" w:rsidP="008E6813">
      <w:pPr>
        <w:spacing w:line="360" w:lineRule="auto"/>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ADV. D MOSOMA</w:t>
      </w:r>
    </w:p>
    <w:p w14:paraId="6EEF6A02" w14:textId="44AB1896" w:rsidR="008465D6" w:rsidRPr="00242E76" w:rsidRDefault="006630FB" w:rsidP="008E6813">
      <w:pPr>
        <w:spacing w:line="360" w:lineRule="auto"/>
        <w:ind w:left="567" w:hanging="567"/>
        <w:jc w:val="both"/>
        <w:rPr>
          <w:rFonts w:ascii="Arial" w:hAnsi="Arial" w:cs="Arial"/>
          <w:sz w:val="22"/>
          <w:szCs w:val="22"/>
        </w:rPr>
      </w:pPr>
      <w:r w:rsidRPr="00242E76">
        <w:rPr>
          <w:rFonts w:ascii="Arial" w:hAnsi="Arial" w:cs="Arial"/>
          <w:sz w:val="22"/>
          <w:szCs w:val="22"/>
        </w:rPr>
        <w:t>INSTRUCTED BY:</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D77C76">
        <w:rPr>
          <w:rFonts w:ascii="Arial" w:hAnsi="Arial" w:cs="Arial"/>
          <w:sz w:val="22"/>
          <w:szCs w:val="22"/>
        </w:rPr>
        <w:tab/>
      </w:r>
      <w:r w:rsidR="00684B6A">
        <w:rPr>
          <w:rFonts w:ascii="Arial" w:hAnsi="Arial" w:cs="Arial"/>
          <w:sz w:val="22"/>
          <w:szCs w:val="22"/>
        </w:rPr>
        <w:t>MPYANE ATTORNEYS</w:t>
      </w:r>
    </w:p>
    <w:p w14:paraId="0030EF17" w14:textId="0680261B" w:rsidR="000E6633" w:rsidRDefault="000E6633" w:rsidP="008E6813">
      <w:pPr>
        <w:spacing w:line="360" w:lineRule="auto"/>
        <w:ind w:left="567" w:hanging="567"/>
        <w:jc w:val="both"/>
        <w:rPr>
          <w:rFonts w:ascii="Arial" w:hAnsi="Arial" w:cs="Arial"/>
        </w:rPr>
      </w:pPr>
      <w:r w:rsidRPr="00242E76">
        <w:rPr>
          <w:rFonts w:ascii="Arial" w:hAnsi="Arial" w:cs="Arial"/>
          <w:sz w:val="22"/>
          <w:szCs w:val="22"/>
        </w:rPr>
        <w:t>REFERENCE:</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242E76">
        <w:rPr>
          <w:rFonts w:ascii="Arial" w:hAnsi="Arial" w:cs="Arial"/>
          <w:sz w:val="22"/>
          <w:szCs w:val="22"/>
        </w:rPr>
        <w:tab/>
      </w:r>
      <w:r w:rsidR="00D77C76">
        <w:rPr>
          <w:rFonts w:ascii="Arial" w:hAnsi="Arial" w:cs="Arial"/>
          <w:sz w:val="22"/>
          <w:szCs w:val="22"/>
        </w:rPr>
        <w:tab/>
      </w:r>
      <w:r w:rsidR="00684B6A">
        <w:rPr>
          <w:rFonts w:ascii="Arial" w:hAnsi="Arial" w:cs="Arial"/>
          <w:sz w:val="22"/>
          <w:szCs w:val="22"/>
        </w:rPr>
        <w:t>MPYANE/MJ/CIV133/2012</w:t>
      </w:r>
    </w:p>
    <w:p w14:paraId="748D69AA" w14:textId="7969D0B6" w:rsidR="00A56BC1" w:rsidRDefault="00A56BC1" w:rsidP="008E6813">
      <w:pPr>
        <w:spacing w:line="360" w:lineRule="auto"/>
        <w:jc w:val="both"/>
        <w:rPr>
          <w:rFonts w:ascii="Arial" w:hAnsi="Arial"/>
          <w:sz w:val="22"/>
          <w:szCs w:val="22"/>
        </w:rPr>
      </w:pPr>
    </w:p>
    <w:p w14:paraId="6072C765" w14:textId="3902A2A7" w:rsidR="0027008F" w:rsidRDefault="0027008F" w:rsidP="008E6813">
      <w:pPr>
        <w:spacing w:line="360" w:lineRule="auto"/>
        <w:ind w:left="567" w:hanging="567"/>
        <w:jc w:val="both"/>
        <w:rPr>
          <w:rFonts w:ascii="Arial" w:hAnsi="Arial" w:cs="Arial"/>
        </w:rPr>
      </w:pPr>
      <w:r>
        <w:rPr>
          <w:rFonts w:ascii="Arial" w:hAnsi="Arial" w:cs="Arial"/>
          <w:sz w:val="22"/>
          <w:szCs w:val="22"/>
        </w:rPr>
        <w:tab/>
      </w:r>
    </w:p>
    <w:p w14:paraId="56023C2B" w14:textId="77777777" w:rsidR="0027008F" w:rsidRPr="00CB6F8A" w:rsidRDefault="0027008F" w:rsidP="00CB6F8A">
      <w:pPr>
        <w:spacing w:line="480" w:lineRule="auto"/>
        <w:jc w:val="both"/>
        <w:rPr>
          <w:rFonts w:ascii="Arial" w:hAnsi="Arial"/>
          <w:sz w:val="22"/>
          <w:szCs w:val="22"/>
        </w:rPr>
      </w:pPr>
    </w:p>
    <w:sectPr w:rsidR="0027008F" w:rsidRPr="00CB6F8A" w:rsidSect="008E6813">
      <w:headerReference w:type="even" r:id="rId10"/>
      <w:headerReference w:type="default" r:id="rId11"/>
      <w:pgSz w:w="12240" w:h="15840"/>
      <w:pgMar w:top="978"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67990" w14:textId="77777777" w:rsidR="000F6457" w:rsidRDefault="000F6457" w:rsidP="008C18AE">
      <w:r>
        <w:separator/>
      </w:r>
    </w:p>
  </w:endnote>
  <w:endnote w:type="continuationSeparator" w:id="0">
    <w:p w14:paraId="7BD10A98" w14:textId="77777777" w:rsidR="000F6457" w:rsidRDefault="000F645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4EE19" w14:textId="77777777" w:rsidR="000F6457" w:rsidRDefault="000F6457" w:rsidP="008C18AE">
      <w:r>
        <w:separator/>
      </w:r>
    </w:p>
  </w:footnote>
  <w:footnote w:type="continuationSeparator" w:id="0">
    <w:p w14:paraId="569DB64A" w14:textId="77777777" w:rsidR="000F6457" w:rsidRDefault="000F6457" w:rsidP="008C18AE">
      <w:r>
        <w:continuationSeparator/>
      </w:r>
    </w:p>
  </w:footnote>
  <w:footnote w:id="1">
    <w:p w14:paraId="7CBD7E88" w14:textId="01DB133E" w:rsidR="00F653D0" w:rsidRPr="006E694C" w:rsidRDefault="00F653D0">
      <w:pPr>
        <w:pStyle w:val="FootnoteText"/>
        <w:rPr>
          <w:rFonts w:ascii="Arial" w:hAnsi="Arial" w:cs="Arial"/>
          <w:sz w:val="20"/>
          <w:szCs w:val="20"/>
        </w:rPr>
      </w:pPr>
      <w:r w:rsidRPr="006E694C">
        <w:rPr>
          <w:rStyle w:val="FootnoteReference"/>
          <w:rFonts w:ascii="Arial" w:hAnsi="Arial" w:cs="Arial"/>
          <w:sz w:val="20"/>
          <w:szCs w:val="20"/>
        </w:rPr>
        <w:footnoteRef/>
      </w:r>
      <w:r w:rsidRPr="006E694C">
        <w:rPr>
          <w:rFonts w:ascii="Arial" w:hAnsi="Arial" w:cs="Arial"/>
          <w:sz w:val="20"/>
          <w:szCs w:val="20"/>
        </w:rPr>
        <w:t xml:space="preserve"> </w:t>
      </w:r>
      <w:r w:rsidR="00FC5FC9" w:rsidRPr="006E694C">
        <w:rPr>
          <w:rFonts w:ascii="Arial" w:hAnsi="Arial" w:cs="Arial"/>
          <w:sz w:val="20"/>
          <w:szCs w:val="20"/>
        </w:rPr>
        <w:t>For non-compliance with the Uniform Rules.</w:t>
      </w:r>
    </w:p>
  </w:footnote>
  <w:footnote w:id="2">
    <w:p w14:paraId="59FFB24C" w14:textId="30DA81A1" w:rsidR="00FC5FC9" w:rsidRPr="006E694C" w:rsidRDefault="00FC5FC9">
      <w:pPr>
        <w:pStyle w:val="FootnoteText"/>
        <w:rPr>
          <w:rFonts w:ascii="Arial" w:hAnsi="Arial" w:cs="Arial"/>
          <w:sz w:val="20"/>
          <w:szCs w:val="20"/>
        </w:rPr>
      </w:pPr>
      <w:r w:rsidRPr="006E694C">
        <w:rPr>
          <w:rStyle w:val="FootnoteReference"/>
          <w:rFonts w:ascii="Arial" w:hAnsi="Arial" w:cs="Arial"/>
          <w:sz w:val="20"/>
          <w:szCs w:val="20"/>
        </w:rPr>
        <w:footnoteRef/>
      </w:r>
      <w:r w:rsidRPr="006E694C">
        <w:rPr>
          <w:rFonts w:ascii="Arial" w:hAnsi="Arial" w:cs="Arial"/>
          <w:sz w:val="20"/>
          <w:szCs w:val="20"/>
        </w:rPr>
        <w:t xml:space="preserve"> There were 3 counterclaims – the first is for a declarator that the plaintiff is in breach of the settlement agreement and for a </w:t>
      </w:r>
      <w:r w:rsidRPr="00860E60">
        <w:rPr>
          <w:rFonts w:ascii="Arial" w:hAnsi="Arial" w:cs="Arial"/>
          <w:i/>
          <w:iCs/>
          <w:sz w:val="20"/>
          <w:szCs w:val="20"/>
        </w:rPr>
        <w:t xml:space="preserve">mandamus </w:t>
      </w:r>
      <w:r w:rsidRPr="006E694C">
        <w:rPr>
          <w:rFonts w:ascii="Arial" w:hAnsi="Arial" w:cs="Arial"/>
          <w:sz w:val="20"/>
          <w:szCs w:val="20"/>
        </w:rPr>
        <w:t xml:space="preserve">to compel compliance. The second and third claims are for </w:t>
      </w:r>
      <w:r w:rsidRPr="006E694C">
        <w:rPr>
          <w:rFonts w:ascii="Arial" w:hAnsi="Arial" w:cs="Arial"/>
          <w:i/>
          <w:iCs/>
          <w:sz w:val="20"/>
          <w:szCs w:val="20"/>
        </w:rPr>
        <w:t>iniuria</w:t>
      </w:r>
      <w:r w:rsidRPr="006E694C">
        <w:rPr>
          <w:rFonts w:ascii="Arial" w:hAnsi="Arial" w:cs="Arial"/>
          <w:sz w:val="20"/>
          <w:szCs w:val="20"/>
        </w:rPr>
        <w:t>.</w:t>
      </w:r>
    </w:p>
  </w:footnote>
  <w:footnote w:id="3">
    <w:p w14:paraId="6FA288EA" w14:textId="5BEFB48E" w:rsidR="00F653D0" w:rsidRDefault="00F653D0">
      <w:pPr>
        <w:pStyle w:val="FootnoteText"/>
      </w:pPr>
      <w:r w:rsidRPr="006E694C">
        <w:rPr>
          <w:rStyle w:val="FootnoteReference"/>
          <w:rFonts w:ascii="Arial" w:hAnsi="Arial" w:cs="Arial"/>
          <w:sz w:val="20"/>
          <w:szCs w:val="20"/>
        </w:rPr>
        <w:footnoteRef/>
      </w:r>
      <w:r w:rsidRPr="006E694C">
        <w:rPr>
          <w:rFonts w:ascii="Arial" w:hAnsi="Arial" w:cs="Arial"/>
          <w:sz w:val="20"/>
          <w:szCs w:val="20"/>
        </w:rPr>
        <w:t xml:space="preserve"> Rule 26 of the Uniform Rules – the period between 16 December and 15 January of each year is excluded from the calculation of time for the delivery of pleadings.</w:t>
      </w:r>
    </w:p>
  </w:footnote>
  <w:footnote w:id="4">
    <w:p w14:paraId="68DC9440" w14:textId="73658D1C" w:rsidR="004C5733" w:rsidRPr="000F76FF" w:rsidRDefault="004C5733" w:rsidP="000F76FF">
      <w:pPr>
        <w:pStyle w:val="FootnoteText"/>
        <w:ind w:left="284" w:hanging="284"/>
        <w:jc w:val="both"/>
        <w:rPr>
          <w:rFonts w:ascii="Arial" w:hAnsi="Arial" w:cs="Arial"/>
          <w:sz w:val="20"/>
          <w:szCs w:val="20"/>
        </w:rPr>
      </w:pPr>
      <w:r w:rsidRPr="000F76FF">
        <w:rPr>
          <w:rStyle w:val="FootnoteReference"/>
          <w:rFonts w:ascii="Arial" w:hAnsi="Arial" w:cs="Arial"/>
          <w:sz w:val="20"/>
          <w:szCs w:val="20"/>
        </w:rPr>
        <w:footnoteRef/>
      </w:r>
      <w:r w:rsidRPr="000F76FF">
        <w:rPr>
          <w:rFonts w:ascii="Arial" w:hAnsi="Arial" w:cs="Arial"/>
          <w:sz w:val="20"/>
          <w:szCs w:val="20"/>
        </w:rPr>
        <w:t xml:space="preserve"> </w:t>
      </w:r>
      <w:r w:rsidR="000F76FF">
        <w:rPr>
          <w:rFonts w:ascii="Arial" w:hAnsi="Arial" w:cs="Arial"/>
          <w:sz w:val="20"/>
          <w:szCs w:val="20"/>
        </w:rPr>
        <w:tab/>
      </w:r>
      <w:r w:rsidR="000F76FF" w:rsidRPr="000F76FF">
        <w:rPr>
          <w:rFonts w:ascii="Arial" w:hAnsi="Arial" w:cs="Arial"/>
          <w:sz w:val="20"/>
          <w:szCs w:val="20"/>
        </w:rPr>
        <w:t>T</w:t>
      </w:r>
      <w:r w:rsidRPr="000F76FF">
        <w:rPr>
          <w:rFonts w:ascii="Arial" w:hAnsi="Arial" w:cs="Arial"/>
          <w:sz w:val="20"/>
          <w:szCs w:val="20"/>
        </w:rPr>
        <w:t xml:space="preserve">itled as an Exception but compliant with rule 23(1) </w:t>
      </w:r>
      <w:r w:rsidR="000F76FF" w:rsidRPr="000F76FF">
        <w:rPr>
          <w:rFonts w:ascii="Arial" w:hAnsi="Arial" w:cs="Arial"/>
          <w:sz w:val="20"/>
          <w:szCs w:val="20"/>
        </w:rPr>
        <w:t>and furthermore affording the plaintiff’s a period of 15 days within which to address the cause of complaint.</w:t>
      </w:r>
    </w:p>
  </w:footnote>
  <w:footnote w:id="5">
    <w:p w14:paraId="6A2DA945" w14:textId="7368676E" w:rsidR="009B24C0" w:rsidRPr="006E694C" w:rsidRDefault="009B24C0">
      <w:pPr>
        <w:pStyle w:val="FootnoteText"/>
        <w:rPr>
          <w:rFonts w:ascii="Arial" w:hAnsi="Arial" w:cs="Arial"/>
          <w:sz w:val="20"/>
          <w:szCs w:val="20"/>
        </w:rPr>
      </w:pPr>
      <w:r w:rsidRPr="006E694C">
        <w:rPr>
          <w:rStyle w:val="FootnoteReference"/>
          <w:rFonts w:ascii="Arial" w:hAnsi="Arial" w:cs="Arial"/>
          <w:sz w:val="20"/>
          <w:szCs w:val="20"/>
        </w:rPr>
        <w:footnoteRef/>
      </w:r>
      <w:r w:rsidRPr="006E694C">
        <w:rPr>
          <w:rFonts w:ascii="Arial" w:hAnsi="Arial" w:cs="Arial"/>
          <w:sz w:val="20"/>
          <w:szCs w:val="20"/>
        </w:rPr>
        <w:t xml:space="preserve"> Erasmus Superior Court Practice, Volume 2 at page D1-7 and to the footnotes referred to therein.</w:t>
      </w:r>
    </w:p>
  </w:footnote>
  <w:footnote w:id="6">
    <w:p w14:paraId="68EC71E7" w14:textId="08E3E3F5" w:rsidR="001A6161" w:rsidRPr="009B24C0" w:rsidRDefault="001A6161" w:rsidP="001A6161">
      <w:pPr>
        <w:pStyle w:val="FootnoteText"/>
        <w:ind w:left="284" w:hanging="284"/>
        <w:jc w:val="both"/>
        <w:rPr>
          <w:rFonts w:ascii="Arial" w:hAnsi="Arial" w:cs="Arial"/>
          <w:sz w:val="20"/>
          <w:szCs w:val="20"/>
        </w:rPr>
      </w:pPr>
      <w:r w:rsidRPr="009B24C0">
        <w:rPr>
          <w:rStyle w:val="FootnoteReference"/>
          <w:rFonts w:ascii="Arial" w:hAnsi="Arial" w:cs="Arial"/>
          <w:sz w:val="20"/>
          <w:szCs w:val="20"/>
        </w:rPr>
        <w:footnoteRef/>
      </w:r>
      <w:r w:rsidRPr="009B24C0">
        <w:rPr>
          <w:rFonts w:ascii="Arial" w:hAnsi="Arial" w:cs="Arial"/>
          <w:sz w:val="20"/>
          <w:szCs w:val="20"/>
        </w:rPr>
        <w:t xml:space="preserve"> </w:t>
      </w:r>
      <w:r w:rsidRPr="009B24C0">
        <w:rPr>
          <w:rFonts w:ascii="Arial" w:hAnsi="Arial" w:cs="Arial"/>
          <w:sz w:val="20"/>
          <w:szCs w:val="20"/>
        </w:rPr>
        <w:tab/>
      </w:r>
      <w:r w:rsidR="009B24C0" w:rsidRPr="009B24C0">
        <w:rPr>
          <w:rFonts w:ascii="Arial" w:hAnsi="Arial" w:cs="Arial"/>
          <w:sz w:val="20"/>
          <w:szCs w:val="20"/>
        </w:rPr>
        <w:t>Amler’s</w:t>
      </w:r>
      <w:r w:rsidRPr="009B24C0">
        <w:rPr>
          <w:rFonts w:ascii="Arial" w:hAnsi="Arial" w:cs="Arial"/>
          <w:sz w:val="20"/>
          <w:szCs w:val="20"/>
        </w:rPr>
        <w:t xml:space="preserve"> Precedents of Pleadings</w:t>
      </w:r>
      <w:r w:rsidR="009B24C0" w:rsidRPr="009B24C0">
        <w:rPr>
          <w:rFonts w:ascii="Arial" w:hAnsi="Arial" w:cs="Arial"/>
          <w:sz w:val="20"/>
          <w:szCs w:val="20"/>
        </w:rPr>
        <w:t>,</w:t>
      </w:r>
      <w:r w:rsidR="00992748">
        <w:rPr>
          <w:rFonts w:ascii="Arial" w:hAnsi="Arial" w:cs="Arial"/>
          <w:sz w:val="20"/>
          <w:szCs w:val="20"/>
        </w:rPr>
        <w:t xml:space="preserve"> </w:t>
      </w:r>
      <w:r w:rsidR="009B24C0" w:rsidRPr="009B24C0">
        <w:rPr>
          <w:rFonts w:ascii="Arial" w:hAnsi="Arial" w:cs="Arial"/>
          <w:sz w:val="20"/>
          <w:szCs w:val="20"/>
        </w:rPr>
        <w:t xml:space="preserve">LTC Harms, </w:t>
      </w:r>
      <w:r w:rsidR="00992748">
        <w:rPr>
          <w:rFonts w:ascii="Arial" w:hAnsi="Arial" w:cs="Arial"/>
          <w:sz w:val="20"/>
          <w:szCs w:val="20"/>
        </w:rPr>
        <w:t>7</w:t>
      </w:r>
      <w:r w:rsidR="00992748" w:rsidRPr="00992748">
        <w:rPr>
          <w:rFonts w:ascii="Arial" w:hAnsi="Arial" w:cs="Arial"/>
          <w:sz w:val="20"/>
          <w:szCs w:val="20"/>
          <w:vertAlign w:val="superscript"/>
        </w:rPr>
        <w:t>th</w:t>
      </w:r>
      <w:r w:rsidR="00992748">
        <w:rPr>
          <w:rFonts w:ascii="Arial" w:hAnsi="Arial" w:cs="Arial"/>
          <w:sz w:val="20"/>
          <w:szCs w:val="20"/>
        </w:rPr>
        <w:t xml:space="preserve"> Edition, </w:t>
      </w:r>
      <w:r w:rsidR="009B24C0" w:rsidRPr="009B24C0">
        <w:rPr>
          <w:rFonts w:ascii="Arial" w:hAnsi="Arial" w:cs="Arial"/>
          <w:sz w:val="20"/>
          <w:szCs w:val="20"/>
        </w:rPr>
        <w:t>Lexis Nexis, 2007 at</w:t>
      </w:r>
      <w:r w:rsidRPr="009B24C0">
        <w:rPr>
          <w:rFonts w:ascii="Arial" w:hAnsi="Arial" w:cs="Arial"/>
          <w:sz w:val="20"/>
          <w:szCs w:val="20"/>
        </w:rPr>
        <w:t xml:space="preserve"> p</w:t>
      </w:r>
      <w:r w:rsidR="00860E60">
        <w:rPr>
          <w:rFonts w:ascii="Arial" w:hAnsi="Arial" w:cs="Arial"/>
          <w:sz w:val="20"/>
          <w:szCs w:val="20"/>
        </w:rPr>
        <w:t xml:space="preserve"> </w:t>
      </w:r>
      <w:r w:rsidRPr="009B24C0">
        <w:rPr>
          <w:rFonts w:ascii="Arial" w:hAnsi="Arial" w:cs="Arial"/>
          <w:sz w:val="20"/>
          <w:szCs w:val="20"/>
        </w:rPr>
        <w:t>223.</w:t>
      </w:r>
    </w:p>
  </w:footnote>
  <w:footnote w:id="7">
    <w:p w14:paraId="4A60F643" w14:textId="677D53D3" w:rsidR="001A6161" w:rsidRPr="00992748" w:rsidRDefault="001A6161" w:rsidP="001A6161">
      <w:pPr>
        <w:pStyle w:val="FootnoteText"/>
        <w:ind w:left="284" w:hanging="284"/>
        <w:jc w:val="both"/>
      </w:pPr>
      <w:r w:rsidRPr="00992748">
        <w:rPr>
          <w:rStyle w:val="FootnoteReference"/>
          <w:rFonts w:ascii="Arial" w:hAnsi="Arial" w:cs="Arial"/>
          <w:sz w:val="20"/>
          <w:szCs w:val="20"/>
        </w:rPr>
        <w:footnoteRef/>
      </w:r>
      <w:r w:rsidRPr="00992748">
        <w:rPr>
          <w:rFonts w:ascii="Arial" w:hAnsi="Arial" w:cs="Arial"/>
          <w:sz w:val="20"/>
          <w:szCs w:val="20"/>
        </w:rPr>
        <w:t xml:space="preserve"> </w:t>
      </w:r>
      <w:r w:rsidR="008D5E22">
        <w:rPr>
          <w:rFonts w:ascii="Arial" w:hAnsi="Arial" w:cs="Arial"/>
          <w:sz w:val="20"/>
          <w:szCs w:val="20"/>
        </w:rPr>
        <w:tab/>
      </w:r>
      <w:r w:rsidR="00992748" w:rsidRPr="00992748">
        <w:rPr>
          <w:rFonts w:ascii="Arial" w:hAnsi="Arial" w:cs="Arial"/>
          <w:sz w:val="20"/>
          <w:szCs w:val="20"/>
        </w:rPr>
        <w:t>2007 (5) SA 382 (SCA)</w:t>
      </w:r>
      <w:r w:rsidRPr="00992748">
        <w:rPr>
          <w:rFonts w:ascii="Arial" w:hAnsi="Arial" w:cs="Arial"/>
          <w:sz w:val="20"/>
          <w:szCs w:val="20"/>
        </w:rPr>
        <w:t xml:space="preserve"> at para [5].</w:t>
      </w:r>
    </w:p>
  </w:footnote>
  <w:footnote w:id="8">
    <w:p w14:paraId="797F6C82" w14:textId="77777777" w:rsidR="00D14326" w:rsidRPr="00D14326" w:rsidRDefault="00D14326" w:rsidP="00D14326">
      <w:pPr>
        <w:pStyle w:val="FootnoteText"/>
        <w:rPr>
          <w:rFonts w:ascii="Arial" w:hAnsi="Arial" w:cs="Arial"/>
          <w:sz w:val="20"/>
          <w:szCs w:val="20"/>
        </w:rPr>
      </w:pPr>
      <w:r w:rsidRPr="00D14326">
        <w:rPr>
          <w:rStyle w:val="FootnoteReference"/>
          <w:rFonts w:ascii="Arial" w:hAnsi="Arial" w:cs="Arial"/>
          <w:sz w:val="20"/>
          <w:szCs w:val="20"/>
        </w:rPr>
        <w:footnoteRef/>
      </w:r>
      <w:r w:rsidRPr="00D14326">
        <w:rPr>
          <w:rFonts w:ascii="Arial" w:hAnsi="Arial" w:cs="Arial"/>
          <w:sz w:val="20"/>
          <w:szCs w:val="20"/>
        </w:rPr>
        <w:t xml:space="preserve">    </w:t>
      </w:r>
      <w:r w:rsidRPr="00D14326">
        <w:rPr>
          <w:rFonts w:ascii="Arial" w:hAnsi="Arial" w:cs="Arial"/>
          <w:i/>
          <w:iCs/>
          <w:sz w:val="20"/>
          <w:szCs w:val="20"/>
        </w:rPr>
        <w:t>Marney v Watson and Another</w:t>
      </w:r>
      <w:r w:rsidRPr="00D14326">
        <w:rPr>
          <w:rFonts w:ascii="Arial" w:hAnsi="Arial" w:cs="Arial"/>
          <w:sz w:val="20"/>
          <w:szCs w:val="20"/>
        </w:rPr>
        <w:t xml:space="preserve"> 1978 (4) SA 140 (C) at 144F-G.</w:t>
      </w:r>
    </w:p>
  </w:footnote>
  <w:footnote w:id="9">
    <w:p w14:paraId="2872B9D4" w14:textId="77777777" w:rsidR="00D14326" w:rsidRPr="00DC3048" w:rsidRDefault="00D14326" w:rsidP="00D14326">
      <w:pPr>
        <w:pStyle w:val="FootnoteText"/>
        <w:ind w:left="284" w:hanging="284"/>
        <w:jc w:val="both"/>
        <w:rPr>
          <w:rFonts w:ascii="Arial" w:hAnsi="Arial" w:cs="Arial"/>
          <w:sz w:val="20"/>
          <w:szCs w:val="20"/>
        </w:rPr>
      </w:pPr>
      <w:r w:rsidRPr="00D14326">
        <w:rPr>
          <w:rStyle w:val="FootnoteReference"/>
          <w:rFonts w:ascii="Arial" w:hAnsi="Arial" w:cs="Arial"/>
          <w:sz w:val="20"/>
          <w:szCs w:val="20"/>
        </w:rPr>
        <w:footnoteRef/>
      </w:r>
      <w:r w:rsidRPr="00D14326">
        <w:rPr>
          <w:rFonts w:ascii="Arial" w:hAnsi="Arial" w:cs="Arial"/>
          <w:sz w:val="20"/>
          <w:szCs w:val="20"/>
        </w:rPr>
        <w:t xml:space="preserve"> </w:t>
      </w:r>
      <w:r w:rsidRPr="00D14326">
        <w:rPr>
          <w:rFonts w:ascii="Arial" w:hAnsi="Arial" w:cs="Arial"/>
          <w:sz w:val="20"/>
          <w:szCs w:val="20"/>
        </w:rPr>
        <w:tab/>
        <w:t xml:space="preserve">See </w:t>
      </w:r>
      <w:r w:rsidRPr="00D14326">
        <w:rPr>
          <w:rFonts w:ascii="Arial" w:hAnsi="Arial" w:cs="Arial"/>
          <w:i/>
          <w:iCs/>
          <w:sz w:val="20"/>
          <w:szCs w:val="20"/>
        </w:rPr>
        <w:t xml:space="preserve">Living Hands (Pty) Ltd and Another v Ditz and Others </w:t>
      </w:r>
      <w:r w:rsidRPr="00D14326">
        <w:rPr>
          <w:rFonts w:ascii="Arial" w:hAnsi="Arial" w:cs="Arial"/>
          <w:sz w:val="20"/>
          <w:szCs w:val="20"/>
        </w:rPr>
        <w:t>2013 (2) SA 368 (GSJ) at para [15] for a discussion of the general principles relating to exceptions.</w:t>
      </w:r>
    </w:p>
  </w:footnote>
  <w:footnote w:id="10">
    <w:p w14:paraId="544FC492" w14:textId="77777777" w:rsidR="00D14326" w:rsidRPr="00BE1D55" w:rsidRDefault="00D14326" w:rsidP="00D14326">
      <w:pPr>
        <w:pStyle w:val="FootnoteText"/>
        <w:ind w:left="284" w:hanging="284"/>
        <w:jc w:val="both"/>
        <w:rPr>
          <w:rFonts w:ascii="Arial" w:hAnsi="Arial" w:cs="Arial"/>
          <w:sz w:val="20"/>
          <w:szCs w:val="20"/>
        </w:rPr>
      </w:pPr>
      <w:r w:rsidRPr="00DC3048">
        <w:rPr>
          <w:rStyle w:val="FootnoteReference"/>
          <w:rFonts w:ascii="Arial" w:hAnsi="Arial" w:cs="Arial"/>
          <w:sz w:val="20"/>
          <w:szCs w:val="20"/>
        </w:rPr>
        <w:footnoteRef/>
      </w:r>
      <w:r w:rsidRPr="00DC3048">
        <w:rPr>
          <w:rFonts w:ascii="Arial" w:hAnsi="Arial" w:cs="Arial"/>
          <w:sz w:val="20"/>
          <w:szCs w:val="20"/>
        </w:rPr>
        <w:t xml:space="preserve"> </w:t>
      </w:r>
      <w:r w:rsidRPr="00DC3048">
        <w:rPr>
          <w:rFonts w:ascii="Arial" w:hAnsi="Arial" w:cs="Arial"/>
          <w:sz w:val="20"/>
          <w:szCs w:val="20"/>
        </w:rPr>
        <w:tab/>
        <w:t xml:space="preserve">2015 (2) SA 193 (CC) at para [10]. See also </w:t>
      </w:r>
      <w:r w:rsidRPr="00DC3048">
        <w:rPr>
          <w:rFonts w:ascii="Arial" w:hAnsi="Arial" w:cs="Arial"/>
          <w:i/>
          <w:iCs/>
          <w:sz w:val="20"/>
          <w:szCs w:val="20"/>
        </w:rPr>
        <w:t>Children’s Resource Centre Trust v Pioneer Food (Pty) Ltd</w:t>
      </w:r>
      <w:r w:rsidRPr="00DC3048">
        <w:rPr>
          <w:rFonts w:ascii="Arial" w:hAnsi="Arial" w:cs="Arial"/>
          <w:sz w:val="20"/>
          <w:szCs w:val="20"/>
        </w:rPr>
        <w:t xml:space="preserve"> 2013 (2) SA 213 (SCA) at para [36].</w:t>
      </w:r>
    </w:p>
  </w:footnote>
  <w:footnote w:id="11">
    <w:p w14:paraId="2D5871E7" w14:textId="78B82A13" w:rsidR="00CD4172" w:rsidRPr="00CD4172" w:rsidRDefault="00CD4172" w:rsidP="00CD4172">
      <w:pPr>
        <w:pStyle w:val="FootnoteText"/>
        <w:ind w:left="284" w:hanging="284"/>
        <w:rPr>
          <w:rFonts w:ascii="Arial" w:hAnsi="Arial" w:cs="Arial"/>
          <w:sz w:val="20"/>
          <w:szCs w:val="20"/>
        </w:rPr>
      </w:pPr>
      <w:r w:rsidRPr="00CD4172">
        <w:rPr>
          <w:rStyle w:val="FootnoteReference"/>
          <w:rFonts w:ascii="Arial" w:hAnsi="Arial" w:cs="Arial"/>
          <w:sz w:val="20"/>
          <w:szCs w:val="20"/>
        </w:rPr>
        <w:footnoteRef/>
      </w:r>
      <w:r w:rsidRPr="00CD4172">
        <w:rPr>
          <w:rFonts w:ascii="Arial" w:hAnsi="Arial" w:cs="Arial"/>
          <w:sz w:val="20"/>
          <w:szCs w:val="20"/>
        </w:rPr>
        <w:t xml:space="preserve"> </w:t>
      </w:r>
      <w:r>
        <w:rPr>
          <w:rFonts w:ascii="Arial" w:hAnsi="Arial" w:cs="Arial"/>
          <w:sz w:val="20"/>
          <w:szCs w:val="20"/>
        </w:rPr>
        <w:tab/>
      </w:r>
      <w:r w:rsidRPr="001F3771">
        <w:rPr>
          <w:rFonts w:ascii="Arial" w:hAnsi="Arial" w:cs="Arial"/>
          <w:sz w:val="20"/>
          <w:szCs w:val="20"/>
        </w:rPr>
        <w:t>2011 (6) BCLR 577 (CC).</w:t>
      </w:r>
    </w:p>
  </w:footnote>
  <w:footnote w:id="12">
    <w:p w14:paraId="2D2126CB" w14:textId="003ACE2E" w:rsidR="00E16173" w:rsidRPr="006E694C" w:rsidRDefault="00E16173" w:rsidP="00D013CD">
      <w:pPr>
        <w:pStyle w:val="FootnoteText"/>
        <w:ind w:left="284" w:hanging="284"/>
        <w:jc w:val="both"/>
        <w:rPr>
          <w:rFonts w:ascii="Arial" w:hAnsi="Arial" w:cs="Arial"/>
          <w:sz w:val="20"/>
          <w:szCs w:val="20"/>
        </w:rPr>
      </w:pPr>
      <w:r w:rsidRPr="006E694C">
        <w:rPr>
          <w:rStyle w:val="FootnoteReference"/>
          <w:rFonts w:ascii="Arial" w:hAnsi="Arial" w:cs="Arial"/>
          <w:sz w:val="20"/>
          <w:szCs w:val="20"/>
        </w:rPr>
        <w:footnoteRef/>
      </w:r>
      <w:r w:rsidRPr="006E694C">
        <w:rPr>
          <w:rFonts w:ascii="Arial" w:hAnsi="Arial" w:cs="Arial"/>
          <w:sz w:val="20"/>
          <w:szCs w:val="20"/>
        </w:rPr>
        <w:t xml:space="preserve"> </w:t>
      </w:r>
      <w:r w:rsidR="00313B9E" w:rsidRPr="006E694C">
        <w:rPr>
          <w:rFonts w:ascii="Arial" w:hAnsi="Arial" w:cs="Arial"/>
          <w:sz w:val="20"/>
          <w:szCs w:val="20"/>
        </w:rPr>
        <w:tab/>
      </w:r>
      <w:r w:rsidR="00A00BC3" w:rsidRPr="006E694C">
        <w:rPr>
          <w:rFonts w:ascii="Arial" w:hAnsi="Arial" w:cs="Arial"/>
          <w:sz w:val="20"/>
          <w:szCs w:val="20"/>
        </w:rPr>
        <w:t>Ibid. Amler’s</w:t>
      </w:r>
      <w:r w:rsidRPr="006E694C">
        <w:rPr>
          <w:rFonts w:ascii="Arial" w:hAnsi="Arial" w:cs="Arial"/>
          <w:sz w:val="20"/>
          <w:szCs w:val="20"/>
        </w:rPr>
        <w:t xml:space="preserve"> Page 225 see</w:t>
      </w:r>
      <w:r w:rsidR="00313B9E" w:rsidRPr="006E694C">
        <w:rPr>
          <w:rFonts w:ascii="Arial" w:hAnsi="Arial" w:cs="Arial"/>
          <w:sz w:val="20"/>
          <w:szCs w:val="20"/>
        </w:rPr>
        <w:t xml:space="preserve"> especially </w:t>
      </w:r>
      <w:r w:rsidR="00313B9E" w:rsidRPr="006E694C">
        <w:rPr>
          <w:rFonts w:ascii="Arial" w:hAnsi="Arial" w:cs="Arial"/>
          <w:i/>
          <w:iCs/>
          <w:sz w:val="20"/>
          <w:szCs w:val="20"/>
        </w:rPr>
        <w:t>Tarloff v Olivier</w:t>
      </w:r>
      <w:r w:rsidR="00313B9E" w:rsidRPr="006E694C">
        <w:rPr>
          <w:rFonts w:ascii="Arial" w:hAnsi="Arial" w:cs="Arial"/>
          <w:sz w:val="20"/>
          <w:szCs w:val="20"/>
        </w:rPr>
        <w:t xml:space="preserve"> [2004] 1 ALL SA 563 (C ); </w:t>
      </w:r>
      <w:r w:rsidR="00313B9E" w:rsidRPr="006E694C">
        <w:rPr>
          <w:rFonts w:ascii="Arial" w:hAnsi="Arial" w:cs="Arial"/>
          <w:i/>
          <w:iCs/>
          <w:sz w:val="20"/>
          <w:szCs w:val="20"/>
        </w:rPr>
        <w:t xml:space="preserve">Minister of Safety and Security v Seymour </w:t>
      </w:r>
      <w:r w:rsidR="00313B9E" w:rsidRPr="006E694C">
        <w:rPr>
          <w:rFonts w:ascii="Arial" w:hAnsi="Arial" w:cs="Arial"/>
          <w:sz w:val="20"/>
          <w:szCs w:val="20"/>
        </w:rPr>
        <w:t>2006 (6) SA 320 (SCA).</w:t>
      </w:r>
    </w:p>
  </w:footnote>
  <w:footnote w:id="13">
    <w:p w14:paraId="41339A3A" w14:textId="373C919C" w:rsidR="002F4AE6" w:rsidRPr="006E694C" w:rsidRDefault="002F4AE6" w:rsidP="002F4AE6">
      <w:pPr>
        <w:pStyle w:val="FootnoteText"/>
        <w:ind w:left="284" w:hanging="284"/>
        <w:jc w:val="both"/>
      </w:pPr>
      <w:r w:rsidRPr="006E694C">
        <w:rPr>
          <w:rStyle w:val="FootnoteReference"/>
          <w:rFonts w:ascii="Arial" w:hAnsi="Arial" w:cs="Arial"/>
          <w:sz w:val="20"/>
          <w:szCs w:val="20"/>
        </w:rPr>
        <w:footnoteRef/>
      </w:r>
      <w:r w:rsidRPr="006E694C">
        <w:rPr>
          <w:rFonts w:ascii="Arial" w:hAnsi="Arial" w:cs="Arial"/>
          <w:sz w:val="20"/>
          <w:szCs w:val="20"/>
        </w:rPr>
        <w:t xml:space="preserve"> </w:t>
      </w:r>
      <w:r w:rsidRPr="006E694C">
        <w:rPr>
          <w:rFonts w:ascii="Arial" w:hAnsi="Arial" w:cs="Arial"/>
          <w:sz w:val="20"/>
          <w:szCs w:val="20"/>
        </w:rPr>
        <w:tab/>
      </w:r>
      <w:r w:rsidRPr="006E694C">
        <w:rPr>
          <w:rFonts w:ascii="Arial" w:hAnsi="Arial" w:cs="Arial"/>
          <w:i/>
          <w:iCs/>
          <w:sz w:val="20"/>
          <w:szCs w:val="20"/>
        </w:rPr>
        <w:t>Relyant Trading (Pty) Ltd v Shongwe and Another</w:t>
      </w:r>
      <w:r w:rsidRPr="006E694C">
        <w:rPr>
          <w:rFonts w:ascii="Arial" w:hAnsi="Arial" w:cs="Arial"/>
          <w:sz w:val="20"/>
          <w:szCs w:val="20"/>
        </w:rPr>
        <w:t xml:space="preserve"> [2007] 1 ALL SA 375 (SCA).</w:t>
      </w:r>
    </w:p>
  </w:footnote>
  <w:footnote w:id="14">
    <w:p w14:paraId="79299C9D" w14:textId="635E1FE1" w:rsidR="00AB2AE7" w:rsidRPr="00B742C4" w:rsidRDefault="00AB2AE7" w:rsidP="00AB2AE7">
      <w:pPr>
        <w:pStyle w:val="FootnoteText"/>
        <w:ind w:left="284" w:hanging="284"/>
        <w:rPr>
          <w:rFonts w:ascii="Arial" w:hAnsi="Arial" w:cs="Arial"/>
          <w:sz w:val="20"/>
          <w:szCs w:val="20"/>
        </w:rPr>
      </w:pPr>
      <w:r w:rsidRPr="006E694C">
        <w:rPr>
          <w:rStyle w:val="FootnoteReference"/>
          <w:rFonts w:ascii="Arial" w:hAnsi="Arial" w:cs="Arial"/>
          <w:sz w:val="20"/>
          <w:szCs w:val="20"/>
        </w:rPr>
        <w:footnoteRef/>
      </w:r>
      <w:r w:rsidRPr="006E694C">
        <w:rPr>
          <w:rFonts w:ascii="Arial" w:hAnsi="Arial" w:cs="Arial"/>
          <w:sz w:val="20"/>
          <w:szCs w:val="20"/>
        </w:rPr>
        <w:t xml:space="preserve"> </w:t>
      </w:r>
      <w:r w:rsidRPr="006E694C">
        <w:rPr>
          <w:rFonts w:ascii="Arial" w:hAnsi="Arial" w:cs="Arial"/>
          <w:sz w:val="20"/>
          <w:szCs w:val="20"/>
        </w:rPr>
        <w:tab/>
      </w:r>
      <w:r w:rsidR="002F4AE6" w:rsidRPr="006E694C">
        <w:rPr>
          <w:rFonts w:ascii="Arial" w:hAnsi="Arial" w:cs="Arial"/>
          <w:i/>
          <w:iCs/>
          <w:sz w:val="20"/>
          <w:szCs w:val="20"/>
        </w:rPr>
        <w:t xml:space="preserve">Sutter v Brown </w:t>
      </w:r>
      <w:r w:rsidR="002F4AE6" w:rsidRPr="006E694C">
        <w:rPr>
          <w:rFonts w:ascii="Arial" w:hAnsi="Arial" w:cs="Arial"/>
          <w:sz w:val="20"/>
          <w:szCs w:val="20"/>
        </w:rPr>
        <w:t>1926 AD 155 at 171</w:t>
      </w:r>
      <w:r w:rsidR="002F4AE6" w:rsidRPr="006E694C">
        <w:rPr>
          <w:rFonts w:ascii="Arial" w:hAnsi="Arial" w:cs="Arial"/>
          <w:i/>
          <w:iCs/>
          <w:sz w:val="20"/>
          <w:szCs w:val="20"/>
        </w:rPr>
        <w:t>.</w:t>
      </w:r>
    </w:p>
  </w:footnote>
  <w:footnote w:id="15">
    <w:p w14:paraId="015E0867" w14:textId="15CD050D" w:rsidR="00B742C4" w:rsidRDefault="00B742C4" w:rsidP="008D5E22">
      <w:pPr>
        <w:pStyle w:val="FootnoteText"/>
        <w:ind w:left="284" w:hanging="284"/>
        <w:jc w:val="both"/>
      </w:pPr>
      <w:r w:rsidRPr="00B742C4">
        <w:rPr>
          <w:rStyle w:val="FootnoteReference"/>
          <w:rFonts w:ascii="Arial" w:hAnsi="Arial" w:cs="Arial"/>
          <w:sz w:val="20"/>
          <w:szCs w:val="20"/>
        </w:rPr>
        <w:footnoteRef/>
      </w:r>
      <w:r w:rsidRPr="00B742C4">
        <w:rPr>
          <w:rFonts w:ascii="Arial" w:hAnsi="Arial" w:cs="Arial"/>
          <w:sz w:val="20"/>
          <w:szCs w:val="20"/>
        </w:rPr>
        <w:t xml:space="preserve"> </w:t>
      </w:r>
      <w:r w:rsidR="008D5E22">
        <w:rPr>
          <w:rFonts w:ascii="Arial" w:hAnsi="Arial" w:cs="Arial"/>
          <w:sz w:val="20"/>
          <w:szCs w:val="20"/>
        </w:rPr>
        <w:tab/>
      </w:r>
      <w:r w:rsidRPr="00B742C4">
        <w:rPr>
          <w:rFonts w:ascii="Arial" w:hAnsi="Arial" w:cs="Arial"/>
          <w:sz w:val="20"/>
          <w:szCs w:val="20"/>
        </w:rPr>
        <w:t xml:space="preserve">Rule 28(8) provides: </w:t>
      </w:r>
      <w:r w:rsidRPr="00B742C4">
        <w:rPr>
          <w:rFonts w:ascii="Arial" w:hAnsi="Arial" w:cs="Arial"/>
          <w:i/>
          <w:iCs/>
          <w:sz w:val="20"/>
          <w:szCs w:val="20"/>
        </w:rPr>
        <w:t>“Any party affected by an amendment may, within 15 days after the amendment has been effected or within such other period as the court may determine, make any consequential adjustment to the documents filed by him, and may also take the steps contemplated in rules 23 and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B50E11" w:rsidRDefault="00B50E11"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B50E11" w:rsidRDefault="00B50E11" w:rsidP="003340F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168">
      <w:rPr>
        <w:rStyle w:val="PageNumber"/>
        <w:noProof/>
      </w:rPr>
      <w:t>2</w:t>
    </w:r>
    <w:r>
      <w:rPr>
        <w:rStyle w:val="PageNumber"/>
      </w:rPr>
      <w:fldChar w:fldCharType="end"/>
    </w:r>
  </w:p>
  <w:p w14:paraId="7E704A95" w14:textId="77777777" w:rsidR="00B50E11" w:rsidRDefault="00B50E11"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22177"/>
    <w:multiLevelType w:val="hybridMultilevel"/>
    <w:tmpl w:val="F99EB48C"/>
    <w:lvl w:ilvl="0" w:tplc="E530EB30">
      <w:start w:val="26"/>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670E4"/>
    <w:multiLevelType w:val="multilevel"/>
    <w:tmpl w:val="6858726C"/>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860"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9B0F09"/>
    <w:multiLevelType w:val="multilevel"/>
    <w:tmpl w:val="BDCA951E"/>
    <w:lvl w:ilvl="0">
      <w:start w:val="1"/>
      <w:numFmt w:val="decimal"/>
      <w:lvlText w:val="[%1]"/>
      <w:lvlJc w:val="left"/>
      <w:pPr>
        <w:ind w:left="720" w:hanging="360"/>
      </w:pPr>
      <w:rPr>
        <w:rFonts w:hint="default"/>
        <w:b w:val="0"/>
        <w:bCs w:val="0"/>
        <w:sz w:val="24"/>
        <w:szCs w:val="24"/>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6">
    <w:nsid w:val="11FE6A91"/>
    <w:multiLevelType w:val="hybridMultilevel"/>
    <w:tmpl w:val="34B09DE6"/>
    <w:lvl w:ilvl="0" w:tplc="AA6A1A24">
      <w:start w:val="28"/>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7FB0DA0"/>
    <w:multiLevelType w:val="hybridMultilevel"/>
    <w:tmpl w:val="B89CC33A"/>
    <w:lvl w:ilvl="0" w:tplc="43D24854">
      <w:start w:val="32"/>
      <w:numFmt w:val="decimal"/>
      <w:lvlText w:val="[%1]"/>
      <w:lvlJc w:val="left"/>
      <w:pPr>
        <w:ind w:left="144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BF27F3"/>
    <w:multiLevelType w:val="hybridMultilevel"/>
    <w:tmpl w:val="1BD076F4"/>
    <w:lvl w:ilvl="0" w:tplc="5FA229FE">
      <w:start w:val="1"/>
      <w:numFmt w:val="decimal"/>
      <w:lvlText w:val="[%1]"/>
      <w:lvlJc w:val="left"/>
      <w:pPr>
        <w:ind w:left="720" w:hanging="360"/>
      </w:pPr>
      <w:rPr>
        <w:rFonts w:hint="default"/>
        <w:b w:val="0"/>
        <w:bCs w:val="0"/>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nsid w:val="39E663C6"/>
    <w:multiLevelType w:val="hybridMultilevel"/>
    <w:tmpl w:val="E96A4D52"/>
    <w:lvl w:ilvl="0" w:tplc="5FA229FE">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C65825"/>
    <w:multiLevelType w:val="hybridMultilevel"/>
    <w:tmpl w:val="9E800FFE"/>
    <w:lvl w:ilvl="0" w:tplc="E3D067F2">
      <w:start w:val="2"/>
      <w:numFmt w:val="decimal"/>
      <w:lvlText w:val="%1."/>
      <w:lvlJc w:val="left"/>
      <w:pPr>
        <w:ind w:left="7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2AAEB4E2">
      <w:start w:val="1"/>
      <w:numFmt w:val="lowerLetter"/>
      <w:lvlText w:val="%2"/>
      <w:lvlJc w:val="left"/>
      <w:pPr>
        <w:ind w:left="10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002A966">
      <w:start w:val="1"/>
      <w:numFmt w:val="lowerRoman"/>
      <w:lvlText w:val="%3"/>
      <w:lvlJc w:val="left"/>
      <w:pPr>
        <w:ind w:left="18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8988FB4">
      <w:start w:val="1"/>
      <w:numFmt w:val="decimal"/>
      <w:lvlText w:val="%4"/>
      <w:lvlJc w:val="left"/>
      <w:pPr>
        <w:ind w:left="25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E985FB4">
      <w:start w:val="1"/>
      <w:numFmt w:val="lowerLetter"/>
      <w:lvlText w:val="%5"/>
      <w:lvlJc w:val="left"/>
      <w:pPr>
        <w:ind w:left="32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2B86D0A">
      <w:start w:val="1"/>
      <w:numFmt w:val="lowerRoman"/>
      <w:lvlText w:val="%6"/>
      <w:lvlJc w:val="left"/>
      <w:pPr>
        <w:ind w:left="39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3C8102E">
      <w:start w:val="1"/>
      <w:numFmt w:val="decimal"/>
      <w:lvlText w:val="%7"/>
      <w:lvlJc w:val="left"/>
      <w:pPr>
        <w:ind w:left="46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232F552">
      <w:start w:val="1"/>
      <w:numFmt w:val="lowerLetter"/>
      <w:lvlText w:val="%8"/>
      <w:lvlJc w:val="left"/>
      <w:pPr>
        <w:ind w:left="54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490483C">
      <w:start w:val="1"/>
      <w:numFmt w:val="lowerRoman"/>
      <w:lvlText w:val="%9"/>
      <w:lvlJc w:val="left"/>
      <w:pPr>
        <w:ind w:left="61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7">
    <w:nsid w:val="53EC57E5"/>
    <w:multiLevelType w:val="hybridMultilevel"/>
    <w:tmpl w:val="8B7A5BBA"/>
    <w:lvl w:ilvl="0" w:tplc="BF1C08CA">
      <w:start w:val="27"/>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CFF7AE6"/>
    <w:multiLevelType w:val="hybridMultilevel"/>
    <w:tmpl w:val="49F0CC02"/>
    <w:lvl w:ilvl="0" w:tplc="F8F803EC">
      <w:start w:val="36"/>
      <w:numFmt w:val="decimal"/>
      <w:lvlText w:val="[%1]"/>
      <w:lvlJc w:val="left"/>
      <w:pPr>
        <w:ind w:left="144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026A8"/>
    <w:multiLevelType w:val="hybridMultilevel"/>
    <w:tmpl w:val="7E448A6E"/>
    <w:lvl w:ilvl="0" w:tplc="5262CBEE">
      <w:start w:val="23"/>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0"/>
  </w:num>
  <w:num w:numId="4">
    <w:abstractNumId w:val="1"/>
  </w:num>
  <w:num w:numId="5">
    <w:abstractNumId w:val="8"/>
  </w:num>
  <w:num w:numId="6">
    <w:abstractNumId w:val="19"/>
  </w:num>
  <w:num w:numId="7">
    <w:abstractNumId w:val="23"/>
  </w:num>
  <w:num w:numId="8">
    <w:abstractNumId w:val="22"/>
  </w:num>
  <w:num w:numId="9">
    <w:abstractNumId w:val="7"/>
  </w:num>
  <w:num w:numId="10">
    <w:abstractNumId w:val="9"/>
  </w:num>
  <w:num w:numId="11">
    <w:abstractNumId w:val="14"/>
  </w:num>
  <w:num w:numId="12">
    <w:abstractNumId w:val="5"/>
  </w:num>
  <w:num w:numId="13">
    <w:abstractNumId w:val="12"/>
  </w:num>
  <w:num w:numId="14">
    <w:abstractNumId w:val="2"/>
  </w:num>
  <w:num w:numId="15">
    <w:abstractNumId w:val="13"/>
  </w:num>
  <w:num w:numId="16">
    <w:abstractNumId w:val="16"/>
  </w:num>
  <w:num w:numId="17">
    <w:abstractNumId w:val="15"/>
  </w:num>
  <w:num w:numId="18">
    <w:abstractNumId w:val="17"/>
  </w:num>
  <w:num w:numId="19">
    <w:abstractNumId w:val="4"/>
  </w:num>
  <w:num w:numId="20">
    <w:abstractNumId w:val="21"/>
  </w:num>
  <w:num w:numId="21">
    <w:abstractNumId w:val="3"/>
  </w:num>
  <w:num w:numId="22">
    <w:abstractNumId w:val="6"/>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218AC"/>
    <w:rsid w:val="0002295E"/>
    <w:rsid w:val="00022BBD"/>
    <w:rsid w:val="00022E29"/>
    <w:rsid w:val="00030EDB"/>
    <w:rsid w:val="00050078"/>
    <w:rsid w:val="00052547"/>
    <w:rsid w:val="00056FD9"/>
    <w:rsid w:val="000578D1"/>
    <w:rsid w:val="00062CEF"/>
    <w:rsid w:val="0006302B"/>
    <w:rsid w:val="00070EA4"/>
    <w:rsid w:val="000730BB"/>
    <w:rsid w:val="0008376B"/>
    <w:rsid w:val="0008544C"/>
    <w:rsid w:val="00085E25"/>
    <w:rsid w:val="0008693D"/>
    <w:rsid w:val="00092CA6"/>
    <w:rsid w:val="00093DC4"/>
    <w:rsid w:val="000964D1"/>
    <w:rsid w:val="000971DB"/>
    <w:rsid w:val="000A26D7"/>
    <w:rsid w:val="000A5272"/>
    <w:rsid w:val="000C091F"/>
    <w:rsid w:val="000C1577"/>
    <w:rsid w:val="000C1D16"/>
    <w:rsid w:val="000C4554"/>
    <w:rsid w:val="000D0136"/>
    <w:rsid w:val="000D661E"/>
    <w:rsid w:val="000E07B1"/>
    <w:rsid w:val="000E49CE"/>
    <w:rsid w:val="000E5109"/>
    <w:rsid w:val="000E5543"/>
    <w:rsid w:val="000E59DF"/>
    <w:rsid w:val="000E5FB9"/>
    <w:rsid w:val="000E6633"/>
    <w:rsid w:val="000F6328"/>
    <w:rsid w:val="000F6457"/>
    <w:rsid w:val="000F76FF"/>
    <w:rsid w:val="00101D88"/>
    <w:rsid w:val="001021EE"/>
    <w:rsid w:val="00103EC1"/>
    <w:rsid w:val="00114724"/>
    <w:rsid w:val="00115743"/>
    <w:rsid w:val="00121456"/>
    <w:rsid w:val="0013492F"/>
    <w:rsid w:val="00142DC0"/>
    <w:rsid w:val="00144EA8"/>
    <w:rsid w:val="00151F35"/>
    <w:rsid w:val="00155668"/>
    <w:rsid w:val="0016046F"/>
    <w:rsid w:val="00161F55"/>
    <w:rsid w:val="00163683"/>
    <w:rsid w:val="00171161"/>
    <w:rsid w:val="001721F5"/>
    <w:rsid w:val="0017465D"/>
    <w:rsid w:val="001913BA"/>
    <w:rsid w:val="00194AFD"/>
    <w:rsid w:val="00194BAE"/>
    <w:rsid w:val="001A0799"/>
    <w:rsid w:val="001A21CD"/>
    <w:rsid w:val="001A6161"/>
    <w:rsid w:val="001A7F86"/>
    <w:rsid w:val="001B288A"/>
    <w:rsid w:val="001B487B"/>
    <w:rsid w:val="001D00F2"/>
    <w:rsid w:val="001D6C62"/>
    <w:rsid w:val="001D6F4F"/>
    <w:rsid w:val="001D7244"/>
    <w:rsid w:val="001E321D"/>
    <w:rsid w:val="001E6710"/>
    <w:rsid w:val="001F07DD"/>
    <w:rsid w:val="001F3771"/>
    <w:rsid w:val="001F450A"/>
    <w:rsid w:val="001F4AE5"/>
    <w:rsid w:val="001F5468"/>
    <w:rsid w:val="002003EF"/>
    <w:rsid w:val="00201A93"/>
    <w:rsid w:val="002040D5"/>
    <w:rsid w:val="00205098"/>
    <w:rsid w:val="0020751F"/>
    <w:rsid w:val="0021216F"/>
    <w:rsid w:val="002129F5"/>
    <w:rsid w:val="00232BFD"/>
    <w:rsid w:val="00232EA0"/>
    <w:rsid w:val="002332DE"/>
    <w:rsid w:val="00235638"/>
    <w:rsid w:val="00242E76"/>
    <w:rsid w:val="00244901"/>
    <w:rsid w:val="00254146"/>
    <w:rsid w:val="00255485"/>
    <w:rsid w:val="00264079"/>
    <w:rsid w:val="00265336"/>
    <w:rsid w:val="00267036"/>
    <w:rsid w:val="0027008F"/>
    <w:rsid w:val="00276A30"/>
    <w:rsid w:val="00280528"/>
    <w:rsid w:val="00281CA0"/>
    <w:rsid w:val="00283B34"/>
    <w:rsid w:val="00287E6E"/>
    <w:rsid w:val="002914E5"/>
    <w:rsid w:val="00296EFB"/>
    <w:rsid w:val="0029767F"/>
    <w:rsid w:val="002A51AF"/>
    <w:rsid w:val="002A53F8"/>
    <w:rsid w:val="002A6A3F"/>
    <w:rsid w:val="002B0A35"/>
    <w:rsid w:val="002B4437"/>
    <w:rsid w:val="002B69B1"/>
    <w:rsid w:val="002C413A"/>
    <w:rsid w:val="002C4D4E"/>
    <w:rsid w:val="002C7527"/>
    <w:rsid w:val="002D6A2A"/>
    <w:rsid w:val="002D6BF0"/>
    <w:rsid w:val="002E1F21"/>
    <w:rsid w:val="002F4AE6"/>
    <w:rsid w:val="00306A16"/>
    <w:rsid w:val="00307191"/>
    <w:rsid w:val="00313396"/>
    <w:rsid w:val="00313B9E"/>
    <w:rsid w:val="003155D7"/>
    <w:rsid w:val="00316515"/>
    <w:rsid w:val="00322298"/>
    <w:rsid w:val="00323F5E"/>
    <w:rsid w:val="00333325"/>
    <w:rsid w:val="003348C6"/>
    <w:rsid w:val="00334F20"/>
    <w:rsid w:val="00335D42"/>
    <w:rsid w:val="00342015"/>
    <w:rsid w:val="00353222"/>
    <w:rsid w:val="00360697"/>
    <w:rsid w:val="00363165"/>
    <w:rsid w:val="00371BE5"/>
    <w:rsid w:val="00375DC6"/>
    <w:rsid w:val="00385050"/>
    <w:rsid w:val="00385391"/>
    <w:rsid w:val="00385FBC"/>
    <w:rsid w:val="003A14B0"/>
    <w:rsid w:val="003A20FB"/>
    <w:rsid w:val="003A3574"/>
    <w:rsid w:val="003A5BC8"/>
    <w:rsid w:val="003B6C23"/>
    <w:rsid w:val="003C415E"/>
    <w:rsid w:val="003C432D"/>
    <w:rsid w:val="003E0018"/>
    <w:rsid w:val="003E6BDA"/>
    <w:rsid w:val="003F37AE"/>
    <w:rsid w:val="003F46D7"/>
    <w:rsid w:val="00406F88"/>
    <w:rsid w:val="004075F2"/>
    <w:rsid w:val="00412E0C"/>
    <w:rsid w:val="00413603"/>
    <w:rsid w:val="00413E2B"/>
    <w:rsid w:val="00416EA1"/>
    <w:rsid w:val="00417BE7"/>
    <w:rsid w:val="0042184A"/>
    <w:rsid w:val="004247F2"/>
    <w:rsid w:val="00425F53"/>
    <w:rsid w:val="00432B66"/>
    <w:rsid w:val="00440D4B"/>
    <w:rsid w:val="0044117D"/>
    <w:rsid w:val="0044361B"/>
    <w:rsid w:val="00443ADE"/>
    <w:rsid w:val="00444C8B"/>
    <w:rsid w:val="0045149D"/>
    <w:rsid w:val="00452A4C"/>
    <w:rsid w:val="00454072"/>
    <w:rsid w:val="00460F1A"/>
    <w:rsid w:val="00461E12"/>
    <w:rsid w:val="00465876"/>
    <w:rsid w:val="00475569"/>
    <w:rsid w:val="00475A8E"/>
    <w:rsid w:val="0048191C"/>
    <w:rsid w:val="00482966"/>
    <w:rsid w:val="004854D5"/>
    <w:rsid w:val="0049074E"/>
    <w:rsid w:val="0049313B"/>
    <w:rsid w:val="004C5733"/>
    <w:rsid w:val="004C6A1E"/>
    <w:rsid w:val="004D12FE"/>
    <w:rsid w:val="004D3845"/>
    <w:rsid w:val="004E2904"/>
    <w:rsid w:val="004E581A"/>
    <w:rsid w:val="004F0167"/>
    <w:rsid w:val="004F4CD5"/>
    <w:rsid w:val="00500DA0"/>
    <w:rsid w:val="005069D9"/>
    <w:rsid w:val="0051199C"/>
    <w:rsid w:val="00514611"/>
    <w:rsid w:val="0051651C"/>
    <w:rsid w:val="00540198"/>
    <w:rsid w:val="00547AC7"/>
    <w:rsid w:val="00551B4C"/>
    <w:rsid w:val="00551DFC"/>
    <w:rsid w:val="0055431B"/>
    <w:rsid w:val="005560EF"/>
    <w:rsid w:val="0057074A"/>
    <w:rsid w:val="005720E9"/>
    <w:rsid w:val="00587548"/>
    <w:rsid w:val="00587BF3"/>
    <w:rsid w:val="005931AB"/>
    <w:rsid w:val="00595099"/>
    <w:rsid w:val="00596431"/>
    <w:rsid w:val="005A2F73"/>
    <w:rsid w:val="005B0DB3"/>
    <w:rsid w:val="005B118D"/>
    <w:rsid w:val="005B6266"/>
    <w:rsid w:val="005B75C1"/>
    <w:rsid w:val="005D3007"/>
    <w:rsid w:val="005D4790"/>
    <w:rsid w:val="005E2259"/>
    <w:rsid w:val="005E230C"/>
    <w:rsid w:val="005E41EB"/>
    <w:rsid w:val="005E448E"/>
    <w:rsid w:val="005F18AB"/>
    <w:rsid w:val="005F49B3"/>
    <w:rsid w:val="005F653D"/>
    <w:rsid w:val="006036F8"/>
    <w:rsid w:val="00605316"/>
    <w:rsid w:val="006077A9"/>
    <w:rsid w:val="00607E54"/>
    <w:rsid w:val="00613E4D"/>
    <w:rsid w:val="00615A0C"/>
    <w:rsid w:val="006216B4"/>
    <w:rsid w:val="006430C0"/>
    <w:rsid w:val="00644BB3"/>
    <w:rsid w:val="00646138"/>
    <w:rsid w:val="00650745"/>
    <w:rsid w:val="00651B9B"/>
    <w:rsid w:val="00653433"/>
    <w:rsid w:val="00653641"/>
    <w:rsid w:val="00655236"/>
    <w:rsid w:val="006630FB"/>
    <w:rsid w:val="006710DC"/>
    <w:rsid w:val="00675035"/>
    <w:rsid w:val="00676987"/>
    <w:rsid w:val="00677BC9"/>
    <w:rsid w:val="00683071"/>
    <w:rsid w:val="00684B6A"/>
    <w:rsid w:val="00686AFF"/>
    <w:rsid w:val="0069018B"/>
    <w:rsid w:val="00695533"/>
    <w:rsid w:val="00696168"/>
    <w:rsid w:val="006A1AA8"/>
    <w:rsid w:val="006A37E3"/>
    <w:rsid w:val="006A6DDB"/>
    <w:rsid w:val="006A770C"/>
    <w:rsid w:val="006B0014"/>
    <w:rsid w:val="006B3D1D"/>
    <w:rsid w:val="006B67ED"/>
    <w:rsid w:val="006C705A"/>
    <w:rsid w:val="006E12A3"/>
    <w:rsid w:val="006E4415"/>
    <w:rsid w:val="006E462C"/>
    <w:rsid w:val="006E694C"/>
    <w:rsid w:val="006E7407"/>
    <w:rsid w:val="006F2787"/>
    <w:rsid w:val="006F40B5"/>
    <w:rsid w:val="006F4B6B"/>
    <w:rsid w:val="007060EB"/>
    <w:rsid w:val="00707C51"/>
    <w:rsid w:val="00713A5D"/>
    <w:rsid w:val="00720FEF"/>
    <w:rsid w:val="0072221F"/>
    <w:rsid w:val="007240E6"/>
    <w:rsid w:val="0073212D"/>
    <w:rsid w:val="00733746"/>
    <w:rsid w:val="00734F09"/>
    <w:rsid w:val="00735EB8"/>
    <w:rsid w:val="00736CDA"/>
    <w:rsid w:val="00737291"/>
    <w:rsid w:val="00742BAE"/>
    <w:rsid w:val="00744810"/>
    <w:rsid w:val="00750CC1"/>
    <w:rsid w:val="00753AD4"/>
    <w:rsid w:val="00755484"/>
    <w:rsid w:val="00763002"/>
    <w:rsid w:val="007679D5"/>
    <w:rsid w:val="00771E0F"/>
    <w:rsid w:val="007728D2"/>
    <w:rsid w:val="00785866"/>
    <w:rsid w:val="007875AE"/>
    <w:rsid w:val="0078777C"/>
    <w:rsid w:val="007970E1"/>
    <w:rsid w:val="007A288E"/>
    <w:rsid w:val="007A53BB"/>
    <w:rsid w:val="007B2C1E"/>
    <w:rsid w:val="007B46F6"/>
    <w:rsid w:val="007B63CD"/>
    <w:rsid w:val="007C373C"/>
    <w:rsid w:val="007C7D36"/>
    <w:rsid w:val="007D17B5"/>
    <w:rsid w:val="007D24A3"/>
    <w:rsid w:val="007E14BF"/>
    <w:rsid w:val="007E7B98"/>
    <w:rsid w:val="007F0BBF"/>
    <w:rsid w:val="007F7FED"/>
    <w:rsid w:val="0080634A"/>
    <w:rsid w:val="00806DFA"/>
    <w:rsid w:val="0081204A"/>
    <w:rsid w:val="00821962"/>
    <w:rsid w:val="00822511"/>
    <w:rsid w:val="0083215B"/>
    <w:rsid w:val="0083710F"/>
    <w:rsid w:val="00837200"/>
    <w:rsid w:val="00840547"/>
    <w:rsid w:val="0084332A"/>
    <w:rsid w:val="008465D6"/>
    <w:rsid w:val="0085121A"/>
    <w:rsid w:val="00860899"/>
    <w:rsid w:val="00860E60"/>
    <w:rsid w:val="00866025"/>
    <w:rsid w:val="0088233C"/>
    <w:rsid w:val="008A3877"/>
    <w:rsid w:val="008B1A58"/>
    <w:rsid w:val="008B1B71"/>
    <w:rsid w:val="008B2182"/>
    <w:rsid w:val="008C18AE"/>
    <w:rsid w:val="008C3603"/>
    <w:rsid w:val="008C45A5"/>
    <w:rsid w:val="008D34A8"/>
    <w:rsid w:val="008D4FD5"/>
    <w:rsid w:val="008D5E22"/>
    <w:rsid w:val="008E0B52"/>
    <w:rsid w:val="008E4705"/>
    <w:rsid w:val="008E5BBF"/>
    <w:rsid w:val="008E6813"/>
    <w:rsid w:val="008F2EA2"/>
    <w:rsid w:val="009007B6"/>
    <w:rsid w:val="00901159"/>
    <w:rsid w:val="009026AA"/>
    <w:rsid w:val="00911000"/>
    <w:rsid w:val="00911F9D"/>
    <w:rsid w:val="00913F57"/>
    <w:rsid w:val="009155B3"/>
    <w:rsid w:val="00916812"/>
    <w:rsid w:val="00916FDE"/>
    <w:rsid w:val="00920521"/>
    <w:rsid w:val="009227A6"/>
    <w:rsid w:val="00923678"/>
    <w:rsid w:val="00926EAA"/>
    <w:rsid w:val="00931F3C"/>
    <w:rsid w:val="0093492C"/>
    <w:rsid w:val="0093762E"/>
    <w:rsid w:val="00940B57"/>
    <w:rsid w:val="00941562"/>
    <w:rsid w:val="00944BDE"/>
    <w:rsid w:val="0094618C"/>
    <w:rsid w:val="0095576C"/>
    <w:rsid w:val="009732B6"/>
    <w:rsid w:val="00974554"/>
    <w:rsid w:val="00976D15"/>
    <w:rsid w:val="00977E1A"/>
    <w:rsid w:val="00982701"/>
    <w:rsid w:val="009838D5"/>
    <w:rsid w:val="00987290"/>
    <w:rsid w:val="00992748"/>
    <w:rsid w:val="009950C9"/>
    <w:rsid w:val="009A269B"/>
    <w:rsid w:val="009A33C1"/>
    <w:rsid w:val="009A79F1"/>
    <w:rsid w:val="009B099B"/>
    <w:rsid w:val="009B24C0"/>
    <w:rsid w:val="009B2BC9"/>
    <w:rsid w:val="009B36AA"/>
    <w:rsid w:val="009B4C31"/>
    <w:rsid w:val="009D57DB"/>
    <w:rsid w:val="009E1EF1"/>
    <w:rsid w:val="009F22F0"/>
    <w:rsid w:val="009F43A4"/>
    <w:rsid w:val="009F5E83"/>
    <w:rsid w:val="00A00BC3"/>
    <w:rsid w:val="00A01777"/>
    <w:rsid w:val="00A06E43"/>
    <w:rsid w:val="00A07432"/>
    <w:rsid w:val="00A12932"/>
    <w:rsid w:val="00A13793"/>
    <w:rsid w:val="00A156AE"/>
    <w:rsid w:val="00A15E04"/>
    <w:rsid w:val="00A165EA"/>
    <w:rsid w:val="00A22388"/>
    <w:rsid w:val="00A24B93"/>
    <w:rsid w:val="00A337E6"/>
    <w:rsid w:val="00A3600A"/>
    <w:rsid w:val="00A43F9C"/>
    <w:rsid w:val="00A4634B"/>
    <w:rsid w:val="00A52FDF"/>
    <w:rsid w:val="00A54C36"/>
    <w:rsid w:val="00A56BC1"/>
    <w:rsid w:val="00A600CF"/>
    <w:rsid w:val="00A62353"/>
    <w:rsid w:val="00A63F51"/>
    <w:rsid w:val="00A75EF4"/>
    <w:rsid w:val="00A77551"/>
    <w:rsid w:val="00A9010C"/>
    <w:rsid w:val="00A901C5"/>
    <w:rsid w:val="00AA663B"/>
    <w:rsid w:val="00AB1510"/>
    <w:rsid w:val="00AB2AE7"/>
    <w:rsid w:val="00AB2DE7"/>
    <w:rsid w:val="00AB4CA7"/>
    <w:rsid w:val="00AB636E"/>
    <w:rsid w:val="00AB6798"/>
    <w:rsid w:val="00AC0B2A"/>
    <w:rsid w:val="00AD49F8"/>
    <w:rsid w:val="00AE1E5D"/>
    <w:rsid w:val="00AE4E9C"/>
    <w:rsid w:val="00AF1688"/>
    <w:rsid w:val="00AF3194"/>
    <w:rsid w:val="00B11DEB"/>
    <w:rsid w:val="00B120C9"/>
    <w:rsid w:val="00B20170"/>
    <w:rsid w:val="00B21489"/>
    <w:rsid w:val="00B22495"/>
    <w:rsid w:val="00B244B7"/>
    <w:rsid w:val="00B3097A"/>
    <w:rsid w:val="00B3106B"/>
    <w:rsid w:val="00B404D0"/>
    <w:rsid w:val="00B44F10"/>
    <w:rsid w:val="00B50E11"/>
    <w:rsid w:val="00B64D36"/>
    <w:rsid w:val="00B70181"/>
    <w:rsid w:val="00B73443"/>
    <w:rsid w:val="00B742C4"/>
    <w:rsid w:val="00B8347D"/>
    <w:rsid w:val="00B862D2"/>
    <w:rsid w:val="00B908DF"/>
    <w:rsid w:val="00B92A41"/>
    <w:rsid w:val="00B9551D"/>
    <w:rsid w:val="00B95693"/>
    <w:rsid w:val="00B95E84"/>
    <w:rsid w:val="00BA1F62"/>
    <w:rsid w:val="00BB3F9A"/>
    <w:rsid w:val="00BD2454"/>
    <w:rsid w:val="00BE0DFF"/>
    <w:rsid w:val="00BF09B4"/>
    <w:rsid w:val="00C04C43"/>
    <w:rsid w:val="00C11D38"/>
    <w:rsid w:val="00C33AAD"/>
    <w:rsid w:val="00C4185B"/>
    <w:rsid w:val="00C45291"/>
    <w:rsid w:val="00C519B2"/>
    <w:rsid w:val="00C52737"/>
    <w:rsid w:val="00C53B19"/>
    <w:rsid w:val="00C5727B"/>
    <w:rsid w:val="00C63FFA"/>
    <w:rsid w:val="00C64B6A"/>
    <w:rsid w:val="00C72A6C"/>
    <w:rsid w:val="00C7361A"/>
    <w:rsid w:val="00C7460D"/>
    <w:rsid w:val="00C8430A"/>
    <w:rsid w:val="00C9262D"/>
    <w:rsid w:val="00CA6C2A"/>
    <w:rsid w:val="00CA6F8E"/>
    <w:rsid w:val="00CB2381"/>
    <w:rsid w:val="00CB2439"/>
    <w:rsid w:val="00CB6F8A"/>
    <w:rsid w:val="00CC3AB3"/>
    <w:rsid w:val="00CD1BDD"/>
    <w:rsid w:val="00CD3B7C"/>
    <w:rsid w:val="00CD4172"/>
    <w:rsid w:val="00CE09E5"/>
    <w:rsid w:val="00CE0CC7"/>
    <w:rsid w:val="00CE30E0"/>
    <w:rsid w:val="00CE3BED"/>
    <w:rsid w:val="00CF05BE"/>
    <w:rsid w:val="00CF7D86"/>
    <w:rsid w:val="00CF7D99"/>
    <w:rsid w:val="00D00B2E"/>
    <w:rsid w:val="00D013CD"/>
    <w:rsid w:val="00D026E5"/>
    <w:rsid w:val="00D0642F"/>
    <w:rsid w:val="00D06C4D"/>
    <w:rsid w:val="00D14326"/>
    <w:rsid w:val="00D16320"/>
    <w:rsid w:val="00D2145B"/>
    <w:rsid w:val="00D23AB6"/>
    <w:rsid w:val="00D2698D"/>
    <w:rsid w:val="00D31928"/>
    <w:rsid w:val="00D31DA0"/>
    <w:rsid w:val="00D344C1"/>
    <w:rsid w:val="00D42B06"/>
    <w:rsid w:val="00D523A1"/>
    <w:rsid w:val="00D526DF"/>
    <w:rsid w:val="00D537CE"/>
    <w:rsid w:val="00D61362"/>
    <w:rsid w:val="00D77C76"/>
    <w:rsid w:val="00D91BA3"/>
    <w:rsid w:val="00DA44A9"/>
    <w:rsid w:val="00DA7A8D"/>
    <w:rsid w:val="00DB19FF"/>
    <w:rsid w:val="00DC0738"/>
    <w:rsid w:val="00DD0D2F"/>
    <w:rsid w:val="00DD4D3D"/>
    <w:rsid w:val="00DE0282"/>
    <w:rsid w:val="00DE1587"/>
    <w:rsid w:val="00DE39D7"/>
    <w:rsid w:val="00DF0D64"/>
    <w:rsid w:val="00DF1032"/>
    <w:rsid w:val="00DF4D83"/>
    <w:rsid w:val="00E01835"/>
    <w:rsid w:val="00E02EAF"/>
    <w:rsid w:val="00E03204"/>
    <w:rsid w:val="00E03B46"/>
    <w:rsid w:val="00E067A2"/>
    <w:rsid w:val="00E077DF"/>
    <w:rsid w:val="00E07A72"/>
    <w:rsid w:val="00E15BCC"/>
    <w:rsid w:val="00E16173"/>
    <w:rsid w:val="00E3052B"/>
    <w:rsid w:val="00E31629"/>
    <w:rsid w:val="00E43F8E"/>
    <w:rsid w:val="00E45186"/>
    <w:rsid w:val="00E50554"/>
    <w:rsid w:val="00E507F0"/>
    <w:rsid w:val="00E51144"/>
    <w:rsid w:val="00E55848"/>
    <w:rsid w:val="00E63F2E"/>
    <w:rsid w:val="00E6471A"/>
    <w:rsid w:val="00E65FD4"/>
    <w:rsid w:val="00E7210A"/>
    <w:rsid w:val="00E72A79"/>
    <w:rsid w:val="00E802B6"/>
    <w:rsid w:val="00E82E00"/>
    <w:rsid w:val="00E8500B"/>
    <w:rsid w:val="00E8695C"/>
    <w:rsid w:val="00E86AD4"/>
    <w:rsid w:val="00E904E4"/>
    <w:rsid w:val="00E932B5"/>
    <w:rsid w:val="00E94C86"/>
    <w:rsid w:val="00E95904"/>
    <w:rsid w:val="00E972D3"/>
    <w:rsid w:val="00EB239A"/>
    <w:rsid w:val="00EB62B5"/>
    <w:rsid w:val="00EB6D92"/>
    <w:rsid w:val="00EC7C52"/>
    <w:rsid w:val="00ED011F"/>
    <w:rsid w:val="00ED23AA"/>
    <w:rsid w:val="00ED58E4"/>
    <w:rsid w:val="00ED68B8"/>
    <w:rsid w:val="00ED7908"/>
    <w:rsid w:val="00EE0738"/>
    <w:rsid w:val="00EE0DBB"/>
    <w:rsid w:val="00EE7699"/>
    <w:rsid w:val="00EE7C9E"/>
    <w:rsid w:val="00EF0C48"/>
    <w:rsid w:val="00EF46E6"/>
    <w:rsid w:val="00EF5F44"/>
    <w:rsid w:val="00EF626F"/>
    <w:rsid w:val="00EF635B"/>
    <w:rsid w:val="00F00B18"/>
    <w:rsid w:val="00F12440"/>
    <w:rsid w:val="00F142DB"/>
    <w:rsid w:val="00F16056"/>
    <w:rsid w:val="00F21520"/>
    <w:rsid w:val="00F25D67"/>
    <w:rsid w:val="00F26354"/>
    <w:rsid w:val="00F3578B"/>
    <w:rsid w:val="00F35D51"/>
    <w:rsid w:val="00F43A15"/>
    <w:rsid w:val="00F43C52"/>
    <w:rsid w:val="00F44185"/>
    <w:rsid w:val="00F471C4"/>
    <w:rsid w:val="00F52C68"/>
    <w:rsid w:val="00F53553"/>
    <w:rsid w:val="00F5420B"/>
    <w:rsid w:val="00F55C9B"/>
    <w:rsid w:val="00F56324"/>
    <w:rsid w:val="00F57032"/>
    <w:rsid w:val="00F63187"/>
    <w:rsid w:val="00F653D0"/>
    <w:rsid w:val="00F71C68"/>
    <w:rsid w:val="00F85632"/>
    <w:rsid w:val="00F87163"/>
    <w:rsid w:val="00F90936"/>
    <w:rsid w:val="00F917BA"/>
    <w:rsid w:val="00F93BA4"/>
    <w:rsid w:val="00F95B0D"/>
    <w:rsid w:val="00F96145"/>
    <w:rsid w:val="00F97E13"/>
    <w:rsid w:val="00FC01F2"/>
    <w:rsid w:val="00FC0385"/>
    <w:rsid w:val="00FC5FC9"/>
    <w:rsid w:val="00FC76E7"/>
    <w:rsid w:val="00FD07EE"/>
    <w:rsid w:val="00FD36CE"/>
    <w:rsid w:val="00FD48A0"/>
    <w:rsid w:val="00FD7DF0"/>
    <w:rsid w:val="00FE07D3"/>
    <w:rsid w:val="00FE3325"/>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483110425">
      <w:bodyDiv w:val="1"/>
      <w:marLeft w:val="0"/>
      <w:marRight w:val="0"/>
      <w:marTop w:val="0"/>
      <w:marBottom w:val="0"/>
      <w:divBdr>
        <w:top w:val="none" w:sz="0" w:space="0" w:color="auto"/>
        <w:left w:val="none" w:sz="0" w:space="0" w:color="auto"/>
        <w:bottom w:val="none" w:sz="0" w:space="0" w:color="auto"/>
        <w:right w:val="none" w:sz="0" w:space="0" w:color="auto"/>
      </w:divBdr>
      <w:divsChild>
        <w:div w:id="1423643805">
          <w:marLeft w:val="0"/>
          <w:marRight w:val="0"/>
          <w:marTop w:val="0"/>
          <w:marBottom w:val="0"/>
          <w:divBdr>
            <w:top w:val="none" w:sz="0" w:space="0" w:color="auto"/>
            <w:left w:val="none" w:sz="0" w:space="0" w:color="auto"/>
            <w:bottom w:val="none" w:sz="0" w:space="0" w:color="auto"/>
            <w:right w:val="none" w:sz="0" w:space="0" w:color="auto"/>
          </w:divBdr>
          <w:divsChild>
            <w:div w:id="1758095243">
              <w:marLeft w:val="0"/>
              <w:marRight w:val="0"/>
              <w:marTop w:val="0"/>
              <w:marBottom w:val="0"/>
              <w:divBdr>
                <w:top w:val="none" w:sz="0" w:space="0" w:color="auto"/>
                <w:left w:val="none" w:sz="0" w:space="0" w:color="auto"/>
                <w:bottom w:val="none" w:sz="0" w:space="0" w:color="auto"/>
                <w:right w:val="none" w:sz="0" w:space="0" w:color="auto"/>
              </w:divBdr>
              <w:divsChild>
                <w:div w:id="716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2330">
      <w:bodyDiv w:val="1"/>
      <w:marLeft w:val="0"/>
      <w:marRight w:val="0"/>
      <w:marTop w:val="0"/>
      <w:marBottom w:val="0"/>
      <w:divBdr>
        <w:top w:val="none" w:sz="0" w:space="0" w:color="auto"/>
        <w:left w:val="none" w:sz="0" w:space="0" w:color="auto"/>
        <w:bottom w:val="none" w:sz="0" w:space="0" w:color="auto"/>
        <w:right w:val="none" w:sz="0" w:space="0" w:color="auto"/>
      </w:divBdr>
      <w:divsChild>
        <w:div w:id="1209336064">
          <w:marLeft w:val="0"/>
          <w:marRight w:val="0"/>
          <w:marTop w:val="0"/>
          <w:marBottom w:val="0"/>
          <w:divBdr>
            <w:top w:val="none" w:sz="0" w:space="0" w:color="auto"/>
            <w:left w:val="none" w:sz="0" w:space="0" w:color="auto"/>
            <w:bottom w:val="none" w:sz="0" w:space="0" w:color="auto"/>
            <w:right w:val="none" w:sz="0" w:space="0" w:color="auto"/>
          </w:divBdr>
          <w:divsChild>
            <w:div w:id="2050446864">
              <w:marLeft w:val="0"/>
              <w:marRight w:val="0"/>
              <w:marTop w:val="0"/>
              <w:marBottom w:val="0"/>
              <w:divBdr>
                <w:top w:val="none" w:sz="0" w:space="0" w:color="auto"/>
                <w:left w:val="none" w:sz="0" w:space="0" w:color="auto"/>
                <w:bottom w:val="none" w:sz="0" w:space="0" w:color="auto"/>
                <w:right w:val="none" w:sz="0" w:space="0" w:color="auto"/>
              </w:divBdr>
              <w:divsChild>
                <w:div w:id="11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B10300-4DCF-4636-83A7-842C7323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3100</Words>
  <Characters>17676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Millar</dc:creator>
  <cp:lastModifiedBy>Mokone</cp:lastModifiedBy>
  <cp:revision>2</cp:revision>
  <cp:lastPrinted>2023-08-16T13:23:00Z</cp:lastPrinted>
  <dcterms:created xsi:type="dcterms:W3CDTF">2023-08-18T07:59:00Z</dcterms:created>
  <dcterms:modified xsi:type="dcterms:W3CDTF">2023-08-18T07:59:00Z</dcterms:modified>
</cp:coreProperties>
</file>