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2E583" w14:textId="59E74D09" w:rsidR="00915809" w:rsidRPr="003C2D73" w:rsidRDefault="00915809" w:rsidP="00915809">
      <w:pPr>
        <w:spacing w:line="480" w:lineRule="auto"/>
        <w:jc w:val="both"/>
        <w:rPr>
          <w:rFonts w:cs="Arial"/>
          <w:lang w:val="en-US"/>
        </w:rPr>
      </w:pPr>
      <w:bookmarkStart w:id="0" w:name="_GoBack"/>
      <w:bookmarkEnd w:id="0"/>
    </w:p>
    <w:p w14:paraId="4ABB88B0" w14:textId="77777777" w:rsidR="00915809" w:rsidRPr="006B04C9" w:rsidRDefault="00915809" w:rsidP="00915809">
      <w:pPr>
        <w:spacing w:after="160" w:line="240" w:lineRule="auto"/>
        <w:jc w:val="center"/>
        <w:outlineLvl w:val="0"/>
        <w:rPr>
          <w:rFonts w:cs="Arial"/>
          <w:b/>
          <w:bCs/>
          <w:kern w:val="32"/>
          <w:szCs w:val="22"/>
          <w:lang w:val="en-GB"/>
        </w:rPr>
      </w:pPr>
      <w:bookmarkStart w:id="1" w:name="_Hlk138190755"/>
      <w:r w:rsidRPr="006B04C9">
        <w:rPr>
          <w:rFonts w:ascii="Times New Roman" w:hAnsi="Times New Roman"/>
          <w:noProof/>
          <w:sz w:val="28"/>
          <w:szCs w:val="28"/>
          <w:lang w:val="en-US"/>
        </w:rPr>
        <w:drawing>
          <wp:inline distT="0" distB="0" distL="0" distR="0" wp14:anchorId="1B1E1B05" wp14:editId="6CFF5E8A">
            <wp:extent cx="1924050" cy="1454150"/>
            <wp:effectExtent l="0" t="0" r="0" b="0"/>
            <wp:docPr id="2" name="Picture 2"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54150"/>
                    </a:xfrm>
                    <a:prstGeom prst="rect">
                      <a:avLst/>
                    </a:prstGeom>
                    <a:noFill/>
                    <a:ln>
                      <a:noFill/>
                    </a:ln>
                  </pic:spPr>
                </pic:pic>
              </a:graphicData>
            </a:graphic>
          </wp:inline>
        </w:drawing>
      </w:r>
    </w:p>
    <w:p w14:paraId="1777A753" w14:textId="77777777" w:rsidR="00915809" w:rsidRPr="006B04C9" w:rsidRDefault="00915809" w:rsidP="00915809">
      <w:pPr>
        <w:spacing w:after="160" w:line="240" w:lineRule="auto"/>
        <w:jc w:val="center"/>
        <w:outlineLvl w:val="0"/>
        <w:rPr>
          <w:rFonts w:cs="Arial"/>
          <w:b/>
          <w:bCs/>
          <w:kern w:val="32"/>
          <w:szCs w:val="22"/>
          <w:lang w:val="en-GB"/>
        </w:rPr>
      </w:pPr>
      <w:r w:rsidRPr="006B04C9">
        <w:rPr>
          <w:rFonts w:cs="Arial"/>
          <w:b/>
          <w:bCs/>
          <w:kern w:val="32"/>
          <w:szCs w:val="22"/>
          <w:lang w:val="en-GB"/>
        </w:rPr>
        <w:t>IN THE HIGH COURT OF SOUTH AFRICA</w:t>
      </w:r>
    </w:p>
    <w:p w14:paraId="645AD765" w14:textId="77777777" w:rsidR="00915809" w:rsidRPr="006B04C9" w:rsidRDefault="00915809" w:rsidP="00915809">
      <w:pPr>
        <w:spacing w:after="160" w:line="240" w:lineRule="auto"/>
        <w:jc w:val="center"/>
        <w:outlineLvl w:val="0"/>
        <w:rPr>
          <w:rFonts w:cs="Arial"/>
          <w:b/>
          <w:bCs/>
          <w:kern w:val="32"/>
          <w:szCs w:val="22"/>
          <w:lang w:val="en-GB"/>
        </w:rPr>
      </w:pPr>
      <w:r w:rsidRPr="006B04C9">
        <w:rPr>
          <w:rFonts w:cs="Arial"/>
          <w:b/>
          <w:bCs/>
          <w:kern w:val="32"/>
          <w:szCs w:val="22"/>
          <w:lang w:val="en-GB"/>
        </w:rPr>
        <w:t>(GAUTENG DIVISION, PRETORIA)</w:t>
      </w:r>
    </w:p>
    <w:p w14:paraId="0C061908" w14:textId="77777777" w:rsidR="00915809" w:rsidRPr="006B04C9" w:rsidRDefault="00915809" w:rsidP="00915809">
      <w:pPr>
        <w:spacing w:after="160" w:line="240" w:lineRule="auto"/>
        <w:outlineLvl w:val="0"/>
        <w:rPr>
          <w:rFonts w:cs="Arial"/>
          <w:kern w:val="32"/>
          <w:szCs w:val="22"/>
          <w:lang w:val="en-GB"/>
        </w:rPr>
      </w:pPr>
    </w:p>
    <w:p w14:paraId="60FB0B7D" w14:textId="36B58CB4" w:rsidR="00915809" w:rsidRPr="006B04C9" w:rsidRDefault="00915809" w:rsidP="00915809">
      <w:pPr>
        <w:spacing w:after="160" w:line="240" w:lineRule="auto"/>
        <w:jc w:val="right"/>
        <w:outlineLvl w:val="0"/>
        <w:rPr>
          <w:rFonts w:cs="Arial"/>
          <w:b/>
          <w:bCs/>
          <w:kern w:val="32"/>
          <w:szCs w:val="22"/>
          <w:lang w:val="en-GB"/>
        </w:rPr>
      </w:pPr>
      <w:r w:rsidRPr="006B04C9">
        <w:rPr>
          <w:rFonts w:cs="Arial"/>
          <w:kern w:val="32"/>
          <w:szCs w:val="22"/>
          <w:lang w:val="en-GB"/>
        </w:rPr>
        <w:t xml:space="preserve">Case No. </w:t>
      </w:r>
      <w:r w:rsidR="009B011B">
        <w:rPr>
          <w:rFonts w:cs="Arial"/>
          <w:b/>
          <w:bCs/>
          <w:kern w:val="32"/>
          <w:szCs w:val="22"/>
          <w:lang w:val="en-GB"/>
        </w:rPr>
        <w:t>35877/2018</w:t>
      </w:r>
    </w:p>
    <w:p w14:paraId="19F4B479" w14:textId="77777777" w:rsidR="00915809" w:rsidRPr="006B04C9" w:rsidRDefault="00915809" w:rsidP="00915809">
      <w:pPr>
        <w:spacing w:after="160" w:line="240" w:lineRule="auto"/>
        <w:outlineLvl w:val="0"/>
        <w:rPr>
          <w:rFonts w:cs="Arial"/>
          <w:b/>
          <w:bCs/>
          <w:color w:val="FF0000"/>
          <w:kern w:val="32"/>
          <w:szCs w:val="22"/>
          <w:lang w:val="en-GB"/>
        </w:rPr>
      </w:pPr>
      <w:r w:rsidRPr="006B04C9">
        <w:rPr>
          <w:rFonts w:eastAsia="Calibri" w:cs="Arial"/>
          <w:noProof/>
          <w:lang w:val="en-US"/>
        </w:rPr>
        <mc:AlternateContent>
          <mc:Choice Requires="wps">
            <w:drawing>
              <wp:anchor distT="0" distB="0" distL="114300" distR="114300" simplePos="0" relativeHeight="251653120" behindDoc="0" locked="0" layoutInCell="1" allowOverlap="1" wp14:anchorId="1BDAB82A" wp14:editId="30D7E99E">
                <wp:simplePos x="0" y="0"/>
                <wp:positionH relativeFrom="margin">
                  <wp:posOffset>18415</wp:posOffset>
                </wp:positionH>
                <wp:positionV relativeFrom="paragraph">
                  <wp:posOffset>79375</wp:posOffset>
                </wp:positionV>
                <wp:extent cx="3098800" cy="1193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6B527D7C" w14:textId="77777777" w:rsidR="00915809" w:rsidRPr="007C20F4" w:rsidRDefault="00915809" w:rsidP="00915809">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Pr>
                                <w:rFonts w:ascii="Calibri" w:hAnsi="Calibri"/>
                                <w:sz w:val="20"/>
                                <w:lang w:val="af-ZA"/>
                              </w:rPr>
                              <w:t>REPORTABLE: NO</w:t>
                            </w:r>
                          </w:p>
                          <w:p w14:paraId="56A4FB40" w14:textId="5D07F8BD" w:rsidR="00915809" w:rsidRPr="007C20F4" w:rsidRDefault="00915809" w:rsidP="00915809">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w:t>
                            </w:r>
                            <w:r w:rsidR="00E44087">
                              <w:rPr>
                                <w:rFonts w:ascii="Calibri" w:hAnsi="Calibri"/>
                                <w:sz w:val="20"/>
                                <w:lang w:val="af-ZA"/>
                              </w:rPr>
                              <w:t xml:space="preserve"> </w:t>
                            </w:r>
                            <w:r>
                              <w:rPr>
                                <w:rFonts w:ascii="Calibri" w:hAnsi="Calibri"/>
                                <w:sz w:val="20"/>
                                <w:lang w:val="af-ZA"/>
                              </w:rPr>
                              <w:t xml:space="preserve"> JUDGES: NO</w:t>
                            </w:r>
                          </w:p>
                          <w:p w14:paraId="1247B42C" w14:textId="01D04CE3" w:rsidR="00915809" w:rsidRPr="007C20F4" w:rsidRDefault="00915809" w:rsidP="00915809">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E44087">
                              <w:rPr>
                                <w:rFonts w:ascii="Calibri" w:hAnsi="Calibri"/>
                                <w:sz w:val="20"/>
                                <w:lang w:val="af-ZA"/>
                              </w:rPr>
                              <w:t>1</w:t>
                            </w:r>
                            <w:r w:rsidR="00582A16">
                              <w:rPr>
                                <w:rFonts w:ascii="Calibri" w:hAnsi="Calibri"/>
                                <w:sz w:val="20"/>
                                <w:lang w:val="af-ZA"/>
                              </w:rPr>
                              <w:t>4</w:t>
                            </w:r>
                            <w:r>
                              <w:rPr>
                                <w:rFonts w:ascii="Calibri" w:hAnsi="Calibri"/>
                                <w:sz w:val="20"/>
                                <w:lang w:val="af-ZA"/>
                              </w:rPr>
                              <w:t>/</w:t>
                            </w:r>
                            <w:r w:rsidR="00A85000">
                              <w:rPr>
                                <w:rFonts w:ascii="Calibri" w:hAnsi="Calibri"/>
                                <w:sz w:val="20"/>
                                <w:lang w:val="af-ZA"/>
                              </w:rPr>
                              <w:t>8</w:t>
                            </w:r>
                            <w:r>
                              <w:rPr>
                                <w:rFonts w:ascii="Calibri" w:hAnsi="Calibri"/>
                                <w:sz w:val="20"/>
                                <w:lang w:val="af-ZA"/>
                              </w:rPr>
                              <w:t>/2023</w:t>
                            </w:r>
                          </w:p>
                          <w:p w14:paraId="63D7C15E" w14:textId="77777777" w:rsidR="00915809" w:rsidRDefault="00915809" w:rsidP="00915809">
                            <w:pPr>
                              <w:tabs>
                                <w:tab w:val="center" w:pos="4320"/>
                                <w:tab w:val="right" w:pos="8640"/>
                              </w:tabs>
                              <w:spacing w:after="200" w:line="276" w:lineRule="auto"/>
                              <w:ind w:left="720"/>
                              <w:contextualSpacing/>
                              <w:rPr>
                                <w:rFonts w:ascii="Calibri" w:hAnsi="Calibri"/>
                                <w:sz w:val="20"/>
                                <w:lang w:val="af-ZA"/>
                              </w:rPr>
                            </w:pPr>
                          </w:p>
                          <w:p w14:paraId="672214A1" w14:textId="46847F5D" w:rsidR="00915809" w:rsidRPr="00C7029A" w:rsidRDefault="00915809" w:rsidP="00915809">
                            <w:pPr>
                              <w:tabs>
                                <w:tab w:val="center" w:pos="4320"/>
                                <w:tab w:val="right" w:pos="8640"/>
                              </w:tabs>
                              <w:spacing w:line="276" w:lineRule="auto"/>
                              <w:contextualSpacing/>
                              <w:rPr>
                                <w:rFonts w:ascii="Calibri" w:hAnsi="Calibri"/>
                                <w:sz w:val="20"/>
                                <w:lang w:val="af-ZA"/>
                              </w:rPr>
                            </w:pPr>
                            <w:r>
                              <w:rPr>
                                <w:rFonts w:ascii="Calibri" w:eastAsia="Calibri" w:hAnsi="Calibri"/>
                                <w:b/>
                                <w:bCs/>
                                <w:noProof/>
                                <w:u w:val="dotted"/>
                                <w:lang w:eastAsia="en-ZA"/>
                              </w:rPr>
                              <w:t xml:space="preserve">                           </w:t>
                            </w:r>
                            <w:r>
                              <w:rPr>
                                <w:rFonts w:ascii="Calibri" w:eastAsia="Calibri" w:hAnsi="Calibri"/>
                                <w:b/>
                                <w:bCs/>
                                <w:noProof/>
                                <w:lang w:eastAsia="en-ZA"/>
                              </w:rPr>
                              <w:tab/>
                            </w:r>
                            <w:r w:rsidR="00E44087" w:rsidRPr="00E44087">
                              <w:rPr>
                                <w:rFonts w:ascii="Calibri" w:eastAsia="Calibri" w:hAnsi="Calibri"/>
                                <w:noProof/>
                                <w:lang w:eastAsia="en-ZA"/>
                              </w:rPr>
                              <w:t>16</w:t>
                            </w:r>
                            <w:r w:rsidRPr="00E44087">
                              <w:rPr>
                                <w:rFonts w:ascii="Calibri" w:hAnsi="Calibri"/>
                                <w:sz w:val="20"/>
                                <w:lang w:val="af-ZA"/>
                              </w:rPr>
                              <w:t xml:space="preserve"> </w:t>
                            </w:r>
                            <w:r w:rsidRPr="009A086F">
                              <w:rPr>
                                <w:rFonts w:ascii="Calibri" w:hAnsi="Calibri"/>
                                <w:sz w:val="20"/>
                                <w:lang w:val="af-ZA"/>
                              </w:rPr>
                              <w:t xml:space="preserve"> </w:t>
                            </w:r>
                            <w:r w:rsidR="00A85000">
                              <w:rPr>
                                <w:rFonts w:ascii="Calibri" w:hAnsi="Calibri"/>
                                <w:sz w:val="20"/>
                                <w:lang w:val="af-ZA"/>
                              </w:rPr>
                              <w:t>August</w:t>
                            </w:r>
                            <w:r w:rsidRPr="009A086F">
                              <w:rPr>
                                <w:rFonts w:ascii="Calibri" w:hAnsi="Calibri"/>
                                <w:sz w:val="20"/>
                                <w:lang w:val="af-ZA"/>
                              </w:rPr>
                              <w:t xml:space="preserve"> 2023</w:t>
                            </w:r>
                          </w:p>
                          <w:p w14:paraId="217E4A65" w14:textId="77777777" w:rsidR="00915809" w:rsidRPr="007C20F4" w:rsidRDefault="00915809" w:rsidP="00915809">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AB82A" id="_x0000_t202" coordsize="21600,21600" o:spt="202" path="m,l,21600r21600,l21600,xe">
                <v:stroke joinstyle="miter"/>
                <v:path gradientshapeok="t" o:connecttype="rect"/>
              </v:shapetype>
              <v:shape id="Text Box 6" o:spid="_x0000_s1026" type="#_x0000_t202" style="position:absolute;margin-left:1.45pt;margin-top:6.25pt;width:244pt;height:9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">
                <v:textbox>
                  <w:txbxContent>
                    <w:p w14:paraId="6B527D7C" w14:textId="77777777" w:rsidR="00915809" w:rsidRPr="007C20F4" w:rsidRDefault="00915809" w:rsidP="00915809">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Pr>
                          <w:rFonts w:ascii="Calibri" w:hAnsi="Calibri"/>
                          <w:sz w:val="20"/>
                          <w:lang w:val="af-ZA"/>
                        </w:rPr>
                        <w:t>REPORTABLE: NO</w:t>
                      </w:r>
                    </w:p>
                    <w:p w14:paraId="56A4FB40" w14:textId="5D07F8BD" w:rsidR="00915809" w:rsidRPr="007C20F4" w:rsidRDefault="00915809" w:rsidP="00915809">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w:t>
                      </w:r>
                      <w:r w:rsidR="00E44087">
                        <w:rPr>
                          <w:rFonts w:ascii="Calibri" w:hAnsi="Calibri"/>
                          <w:sz w:val="20"/>
                          <w:lang w:val="af-ZA"/>
                        </w:rPr>
                        <w:t xml:space="preserve"> </w:t>
                      </w:r>
                      <w:r>
                        <w:rPr>
                          <w:rFonts w:ascii="Calibri" w:hAnsi="Calibri"/>
                          <w:sz w:val="20"/>
                          <w:lang w:val="af-ZA"/>
                        </w:rPr>
                        <w:t xml:space="preserve"> JUDGES: NO</w:t>
                      </w:r>
                    </w:p>
                    <w:p w14:paraId="1247B42C" w14:textId="01D04CE3" w:rsidR="00915809" w:rsidRPr="007C20F4" w:rsidRDefault="00915809" w:rsidP="00915809">
                      <w:pPr>
                        <w:widowControl w:val="0"/>
                        <w:numPr>
                          <w:ilvl w:val="0"/>
                          <w:numId w:val="2"/>
                        </w:numPr>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REVISED</w:t>
                      </w:r>
                      <w:r>
                        <w:rPr>
                          <w:rFonts w:ascii="Calibri" w:hAnsi="Calibri"/>
                          <w:sz w:val="20"/>
                          <w:lang w:val="af-ZA"/>
                        </w:rPr>
                        <w:t xml:space="preserve">: </w:t>
                      </w:r>
                      <w:r w:rsidR="00E44087">
                        <w:rPr>
                          <w:rFonts w:ascii="Calibri" w:hAnsi="Calibri"/>
                          <w:sz w:val="20"/>
                          <w:lang w:val="af-ZA"/>
                        </w:rPr>
                        <w:t>1</w:t>
                      </w:r>
                      <w:r w:rsidR="00582A16">
                        <w:rPr>
                          <w:rFonts w:ascii="Calibri" w:hAnsi="Calibri"/>
                          <w:sz w:val="20"/>
                          <w:lang w:val="af-ZA"/>
                        </w:rPr>
                        <w:t>4</w:t>
                      </w:r>
                      <w:r>
                        <w:rPr>
                          <w:rFonts w:ascii="Calibri" w:hAnsi="Calibri"/>
                          <w:sz w:val="20"/>
                          <w:lang w:val="af-ZA"/>
                        </w:rPr>
                        <w:t>/</w:t>
                      </w:r>
                      <w:r w:rsidR="00A85000">
                        <w:rPr>
                          <w:rFonts w:ascii="Calibri" w:hAnsi="Calibri"/>
                          <w:sz w:val="20"/>
                          <w:lang w:val="af-ZA"/>
                        </w:rPr>
                        <w:t>8</w:t>
                      </w:r>
                      <w:r>
                        <w:rPr>
                          <w:rFonts w:ascii="Calibri" w:hAnsi="Calibri"/>
                          <w:sz w:val="20"/>
                          <w:lang w:val="af-ZA"/>
                        </w:rPr>
                        <w:t>/2023</w:t>
                      </w:r>
                    </w:p>
                    <w:p w14:paraId="63D7C15E" w14:textId="77777777" w:rsidR="00915809" w:rsidRDefault="00915809" w:rsidP="00915809">
                      <w:pPr>
                        <w:tabs>
                          <w:tab w:val="center" w:pos="4320"/>
                          <w:tab w:val="right" w:pos="8640"/>
                        </w:tabs>
                        <w:spacing w:after="200" w:line="276" w:lineRule="auto"/>
                        <w:ind w:left="720"/>
                        <w:contextualSpacing/>
                        <w:rPr>
                          <w:rFonts w:ascii="Calibri" w:hAnsi="Calibri"/>
                          <w:sz w:val="20"/>
                          <w:lang w:val="af-ZA"/>
                        </w:rPr>
                      </w:pPr>
                    </w:p>
                    <w:p w14:paraId="672214A1" w14:textId="46847F5D" w:rsidR="00915809" w:rsidRPr="00C7029A" w:rsidRDefault="00915809" w:rsidP="00915809">
                      <w:pPr>
                        <w:tabs>
                          <w:tab w:val="center" w:pos="4320"/>
                          <w:tab w:val="right" w:pos="8640"/>
                        </w:tabs>
                        <w:spacing w:line="276" w:lineRule="auto"/>
                        <w:contextualSpacing/>
                        <w:rPr>
                          <w:rFonts w:ascii="Calibri" w:hAnsi="Calibri"/>
                          <w:sz w:val="20"/>
                          <w:lang w:val="af-ZA"/>
                        </w:rPr>
                      </w:pPr>
                      <w:r>
                        <w:rPr>
                          <w:rFonts w:ascii="Calibri" w:eastAsia="Calibri" w:hAnsi="Calibri"/>
                          <w:b/>
                          <w:bCs/>
                          <w:noProof/>
                          <w:u w:val="dotted"/>
                          <w:lang w:eastAsia="en-ZA"/>
                        </w:rPr>
                        <w:t xml:space="preserve">                           </w:t>
                      </w:r>
                      <w:r>
                        <w:rPr>
                          <w:rFonts w:ascii="Calibri" w:eastAsia="Calibri" w:hAnsi="Calibri"/>
                          <w:b/>
                          <w:bCs/>
                          <w:noProof/>
                          <w:lang w:eastAsia="en-ZA"/>
                        </w:rPr>
                        <w:tab/>
                      </w:r>
                      <w:r w:rsidR="00E44087" w:rsidRPr="00E44087">
                        <w:rPr>
                          <w:rFonts w:ascii="Calibri" w:eastAsia="Calibri" w:hAnsi="Calibri"/>
                          <w:noProof/>
                          <w:lang w:eastAsia="en-ZA"/>
                        </w:rPr>
                        <w:t>16</w:t>
                      </w:r>
                      <w:r w:rsidRPr="00E44087">
                        <w:rPr>
                          <w:rFonts w:ascii="Calibri" w:hAnsi="Calibri"/>
                          <w:sz w:val="20"/>
                          <w:lang w:val="af-ZA"/>
                        </w:rPr>
                        <w:t xml:space="preserve"> </w:t>
                      </w:r>
                      <w:r w:rsidRPr="009A086F">
                        <w:rPr>
                          <w:rFonts w:ascii="Calibri" w:hAnsi="Calibri"/>
                          <w:sz w:val="20"/>
                          <w:lang w:val="af-ZA"/>
                        </w:rPr>
                        <w:t xml:space="preserve"> </w:t>
                      </w:r>
                      <w:r w:rsidR="00A85000">
                        <w:rPr>
                          <w:rFonts w:ascii="Calibri" w:hAnsi="Calibri"/>
                          <w:sz w:val="20"/>
                          <w:lang w:val="af-ZA"/>
                        </w:rPr>
                        <w:t>August</w:t>
                      </w:r>
                      <w:r w:rsidRPr="009A086F">
                        <w:rPr>
                          <w:rFonts w:ascii="Calibri" w:hAnsi="Calibri"/>
                          <w:sz w:val="20"/>
                          <w:lang w:val="af-ZA"/>
                        </w:rPr>
                        <w:t xml:space="preserve"> 2023</w:t>
                      </w:r>
                    </w:p>
                    <w:p w14:paraId="217E4A65" w14:textId="77777777" w:rsidR="00915809" w:rsidRPr="007C20F4" w:rsidRDefault="00915809" w:rsidP="00915809">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w10:wrap anchorx="margin"/>
              </v:shape>
            </w:pict>
          </mc:Fallback>
        </mc:AlternateContent>
      </w:r>
    </w:p>
    <w:p w14:paraId="5BBC354F" w14:textId="77777777" w:rsidR="00915809" w:rsidRPr="006B04C9" w:rsidRDefault="00915809" w:rsidP="00915809">
      <w:pPr>
        <w:spacing w:after="160" w:line="240" w:lineRule="auto"/>
        <w:outlineLvl w:val="0"/>
        <w:rPr>
          <w:rFonts w:cs="Arial"/>
          <w:kern w:val="32"/>
          <w:szCs w:val="22"/>
          <w:lang w:val="en-GB"/>
        </w:rPr>
      </w:pPr>
    </w:p>
    <w:p w14:paraId="5E56101C" w14:textId="77777777" w:rsidR="00915809" w:rsidRPr="006B04C9" w:rsidRDefault="00915809" w:rsidP="00915809">
      <w:pPr>
        <w:spacing w:after="160" w:line="240" w:lineRule="auto"/>
        <w:outlineLvl w:val="0"/>
        <w:rPr>
          <w:rFonts w:cs="Arial"/>
          <w:kern w:val="32"/>
          <w:szCs w:val="22"/>
          <w:lang w:val="en-GB"/>
        </w:rPr>
      </w:pPr>
      <w:r w:rsidRPr="006B04C9">
        <w:rPr>
          <w:rFonts w:cs="Arial"/>
          <w:kern w:val="32"/>
          <w:szCs w:val="22"/>
          <w:lang w:val="en-GB"/>
        </w:rPr>
        <w:t>In the matter between:</w:t>
      </w:r>
    </w:p>
    <w:p w14:paraId="26B4D80B" w14:textId="77777777" w:rsidR="00915809" w:rsidRPr="006B04C9" w:rsidRDefault="00915809" w:rsidP="00915809">
      <w:pPr>
        <w:tabs>
          <w:tab w:val="left" w:pos="7690"/>
        </w:tabs>
        <w:spacing w:after="160" w:line="240" w:lineRule="auto"/>
        <w:outlineLvl w:val="0"/>
        <w:rPr>
          <w:rFonts w:cs="Arial"/>
          <w:kern w:val="32"/>
          <w:szCs w:val="22"/>
          <w:lang w:val="en-GB"/>
        </w:rPr>
      </w:pPr>
      <w:r w:rsidRPr="006B04C9">
        <w:rPr>
          <w:rFonts w:cs="Arial"/>
          <w:kern w:val="32"/>
          <w:szCs w:val="22"/>
          <w:lang w:val="en-GB"/>
        </w:rPr>
        <w:tab/>
      </w:r>
    </w:p>
    <w:p w14:paraId="02D0D79F" w14:textId="77777777" w:rsidR="00915809" w:rsidRPr="006B04C9" w:rsidRDefault="00915809" w:rsidP="00915809">
      <w:pPr>
        <w:tabs>
          <w:tab w:val="left" w:pos="7690"/>
        </w:tabs>
        <w:spacing w:after="160" w:line="240" w:lineRule="auto"/>
        <w:outlineLvl w:val="0"/>
        <w:rPr>
          <w:rFonts w:cs="Arial"/>
          <w:kern w:val="32"/>
          <w:szCs w:val="22"/>
          <w:lang w:val="en-GB"/>
        </w:rPr>
      </w:pPr>
    </w:p>
    <w:p w14:paraId="20EC9607" w14:textId="77777777" w:rsidR="00915809" w:rsidRPr="006B04C9" w:rsidRDefault="00915809" w:rsidP="00915809">
      <w:pPr>
        <w:tabs>
          <w:tab w:val="left" w:pos="7690"/>
        </w:tabs>
        <w:spacing w:after="160" w:line="240" w:lineRule="auto"/>
        <w:outlineLvl w:val="0"/>
        <w:rPr>
          <w:rFonts w:cs="Arial"/>
          <w:kern w:val="32"/>
          <w:szCs w:val="22"/>
          <w:lang w:val="en-GB"/>
        </w:rPr>
      </w:pPr>
      <w:r w:rsidRPr="006B04C9">
        <w:rPr>
          <w:rFonts w:cs="Arial"/>
          <w:kern w:val="32"/>
          <w:szCs w:val="22"/>
          <w:lang w:val="en-GB"/>
        </w:rPr>
        <w:t>In the matter between:</w:t>
      </w:r>
    </w:p>
    <w:p w14:paraId="2F4444EA" w14:textId="315CB52D" w:rsidR="00915809" w:rsidRPr="006B04C9" w:rsidRDefault="00915809" w:rsidP="00915809">
      <w:pPr>
        <w:tabs>
          <w:tab w:val="left" w:pos="7690"/>
        </w:tabs>
        <w:spacing w:after="160" w:line="240" w:lineRule="auto"/>
        <w:outlineLvl w:val="0"/>
        <w:rPr>
          <w:rFonts w:cs="Arial"/>
          <w:kern w:val="32"/>
          <w:szCs w:val="22"/>
          <w:lang w:val="en-GB"/>
        </w:rPr>
      </w:pPr>
      <w:r>
        <w:rPr>
          <w:rFonts w:cs="Arial"/>
          <w:noProof/>
          <w:kern w:val="32"/>
          <w:szCs w:val="22"/>
          <w:lang w:val="en-US"/>
        </w:rPr>
        <mc:AlternateContent>
          <mc:Choice Requires="wps">
            <w:drawing>
              <wp:anchor distT="0" distB="0" distL="114300" distR="114300" simplePos="0" relativeHeight="251657216" behindDoc="0" locked="0" layoutInCell="1" allowOverlap="1" wp14:anchorId="662A1B60" wp14:editId="13F1A8DE">
                <wp:simplePos x="0" y="0"/>
                <wp:positionH relativeFrom="column">
                  <wp:posOffset>-160020</wp:posOffset>
                </wp:positionH>
                <wp:positionV relativeFrom="paragraph">
                  <wp:posOffset>2762250</wp:posOffset>
                </wp:positionV>
                <wp:extent cx="5981700" cy="449580"/>
                <wp:effectExtent l="0" t="0" r="0" b="7620"/>
                <wp:wrapNone/>
                <wp:docPr id="1028187198" name="Rectangle 2"/>
                <wp:cNvGraphicFramePr/>
                <a:graphic xmlns:a="http://schemas.openxmlformats.org/drawingml/2006/main">
                  <a:graphicData uri="http://schemas.microsoft.com/office/word/2010/wordprocessingShape">
                    <wps:wsp>
                      <wps:cNvSpPr/>
                      <wps:spPr>
                        <a:xfrm>
                          <a:off x="0" y="0"/>
                          <a:ext cx="5981700" cy="44958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6E45E" id="Rectangle 2" o:spid="_x0000_s1026" style="position:absolute;margin-left:-12.6pt;margin-top:217.5pt;width:471pt;height:35.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" fillcolor="white [3212]" stroked="f" strokeweight="1pt"/>
            </w:pict>
          </mc:Fallback>
        </mc:AlternateContent>
      </w:r>
    </w:p>
    <w:tbl>
      <w:tblPr>
        <w:tblStyle w:val="TableGrid"/>
        <w:tblW w:w="91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2"/>
        <w:gridCol w:w="3579"/>
      </w:tblGrid>
      <w:tr w:rsidR="00915809" w:rsidRPr="006B04C9" w14:paraId="5AF328C9" w14:textId="77777777" w:rsidTr="00FE41B0">
        <w:trPr>
          <w:trHeight w:val="374"/>
        </w:trPr>
        <w:tc>
          <w:tcPr>
            <w:tcW w:w="5572" w:type="dxa"/>
          </w:tcPr>
          <w:p w14:paraId="6914A297" w14:textId="090F8361" w:rsidR="00915809" w:rsidRPr="006B04C9" w:rsidRDefault="00915809" w:rsidP="00FE41B0">
            <w:pPr>
              <w:spacing w:line="240" w:lineRule="auto"/>
              <w:outlineLvl w:val="0"/>
              <w:rPr>
                <w:rFonts w:cs="Arial"/>
                <w:b/>
                <w:bCs/>
                <w:kern w:val="32"/>
                <w:szCs w:val="22"/>
                <w:lang w:val="en-GB"/>
              </w:rPr>
            </w:pPr>
            <w:r>
              <w:rPr>
                <w:rFonts w:cs="Arial"/>
                <w:b/>
                <w:bCs/>
                <w:kern w:val="32"/>
                <w:szCs w:val="22"/>
                <w:lang w:val="en-GB"/>
              </w:rPr>
              <w:t>M</w:t>
            </w:r>
            <w:r w:rsidR="00641C65">
              <w:rPr>
                <w:rFonts w:cs="Arial"/>
                <w:b/>
                <w:bCs/>
                <w:kern w:val="32"/>
                <w:szCs w:val="22"/>
                <w:lang w:val="en-GB"/>
              </w:rPr>
              <w:t>OTSEPE BANAKILE PEAR TETE</w:t>
            </w:r>
          </w:p>
        </w:tc>
        <w:tc>
          <w:tcPr>
            <w:tcW w:w="3579" w:type="dxa"/>
          </w:tcPr>
          <w:p w14:paraId="57AE7609" w14:textId="02CDAAD7" w:rsidR="00915809" w:rsidRPr="006B04C9" w:rsidRDefault="00CB7897" w:rsidP="00CB7897">
            <w:pPr>
              <w:spacing w:line="240" w:lineRule="auto"/>
              <w:jc w:val="center"/>
              <w:outlineLvl w:val="0"/>
              <w:rPr>
                <w:rFonts w:cs="Arial"/>
                <w:kern w:val="32"/>
                <w:szCs w:val="22"/>
                <w:lang w:val="en-GB"/>
              </w:rPr>
            </w:pPr>
            <w:r>
              <w:rPr>
                <w:rFonts w:cs="Arial"/>
                <w:kern w:val="32"/>
                <w:szCs w:val="22"/>
                <w:lang w:val="en-GB"/>
              </w:rPr>
              <w:t xml:space="preserve">                        </w:t>
            </w:r>
            <w:r w:rsidR="00915809">
              <w:rPr>
                <w:rFonts w:cs="Arial"/>
                <w:kern w:val="32"/>
                <w:szCs w:val="22"/>
                <w:lang w:val="en-GB"/>
              </w:rPr>
              <w:t>APPLICANT</w:t>
            </w:r>
          </w:p>
        </w:tc>
      </w:tr>
      <w:tr w:rsidR="00915809" w:rsidRPr="006B04C9" w14:paraId="7E917138" w14:textId="77777777" w:rsidTr="00FE41B0">
        <w:trPr>
          <w:trHeight w:val="365"/>
        </w:trPr>
        <w:tc>
          <w:tcPr>
            <w:tcW w:w="5572" w:type="dxa"/>
          </w:tcPr>
          <w:p w14:paraId="3D7087FA" w14:textId="77777777" w:rsidR="00915809" w:rsidRPr="006B04C9" w:rsidRDefault="00915809" w:rsidP="00FE41B0">
            <w:pPr>
              <w:spacing w:line="240" w:lineRule="auto"/>
              <w:outlineLvl w:val="0"/>
              <w:rPr>
                <w:rFonts w:cs="Arial"/>
                <w:kern w:val="32"/>
                <w:szCs w:val="22"/>
                <w:lang w:val="en-GB"/>
              </w:rPr>
            </w:pPr>
          </w:p>
        </w:tc>
        <w:tc>
          <w:tcPr>
            <w:tcW w:w="3579" w:type="dxa"/>
          </w:tcPr>
          <w:p w14:paraId="211D5D4F" w14:textId="77777777" w:rsidR="00915809" w:rsidRPr="006B04C9" w:rsidRDefault="00915809" w:rsidP="00FE41B0">
            <w:pPr>
              <w:spacing w:line="240" w:lineRule="auto"/>
              <w:jc w:val="right"/>
              <w:outlineLvl w:val="0"/>
              <w:rPr>
                <w:rFonts w:cs="Arial"/>
                <w:kern w:val="32"/>
                <w:szCs w:val="22"/>
                <w:lang w:val="en-GB"/>
              </w:rPr>
            </w:pPr>
          </w:p>
        </w:tc>
      </w:tr>
      <w:tr w:rsidR="00915809" w:rsidRPr="006B04C9" w14:paraId="2CA284A9" w14:textId="77777777" w:rsidTr="00FE41B0">
        <w:trPr>
          <w:trHeight w:val="374"/>
        </w:trPr>
        <w:tc>
          <w:tcPr>
            <w:tcW w:w="5572" w:type="dxa"/>
          </w:tcPr>
          <w:p w14:paraId="2CB16329" w14:textId="77777777" w:rsidR="00915809" w:rsidRPr="006B04C9" w:rsidRDefault="00915809" w:rsidP="00FE41B0">
            <w:pPr>
              <w:spacing w:line="240" w:lineRule="auto"/>
              <w:outlineLvl w:val="0"/>
              <w:rPr>
                <w:rFonts w:cs="Arial"/>
                <w:kern w:val="32"/>
                <w:szCs w:val="22"/>
                <w:lang w:val="en-GB"/>
              </w:rPr>
            </w:pPr>
            <w:r w:rsidRPr="006B04C9">
              <w:rPr>
                <w:rFonts w:cs="Arial"/>
                <w:kern w:val="32"/>
                <w:szCs w:val="22"/>
                <w:lang w:val="en-GB"/>
              </w:rPr>
              <w:t>and</w:t>
            </w:r>
          </w:p>
        </w:tc>
        <w:tc>
          <w:tcPr>
            <w:tcW w:w="3579" w:type="dxa"/>
          </w:tcPr>
          <w:p w14:paraId="2C35F270" w14:textId="77777777" w:rsidR="00915809" w:rsidRPr="006B04C9" w:rsidRDefault="00915809" w:rsidP="00FE41B0">
            <w:pPr>
              <w:spacing w:line="240" w:lineRule="auto"/>
              <w:jc w:val="right"/>
              <w:outlineLvl w:val="0"/>
              <w:rPr>
                <w:rFonts w:cs="Arial"/>
                <w:kern w:val="32"/>
                <w:szCs w:val="22"/>
                <w:lang w:val="en-GB"/>
              </w:rPr>
            </w:pPr>
          </w:p>
        </w:tc>
      </w:tr>
      <w:tr w:rsidR="00915809" w:rsidRPr="006B04C9" w14:paraId="001B8CF3" w14:textId="77777777" w:rsidTr="00FE41B0">
        <w:trPr>
          <w:trHeight w:val="365"/>
        </w:trPr>
        <w:tc>
          <w:tcPr>
            <w:tcW w:w="5572" w:type="dxa"/>
          </w:tcPr>
          <w:p w14:paraId="71C8164B" w14:textId="77777777" w:rsidR="00915809" w:rsidRPr="006B04C9" w:rsidRDefault="00915809" w:rsidP="00FE41B0">
            <w:pPr>
              <w:spacing w:line="240" w:lineRule="auto"/>
              <w:outlineLvl w:val="0"/>
              <w:rPr>
                <w:rFonts w:cs="Arial"/>
                <w:kern w:val="32"/>
                <w:szCs w:val="22"/>
                <w:lang w:val="en-GB"/>
              </w:rPr>
            </w:pPr>
          </w:p>
        </w:tc>
        <w:tc>
          <w:tcPr>
            <w:tcW w:w="3579" w:type="dxa"/>
          </w:tcPr>
          <w:p w14:paraId="240C1F5A" w14:textId="77777777" w:rsidR="00915809" w:rsidRPr="006B04C9" w:rsidRDefault="00915809" w:rsidP="00FE41B0">
            <w:pPr>
              <w:spacing w:line="240" w:lineRule="auto"/>
              <w:jc w:val="right"/>
              <w:outlineLvl w:val="0"/>
              <w:rPr>
                <w:rFonts w:cs="Arial"/>
                <w:kern w:val="32"/>
                <w:szCs w:val="22"/>
                <w:lang w:val="en-GB"/>
              </w:rPr>
            </w:pPr>
          </w:p>
        </w:tc>
      </w:tr>
      <w:tr w:rsidR="00915809" w:rsidRPr="006B04C9" w14:paraId="01CB9B0A" w14:textId="77777777" w:rsidTr="00FE41B0">
        <w:trPr>
          <w:trHeight w:val="374"/>
        </w:trPr>
        <w:tc>
          <w:tcPr>
            <w:tcW w:w="5572" w:type="dxa"/>
          </w:tcPr>
          <w:p w14:paraId="3BFB042B" w14:textId="5C6E8CDB" w:rsidR="00915809" w:rsidRDefault="0096069F" w:rsidP="00FE41B0">
            <w:pPr>
              <w:spacing w:line="240" w:lineRule="auto"/>
              <w:outlineLvl w:val="0"/>
              <w:rPr>
                <w:rFonts w:cs="Arial"/>
                <w:b/>
                <w:bCs/>
                <w:kern w:val="32"/>
                <w:szCs w:val="22"/>
                <w:lang w:val="en-GB"/>
              </w:rPr>
            </w:pPr>
            <w:r>
              <w:rPr>
                <w:rFonts w:cs="Arial"/>
                <w:b/>
                <w:bCs/>
                <w:kern w:val="32"/>
                <w:szCs w:val="22"/>
                <w:lang w:val="en-GB"/>
              </w:rPr>
              <w:t>NEDBANK</w:t>
            </w:r>
            <w:r w:rsidR="00915809">
              <w:rPr>
                <w:rFonts w:cs="Arial"/>
                <w:b/>
                <w:bCs/>
                <w:kern w:val="32"/>
                <w:szCs w:val="22"/>
                <w:lang w:val="en-GB"/>
              </w:rPr>
              <w:t xml:space="preserve"> LIMITED</w:t>
            </w:r>
          </w:p>
          <w:p w14:paraId="27DBC0D0" w14:textId="6D3A6CE6" w:rsidR="00915809" w:rsidRDefault="00915809" w:rsidP="00FE41B0">
            <w:pPr>
              <w:spacing w:line="240" w:lineRule="auto"/>
              <w:outlineLvl w:val="0"/>
              <w:rPr>
                <w:rFonts w:cs="Arial"/>
                <w:b/>
                <w:bCs/>
                <w:kern w:val="32"/>
                <w:szCs w:val="22"/>
                <w:lang w:val="en-GB"/>
              </w:rPr>
            </w:pPr>
          </w:p>
          <w:p w14:paraId="3480AF99" w14:textId="1615EF48" w:rsidR="00915809" w:rsidRDefault="00915809" w:rsidP="00FE41B0">
            <w:pPr>
              <w:spacing w:line="240" w:lineRule="auto"/>
              <w:outlineLvl w:val="0"/>
              <w:rPr>
                <w:rFonts w:cs="Arial"/>
                <w:b/>
                <w:bCs/>
                <w:kern w:val="32"/>
                <w:szCs w:val="22"/>
                <w:lang w:val="en-GB"/>
              </w:rPr>
            </w:pPr>
            <w:r>
              <w:rPr>
                <w:rFonts w:cs="Arial"/>
                <w:b/>
                <w:bCs/>
                <w:noProof/>
                <w:kern w:val="32"/>
                <w:szCs w:val="22"/>
                <w:lang w:val="en-US"/>
              </w:rPr>
              <mc:AlternateContent>
                <mc:Choice Requires="wps">
                  <w:drawing>
                    <wp:anchor distT="0" distB="0" distL="114300" distR="114300" simplePos="0" relativeHeight="251656192" behindDoc="0" locked="0" layoutInCell="1" allowOverlap="1" wp14:anchorId="763A405E" wp14:editId="6289665C">
                      <wp:simplePos x="0" y="0"/>
                      <wp:positionH relativeFrom="column">
                        <wp:posOffset>21590</wp:posOffset>
                      </wp:positionH>
                      <wp:positionV relativeFrom="paragraph">
                        <wp:posOffset>76200</wp:posOffset>
                      </wp:positionV>
                      <wp:extent cx="5532120" cy="1173480"/>
                      <wp:effectExtent l="0" t="0" r="0" b="7620"/>
                      <wp:wrapNone/>
                      <wp:docPr id="1310259272" name="Text Box 1"/>
                      <wp:cNvGraphicFramePr/>
                      <a:graphic xmlns:a="http://schemas.openxmlformats.org/drawingml/2006/main">
                        <a:graphicData uri="http://schemas.microsoft.com/office/word/2010/wordprocessingShape">
                          <wps:wsp>
                            <wps:cNvSpPr txBox="1"/>
                            <wps:spPr>
                              <a:xfrm>
                                <a:off x="0" y="0"/>
                                <a:ext cx="5532120" cy="1173480"/>
                              </a:xfrm>
                              <a:prstGeom prst="rect">
                                <a:avLst/>
                              </a:prstGeom>
                              <a:solidFill>
                                <a:schemeClr val="lt1"/>
                              </a:solidFill>
                              <a:ln w="6350">
                                <a:noFill/>
                              </a:ln>
                            </wps:spPr>
                            <wps:txbx>
                              <w:txbxContent>
                                <w:p w14:paraId="19D7AC66" w14:textId="118679E6" w:rsidR="002852CD" w:rsidRPr="003B012F" w:rsidRDefault="002852CD" w:rsidP="002852CD">
                                  <w:pPr>
                                    <w:pStyle w:val="PlainText"/>
                                    <w:spacing w:line="240" w:lineRule="auto"/>
                                    <w:rPr>
                                      <w:rFonts w:ascii="Arial" w:hAnsi="Arial" w:cs="Arial"/>
                                      <w:iCs/>
                                      <w:sz w:val="24"/>
                                      <w:szCs w:val="24"/>
                                    </w:rPr>
                                  </w:pPr>
                                  <w:r w:rsidRPr="003B012F">
                                    <w:rPr>
                                      <w:rFonts w:ascii="Arial" w:hAnsi="Arial" w:cs="Arial"/>
                                      <w:b/>
                                      <w:bCs/>
                                      <w:iCs/>
                                      <w:sz w:val="24"/>
                                      <w:szCs w:val="24"/>
                                    </w:rPr>
                                    <w:t>Delivered</w:t>
                                  </w:r>
                                  <w:r w:rsidRPr="003B012F">
                                    <w:rPr>
                                      <w:rFonts w:ascii="Arial" w:hAnsi="Arial" w:cs="Arial"/>
                                      <w:iCs/>
                                      <w:sz w:val="24"/>
                                      <w:szCs w:val="24"/>
                                    </w:rPr>
                                    <w:t xml:space="preserve"> :This judgment </w:t>
                                  </w:r>
                                  <w:r>
                                    <w:rPr>
                                      <w:rFonts w:ascii="Arial" w:hAnsi="Arial" w:cs="Arial"/>
                                      <w:iCs/>
                                      <w:sz w:val="24"/>
                                      <w:szCs w:val="24"/>
                                    </w:rPr>
                                    <w:t>was handed down electronically by circulation to the parties’ legal representatives</w:t>
                                  </w:r>
                                  <w:r w:rsidRPr="003B012F">
                                    <w:rPr>
                                      <w:rFonts w:ascii="Arial" w:hAnsi="Arial" w:cs="Arial"/>
                                      <w:iCs/>
                                      <w:sz w:val="24"/>
                                      <w:szCs w:val="24"/>
                                    </w:rPr>
                                    <w:t xml:space="preserve"> by e-mail</w:t>
                                  </w:r>
                                  <w:r>
                                    <w:rPr>
                                      <w:rFonts w:ascii="Arial" w:hAnsi="Arial" w:cs="Arial"/>
                                      <w:iCs/>
                                      <w:sz w:val="24"/>
                                      <w:szCs w:val="24"/>
                                    </w:rPr>
                                    <w:t xml:space="preserve"> and</w:t>
                                  </w:r>
                                  <w:r w:rsidRPr="003B012F">
                                    <w:rPr>
                                      <w:rFonts w:ascii="Arial" w:hAnsi="Arial" w:cs="Arial"/>
                                      <w:iCs/>
                                      <w:sz w:val="24"/>
                                      <w:szCs w:val="24"/>
                                    </w:rPr>
                                    <w:t xml:space="preserve"> uploaded on </w:t>
                                  </w:r>
                                  <w:r>
                                    <w:rPr>
                                      <w:rFonts w:ascii="Arial" w:hAnsi="Arial" w:cs="Arial"/>
                                      <w:iCs/>
                                      <w:sz w:val="24"/>
                                      <w:szCs w:val="24"/>
                                    </w:rPr>
                                    <w:t>c</w:t>
                                  </w:r>
                                  <w:r w:rsidRPr="003B012F">
                                    <w:rPr>
                                      <w:rFonts w:ascii="Arial" w:hAnsi="Arial" w:cs="Arial"/>
                                      <w:iCs/>
                                      <w:sz w:val="24"/>
                                      <w:szCs w:val="24"/>
                                    </w:rPr>
                                    <w:t xml:space="preserve">aselines </w:t>
                                  </w:r>
                                  <w:r>
                                    <w:rPr>
                                      <w:rFonts w:ascii="Arial" w:hAnsi="Arial" w:cs="Arial"/>
                                      <w:iCs/>
                                      <w:sz w:val="24"/>
                                      <w:szCs w:val="24"/>
                                    </w:rPr>
                                    <w:t>electronic platform.</w:t>
                                  </w:r>
                                  <w:r w:rsidRPr="003B012F">
                                    <w:rPr>
                                      <w:rFonts w:ascii="Arial" w:hAnsi="Arial" w:cs="Arial"/>
                                      <w:iCs/>
                                      <w:sz w:val="24"/>
                                      <w:szCs w:val="24"/>
                                    </w:rPr>
                                    <w:t xml:space="preserve"> The date </w:t>
                                  </w:r>
                                  <w:r>
                                    <w:rPr>
                                      <w:rFonts w:ascii="Arial" w:hAnsi="Arial" w:cs="Arial"/>
                                      <w:iCs/>
                                      <w:sz w:val="24"/>
                                      <w:szCs w:val="24"/>
                                    </w:rPr>
                                    <w:t>for hand-down is</w:t>
                                  </w:r>
                                  <w:r w:rsidRPr="003B012F">
                                    <w:rPr>
                                      <w:rFonts w:ascii="Arial" w:hAnsi="Arial" w:cs="Arial"/>
                                      <w:iCs/>
                                      <w:sz w:val="24"/>
                                      <w:szCs w:val="24"/>
                                    </w:rPr>
                                    <w:t xml:space="preserve"> deemed to </w:t>
                                  </w:r>
                                  <w:r w:rsidRPr="009A086F">
                                    <w:rPr>
                                      <w:rFonts w:ascii="Arial" w:hAnsi="Arial" w:cs="Arial"/>
                                      <w:iCs/>
                                      <w:sz w:val="24"/>
                                      <w:szCs w:val="24"/>
                                    </w:rPr>
                                    <w:t xml:space="preserve">be  </w:t>
                                  </w:r>
                                  <w:r w:rsidR="00295619">
                                    <w:rPr>
                                      <w:rFonts w:ascii="Arial" w:hAnsi="Arial" w:cs="Arial"/>
                                      <w:iCs/>
                                      <w:sz w:val="24"/>
                                      <w:szCs w:val="24"/>
                                    </w:rPr>
                                    <w:t xml:space="preserve">16 </w:t>
                                  </w:r>
                                  <w:r>
                                    <w:rPr>
                                      <w:rFonts w:ascii="Arial" w:hAnsi="Arial" w:cs="Arial"/>
                                      <w:iCs/>
                                      <w:sz w:val="24"/>
                                      <w:szCs w:val="24"/>
                                    </w:rPr>
                                    <w:t>August</w:t>
                                  </w:r>
                                  <w:r w:rsidRPr="009A086F">
                                    <w:rPr>
                                      <w:rFonts w:ascii="Arial" w:hAnsi="Arial" w:cs="Arial"/>
                                      <w:iCs/>
                                      <w:sz w:val="24"/>
                                      <w:szCs w:val="24"/>
                                    </w:rPr>
                                    <w:t xml:space="preserve"> 2023.</w:t>
                                  </w:r>
                                </w:p>
                                <w:p w14:paraId="54EC1939" w14:textId="77777777" w:rsidR="00915809" w:rsidRPr="003B012F" w:rsidRDefault="00915809" w:rsidP="00915809">
                                  <w:pPr>
                                    <w:pStyle w:val="PlainText"/>
                                    <w:spacing w:line="240" w:lineRule="auto"/>
                                    <w:rPr>
                                      <w:rFonts w:ascii="Arial" w:hAnsi="Arial" w:cs="Arial"/>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A405E" id="Text Box 1" o:spid="_x0000_s1027" type="#_x0000_t202" style="position:absolute;margin-left:1.7pt;margin-top:6pt;width:435.6pt;height:92.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" fillcolor="white [3201]" stroked="f" strokeweight=".5pt">
                      <v:textbox>
                        <w:txbxContent>
                          <w:p w14:paraId="19D7AC66" w14:textId="118679E6" w:rsidR="002852CD" w:rsidRPr="003B012F" w:rsidRDefault="002852CD" w:rsidP="002852CD">
                            <w:pPr>
                              <w:pStyle w:val="PlainText"/>
                              <w:spacing w:line="240" w:lineRule="auto"/>
                              <w:rPr>
                                <w:rFonts w:ascii="Arial" w:hAnsi="Arial" w:cs="Arial"/>
                                <w:iCs/>
                                <w:sz w:val="24"/>
                                <w:szCs w:val="24"/>
                              </w:rPr>
                            </w:pPr>
                            <w:r w:rsidRPr="003B012F">
                              <w:rPr>
                                <w:rFonts w:ascii="Arial" w:hAnsi="Arial" w:cs="Arial"/>
                                <w:b/>
                                <w:bCs/>
                                <w:iCs/>
                                <w:sz w:val="24"/>
                                <w:szCs w:val="24"/>
                              </w:rPr>
                              <w:t>Delivered</w:t>
                            </w:r>
                            <w:r w:rsidRPr="003B012F">
                              <w:rPr>
                                <w:rFonts w:ascii="Arial" w:hAnsi="Arial" w:cs="Arial"/>
                                <w:iCs/>
                                <w:sz w:val="24"/>
                                <w:szCs w:val="24"/>
                              </w:rPr>
                              <w:t xml:space="preserve"> :This judgment </w:t>
                            </w:r>
                            <w:r>
                              <w:rPr>
                                <w:rFonts w:ascii="Arial" w:hAnsi="Arial" w:cs="Arial"/>
                                <w:iCs/>
                                <w:sz w:val="24"/>
                                <w:szCs w:val="24"/>
                              </w:rPr>
                              <w:t>was handed down electronically by circulation to the parties’ legal representatives</w:t>
                            </w:r>
                            <w:r w:rsidRPr="003B012F">
                              <w:rPr>
                                <w:rFonts w:ascii="Arial" w:hAnsi="Arial" w:cs="Arial"/>
                                <w:iCs/>
                                <w:sz w:val="24"/>
                                <w:szCs w:val="24"/>
                              </w:rPr>
                              <w:t xml:space="preserve"> by e-mail</w:t>
                            </w:r>
                            <w:r>
                              <w:rPr>
                                <w:rFonts w:ascii="Arial" w:hAnsi="Arial" w:cs="Arial"/>
                                <w:iCs/>
                                <w:sz w:val="24"/>
                                <w:szCs w:val="24"/>
                              </w:rPr>
                              <w:t xml:space="preserve"> and</w:t>
                            </w:r>
                            <w:r w:rsidRPr="003B012F">
                              <w:rPr>
                                <w:rFonts w:ascii="Arial" w:hAnsi="Arial" w:cs="Arial"/>
                                <w:iCs/>
                                <w:sz w:val="24"/>
                                <w:szCs w:val="24"/>
                              </w:rPr>
                              <w:t xml:space="preserve"> uploaded on </w:t>
                            </w:r>
                            <w:r>
                              <w:rPr>
                                <w:rFonts w:ascii="Arial" w:hAnsi="Arial" w:cs="Arial"/>
                                <w:iCs/>
                                <w:sz w:val="24"/>
                                <w:szCs w:val="24"/>
                              </w:rPr>
                              <w:t>c</w:t>
                            </w:r>
                            <w:r w:rsidRPr="003B012F">
                              <w:rPr>
                                <w:rFonts w:ascii="Arial" w:hAnsi="Arial" w:cs="Arial"/>
                                <w:iCs/>
                                <w:sz w:val="24"/>
                                <w:szCs w:val="24"/>
                              </w:rPr>
                              <w:t xml:space="preserve">aselines </w:t>
                            </w:r>
                            <w:r>
                              <w:rPr>
                                <w:rFonts w:ascii="Arial" w:hAnsi="Arial" w:cs="Arial"/>
                                <w:iCs/>
                                <w:sz w:val="24"/>
                                <w:szCs w:val="24"/>
                              </w:rPr>
                              <w:t>electronic platform.</w:t>
                            </w:r>
                            <w:r w:rsidRPr="003B012F">
                              <w:rPr>
                                <w:rFonts w:ascii="Arial" w:hAnsi="Arial" w:cs="Arial"/>
                                <w:iCs/>
                                <w:sz w:val="24"/>
                                <w:szCs w:val="24"/>
                              </w:rPr>
                              <w:t xml:space="preserve"> The date </w:t>
                            </w:r>
                            <w:r>
                              <w:rPr>
                                <w:rFonts w:ascii="Arial" w:hAnsi="Arial" w:cs="Arial"/>
                                <w:iCs/>
                                <w:sz w:val="24"/>
                                <w:szCs w:val="24"/>
                              </w:rPr>
                              <w:t>for hand-down is</w:t>
                            </w:r>
                            <w:r w:rsidRPr="003B012F">
                              <w:rPr>
                                <w:rFonts w:ascii="Arial" w:hAnsi="Arial" w:cs="Arial"/>
                                <w:iCs/>
                                <w:sz w:val="24"/>
                                <w:szCs w:val="24"/>
                              </w:rPr>
                              <w:t xml:space="preserve"> deemed to </w:t>
                            </w:r>
                            <w:r w:rsidRPr="009A086F">
                              <w:rPr>
                                <w:rFonts w:ascii="Arial" w:hAnsi="Arial" w:cs="Arial"/>
                                <w:iCs/>
                                <w:sz w:val="24"/>
                                <w:szCs w:val="24"/>
                              </w:rPr>
                              <w:t xml:space="preserve">be  </w:t>
                            </w:r>
                            <w:r w:rsidR="00295619">
                              <w:rPr>
                                <w:rFonts w:ascii="Arial" w:hAnsi="Arial" w:cs="Arial"/>
                                <w:iCs/>
                                <w:sz w:val="24"/>
                                <w:szCs w:val="24"/>
                              </w:rPr>
                              <w:t xml:space="preserve">16 </w:t>
                            </w:r>
                            <w:r>
                              <w:rPr>
                                <w:rFonts w:ascii="Arial" w:hAnsi="Arial" w:cs="Arial"/>
                                <w:iCs/>
                                <w:sz w:val="24"/>
                                <w:szCs w:val="24"/>
                              </w:rPr>
                              <w:t>August</w:t>
                            </w:r>
                            <w:r w:rsidRPr="009A086F">
                              <w:rPr>
                                <w:rFonts w:ascii="Arial" w:hAnsi="Arial" w:cs="Arial"/>
                                <w:iCs/>
                                <w:sz w:val="24"/>
                                <w:szCs w:val="24"/>
                              </w:rPr>
                              <w:t xml:space="preserve"> 2023.</w:t>
                            </w:r>
                          </w:p>
                          <w:p w14:paraId="54EC1939" w14:textId="77777777" w:rsidR="00915809" w:rsidRPr="003B012F" w:rsidRDefault="00915809" w:rsidP="00915809">
                            <w:pPr>
                              <w:pStyle w:val="PlainText"/>
                              <w:spacing w:line="240" w:lineRule="auto"/>
                              <w:rPr>
                                <w:rFonts w:ascii="Arial" w:hAnsi="Arial" w:cs="Arial"/>
                                <w:iCs/>
                                <w:sz w:val="24"/>
                                <w:szCs w:val="24"/>
                              </w:rPr>
                            </w:pPr>
                          </w:p>
                        </w:txbxContent>
                      </v:textbox>
                    </v:shape>
                  </w:pict>
                </mc:Fallback>
              </mc:AlternateContent>
            </w:r>
            <w:r>
              <w:rPr>
                <w:rFonts w:cs="Arial"/>
                <w:b/>
                <w:bCs/>
                <w:kern w:val="32"/>
                <w:szCs w:val="22"/>
                <w:lang w:val="en-GB"/>
              </w:rPr>
              <w:t xml:space="preserve"> </w:t>
            </w:r>
          </w:p>
          <w:p w14:paraId="47DD57B9" w14:textId="77777777" w:rsidR="00915809" w:rsidRDefault="00915809" w:rsidP="00FE41B0">
            <w:pPr>
              <w:spacing w:line="240" w:lineRule="auto"/>
              <w:outlineLvl w:val="0"/>
              <w:rPr>
                <w:rFonts w:cs="Arial"/>
                <w:b/>
                <w:bCs/>
                <w:kern w:val="32"/>
                <w:szCs w:val="22"/>
                <w:lang w:val="en-GB"/>
              </w:rPr>
            </w:pPr>
          </w:p>
          <w:p w14:paraId="117B3791" w14:textId="39B1D3A5" w:rsidR="00915809" w:rsidRDefault="00915809" w:rsidP="00FE41B0">
            <w:pPr>
              <w:spacing w:line="240" w:lineRule="auto"/>
              <w:outlineLvl w:val="0"/>
              <w:rPr>
                <w:rFonts w:cs="Arial"/>
                <w:b/>
                <w:bCs/>
                <w:kern w:val="32"/>
                <w:szCs w:val="22"/>
                <w:lang w:val="en-GB"/>
              </w:rPr>
            </w:pPr>
          </w:p>
          <w:p w14:paraId="3F0F639B" w14:textId="68BD45E1" w:rsidR="00915809" w:rsidRDefault="00915809" w:rsidP="00FE41B0">
            <w:pPr>
              <w:spacing w:line="240" w:lineRule="auto"/>
              <w:outlineLvl w:val="0"/>
              <w:rPr>
                <w:rFonts w:cs="Arial"/>
                <w:b/>
                <w:bCs/>
                <w:kern w:val="32"/>
                <w:szCs w:val="22"/>
                <w:lang w:val="en-GB"/>
              </w:rPr>
            </w:pPr>
          </w:p>
          <w:p w14:paraId="4C6D1869" w14:textId="77777777" w:rsidR="00915809" w:rsidRDefault="00915809" w:rsidP="00FE41B0">
            <w:pPr>
              <w:spacing w:line="240" w:lineRule="auto"/>
              <w:outlineLvl w:val="0"/>
              <w:rPr>
                <w:rFonts w:cs="Arial"/>
                <w:b/>
                <w:bCs/>
                <w:kern w:val="32"/>
                <w:szCs w:val="22"/>
                <w:lang w:val="en-GB"/>
              </w:rPr>
            </w:pPr>
          </w:p>
          <w:p w14:paraId="104E4B97" w14:textId="4361AE2C" w:rsidR="00915809" w:rsidRDefault="00915809" w:rsidP="00FE41B0">
            <w:pPr>
              <w:spacing w:line="240" w:lineRule="auto"/>
              <w:outlineLvl w:val="0"/>
              <w:rPr>
                <w:rFonts w:cs="Arial"/>
                <w:b/>
                <w:bCs/>
                <w:kern w:val="32"/>
                <w:szCs w:val="22"/>
                <w:lang w:val="en-GB"/>
              </w:rPr>
            </w:pPr>
          </w:p>
          <w:p w14:paraId="26B6925C" w14:textId="76300911" w:rsidR="00915809" w:rsidRPr="006B04C9" w:rsidRDefault="00915809" w:rsidP="00FE41B0">
            <w:pPr>
              <w:spacing w:line="240" w:lineRule="auto"/>
              <w:outlineLvl w:val="0"/>
              <w:rPr>
                <w:rFonts w:cs="Arial"/>
                <w:b/>
                <w:bCs/>
                <w:kern w:val="32"/>
                <w:szCs w:val="22"/>
                <w:lang w:val="en-GB"/>
              </w:rPr>
            </w:pPr>
          </w:p>
        </w:tc>
        <w:tc>
          <w:tcPr>
            <w:tcW w:w="3579" w:type="dxa"/>
          </w:tcPr>
          <w:p w14:paraId="4519973B" w14:textId="62137715" w:rsidR="00915809" w:rsidRPr="006B04C9" w:rsidRDefault="00CB7897" w:rsidP="00FE41B0">
            <w:pPr>
              <w:spacing w:line="240" w:lineRule="auto"/>
              <w:jc w:val="right"/>
              <w:outlineLvl w:val="0"/>
              <w:rPr>
                <w:rFonts w:cs="Arial"/>
                <w:kern w:val="32"/>
                <w:szCs w:val="22"/>
                <w:lang w:val="en-GB"/>
              </w:rPr>
            </w:pPr>
            <w:r>
              <w:rPr>
                <w:rFonts w:cs="Arial"/>
                <w:kern w:val="32"/>
                <w:szCs w:val="22"/>
                <w:lang w:val="en-GB"/>
              </w:rPr>
              <w:t xml:space="preserve"> </w:t>
            </w:r>
            <w:r w:rsidR="00915809">
              <w:rPr>
                <w:rFonts w:cs="Arial"/>
                <w:kern w:val="32"/>
                <w:szCs w:val="22"/>
                <w:lang w:val="en-GB"/>
              </w:rPr>
              <w:t>RESPONDENT</w:t>
            </w:r>
          </w:p>
        </w:tc>
      </w:tr>
      <w:tr w:rsidR="00915809" w:rsidRPr="006B04C9" w14:paraId="542977FD" w14:textId="77777777" w:rsidTr="00FE41B0">
        <w:trPr>
          <w:trHeight w:val="60"/>
        </w:trPr>
        <w:tc>
          <w:tcPr>
            <w:tcW w:w="5572" w:type="dxa"/>
          </w:tcPr>
          <w:p w14:paraId="7B07719F" w14:textId="281884E2" w:rsidR="00915809" w:rsidRPr="006B04C9" w:rsidRDefault="00915809" w:rsidP="00FE41B0">
            <w:pPr>
              <w:spacing w:line="240" w:lineRule="auto"/>
              <w:outlineLvl w:val="0"/>
              <w:rPr>
                <w:rFonts w:cs="Arial"/>
                <w:b/>
                <w:bCs/>
                <w:kern w:val="32"/>
                <w:szCs w:val="22"/>
                <w:lang w:val="en-GB"/>
              </w:rPr>
            </w:pPr>
          </w:p>
        </w:tc>
        <w:tc>
          <w:tcPr>
            <w:tcW w:w="3579" w:type="dxa"/>
          </w:tcPr>
          <w:p w14:paraId="679EDA4C" w14:textId="77777777" w:rsidR="00915809" w:rsidRPr="006B04C9" w:rsidRDefault="00915809" w:rsidP="00FE41B0">
            <w:pPr>
              <w:spacing w:line="240" w:lineRule="auto"/>
              <w:outlineLvl w:val="0"/>
              <w:rPr>
                <w:rFonts w:cs="Arial"/>
                <w:kern w:val="32"/>
                <w:szCs w:val="22"/>
                <w:lang w:val="en-GB"/>
              </w:rPr>
            </w:pPr>
          </w:p>
        </w:tc>
      </w:tr>
    </w:tbl>
    <w:p w14:paraId="11D2F7F7" w14:textId="1201F98E" w:rsidR="00915809" w:rsidRPr="00030733" w:rsidRDefault="001F0157" w:rsidP="00945C44">
      <w:pPr>
        <w:pBdr>
          <w:top w:val="single" w:sz="12" w:space="31" w:color="auto"/>
          <w:bottom w:val="single" w:sz="12" w:space="1" w:color="auto"/>
        </w:pBdr>
        <w:tabs>
          <w:tab w:val="left" w:pos="1980"/>
          <w:tab w:val="center" w:pos="4513"/>
        </w:tabs>
        <w:spacing w:before="240" w:after="240"/>
        <w:jc w:val="center"/>
        <w:rPr>
          <w:rFonts w:eastAsia="Calibri" w:cs="Arial"/>
          <w:b/>
        </w:rPr>
      </w:pPr>
      <w:r>
        <w:rPr>
          <w:rFonts w:eastAsia="Calibri" w:cs="Arial"/>
          <w:b/>
        </w:rPr>
        <w:lastRenderedPageBreak/>
        <w:t xml:space="preserve">JUDGMENT </w:t>
      </w:r>
    </w:p>
    <w:p w14:paraId="74A74483" w14:textId="4DB827F5" w:rsidR="001F0157" w:rsidRDefault="00915809" w:rsidP="00915809">
      <w:pPr>
        <w:pStyle w:val="WLGLevel1"/>
        <w:numPr>
          <w:ilvl w:val="0"/>
          <w:numId w:val="0"/>
        </w:numPr>
        <w:spacing w:before="0" w:after="0" w:line="360" w:lineRule="auto"/>
        <w:rPr>
          <w:b/>
          <w:bCs/>
          <w:u w:val="single"/>
        </w:rPr>
      </w:pPr>
      <w:r>
        <w:rPr>
          <w:b/>
          <w:bCs/>
          <w:u w:val="single"/>
        </w:rPr>
        <w:t>YENDE</w:t>
      </w:r>
      <w:r w:rsidR="001F0157">
        <w:rPr>
          <w:b/>
          <w:bCs/>
          <w:u w:val="single"/>
        </w:rPr>
        <w:t xml:space="preserve"> AJ</w:t>
      </w:r>
    </w:p>
    <w:p w14:paraId="7622FD3F" w14:textId="77777777" w:rsidR="001F0157" w:rsidRDefault="001F0157" w:rsidP="00915809">
      <w:pPr>
        <w:pStyle w:val="WLGLevel1"/>
        <w:numPr>
          <w:ilvl w:val="0"/>
          <w:numId w:val="0"/>
        </w:numPr>
        <w:spacing w:before="0" w:after="0" w:line="360" w:lineRule="auto"/>
        <w:rPr>
          <w:b/>
          <w:bCs/>
          <w:u w:val="single"/>
        </w:rPr>
      </w:pPr>
    </w:p>
    <w:p w14:paraId="4C006706" w14:textId="3CE32CE3" w:rsidR="00915809" w:rsidRDefault="00915809" w:rsidP="00945C44">
      <w:pPr>
        <w:pStyle w:val="WLGLevel1"/>
        <w:numPr>
          <w:ilvl w:val="0"/>
          <w:numId w:val="0"/>
        </w:numPr>
        <w:spacing w:before="0" w:after="0" w:line="360" w:lineRule="auto"/>
        <w:rPr>
          <w:b/>
          <w:bCs/>
          <w:u w:val="single"/>
        </w:rPr>
      </w:pPr>
      <w:r>
        <w:rPr>
          <w:b/>
          <w:bCs/>
          <w:u w:val="single"/>
        </w:rPr>
        <w:t xml:space="preserve">NATURE OF THE PROCEEDINGS </w:t>
      </w:r>
    </w:p>
    <w:p w14:paraId="46913AAD" w14:textId="77777777" w:rsidR="00945C44" w:rsidRDefault="00945C44" w:rsidP="00945C44">
      <w:pPr>
        <w:pStyle w:val="WLGLevel1"/>
        <w:numPr>
          <w:ilvl w:val="0"/>
          <w:numId w:val="0"/>
        </w:numPr>
        <w:spacing w:before="0" w:after="0" w:line="360" w:lineRule="auto"/>
        <w:rPr>
          <w:b/>
          <w:bCs/>
          <w:u w:val="single"/>
        </w:rPr>
      </w:pPr>
    </w:p>
    <w:p w14:paraId="467D3C2D" w14:textId="33F2A005" w:rsidR="00915809" w:rsidRDefault="00915809" w:rsidP="00915809">
      <w:pPr>
        <w:pStyle w:val="WLGLevel1"/>
        <w:numPr>
          <w:ilvl w:val="0"/>
          <w:numId w:val="0"/>
        </w:numPr>
        <w:spacing w:line="360" w:lineRule="auto"/>
      </w:pPr>
      <w:r w:rsidRPr="008047F7">
        <w:t>[1]</w:t>
      </w:r>
      <w:r>
        <w:t xml:space="preserve"> </w:t>
      </w:r>
      <w:r w:rsidR="009B3825">
        <w:t xml:space="preserve">This is an opposed application for the rescission of </w:t>
      </w:r>
      <w:r w:rsidR="00620E57">
        <w:t>a</w:t>
      </w:r>
      <w:r w:rsidR="009B3825">
        <w:t xml:space="preserve"> default judgment granted by   Swanepoel</w:t>
      </w:r>
      <w:r w:rsidR="00CB38EB">
        <w:t xml:space="preserve"> Acting Judge</w:t>
      </w:r>
      <w:r w:rsidR="009B3825">
        <w:t xml:space="preserve"> on 19 August 2019. The application is in terms of Rule 42(1)(a) of the High Court Rules</w:t>
      </w:r>
      <w:r w:rsidR="00954270">
        <w:t>, which provides that a court may, in addition</w:t>
      </w:r>
      <w:r w:rsidR="001A3EE8">
        <w:t xml:space="preserve"> to any other powers it may have, </w:t>
      </w:r>
      <w:r w:rsidR="001A3EE8" w:rsidRPr="001A3EE8">
        <w:rPr>
          <w:i/>
          <w:iCs/>
        </w:rPr>
        <w:t>mero motu</w:t>
      </w:r>
      <w:r w:rsidR="001A3EE8">
        <w:t xml:space="preserve"> </w:t>
      </w:r>
      <w:r w:rsidR="009B3825">
        <w:t xml:space="preserve"> </w:t>
      </w:r>
      <w:r w:rsidR="00D102ED">
        <w:t>or upon the application of any party affected, rescind</w:t>
      </w:r>
      <w:r w:rsidR="00E43B93">
        <w:t>,</w:t>
      </w:r>
      <w:r w:rsidR="007500DE">
        <w:t xml:space="preserve"> or vary an order or judgment erroneously sought or erroneously </w:t>
      </w:r>
      <w:r w:rsidR="006437D3">
        <w:t>granted in the absence of any party affected thereby.</w:t>
      </w:r>
      <w:r w:rsidR="00862AC3">
        <w:t xml:space="preserve"> </w:t>
      </w:r>
      <w:r w:rsidR="009B3825">
        <w:t>The applicant contend</w:t>
      </w:r>
      <w:r w:rsidR="00862AC3">
        <w:t>s</w:t>
      </w:r>
      <w:r w:rsidR="009B3825">
        <w:t xml:space="preserve"> that the judgment</w:t>
      </w:r>
      <w:r w:rsidR="00D16F2C">
        <w:t xml:space="preserve"> was erroneously sought or erroneously </w:t>
      </w:r>
      <w:r w:rsidR="008A250F">
        <w:t>granted.</w:t>
      </w:r>
      <w:r w:rsidR="009B3825">
        <w:t xml:space="preserve"> </w:t>
      </w:r>
      <w:r w:rsidR="004B07B8">
        <w:t xml:space="preserve">Generally, an order will be </w:t>
      </w:r>
      <w:r w:rsidR="00F323F3">
        <w:t xml:space="preserve">erroneously granted if there existed at the time of its issue, a fact </w:t>
      </w:r>
      <w:r w:rsidR="0017388A">
        <w:t xml:space="preserve">of which the judge was unaware, which would have precluded the granting of the judgment </w:t>
      </w:r>
      <w:r w:rsidR="00100B69">
        <w:t>and which would have induced the judge, if aware of it, not to grant the judgment</w:t>
      </w:r>
      <w:r w:rsidR="00E32B29">
        <w:rPr>
          <w:rStyle w:val="FootnoteReference"/>
        </w:rPr>
        <w:footnoteReference w:id="1"/>
      </w:r>
      <w:r w:rsidR="003F4D9F">
        <w:t>; or if there was an irregularity in the proceedings</w:t>
      </w:r>
      <w:r w:rsidR="00CF2DD6">
        <w:rPr>
          <w:rStyle w:val="FootnoteReference"/>
        </w:rPr>
        <w:footnoteReference w:id="2"/>
      </w:r>
      <w:r w:rsidR="003F4D9F">
        <w:t>.</w:t>
      </w:r>
    </w:p>
    <w:p w14:paraId="0586BDCA" w14:textId="221FBB53" w:rsidR="00265982" w:rsidRPr="00A42F8B" w:rsidRDefault="00915809" w:rsidP="00F35B12">
      <w:pPr>
        <w:jc w:val="both"/>
        <w:outlineLvl w:val="0"/>
      </w:pPr>
      <w:r>
        <w:t>[2] The applicant is</w:t>
      </w:r>
      <w:r w:rsidR="0093743F">
        <w:t xml:space="preserve"> </w:t>
      </w:r>
      <w:r w:rsidR="0093743F">
        <w:rPr>
          <w:rFonts w:cs="Arial"/>
          <w:b/>
          <w:bCs/>
          <w:kern w:val="32"/>
          <w:szCs w:val="22"/>
          <w:lang w:val="en-GB"/>
        </w:rPr>
        <w:t>MOTSEPE BANAKILE PEAR TETE</w:t>
      </w:r>
      <w:r>
        <w:t xml:space="preserve"> </w:t>
      </w:r>
      <w:r w:rsidR="00491812">
        <w:t xml:space="preserve">an adult female </w:t>
      </w:r>
      <w:r w:rsidR="00481AF0" w:rsidRPr="00481AF0">
        <w:rPr>
          <w:b/>
          <w:bCs/>
        </w:rPr>
        <w:t>business</w:t>
      </w:r>
      <w:r w:rsidR="00481AF0">
        <w:rPr>
          <w:b/>
          <w:bCs/>
        </w:rPr>
        <w:t>woman</w:t>
      </w:r>
      <w:r w:rsidR="006D1398">
        <w:t xml:space="preserve"> residing at no […</w:t>
      </w:r>
      <w:r w:rsidR="0020696A">
        <w:t xml:space="preserve">] </w:t>
      </w:r>
      <w:r w:rsidR="009766C0">
        <w:t>Crescent, Sinoville</w:t>
      </w:r>
      <w:r w:rsidR="0020696A">
        <w:t xml:space="preserve"> Extension </w:t>
      </w:r>
      <w:r w:rsidR="005A10E9">
        <w:t>4, Pretoria, Gauteng Province</w:t>
      </w:r>
      <w:r w:rsidR="00C51FE7">
        <w:t>.</w:t>
      </w:r>
      <w:r w:rsidR="005A10E9">
        <w:t xml:space="preserve"> </w:t>
      </w:r>
    </w:p>
    <w:p w14:paraId="5F403708" w14:textId="0594D61F" w:rsidR="00A4145B" w:rsidRPr="002B50A0" w:rsidRDefault="00915809" w:rsidP="00915809">
      <w:pPr>
        <w:pStyle w:val="WLGLevel1"/>
        <w:numPr>
          <w:ilvl w:val="0"/>
          <w:numId w:val="0"/>
        </w:numPr>
        <w:spacing w:line="360" w:lineRule="auto"/>
        <w:rPr>
          <w:color w:val="000000"/>
        </w:rPr>
      </w:pPr>
      <w:r>
        <w:t>[3]  The respondent is</w:t>
      </w:r>
      <w:r w:rsidR="00E55DF4" w:rsidRPr="002F13AF">
        <w:rPr>
          <w:color w:val="000000"/>
        </w:rPr>
        <w:t xml:space="preserve"> </w:t>
      </w:r>
      <w:r w:rsidR="00E55DF4" w:rsidRPr="002F13AF">
        <w:rPr>
          <w:b/>
          <w:color w:val="000000"/>
        </w:rPr>
        <w:t xml:space="preserve">NEDBANK LIMITED </w:t>
      </w:r>
      <w:r w:rsidR="00E55DF4" w:rsidRPr="002F13AF">
        <w:rPr>
          <w:color w:val="000000"/>
        </w:rPr>
        <w:t>(registration number:</w:t>
      </w:r>
      <w:r w:rsidR="00A4145B">
        <w:rPr>
          <w:color w:val="000000"/>
        </w:rPr>
        <w:t>…..</w:t>
      </w:r>
      <w:r w:rsidR="00E55DF4" w:rsidRPr="002F13AF">
        <w:rPr>
          <w:color w:val="000000"/>
        </w:rPr>
        <w:t>), a duly registered credit provider with registration number: NCRCP 16, a public company duly registered and incorporated in accordance with the Company Laws of the Republic of South Africa; and also trading as a deposit taking institution in terms of the Banks Act,</w:t>
      </w:r>
      <w:r w:rsidR="00E03F65">
        <w:rPr>
          <w:color w:val="000000"/>
        </w:rPr>
        <w:t xml:space="preserve"> </w:t>
      </w:r>
      <w:r w:rsidR="00E55DF4" w:rsidRPr="002F13AF">
        <w:rPr>
          <w:color w:val="000000"/>
        </w:rPr>
        <w:t xml:space="preserve">94 of 1990 (previously the Deposit Taking Institutions Act) and having its principle place of business </w:t>
      </w:r>
      <w:r w:rsidR="00E55DF4" w:rsidRPr="002F13AF">
        <w:rPr>
          <w:color w:val="000000"/>
        </w:rPr>
        <w:lastRenderedPageBreak/>
        <w:t>at Nedbank, 135 Rivonia Campus, 135 Rivonia,</w:t>
      </w:r>
      <w:r w:rsidR="00816CCE">
        <w:rPr>
          <w:color w:val="000000"/>
        </w:rPr>
        <w:t xml:space="preserve"> </w:t>
      </w:r>
      <w:r w:rsidR="00E55DF4" w:rsidRPr="002F13AF">
        <w:rPr>
          <w:color w:val="000000"/>
        </w:rPr>
        <w:t>Sandown,</w:t>
      </w:r>
      <w:r w:rsidR="00816CCE">
        <w:rPr>
          <w:color w:val="000000"/>
        </w:rPr>
        <w:t xml:space="preserve"> </w:t>
      </w:r>
      <w:r w:rsidR="00E55DF4" w:rsidRPr="002F13AF">
        <w:rPr>
          <w:color w:val="000000"/>
        </w:rPr>
        <w:t>Sandton, Johannesburg,</w:t>
      </w:r>
      <w:r w:rsidR="00816CCE">
        <w:rPr>
          <w:color w:val="000000"/>
        </w:rPr>
        <w:t xml:space="preserve"> </w:t>
      </w:r>
      <w:r w:rsidR="00E55DF4" w:rsidRPr="002F13AF">
        <w:rPr>
          <w:color w:val="000000"/>
        </w:rPr>
        <w:t>Gauteng.</w:t>
      </w:r>
    </w:p>
    <w:p w14:paraId="51D4185B" w14:textId="77777777" w:rsidR="00915809" w:rsidRDefault="00915809" w:rsidP="00915809">
      <w:pPr>
        <w:pStyle w:val="WLGLevel1"/>
        <w:numPr>
          <w:ilvl w:val="0"/>
          <w:numId w:val="0"/>
        </w:numPr>
        <w:spacing w:line="360" w:lineRule="auto"/>
        <w:rPr>
          <w:b/>
          <w:bCs/>
        </w:rPr>
      </w:pPr>
      <w:r>
        <w:rPr>
          <w:b/>
          <w:bCs/>
        </w:rPr>
        <w:t>EPHEMERAL</w:t>
      </w:r>
      <w:r w:rsidRPr="005F3E19">
        <w:rPr>
          <w:b/>
          <w:bCs/>
        </w:rPr>
        <w:t xml:space="preserve"> FACTUAL MATRIX </w:t>
      </w:r>
    </w:p>
    <w:p w14:paraId="50B72E14" w14:textId="34F2D8FE" w:rsidR="00915809" w:rsidRDefault="00915809" w:rsidP="00915809">
      <w:pPr>
        <w:pStyle w:val="WLGLevel1"/>
        <w:numPr>
          <w:ilvl w:val="0"/>
          <w:numId w:val="0"/>
        </w:numPr>
        <w:spacing w:line="360" w:lineRule="auto"/>
      </w:pPr>
      <w:r>
        <w:t xml:space="preserve">[4] </w:t>
      </w:r>
      <w:r w:rsidR="00117201">
        <w:t xml:space="preserve">During </w:t>
      </w:r>
      <w:r w:rsidR="00217A6B">
        <w:t xml:space="preserve">or about </w:t>
      </w:r>
      <w:r w:rsidR="00217A6B" w:rsidRPr="00A515ED">
        <w:rPr>
          <w:b/>
          <w:bCs/>
        </w:rPr>
        <w:t>7 December 2015</w:t>
      </w:r>
      <w:r w:rsidR="00217A6B">
        <w:t xml:space="preserve"> the</w:t>
      </w:r>
      <w:r w:rsidR="0042127D">
        <w:t xml:space="preserve"> a</w:t>
      </w:r>
      <w:r w:rsidR="00217A6B">
        <w:t xml:space="preserve">pplicant </w:t>
      </w:r>
      <w:r w:rsidR="00A039E8">
        <w:t xml:space="preserve">(acting personally) </w:t>
      </w:r>
      <w:r w:rsidR="00D62966">
        <w:t xml:space="preserve">and the </w:t>
      </w:r>
      <w:r w:rsidR="0042127D">
        <w:t>r</w:t>
      </w:r>
      <w:r w:rsidR="00D62966">
        <w:t>espondent (represented by a duly authorized official)</w:t>
      </w:r>
      <w:r w:rsidR="007803AA">
        <w:t xml:space="preserve"> concluded</w:t>
      </w:r>
      <w:r w:rsidR="00A06019">
        <w:t xml:space="preserve"> written </w:t>
      </w:r>
      <w:r w:rsidR="000748CF">
        <w:t>a</w:t>
      </w:r>
      <w:r w:rsidR="00A06019">
        <w:t>greement of loan (“the loan agreement “)</w:t>
      </w:r>
      <w:r w:rsidR="005477A6">
        <w:t>.</w:t>
      </w:r>
      <w:r w:rsidR="000378EF">
        <w:t xml:space="preserve">The </w:t>
      </w:r>
      <w:r w:rsidR="000748CF">
        <w:t>a</w:t>
      </w:r>
      <w:r w:rsidR="000378EF">
        <w:t>pplicant’s</w:t>
      </w:r>
      <w:r w:rsidR="00640CB7">
        <w:t xml:space="preserve"> </w:t>
      </w:r>
      <w:r w:rsidR="00457EFF">
        <w:t>indebtedness</w:t>
      </w:r>
      <w:r w:rsidR="00640CB7">
        <w:t xml:space="preserve"> in terms of </w:t>
      </w:r>
      <w:r w:rsidR="00457EFF">
        <w:t xml:space="preserve">home loan agreement </w:t>
      </w:r>
      <w:r w:rsidR="00A778BD">
        <w:t>was secured by registration of a mortgage bond</w:t>
      </w:r>
      <w:r w:rsidR="0083559D">
        <w:t xml:space="preserve"> </w:t>
      </w:r>
      <w:r w:rsidR="006F3DFD">
        <w:t xml:space="preserve">(under mortgage bond </w:t>
      </w:r>
      <w:r w:rsidR="006F3DFD" w:rsidRPr="00A515ED">
        <w:rPr>
          <w:b/>
          <w:bCs/>
        </w:rPr>
        <w:t>B</w:t>
      </w:r>
      <w:r w:rsidR="00381DA1" w:rsidRPr="00A515ED">
        <w:rPr>
          <w:b/>
          <w:bCs/>
        </w:rPr>
        <w:t>4060/2016</w:t>
      </w:r>
      <w:r w:rsidR="00852D09" w:rsidRPr="00A515ED">
        <w:rPr>
          <w:b/>
          <w:bCs/>
        </w:rPr>
        <w:t>)</w:t>
      </w:r>
      <w:r w:rsidR="00852D09">
        <w:t xml:space="preserve"> over certain immovable property with </w:t>
      </w:r>
      <w:r w:rsidR="00446989">
        <w:t>property description:</w:t>
      </w:r>
    </w:p>
    <w:p w14:paraId="09F9E71D" w14:textId="21EA12A3" w:rsidR="005E5991" w:rsidRPr="005D3183" w:rsidRDefault="004B1345" w:rsidP="00915809">
      <w:pPr>
        <w:pStyle w:val="WLGLevel1"/>
        <w:numPr>
          <w:ilvl w:val="0"/>
          <w:numId w:val="0"/>
        </w:numPr>
        <w:spacing w:line="360" w:lineRule="auto"/>
        <w:rPr>
          <w:b/>
          <w:bCs/>
        </w:rPr>
      </w:pPr>
      <w:r w:rsidRPr="005D3183">
        <w:rPr>
          <w:b/>
          <w:bCs/>
        </w:rPr>
        <w:t>[ERF</w:t>
      </w:r>
      <w:r w:rsidR="009F6452" w:rsidRPr="005D3183">
        <w:rPr>
          <w:b/>
          <w:bCs/>
        </w:rPr>
        <w:t>…] SINOVILLE, EXTENSION 4 TOWNSHIP</w:t>
      </w:r>
      <w:r w:rsidR="00F470DE" w:rsidRPr="005D3183">
        <w:rPr>
          <w:b/>
          <w:bCs/>
        </w:rPr>
        <w:t>, REGISTRATION DIVISION J.R; PROVINCE OF GAUTENG.</w:t>
      </w:r>
      <w:r w:rsidR="0057514F" w:rsidRPr="005D3183">
        <w:rPr>
          <w:b/>
          <w:bCs/>
        </w:rPr>
        <w:t xml:space="preserve"> MEASURING </w:t>
      </w:r>
      <w:r w:rsidR="00F71D4D" w:rsidRPr="005D3183">
        <w:rPr>
          <w:b/>
          <w:bCs/>
        </w:rPr>
        <w:t>1020 (ONE THOUSAND AND TWENTY) SQUARE MET</w:t>
      </w:r>
      <w:r w:rsidR="004539E0" w:rsidRPr="005D3183">
        <w:rPr>
          <w:b/>
          <w:bCs/>
        </w:rPr>
        <w:t>R</w:t>
      </w:r>
      <w:r w:rsidR="00F71D4D" w:rsidRPr="005D3183">
        <w:rPr>
          <w:b/>
          <w:bCs/>
        </w:rPr>
        <w:t>ES</w:t>
      </w:r>
      <w:r w:rsidR="000E5D05" w:rsidRPr="005D3183">
        <w:rPr>
          <w:b/>
          <w:bCs/>
        </w:rPr>
        <w:t xml:space="preserve">. </w:t>
      </w:r>
      <w:r w:rsidR="00C45E15" w:rsidRPr="005D3183">
        <w:rPr>
          <w:b/>
          <w:bCs/>
        </w:rPr>
        <w:t>LOCAL AUTHORITY:</w:t>
      </w:r>
      <w:r w:rsidR="00F81935">
        <w:rPr>
          <w:b/>
          <w:bCs/>
        </w:rPr>
        <w:t xml:space="preserve"> </w:t>
      </w:r>
      <w:r w:rsidR="00C45E15" w:rsidRPr="005D3183">
        <w:rPr>
          <w:b/>
          <w:bCs/>
        </w:rPr>
        <w:t>CITY OF TS</w:t>
      </w:r>
      <w:r w:rsidR="005D3183" w:rsidRPr="005D3183">
        <w:rPr>
          <w:b/>
          <w:bCs/>
        </w:rPr>
        <w:t>HWANE METROPOLITAN MUNICIPALITY;</w:t>
      </w:r>
    </w:p>
    <w:p w14:paraId="03036E33" w14:textId="3009961E" w:rsidR="00446989" w:rsidRDefault="005E5991" w:rsidP="00915809">
      <w:pPr>
        <w:pStyle w:val="WLGLevel1"/>
        <w:numPr>
          <w:ilvl w:val="0"/>
          <w:numId w:val="0"/>
        </w:numPr>
        <w:spacing w:line="360" w:lineRule="auto"/>
      </w:pPr>
      <w:r w:rsidRPr="00C5740E">
        <w:rPr>
          <w:b/>
          <w:bCs/>
        </w:rPr>
        <w:t>Held by Deed of Transfer</w:t>
      </w:r>
      <w:r w:rsidR="00092CDA" w:rsidRPr="00C5740E">
        <w:rPr>
          <w:b/>
          <w:bCs/>
        </w:rPr>
        <w:t xml:space="preserve"> number T</w:t>
      </w:r>
      <w:r w:rsidR="00FC61C2" w:rsidRPr="00C5740E">
        <w:rPr>
          <w:b/>
          <w:bCs/>
        </w:rPr>
        <w:t>07</w:t>
      </w:r>
      <w:r w:rsidR="00F577E0" w:rsidRPr="00C5740E">
        <w:rPr>
          <w:b/>
          <w:bCs/>
        </w:rPr>
        <w:t>1</w:t>
      </w:r>
      <w:r w:rsidR="00F577E0">
        <w:rPr>
          <w:b/>
          <w:bCs/>
        </w:rPr>
        <w:t>36/2016</w:t>
      </w:r>
      <w:r w:rsidR="00E92AC6">
        <w:t>, subject to the conditions</w:t>
      </w:r>
      <w:r w:rsidR="00C144E2">
        <w:t xml:space="preserve"> contained therein and especially to the reservation of rights to minerals </w:t>
      </w:r>
      <w:r w:rsidR="00FB3A48">
        <w:t xml:space="preserve">(hereinafter referred to as </w:t>
      </w:r>
      <w:r w:rsidR="00AC474E">
        <w:t>the immovable property.</w:t>
      </w:r>
      <w:r w:rsidR="00174330">
        <w:t xml:space="preserve"> </w:t>
      </w:r>
    </w:p>
    <w:p w14:paraId="24339BB1" w14:textId="722FBEDE" w:rsidR="000F37A5" w:rsidRDefault="00915809" w:rsidP="00915809">
      <w:pPr>
        <w:pStyle w:val="WLGLevel1"/>
        <w:numPr>
          <w:ilvl w:val="0"/>
          <w:numId w:val="0"/>
        </w:numPr>
        <w:spacing w:line="360" w:lineRule="auto"/>
      </w:pPr>
      <w:r>
        <w:t xml:space="preserve">[5] </w:t>
      </w:r>
      <w:r w:rsidR="00D73906">
        <w:t xml:space="preserve">The </w:t>
      </w:r>
      <w:r w:rsidR="00F213B7">
        <w:t>r</w:t>
      </w:r>
      <w:r w:rsidR="00D73906">
        <w:t xml:space="preserve">espondent </w:t>
      </w:r>
      <w:r w:rsidR="001276AD">
        <w:t xml:space="preserve">issued summons against the </w:t>
      </w:r>
      <w:r w:rsidR="00F213B7">
        <w:t>a</w:t>
      </w:r>
      <w:r w:rsidR="001276AD">
        <w:t xml:space="preserve">pplicant </w:t>
      </w:r>
      <w:r w:rsidR="006000D3">
        <w:t>on 2</w:t>
      </w:r>
      <w:r w:rsidR="00040BBE">
        <w:t>3</w:t>
      </w:r>
      <w:r w:rsidR="006000D3">
        <w:t xml:space="preserve"> May 2018, which summons was duly served </w:t>
      </w:r>
      <w:r w:rsidR="0049186C">
        <w:t xml:space="preserve">on the </w:t>
      </w:r>
      <w:r w:rsidR="00F213B7">
        <w:t>a</w:t>
      </w:r>
      <w:r w:rsidR="0049186C">
        <w:t xml:space="preserve">pplicant on </w:t>
      </w:r>
      <w:r w:rsidR="007A167B" w:rsidRPr="007A167B">
        <w:rPr>
          <w:b/>
          <w:bCs/>
        </w:rPr>
        <w:t>5 June 2018</w:t>
      </w:r>
      <w:r w:rsidR="007A167B">
        <w:rPr>
          <w:b/>
          <w:bCs/>
        </w:rPr>
        <w:t>.</w:t>
      </w:r>
      <w:r w:rsidR="006000D3">
        <w:t xml:space="preserve"> </w:t>
      </w:r>
      <w:r w:rsidR="00C340C0">
        <w:t>T</w:t>
      </w:r>
      <w:r w:rsidR="007D637C">
        <w:t>he</w:t>
      </w:r>
      <w:r w:rsidR="007D637C" w:rsidRPr="007D637C">
        <w:rPr>
          <w:i/>
          <w:iCs/>
        </w:rPr>
        <w:t xml:space="preserve"> dies </w:t>
      </w:r>
      <w:r w:rsidR="007D637C">
        <w:t xml:space="preserve">for </w:t>
      </w:r>
      <w:r w:rsidR="00B97159">
        <w:t>entering appearance to defend expired on 19 June 2018</w:t>
      </w:r>
      <w:r w:rsidR="00816A04">
        <w:t xml:space="preserve">. The </w:t>
      </w:r>
      <w:r w:rsidR="00F213B7">
        <w:t>r</w:t>
      </w:r>
      <w:r w:rsidR="00816A04">
        <w:t>espondent</w:t>
      </w:r>
      <w:r w:rsidR="00FD647C">
        <w:t xml:space="preserve"> </w:t>
      </w:r>
      <w:r w:rsidR="00816A04">
        <w:t xml:space="preserve">launched an application for default judgment </w:t>
      </w:r>
      <w:r w:rsidR="002C3099">
        <w:t xml:space="preserve"> and an application in terms of Rule 46A on the 25 September 2018</w:t>
      </w:r>
      <w:r w:rsidR="004E532F">
        <w:t xml:space="preserve">. Owing to repayment </w:t>
      </w:r>
      <w:r w:rsidR="003448D7">
        <w:t>negotiation</w:t>
      </w:r>
      <w:r w:rsidR="004E532F">
        <w:t xml:space="preserve">s </w:t>
      </w:r>
      <w:r w:rsidR="003E3E56">
        <w:t xml:space="preserve">the matter was postponed </w:t>
      </w:r>
      <w:r w:rsidR="003E3E56" w:rsidRPr="003E3E56">
        <w:rPr>
          <w:i/>
          <w:iCs/>
        </w:rPr>
        <w:t>sine die</w:t>
      </w:r>
      <w:r w:rsidR="00CB6B93">
        <w:rPr>
          <w:i/>
          <w:iCs/>
        </w:rPr>
        <w:t>.</w:t>
      </w:r>
      <w:r w:rsidR="00904542" w:rsidRPr="003E3E56">
        <w:rPr>
          <w:i/>
          <w:iCs/>
        </w:rPr>
        <w:t xml:space="preserve"> </w:t>
      </w:r>
      <w:r w:rsidR="00C867B8">
        <w:t xml:space="preserve">On </w:t>
      </w:r>
      <w:r w:rsidR="00A8351B">
        <w:t>16 April 2018 a</w:t>
      </w:r>
      <w:r w:rsidR="00F97E2F">
        <w:t>t the time Section 129 notice was sent</w:t>
      </w:r>
      <w:r w:rsidR="008463AA">
        <w:rPr>
          <w:rStyle w:val="FootnoteReference"/>
        </w:rPr>
        <w:footnoteReference w:id="3"/>
      </w:r>
      <w:r w:rsidR="00414AD7">
        <w:t xml:space="preserve">, the </w:t>
      </w:r>
      <w:r w:rsidR="001E049B">
        <w:t>a</w:t>
      </w:r>
      <w:r w:rsidR="00414AD7">
        <w:t>pplicant was in arrears with instalments in the amount of R 33</w:t>
      </w:r>
      <w:r w:rsidR="00A65FC9">
        <w:t> </w:t>
      </w:r>
      <w:r w:rsidR="00414AD7">
        <w:t>051</w:t>
      </w:r>
      <w:r w:rsidR="00A65FC9">
        <w:t>.18</w:t>
      </w:r>
      <w:r w:rsidR="00486A51">
        <w:t>, the arrears status has escalated to some R 120</w:t>
      </w:r>
      <w:r w:rsidR="0043387C">
        <w:t xml:space="preserve">, 683.90 as </w:t>
      </w:r>
      <w:r w:rsidR="00FB63DA">
        <w:t>of</w:t>
      </w:r>
      <w:r w:rsidR="0043387C">
        <w:t xml:space="preserve"> 26 April 2022</w:t>
      </w:r>
      <w:r w:rsidR="00E90BD0">
        <w:rPr>
          <w:rStyle w:val="FootnoteReference"/>
        </w:rPr>
        <w:footnoteReference w:id="4"/>
      </w:r>
      <w:r w:rsidR="00E90BD0">
        <w:t>.</w:t>
      </w:r>
    </w:p>
    <w:p w14:paraId="1E6F98FF" w14:textId="4E7DEE6F" w:rsidR="00915809" w:rsidRDefault="000F37A5" w:rsidP="00915809">
      <w:pPr>
        <w:pStyle w:val="WLGLevel1"/>
        <w:numPr>
          <w:ilvl w:val="0"/>
          <w:numId w:val="0"/>
        </w:numPr>
        <w:spacing w:line="360" w:lineRule="auto"/>
      </w:pPr>
      <w:r>
        <w:lastRenderedPageBreak/>
        <w:t xml:space="preserve">[6] </w:t>
      </w:r>
      <w:r w:rsidR="008070F7">
        <w:t xml:space="preserve">On 25 April 2019 </w:t>
      </w:r>
      <w:r w:rsidR="00AF7582">
        <w:t xml:space="preserve">the matter was re-enrolled </w:t>
      </w:r>
      <w:r w:rsidR="00AE1810">
        <w:t xml:space="preserve">owing to </w:t>
      </w:r>
      <w:r w:rsidR="0087516B">
        <w:t>a</w:t>
      </w:r>
      <w:r w:rsidR="00AE1810">
        <w:t>pplicant</w:t>
      </w:r>
      <w:r w:rsidR="00F517B9">
        <w:t>’</w:t>
      </w:r>
      <w:r w:rsidR="00AE1810">
        <w:t xml:space="preserve">s </w:t>
      </w:r>
      <w:r w:rsidR="005F51C2">
        <w:t>request for indulgence</w:t>
      </w:r>
      <w:r w:rsidR="00AE1810">
        <w:t xml:space="preserve"> for further  </w:t>
      </w:r>
      <w:r w:rsidR="00BA499C">
        <w:t xml:space="preserve">settlement arrangements the matter was postponed </w:t>
      </w:r>
      <w:r w:rsidR="00BA499C" w:rsidRPr="00BA499C">
        <w:rPr>
          <w:i/>
          <w:iCs/>
        </w:rPr>
        <w:t>sine die</w:t>
      </w:r>
      <w:r w:rsidR="00BA499C">
        <w:t xml:space="preserve">. </w:t>
      </w:r>
      <w:r w:rsidR="00B62A0C">
        <w:t xml:space="preserve"> The </w:t>
      </w:r>
      <w:r w:rsidR="004C6614">
        <w:t xml:space="preserve">last payment  </w:t>
      </w:r>
      <w:r w:rsidR="005E4DE4">
        <w:t xml:space="preserve">received by </w:t>
      </w:r>
      <w:r w:rsidR="009D65B7">
        <w:t>a</w:t>
      </w:r>
      <w:r w:rsidR="005E4DE4">
        <w:t xml:space="preserve">pplicant </w:t>
      </w:r>
      <w:r w:rsidR="00A201E8">
        <w:t>w</w:t>
      </w:r>
      <w:r w:rsidR="00F67096">
        <w:t>as</w:t>
      </w:r>
      <w:r w:rsidR="00A201E8">
        <w:t xml:space="preserve"> on 29 June 2019 in the amount of R 11 156.89.</w:t>
      </w:r>
      <w:r w:rsidR="00233558">
        <w:t xml:space="preserve"> The regular </w:t>
      </w:r>
      <w:r w:rsidR="00784154">
        <w:t xml:space="preserve"> bond re</w:t>
      </w:r>
      <w:r w:rsidR="00CE0DA4">
        <w:t xml:space="preserve">payment of the </w:t>
      </w:r>
      <w:r w:rsidR="009A59F3">
        <w:t>a</w:t>
      </w:r>
      <w:r w:rsidR="00CE0DA4">
        <w:t xml:space="preserve">pplicant  </w:t>
      </w:r>
      <w:r w:rsidR="009A59F3">
        <w:t>is</w:t>
      </w:r>
      <w:r w:rsidR="00CE0DA4">
        <w:t xml:space="preserve"> an amount of R 11 156.89</w:t>
      </w:r>
      <w:r w:rsidR="00524F42">
        <w:t xml:space="preserve">. </w:t>
      </w:r>
      <w:r w:rsidR="009D65B7">
        <w:t xml:space="preserve"> </w:t>
      </w:r>
      <w:r w:rsidR="00524F42">
        <w:t xml:space="preserve">At the time the </w:t>
      </w:r>
      <w:r w:rsidR="009A59F3">
        <w:t>a</w:t>
      </w:r>
      <w:r w:rsidR="00524F42">
        <w:t xml:space="preserve">pplicant was </w:t>
      </w:r>
      <w:r w:rsidR="00DF0D68">
        <w:t>6.60 months in arrears with her home loan repayment</w:t>
      </w:r>
      <w:r w:rsidR="00A572EB">
        <w:rPr>
          <w:rStyle w:val="FootnoteReference"/>
        </w:rPr>
        <w:footnoteReference w:id="5"/>
      </w:r>
      <w:r w:rsidR="00DF0D68">
        <w:t xml:space="preserve"> .</w:t>
      </w:r>
    </w:p>
    <w:p w14:paraId="551259FF" w14:textId="1242AA03" w:rsidR="00A15CAB" w:rsidRDefault="00915809" w:rsidP="006A44A9">
      <w:pPr>
        <w:pStyle w:val="WLGLevel1"/>
        <w:numPr>
          <w:ilvl w:val="0"/>
          <w:numId w:val="0"/>
        </w:numPr>
        <w:spacing w:line="360" w:lineRule="auto"/>
      </w:pPr>
      <w:r>
        <w:t xml:space="preserve">[6]  </w:t>
      </w:r>
      <w:r w:rsidR="001177B0">
        <w:t xml:space="preserve">On </w:t>
      </w:r>
      <w:r w:rsidR="00CF06AA">
        <w:t>30 July</w:t>
      </w:r>
      <w:r w:rsidR="00642D4B">
        <w:t xml:space="preserve"> 2019 </w:t>
      </w:r>
      <w:r w:rsidR="001F50F5">
        <w:t>the matter was re-</w:t>
      </w:r>
      <w:r w:rsidR="00F63C7C">
        <w:t>enrolled</w:t>
      </w:r>
      <w:r w:rsidR="001F50F5">
        <w:t xml:space="preserve"> </w:t>
      </w:r>
      <w:r w:rsidR="00F63C7C">
        <w:t xml:space="preserve">and </w:t>
      </w:r>
      <w:r w:rsidR="00CF06AA">
        <w:t xml:space="preserve">on </w:t>
      </w:r>
      <w:r w:rsidR="00392206">
        <w:t xml:space="preserve">19 August 2019 </w:t>
      </w:r>
      <w:r w:rsidR="00F63C7C">
        <w:t xml:space="preserve">default judgment was granted in favour of the </w:t>
      </w:r>
      <w:r w:rsidR="008D5C10">
        <w:t>r</w:t>
      </w:r>
      <w:r w:rsidR="00F63C7C">
        <w:t>espondent</w:t>
      </w:r>
      <w:r w:rsidR="00DE3FD9">
        <w:rPr>
          <w:rStyle w:val="FootnoteReference"/>
        </w:rPr>
        <w:footnoteReference w:id="6"/>
      </w:r>
      <w:r w:rsidR="005863F1">
        <w:t>.</w:t>
      </w:r>
      <w:r w:rsidR="00F63C7C">
        <w:t xml:space="preserve"> </w:t>
      </w:r>
      <w:r w:rsidR="004A1313">
        <w:t xml:space="preserve">On the </w:t>
      </w:r>
      <w:r w:rsidR="00487307">
        <w:t xml:space="preserve">strength of the default judgment a </w:t>
      </w:r>
      <w:r w:rsidR="008D5C10">
        <w:t>w</w:t>
      </w:r>
      <w:r w:rsidR="00487307">
        <w:t xml:space="preserve">arrant of </w:t>
      </w:r>
      <w:r w:rsidR="008D5C10">
        <w:t>a</w:t>
      </w:r>
      <w:r w:rsidR="002C27A9">
        <w:t>ttachment</w:t>
      </w:r>
      <w:r w:rsidR="00487307">
        <w:t xml:space="preserve"> </w:t>
      </w:r>
      <w:r w:rsidR="002C27A9">
        <w:t>was issued in this Court on 12 September 2019</w:t>
      </w:r>
      <w:r w:rsidR="00057FB4">
        <w:rPr>
          <w:rStyle w:val="FootnoteReference"/>
        </w:rPr>
        <w:footnoteReference w:id="7"/>
      </w:r>
      <w:r w:rsidR="00B17A42">
        <w:t>. On</w:t>
      </w:r>
      <w:r w:rsidR="008878F7">
        <w:t xml:space="preserve"> </w:t>
      </w:r>
      <w:r w:rsidR="00B17A42">
        <w:t>16</w:t>
      </w:r>
      <w:r w:rsidR="008878F7">
        <w:t xml:space="preserve"> September 2019</w:t>
      </w:r>
      <w:r w:rsidR="00B17A42">
        <w:t xml:space="preserve">  the Sheriff of this Court </w:t>
      </w:r>
      <w:r w:rsidR="004D3F5B">
        <w:t xml:space="preserve">received the </w:t>
      </w:r>
      <w:r w:rsidR="003159DF">
        <w:t>w</w:t>
      </w:r>
      <w:r w:rsidR="004D3F5B">
        <w:t xml:space="preserve">arrant </w:t>
      </w:r>
      <w:r w:rsidR="003D45D6">
        <w:t xml:space="preserve">of </w:t>
      </w:r>
      <w:r w:rsidR="003159DF">
        <w:t>a</w:t>
      </w:r>
      <w:r w:rsidR="003D45D6">
        <w:t xml:space="preserve">ttachment and attended on judicial attachment of the </w:t>
      </w:r>
      <w:r w:rsidR="002C3BE7">
        <w:t>a</w:t>
      </w:r>
      <w:r w:rsidR="00AB294E">
        <w:t>pplicant’s property on 17 September 2019</w:t>
      </w:r>
      <w:r w:rsidR="00617C28">
        <w:rPr>
          <w:rStyle w:val="FootnoteReference"/>
        </w:rPr>
        <w:footnoteReference w:id="8"/>
      </w:r>
      <w:r w:rsidR="00AB294E">
        <w:t>.</w:t>
      </w:r>
      <w:r w:rsidR="00E6793F">
        <w:t xml:space="preserve"> The  immovable property was attached on 27 September 2019.</w:t>
      </w:r>
      <w:r w:rsidR="00573F82">
        <w:t xml:space="preserve"> The </w:t>
      </w:r>
      <w:r w:rsidR="00D277A2">
        <w:t>sale in execution was scheduled for the 29 May</w:t>
      </w:r>
      <w:r w:rsidR="006A44A9">
        <w:t xml:space="preserve"> </w:t>
      </w:r>
      <w:r w:rsidR="00D277A2">
        <w:t xml:space="preserve">2019 </w:t>
      </w:r>
      <w:r w:rsidR="001A7B94">
        <w:t xml:space="preserve">and same was cancelled </w:t>
      </w:r>
      <w:r w:rsidR="004E5218">
        <w:t>due to</w:t>
      </w:r>
      <w:r w:rsidR="008B7F35">
        <w:t xml:space="preserve"> </w:t>
      </w:r>
      <w:r w:rsidR="00BA267D">
        <w:t>applicant’s</w:t>
      </w:r>
      <w:r w:rsidR="003F0A84">
        <w:t xml:space="preserve"> </w:t>
      </w:r>
      <w:r w:rsidR="00BA267D">
        <w:t>request</w:t>
      </w:r>
      <w:r w:rsidR="00C00277">
        <w:t xml:space="preserve"> for</w:t>
      </w:r>
      <w:r w:rsidR="004E5218">
        <w:t xml:space="preserve"> </w:t>
      </w:r>
      <w:r w:rsidR="006D09BA">
        <w:t>payments arrangements.</w:t>
      </w:r>
      <w:r w:rsidR="00723D6B">
        <w:t xml:space="preserve"> </w:t>
      </w:r>
      <w:r w:rsidR="00835D72">
        <w:t xml:space="preserve">The applicant having failed to arrest the </w:t>
      </w:r>
      <w:r w:rsidR="00150989">
        <w:t>arrears</w:t>
      </w:r>
      <w:r w:rsidR="004D0409">
        <w:t xml:space="preserve"> and</w:t>
      </w:r>
      <w:r w:rsidR="00150989">
        <w:t xml:space="preserve"> </w:t>
      </w:r>
      <w:r w:rsidR="006A126E">
        <w:t>normalising h</w:t>
      </w:r>
      <w:r w:rsidR="00C00277">
        <w:t>er home</w:t>
      </w:r>
      <w:r w:rsidR="006A126E">
        <w:t xml:space="preserve"> </w:t>
      </w:r>
      <w:r w:rsidR="00F10A0C">
        <w:t>loan account making same to be uptodate</w:t>
      </w:r>
      <w:r w:rsidR="004D0409">
        <w:t>.</w:t>
      </w:r>
      <w:r w:rsidR="00F10A0C">
        <w:t xml:space="preserve"> </w:t>
      </w:r>
      <w:r w:rsidR="004D0409">
        <w:t>O</w:t>
      </w:r>
      <w:r w:rsidR="00723D6B">
        <w:t xml:space="preserve">n </w:t>
      </w:r>
      <w:r w:rsidR="008D47AF">
        <w:t xml:space="preserve">29 April 2022 </w:t>
      </w:r>
      <w:r w:rsidR="001048E4">
        <w:t xml:space="preserve">the property was </w:t>
      </w:r>
      <w:r w:rsidR="00503B3D">
        <w:t>put back on sale in execution</w:t>
      </w:r>
      <w:r w:rsidR="00150B85">
        <w:rPr>
          <w:rStyle w:val="FootnoteReference"/>
        </w:rPr>
        <w:footnoteReference w:id="9"/>
      </w:r>
      <w:r w:rsidR="00D07440">
        <w:t>.</w:t>
      </w:r>
      <w:r w:rsidR="00503B3D">
        <w:t xml:space="preserve"> </w:t>
      </w:r>
    </w:p>
    <w:p w14:paraId="5D125769" w14:textId="0B8EE42C" w:rsidR="000D5029" w:rsidRDefault="00915809" w:rsidP="00F24CD6">
      <w:pPr>
        <w:pStyle w:val="WLGLevel1"/>
        <w:numPr>
          <w:ilvl w:val="0"/>
          <w:numId w:val="0"/>
        </w:numPr>
        <w:spacing w:line="360" w:lineRule="auto"/>
      </w:pPr>
      <w:r>
        <w:t xml:space="preserve">[7]  </w:t>
      </w:r>
      <w:r w:rsidR="00D926CC">
        <w:t xml:space="preserve">Aggrieved by the </w:t>
      </w:r>
      <w:r w:rsidR="00EA466C">
        <w:t xml:space="preserve">judicial attachment of her property, </w:t>
      </w:r>
      <w:r w:rsidR="00EA1450">
        <w:t xml:space="preserve">on 20 April 2022 </w:t>
      </w:r>
      <w:r w:rsidR="00EA466C">
        <w:t xml:space="preserve">the applicant brought </w:t>
      </w:r>
      <w:r w:rsidR="00165402">
        <w:t xml:space="preserve">this present application </w:t>
      </w:r>
      <w:r w:rsidR="00A54C51">
        <w:t xml:space="preserve">to rescind the default judgment granted by the </w:t>
      </w:r>
      <w:r w:rsidR="00DC70E8">
        <w:t>Swanepoel</w:t>
      </w:r>
      <w:r w:rsidR="00A54C51">
        <w:t xml:space="preserve"> Acting Judge on 19 August 2019</w:t>
      </w:r>
      <w:r w:rsidR="00545E57">
        <w:t>.</w:t>
      </w:r>
      <w:r w:rsidR="00E3768E">
        <w:t xml:space="preserve"> </w:t>
      </w:r>
      <w:r w:rsidR="00C15FB6">
        <w:t xml:space="preserve">This application is </w:t>
      </w:r>
      <w:r w:rsidR="00A66AD3">
        <w:t>ostensibly brought in terms of Rule 42(1)(a) of the High Court Rules</w:t>
      </w:r>
      <w:r w:rsidR="009123E8">
        <w:rPr>
          <w:rStyle w:val="FootnoteReference"/>
        </w:rPr>
        <w:footnoteReference w:id="10"/>
      </w:r>
      <w:r w:rsidR="00A66AD3">
        <w:t>.</w:t>
      </w:r>
    </w:p>
    <w:p w14:paraId="23BDF298" w14:textId="1D1EA509" w:rsidR="00545E57" w:rsidRDefault="00545E57" w:rsidP="00F24CD6">
      <w:pPr>
        <w:pStyle w:val="WLGLevel1"/>
        <w:numPr>
          <w:ilvl w:val="0"/>
          <w:numId w:val="0"/>
        </w:numPr>
        <w:spacing w:line="360" w:lineRule="auto"/>
      </w:pPr>
    </w:p>
    <w:p w14:paraId="1CB811BD" w14:textId="018ABC32" w:rsidR="00915809" w:rsidRDefault="000D5029" w:rsidP="00915809">
      <w:pPr>
        <w:pStyle w:val="WLGLevel1"/>
        <w:numPr>
          <w:ilvl w:val="0"/>
          <w:numId w:val="0"/>
        </w:numPr>
        <w:spacing w:line="360" w:lineRule="auto"/>
        <w:rPr>
          <w:b/>
          <w:bCs/>
        </w:rPr>
      </w:pPr>
      <w:r>
        <w:rPr>
          <w:b/>
          <w:bCs/>
        </w:rPr>
        <w:t xml:space="preserve">Evidence </w:t>
      </w:r>
    </w:p>
    <w:p w14:paraId="63DA9F2C" w14:textId="5E730A9D" w:rsidR="006F3E48" w:rsidRDefault="006F3E48" w:rsidP="00915809">
      <w:pPr>
        <w:pStyle w:val="WLGLevel1"/>
        <w:numPr>
          <w:ilvl w:val="0"/>
          <w:numId w:val="0"/>
        </w:numPr>
        <w:spacing w:line="360" w:lineRule="auto"/>
        <w:rPr>
          <w:b/>
          <w:bCs/>
        </w:rPr>
      </w:pPr>
      <w:r>
        <w:rPr>
          <w:b/>
          <w:bCs/>
        </w:rPr>
        <w:t>Applicant</w:t>
      </w:r>
      <w:r w:rsidR="00865EDC">
        <w:rPr>
          <w:b/>
          <w:bCs/>
        </w:rPr>
        <w:t xml:space="preserve">’s case </w:t>
      </w:r>
    </w:p>
    <w:p w14:paraId="6D6DB99C" w14:textId="08982A28" w:rsidR="00865EDC" w:rsidRDefault="00865EDC" w:rsidP="00915809">
      <w:pPr>
        <w:pStyle w:val="WLGLevel1"/>
        <w:numPr>
          <w:ilvl w:val="0"/>
          <w:numId w:val="0"/>
        </w:numPr>
        <w:spacing w:line="360" w:lineRule="auto"/>
      </w:pPr>
      <w:r w:rsidRPr="00865EDC">
        <w:lastRenderedPageBreak/>
        <w:t>[8]</w:t>
      </w:r>
      <w:r w:rsidR="00885C89">
        <w:t xml:space="preserve"> </w:t>
      </w:r>
      <w:r w:rsidR="00A37A6C">
        <w:t xml:space="preserve">For purposes of this judgment </w:t>
      </w:r>
      <w:r w:rsidR="00EC6041">
        <w:t>only</w:t>
      </w:r>
      <w:r w:rsidR="00C26EB4">
        <w:t xml:space="preserve"> the</w:t>
      </w:r>
      <w:r w:rsidR="00EC6041">
        <w:t xml:space="preserve"> main relevant </w:t>
      </w:r>
      <w:r w:rsidR="003D6274">
        <w:t xml:space="preserve">averments and /or </w:t>
      </w:r>
      <w:r w:rsidR="00EC6041">
        <w:t xml:space="preserve">contentions raised by </w:t>
      </w:r>
      <w:r w:rsidR="00BA586A">
        <w:t>a</w:t>
      </w:r>
      <w:r w:rsidR="00C26EB4">
        <w:t>pplicant</w:t>
      </w:r>
      <w:r w:rsidR="00213CE2">
        <w:t xml:space="preserve"> </w:t>
      </w:r>
      <w:r w:rsidR="00602AEB">
        <w:t xml:space="preserve">in </w:t>
      </w:r>
      <w:r w:rsidR="00601A9D">
        <w:t>its papers and t</w:t>
      </w:r>
      <w:r w:rsidR="00602AEB">
        <w:t xml:space="preserve">he submissions made by </w:t>
      </w:r>
      <w:r w:rsidR="00E07083">
        <w:t>her counsel in</w:t>
      </w:r>
      <w:r w:rsidR="00213CE2">
        <w:t xml:space="preserve"> support of this application</w:t>
      </w:r>
      <w:r w:rsidR="00123EE7">
        <w:t xml:space="preserve"> are</w:t>
      </w:r>
      <w:r w:rsidR="00213CE2">
        <w:t xml:space="preserve"> </w:t>
      </w:r>
      <w:r w:rsidR="00D7702A">
        <w:t>restated.</w:t>
      </w:r>
    </w:p>
    <w:p w14:paraId="2FBA9F96" w14:textId="145F22F7" w:rsidR="008577CE" w:rsidRDefault="008F76AA" w:rsidP="00915809">
      <w:pPr>
        <w:pStyle w:val="WLGLevel1"/>
        <w:numPr>
          <w:ilvl w:val="0"/>
          <w:numId w:val="0"/>
        </w:numPr>
        <w:spacing w:line="360" w:lineRule="auto"/>
      </w:pPr>
      <w:r>
        <w:t>[9</w:t>
      </w:r>
      <w:r w:rsidR="00601A9D">
        <w:t xml:space="preserve"> </w:t>
      </w:r>
      <w:r>
        <w:t>]</w:t>
      </w:r>
      <w:r w:rsidR="00C44034">
        <w:t xml:space="preserve"> </w:t>
      </w:r>
      <w:r w:rsidR="00D56B59">
        <w:t>The applicant contend</w:t>
      </w:r>
      <w:r w:rsidR="00307C0E">
        <w:t>s</w:t>
      </w:r>
      <w:r w:rsidR="00D56B59">
        <w:t xml:space="preserve"> that the default judgment application was erroneously </w:t>
      </w:r>
      <w:r w:rsidR="00CC0323">
        <w:t>sought,</w:t>
      </w:r>
      <w:r w:rsidR="00D56B59">
        <w:t xml:space="preserve"> and the </w:t>
      </w:r>
      <w:r w:rsidR="00875608">
        <w:t>same</w:t>
      </w:r>
      <w:r w:rsidR="00D56B59">
        <w:t xml:space="preserve"> was erroneously granted.</w:t>
      </w:r>
      <w:r w:rsidR="00E05F2A">
        <w:t xml:space="preserve"> </w:t>
      </w:r>
      <w:r w:rsidR="00545961">
        <w:t xml:space="preserve">The </w:t>
      </w:r>
      <w:r w:rsidR="00513F39">
        <w:t>applicant</w:t>
      </w:r>
      <w:r w:rsidR="00545961">
        <w:t xml:space="preserve"> premised this contention o</w:t>
      </w:r>
      <w:r w:rsidR="0065689A">
        <w:t>n the fact that on 16 April 2018</w:t>
      </w:r>
      <w:r w:rsidR="00513F39">
        <w:t xml:space="preserve"> the respondent dispatched a letter in terms of section 129(1) of the NCA alleging that she was in arrears in the sum of R33 051.18</w:t>
      </w:r>
      <w:r w:rsidR="00EE0E24">
        <w:t xml:space="preserve">. The </w:t>
      </w:r>
      <w:r w:rsidR="005556A2">
        <w:t xml:space="preserve">applicant had </w:t>
      </w:r>
      <w:r w:rsidR="001E75A2">
        <w:t xml:space="preserve">previously </w:t>
      </w:r>
      <w:r w:rsidR="005556A2">
        <w:t>on 10</w:t>
      </w:r>
      <w:r w:rsidR="001E75A2">
        <w:t xml:space="preserve"> April</w:t>
      </w:r>
      <w:r w:rsidR="005556A2">
        <w:t xml:space="preserve"> 2018 made payment to her </w:t>
      </w:r>
      <w:r w:rsidR="0012227E">
        <w:t>arrear home loan</w:t>
      </w:r>
      <w:r w:rsidR="007010CB">
        <w:t xml:space="preserve"> account</w:t>
      </w:r>
      <w:r w:rsidR="0012227E">
        <w:t xml:space="preserve"> in the amount of R 11</w:t>
      </w:r>
      <w:r w:rsidR="00595845">
        <w:t>078.97</w:t>
      </w:r>
      <w:r w:rsidR="00A270B1">
        <w:rPr>
          <w:rStyle w:val="FootnoteReference"/>
        </w:rPr>
        <w:footnoteReference w:id="11"/>
      </w:r>
      <w:r w:rsidR="00A103F0">
        <w:t>.</w:t>
      </w:r>
      <w:r w:rsidR="00151A94">
        <w:t xml:space="preserve"> </w:t>
      </w:r>
      <w:r w:rsidR="00365745">
        <w:t xml:space="preserve">According to the applicant </w:t>
      </w:r>
      <w:r w:rsidR="00266BFB">
        <w:t xml:space="preserve">by making part payment in response to the </w:t>
      </w:r>
      <w:r w:rsidR="0009389F">
        <w:t>respondent</w:t>
      </w:r>
      <w:r w:rsidR="00F72127">
        <w:t>’</w:t>
      </w:r>
      <w:r w:rsidR="0009389F">
        <w:t>s Section 129 notice</w:t>
      </w:r>
      <w:r w:rsidR="00F72127">
        <w:t>,</w:t>
      </w:r>
      <w:r w:rsidR="00E1015F">
        <w:t xml:space="preserve"> </w:t>
      </w:r>
      <w:r w:rsidR="00F72127">
        <w:t>the respondent could</w:t>
      </w:r>
      <w:r w:rsidR="001F1444">
        <w:t xml:space="preserve"> and/or should not have used the same Section 129 notice </w:t>
      </w:r>
      <w:r w:rsidR="00752B19">
        <w:t>as the basis for issuing summons against the applicant</w:t>
      </w:r>
      <w:r w:rsidR="00DF4BE5">
        <w:rPr>
          <w:rStyle w:val="FootnoteReference"/>
        </w:rPr>
        <w:footnoteReference w:id="12"/>
      </w:r>
      <w:r w:rsidR="00BE3C3A">
        <w:t xml:space="preserve"> mo</w:t>
      </w:r>
      <w:r w:rsidR="00664EE5">
        <w:t xml:space="preserve">re over that the applicant was not in default for </w:t>
      </w:r>
      <w:r w:rsidR="00A25448">
        <w:t>more than 20 days prior to the issuing of summons.</w:t>
      </w:r>
      <w:r w:rsidR="00ED72CD">
        <w:t xml:space="preserve"> The applicant </w:t>
      </w:r>
      <w:r w:rsidR="00277E4F">
        <w:t xml:space="preserve">avers </w:t>
      </w:r>
      <w:r w:rsidR="004918FC">
        <w:t xml:space="preserve">further </w:t>
      </w:r>
      <w:r w:rsidR="00277E4F">
        <w:t xml:space="preserve">that the respondent did not comply with the provisions of the National Credit </w:t>
      </w:r>
      <w:r w:rsidR="00286C0F">
        <w:t xml:space="preserve"> Act, Act 34 of 2005</w:t>
      </w:r>
      <w:r w:rsidR="008A70C9">
        <w:t xml:space="preserve"> this being </w:t>
      </w:r>
      <w:r w:rsidR="00CF6B1B" w:rsidRPr="00BD31C7">
        <w:rPr>
          <w:i/>
          <w:iCs/>
        </w:rPr>
        <w:t>inter alia</w:t>
      </w:r>
      <w:r w:rsidR="00CF6B1B">
        <w:t xml:space="preserve"> reason for the </w:t>
      </w:r>
      <w:r w:rsidR="00A70BEF">
        <w:t>current rescission application.</w:t>
      </w:r>
    </w:p>
    <w:p w14:paraId="57EBC59F" w14:textId="03429EB9" w:rsidR="000F702E" w:rsidRDefault="00F07F65" w:rsidP="00915809">
      <w:pPr>
        <w:pStyle w:val="WLGLevel1"/>
        <w:numPr>
          <w:ilvl w:val="0"/>
          <w:numId w:val="0"/>
        </w:numPr>
        <w:spacing w:line="360" w:lineRule="auto"/>
      </w:pPr>
      <w:r>
        <w:t>[10] The applicant further contend</w:t>
      </w:r>
      <w:r w:rsidR="001306E3">
        <w:t>s</w:t>
      </w:r>
      <w:r>
        <w:t xml:space="preserve"> that it had </w:t>
      </w:r>
      <w:r w:rsidR="00043316">
        <w:t>made</w:t>
      </w:r>
      <w:r w:rsidR="00571A13">
        <w:t xml:space="preserve"> several</w:t>
      </w:r>
      <w:r w:rsidR="00043316">
        <w:t xml:space="preserve"> payments to </w:t>
      </w:r>
      <w:r w:rsidR="00571A13">
        <w:t>her</w:t>
      </w:r>
      <w:r w:rsidR="007C6923">
        <w:t xml:space="preserve"> mortgage loan account</w:t>
      </w:r>
      <w:r w:rsidR="00043316">
        <w:t xml:space="preserve"> with the respondent on 10 April 2018, 12 May </w:t>
      </w:r>
      <w:r w:rsidR="00C13109">
        <w:t>2018,</w:t>
      </w:r>
      <w:r w:rsidR="00043316">
        <w:t xml:space="preserve"> and 10 July 2018 – the total amount paid being approximately R28 900-00.</w:t>
      </w:r>
      <w:r w:rsidR="00C13109">
        <w:t xml:space="preserve"> According to the applicant when default judgement was issued, a year later, the applicant had paid to the respondent approximately R150 000-00</w:t>
      </w:r>
      <w:r w:rsidR="00BE1ABF">
        <w:rPr>
          <w:rStyle w:val="FootnoteReference"/>
        </w:rPr>
        <w:footnoteReference w:id="13"/>
      </w:r>
      <w:r w:rsidR="00A663FA">
        <w:t>.</w:t>
      </w:r>
    </w:p>
    <w:p w14:paraId="103F1C4A" w14:textId="1FDF66E2" w:rsidR="00BB7497" w:rsidRDefault="00BB7497" w:rsidP="00BB7497">
      <w:pPr>
        <w:pStyle w:val="WLGLevel1"/>
        <w:numPr>
          <w:ilvl w:val="0"/>
          <w:numId w:val="0"/>
        </w:numPr>
        <w:spacing w:line="360" w:lineRule="auto"/>
      </w:pPr>
      <w:r>
        <w:t>[11] Counsel for the applicant contend</w:t>
      </w:r>
      <w:r w:rsidR="00183FA6">
        <w:t>s</w:t>
      </w:r>
      <w:r>
        <w:t xml:space="preserve"> that the applicant had satisfied and complied with the </w:t>
      </w:r>
      <w:r w:rsidR="00D243E1">
        <w:t>respondent’s</w:t>
      </w:r>
      <w:r>
        <w:t xml:space="preserve"> s</w:t>
      </w:r>
      <w:r w:rsidR="00981070">
        <w:t xml:space="preserve">ection </w:t>
      </w:r>
      <w:r>
        <w:t>129(1) notice,</w:t>
      </w:r>
      <w:r w:rsidRPr="00F2316C">
        <w:t xml:space="preserve"> </w:t>
      </w:r>
      <w:r>
        <w:t>that at the time that the respondent sought default judgment, the applicant was no longer in arrears as alleged in s</w:t>
      </w:r>
      <w:r w:rsidR="00981070">
        <w:t xml:space="preserve">ection </w:t>
      </w:r>
      <w:r>
        <w:t>129(1) notice.</w:t>
      </w:r>
    </w:p>
    <w:p w14:paraId="7446E7A9" w14:textId="3A4414E9" w:rsidR="00E83F09" w:rsidRDefault="00861FB7" w:rsidP="00BB7497">
      <w:pPr>
        <w:pStyle w:val="WLGLevel1"/>
        <w:numPr>
          <w:ilvl w:val="0"/>
          <w:numId w:val="0"/>
        </w:numPr>
        <w:spacing w:line="360" w:lineRule="auto"/>
      </w:pPr>
      <w:r>
        <w:lastRenderedPageBreak/>
        <w:t xml:space="preserve">[12] </w:t>
      </w:r>
      <w:r w:rsidR="00FA6119">
        <w:t xml:space="preserve">Accordingly, </w:t>
      </w:r>
      <w:r w:rsidR="00BD10F2">
        <w:t>it</w:t>
      </w:r>
      <w:r>
        <w:t xml:space="preserve"> was erroneous of the court to grant default judgment some 15 months after the issuing of the summons without enquiring into what had transpired in between that period. The judgment the respondent sought trumped the applicant’s socio – economic right</w:t>
      </w:r>
      <w:r w:rsidR="005F6BC0">
        <w:t>.</w:t>
      </w:r>
      <w:r w:rsidR="00C43F1F">
        <w:rPr>
          <w:rStyle w:val="FootnoteReference"/>
        </w:rPr>
        <w:footnoteReference w:id="14"/>
      </w:r>
      <w:r>
        <w:t xml:space="preserve">  </w:t>
      </w:r>
    </w:p>
    <w:p w14:paraId="021B671E" w14:textId="024FC8BC" w:rsidR="00861FB7" w:rsidRDefault="00544BBD" w:rsidP="00BB7497">
      <w:pPr>
        <w:pStyle w:val="WLGLevel1"/>
        <w:numPr>
          <w:ilvl w:val="0"/>
          <w:numId w:val="0"/>
        </w:numPr>
        <w:spacing w:line="360" w:lineRule="auto"/>
      </w:pPr>
      <w:r>
        <w:t xml:space="preserve">[13] </w:t>
      </w:r>
      <w:r w:rsidR="00BB5BE0">
        <w:t>The applicant submits that she has made out a case for granting the rescission application. Rule 42(1)(a) affords this Court wide discretion to deal with applications such as the instant one in an expeditious and cost – effective manner</w:t>
      </w:r>
      <w:r w:rsidR="00BD10F2">
        <w:rPr>
          <w:rStyle w:val="FootnoteReference"/>
        </w:rPr>
        <w:footnoteReference w:id="15"/>
      </w:r>
      <w:r w:rsidR="00BB5BE0">
        <w:t xml:space="preserve">. </w:t>
      </w:r>
    </w:p>
    <w:p w14:paraId="63581775" w14:textId="3BD89C7B" w:rsidR="00BB5BE0" w:rsidRDefault="00BB5BE0" w:rsidP="00BB7497">
      <w:pPr>
        <w:pStyle w:val="WLGLevel1"/>
        <w:numPr>
          <w:ilvl w:val="0"/>
          <w:numId w:val="0"/>
        </w:numPr>
        <w:spacing w:line="360" w:lineRule="auto"/>
      </w:pPr>
      <w:r>
        <w:t>[14]</w:t>
      </w:r>
      <w:r w:rsidR="000746F7">
        <w:t xml:space="preserve"> </w:t>
      </w:r>
      <w:r w:rsidR="003C1B4C">
        <w:t xml:space="preserve"> The a</w:t>
      </w:r>
      <w:r w:rsidR="00A7265A">
        <w:t xml:space="preserve">pplicant’s counsel </w:t>
      </w:r>
      <w:r w:rsidR="00ED50CF">
        <w:t>submitted that this</w:t>
      </w:r>
      <w:r w:rsidR="000746F7">
        <w:t xml:space="preserve"> honourable court is empowered to rescind its own judgments where it is just and equitable in the interest of justice. Section 173 of the Constitution empowers the courts to regulate their own affairs</w:t>
      </w:r>
      <w:r w:rsidR="00F81EE9">
        <w:rPr>
          <w:rStyle w:val="FootnoteReference"/>
        </w:rPr>
        <w:footnoteReference w:id="16"/>
      </w:r>
      <w:r w:rsidR="00F81EE9">
        <w:t>.</w:t>
      </w:r>
      <w:r w:rsidR="000746F7">
        <w:t xml:space="preserve"> </w:t>
      </w:r>
    </w:p>
    <w:p w14:paraId="7BA7D192" w14:textId="77777777" w:rsidR="00B3054E" w:rsidRDefault="00B3054E" w:rsidP="00BB7497">
      <w:pPr>
        <w:pStyle w:val="WLGLevel1"/>
        <w:numPr>
          <w:ilvl w:val="0"/>
          <w:numId w:val="0"/>
        </w:numPr>
        <w:spacing w:line="360" w:lineRule="auto"/>
      </w:pPr>
    </w:p>
    <w:p w14:paraId="0C49B41A" w14:textId="0B0C9C0D" w:rsidR="00B3054E" w:rsidRDefault="00BB33A0" w:rsidP="00BB7497">
      <w:pPr>
        <w:pStyle w:val="WLGLevel1"/>
        <w:numPr>
          <w:ilvl w:val="0"/>
          <w:numId w:val="0"/>
        </w:numPr>
        <w:spacing w:line="360" w:lineRule="auto"/>
        <w:rPr>
          <w:b/>
          <w:bCs/>
        </w:rPr>
      </w:pPr>
      <w:r w:rsidRPr="00BB33A0">
        <w:rPr>
          <w:b/>
          <w:bCs/>
        </w:rPr>
        <w:t>Respondent</w:t>
      </w:r>
      <w:r>
        <w:rPr>
          <w:b/>
          <w:bCs/>
        </w:rPr>
        <w:t>’</w:t>
      </w:r>
      <w:r w:rsidRPr="00BB33A0">
        <w:rPr>
          <w:b/>
          <w:bCs/>
        </w:rPr>
        <w:t xml:space="preserve">s case </w:t>
      </w:r>
    </w:p>
    <w:p w14:paraId="1B92568F" w14:textId="135872B4" w:rsidR="00A51274" w:rsidRDefault="00153739" w:rsidP="00A51274">
      <w:pPr>
        <w:pStyle w:val="WLGLevel1"/>
        <w:numPr>
          <w:ilvl w:val="0"/>
          <w:numId w:val="0"/>
        </w:numPr>
        <w:spacing w:line="360" w:lineRule="auto"/>
      </w:pPr>
      <w:r w:rsidRPr="00FC698B">
        <w:t>[15]</w:t>
      </w:r>
      <w:r w:rsidR="00A51274">
        <w:t xml:space="preserve"> </w:t>
      </w:r>
      <w:r w:rsidR="00A51274" w:rsidRPr="00865EDC">
        <w:t>]</w:t>
      </w:r>
      <w:r w:rsidR="00A51274">
        <w:t xml:space="preserve"> For purposes of this judgment only the main relevant </w:t>
      </w:r>
      <w:r w:rsidR="004F3D17">
        <w:t>averments and /or</w:t>
      </w:r>
      <w:r w:rsidR="00A51274">
        <w:t xml:space="preserve"> contentions raised by </w:t>
      </w:r>
      <w:r w:rsidR="00F97D5C">
        <w:t>r</w:t>
      </w:r>
      <w:r w:rsidR="004F3D17">
        <w:t>espondent</w:t>
      </w:r>
      <w:r w:rsidR="00A51274">
        <w:t xml:space="preserve"> in its papers and the submissions made by counsel in </w:t>
      </w:r>
      <w:r w:rsidR="006C533E">
        <w:t>opposing</w:t>
      </w:r>
      <w:r w:rsidR="00A51274">
        <w:t xml:space="preserve"> this application are restated.</w:t>
      </w:r>
    </w:p>
    <w:p w14:paraId="19B5915A" w14:textId="459AFE6D" w:rsidR="001B5BD0" w:rsidRDefault="001B5BD0" w:rsidP="00A51274">
      <w:pPr>
        <w:pStyle w:val="WLGLevel1"/>
        <w:numPr>
          <w:ilvl w:val="0"/>
          <w:numId w:val="0"/>
        </w:numPr>
        <w:spacing w:line="360" w:lineRule="auto"/>
      </w:pPr>
      <w:r>
        <w:t>[16]</w:t>
      </w:r>
      <w:r w:rsidR="0006200D">
        <w:t xml:space="preserve"> </w:t>
      </w:r>
      <w:r w:rsidR="005052FB">
        <w:t xml:space="preserve">The respondent </w:t>
      </w:r>
      <w:r w:rsidR="0019293E">
        <w:t xml:space="preserve">is vehemently opposed to this  rescission application on the basis </w:t>
      </w:r>
      <w:r w:rsidR="00CF5F74">
        <w:t xml:space="preserve">that </w:t>
      </w:r>
      <w:r w:rsidR="0078065B">
        <w:t>th</w:t>
      </w:r>
      <w:r w:rsidR="0025693C">
        <w:t>is</w:t>
      </w:r>
      <w:r w:rsidR="0078065B">
        <w:t xml:space="preserve"> application is wholly unmeritorious</w:t>
      </w:r>
      <w:r w:rsidR="0007112C">
        <w:t xml:space="preserve"> in that it does not fall within the ambit of Rule </w:t>
      </w:r>
      <w:r w:rsidR="00E420F7">
        <w:t>42,</w:t>
      </w:r>
      <w:r w:rsidR="00CA3BD2">
        <w:t xml:space="preserve"> and it is a clear attempt to </w:t>
      </w:r>
      <w:r w:rsidR="00C649F8">
        <w:t>circumvent insurmountable hurdles that the applicant would face with an ordinary rescission appli</w:t>
      </w:r>
      <w:r w:rsidR="00630824">
        <w:t>cation within the ambit of Rule 31(2) or the common law.</w:t>
      </w:r>
      <w:r w:rsidR="000153C3">
        <w:t xml:space="preserve"> </w:t>
      </w:r>
      <w:r w:rsidR="007118A4">
        <w:t>T</w:t>
      </w:r>
      <w:r w:rsidR="000153C3">
        <w:t>he core undeniably</w:t>
      </w:r>
      <w:r w:rsidR="0073521A">
        <w:t xml:space="preserve"> </w:t>
      </w:r>
      <w:r w:rsidR="00760B98">
        <w:t>fact</w:t>
      </w:r>
      <w:r w:rsidR="004260F2">
        <w:t xml:space="preserve"> is that the applicant was unable </w:t>
      </w:r>
      <w:r w:rsidR="000933D8">
        <w:t xml:space="preserve">to meet her monthly home </w:t>
      </w:r>
      <w:r w:rsidR="000933D8">
        <w:lastRenderedPageBreak/>
        <w:t>loan obligations and</w:t>
      </w:r>
      <w:r w:rsidR="00312B6E">
        <w:t xml:space="preserve"> her position of default has wo</w:t>
      </w:r>
      <w:r w:rsidR="005D6180">
        <w:t>rsened or increased rather than decreased.</w:t>
      </w:r>
    </w:p>
    <w:p w14:paraId="7917160B" w14:textId="506BE739" w:rsidR="005D6180" w:rsidRDefault="005D6180" w:rsidP="00A51274">
      <w:pPr>
        <w:pStyle w:val="WLGLevel1"/>
        <w:numPr>
          <w:ilvl w:val="0"/>
          <w:numId w:val="0"/>
        </w:numPr>
        <w:spacing w:line="360" w:lineRule="auto"/>
      </w:pPr>
      <w:r>
        <w:t>[17]</w:t>
      </w:r>
      <w:r w:rsidR="00EE00A5">
        <w:t xml:space="preserve"> </w:t>
      </w:r>
      <w:r w:rsidR="00F8746A">
        <w:t xml:space="preserve">The respondent </w:t>
      </w:r>
      <w:r w:rsidR="000F3222">
        <w:t>avers that this</w:t>
      </w:r>
      <w:r w:rsidR="007B4088">
        <w:t xml:space="preserve"> rescission</w:t>
      </w:r>
      <w:r w:rsidR="000F3222">
        <w:t xml:space="preserve"> application </w:t>
      </w:r>
      <w:r w:rsidR="007B4088">
        <w:t>was issued on 21 April 2022, nearly three</w:t>
      </w:r>
      <w:r w:rsidR="00BF60C4">
        <w:t xml:space="preserve"> (3)</w:t>
      </w:r>
      <w:r w:rsidR="007B4088">
        <w:t xml:space="preserve"> years after the de</w:t>
      </w:r>
      <w:r w:rsidR="005D1C73">
        <w:t>fault judgment was granted being the 19 August 2019.</w:t>
      </w:r>
      <w:r w:rsidR="0041477A">
        <w:t xml:space="preserve"> The </w:t>
      </w:r>
      <w:r w:rsidR="00FC5D56">
        <w:t xml:space="preserve">current application is consequently wholly out of time </w:t>
      </w:r>
      <w:r w:rsidR="009A1F6A">
        <w:t xml:space="preserve">in terms of Rule 31(2) of the Uniform Rules of Court or </w:t>
      </w:r>
      <w:r w:rsidR="006B57AA">
        <w:t>otherwise</w:t>
      </w:r>
      <w:r w:rsidR="009A1F6A">
        <w:t xml:space="preserve"> in terms o</w:t>
      </w:r>
      <w:r w:rsidR="006B57AA">
        <w:t xml:space="preserve">f common law. It is far outside the 20-day period as envisaged in the Rules for a rescission application and also far exceeds a </w:t>
      </w:r>
      <w:r w:rsidR="00015C89">
        <w:t>“</w:t>
      </w:r>
      <w:r w:rsidR="00015C89" w:rsidRPr="002B5D0A">
        <w:rPr>
          <w:i/>
          <w:iCs/>
        </w:rPr>
        <w:t>reasonable time</w:t>
      </w:r>
      <w:r w:rsidR="00015C89">
        <w:t>” in terms of the common law in order to bring such an application once the ag</w:t>
      </w:r>
      <w:r w:rsidR="005A4820">
        <w:t xml:space="preserve">grieved party becomes aware of same. In this instance, the </w:t>
      </w:r>
      <w:r w:rsidR="00CE33DE">
        <w:t>a</w:t>
      </w:r>
      <w:r w:rsidR="005A4820">
        <w:t>pplicant had been aware of the proceedings since the very onset,</w:t>
      </w:r>
      <w:r w:rsidR="00CE33DE">
        <w:t xml:space="preserve"> </w:t>
      </w:r>
      <w:r w:rsidR="005A4820">
        <w:t>some more than three (3) years ago</w:t>
      </w:r>
      <w:r w:rsidR="00CF65CD">
        <w:rPr>
          <w:rStyle w:val="FootnoteReference"/>
        </w:rPr>
        <w:footnoteReference w:id="17"/>
      </w:r>
      <w:r w:rsidR="005A4820">
        <w:t>.</w:t>
      </w:r>
    </w:p>
    <w:p w14:paraId="569F8876" w14:textId="5FA962AD" w:rsidR="001242FC" w:rsidRPr="001242FC" w:rsidRDefault="001242FC" w:rsidP="00A51274">
      <w:pPr>
        <w:pStyle w:val="WLGLevel1"/>
        <w:numPr>
          <w:ilvl w:val="0"/>
          <w:numId w:val="0"/>
        </w:numPr>
        <w:spacing w:line="360" w:lineRule="auto"/>
        <w:rPr>
          <w:b/>
          <w:bCs/>
        </w:rPr>
      </w:pPr>
      <w:r w:rsidRPr="001242FC">
        <w:rPr>
          <w:b/>
          <w:bCs/>
        </w:rPr>
        <w:t xml:space="preserve">Legal framework </w:t>
      </w:r>
      <w:r w:rsidR="00C766FB">
        <w:rPr>
          <w:b/>
          <w:bCs/>
        </w:rPr>
        <w:t>pertaining to Rule 42 Orders</w:t>
      </w:r>
    </w:p>
    <w:p w14:paraId="2BBEDF25" w14:textId="0425462C" w:rsidR="00316A14" w:rsidRDefault="001B0C5D" w:rsidP="00A51274">
      <w:pPr>
        <w:pStyle w:val="WLGLevel1"/>
        <w:numPr>
          <w:ilvl w:val="0"/>
          <w:numId w:val="0"/>
        </w:numPr>
        <w:spacing w:line="360" w:lineRule="auto"/>
      </w:pPr>
      <w:r>
        <w:t>[18]</w:t>
      </w:r>
      <w:r w:rsidR="009B2AF6">
        <w:t xml:space="preserve"> </w:t>
      </w:r>
      <w:r w:rsidR="00BE7098">
        <w:t xml:space="preserve"> This rule caters for mistake</w:t>
      </w:r>
      <w:r w:rsidR="00806A3D">
        <w:t>.</w:t>
      </w:r>
      <w:r w:rsidR="0097544B">
        <w:rPr>
          <w:rStyle w:val="FootnoteReference"/>
        </w:rPr>
        <w:footnoteReference w:id="18"/>
      </w:r>
      <w:r w:rsidR="00BE7098">
        <w:t xml:space="preserve"> </w:t>
      </w:r>
      <w:r w:rsidR="00316A14">
        <w:t xml:space="preserve">The Court does not have the inherent </w:t>
      </w:r>
      <w:r w:rsidR="0097544B">
        <w:t xml:space="preserve">power to set aside its </w:t>
      </w:r>
      <w:r w:rsidR="005B1E8D">
        <w:t>judgments</w:t>
      </w:r>
      <w:r w:rsidR="0097544B">
        <w:t>.</w:t>
      </w:r>
      <w:r w:rsidR="00806A3D">
        <w:rPr>
          <w:rStyle w:val="FootnoteReference"/>
        </w:rPr>
        <w:footnoteReference w:id="19"/>
      </w:r>
    </w:p>
    <w:p w14:paraId="239189D6" w14:textId="2216D755" w:rsidR="00CF79E7" w:rsidRDefault="00CF79E7" w:rsidP="00A51274">
      <w:pPr>
        <w:pStyle w:val="WLGLevel1"/>
        <w:numPr>
          <w:ilvl w:val="0"/>
          <w:numId w:val="0"/>
        </w:numPr>
        <w:spacing w:line="360" w:lineRule="auto"/>
      </w:pPr>
      <w:r>
        <w:t xml:space="preserve">[19] The  general </w:t>
      </w:r>
      <w:r w:rsidR="008178BC">
        <w:t xml:space="preserve">rule is that, once judgment is given, the Court is </w:t>
      </w:r>
      <w:r w:rsidR="00A54551" w:rsidRPr="00A54551">
        <w:rPr>
          <w:i/>
          <w:iCs/>
        </w:rPr>
        <w:t>functus officio</w:t>
      </w:r>
      <w:r w:rsidR="00A54551">
        <w:t>.</w:t>
      </w:r>
      <w:r w:rsidR="00A54551">
        <w:rPr>
          <w:rStyle w:val="FootnoteReference"/>
        </w:rPr>
        <w:footnoteReference w:id="20"/>
      </w:r>
    </w:p>
    <w:p w14:paraId="0AC447D7" w14:textId="3B7D992C" w:rsidR="00294C40" w:rsidRDefault="00294C40" w:rsidP="00A51274">
      <w:pPr>
        <w:pStyle w:val="WLGLevel1"/>
        <w:numPr>
          <w:ilvl w:val="0"/>
          <w:numId w:val="0"/>
        </w:numPr>
        <w:spacing w:line="360" w:lineRule="auto"/>
      </w:pPr>
      <w:r>
        <w:t>[20</w:t>
      </w:r>
      <w:r w:rsidR="00A1547F">
        <w:t>] This does not apply to interlocutory orders.</w:t>
      </w:r>
      <w:r w:rsidR="00A1547F">
        <w:rPr>
          <w:rStyle w:val="FootnoteReference"/>
        </w:rPr>
        <w:footnoteReference w:id="21"/>
      </w:r>
      <w:r w:rsidR="00EE6D79">
        <w:t xml:space="preserve"> This rule is subject to certain exceptions,</w:t>
      </w:r>
      <w:r w:rsidR="00000769">
        <w:rPr>
          <w:rStyle w:val="FootnoteReference"/>
        </w:rPr>
        <w:footnoteReference w:id="22"/>
      </w:r>
      <w:r w:rsidR="00F90FEC">
        <w:t xml:space="preserve"> but these exceptions are very narrow.</w:t>
      </w:r>
      <w:r w:rsidR="009116FA">
        <w:rPr>
          <w:rStyle w:val="FootnoteReference"/>
        </w:rPr>
        <w:footnoteReference w:id="23"/>
      </w:r>
    </w:p>
    <w:p w14:paraId="1ADE2074" w14:textId="794A1202" w:rsidR="0003054E" w:rsidRDefault="0003054E" w:rsidP="00A51274">
      <w:pPr>
        <w:pStyle w:val="WLGLevel1"/>
        <w:numPr>
          <w:ilvl w:val="0"/>
          <w:numId w:val="0"/>
        </w:numPr>
        <w:spacing w:line="360" w:lineRule="auto"/>
      </w:pPr>
      <w:r>
        <w:lastRenderedPageBreak/>
        <w:t xml:space="preserve">[21] </w:t>
      </w:r>
      <w:r w:rsidR="00A80D13">
        <w:t>An application for rescission of judgment may be launched despite the fact that judgment was granted pursuant</w:t>
      </w:r>
      <w:r w:rsidR="00E32BFA">
        <w:t xml:space="preserve"> to the party being barred from pleading in terms of the notice of bar</w:t>
      </w:r>
      <w:r w:rsidR="007D45B8">
        <w:t>.</w:t>
      </w:r>
      <w:r w:rsidR="007D45B8">
        <w:rPr>
          <w:rStyle w:val="FootnoteReference"/>
        </w:rPr>
        <w:footnoteReference w:id="24"/>
      </w:r>
      <w:r w:rsidR="00F0030C">
        <w:t xml:space="preserve"> A Court may:</w:t>
      </w:r>
    </w:p>
    <w:p w14:paraId="7F3733D3" w14:textId="5D8EE624" w:rsidR="00CC70FC" w:rsidRDefault="0089260E" w:rsidP="00A51274">
      <w:pPr>
        <w:pStyle w:val="WLGLevel1"/>
        <w:numPr>
          <w:ilvl w:val="0"/>
          <w:numId w:val="0"/>
        </w:numPr>
        <w:spacing w:line="360" w:lineRule="auto"/>
      </w:pPr>
      <w:r>
        <w:t xml:space="preserve">    </w:t>
      </w:r>
      <w:r w:rsidR="00B038E0">
        <w:t xml:space="preserve">     </w:t>
      </w:r>
      <w:r w:rsidR="00CC70FC">
        <w:t xml:space="preserve">[21.1]  correct clerical errors in its </w:t>
      </w:r>
      <w:r w:rsidR="000257B2">
        <w:t>order of judgment;</w:t>
      </w:r>
      <w:r w:rsidR="000257B2">
        <w:rPr>
          <w:rStyle w:val="FootnoteReference"/>
        </w:rPr>
        <w:footnoteReference w:id="25"/>
      </w:r>
    </w:p>
    <w:p w14:paraId="354D01D0" w14:textId="77777777" w:rsidR="006B739B" w:rsidRDefault="00B038E0" w:rsidP="009C7BC5">
      <w:pPr>
        <w:pStyle w:val="WLGLevel1"/>
        <w:numPr>
          <w:ilvl w:val="0"/>
          <w:numId w:val="0"/>
        </w:numPr>
        <w:spacing w:before="0" w:after="0" w:line="360" w:lineRule="auto"/>
      </w:pPr>
      <w:r>
        <w:t xml:space="preserve">         </w:t>
      </w:r>
      <w:r w:rsidR="008179A1">
        <w:t>[21.2]  amend or supplement a judgment</w:t>
      </w:r>
      <w:r w:rsidR="00EC1A5B">
        <w:t>, provided the sense or substance is not</w:t>
      </w:r>
    </w:p>
    <w:p w14:paraId="53FA8328" w14:textId="3CF90F31" w:rsidR="008179A1" w:rsidRDefault="006B739B" w:rsidP="009C7BC5">
      <w:pPr>
        <w:pStyle w:val="WLGLevel1"/>
        <w:numPr>
          <w:ilvl w:val="0"/>
          <w:numId w:val="0"/>
        </w:numPr>
        <w:spacing w:before="0" w:after="0" w:line="360" w:lineRule="auto"/>
      </w:pPr>
      <w:r>
        <w:t xml:space="preserve">                   </w:t>
      </w:r>
      <w:r w:rsidR="00EC1A5B">
        <w:t xml:space="preserve"> affected by the change</w:t>
      </w:r>
      <w:r w:rsidR="00186444">
        <w:t>.</w:t>
      </w:r>
      <w:r w:rsidR="00186444">
        <w:rPr>
          <w:rStyle w:val="FootnoteReference"/>
        </w:rPr>
        <w:footnoteReference w:id="26"/>
      </w:r>
    </w:p>
    <w:p w14:paraId="162ED3A1" w14:textId="2B993071" w:rsidR="0089260E" w:rsidRDefault="00BE260C" w:rsidP="00A51274">
      <w:pPr>
        <w:pStyle w:val="WLGLevel1"/>
        <w:numPr>
          <w:ilvl w:val="0"/>
          <w:numId w:val="0"/>
        </w:numPr>
        <w:spacing w:line="360" w:lineRule="auto"/>
      </w:pPr>
      <w:r>
        <w:t>[22] Parties may also agree to add something to the order granted.</w:t>
      </w:r>
      <w:r w:rsidR="00F463E6">
        <w:rPr>
          <w:rStyle w:val="FootnoteReference"/>
        </w:rPr>
        <w:footnoteReference w:id="27"/>
      </w:r>
    </w:p>
    <w:p w14:paraId="702DA5A5" w14:textId="7112FE99" w:rsidR="00A114B2" w:rsidRDefault="008C3951" w:rsidP="00A51274">
      <w:pPr>
        <w:pStyle w:val="WLGLevel1"/>
        <w:numPr>
          <w:ilvl w:val="0"/>
          <w:numId w:val="0"/>
        </w:numPr>
        <w:spacing w:line="360" w:lineRule="auto"/>
      </w:pPr>
      <w:r>
        <w:t>[23</w:t>
      </w:r>
      <w:r w:rsidR="00DB10F6">
        <w:t>]</w:t>
      </w:r>
      <w:r>
        <w:t xml:space="preserve">  This application must be brought on the long form of motion</w:t>
      </w:r>
      <w:r w:rsidR="00CF4EDC">
        <w:t>.</w:t>
      </w:r>
      <w:r w:rsidR="00CF4EDC">
        <w:rPr>
          <w:rStyle w:val="FootnoteReference"/>
        </w:rPr>
        <w:footnoteReference w:id="28"/>
      </w:r>
      <w:r w:rsidR="0007593E">
        <w:t xml:space="preserve"> The Applicant must show that he has a direct and substantial interest in the subject matter of the judgment  or order.</w:t>
      </w:r>
      <w:r w:rsidR="00476F2E">
        <w:rPr>
          <w:rStyle w:val="FootnoteReference"/>
        </w:rPr>
        <w:footnoteReference w:id="29"/>
      </w:r>
    </w:p>
    <w:p w14:paraId="17746A35" w14:textId="13FFD333" w:rsidR="00DB10F6" w:rsidRDefault="00DB10F6" w:rsidP="00A51274">
      <w:pPr>
        <w:pStyle w:val="WLGLevel1"/>
        <w:numPr>
          <w:ilvl w:val="0"/>
          <w:numId w:val="0"/>
        </w:numPr>
        <w:spacing w:line="360" w:lineRule="auto"/>
      </w:pPr>
      <w:r>
        <w:t xml:space="preserve">[24] The Court has a discretion </w:t>
      </w:r>
      <w:r w:rsidR="00D237AE">
        <w:t>whether to grant an order.</w:t>
      </w:r>
      <w:r w:rsidR="00D237AE">
        <w:rPr>
          <w:rStyle w:val="FootnoteReference"/>
        </w:rPr>
        <w:footnoteReference w:id="30"/>
      </w:r>
      <w:r w:rsidR="00566D02">
        <w:t xml:space="preserve"> The Court’s discretion is limited to the </w:t>
      </w:r>
      <w:r w:rsidR="0000281E">
        <w:t>circumstances outlined in the rule.</w:t>
      </w:r>
      <w:r w:rsidR="0000281E">
        <w:rPr>
          <w:rStyle w:val="FootnoteReference"/>
        </w:rPr>
        <w:footnoteReference w:id="31"/>
      </w:r>
      <w:r w:rsidR="00B756B0">
        <w:t xml:space="preserve"> The discretion must be exercised judicially</w:t>
      </w:r>
      <w:r w:rsidR="002774C6">
        <w:t>.</w:t>
      </w:r>
      <w:r w:rsidR="002774C6">
        <w:rPr>
          <w:rStyle w:val="FootnoteReference"/>
        </w:rPr>
        <w:footnoteReference w:id="32"/>
      </w:r>
    </w:p>
    <w:p w14:paraId="06676799" w14:textId="023D9584" w:rsidR="000623AB" w:rsidRDefault="000623AB" w:rsidP="00A51274">
      <w:pPr>
        <w:pStyle w:val="WLGLevel1"/>
        <w:numPr>
          <w:ilvl w:val="0"/>
          <w:numId w:val="0"/>
        </w:numPr>
        <w:spacing w:line="360" w:lineRule="auto"/>
      </w:pPr>
      <w:r>
        <w:t xml:space="preserve">[25] </w:t>
      </w:r>
      <w:r w:rsidR="0024157F">
        <w:t xml:space="preserve">Rule 42(1)(a), which </w:t>
      </w:r>
      <w:r w:rsidR="00297536">
        <w:t>the Applicant relies on herein,</w:t>
      </w:r>
      <w:r w:rsidR="00297536">
        <w:rPr>
          <w:rStyle w:val="FootnoteReference"/>
        </w:rPr>
        <w:footnoteReference w:id="33"/>
      </w:r>
      <w:r w:rsidR="00DC5907">
        <w:t xml:space="preserve"> generally applies to </w:t>
      </w:r>
      <w:r w:rsidR="00DC5907" w:rsidRPr="00D26662">
        <w:rPr>
          <w:i/>
          <w:iCs/>
        </w:rPr>
        <w:t xml:space="preserve">exparte </w:t>
      </w:r>
      <w:r w:rsidR="00DC5907">
        <w:t>applications  or other matters where a party is absent.</w:t>
      </w:r>
      <w:r w:rsidR="00D26662">
        <w:rPr>
          <w:rStyle w:val="FootnoteReference"/>
        </w:rPr>
        <w:footnoteReference w:id="34"/>
      </w:r>
    </w:p>
    <w:p w14:paraId="09773AEB" w14:textId="1FCD7A17" w:rsidR="0052199F" w:rsidRDefault="0052199F" w:rsidP="00A51274">
      <w:pPr>
        <w:pStyle w:val="WLGLevel1"/>
        <w:numPr>
          <w:ilvl w:val="0"/>
          <w:numId w:val="0"/>
        </w:numPr>
        <w:spacing w:line="360" w:lineRule="auto"/>
      </w:pPr>
      <w:r>
        <w:lastRenderedPageBreak/>
        <w:t xml:space="preserve">[26] This rule does not apply where a legal representative was present when </w:t>
      </w:r>
      <w:r w:rsidR="006937EF">
        <w:t>judgment was granted.</w:t>
      </w:r>
      <w:r w:rsidR="006937EF">
        <w:rPr>
          <w:rStyle w:val="FootnoteReference"/>
        </w:rPr>
        <w:footnoteReference w:id="35"/>
      </w:r>
    </w:p>
    <w:p w14:paraId="192A3057" w14:textId="0B940900" w:rsidR="00831D50" w:rsidRDefault="00831D50" w:rsidP="00A51274">
      <w:pPr>
        <w:pStyle w:val="WLGLevel1"/>
        <w:numPr>
          <w:ilvl w:val="0"/>
          <w:numId w:val="0"/>
        </w:numPr>
        <w:spacing w:line="360" w:lineRule="auto"/>
      </w:pPr>
      <w:r>
        <w:t xml:space="preserve">[27] The rule applies, </w:t>
      </w:r>
      <w:r w:rsidR="003B4B96">
        <w:t>for example, when:</w:t>
      </w:r>
    </w:p>
    <w:p w14:paraId="6B92A1F4" w14:textId="2DB21A04" w:rsidR="003B4B96" w:rsidRDefault="003B4B96" w:rsidP="00A51274">
      <w:pPr>
        <w:pStyle w:val="WLGLevel1"/>
        <w:numPr>
          <w:ilvl w:val="0"/>
          <w:numId w:val="0"/>
        </w:numPr>
        <w:spacing w:line="360" w:lineRule="auto"/>
      </w:pPr>
      <w:r>
        <w:t xml:space="preserve">        [27</w:t>
      </w:r>
      <w:r w:rsidR="00654C96">
        <w:t>.1]</w:t>
      </w:r>
      <w:r w:rsidR="004A2CA5">
        <w:t xml:space="preserve"> </w:t>
      </w:r>
      <w:r w:rsidR="00654C96">
        <w:t xml:space="preserve"> the order was granted on a summons that did not disclose a cause of action</w:t>
      </w:r>
      <w:r w:rsidR="00F01DB0">
        <w:t>;</w:t>
      </w:r>
      <w:r w:rsidR="00F01DB0">
        <w:rPr>
          <w:rStyle w:val="FootnoteReference"/>
        </w:rPr>
        <w:footnoteReference w:id="36"/>
      </w:r>
    </w:p>
    <w:p w14:paraId="1D10CD86" w14:textId="6E8332EB" w:rsidR="002D6B7F" w:rsidRDefault="002D6B7F" w:rsidP="00A51274">
      <w:pPr>
        <w:pStyle w:val="WLGLevel1"/>
        <w:numPr>
          <w:ilvl w:val="0"/>
          <w:numId w:val="0"/>
        </w:numPr>
        <w:spacing w:line="360" w:lineRule="auto"/>
      </w:pPr>
      <w:r>
        <w:t xml:space="preserve">    </w:t>
      </w:r>
      <w:r w:rsidR="004A2CA5">
        <w:t xml:space="preserve">  </w:t>
      </w:r>
      <w:r w:rsidR="00ED3D26">
        <w:t xml:space="preserve"> </w:t>
      </w:r>
      <w:r>
        <w:t xml:space="preserve"> [27.2] </w:t>
      </w:r>
      <w:r w:rsidR="00ED3D26">
        <w:t xml:space="preserve"> </w:t>
      </w:r>
      <w:r>
        <w:t>the</w:t>
      </w:r>
      <w:r w:rsidR="00FC5ED2">
        <w:t xml:space="preserve"> order was consented to by an attorney without authority to do so</w:t>
      </w:r>
      <w:r w:rsidR="004A2CA5">
        <w:t>;</w:t>
      </w:r>
      <w:r w:rsidR="00ED3D26">
        <w:rPr>
          <w:rStyle w:val="FootnoteReference"/>
        </w:rPr>
        <w:footnoteReference w:id="37"/>
      </w:r>
    </w:p>
    <w:p w14:paraId="627E73B5" w14:textId="2C00B1A2" w:rsidR="002C2AC9" w:rsidRDefault="002C2AC9" w:rsidP="00A51274">
      <w:pPr>
        <w:pStyle w:val="WLGLevel1"/>
        <w:numPr>
          <w:ilvl w:val="0"/>
          <w:numId w:val="0"/>
        </w:numPr>
        <w:spacing w:line="360" w:lineRule="auto"/>
      </w:pPr>
      <w:r>
        <w:t xml:space="preserve">        [</w:t>
      </w:r>
      <w:r w:rsidR="008D7A8B">
        <w:t>27.3]  the order does not reflect its intention and this must be obvious</w:t>
      </w:r>
      <w:r w:rsidR="00332002">
        <w:t>;</w:t>
      </w:r>
      <w:r w:rsidR="00332002">
        <w:rPr>
          <w:rStyle w:val="FootnoteReference"/>
        </w:rPr>
        <w:footnoteReference w:id="38"/>
      </w:r>
    </w:p>
    <w:p w14:paraId="4D6FFB2C" w14:textId="0B95559B" w:rsidR="000F284D" w:rsidRDefault="000F284D" w:rsidP="00A51274">
      <w:pPr>
        <w:pStyle w:val="WLGLevel1"/>
        <w:numPr>
          <w:ilvl w:val="0"/>
          <w:numId w:val="0"/>
        </w:numPr>
        <w:spacing w:line="360" w:lineRule="auto"/>
      </w:pPr>
      <w:r>
        <w:t xml:space="preserve">       </w:t>
      </w:r>
      <w:r w:rsidR="002E21D7">
        <w:t xml:space="preserve"> </w:t>
      </w:r>
      <w:r>
        <w:t>[27</w:t>
      </w:r>
      <w:r w:rsidR="00196CCE">
        <w:t>.4]  it was legally incompetent for the Court to make the order</w:t>
      </w:r>
      <w:r w:rsidR="008B6C09">
        <w:t>.</w:t>
      </w:r>
      <w:r w:rsidR="008B6C09">
        <w:rPr>
          <w:rStyle w:val="FootnoteReference"/>
        </w:rPr>
        <w:footnoteReference w:id="39"/>
      </w:r>
    </w:p>
    <w:p w14:paraId="2066DAB4" w14:textId="69454131" w:rsidR="002F395F" w:rsidRDefault="002F395F" w:rsidP="00A51274">
      <w:pPr>
        <w:pStyle w:val="WLGLevel1"/>
        <w:numPr>
          <w:ilvl w:val="0"/>
          <w:numId w:val="0"/>
        </w:numPr>
        <w:spacing w:line="360" w:lineRule="auto"/>
      </w:pPr>
      <w:r>
        <w:t xml:space="preserve">[28] </w:t>
      </w:r>
      <w:r w:rsidR="00D13EB4">
        <w:t>The fact that a judgment was discharged is not a ground for setting it aside.</w:t>
      </w:r>
      <w:r w:rsidR="00D13EB4">
        <w:rPr>
          <w:rStyle w:val="FootnoteReference"/>
        </w:rPr>
        <w:footnoteReference w:id="40"/>
      </w:r>
    </w:p>
    <w:p w14:paraId="0223C3F7" w14:textId="6A7177E1" w:rsidR="008377F4" w:rsidRDefault="008377F4" w:rsidP="00A51274">
      <w:pPr>
        <w:pStyle w:val="WLGLevel1"/>
        <w:numPr>
          <w:ilvl w:val="0"/>
          <w:numId w:val="0"/>
        </w:numPr>
        <w:spacing w:line="360" w:lineRule="auto"/>
      </w:pPr>
      <w:r>
        <w:t xml:space="preserve">[29] A </w:t>
      </w:r>
      <w:r w:rsidR="00104684">
        <w:t xml:space="preserve">judgment to which a party is procedurally entitled is not </w:t>
      </w:r>
      <w:r w:rsidR="00AC05F2">
        <w:t>considered to be erroneously granted by reason of facts of which the judge who granted the judgment was una</w:t>
      </w:r>
      <w:r w:rsidR="00EC0D57">
        <w:t>ware.</w:t>
      </w:r>
      <w:r w:rsidR="00EC0D57">
        <w:rPr>
          <w:rStyle w:val="FootnoteReference"/>
        </w:rPr>
        <w:footnoteReference w:id="41"/>
      </w:r>
    </w:p>
    <w:p w14:paraId="6E09FFD6" w14:textId="4B32D532" w:rsidR="00DD773B" w:rsidRDefault="00DD773B" w:rsidP="00A51274">
      <w:pPr>
        <w:pStyle w:val="WLGLevel1"/>
        <w:numPr>
          <w:ilvl w:val="0"/>
          <w:numId w:val="0"/>
        </w:numPr>
        <w:spacing w:line="360" w:lineRule="auto"/>
      </w:pPr>
      <w:r>
        <w:t>[</w:t>
      </w:r>
      <w:r w:rsidR="00401A34">
        <w:t>30] Similarly, a judgment to which a Plaintiff is procedurally entitled in the absence of the Defendant, cannot be said to have been</w:t>
      </w:r>
      <w:r w:rsidR="00116E95">
        <w:t xml:space="preserve"> granted erroneously, in light of a subsequently disclosed defence.</w:t>
      </w:r>
      <w:r w:rsidR="008175E3">
        <w:rPr>
          <w:rStyle w:val="FootnoteReference"/>
        </w:rPr>
        <w:footnoteReference w:id="42"/>
      </w:r>
    </w:p>
    <w:p w14:paraId="61D3CD25" w14:textId="5BF00C13" w:rsidR="00327F58" w:rsidRDefault="00327F58" w:rsidP="00A51274">
      <w:pPr>
        <w:pStyle w:val="WLGLevel1"/>
        <w:numPr>
          <w:ilvl w:val="0"/>
          <w:numId w:val="0"/>
        </w:numPr>
        <w:spacing w:line="360" w:lineRule="auto"/>
      </w:pPr>
      <w:r>
        <w:lastRenderedPageBreak/>
        <w:t>[31]  Once it is shown</w:t>
      </w:r>
      <w:r w:rsidR="006F57EE">
        <w:t xml:space="preserve"> that the order was erroneously sought or erroneously granted, the Court will us</w:t>
      </w:r>
      <w:r w:rsidR="00D465E5">
        <w:t>ually rescind or vary the order.</w:t>
      </w:r>
      <w:r w:rsidR="00D465E5">
        <w:rPr>
          <w:rStyle w:val="FootnoteReference"/>
        </w:rPr>
        <w:footnoteReference w:id="43"/>
      </w:r>
    </w:p>
    <w:p w14:paraId="5913779D" w14:textId="7F610E52" w:rsidR="00407429" w:rsidRDefault="00407429" w:rsidP="00A51274">
      <w:pPr>
        <w:pStyle w:val="WLGLevel1"/>
        <w:numPr>
          <w:ilvl w:val="0"/>
          <w:numId w:val="0"/>
        </w:numPr>
        <w:spacing w:line="360" w:lineRule="auto"/>
      </w:pPr>
      <w:r>
        <w:t xml:space="preserve">[32]  A party </w:t>
      </w:r>
      <w:r w:rsidR="00725C8B">
        <w:t>need not show good cause.</w:t>
      </w:r>
      <w:r w:rsidR="00725C8B">
        <w:rPr>
          <w:rStyle w:val="FootnoteReference"/>
        </w:rPr>
        <w:footnoteReference w:id="44"/>
      </w:r>
    </w:p>
    <w:p w14:paraId="6C0FBFE5" w14:textId="726DC324" w:rsidR="00F812F5" w:rsidRDefault="00F812F5" w:rsidP="00A51274">
      <w:pPr>
        <w:pStyle w:val="WLGLevel1"/>
        <w:numPr>
          <w:ilvl w:val="0"/>
          <w:numId w:val="0"/>
        </w:numPr>
        <w:spacing w:line="360" w:lineRule="auto"/>
      </w:pPr>
      <w:r>
        <w:t xml:space="preserve">[33] </w:t>
      </w:r>
      <w:r w:rsidR="002B59AE">
        <w:t>The negligence of the Applicant’</w:t>
      </w:r>
      <w:r w:rsidR="00C5488A">
        <w:t>s attorneys is not, in itself, a ground</w:t>
      </w:r>
      <w:r w:rsidR="00C36D16">
        <w:t xml:space="preserve"> for rescission.</w:t>
      </w:r>
      <w:r w:rsidR="00C36D16">
        <w:rPr>
          <w:rStyle w:val="FootnoteReference"/>
        </w:rPr>
        <w:footnoteReference w:id="45"/>
      </w:r>
    </w:p>
    <w:p w14:paraId="53F136DE" w14:textId="1B0C65F0" w:rsidR="00DC589E" w:rsidRDefault="00DC589E" w:rsidP="00A51274">
      <w:pPr>
        <w:pStyle w:val="WLGLevel1"/>
        <w:numPr>
          <w:ilvl w:val="0"/>
          <w:numId w:val="0"/>
        </w:numPr>
        <w:spacing w:line="360" w:lineRule="auto"/>
      </w:pPr>
      <w:r>
        <w:t>[34] The Court considering the rescission is entitled to have regard to facts that did not appear from the record of proceedings and of which the Court granting the order was unaware</w:t>
      </w:r>
      <w:r w:rsidR="00973ED1">
        <w:t>.</w:t>
      </w:r>
      <w:r w:rsidR="00973ED1">
        <w:rPr>
          <w:rStyle w:val="FootnoteReference"/>
        </w:rPr>
        <w:footnoteReference w:id="46"/>
      </w:r>
    </w:p>
    <w:p w14:paraId="680F9483" w14:textId="099EF8A5" w:rsidR="00606860" w:rsidRDefault="00606860" w:rsidP="00A51274">
      <w:pPr>
        <w:pStyle w:val="WLGLevel1"/>
        <w:numPr>
          <w:ilvl w:val="0"/>
          <w:numId w:val="0"/>
        </w:numPr>
        <w:spacing w:line="360" w:lineRule="auto"/>
      </w:pPr>
      <w:r>
        <w:t xml:space="preserve">[35] This rule may be invoked in </w:t>
      </w:r>
      <w:r w:rsidR="000F74AC">
        <w:t>circumstances</w:t>
      </w:r>
      <w:r>
        <w:t xml:space="preserve"> where material</w:t>
      </w:r>
      <w:r w:rsidR="00D5233A">
        <w:t xml:space="preserve"> </w:t>
      </w:r>
      <w:r w:rsidR="000F74AC">
        <w:t>facts</w:t>
      </w:r>
      <w:r w:rsidR="00D5233A">
        <w:t xml:space="preserve"> were withheld from, or deliberately misrepresented to the Court or where an order was sought without notice to an interested party</w:t>
      </w:r>
      <w:r w:rsidR="000F74AC">
        <w:t>.</w:t>
      </w:r>
      <w:r w:rsidR="000F74AC">
        <w:rPr>
          <w:rStyle w:val="FootnoteReference"/>
        </w:rPr>
        <w:footnoteReference w:id="47"/>
      </w:r>
      <w:r w:rsidR="000F74AC">
        <w:t xml:space="preserve"> </w:t>
      </w:r>
    </w:p>
    <w:p w14:paraId="33B9A233" w14:textId="20D27CE1" w:rsidR="003B5DDD" w:rsidRDefault="00D77A9D" w:rsidP="00A51274">
      <w:pPr>
        <w:pStyle w:val="WLGLevel1"/>
        <w:numPr>
          <w:ilvl w:val="0"/>
          <w:numId w:val="0"/>
        </w:numPr>
        <w:spacing w:line="360" w:lineRule="auto"/>
        <w:rPr>
          <w:b/>
          <w:bCs/>
        </w:rPr>
      </w:pPr>
      <w:r w:rsidRPr="00AF5C49">
        <w:rPr>
          <w:b/>
          <w:bCs/>
        </w:rPr>
        <w:t>Discu</w:t>
      </w:r>
      <w:r w:rsidR="00AF5C49" w:rsidRPr="00AF5C49">
        <w:rPr>
          <w:b/>
          <w:bCs/>
        </w:rPr>
        <w:t>ssion and application of the law.</w:t>
      </w:r>
    </w:p>
    <w:p w14:paraId="5AC4383F" w14:textId="107B9715" w:rsidR="008A32CC" w:rsidRDefault="00B72FB1" w:rsidP="008A32CC">
      <w:pPr>
        <w:pStyle w:val="WLGLevel1"/>
        <w:numPr>
          <w:ilvl w:val="0"/>
          <w:numId w:val="0"/>
        </w:numPr>
        <w:spacing w:line="360" w:lineRule="auto"/>
      </w:pPr>
      <w:r w:rsidRPr="00B72FB1">
        <w:t>[37]</w:t>
      </w:r>
      <w:r w:rsidR="008A32CC">
        <w:t xml:space="preserve"> When </w:t>
      </w:r>
      <w:r w:rsidR="008A32CC" w:rsidRPr="008A32CC">
        <w:t xml:space="preserve">considering </w:t>
      </w:r>
      <w:r w:rsidR="0030398B">
        <w:t xml:space="preserve">the </w:t>
      </w:r>
      <w:r w:rsidR="008A32CC" w:rsidRPr="008A32CC">
        <w:t>ephemeral factual matrix</w:t>
      </w:r>
      <w:r w:rsidR="008A32CC" w:rsidRPr="00223E0B">
        <w:rPr>
          <w:i/>
          <w:iCs/>
        </w:rPr>
        <w:t xml:space="preserve"> </w:t>
      </w:r>
      <w:r w:rsidR="0030398B" w:rsidRPr="00223E0B">
        <w:rPr>
          <w:i/>
          <w:iCs/>
        </w:rPr>
        <w:t>supra</w:t>
      </w:r>
      <w:r w:rsidR="0030398B">
        <w:t xml:space="preserve">, and the </w:t>
      </w:r>
      <w:r w:rsidR="0065511F">
        <w:t xml:space="preserve">totality of submissions </w:t>
      </w:r>
      <w:r w:rsidR="0064668F">
        <w:t>made by</w:t>
      </w:r>
      <w:r w:rsidR="0065511F">
        <w:t xml:space="preserve"> both counsel</w:t>
      </w:r>
      <w:r w:rsidR="0064668F">
        <w:t>s in this matter,</w:t>
      </w:r>
      <w:r w:rsidR="00223E0B">
        <w:t xml:space="preserve"> </w:t>
      </w:r>
      <w:r w:rsidR="0064668F">
        <w:t xml:space="preserve">the Court cannot be faulted </w:t>
      </w:r>
      <w:r w:rsidR="002907C3">
        <w:t xml:space="preserve">in upholding that the respondent has complied </w:t>
      </w:r>
      <w:r w:rsidR="00B708E2">
        <w:t xml:space="preserve"> with the provisions of the National Credit  Act, Act 34 of 2005</w:t>
      </w:r>
      <w:r w:rsidR="00A76A0A">
        <w:t xml:space="preserve"> prior to issuing of summons.  </w:t>
      </w:r>
      <w:r w:rsidR="00746CDE">
        <w:t xml:space="preserve">In </w:t>
      </w:r>
      <w:r w:rsidR="002B5E64">
        <w:t>fact,</w:t>
      </w:r>
      <w:r w:rsidR="00746CDE">
        <w:t xml:space="preserve"> </w:t>
      </w:r>
      <w:r w:rsidR="00EC2E7A">
        <w:t xml:space="preserve">the applicant conceded that the </w:t>
      </w:r>
      <w:r w:rsidR="00615DF3">
        <w:t xml:space="preserve"> letter</w:t>
      </w:r>
      <w:r w:rsidR="006E75CB">
        <w:t xml:space="preserve"> dispatched to her </w:t>
      </w:r>
      <w:r w:rsidR="002B5E64">
        <w:t xml:space="preserve">on 16 April 2018  in terms of section 129(1) of the NCA she was in arrears in the sum of R33 051.18. </w:t>
      </w:r>
      <w:r w:rsidR="004822E1">
        <w:t xml:space="preserve">Fortuitously </w:t>
      </w:r>
      <w:r w:rsidR="002B5E64">
        <w:t xml:space="preserve">on 10 April 2018 </w:t>
      </w:r>
      <w:r w:rsidR="004822E1">
        <w:t xml:space="preserve"> she </w:t>
      </w:r>
      <w:r w:rsidR="002B5E64">
        <w:t xml:space="preserve">made payment to her arrear home loan </w:t>
      </w:r>
      <w:r w:rsidR="007F1294">
        <w:t xml:space="preserve">account </w:t>
      </w:r>
      <w:r w:rsidR="002B5E64">
        <w:t>in the amount of R 11078.97</w:t>
      </w:r>
      <w:r w:rsidR="004822E1">
        <w:t>.</w:t>
      </w:r>
      <w:r w:rsidR="00C965EC">
        <w:t xml:space="preserve"> </w:t>
      </w:r>
      <w:r w:rsidR="001B78DF">
        <w:t>To which, the</w:t>
      </w:r>
      <w:r w:rsidR="00C965EC">
        <w:t xml:space="preserve"> </w:t>
      </w:r>
      <w:r w:rsidR="004F4BEB">
        <w:t xml:space="preserve">counsel for the Applicant conceded </w:t>
      </w:r>
      <w:r w:rsidR="004F4BEB">
        <w:lastRenderedPageBreak/>
        <w:t xml:space="preserve">that it did not </w:t>
      </w:r>
      <w:r w:rsidR="001B78DF">
        <w:t>extinguish</w:t>
      </w:r>
      <w:r w:rsidR="004F4BEB">
        <w:t xml:space="preserve"> the </w:t>
      </w:r>
      <w:r w:rsidR="00D24E71">
        <w:t xml:space="preserve">entire </w:t>
      </w:r>
      <w:r w:rsidR="004F4BEB">
        <w:t>arrears</w:t>
      </w:r>
      <w:r w:rsidR="00D24E71">
        <w:t xml:space="preserve"> as per the </w:t>
      </w:r>
      <w:r w:rsidR="00401C80">
        <w:t>section 129 notice</w:t>
      </w:r>
      <w:r w:rsidR="004F4BEB">
        <w:t xml:space="preserve"> </w:t>
      </w:r>
      <w:r w:rsidR="001B78DF">
        <w:t xml:space="preserve">let alone </w:t>
      </w:r>
      <w:r w:rsidR="00E92BE7">
        <w:t xml:space="preserve">to make the </w:t>
      </w:r>
      <w:r w:rsidR="001149F0">
        <w:t>mortgage loan account to be uptodate.</w:t>
      </w:r>
    </w:p>
    <w:p w14:paraId="5D45AC96" w14:textId="1D5068AC" w:rsidR="000E326D" w:rsidRDefault="000E326D" w:rsidP="008A32CC">
      <w:pPr>
        <w:pStyle w:val="WLGLevel1"/>
        <w:numPr>
          <w:ilvl w:val="0"/>
          <w:numId w:val="0"/>
        </w:numPr>
        <w:spacing w:line="360" w:lineRule="auto"/>
      </w:pPr>
      <w:r>
        <w:t xml:space="preserve">[38] </w:t>
      </w:r>
      <w:r w:rsidR="003B1894">
        <w:t xml:space="preserve">The Court is </w:t>
      </w:r>
      <w:r>
        <w:t>of the firm vi</w:t>
      </w:r>
      <w:r w:rsidR="003B1894">
        <w:t xml:space="preserve">ew that the decision </w:t>
      </w:r>
      <w:r w:rsidR="00692008">
        <w:t xml:space="preserve">in  </w:t>
      </w:r>
      <w:r w:rsidR="00692008" w:rsidRPr="00856564">
        <w:rPr>
          <w:b/>
          <w:bCs/>
        </w:rPr>
        <w:t xml:space="preserve">Starita case mentioned </w:t>
      </w:r>
      <w:r w:rsidR="00692008" w:rsidRPr="00856564">
        <w:rPr>
          <w:b/>
          <w:bCs/>
          <w:i/>
          <w:iCs/>
        </w:rPr>
        <w:t>supra</w:t>
      </w:r>
      <w:r w:rsidR="00E36868">
        <w:rPr>
          <w:rStyle w:val="FootnoteReference"/>
          <w:b/>
          <w:bCs/>
          <w:i/>
          <w:iCs/>
        </w:rPr>
        <w:footnoteReference w:id="48"/>
      </w:r>
      <w:r w:rsidR="00692008">
        <w:t xml:space="preserve"> does not assist the applicant in its</w:t>
      </w:r>
      <w:r w:rsidR="004D6DB4">
        <w:t xml:space="preserve"> rescission</w:t>
      </w:r>
      <w:r w:rsidR="00692008">
        <w:t xml:space="preserve"> </w:t>
      </w:r>
      <w:r w:rsidR="004D6DB4">
        <w:t>application</w:t>
      </w:r>
      <w:r w:rsidR="00504D09">
        <w:t>.</w:t>
      </w:r>
      <w:r w:rsidR="00E81D4D">
        <w:t xml:space="preserve"> </w:t>
      </w:r>
      <w:r w:rsidR="00C8264A">
        <w:t xml:space="preserve">It is undisputed </w:t>
      </w:r>
      <w:r w:rsidR="0060033F">
        <w:t xml:space="preserve">and common cause facts that the applicant and the respondent </w:t>
      </w:r>
      <w:r w:rsidR="00242AF1">
        <w:t xml:space="preserve">concluded a loan agreement, indebtedness of which was secured </w:t>
      </w:r>
      <w:r w:rsidR="00505DB0">
        <w:t>by  registration of a</w:t>
      </w:r>
      <w:r w:rsidR="006174AF">
        <w:t xml:space="preserve"> mortgage bond over the immovable property </w:t>
      </w:r>
      <w:r w:rsidR="005536E1">
        <w:t xml:space="preserve">as mentioned </w:t>
      </w:r>
      <w:r w:rsidR="005536E1" w:rsidRPr="005536E1">
        <w:rPr>
          <w:i/>
          <w:iCs/>
        </w:rPr>
        <w:t>supra</w:t>
      </w:r>
      <w:r w:rsidR="005536E1">
        <w:t xml:space="preserve"> in this judgment.</w:t>
      </w:r>
      <w:r w:rsidR="00505DB0">
        <w:t xml:space="preserve"> </w:t>
      </w:r>
      <w:r w:rsidR="0066088F">
        <w:t xml:space="preserve">The National Credit Act, 34 of 2005, is applicable </w:t>
      </w:r>
      <w:r w:rsidR="00245F85">
        <w:t>to the home loan agreement.</w:t>
      </w:r>
      <w:r w:rsidR="003227E2" w:rsidRPr="003227E2">
        <w:t xml:space="preserve"> </w:t>
      </w:r>
      <w:r w:rsidR="003227E2">
        <w:t>The respondent  has complied with the terms of the home loan agreement.</w:t>
      </w:r>
    </w:p>
    <w:p w14:paraId="223217C1" w14:textId="35590140" w:rsidR="00535BD0" w:rsidRDefault="00535BD0" w:rsidP="008A32CC">
      <w:pPr>
        <w:pStyle w:val="WLGLevel1"/>
        <w:numPr>
          <w:ilvl w:val="0"/>
          <w:numId w:val="0"/>
        </w:numPr>
        <w:spacing w:line="360" w:lineRule="auto"/>
      </w:pPr>
      <w:r>
        <w:t xml:space="preserve">[39] </w:t>
      </w:r>
      <w:r w:rsidR="00213DE9">
        <w:t xml:space="preserve">The applicant had been aware of the proceedings for more than three (3) years. </w:t>
      </w:r>
      <w:r w:rsidR="00B148E1">
        <w:t xml:space="preserve">A perfunctory </w:t>
      </w:r>
      <w:r w:rsidR="00D86054">
        <w:t xml:space="preserve">reading of the </w:t>
      </w:r>
      <w:r w:rsidR="00EE601D">
        <w:t xml:space="preserve">applicant’s founding affidavit  reveals that </w:t>
      </w:r>
      <w:r w:rsidR="00F535B2">
        <w:t>:</w:t>
      </w:r>
    </w:p>
    <w:p w14:paraId="6C4CEED9" w14:textId="1D90174A" w:rsidR="009574C7" w:rsidRDefault="00D6022D" w:rsidP="008A32CC">
      <w:pPr>
        <w:pStyle w:val="WLGLevel1"/>
        <w:numPr>
          <w:ilvl w:val="0"/>
          <w:numId w:val="0"/>
        </w:numPr>
        <w:spacing w:line="360" w:lineRule="auto"/>
      </w:pPr>
      <w:r>
        <w:t xml:space="preserve">  </w:t>
      </w:r>
      <w:r w:rsidR="00AD3D26">
        <w:t xml:space="preserve">[1] </w:t>
      </w:r>
      <w:r w:rsidR="00DA02A0">
        <w:t>She</w:t>
      </w:r>
      <w:r w:rsidR="00AD3D26">
        <w:t xml:space="preserve"> does not contest having full knowledge of the application </w:t>
      </w:r>
      <w:r w:rsidR="00763579">
        <w:t xml:space="preserve">from the very onset and that she chose not </w:t>
      </w:r>
      <w:r w:rsidR="007A470E">
        <w:t>to defend the summons</w:t>
      </w:r>
      <w:r w:rsidR="00127AFE">
        <w:t xml:space="preserve"> issued on </w:t>
      </w:r>
      <w:r w:rsidR="00127AFE" w:rsidRPr="00127AFE">
        <w:t>5 June 2018</w:t>
      </w:r>
      <w:r w:rsidR="007A470E">
        <w:t xml:space="preserve"> and also not to </w:t>
      </w:r>
      <w:r w:rsidR="00310A71">
        <w:t>oppose</w:t>
      </w:r>
      <w:r w:rsidR="007A470E">
        <w:t xml:space="preserve"> the judgment by default that was </w:t>
      </w:r>
      <w:r w:rsidR="003929C4">
        <w:t>successfully</w:t>
      </w:r>
      <w:r w:rsidR="007A470E">
        <w:t xml:space="preserve"> </w:t>
      </w:r>
      <w:r w:rsidR="003929C4">
        <w:t xml:space="preserve">granted on the 19 August 2019 </w:t>
      </w:r>
      <w:r w:rsidR="00BE7E60">
        <w:t>.</w:t>
      </w:r>
      <w:r w:rsidR="002A0557">
        <w:t xml:space="preserve"> </w:t>
      </w:r>
    </w:p>
    <w:p w14:paraId="5817900A" w14:textId="399E42B2" w:rsidR="009810BD" w:rsidRDefault="00822BBF" w:rsidP="008A32CC">
      <w:pPr>
        <w:pStyle w:val="WLGLevel1"/>
        <w:numPr>
          <w:ilvl w:val="0"/>
          <w:numId w:val="0"/>
        </w:numPr>
        <w:spacing w:line="360" w:lineRule="auto"/>
      </w:pPr>
      <w:r>
        <w:t xml:space="preserve">  </w:t>
      </w:r>
      <w:r w:rsidR="00F14622">
        <w:t xml:space="preserve">[2] </w:t>
      </w:r>
      <w:r w:rsidR="00DA02A0">
        <w:t xml:space="preserve"> She</w:t>
      </w:r>
      <w:r w:rsidR="00F14622">
        <w:t xml:space="preserve"> was at all material times  gra</w:t>
      </w:r>
      <w:r w:rsidR="00F1060F">
        <w:t>n</w:t>
      </w:r>
      <w:r w:rsidR="00F14622">
        <w:t>ted indu</w:t>
      </w:r>
      <w:r w:rsidR="000742B5">
        <w:t xml:space="preserve">lgence by the respondent to try and remedy her </w:t>
      </w:r>
      <w:r w:rsidR="005764F6">
        <w:t xml:space="preserve">loan account which has been in arrears </w:t>
      </w:r>
      <w:r w:rsidR="008C4A14">
        <w:t>from an amount of R 33,</w:t>
      </w:r>
      <w:r w:rsidR="003B31D0">
        <w:t>051.18 on 16 April 2018</w:t>
      </w:r>
      <w:r w:rsidR="00C2235D">
        <w:t xml:space="preserve"> to have </w:t>
      </w:r>
      <w:r w:rsidR="006E12B2">
        <w:t>monotonously escalated to some R120,6</w:t>
      </w:r>
      <w:r w:rsidR="00CB3E3C">
        <w:t xml:space="preserve">83.96 as </w:t>
      </w:r>
      <w:r w:rsidR="007B4BAE">
        <w:t>of</w:t>
      </w:r>
      <w:r w:rsidR="00CB3E3C">
        <w:t xml:space="preserve"> 26 April 2022.</w:t>
      </w:r>
    </w:p>
    <w:p w14:paraId="5DCD13DE" w14:textId="47160696" w:rsidR="00CB3E3C" w:rsidRDefault="00822BBF" w:rsidP="008A32CC">
      <w:pPr>
        <w:pStyle w:val="WLGLevel1"/>
        <w:numPr>
          <w:ilvl w:val="0"/>
          <w:numId w:val="0"/>
        </w:numPr>
        <w:spacing w:line="360" w:lineRule="auto"/>
      </w:pPr>
      <w:r>
        <w:t xml:space="preserve"> </w:t>
      </w:r>
      <w:r w:rsidR="00C90605">
        <w:t xml:space="preserve">  </w:t>
      </w:r>
      <w:r w:rsidR="0097304A">
        <w:t>[3]</w:t>
      </w:r>
      <w:r w:rsidR="00DD475C">
        <w:t xml:space="preserve"> </w:t>
      </w:r>
      <w:r w:rsidR="002D08DC">
        <w:t xml:space="preserve">Having received the Section 129(1) notice she </w:t>
      </w:r>
      <w:r w:rsidR="00E66EEE">
        <w:t>chose not to take up the invitation in the Section 129 letter by approac</w:t>
      </w:r>
      <w:r w:rsidR="00B31660">
        <w:t xml:space="preserve">hing a debt counsellor, alternatively dispute resolution agent, Consumer </w:t>
      </w:r>
      <w:r w:rsidR="00E4530E">
        <w:t>Court,</w:t>
      </w:r>
      <w:r w:rsidR="00B31660">
        <w:t xml:space="preserve"> or bank ombu</w:t>
      </w:r>
      <w:r w:rsidR="00020156">
        <w:t>dsman .</w:t>
      </w:r>
    </w:p>
    <w:p w14:paraId="1A7853BA" w14:textId="4344F273" w:rsidR="00E4530E" w:rsidRDefault="00C90605" w:rsidP="008A32CC">
      <w:pPr>
        <w:pStyle w:val="WLGLevel1"/>
        <w:numPr>
          <w:ilvl w:val="0"/>
          <w:numId w:val="0"/>
        </w:numPr>
        <w:spacing w:line="360" w:lineRule="auto"/>
      </w:pPr>
      <w:r>
        <w:t xml:space="preserve">    </w:t>
      </w:r>
      <w:r w:rsidR="00E4530E">
        <w:t xml:space="preserve">[4] </w:t>
      </w:r>
      <w:r w:rsidR="00CA65BD">
        <w:t xml:space="preserve">Since </w:t>
      </w:r>
      <w:r w:rsidR="0034097A">
        <w:t xml:space="preserve">17 </w:t>
      </w:r>
      <w:r w:rsidR="00B40D59">
        <w:t xml:space="preserve">September 2019, the applicant </w:t>
      </w:r>
      <w:r w:rsidR="00953ACF">
        <w:t xml:space="preserve">was afforded numerous opportunities </w:t>
      </w:r>
      <w:r w:rsidR="0094355C">
        <w:t xml:space="preserve">in terms of addressing </w:t>
      </w:r>
      <w:r w:rsidR="00F76599">
        <w:t xml:space="preserve">her indebtedness </w:t>
      </w:r>
      <w:r w:rsidR="00282AF3">
        <w:t>and escalating arrears</w:t>
      </w:r>
      <w:r w:rsidR="00E821BD">
        <w:t xml:space="preserve"> </w:t>
      </w:r>
      <w:r w:rsidR="002C1A8C">
        <w:t>this ha</w:t>
      </w:r>
      <w:r w:rsidR="00BA2828">
        <w:t>d</w:t>
      </w:r>
      <w:r w:rsidR="002C1A8C">
        <w:t xml:space="preserve"> the effect in the respondent cancelling </w:t>
      </w:r>
      <w:r w:rsidR="00BA2828">
        <w:t xml:space="preserve">the </w:t>
      </w:r>
      <w:r w:rsidR="00DE15DA">
        <w:t xml:space="preserve">sale in execution  that </w:t>
      </w:r>
      <w:r w:rsidR="00420664">
        <w:t>was scheduled for 29 May 2020.</w:t>
      </w:r>
      <w:r w:rsidR="007A0067">
        <w:t xml:space="preserve"> The </w:t>
      </w:r>
      <w:r w:rsidR="007A0067">
        <w:lastRenderedPageBreak/>
        <w:t xml:space="preserve">payment history of the </w:t>
      </w:r>
      <w:r w:rsidR="00D65A8A">
        <w:t xml:space="preserve">applicant also reveals her in ability to </w:t>
      </w:r>
      <w:r w:rsidR="00E840B8">
        <w:t>settle</w:t>
      </w:r>
      <w:r w:rsidR="00D65A8A">
        <w:t xml:space="preserve"> her arrears and </w:t>
      </w:r>
      <w:r w:rsidR="005D7851">
        <w:t xml:space="preserve">to </w:t>
      </w:r>
      <w:r w:rsidR="00E840B8">
        <w:t xml:space="preserve">maintain her loan account </w:t>
      </w:r>
      <w:r w:rsidR="003B5B24">
        <w:t>to be up</w:t>
      </w:r>
      <w:r w:rsidR="00E840B8">
        <w:t>todate.</w:t>
      </w:r>
    </w:p>
    <w:p w14:paraId="6B45BCAF" w14:textId="6AF8A016" w:rsidR="00F470D0" w:rsidRDefault="00C90605" w:rsidP="008A32CC">
      <w:pPr>
        <w:pStyle w:val="WLGLevel1"/>
        <w:numPr>
          <w:ilvl w:val="0"/>
          <w:numId w:val="0"/>
        </w:numPr>
        <w:spacing w:line="360" w:lineRule="auto"/>
      </w:pPr>
      <w:r>
        <w:t xml:space="preserve">    </w:t>
      </w:r>
      <w:r w:rsidR="00F470D0">
        <w:t xml:space="preserve">[5] </w:t>
      </w:r>
      <w:r w:rsidR="00834ACB">
        <w:t>The applicant has had ample opportunity</w:t>
      </w:r>
      <w:r w:rsidR="005C70D8">
        <w:t xml:space="preserve">, </w:t>
      </w:r>
      <w:r w:rsidR="009039D1">
        <w:t>in fact</w:t>
      </w:r>
      <w:r w:rsidR="005C70D8">
        <w:t xml:space="preserve"> some more than four (4) years </w:t>
      </w:r>
      <w:r w:rsidR="00167161">
        <w:t xml:space="preserve">since the initial Section 129 notice was forwarded to her in order </w:t>
      </w:r>
      <w:r w:rsidR="001D05D5">
        <w:t>to rectify her default status</w:t>
      </w:r>
      <w:r w:rsidR="005C17E6">
        <w:rPr>
          <w:rStyle w:val="FootnoteReference"/>
        </w:rPr>
        <w:footnoteReference w:id="49"/>
      </w:r>
      <w:r w:rsidR="001D05D5">
        <w:t>.</w:t>
      </w:r>
    </w:p>
    <w:p w14:paraId="1A8132A5" w14:textId="1BF8369D" w:rsidR="00E840B8" w:rsidRDefault="00E840B8" w:rsidP="008A32CC">
      <w:pPr>
        <w:pStyle w:val="WLGLevel1"/>
        <w:numPr>
          <w:ilvl w:val="0"/>
          <w:numId w:val="0"/>
        </w:numPr>
        <w:spacing w:line="360" w:lineRule="auto"/>
      </w:pPr>
      <w:r>
        <w:t>[40]</w:t>
      </w:r>
      <w:r w:rsidR="0049132F">
        <w:t xml:space="preserve"> The applicant has failed dismally </w:t>
      </w:r>
      <w:r w:rsidR="0005315A">
        <w:t xml:space="preserve">to demonstrate her financial ability to keep up with her legal </w:t>
      </w:r>
      <w:r w:rsidR="00327BC5">
        <w:t>obligations</w:t>
      </w:r>
      <w:r w:rsidR="0005315A">
        <w:t xml:space="preserve"> </w:t>
      </w:r>
      <w:r w:rsidR="00327BC5">
        <w:t>in terms of servicing her home loan agreement.</w:t>
      </w:r>
      <w:r w:rsidR="004F4D9E">
        <w:t xml:space="preserve"> Her assertion</w:t>
      </w:r>
      <w:r w:rsidR="008862F8">
        <w:t xml:space="preserve"> that she fell </w:t>
      </w:r>
      <w:r w:rsidR="008862F8" w:rsidRPr="0011128F">
        <w:rPr>
          <w:i/>
          <w:iCs/>
        </w:rPr>
        <w:t>“</w:t>
      </w:r>
      <w:r w:rsidR="0011128F" w:rsidRPr="0011128F">
        <w:rPr>
          <w:i/>
          <w:iCs/>
        </w:rPr>
        <w:t xml:space="preserve"> </w:t>
      </w:r>
      <w:r w:rsidR="008862F8" w:rsidRPr="0011128F">
        <w:rPr>
          <w:i/>
          <w:iCs/>
        </w:rPr>
        <w:t>into serious health, emotional and financial crisis</w:t>
      </w:r>
      <w:r w:rsidR="008862F8">
        <w:t xml:space="preserve"> </w:t>
      </w:r>
      <w:r w:rsidR="0011128F">
        <w:t>”</w:t>
      </w:r>
      <w:r w:rsidR="000D06DF">
        <w:t xml:space="preserve"> is </w:t>
      </w:r>
      <w:r w:rsidR="00715585">
        <w:t>bald ,</w:t>
      </w:r>
      <w:r w:rsidR="0005399B">
        <w:t xml:space="preserve"> generally </w:t>
      </w:r>
      <w:r w:rsidR="00174315">
        <w:t>vague,</w:t>
      </w:r>
      <w:r w:rsidR="00715585">
        <w:t xml:space="preserve"> and sketchy </w:t>
      </w:r>
      <w:r w:rsidR="0005399B">
        <w:t xml:space="preserve"> uninform</w:t>
      </w:r>
      <w:r w:rsidR="00F72514">
        <w:t xml:space="preserve">ative </w:t>
      </w:r>
      <w:r w:rsidR="00422CE3">
        <w:t xml:space="preserve">averments </w:t>
      </w:r>
      <w:r w:rsidR="00F72514">
        <w:t>which does not take the matter any further.</w:t>
      </w:r>
      <w:r w:rsidR="00AA48D0">
        <w:t xml:space="preserve"> Her further assertion</w:t>
      </w:r>
      <w:r w:rsidR="00B307DB">
        <w:t xml:space="preserve"> that she paid “ </w:t>
      </w:r>
      <w:r w:rsidR="00B307DB" w:rsidRPr="00B307DB">
        <w:rPr>
          <w:i/>
          <w:iCs/>
        </w:rPr>
        <w:t>whatever monies I could to save my house</w:t>
      </w:r>
      <w:r w:rsidR="00B307DB">
        <w:t xml:space="preserve">” </w:t>
      </w:r>
      <w:r w:rsidR="00ED59F7">
        <w:t xml:space="preserve">does not in any </w:t>
      </w:r>
      <w:r w:rsidR="00D67468">
        <w:t>form</w:t>
      </w:r>
      <w:r w:rsidR="006E1D58">
        <w:t>, shape</w:t>
      </w:r>
      <w:r w:rsidR="00D67468">
        <w:t xml:space="preserve"> and/or </w:t>
      </w:r>
      <w:r w:rsidR="006E1D58">
        <w:t>guise</w:t>
      </w:r>
      <w:r w:rsidR="00D67468">
        <w:t xml:space="preserve"> translate to full settlement of the arrears</w:t>
      </w:r>
      <w:r w:rsidR="0092642E">
        <w:t xml:space="preserve">. </w:t>
      </w:r>
    </w:p>
    <w:p w14:paraId="6A30D1C1" w14:textId="5D434E08" w:rsidR="00A11410" w:rsidRDefault="00A11410" w:rsidP="008A32CC">
      <w:pPr>
        <w:pStyle w:val="WLGLevel1"/>
        <w:numPr>
          <w:ilvl w:val="0"/>
          <w:numId w:val="0"/>
        </w:numPr>
        <w:spacing w:line="360" w:lineRule="auto"/>
      </w:pPr>
      <w:r>
        <w:t xml:space="preserve">[41] </w:t>
      </w:r>
      <w:r w:rsidR="00AB0076">
        <w:t xml:space="preserve">No cogent </w:t>
      </w:r>
      <w:r w:rsidR="00101278">
        <w:t xml:space="preserve">reasons are proffered by the applicant as to why </w:t>
      </w:r>
      <w:r w:rsidR="00231C30">
        <w:t xml:space="preserve">this </w:t>
      </w:r>
      <w:r w:rsidR="001C4118">
        <w:t>rescission</w:t>
      </w:r>
      <w:r w:rsidR="00231C30">
        <w:t xml:space="preserve"> application was issued on 21 April 2022 </w:t>
      </w:r>
      <w:r w:rsidR="001C4118">
        <w:t>almost three (3</w:t>
      </w:r>
      <w:r w:rsidR="00F20729">
        <w:t>)</w:t>
      </w:r>
      <w:r w:rsidR="001C4118">
        <w:t xml:space="preserve"> years after the </w:t>
      </w:r>
      <w:r w:rsidR="007C451F">
        <w:t>default judgment was granted on 19 August 2019.</w:t>
      </w:r>
      <w:r w:rsidR="00BF321E">
        <w:t xml:space="preserve"> </w:t>
      </w:r>
    </w:p>
    <w:p w14:paraId="763D90B4" w14:textId="695A059B" w:rsidR="00EE4E4C" w:rsidRDefault="006853F5" w:rsidP="008A32CC">
      <w:pPr>
        <w:pStyle w:val="WLGLevel1"/>
        <w:numPr>
          <w:ilvl w:val="0"/>
          <w:numId w:val="0"/>
        </w:numPr>
        <w:spacing w:line="360" w:lineRule="auto"/>
      </w:pPr>
      <w:r>
        <w:t xml:space="preserve">[42] </w:t>
      </w:r>
      <w:r w:rsidR="00561818">
        <w:t xml:space="preserve">In light of the </w:t>
      </w:r>
      <w:r w:rsidR="00A01DB8" w:rsidRPr="008A32CC">
        <w:t>ephemeral factual matrix</w:t>
      </w:r>
      <w:r w:rsidR="00A01DB8" w:rsidRPr="00223E0B">
        <w:rPr>
          <w:i/>
          <w:iCs/>
        </w:rPr>
        <w:t xml:space="preserve"> supra</w:t>
      </w:r>
      <w:r w:rsidR="00A01DB8">
        <w:rPr>
          <w:i/>
          <w:iCs/>
        </w:rPr>
        <w:t>,</w:t>
      </w:r>
      <w:r w:rsidR="005D653D">
        <w:rPr>
          <w:i/>
          <w:iCs/>
        </w:rPr>
        <w:t xml:space="preserve"> </w:t>
      </w:r>
      <w:r w:rsidR="005D653D" w:rsidRPr="00886872">
        <w:t xml:space="preserve">the </w:t>
      </w:r>
      <w:r w:rsidR="00886872">
        <w:t xml:space="preserve">respective submissions by both </w:t>
      </w:r>
      <w:r w:rsidR="00DA5C05">
        <w:t>counsels for the applicant and for the respondent</w:t>
      </w:r>
      <w:r w:rsidR="00A01DB8">
        <w:rPr>
          <w:i/>
          <w:iCs/>
        </w:rPr>
        <w:t xml:space="preserve"> </w:t>
      </w:r>
      <w:r w:rsidR="00FA0A1E">
        <w:t xml:space="preserve">I found no fault and </w:t>
      </w:r>
      <w:r w:rsidR="00A36DCD">
        <w:t xml:space="preserve">/ </w:t>
      </w:r>
      <w:r w:rsidR="00FA0A1E">
        <w:t xml:space="preserve">or error in the </w:t>
      </w:r>
      <w:r w:rsidR="00C00C19">
        <w:t xml:space="preserve">default judgment that was granted on 19 August 2019 </w:t>
      </w:r>
      <w:r w:rsidR="00887F18">
        <w:t>by Acting Judge Swanepoel</w:t>
      </w:r>
      <w:r w:rsidR="00BA134B">
        <w:t xml:space="preserve"> Acting Judge (</w:t>
      </w:r>
      <w:r w:rsidR="00BB0640">
        <w:t>as he was then</w:t>
      </w:r>
      <w:r w:rsidR="00DA003A">
        <w:t>)</w:t>
      </w:r>
      <w:r w:rsidR="00BB0640">
        <w:t>.</w:t>
      </w:r>
    </w:p>
    <w:p w14:paraId="24CB8E9D" w14:textId="3278F8F3" w:rsidR="00BB0640" w:rsidRDefault="005727E4" w:rsidP="008A32CC">
      <w:pPr>
        <w:pStyle w:val="WLGLevel1"/>
        <w:numPr>
          <w:ilvl w:val="0"/>
          <w:numId w:val="0"/>
        </w:numPr>
        <w:spacing w:line="360" w:lineRule="auto"/>
      </w:pPr>
      <w:r>
        <w:t>[43]</w:t>
      </w:r>
      <w:r w:rsidR="00A33806">
        <w:t xml:space="preserve">  The Court </w:t>
      </w:r>
      <w:r w:rsidR="00A10811">
        <w:t xml:space="preserve">find that the applicant’s application </w:t>
      </w:r>
      <w:r w:rsidR="00680336">
        <w:t>a</w:t>
      </w:r>
      <w:r w:rsidR="00AF0FB3">
        <w:t>s premised on Rule 42(1)(a) of the High Court Rules</w:t>
      </w:r>
      <w:r w:rsidR="00470DE2">
        <w:t xml:space="preserve"> is</w:t>
      </w:r>
      <w:r w:rsidR="007E205A">
        <w:t xml:space="preserve"> ill</w:t>
      </w:r>
      <w:r w:rsidR="00E47F98">
        <w:t>-conceived stratagem,</w:t>
      </w:r>
      <w:r w:rsidR="00470DE2">
        <w:t xml:space="preserve"> wholly unmeritorious</w:t>
      </w:r>
      <w:r w:rsidR="00D246EC">
        <w:t xml:space="preserve"> and a clear attempt to circumvent the otherwise</w:t>
      </w:r>
      <w:r w:rsidR="00D95F89">
        <w:t xml:space="preserve"> applicable time periods which have not been met in this instance.</w:t>
      </w:r>
      <w:r w:rsidR="0070225D">
        <w:t xml:space="preserve"> That the applicant </w:t>
      </w:r>
      <w:r w:rsidR="00141140">
        <w:t xml:space="preserve">has also failed to produce any </w:t>
      </w:r>
      <w:r w:rsidR="00A133E0">
        <w:t xml:space="preserve">substantive grounds for rescission of </w:t>
      </w:r>
      <w:r w:rsidR="00292D01">
        <w:t xml:space="preserve">the </w:t>
      </w:r>
      <w:r w:rsidR="00163A8F">
        <w:t>said default judgment and co</w:t>
      </w:r>
      <w:r w:rsidR="00290297">
        <w:t xml:space="preserve">nsequently condonation in the circumstances </w:t>
      </w:r>
      <w:r w:rsidR="00B23684">
        <w:t>is not justified on the fact presented and argued before Court .</w:t>
      </w:r>
    </w:p>
    <w:p w14:paraId="333A2796" w14:textId="2F53BDE8" w:rsidR="00AB3F04" w:rsidRDefault="00066C62" w:rsidP="008A32CC">
      <w:pPr>
        <w:pStyle w:val="WLGLevel1"/>
        <w:numPr>
          <w:ilvl w:val="0"/>
          <w:numId w:val="0"/>
        </w:numPr>
        <w:spacing w:line="360" w:lineRule="auto"/>
      </w:pPr>
      <w:r>
        <w:lastRenderedPageBreak/>
        <w:t xml:space="preserve">[44] The Court find further that </w:t>
      </w:r>
      <w:r w:rsidR="000C503A">
        <w:t xml:space="preserve"> the applicant has failed dismally to make out a cl</w:t>
      </w:r>
      <w:r w:rsidR="00AA6885">
        <w:t>ear case for rescission of judgment in terms of Rule 42 of the Uniform Rules of Court and</w:t>
      </w:r>
      <w:r w:rsidR="00CB25A4">
        <w:t xml:space="preserve"> </w:t>
      </w:r>
      <w:r w:rsidR="00AA6885">
        <w:t xml:space="preserve">/ or otherwise in terms of </w:t>
      </w:r>
      <w:r w:rsidR="00C0246F">
        <w:t>Common law.</w:t>
      </w:r>
    </w:p>
    <w:p w14:paraId="3E4D9125" w14:textId="3190CD73" w:rsidR="00A8576B" w:rsidRDefault="00B61FDF" w:rsidP="008A32CC">
      <w:pPr>
        <w:pStyle w:val="WLGLevel1"/>
        <w:numPr>
          <w:ilvl w:val="0"/>
          <w:numId w:val="0"/>
        </w:numPr>
        <w:spacing w:line="360" w:lineRule="auto"/>
      </w:pPr>
      <w:r>
        <w:t xml:space="preserve">[45] Moreover, the applicant </w:t>
      </w:r>
      <w:r w:rsidR="00DC0E31">
        <w:t>did not prosecute this application expeditiously.</w:t>
      </w:r>
    </w:p>
    <w:p w14:paraId="76A92DEB" w14:textId="5ED1F4F2" w:rsidR="00BB29FA" w:rsidRDefault="00053AC0" w:rsidP="00915809">
      <w:pPr>
        <w:pStyle w:val="WLGLevel1"/>
        <w:numPr>
          <w:ilvl w:val="0"/>
          <w:numId w:val="0"/>
        </w:numPr>
        <w:spacing w:line="360" w:lineRule="auto"/>
      </w:pPr>
      <w:r>
        <w:t>[46]  As the consequent</w:t>
      </w:r>
      <w:r w:rsidR="00BF34D2">
        <w:t xml:space="preserve">, the application is dismissed with cost </w:t>
      </w:r>
      <w:r w:rsidR="00031458">
        <w:t>on attorney and own -client scale.</w:t>
      </w:r>
    </w:p>
    <w:p w14:paraId="2F7CA440" w14:textId="77777777" w:rsidR="00E01E36" w:rsidRPr="00865EDC" w:rsidRDefault="00E01E36" w:rsidP="00915809">
      <w:pPr>
        <w:pStyle w:val="WLGLevel1"/>
        <w:numPr>
          <w:ilvl w:val="0"/>
          <w:numId w:val="0"/>
        </w:numPr>
        <w:spacing w:line="360" w:lineRule="auto"/>
      </w:pPr>
    </w:p>
    <w:p w14:paraId="01E7BB9B" w14:textId="77777777" w:rsidR="00915809" w:rsidRPr="00DC4B26" w:rsidRDefault="00915809" w:rsidP="00915809">
      <w:pPr>
        <w:pStyle w:val="WLGLevel1"/>
        <w:numPr>
          <w:ilvl w:val="0"/>
          <w:numId w:val="0"/>
        </w:numPr>
        <w:spacing w:before="0" w:after="0" w:line="360" w:lineRule="auto"/>
        <w:jc w:val="right"/>
      </w:pPr>
      <w:r>
        <w:rPr>
          <w:u w:val="thick"/>
        </w:rPr>
        <w:tab/>
      </w:r>
      <w:r>
        <w:rPr>
          <w:u w:val="thick"/>
        </w:rPr>
        <w:tab/>
      </w:r>
      <w:r>
        <w:rPr>
          <w:u w:val="thick"/>
        </w:rPr>
        <w:tab/>
      </w:r>
      <w:r>
        <w:rPr>
          <w:u w:val="thick"/>
        </w:rPr>
        <w:tab/>
      </w:r>
      <w:r>
        <w:rPr>
          <w:u w:val="thick"/>
        </w:rPr>
        <w:tab/>
      </w:r>
      <w:r>
        <w:rPr>
          <w:u w:val="thick"/>
        </w:rPr>
        <w:tab/>
      </w:r>
      <w:r>
        <w:t xml:space="preserve"> </w:t>
      </w:r>
    </w:p>
    <w:p w14:paraId="3214ECAC" w14:textId="77777777" w:rsidR="00915809" w:rsidRDefault="00915809" w:rsidP="00915809">
      <w:pPr>
        <w:widowControl w:val="0"/>
        <w:autoSpaceDE w:val="0"/>
        <w:autoSpaceDN w:val="0"/>
        <w:jc w:val="right"/>
        <w:rPr>
          <w:rFonts w:eastAsia="Arial" w:cs="Arial"/>
          <w:b/>
          <w:color w:val="000000" w:themeColor="text1"/>
          <w:szCs w:val="22"/>
          <w:lang w:val="en-US"/>
        </w:rPr>
      </w:pPr>
      <w:r>
        <w:rPr>
          <w:rFonts w:eastAsia="Arial" w:cs="Arial"/>
          <w:b/>
          <w:color w:val="000000" w:themeColor="text1"/>
          <w:szCs w:val="22"/>
          <w:lang w:val="en-US"/>
        </w:rPr>
        <w:t xml:space="preserve">J  YENDE </w:t>
      </w:r>
    </w:p>
    <w:p w14:paraId="67C84146" w14:textId="77777777" w:rsidR="00915809" w:rsidRPr="00E16471" w:rsidRDefault="00915809" w:rsidP="00915809">
      <w:pPr>
        <w:widowControl w:val="0"/>
        <w:autoSpaceDE w:val="0"/>
        <w:autoSpaceDN w:val="0"/>
        <w:jc w:val="right"/>
        <w:rPr>
          <w:rFonts w:eastAsia="Arial" w:cs="Arial"/>
          <w:b/>
          <w:color w:val="000000" w:themeColor="text1"/>
          <w:spacing w:val="-2"/>
          <w:szCs w:val="22"/>
          <w:lang w:val="en-US"/>
        </w:rPr>
      </w:pPr>
      <w:r>
        <w:rPr>
          <w:rFonts w:eastAsia="Arial" w:cs="Arial"/>
          <w:b/>
          <w:color w:val="000000" w:themeColor="text1"/>
          <w:szCs w:val="22"/>
          <w:lang w:val="en-US"/>
        </w:rPr>
        <w:t xml:space="preserve">ACTING JUDGE OF THE </w:t>
      </w:r>
      <w:r w:rsidRPr="00E16471">
        <w:rPr>
          <w:rFonts w:eastAsia="Arial" w:cs="Arial"/>
          <w:b/>
          <w:color w:val="000000" w:themeColor="text1"/>
          <w:szCs w:val="22"/>
          <w:lang w:val="en-US"/>
        </w:rPr>
        <w:t>HIGH</w:t>
      </w:r>
      <w:r w:rsidRPr="00E16471">
        <w:rPr>
          <w:rFonts w:eastAsia="Arial" w:cs="Arial"/>
          <w:b/>
          <w:color w:val="000000" w:themeColor="text1"/>
          <w:spacing w:val="-4"/>
          <w:szCs w:val="22"/>
          <w:lang w:val="en-US"/>
        </w:rPr>
        <w:t xml:space="preserve"> </w:t>
      </w:r>
      <w:r w:rsidRPr="00E16471">
        <w:rPr>
          <w:rFonts w:eastAsia="Arial" w:cs="Arial"/>
          <w:b/>
          <w:color w:val="000000" w:themeColor="text1"/>
          <w:szCs w:val="22"/>
          <w:lang w:val="en-US"/>
        </w:rPr>
        <w:t>COURT</w:t>
      </w:r>
    </w:p>
    <w:p w14:paraId="7974C474" w14:textId="62166CA5" w:rsidR="00915809" w:rsidRPr="00BF5C6B" w:rsidRDefault="00915809" w:rsidP="00BF5C6B">
      <w:pPr>
        <w:ind w:left="720" w:hanging="720"/>
        <w:jc w:val="right"/>
        <w:rPr>
          <w:rFonts w:eastAsia="Arial Unicode MS" w:cs="Arial"/>
          <w:b/>
          <w:u w:val="single"/>
        </w:rPr>
      </w:pPr>
      <w:r w:rsidRPr="00E16471">
        <w:rPr>
          <w:rFonts w:eastAsia="Arial" w:cs="Arial"/>
          <w:b/>
          <w:color w:val="000000" w:themeColor="text1"/>
          <w:spacing w:val="-2"/>
          <w:szCs w:val="22"/>
          <w:lang w:val="en-US"/>
        </w:rPr>
        <w:t xml:space="preserve">  GAUTENG DIVISION, </w:t>
      </w:r>
      <w:r>
        <w:rPr>
          <w:rFonts w:eastAsia="Arial" w:cs="Arial"/>
          <w:b/>
          <w:color w:val="000000" w:themeColor="text1"/>
          <w:spacing w:val="-2"/>
          <w:szCs w:val="22"/>
          <w:lang w:val="en-US"/>
        </w:rPr>
        <w:t xml:space="preserve">PRETORIA </w:t>
      </w:r>
    </w:p>
    <w:p w14:paraId="0FA18D81" w14:textId="4CBCC10F" w:rsidR="00915809" w:rsidRPr="00884388" w:rsidRDefault="00915809" w:rsidP="00915809">
      <w:pPr>
        <w:pBdr>
          <w:top w:val="nil"/>
          <w:left w:val="nil"/>
          <w:bottom w:val="nil"/>
          <w:right w:val="nil"/>
          <w:between w:val="nil"/>
        </w:pBdr>
        <w:jc w:val="both"/>
        <w:rPr>
          <w:b/>
          <w:color w:val="000000"/>
        </w:rPr>
      </w:pPr>
      <w:r w:rsidRPr="00884388">
        <w:rPr>
          <w:b/>
          <w:color w:val="000000"/>
        </w:rPr>
        <w:t>APPEARANCES:</w:t>
      </w:r>
    </w:p>
    <w:p w14:paraId="43BE4EFA" w14:textId="77777777" w:rsidR="00915809" w:rsidRPr="002F13AF" w:rsidRDefault="00915809" w:rsidP="00915809">
      <w:pPr>
        <w:pBdr>
          <w:top w:val="nil"/>
          <w:left w:val="nil"/>
          <w:bottom w:val="nil"/>
          <w:right w:val="nil"/>
          <w:between w:val="nil"/>
        </w:pBdr>
        <w:jc w:val="both"/>
        <w:rPr>
          <w:b/>
          <w:color w:val="000000"/>
        </w:rPr>
      </w:pPr>
    </w:p>
    <w:p w14:paraId="76E8A0BD" w14:textId="45515D22" w:rsidR="00915809" w:rsidRPr="00826F05" w:rsidRDefault="00915809" w:rsidP="00915809">
      <w:pPr>
        <w:pBdr>
          <w:top w:val="nil"/>
          <w:left w:val="nil"/>
          <w:bottom w:val="nil"/>
          <w:right w:val="nil"/>
          <w:between w:val="nil"/>
        </w:pBdr>
        <w:jc w:val="both"/>
        <w:rPr>
          <w:b/>
          <w:color w:val="000000"/>
        </w:rPr>
      </w:pPr>
      <w:r w:rsidRPr="00884388">
        <w:rPr>
          <w:b/>
          <w:color w:val="000000"/>
        </w:rPr>
        <w:t>Advocate for Applicant</w:t>
      </w:r>
      <w:r w:rsidRPr="00826F05">
        <w:rPr>
          <w:b/>
          <w:color w:val="000000"/>
        </w:rPr>
        <w:t xml:space="preserve">:                                 </w:t>
      </w:r>
      <w:r w:rsidR="00FB05DE">
        <w:rPr>
          <w:b/>
          <w:color w:val="000000"/>
        </w:rPr>
        <w:t>L</w:t>
      </w:r>
      <w:r w:rsidR="00C73CB8">
        <w:rPr>
          <w:b/>
          <w:color w:val="000000"/>
        </w:rPr>
        <w:t>IP</w:t>
      </w:r>
      <w:r w:rsidR="002218E5">
        <w:rPr>
          <w:b/>
          <w:color w:val="000000"/>
        </w:rPr>
        <w:t>OSA</w:t>
      </w:r>
    </w:p>
    <w:p w14:paraId="4F0E37D7" w14:textId="76DA73C2" w:rsidR="00BB1C4B" w:rsidRPr="002F13AF" w:rsidRDefault="00915809" w:rsidP="00BB1C4B">
      <w:pPr>
        <w:pBdr>
          <w:top w:val="nil"/>
          <w:left w:val="nil"/>
          <w:bottom w:val="nil"/>
          <w:right w:val="nil"/>
          <w:between w:val="nil"/>
        </w:pBdr>
        <w:spacing w:line="276" w:lineRule="auto"/>
        <w:jc w:val="both"/>
        <w:rPr>
          <w:b/>
          <w:color w:val="000000"/>
        </w:rPr>
      </w:pPr>
      <w:r w:rsidRPr="00826F05">
        <w:rPr>
          <w:b/>
          <w:color w:val="000000"/>
        </w:rPr>
        <w:t xml:space="preserve">                                                                      </w:t>
      </w:r>
      <w:r w:rsidR="00BB1C4B">
        <w:rPr>
          <w:b/>
          <w:color w:val="000000"/>
        </w:rPr>
        <w:t xml:space="preserve"> </w:t>
      </w:r>
      <w:r w:rsidRPr="00826F05">
        <w:rPr>
          <w:b/>
          <w:color w:val="000000"/>
        </w:rPr>
        <w:t xml:space="preserve">  </w:t>
      </w:r>
      <w:r w:rsidR="00BB1C4B">
        <w:rPr>
          <w:b/>
          <w:color w:val="000000"/>
        </w:rPr>
        <w:t>kunenenattorneys@gmail.com</w:t>
      </w:r>
    </w:p>
    <w:p w14:paraId="12E67F48" w14:textId="77777777" w:rsidR="00915809" w:rsidRPr="00826F05" w:rsidRDefault="00915809" w:rsidP="00915809">
      <w:pPr>
        <w:pBdr>
          <w:top w:val="nil"/>
          <w:left w:val="nil"/>
          <w:bottom w:val="nil"/>
          <w:right w:val="nil"/>
          <w:between w:val="nil"/>
        </w:pBdr>
        <w:jc w:val="both"/>
        <w:rPr>
          <w:b/>
          <w:color w:val="000000"/>
        </w:rPr>
      </w:pPr>
    </w:p>
    <w:p w14:paraId="2FADA4C1" w14:textId="3C2229F0" w:rsidR="00915809" w:rsidRPr="002F13AF" w:rsidRDefault="00915809" w:rsidP="00BF5C6B">
      <w:pPr>
        <w:pBdr>
          <w:top w:val="nil"/>
          <w:left w:val="nil"/>
          <w:bottom w:val="nil"/>
          <w:right w:val="nil"/>
          <w:between w:val="nil"/>
        </w:pBdr>
        <w:spacing w:line="276" w:lineRule="auto"/>
        <w:jc w:val="both"/>
        <w:rPr>
          <w:b/>
          <w:color w:val="000000"/>
        </w:rPr>
      </w:pPr>
    </w:p>
    <w:p w14:paraId="33965169" w14:textId="5937D374" w:rsidR="00915809" w:rsidRPr="002F13AF" w:rsidRDefault="00915809" w:rsidP="00BF5C6B">
      <w:pPr>
        <w:pBdr>
          <w:top w:val="nil"/>
          <w:left w:val="nil"/>
          <w:bottom w:val="nil"/>
          <w:right w:val="nil"/>
          <w:between w:val="nil"/>
        </w:pBdr>
        <w:spacing w:line="276" w:lineRule="auto"/>
        <w:jc w:val="both"/>
        <w:rPr>
          <w:b/>
          <w:color w:val="000000"/>
        </w:rPr>
      </w:pPr>
      <w:r w:rsidRPr="00884388">
        <w:rPr>
          <w:b/>
          <w:color w:val="000000"/>
        </w:rPr>
        <w:t>Instructed by</w:t>
      </w:r>
      <w:r w:rsidRPr="002F13AF">
        <w:rPr>
          <w:b/>
          <w:color w:val="000000"/>
        </w:rPr>
        <w:t xml:space="preserve">:                                                  </w:t>
      </w:r>
      <w:r w:rsidR="00072BCC">
        <w:rPr>
          <w:b/>
          <w:color w:val="000000"/>
        </w:rPr>
        <w:t>K</w:t>
      </w:r>
      <w:r w:rsidR="00BB1C4B">
        <w:rPr>
          <w:b/>
          <w:color w:val="000000"/>
        </w:rPr>
        <w:t>unene</w:t>
      </w:r>
      <w:r w:rsidR="00072BCC">
        <w:rPr>
          <w:b/>
          <w:color w:val="000000"/>
        </w:rPr>
        <w:t xml:space="preserve"> </w:t>
      </w:r>
      <w:r w:rsidR="00E34C2C">
        <w:rPr>
          <w:b/>
          <w:color w:val="000000"/>
        </w:rPr>
        <w:t>n</w:t>
      </w:r>
      <w:r w:rsidR="00072BCC">
        <w:rPr>
          <w:b/>
          <w:color w:val="000000"/>
        </w:rPr>
        <w:t xml:space="preserve"> </w:t>
      </w:r>
      <w:r w:rsidR="00E34C2C">
        <w:rPr>
          <w:b/>
          <w:color w:val="000000"/>
        </w:rPr>
        <w:t>Attorneys</w:t>
      </w:r>
    </w:p>
    <w:p w14:paraId="28BE060F" w14:textId="3EC30B8A" w:rsidR="00915809" w:rsidRPr="002F13AF" w:rsidRDefault="00915809" w:rsidP="00BF5C6B">
      <w:pPr>
        <w:pBdr>
          <w:top w:val="nil"/>
          <w:left w:val="nil"/>
          <w:bottom w:val="nil"/>
          <w:right w:val="nil"/>
          <w:between w:val="nil"/>
        </w:pBdr>
        <w:spacing w:line="276" w:lineRule="auto"/>
        <w:jc w:val="both"/>
        <w:rPr>
          <w:b/>
          <w:color w:val="000000"/>
        </w:rPr>
      </w:pPr>
      <w:r w:rsidRPr="002F13AF">
        <w:rPr>
          <w:b/>
          <w:color w:val="000000"/>
        </w:rPr>
        <w:t xml:space="preserve">                                                                          </w:t>
      </w:r>
      <w:r w:rsidR="007821C8">
        <w:rPr>
          <w:b/>
          <w:color w:val="000000"/>
        </w:rPr>
        <w:t>kunene</w:t>
      </w:r>
      <w:r w:rsidR="00FC05EF">
        <w:rPr>
          <w:b/>
          <w:color w:val="000000"/>
        </w:rPr>
        <w:t>nattorneys@gmail.com</w:t>
      </w:r>
    </w:p>
    <w:p w14:paraId="1CFB29EB" w14:textId="77777777" w:rsidR="00915809" w:rsidRPr="002F13AF" w:rsidRDefault="00915809" w:rsidP="00BF5C6B">
      <w:pPr>
        <w:pBdr>
          <w:top w:val="nil"/>
          <w:left w:val="nil"/>
          <w:bottom w:val="nil"/>
          <w:right w:val="nil"/>
          <w:between w:val="nil"/>
        </w:pBdr>
        <w:spacing w:line="276" w:lineRule="auto"/>
        <w:jc w:val="both"/>
        <w:rPr>
          <w:b/>
          <w:color w:val="000000"/>
        </w:rPr>
      </w:pPr>
    </w:p>
    <w:p w14:paraId="6A83E640" w14:textId="3EB11B18" w:rsidR="00915809" w:rsidRPr="00826F05" w:rsidRDefault="00915809" w:rsidP="00BF5C6B">
      <w:pPr>
        <w:pBdr>
          <w:top w:val="nil"/>
          <w:left w:val="nil"/>
          <w:bottom w:val="nil"/>
          <w:right w:val="nil"/>
          <w:between w:val="nil"/>
        </w:pBdr>
        <w:spacing w:line="276" w:lineRule="auto"/>
        <w:jc w:val="both"/>
        <w:rPr>
          <w:b/>
          <w:color w:val="000000"/>
        </w:rPr>
      </w:pPr>
      <w:r w:rsidRPr="00884388">
        <w:rPr>
          <w:b/>
          <w:color w:val="000000"/>
        </w:rPr>
        <w:t>Advocate for Respondent:</w:t>
      </w:r>
      <w:r w:rsidRPr="002F13AF">
        <w:rPr>
          <w:b/>
          <w:color w:val="000000"/>
        </w:rPr>
        <w:t xml:space="preserve"> </w:t>
      </w:r>
      <w:r w:rsidRPr="002F13AF">
        <w:rPr>
          <w:b/>
          <w:color w:val="000000"/>
        </w:rPr>
        <w:tab/>
      </w:r>
      <w:r w:rsidRPr="002F13AF">
        <w:rPr>
          <w:b/>
          <w:color w:val="000000"/>
        </w:rPr>
        <w:tab/>
      </w:r>
      <w:r w:rsidRPr="00826F05">
        <w:rPr>
          <w:b/>
          <w:color w:val="000000"/>
        </w:rPr>
        <w:t xml:space="preserve">        </w:t>
      </w:r>
      <w:r w:rsidR="00B17625">
        <w:rPr>
          <w:b/>
          <w:color w:val="000000"/>
        </w:rPr>
        <w:t>WYNAND (WJ) ROOS</w:t>
      </w:r>
      <w:r w:rsidRPr="00826F05">
        <w:rPr>
          <w:b/>
          <w:color w:val="000000"/>
        </w:rPr>
        <w:tab/>
      </w:r>
    </w:p>
    <w:p w14:paraId="612502D5" w14:textId="176EDF75" w:rsidR="00915809" w:rsidRPr="00826F05" w:rsidRDefault="00915809" w:rsidP="00BF5C6B">
      <w:pPr>
        <w:pBdr>
          <w:top w:val="nil"/>
          <w:left w:val="nil"/>
          <w:bottom w:val="nil"/>
          <w:right w:val="nil"/>
          <w:between w:val="nil"/>
        </w:pBdr>
        <w:spacing w:line="276" w:lineRule="auto"/>
        <w:jc w:val="both"/>
        <w:rPr>
          <w:b/>
          <w:color w:val="000000"/>
        </w:rPr>
      </w:pPr>
      <w:r w:rsidRPr="00826F05">
        <w:rPr>
          <w:b/>
          <w:color w:val="000000"/>
        </w:rPr>
        <w:t xml:space="preserve">                                                                         </w:t>
      </w:r>
      <w:r w:rsidR="00AA0EF4">
        <w:rPr>
          <w:b/>
        </w:rPr>
        <w:t>wroos@</w:t>
      </w:r>
      <w:r w:rsidR="00127B1B">
        <w:rPr>
          <w:b/>
        </w:rPr>
        <w:t>rsabar.com</w:t>
      </w:r>
    </w:p>
    <w:p w14:paraId="63EAA08F" w14:textId="77777777" w:rsidR="00915809" w:rsidRPr="00826F05" w:rsidRDefault="00915809" w:rsidP="00BF5C6B">
      <w:pPr>
        <w:pBdr>
          <w:top w:val="nil"/>
          <w:left w:val="nil"/>
          <w:bottom w:val="nil"/>
          <w:right w:val="nil"/>
          <w:between w:val="nil"/>
        </w:pBdr>
        <w:spacing w:line="276" w:lineRule="auto"/>
        <w:jc w:val="both"/>
        <w:rPr>
          <w:b/>
          <w:color w:val="000000"/>
        </w:rPr>
      </w:pPr>
    </w:p>
    <w:p w14:paraId="3B1E7F77" w14:textId="77777777" w:rsidR="00915809" w:rsidRPr="002F13AF" w:rsidRDefault="00915809" w:rsidP="00BF5C6B">
      <w:pPr>
        <w:pBdr>
          <w:top w:val="nil"/>
          <w:left w:val="nil"/>
          <w:bottom w:val="nil"/>
          <w:right w:val="nil"/>
          <w:between w:val="nil"/>
        </w:pBdr>
        <w:spacing w:line="276" w:lineRule="auto"/>
        <w:jc w:val="both"/>
        <w:rPr>
          <w:b/>
          <w:color w:val="000000"/>
        </w:rPr>
      </w:pPr>
    </w:p>
    <w:p w14:paraId="1C0CD931" w14:textId="723607B3" w:rsidR="00915809" w:rsidRPr="002F13AF" w:rsidRDefault="00915809" w:rsidP="00BF5C6B">
      <w:pPr>
        <w:pBdr>
          <w:top w:val="nil"/>
          <w:left w:val="nil"/>
          <w:bottom w:val="nil"/>
          <w:right w:val="nil"/>
          <w:between w:val="nil"/>
        </w:pBdr>
        <w:spacing w:line="276" w:lineRule="auto"/>
        <w:jc w:val="both"/>
        <w:rPr>
          <w:b/>
          <w:color w:val="000000"/>
        </w:rPr>
      </w:pPr>
      <w:r w:rsidRPr="002F13AF">
        <w:rPr>
          <w:b/>
          <w:color w:val="000000"/>
        </w:rPr>
        <w:t xml:space="preserve"> Instructed by:                                                </w:t>
      </w:r>
      <w:r w:rsidR="00A625D7">
        <w:rPr>
          <w:b/>
          <w:color w:val="000000"/>
        </w:rPr>
        <w:t xml:space="preserve">Van Heerdens </w:t>
      </w:r>
      <w:r w:rsidR="00996557">
        <w:rPr>
          <w:b/>
          <w:color w:val="000000"/>
        </w:rPr>
        <w:t>I</w:t>
      </w:r>
      <w:r w:rsidR="00A625D7">
        <w:rPr>
          <w:b/>
          <w:color w:val="000000"/>
        </w:rPr>
        <w:t>nc</w:t>
      </w:r>
      <w:r w:rsidR="00996557">
        <w:rPr>
          <w:b/>
          <w:color w:val="000000"/>
        </w:rPr>
        <w:t>.</w:t>
      </w:r>
      <w:r w:rsidR="00A625D7">
        <w:rPr>
          <w:b/>
          <w:color w:val="000000"/>
        </w:rPr>
        <w:t xml:space="preserve"> </w:t>
      </w:r>
      <w:r w:rsidR="00252156">
        <w:rPr>
          <w:b/>
          <w:color w:val="000000"/>
        </w:rPr>
        <w:t>(</w:t>
      </w:r>
      <w:r w:rsidR="00A625D7">
        <w:rPr>
          <w:b/>
          <w:color w:val="000000"/>
        </w:rPr>
        <w:t>Y Steyn: GN2569)</w:t>
      </w:r>
    </w:p>
    <w:p w14:paraId="33F4E1ED" w14:textId="65E78D1B" w:rsidR="00915809" w:rsidRPr="002F13AF" w:rsidRDefault="00915809" w:rsidP="00BF5C6B">
      <w:pPr>
        <w:pBdr>
          <w:top w:val="nil"/>
          <w:left w:val="nil"/>
          <w:bottom w:val="nil"/>
          <w:right w:val="nil"/>
          <w:between w:val="nil"/>
        </w:pBdr>
        <w:spacing w:line="276" w:lineRule="auto"/>
        <w:jc w:val="both"/>
        <w:rPr>
          <w:b/>
          <w:color w:val="000000"/>
        </w:rPr>
      </w:pPr>
      <w:r w:rsidRPr="002F13AF">
        <w:rPr>
          <w:b/>
          <w:color w:val="000000"/>
        </w:rPr>
        <w:t xml:space="preserve">                                                                    </w:t>
      </w:r>
      <w:r>
        <w:rPr>
          <w:b/>
          <w:color w:val="000000"/>
        </w:rPr>
        <w:t xml:space="preserve">     </w:t>
      </w:r>
      <w:r w:rsidR="00252156">
        <w:rPr>
          <w:b/>
          <w:color w:val="000000"/>
        </w:rPr>
        <w:t>Law2@vhilaw</w:t>
      </w:r>
      <w:r>
        <w:rPr>
          <w:b/>
          <w:color w:val="000000"/>
        </w:rPr>
        <w:t>.co.za</w:t>
      </w:r>
    </w:p>
    <w:p w14:paraId="548C129E" w14:textId="77777777" w:rsidR="00915809" w:rsidRPr="002F13AF" w:rsidRDefault="00915809" w:rsidP="00BF5C6B">
      <w:pPr>
        <w:pBdr>
          <w:top w:val="nil"/>
          <w:left w:val="nil"/>
          <w:bottom w:val="nil"/>
          <w:right w:val="nil"/>
          <w:between w:val="nil"/>
        </w:pBdr>
        <w:spacing w:line="276" w:lineRule="auto"/>
        <w:jc w:val="both"/>
        <w:rPr>
          <w:b/>
          <w:color w:val="000000"/>
        </w:rPr>
      </w:pPr>
    </w:p>
    <w:p w14:paraId="77AE7BC7" w14:textId="64B72BD0" w:rsidR="00915809" w:rsidRPr="002F13AF" w:rsidRDefault="00915809" w:rsidP="00BF5C6B">
      <w:pPr>
        <w:pBdr>
          <w:top w:val="nil"/>
          <w:left w:val="nil"/>
          <w:bottom w:val="nil"/>
          <w:right w:val="nil"/>
          <w:between w:val="nil"/>
        </w:pBdr>
        <w:spacing w:line="276" w:lineRule="auto"/>
        <w:jc w:val="both"/>
        <w:rPr>
          <w:b/>
          <w:color w:val="000000"/>
        </w:rPr>
      </w:pPr>
      <w:r w:rsidRPr="002F13AF">
        <w:rPr>
          <w:b/>
          <w:color w:val="000000"/>
        </w:rPr>
        <w:t xml:space="preserve">                                                                         </w:t>
      </w:r>
    </w:p>
    <w:p w14:paraId="7BCF7AAC" w14:textId="7385D26E" w:rsidR="00915809" w:rsidRPr="007E34AC" w:rsidRDefault="00915809" w:rsidP="00BF5C6B">
      <w:pPr>
        <w:pBdr>
          <w:top w:val="nil"/>
          <w:left w:val="nil"/>
          <w:bottom w:val="nil"/>
          <w:right w:val="nil"/>
          <w:between w:val="nil"/>
        </w:pBdr>
        <w:spacing w:line="276" w:lineRule="auto"/>
        <w:jc w:val="both"/>
        <w:rPr>
          <w:b/>
          <w:bCs/>
          <w:color w:val="000000"/>
        </w:rPr>
      </w:pPr>
      <w:r>
        <w:rPr>
          <w:b/>
          <w:bCs/>
          <w:color w:val="000000"/>
        </w:rPr>
        <w:t>H</w:t>
      </w:r>
      <w:r w:rsidRPr="007E34AC">
        <w:rPr>
          <w:b/>
          <w:bCs/>
          <w:color w:val="000000"/>
        </w:rPr>
        <w:t xml:space="preserve">eard: </w:t>
      </w:r>
      <w:r w:rsidRPr="007E34AC">
        <w:rPr>
          <w:b/>
          <w:bCs/>
          <w:color w:val="000000"/>
        </w:rPr>
        <w:tab/>
      </w:r>
      <w:r w:rsidRPr="007E34AC">
        <w:rPr>
          <w:b/>
          <w:bCs/>
          <w:color w:val="000000"/>
        </w:rPr>
        <w:tab/>
      </w:r>
      <w:r w:rsidRPr="007E34AC">
        <w:rPr>
          <w:b/>
          <w:bCs/>
          <w:color w:val="000000"/>
        </w:rPr>
        <w:tab/>
      </w:r>
      <w:r w:rsidRPr="007E34AC">
        <w:rPr>
          <w:b/>
          <w:bCs/>
          <w:color w:val="000000"/>
        </w:rPr>
        <w:tab/>
      </w:r>
      <w:r w:rsidR="0062143C">
        <w:rPr>
          <w:b/>
          <w:bCs/>
          <w:color w:val="000000"/>
        </w:rPr>
        <w:t xml:space="preserve">                  </w:t>
      </w:r>
      <w:r w:rsidRPr="007E34AC">
        <w:rPr>
          <w:b/>
          <w:bCs/>
          <w:color w:val="000000"/>
        </w:rPr>
        <w:t xml:space="preserve">  29 May 2023</w:t>
      </w:r>
    </w:p>
    <w:p w14:paraId="61A22293" w14:textId="77777777" w:rsidR="00915809" w:rsidRPr="007E34AC" w:rsidRDefault="00915809" w:rsidP="00BF5C6B">
      <w:pPr>
        <w:pBdr>
          <w:top w:val="nil"/>
          <w:left w:val="nil"/>
          <w:bottom w:val="nil"/>
          <w:right w:val="nil"/>
          <w:between w:val="nil"/>
        </w:pBdr>
        <w:spacing w:line="276" w:lineRule="auto"/>
        <w:jc w:val="both"/>
        <w:rPr>
          <w:b/>
          <w:bCs/>
          <w:color w:val="000000"/>
        </w:rPr>
      </w:pPr>
      <w:r w:rsidRPr="007E34AC">
        <w:rPr>
          <w:b/>
          <w:bCs/>
          <w:color w:val="000000"/>
        </w:rPr>
        <w:tab/>
      </w:r>
    </w:p>
    <w:p w14:paraId="2415589E" w14:textId="413CC119" w:rsidR="00915809" w:rsidRPr="007E34AC" w:rsidRDefault="00915809" w:rsidP="00BF5C6B">
      <w:pPr>
        <w:pBdr>
          <w:top w:val="nil"/>
          <w:left w:val="nil"/>
          <w:bottom w:val="nil"/>
          <w:right w:val="nil"/>
          <w:between w:val="nil"/>
        </w:pBdr>
        <w:spacing w:line="276" w:lineRule="auto"/>
        <w:jc w:val="both"/>
        <w:rPr>
          <w:b/>
          <w:bCs/>
          <w:color w:val="000000"/>
        </w:rPr>
      </w:pPr>
      <w:r w:rsidRPr="007E34AC">
        <w:rPr>
          <w:b/>
          <w:bCs/>
          <w:color w:val="000000"/>
        </w:rPr>
        <w:t xml:space="preserve">Judgment: </w:t>
      </w:r>
      <w:r w:rsidRPr="007E34AC">
        <w:rPr>
          <w:b/>
          <w:bCs/>
          <w:color w:val="000000"/>
        </w:rPr>
        <w:tab/>
      </w:r>
      <w:r w:rsidRPr="007E34AC">
        <w:rPr>
          <w:b/>
          <w:bCs/>
          <w:color w:val="000000"/>
        </w:rPr>
        <w:tab/>
      </w:r>
      <w:r w:rsidRPr="007E34AC">
        <w:rPr>
          <w:b/>
          <w:bCs/>
          <w:color w:val="000000"/>
        </w:rPr>
        <w:tab/>
      </w:r>
      <w:r w:rsidRPr="00D76CB8">
        <w:rPr>
          <w:b/>
          <w:bCs/>
          <w:color w:val="FF0000"/>
        </w:rPr>
        <w:t xml:space="preserve">          </w:t>
      </w:r>
      <w:r w:rsidR="0062143C">
        <w:rPr>
          <w:b/>
          <w:bCs/>
          <w:color w:val="FF0000"/>
        </w:rPr>
        <w:t xml:space="preserve">                </w:t>
      </w:r>
      <w:r w:rsidR="002E6D4F">
        <w:rPr>
          <w:b/>
          <w:bCs/>
          <w:color w:val="FF0000"/>
        </w:rPr>
        <w:t xml:space="preserve"> </w:t>
      </w:r>
      <w:r w:rsidRPr="00D76CB8">
        <w:rPr>
          <w:b/>
          <w:bCs/>
          <w:color w:val="FF0000"/>
        </w:rPr>
        <w:t xml:space="preserve"> </w:t>
      </w:r>
      <w:r w:rsidRPr="00BF5C6B">
        <w:rPr>
          <w:b/>
          <w:bCs/>
        </w:rPr>
        <w:t xml:space="preserve">  </w:t>
      </w:r>
      <w:r w:rsidR="00BF5C6B">
        <w:rPr>
          <w:b/>
          <w:bCs/>
        </w:rPr>
        <w:t>16 August</w:t>
      </w:r>
      <w:r w:rsidRPr="00BF5C6B">
        <w:rPr>
          <w:b/>
          <w:bCs/>
        </w:rPr>
        <w:t xml:space="preserve"> 2023</w:t>
      </w:r>
      <w:r w:rsidRPr="007E34AC">
        <w:rPr>
          <w:b/>
          <w:bCs/>
          <w:color w:val="000000"/>
        </w:rPr>
        <w:tab/>
      </w:r>
      <w:r w:rsidRPr="007E34AC">
        <w:rPr>
          <w:b/>
          <w:bCs/>
          <w:color w:val="000000"/>
        </w:rPr>
        <w:tab/>
      </w:r>
    </w:p>
    <w:p w14:paraId="61F5587F" w14:textId="77777777" w:rsidR="00915809" w:rsidRPr="007E34AC" w:rsidRDefault="00915809" w:rsidP="00BF5C6B">
      <w:pPr>
        <w:pBdr>
          <w:top w:val="nil"/>
          <w:left w:val="nil"/>
          <w:bottom w:val="nil"/>
          <w:right w:val="nil"/>
          <w:between w:val="nil"/>
        </w:pBdr>
        <w:spacing w:line="276" w:lineRule="auto"/>
        <w:jc w:val="both"/>
        <w:rPr>
          <w:b/>
          <w:bCs/>
          <w:color w:val="000000"/>
        </w:rPr>
      </w:pPr>
    </w:p>
    <w:p w14:paraId="1C50FBB2" w14:textId="77777777" w:rsidR="00915809" w:rsidRDefault="00915809" w:rsidP="00BF5C6B">
      <w:pPr>
        <w:spacing w:line="276" w:lineRule="auto"/>
        <w:jc w:val="both"/>
        <w:rPr>
          <w:lang w:val="en-US"/>
        </w:rPr>
      </w:pPr>
      <w:r w:rsidRPr="002F13AF">
        <w:lastRenderedPageBreak/>
        <w:tab/>
      </w:r>
    </w:p>
    <w:p w14:paraId="69D4A34B" w14:textId="77777777" w:rsidR="00915809" w:rsidRPr="00203DD1" w:rsidRDefault="00915809" w:rsidP="00BF5C6B">
      <w:pPr>
        <w:spacing w:line="276" w:lineRule="auto"/>
        <w:jc w:val="both"/>
        <w:rPr>
          <w:lang w:val="en-US"/>
        </w:rPr>
      </w:pPr>
    </w:p>
    <w:p w14:paraId="1D8966F7" w14:textId="77777777" w:rsidR="00915809" w:rsidRPr="00203DD1" w:rsidRDefault="00915809" w:rsidP="00BF5C6B">
      <w:pPr>
        <w:spacing w:line="276" w:lineRule="auto"/>
        <w:jc w:val="both"/>
        <w:rPr>
          <w:lang w:val="en-US"/>
        </w:rPr>
      </w:pPr>
    </w:p>
    <w:p w14:paraId="3B3FC8BA" w14:textId="77777777" w:rsidR="00915809" w:rsidRPr="00203DD1" w:rsidRDefault="00915809" w:rsidP="00BF5C6B">
      <w:pPr>
        <w:spacing w:line="276" w:lineRule="auto"/>
        <w:jc w:val="both"/>
        <w:rPr>
          <w:lang w:val="en-US"/>
        </w:rPr>
      </w:pPr>
    </w:p>
    <w:p w14:paraId="19046DDA" w14:textId="77777777" w:rsidR="00915809" w:rsidRDefault="00915809" w:rsidP="00BF5C6B">
      <w:pPr>
        <w:spacing w:line="276" w:lineRule="auto"/>
      </w:pPr>
    </w:p>
    <w:bookmarkEnd w:id="1"/>
    <w:p w14:paraId="59F6F559" w14:textId="77777777" w:rsidR="00915809" w:rsidRDefault="00915809" w:rsidP="00BF5C6B">
      <w:pPr>
        <w:spacing w:line="276" w:lineRule="auto"/>
      </w:pPr>
    </w:p>
    <w:p w14:paraId="722F372A" w14:textId="77777777" w:rsidR="002E4499" w:rsidRDefault="002E4499" w:rsidP="00BF5C6B">
      <w:pPr>
        <w:spacing w:line="276" w:lineRule="auto"/>
      </w:pPr>
    </w:p>
    <w:sectPr w:rsidR="002E4499" w:rsidSect="008F29A4">
      <w:headerReference w:type="even" r:id="rId9"/>
      <w:headerReference w:type="defaul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CAD12" w14:textId="77777777" w:rsidR="00DD5C07" w:rsidRDefault="00DD5C07" w:rsidP="00915809">
      <w:pPr>
        <w:spacing w:line="240" w:lineRule="auto"/>
      </w:pPr>
      <w:r>
        <w:separator/>
      </w:r>
    </w:p>
  </w:endnote>
  <w:endnote w:type="continuationSeparator" w:id="0">
    <w:p w14:paraId="5F79DE63" w14:textId="77777777" w:rsidR="00DD5C07" w:rsidRDefault="00DD5C07" w:rsidP="0091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319D7" w14:textId="77777777" w:rsidR="00DD5C07" w:rsidRDefault="00DD5C07" w:rsidP="00915809">
      <w:pPr>
        <w:spacing w:line="240" w:lineRule="auto"/>
      </w:pPr>
      <w:r>
        <w:separator/>
      </w:r>
    </w:p>
  </w:footnote>
  <w:footnote w:type="continuationSeparator" w:id="0">
    <w:p w14:paraId="65C278CB" w14:textId="77777777" w:rsidR="00DD5C07" w:rsidRDefault="00DD5C07" w:rsidP="00915809">
      <w:pPr>
        <w:spacing w:line="240" w:lineRule="auto"/>
      </w:pPr>
      <w:r>
        <w:continuationSeparator/>
      </w:r>
    </w:p>
  </w:footnote>
  <w:footnote w:id="1">
    <w:p w14:paraId="2F6D7C2C" w14:textId="75F6EDC0" w:rsidR="00E32B29" w:rsidRDefault="00E32B29">
      <w:pPr>
        <w:pStyle w:val="FootnoteText"/>
      </w:pPr>
      <w:r>
        <w:rPr>
          <w:rStyle w:val="FootnoteReference"/>
        </w:rPr>
        <w:footnoteRef/>
      </w:r>
      <w:r>
        <w:t xml:space="preserve"> </w:t>
      </w:r>
      <w:r w:rsidRPr="008A248F">
        <w:rPr>
          <w:b/>
          <w:bCs/>
        </w:rPr>
        <w:t>Nyingwa</w:t>
      </w:r>
      <w:r w:rsidR="00B024D3" w:rsidRPr="008A248F">
        <w:rPr>
          <w:b/>
          <w:bCs/>
        </w:rPr>
        <w:t xml:space="preserve"> v Moolman  NO</w:t>
      </w:r>
      <w:r w:rsidR="00B024D3">
        <w:t>, 1993 (2) SA 508 (</w:t>
      </w:r>
      <w:r w:rsidR="008A248F">
        <w:t>TKGD) at 510</w:t>
      </w:r>
    </w:p>
  </w:footnote>
  <w:footnote w:id="2">
    <w:p w14:paraId="2978C2CE" w14:textId="0AF852EC" w:rsidR="00CF2DD6" w:rsidRDefault="00CF2DD6">
      <w:pPr>
        <w:pStyle w:val="FootnoteText"/>
      </w:pPr>
      <w:r>
        <w:rPr>
          <w:rStyle w:val="FootnoteReference"/>
        </w:rPr>
        <w:footnoteRef/>
      </w:r>
      <w:r>
        <w:t xml:space="preserve"> </w:t>
      </w:r>
      <w:r w:rsidRPr="006D5793">
        <w:rPr>
          <w:b/>
          <w:bCs/>
        </w:rPr>
        <w:t>De Wet v Western Bank Ltd</w:t>
      </w:r>
      <w:r w:rsidR="005C6BDD">
        <w:t xml:space="preserve">, 1979 (2) SA 1031 (A) at </w:t>
      </w:r>
      <w:r w:rsidR="006D5793">
        <w:t>1038</w:t>
      </w:r>
    </w:p>
  </w:footnote>
  <w:footnote w:id="3">
    <w:p w14:paraId="71259F2E" w14:textId="3D4E5421" w:rsidR="008463AA" w:rsidRDefault="008463AA">
      <w:pPr>
        <w:pStyle w:val="FootnoteText"/>
      </w:pPr>
      <w:r>
        <w:rPr>
          <w:rStyle w:val="FootnoteReference"/>
        </w:rPr>
        <w:footnoteRef/>
      </w:r>
      <w:r>
        <w:t xml:space="preserve"> </w:t>
      </w:r>
      <w:r w:rsidR="00646580">
        <w:t>The relevant part of section 129 provides that if a consumer is in default</w:t>
      </w:r>
      <w:r w:rsidR="00A31C7D">
        <w:t xml:space="preserve"> under a credit agreement, the credit provider may draw</w:t>
      </w:r>
      <w:r w:rsidR="00D22483">
        <w:t xml:space="preserve"> the default to the notice of the consumer in writing and propose various options to resolve the problem and may not commence</w:t>
      </w:r>
      <w:r w:rsidR="00637695">
        <w:t xml:space="preserve"> any legal proceedings to enforce the agreement without first providing </w:t>
      </w:r>
      <w:r w:rsidR="00613CCB">
        <w:t>that notice.</w:t>
      </w:r>
    </w:p>
  </w:footnote>
  <w:footnote w:id="4">
    <w:p w14:paraId="512713B9" w14:textId="03902E12" w:rsidR="00E90BD0" w:rsidRDefault="00E90BD0">
      <w:pPr>
        <w:pStyle w:val="FootnoteText"/>
      </w:pPr>
      <w:r>
        <w:rPr>
          <w:rStyle w:val="FootnoteReference"/>
        </w:rPr>
        <w:footnoteRef/>
      </w:r>
      <w:r>
        <w:t xml:space="preserve"> </w:t>
      </w:r>
      <w:r w:rsidR="00272D52">
        <w:t>See caselines paginated pgs. 004-5</w:t>
      </w:r>
    </w:p>
  </w:footnote>
  <w:footnote w:id="5">
    <w:p w14:paraId="7844B537" w14:textId="7DD8AC3F" w:rsidR="00A572EB" w:rsidRDefault="00A572EB">
      <w:pPr>
        <w:pStyle w:val="FootnoteText"/>
      </w:pPr>
      <w:r>
        <w:rPr>
          <w:rStyle w:val="FootnoteReference"/>
        </w:rPr>
        <w:footnoteRef/>
      </w:r>
      <w:r>
        <w:t xml:space="preserve"> </w:t>
      </w:r>
      <w:r w:rsidR="00A11B2B">
        <w:t>See caselines paginated pgs. 008-</w:t>
      </w:r>
      <w:r w:rsidR="008D5C10">
        <w:t>5</w:t>
      </w:r>
      <w:r w:rsidR="008A146D">
        <w:t xml:space="preserve"> to 008-</w:t>
      </w:r>
      <w:r w:rsidR="008D5C10">
        <w:t>6</w:t>
      </w:r>
    </w:p>
  </w:footnote>
  <w:footnote w:id="6">
    <w:p w14:paraId="3B20D525" w14:textId="076C0495" w:rsidR="00DE3FD9" w:rsidRDefault="00DE3FD9">
      <w:pPr>
        <w:pStyle w:val="FootnoteText"/>
      </w:pPr>
      <w:r>
        <w:rPr>
          <w:rStyle w:val="FootnoteReference"/>
        </w:rPr>
        <w:footnoteRef/>
      </w:r>
      <w:r>
        <w:t xml:space="preserve"> </w:t>
      </w:r>
      <w:r w:rsidR="00EF3D21">
        <w:t>See caselines paginated pgs</w:t>
      </w:r>
      <w:r w:rsidR="00777B3E">
        <w:t>. 015-1 to 015-</w:t>
      </w:r>
      <w:r w:rsidR="005863F1">
        <w:t>3.</w:t>
      </w:r>
    </w:p>
  </w:footnote>
  <w:footnote w:id="7">
    <w:p w14:paraId="437597C3" w14:textId="6ECDB01B" w:rsidR="00057FB4" w:rsidRDefault="00057FB4">
      <w:pPr>
        <w:pStyle w:val="FootnoteText"/>
      </w:pPr>
      <w:r>
        <w:rPr>
          <w:rStyle w:val="FootnoteReference"/>
        </w:rPr>
        <w:footnoteRef/>
      </w:r>
      <w:r>
        <w:t xml:space="preserve"> See caselines paginated pgs. 003-11 to </w:t>
      </w:r>
      <w:r w:rsidR="00CB6B0A">
        <w:t>003-1</w:t>
      </w:r>
      <w:r w:rsidR="002F302D">
        <w:t>8.</w:t>
      </w:r>
    </w:p>
  </w:footnote>
  <w:footnote w:id="8">
    <w:p w14:paraId="0BBB5158" w14:textId="6B17421F" w:rsidR="00617C28" w:rsidRDefault="00617C28">
      <w:pPr>
        <w:pStyle w:val="FootnoteText"/>
      </w:pPr>
      <w:r>
        <w:rPr>
          <w:rStyle w:val="FootnoteReference"/>
        </w:rPr>
        <w:footnoteRef/>
      </w:r>
      <w:r>
        <w:t xml:space="preserve"> </w:t>
      </w:r>
      <w:r w:rsidR="0077458C">
        <w:t>See caselines paginated pgs. 002-</w:t>
      </w:r>
      <w:r w:rsidR="00670F5C">
        <w:t>5 to 002-</w:t>
      </w:r>
      <w:r w:rsidR="00F24CD6">
        <w:t>7.</w:t>
      </w:r>
    </w:p>
  </w:footnote>
  <w:footnote w:id="9">
    <w:p w14:paraId="157F38F1" w14:textId="407E63D8" w:rsidR="00150B85" w:rsidRDefault="00150B85">
      <w:pPr>
        <w:pStyle w:val="FootnoteText"/>
      </w:pPr>
      <w:r>
        <w:rPr>
          <w:rStyle w:val="FootnoteReference"/>
        </w:rPr>
        <w:footnoteRef/>
      </w:r>
      <w:r>
        <w:t xml:space="preserve"> </w:t>
      </w:r>
      <w:r w:rsidR="00755363">
        <w:t>See caselines paginated pgs</w:t>
      </w:r>
      <w:r w:rsidR="008556CF">
        <w:t>.</w:t>
      </w:r>
      <w:r w:rsidR="00755363">
        <w:t xml:space="preserve"> </w:t>
      </w:r>
      <w:r w:rsidR="008556CF">
        <w:t>015-1 to 015-2</w:t>
      </w:r>
    </w:p>
  </w:footnote>
  <w:footnote w:id="10">
    <w:p w14:paraId="593C2E29" w14:textId="566C84FA" w:rsidR="009123E8" w:rsidRDefault="009123E8">
      <w:pPr>
        <w:pStyle w:val="FootnoteText"/>
      </w:pPr>
      <w:r>
        <w:rPr>
          <w:rStyle w:val="FootnoteReference"/>
        </w:rPr>
        <w:footnoteRef/>
      </w:r>
      <w:r>
        <w:t xml:space="preserve"> </w:t>
      </w:r>
      <w:r w:rsidR="00DC7EBE">
        <w:t xml:space="preserve">See caselines paginated pgs. </w:t>
      </w:r>
      <w:r w:rsidR="008430EC">
        <w:t>002-14</w:t>
      </w:r>
      <w:r w:rsidR="002E2331">
        <w:t>.</w:t>
      </w:r>
    </w:p>
  </w:footnote>
  <w:footnote w:id="11">
    <w:p w14:paraId="2A09FD60" w14:textId="0B3E0E8F" w:rsidR="00A270B1" w:rsidRDefault="00A270B1">
      <w:pPr>
        <w:pStyle w:val="FootnoteText"/>
      </w:pPr>
      <w:r>
        <w:rPr>
          <w:rStyle w:val="FootnoteReference"/>
        </w:rPr>
        <w:footnoteRef/>
      </w:r>
      <w:r>
        <w:t xml:space="preserve"> See caselines paginated pgs. </w:t>
      </w:r>
      <w:r w:rsidR="004C7F04">
        <w:t>025-</w:t>
      </w:r>
      <w:r w:rsidR="00C741CE">
        <w:t>3</w:t>
      </w:r>
    </w:p>
  </w:footnote>
  <w:footnote w:id="12">
    <w:p w14:paraId="240CD9F9" w14:textId="4E4BCBDE" w:rsidR="00DF4BE5" w:rsidRDefault="00DF4BE5">
      <w:pPr>
        <w:pStyle w:val="FootnoteText"/>
      </w:pPr>
      <w:r>
        <w:rPr>
          <w:rStyle w:val="FootnoteReference"/>
        </w:rPr>
        <w:footnoteRef/>
      </w:r>
      <w:r>
        <w:t xml:space="preserve"> </w:t>
      </w:r>
      <w:r w:rsidR="00E13C16" w:rsidRPr="00582A16">
        <w:rPr>
          <w:b/>
          <w:bCs/>
        </w:rPr>
        <w:t>S</w:t>
      </w:r>
      <w:r w:rsidR="004C413C" w:rsidRPr="00582A16">
        <w:rPr>
          <w:b/>
          <w:bCs/>
        </w:rPr>
        <w:t xml:space="preserve">tarita v Absa Bank Limited </w:t>
      </w:r>
      <w:r w:rsidR="0014292F" w:rsidRPr="00582A16">
        <w:rPr>
          <w:b/>
          <w:bCs/>
        </w:rPr>
        <w:t>and Another</w:t>
      </w:r>
      <w:r w:rsidR="0014292F">
        <w:t xml:space="preserve"> (745/2009)  [2010</w:t>
      </w:r>
      <w:r w:rsidR="001A10D5">
        <w:t>]ZAGPJHC 13; 2010</w:t>
      </w:r>
      <w:r w:rsidR="008E2D8B">
        <w:t xml:space="preserve"> (3) SA 443 (G</w:t>
      </w:r>
      <w:r w:rsidR="00127AD4">
        <w:t>SJ) (26 March 2010)</w:t>
      </w:r>
      <w:r w:rsidR="00064D2A">
        <w:t xml:space="preserve"> at par 10</w:t>
      </w:r>
    </w:p>
  </w:footnote>
  <w:footnote w:id="13">
    <w:p w14:paraId="25F59F19" w14:textId="4A0FF6A4" w:rsidR="000606CA" w:rsidRDefault="00BE1ABF" w:rsidP="000606CA">
      <w:pPr>
        <w:pStyle w:val="FootnoteText"/>
      </w:pPr>
      <w:r>
        <w:rPr>
          <w:rStyle w:val="FootnoteReference"/>
        </w:rPr>
        <w:footnoteRef/>
      </w:r>
      <w:r>
        <w:t xml:space="preserve"> </w:t>
      </w:r>
      <w:r w:rsidR="000606CA">
        <w:t>See caselines paginated pgs. 003-12 to 003-1</w:t>
      </w:r>
      <w:r w:rsidR="00183FA6">
        <w:t>7</w:t>
      </w:r>
      <w:r w:rsidR="000606CA">
        <w:t>.</w:t>
      </w:r>
    </w:p>
    <w:p w14:paraId="48C31853" w14:textId="5AE5490A" w:rsidR="00BE1ABF" w:rsidRDefault="00BE1ABF">
      <w:pPr>
        <w:pStyle w:val="FootnoteText"/>
      </w:pPr>
    </w:p>
  </w:footnote>
  <w:footnote w:id="14">
    <w:p w14:paraId="46C82C61" w14:textId="4D7948ED" w:rsidR="00C43F1F" w:rsidRDefault="00C43F1F">
      <w:pPr>
        <w:pStyle w:val="FootnoteText"/>
      </w:pPr>
      <w:r>
        <w:rPr>
          <w:rStyle w:val="FootnoteReference"/>
        </w:rPr>
        <w:footnoteRef/>
      </w:r>
      <w:r>
        <w:t xml:space="preserve"> </w:t>
      </w:r>
      <w:r w:rsidRPr="00582A16">
        <w:rPr>
          <w:b/>
          <w:bCs/>
        </w:rPr>
        <w:t>Occupiers of Erven 87 and 88 Berea v De Wet N.O</w:t>
      </w:r>
      <w:r>
        <w:t>. and Another 2017 (5) SA 346 (CC) at par 65.</w:t>
      </w:r>
    </w:p>
  </w:footnote>
  <w:footnote w:id="15">
    <w:p w14:paraId="65C4B844" w14:textId="2847BC19" w:rsidR="00BD10F2" w:rsidRPr="00C568CD" w:rsidRDefault="00BD10F2" w:rsidP="00117199">
      <w:pPr>
        <w:pStyle w:val="WLGLevel1"/>
        <w:numPr>
          <w:ilvl w:val="0"/>
          <w:numId w:val="0"/>
        </w:numPr>
        <w:spacing w:before="0" w:after="0" w:line="360" w:lineRule="auto"/>
        <w:rPr>
          <w:sz w:val="20"/>
        </w:rPr>
      </w:pPr>
      <w:r w:rsidRPr="00C568CD">
        <w:rPr>
          <w:rStyle w:val="FootnoteReference"/>
          <w:sz w:val="20"/>
        </w:rPr>
        <w:footnoteRef/>
      </w:r>
      <w:r w:rsidRPr="00C568CD">
        <w:rPr>
          <w:sz w:val="20"/>
        </w:rPr>
        <w:t xml:space="preserve"> </w:t>
      </w:r>
      <w:r w:rsidRPr="00582A16">
        <w:rPr>
          <w:b/>
          <w:bCs/>
          <w:sz w:val="20"/>
        </w:rPr>
        <w:t>Zweni v Minister of Law and Order</w:t>
      </w:r>
      <w:r w:rsidRPr="00C568CD">
        <w:rPr>
          <w:sz w:val="20"/>
        </w:rPr>
        <w:t xml:space="preserve"> 1993 (1) SA 523 (AD) at 531 and </w:t>
      </w:r>
      <w:r w:rsidRPr="00582A16">
        <w:rPr>
          <w:b/>
          <w:bCs/>
          <w:sz w:val="20"/>
        </w:rPr>
        <w:t>Tshivhase</w:t>
      </w:r>
      <w:r w:rsidRPr="00C568CD">
        <w:rPr>
          <w:sz w:val="20"/>
        </w:rPr>
        <w:t xml:space="preserve"> Royal Council v </w:t>
      </w:r>
      <w:r w:rsidRPr="00582A16">
        <w:rPr>
          <w:b/>
          <w:bCs/>
          <w:sz w:val="20"/>
        </w:rPr>
        <w:t>Tshivhase</w:t>
      </w:r>
      <w:r w:rsidRPr="00C568CD">
        <w:rPr>
          <w:sz w:val="20"/>
        </w:rPr>
        <w:t xml:space="preserve"> 1992 (4) SA 852 (A) at 862J – 863A.</w:t>
      </w:r>
    </w:p>
  </w:footnote>
  <w:footnote w:id="16">
    <w:p w14:paraId="129FF6F8" w14:textId="77777777" w:rsidR="00F81EE9" w:rsidRPr="00C568CD" w:rsidRDefault="00F81EE9" w:rsidP="00117199">
      <w:pPr>
        <w:pStyle w:val="WLGLevel1"/>
        <w:numPr>
          <w:ilvl w:val="0"/>
          <w:numId w:val="0"/>
        </w:numPr>
        <w:spacing w:before="0" w:after="0" w:line="360" w:lineRule="auto"/>
        <w:rPr>
          <w:sz w:val="20"/>
        </w:rPr>
      </w:pPr>
      <w:r w:rsidRPr="00C568CD">
        <w:rPr>
          <w:rStyle w:val="FootnoteReference"/>
          <w:sz w:val="20"/>
        </w:rPr>
        <w:footnoteRef/>
      </w:r>
      <w:r w:rsidRPr="00C568CD">
        <w:rPr>
          <w:sz w:val="20"/>
        </w:rPr>
        <w:t xml:space="preserve"> </w:t>
      </w:r>
      <w:r w:rsidRPr="00582A16">
        <w:rPr>
          <w:b/>
          <w:bCs/>
          <w:sz w:val="20"/>
        </w:rPr>
        <w:t>Zondi v MEC, Traditional and local Government Affairs</w:t>
      </w:r>
      <w:r w:rsidRPr="00C568CD">
        <w:rPr>
          <w:sz w:val="20"/>
        </w:rPr>
        <w:t xml:space="preserve"> 2006 (3) SA 1 (CC) at paras 31, 32 &amp; 35.</w:t>
      </w:r>
    </w:p>
    <w:p w14:paraId="5EFABD8C" w14:textId="1DD24EE7" w:rsidR="00F81EE9" w:rsidRDefault="00F81EE9" w:rsidP="00117199">
      <w:pPr>
        <w:pStyle w:val="FootnoteText"/>
      </w:pPr>
    </w:p>
  </w:footnote>
  <w:footnote w:id="17">
    <w:p w14:paraId="35C7B6CF" w14:textId="0E6150B5" w:rsidR="00CF65CD" w:rsidRDefault="00CF65CD">
      <w:pPr>
        <w:pStyle w:val="FootnoteText"/>
      </w:pPr>
      <w:r>
        <w:rPr>
          <w:rStyle w:val="FootnoteReference"/>
        </w:rPr>
        <w:footnoteRef/>
      </w:r>
      <w:r>
        <w:t xml:space="preserve"> </w:t>
      </w:r>
      <w:r w:rsidR="009873CF">
        <w:t>See caselines paginated pgs. 004-4</w:t>
      </w:r>
    </w:p>
  </w:footnote>
  <w:footnote w:id="18">
    <w:p w14:paraId="44FBF6E8" w14:textId="71BEEEFE" w:rsidR="0097544B" w:rsidRDefault="0097544B">
      <w:pPr>
        <w:pStyle w:val="FootnoteText"/>
      </w:pPr>
      <w:r>
        <w:rPr>
          <w:rStyle w:val="FootnoteReference"/>
        </w:rPr>
        <w:footnoteRef/>
      </w:r>
      <w:r>
        <w:t xml:space="preserve"> </w:t>
      </w:r>
      <w:r w:rsidR="00053604" w:rsidRPr="005B1E8D">
        <w:rPr>
          <w:b/>
          <w:bCs/>
        </w:rPr>
        <w:t>Colyn v Tiger Foods Indu</w:t>
      </w:r>
      <w:r w:rsidR="003358E5" w:rsidRPr="005B1E8D">
        <w:rPr>
          <w:b/>
          <w:bCs/>
        </w:rPr>
        <w:t>stries Ltd  t/a Meadow Feed Mills (Cape)</w:t>
      </w:r>
      <w:r w:rsidR="005B1E8D" w:rsidRPr="005B1E8D">
        <w:rPr>
          <w:b/>
          <w:bCs/>
        </w:rPr>
        <w:t>,</w:t>
      </w:r>
      <w:r w:rsidR="003358E5">
        <w:t xml:space="preserve"> 2003</w:t>
      </w:r>
      <w:r w:rsidR="008E776D">
        <w:t xml:space="preserve"> (6) SA 1 (SCA) at para.3</w:t>
      </w:r>
    </w:p>
  </w:footnote>
  <w:footnote w:id="19">
    <w:p w14:paraId="2501C72D" w14:textId="696FAF0F" w:rsidR="00806A3D" w:rsidRDefault="00806A3D">
      <w:pPr>
        <w:pStyle w:val="FootnoteText"/>
      </w:pPr>
      <w:r>
        <w:rPr>
          <w:rStyle w:val="FootnoteReference"/>
        </w:rPr>
        <w:footnoteRef/>
      </w:r>
      <w:r>
        <w:t xml:space="preserve"> </w:t>
      </w:r>
      <w:r w:rsidRPr="005B1E8D">
        <w:rPr>
          <w:b/>
          <w:bCs/>
        </w:rPr>
        <w:t>Colyn</w:t>
      </w:r>
      <w:r w:rsidR="006A5C54">
        <w:rPr>
          <w:b/>
          <w:bCs/>
        </w:rPr>
        <w:t xml:space="preserve"> </w:t>
      </w:r>
      <w:r w:rsidR="006A5C54" w:rsidRPr="006A5C54">
        <w:rPr>
          <w:i/>
          <w:iCs/>
        </w:rPr>
        <w:t>supra</w:t>
      </w:r>
      <w:r w:rsidR="006A5C54" w:rsidRPr="006A5C54">
        <w:t xml:space="preserve"> at para.4</w:t>
      </w:r>
    </w:p>
  </w:footnote>
  <w:footnote w:id="20">
    <w:p w14:paraId="614F8B21" w14:textId="42FFDFF9" w:rsidR="00A54551" w:rsidRDefault="00A54551">
      <w:pPr>
        <w:pStyle w:val="FootnoteText"/>
      </w:pPr>
      <w:r>
        <w:rPr>
          <w:rStyle w:val="FootnoteReference"/>
        </w:rPr>
        <w:footnoteRef/>
      </w:r>
      <w:r>
        <w:t xml:space="preserve"> </w:t>
      </w:r>
      <w:r w:rsidR="00AF5BE2" w:rsidRPr="00640D66">
        <w:rPr>
          <w:b/>
          <w:bCs/>
        </w:rPr>
        <w:t>Firestone SA Ltd v Gentiru</w:t>
      </w:r>
      <w:r w:rsidR="00763ABE" w:rsidRPr="00640D66">
        <w:rPr>
          <w:b/>
          <w:bCs/>
        </w:rPr>
        <w:t>co AG</w:t>
      </w:r>
      <w:r w:rsidR="00763ABE">
        <w:t>, 1977 (4) SA</w:t>
      </w:r>
      <w:r w:rsidR="006045D4">
        <w:t xml:space="preserve"> 298 (A) at 306; Applied to Constitutional Court </w:t>
      </w:r>
      <w:r w:rsidR="0082596B">
        <w:t>judgment ;</w:t>
      </w:r>
      <w:r w:rsidR="00BA2460">
        <w:t xml:space="preserve"> </w:t>
      </w:r>
      <w:r w:rsidR="0082596B" w:rsidRPr="00BA2460">
        <w:rPr>
          <w:b/>
          <w:bCs/>
        </w:rPr>
        <w:t>Minister of Justice v Ntuli</w:t>
      </w:r>
      <w:r w:rsidR="0082596B">
        <w:t>, 1997 (3) SA</w:t>
      </w:r>
      <w:r w:rsidR="0003411D">
        <w:t xml:space="preserve"> 772 (CC), at 780-782</w:t>
      </w:r>
      <w:r w:rsidR="0003411D" w:rsidRPr="00BA2460">
        <w:rPr>
          <w:b/>
          <w:bCs/>
        </w:rPr>
        <w:t xml:space="preserve">; Exparte Woman’s Legal </w:t>
      </w:r>
      <w:r w:rsidR="005B6EB3" w:rsidRPr="00BA2460">
        <w:rPr>
          <w:b/>
          <w:bCs/>
        </w:rPr>
        <w:t>Centre: In re Moise v Greater Germiston Transitional Council</w:t>
      </w:r>
      <w:r w:rsidR="00640D66">
        <w:t>, 2001 (4) SA 1288 (CC)</w:t>
      </w:r>
    </w:p>
  </w:footnote>
  <w:footnote w:id="21">
    <w:p w14:paraId="43587ACB" w14:textId="7CA6BB03" w:rsidR="00A1547F" w:rsidRDefault="00A1547F">
      <w:pPr>
        <w:pStyle w:val="FootnoteText"/>
      </w:pPr>
      <w:r>
        <w:rPr>
          <w:rStyle w:val="FootnoteReference"/>
        </w:rPr>
        <w:footnoteRef/>
      </w:r>
      <w:r>
        <w:t xml:space="preserve"> </w:t>
      </w:r>
      <w:r w:rsidR="00A76E89" w:rsidRPr="00EE6D79">
        <w:rPr>
          <w:b/>
          <w:bCs/>
        </w:rPr>
        <w:t xml:space="preserve">Brown and Others v Yebba CC t/a </w:t>
      </w:r>
      <w:r w:rsidR="00187CD4" w:rsidRPr="00EE6D79">
        <w:rPr>
          <w:b/>
          <w:bCs/>
        </w:rPr>
        <w:t>Remax Tricolour</w:t>
      </w:r>
      <w:r w:rsidR="00187CD4">
        <w:t>, 2009 (1) SA 519 (D)</w:t>
      </w:r>
    </w:p>
  </w:footnote>
  <w:footnote w:id="22">
    <w:p w14:paraId="75572C65" w14:textId="3CF3D8F2" w:rsidR="00000769" w:rsidRDefault="00000769">
      <w:pPr>
        <w:pStyle w:val="FootnoteText"/>
      </w:pPr>
      <w:r>
        <w:rPr>
          <w:rStyle w:val="FootnoteReference"/>
        </w:rPr>
        <w:footnoteRef/>
      </w:r>
      <w:r>
        <w:t xml:space="preserve"> </w:t>
      </w:r>
      <w:r w:rsidRPr="00F90FEC">
        <w:rPr>
          <w:b/>
          <w:bCs/>
        </w:rPr>
        <w:t>Firestone SA Ltd</w:t>
      </w:r>
      <w:r>
        <w:t xml:space="preserve"> </w:t>
      </w:r>
      <w:r w:rsidR="00F90FEC" w:rsidRPr="00F90FEC">
        <w:rPr>
          <w:i/>
          <w:iCs/>
        </w:rPr>
        <w:t>supra</w:t>
      </w:r>
      <w:r w:rsidR="00F90FEC">
        <w:t xml:space="preserve"> at 306-307</w:t>
      </w:r>
    </w:p>
  </w:footnote>
  <w:footnote w:id="23">
    <w:p w14:paraId="5C69FDD5" w14:textId="2052F913" w:rsidR="009116FA" w:rsidRDefault="009116FA">
      <w:pPr>
        <w:pStyle w:val="FootnoteText"/>
      </w:pPr>
      <w:r>
        <w:rPr>
          <w:rStyle w:val="FootnoteReference"/>
        </w:rPr>
        <w:footnoteRef/>
      </w:r>
      <w:r>
        <w:t xml:space="preserve"> </w:t>
      </w:r>
      <w:r w:rsidRPr="00A22CC1">
        <w:rPr>
          <w:b/>
          <w:bCs/>
        </w:rPr>
        <w:t>Firestone SA Ltd</w:t>
      </w:r>
      <w:r>
        <w:t xml:space="preserve">  </w:t>
      </w:r>
      <w:r w:rsidRPr="00A22CC1">
        <w:rPr>
          <w:i/>
          <w:iCs/>
        </w:rPr>
        <w:t>supra</w:t>
      </w:r>
      <w:r>
        <w:t xml:space="preserve"> at para</w:t>
      </w:r>
      <w:r w:rsidR="00790293">
        <w:t xml:space="preserve">,5; </w:t>
      </w:r>
      <w:r w:rsidR="00790293" w:rsidRPr="00A22CC1">
        <w:rPr>
          <w:b/>
          <w:bCs/>
        </w:rPr>
        <w:t>Thompson v South African Broadcasting Corpo</w:t>
      </w:r>
      <w:r w:rsidR="00373A5B" w:rsidRPr="00A22CC1">
        <w:rPr>
          <w:b/>
          <w:bCs/>
        </w:rPr>
        <w:t>ration</w:t>
      </w:r>
      <w:r w:rsidR="00373A5B">
        <w:t>, 2001 (3) SA 746 (SCA) at para. 5</w:t>
      </w:r>
    </w:p>
    <w:p w14:paraId="2C636B4B" w14:textId="77777777" w:rsidR="0003054E" w:rsidRDefault="0003054E">
      <w:pPr>
        <w:pStyle w:val="FootnoteText"/>
      </w:pPr>
    </w:p>
  </w:footnote>
  <w:footnote w:id="24">
    <w:p w14:paraId="522323C9" w14:textId="2B3C17CC" w:rsidR="007D45B8" w:rsidRDefault="007D45B8">
      <w:pPr>
        <w:pStyle w:val="FootnoteText"/>
      </w:pPr>
      <w:r>
        <w:rPr>
          <w:rStyle w:val="FootnoteReference"/>
        </w:rPr>
        <w:footnoteRef/>
      </w:r>
      <w:r>
        <w:t xml:space="preserve"> </w:t>
      </w:r>
      <w:r w:rsidRPr="00F0030C">
        <w:rPr>
          <w:b/>
          <w:bCs/>
        </w:rPr>
        <w:t>Securiforce</w:t>
      </w:r>
      <w:r w:rsidR="003563FC" w:rsidRPr="00F0030C">
        <w:rPr>
          <w:b/>
          <w:bCs/>
        </w:rPr>
        <w:t xml:space="preserve"> CC v Ruiters</w:t>
      </w:r>
      <w:r w:rsidR="003563FC">
        <w:t>, 2012 (4) SA 252 (</w:t>
      </w:r>
      <w:r w:rsidR="00F0030C">
        <w:t>NCK)</w:t>
      </w:r>
    </w:p>
  </w:footnote>
  <w:footnote w:id="25">
    <w:p w14:paraId="4276EB62" w14:textId="39ADCC5F" w:rsidR="000257B2" w:rsidRDefault="000257B2">
      <w:pPr>
        <w:pStyle w:val="FootnoteText"/>
      </w:pPr>
      <w:r>
        <w:rPr>
          <w:rStyle w:val="FootnoteReference"/>
        </w:rPr>
        <w:footnoteRef/>
      </w:r>
      <w:r>
        <w:t xml:space="preserve"> </w:t>
      </w:r>
      <w:r w:rsidRPr="00B852E9">
        <w:rPr>
          <w:b/>
          <w:bCs/>
        </w:rPr>
        <w:t>Is</w:t>
      </w:r>
      <w:r w:rsidR="00A30E68" w:rsidRPr="00B852E9">
        <w:rPr>
          <w:b/>
          <w:bCs/>
        </w:rPr>
        <w:t>aacs v Williams</w:t>
      </w:r>
      <w:r w:rsidR="00A30E68">
        <w:t xml:space="preserve">, 1983 </w:t>
      </w:r>
      <w:r w:rsidR="00017801">
        <w:t>(2) SA 723 (</w:t>
      </w:r>
      <w:r w:rsidR="00B852E9">
        <w:t>NC) at 727</w:t>
      </w:r>
    </w:p>
  </w:footnote>
  <w:footnote w:id="26">
    <w:p w14:paraId="6B980B57" w14:textId="5DD038D7" w:rsidR="00186444" w:rsidRDefault="00186444">
      <w:pPr>
        <w:pStyle w:val="FootnoteText"/>
      </w:pPr>
      <w:r>
        <w:rPr>
          <w:rStyle w:val="FootnoteReference"/>
        </w:rPr>
        <w:footnoteRef/>
      </w:r>
      <w:r>
        <w:t xml:space="preserve"> </w:t>
      </w:r>
      <w:r w:rsidR="001F223C" w:rsidRPr="001F223C">
        <w:rPr>
          <w:b/>
          <w:bCs/>
        </w:rPr>
        <w:t>Mostert</w:t>
      </w:r>
      <w:r w:rsidRPr="001F223C">
        <w:rPr>
          <w:b/>
          <w:bCs/>
        </w:rPr>
        <w:t xml:space="preserve"> v Old Mutual Life </w:t>
      </w:r>
      <w:r w:rsidR="001F223C" w:rsidRPr="001F223C">
        <w:rPr>
          <w:b/>
          <w:bCs/>
        </w:rPr>
        <w:t>Assurance</w:t>
      </w:r>
      <w:r w:rsidRPr="001F223C">
        <w:rPr>
          <w:b/>
          <w:bCs/>
        </w:rPr>
        <w:t xml:space="preserve"> </w:t>
      </w:r>
      <w:r w:rsidR="00842474" w:rsidRPr="001F223C">
        <w:rPr>
          <w:b/>
          <w:bCs/>
        </w:rPr>
        <w:t>CO (SA) Ltd</w:t>
      </w:r>
      <w:r w:rsidR="00842474">
        <w:t>, [2002] 2 ALL SA 101 (A) at para</w:t>
      </w:r>
      <w:r w:rsidR="001F223C">
        <w:t>. 5</w:t>
      </w:r>
    </w:p>
  </w:footnote>
  <w:footnote w:id="27">
    <w:p w14:paraId="2EE42CD4" w14:textId="068EADE1" w:rsidR="00F463E6" w:rsidRDefault="00F463E6">
      <w:pPr>
        <w:pStyle w:val="FootnoteText"/>
      </w:pPr>
      <w:r>
        <w:rPr>
          <w:rStyle w:val="FootnoteReference"/>
        </w:rPr>
        <w:footnoteRef/>
      </w:r>
      <w:r>
        <w:t xml:space="preserve"> </w:t>
      </w:r>
      <w:r w:rsidRPr="00A114B2">
        <w:rPr>
          <w:b/>
          <w:bCs/>
        </w:rPr>
        <w:t>Transvaal Canoe Union v But</w:t>
      </w:r>
      <w:r w:rsidR="003930BB" w:rsidRPr="00A114B2">
        <w:rPr>
          <w:b/>
          <w:bCs/>
        </w:rPr>
        <w:t>gereit</w:t>
      </w:r>
      <w:r w:rsidR="003930BB">
        <w:t xml:space="preserve">, 1999 (3) SA 389 (T) </w:t>
      </w:r>
      <w:r w:rsidR="00A114B2">
        <w:t>at 404</w:t>
      </w:r>
    </w:p>
  </w:footnote>
  <w:footnote w:id="28">
    <w:p w14:paraId="15076D02" w14:textId="57E34A38" w:rsidR="00CF4EDC" w:rsidRDefault="00CF4EDC">
      <w:pPr>
        <w:pStyle w:val="FootnoteText"/>
      </w:pPr>
      <w:r>
        <w:rPr>
          <w:rStyle w:val="FootnoteReference"/>
        </w:rPr>
        <w:footnoteRef/>
      </w:r>
      <w:r>
        <w:t xml:space="preserve"> Form 2(a)</w:t>
      </w:r>
    </w:p>
  </w:footnote>
  <w:footnote w:id="29">
    <w:p w14:paraId="50BC8663" w14:textId="1B40398B" w:rsidR="00476F2E" w:rsidRDefault="00476F2E">
      <w:pPr>
        <w:pStyle w:val="FootnoteText"/>
      </w:pPr>
      <w:r w:rsidRPr="00375B34">
        <w:rPr>
          <w:rStyle w:val="FootnoteReference"/>
          <w:b/>
          <w:bCs/>
        </w:rPr>
        <w:footnoteRef/>
      </w:r>
      <w:r w:rsidRPr="00375B34">
        <w:rPr>
          <w:b/>
          <w:bCs/>
        </w:rPr>
        <w:t xml:space="preserve"> United Watch &amp; Dimond Co </w:t>
      </w:r>
      <w:r w:rsidR="00EE7EC9" w:rsidRPr="00375B34">
        <w:rPr>
          <w:b/>
          <w:bCs/>
        </w:rPr>
        <w:t>(Pty) Ltd v Disa Hotels</w:t>
      </w:r>
      <w:r w:rsidR="0050719F" w:rsidRPr="00375B34">
        <w:rPr>
          <w:b/>
          <w:bCs/>
        </w:rPr>
        <w:t xml:space="preserve"> Ltd</w:t>
      </w:r>
      <w:r w:rsidR="0050719F">
        <w:t>, 1972 (4) SA 409 (C) at 414</w:t>
      </w:r>
      <w:r w:rsidR="0011748A">
        <w:t xml:space="preserve">; </w:t>
      </w:r>
      <w:r w:rsidR="0011748A" w:rsidRPr="00375B34">
        <w:rPr>
          <w:b/>
          <w:bCs/>
        </w:rPr>
        <w:t xml:space="preserve">Parkview Properties ( Pty) Ltd v Haven Holdings </w:t>
      </w:r>
      <w:r w:rsidR="00252BF7" w:rsidRPr="00375B34">
        <w:rPr>
          <w:b/>
          <w:bCs/>
        </w:rPr>
        <w:t>(Pty) Ltd</w:t>
      </w:r>
      <w:r w:rsidR="00252BF7">
        <w:t>, 1981 (2) SA  52 (T) at 54</w:t>
      </w:r>
    </w:p>
  </w:footnote>
  <w:footnote w:id="30">
    <w:p w14:paraId="166C68E8" w14:textId="5CA46E64" w:rsidR="00D237AE" w:rsidRDefault="00D237AE">
      <w:pPr>
        <w:pStyle w:val="FootnoteText"/>
      </w:pPr>
      <w:r>
        <w:rPr>
          <w:rStyle w:val="FootnoteReference"/>
        </w:rPr>
        <w:footnoteRef/>
      </w:r>
      <w:r>
        <w:t xml:space="preserve"> </w:t>
      </w:r>
      <w:r w:rsidR="00F77762" w:rsidRPr="00964FB6">
        <w:rPr>
          <w:b/>
          <w:bCs/>
        </w:rPr>
        <w:t>Pro</w:t>
      </w:r>
      <w:r w:rsidR="001246BC" w:rsidRPr="00964FB6">
        <w:rPr>
          <w:b/>
          <w:bCs/>
        </w:rPr>
        <w:t>media Drukkers &amp; Uitgewers (Edms) B</w:t>
      </w:r>
      <w:r w:rsidR="00BE421B" w:rsidRPr="00964FB6">
        <w:rPr>
          <w:b/>
          <w:bCs/>
        </w:rPr>
        <w:t>pk v Kaimowitz</w:t>
      </w:r>
      <w:r w:rsidR="00BE421B">
        <w:t xml:space="preserve">, 1996 (4) SA 411 (C) </w:t>
      </w:r>
      <w:r w:rsidR="00082466">
        <w:t xml:space="preserve">at 416-417; </w:t>
      </w:r>
      <w:r w:rsidR="00082466" w:rsidRPr="00CB4A75">
        <w:rPr>
          <w:b/>
          <w:bCs/>
        </w:rPr>
        <w:t>Muteba v Muteb</w:t>
      </w:r>
      <w:r w:rsidR="007D57EA" w:rsidRPr="00CB4A75">
        <w:rPr>
          <w:b/>
          <w:bCs/>
        </w:rPr>
        <w:t xml:space="preserve">a, </w:t>
      </w:r>
      <w:r w:rsidR="007D57EA">
        <w:t xml:space="preserve">2001 (2) SA 193 (Tk) at </w:t>
      </w:r>
      <w:r w:rsidR="00964FB6">
        <w:t>198C-E</w:t>
      </w:r>
    </w:p>
  </w:footnote>
  <w:footnote w:id="31">
    <w:p w14:paraId="583224C1" w14:textId="1088B47D" w:rsidR="0000281E" w:rsidRDefault="0000281E">
      <w:pPr>
        <w:pStyle w:val="FootnoteText"/>
      </w:pPr>
      <w:r>
        <w:rPr>
          <w:rStyle w:val="FootnoteReference"/>
        </w:rPr>
        <w:footnoteRef/>
      </w:r>
      <w:r>
        <w:t xml:space="preserve"> </w:t>
      </w:r>
      <w:r w:rsidRPr="005802BF">
        <w:rPr>
          <w:b/>
          <w:bCs/>
        </w:rPr>
        <w:t>Van der</w:t>
      </w:r>
      <w:r w:rsidR="003657C6" w:rsidRPr="005802BF">
        <w:rPr>
          <w:b/>
          <w:bCs/>
        </w:rPr>
        <w:t xml:space="preserve"> Merwe v Bonaero Park  (</w:t>
      </w:r>
      <w:r w:rsidR="00163B3A" w:rsidRPr="005802BF">
        <w:rPr>
          <w:b/>
          <w:bCs/>
        </w:rPr>
        <w:t>Edms) Bpk</w:t>
      </w:r>
      <w:r w:rsidR="00163B3A">
        <w:t xml:space="preserve">,1998 (1) SA 697 (T) at </w:t>
      </w:r>
      <w:r w:rsidR="00671CE4">
        <w:t xml:space="preserve">702H; </w:t>
      </w:r>
      <w:r w:rsidR="00671CE4" w:rsidRPr="005802BF">
        <w:rPr>
          <w:b/>
          <w:bCs/>
        </w:rPr>
        <w:t>Swart v ABSA Bank L</w:t>
      </w:r>
      <w:r w:rsidR="005802BF" w:rsidRPr="005802BF">
        <w:rPr>
          <w:b/>
          <w:bCs/>
        </w:rPr>
        <w:t>td</w:t>
      </w:r>
      <w:r w:rsidR="005802BF">
        <w:t>, 2009 (5) SA 219 ( C)</w:t>
      </w:r>
    </w:p>
  </w:footnote>
  <w:footnote w:id="32">
    <w:p w14:paraId="5855F93C" w14:textId="26D1998A" w:rsidR="002774C6" w:rsidRDefault="002774C6">
      <w:pPr>
        <w:pStyle w:val="FootnoteText"/>
      </w:pPr>
      <w:r>
        <w:rPr>
          <w:rStyle w:val="FootnoteReference"/>
        </w:rPr>
        <w:footnoteRef/>
      </w:r>
      <w:r>
        <w:t xml:space="preserve"> </w:t>
      </w:r>
      <w:r w:rsidRPr="00C203C8">
        <w:rPr>
          <w:b/>
          <w:bCs/>
        </w:rPr>
        <w:t xml:space="preserve">Theron NO v United Democratic </w:t>
      </w:r>
      <w:r w:rsidR="00F353FD" w:rsidRPr="00C203C8">
        <w:rPr>
          <w:b/>
          <w:bCs/>
        </w:rPr>
        <w:t>Fron</w:t>
      </w:r>
      <w:r w:rsidR="00C203C8" w:rsidRPr="00C203C8">
        <w:rPr>
          <w:b/>
          <w:bCs/>
        </w:rPr>
        <w:t>t</w:t>
      </w:r>
      <w:r w:rsidR="00F353FD">
        <w:t xml:space="preserve"> </w:t>
      </w:r>
      <w:r w:rsidR="00F353FD" w:rsidRPr="00A8115B">
        <w:rPr>
          <w:b/>
          <w:bCs/>
        </w:rPr>
        <w:t>(Westen Cape Region),</w:t>
      </w:r>
      <w:r w:rsidR="00F353FD">
        <w:t xml:space="preserve"> 1984</w:t>
      </w:r>
      <w:r w:rsidR="00496CD4">
        <w:t xml:space="preserve"> (2) SA 532 (</w:t>
      </w:r>
      <w:r w:rsidR="00C203C8">
        <w:t>C</w:t>
      </w:r>
      <w:r w:rsidR="00496CD4">
        <w:t>) at 536G</w:t>
      </w:r>
    </w:p>
  </w:footnote>
  <w:footnote w:id="33">
    <w:p w14:paraId="38EE07B1" w14:textId="4FA848D2" w:rsidR="00297536" w:rsidRDefault="00297536">
      <w:pPr>
        <w:pStyle w:val="FootnoteText"/>
      </w:pPr>
      <w:r>
        <w:rPr>
          <w:rStyle w:val="FootnoteReference"/>
        </w:rPr>
        <w:footnoteRef/>
      </w:r>
      <w:r>
        <w:t xml:space="preserve"> </w:t>
      </w:r>
      <w:r w:rsidR="007B0231">
        <w:t xml:space="preserve">Para. 26, Founding </w:t>
      </w:r>
      <w:r w:rsidR="00DC5907">
        <w:t xml:space="preserve">affidavit </w:t>
      </w:r>
    </w:p>
  </w:footnote>
  <w:footnote w:id="34">
    <w:p w14:paraId="0F9DA8A5" w14:textId="06FC0A70" w:rsidR="00D26662" w:rsidRDefault="00D26662">
      <w:pPr>
        <w:pStyle w:val="FootnoteText"/>
      </w:pPr>
      <w:r>
        <w:rPr>
          <w:rStyle w:val="FootnoteReference"/>
        </w:rPr>
        <w:footnoteRef/>
      </w:r>
      <w:r>
        <w:t xml:space="preserve"> </w:t>
      </w:r>
      <w:r w:rsidRPr="007C32C8">
        <w:rPr>
          <w:b/>
          <w:bCs/>
          <w:i/>
          <w:iCs/>
        </w:rPr>
        <w:t>Exparte</w:t>
      </w:r>
      <w:r w:rsidR="00584158" w:rsidRPr="007C32C8">
        <w:rPr>
          <w:b/>
          <w:bCs/>
        </w:rPr>
        <w:t xml:space="preserve"> Jooste</w:t>
      </w:r>
      <w:r w:rsidR="00584158">
        <w:t>,1968 (4)</w:t>
      </w:r>
      <w:r w:rsidR="00184010">
        <w:t xml:space="preserve"> SA 437 (</w:t>
      </w:r>
      <w:r w:rsidR="00A360AD">
        <w:t>O) at 439</w:t>
      </w:r>
    </w:p>
  </w:footnote>
  <w:footnote w:id="35">
    <w:p w14:paraId="28D189D1" w14:textId="53E0617A" w:rsidR="006937EF" w:rsidRDefault="006937EF">
      <w:pPr>
        <w:pStyle w:val="FootnoteText"/>
      </w:pPr>
      <w:r>
        <w:rPr>
          <w:rStyle w:val="FootnoteReference"/>
        </w:rPr>
        <w:footnoteRef/>
      </w:r>
      <w:r>
        <w:t xml:space="preserve"> </w:t>
      </w:r>
      <w:r w:rsidRPr="007C32C8">
        <w:rPr>
          <w:b/>
          <w:bCs/>
        </w:rPr>
        <w:t>De Allende</w:t>
      </w:r>
      <w:r w:rsidR="00D92CD5" w:rsidRPr="007C32C8">
        <w:rPr>
          <w:b/>
          <w:bCs/>
        </w:rPr>
        <w:t xml:space="preserve"> v Baraldi t/a Embassy Drive Medical Centre</w:t>
      </w:r>
      <w:r w:rsidR="00D92CD5">
        <w:t xml:space="preserve">, 2000 (1) </w:t>
      </w:r>
      <w:r w:rsidR="007C32C8">
        <w:t>SA 390 (T) at 395A-C</w:t>
      </w:r>
    </w:p>
  </w:footnote>
  <w:footnote w:id="36">
    <w:p w14:paraId="15677B3F" w14:textId="68A4E268" w:rsidR="00F01DB0" w:rsidRDefault="00F01DB0">
      <w:pPr>
        <w:pStyle w:val="FootnoteText"/>
      </w:pPr>
      <w:r>
        <w:rPr>
          <w:rStyle w:val="FootnoteReference"/>
        </w:rPr>
        <w:footnoteRef/>
      </w:r>
      <w:r>
        <w:t xml:space="preserve"> </w:t>
      </w:r>
      <w:r w:rsidRPr="000E441C">
        <w:rPr>
          <w:b/>
          <w:bCs/>
        </w:rPr>
        <w:t>Marias v Standard</w:t>
      </w:r>
      <w:r w:rsidR="00FF3766" w:rsidRPr="000E441C">
        <w:rPr>
          <w:b/>
          <w:bCs/>
        </w:rPr>
        <w:t xml:space="preserve"> Credit Corporation</w:t>
      </w:r>
      <w:r w:rsidR="00FF3766">
        <w:t xml:space="preserve"> Ltd,2002 (</w:t>
      </w:r>
      <w:r w:rsidR="002A19D0">
        <w:t>4) SA 892 (W)</w:t>
      </w:r>
      <w:r w:rsidR="009203CD">
        <w:t xml:space="preserve"> at 897; </w:t>
      </w:r>
      <w:r w:rsidR="009203CD" w:rsidRPr="000E441C">
        <w:rPr>
          <w:b/>
          <w:bCs/>
        </w:rPr>
        <w:t>Silver Falcon</w:t>
      </w:r>
      <w:r w:rsidR="00BA411D" w:rsidRPr="000E441C">
        <w:rPr>
          <w:b/>
          <w:bCs/>
        </w:rPr>
        <w:t xml:space="preserve"> Trading 333(Pty) Ltd</w:t>
      </w:r>
      <w:r w:rsidR="001E4100" w:rsidRPr="000E441C">
        <w:rPr>
          <w:b/>
          <w:bCs/>
        </w:rPr>
        <w:t xml:space="preserve"> and Others v Nedbank Ltd</w:t>
      </w:r>
      <w:r w:rsidR="001E4100">
        <w:t xml:space="preserve">, </w:t>
      </w:r>
      <w:r w:rsidR="000E441C">
        <w:t>2012 (3) SA 371 (KZP)</w:t>
      </w:r>
    </w:p>
  </w:footnote>
  <w:footnote w:id="37">
    <w:p w14:paraId="3A4556A2" w14:textId="0882FD4E" w:rsidR="00ED3D26" w:rsidRDefault="00ED3D26">
      <w:pPr>
        <w:pStyle w:val="FootnoteText"/>
      </w:pPr>
      <w:r>
        <w:rPr>
          <w:rStyle w:val="FootnoteReference"/>
        </w:rPr>
        <w:footnoteRef/>
      </w:r>
      <w:r>
        <w:t xml:space="preserve"> </w:t>
      </w:r>
      <w:r w:rsidR="00007CFA" w:rsidRPr="002C2AC9">
        <w:rPr>
          <w:b/>
          <w:bCs/>
        </w:rPr>
        <w:t>Ntlabezo v MEC for Education, Culture and Sport Eastern Cape</w:t>
      </w:r>
      <w:r w:rsidR="000741F4">
        <w:t>, 2001 (2) SA 1073 (Tk) at 1078-1079</w:t>
      </w:r>
    </w:p>
  </w:footnote>
  <w:footnote w:id="38">
    <w:p w14:paraId="31AB5797" w14:textId="0D2DB34A" w:rsidR="00332002" w:rsidRDefault="00332002">
      <w:pPr>
        <w:pStyle w:val="FootnoteText"/>
      </w:pPr>
      <w:r>
        <w:rPr>
          <w:rStyle w:val="FootnoteReference"/>
        </w:rPr>
        <w:footnoteRef/>
      </w:r>
      <w:r>
        <w:t xml:space="preserve"> </w:t>
      </w:r>
      <w:r w:rsidRPr="000F284D">
        <w:rPr>
          <w:b/>
          <w:bCs/>
        </w:rPr>
        <w:t xml:space="preserve">First National Bank of SA Ltd v </w:t>
      </w:r>
      <w:r w:rsidR="00E82065" w:rsidRPr="000F284D">
        <w:rPr>
          <w:b/>
          <w:bCs/>
        </w:rPr>
        <w:t>Van Rensburg NO</w:t>
      </w:r>
      <w:r w:rsidR="00E82065">
        <w:t>,</w:t>
      </w:r>
      <w:r w:rsidR="00AA63B8">
        <w:t xml:space="preserve"> </w:t>
      </w:r>
      <w:r w:rsidR="00E82065">
        <w:t>1994 (1) SA (T) at 680</w:t>
      </w:r>
    </w:p>
  </w:footnote>
  <w:footnote w:id="39">
    <w:p w14:paraId="10F2C62A" w14:textId="608C5561" w:rsidR="008B6C09" w:rsidRDefault="008B6C09">
      <w:pPr>
        <w:pStyle w:val="FootnoteText"/>
      </w:pPr>
      <w:r w:rsidRPr="00B811A2">
        <w:rPr>
          <w:rStyle w:val="FootnoteReference"/>
          <w:b/>
          <w:bCs/>
        </w:rPr>
        <w:footnoteRef/>
      </w:r>
      <w:r w:rsidRPr="00B811A2">
        <w:rPr>
          <w:b/>
          <w:bCs/>
        </w:rPr>
        <w:t xml:space="preserve"> Athma</w:t>
      </w:r>
      <w:r w:rsidR="00F97FAE" w:rsidRPr="00B811A2">
        <w:rPr>
          <w:b/>
          <w:bCs/>
        </w:rPr>
        <w:t>ran v Singh</w:t>
      </w:r>
      <w:r w:rsidR="00F97FAE">
        <w:t>,</w:t>
      </w:r>
      <w:r w:rsidR="00AA63B8">
        <w:t xml:space="preserve"> </w:t>
      </w:r>
      <w:r w:rsidR="00F97FAE">
        <w:t>1989</w:t>
      </w:r>
      <w:r w:rsidR="004208C7">
        <w:t xml:space="preserve"> (3) SA 953 (D) at 956</w:t>
      </w:r>
      <w:r w:rsidR="00A9237B">
        <w:t xml:space="preserve">D-E; </w:t>
      </w:r>
      <w:r w:rsidR="00A9237B" w:rsidRPr="00B811A2">
        <w:rPr>
          <w:b/>
          <w:bCs/>
        </w:rPr>
        <w:t>Van der Merwe v First</w:t>
      </w:r>
      <w:r w:rsidR="0020703E" w:rsidRPr="00B811A2">
        <w:rPr>
          <w:b/>
          <w:bCs/>
        </w:rPr>
        <w:t>rand Bank Ltd t/a Wesbank and Barloworld</w:t>
      </w:r>
      <w:r w:rsidR="00980B04" w:rsidRPr="00B811A2">
        <w:rPr>
          <w:b/>
          <w:bCs/>
        </w:rPr>
        <w:t xml:space="preserve"> Equipment Finance</w:t>
      </w:r>
      <w:r w:rsidR="00980B04">
        <w:t>, 2012 (1) SA 480 (ECG)</w:t>
      </w:r>
    </w:p>
  </w:footnote>
  <w:footnote w:id="40">
    <w:p w14:paraId="20E2D696" w14:textId="77F332DC" w:rsidR="00D13EB4" w:rsidRDefault="00D13EB4">
      <w:pPr>
        <w:pStyle w:val="FootnoteText"/>
      </w:pPr>
      <w:r w:rsidRPr="00B83921">
        <w:rPr>
          <w:rStyle w:val="FootnoteReference"/>
          <w:b/>
          <w:bCs/>
        </w:rPr>
        <w:footnoteRef/>
      </w:r>
      <w:r w:rsidRPr="00B83921">
        <w:rPr>
          <w:b/>
          <w:bCs/>
        </w:rPr>
        <w:t xml:space="preserve"> </w:t>
      </w:r>
      <w:r w:rsidR="00B13030" w:rsidRPr="00B83921">
        <w:rPr>
          <w:b/>
          <w:bCs/>
        </w:rPr>
        <w:t>W</w:t>
      </w:r>
      <w:r w:rsidR="006D7CD5" w:rsidRPr="00B83921">
        <w:rPr>
          <w:b/>
          <w:bCs/>
        </w:rPr>
        <w:t>eare v Absa Bank Ltd</w:t>
      </w:r>
      <w:r w:rsidR="006D7CD5">
        <w:t xml:space="preserve">, </w:t>
      </w:r>
      <w:r w:rsidR="00E12E97">
        <w:t>1997 (2) SA 212</w:t>
      </w:r>
      <w:r w:rsidR="00B83921">
        <w:t xml:space="preserve"> (E) at 216</w:t>
      </w:r>
    </w:p>
  </w:footnote>
  <w:footnote w:id="41">
    <w:p w14:paraId="66FB6D76" w14:textId="0BA9B748" w:rsidR="00EC0D57" w:rsidRDefault="00EC0D57">
      <w:pPr>
        <w:pStyle w:val="FootnoteText"/>
      </w:pPr>
      <w:r w:rsidRPr="00DD773B">
        <w:rPr>
          <w:rStyle w:val="FootnoteReference"/>
          <w:b/>
          <w:bCs/>
        </w:rPr>
        <w:footnoteRef/>
      </w:r>
      <w:r w:rsidRPr="00DD773B">
        <w:rPr>
          <w:b/>
          <w:bCs/>
        </w:rPr>
        <w:t xml:space="preserve"> Lodhi</w:t>
      </w:r>
      <w:r w:rsidR="002B04C5" w:rsidRPr="00DD773B">
        <w:rPr>
          <w:b/>
          <w:bCs/>
        </w:rPr>
        <w:t xml:space="preserve"> 2 Properties Investments C C and Another v Bonde</w:t>
      </w:r>
      <w:r w:rsidR="008050E3" w:rsidRPr="00DD773B">
        <w:rPr>
          <w:b/>
          <w:bCs/>
        </w:rPr>
        <w:t>v Developments (Pty) Ltd</w:t>
      </w:r>
      <w:r w:rsidR="00DD773B">
        <w:t>, 2007 (6) SA 87 (SCA)</w:t>
      </w:r>
    </w:p>
  </w:footnote>
  <w:footnote w:id="42">
    <w:p w14:paraId="7829B375" w14:textId="1D3173B3" w:rsidR="008175E3" w:rsidRDefault="008175E3">
      <w:pPr>
        <w:pStyle w:val="FootnoteText"/>
      </w:pPr>
      <w:r>
        <w:rPr>
          <w:rStyle w:val="FootnoteReference"/>
        </w:rPr>
        <w:footnoteRef/>
      </w:r>
      <w:r>
        <w:t xml:space="preserve"> </w:t>
      </w:r>
      <w:r w:rsidRPr="00DD773B">
        <w:rPr>
          <w:b/>
          <w:bCs/>
        </w:rPr>
        <w:t>Lodhi 2 Properties Investments C C and Another</w:t>
      </w:r>
      <w:r>
        <w:rPr>
          <w:b/>
          <w:bCs/>
        </w:rPr>
        <w:t xml:space="preserve"> </w:t>
      </w:r>
      <w:r w:rsidRPr="008175E3">
        <w:rPr>
          <w:b/>
          <w:bCs/>
          <w:i/>
          <w:iCs/>
        </w:rPr>
        <w:t>supra</w:t>
      </w:r>
    </w:p>
  </w:footnote>
  <w:footnote w:id="43">
    <w:p w14:paraId="230C2167" w14:textId="13D92A25" w:rsidR="00D465E5" w:rsidRDefault="00D465E5">
      <w:pPr>
        <w:pStyle w:val="FootnoteText"/>
      </w:pPr>
      <w:r>
        <w:rPr>
          <w:rStyle w:val="FootnoteReference"/>
        </w:rPr>
        <w:footnoteRef/>
      </w:r>
      <w:r>
        <w:t xml:space="preserve"> </w:t>
      </w:r>
      <w:r w:rsidR="00A16254" w:rsidRPr="00A16254">
        <w:rPr>
          <w:b/>
          <w:bCs/>
        </w:rPr>
        <w:t>Tshabalala v Peer</w:t>
      </w:r>
      <w:r w:rsidR="00A16254">
        <w:t>,</w:t>
      </w:r>
      <w:r w:rsidR="00F979D3">
        <w:t xml:space="preserve"> 1979 (4) SA 27 (T)</w:t>
      </w:r>
      <w:r w:rsidR="00BA6E66">
        <w:t xml:space="preserve"> at 30D; </w:t>
      </w:r>
      <w:r w:rsidR="00BA6E66" w:rsidRPr="005A547A">
        <w:rPr>
          <w:b/>
          <w:bCs/>
        </w:rPr>
        <w:t xml:space="preserve">Bokoven Ltd v GJ Howes </w:t>
      </w:r>
      <w:r w:rsidR="00473E31" w:rsidRPr="005A547A">
        <w:rPr>
          <w:b/>
          <w:bCs/>
        </w:rPr>
        <w:t>(Pty) Ltd</w:t>
      </w:r>
      <w:r w:rsidR="00473E31">
        <w:t xml:space="preserve">,1992 (SA) 466 (E) </w:t>
      </w:r>
      <w:r w:rsidR="00990EB2">
        <w:t xml:space="preserve">at 471, where it was stated that the applicant is then entitled to </w:t>
      </w:r>
      <w:r w:rsidR="006A6591">
        <w:t xml:space="preserve">a rescission; </w:t>
      </w:r>
      <w:r w:rsidR="007F0446">
        <w:t>but see</w:t>
      </w:r>
      <w:r w:rsidR="006A6591">
        <w:t xml:space="preserve">: </w:t>
      </w:r>
      <w:r w:rsidR="006A6591" w:rsidRPr="00407429">
        <w:rPr>
          <w:b/>
          <w:bCs/>
        </w:rPr>
        <w:t xml:space="preserve">Van der Merwe v </w:t>
      </w:r>
      <w:r w:rsidR="00B65B8B" w:rsidRPr="00407429">
        <w:rPr>
          <w:b/>
          <w:bCs/>
        </w:rPr>
        <w:t xml:space="preserve">Bonaero Park  (Edms) </w:t>
      </w:r>
      <w:r w:rsidR="00102912" w:rsidRPr="00407429">
        <w:rPr>
          <w:b/>
          <w:bCs/>
        </w:rPr>
        <w:t>Bpk,</w:t>
      </w:r>
      <w:r w:rsidR="00102912">
        <w:t xml:space="preserve"> 1998 (1) SA 687 (T) at </w:t>
      </w:r>
      <w:r w:rsidR="005A547A">
        <w:t xml:space="preserve">702G-I </w:t>
      </w:r>
    </w:p>
  </w:footnote>
  <w:footnote w:id="44">
    <w:p w14:paraId="496F4E4F" w14:textId="76B397DB" w:rsidR="00725C8B" w:rsidRDefault="00725C8B">
      <w:pPr>
        <w:pStyle w:val="FootnoteText"/>
      </w:pPr>
      <w:r>
        <w:rPr>
          <w:rStyle w:val="FootnoteReference"/>
        </w:rPr>
        <w:footnoteRef/>
      </w:r>
      <w:r>
        <w:t xml:space="preserve"> </w:t>
      </w:r>
      <w:r w:rsidR="003727DC" w:rsidRPr="009D289E">
        <w:rPr>
          <w:b/>
          <w:bCs/>
        </w:rPr>
        <w:t>Topal and Others v LS</w:t>
      </w:r>
      <w:r w:rsidR="009C6A4F" w:rsidRPr="009D289E">
        <w:rPr>
          <w:b/>
          <w:bCs/>
        </w:rPr>
        <w:t xml:space="preserve"> Group Management Services  (Pty) Ltd</w:t>
      </w:r>
      <w:r w:rsidR="004D20FB" w:rsidRPr="009D289E">
        <w:rPr>
          <w:b/>
          <w:bCs/>
        </w:rPr>
        <w:t>,</w:t>
      </w:r>
      <w:r w:rsidR="004D20FB">
        <w:t xml:space="preserve"> 1998 (1) SA 639 (W) at 650D-J</w:t>
      </w:r>
      <w:r w:rsidR="00222349">
        <w:t xml:space="preserve">; </w:t>
      </w:r>
      <w:r w:rsidR="00222349" w:rsidRPr="009D289E">
        <w:rPr>
          <w:b/>
          <w:bCs/>
        </w:rPr>
        <w:t>Metubwa v Metubwa</w:t>
      </w:r>
      <w:r w:rsidR="00222349">
        <w:t>, 2001 (2) SA 193 (Tk)</w:t>
      </w:r>
      <w:r w:rsidR="007113A2">
        <w:t xml:space="preserve"> at 199E-H; National Pride Trading </w:t>
      </w:r>
      <w:r w:rsidR="00F7145C">
        <w:t xml:space="preserve">452 v Media 24, 2010 (6) SA </w:t>
      </w:r>
      <w:r w:rsidR="009D289E">
        <w:t>587 (ECP)</w:t>
      </w:r>
    </w:p>
  </w:footnote>
  <w:footnote w:id="45">
    <w:p w14:paraId="77E43648" w14:textId="7D468B25" w:rsidR="00C36D16" w:rsidRDefault="00C36D16">
      <w:pPr>
        <w:pStyle w:val="FootnoteText"/>
      </w:pPr>
      <w:r>
        <w:rPr>
          <w:rStyle w:val="FootnoteReference"/>
        </w:rPr>
        <w:footnoteRef/>
      </w:r>
      <w:r>
        <w:t xml:space="preserve"> </w:t>
      </w:r>
      <w:r w:rsidR="00A21738">
        <w:t>De Wet and Others v Western Bank Ltd, 1977 (4)</w:t>
      </w:r>
      <w:r w:rsidR="00750200">
        <w:t xml:space="preserve"> SA 770 (T); </w:t>
      </w:r>
      <w:r w:rsidR="005834D7" w:rsidRPr="007F0446">
        <w:rPr>
          <w:b/>
          <w:bCs/>
        </w:rPr>
        <w:t>Tshabalala v Peer</w:t>
      </w:r>
      <w:r w:rsidR="005834D7">
        <w:t xml:space="preserve"> </w:t>
      </w:r>
      <w:r w:rsidR="00CA35CE" w:rsidRPr="007F0446">
        <w:rPr>
          <w:i/>
          <w:iCs/>
        </w:rPr>
        <w:t>supra</w:t>
      </w:r>
      <w:r w:rsidR="00CA35CE">
        <w:t>;</w:t>
      </w:r>
      <w:r w:rsidR="007F0446">
        <w:t xml:space="preserve"> </w:t>
      </w:r>
      <w:r w:rsidR="00DC589E">
        <w:t>b</w:t>
      </w:r>
      <w:r w:rsidR="00CA35CE">
        <w:t xml:space="preserve">ut see </w:t>
      </w:r>
    </w:p>
    <w:p w14:paraId="70345807" w14:textId="108A5656" w:rsidR="00CA35CE" w:rsidRPr="007F0446" w:rsidRDefault="00CA35CE">
      <w:pPr>
        <w:pStyle w:val="FootnoteText"/>
        <w:rPr>
          <w:i/>
          <w:iCs/>
        </w:rPr>
      </w:pPr>
      <w:r w:rsidRPr="007F0446">
        <w:rPr>
          <w:b/>
          <w:bCs/>
        </w:rPr>
        <w:t>De Sousa v Kerr</w:t>
      </w:r>
      <w:r>
        <w:t xml:space="preserve">, </w:t>
      </w:r>
      <w:r w:rsidR="00A401BE">
        <w:t>1978 (3) SA 635 (W);</w:t>
      </w:r>
      <w:r w:rsidR="00D03592" w:rsidRPr="00D03592">
        <w:rPr>
          <w:b/>
          <w:bCs/>
        </w:rPr>
        <w:t xml:space="preserve"> </w:t>
      </w:r>
      <w:r w:rsidR="00D03592" w:rsidRPr="009D289E">
        <w:rPr>
          <w:b/>
          <w:bCs/>
        </w:rPr>
        <w:t>Topal and Others v LS Group Management Services  (Pty) Ltd</w:t>
      </w:r>
      <w:r w:rsidR="007F0446">
        <w:rPr>
          <w:b/>
          <w:bCs/>
        </w:rPr>
        <w:t xml:space="preserve"> </w:t>
      </w:r>
      <w:r w:rsidR="007F0446" w:rsidRPr="007F0446">
        <w:rPr>
          <w:i/>
          <w:iCs/>
        </w:rPr>
        <w:t>supra</w:t>
      </w:r>
      <w:r w:rsidR="00D03592" w:rsidRPr="007F0446">
        <w:rPr>
          <w:i/>
          <w:iCs/>
        </w:rPr>
        <w:t xml:space="preserve"> </w:t>
      </w:r>
    </w:p>
  </w:footnote>
  <w:footnote w:id="46">
    <w:p w14:paraId="02E087E4" w14:textId="7A3C6BE2" w:rsidR="00973ED1" w:rsidRDefault="00973ED1">
      <w:pPr>
        <w:pStyle w:val="FootnoteText"/>
      </w:pPr>
      <w:r>
        <w:rPr>
          <w:rStyle w:val="FootnoteReference"/>
        </w:rPr>
        <w:footnoteRef/>
      </w:r>
      <w:r>
        <w:t xml:space="preserve"> Stander v ABSA Bank Ltd</w:t>
      </w:r>
      <w:r w:rsidR="00331501">
        <w:t xml:space="preserve">, 1977 (4) SA 873 ( E) </w:t>
      </w:r>
      <w:r w:rsidR="009A0B44">
        <w:t xml:space="preserve">at 884D-E; but see : </w:t>
      </w:r>
      <w:r w:rsidR="009A0B44" w:rsidRPr="00180053">
        <w:rPr>
          <w:b/>
          <w:bCs/>
        </w:rPr>
        <w:t>Bakoven</w:t>
      </w:r>
      <w:r w:rsidR="00654EED" w:rsidRPr="00180053">
        <w:rPr>
          <w:b/>
          <w:bCs/>
        </w:rPr>
        <w:t xml:space="preserve"> Ltd</w:t>
      </w:r>
      <w:r w:rsidR="00654EED">
        <w:t xml:space="preserve"> </w:t>
      </w:r>
      <w:r w:rsidR="00654EED" w:rsidRPr="00180053">
        <w:rPr>
          <w:i/>
          <w:iCs/>
        </w:rPr>
        <w:t>supra</w:t>
      </w:r>
      <w:r w:rsidR="00654EED">
        <w:t xml:space="preserve"> at  471E-I</w:t>
      </w:r>
      <w:r w:rsidR="00076C4D">
        <w:t>:- the Court is confined to the record</w:t>
      </w:r>
      <w:r w:rsidR="00076C4D" w:rsidRPr="00180053">
        <w:rPr>
          <w:b/>
          <w:bCs/>
        </w:rPr>
        <w:t xml:space="preserve">; President of the Republic </w:t>
      </w:r>
      <w:r w:rsidR="008E1335" w:rsidRPr="00180053">
        <w:rPr>
          <w:b/>
          <w:bCs/>
        </w:rPr>
        <w:t xml:space="preserve"> v Eisenberg and Associates (Minister of Home Affairs </w:t>
      </w:r>
      <w:r w:rsidR="0087381F" w:rsidRPr="00180053">
        <w:rPr>
          <w:b/>
          <w:bCs/>
        </w:rPr>
        <w:t>intervening</w:t>
      </w:r>
      <w:r w:rsidR="0087381F">
        <w:t xml:space="preserve">), 2005 (1) SA 247 (C) at </w:t>
      </w:r>
      <w:r w:rsidR="00180053">
        <w:t>264</w:t>
      </w:r>
    </w:p>
  </w:footnote>
  <w:footnote w:id="47">
    <w:p w14:paraId="36B17BE7" w14:textId="71508E2B" w:rsidR="000F74AC" w:rsidRDefault="000F74AC">
      <w:pPr>
        <w:pStyle w:val="FootnoteText"/>
      </w:pPr>
      <w:r>
        <w:rPr>
          <w:rStyle w:val="FootnoteReference"/>
        </w:rPr>
        <w:footnoteRef/>
      </w:r>
      <w:r>
        <w:t xml:space="preserve"> </w:t>
      </w:r>
      <w:r w:rsidR="003B5DDD" w:rsidRPr="003B5DDD">
        <w:rPr>
          <w:b/>
          <w:bCs/>
        </w:rPr>
        <w:t>Naidoo and Another v Matlala NO and Others</w:t>
      </w:r>
      <w:r w:rsidR="003B5DDD">
        <w:t>, 2012 (10 SA 143 (GNP)</w:t>
      </w:r>
    </w:p>
  </w:footnote>
  <w:footnote w:id="48">
    <w:p w14:paraId="2EC44E54" w14:textId="280D0483" w:rsidR="00E36868" w:rsidRDefault="00E36868">
      <w:pPr>
        <w:pStyle w:val="FootnoteText"/>
      </w:pPr>
      <w:r>
        <w:rPr>
          <w:rStyle w:val="FootnoteReference"/>
        </w:rPr>
        <w:footnoteRef/>
      </w:r>
      <w:r>
        <w:t xml:space="preserve"> See f</w:t>
      </w:r>
      <w:r w:rsidR="00083AB8">
        <w:t>ootnote</w:t>
      </w:r>
      <w:r>
        <w:t xml:space="preserve"> </w:t>
      </w:r>
      <w:r w:rsidR="00064D2A">
        <w:t>12</w:t>
      </w:r>
      <w:r w:rsidR="003132D1">
        <w:t xml:space="preserve"> </w:t>
      </w:r>
      <w:r w:rsidR="003132D1" w:rsidRPr="003132D1">
        <w:rPr>
          <w:i/>
          <w:iCs/>
        </w:rPr>
        <w:t>supra</w:t>
      </w:r>
    </w:p>
  </w:footnote>
  <w:footnote w:id="49">
    <w:p w14:paraId="39C8F7B8" w14:textId="2D420535" w:rsidR="005C17E6" w:rsidRDefault="005C17E6">
      <w:pPr>
        <w:pStyle w:val="FootnoteText"/>
      </w:pPr>
      <w:r>
        <w:rPr>
          <w:rStyle w:val="FootnoteReference"/>
        </w:rPr>
        <w:footnoteRef/>
      </w:r>
      <w:r>
        <w:t xml:space="preserve"> See caselines paginated pgs.</w:t>
      </w:r>
      <w:r w:rsidR="008F653E">
        <w:t xml:space="preserve"> 002-1 to 002-</w:t>
      </w:r>
      <w:r w:rsidR="00A83FA3">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41270789"/>
      <w:docPartObj>
        <w:docPartGallery w:val="Page Numbers (Top of Page)"/>
        <w:docPartUnique/>
      </w:docPartObj>
    </w:sdtPr>
    <w:sdtEndPr>
      <w:rPr>
        <w:rStyle w:val="PageNumber"/>
      </w:rPr>
    </w:sdtEndPr>
    <w:sdtContent>
      <w:p w14:paraId="78174403" w14:textId="77777777" w:rsidR="000F1BED" w:rsidRDefault="00DD5C07" w:rsidP="000D222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91D41" w14:textId="77777777" w:rsidR="000F1BED" w:rsidRDefault="000F1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30491526"/>
      <w:docPartObj>
        <w:docPartGallery w:val="Page Numbers (Top of Page)"/>
        <w:docPartUnique/>
      </w:docPartObj>
    </w:sdtPr>
    <w:sdtEndPr>
      <w:rPr>
        <w:rStyle w:val="PageNumber"/>
      </w:rPr>
    </w:sdtEndPr>
    <w:sdtContent>
      <w:p w14:paraId="59A2D0B5" w14:textId="77777777" w:rsidR="000F1BED" w:rsidRDefault="00DD5C07" w:rsidP="000D222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1237F">
          <w:rPr>
            <w:rStyle w:val="PageNumber"/>
            <w:noProof/>
          </w:rPr>
          <w:t>4</w:t>
        </w:r>
        <w:r>
          <w:rPr>
            <w:rStyle w:val="PageNumber"/>
          </w:rPr>
          <w:fldChar w:fldCharType="end"/>
        </w:r>
      </w:p>
    </w:sdtContent>
  </w:sdt>
  <w:p w14:paraId="562D9954" w14:textId="77777777" w:rsidR="000F1BED" w:rsidRDefault="000F1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48DF589C"/>
    <w:multiLevelType w:val="hybridMultilevel"/>
    <w:tmpl w:val="EAB8442E"/>
    <w:lvl w:ilvl="0" w:tplc="AF026076">
      <w:start w:val="1"/>
      <w:numFmt w:val="lowerRoman"/>
      <w:lvlText w:val="%1."/>
      <w:lvlJc w:val="left"/>
      <w:pPr>
        <w:ind w:left="1185" w:hanging="720"/>
      </w:pPr>
      <w:rPr>
        <w:rFonts w:hint="default"/>
      </w:rPr>
    </w:lvl>
    <w:lvl w:ilvl="1" w:tplc="1C090019" w:tentative="1">
      <w:start w:val="1"/>
      <w:numFmt w:val="lowerLetter"/>
      <w:lvlText w:val="%2."/>
      <w:lvlJc w:val="left"/>
      <w:pPr>
        <w:ind w:left="1545" w:hanging="360"/>
      </w:pPr>
    </w:lvl>
    <w:lvl w:ilvl="2" w:tplc="1C09001B" w:tentative="1">
      <w:start w:val="1"/>
      <w:numFmt w:val="lowerRoman"/>
      <w:lvlText w:val="%3."/>
      <w:lvlJc w:val="right"/>
      <w:pPr>
        <w:ind w:left="2265" w:hanging="180"/>
      </w:pPr>
    </w:lvl>
    <w:lvl w:ilvl="3" w:tplc="1C09000F" w:tentative="1">
      <w:start w:val="1"/>
      <w:numFmt w:val="decimal"/>
      <w:lvlText w:val="%4."/>
      <w:lvlJc w:val="left"/>
      <w:pPr>
        <w:ind w:left="2985" w:hanging="360"/>
      </w:pPr>
    </w:lvl>
    <w:lvl w:ilvl="4" w:tplc="1C090019" w:tentative="1">
      <w:start w:val="1"/>
      <w:numFmt w:val="lowerLetter"/>
      <w:lvlText w:val="%5."/>
      <w:lvlJc w:val="left"/>
      <w:pPr>
        <w:ind w:left="3705" w:hanging="360"/>
      </w:pPr>
    </w:lvl>
    <w:lvl w:ilvl="5" w:tplc="1C09001B" w:tentative="1">
      <w:start w:val="1"/>
      <w:numFmt w:val="lowerRoman"/>
      <w:lvlText w:val="%6."/>
      <w:lvlJc w:val="right"/>
      <w:pPr>
        <w:ind w:left="4425" w:hanging="180"/>
      </w:pPr>
    </w:lvl>
    <w:lvl w:ilvl="6" w:tplc="1C09000F" w:tentative="1">
      <w:start w:val="1"/>
      <w:numFmt w:val="decimal"/>
      <w:lvlText w:val="%7."/>
      <w:lvlJc w:val="left"/>
      <w:pPr>
        <w:ind w:left="5145" w:hanging="360"/>
      </w:pPr>
    </w:lvl>
    <w:lvl w:ilvl="7" w:tplc="1C090019" w:tentative="1">
      <w:start w:val="1"/>
      <w:numFmt w:val="lowerLetter"/>
      <w:lvlText w:val="%8."/>
      <w:lvlJc w:val="left"/>
      <w:pPr>
        <w:ind w:left="5865" w:hanging="360"/>
      </w:pPr>
    </w:lvl>
    <w:lvl w:ilvl="8" w:tplc="1C09001B" w:tentative="1">
      <w:start w:val="1"/>
      <w:numFmt w:val="lowerRoman"/>
      <w:lvlText w:val="%9."/>
      <w:lvlJc w:val="right"/>
      <w:pPr>
        <w:ind w:left="6585" w:hanging="180"/>
      </w:pPr>
    </w:lvl>
  </w:abstractNum>
  <w:abstractNum w:abstractNumId="2">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09"/>
    <w:rsid w:val="00000769"/>
    <w:rsid w:val="0000281E"/>
    <w:rsid w:val="00007CFA"/>
    <w:rsid w:val="0001237F"/>
    <w:rsid w:val="000153C3"/>
    <w:rsid w:val="00015C89"/>
    <w:rsid w:val="00017801"/>
    <w:rsid w:val="00020156"/>
    <w:rsid w:val="00024C8D"/>
    <w:rsid w:val="000257B2"/>
    <w:rsid w:val="0003054E"/>
    <w:rsid w:val="00030733"/>
    <w:rsid w:val="00031458"/>
    <w:rsid w:val="0003411D"/>
    <w:rsid w:val="000378EF"/>
    <w:rsid w:val="00040BBE"/>
    <w:rsid w:val="00041AE0"/>
    <w:rsid w:val="00043316"/>
    <w:rsid w:val="0005315A"/>
    <w:rsid w:val="00053604"/>
    <w:rsid w:val="0005399B"/>
    <w:rsid w:val="00053AC0"/>
    <w:rsid w:val="00057FB4"/>
    <w:rsid w:val="000606CA"/>
    <w:rsid w:val="0006200D"/>
    <w:rsid w:val="000623AB"/>
    <w:rsid w:val="00063E80"/>
    <w:rsid w:val="00064D2A"/>
    <w:rsid w:val="00066C62"/>
    <w:rsid w:val="0007112C"/>
    <w:rsid w:val="00071D47"/>
    <w:rsid w:val="00072BCC"/>
    <w:rsid w:val="000741F4"/>
    <w:rsid w:val="000742B5"/>
    <w:rsid w:val="000746F7"/>
    <w:rsid w:val="000748CF"/>
    <w:rsid w:val="0007593E"/>
    <w:rsid w:val="00076C4D"/>
    <w:rsid w:val="00082466"/>
    <w:rsid w:val="00083AB8"/>
    <w:rsid w:val="0008766F"/>
    <w:rsid w:val="00092CDA"/>
    <w:rsid w:val="000933D8"/>
    <w:rsid w:val="0009389F"/>
    <w:rsid w:val="000C503A"/>
    <w:rsid w:val="000D06DF"/>
    <w:rsid w:val="000D5029"/>
    <w:rsid w:val="000E326D"/>
    <w:rsid w:val="000E441C"/>
    <w:rsid w:val="000E5D05"/>
    <w:rsid w:val="000F1292"/>
    <w:rsid w:val="000F1BED"/>
    <w:rsid w:val="000F284D"/>
    <w:rsid w:val="000F3222"/>
    <w:rsid w:val="000F37A5"/>
    <w:rsid w:val="000F6FA6"/>
    <w:rsid w:val="000F702E"/>
    <w:rsid w:val="000F74AC"/>
    <w:rsid w:val="00100B69"/>
    <w:rsid w:val="00101278"/>
    <w:rsid w:val="00102912"/>
    <w:rsid w:val="0010443B"/>
    <w:rsid w:val="00104684"/>
    <w:rsid w:val="001048E4"/>
    <w:rsid w:val="0011128F"/>
    <w:rsid w:val="001149F0"/>
    <w:rsid w:val="00116E95"/>
    <w:rsid w:val="00117199"/>
    <w:rsid w:val="00117201"/>
    <w:rsid w:val="0011748A"/>
    <w:rsid w:val="001177B0"/>
    <w:rsid w:val="0012227E"/>
    <w:rsid w:val="00123EE7"/>
    <w:rsid w:val="001242FC"/>
    <w:rsid w:val="001246BC"/>
    <w:rsid w:val="001276AD"/>
    <w:rsid w:val="00127AD4"/>
    <w:rsid w:val="00127AFE"/>
    <w:rsid w:val="00127B1B"/>
    <w:rsid w:val="001306E3"/>
    <w:rsid w:val="00141140"/>
    <w:rsid w:val="00141839"/>
    <w:rsid w:val="0014292F"/>
    <w:rsid w:val="00150989"/>
    <w:rsid w:val="00150B85"/>
    <w:rsid w:val="00151A94"/>
    <w:rsid w:val="00153739"/>
    <w:rsid w:val="0016020A"/>
    <w:rsid w:val="00163A8F"/>
    <w:rsid w:val="00163B3A"/>
    <w:rsid w:val="00165402"/>
    <w:rsid w:val="00167161"/>
    <w:rsid w:val="0017388A"/>
    <w:rsid w:val="00174315"/>
    <w:rsid w:val="00174330"/>
    <w:rsid w:val="00180053"/>
    <w:rsid w:val="00183FA6"/>
    <w:rsid w:val="00184010"/>
    <w:rsid w:val="00186444"/>
    <w:rsid w:val="001869C9"/>
    <w:rsid w:val="00187CD4"/>
    <w:rsid w:val="0019293E"/>
    <w:rsid w:val="00196CCE"/>
    <w:rsid w:val="001A10D5"/>
    <w:rsid w:val="001A3EE8"/>
    <w:rsid w:val="001A7B94"/>
    <w:rsid w:val="001B0C5D"/>
    <w:rsid w:val="001B4814"/>
    <w:rsid w:val="001B5BD0"/>
    <w:rsid w:val="001B78DF"/>
    <w:rsid w:val="001C4118"/>
    <w:rsid w:val="001C41CB"/>
    <w:rsid w:val="001D05D5"/>
    <w:rsid w:val="001E049B"/>
    <w:rsid w:val="001E4100"/>
    <w:rsid w:val="001E75A2"/>
    <w:rsid w:val="001F0157"/>
    <w:rsid w:val="001F1444"/>
    <w:rsid w:val="001F223C"/>
    <w:rsid w:val="001F50F5"/>
    <w:rsid w:val="0020696A"/>
    <w:rsid w:val="0020703E"/>
    <w:rsid w:val="00213CE2"/>
    <w:rsid w:val="00213DE9"/>
    <w:rsid w:val="00217A6B"/>
    <w:rsid w:val="002218E5"/>
    <w:rsid w:val="00222349"/>
    <w:rsid w:val="00223E0B"/>
    <w:rsid w:val="00231C30"/>
    <w:rsid w:val="00233558"/>
    <w:rsid w:val="0024157F"/>
    <w:rsid w:val="00242AF1"/>
    <w:rsid w:val="00245F85"/>
    <w:rsid w:val="00252156"/>
    <w:rsid w:val="00252BF7"/>
    <w:rsid w:val="0025693C"/>
    <w:rsid w:val="00265982"/>
    <w:rsid w:val="00266BFB"/>
    <w:rsid w:val="002675D0"/>
    <w:rsid w:val="00272D52"/>
    <w:rsid w:val="002774C6"/>
    <w:rsid w:val="00277E4F"/>
    <w:rsid w:val="00282AF3"/>
    <w:rsid w:val="002852CD"/>
    <w:rsid w:val="00286C0F"/>
    <w:rsid w:val="00290297"/>
    <w:rsid w:val="002907C3"/>
    <w:rsid w:val="00292D01"/>
    <w:rsid w:val="00294C40"/>
    <w:rsid w:val="00295619"/>
    <w:rsid w:val="00295854"/>
    <w:rsid w:val="00297536"/>
    <w:rsid w:val="002A0557"/>
    <w:rsid w:val="002A19D0"/>
    <w:rsid w:val="002A7C99"/>
    <w:rsid w:val="002B04C5"/>
    <w:rsid w:val="002B50A0"/>
    <w:rsid w:val="002B59AE"/>
    <w:rsid w:val="002B5D0A"/>
    <w:rsid w:val="002B5E64"/>
    <w:rsid w:val="002B7E09"/>
    <w:rsid w:val="002C1A8C"/>
    <w:rsid w:val="002C27A9"/>
    <w:rsid w:val="002C2AC9"/>
    <w:rsid w:val="002C3099"/>
    <w:rsid w:val="002C3BE7"/>
    <w:rsid w:val="002D08DC"/>
    <w:rsid w:val="002D6B7F"/>
    <w:rsid w:val="002E21D7"/>
    <w:rsid w:val="002E2331"/>
    <w:rsid w:val="002E4499"/>
    <w:rsid w:val="002E5281"/>
    <w:rsid w:val="002E6D4F"/>
    <w:rsid w:val="002F302D"/>
    <w:rsid w:val="002F395F"/>
    <w:rsid w:val="0030398B"/>
    <w:rsid w:val="00307C0E"/>
    <w:rsid w:val="00310A71"/>
    <w:rsid w:val="00312B6E"/>
    <w:rsid w:val="003132D1"/>
    <w:rsid w:val="0031410A"/>
    <w:rsid w:val="003159DF"/>
    <w:rsid w:val="00316A14"/>
    <w:rsid w:val="00317C02"/>
    <w:rsid w:val="003227E2"/>
    <w:rsid w:val="00327BC5"/>
    <w:rsid w:val="00327F58"/>
    <w:rsid w:val="0033138D"/>
    <w:rsid w:val="00331501"/>
    <w:rsid w:val="00332002"/>
    <w:rsid w:val="003358E5"/>
    <w:rsid w:val="0034097A"/>
    <w:rsid w:val="003448D7"/>
    <w:rsid w:val="003563FC"/>
    <w:rsid w:val="003639A6"/>
    <w:rsid w:val="00365745"/>
    <w:rsid w:val="003657C6"/>
    <w:rsid w:val="003727DC"/>
    <w:rsid w:val="00373A5B"/>
    <w:rsid w:val="00375B34"/>
    <w:rsid w:val="00381DA1"/>
    <w:rsid w:val="00392092"/>
    <w:rsid w:val="00392206"/>
    <w:rsid w:val="003929C4"/>
    <w:rsid w:val="003930BB"/>
    <w:rsid w:val="003B1894"/>
    <w:rsid w:val="003B27D4"/>
    <w:rsid w:val="003B31D0"/>
    <w:rsid w:val="003B406C"/>
    <w:rsid w:val="003B4B96"/>
    <w:rsid w:val="003B5B24"/>
    <w:rsid w:val="003B5DDD"/>
    <w:rsid w:val="003C1B4C"/>
    <w:rsid w:val="003D45D6"/>
    <w:rsid w:val="003D6274"/>
    <w:rsid w:val="003E3E56"/>
    <w:rsid w:val="003E4461"/>
    <w:rsid w:val="003F0A84"/>
    <w:rsid w:val="003F244D"/>
    <w:rsid w:val="003F4D9F"/>
    <w:rsid w:val="00401A34"/>
    <w:rsid w:val="00401C80"/>
    <w:rsid w:val="00407429"/>
    <w:rsid w:val="0041477A"/>
    <w:rsid w:val="00414AD7"/>
    <w:rsid w:val="00420664"/>
    <w:rsid w:val="004208C7"/>
    <w:rsid w:val="0042127D"/>
    <w:rsid w:val="00422CE3"/>
    <w:rsid w:val="004260F2"/>
    <w:rsid w:val="00431543"/>
    <w:rsid w:val="0043387C"/>
    <w:rsid w:val="00446989"/>
    <w:rsid w:val="004539E0"/>
    <w:rsid w:val="00457EFF"/>
    <w:rsid w:val="00470DE2"/>
    <w:rsid w:val="00473E31"/>
    <w:rsid w:val="00476F2E"/>
    <w:rsid w:val="00481AF0"/>
    <w:rsid w:val="004822E1"/>
    <w:rsid w:val="00486A51"/>
    <w:rsid w:val="00487307"/>
    <w:rsid w:val="0049132F"/>
    <w:rsid w:val="00491812"/>
    <w:rsid w:val="0049186C"/>
    <w:rsid w:val="004918FC"/>
    <w:rsid w:val="00496CD4"/>
    <w:rsid w:val="004A1313"/>
    <w:rsid w:val="004A2CA5"/>
    <w:rsid w:val="004B07B8"/>
    <w:rsid w:val="004B1345"/>
    <w:rsid w:val="004C06E6"/>
    <w:rsid w:val="004C413C"/>
    <w:rsid w:val="004C6614"/>
    <w:rsid w:val="004C7F04"/>
    <w:rsid w:val="004D0409"/>
    <w:rsid w:val="004D20FB"/>
    <w:rsid w:val="004D3F5B"/>
    <w:rsid w:val="004D6DB4"/>
    <w:rsid w:val="004E5218"/>
    <w:rsid w:val="004E532F"/>
    <w:rsid w:val="004F275A"/>
    <w:rsid w:val="004F279E"/>
    <w:rsid w:val="004F3D17"/>
    <w:rsid w:val="004F4BEB"/>
    <w:rsid w:val="004F4D9E"/>
    <w:rsid w:val="004F737E"/>
    <w:rsid w:val="00503B3D"/>
    <w:rsid w:val="00504D09"/>
    <w:rsid w:val="005052FB"/>
    <w:rsid w:val="00505DB0"/>
    <w:rsid w:val="0050719F"/>
    <w:rsid w:val="00513F39"/>
    <w:rsid w:val="0052199F"/>
    <w:rsid w:val="00522F80"/>
    <w:rsid w:val="00524F42"/>
    <w:rsid w:val="00535BD0"/>
    <w:rsid w:val="00544BBD"/>
    <w:rsid w:val="00545961"/>
    <w:rsid w:val="00545E57"/>
    <w:rsid w:val="005477A6"/>
    <w:rsid w:val="005536E1"/>
    <w:rsid w:val="005556A2"/>
    <w:rsid w:val="00561818"/>
    <w:rsid w:val="00566D02"/>
    <w:rsid w:val="00571A13"/>
    <w:rsid w:val="005727E4"/>
    <w:rsid w:val="00573F82"/>
    <w:rsid w:val="0057514F"/>
    <w:rsid w:val="005764F6"/>
    <w:rsid w:val="005802BF"/>
    <w:rsid w:val="00582A16"/>
    <w:rsid w:val="005834D7"/>
    <w:rsid w:val="00584158"/>
    <w:rsid w:val="005863F1"/>
    <w:rsid w:val="00595845"/>
    <w:rsid w:val="005A10E9"/>
    <w:rsid w:val="005A4820"/>
    <w:rsid w:val="005A547A"/>
    <w:rsid w:val="005B1E8D"/>
    <w:rsid w:val="005B6EB3"/>
    <w:rsid w:val="005C17E6"/>
    <w:rsid w:val="005C4573"/>
    <w:rsid w:val="005C6BDD"/>
    <w:rsid w:val="005C70D8"/>
    <w:rsid w:val="005D1C73"/>
    <w:rsid w:val="005D3183"/>
    <w:rsid w:val="005D6180"/>
    <w:rsid w:val="005D653D"/>
    <w:rsid w:val="005D7851"/>
    <w:rsid w:val="005E4DE4"/>
    <w:rsid w:val="005E5991"/>
    <w:rsid w:val="005F096F"/>
    <w:rsid w:val="005F51C2"/>
    <w:rsid w:val="005F6BC0"/>
    <w:rsid w:val="006000D3"/>
    <w:rsid w:val="0060033F"/>
    <w:rsid w:val="00601A9D"/>
    <w:rsid w:val="00602AEB"/>
    <w:rsid w:val="006045D4"/>
    <w:rsid w:val="00606860"/>
    <w:rsid w:val="00613CCB"/>
    <w:rsid w:val="006149B0"/>
    <w:rsid w:val="00615DF3"/>
    <w:rsid w:val="006174AF"/>
    <w:rsid w:val="00617C28"/>
    <w:rsid w:val="00620E57"/>
    <w:rsid w:val="0062143C"/>
    <w:rsid w:val="006248AC"/>
    <w:rsid w:val="00630824"/>
    <w:rsid w:val="00635B6B"/>
    <w:rsid w:val="00637695"/>
    <w:rsid w:val="00640CB7"/>
    <w:rsid w:val="00640D66"/>
    <w:rsid w:val="00641C65"/>
    <w:rsid w:val="00642D4B"/>
    <w:rsid w:val="006437D3"/>
    <w:rsid w:val="00646580"/>
    <w:rsid w:val="0064668F"/>
    <w:rsid w:val="00654C96"/>
    <w:rsid w:val="00654EED"/>
    <w:rsid w:val="0065511F"/>
    <w:rsid w:val="0065689A"/>
    <w:rsid w:val="0066088F"/>
    <w:rsid w:val="00664EE5"/>
    <w:rsid w:val="00670F5C"/>
    <w:rsid w:val="00671CE4"/>
    <w:rsid w:val="00680336"/>
    <w:rsid w:val="006853F5"/>
    <w:rsid w:val="00692008"/>
    <w:rsid w:val="006937EF"/>
    <w:rsid w:val="006A126E"/>
    <w:rsid w:val="006A44A9"/>
    <w:rsid w:val="006A5C54"/>
    <w:rsid w:val="006A6591"/>
    <w:rsid w:val="006B57AA"/>
    <w:rsid w:val="006B739B"/>
    <w:rsid w:val="006C533E"/>
    <w:rsid w:val="006D09BA"/>
    <w:rsid w:val="006D1398"/>
    <w:rsid w:val="006D5793"/>
    <w:rsid w:val="006D7CD5"/>
    <w:rsid w:val="006E12B2"/>
    <w:rsid w:val="006E1D58"/>
    <w:rsid w:val="006E75CB"/>
    <w:rsid w:val="006F3DFD"/>
    <w:rsid w:val="006F3E48"/>
    <w:rsid w:val="006F57EE"/>
    <w:rsid w:val="00700083"/>
    <w:rsid w:val="007010CB"/>
    <w:rsid w:val="0070225D"/>
    <w:rsid w:val="007113A2"/>
    <w:rsid w:val="007118A4"/>
    <w:rsid w:val="00715585"/>
    <w:rsid w:val="00720CA4"/>
    <w:rsid w:val="00723BC9"/>
    <w:rsid w:val="00723D6B"/>
    <w:rsid w:val="00725C8B"/>
    <w:rsid w:val="0073521A"/>
    <w:rsid w:val="00745F41"/>
    <w:rsid w:val="00746CDE"/>
    <w:rsid w:val="007500DE"/>
    <w:rsid w:val="00750200"/>
    <w:rsid w:val="00752B19"/>
    <w:rsid w:val="00754C20"/>
    <w:rsid w:val="00755363"/>
    <w:rsid w:val="00760B98"/>
    <w:rsid w:val="00762663"/>
    <w:rsid w:val="00763579"/>
    <w:rsid w:val="00763ABE"/>
    <w:rsid w:val="00763D97"/>
    <w:rsid w:val="0077458C"/>
    <w:rsid w:val="00777B3E"/>
    <w:rsid w:val="007803AA"/>
    <w:rsid w:val="0078065B"/>
    <w:rsid w:val="007821C8"/>
    <w:rsid w:val="00784154"/>
    <w:rsid w:val="00785D24"/>
    <w:rsid w:val="00790293"/>
    <w:rsid w:val="007A0067"/>
    <w:rsid w:val="007A167B"/>
    <w:rsid w:val="007A470E"/>
    <w:rsid w:val="007B0231"/>
    <w:rsid w:val="007B4088"/>
    <w:rsid w:val="007B4BAE"/>
    <w:rsid w:val="007C32C8"/>
    <w:rsid w:val="007C451F"/>
    <w:rsid w:val="007C6923"/>
    <w:rsid w:val="007D45B8"/>
    <w:rsid w:val="007D57EA"/>
    <w:rsid w:val="007D637C"/>
    <w:rsid w:val="007E205A"/>
    <w:rsid w:val="007F0446"/>
    <w:rsid w:val="007F1294"/>
    <w:rsid w:val="008050E3"/>
    <w:rsid w:val="00806A3D"/>
    <w:rsid w:val="008070F7"/>
    <w:rsid w:val="00816A04"/>
    <w:rsid w:val="00816CCE"/>
    <w:rsid w:val="008175E3"/>
    <w:rsid w:val="008178BC"/>
    <w:rsid w:val="008179A1"/>
    <w:rsid w:val="00822BBF"/>
    <w:rsid w:val="0082596B"/>
    <w:rsid w:val="00831D50"/>
    <w:rsid w:val="00833E40"/>
    <w:rsid w:val="00834ACB"/>
    <w:rsid w:val="0083559D"/>
    <w:rsid w:val="00835D72"/>
    <w:rsid w:val="008377F4"/>
    <w:rsid w:val="00842474"/>
    <w:rsid w:val="008430EC"/>
    <w:rsid w:val="008463AA"/>
    <w:rsid w:val="00852D09"/>
    <w:rsid w:val="008556CF"/>
    <w:rsid w:val="00856564"/>
    <w:rsid w:val="008577CE"/>
    <w:rsid w:val="00861FB7"/>
    <w:rsid w:val="00862AC3"/>
    <w:rsid w:val="00865EDC"/>
    <w:rsid w:val="0087381F"/>
    <w:rsid w:val="0087516B"/>
    <w:rsid w:val="00875608"/>
    <w:rsid w:val="00884388"/>
    <w:rsid w:val="00884FD7"/>
    <w:rsid w:val="00885C89"/>
    <w:rsid w:val="008862F8"/>
    <w:rsid w:val="00886872"/>
    <w:rsid w:val="008878F7"/>
    <w:rsid w:val="00887F18"/>
    <w:rsid w:val="0089260E"/>
    <w:rsid w:val="00897E4D"/>
    <w:rsid w:val="008A146D"/>
    <w:rsid w:val="008A248F"/>
    <w:rsid w:val="008A250F"/>
    <w:rsid w:val="008A32CC"/>
    <w:rsid w:val="008A3969"/>
    <w:rsid w:val="008A70C9"/>
    <w:rsid w:val="008B6C09"/>
    <w:rsid w:val="008B7F35"/>
    <w:rsid w:val="008C3951"/>
    <w:rsid w:val="008C4A14"/>
    <w:rsid w:val="008D47AF"/>
    <w:rsid w:val="008D5C10"/>
    <w:rsid w:val="008D7A8B"/>
    <w:rsid w:val="008E1335"/>
    <w:rsid w:val="008E2D8B"/>
    <w:rsid w:val="008E776D"/>
    <w:rsid w:val="008F653E"/>
    <w:rsid w:val="008F76AA"/>
    <w:rsid w:val="009039D1"/>
    <w:rsid w:val="00904542"/>
    <w:rsid w:val="009116FA"/>
    <w:rsid w:val="009123E8"/>
    <w:rsid w:val="00915809"/>
    <w:rsid w:val="009203CD"/>
    <w:rsid w:val="00922F85"/>
    <w:rsid w:val="0092642E"/>
    <w:rsid w:val="0093743F"/>
    <w:rsid w:val="0094355C"/>
    <w:rsid w:val="00945C44"/>
    <w:rsid w:val="00953ACF"/>
    <w:rsid w:val="00954270"/>
    <w:rsid w:val="009574C7"/>
    <w:rsid w:val="0096069F"/>
    <w:rsid w:val="009613FC"/>
    <w:rsid w:val="00964FB6"/>
    <w:rsid w:val="0097304A"/>
    <w:rsid w:val="00973ED1"/>
    <w:rsid w:val="0097544B"/>
    <w:rsid w:val="009766C0"/>
    <w:rsid w:val="00980B04"/>
    <w:rsid w:val="00981070"/>
    <w:rsid w:val="009810BD"/>
    <w:rsid w:val="00983E85"/>
    <w:rsid w:val="009873CF"/>
    <w:rsid w:val="00990EB2"/>
    <w:rsid w:val="00996557"/>
    <w:rsid w:val="009A0B44"/>
    <w:rsid w:val="009A1F6A"/>
    <w:rsid w:val="009A3506"/>
    <w:rsid w:val="009A59F3"/>
    <w:rsid w:val="009A7428"/>
    <w:rsid w:val="009B011B"/>
    <w:rsid w:val="009B2AF6"/>
    <w:rsid w:val="009B3825"/>
    <w:rsid w:val="009C6079"/>
    <w:rsid w:val="009C6A4F"/>
    <w:rsid w:val="009C7BC5"/>
    <w:rsid w:val="009D289E"/>
    <w:rsid w:val="009D65B7"/>
    <w:rsid w:val="009F4A21"/>
    <w:rsid w:val="009F6452"/>
    <w:rsid w:val="00A01DB8"/>
    <w:rsid w:val="00A039E8"/>
    <w:rsid w:val="00A06019"/>
    <w:rsid w:val="00A103F0"/>
    <w:rsid w:val="00A10811"/>
    <w:rsid w:val="00A11410"/>
    <w:rsid w:val="00A114B2"/>
    <w:rsid w:val="00A11B2B"/>
    <w:rsid w:val="00A133E0"/>
    <w:rsid w:val="00A1547F"/>
    <w:rsid w:val="00A15CAB"/>
    <w:rsid w:val="00A16254"/>
    <w:rsid w:val="00A201E8"/>
    <w:rsid w:val="00A21738"/>
    <w:rsid w:val="00A22CC1"/>
    <w:rsid w:val="00A25448"/>
    <w:rsid w:val="00A270B1"/>
    <w:rsid w:val="00A274E0"/>
    <w:rsid w:val="00A30E68"/>
    <w:rsid w:val="00A31C7D"/>
    <w:rsid w:val="00A33806"/>
    <w:rsid w:val="00A360AD"/>
    <w:rsid w:val="00A36DCD"/>
    <w:rsid w:val="00A37A6C"/>
    <w:rsid w:val="00A401BE"/>
    <w:rsid w:val="00A4145B"/>
    <w:rsid w:val="00A42F8B"/>
    <w:rsid w:val="00A51274"/>
    <w:rsid w:val="00A515ED"/>
    <w:rsid w:val="00A54551"/>
    <w:rsid w:val="00A54C51"/>
    <w:rsid w:val="00A572EB"/>
    <w:rsid w:val="00A625D7"/>
    <w:rsid w:val="00A65FC9"/>
    <w:rsid w:val="00A663FA"/>
    <w:rsid w:val="00A66AD3"/>
    <w:rsid w:val="00A70BEF"/>
    <w:rsid w:val="00A7265A"/>
    <w:rsid w:val="00A76A0A"/>
    <w:rsid w:val="00A76E89"/>
    <w:rsid w:val="00A778BD"/>
    <w:rsid w:val="00A80D13"/>
    <w:rsid w:val="00A8115B"/>
    <w:rsid w:val="00A8351B"/>
    <w:rsid w:val="00A83FA3"/>
    <w:rsid w:val="00A85000"/>
    <w:rsid w:val="00A8576B"/>
    <w:rsid w:val="00A9237B"/>
    <w:rsid w:val="00AA0EF4"/>
    <w:rsid w:val="00AA48D0"/>
    <w:rsid w:val="00AA50A2"/>
    <w:rsid w:val="00AA63B8"/>
    <w:rsid w:val="00AA6885"/>
    <w:rsid w:val="00AB0076"/>
    <w:rsid w:val="00AB294E"/>
    <w:rsid w:val="00AB3F04"/>
    <w:rsid w:val="00AC05F2"/>
    <w:rsid w:val="00AC474E"/>
    <w:rsid w:val="00AD3D26"/>
    <w:rsid w:val="00AE1810"/>
    <w:rsid w:val="00AF0FB3"/>
    <w:rsid w:val="00AF5BE2"/>
    <w:rsid w:val="00AF5C49"/>
    <w:rsid w:val="00AF60C1"/>
    <w:rsid w:val="00AF7582"/>
    <w:rsid w:val="00B024D3"/>
    <w:rsid w:val="00B038E0"/>
    <w:rsid w:val="00B13030"/>
    <w:rsid w:val="00B148E1"/>
    <w:rsid w:val="00B17625"/>
    <w:rsid w:val="00B17A42"/>
    <w:rsid w:val="00B232EF"/>
    <w:rsid w:val="00B23684"/>
    <w:rsid w:val="00B3054E"/>
    <w:rsid w:val="00B307DB"/>
    <w:rsid w:val="00B31660"/>
    <w:rsid w:val="00B36053"/>
    <w:rsid w:val="00B40D59"/>
    <w:rsid w:val="00B61FDF"/>
    <w:rsid w:val="00B62A0C"/>
    <w:rsid w:val="00B65B8B"/>
    <w:rsid w:val="00B708E2"/>
    <w:rsid w:val="00B72FB1"/>
    <w:rsid w:val="00B756B0"/>
    <w:rsid w:val="00B8055E"/>
    <w:rsid w:val="00B811A2"/>
    <w:rsid w:val="00B83921"/>
    <w:rsid w:val="00B852E9"/>
    <w:rsid w:val="00B9353F"/>
    <w:rsid w:val="00B97159"/>
    <w:rsid w:val="00BA134B"/>
    <w:rsid w:val="00BA2460"/>
    <w:rsid w:val="00BA267D"/>
    <w:rsid w:val="00BA26AB"/>
    <w:rsid w:val="00BA2828"/>
    <w:rsid w:val="00BA411D"/>
    <w:rsid w:val="00BA499C"/>
    <w:rsid w:val="00BA586A"/>
    <w:rsid w:val="00BA6E66"/>
    <w:rsid w:val="00BB0640"/>
    <w:rsid w:val="00BB1C4B"/>
    <w:rsid w:val="00BB29FA"/>
    <w:rsid w:val="00BB33A0"/>
    <w:rsid w:val="00BB5BE0"/>
    <w:rsid w:val="00BB5DD2"/>
    <w:rsid w:val="00BB7497"/>
    <w:rsid w:val="00BC1588"/>
    <w:rsid w:val="00BD10F2"/>
    <w:rsid w:val="00BD31C7"/>
    <w:rsid w:val="00BD5A4A"/>
    <w:rsid w:val="00BE0589"/>
    <w:rsid w:val="00BE1ABF"/>
    <w:rsid w:val="00BE260C"/>
    <w:rsid w:val="00BE3C3A"/>
    <w:rsid w:val="00BE421B"/>
    <w:rsid w:val="00BE7098"/>
    <w:rsid w:val="00BE7E60"/>
    <w:rsid w:val="00BF321E"/>
    <w:rsid w:val="00BF34D2"/>
    <w:rsid w:val="00BF5C6B"/>
    <w:rsid w:val="00BF60C4"/>
    <w:rsid w:val="00BF66E4"/>
    <w:rsid w:val="00C00277"/>
    <w:rsid w:val="00C00C19"/>
    <w:rsid w:val="00C0178D"/>
    <w:rsid w:val="00C0246F"/>
    <w:rsid w:val="00C13109"/>
    <w:rsid w:val="00C144E2"/>
    <w:rsid w:val="00C15FB6"/>
    <w:rsid w:val="00C203C8"/>
    <w:rsid w:val="00C2235D"/>
    <w:rsid w:val="00C26EB4"/>
    <w:rsid w:val="00C340C0"/>
    <w:rsid w:val="00C36D16"/>
    <w:rsid w:val="00C36D4F"/>
    <w:rsid w:val="00C43F1F"/>
    <w:rsid w:val="00C44034"/>
    <w:rsid w:val="00C45E15"/>
    <w:rsid w:val="00C51FE7"/>
    <w:rsid w:val="00C5488A"/>
    <w:rsid w:val="00C568CD"/>
    <w:rsid w:val="00C5740E"/>
    <w:rsid w:val="00C649F8"/>
    <w:rsid w:val="00C73CB8"/>
    <w:rsid w:val="00C741CE"/>
    <w:rsid w:val="00C766FB"/>
    <w:rsid w:val="00C80ACF"/>
    <w:rsid w:val="00C8264A"/>
    <w:rsid w:val="00C867B8"/>
    <w:rsid w:val="00C90605"/>
    <w:rsid w:val="00C965EC"/>
    <w:rsid w:val="00CA35CE"/>
    <w:rsid w:val="00CA3BD2"/>
    <w:rsid w:val="00CA65BD"/>
    <w:rsid w:val="00CB25A4"/>
    <w:rsid w:val="00CB38EB"/>
    <w:rsid w:val="00CB3E3C"/>
    <w:rsid w:val="00CB4A75"/>
    <w:rsid w:val="00CB6B0A"/>
    <w:rsid w:val="00CB6B93"/>
    <w:rsid w:val="00CB7897"/>
    <w:rsid w:val="00CC0323"/>
    <w:rsid w:val="00CC6E54"/>
    <w:rsid w:val="00CC70FC"/>
    <w:rsid w:val="00CD0E77"/>
    <w:rsid w:val="00CD4ACA"/>
    <w:rsid w:val="00CD73EC"/>
    <w:rsid w:val="00CE0DA4"/>
    <w:rsid w:val="00CE33DE"/>
    <w:rsid w:val="00CF06AA"/>
    <w:rsid w:val="00CF2DD6"/>
    <w:rsid w:val="00CF4EDC"/>
    <w:rsid w:val="00CF5F74"/>
    <w:rsid w:val="00CF65CD"/>
    <w:rsid w:val="00CF6B1B"/>
    <w:rsid w:val="00CF79E7"/>
    <w:rsid w:val="00D03592"/>
    <w:rsid w:val="00D07440"/>
    <w:rsid w:val="00D102ED"/>
    <w:rsid w:val="00D13EB4"/>
    <w:rsid w:val="00D16F2C"/>
    <w:rsid w:val="00D20F82"/>
    <w:rsid w:val="00D22483"/>
    <w:rsid w:val="00D237AE"/>
    <w:rsid w:val="00D243E1"/>
    <w:rsid w:val="00D246EC"/>
    <w:rsid w:val="00D24E71"/>
    <w:rsid w:val="00D26539"/>
    <w:rsid w:val="00D26662"/>
    <w:rsid w:val="00D277A2"/>
    <w:rsid w:val="00D465E5"/>
    <w:rsid w:val="00D5233A"/>
    <w:rsid w:val="00D56B59"/>
    <w:rsid w:val="00D6022D"/>
    <w:rsid w:val="00D62966"/>
    <w:rsid w:val="00D65A8A"/>
    <w:rsid w:val="00D67468"/>
    <w:rsid w:val="00D73906"/>
    <w:rsid w:val="00D7702A"/>
    <w:rsid w:val="00D77A9D"/>
    <w:rsid w:val="00D80CF0"/>
    <w:rsid w:val="00D8584B"/>
    <w:rsid w:val="00D86054"/>
    <w:rsid w:val="00D926CC"/>
    <w:rsid w:val="00D92CD5"/>
    <w:rsid w:val="00D95F89"/>
    <w:rsid w:val="00DA003A"/>
    <w:rsid w:val="00DA02A0"/>
    <w:rsid w:val="00DA132E"/>
    <w:rsid w:val="00DA1CE5"/>
    <w:rsid w:val="00DA51F1"/>
    <w:rsid w:val="00DA5C05"/>
    <w:rsid w:val="00DB10F6"/>
    <w:rsid w:val="00DC0E31"/>
    <w:rsid w:val="00DC589E"/>
    <w:rsid w:val="00DC5907"/>
    <w:rsid w:val="00DC70E8"/>
    <w:rsid w:val="00DC7992"/>
    <w:rsid w:val="00DC7EBE"/>
    <w:rsid w:val="00DD475C"/>
    <w:rsid w:val="00DD5C07"/>
    <w:rsid w:val="00DD6B30"/>
    <w:rsid w:val="00DD773B"/>
    <w:rsid w:val="00DE15DA"/>
    <w:rsid w:val="00DE3FD9"/>
    <w:rsid w:val="00DF0D68"/>
    <w:rsid w:val="00DF4BE5"/>
    <w:rsid w:val="00E01E36"/>
    <w:rsid w:val="00E03F65"/>
    <w:rsid w:val="00E05F2A"/>
    <w:rsid w:val="00E07083"/>
    <w:rsid w:val="00E1015F"/>
    <w:rsid w:val="00E12E97"/>
    <w:rsid w:val="00E13C16"/>
    <w:rsid w:val="00E32B29"/>
    <w:rsid w:val="00E32BFA"/>
    <w:rsid w:val="00E34C2C"/>
    <w:rsid w:val="00E36868"/>
    <w:rsid w:val="00E3768E"/>
    <w:rsid w:val="00E420F7"/>
    <w:rsid w:val="00E43B93"/>
    <w:rsid w:val="00E44087"/>
    <w:rsid w:val="00E4530E"/>
    <w:rsid w:val="00E47F98"/>
    <w:rsid w:val="00E55A86"/>
    <w:rsid w:val="00E55DF4"/>
    <w:rsid w:val="00E65AC4"/>
    <w:rsid w:val="00E66EEE"/>
    <w:rsid w:val="00E6793F"/>
    <w:rsid w:val="00E81D4D"/>
    <w:rsid w:val="00E82065"/>
    <w:rsid w:val="00E821BD"/>
    <w:rsid w:val="00E83F09"/>
    <w:rsid w:val="00E840B8"/>
    <w:rsid w:val="00E90BD0"/>
    <w:rsid w:val="00E910D7"/>
    <w:rsid w:val="00E9287F"/>
    <w:rsid w:val="00E92AC6"/>
    <w:rsid w:val="00E92BE7"/>
    <w:rsid w:val="00EA1450"/>
    <w:rsid w:val="00EA466C"/>
    <w:rsid w:val="00EB4CAE"/>
    <w:rsid w:val="00EC0D57"/>
    <w:rsid w:val="00EC1A5B"/>
    <w:rsid w:val="00EC2E7A"/>
    <w:rsid w:val="00EC4EE9"/>
    <w:rsid w:val="00EC6041"/>
    <w:rsid w:val="00ED3D26"/>
    <w:rsid w:val="00ED50CF"/>
    <w:rsid w:val="00ED59F7"/>
    <w:rsid w:val="00ED72CD"/>
    <w:rsid w:val="00EE00A5"/>
    <w:rsid w:val="00EE0E24"/>
    <w:rsid w:val="00EE4E4C"/>
    <w:rsid w:val="00EE601D"/>
    <w:rsid w:val="00EE6D79"/>
    <w:rsid w:val="00EE7EC9"/>
    <w:rsid w:val="00EF3D21"/>
    <w:rsid w:val="00F0030C"/>
    <w:rsid w:val="00F01DB0"/>
    <w:rsid w:val="00F07F65"/>
    <w:rsid w:val="00F1060F"/>
    <w:rsid w:val="00F10A0C"/>
    <w:rsid w:val="00F14622"/>
    <w:rsid w:val="00F20322"/>
    <w:rsid w:val="00F20729"/>
    <w:rsid w:val="00F213B7"/>
    <w:rsid w:val="00F2185A"/>
    <w:rsid w:val="00F2316C"/>
    <w:rsid w:val="00F24CD6"/>
    <w:rsid w:val="00F323F3"/>
    <w:rsid w:val="00F32879"/>
    <w:rsid w:val="00F353FD"/>
    <w:rsid w:val="00F35B12"/>
    <w:rsid w:val="00F463E6"/>
    <w:rsid w:val="00F470D0"/>
    <w:rsid w:val="00F470DE"/>
    <w:rsid w:val="00F517B9"/>
    <w:rsid w:val="00F527BF"/>
    <w:rsid w:val="00F535B2"/>
    <w:rsid w:val="00F54D11"/>
    <w:rsid w:val="00F577E0"/>
    <w:rsid w:val="00F63C7C"/>
    <w:rsid w:val="00F67096"/>
    <w:rsid w:val="00F7145C"/>
    <w:rsid w:val="00F71D4D"/>
    <w:rsid w:val="00F72127"/>
    <w:rsid w:val="00F72514"/>
    <w:rsid w:val="00F73B00"/>
    <w:rsid w:val="00F76599"/>
    <w:rsid w:val="00F77762"/>
    <w:rsid w:val="00F812F5"/>
    <w:rsid w:val="00F81935"/>
    <w:rsid w:val="00F81EE9"/>
    <w:rsid w:val="00F8746A"/>
    <w:rsid w:val="00F90FEC"/>
    <w:rsid w:val="00F972B0"/>
    <w:rsid w:val="00F979D3"/>
    <w:rsid w:val="00F97D5C"/>
    <w:rsid w:val="00F97E2F"/>
    <w:rsid w:val="00F97FAE"/>
    <w:rsid w:val="00FA0A1E"/>
    <w:rsid w:val="00FA30F8"/>
    <w:rsid w:val="00FA6119"/>
    <w:rsid w:val="00FB05DE"/>
    <w:rsid w:val="00FB3A48"/>
    <w:rsid w:val="00FB63DA"/>
    <w:rsid w:val="00FC05EF"/>
    <w:rsid w:val="00FC35EE"/>
    <w:rsid w:val="00FC5D56"/>
    <w:rsid w:val="00FC5ED2"/>
    <w:rsid w:val="00FC61C2"/>
    <w:rsid w:val="00FC698B"/>
    <w:rsid w:val="00FD647C"/>
    <w:rsid w:val="00FF3766"/>
    <w:rsid w:val="00FF63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D963"/>
  <w15:chartTrackingRefBased/>
  <w15:docId w15:val="{9C44FD6B-16A7-4BF3-ABA5-D4414EE3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09"/>
    <w:pPr>
      <w:spacing w:after="0" w:line="360" w:lineRule="auto"/>
    </w:pPr>
    <w:rPr>
      <w:rFonts w:ascii="Arial" w:hAnsi="Arial" w:cs="Times New Roman (Body 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809"/>
    <w:pPr>
      <w:tabs>
        <w:tab w:val="center" w:pos="4513"/>
        <w:tab w:val="right" w:pos="9026"/>
      </w:tabs>
      <w:spacing w:line="240" w:lineRule="auto"/>
    </w:pPr>
  </w:style>
  <w:style w:type="character" w:customStyle="1" w:styleId="HeaderChar">
    <w:name w:val="Header Char"/>
    <w:basedOn w:val="DefaultParagraphFont"/>
    <w:link w:val="Header"/>
    <w:uiPriority w:val="99"/>
    <w:rsid w:val="00915809"/>
    <w:rPr>
      <w:rFonts w:ascii="Arial" w:hAnsi="Arial" w:cs="Times New Roman (Body CS)"/>
      <w:kern w:val="0"/>
      <w:sz w:val="24"/>
      <w:szCs w:val="24"/>
      <w14:ligatures w14:val="none"/>
    </w:rPr>
  </w:style>
  <w:style w:type="character" w:styleId="PageNumber">
    <w:name w:val="page number"/>
    <w:basedOn w:val="DefaultParagraphFont"/>
    <w:uiPriority w:val="99"/>
    <w:semiHidden/>
    <w:unhideWhenUsed/>
    <w:rsid w:val="00915809"/>
  </w:style>
  <w:style w:type="paragraph" w:customStyle="1" w:styleId="WLGLevel1">
    <w:name w:val="WLGLevel1"/>
    <w:basedOn w:val="Normal"/>
    <w:link w:val="WLGLevel1Char"/>
    <w:qFormat/>
    <w:rsid w:val="00915809"/>
    <w:pPr>
      <w:numPr>
        <w:numId w:val="1"/>
      </w:numPr>
      <w:suppressAutoHyphens/>
      <w:spacing w:before="320" w:after="320" w:line="480" w:lineRule="auto"/>
      <w:jc w:val="both"/>
      <w:outlineLvl w:val="0"/>
    </w:pPr>
    <w:rPr>
      <w:rFonts w:eastAsia="Times New Roman" w:cs="Times New Roman"/>
      <w:szCs w:val="20"/>
    </w:rPr>
  </w:style>
  <w:style w:type="paragraph" w:customStyle="1" w:styleId="WLGLevel2">
    <w:name w:val="WLGLevel2"/>
    <w:basedOn w:val="Normal"/>
    <w:qFormat/>
    <w:rsid w:val="00915809"/>
    <w:pPr>
      <w:numPr>
        <w:ilvl w:val="1"/>
        <w:numId w:val="1"/>
      </w:numPr>
      <w:tabs>
        <w:tab w:val="clear" w:pos="4480"/>
        <w:tab w:val="num" w:pos="1361"/>
      </w:tabs>
      <w:suppressAutoHyphens/>
      <w:spacing w:after="320" w:line="480" w:lineRule="auto"/>
      <w:ind w:left="1361"/>
      <w:jc w:val="both"/>
      <w:outlineLvl w:val="1"/>
    </w:pPr>
    <w:rPr>
      <w:rFonts w:eastAsia="Times New Roman" w:cs="Times New Roman"/>
      <w:szCs w:val="20"/>
    </w:rPr>
  </w:style>
  <w:style w:type="paragraph" w:customStyle="1" w:styleId="WLGLevel3">
    <w:name w:val="WLGLevel3"/>
    <w:basedOn w:val="Normal"/>
    <w:qFormat/>
    <w:rsid w:val="00915809"/>
    <w:pPr>
      <w:numPr>
        <w:ilvl w:val="2"/>
        <w:numId w:val="1"/>
      </w:numPr>
      <w:suppressAutoHyphens/>
      <w:spacing w:after="320" w:line="480" w:lineRule="auto"/>
      <w:jc w:val="both"/>
      <w:outlineLvl w:val="2"/>
    </w:pPr>
    <w:rPr>
      <w:rFonts w:eastAsia="Times New Roman" w:cs="Times New Roman"/>
      <w:szCs w:val="20"/>
    </w:rPr>
  </w:style>
  <w:style w:type="paragraph" w:customStyle="1" w:styleId="WLGLevel4">
    <w:name w:val="WLGLevel4"/>
    <w:basedOn w:val="Normal"/>
    <w:qFormat/>
    <w:rsid w:val="00915809"/>
    <w:pPr>
      <w:numPr>
        <w:ilvl w:val="3"/>
        <w:numId w:val="1"/>
      </w:numPr>
      <w:suppressAutoHyphens/>
      <w:spacing w:after="320" w:line="480" w:lineRule="auto"/>
      <w:jc w:val="both"/>
      <w:outlineLvl w:val="3"/>
    </w:pPr>
    <w:rPr>
      <w:rFonts w:eastAsia="Times New Roman" w:cs="Times New Roman"/>
      <w:szCs w:val="20"/>
    </w:rPr>
  </w:style>
  <w:style w:type="paragraph" w:customStyle="1" w:styleId="WLGLevel5">
    <w:name w:val="WLGLevel5"/>
    <w:basedOn w:val="Normal"/>
    <w:qFormat/>
    <w:rsid w:val="00915809"/>
    <w:pPr>
      <w:numPr>
        <w:ilvl w:val="4"/>
        <w:numId w:val="1"/>
      </w:numPr>
      <w:suppressAutoHyphens/>
      <w:spacing w:after="320" w:line="480" w:lineRule="auto"/>
      <w:jc w:val="both"/>
      <w:outlineLvl w:val="4"/>
    </w:pPr>
    <w:rPr>
      <w:rFonts w:eastAsia="Times New Roman" w:cs="Times New Roman"/>
      <w:szCs w:val="20"/>
    </w:rPr>
  </w:style>
  <w:style w:type="character" w:customStyle="1" w:styleId="WLGLevel1Char">
    <w:name w:val="WLGLevel1 Char"/>
    <w:basedOn w:val="DefaultParagraphFont"/>
    <w:link w:val="WLGLevel1"/>
    <w:rsid w:val="00915809"/>
    <w:rPr>
      <w:rFonts w:ascii="Arial" w:eastAsia="Times New Roman" w:hAnsi="Arial" w:cs="Times New Roman"/>
      <w:kern w:val="0"/>
      <w:sz w:val="24"/>
      <w:szCs w:val="20"/>
      <w14:ligatures w14:val="none"/>
    </w:rPr>
  </w:style>
  <w:style w:type="paragraph" w:styleId="PlainText">
    <w:name w:val="Plain Text"/>
    <w:link w:val="PlainTextChar"/>
    <w:uiPriority w:val="99"/>
    <w:unhideWhenUsed/>
    <w:rsid w:val="00915809"/>
    <w:pPr>
      <w:spacing w:after="0" w:line="276" w:lineRule="auto"/>
      <w:jc w:val="both"/>
    </w:pPr>
    <w:rPr>
      <w:rFonts w:ascii="Courier New" w:eastAsia="Arial Unicode MS" w:hAnsi="Courier New" w:cs="Arial Unicode MS"/>
      <w:color w:val="000000"/>
      <w:kern w:val="0"/>
      <w:u w:color="000000"/>
      <w:lang w:val="en-US"/>
      <w14:ligatures w14:val="none"/>
    </w:rPr>
  </w:style>
  <w:style w:type="character" w:customStyle="1" w:styleId="PlainTextChar">
    <w:name w:val="Plain Text Char"/>
    <w:basedOn w:val="DefaultParagraphFont"/>
    <w:link w:val="PlainText"/>
    <w:uiPriority w:val="99"/>
    <w:rsid w:val="00915809"/>
    <w:rPr>
      <w:rFonts w:ascii="Courier New" w:eastAsia="Arial Unicode MS" w:hAnsi="Courier New" w:cs="Arial Unicode MS"/>
      <w:color w:val="000000"/>
      <w:kern w:val="0"/>
      <w:u w:color="000000"/>
      <w:lang w:val="en-US"/>
      <w14:ligatures w14:val="none"/>
    </w:rPr>
  </w:style>
  <w:style w:type="table" w:styleId="TableGrid">
    <w:name w:val="Table Grid"/>
    <w:basedOn w:val="TableNormal"/>
    <w:uiPriority w:val="39"/>
    <w:rsid w:val="00915809"/>
    <w:pPr>
      <w:spacing w:after="0" w:line="240" w:lineRule="auto"/>
    </w:pPr>
    <w:rPr>
      <w:kern w:val="0"/>
      <w:sz w:val="24"/>
      <w:szCs w:val="24"/>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15809"/>
    <w:pPr>
      <w:spacing w:line="240" w:lineRule="auto"/>
    </w:pPr>
    <w:rPr>
      <w:sz w:val="20"/>
      <w:szCs w:val="20"/>
    </w:rPr>
  </w:style>
  <w:style w:type="character" w:customStyle="1" w:styleId="FootnoteTextChar">
    <w:name w:val="Footnote Text Char"/>
    <w:basedOn w:val="DefaultParagraphFont"/>
    <w:link w:val="FootnoteText"/>
    <w:uiPriority w:val="99"/>
    <w:semiHidden/>
    <w:rsid w:val="00915809"/>
    <w:rPr>
      <w:rFonts w:ascii="Arial" w:hAnsi="Arial" w:cs="Times New Roman (Body CS)"/>
      <w:kern w:val="0"/>
      <w:sz w:val="20"/>
      <w:szCs w:val="20"/>
      <w14:ligatures w14:val="none"/>
    </w:rPr>
  </w:style>
  <w:style w:type="character" w:styleId="FootnoteReference">
    <w:name w:val="footnote reference"/>
    <w:basedOn w:val="DefaultParagraphFont"/>
    <w:uiPriority w:val="99"/>
    <w:semiHidden/>
    <w:unhideWhenUsed/>
    <w:rsid w:val="00915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ECE7-6521-48FD-B85E-CE9D2026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Yende Julian</dc:creator>
  <cp:keywords/>
  <dc:description/>
  <cp:lastModifiedBy>Mokone</cp:lastModifiedBy>
  <cp:revision>2</cp:revision>
  <cp:lastPrinted>2023-08-15T18:28:00Z</cp:lastPrinted>
  <dcterms:created xsi:type="dcterms:W3CDTF">2023-08-18T09:22:00Z</dcterms:created>
  <dcterms:modified xsi:type="dcterms:W3CDTF">2023-08-18T09:22:00Z</dcterms:modified>
</cp:coreProperties>
</file>