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7FA7D10D" w:rsidR="00C519B2" w:rsidRDefault="00B50E11" w:rsidP="008E6813">
      <w:pPr>
        <w:pStyle w:val="Body"/>
        <w:spacing w:line="360" w:lineRule="auto"/>
        <w:jc w:val="center"/>
        <w:rPr>
          <w:rFonts w:cs="Arial"/>
          <w:b/>
          <w:bCs/>
          <w:sz w:val="24"/>
          <w:szCs w:val="24"/>
          <w:u w:val="single"/>
          <w:lang w:val="de-DE"/>
        </w:rPr>
      </w:pPr>
      <w:r w:rsidRPr="0031449E">
        <w:rPr>
          <w:rFonts w:cs="Arial"/>
          <w:b/>
          <w:bCs/>
          <w:sz w:val="24"/>
          <w:szCs w:val="24"/>
          <w:u w:val="single"/>
          <w:lang w:val="de-DE"/>
        </w:rPr>
        <w:t>(GAUTENG DIVISION, PRETORIA)</w:t>
      </w:r>
    </w:p>
    <w:p w14:paraId="640BE086" w14:textId="77777777" w:rsidR="00326554" w:rsidRPr="008E6813" w:rsidRDefault="00326554" w:rsidP="008E6813">
      <w:pPr>
        <w:pStyle w:val="Body"/>
        <w:spacing w:line="360" w:lineRule="auto"/>
        <w:jc w:val="center"/>
        <w:rPr>
          <w:rFonts w:cs="Arial"/>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tblGrid>
      <w:tr w:rsidR="00C519B2" w:rsidRPr="004164F3" w14:paraId="7564B942" w14:textId="77777777" w:rsidTr="00326554">
        <w:trPr>
          <w:trHeight w:val="1997"/>
        </w:trPr>
        <w:tc>
          <w:tcPr>
            <w:tcW w:w="4140"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0B7053">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0B7053">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0B7053">
              <w:rPr>
                <w:rFonts w:ascii="Arial Unicode MS" w:eastAsia="Arial Unicode MS" w:hAnsi="Arial Unicode MS" w:cs="Arial Unicode MS"/>
                <w:strike/>
                <w:sz w:val="16"/>
                <w:szCs w:val="16"/>
              </w:rPr>
              <w:t>YES/</w:t>
            </w:r>
            <w:r w:rsidRPr="000B7053">
              <w:rPr>
                <w:rFonts w:ascii="Arial Unicode MS" w:eastAsia="Arial Unicode MS" w:hAnsi="Arial Unicode MS" w:cs="Arial Unicode MS"/>
                <w:b/>
                <w:bCs/>
                <w:sz w:val="16"/>
                <w:szCs w:val="16"/>
              </w:rPr>
              <w:t>NO</w:t>
            </w:r>
          </w:p>
          <w:p w14:paraId="15F66332" w14:textId="7A6D169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p>
          <w:p w14:paraId="0E14A07A" w14:textId="65C04A3F" w:rsidR="000B7053" w:rsidRDefault="00C519B2" w:rsidP="00C54C41">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0B7053">
              <w:rPr>
                <w:rFonts w:ascii="Arial Unicode MS" w:eastAsia="Arial Unicode MS" w:hAnsi="Arial Unicode MS" w:cs="Arial Unicode MS"/>
                <w:sz w:val="16"/>
                <w:szCs w:val="16"/>
              </w:rPr>
              <w:t xml:space="preserve"> </w:t>
            </w:r>
            <w:r w:rsidR="000B7053" w:rsidRPr="00B0544D">
              <w:rPr>
                <w:rFonts w:ascii="Arial Unicode MS" w:eastAsia="Arial Unicode MS" w:hAnsi="Arial Unicode MS" w:cs="Arial Unicode MS"/>
                <w:b/>
                <w:bCs/>
                <w:sz w:val="16"/>
                <w:szCs w:val="16"/>
              </w:rPr>
              <w:t>1</w:t>
            </w:r>
            <w:r w:rsidR="00D710E6">
              <w:rPr>
                <w:rFonts w:ascii="Arial Unicode MS" w:eastAsia="Arial Unicode MS" w:hAnsi="Arial Unicode MS" w:cs="Arial Unicode MS"/>
                <w:b/>
                <w:bCs/>
                <w:sz w:val="16"/>
                <w:szCs w:val="16"/>
              </w:rPr>
              <w:t>7</w:t>
            </w:r>
            <w:r w:rsidR="000B7053" w:rsidRPr="00B0544D">
              <w:rPr>
                <w:rFonts w:ascii="Arial Unicode MS" w:eastAsia="Arial Unicode MS" w:hAnsi="Arial Unicode MS" w:cs="Arial Unicode MS"/>
                <w:b/>
                <w:bCs/>
                <w:sz w:val="16"/>
                <w:szCs w:val="16"/>
              </w:rPr>
              <w:t xml:space="preserve"> August 2023</w:t>
            </w:r>
          </w:p>
          <w:p w14:paraId="773CDFDB" w14:textId="1D97CF72" w:rsidR="00C519B2" w:rsidRPr="004164F3" w:rsidRDefault="00C519B2" w:rsidP="00C54C41">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sidR="00B0544D">
              <w:rPr>
                <w:rFonts w:ascii="Arial Unicode MS" w:eastAsia="Arial Unicode MS" w:hAnsi="Arial Unicode MS" w:cs="Arial Unicode MS"/>
                <w:sz w:val="16"/>
                <w:szCs w:val="16"/>
              </w:rPr>
              <w:t xml:space="preserve"> _____________________________</w:t>
            </w:r>
          </w:p>
        </w:tc>
      </w:tr>
    </w:tbl>
    <w:p w14:paraId="46E43E32" w14:textId="05A6E302" w:rsidR="00B50E11" w:rsidRPr="0031449E" w:rsidRDefault="00B50E11" w:rsidP="002C780F">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237E44">
        <w:rPr>
          <w:rFonts w:cs="Arial"/>
          <w:b/>
          <w:bCs/>
          <w:sz w:val="24"/>
          <w:szCs w:val="24"/>
        </w:rPr>
        <w:t>10009/22</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078"/>
        <w:gridCol w:w="66"/>
      </w:tblGrid>
      <w:tr w:rsidR="00B50E11" w:rsidRPr="0031449E" w14:paraId="22698168" w14:textId="77777777" w:rsidTr="001D7244">
        <w:trPr>
          <w:gridAfter w:val="1"/>
          <w:wAfter w:w="66" w:type="dxa"/>
        </w:trPr>
        <w:tc>
          <w:tcPr>
            <w:tcW w:w="5485"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4078"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1D7244">
        <w:trPr>
          <w:gridAfter w:val="1"/>
          <w:wAfter w:w="66" w:type="dxa"/>
          <w:trHeight w:val="1045"/>
        </w:trPr>
        <w:tc>
          <w:tcPr>
            <w:tcW w:w="5485" w:type="dxa"/>
          </w:tcPr>
          <w:p w14:paraId="2456782D"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548AA6FE" w14:textId="176237B8" w:rsidR="007F7FED" w:rsidRPr="00237E44" w:rsidRDefault="00E97D32"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Pr>
                <w:rFonts w:cs="Arial"/>
                <w:b/>
                <w:bCs/>
                <w:sz w:val="24"/>
                <w:szCs w:val="24"/>
              </w:rPr>
              <w:t xml:space="preserve">THE </w:t>
            </w:r>
            <w:r w:rsidR="00237E44" w:rsidRPr="00237E44">
              <w:rPr>
                <w:rFonts w:cs="Arial"/>
                <w:b/>
                <w:bCs/>
                <w:sz w:val="24"/>
                <w:szCs w:val="24"/>
              </w:rPr>
              <w:t>HEALTH JUSTICE INITIATIVE</w:t>
            </w:r>
          </w:p>
        </w:tc>
        <w:tc>
          <w:tcPr>
            <w:tcW w:w="4078" w:type="dxa"/>
          </w:tcPr>
          <w:p w14:paraId="66354F6A"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263479FD" w14:textId="529B75C9" w:rsidR="00B50E11" w:rsidRPr="0031449E" w:rsidRDefault="000218A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APPLICANT</w:t>
            </w:r>
          </w:p>
        </w:tc>
      </w:tr>
      <w:tr w:rsidR="00B50E11" w:rsidRPr="0031449E" w14:paraId="2DE3831D" w14:textId="77777777" w:rsidTr="001D7244">
        <w:trPr>
          <w:gridAfter w:val="1"/>
          <w:wAfter w:w="66" w:type="dxa"/>
        </w:trPr>
        <w:tc>
          <w:tcPr>
            <w:tcW w:w="5485" w:type="dxa"/>
          </w:tcPr>
          <w:p w14:paraId="06AA6B3B" w14:textId="7CD9CC68" w:rsidR="00B50E11" w:rsidRPr="00F43C52" w:rsidRDefault="00B50E11" w:rsidP="008E6813">
            <w:pPr>
              <w:pStyle w:val="Body"/>
              <w:spacing w:line="360" w:lineRule="auto"/>
              <w:jc w:val="both"/>
              <w:rPr>
                <w:rFonts w:cs="Arial"/>
                <w:b/>
                <w:sz w:val="24"/>
                <w:szCs w:val="24"/>
              </w:rPr>
            </w:pPr>
          </w:p>
          <w:p w14:paraId="52E06D21" w14:textId="45615920" w:rsidR="00B50E11" w:rsidRPr="0031449E" w:rsidRDefault="00F635E3" w:rsidP="008E6813">
            <w:pPr>
              <w:pStyle w:val="Body"/>
              <w:spacing w:line="360" w:lineRule="auto"/>
              <w:jc w:val="both"/>
              <w:rPr>
                <w:rFonts w:eastAsia="Tahoma" w:cs="Arial"/>
                <w:sz w:val="24"/>
                <w:szCs w:val="24"/>
              </w:rPr>
            </w:pPr>
            <w:r>
              <w:rPr>
                <w:rFonts w:cs="Arial"/>
                <w:sz w:val="24"/>
                <w:szCs w:val="24"/>
              </w:rPr>
              <w:t>a</w:t>
            </w:r>
            <w:r w:rsidR="00B50E11" w:rsidRPr="0031449E">
              <w:rPr>
                <w:rFonts w:cs="Arial"/>
                <w:sz w:val="24"/>
                <w:szCs w:val="24"/>
              </w:rPr>
              <w:t>nd</w:t>
            </w:r>
          </w:p>
        </w:tc>
        <w:tc>
          <w:tcPr>
            <w:tcW w:w="4078" w:type="dxa"/>
          </w:tcPr>
          <w:p w14:paraId="06C77BC2" w14:textId="032FD205"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B50E11" w:rsidRPr="0031449E" w14:paraId="4829D036" w14:textId="77777777" w:rsidTr="001D7244">
        <w:trPr>
          <w:gridAfter w:val="1"/>
          <w:wAfter w:w="66" w:type="dxa"/>
        </w:trPr>
        <w:tc>
          <w:tcPr>
            <w:tcW w:w="5485" w:type="dxa"/>
          </w:tcPr>
          <w:p w14:paraId="0C29CDE0"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80DF639" w14:textId="75F0A992" w:rsidR="001F07DD" w:rsidRDefault="00237E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THE MINISTER OF HEALTH</w:t>
            </w:r>
          </w:p>
          <w:p w14:paraId="3ACBB1CA" w14:textId="05144C07" w:rsidR="00B50E11" w:rsidRPr="00DA7A8D"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p>
        </w:tc>
        <w:tc>
          <w:tcPr>
            <w:tcW w:w="4078" w:type="dxa"/>
          </w:tcPr>
          <w:p w14:paraId="33705AB1"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0BDDAC04" w:rsidR="00B50E11" w:rsidRPr="0031449E" w:rsidRDefault="001F07D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 xml:space="preserve">FIRST </w:t>
            </w:r>
            <w:r w:rsidR="000218AC">
              <w:rPr>
                <w:rFonts w:cs="Arial"/>
                <w:b/>
                <w:sz w:val="24"/>
                <w:szCs w:val="24"/>
              </w:rPr>
              <w:t>RESPONDENT</w:t>
            </w:r>
          </w:p>
        </w:tc>
      </w:tr>
      <w:tr w:rsidR="0027008F" w:rsidRPr="0031449E" w14:paraId="0432C152" w14:textId="77777777" w:rsidTr="001D7244">
        <w:trPr>
          <w:gridAfter w:val="1"/>
          <w:wAfter w:w="66" w:type="dxa"/>
        </w:trPr>
        <w:tc>
          <w:tcPr>
            <w:tcW w:w="5485" w:type="dxa"/>
          </w:tcPr>
          <w:p w14:paraId="25DA77DC"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09647B74" w14:textId="77777777" w:rsidR="005B2C17" w:rsidRDefault="00BB04E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THE INFORMATION OFFICER</w:t>
            </w:r>
            <w:r w:rsidR="005B2C17">
              <w:rPr>
                <w:rFonts w:cs="Arial"/>
                <w:b/>
                <w:bCs/>
                <w:sz w:val="24"/>
                <w:szCs w:val="24"/>
                <w:lang w:val="de-DE"/>
              </w:rPr>
              <w:t xml:space="preserve">, </w:t>
            </w:r>
          </w:p>
          <w:p w14:paraId="7F45D086" w14:textId="1EAA9571" w:rsidR="0027008F" w:rsidRDefault="005B2C17"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NATIONAL DEPARTMENT OF HEALTH</w:t>
            </w:r>
          </w:p>
        </w:tc>
        <w:tc>
          <w:tcPr>
            <w:tcW w:w="4078" w:type="dxa"/>
          </w:tcPr>
          <w:p w14:paraId="12E9CA02"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345D8E8F" w14:textId="09251848"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SECOND RESPONDENT</w:t>
            </w:r>
          </w:p>
        </w:tc>
      </w:tr>
      <w:tr w:rsidR="002C780F" w:rsidRPr="00217B1F" w14:paraId="0BE69F19" w14:textId="77777777" w:rsidTr="001D7244">
        <w:trPr>
          <w:trHeight w:val="1045"/>
        </w:trPr>
        <w:tc>
          <w:tcPr>
            <w:tcW w:w="9629" w:type="dxa"/>
            <w:gridSpan w:val="3"/>
          </w:tcPr>
          <w:p w14:paraId="444E519E" w14:textId="77777777" w:rsidR="002C780F" w:rsidRPr="00217B1F" w:rsidRDefault="002C780F" w:rsidP="002C780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Pr>
                <w:rFonts w:cs="Arial"/>
                <w:b/>
                <w:bCs/>
                <w:sz w:val="24"/>
                <w:szCs w:val="24"/>
              </w:rPr>
              <w:t>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2C780F" w14:paraId="21F9E0B4" w14:textId="77777777" w:rsidTr="002C780F">
              <w:trPr>
                <w:trHeight w:val="691"/>
              </w:trPr>
              <w:tc>
                <w:tcPr>
                  <w:tcW w:w="1734" w:type="dxa"/>
                </w:tcPr>
                <w:p w14:paraId="0B9DF72A" w14:textId="77777777" w:rsidR="002C780F" w:rsidRPr="002C780F" w:rsidRDefault="002C780F" w:rsidP="002C780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4"/>
                    <w:rPr>
                      <w:rFonts w:ascii="Times" w:hAnsi="Times" w:cs="Arial"/>
                      <w:b/>
                      <w:bCs/>
                      <w:i/>
                      <w:iCs/>
                      <w:sz w:val="24"/>
                      <w:szCs w:val="24"/>
                    </w:rPr>
                  </w:pPr>
                  <w:r w:rsidRPr="002C780F">
                    <w:rPr>
                      <w:rFonts w:ascii="Times" w:eastAsia="Times New Roman" w:hAnsi="Times" w:cs="Arial"/>
                      <w:b/>
                      <w:bCs/>
                      <w:i/>
                      <w:iCs/>
                      <w:sz w:val="24"/>
                      <w:szCs w:val="24"/>
                      <w:lang w:val="en-ZA"/>
                    </w:rPr>
                    <w:t>Coram:          </w:t>
                  </w:r>
                </w:p>
              </w:tc>
              <w:tc>
                <w:tcPr>
                  <w:tcW w:w="7513" w:type="dxa"/>
                </w:tcPr>
                <w:p w14:paraId="49677B81" w14:textId="49879BB7" w:rsidR="002C780F" w:rsidRPr="002C780F" w:rsidRDefault="002C780F" w:rsidP="002C780F">
                  <w:pPr>
                    <w:tabs>
                      <w:tab w:val="left" w:pos="1417"/>
                    </w:tabs>
                    <w:spacing w:after="120"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tc>
            </w:tr>
            <w:tr w:rsidR="002C780F" w14:paraId="5F276169" w14:textId="77777777" w:rsidTr="002C780F">
              <w:tc>
                <w:tcPr>
                  <w:tcW w:w="1734" w:type="dxa"/>
                </w:tcPr>
                <w:p w14:paraId="0A2E0EE5" w14:textId="77777777" w:rsidR="002C780F" w:rsidRPr="002C780F" w:rsidRDefault="002C780F" w:rsidP="002C780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66"/>
                    <w:rPr>
                      <w:rFonts w:ascii="Times" w:hAnsi="Times" w:cs="Arial"/>
                      <w:b/>
                      <w:bCs/>
                      <w:i/>
                      <w:iCs/>
                      <w:sz w:val="24"/>
                      <w:szCs w:val="24"/>
                    </w:rPr>
                  </w:pPr>
                  <w:r w:rsidRPr="002C780F">
                    <w:rPr>
                      <w:rFonts w:ascii="Times" w:eastAsia="Times New Roman" w:hAnsi="Times" w:cs="Arial"/>
                      <w:b/>
                      <w:bCs/>
                      <w:i/>
                      <w:iCs/>
                      <w:sz w:val="24"/>
                      <w:szCs w:val="24"/>
                      <w:lang w:val="en-ZA"/>
                    </w:rPr>
                    <w:t>Heard on:      </w:t>
                  </w:r>
                </w:p>
              </w:tc>
              <w:tc>
                <w:tcPr>
                  <w:tcW w:w="7513" w:type="dxa"/>
                </w:tcPr>
                <w:p w14:paraId="23CBD373" w14:textId="77777777" w:rsidR="002C780F" w:rsidRDefault="002C780F" w:rsidP="002C780F">
                  <w:pPr>
                    <w:spacing w:after="120" w:line="360" w:lineRule="auto"/>
                    <w:ind w:left="2268" w:hanging="2268"/>
                    <w:jc w:val="both"/>
                    <w:rPr>
                      <w:rFonts w:ascii="Arial" w:eastAsia="Times New Roman" w:hAnsi="Arial" w:cs="Arial"/>
                      <w:color w:val="000000"/>
                      <w:sz w:val="24"/>
                      <w:szCs w:val="24"/>
                      <w:lang w:val="en-ZA"/>
                    </w:rPr>
                  </w:pPr>
                  <w:r>
                    <w:rPr>
                      <w:rFonts w:ascii="Arial" w:eastAsia="Times New Roman" w:hAnsi="Arial" w:cs="Arial"/>
                      <w:color w:val="000000"/>
                      <w:sz w:val="24"/>
                      <w:szCs w:val="24"/>
                      <w:lang w:val="en-ZA"/>
                    </w:rPr>
                    <w:t>26 July</w:t>
                  </w:r>
                  <w:r w:rsidRPr="00217B1F">
                    <w:rPr>
                      <w:rFonts w:ascii="Arial" w:eastAsia="Times New Roman" w:hAnsi="Arial" w:cs="Arial"/>
                      <w:color w:val="000000"/>
                      <w:sz w:val="24"/>
                      <w:szCs w:val="24"/>
                      <w:lang w:val="en-ZA"/>
                    </w:rPr>
                    <w:t xml:space="preserve"> 202</w:t>
                  </w:r>
                  <w:r>
                    <w:rPr>
                      <w:rFonts w:ascii="Arial" w:eastAsia="Times New Roman" w:hAnsi="Arial" w:cs="Arial"/>
                      <w:color w:val="000000"/>
                      <w:sz w:val="24"/>
                      <w:szCs w:val="24"/>
                      <w:lang w:val="en-ZA"/>
                    </w:rPr>
                    <w:t>3</w:t>
                  </w:r>
                  <w:r w:rsidRPr="00217B1F">
                    <w:rPr>
                      <w:rFonts w:ascii="Arial" w:eastAsia="Times New Roman" w:hAnsi="Arial" w:cs="Arial"/>
                      <w:color w:val="000000"/>
                      <w:sz w:val="24"/>
                      <w:szCs w:val="24"/>
                      <w:lang w:val="en-ZA"/>
                    </w:rPr>
                    <w:t xml:space="preserve"> </w:t>
                  </w:r>
                </w:p>
                <w:p w14:paraId="694B8CC4" w14:textId="77777777" w:rsidR="00B0544D" w:rsidRDefault="00B0544D" w:rsidP="002C780F">
                  <w:pPr>
                    <w:spacing w:after="120" w:line="360" w:lineRule="auto"/>
                    <w:ind w:left="2268" w:hanging="2268"/>
                    <w:jc w:val="both"/>
                    <w:rPr>
                      <w:rFonts w:ascii="Arial" w:eastAsia="Times New Roman" w:hAnsi="Arial" w:cs="Arial"/>
                      <w:color w:val="000000"/>
                      <w:sz w:val="24"/>
                      <w:szCs w:val="24"/>
                      <w:lang w:val="en-ZA"/>
                    </w:rPr>
                  </w:pPr>
                </w:p>
                <w:p w14:paraId="648BB839" w14:textId="5D7B968D" w:rsidR="00B0544D" w:rsidRPr="002C780F" w:rsidRDefault="00B0544D" w:rsidP="002C780F">
                  <w:pPr>
                    <w:spacing w:after="120" w:line="360" w:lineRule="auto"/>
                    <w:ind w:left="2268" w:hanging="2268"/>
                    <w:jc w:val="both"/>
                    <w:rPr>
                      <w:rFonts w:ascii="Arial" w:eastAsia="Times New Roman" w:hAnsi="Arial" w:cs="Arial"/>
                      <w:color w:val="000000"/>
                      <w:sz w:val="24"/>
                      <w:szCs w:val="24"/>
                    </w:rPr>
                  </w:pPr>
                </w:p>
              </w:tc>
            </w:tr>
            <w:tr w:rsidR="002C780F" w14:paraId="4D56FA8A" w14:textId="77777777" w:rsidTr="002C780F">
              <w:tc>
                <w:tcPr>
                  <w:tcW w:w="1734" w:type="dxa"/>
                </w:tcPr>
                <w:p w14:paraId="04D0D8E8" w14:textId="77777777" w:rsidR="002C780F" w:rsidRPr="002C780F" w:rsidRDefault="002C780F" w:rsidP="002C780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66"/>
                    <w:rPr>
                      <w:rFonts w:ascii="Times" w:hAnsi="Times" w:cs="Arial"/>
                      <w:b/>
                      <w:bCs/>
                      <w:i/>
                      <w:iCs/>
                      <w:sz w:val="24"/>
                      <w:szCs w:val="24"/>
                    </w:rPr>
                  </w:pPr>
                  <w:r w:rsidRPr="002C780F">
                    <w:rPr>
                      <w:rFonts w:ascii="Times" w:eastAsia="Times New Roman" w:hAnsi="Times" w:cs="Arial"/>
                      <w:b/>
                      <w:bCs/>
                      <w:i/>
                      <w:iCs/>
                      <w:sz w:val="24"/>
                      <w:szCs w:val="24"/>
                      <w:lang w:val="en-ZA"/>
                    </w:rPr>
                    <w:lastRenderedPageBreak/>
                    <w:t xml:space="preserve">Delivered:   </w:t>
                  </w:r>
                </w:p>
              </w:tc>
              <w:tc>
                <w:tcPr>
                  <w:tcW w:w="7513" w:type="dxa"/>
                </w:tcPr>
                <w:p w14:paraId="274CEE19" w14:textId="33B98943" w:rsidR="002C780F" w:rsidRPr="002C780F" w:rsidRDefault="000B7053" w:rsidP="002C780F">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1</w:t>
                  </w:r>
                  <w:r w:rsidR="00D710E6">
                    <w:rPr>
                      <w:rFonts w:ascii="Arial" w:eastAsia="Times New Roman" w:hAnsi="Arial" w:cs="Arial"/>
                      <w:color w:val="000000"/>
                      <w:sz w:val="24"/>
                      <w:szCs w:val="24"/>
                      <w:lang w:val="en-ZA"/>
                    </w:rPr>
                    <w:t>7</w:t>
                  </w:r>
                  <w:r w:rsidR="002C780F" w:rsidRPr="00217B1F">
                    <w:rPr>
                      <w:rFonts w:ascii="Arial" w:eastAsia="Times New Roman" w:hAnsi="Arial" w:cs="Arial"/>
                      <w:color w:val="000000"/>
                      <w:sz w:val="24"/>
                      <w:szCs w:val="24"/>
                      <w:lang w:val="en-ZA"/>
                    </w:rPr>
                    <w:t xml:space="preserve"> </w:t>
                  </w:r>
                  <w:r w:rsidR="00C54C41">
                    <w:rPr>
                      <w:rFonts w:ascii="Arial" w:eastAsia="Times New Roman" w:hAnsi="Arial" w:cs="Arial"/>
                      <w:color w:val="000000"/>
                      <w:sz w:val="24"/>
                      <w:szCs w:val="24"/>
                      <w:lang w:val="en-ZA"/>
                    </w:rPr>
                    <w:t xml:space="preserve">August </w:t>
                  </w:r>
                  <w:r w:rsidR="002C780F" w:rsidRPr="00217B1F">
                    <w:rPr>
                      <w:rFonts w:ascii="Arial" w:eastAsia="Times New Roman" w:hAnsi="Arial" w:cs="Arial"/>
                      <w:color w:val="000000"/>
                      <w:sz w:val="24"/>
                      <w:szCs w:val="24"/>
                      <w:lang w:val="en-ZA"/>
                    </w:rPr>
                    <w:t>202</w:t>
                  </w:r>
                  <w:r w:rsidR="002C780F">
                    <w:rPr>
                      <w:rFonts w:ascii="Arial" w:eastAsia="Times New Roman" w:hAnsi="Arial" w:cs="Arial"/>
                      <w:color w:val="000000"/>
                      <w:sz w:val="24"/>
                      <w:szCs w:val="24"/>
                      <w:lang w:val="en-ZA"/>
                    </w:rPr>
                    <w:t>3 - T</w:t>
                  </w:r>
                  <w:r w:rsidR="002C780F" w:rsidRPr="00217B1F">
                    <w:rPr>
                      <w:rFonts w:ascii="Arial" w:eastAsia="Times New Roman" w:hAnsi="Arial" w:cs="Arial"/>
                      <w:color w:val="000000"/>
                      <w:sz w:val="24"/>
                      <w:szCs w:val="24"/>
                      <w:lang w:val="en-ZA"/>
                    </w:rPr>
                    <w:t>his judgment was handed down electronically by</w:t>
                  </w:r>
                  <w:r w:rsidR="002C780F">
                    <w:rPr>
                      <w:rFonts w:ascii="Arial" w:eastAsia="Times New Roman" w:hAnsi="Arial" w:cs="Arial"/>
                      <w:color w:val="000000"/>
                      <w:sz w:val="24"/>
                      <w:szCs w:val="24"/>
                      <w:lang w:val="en-ZA"/>
                    </w:rPr>
                    <w:t xml:space="preserve"> </w:t>
                  </w:r>
                  <w:r w:rsidR="002C780F" w:rsidRPr="00217B1F">
                    <w:rPr>
                      <w:rFonts w:ascii="Arial" w:eastAsia="Times New Roman" w:hAnsi="Arial" w:cs="Arial"/>
                      <w:color w:val="000000"/>
                      <w:sz w:val="24"/>
                      <w:szCs w:val="24"/>
                      <w:lang w:val="en-ZA"/>
                    </w:rPr>
                    <w:t>circulation to the</w:t>
                  </w:r>
                  <w:r w:rsidR="002C780F">
                    <w:rPr>
                      <w:rFonts w:ascii="Arial" w:eastAsia="Times New Roman" w:hAnsi="Arial" w:cs="Arial"/>
                      <w:color w:val="000000"/>
                      <w:sz w:val="24"/>
                      <w:szCs w:val="24"/>
                      <w:lang w:val="en-ZA"/>
                    </w:rPr>
                    <w:t xml:space="preserve"> </w:t>
                  </w:r>
                  <w:r w:rsidR="002C780F" w:rsidRPr="00217B1F">
                    <w:rPr>
                      <w:rFonts w:ascii="Arial" w:eastAsia="Times New Roman" w:hAnsi="Arial" w:cs="Arial"/>
                      <w:color w:val="000000"/>
                      <w:sz w:val="24"/>
                      <w:szCs w:val="24"/>
                      <w:lang w:val="en-ZA"/>
                    </w:rPr>
                    <w:t>parties' representatives by email, by being uploaded to the </w:t>
                  </w:r>
                  <w:r w:rsidR="002C780F" w:rsidRPr="00217B1F">
                    <w:rPr>
                      <w:rFonts w:ascii="Arial" w:eastAsia="Times New Roman" w:hAnsi="Arial" w:cs="Arial"/>
                      <w:i/>
                      <w:iCs/>
                      <w:color w:val="000000"/>
                      <w:sz w:val="24"/>
                      <w:szCs w:val="24"/>
                      <w:lang w:val="en-ZA"/>
                    </w:rPr>
                    <w:t>CaseLines</w:t>
                  </w:r>
                  <w:r w:rsidR="002C780F" w:rsidRPr="00217B1F">
                    <w:rPr>
                      <w:rFonts w:ascii="Arial" w:eastAsia="Times New Roman" w:hAnsi="Arial" w:cs="Arial"/>
                      <w:color w:val="000000"/>
                      <w:sz w:val="24"/>
                      <w:szCs w:val="24"/>
                      <w:lang w:val="en-ZA"/>
                    </w:rPr>
                    <w:t> system of the GD and by release to SAFLII. The date and time for hand-down is deemed to be 1</w:t>
                  </w:r>
                  <w:r w:rsidR="002C780F">
                    <w:rPr>
                      <w:rFonts w:ascii="Arial" w:eastAsia="Times New Roman" w:hAnsi="Arial" w:cs="Arial"/>
                      <w:color w:val="000000"/>
                      <w:sz w:val="24"/>
                      <w:szCs w:val="24"/>
                      <w:lang w:val="en-ZA"/>
                    </w:rPr>
                    <w:t>0</w:t>
                  </w:r>
                  <w:r w:rsidR="002C780F" w:rsidRPr="00217B1F">
                    <w:rPr>
                      <w:rFonts w:ascii="Arial" w:eastAsia="Times New Roman" w:hAnsi="Arial" w:cs="Arial"/>
                      <w:color w:val="000000"/>
                      <w:sz w:val="24"/>
                      <w:szCs w:val="24"/>
                      <w:lang w:val="en-ZA"/>
                    </w:rPr>
                    <w:t xml:space="preserve">H00 on </w:t>
                  </w:r>
                  <w:r w:rsidR="001F3568">
                    <w:rPr>
                      <w:rFonts w:ascii="Arial" w:eastAsia="Times New Roman" w:hAnsi="Arial" w:cs="Arial"/>
                      <w:color w:val="000000"/>
                      <w:sz w:val="24"/>
                      <w:szCs w:val="24"/>
                      <w:lang w:val="en-ZA"/>
                    </w:rPr>
                    <w:t>1</w:t>
                  </w:r>
                  <w:r w:rsidR="00D710E6">
                    <w:rPr>
                      <w:rFonts w:ascii="Arial" w:eastAsia="Times New Roman" w:hAnsi="Arial" w:cs="Arial"/>
                      <w:color w:val="000000"/>
                      <w:sz w:val="24"/>
                      <w:szCs w:val="24"/>
                      <w:lang w:val="en-ZA"/>
                    </w:rPr>
                    <w:t>7</w:t>
                  </w:r>
                  <w:r w:rsidR="002C780F">
                    <w:rPr>
                      <w:rFonts w:ascii="Arial" w:eastAsia="Times New Roman" w:hAnsi="Arial" w:cs="Arial"/>
                      <w:color w:val="000000"/>
                      <w:sz w:val="24"/>
                      <w:szCs w:val="24"/>
                      <w:lang w:val="en-ZA"/>
                    </w:rPr>
                    <w:t xml:space="preserve"> </w:t>
                  </w:r>
                  <w:r w:rsidR="00C54C41">
                    <w:rPr>
                      <w:rFonts w:ascii="Arial" w:eastAsia="Times New Roman" w:hAnsi="Arial" w:cs="Arial"/>
                      <w:color w:val="000000"/>
                      <w:sz w:val="24"/>
                      <w:szCs w:val="24"/>
                      <w:lang w:val="en-ZA"/>
                    </w:rPr>
                    <w:t>Augu</w:t>
                  </w:r>
                  <w:r w:rsidR="008B0713">
                    <w:rPr>
                      <w:rFonts w:ascii="Arial" w:eastAsia="Times New Roman" w:hAnsi="Arial" w:cs="Arial"/>
                      <w:color w:val="000000"/>
                      <w:sz w:val="24"/>
                      <w:szCs w:val="24"/>
                      <w:lang w:val="en-ZA"/>
                    </w:rPr>
                    <w:t>s</w:t>
                  </w:r>
                  <w:r w:rsidR="00C54C41">
                    <w:rPr>
                      <w:rFonts w:ascii="Arial" w:eastAsia="Times New Roman" w:hAnsi="Arial" w:cs="Arial"/>
                      <w:color w:val="000000"/>
                      <w:sz w:val="24"/>
                      <w:szCs w:val="24"/>
                      <w:lang w:val="en-ZA"/>
                    </w:rPr>
                    <w:t xml:space="preserve">t </w:t>
                  </w:r>
                  <w:r w:rsidR="002C780F" w:rsidRPr="00217B1F">
                    <w:rPr>
                      <w:rFonts w:ascii="Arial" w:eastAsia="Times New Roman" w:hAnsi="Arial" w:cs="Arial"/>
                      <w:color w:val="000000"/>
                      <w:sz w:val="24"/>
                      <w:szCs w:val="24"/>
                      <w:lang w:val="en-ZA"/>
                    </w:rPr>
                    <w:t>202</w:t>
                  </w:r>
                  <w:r w:rsidR="002C780F">
                    <w:rPr>
                      <w:rFonts w:ascii="Arial" w:eastAsia="Times New Roman" w:hAnsi="Arial" w:cs="Arial"/>
                      <w:color w:val="000000"/>
                      <w:sz w:val="24"/>
                      <w:szCs w:val="24"/>
                      <w:lang w:val="en-ZA"/>
                    </w:rPr>
                    <w:t>3</w:t>
                  </w:r>
                  <w:r w:rsidR="002C780F" w:rsidRPr="00217B1F">
                    <w:rPr>
                      <w:rFonts w:ascii="Arial" w:eastAsia="Times New Roman" w:hAnsi="Arial" w:cs="Arial"/>
                      <w:color w:val="000000"/>
                      <w:sz w:val="24"/>
                      <w:szCs w:val="24"/>
                      <w:lang w:val="en-ZA"/>
                    </w:rPr>
                    <w:t>.</w:t>
                  </w:r>
                </w:p>
              </w:tc>
            </w:tr>
            <w:tr w:rsidR="002C780F" w14:paraId="37F7AF0F" w14:textId="77777777" w:rsidTr="002C780F">
              <w:trPr>
                <w:trHeight w:val="55"/>
              </w:trPr>
              <w:tc>
                <w:tcPr>
                  <w:tcW w:w="1734" w:type="dxa"/>
                </w:tcPr>
                <w:p w14:paraId="1CD66896" w14:textId="77777777" w:rsidR="002C780F" w:rsidRPr="002C780F" w:rsidRDefault="002C780F" w:rsidP="002C780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66"/>
                    <w:rPr>
                      <w:rFonts w:ascii="Times" w:hAnsi="Times" w:cs="Arial"/>
                      <w:b/>
                      <w:bCs/>
                      <w:i/>
                      <w:iCs/>
                      <w:sz w:val="24"/>
                      <w:szCs w:val="24"/>
                    </w:rPr>
                  </w:pPr>
                  <w:r w:rsidRPr="002C780F">
                    <w:rPr>
                      <w:rFonts w:ascii="Times" w:eastAsia="Times New Roman" w:hAnsi="Times" w:cs="Arial"/>
                      <w:b/>
                      <w:bCs/>
                      <w:i/>
                      <w:iCs/>
                      <w:sz w:val="24"/>
                      <w:szCs w:val="24"/>
                      <w:lang w:val="en-ZA"/>
                    </w:rPr>
                    <w:t>Summary:      </w:t>
                  </w:r>
                </w:p>
              </w:tc>
              <w:tc>
                <w:tcPr>
                  <w:tcW w:w="7513" w:type="dxa"/>
                </w:tcPr>
                <w:p w14:paraId="6876FDE8" w14:textId="49C498E2" w:rsidR="002C780F" w:rsidRPr="002518C4" w:rsidRDefault="00047A0D" w:rsidP="002C780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sz w:val="24"/>
                      <w:szCs w:val="24"/>
                    </w:rPr>
                  </w:pPr>
                  <w:r>
                    <w:rPr>
                      <w:rFonts w:cs="Arial"/>
                      <w:sz w:val="24"/>
                      <w:szCs w:val="24"/>
                    </w:rPr>
                    <w:t>Application for access to Covid 19 vaccine records – request refused on the basis of confidentiality, ostensible prejudice to future commercial dealings and no public interest considerations – none of the basis are meritorious – respondents ordered to grant access to records requested.</w:t>
                  </w:r>
                </w:p>
              </w:tc>
            </w:tr>
          </w:tbl>
          <w:p w14:paraId="422E790C" w14:textId="77777777" w:rsidR="002C780F" w:rsidRPr="00217B1F" w:rsidRDefault="002C780F" w:rsidP="002C780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2C780F" w:rsidRPr="005D79B5" w14:paraId="35407B94" w14:textId="77777777" w:rsidTr="001D7244">
        <w:tc>
          <w:tcPr>
            <w:tcW w:w="9629" w:type="dxa"/>
            <w:gridSpan w:val="3"/>
          </w:tcPr>
          <w:p w14:paraId="1EF4ED4E" w14:textId="5F40E117" w:rsidR="002C780F" w:rsidRPr="005D79B5" w:rsidRDefault="002C780F" w:rsidP="008B0713">
            <w:pPr>
              <w:pStyle w:val="Body"/>
              <w:spacing w:line="360" w:lineRule="auto"/>
              <w:jc w:val="both"/>
              <w:rPr>
                <w:rFonts w:cs="Arial"/>
                <w:bCs/>
                <w:sz w:val="24"/>
                <w:szCs w:val="24"/>
              </w:rPr>
            </w:pPr>
            <w:bookmarkStart w:id="0" w:name="_Hlk102030155"/>
            <w:r w:rsidRPr="005D79B5">
              <w:rPr>
                <w:rFonts w:cs="Arial"/>
                <w:b/>
                <w:bCs/>
                <w:sz w:val="24"/>
                <w:szCs w:val="24"/>
                <w:lang w:val="de-DE"/>
              </w:rPr>
              <w:lastRenderedPageBreak/>
              <w:t xml:space="preserve"> </w:t>
            </w:r>
            <w:bookmarkEnd w:id="0"/>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774539">
        <w:tc>
          <w:tcPr>
            <w:tcW w:w="9350" w:type="dxa"/>
          </w:tcPr>
          <w:p w14:paraId="3A5115EF" w14:textId="77777777" w:rsidR="00650745" w:rsidRDefault="00650745" w:rsidP="0077453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8E6813" w:rsidRDefault="00B50E11" w:rsidP="0077453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8E6813">
              <w:rPr>
                <w:rFonts w:eastAsia="Tahoma" w:cs="Arial"/>
                <w:b/>
                <w:bCs/>
                <w:sz w:val="32"/>
                <w:szCs w:val="32"/>
                <w:lang w:val="de-DE"/>
              </w:rPr>
              <w:t>JUDGMENT</w:t>
            </w:r>
          </w:p>
        </w:tc>
      </w:tr>
    </w:tbl>
    <w:p w14:paraId="397DE03A" w14:textId="77777777" w:rsidR="00C519B2" w:rsidRDefault="00C519B2" w:rsidP="00B50E11">
      <w:pPr>
        <w:pStyle w:val="Body"/>
        <w:jc w:val="both"/>
        <w:rPr>
          <w:b/>
          <w:sz w:val="22"/>
          <w:szCs w:val="22"/>
        </w:rPr>
      </w:pPr>
    </w:p>
    <w:p w14:paraId="31AD95DF" w14:textId="69613071" w:rsidR="00B50E11" w:rsidRDefault="00B50E11" w:rsidP="008E6813">
      <w:pPr>
        <w:pStyle w:val="Body"/>
        <w:spacing w:line="360" w:lineRule="auto"/>
        <w:jc w:val="both"/>
        <w:rPr>
          <w:b/>
          <w:sz w:val="22"/>
          <w:szCs w:val="22"/>
          <w:u w:val="single"/>
        </w:rPr>
      </w:pPr>
      <w:r w:rsidRPr="00C519B2">
        <w:rPr>
          <w:b/>
          <w:sz w:val="22"/>
          <w:szCs w:val="22"/>
          <w:u w:val="single"/>
        </w:rPr>
        <w:t>MILLAR</w:t>
      </w:r>
      <w:r w:rsidR="004075F2">
        <w:rPr>
          <w:b/>
          <w:sz w:val="22"/>
          <w:szCs w:val="22"/>
          <w:u w:val="single"/>
        </w:rPr>
        <w:t xml:space="preserve"> </w:t>
      </w:r>
      <w:r w:rsidRPr="00C519B2">
        <w:rPr>
          <w:b/>
          <w:sz w:val="22"/>
          <w:szCs w:val="22"/>
          <w:u w:val="single"/>
        </w:rPr>
        <w:t>J</w:t>
      </w:r>
    </w:p>
    <w:p w14:paraId="508C58F5" w14:textId="333D9D26" w:rsidR="008E6813" w:rsidRPr="008E6813" w:rsidRDefault="008E6813" w:rsidP="008E6813">
      <w:pPr>
        <w:pStyle w:val="Body"/>
        <w:spacing w:line="360" w:lineRule="auto"/>
        <w:ind w:firstLine="851"/>
        <w:jc w:val="both"/>
        <w:rPr>
          <w:bCs/>
          <w:sz w:val="24"/>
          <w:szCs w:val="24"/>
        </w:rPr>
      </w:pPr>
    </w:p>
    <w:p w14:paraId="0C31E5DF" w14:textId="3DA64E57" w:rsidR="000B7053" w:rsidRPr="004216CB" w:rsidRDefault="004216CB" w:rsidP="004216CB">
      <w:pPr>
        <w:spacing w:line="360" w:lineRule="auto"/>
        <w:ind w:left="851" w:right="58" w:hanging="851"/>
        <w:jc w:val="both"/>
        <w:rPr>
          <w:rFonts w:ascii="Arial" w:hAnsi="Arial" w:cs="Arial"/>
        </w:rPr>
      </w:pPr>
      <w:r>
        <w:rPr>
          <w:rFonts w:ascii="Arial" w:hAnsi="Arial" w:cs="Arial"/>
        </w:rPr>
        <w:t>[1]</w:t>
      </w:r>
      <w:r>
        <w:rPr>
          <w:rFonts w:ascii="Arial" w:hAnsi="Arial" w:cs="Arial"/>
        </w:rPr>
        <w:tab/>
      </w:r>
      <w:r w:rsidR="00047930" w:rsidRPr="004216CB">
        <w:rPr>
          <w:rFonts w:ascii="Arial" w:hAnsi="Arial" w:cs="Arial"/>
        </w:rPr>
        <w:t>The Covid</w:t>
      </w:r>
      <w:r w:rsidR="00F635E3" w:rsidRPr="004216CB">
        <w:rPr>
          <w:rFonts w:ascii="Arial" w:hAnsi="Arial" w:cs="Arial"/>
        </w:rPr>
        <w:t>-</w:t>
      </w:r>
      <w:r w:rsidR="00047930" w:rsidRPr="004216CB">
        <w:rPr>
          <w:rFonts w:ascii="Arial" w:hAnsi="Arial" w:cs="Arial"/>
        </w:rPr>
        <w:t>19 pandemic was unprecedented in its global impact</w:t>
      </w:r>
      <w:r w:rsidR="00683294" w:rsidRPr="004216CB">
        <w:rPr>
          <w:rFonts w:ascii="Arial" w:hAnsi="Arial" w:cs="Arial"/>
        </w:rPr>
        <w:t>.</w:t>
      </w:r>
      <w:r w:rsidR="006F619C" w:rsidRPr="004216CB">
        <w:rPr>
          <w:rFonts w:ascii="Arial" w:hAnsi="Arial" w:cs="Arial"/>
        </w:rPr>
        <w:t xml:space="preserve"> </w:t>
      </w:r>
      <w:r w:rsidR="00D96A81" w:rsidRPr="004216CB">
        <w:rPr>
          <w:rFonts w:ascii="Arial" w:hAnsi="Arial" w:cs="Arial"/>
        </w:rPr>
        <w:t xml:space="preserve">The people of </w:t>
      </w:r>
      <w:r w:rsidR="00047930" w:rsidRPr="004216CB">
        <w:rPr>
          <w:rFonts w:ascii="Arial" w:hAnsi="Arial" w:cs="Arial"/>
        </w:rPr>
        <w:t>South Africa w</w:t>
      </w:r>
      <w:r w:rsidR="00D96A81" w:rsidRPr="004216CB">
        <w:rPr>
          <w:rFonts w:ascii="Arial" w:hAnsi="Arial" w:cs="Arial"/>
        </w:rPr>
        <w:t>ere</w:t>
      </w:r>
      <w:r w:rsidR="00047930" w:rsidRPr="004216CB">
        <w:rPr>
          <w:rFonts w:ascii="Arial" w:hAnsi="Arial" w:cs="Arial"/>
        </w:rPr>
        <w:t xml:space="preserve"> not spared.</w:t>
      </w:r>
      <w:r w:rsidR="00683294" w:rsidRPr="004216CB">
        <w:rPr>
          <w:rFonts w:ascii="Arial" w:hAnsi="Arial" w:cs="Arial"/>
        </w:rPr>
        <w:t xml:space="preserve"> </w:t>
      </w:r>
    </w:p>
    <w:p w14:paraId="16FCC6CF" w14:textId="77777777" w:rsidR="000B7053" w:rsidRDefault="000B7053" w:rsidP="000B7053">
      <w:pPr>
        <w:pStyle w:val="ListParagraph"/>
        <w:spacing w:line="360" w:lineRule="auto"/>
        <w:ind w:left="851" w:right="58"/>
        <w:jc w:val="both"/>
        <w:rPr>
          <w:rFonts w:ascii="Arial" w:hAnsi="Arial" w:cs="Arial"/>
        </w:rPr>
      </w:pPr>
    </w:p>
    <w:p w14:paraId="681BBB98" w14:textId="6E073DF2" w:rsidR="000B7053" w:rsidRPr="004216CB" w:rsidRDefault="004216CB" w:rsidP="004216CB">
      <w:pPr>
        <w:spacing w:line="360" w:lineRule="auto"/>
        <w:ind w:left="851" w:right="58" w:hanging="851"/>
        <w:jc w:val="both"/>
        <w:rPr>
          <w:rFonts w:ascii="Arial" w:hAnsi="Arial" w:cs="Arial"/>
        </w:rPr>
      </w:pPr>
      <w:r w:rsidRPr="000B7053">
        <w:rPr>
          <w:rFonts w:ascii="Arial" w:hAnsi="Arial" w:cs="Arial"/>
        </w:rPr>
        <w:t>[2]</w:t>
      </w:r>
      <w:r w:rsidRPr="000B7053">
        <w:rPr>
          <w:rFonts w:ascii="Arial" w:hAnsi="Arial" w:cs="Arial"/>
        </w:rPr>
        <w:tab/>
      </w:r>
      <w:r w:rsidR="00D96A81" w:rsidRPr="004216CB">
        <w:rPr>
          <w:rFonts w:ascii="Arial" w:hAnsi="Arial" w:cs="Arial"/>
        </w:rPr>
        <w:t xml:space="preserve">In this application, it </w:t>
      </w:r>
      <w:r w:rsidR="000B7053" w:rsidRPr="004216CB">
        <w:rPr>
          <w:rFonts w:ascii="Arial" w:hAnsi="Arial" w:cs="Arial"/>
        </w:rPr>
        <w:t>is</w:t>
      </w:r>
      <w:r w:rsidR="00D96A81" w:rsidRPr="004216CB">
        <w:rPr>
          <w:rFonts w:ascii="Arial" w:hAnsi="Arial" w:cs="Arial"/>
        </w:rPr>
        <w:t xml:space="preserve"> not in issue between the parties that </w:t>
      </w:r>
      <w:r w:rsidR="00D96A81" w:rsidRPr="004216CB">
        <w:rPr>
          <w:rFonts w:ascii="Arial" w:hAnsi="Arial" w:cs="Arial"/>
          <w:i/>
          <w:iCs/>
          <w:sz w:val="22"/>
          <w:szCs w:val="22"/>
        </w:rPr>
        <w:t>“</w:t>
      </w:r>
      <w:r w:rsidR="00F635E3" w:rsidRPr="004216CB">
        <w:rPr>
          <w:rFonts w:ascii="Arial" w:hAnsi="Arial" w:cs="Arial"/>
          <w:i/>
          <w:iCs/>
          <w:sz w:val="22"/>
          <w:szCs w:val="22"/>
        </w:rPr>
        <w:t>[v]</w:t>
      </w:r>
      <w:r w:rsidR="00E97D32" w:rsidRPr="004216CB">
        <w:rPr>
          <w:rFonts w:ascii="Arial" w:hAnsi="Arial" w:cs="Arial"/>
          <w:i/>
          <w:iCs/>
          <w:sz w:val="22"/>
          <w:szCs w:val="22"/>
        </w:rPr>
        <w:t xml:space="preserve">accines play a pivotal role in mitigating the consequences of Covid-19, by preventing death and controlling the spread of the virus.  They are a central </w:t>
      </w:r>
      <w:r w:rsidR="007F3625" w:rsidRPr="004216CB">
        <w:rPr>
          <w:rFonts w:ascii="Arial" w:hAnsi="Arial" w:cs="Arial"/>
          <w:i/>
          <w:iCs/>
          <w:sz w:val="22"/>
          <w:szCs w:val="22"/>
        </w:rPr>
        <w:t>element</w:t>
      </w:r>
      <w:r w:rsidR="00E97D32" w:rsidRPr="004216CB">
        <w:rPr>
          <w:rFonts w:ascii="Arial" w:hAnsi="Arial" w:cs="Arial"/>
          <w:i/>
          <w:iCs/>
          <w:sz w:val="22"/>
          <w:szCs w:val="22"/>
        </w:rPr>
        <w:t xml:space="preserve"> of the global – and also the South African – response to Covid-19, prompting a worldwide effort to immunize billions of people.  The Organisation for Economic Co-operation and Development (“OECD”) has </w:t>
      </w:r>
      <w:r w:rsidR="007F3625" w:rsidRPr="004216CB">
        <w:rPr>
          <w:rFonts w:ascii="Arial" w:hAnsi="Arial" w:cs="Arial"/>
          <w:i/>
          <w:iCs/>
          <w:sz w:val="22"/>
          <w:szCs w:val="22"/>
        </w:rPr>
        <w:t>emphasised</w:t>
      </w:r>
      <w:r w:rsidR="00E97D32" w:rsidRPr="004216CB">
        <w:rPr>
          <w:rFonts w:ascii="Arial" w:hAnsi="Arial" w:cs="Arial"/>
          <w:i/>
          <w:iCs/>
          <w:sz w:val="22"/>
          <w:szCs w:val="22"/>
        </w:rPr>
        <w:t xml:space="preserve"> the importance, to trust in the vaccination programme, of governments demonstrating their ability to procure </w:t>
      </w:r>
      <w:r w:rsidR="007F3625" w:rsidRPr="004216CB">
        <w:rPr>
          <w:rFonts w:ascii="Arial" w:hAnsi="Arial" w:cs="Arial"/>
          <w:i/>
          <w:iCs/>
          <w:sz w:val="22"/>
          <w:szCs w:val="22"/>
        </w:rPr>
        <w:t>vaccines</w:t>
      </w:r>
      <w:r w:rsidR="00E97D32" w:rsidRPr="004216CB">
        <w:rPr>
          <w:rFonts w:ascii="Arial" w:hAnsi="Arial" w:cs="Arial"/>
          <w:i/>
          <w:iCs/>
          <w:sz w:val="22"/>
          <w:szCs w:val="22"/>
        </w:rPr>
        <w:t xml:space="preserve"> and to develop effective and inclusive roll-out plans.  It recommends that such plans should be open to public scrutiny and require proactive disclosure of information.</w:t>
      </w:r>
      <w:r w:rsidR="00D96A81" w:rsidRPr="004216CB">
        <w:rPr>
          <w:rFonts w:ascii="Arial" w:hAnsi="Arial" w:cs="Arial"/>
          <w:i/>
          <w:iCs/>
          <w:sz w:val="22"/>
          <w:szCs w:val="22"/>
        </w:rPr>
        <w:t>”</w:t>
      </w:r>
      <w:r w:rsidR="00E97D32" w:rsidRPr="004216CB">
        <w:rPr>
          <w:rFonts w:ascii="Arial" w:hAnsi="Arial" w:cs="Arial"/>
          <w:b/>
          <w:bCs/>
        </w:rPr>
        <w:t xml:space="preserve">  </w:t>
      </w:r>
    </w:p>
    <w:p w14:paraId="0AF8B3A7" w14:textId="77777777" w:rsidR="000B7053" w:rsidRPr="000B7053" w:rsidRDefault="000B7053" w:rsidP="000B7053">
      <w:pPr>
        <w:pStyle w:val="ListParagraph"/>
        <w:rPr>
          <w:rFonts w:ascii="Arial" w:hAnsi="Arial" w:cs="Arial"/>
        </w:rPr>
      </w:pPr>
    </w:p>
    <w:p w14:paraId="0A524AFE" w14:textId="12642A7A" w:rsidR="000B7053" w:rsidRDefault="00D96A81" w:rsidP="000B7053">
      <w:pPr>
        <w:pStyle w:val="ListParagraph"/>
        <w:spacing w:line="360" w:lineRule="auto"/>
        <w:ind w:left="851" w:right="58"/>
        <w:jc w:val="both"/>
        <w:rPr>
          <w:rFonts w:ascii="Arial" w:hAnsi="Arial" w:cs="Arial"/>
        </w:rPr>
      </w:pPr>
      <w:r w:rsidRPr="00683294">
        <w:rPr>
          <w:rFonts w:ascii="Arial" w:hAnsi="Arial" w:cs="Arial"/>
        </w:rPr>
        <w:t xml:space="preserve">or that </w:t>
      </w:r>
    </w:p>
    <w:p w14:paraId="27BE33AF" w14:textId="77777777" w:rsidR="00B0544D" w:rsidRDefault="00B0544D" w:rsidP="000B7053">
      <w:pPr>
        <w:pStyle w:val="ListParagraph"/>
        <w:spacing w:line="360" w:lineRule="auto"/>
        <w:ind w:left="851" w:right="58"/>
        <w:jc w:val="both"/>
        <w:rPr>
          <w:rFonts w:ascii="Arial" w:hAnsi="Arial" w:cs="Arial"/>
        </w:rPr>
      </w:pPr>
    </w:p>
    <w:p w14:paraId="171DE4AD" w14:textId="77777777" w:rsidR="000B7053" w:rsidRDefault="000B7053" w:rsidP="000B7053">
      <w:pPr>
        <w:pStyle w:val="ListParagraph"/>
        <w:spacing w:line="360" w:lineRule="auto"/>
        <w:ind w:left="851" w:right="58"/>
        <w:jc w:val="both"/>
        <w:rPr>
          <w:rFonts w:ascii="Arial" w:hAnsi="Arial" w:cs="Arial"/>
        </w:rPr>
      </w:pPr>
    </w:p>
    <w:p w14:paraId="551DDE2D" w14:textId="1213A7ED" w:rsidR="00683294" w:rsidRPr="00683294" w:rsidRDefault="00D96A81" w:rsidP="000B7053">
      <w:pPr>
        <w:pStyle w:val="ListParagraph"/>
        <w:spacing w:line="360" w:lineRule="auto"/>
        <w:ind w:left="851" w:right="58"/>
        <w:jc w:val="both"/>
        <w:rPr>
          <w:rFonts w:ascii="Arial" w:hAnsi="Arial" w:cs="Arial"/>
        </w:rPr>
      </w:pPr>
      <w:r w:rsidRPr="00683294">
        <w:rPr>
          <w:rFonts w:ascii="Arial" w:hAnsi="Arial" w:cs="Arial"/>
        </w:rPr>
        <w:t>“</w:t>
      </w:r>
      <w:r w:rsidR="00E97D32" w:rsidRPr="00683294">
        <w:rPr>
          <w:rFonts w:ascii="Arial" w:hAnsi="Arial" w:cs="Arial"/>
          <w:i/>
          <w:iCs/>
          <w:sz w:val="22"/>
          <w:szCs w:val="22"/>
        </w:rPr>
        <w:t>South Africa has procured, and secured options for future procurement, of millions of doses of vaccines – through direct purchase agreements with vaccine manufacturers or their licensees; through the Covax Facility and by way of donations.  As of 13 February 2022, 30 559 431 vaccines</w:t>
      </w:r>
      <w:r w:rsidR="007F3625" w:rsidRPr="00683294">
        <w:rPr>
          <w:rFonts w:ascii="Arial" w:hAnsi="Arial" w:cs="Arial"/>
          <w:i/>
          <w:iCs/>
          <w:sz w:val="22"/>
          <w:szCs w:val="22"/>
        </w:rPr>
        <w:t xml:space="preserve"> have been administered in South Africa.  Those vaccines have been procured at great cost: the 2021 National Budget alone allocated an amount of R10-billion for the purchase of Covid-19 vaccines.</w:t>
      </w:r>
      <w:r w:rsidRPr="00683294">
        <w:rPr>
          <w:rFonts w:ascii="Arial" w:hAnsi="Arial" w:cs="Arial"/>
          <w:i/>
          <w:iCs/>
          <w:sz w:val="22"/>
          <w:szCs w:val="22"/>
        </w:rPr>
        <w:t>”</w:t>
      </w:r>
    </w:p>
    <w:p w14:paraId="34BC3F41" w14:textId="77777777" w:rsidR="00136595" w:rsidRDefault="00136595" w:rsidP="00136595">
      <w:pPr>
        <w:spacing w:line="360" w:lineRule="auto"/>
        <w:ind w:right="58"/>
        <w:jc w:val="both"/>
        <w:rPr>
          <w:rFonts w:ascii="Arial" w:hAnsi="Arial" w:cs="Arial"/>
        </w:rPr>
      </w:pPr>
    </w:p>
    <w:p w14:paraId="5C9FEEAB" w14:textId="7CC5362C" w:rsidR="00683294" w:rsidRDefault="00136595" w:rsidP="00136595">
      <w:pPr>
        <w:spacing w:line="360" w:lineRule="auto"/>
        <w:ind w:right="58"/>
        <w:jc w:val="both"/>
        <w:rPr>
          <w:rFonts w:ascii="Arial" w:hAnsi="Arial" w:cs="Arial"/>
          <w:b/>
          <w:bCs/>
        </w:rPr>
      </w:pPr>
      <w:r w:rsidRPr="00136595">
        <w:rPr>
          <w:rFonts w:ascii="Arial" w:hAnsi="Arial" w:cs="Arial"/>
          <w:b/>
          <w:bCs/>
        </w:rPr>
        <w:t>THE PROMOTION OF ACCESS TO INFORMATION ACT</w:t>
      </w:r>
    </w:p>
    <w:p w14:paraId="73197228" w14:textId="77777777" w:rsidR="00136595" w:rsidRPr="00136595" w:rsidRDefault="00136595" w:rsidP="00136595">
      <w:pPr>
        <w:spacing w:line="360" w:lineRule="auto"/>
        <w:ind w:right="58"/>
        <w:jc w:val="both"/>
        <w:rPr>
          <w:rFonts w:ascii="Arial" w:hAnsi="Arial" w:cs="Arial"/>
          <w:b/>
          <w:bCs/>
        </w:rPr>
      </w:pPr>
    </w:p>
    <w:p w14:paraId="1CBCD9FC" w14:textId="7F280DE0" w:rsidR="0090045D" w:rsidRPr="004216CB" w:rsidRDefault="004216CB" w:rsidP="004216CB">
      <w:pPr>
        <w:spacing w:line="360" w:lineRule="auto"/>
        <w:ind w:left="851" w:right="58" w:hanging="851"/>
        <w:jc w:val="both"/>
        <w:rPr>
          <w:rFonts w:ascii="Arial" w:hAnsi="Arial" w:cs="Arial"/>
        </w:rPr>
      </w:pPr>
      <w:r>
        <w:rPr>
          <w:rFonts w:ascii="Arial" w:hAnsi="Arial" w:cs="Arial"/>
        </w:rPr>
        <w:t>[3</w:t>
      </w:r>
      <w:bookmarkStart w:id="1" w:name="_GoBack"/>
      <w:bookmarkEnd w:id="1"/>
      <w:r>
        <w:rPr>
          <w:rFonts w:ascii="Arial" w:hAnsi="Arial" w:cs="Arial"/>
        </w:rPr>
        <w:t>]</w:t>
      </w:r>
      <w:r>
        <w:rPr>
          <w:rFonts w:ascii="Arial" w:hAnsi="Arial" w:cs="Arial"/>
        </w:rPr>
        <w:tab/>
      </w:r>
      <w:r w:rsidR="00EE7445" w:rsidRPr="004216CB">
        <w:rPr>
          <w:rFonts w:ascii="Arial" w:hAnsi="Arial" w:cs="Arial"/>
        </w:rPr>
        <w:t>T</w:t>
      </w:r>
      <w:r w:rsidR="005B2C17" w:rsidRPr="004216CB">
        <w:rPr>
          <w:rFonts w:ascii="Arial" w:hAnsi="Arial" w:cs="Arial"/>
        </w:rPr>
        <w:t>h</w:t>
      </w:r>
      <w:r w:rsidR="00683294" w:rsidRPr="004216CB">
        <w:rPr>
          <w:rFonts w:ascii="Arial" w:hAnsi="Arial" w:cs="Arial"/>
        </w:rPr>
        <w:t>e present proceedings are brought</w:t>
      </w:r>
      <w:r w:rsidR="006A483A" w:rsidRPr="004216CB">
        <w:rPr>
          <w:rFonts w:ascii="Arial" w:hAnsi="Arial" w:cs="Arial"/>
        </w:rPr>
        <w:t xml:space="preserve"> by the applicant (HJI)</w:t>
      </w:r>
      <w:r w:rsidR="005B2C17" w:rsidRPr="004216CB">
        <w:rPr>
          <w:rFonts w:ascii="Arial" w:hAnsi="Arial" w:cs="Arial"/>
        </w:rPr>
        <w:t xml:space="preserve"> in terms of the Promotion of Access to Information Act</w:t>
      </w:r>
      <w:r w:rsidR="00D96A81">
        <w:rPr>
          <w:rStyle w:val="FootnoteReference"/>
          <w:rFonts w:ascii="Arial" w:hAnsi="Arial" w:cs="Arial"/>
        </w:rPr>
        <w:footnoteReference w:id="1"/>
      </w:r>
      <w:r w:rsidR="005B2C17" w:rsidRPr="004216CB">
        <w:rPr>
          <w:rFonts w:ascii="Arial" w:hAnsi="Arial" w:cs="Arial"/>
        </w:rPr>
        <w:t xml:space="preserve"> (PAIA)</w:t>
      </w:r>
      <w:r w:rsidR="00683294" w:rsidRPr="004216CB">
        <w:rPr>
          <w:rFonts w:ascii="Arial" w:hAnsi="Arial" w:cs="Arial"/>
        </w:rPr>
        <w:t xml:space="preserve"> f</w:t>
      </w:r>
      <w:r w:rsidR="005B2C17" w:rsidRPr="004216CB">
        <w:rPr>
          <w:rFonts w:ascii="Arial" w:hAnsi="Arial" w:cs="Arial"/>
        </w:rPr>
        <w:t>or access</w:t>
      </w:r>
      <w:r w:rsidR="0090045D">
        <w:rPr>
          <w:rStyle w:val="FootnoteReference"/>
          <w:rFonts w:ascii="Arial" w:hAnsi="Arial" w:cs="Arial"/>
        </w:rPr>
        <w:footnoteReference w:id="2"/>
      </w:r>
      <w:r w:rsidR="005B2C17" w:rsidRPr="004216CB">
        <w:rPr>
          <w:rFonts w:ascii="Arial" w:hAnsi="Arial" w:cs="Arial"/>
        </w:rPr>
        <w:t xml:space="preserve"> to copies of </w:t>
      </w:r>
      <w:r w:rsidR="00D96A81" w:rsidRPr="004216CB">
        <w:rPr>
          <w:rFonts w:ascii="Arial" w:hAnsi="Arial" w:cs="Arial"/>
        </w:rPr>
        <w:t xml:space="preserve">documents relating to the negotiation </w:t>
      </w:r>
      <w:r w:rsidR="007A077A" w:rsidRPr="004216CB">
        <w:rPr>
          <w:rFonts w:ascii="Arial" w:hAnsi="Arial" w:cs="Arial"/>
        </w:rPr>
        <w:t xml:space="preserve">and </w:t>
      </w:r>
      <w:r w:rsidR="00D96A81" w:rsidRPr="004216CB">
        <w:rPr>
          <w:rFonts w:ascii="Arial" w:hAnsi="Arial" w:cs="Arial"/>
        </w:rPr>
        <w:t xml:space="preserve">conclusion of </w:t>
      </w:r>
      <w:r w:rsidR="007A077A" w:rsidRPr="004216CB">
        <w:rPr>
          <w:rFonts w:ascii="Arial" w:hAnsi="Arial" w:cs="Arial"/>
        </w:rPr>
        <w:t>agreements by the</w:t>
      </w:r>
      <w:r w:rsidR="00360617" w:rsidRPr="004216CB">
        <w:rPr>
          <w:rFonts w:ascii="Arial" w:hAnsi="Arial" w:cs="Arial"/>
        </w:rPr>
        <w:t xml:space="preserve"> respondents, the Minister of </w:t>
      </w:r>
      <w:r w:rsidR="00683294" w:rsidRPr="004216CB">
        <w:rPr>
          <w:rFonts w:ascii="Arial" w:hAnsi="Arial" w:cs="Arial"/>
        </w:rPr>
        <w:t>Health,</w:t>
      </w:r>
      <w:r w:rsidR="00360617" w:rsidRPr="004216CB">
        <w:rPr>
          <w:rFonts w:ascii="Arial" w:hAnsi="Arial" w:cs="Arial"/>
        </w:rPr>
        <w:t xml:space="preserve"> and The National Department of Health</w:t>
      </w:r>
      <w:r w:rsidR="00683294" w:rsidRPr="004216CB">
        <w:rPr>
          <w:rFonts w:ascii="Arial" w:hAnsi="Arial" w:cs="Arial"/>
        </w:rPr>
        <w:t xml:space="preserve"> (</w:t>
      </w:r>
      <w:r w:rsidR="001F3568" w:rsidRPr="004216CB">
        <w:rPr>
          <w:rFonts w:ascii="Arial" w:hAnsi="Arial" w:cs="Arial"/>
        </w:rPr>
        <w:t>NDOH</w:t>
      </w:r>
      <w:r w:rsidR="00683294" w:rsidRPr="004216CB">
        <w:rPr>
          <w:rFonts w:ascii="Arial" w:hAnsi="Arial" w:cs="Arial"/>
        </w:rPr>
        <w:t>)</w:t>
      </w:r>
      <w:r w:rsidR="00360617" w:rsidRPr="004216CB">
        <w:rPr>
          <w:rFonts w:ascii="Arial" w:hAnsi="Arial" w:cs="Arial"/>
        </w:rPr>
        <w:t xml:space="preserve"> </w:t>
      </w:r>
      <w:r w:rsidR="007A077A" w:rsidRPr="004216CB">
        <w:rPr>
          <w:rFonts w:ascii="Arial" w:hAnsi="Arial" w:cs="Arial"/>
        </w:rPr>
        <w:t>for the supply of the Covid19 vaccines.</w:t>
      </w:r>
    </w:p>
    <w:p w14:paraId="45CE7801" w14:textId="77777777" w:rsidR="0090045D" w:rsidRDefault="0090045D" w:rsidP="0090045D">
      <w:pPr>
        <w:pStyle w:val="ListParagraph"/>
        <w:spacing w:line="360" w:lineRule="auto"/>
        <w:ind w:left="851" w:right="58"/>
        <w:jc w:val="both"/>
        <w:rPr>
          <w:rFonts w:ascii="Arial" w:hAnsi="Arial" w:cs="Arial"/>
        </w:rPr>
      </w:pPr>
    </w:p>
    <w:p w14:paraId="258F0748" w14:textId="78E86DAA" w:rsidR="00C80E1B" w:rsidRPr="004216CB" w:rsidRDefault="004216CB" w:rsidP="004216CB">
      <w:pPr>
        <w:spacing w:line="360" w:lineRule="auto"/>
        <w:ind w:left="851" w:right="58" w:hanging="851"/>
        <w:jc w:val="both"/>
        <w:rPr>
          <w:rFonts w:ascii="Arial" w:hAnsi="Arial" w:cs="Arial"/>
        </w:rPr>
      </w:pPr>
      <w:r w:rsidRPr="0090045D">
        <w:rPr>
          <w:rFonts w:ascii="Arial" w:hAnsi="Arial" w:cs="Arial"/>
        </w:rPr>
        <w:t>[4]</w:t>
      </w:r>
      <w:r w:rsidRPr="0090045D">
        <w:rPr>
          <w:rFonts w:ascii="Arial" w:hAnsi="Arial" w:cs="Arial"/>
        </w:rPr>
        <w:tab/>
      </w:r>
      <w:r w:rsidR="0090045D" w:rsidRPr="004216CB">
        <w:rPr>
          <w:rFonts w:ascii="Arial" w:hAnsi="Arial" w:cs="Arial"/>
        </w:rPr>
        <w:t>PAIA</w:t>
      </w:r>
      <w:r w:rsidR="007A077A" w:rsidRPr="004216CB">
        <w:rPr>
          <w:rFonts w:ascii="Arial" w:hAnsi="Arial" w:cs="Arial"/>
        </w:rPr>
        <w:t xml:space="preserve"> </w:t>
      </w:r>
      <w:r w:rsidR="0090045D" w:rsidRPr="004216CB">
        <w:rPr>
          <w:rFonts w:ascii="Arial" w:hAnsi="Arial" w:cs="Arial"/>
        </w:rPr>
        <w:t xml:space="preserve">is the means whereby effect is given to </w:t>
      </w:r>
      <w:r w:rsidR="0090045D" w:rsidRPr="004216CB">
        <w:rPr>
          <w:rFonts w:ascii="Arial" w:hAnsi="Arial" w:cs="Arial"/>
          <w:i/>
          <w:iCs/>
          <w:sz w:val="22"/>
          <w:szCs w:val="22"/>
        </w:rPr>
        <w:t>“the constitutional right to access information held by the State and any information that is held by another person and that is required for the exercise or protection of any rights.</w:t>
      </w:r>
      <w:r w:rsidR="0090045D" w:rsidRPr="004216CB">
        <w:rPr>
          <w:rFonts w:ascii="Arial" w:hAnsi="Arial" w:cs="Arial"/>
        </w:rPr>
        <w:t>”</w:t>
      </w:r>
      <w:r w:rsidR="0090045D">
        <w:rPr>
          <w:rStyle w:val="FootnoteReference"/>
          <w:rFonts w:ascii="Arial" w:hAnsi="Arial" w:cs="Arial"/>
        </w:rPr>
        <w:footnoteReference w:id="3"/>
      </w:r>
    </w:p>
    <w:p w14:paraId="32AB790E" w14:textId="77777777" w:rsidR="00136595" w:rsidRDefault="00136595" w:rsidP="00136595">
      <w:pPr>
        <w:pStyle w:val="ListParagraph"/>
        <w:spacing w:line="360" w:lineRule="auto"/>
        <w:ind w:left="851" w:right="58"/>
        <w:jc w:val="both"/>
        <w:rPr>
          <w:rFonts w:ascii="Arial" w:hAnsi="Arial" w:cs="Arial"/>
        </w:rPr>
      </w:pPr>
    </w:p>
    <w:p w14:paraId="2029A334" w14:textId="6519B109" w:rsidR="00136595" w:rsidRPr="004216CB" w:rsidRDefault="004216CB" w:rsidP="004216CB">
      <w:pPr>
        <w:spacing w:line="360" w:lineRule="auto"/>
        <w:ind w:left="851" w:right="58" w:hanging="851"/>
        <w:jc w:val="both"/>
        <w:rPr>
          <w:rFonts w:ascii="Arial" w:hAnsi="Arial" w:cs="Arial"/>
        </w:rPr>
      </w:pPr>
      <w:r w:rsidRPr="00D8370B">
        <w:rPr>
          <w:rFonts w:ascii="Arial" w:hAnsi="Arial" w:cs="Arial"/>
        </w:rPr>
        <w:t>[5]</w:t>
      </w:r>
      <w:r w:rsidRPr="00D8370B">
        <w:rPr>
          <w:rFonts w:ascii="Arial" w:hAnsi="Arial" w:cs="Arial"/>
        </w:rPr>
        <w:tab/>
      </w:r>
      <w:r w:rsidR="001F3568" w:rsidRPr="004216CB">
        <w:rPr>
          <w:rFonts w:ascii="Arial" w:hAnsi="Arial" w:cs="Arial"/>
        </w:rPr>
        <w:t xml:space="preserve">This application is not a review of the refusal of the NDOH to furnish the requested documents but rather a reconsideration </w:t>
      </w:r>
      <w:r w:rsidR="001F3568" w:rsidRPr="004216CB">
        <w:rPr>
          <w:rFonts w:ascii="Arial" w:hAnsi="Arial" w:cs="Arial"/>
          <w:i/>
          <w:iCs/>
        </w:rPr>
        <w:t>de novo</w:t>
      </w:r>
      <w:r w:rsidR="001F3568" w:rsidRPr="004216CB">
        <w:rPr>
          <w:rFonts w:ascii="Arial" w:hAnsi="Arial" w:cs="Arial"/>
        </w:rPr>
        <w:t xml:space="preserve"> of the request.</w:t>
      </w:r>
      <w:r w:rsidR="001F3568">
        <w:rPr>
          <w:rStyle w:val="FootnoteReference"/>
          <w:rFonts w:ascii="Arial" w:hAnsi="Arial" w:cs="Arial"/>
        </w:rPr>
        <w:footnoteReference w:id="4"/>
      </w:r>
    </w:p>
    <w:p w14:paraId="3BEBC8D2" w14:textId="77777777" w:rsidR="00D8370B" w:rsidRPr="00D8370B" w:rsidRDefault="00D8370B" w:rsidP="00D8370B">
      <w:pPr>
        <w:spacing w:line="360" w:lineRule="auto"/>
        <w:ind w:right="58"/>
        <w:jc w:val="both"/>
        <w:rPr>
          <w:rFonts w:ascii="Arial" w:hAnsi="Arial" w:cs="Arial"/>
        </w:rPr>
      </w:pPr>
    </w:p>
    <w:p w14:paraId="0F602506" w14:textId="199C411A" w:rsidR="007A077A" w:rsidRPr="004216CB" w:rsidRDefault="004216CB" w:rsidP="004216CB">
      <w:pPr>
        <w:spacing w:line="360" w:lineRule="auto"/>
        <w:ind w:left="851" w:right="58" w:hanging="851"/>
        <w:jc w:val="both"/>
        <w:rPr>
          <w:rFonts w:ascii="Arial" w:hAnsi="Arial" w:cs="Arial"/>
        </w:rPr>
      </w:pPr>
      <w:r w:rsidRPr="00D8370B">
        <w:rPr>
          <w:rFonts w:ascii="Arial" w:hAnsi="Arial" w:cs="Arial"/>
        </w:rPr>
        <w:t>[6]</w:t>
      </w:r>
      <w:r w:rsidRPr="00D8370B">
        <w:rPr>
          <w:rFonts w:ascii="Arial" w:hAnsi="Arial" w:cs="Arial"/>
        </w:rPr>
        <w:tab/>
      </w:r>
      <w:r w:rsidR="007A077A" w:rsidRPr="004216CB">
        <w:rPr>
          <w:rFonts w:ascii="Arial" w:hAnsi="Arial" w:cs="Arial"/>
        </w:rPr>
        <w:t>The terms of those agreements have not been made available</w:t>
      </w:r>
      <w:r w:rsidR="006A483A" w:rsidRPr="004216CB">
        <w:rPr>
          <w:rFonts w:ascii="Arial" w:hAnsi="Arial" w:cs="Arial"/>
        </w:rPr>
        <w:t xml:space="preserve"> to the public notwithstanding a</w:t>
      </w:r>
      <w:r w:rsidR="00683294" w:rsidRPr="004216CB">
        <w:rPr>
          <w:rFonts w:ascii="Arial" w:hAnsi="Arial" w:cs="Arial"/>
        </w:rPr>
        <w:t xml:space="preserve"> request</w:t>
      </w:r>
      <w:r w:rsidR="006A483A" w:rsidRPr="004216CB">
        <w:rPr>
          <w:rFonts w:ascii="Arial" w:hAnsi="Arial" w:cs="Arial"/>
        </w:rPr>
        <w:t xml:space="preserve"> that they are</w:t>
      </w:r>
      <w:r w:rsidR="007A077A" w:rsidRPr="004216CB">
        <w:rPr>
          <w:rFonts w:ascii="Arial" w:hAnsi="Arial" w:cs="Arial"/>
        </w:rPr>
        <w:t>.</w:t>
      </w:r>
    </w:p>
    <w:p w14:paraId="5861BD84" w14:textId="7749E90C" w:rsidR="00C44F7E" w:rsidRDefault="00C44F7E" w:rsidP="007A077A">
      <w:pPr>
        <w:rPr>
          <w:rFonts w:cs="Arial"/>
        </w:rPr>
      </w:pPr>
    </w:p>
    <w:p w14:paraId="697E72D5" w14:textId="330850C9" w:rsidR="00E62BAB" w:rsidRDefault="00E62BAB" w:rsidP="007A077A">
      <w:pPr>
        <w:rPr>
          <w:rFonts w:cs="Arial"/>
        </w:rPr>
      </w:pPr>
    </w:p>
    <w:p w14:paraId="61100F13" w14:textId="401F46DC" w:rsidR="00E62BAB" w:rsidRDefault="00E62BAB" w:rsidP="007A077A">
      <w:pPr>
        <w:rPr>
          <w:rFonts w:cs="Arial"/>
        </w:rPr>
      </w:pPr>
    </w:p>
    <w:p w14:paraId="0AEE4289" w14:textId="717B48B9" w:rsidR="00E62BAB" w:rsidRDefault="00E62BAB" w:rsidP="007A077A">
      <w:pPr>
        <w:rPr>
          <w:rFonts w:cs="Arial"/>
        </w:rPr>
      </w:pPr>
    </w:p>
    <w:p w14:paraId="21A1E1F0" w14:textId="77777777" w:rsidR="00E62BAB" w:rsidRPr="007A077A" w:rsidRDefault="00E62BAB" w:rsidP="007A077A">
      <w:pPr>
        <w:rPr>
          <w:rFonts w:cs="Arial"/>
        </w:rPr>
      </w:pPr>
    </w:p>
    <w:p w14:paraId="17401A0C" w14:textId="525E7036" w:rsidR="00BB04EC" w:rsidRPr="00C44F7E" w:rsidRDefault="004216CB" w:rsidP="004216CB">
      <w:pPr>
        <w:pStyle w:val="Body"/>
        <w:spacing w:line="360" w:lineRule="auto"/>
        <w:ind w:left="720" w:hanging="720"/>
        <w:jc w:val="both"/>
        <w:rPr>
          <w:rFonts w:cs="Arial"/>
          <w:bCs/>
          <w:sz w:val="24"/>
          <w:szCs w:val="24"/>
        </w:rPr>
      </w:pPr>
      <w:r w:rsidRPr="00C44F7E">
        <w:rPr>
          <w:rFonts w:cs="Arial"/>
          <w:sz w:val="24"/>
          <w:szCs w:val="24"/>
        </w:rPr>
        <w:t>[7]</w:t>
      </w:r>
      <w:r w:rsidRPr="00C44F7E">
        <w:rPr>
          <w:rFonts w:cs="Arial"/>
          <w:sz w:val="24"/>
          <w:szCs w:val="24"/>
        </w:rPr>
        <w:tab/>
      </w:r>
      <w:r w:rsidR="00BB04EC" w:rsidRPr="00C44F7E">
        <w:rPr>
          <w:rFonts w:cs="Arial"/>
        </w:rPr>
        <w:t>On 19 July 2021</w:t>
      </w:r>
      <w:r w:rsidR="00683294">
        <w:rPr>
          <w:rFonts w:cs="Arial"/>
        </w:rPr>
        <w:t xml:space="preserve"> </w:t>
      </w:r>
      <w:r w:rsidR="00BB04EC" w:rsidRPr="00C44F7E">
        <w:rPr>
          <w:rFonts w:cs="Arial"/>
        </w:rPr>
        <w:t>a request</w:t>
      </w:r>
      <w:r w:rsidR="00683294">
        <w:rPr>
          <w:rFonts w:cs="Arial"/>
        </w:rPr>
        <w:t xml:space="preserve"> was submitted</w:t>
      </w:r>
      <w:r w:rsidR="00BB04EC" w:rsidRPr="00C44F7E">
        <w:rPr>
          <w:rFonts w:cs="Arial"/>
        </w:rPr>
        <w:t xml:space="preserve"> to the National Department of Health in terms of section 18(1) of PAIA</w:t>
      </w:r>
      <w:r w:rsidR="007A077A">
        <w:rPr>
          <w:rStyle w:val="FootnoteReference"/>
          <w:rFonts w:cs="Arial"/>
        </w:rPr>
        <w:footnoteReference w:id="5"/>
      </w:r>
      <w:r w:rsidR="00BB04EC" w:rsidRPr="00C44F7E">
        <w:rPr>
          <w:rFonts w:cs="Arial"/>
        </w:rPr>
        <w:t xml:space="preserve"> for access to the following information:</w:t>
      </w:r>
      <w:r w:rsidR="00BB04EC">
        <w:t xml:space="preserve"> </w:t>
      </w:r>
    </w:p>
    <w:p w14:paraId="076AB864" w14:textId="77777777" w:rsidR="002C780F" w:rsidRDefault="002C780F" w:rsidP="00BB04EC">
      <w:pPr>
        <w:spacing w:after="129" w:line="267" w:lineRule="auto"/>
        <w:ind w:left="1712" w:right="49"/>
        <w:rPr>
          <w:i/>
          <w:sz w:val="22"/>
        </w:rPr>
      </w:pPr>
    </w:p>
    <w:p w14:paraId="11340A44" w14:textId="1CFF40EE" w:rsidR="00BB04EC" w:rsidRPr="002C780F" w:rsidRDefault="00BB04EC" w:rsidP="00BB04EC">
      <w:pPr>
        <w:spacing w:after="129" w:line="267" w:lineRule="auto"/>
        <w:ind w:left="1712" w:right="49"/>
        <w:rPr>
          <w:rFonts w:ascii="Arial" w:hAnsi="Arial" w:cs="Arial"/>
          <w:i/>
        </w:rPr>
      </w:pPr>
      <w:r w:rsidRPr="002C780F">
        <w:rPr>
          <w:rFonts w:ascii="Arial" w:hAnsi="Arial" w:cs="Arial"/>
          <w:i/>
          <w:sz w:val="22"/>
        </w:rPr>
        <w:t xml:space="preserve">“Covid-19 Vaccine Contracts: </w:t>
      </w:r>
    </w:p>
    <w:p w14:paraId="147A8642" w14:textId="073608B8" w:rsidR="00BB04EC" w:rsidRPr="002C780F" w:rsidRDefault="00BB04EC" w:rsidP="00912A40">
      <w:pPr>
        <w:spacing w:after="156" w:line="267" w:lineRule="auto"/>
        <w:ind w:left="2552" w:right="49" w:hanging="851"/>
        <w:jc w:val="both"/>
        <w:rPr>
          <w:rFonts w:ascii="Arial" w:hAnsi="Arial" w:cs="Arial"/>
          <w:i/>
        </w:rPr>
      </w:pPr>
      <w:r w:rsidRPr="002C780F">
        <w:rPr>
          <w:rFonts w:ascii="Arial" w:hAnsi="Arial" w:cs="Arial"/>
          <w:i/>
          <w:sz w:val="22"/>
        </w:rPr>
        <w:t xml:space="preserve">1A.) </w:t>
      </w:r>
      <w:r w:rsidR="00912A40">
        <w:rPr>
          <w:rFonts w:ascii="Arial" w:hAnsi="Arial" w:cs="Arial"/>
          <w:i/>
          <w:sz w:val="22"/>
        </w:rPr>
        <w:tab/>
      </w:r>
      <w:r w:rsidRPr="002C780F">
        <w:rPr>
          <w:rFonts w:ascii="Arial" w:hAnsi="Arial" w:cs="Arial"/>
          <w:i/>
          <w:sz w:val="22"/>
        </w:rPr>
        <w:t xml:space="preserve">Copies of all Covid-19 vaccine procurement contracts, </w:t>
      </w:r>
      <w:r w:rsidR="00912A40" w:rsidRPr="002C780F">
        <w:rPr>
          <w:rFonts w:ascii="Arial" w:hAnsi="Arial" w:cs="Arial"/>
          <w:i/>
          <w:sz w:val="22"/>
        </w:rPr>
        <w:t>and Memoranda</w:t>
      </w:r>
      <w:r w:rsidRPr="002C780F">
        <w:rPr>
          <w:rFonts w:ascii="Arial" w:hAnsi="Arial" w:cs="Arial"/>
          <w:i/>
          <w:sz w:val="22"/>
        </w:rPr>
        <w:t xml:space="preserve"> of Understanding, and agreements including with </w:t>
      </w:r>
      <w:r w:rsidR="00912A40" w:rsidRPr="002C780F">
        <w:rPr>
          <w:rFonts w:ascii="Arial" w:hAnsi="Arial" w:cs="Arial"/>
          <w:i/>
          <w:sz w:val="22"/>
        </w:rPr>
        <w:t>the following</w:t>
      </w:r>
      <w:r w:rsidRPr="002C780F">
        <w:rPr>
          <w:rFonts w:ascii="Arial" w:hAnsi="Arial" w:cs="Arial"/>
          <w:i/>
          <w:sz w:val="22"/>
        </w:rPr>
        <w:t xml:space="preserve"> parties and/or duly authorised licensed representative/s of: </w:t>
      </w:r>
    </w:p>
    <w:p w14:paraId="3B7D4441" w14:textId="647E0A4F" w:rsidR="00BB04EC" w:rsidRPr="002C780F" w:rsidRDefault="004216CB" w:rsidP="004216CB">
      <w:pPr>
        <w:spacing w:after="156" w:line="267"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Janssen Pharmaceuticals / Johnson &amp; Johnson. </w:t>
      </w:r>
    </w:p>
    <w:p w14:paraId="4FB046E2" w14:textId="5F5F4244" w:rsidR="00BB04EC" w:rsidRPr="002C780F" w:rsidRDefault="004216CB" w:rsidP="004216CB">
      <w:pPr>
        <w:spacing w:after="156" w:line="267"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Aspen Pharmacare. </w:t>
      </w:r>
    </w:p>
    <w:p w14:paraId="389C1AB4" w14:textId="324A16F3" w:rsidR="00BB04EC" w:rsidRPr="002C780F" w:rsidRDefault="004216CB" w:rsidP="004216CB">
      <w:pPr>
        <w:spacing w:after="156" w:line="267"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Pfizer. </w:t>
      </w:r>
    </w:p>
    <w:p w14:paraId="57B9339F" w14:textId="24281F6B" w:rsidR="00BB04EC" w:rsidRPr="002C780F" w:rsidRDefault="004216CB" w:rsidP="004216CB">
      <w:pPr>
        <w:spacing w:after="156" w:line="267"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Serum Institute of India / Cipla. </w:t>
      </w:r>
    </w:p>
    <w:p w14:paraId="76FE387E" w14:textId="4ED3887E" w:rsidR="00BB04EC" w:rsidRPr="002C780F" w:rsidRDefault="004216CB" w:rsidP="004216CB">
      <w:pPr>
        <w:spacing w:after="156" w:line="267"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Sinovac/Coronavac  </w:t>
      </w:r>
    </w:p>
    <w:p w14:paraId="11CA42E5" w14:textId="7F61324C" w:rsidR="00BB04EC" w:rsidRPr="002C780F" w:rsidRDefault="004216CB" w:rsidP="004216CB">
      <w:pPr>
        <w:spacing w:after="156" w:line="267"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Any other vaccine manufacturer / licensee. </w:t>
      </w:r>
    </w:p>
    <w:p w14:paraId="6DB3C8F7" w14:textId="0F064A68" w:rsidR="002C780F" w:rsidRPr="002C780F" w:rsidRDefault="004216CB" w:rsidP="004216CB">
      <w:pPr>
        <w:spacing w:after="2" w:line="413"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The African Union Vaccine Access Task Team (AU AVATT).  </w:t>
      </w:r>
    </w:p>
    <w:p w14:paraId="17750E41" w14:textId="54B71750" w:rsidR="00BB04EC" w:rsidRPr="002C780F" w:rsidRDefault="004216CB" w:rsidP="004216CB">
      <w:pPr>
        <w:spacing w:after="2" w:line="413"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‘COVAX’ (with the Global Vaccine Alliance – GAVI /other) </w:t>
      </w:r>
    </w:p>
    <w:p w14:paraId="00B09CE6" w14:textId="4CC5A0D0" w:rsidR="00BB04EC" w:rsidRPr="002C780F" w:rsidRDefault="004216CB" w:rsidP="004216CB">
      <w:pPr>
        <w:spacing w:after="156" w:line="267"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The Solidarity Fund. </w:t>
      </w:r>
    </w:p>
    <w:p w14:paraId="127FC966" w14:textId="7122D9D2" w:rsidR="00BB04EC" w:rsidRPr="002C780F" w:rsidRDefault="00BB04EC" w:rsidP="00912A40">
      <w:pPr>
        <w:spacing w:after="156" w:line="267" w:lineRule="auto"/>
        <w:ind w:left="2552" w:right="49" w:hanging="851"/>
        <w:jc w:val="both"/>
        <w:rPr>
          <w:rFonts w:ascii="Arial" w:hAnsi="Arial" w:cs="Arial"/>
          <w:i/>
        </w:rPr>
      </w:pPr>
      <w:r w:rsidRPr="002C780F">
        <w:rPr>
          <w:rFonts w:ascii="Arial" w:hAnsi="Arial" w:cs="Arial"/>
          <w:i/>
          <w:sz w:val="22"/>
        </w:rPr>
        <w:t xml:space="preserve">1B.) </w:t>
      </w:r>
      <w:r w:rsidR="00912A40">
        <w:rPr>
          <w:rFonts w:ascii="Arial" w:hAnsi="Arial" w:cs="Arial"/>
          <w:i/>
          <w:sz w:val="22"/>
        </w:rPr>
        <w:tab/>
      </w:r>
      <w:r w:rsidRPr="002C780F">
        <w:rPr>
          <w:rFonts w:ascii="Arial" w:hAnsi="Arial" w:cs="Arial"/>
          <w:i/>
          <w:sz w:val="22"/>
        </w:rPr>
        <w:t xml:space="preserve">Copies of all Covid-19 vaccine negotiation meeting outcomes and/or minutes, and correspondence, including with the following parties and/or duly authorised licensed representative/s of: </w:t>
      </w:r>
    </w:p>
    <w:p w14:paraId="4B5DF71E" w14:textId="5B83078D" w:rsidR="00BB04EC" w:rsidRPr="002C780F" w:rsidRDefault="004216CB" w:rsidP="004216CB">
      <w:pPr>
        <w:spacing w:after="156" w:line="267"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Janssen Pharmaceuticals / Johnson &amp; Johnson. </w:t>
      </w:r>
    </w:p>
    <w:p w14:paraId="6EDE0D8E" w14:textId="67DE7031" w:rsidR="00BB04EC" w:rsidRPr="002C780F" w:rsidRDefault="004216CB" w:rsidP="004216CB">
      <w:pPr>
        <w:spacing w:after="156" w:line="267"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Aspen Pharmacare. </w:t>
      </w:r>
    </w:p>
    <w:p w14:paraId="57BAE60A" w14:textId="403C643E" w:rsidR="00BB04EC" w:rsidRPr="002C780F" w:rsidRDefault="004216CB" w:rsidP="004216CB">
      <w:pPr>
        <w:spacing w:after="156" w:line="267"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Pfizer. </w:t>
      </w:r>
    </w:p>
    <w:p w14:paraId="3817E560" w14:textId="2A815F93" w:rsidR="00BB04EC" w:rsidRPr="002C780F" w:rsidRDefault="004216CB" w:rsidP="004216CB">
      <w:pPr>
        <w:spacing w:after="156" w:line="267"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Serum Institute of India / Cipla. </w:t>
      </w:r>
    </w:p>
    <w:p w14:paraId="07C76241" w14:textId="590EDEAC" w:rsidR="00BB04EC" w:rsidRPr="002C780F" w:rsidRDefault="004216CB" w:rsidP="004216CB">
      <w:pPr>
        <w:spacing w:after="156" w:line="267"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Sinovac/Coronavac. </w:t>
      </w:r>
    </w:p>
    <w:p w14:paraId="07110AF1" w14:textId="27614132" w:rsidR="00BB04EC" w:rsidRPr="002C780F" w:rsidRDefault="004216CB" w:rsidP="004216CB">
      <w:pPr>
        <w:spacing w:after="156" w:line="267"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Any other vaccine manufacturer / licensee. </w:t>
      </w:r>
    </w:p>
    <w:p w14:paraId="33DD8349" w14:textId="0C0498A9" w:rsidR="00BB04EC" w:rsidRPr="00E62BAB" w:rsidRDefault="004216CB" w:rsidP="004216CB">
      <w:pPr>
        <w:spacing w:after="156" w:line="267" w:lineRule="auto"/>
        <w:ind w:left="2880" w:right="49" w:hanging="360"/>
        <w:jc w:val="both"/>
        <w:rPr>
          <w:rFonts w:ascii="Arial" w:hAnsi="Arial" w:cs="Arial"/>
          <w:i/>
        </w:rPr>
      </w:pPr>
      <w:r w:rsidRPr="00E62BAB">
        <w:rPr>
          <w:rFonts w:ascii="Wingdings" w:eastAsia="Wingdings" w:hAnsi="Wingdings" w:cs="Wingdings"/>
          <w:color w:val="000000"/>
          <w:sz w:val="22"/>
          <w:szCs w:val="22"/>
          <w:u w:color="000000"/>
        </w:rPr>
        <w:t></w:t>
      </w:r>
      <w:r w:rsidRPr="00E62BAB">
        <w:rPr>
          <w:rFonts w:ascii="Wingdings" w:eastAsia="Wingdings" w:hAnsi="Wingdings" w:cs="Wingdings"/>
          <w:color w:val="000000"/>
          <w:sz w:val="22"/>
          <w:szCs w:val="22"/>
          <w:u w:color="000000"/>
        </w:rPr>
        <w:tab/>
      </w:r>
      <w:r w:rsidR="00BB04EC" w:rsidRPr="002C780F">
        <w:rPr>
          <w:rFonts w:ascii="Arial" w:hAnsi="Arial" w:cs="Arial"/>
          <w:i/>
          <w:sz w:val="22"/>
        </w:rPr>
        <w:t xml:space="preserve">The AU AVATT. </w:t>
      </w:r>
    </w:p>
    <w:p w14:paraId="7FA2B24A" w14:textId="1F9EAFDB" w:rsidR="00E62BAB" w:rsidRDefault="00E62BAB" w:rsidP="00E62BAB">
      <w:pPr>
        <w:spacing w:after="156" w:line="267" w:lineRule="auto"/>
        <w:ind w:left="2880" w:right="49"/>
        <w:jc w:val="both"/>
        <w:rPr>
          <w:rFonts w:ascii="Arial" w:hAnsi="Arial" w:cs="Arial"/>
          <w:i/>
          <w:sz w:val="22"/>
        </w:rPr>
      </w:pPr>
    </w:p>
    <w:p w14:paraId="25CD187C" w14:textId="77777777" w:rsidR="00E62BAB" w:rsidRPr="002C780F" w:rsidRDefault="00E62BAB" w:rsidP="00E62BAB">
      <w:pPr>
        <w:spacing w:after="156" w:line="267" w:lineRule="auto"/>
        <w:ind w:left="2880" w:right="49"/>
        <w:jc w:val="both"/>
        <w:rPr>
          <w:rFonts w:ascii="Arial" w:hAnsi="Arial" w:cs="Arial"/>
          <w:i/>
        </w:rPr>
      </w:pPr>
    </w:p>
    <w:p w14:paraId="54026926" w14:textId="3074CDB6" w:rsidR="00BB04EC" w:rsidRPr="002C780F" w:rsidRDefault="004216CB" w:rsidP="004216CB">
      <w:pPr>
        <w:spacing w:after="156" w:line="267"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‘COVAX’ (with the Global Vaccine Alliance – GAVI /other). </w:t>
      </w:r>
    </w:p>
    <w:p w14:paraId="7B88CAA4" w14:textId="4A36B970" w:rsidR="00BB04EC" w:rsidRPr="002C780F" w:rsidRDefault="004216CB" w:rsidP="004216CB">
      <w:pPr>
        <w:spacing w:after="33" w:line="267" w:lineRule="auto"/>
        <w:ind w:left="2880" w:right="49" w:hanging="360"/>
        <w:jc w:val="both"/>
        <w:rPr>
          <w:rFonts w:ascii="Arial" w:hAnsi="Arial" w:cs="Arial"/>
          <w:i/>
        </w:rPr>
      </w:pPr>
      <w:r w:rsidRPr="002C780F">
        <w:rPr>
          <w:rFonts w:ascii="Wingdings" w:eastAsia="Wingdings" w:hAnsi="Wingdings" w:cs="Wingdings"/>
          <w:color w:val="000000"/>
          <w:sz w:val="22"/>
          <w:szCs w:val="22"/>
          <w:u w:color="000000"/>
        </w:rPr>
        <w:t></w:t>
      </w:r>
      <w:r w:rsidRPr="002C780F">
        <w:rPr>
          <w:rFonts w:ascii="Wingdings" w:eastAsia="Wingdings" w:hAnsi="Wingdings" w:cs="Wingdings"/>
          <w:color w:val="000000"/>
          <w:sz w:val="22"/>
          <w:szCs w:val="22"/>
          <w:u w:color="000000"/>
        </w:rPr>
        <w:tab/>
      </w:r>
      <w:r w:rsidR="00BB04EC" w:rsidRPr="002C780F">
        <w:rPr>
          <w:rFonts w:ascii="Arial" w:hAnsi="Arial" w:cs="Arial"/>
          <w:i/>
          <w:sz w:val="22"/>
        </w:rPr>
        <w:t xml:space="preserve">The Solidarity Fund.” </w:t>
      </w:r>
    </w:p>
    <w:p w14:paraId="49D2EEBD" w14:textId="77777777" w:rsidR="00BB04EC" w:rsidRDefault="00BB04EC" w:rsidP="00BB04EC">
      <w:pPr>
        <w:spacing w:after="117" w:line="259" w:lineRule="auto"/>
      </w:pPr>
      <w:r>
        <w:t xml:space="preserve"> </w:t>
      </w:r>
    </w:p>
    <w:p w14:paraId="3BE8344A" w14:textId="63F85DE3" w:rsidR="00C44F7E" w:rsidRPr="004216CB" w:rsidRDefault="004216CB" w:rsidP="004216CB">
      <w:pPr>
        <w:spacing w:after="2" w:line="360" w:lineRule="auto"/>
        <w:ind w:left="851" w:right="58" w:hanging="851"/>
        <w:jc w:val="both"/>
        <w:rPr>
          <w:rFonts w:ascii="Arial" w:hAnsi="Arial" w:cs="Arial"/>
        </w:rPr>
      </w:pPr>
      <w:r w:rsidRPr="00683294">
        <w:rPr>
          <w:rFonts w:ascii="Arial" w:hAnsi="Arial" w:cs="Arial"/>
        </w:rPr>
        <w:t>[8]</w:t>
      </w:r>
      <w:r w:rsidRPr="00683294">
        <w:rPr>
          <w:rFonts w:ascii="Arial" w:hAnsi="Arial" w:cs="Arial"/>
        </w:rPr>
        <w:tab/>
      </w:r>
      <w:r w:rsidR="007F0B8A" w:rsidRPr="004216CB">
        <w:rPr>
          <w:rFonts w:ascii="Arial" w:hAnsi="Arial" w:cs="Arial"/>
        </w:rPr>
        <w:t>T</w:t>
      </w:r>
      <w:r w:rsidR="00683294" w:rsidRPr="004216CB">
        <w:rPr>
          <w:rFonts w:ascii="Arial" w:hAnsi="Arial" w:cs="Arial"/>
        </w:rPr>
        <w:t xml:space="preserve">he request was acknowledged, and </w:t>
      </w:r>
      <w:r w:rsidR="009759AC" w:rsidRPr="004216CB">
        <w:rPr>
          <w:rFonts w:ascii="Arial" w:hAnsi="Arial" w:cs="Arial"/>
        </w:rPr>
        <w:t>HJI</w:t>
      </w:r>
      <w:r w:rsidR="00683294" w:rsidRPr="004216CB">
        <w:rPr>
          <w:rFonts w:ascii="Arial" w:hAnsi="Arial" w:cs="Arial"/>
        </w:rPr>
        <w:t xml:space="preserve"> informed that it would be made available to the other parties to the documents inviting them</w:t>
      </w:r>
      <w:r w:rsidR="00102F67" w:rsidRPr="004216CB">
        <w:rPr>
          <w:rFonts w:ascii="Arial" w:hAnsi="Arial" w:cs="Arial"/>
        </w:rPr>
        <w:t>, if they so wished,</w:t>
      </w:r>
      <w:r w:rsidR="00683294" w:rsidRPr="004216CB">
        <w:rPr>
          <w:rFonts w:ascii="Arial" w:hAnsi="Arial" w:cs="Arial"/>
        </w:rPr>
        <w:t xml:space="preserve"> to make representations on whether they could be made available</w:t>
      </w:r>
      <w:r w:rsidR="00102F67" w:rsidRPr="004216CB">
        <w:rPr>
          <w:rFonts w:ascii="Arial" w:hAnsi="Arial" w:cs="Arial"/>
        </w:rPr>
        <w:t>.</w:t>
      </w:r>
      <w:r w:rsidR="00102F67">
        <w:rPr>
          <w:rStyle w:val="FootnoteReference"/>
          <w:rFonts w:ascii="Arial" w:hAnsi="Arial" w:cs="Arial"/>
        </w:rPr>
        <w:footnoteReference w:id="6"/>
      </w:r>
      <w:r w:rsidR="00102F67" w:rsidRPr="004216CB">
        <w:rPr>
          <w:rFonts w:ascii="Arial" w:hAnsi="Arial" w:cs="Arial"/>
        </w:rPr>
        <w:t xml:space="preserve"> </w:t>
      </w:r>
      <w:r w:rsidR="00683294" w:rsidRPr="004216CB">
        <w:rPr>
          <w:rFonts w:ascii="Arial" w:hAnsi="Arial" w:cs="Arial"/>
        </w:rPr>
        <w:t xml:space="preserve">By 13 September 2021 notwithstanding agreement to the extension of time for a response, no response had been received. </w:t>
      </w:r>
      <w:r w:rsidR="00BB04EC" w:rsidRPr="004216CB">
        <w:rPr>
          <w:rFonts w:ascii="Arial" w:hAnsi="Arial" w:cs="Arial"/>
        </w:rPr>
        <w:t xml:space="preserve">On 15 September 2021, the applicant submitted an internal appeal to the second respondent on the grounds of deemed refusal. No response was received to the internal appeal.  </w:t>
      </w:r>
    </w:p>
    <w:p w14:paraId="562AD159" w14:textId="77777777" w:rsidR="00C44F7E" w:rsidRPr="00C44F7E" w:rsidRDefault="00C44F7E" w:rsidP="00E62BAB">
      <w:pPr>
        <w:pStyle w:val="ListParagraph"/>
        <w:ind w:left="851" w:hanging="851"/>
        <w:rPr>
          <w:rFonts w:ascii="Arial" w:hAnsi="Arial" w:cs="Arial"/>
        </w:rPr>
      </w:pPr>
    </w:p>
    <w:p w14:paraId="5751C850" w14:textId="5ADDD456" w:rsidR="00BB04EC" w:rsidRPr="004216CB" w:rsidRDefault="004216CB" w:rsidP="004216CB">
      <w:pPr>
        <w:spacing w:line="361" w:lineRule="auto"/>
        <w:ind w:left="851" w:right="58" w:hanging="851"/>
        <w:jc w:val="both"/>
        <w:rPr>
          <w:rFonts w:ascii="Arial" w:hAnsi="Arial" w:cs="Arial"/>
        </w:rPr>
      </w:pPr>
      <w:r w:rsidRPr="00C44F7E">
        <w:rPr>
          <w:rFonts w:ascii="Arial" w:hAnsi="Arial" w:cs="Arial"/>
        </w:rPr>
        <w:t>[9]</w:t>
      </w:r>
      <w:r w:rsidRPr="00C44F7E">
        <w:rPr>
          <w:rFonts w:ascii="Arial" w:hAnsi="Arial" w:cs="Arial"/>
        </w:rPr>
        <w:tab/>
      </w:r>
      <w:r w:rsidR="00BB04EC" w:rsidRPr="004216CB">
        <w:rPr>
          <w:rFonts w:ascii="Arial" w:hAnsi="Arial" w:cs="Arial"/>
        </w:rPr>
        <w:t xml:space="preserve">On 8 December 2021, the applicant addressed letters to local offices or representatives of pharmaceutical manufacturers whose vaccines had been approved for domestic use (namely, Janssen Pharmaceuticals, Pfizer South Africa, Serum Institute of India Pvt Ltd, and Gavi, the Vaccine Alliance) with the following request: </w:t>
      </w:r>
    </w:p>
    <w:p w14:paraId="6ED7520A" w14:textId="77777777" w:rsidR="00C44F7E" w:rsidRDefault="00C44F7E" w:rsidP="00146562">
      <w:pPr>
        <w:spacing w:line="360" w:lineRule="auto"/>
        <w:ind w:left="1701" w:right="50"/>
        <w:rPr>
          <w:rFonts w:ascii="Arial" w:hAnsi="Arial" w:cs="Arial"/>
          <w:i/>
          <w:sz w:val="22"/>
          <w:szCs w:val="22"/>
        </w:rPr>
      </w:pPr>
    </w:p>
    <w:p w14:paraId="777E79A7" w14:textId="304F575D" w:rsidR="00BB04EC" w:rsidRPr="00146562" w:rsidRDefault="00BB04EC" w:rsidP="00146562">
      <w:pPr>
        <w:spacing w:line="360" w:lineRule="auto"/>
        <w:ind w:left="1701" w:right="50"/>
        <w:rPr>
          <w:rFonts w:ascii="Arial" w:hAnsi="Arial" w:cs="Arial"/>
          <w:sz w:val="22"/>
          <w:szCs w:val="22"/>
        </w:rPr>
      </w:pPr>
      <w:r w:rsidRPr="00146562">
        <w:rPr>
          <w:rFonts w:ascii="Arial" w:hAnsi="Arial" w:cs="Arial"/>
          <w:i/>
          <w:sz w:val="22"/>
          <w:szCs w:val="22"/>
        </w:rPr>
        <w:t xml:space="preserve">“[P]lease advise us which entity in the group was the NDOH's counterparty to the negotiations and any ultimate agreement(s) and provide us with a South African address at which we may serve the application on them.” </w:t>
      </w:r>
    </w:p>
    <w:p w14:paraId="4A0DFEA4" w14:textId="77777777" w:rsidR="00BB04EC" w:rsidRDefault="00BB04EC" w:rsidP="00BB04EC">
      <w:pPr>
        <w:spacing w:after="117" w:line="259" w:lineRule="auto"/>
        <w:ind w:left="720"/>
      </w:pPr>
      <w:r>
        <w:t xml:space="preserve"> </w:t>
      </w:r>
    </w:p>
    <w:p w14:paraId="15EEC6E7" w14:textId="176BE2C4" w:rsidR="00BB04EC" w:rsidRPr="004216CB" w:rsidRDefault="004216CB" w:rsidP="004216CB">
      <w:pPr>
        <w:spacing w:line="360" w:lineRule="auto"/>
        <w:ind w:left="851" w:right="58" w:hanging="851"/>
        <w:jc w:val="both"/>
        <w:rPr>
          <w:rFonts w:ascii="Arial" w:hAnsi="Arial" w:cs="Arial"/>
          <w:i/>
          <w:iCs/>
        </w:rPr>
      </w:pPr>
      <w:r w:rsidRPr="00123324">
        <w:rPr>
          <w:rFonts w:ascii="Arial" w:hAnsi="Arial" w:cs="Arial"/>
        </w:rPr>
        <w:t>[10]</w:t>
      </w:r>
      <w:r w:rsidRPr="00123324">
        <w:rPr>
          <w:rFonts w:ascii="Arial" w:hAnsi="Arial" w:cs="Arial"/>
        </w:rPr>
        <w:tab/>
      </w:r>
      <w:r w:rsidR="00BB04EC" w:rsidRPr="004216CB">
        <w:rPr>
          <w:rFonts w:ascii="Arial" w:hAnsi="Arial" w:cs="Arial"/>
        </w:rPr>
        <w:t xml:space="preserve">On 7 January 2022, Pfizer SA replied by email to the applicant’s request and informed the applicant that: </w:t>
      </w:r>
      <w:r w:rsidR="00BB04EC" w:rsidRPr="004216CB">
        <w:rPr>
          <w:rFonts w:ascii="Arial" w:hAnsi="Arial" w:cs="Arial"/>
          <w:i/>
          <w:iCs/>
          <w:sz w:val="22"/>
          <w:szCs w:val="22"/>
        </w:rPr>
        <w:t xml:space="preserve">“the information you request is itself confidential and protected from disclosure and cannot be provided.” </w:t>
      </w:r>
      <w:r w:rsidR="00123324" w:rsidRPr="004216CB">
        <w:rPr>
          <w:rFonts w:ascii="Arial" w:hAnsi="Arial" w:cs="Arial"/>
          <w:sz w:val="22"/>
          <w:szCs w:val="22"/>
        </w:rPr>
        <w:t xml:space="preserve"> </w:t>
      </w:r>
      <w:r w:rsidR="00123324" w:rsidRPr="004216CB">
        <w:rPr>
          <w:rFonts w:ascii="Arial" w:hAnsi="Arial" w:cs="Arial"/>
        </w:rPr>
        <w:t>None of the other entities to whom the request had been made on 8 December 2021 responded.</w:t>
      </w:r>
    </w:p>
    <w:p w14:paraId="04513FEC" w14:textId="2F6CE399" w:rsidR="00BB04EC" w:rsidRPr="00146562" w:rsidRDefault="00BB04EC" w:rsidP="00C44F7E">
      <w:pPr>
        <w:spacing w:after="117" w:line="259" w:lineRule="auto"/>
        <w:ind w:left="851" w:hanging="851"/>
        <w:jc w:val="both"/>
        <w:rPr>
          <w:rFonts w:ascii="Arial" w:hAnsi="Arial" w:cs="Arial"/>
        </w:rPr>
      </w:pPr>
    </w:p>
    <w:p w14:paraId="3C0DF675" w14:textId="0068F48F" w:rsidR="00BB04EC" w:rsidRPr="004216CB" w:rsidRDefault="004216CB" w:rsidP="004216CB">
      <w:pPr>
        <w:spacing w:line="360" w:lineRule="auto"/>
        <w:ind w:left="851" w:right="50" w:hanging="851"/>
        <w:jc w:val="both"/>
        <w:rPr>
          <w:rFonts w:ascii="Arial" w:hAnsi="Arial" w:cs="Arial"/>
        </w:rPr>
      </w:pPr>
      <w:r w:rsidRPr="00E20730">
        <w:rPr>
          <w:rFonts w:ascii="Arial" w:hAnsi="Arial" w:cs="Arial"/>
        </w:rPr>
        <w:t>[11]</w:t>
      </w:r>
      <w:r w:rsidRPr="00E20730">
        <w:rPr>
          <w:rFonts w:ascii="Arial" w:hAnsi="Arial" w:cs="Arial"/>
        </w:rPr>
        <w:tab/>
      </w:r>
      <w:r w:rsidR="00BB04EC" w:rsidRPr="004216CB">
        <w:rPr>
          <w:rFonts w:ascii="Arial" w:hAnsi="Arial" w:cs="Arial"/>
        </w:rPr>
        <w:t xml:space="preserve">On 11 January 2022, the respondents replied by email to the applicant and stated that: </w:t>
      </w:r>
      <w:r w:rsidR="00BB04EC" w:rsidRPr="004216CB">
        <w:rPr>
          <w:rFonts w:ascii="Arial" w:hAnsi="Arial" w:cs="Arial"/>
          <w:iCs/>
          <w:sz w:val="22"/>
          <w:szCs w:val="22"/>
        </w:rPr>
        <w:t>“[A]s per confidential agreements, the National Department of Health is not at liberty to divulge such details/the information.”</w:t>
      </w:r>
      <w:r w:rsidR="00F635E3" w:rsidRPr="004216CB">
        <w:rPr>
          <w:rFonts w:ascii="Arial" w:hAnsi="Arial" w:cs="Arial"/>
          <w:iCs/>
        </w:rPr>
        <w:t xml:space="preserve"> On </w:t>
      </w:r>
      <w:r w:rsidR="00102F67" w:rsidRPr="004216CB">
        <w:rPr>
          <w:rFonts w:ascii="Arial" w:hAnsi="Arial" w:cs="Arial"/>
          <w:iCs/>
        </w:rPr>
        <w:t>18 February 2022</w:t>
      </w:r>
      <w:r w:rsidR="00123324" w:rsidRPr="004216CB">
        <w:rPr>
          <w:rFonts w:ascii="Arial" w:hAnsi="Arial" w:cs="Arial"/>
          <w:iCs/>
        </w:rPr>
        <w:t xml:space="preserve"> the present proceedings </w:t>
      </w:r>
      <w:r w:rsidR="00136595" w:rsidRPr="004216CB">
        <w:rPr>
          <w:rFonts w:ascii="Arial" w:hAnsi="Arial" w:cs="Arial"/>
          <w:iCs/>
        </w:rPr>
        <w:t xml:space="preserve">were </w:t>
      </w:r>
      <w:r w:rsidR="00123324" w:rsidRPr="004216CB">
        <w:rPr>
          <w:rFonts w:ascii="Arial" w:hAnsi="Arial" w:cs="Arial"/>
          <w:iCs/>
        </w:rPr>
        <w:t>launched.</w:t>
      </w:r>
    </w:p>
    <w:p w14:paraId="51A64D78" w14:textId="50D233FF" w:rsidR="00E20730" w:rsidRDefault="00E20730" w:rsidP="00E20730">
      <w:pPr>
        <w:pStyle w:val="ListParagraph"/>
        <w:rPr>
          <w:rFonts w:ascii="Arial" w:hAnsi="Arial" w:cs="Arial"/>
        </w:rPr>
      </w:pPr>
    </w:p>
    <w:p w14:paraId="2B21A770" w14:textId="45213972" w:rsidR="00E62BAB" w:rsidRDefault="00E62BAB" w:rsidP="00E20730">
      <w:pPr>
        <w:pStyle w:val="ListParagraph"/>
        <w:rPr>
          <w:rFonts w:ascii="Arial" w:hAnsi="Arial" w:cs="Arial"/>
        </w:rPr>
      </w:pPr>
    </w:p>
    <w:p w14:paraId="26A5A860" w14:textId="77777777" w:rsidR="00E62BAB" w:rsidRPr="00E20730" w:rsidRDefault="00E62BAB" w:rsidP="00E20730">
      <w:pPr>
        <w:pStyle w:val="ListParagraph"/>
        <w:rPr>
          <w:rFonts w:ascii="Arial" w:hAnsi="Arial" w:cs="Arial"/>
        </w:rPr>
      </w:pPr>
    </w:p>
    <w:p w14:paraId="6127DF17" w14:textId="060B24D1" w:rsidR="00E20730" w:rsidRPr="004216CB" w:rsidRDefault="004216CB" w:rsidP="004216CB">
      <w:pPr>
        <w:spacing w:line="360" w:lineRule="auto"/>
        <w:ind w:left="851" w:right="50" w:hanging="851"/>
        <w:jc w:val="both"/>
        <w:rPr>
          <w:rFonts w:ascii="Arial" w:hAnsi="Arial" w:cs="Arial"/>
        </w:rPr>
      </w:pPr>
      <w:r>
        <w:rPr>
          <w:rFonts w:ascii="Arial" w:hAnsi="Arial" w:cs="Arial"/>
        </w:rPr>
        <w:t>[12]</w:t>
      </w:r>
      <w:r>
        <w:rPr>
          <w:rFonts w:ascii="Arial" w:hAnsi="Arial" w:cs="Arial"/>
        </w:rPr>
        <w:tab/>
      </w:r>
      <w:r w:rsidR="00E20730" w:rsidRPr="004216CB">
        <w:rPr>
          <w:rFonts w:ascii="Arial" w:hAnsi="Arial" w:cs="Arial"/>
        </w:rPr>
        <w:t>The ND</w:t>
      </w:r>
      <w:r w:rsidR="00102F67" w:rsidRPr="004216CB">
        <w:rPr>
          <w:rFonts w:ascii="Arial" w:hAnsi="Arial" w:cs="Arial"/>
        </w:rPr>
        <w:t>O</w:t>
      </w:r>
      <w:r w:rsidR="00E20730" w:rsidRPr="004216CB">
        <w:rPr>
          <w:rFonts w:ascii="Arial" w:hAnsi="Arial" w:cs="Arial"/>
        </w:rPr>
        <w:t>H</w:t>
      </w:r>
      <w:r w:rsidR="00651C55" w:rsidRPr="004216CB">
        <w:rPr>
          <w:rFonts w:ascii="Arial" w:hAnsi="Arial" w:cs="Arial"/>
        </w:rPr>
        <w:t xml:space="preserve"> couched its’ reasons for  refusing to disclose what was sought in the following terms:</w:t>
      </w:r>
    </w:p>
    <w:p w14:paraId="052E0D77" w14:textId="77777777" w:rsidR="00651C55" w:rsidRPr="00651C55" w:rsidRDefault="00651C55" w:rsidP="00651C55">
      <w:pPr>
        <w:pStyle w:val="ListParagraph"/>
        <w:rPr>
          <w:rFonts w:ascii="Arial" w:hAnsi="Arial" w:cs="Arial"/>
        </w:rPr>
      </w:pPr>
    </w:p>
    <w:p w14:paraId="02443DC0" w14:textId="7857717D" w:rsidR="00553FD1" w:rsidRPr="00D8370B" w:rsidRDefault="00553FD1" w:rsidP="00D8370B">
      <w:pPr>
        <w:spacing w:after="273" w:line="360" w:lineRule="auto"/>
        <w:ind w:left="2268" w:right="489" w:hanging="850"/>
        <w:jc w:val="both"/>
        <w:rPr>
          <w:rFonts w:ascii="Arial" w:hAnsi="Arial" w:cs="Arial"/>
          <w:i/>
          <w:iCs/>
          <w:sz w:val="22"/>
          <w:szCs w:val="22"/>
        </w:rPr>
      </w:pPr>
      <w:r w:rsidRPr="008B3987">
        <w:rPr>
          <w:rFonts w:ascii="Arial" w:hAnsi="Arial" w:cs="Arial"/>
          <w:i/>
          <w:iCs/>
          <w:sz w:val="22"/>
          <w:szCs w:val="22"/>
        </w:rPr>
        <w:t>"</w:t>
      </w:r>
      <w:r w:rsidRPr="00D8370B">
        <w:rPr>
          <w:rFonts w:ascii="Arial" w:hAnsi="Arial" w:cs="Arial"/>
          <w:i/>
          <w:iCs/>
          <w:sz w:val="22"/>
          <w:szCs w:val="22"/>
        </w:rPr>
        <w:t>38.</w:t>
      </w:r>
      <w:r w:rsidR="00D8370B">
        <w:rPr>
          <w:rFonts w:ascii="Arial" w:hAnsi="Arial" w:cs="Arial"/>
          <w:i/>
          <w:iCs/>
          <w:sz w:val="22"/>
          <w:szCs w:val="22"/>
        </w:rPr>
        <w:tab/>
      </w:r>
      <w:r w:rsidRPr="00D8370B">
        <w:rPr>
          <w:rFonts w:ascii="Arial" w:hAnsi="Arial" w:cs="Arial"/>
          <w:i/>
          <w:iCs/>
          <w:sz w:val="22"/>
          <w:szCs w:val="22"/>
        </w:rPr>
        <w:t>I must mention that the procurement contracts, were negotiated in good faith and in the best interests of the country under the prevailing circumstances. The department had signed the agreements, which contained confidentiality clauses regarding nondisclosure of the procurement agreements. I have mentioned in the previous paragraphs that there was an intense competition between the countries to procure vaccines for their citizens.</w:t>
      </w:r>
    </w:p>
    <w:p w14:paraId="0F019DA9" w14:textId="4DA9BBB9" w:rsidR="00553FD1" w:rsidRPr="00D8370B" w:rsidRDefault="00553FD1" w:rsidP="00D8370B">
      <w:pPr>
        <w:spacing w:after="239" w:line="360" w:lineRule="auto"/>
        <w:ind w:left="2268" w:right="482" w:hanging="850"/>
        <w:jc w:val="both"/>
        <w:rPr>
          <w:rFonts w:ascii="Arial" w:hAnsi="Arial" w:cs="Arial"/>
          <w:i/>
          <w:iCs/>
          <w:sz w:val="22"/>
          <w:szCs w:val="22"/>
        </w:rPr>
      </w:pPr>
      <w:r w:rsidRPr="00D8370B">
        <w:rPr>
          <w:rFonts w:ascii="Arial" w:hAnsi="Arial" w:cs="Arial"/>
          <w:i/>
          <w:iCs/>
          <w:sz w:val="22"/>
          <w:szCs w:val="22"/>
        </w:rPr>
        <w:t>39.</w:t>
      </w:r>
      <w:r w:rsidR="00D8370B">
        <w:rPr>
          <w:rFonts w:ascii="Arial" w:hAnsi="Arial" w:cs="Arial"/>
          <w:i/>
          <w:iCs/>
          <w:sz w:val="22"/>
          <w:szCs w:val="22"/>
        </w:rPr>
        <w:tab/>
      </w:r>
      <w:r w:rsidRPr="00D8370B">
        <w:rPr>
          <w:rFonts w:ascii="Arial" w:hAnsi="Arial" w:cs="Arial"/>
          <w:i/>
          <w:iCs/>
          <w:sz w:val="22"/>
          <w:szCs w:val="22"/>
        </w:rPr>
        <w:t>The vaccine manufacturers equally have negotiated in good faith and signed a non-disclosure clause in the agreements. The agreements signed with the manufacturers mentioned in the paragraph above contained confidentiality clauses. These clauses prohibit any disclosure to the procurements without the consent of other manufacturers. Any disclosure will constitute a breach of the agreement.</w:t>
      </w:r>
    </w:p>
    <w:p w14:paraId="4C0A04A2" w14:textId="03939708" w:rsidR="00553FD1" w:rsidRPr="00D8370B" w:rsidRDefault="00553FD1" w:rsidP="00D8370B">
      <w:pPr>
        <w:spacing w:after="228" w:line="360" w:lineRule="auto"/>
        <w:ind w:left="2268" w:right="482" w:hanging="850"/>
        <w:jc w:val="both"/>
        <w:rPr>
          <w:rFonts w:ascii="Arial" w:hAnsi="Arial" w:cs="Arial"/>
          <w:i/>
          <w:iCs/>
          <w:sz w:val="22"/>
          <w:szCs w:val="22"/>
        </w:rPr>
      </w:pPr>
      <w:r w:rsidRPr="00D8370B">
        <w:rPr>
          <w:rFonts w:ascii="Arial" w:hAnsi="Arial" w:cs="Arial"/>
          <w:i/>
          <w:iCs/>
          <w:sz w:val="22"/>
          <w:szCs w:val="22"/>
        </w:rPr>
        <w:t>40.</w:t>
      </w:r>
      <w:r w:rsidR="00D8370B">
        <w:rPr>
          <w:rFonts w:ascii="Arial" w:hAnsi="Arial" w:cs="Arial"/>
          <w:i/>
          <w:iCs/>
          <w:sz w:val="22"/>
          <w:szCs w:val="22"/>
        </w:rPr>
        <w:tab/>
      </w:r>
      <w:r w:rsidRPr="00D8370B">
        <w:rPr>
          <w:rFonts w:ascii="Arial" w:hAnsi="Arial" w:cs="Arial"/>
          <w:i/>
          <w:iCs/>
          <w:sz w:val="22"/>
          <w:szCs w:val="22"/>
        </w:rPr>
        <w:t xml:space="preserve">If the NDoH provides access to these contracts, the department will be in breach of the terms of the confidentiality clauses, and the disclosure will prejudice the respondents and the vaccine manufacturers in future engagements as contemplated in sections </w:t>
      </w:r>
      <w:r w:rsidRPr="00D8370B">
        <w:rPr>
          <w:rFonts w:ascii="Arial" w:hAnsi="Arial" w:cs="Arial"/>
          <w:i/>
          <w:iCs/>
          <w:noProof/>
          <w:sz w:val="22"/>
          <w:szCs w:val="22"/>
        </w:rPr>
        <w:drawing>
          <wp:inline distT="0" distB="0" distL="0" distR="0" wp14:anchorId="100412AA" wp14:editId="074CC0FA">
            <wp:extent cx="448056" cy="146304"/>
            <wp:effectExtent l="0" t="0" r="0" b="0"/>
            <wp:docPr id="4553" name="Picture 4553"/>
            <wp:cNvGraphicFramePr/>
            <a:graphic xmlns:a="http://schemas.openxmlformats.org/drawingml/2006/main">
              <a:graphicData uri="http://schemas.openxmlformats.org/drawingml/2006/picture">
                <pic:pic xmlns:pic="http://schemas.openxmlformats.org/drawingml/2006/picture">
                  <pic:nvPicPr>
                    <pic:cNvPr id="4553" name="Picture 4553"/>
                    <pic:cNvPicPr/>
                  </pic:nvPicPr>
                  <pic:blipFill>
                    <a:blip r:embed="rId9"/>
                    <a:stretch>
                      <a:fillRect/>
                    </a:stretch>
                  </pic:blipFill>
                  <pic:spPr>
                    <a:xfrm>
                      <a:off x="0" y="0"/>
                      <a:ext cx="448056" cy="146304"/>
                    </a:xfrm>
                    <a:prstGeom prst="rect">
                      <a:avLst/>
                    </a:prstGeom>
                  </pic:spPr>
                </pic:pic>
              </a:graphicData>
            </a:graphic>
          </wp:inline>
        </w:drawing>
      </w:r>
      <w:r w:rsidRPr="00D8370B">
        <w:rPr>
          <w:rFonts w:ascii="Arial" w:hAnsi="Arial" w:cs="Arial"/>
          <w:i/>
          <w:iCs/>
          <w:sz w:val="22"/>
          <w:szCs w:val="22"/>
        </w:rPr>
        <w:t>(ii) and of the PAIA.</w:t>
      </w:r>
    </w:p>
    <w:p w14:paraId="4E21E3D4" w14:textId="122890A5" w:rsidR="00651C55" w:rsidRPr="00DA6A81" w:rsidRDefault="00553FD1" w:rsidP="00DA6A81">
      <w:pPr>
        <w:spacing w:line="360" w:lineRule="auto"/>
        <w:ind w:left="2268" w:right="482" w:hanging="850"/>
        <w:jc w:val="both"/>
        <w:rPr>
          <w:rFonts w:ascii="Arial" w:hAnsi="Arial" w:cs="Arial"/>
          <w:i/>
          <w:iCs/>
          <w:sz w:val="22"/>
          <w:szCs w:val="22"/>
        </w:rPr>
      </w:pPr>
      <w:r w:rsidRPr="00D8370B">
        <w:rPr>
          <w:rFonts w:ascii="Arial" w:hAnsi="Arial" w:cs="Arial"/>
          <w:i/>
          <w:iCs/>
          <w:sz w:val="22"/>
          <w:szCs w:val="22"/>
        </w:rPr>
        <w:t>41</w:t>
      </w:r>
      <w:r>
        <w:rPr>
          <w:rFonts w:ascii="Arial" w:hAnsi="Arial" w:cs="Arial"/>
          <w:i/>
          <w:iCs/>
        </w:rPr>
        <w:t>.</w:t>
      </w:r>
      <w:r w:rsidR="00D8370B">
        <w:rPr>
          <w:rFonts w:ascii="Arial" w:hAnsi="Arial" w:cs="Arial"/>
          <w:i/>
          <w:iCs/>
        </w:rPr>
        <w:tab/>
      </w:r>
      <w:r w:rsidRPr="008B3987">
        <w:rPr>
          <w:rFonts w:ascii="Arial" w:hAnsi="Arial" w:cs="Arial"/>
          <w:i/>
          <w:iCs/>
          <w:sz w:val="22"/>
          <w:szCs w:val="22"/>
        </w:rPr>
        <w:t>I submit with respect that there is no basis to suggest that disclosure of the agreements would reveal evidence a substantial contravention of, or failure to comply with, the law: or an imminent and serious public safety or environmental risk: and that the public interest in the disclosure of the record clearly outweighs the harm as contemplated in section 46 of PAIA."</w:t>
      </w:r>
    </w:p>
    <w:p w14:paraId="3666203D" w14:textId="77777777" w:rsidR="00123324" w:rsidRPr="00123324" w:rsidRDefault="00123324" w:rsidP="00123324">
      <w:pPr>
        <w:pStyle w:val="ListParagraph"/>
        <w:rPr>
          <w:rFonts w:ascii="Arial" w:hAnsi="Arial" w:cs="Arial"/>
        </w:rPr>
      </w:pPr>
    </w:p>
    <w:p w14:paraId="7C2B84C5" w14:textId="01EE0E6D" w:rsidR="00102F67" w:rsidRPr="004216CB" w:rsidRDefault="004216CB" w:rsidP="004216CB">
      <w:pPr>
        <w:spacing w:line="360" w:lineRule="auto"/>
        <w:ind w:left="851" w:right="50" w:hanging="851"/>
        <w:jc w:val="both"/>
        <w:rPr>
          <w:rFonts w:ascii="Arial" w:hAnsi="Arial" w:cs="Arial"/>
        </w:rPr>
      </w:pPr>
      <w:r>
        <w:rPr>
          <w:rFonts w:ascii="Arial" w:hAnsi="Arial" w:cs="Arial"/>
        </w:rPr>
        <w:t>[13]</w:t>
      </w:r>
      <w:r>
        <w:rPr>
          <w:rFonts w:ascii="Arial" w:hAnsi="Arial" w:cs="Arial"/>
        </w:rPr>
        <w:tab/>
      </w:r>
      <w:r w:rsidR="00AF47B2" w:rsidRPr="004216CB">
        <w:rPr>
          <w:rFonts w:ascii="Arial" w:hAnsi="Arial" w:cs="Arial"/>
        </w:rPr>
        <w:t>When access to a requested record is refused, it is in terms of section 25(3)(a) of PAIA necessary for the party refusing access to “</w:t>
      </w:r>
      <w:r w:rsidR="00AF47B2" w:rsidRPr="004216CB">
        <w:rPr>
          <w:rFonts w:ascii="Arial" w:hAnsi="Arial" w:cs="Arial"/>
          <w:i/>
          <w:iCs/>
          <w:sz w:val="22"/>
          <w:szCs w:val="22"/>
        </w:rPr>
        <w:t>state adequate reasons for the refusal, including the provisions of this Act relied upon.</w:t>
      </w:r>
      <w:r w:rsidR="00AF47B2" w:rsidRPr="004216CB">
        <w:rPr>
          <w:rFonts w:ascii="Arial" w:hAnsi="Arial" w:cs="Arial"/>
        </w:rPr>
        <w:t xml:space="preserve">” </w:t>
      </w:r>
    </w:p>
    <w:p w14:paraId="61A0876A" w14:textId="48F1B1C1" w:rsidR="00102F67" w:rsidRDefault="00102F67" w:rsidP="00102F67">
      <w:pPr>
        <w:pStyle w:val="ListParagraph"/>
        <w:spacing w:line="360" w:lineRule="auto"/>
        <w:ind w:left="851" w:right="50"/>
        <w:jc w:val="both"/>
        <w:rPr>
          <w:rFonts w:ascii="Arial" w:hAnsi="Arial" w:cs="Arial"/>
        </w:rPr>
      </w:pPr>
    </w:p>
    <w:p w14:paraId="7B3D2708" w14:textId="77777777" w:rsidR="00E62BAB" w:rsidRDefault="00E62BAB" w:rsidP="00102F67">
      <w:pPr>
        <w:pStyle w:val="ListParagraph"/>
        <w:spacing w:line="360" w:lineRule="auto"/>
        <w:ind w:left="851" w:right="50"/>
        <w:jc w:val="both"/>
        <w:rPr>
          <w:rFonts w:ascii="Arial" w:hAnsi="Arial" w:cs="Arial"/>
        </w:rPr>
      </w:pPr>
    </w:p>
    <w:p w14:paraId="0371807F" w14:textId="7231F412" w:rsidR="0048097A" w:rsidRPr="004216CB" w:rsidRDefault="004216CB" w:rsidP="004216CB">
      <w:pPr>
        <w:spacing w:line="360" w:lineRule="auto"/>
        <w:ind w:left="851" w:right="50" w:hanging="851"/>
        <w:jc w:val="both"/>
        <w:rPr>
          <w:rFonts w:ascii="Arial" w:hAnsi="Arial" w:cs="Arial"/>
        </w:rPr>
      </w:pPr>
      <w:r>
        <w:rPr>
          <w:rFonts w:ascii="Arial" w:hAnsi="Arial" w:cs="Arial"/>
        </w:rPr>
        <w:t>[14]</w:t>
      </w:r>
      <w:r>
        <w:rPr>
          <w:rFonts w:ascii="Arial" w:hAnsi="Arial" w:cs="Arial"/>
        </w:rPr>
        <w:tab/>
      </w:r>
      <w:r w:rsidR="00AF47B2" w:rsidRPr="004216CB">
        <w:rPr>
          <w:rFonts w:ascii="Arial" w:hAnsi="Arial" w:cs="Arial"/>
        </w:rPr>
        <w:t>What then are “</w:t>
      </w:r>
      <w:r w:rsidR="00AF47B2" w:rsidRPr="004216CB">
        <w:rPr>
          <w:rFonts w:ascii="Arial" w:hAnsi="Arial" w:cs="Arial"/>
          <w:i/>
          <w:iCs/>
        </w:rPr>
        <w:t>adequate reasons</w:t>
      </w:r>
      <w:r w:rsidR="00AF47B2" w:rsidRPr="004216CB">
        <w:rPr>
          <w:rFonts w:ascii="Arial" w:hAnsi="Arial" w:cs="Arial"/>
        </w:rPr>
        <w:t>”?</w:t>
      </w:r>
    </w:p>
    <w:p w14:paraId="341D687B" w14:textId="77777777" w:rsidR="00E62BAB" w:rsidRPr="00E62BAB" w:rsidRDefault="00E62BAB" w:rsidP="00E62BAB">
      <w:pPr>
        <w:spacing w:line="360" w:lineRule="auto"/>
        <w:ind w:right="50"/>
        <w:jc w:val="both"/>
        <w:rPr>
          <w:rFonts w:ascii="Arial" w:hAnsi="Arial" w:cs="Arial"/>
        </w:rPr>
      </w:pPr>
    </w:p>
    <w:p w14:paraId="1365CEE8" w14:textId="49B281AC" w:rsidR="00AF47B2" w:rsidRPr="004216CB" w:rsidRDefault="004216CB" w:rsidP="004216CB">
      <w:pPr>
        <w:spacing w:line="360" w:lineRule="auto"/>
        <w:ind w:left="851" w:right="50" w:hanging="851"/>
        <w:jc w:val="both"/>
        <w:rPr>
          <w:rFonts w:ascii="Arial" w:hAnsi="Arial" w:cs="Arial"/>
        </w:rPr>
      </w:pPr>
      <w:r>
        <w:rPr>
          <w:rFonts w:ascii="Arial" w:hAnsi="Arial" w:cs="Arial"/>
        </w:rPr>
        <w:t>[15]</w:t>
      </w:r>
      <w:r>
        <w:rPr>
          <w:rFonts w:ascii="Arial" w:hAnsi="Arial" w:cs="Arial"/>
        </w:rPr>
        <w:tab/>
      </w:r>
      <w:r w:rsidR="00AF47B2" w:rsidRPr="004216CB">
        <w:rPr>
          <w:rFonts w:ascii="Arial" w:hAnsi="Arial" w:cs="Arial"/>
        </w:rPr>
        <w:t xml:space="preserve">In </w:t>
      </w:r>
      <w:r w:rsidR="00AF47B2" w:rsidRPr="004216CB">
        <w:rPr>
          <w:rFonts w:ascii="Arial" w:hAnsi="Arial" w:cs="Arial"/>
          <w:i/>
          <w:iCs/>
        </w:rPr>
        <w:t>C</w:t>
      </w:r>
      <w:r w:rsidR="00F635E3" w:rsidRPr="004216CB">
        <w:rPr>
          <w:rFonts w:ascii="Arial" w:hAnsi="Arial" w:cs="Arial"/>
          <w:i/>
          <w:iCs/>
        </w:rPr>
        <w:t>CII</w:t>
      </w:r>
      <w:r w:rsidR="00AF47B2" w:rsidRPr="004216CB">
        <w:rPr>
          <w:rFonts w:ascii="Arial" w:hAnsi="Arial" w:cs="Arial"/>
          <w:i/>
          <w:iCs/>
        </w:rPr>
        <w:t xml:space="preserve"> Systems (Pty) Ltd v Fakie and Others NNO</w:t>
      </w:r>
      <w:r w:rsidR="00AF47B2">
        <w:rPr>
          <w:rStyle w:val="FootnoteReference"/>
          <w:rFonts w:ascii="Arial" w:hAnsi="Arial" w:cs="Arial"/>
        </w:rPr>
        <w:footnoteReference w:id="7"/>
      </w:r>
      <w:r w:rsidR="00AF47B2" w:rsidRPr="004216CB">
        <w:rPr>
          <w:rFonts w:ascii="Arial" w:hAnsi="Arial" w:cs="Arial"/>
        </w:rPr>
        <w:t xml:space="preserve"> it was held:</w:t>
      </w:r>
    </w:p>
    <w:p w14:paraId="7A4FEE67" w14:textId="77777777" w:rsidR="00FD6221" w:rsidRDefault="00FD6221" w:rsidP="00AF47B2">
      <w:pPr>
        <w:pStyle w:val="ListParagraph"/>
        <w:spacing w:line="360" w:lineRule="auto"/>
        <w:ind w:left="851" w:right="50"/>
        <w:jc w:val="both"/>
        <w:rPr>
          <w:rFonts w:ascii="Arial" w:hAnsi="Arial" w:cs="Arial"/>
          <w:i/>
          <w:iCs/>
          <w:sz w:val="22"/>
          <w:szCs w:val="22"/>
        </w:rPr>
      </w:pPr>
    </w:p>
    <w:p w14:paraId="29B07480" w14:textId="0BDF7E6C" w:rsidR="00C54C41" w:rsidRPr="00DA6A81" w:rsidRDefault="00FD6221" w:rsidP="00DA6A81">
      <w:pPr>
        <w:pStyle w:val="ListParagraph"/>
        <w:spacing w:line="360" w:lineRule="auto"/>
        <w:ind w:left="1418" w:right="50"/>
        <w:jc w:val="both"/>
        <w:rPr>
          <w:rFonts w:ascii="Arial" w:hAnsi="Arial" w:cs="Arial"/>
        </w:rPr>
      </w:pPr>
      <w:r w:rsidRPr="00FD6221">
        <w:rPr>
          <w:rFonts w:ascii="Arial" w:hAnsi="Arial" w:cs="Arial"/>
          <w:i/>
          <w:iCs/>
          <w:sz w:val="22"/>
          <w:szCs w:val="22"/>
        </w:rPr>
        <w:t>“In my view, and because of the onus created in s 81, it will be necessary for the information officer to identify documents which he wants to withhold. A description of his entitlement to protection is to be given, one would imagine, as in the case of a discovery affidavit in which privilege is claimed in respect of some documents. The question of severability may come into play. Paragraphs may be blocked out or annexures or portions may be detached.”</w:t>
      </w:r>
    </w:p>
    <w:p w14:paraId="41027AF9" w14:textId="77777777" w:rsidR="00C54C41" w:rsidRPr="00FD6221" w:rsidRDefault="00C54C41" w:rsidP="00AF47B2">
      <w:pPr>
        <w:pStyle w:val="ListParagraph"/>
        <w:spacing w:line="360" w:lineRule="auto"/>
        <w:ind w:left="851" w:right="50"/>
        <w:jc w:val="both"/>
        <w:rPr>
          <w:rFonts w:ascii="Arial" w:hAnsi="Arial" w:cs="Arial"/>
        </w:rPr>
      </w:pPr>
    </w:p>
    <w:p w14:paraId="4DC06058" w14:textId="2690107E" w:rsidR="0048097A" w:rsidRPr="004216CB" w:rsidRDefault="004216CB" w:rsidP="004216CB">
      <w:pPr>
        <w:spacing w:line="360" w:lineRule="auto"/>
        <w:ind w:left="851" w:right="50" w:hanging="851"/>
        <w:jc w:val="both"/>
        <w:rPr>
          <w:rFonts w:ascii="Arial" w:hAnsi="Arial" w:cs="Arial"/>
        </w:rPr>
      </w:pPr>
      <w:r>
        <w:rPr>
          <w:rFonts w:ascii="Arial" w:hAnsi="Arial" w:cs="Arial"/>
        </w:rPr>
        <w:t>[16]</w:t>
      </w:r>
      <w:r>
        <w:rPr>
          <w:rFonts w:ascii="Arial" w:hAnsi="Arial" w:cs="Arial"/>
        </w:rPr>
        <w:tab/>
      </w:r>
      <w:r w:rsidR="0048097A" w:rsidRPr="004216CB">
        <w:rPr>
          <w:rFonts w:ascii="Arial" w:hAnsi="Arial" w:cs="Arial"/>
        </w:rPr>
        <w:t xml:space="preserve">In </w:t>
      </w:r>
      <w:r w:rsidR="0048097A" w:rsidRPr="004216CB">
        <w:rPr>
          <w:rFonts w:ascii="Arial" w:hAnsi="Arial" w:cs="Arial"/>
          <w:i/>
          <w:iCs/>
        </w:rPr>
        <w:t>President of the Republic of South Africa and Others v M &amp; G Media Ltd</w:t>
      </w:r>
      <w:r w:rsidR="008D6B2C" w:rsidRPr="004216CB">
        <w:rPr>
          <w:rFonts w:ascii="Arial" w:hAnsi="Arial" w:cs="Arial"/>
          <w:i/>
          <w:iCs/>
        </w:rPr>
        <w:t xml:space="preserve"> </w:t>
      </w:r>
      <w:r w:rsidR="0048097A">
        <w:rPr>
          <w:rStyle w:val="FootnoteReference"/>
          <w:rFonts w:ascii="Arial" w:hAnsi="Arial" w:cs="Arial"/>
          <w:i/>
          <w:iCs/>
        </w:rPr>
        <w:footnoteReference w:id="8"/>
      </w:r>
      <w:r w:rsidR="0048097A" w:rsidRPr="004216CB">
        <w:rPr>
          <w:rFonts w:ascii="Arial" w:hAnsi="Arial" w:cs="Arial"/>
        </w:rPr>
        <w:t xml:space="preserve"> it was held that:</w:t>
      </w:r>
    </w:p>
    <w:p w14:paraId="7F658E4F" w14:textId="77777777" w:rsidR="006D1ECD" w:rsidRDefault="006D1ECD" w:rsidP="0048097A">
      <w:pPr>
        <w:pStyle w:val="ListParagraph"/>
        <w:spacing w:line="360" w:lineRule="auto"/>
        <w:ind w:left="851" w:right="50"/>
        <w:jc w:val="both"/>
        <w:rPr>
          <w:rFonts w:ascii="Arial" w:hAnsi="Arial" w:cs="Arial"/>
        </w:rPr>
      </w:pPr>
    </w:p>
    <w:p w14:paraId="66EA12C1" w14:textId="7FCD3B36" w:rsidR="0048097A" w:rsidRPr="006D1ECD" w:rsidRDefault="0048097A" w:rsidP="00C54C41">
      <w:pPr>
        <w:pStyle w:val="ListParagraph"/>
        <w:spacing w:line="360" w:lineRule="auto"/>
        <w:ind w:left="1418" w:right="50"/>
        <w:jc w:val="both"/>
        <w:rPr>
          <w:rFonts w:ascii="Arial" w:hAnsi="Arial" w:cs="Arial"/>
          <w:i/>
          <w:iCs/>
          <w:sz w:val="22"/>
          <w:szCs w:val="22"/>
        </w:rPr>
      </w:pPr>
      <w:r w:rsidRPr="006D1ECD">
        <w:rPr>
          <w:rFonts w:ascii="Arial" w:hAnsi="Arial" w:cs="Arial"/>
          <w:i/>
          <w:iCs/>
          <w:sz w:val="22"/>
          <w:szCs w:val="22"/>
        </w:rPr>
        <w:t>“</w:t>
      </w:r>
      <w:r w:rsidR="006D1ECD" w:rsidRPr="006D1ECD">
        <w:rPr>
          <w:rFonts w:ascii="Arial" w:hAnsi="Arial" w:cs="Arial"/>
          <w:i/>
          <w:iCs/>
          <w:sz w:val="22"/>
          <w:szCs w:val="22"/>
        </w:rPr>
        <w:t>The affidavits that have been filed by the appellants are reminiscent of affidavits that were customarily filed in cases of that kind [during apartheid]. In the main they assert conclusions that have been reached by the deponents, with no evidential basis to support them, in the apparent expectation that their conclusions put an end to the matter. That is not how things work under the Act. The Act requires a court to be satisfied that secrecy is justified and that calls for a proper evidential basis to justify the secrecy.”</w:t>
      </w:r>
    </w:p>
    <w:p w14:paraId="2CE29B44" w14:textId="0BEE6FA6" w:rsidR="008D6B2C" w:rsidRDefault="008D6B2C" w:rsidP="0048097A">
      <w:pPr>
        <w:pStyle w:val="ListParagraph"/>
        <w:spacing w:line="360" w:lineRule="auto"/>
        <w:ind w:left="851" w:right="50"/>
        <w:jc w:val="both"/>
        <w:rPr>
          <w:rFonts w:ascii="Arial" w:hAnsi="Arial" w:cs="Arial"/>
        </w:rPr>
      </w:pPr>
    </w:p>
    <w:p w14:paraId="4404AA3B" w14:textId="2488D92A" w:rsidR="008D6B2C" w:rsidRPr="004216CB" w:rsidRDefault="004216CB" w:rsidP="004216CB">
      <w:pPr>
        <w:spacing w:line="360" w:lineRule="auto"/>
        <w:ind w:left="851" w:right="50" w:hanging="851"/>
        <w:jc w:val="both"/>
        <w:rPr>
          <w:rFonts w:ascii="Arial" w:hAnsi="Arial" w:cs="Arial"/>
        </w:rPr>
      </w:pPr>
      <w:r>
        <w:rPr>
          <w:rFonts w:ascii="Arial" w:hAnsi="Arial" w:cs="Arial"/>
        </w:rPr>
        <w:t>[17]</w:t>
      </w:r>
      <w:r>
        <w:rPr>
          <w:rFonts w:ascii="Arial" w:hAnsi="Arial" w:cs="Arial"/>
        </w:rPr>
        <w:tab/>
      </w:r>
      <w:r w:rsidR="00396318" w:rsidRPr="004216CB">
        <w:rPr>
          <w:rFonts w:ascii="Arial" w:hAnsi="Arial" w:cs="Arial"/>
        </w:rPr>
        <w:t xml:space="preserve">In </w:t>
      </w:r>
      <w:r w:rsidR="00396318" w:rsidRPr="004216CB">
        <w:rPr>
          <w:rFonts w:ascii="Arial" w:hAnsi="Arial" w:cs="Arial"/>
          <w:i/>
          <w:iCs/>
        </w:rPr>
        <w:t>South African History Archive Trust v South African Reserve Bank and Another</w:t>
      </w:r>
      <w:r w:rsidR="00396318">
        <w:rPr>
          <w:rStyle w:val="FootnoteReference"/>
          <w:rFonts w:ascii="Arial" w:hAnsi="Arial" w:cs="Arial"/>
        </w:rPr>
        <w:footnoteReference w:id="9"/>
      </w:r>
      <w:r w:rsidR="00396318" w:rsidRPr="004216CB">
        <w:rPr>
          <w:rFonts w:ascii="Arial" w:hAnsi="Arial" w:cs="Arial"/>
        </w:rPr>
        <w:t xml:space="preserve"> the court observed:</w:t>
      </w:r>
    </w:p>
    <w:p w14:paraId="1546AEC6" w14:textId="77777777" w:rsidR="006D1ECD" w:rsidRDefault="006D1ECD" w:rsidP="00396318">
      <w:pPr>
        <w:pStyle w:val="ListParagraph"/>
        <w:spacing w:line="360" w:lineRule="auto"/>
        <w:ind w:left="851" w:right="50"/>
        <w:jc w:val="both"/>
        <w:rPr>
          <w:rFonts w:ascii="Arial" w:hAnsi="Arial" w:cs="Arial"/>
          <w:i/>
          <w:iCs/>
          <w:sz w:val="22"/>
          <w:szCs w:val="22"/>
        </w:rPr>
      </w:pPr>
    </w:p>
    <w:p w14:paraId="09896D4E" w14:textId="77777777" w:rsidR="00E62BAB" w:rsidRDefault="00E62BAB" w:rsidP="00D8370B">
      <w:pPr>
        <w:pStyle w:val="ListParagraph"/>
        <w:spacing w:line="360" w:lineRule="auto"/>
        <w:ind w:left="1418" w:right="50"/>
        <w:jc w:val="both"/>
        <w:rPr>
          <w:rFonts w:ascii="Arial" w:hAnsi="Arial" w:cs="Arial"/>
          <w:i/>
          <w:iCs/>
          <w:sz w:val="22"/>
          <w:szCs w:val="22"/>
        </w:rPr>
      </w:pPr>
    </w:p>
    <w:p w14:paraId="55421E71" w14:textId="77777777" w:rsidR="00E62BAB" w:rsidRDefault="00E62BAB" w:rsidP="00D8370B">
      <w:pPr>
        <w:pStyle w:val="ListParagraph"/>
        <w:spacing w:line="360" w:lineRule="auto"/>
        <w:ind w:left="1418" w:right="50"/>
        <w:jc w:val="both"/>
        <w:rPr>
          <w:rFonts w:ascii="Arial" w:hAnsi="Arial" w:cs="Arial"/>
          <w:i/>
          <w:iCs/>
          <w:sz w:val="22"/>
          <w:szCs w:val="22"/>
        </w:rPr>
      </w:pPr>
    </w:p>
    <w:p w14:paraId="222C325C" w14:textId="43CAD15D" w:rsidR="00396318" w:rsidRDefault="00396318" w:rsidP="00D8370B">
      <w:pPr>
        <w:pStyle w:val="ListParagraph"/>
        <w:spacing w:line="360" w:lineRule="auto"/>
        <w:ind w:left="1418" w:right="50"/>
        <w:jc w:val="both"/>
        <w:rPr>
          <w:rFonts w:ascii="Arial" w:hAnsi="Arial" w:cs="Arial"/>
          <w:sz w:val="22"/>
          <w:szCs w:val="22"/>
        </w:rPr>
      </w:pPr>
      <w:r w:rsidRPr="00246D5E">
        <w:rPr>
          <w:rFonts w:ascii="Arial" w:hAnsi="Arial" w:cs="Arial"/>
          <w:i/>
          <w:iCs/>
          <w:sz w:val="22"/>
          <w:szCs w:val="22"/>
        </w:rPr>
        <w:t xml:space="preserve">“Some </w:t>
      </w:r>
      <w:r w:rsidR="00F635E3">
        <w:rPr>
          <w:rFonts w:ascii="Arial" w:hAnsi="Arial" w:cs="Arial"/>
          <w:i/>
          <w:iCs/>
          <w:sz w:val="22"/>
          <w:szCs w:val="22"/>
        </w:rPr>
        <w:t>c</w:t>
      </w:r>
      <w:r w:rsidRPr="00246D5E">
        <w:rPr>
          <w:rFonts w:ascii="Arial" w:hAnsi="Arial" w:cs="Arial"/>
          <w:i/>
          <w:iCs/>
          <w:sz w:val="22"/>
          <w:szCs w:val="22"/>
        </w:rPr>
        <w:t>omment must be made on the overall approach taken by the SARB.</w:t>
      </w:r>
      <w:r w:rsidR="00246D5E" w:rsidRPr="00246D5E">
        <w:rPr>
          <w:rFonts w:ascii="Arial" w:hAnsi="Arial" w:cs="Arial"/>
          <w:i/>
          <w:iCs/>
          <w:sz w:val="22"/>
          <w:szCs w:val="22"/>
        </w:rPr>
        <w:t xml:space="preserve"> I think it is fair to say that the answering affirmation is long on stock phrases which merely repeat parts of this chapter of PAIA. The affirmation falls woefully short on fact, detail or proper application of the provisions of PAIA.”</w:t>
      </w:r>
    </w:p>
    <w:p w14:paraId="286474D9" w14:textId="77777777" w:rsidR="006D1ECD" w:rsidRPr="006D1ECD" w:rsidRDefault="006D1ECD" w:rsidP="00396318">
      <w:pPr>
        <w:pStyle w:val="ListParagraph"/>
        <w:spacing w:line="360" w:lineRule="auto"/>
        <w:ind w:left="851" w:right="50"/>
        <w:jc w:val="both"/>
        <w:rPr>
          <w:rFonts w:ascii="Arial" w:hAnsi="Arial" w:cs="Arial"/>
          <w:sz w:val="22"/>
          <w:szCs w:val="22"/>
        </w:rPr>
      </w:pPr>
    </w:p>
    <w:p w14:paraId="0F229A33" w14:textId="11DEB664" w:rsidR="00FD6221" w:rsidRPr="004216CB" w:rsidRDefault="004216CB" w:rsidP="004216CB">
      <w:pPr>
        <w:spacing w:line="360" w:lineRule="auto"/>
        <w:ind w:left="851" w:right="50" w:hanging="851"/>
        <w:jc w:val="both"/>
        <w:rPr>
          <w:rFonts w:ascii="Arial" w:hAnsi="Arial" w:cs="Arial"/>
        </w:rPr>
      </w:pPr>
      <w:r w:rsidRPr="006D1ECD">
        <w:rPr>
          <w:rFonts w:ascii="Arial" w:hAnsi="Arial" w:cs="Arial"/>
        </w:rPr>
        <w:t>[18]</w:t>
      </w:r>
      <w:r w:rsidRPr="006D1ECD">
        <w:rPr>
          <w:rFonts w:ascii="Arial" w:hAnsi="Arial" w:cs="Arial"/>
        </w:rPr>
        <w:tab/>
      </w:r>
      <w:r w:rsidR="008D6B2C" w:rsidRPr="004216CB">
        <w:rPr>
          <w:rFonts w:ascii="Arial" w:hAnsi="Arial" w:cs="Arial"/>
        </w:rPr>
        <w:t>I</w:t>
      </w:r>
      <w:r w:rsidR="0048097A" w:rsidRPr="004216CB">
        <w:rPr>
          <w:rFonts w:ascii="Arial" w:hAnsi="Arial" w:cs="Arial"/>
        </w:rPr>
        <w:t xml:space="preserve">n the present instance, neither the existence of the specific documents nor indeed the parties to them were disclosed. The refusal was a blanket one with no basis laid for it other than </w:t>
      </w:r>
      <w:r w:rsidR="00396318" w:rsidRPr="004216CB">
        <w:rPr>
          <w:rFonts w:ascii="Arial" w:hAnsi="Arial" w:cs="Arial"/>
        </w:rPr>
        <w:t xml:space="preserve">the </w:t>
      </w:r>
      <w:r w:rsidR="006D1ECD" w:rsidRPr="004216CB">
        <w:rPr>
          <w:rFonts w:ascii="Arial" w:hAnsi="Arial" w:cs="Arial"/>
        </w:rPr>
        <w:t>repeated referral to “</w:t>
      </w:r>
      <w:r w:rsidR="006D1ECD" w:rsidRPr="004216CB">
        <w:rPr>
          <w:rFonts w:ascii="Arial" w:hAnsi="Arial" w:cs="Arial"/>
          <w:i/>
          <w:iCs/>
        </w:rPr>
        <w:t>confidentiality</w:t>
      </w:r>
      <w:r w:rsidR="006D1ECD" w:rsidRPr="004216CB">
        <w:rPr>
          <w:rFonts w:ascii="Arial" w:hAnsi="Arial" w:cs="Arial"/>
        </w:rPr>
        <w:t>” and “</w:t>
      </w:r>
      <w:r w:rsidR="006D1ECD" w:rsidRPr="004216CB">
        <w:rPr>
          <w:rFonts w:ascii="Arial" w:hAnsi="Arial" w:cs="Arial"/>
          <w:i/>
          <w:iCs/>
        </w:rPr>
        <w:t>non-disclosure</w:t>
      </w:r>
      <w:r w:rsidR="006D1ECD" w:rsidRPr="004216CB">
        <w:rPr>
          <w:rFonts w:ascii="Arial" w:hAnsi="Arial" w:cs="Arial"/>
        </w:rPr>
        <w:t>”.</w:t>
      </w:r>
    </w:p>
    <w:p w14:paraId="6266652E" w14:textId="77777777" w:rsidR="00F50FA7" w:rsidRPr="00E62BAB" w:rsidRDefault="00F50FA7" w:rsidP="00E62BAB">
      <w:pPr>
        <w:spacing w:line="360" w:lineRule="auto"/>
        <w:ind w:right="50"/>
        <w:jc w:val="both"/>
        <w:rPr>
          <w:rFonts w:ascii="Arial" w:hAnsi="Arial" w:cs="Arial"/>
        </w:rPr>
      </w:pPr>
    </w:p>
    <w:p w14:paraId="6A267881" w14:textId="4AD2CDA0" w:rsidR="00AF47B2" w:rsidRPr="004216CB" w:rsidRDefault="004216CB" w:rsidP="004216CB">
      <w:pPr>
        <w:spacing w:line="360" w:lineRule="auto"/>
        <w:ind w:left="851" w:right="50" w:hanging="851"/>
        <w:jc w:val="both"/>
        <w:rPr>
          <w:rFonts w:ascii="Arial" w:hAnsi="Arial" w:cs="Arial"/>
        </w:rPr>
      </w:pPr>
      <w:r>
        <w:rPr>
          <w:rFonts w:ascii="Arial" w:hAnsi="Arial" w:cs="Arial"/>
        </w:rPr>
        <w:t>[19]</w:t>
      </w:r>
      <w:r>
        <w:rPr>
          <w:rFonts w:ascii="Arial" w:hAnsi="Arial" w:cs="Arial"/>
        </w:rPr>
        <w:tab/>
      </w:r>
      <w:r w:rsidR="006D1ECD" w:rsidRPr="004216CB">
        <w:rPr>
          <w:rFonts w:ascii="Arial" w:hAnsi="Arial" w:cs="Arial"/>
        </w:rPr>
        <w:t>Against this background, there are f</w:t>
      </w:r>
      <w:r w:rsidR="00E20730" w:rsidRPr="004216CB">
        <w:rPr>
          <w:rFonts w:ascii="Arial" w:hAnsi="Arial" w:cs="Arial"/>
        </w:rPr>
        <w:t>our</w:t>
      </w:r>
      <w:r w:rsidR="00123324" w:rsidRPr="004216CB">
        <w:rPr>
          <w:rFonts w:ascii="Arial" w:hAnsi="Arial" w:cs="Arial"/>
        </w:rPr>
        <w:t xml:space="preserve"> issues for </w:t>
      </w:r>
      <w:r w:rsidR="00AF47B2" w:rsidRPr="004216CB">
        <w:rPr>
          <w:rFonts w:ascii="Arial" w:hAnsi="Arial" w:cs="Arial"/>
        </w:rPr>
        <w:t>consideration:</w:t>
      </w:r>
    </w:p>
    <w:p w14:paraId="2E1B185A" w14:textId="77777777" w:rsidR="00AF47B2" w:rsidRDefault="00AF47B2" w:rsidP="00AF47B2">
      <w:pPr>
        <w:pStyle w:val="ListParagraph"/>
        <w:spacing w:line="360" w:lineRule="auto"/>
        <w:ind w:left="851" w:right="50" w:firstLine="589"/>
        <w:jc w:val="both"/>
        <w:rPr>
          <w:rFonts w:ascii="Arial" w:hAnsi="Arial" w:cs="Arial"/>
        </w:rPr>
      </w:pPr>
    </w:p>
    <w:p w14:paraId="58A1F617" w14:textId="7A618CB3" w:rsidR="00AF47B2" w:rsidRDefault="00AF47B2" w:rsidP="00D8370B">
      <w:pPr>
        <w:pStyle w:val="ListParagraph"/>
        <w:spacing w:line="360" w:lineRule="auto"/>
        <w:ind w:left="2268" w:right="50" w:hanging="850"/>
        <w:jc w:val="both"/>
        <w:rPr>
          <w:rFonts w:ascii="Arial" w:hAnsi="Arial" w:cs="Arial"/>
        </w:rPr>
      </w:pPr>
      <w:r>
        <w:rPr>
          <w:rFonts w:ascii="Arial" w:hAnsi="Arial" w:cs="Arial"/>
        </w:rPr>
        <w:t>[1</w:t>
      </w:r>
      <w:r w:rsidR="00E62BAB">
        <w:rPr>
          <w:rFonts w:ascii="Arial" w:hAnsi="Arial" w:cs="Arial"/>
        </w:rPr>
        <w:t>9</w:t>
      </w:r>
      <w:r>
        <w:rPr>
          <w:rFonts w:ascii="Arial" w:hAnsi="Arial" w:cs="Arial"/>
        </w:rPr>
        <w:t>.1]</w:t>
      </w:r>
      <w:r>
        <w:rPr>
          <w:rFonts w:ascii="Arial" w:hAnsi="Arial" w:cs="Arial"/>
        </w:rPr>
        <w:tab/>
      </w:r>
      <w:r w:rsidR="00E20730">
        <w:rPr>
          <w:rFonts w:ascii="Arial" w:hAnsi="Arial" w:cs="Arial"/>
        </w:rPr>
        <w:t>F</w:t>
      </w:r>
      <w:r w:rsidR="00123324">
        <w:rPr>
          <w:rFonts w:ascii="Arial" w:hAnsi="Arial" w:cs="Arial"/>
        </w:rPr>
        <w:t>irst</w:t>
      </w:r>
      <w:r w:rsidR="00E20730">
        <w:rPr>
          <w:rFonts w:ascii="Arial" w:hAnsi="Arial" w:cs="Arial"/>
        </w:rPr>
        <w:t>ly,</w:t>
      </w:r>
      <w:r w:rsidR="00123324">
        <w:rPr>
          <w:rFonts w:ascii="Arial" w:hAnsi="Arial" w:cs="Arial"/>
        </w:rPr>
        <w:t xml:space="preserve"> whether there is a material non-joinder of interested parties</w:t>
      </w:r>
      <w:r w:rsidR="00E20730">
        <w:rPr>
          <w:rFonts w:ascii="Arial" w:hAnsi="Arial" w:cs="Arial"/>
        </w:rPr>
        <w:t>.</w:t>
      </w:r>
      <w:r w:rsidR="00123324">
        <w:rPr>
          <w:rFonts w:ascii="Arial" w:hAnsi="Arial" w:cs="Arial"/>
        </w:rPr>
        <w:t xml:space="preserve"> </w:t>
      </w:r>
    </w:p>
    <w:p w14:paraId="0EA920C5" w14:textId="77777777" w:rsidR="00D8370B" w:rsidRDefault="00D8370B" w:rsidP="00D8370B">
      <w:pPr>
        <w:pStyle w:val="ListParagraph"/>
        <w:spacing w:line="360" w:lineRule="auto"/>
        <w:ind w:left="2268" w:right="50" w:hanging="850"/>
        <w:jc w:val="both"/>
        <w:rPr>
          <w:rFonts w:ascii="Arial" w:hAnsi="Arial" w:cs="Arial"/>
        </w:rPr>
      </w:pPr>
    </w:p>
    <w:p w14:paraId="13A2C649" w14:textId="12BD8C7F" w:rsidR="00AF47B2" w:rsidRDefault="00AF47B2" w:rsidP="00D8370B">
      <w:pPr>
        <w:pStyle w:val="ListParagraph"/>
        <w:spacing w:line="360" w:lineRule="auto"/>
        <w:ind w:left="2268" w:right="50" w:hanging="850"/>
        <w:jc w:val="both"/>
        <w:rPr>
          <w:rFonts w:ascii="Arial" w:hAnsi="Arial" w:cs="Arial"/>
        </w:rPr>
      </w:pPr>
      <w:r>
        <w:rPr>
          <w:rFonts w:ascii="Arial" w:hAnsi="Arial" w:cs="Arial"/>
        </w:rPr>
        <w:t>[1</w:t>
      </w:r>
      <w:r w:rsidR="00E62BAB">
        <w:rPr>
          <w:rFonts w:ascii="Arial" w:hAnsi="Arial" w:cs="Arial"/>
        </w:rPr>
        <w:t>9</w:t>
      </w:r>
      <w:r>
        <w:rPr>
          <w:rFonts w:ascii="Arial" w:hAnsi="Arial" w:cs="Arial"/>
        </w:rPr>
        <w:t>.2]</w:t>
      </w:r>
      <w:r>
        <w:rPr>
          <w:rFonts w:ascii="Arial" w:hAnsi="Arial" w:cs="Arial"/>
        </w:rPr>
        <w:tab/>
      </w:r>
      <w:r w:rsidR="00E20730">
        <w:rPr>
          <w:rFonts w:ascii="Arial" w:hAnsi="Arial" w:cs="Arial"/>
        </w:rPr>
        <w:t>S</w:t>
      </w:r>
      <w:r w:rsidR="00123324">
        <w:rPr>
          <w:rFonts w:ascii="Arial" w:hAnsi="Arial" w:cs="Arial"/>
        </w:rPr>
        <w:t>econd</w:t>
      </w:r>
      <w:r w:rsidR="00E20730">
        <w:rPr>
          <w:rFonts w:ascii="Arial" w:hAnsi="Arial" w:cs="Arial"/>
        </w:rPr>
        <w:t>ly</w:t>
      </w:r>
      <w:r w:rsidR="00F635E3">
        <w:rPr>
          <w:rFonts w:ascii="Arial" w:hAnsi="Arial" w:cs="Arial"/>
        </w:rPr>
        <w:t xml:space="preserve">, </w:t>
      </w:r>
      <w:r w:rsidR="00123324">
        <w:rPr>
          <w:rFonts w:ascii="Arial" w:hAnsi="Arial" w:cs="Arial"/>
        </w:rPr>
        <w:t xml:space="preserve">whether the refusal of the NDOH to make the documents requested available on the grounds that they are </w:t>
      </w:r>
      <w:r w:rsidR="00E20730">
        <w:rPr>
          <w:rFonts w:ascii="Arial" w:hAnsi="Arial" w:cs="Arial"/>
        </w:rPr>
        <w:t>precluded from doing so because of the confidentiality clauses contained in the agreements</w:t>
      </w:r>
      <w:r w:rsidR="00123324">
        <w:rPr>
          <w:rFonts w:ascii="Arial" w:hAnsi="Arial" w:cs="Arial"/>
        </w:rPr>
        <w:t>.</w:t>
      </w:r>
      <w:r w:rsidR="00E20730">
        <w:rPr>
          <w:rFonts w:ascii="Arial" w:hAnsi="Arial" w:cs="Arial"/>
        </w:rPr>
        <w:t xml:space="preserve"> </w:t>
      </w:r>
    </w:p>
    <w:p w14:paraId="7D8D296E" w14:textId="77777777" w:rsidR="00D8370B" w:rsidRDefault="00D8370B" w:rsidP="00D8370B">
      <w:pPr>
        <w:pStyle w:val="ListParagraph"/>
        <w:spacing w:line="360" w:lineRule="auto"/>
        <w:ind w:left="2268" w:right="50" w:hanging="850"/>
        <w:jc w:val="both"/>
        <w:rPr>
          <w:rFonts w:ascii="Arial" w:hAnsi="Arial" w:cs="Arial"/>
        </w:rPr>
      </w:pPr>
    </w:p>
    <w:p w14:paraId="256DB5A5" w14:textId="27D4C1BD" w:rsidR="00D8370B" w:rsidRDefault="00AF47B2" w:rsidP="00D8370B">
      <w:pPr>
        <w:pStyle w:val="ListParagraph"/>
        <w:spacing w:line="360" w:lineRule="auto"/>
        <w:ind w:left="2268" w:right="50" w:hanging="850"/>
        <w:jc w:val="both"/>
        <w:rPr>
          <w:rFonts w:ascii="Arial" w:hAnsi="Arial" w:cs="Arial"/>
        </w:rPr>
      </w:pPr>
      <w:r>
        <w:rPr>
          <w:rFonts w:ascii="Arial" w:hAnsi="Arial" w:cs="Arial"/>
        </w:rPr>
        <w:t>[1</w:t>
      </w:r>
      <w:r w:rsidR="00E62BAB">
        <w:rPr>
          <w:rFonts w:ascii="Arial" w:hAnsi="Arial" w:cs="Arial"/>
        </w:rPr>
        <w:t>9</w:t>
      </w:r>
      <w:r>
        <w:rPr>
          <w:rFonts w:ascii="Arial" w:hAnsi="Arial" w:cs="Arial"/>
        </w:rPr>
        <w:t>.3]</w:t>
      </w:r>
      <w:r>
        <w:rPr>
          <w:rFonts w:ascii="Arial" w:hAnsi="Arial" w:cs="Arial"/>
        </w:rPr>
        <w:tab/>
      </w:r>
      <w:r w:rsidR="00E20730">
        <w:rPr>
          <w:rFonts w:ascii="Arial" w:hAnsi="Arial" w:cs="Arial"/>
        </w:rPr>
        <w:t>Thirdly,</w:t>
      </w:r>
      <w:r w:rsidR="00F635E3">
        <w:rPr>
          <w:rFonts w:ascii="Arial" w:hAnsi="Arial" w:cs="Arial"/>
        </w:rPr>
        <w:t xml:space="preserve"> whether </w:t>
      </w:r>
      <w:r w:rsidR="00E20730">
        <w:rPr>
          <w:rFonts w:ascii="Arial" w:hAnsi="Arial" w:cs="Arial"/>
        </w:rPr>
        <w:t>the disclosure would prejudice future procurement</w:t>
      </w:r>
      <w:r w:rsidR="00924920">
        <w:rPr>
          <w:rFonts w:ascii="Arial" w:hAnsi="Arial" w:cs="Arial"/>
        </w:rPr>
        <w:t>/commercial interests</w:t>
      </w:r>
      <w:r>
        <w:rPr>
          <w:rFonts w:ascii="Arial" w:hAnsi="Arial" w:cs="Arial"/>
        </w:rPr>
        <w:t>,</w:t>
      </w:r>
      <w:r w:rsidR="00E20730">
        <w:rPr>
          <w:rFonts w:ascii="Arial" w:hAnsi="Arial" w:cs="Arial"/>
        </w:rPr>
        <w:t xml:space="preserve"> and</w:t>
      </w:r>
    </w:p>
    <w:p w14:paraId="78618E95" w14:textId="77777777" w:rsidR="00D8370B" w:rsidRDefault="00D8370B" w:rsidP="00D8370B">
      <w:pPr>
        <w:pStyle w:val="ListParagraph"/>
        <w:spacing w:line="360" w:lineRule="auto"/>
        <w:ind w:left="2268" w:right="50" w:hanging="850"/>
        <w:jc w:val="both"/>
        <w:rPr>
          <w:rFonts w:ascii="Arial" w:hAnsi="Arial" w:cs="Arial"/>
        </w:rPr>
      </w:pPr>
    </w:p>
    <w:p w14:paraId="2D908276" w14:textId="281933EC" w:rsidR="00286EFB" w:rsidRDefault="00AF47B2" w:rsidP="00D8370B">
      <w:pPr>
        <w:pStyle w:val="ListParagraph"/>
        <w:spacing w:line="360" w:lineRule="auto"/>
        <w:ind w:left="2268" w:right="50" w:hanging="850"/>
        <w:jc w:val="both"/>
        <w:rPr>
          <w:rFonts w:ascii="Arial" w:hAnsi="Arial" w:cs="Arial"/>
        </w:rPr>
      </w:pPr>
      <w:r>
        <w:rPr>
          <w:rFonts w:ascii="Arial" w:hAnsi="Arial" w:cs="Arial"/>
        </w:rPr>
        <w:t>[1</w:t>
      </w:r>
      <w:r w:rsidR="00E62BAB">
        <w:rPr>
          <w:rFonts w:ascii="Arial" w:hAnsi="Arial" w:cs="Arial"/>
        </w:rPr>
        <w:t>9</w:t>
      </w:r>
      <w:r>
        <w:rPr>
          <w:rFonts w:ascii="Arial" w:hAnsi="Arial" w:cs="Arial"/>
        </w:rPr>
        <w:t>.4]</w:t>
      </w:r>
      <w:r>
        <w:rPr>
          <w:rFonts w:ascii="Arial" w:hAnsi="Arial" w:cs="Arial"/>
        </w:rPr>
        <w:tab/>
        <w:t>F</w:t>
      </w:r>
      <w:r w:rsidR="00E20730">
        <w:rPr>
          <w:rFonts w:ascii="Arial" w:hAnsi="Arial" w:cs="Arial"/>
        </w:rPr>
        <w:t>inally</w:t>
      </w:r>
      <w:r w:rsidR="00F635E3">
        <w:rPr>
          <w:rFonts w:ascii="Arial" w:hAnsi="Arial" w:cs="Arial"/>
        </w:rPr>
        <w:t>,</w:t>
      </w:r>
      <w:r w:rsidR="00E20730">
        <w:rPr>
          <w:rFonts w:ascii="Arial" w:hAnsi="Arial" w:cs="Arial"/>
        </w:rPr>
        <w:t xml:space="preserve"> </w:t>
      </w:r>
      <w:r w:rsidR="00286EFB">
        <w:rPr>
          <w:rFonts w:ascii="Arial" w:hAnsi="Arial" w:cs="Arial"/>
        </w:rPr>
        <w:t>whether</w:t>
      </w:r>
      <w:r w:rsidR="00E20730">
        <w:rPr>
          <w:rFonts w:ascii="Arial" w:hAnsi="Arial" w:cs="Arial"/>
        </w:rPr>
        <w:t xml:space="preserve"> there is no adequate public interest reason to compel the disclosure of the requested documents.</w:t>
      </w:r>
      <w:r w:rsidR="00123324">
        <w:rPr>
          <w:rFonts w:ascii="Arial" w:hAnsi="Arial" w:cs="Arial"/>
        </w:rPr>
        <w:t xml:space="preserve"> </w:t>
      </w:r>
    </w:p>
    <w:p w14:paraId="6D841D9A" w14:textId="77777777" w:rsidR="00286EFB" w:rsidRDefault="00286EFB" w:rsidP="00286EFB">
      <w:pPr>
        <w:pStyle w:val="ListParagraph"/>
        <w:spacing w:line="360" w:lineRule="auto"/>
        <w:ind w:left="851" w:right="50"/>
        <w:jc w:val="both"/>
        <w:rPr>
          <w:rFonts w:ascii="Arial" w:hAnsi="Arial" w:cs="Arial"/>
        </w:rPr>
      </w:pPr>
    </w:p>
    <w:p w14:paraId="072F2333" w14:textId="5C3AFCD7" w:rsidR="00123324" w:rsidRPr="004216CB" w:rsidRDefault="004216CB" w:rsidP="004216CB">
      <w:pPr>
        <w:spacing w:line="360" w:lineRule="auto"/>
        <w:ind w:left="851" w:right="50" w:hanging="851"/>
        <w:jc w:val="both"/>
        <w:rPr>
          <w:rFonts w:ascii="Arial" w:hAnsi="Arial" w:cs="Arial"/>
        </w:rPr>
      </w:pPr>
      <w:r>
        <w:rPr>
          <w:rFonts w:ascii="Arial" w:hAnsi="Arial" w:cs="Arial"/>
        </w:rPr>
        <w:t>[20]</w:t>
      </w:r>
      <w:r>
        <w:rPr>
          <w:rFonts w:ascii="Arial" w:hAnsi="Arial" w:cs="Arial"/>
        </w:rPr>
        <w:tab/>
      </w:r>
      <w:r w:rsidR="00123324" w:rsidRPr="004216CB">
        <w:rPr>
          <w:rFonts w:ascii="Arial" w:hAnsi="Arial" w:cs="Arial"/>
        </w:rPr>
        <w:t>I propose dealing with each of these in turn.</w:t>
      </w:r>
    </w:p>
    <w:p w14:paraId="04C8A6EA" w14:textId="77777777" w:rsidR="00123324" w:rsidRPr="00123324" w:rsidRDefault="00123324" w:rsidP="00123324">
      <w:pPr>
        <w:pStyle w:val="ListParagraph"/>
        <w:rPr>
          <w:rFonts w:ascii="Arial" w:hAnsi="Arial" w:cs="Arial"/>
        </w:rPr>
      </w:pPr>
    </w:p>
    <w:p w14:paraId="36B764E6" w14:textId="779B5A74" w:rsidR="00BD1079" w:rsidRDefault="00BD1079" w:rsidP="00123324">
      <w:pPr>
        <w:spacing w:line="360" w:lineRule="auto"/>
        <w:ind w:right="50"/>
        <w:jc w:val="both"/>
        <w:rPr>
          <w:rFonts w:ascii="Arial" w:hAnsi="Arial" w:cs="Arial"/>
          <w:b/>
          <w:bCs/>
        </w:rPr>
      </w:pPr>
    </w:p>
    <w:p w14:paraId="1DEA1B50" w14:textId="3926999D" w:rsidR="00E62BAB" w:rsidRDefault="00E62BAB" w:rsidP="00123324">
      <w:pPr>
        <w:spacing w:line="360" w:lineRule="auto"/>
        <w:ind w:right="50"/>
        <w:jc w:val="both"/>
        <w:rPr>
          <w:rFonts w:ascii="Arial" w:hAnsi="Arial" w:cs="Arial"/>
          <w:b/>
          <w:bCs/>
        </w:rPr>
      </w:pPr>
    </w:p>
    <w:p w14:paraId="18DFF5CD" w14:textId="62E5842D" w:rsidR="00E62BAB" w:rsidRDefault="00E62BAB" w:rsidP="00123324">
      <w:pPr>
        <w:spacing w:line="360" w:lineRule="auto"/>
        <w:ind w:right="50"/>
        <w:jc w:val="both"/>
        <w:rPr>
          <w:rFonts w:ascii="Arial" w:hAnsi="Arial" w:cs="Arial"/>
          <w:b/>
          <w:bCs/>
        </w:rPr>
      </w:pPr>
    </w:p>
    <w:p w14:paraId="1A0C8FDC" w14:textId="6EF7B8C5" w:rsidR="00E62BAB" w:rsidRDefault="00E62BAB" w:rsidP="00123324">
      <w:pPr>
        <w:spacing w:line="360" w:lineRule="auto"/>
        <w:ind w:right="50"/>
        <w:jc w:val="both"/>
        <w:rPr>
          <w:rFonts w:ascii="Arial" w:hAnsi="Arial" w:cs="Arial"/>
          <w:b/>
          <w:bCs/>
        </w:rPr>
      </w:pPr>
    </w:p>
    <w:p w14:paraId="30785335" w14:textId="77777777" w:rsidR="00E62BAB" w:rsidRDefault="00E62BAB" w:rsidP="00123324">
      <w:pPr>
        <w:spacing w:line="360" w:lineRule="auto"/>
        <w:ind w:right="50"/>
        <w:jc w:val="both"/>
        <w:rPr>
          <w:rFonts w:ascii="Arial" w:hAnsi="Arial" w:cs="Arial"/>
          <w:b/>
          <w:bCs/>
        </w:rPr>
      </w:pPr>
    </w:p>
    <w:p w14:paraId="742D3149" w14:textId="0FC5EA3A" w:rsidR="00123324" w:rsidRPr="00123324" w:rsidRDefault="00123324" w:rsidP="00123324">
      <w:pPr>
        <w:spacing w:line="360" w:lineRule="auto"/>
        <w:ind w:right="50"/>
        <w:jc w:val="both"/>
        <w:rPr>
          <w:rFonts w:ascii="Arial" w:hAnsi="Arial" w:cs="Arial"/>
          <w:b/>
          <w:bCs/>
        </w:rPr>
      </w:pPr>
      <w:r w:rsidRPr="00123324">
        <w:rPr>
          <w:rFonts w:ascii="Arial" w:hAnsi="Arial" w:cs="Arial"/>
          <w:b/>
          <w:bCs/>
        </w:rPr>
        <w:t>THE NON-JOINDER</w:t>
      </w:r>
    </w:p>
    <w:p w14:paraId="3AA83FF0" w14:textId="34A69D61" w:rsidR="00123324" w:rsidRDefault="00123324" w:rsidP="00123324">
      <w:pPr>
        <w:pStyle w:val="ListParagraph"/>
        <w:rPr>
          <w:rFonts w:ascii="Arial" w:hAnsi="Arial" w:cs="Arial"/>
        </w:rPr>
      </w:pPr>
    </w:p>
    <w:p w14:paraId="76F05333" w14:textId="77777777" w:rsidR="00BD1079" w:rsidRPr="00123324" w:rsidRDefault="00BD1079" w:rsidP="00123324">
      <w:pPr>
        <w:pStyle w:val="ListParagraph"/>
        <w:rPr>
          <w:rFonts w:ascii="Arial" w:hAnsi="Arial" w:cs="Arial"/>
        </w:rPr>
      </w:pPr>
    </w:p>
    <w:p w14:paraId="2549DA23" w14:textId="1AF9791E" w:rsidR="00ED1968" w:rsidRPr="004216CB" w:rsidRDefault="004216CB" w:rsidP="004216CB">
      <w:pPr>
        <w:spacing w:line="360" w:lineRule="auto"/>
        <w:ind w:left="851" w:right="50" w:hanging="851"/>
        <w:jc w:val="both"/>
        <w:rPr>
          <w:rFonts w:ascii="Arial" w:hAnsi="Arial" w:cs="Arial"/>
        </w:rPr>
      </w:pPr>
      <w:r>
        <w:rPr>
          <w:rFonts w:ascii="Arial" w:hAnsi="Arial" w:cs="Arial"/>
        </w:rPr>
        <w:t>[21]</w:t>
      </w:r>
      <w:r>
        <w:rPr>
          <w:rFonts w:ascii="Arial" w:hAnsi="Arial" w:cs="Arial"/>
        </w:rPr>
        <w:tab/>
      </w:r>
      <w:r w:rsidR="00465D78" w:rsidRPr="004216CB">
        <w:rPr>
          <w:rFonts w:ascii="Arial" w:hAnsi="Arial" w:cs="Arial"/>
        </w:rPr>
        <w:t>It was argued on behalf of the respondents that the parties with whom they had contracted, had a direct and substantial interest</w:t>
      </w:r>
      <w:r w:rsidR="00A8089F" w:rsidRPr="004216CB">
        <w:rPr>
          <w:rFonts w:ascii="Arial" w:hAnsi="Arial" w:cs="Arial"/>
        </w:rPr>
        <w:t xml:space="preserve"> in the matter and that in consequence of their non-joinder, the application was stillborn. </w:t>
      </w:r>
    </w:p>
    <w:p w14:paraId="0E451409" w14:textId="77777777" w:rsidR="00ED1968" w:rsidRDefault="00ED1968" w:rsidP="00ED1968">
      <w:pPr>
        <w:pStyle w:val="ListParagraph"/>
        <w:spacing w:line="360" w:lineRule="auto"/>
        <w:ind w:left="851" w:right="50"/>
        <w:jc w:val="both"/>
        <w:rPr>
          <w:rFonts w:ascii="Arial" w:hAnsi="Arial" w:cs="Arial"/>
        </w:rPr>
      </w:pPr>
    </w:p>
    <w:p w14:paraId="1A6548D8" w14:textId="11B7A037" w:rsidR="00123324" w:rsidRPr="004216CB" w:rsidRDefault="004216CB" w:rsidP="004216CB">
      <w:pPr>
        <w:spacing w:line="360" w:lineRule="auto"/>
        <w:ind w:left="851" w:right="50" w:hanging="851"/>
        <w:jc w:val="both"/>
        <w:rPr>
          <w:rFonts w:ascii="Arial" w:hAnsi="Arial" w:cs="Arial"/>
        </w:rPr>
      </w:pPr>
      <w:r>
        <w:rPr>
          <w:rFonts w:ascii="Arial" w:hAnsi="Arial" w:cs="Arial"/>
        </w:rPr>
        <w:t>[22]</w:t>
      </w:r>
      <w:r>
        <w:rPr>
          <w:rFonts w:ascii="Arial" w:hAnsi="Arial" w:cs="Arial"/>
        </w:rPr>
        <w:tab/>
      </w:r>
      <w:r w:rsidR="00A8089F" w:rsidRPr="004216CB">
        <w:rPr>
          <w:rFonts w:ascii="Arial" w:hAnsi="Arial" w:cs="Arial"/>
        </w:rPr>
        <w:t xml:space="preserve">In support of this I was referred to the </w:t>
      </w:r>
      <w:r w:rsidR="00A8089F" w:rsidRPr="004216CB">
        <w:rPr>
          <w:rFonts w:ascii="Arial" w:hAnsi="Arial" w:cs="Arial"/>
          <w:i/>
          <w:iCs/>
        </w:rPr>
        <w:t xml:space="preserve">Bowring NO v Vrededorp Properties CC </w:t>
      </w:r>
      <w:r w:rsidR="006D10F2" w:rsidRPr="004216CB">
        <w:rPr>
          <w:rFonts w:ascii="Arial" w:hAnsi="Arial" w:cs="Arial"/>
          <w:i/>
          <w:iCs/>
        </w:rPr>
        <w:t>and</w:t>
      </w:r>
      <w:r w:rsidR="00A8089F" w:rsidRPr="004216CB">
        <w:rPr>
          <w:rFonts w:ascii="Arial" w:hAnsi="Arial" w:cs="Arial"/>
          <w:i/>
          <w:iCs/>
        </w:rPr>
        <w:t xml:space="preserve"> Another</w:t>
      </w:r>
      <w:r w:rsidR="00A8089F">
        <w:rPr>
          <w:rStyle w:val="FootnoteReference"/>
          <w:rFonts w:ascii="Arial" w:hAnsi="Arial" w:cs="Arial"/>
        </w:rPr>
        <w:footnoteReference w:id="10"/>
      </w:r>
      <w:r w:rsidR="006D10F2" w:rsidRPr="004216CB">
        <w:rPr>
          <w:rFonts w:ascii="Arial" w:hAnsi="Arial" w:cs="Arial"/>
        </w:rPr>
        <w:t xml:space="preserve"> in which it was held that “</w:t>
      </w:r>
      <w:r w:rsidR="006D10F2" w:rsidRPr="004216CB">
        <w:rPr>
          <w:rFonts w:ascii="Arial" w:hAnsi="Arial" w:cs="Arial"/>
          <w:i/>
          <w:iCs/>
          <w:sz w:val="22"/>
          <w:szCs w:val="22"/>
        </w:rPr>
        <w:t>the enquiry relating to non-joinder remains one of substance rather than form</w:t>
      </w:r>
      <w:r w:rsidR="006D10F2" w:rsidRPr="004216CB">
        <w:rPr>
          <w:rFonts w:ascii="Arial" w:hAnsi="Arial" w:cs="Arial"/>
        </w:rPr>
        <w:t xml:space="preserve">” and that </w:t>
      </w:r>
      <w:r w:rsidR="006D10F2" w:rsidRPr="004216CB">
        <w:rPr>
          <w:rFonts w:ascii="Arial" w:hAnsi="Arial" w:cs="Arial"/>
          <w:sz w:val="22"/>
          <w:szCs w:val="22"/>
        </w:rPr>
        <w:t>“[t]he substantial test is whether the party that is alleged to be a necessary party for purposes of joinder has a legal interest in the subject-matter of the litigation, which may be affected prejudicially by the judgment of the Court in the proceedings concerned.</w:t>
      </w:r>
      <w:r w:rsidR="006D10F2" w:rsidRPr="004216CB">
        <w:rPr>
          <w:rFonts w:ascii="Arial" w:hAnsi="Arial" w:cs="Arial"/>
        </w:rPr>
        <w:t>”</w:t>
      </w:r>
    </w:p>
    <w:p w14:paraId="2926A1DD" w14:textId="77777777" w:rsidR="00BD1079" w:rsidRPr="00DA6A81" w:rsidRDefault="00BD1079" w:rsidP="00DA6A81">
      <w:pPr>
        <w:spacing w:line="360" w:lineRule="auto"/>
        <w:ind w:right="50"/>
        <w:jc w:val="both"/>
        <w:rPr>
          <w:rFonts w:ascii="Arial" w:hAnsi="Arial" w:cs="Arial"/>
        </w:rPr>
      </w:pPr>
    </w:p>
    <w:p w14:paraId="528FF8C6" w14:textId="3F9612E0" w:rsidR="008F2E82" w:rsidRPr="004216CB" w:rsidRDefault="004216CB" w:rsidP="004216CB">
      <w:pPr>
        <w:spacing w:line="360" w:lineRule="auto"/>
        <w:ind w:left="851" w:right="50" w:hanging="851"/>
        <w:jc w:val="both"/>
        <w:rPr>
          <w:rFonts w:ascii="Arial" w:hAnsi="Arial" w:cs="Arial"/>
        </w:rPr>
      </w:pPr>
      <w:r>
        <w:rPr>
          <w:rFonts w:ascii="Arial" w:hAnsi="Arial" w:cs="Arial"/>
        </w:rPr>
        <w:t>[23]</w:t>
      </w:r>
      <w:r>
        <w:rPr>
          <w:rFonts w:ascii="Arial" w:hAnsi="Arial" w:cs="Arial"/>
        </w:rPr>
        <w:tab/>
      </w:r>
      <w:r w:rsidR="008F2E82" w:rsidRPr="004216CB">
        <w:rPr>
          <w:rFonts w:ascii="Arial" w:hAnsi="Arial" w:cs="Arial"/>
        </w:rPr>
        <w:t>In the present instance section 47(1) of PAIA</w:t>
      </w:r>
      <w:r w:rsidR="008F2E82">
        <w:rPr>
          <w:rStyle w:val="FootnoteReference"/>
          <w:rFonts w:ascii="Arial" w:hAnsi="Arial" w:cs="Arial"/>
        </w:rPr>
        <w:footnoteReference w:id="11"/>
      </w:r>
      <w:r w:rsidR="008F2E82" w:rsidRPr="004216CB">
        <w:rPr>
          <w:rFonts w:ascii="Arial" w:hAnsi="Arial" w:cs="Arial"/>
        </w:rPr>
        <w:t xml:space="preserve"> imposed upon the NDOH, the obligation to </w:t>
      </w:r>
      <w:r w:rsidR="008F2E82" w:rsidRPr="004216CB">
        <w:rPr>
          <w:rFonts w:ascii="Arial" w:hAnsi="Arial" w:cs="Arial"/>
          <w:i/>
          <w:iCs/>
          <w:sz w:val="22"/>
          <w:szCs w:val="22"/>
        </w:rPr>
        <w:t>“take all reasonable steps to inform a third party to whom or which the record relates of the request.</w:t>
      </w:r>
      <w:r w:rsidR="008F2E82" w:rsidRPr="004216CB">
        <w:rPr>
          <w:rFonts w:ascii="Arial" w:hAnsi="Arial" w:cs="Arial"/>
        </w:rPr>
        <w:t>” It is not in issue in the present matter that this was done by the NDOH. Extensions of time were agreed between HJI and the respondents for this very purpose. Furthermore, HJI went further and sought to independently ascertain the identity of the third parties but was rebuffed.</w:t>
      </w:r>
      <w:r w:rsidR="008F2E82">
        <w:rPr>
          <w:rStyle w:val="FootnoteReference"/>
          <w:rFonts w:ascii="Arial" w:hAnsi="Arial" w:cs="Arial"/>
        </w:rPr>
        <w:footnoteReference w:id="12"/>
      </w:r>
    </w:p>
    <w:p w14:paraId="184DBDAD" w14:textId="77777777" w:rsidR="00E62BAB" w:rsidRPr="008F2E82" w:rsidRDefault="00E62BAB" w:rsidP="008F2E82">
      <w:pPr>
        <w:spacing w:line="360" w:lineRule="auto"/>
        <w:ind w:right="50"/>
        <w:jc w:val="both"/>
        <w:rPr>
          <w:rFonts w:ascii="Arial" w:hAnsi="Arial" w:cs="Arial"/>
        </w:rPr>
      </w:pPr>
    </w:p>
    <w:p w14:paraId="6D486026" w14:textId="781DCD3B" w:rsidR="008F2E82" w:rsidRPr="004216CB" w:rsidRDefault="004216CB" w:rsidP="004216CB">
      <w:pPr>
        <w:spacing w:line="360" w:lineRule="auto"/>
        <w:ind w:left="851" w:right="50" w:hanging="851"/>
        <w:jc w:val="both"/>
        <w:rPr>
          <w:rFonts w:ascii="Arial" w:hAnsi="Arial" w:cs="Arial"/>
        </w:rPr>
      </w:pPr>
      <w:r>
        <w:rPr>
          <w:rFonts w:ascii="Arial" w:hAnsi="Arial" w:cs="Arial"/>
        </w:rPr>
        <w:t>[24]</w:t>
      </w:r>
      <w:r>
        <w:rPr>
          <w:rFonts w:ascii="Arial" w:hAnsi="Arial" w:cs="Arial"/>
        </w:rPr>
        <w:tab/>
      </w:r>
      <w:r w:rsidR="008F2E82" w:rsidRPr="004216CB">
        <w:rPr>
          <w:rFonts w:ascii="Arial" w:hAnsi="Arial" w:cs="Arial"/>
        </w:rPr>
        <w:t>There is nothing before this court to indicate whether or not the third parties made representations to the NDOH in terms of section 48(1)</w:t>
      </w:r>
      <w:r w:rsidR="0097473F">
        <w:rPr>
          <w:rStyle w:val="FootnoteReference"/>
          <w:rFonts w:ascii="Arial" w:hAnsi="Arial" w:cs="Arial"/>
        </w:rPr>
        <w:footnoteReference w:id="13"/>
      </w:r>
      <w:r w:rsidR="008F2E82" w:rsidRPr="004216CB">
        <w:rPr>
          <w:rFonts w:ascii="Arial" w:hAnsi="Arial" w:cs="Arial"/>
        </w:rPr>
        <w:t xml:space="preserve"> of PAIA, pursuant to being notified of the request in terms of section 47(1) or in terms of section 48(2)</w:t>
      </w:r>
      <w:r w:rsidR="0097473F">
        <w:rPr>
          <w:rStyle w:val="FootnoteReference"/>
          <w:rFonts w:ascii="Arial" w:hAnsi="Arial" w:cs="Arial"/>
        </w:rPr>
        <w:footnoteReference w:id="14"/>
      </w:r>
      <w:r w:rsidR="008F2E82" w:rsidRPr="004216CB">
        <w:rPr>
          <w:rFonts w:ascii="Arial" w:hAnsi="Arial" w:cs="Arial"/>
        </w:rPr>
        <w:t xml:space="preserve"> </w:t>
      </w:r>
      <w:r w:rsidR="008F2E82" w:rsidRPr="004216CB">
        <w:rPr>
          <w:rFonts w:ascii="Arial" w:hAnsi="Arial" w:cs="Arial"/>
        </w:rPr>
        <w:lastRenderedPageBreak/>
        <w:t>once they received the request for the identity of the third part</w:t>
      </w:r>
      <w:r w:rsidR="00ED1968" w:rsidRPr="004216CB">
        <w:rPr>
          <w:rFonts w:ascii="Arial" w:hAnsi="Arial" w:cs="Arial"/>
        </w:rPr>
        <w:t>ies</w:t>
      </w:r>
      <w:r w:rsidR="008F2E82" w:rsidRPr="004216CB">
        <w:rPr>
          <w:rFonts w:ascii="Arial" w:hAnsi="Arial" w:cs="Arial"/>
        </w:rPr>
        <w:t xml:space="preserve"> from HJI. It </w:t>
      </w:r>
      <w:r w:rsidR="00ED1968" w:rsidRPr="004216CB">
        <w:rPr>
          <w:rFonts w:ascii="Arial" w:hAnsi="Arial" w:cs="Arial"/>
        </w:rPr>
        <w:t>can be</w:t>
      </w:r>
      <w:r w:rsidR="008F2E82" w:rsidRPr="004216CB">
        <w:rPr>
          <w:rFonts w:ascii="Arial" w:hAnsi="Arial" w:cs="Arial"/>
        </w:rPr>
        <w:t xml:space="preserve"> accepted that the third parties were aware of the </w:t>
      </w:r>
      <w:r w:rsidR="005C1389" w:rsidRPr="004216CB">
        <w:rPr>
          <w:rFonts w:ascii="Arial" w:hAnsi="Arial" w:cs="Arial"/>
        </w:rPr>
        <w:t>request and</w:t>
      </w:r>
      <w:r w:rsidR="008F2E82" w:rsidRPr="004216CB">
        <w:rPr>
          <w:rFonts w:ascii="Arial" w:hAnsi="Arial" w:cs="Arial"/>
        </w:rPr>
        <w:t xml:space="preserve"> made the advertant decision to associate themselves with the refusal of access</w:t>
      </w:r>
      <w:r w:rsidR="00213002" w:rsidRPr="004216CB">
        <w:rPr>
          <w:rFonts w:ascii="Arial" w:hAnsi="Arial" w:cs="Arial"/>
        </w:rPr>
        <w:t xml:space="preserve"> </w:t>
      </w:r>
      <w:r w:rsidR="00ED1968" w:rsidRPr="004216CB">
        <w:rPr>
          <w:rFonts w:ascii="Arial" w:hAnsi="Arial" w:cs="Arial"/>
        </w:rPr>
        <w:t xml:space="preserve">to the information and documents and even </w:t>
      </w:r>
      <w:r w:rsidR="00286EFB" w:rsidRPr="004216CB">
        <w:rPr>
          <w:rFonts w:ascii="Arial" w:hAnsi="Arial" w:cs="Arial"/>
        </w:rPr>
        <w:t xml:space="preserve">to the disclosure </w:t>
      </w:r>
      <w:r w:rsidR="008F2E82" w:rsidRPr="004216CB">
        <w:rPr>
          <w:rFonts w:ascii="Arial" w:hAnsi="Arial" w:cs="Arial"/>
        </w:rPr>
        <w:t>of  their identities.</w:t>
      </w:r>
    </w:p>
    <w:p w14:paraId="0C9D7995" w14:textId="77777777" w:rsidR="008F2E82" w:rsidRPr="008F2E82" w:rsidRDefault="008F2E82" w:rsidP="008F2E82">
      <w:pPr>
        <w:pStyle w:val="ListParagraph"/>
        <w:rPr>
          <w:rFonts w:ascii="Arial" w:hAnsi="Arial" w:cs="Arial"/>
        </w:rPr>
      </w:pPr>
    </w:p>
    <w:p w14:paraId="71AF2EF1" w14:textId="2621C095" w:rsidR="00F11EF6" w:rsidRPr="004216CB" w:rsidRDefault="004216CB" w:rsidP="004216CB">
      <w:pPr>
        <w:spacing w:line="360" w:lineRule="auto"/>
        <w:ind w:left="851" w:right="50" w:hanging="851"/>
        <w:jc w:val="both"/>
        <w:rPr>
          <w:rFonts w:ascii="Arial" w:hAnsi="Arial" w:cs="Arial"/>
        </w:rPr>
      </w:pPr>
      <w:r>
        <w:rPr>
          <w:rFonts w:ascii="Arial" w:hAnsi="Arial" w:cs="Arial"/>
        </w:rPr>
        <w:t>[25]</w:t>
      </w:r>
      <w:r>
        <w:rPr>
          <w:rFonts w:ascii="Arial" w:hAnsi="Arial" w:cs="Arial"/>
        </w:rPr>
        <w:tab/>
      </w:r>
      <w:r w:rsidR="008F2E82" w:rsidRPr="004216CB">
        <w:rPr>
          <w:rFonts w:ascii="Arial" w:hAnsi="Arial" w:cs="Arial"/>
        </w:rPr>
        <w:t xml:space="preserve">In </w:t>
      </w:r>
      <w:r w:rsidR="008D1AB6" w:rsidRPr="004216CB">
        <w:rPr>
          <w:rFonts w:ascii="Arial" w:hAnsi="Arial" w:cs="Arial"/>
        </w:rPr>
        <w:t>the present matter, it is n</w:t>
      </w:r>
      <w:r w:rsidR="00F21B47" w:rsidRPr="004216CB">
        <w:rPr>
          <w:rFonts w:ascii="Arial" w:hAnsi="Arial" w:cs="Arial"/>
        </w:rPr>
        <w:t>either</w:t>
      </w:r>
      <w:r w:rsidR="008D1AB6" w:rsidRPr="004216CB">
        <w:rPr>
          <w:rFonts w:ascii="Arial" w:hAnsi="Arial" w:cs="Arial"/>
        </w:rPr>
        <w:t xml:space="preserve"> a matter of public record nor was it disclosed to HJI, despite their request to both the respondents and ostensible parties with whom the respondents had negotiated and contracted, the identit</w:t>
      </w:r>
      <w:r w:rsidR="00ED1968" w:rsidRPr="004216CB">
        <w:rPr>
          <w:rFonts w:ascii="Arial" w:hAnsi="Arial" w:cs="Arial"/>
        </w:rPr>
        <w:t>ies</w:t>
      </w:r>
      <w:r w:rsidR="008D1AB6" w:rsidRPr="004216CB">
        <w:rPr>
          <w:rFonts w:ascii="Arial" w:hAnsi="Arial" w:cs="Arial"/>
        </w:rPr>
        <w:t xml:space="preserve"> of the specific parties</w:t>
      </w:r>
      <w:r w:rsidR="005C1389" w:rsidRPr="004216CB">
        <w:rPr>
          <w:rFonts w:ascii="Arial" w:hAnsi="Arial" w:cs="Arial"/>
        </w:rPr>
        <w:t>.</w:t>
      </w:r>
      <w:r w:rsidR="008D1AB6">
        <w:rPr>
          <w:rStyle w:val="FootnoteReference"/>
          <w:rFonts w:ascii="Arial" w:hAnsi="Arial" w:cs="Arial"/>
        </w:rPr>
        <w:footnoteReference w:id="15"/>
      </w:r>
      <w:r w:rsidR="00F21B47" w:rsidRPr="004216CB">
        <w:rPr>
          <w:rFonts w:ascii="Arial" w:hAnsi="Arial" w:cs="Arial"/>
        </w:rPr>
        <w:t xml:space="preserve"> </w:t>
      </w:r>
    </w:p>
    <w:p w14:paraId="68A8C42B" w14:textId="77777777" w:rsidR="00F11EF6" w:rsidRPr="00F11EF6" w:rsidRDefault="00F11EF6" w:rsidP="00F11EF6">
      <w:pPr>
        <w:pStyle w:val="ListParagraph"/>
        <w:rPr>
          <w:rFonts w:ascii="Arial" w:hAnsi="Arial" w:cs="Arial"/>
        </w:rPr>
      </w:pPr>
    </w:p>
    <w:p w14:paraId="6FDBA2D5" w14:textId="1D81B79A" w:rsidR="00CC1658" w:rsidRPr="004216CB" w:rsidRDefault="004216CB" w:rsidP="004216CB">
      <w:pPr>
        <w:spacing w:line="360" w:lineRule="auto"/>
        <w:ind w:left="851" w:right="50" w:hanging="851"/>
        <w:jc w:val="both"/>
        <w:rPr>
          <w:rFonts w:ascii="Arial" w:hAnsi="Arial" w:cs="Arial"/>
        </w:rPr>
      </w:pPr>
      <w:r>
        <w:rPr>
          <w:rFonts w:ascii="Arial" w:hAnsi="Arial" w:cs="Arial"/>
        </w:rPr>
        <w:t>[26]</w:t>
      </w:r>
      <w:r>
        <w:rPr>
          <w:rFonts w:ascii="Arial" w:hAnsi="Arial" w:cs="Arial"/>
        </w:rPr>
        <w:tab/>
      </w:r>
      <w:r w:rsidR="00F21B47" w:rsidRPr="004216CB">
        <w:rPr>
          <w:rFonts w:ascii="Arial" w:hAnsi="Arial" w:cs="Arial"/>
        </w:rPr>
        <w:t>It seems to me to be somewhat obvious that if the identity of a</w:t>
      </w:r>
      <w:r w:rsidR="001E4A2B" w:rsidRPr="004216CB">
        <w:rPr>
          <w:rFonts w:ascii="Arial" w:hAnsi="Arial" w:cs="Arial"/>
        </w:rPr>
        <w:t>nother relevant</w:t>
      </w:r>
      <w:r w:rsidR="00F21B47" w:rsidRPr="004216CB">
        <w:rPr>
          <w:rFonts w:ascii="Arial" w:hAnsi="Arial" w:cs="Arial"/>
        </w:rPr>
        <w:t xml:space="preserve"> party is withheld</w:t>
      </w:r>
      <w:r w:rsidR="00AB14E7" w:rsidRPr="004216CB">
        <w:rPr>
          <w:rFonts w:ascii="Arial" w:hAnsi="Arial" w:cs="Arial"/>
        </w:rPr>
        <w:t xml:space="preserve"> </w:t>
      </w:r>
      <w:r w:rsidR="001E4A2B" w:rsidRPr="004216CB">
        <w:rPr>
          <w:rFonts w:ascii="Arial" w:hAnsi="Arial" w:cs="Arial"/>
        </w:rPr>
        <w:t xml:space="preserve">and the consequence is the obviation of </w:t>
      </w:r>
      <w:r w:rsidR="00AB14E7" w:rsidRPr="004216CB">
        <w:rPr>
          <w:rFonts w:ascii="Arial" w:hAnsi="Arial" w:cs="Arial"/>
        </w:rPr>
        <w:t xml:space="preserve"> service of legal process upon that party, it does not behoove the party who withheld the identity to then raise the non-joinder of the unidentified party as a defence to the claim against it. </w:t>
      </w:r>
    </w:p>
    <w:p w14:paraId="5802A8F6" w14:textId="77777777" w:rsidR="00CC1658" w:rsidRPr="00CC1658" w:rsidRDefault="00CC1658" w:rsidP="00CC1658">
      <w:pPr>
        <w:pStyle w:val="ListParagraph"/>
        <w:rPr>
          <w:rFonts w:ascii="Arial" w:hAnsi="Arial" w:cs="Arial"/>
        </w:rPr>
      </w:pPr>
    </w:p>
    <w:p w14:paraId="603603BA" w14:textId="0CC1139F" w:rsidR="007F0B8A" w:rsidRPr="004216CB" w:rsidRDefault="004216CB" w:rsidP="004216CB">
      <w:pPr>
        <w:spacing w:line="360" w:lineRule="auto"/>
        <w:ind w:left="851" w:right="50" w:hanging="851"/>
        <w:jc w:val="both"/>
        <w:rPr>
          <w:rFonts w:ascii="Arial" w:hAnsi="Arial" w:cs="Arial"/>
        </w:rPr>
      </w:pPr>
      <w:r w:rsidRPr="00CC1658">
        <w:rPr>
          <w:rFonts w:ascii="Arial" w:hAnsi="Arial" w:cs="Arial"/>
        </w:rPr>
        <w:t>[27]</w:t>
      </w:r>
      <w:r w:rsidRPr="00CC1658">
        <w:rPr>
          <w:rFonts w:ascii="Arial" w:hAnsi="Arial" w:cs="Arial"/>
        </w:rPr>
        <w:tab/>
      </w:r>
      <w:r w:rsidR="00AB14E7" w:rsidRPr="004216CB">
        <w:rPr>
          <w:rFonts w:ascii="Arial" w:hAnsi="Arial" w:cs="Arial"/>
        </w:rPr>
        <w:t>Such conduct is self-serving</w:t>
      </w:r>
      <w:r w:rsidR="00CC1658" w:rsidRPr="004216CB">
        <w:rPr>
          <w:rFonts w:ascii="Arial" w:hAnsi="Arial" w:cs="Arial"/>
        </w:rPr>
        <w:t xml:space="preserve"> and indicative of the “</w:t>
      </w:r>
      <w:r w:rsidR="00CC1658" w:rsidRPr="004216CB">
        <w:rPr>
          <w:rFonts w:ascii="Arial" w:eastAsia="Verdana" w:hAnsi="Arial" w:cs="Arial"/>
          <w:i/>
          <w:iCs/>
          <w:color w:val="000000"/>
          <w:sz w:val="22"/>
          <w:szCs w:val="22"/>
          <w:lang w:eastAsia="en-ZA"/>
        </w:rPr>
        <w:t>secretive and unresponsive culture in public and private bodies</w:t>
      </w:r>
      <w:r w:rsidR="00CC1658" w:rsidRPr="004216CB">
        <w:rPr>
          <w:rFonts w:ascii="Arial" w:eastAsia="Verdana" w:hAnsi="Arial" w:cs="Arial"/>
          <w:color w:val="000000"/>
          <w:lang w:eastAsia="en-ZA"/>
        </w:rPr>
        <w:t xml:space="preserve">” referred to in the preamble to PAIA. It is contrary to the purpose for which PAIA was enacted and </w:t>
      </w:r>
      <w:r w:rsidR="00CC1658" w:rsidRPr="004216CB">
        <w:rPr>
          <w:rFonts w:ascii="Arial" w:hAnsi="Arial" w:cs="Arial"/>
        </w:rPr>
        <w:t>is</w:t>
      </w:r>
      <w:r w:rsidR="00AB14E7" w:rsidRPr="004216CB">
        <w:rPr>
          <w:rFonts w:ascii="Arial" w:hAnsi="Arial" w:cs="Arial"/>
        </w:rPr>
        <w:t xml:space="preserve"> to be deprecated.</w:t>
      </w:r>
      <w:r w:rsidR="00CC1658" w:rsidRPr="004216CB">
        <w:rPr>
          <w:rFonts w:ascii="Arial" w:hAnsi="Arial" w:cs="Arial"/>
        </w:rPr>
        <w:t xml:space="preserve"> There is no merit in this defence</w:t>
      </w:r>
      <w:r w:rsidR="00286EFB" w:rsidRPr="004216CB">
        <w:rPr>
          <w:rFonts w:ascii="Arial" w:hAnsi="Arial" w:cs="Arial"/>
        </w:rPr>
        <w:t xml:space="preserve"> </w:t>
      </w:r>
      <w:r w:rsidR="00CC1658" w:rsidRPr="004216CB">
        <w:rPr>
          <w:rFonts w:ascii="Arial" w:hAnsi="Arial" w:cs="Arial"/>
        </w:rPr>
        <w:t>and it must fail.</w:t>
      </w:r>
    </w:p>
    <w:p w14:paraId="69FC2C31" w14:textId="77777777" w:rsidR="007F0B8A" w:rsidRDefault="007F0B8A" w:rsidP="007F0B8A">
      <w:pPr>
        <w:pStyle w:val="ListParagraph"/>
        <w:spacing w:line="360" w:lineRule="auto"/>
        <w:ind w:left="851" w:right="50"/>
        <w:jc w:val="both"/>
        <w:rPr>
          <w:rFonts w:ascii="Arial" w:hAnsi="Arial" w:cs="Arial"/>
        </w:rPr>
      </w:pPr>
    </w:p>
    <w:p w14:paraId="44FE7BC2" w14:textId="2691CC72" w:rsidR="007F0B8A" w:rsidRDefault="007F0B8A" w:rsidP="007F0B8A">
      <w:pPr>
        <w:spacing w:line="360" w:lineRule="auto"/>
        <w:ind w:right="50"/>
        <w:jc w:val="both"/>
        <w:rPr>
          <w:rFonts w:ascii="Arial" w:hAnsi="Arial" w:cs="Arial"/>
          <w:b/>
          <w:bCs/>
        </w:rPr>
      </w:pPr>
      <w:r w:rsidRPr="007F0B8A">
        <w:rPr>
          <w:rFonts w:ascii="Arial" w:hAnsi="Arial" w:cs="Arial"/>
          <w:b/>
          <w:bCs/>
        </w:rPr>
        <w:t>CONFIDENTIALITY</w:t>
      </w:r>
    </w:p>
    <w:p w14:paraId="30C33D5F" w14:textId="77777777" w:rsidR="007F0B8A" w:rsidRPr="007F0B8A" w:rsidRDefault="007F0B8A" w:rsidP="007F0B8A">
      <w:pPr>
        <w:spacing w:line="360" w:lineRule="auto"/>
        <w:ind w:right="50"/>
        <w:jc w:val="both"/>
        <w:rPr>
          <w:rFonts w:ascii="Arial" w:hAnsi="Arial" w:cs="Arial"/>
          <w:b/>
          <w:bCs/>
        </w:rPr>
      </w:pPr>
    </w:p>
    <w:p w14:paraId="7476AD00" w14:textId="4FA07DBB" w:rsidR="007A0C0B" w:rsidRPr="004216CB" w:rsidRDefault="004216CB" w:rsidP="004216CB">
      <w:pPr>
        <w:spacing w:line="360" w:lineRule="auto"/>
        <w:ind w:left="851" w:right="50" w:hanging="851"/>
        <w:jc w:val="both"/>
        <w:rPr>
          <w:rFonts w:ascii="Arial" w:hAnsi="Arial" w:cs="Arial"/>
        </w:rPr>
      </w:pPr>
      <w:r>
        <w:rPr>
          <w:rFonts w:ascii="Arial" w:hAnsi="Arial" w:cs="Arial"/>
        </w:rPr>
        <w:t>[28]</w:t>
      </w:r>
      <w:r>
        <w:rPr>
          <w:rFonts w:ascii="Arial" w:hAnsi="Arial" w:cs="Arial"/>
        </w:rPr>
        <w:tab/>
      </w:r>
      <w:r w:rsidR="006E1C13" w:rsidRPr="004216CB">
        <w:rPr>
          <w:rFonts w:ascii="Arial" w:hAnsi="Arial" w:cs="Arial"/>
        </w:rPr>
        <w:t>It was argued on behalf of the respondents that the refusal to grant access to the records and the requested information was justifiable under the circumstances</w:t>
      </w:r>
      <w:r w:rsidR="00461F6A" w:rsidRPr="004216CB">
        <w:rPr>
          <w:rFonts w:ascii="Arial" w:hAnsi="Arial" w:cs="Arial"/>
        </w:rPr>
        <w:t xml:space="preserve">. </w:t>
      </w:r>
    </w:p>
    <w:p w14:paraId="1EEC87DE" w14:textId="77777777" w:rsidR="00BD1079" w:rsidRPr="00DA6A81" w:rsidRDefault="00BD1079" w:rsidP="00DA6A81">
      <w:pPr>
        <w:spacing w:line="360" w:lineRule="auto"/>
        <w:ind w:right="50"/>
        <w:jc w:val="both"/>
        <w:rPr>
          <w:rFonts w:ascii="Arial" w:hAnsi="Arial" w:cs="Arial"/>
          <w:i/>
          <w:iCs/>
        </w:rPr>
      </w:pPr>
    </w:p>
    <w:p w14:paraId="092C62DD" w14:textId="0C5DA8AA" w:rsidR="007A0C0B" w:rsidRPr="004216CB" w:rsidRDefault="004216CB" w:rsidP="004216CB">
      <w:pPr>
        <w:spacing w:line="360" w:lineRule="auto"/>
        <w:ind w:left="851" w:right="50" w:hanging="851"/>
        <w:jc w:val="both"/>
        <w:rPr>
          <w:rFonts w:ascii="Arial" w:hAnsi="Arial" w:cs="Arial"/>
        </w:rPr>
      </w:pPr>
      <w:r>
        <w:rPr>
          <w:rFonts w:ascii="Arial" w:hAnsi="Arial" w:cs="Arial"/>
        </w:rPr>
        <w:t>[29]</w:t>
      </w:r>
      <w:r>
        <w:rPr>
          <w:rFonts w:ascii="Arial" w:hAnsi="Arial" w:cs="Arial"/>
        </w:rPr>
        <w:tab/>
      </w:r>
      <w:r w:rsidR="007A0C0B" w:rsidRPr="004216CB">
        <w:rPr>
          <w:rFonts w:ascii="Arial" w:hAnsi="Arial" w:cs="Arial"/>
        </w:rPr>
        <w:t xml:space="preserve">I was also referred to </w:t>
      </w:r>
      <w:r w:rsidR="007A0C0B" w:rsidRPr="004216CB">
        <w:rPr>
          <w:rFonts w:ascii="Arial" w:hAnsi="Arial" w:cs="Arial"/>
          <w:i/>
          <w:iCs/>
        </w:rPr>
        <w:t>Earthlife Africa v Eskom Holdings Ltd</w:t>
      </w:r>
      <w:r w:rsidR="007A0C0B">
        <w:rPr>
          <w:rStyle w:val="FootnoteReference"/>
          <w:rFonts w:ascii="Arial" w:hAnsi="Arial" w:cs="Arial"/>
          <w:i/>
          <w:iCs/>
        </w:rPr>
        <w:footnoteReference w:id="16"/>
      </w:r>
      <w:r w:rsidR="007A0C0B" w:rsidRPr="004216CB">
        <w:rPr>
          <w:rFonts w:ascii="Arial" w:hAnsi="Arial" w:cs="Arial"/>
          <w:i/>
          <w:iCs/>
        </w:rPr>
        <w:t xml:space="preserve"> </w:t>
      </w:r>
      <w:r w:rsidR="007A0C0B" w:rsidRPr="004216CB">
        <w:rPr>
          <w:rFonts w:ascii="Arial" w:hAnsi="Arial" w:cs="Arial"/>
        </w:rPr>
        <w:t>in which it was found in that case that “</w:t>
      </w:r>
      <w:r w:rsidR="007A0C0B" w:rsidRPr="004216CB">
        <w:rPr>
          <w:rFonts w:ascii="Arial" w:hAnsi="Arial" w:cs="Arial"/>
          <w:i/>
          <w:iCs/>
          <w:sz w:val="22"/>
          <w:szCs w:val="22"/>
        </w:rPr>
        <w:t xml:space="preserve">the information and documentation requested by the applicant constitutes confidential information and trade secrets which are protected from </w:t>
      </w:r>
      <w:r w:rsidR="007A0C0B" w:rsidRPr="004216CB">
        <w:rPr>
          <w:rFonts w:ascii="Arial" w:hAnsi="Arial" w:cs="Arial"/>
          <w:i/>
          <w:iCs/>
          <w:sz w:val="22"/>
          <w:szCs w:val="22"/>
        </w:rPr>
        <w:lastRenderedPageBreak/>
        <w:t>disclosure.”</w:t>
      </w:r>
      <w:r w:rsidR="003475A9" w:rsidRPr="004216CB">
        <w:rPr>
          <w:rFonts w:ascii="Arial" w:hAnsi="Arial" w:cs="Arial"/>
          <w:sz w:val="22"/>
          <w:szCs w:val="22"/>
        </w:rPr>
        <w:t xml:space="preserve"> </w:t>
      </w:r>
      <w:r w:rsidR="003475A9" w:rsidRPr="004216CB">
        <w:rPr>
          <w:rFonts w:ascii="Arial" w:hAnsi="Arial" w:cs="Arial"/>
        </w:rPr>
        <w:t xml:space="preserve">This finding is however of no assistance. The finding was made on the  facts of the matter and on the evidence of a specific witness. </w:t>
      </w:r>
      <w:r w:rsidR="003475A9">
        <w:rPr>
          <w:rStyle w:val="FootnoteReference"/>
          <w:rFonts w:ascii="Arial" w:hAnsi="Arial" w:cs="Arial"/>
        </w:rPr>
        <w:footnoteReference w:id="17"/>
      </w:r>
    </w:p>
    <w:p w14:paraId="359C7F6D" w14:textId="77777777" w:rsidR="003475A9" w:rsidRPr="003475A9" w:rsidRDefault="003475A9" w:rsidP="003475A9">
      <w:pPr>
        <w:pStyle w:val="ListParagraph"/>
        <w:spacing w:line="360" w:lineRule="auto"/>
        <w:ind w:left="851" w:right="50"/>
        <w:jc w:val="both"/>
        <w:rPr>
          <w:rFonts w:ascii="Arial" w:hAnsi="Arial" w:cs="Arial"/>
        </w:rPr>
      </w:pPr>
    </w:p>
    <w:p w14:paraId="56E32047" w14:textId="28AA52E6" w:rsidR="007A0C0B" w:rsidRPr="004216CB" w:rsidRDefault="004216CB" w:rsidP="004216CB">
      <w:pPr>
        <w:spacing w:line="360" w:lineRule="auto"/>
        <w:ind w:left="851" w:right="50" w:hanging="851"/>
        <w:jc w:val="both"/>
        <w:rPr>
          <w:rFonts w:ascii="Arial" w:hAnsi="Arial" w:cs="Arial"/>
        </w:rPr>
      </w:pPr>
      <w:r>
        <w:rPr>
          <w:rFonts w:ascii="Arial" w:hAnsi="Arial" w:cs="Arial"/>
        </w:rPr>
        <w:t>[30]</w:t>
      </w:r>
      <w:r>
        <w:rPr>
          <w:rFonts w:ascii="Arial" w:hAnsi="Arial" w:cs="Arial"/>
        </w:rPr>
        <w:tab/>
      </w:r>
      <w:r w:rsidR="007A0C0B" w:rsidRPr="004216CB">
        <w:rPr>
          <w:rFonts w:ascii="Arial" w:hAnsi="Arial" w:cs="Arial"/>
        </w:rPr>
        <w:t>The argument, so it went</w:t>
      </w:r>
      <w:r w:rsidR="00657011" w:rsidRPr="004216CB">
        <w:rPr>
          <w:rFonts w:ascii="Arial" w:hAnsi="Arial" w:cs="Arial"/>
        </w:rPr>
        <w:t xml:space="preserve">, </w:t>
      </w:r>
      <w:r w:rsidR="003500ED" w:rsidRPr="004216CB">
        <w:rPr>
          <w:rFonts w:ascii="Arial" w:hAnsi="Arial" w:cs="Arial"/>
        </w:rPr>
        <w:t>was that the inclusion of the confidentiality clause in the agreements was to protect the interests of the parties to the agreement.  The information contained in the agreement was said to have been given in confidence.</w:t>
      </w:r>
      <w:r w:rsidR="00657011">
        <w:rPr>
          <w:rStyle w:val="FootnoteReference"/>
          <w:rFonts w:ascii="Arial" w:hAnsi="Arial" w:cs="Arial"/>
        </w:rPr>
        <w:footnoteReference w:id="18"/>
      </w:r>
    </w:p>
    <w:p w14:paraId="6AD22B76" w14:textId="77777777" w:rsidR="003500ED" w:rsidRPr="003500ED" w:rsidRDefault="003500ED" w:rsidP="003500ED">
      <w:pPr>
        <w:pStyle w:val="ListParagraph"/>
        <w:rPr>
          <w:rFonts w:ascii="Arial" w:hAnsi="Arial" w:cs="Arial"/>
        </w:rPr>
      </w:pPr>
    </w:p>
    <w:p w14:paraId="33156880" w14:textId="42C45A6C" w:rsidR="008D7240" w:rsidRPr="004216CB" w:rsidRDefault="004216CB" w:rsidP="004216CB">
      <w:pPr>
        <w:spacing w:line="360" w:lineRule="auto"/>
        <w:ind w:left="851" w:right="50" w:hanging="851"/>
        <w:jc w:val="both"/>
        <w:rPr>
          <w:rFonts w:ascii="Arial" w:hAnsi="Arial" w:cs="Arial"/>
        </w:rPr>
      </w:pPr>
      <w:r>
        <w:rPr>
          <w:rFonts w:ascii="Arial" w:hAnsi="Arial" w:cs="Arial"/>
        </w:rPr>
        <w:t>[31]</w:t>
      </w:r>
      <w:r>
        <w:rPr>
          <w:rFonts w:ascii="Arial" w:hAnsi="Arial" w:cs="Arial"/>
        </w:rPr>
        <w:tab/>
      </w:r>
      <w:r w:rsidR="00136190" w:rsidRPr="004216CB">
        <w:rPr>
          <w:rFonts w:ascii="Arial" w:hAnsi="Arial" w:cs="Arial"/>
        </w:rPr>
        <w:t xml:space="preserve">In the present matter, </w:t>
      </w:r>
      <w:r w:rsidR="008D7240" w:rsidRPr="004216CB">
        <w:rPr>
          <w:rFonts w:ascii="Arial" w:hAnsi="Arial" w:cs="Arial"/>
        </w:rPr>
        <w:t>the precise terms of each of the confidentiality clauses was also not disclosed.  Absent this disclosure, it was argued for HJI that since it was not alleged that the confidentiality clauses applied to either the negotiations, the minutes, correspondence or for that matter, any of the other agreements besides the final agreements that were concluded, it was not open to the respondents to claim confidentiality in respect of those items.</w:t>
      </w:r>
    </w:p>
    <w:p w14:paraId="4F63DE83" w14:textId="77777777" w:rsidR="008D7240" w:rsidRPr="008D7240" w:rsidRDefault="008D7240" w:rsidP="008D7240">
      <w:pPr>
        <w:pStyle w:val="ListParagraph"/>
        <w:rPr>
          <w:rFonts w:ascii="Arial" w:hAnsi="Arial" w:cs="Arial"/>
        </w:rPr>
      </w:pPr>
    </w:p>
    <w:p w14:paraId="38A5E58B" w14:textId="61DCB64E" w:rsidR="008D7240" w:rsidRPr="004216CB" w:rsidRDefault="004216CB" w:rsidP="004216CB">
      <w:pPr>
        <w:spacing w:line="360" w:lineRule="auto"/>
        <w:ind w:left="851" w:right="50" w:hanging="851"/>
        <w:jc w:val="both"/>
        <w:rPr>
          <w:rFonts w:ascii="Arial" w:hAnsi="Arial" w:cs="Arial"/>
        </w:rPr>
      </w:pPr>
      <w:r>
        <w:rPr>
          <w:rFonts w:ascii="Arial" w:hAnsi="Arial" w:cs="Arial"/>
        </w:rPr>
        <w:t>[32]</w:t>
      </w:r>
      <w:r>
        <w:rPr>
          <w:rFonts w:ascii="Arial" w:hAnsi="Arial" w:cs="Arial"/>
        </w:rPr>
        <w:tab/>
      </w:r>
      <w:r w:rsidR="00860448" w:rsidRPr="004216CB">
        <w:rPr>
          <w:rFonts w:ascii="Arial" w:hAnsi="Arial" w:cs="Arial"/>
        </w:rPr>
        <w:t>Furthermore, while the parties with whom the respondents contracted are commercial entities with specifically commercial interests, the respondents</w:t>
      </w:r>
      <w:r w:rsidR="00C67900" w:rsidRPr="004216CB">
        <w:rPr>
          <w:rFonts w:ascii="Arial" w:hAnsi="Arial" w:cs="Arial"/>
        </w:rPr>
        <w:t xml:space="preserve"> are constitutionally obliged to act in an accountable and transparent manner.  This is trite.</w:t>
      </w:r>
      <w:r w:rsidR="00C67900">
        <w:rPr>
          <w:rStyle w:val="FootnoteReference"/>
          <w:rFonts w:ascii="Arial" w:hAnsi="Arial" w:cs="Arial"/>
        </w:rPr>
        <w:footnoteReference w:id="19"/>
      </w:r>
    </w:p>
    <w:p w14:paraId="126D7E85" w14:textId="77777777" w:rsidR="00172952" w:rsidRPr="00172952" w:rsidRDefault="00172952" w:rsidP="00172952">
      <w:pPr>
        <w:pStyle w:val="ListParagraph"/>
        <w:rPr>
          <w:rFonts w:ascii="Arial" w:hAnsi="Arial" w:cs="Arial"/>
        </w:rPr>
      </w:pPr>
    </w:p>
    <w:p w14:paraId="69EBB437" w14:textId="48B11EE0" w:rsidR="00172952" w:rsidRPr="004216CB" w:rsidRDefault="004216CB" w:rsidP="004216CB">
      <w:pPr>
        <w:spacing w:line="360" w:lineRule="auto"/>
        <w:ind w:left="851" w:right="50" w:hanging="851"/>
        <w:jc w:val="both"/>
        <w:rPr>
          <w:rFonts w:ascii="Arial" w:hAnsi="Arial" w:cs="Arial"/>
        </w:rPr>
      </w:pPr>
      <w:r>
        <w:rPr>
          <w:rFonts w:ascii="Arial" w:hAnsi="Arial" w:cs="Arial"/>
        </w:rPr>
        <w:t>[33]</w:t>
      </w:r>
      <w:r>
        <w:rPr>
          <w:rFonts w:ascii="Arial" w:hAnsi="Arial" w:cs="Arial"/>
        </w:rPr>
        <w:tab/>
      </w:r>
      <w:r w:rsidR="00172952" w:rsidRPr="004216CB">
        <w:rPr>
          <w:rFonts w:ascii="Arial" w:hAnsi="Arial" w:cs="Arial"/>
        </w:rPr>
        <w:t>It is not open to the respondents to conclude agreements which include a confidentiality clause and then seek to rely on the confidentiality clause to circumvent the</w:t>
      </w:r>
      <w:r w:rsidR="00ED555D" w:rsidRPr="004216CB">
        <w:rPr>
          <w:rFonts w:ascii="Arial" w:hAnsi="Arial" w:cs="Arial"/>
        </w:rPr>
        <w:t>ir</w:t>
      </w:r>
      <w:r w:rsidR="00172952" w:rsidRPr="004216CB">
        <w:rPr>
          <w:rFonts w:ascii="Arial" w:hAnsi="Arial" w:cs="Arial"/>
        </w:rPr>
        <w:t xml:space="preserve"> obligations of accountability and transparency.</w:t>
      </w:r>
    </w:p>
    <w:p w14:paraId="06148661" w14:textId="77777777" w:rsidR="00172952" w:rsidRPr="00172952" w:rsidRDefault="00172952" w:rsidP="00172952">
      <w:pPr>
        <w:pStyle w:val="ListParagraph"/>
        <w:rPr>
          <w:rFonts w:ascii="Arial" w:hAnsi="Arial" w:cs="Arial"/>
        </w:rPr>
      </w:pPr>
    </w:p>
    <w:p w14:paraId="4801BF4B" w14:textId="6E367A03" w:rsidR="00172952" w:rsidRPr="004216CB" w:rsidRDefault="004216CB" w:rsidP="004216CB">
      <w:pPr>
        <w:spacing w:line="360" w:lineRule="auto"/>
        <w:ind w:left="851" w:right="50" w:hanging="851"/>
        <w:jc w:val="both"/>
        <w:rPr>
          <w:rFonts w:ascii="Arial" w:hAnsi="Arial" w:cs="Arial"/>
        </w:rPr>
      </w:pPr>
      <w:r>
        <w:rPr>
          <w:rFonts w:ascii="Arial" w:hAnsi="Arial" w:cs="Arial"/>
        </w:rPr>
        <w:t>[34]</w:t>
      </w:r>
      <w:r>
        <w:rPr>
          <w:rFonts w:ascii="Arial" w:hAnsi="Arial" w:cs="Arial"/>
        </w:rPr>
        <w:tab/>
      </w:r>
      <w:r w:rsidR="00172952" w:rsidRPr="004216CB">
        <w:rPr>
          <w:rFonts w:ascii="Arial" w:hAnsi="Arial" w:cs="Arial"/>
        </w:rPr>
        <w:t xml:space="preserve">In this regard, in </w:t>
      </w:r>
      <w:r w:rsidR="001D7FDC" w:rsidRPr="004216CB">
        <w:rPr>
          <w:rFonts w:ascii="Arial" w:hAnsi="Arial" w:cs="Arial"/>
          <w:i/>
          <w:iCs/>
        </w:rPr>
        <w:t>Transnet Ltd and Another v SA Metal Machinery Co (Pty) Ltd</w:t>
      </w:r>
      <w:r w:rsidR="001D7FDC">
        <w:rPr>
          <w:rStyle w:val="FootnoteReference"/>
          <w:rFonts w:ascii="Arial" w:hAnsi="Arial" w:cs="Arial"/>
        </w:rPr>
        <w:footnoteReference w:id="20"/>
      </w:r>
      <w:r w:rsidR="00B46A0C" w:rsidRPr="004216CB">
        <w:rPr>
          <w:rFonts w:ascii="Arial" w:hAnsi="Arial" w:cs="Arial"/>
          <w:i/>
          <w:iCs/>
        </w:rPr>
        <w:t xml:space="preserve"> </w:t>
      </w:r>
      <w:r w:rsidR="00B46A0C" w:rsidRPr="004216CB">
        <w:rPr>
          <w:rFonts w:ascii="Arial" w:hAnsi="Arial" w:cs="Arial"/>
        </w:rPr>
        <w:t>it was held:</w:t>
      </w:r>
    </w:p>
    <w:p w14:paraId="30955481" w14:textId="7972426D" w:rsidR="00B46A0C" w:rsidRDefault="00B46A0C" w:rsidP="00B46A0C">
      <w:pPr>
        <w:pStyle w:val="ListParagraph"/>
        <w:rPr>
          <w:rFonts w:ascii="Arial" w:hAnsi="Arial" w:cs="Arial"/>
        </w:rPr>
      </w:pPr>
    </w:p>
    <w:p w14:paraId="2F6B52B9" w14:textId="43515840" w:rsidR="00E62BAB" w:rsidRDefault="00E62BAB" w:rsidP="00B46A0C">
      <w:pPr>
        <w:pStyle w:val="ListParagraph"/>
        <w:rPr>
          <w:rFonts w:ascii="Arial" w:hAnsi="Arial" w:cs="Arial"/>
        </w:rPr>
      </w:pPr>
    </w:p>
    <w:p w14:paraId="22B36F4F" w14:textId="58C1FE4B" w:rsidR="00E62BAB" w:rsidRDefault="00E62BAB" w:rsidP="00B46A0C">
      <w:pPr>
        <w:pStyle w:val="ListParagraph"/>
        <w:rPr>
          <w:rFonts w:ascii="Arial" w:hAnsi="Arial" w:cs="Arial"/>
        </w:rPr>
      </w:pPr>
    </w:p>
    <w:p w14:paraId="25455FDC" w14:textId="717B41E0" w:rsidR="00E62BAB" w:rsidRDefault="00E62BAB" w:rsidP="00B46A0C">
      <w:pPr>
        <w:pStyle w:val="ListParagraph"/>
        <w:rPr>
          <w:rFonts w:ascii="Arial" w:hAnsi="Arial" w:cs="Arial"/>
        </w:rPr>
      </w:pPr>
    </w:p>
    <w:p w14:paraId="209B2F1B" w14:textId="7C6AD4AE" w:rsidR="00E62BAB" w:rsidRDefault="00E62BAB" w:rsidP="00B46A0C">
      <w:pPr>
        <w:pStyle w:val="ListParagraph"/>
        <w:rPr>
          <w:rFonts w:ascii="Arial" w:hAnsi="Arial" w:cs="Arial"/>
        </w:rPr>
      </w:pPr>
    </w:p>
    <w:p w14:paraId="296E080E" w14:textId="77777777" w:rsidR="00E62BAB" w:rsidRPr="00B46A0C" w:rsidRDefault="00E62BAB" w:rsidP="00B46A0C">
      <w:pPr>
        <w:pStyle w:val="ListParagraph"/>
        <w:rPr>
          <w:rFonts w:ascii="Arial" w:hAnsi="Arial" w:cs="Arial"/>
        </w:rPr>
      </w:pPr>
    </w:p>
    <w:p w14:paraId="34930AA4" w14:textId="639CBD81" w:rsidR="0004095B" w:rsidRPr="00D47AE6" w:rsidRDefault="00B46A0C" w:rsidP="00F50FA7">
      <w:pPr>
        <w:pStyle w:val="ListParagraph"/>
        <w:spacing w:line="360" w:lineRule="auto"/>
        <w:ind w:left="1418" w:right="50"/>
        <w:jc w:val="both"/>
        <w:rPr>
          <w:rFonts w:ascii="Arial" w:hAnsi="Arial" w:cs="Arial"/>
          <w:i/>
          <w:iCs/>
          <w:sz w:val="22"/>
          <w:szCs w:val="22"/>
        </w:rPr>
      </w:pPr>
      <w:r w:rsidRPr="00D47AE6">
        <w:rPr>
          <w:rFonts w:ascii="Arial" w:hAnsi="Arial" w:cs="Arial"/>
          <w:i/>
          <w:iCs/>
          <w:sz w:val="22"/>
          <w:szCs w:val="22"/>
        </w:rPr>
        <w:t>“</w:t>
      </w:r>
      <w:r w:rsidR="008908FA" w:rsidRPr="00D47AE6">
        <w:rPr>
          <w:rFonts w:ascii="Arial" w:hAnsi="Arial" w:cs="Arial"/>
          <w:i/>
          <w:iCs/>
          <w:sz w:val="22"/>
          <w:szCs w:val="22"/>
        </w:rPr>
        <w:t xml:space="preserve">To my mind the overriding consideration here is that the appellant, being an organ of State, is bound by a constitutional obligation to conduct its operations transparently and accountably.  Once it enters into a commercial agreement of a public character like the one in issue (disclosure of the details of which does not involve any risk, for example, to State security or the safety of the public) </w:t>
      </w:r>
      <w:r w:rsidR="0004095B" w:rsidRPr="00D47AE6">
        <w:rPr>
          <w:rFonts w:ascii="Arial" w:hAnsi="Arial" w:cs="Arial"/>
          <w:i/>
          <w:iCs/>
          <w:sz w:val="22"/>
          <w:szCs w:val="22"/>
        </w:rPr>
        <w:t>the imperative of transparency and accountability entitles members of the public, in whose interest an organ of State operates, to know what expenditure such an agreement entails</w:t>
      </w:r>
      <w:r w:rsidR="00C80E1B">
        <w:rPr>
          <w:rFonts w:ascii="Arial" w:hAnsi="Arial" w:cs="Arial"/>
          <w:i/>
          <w:iCs/>
          <w:sz w:val="22"/>
          <w:szCs w:val="22"/>
        </w:rPr>
        <w:t>.”</w:t>
      </w:r>
    </w:p>
    <w:p w14:paraId="60472541" w14:textId="77777777" w:rsidR="00E62BAB" w:rsidRDefault="00E62BAB" w:rsidP="00D47AE6">
      <w:pPr>
        <w:pStyle w:val="ListParagraph"/>
        <w:spacing w:line="360" w:lineRule="auto"/>
        <w:ind w:left="2268" w:right="50" w:hanging="850"/>
        <w:jc w:val="both"/>
        <w:rPr>
          <w:rFonts w:ascii="Arial" w:hAnsi="Arial" w:cs="Arial"/>
          <w:sz w:val="22"/>
          <w:szCs w:val="22"/>
        </w:rPr>
      </w:pPr>
    </w:p>
    <w:p w14:paraId="4F5CA8B3" w14:textId="360BE19B" w:rsidR="0004095B" w:rsidRDefault="00F635E3" w:rsidP="00D47AE6">
      <w:pPr>
        <w:pStyle w:val="ListParagraph"/>
        <w:spacing w:line="360" w:lineRule="auto"/>
        <w:ind w:left="2268" w:right="50" w:hanging="850"/>
        <w:jc w:val="both"/>
        <w:rPr>
          <w:rFonts w:ascii="Arial" w:hAnsi="Arial" w:cs="Arial"/>
          <w:sz w:val="22"/>
          <w:szCs w:val="22"/>
        </w:rPr>
      </w:pPr>
      <w:r>
        <w:rPr>
          <w:rFonts w:ascii="Arial" w:hAnsi="Arial" w:cs="Arial"/>
          <w:sz w:val="22"/>
          <w:szCs w:val="22"/>
        </w:rPr>
        <w:t>a</w:t>
      </w:r>
      <w:r w:rsidR="00C80E1B">
        <w:rPr>
          <w:rFonts w:ascii="Arial" w:hAnsi="Arial" w:cs="Arial"/>
          <w:sz w:val="22"/>
          <w:szCs w:val="22"/>
        </w:rPr>
        <w:t xml:space="preserve">nd </w:t>
      </w:r>
    </w:p>
    <w:p w14:paraId="72DA5DAD" w14:textId="77777777" w:rsidR="00C80E1B" w:rsidRPr="00C80E1B" w:rsidRDefault="00C80E1B" w:rsidP="00D47AE6">
      <w:pPr>
        <w:pStyle w:val="ListParagraph"/>
        <w:spacing w:line="360" w:lineRule="auto"/>
        <w:ind w:left="2268" w:right="50" w:hanging="850"/>
        <w:jc w:val="both"/>
        <w:rPr>
          <w:rFonts w:ascii="Arial" w:hAnsi="Arial" w:cs="Arial"/>
          <w:sz w:val="22"/>
          <w:szCs w:val="22"/>
        </w:rPr>
      </w:pPr>
    </w:p>
    <w:p w14:paraId="6086DB3B" w14:textId="00DACFA7" w:rsidR="00B46A0C" w:rsidRPr="00D47AE6" w:rsidRDefault="00C80E1B" w:rsidP="00F50FA7">
      <w:pPr>
        <w:pStyle w:val="ListParagraph"/>
        <w:spacing w:line="360" w:lineRule="auto"/>
        <w:ind w:left="1418" w:right="50"/>
        <w:jc w:val="both"/>
        <w:rPr>
          <w:rFonts w:ascii="Arial" w:hAnsi="Arial" w:cs="Arial"/>
          <w:i/>
          <w:iCs/>
          <w:sz w:val="22"/>
          <w:szCs w:val="22"/>
        </w:rPr>
      </w:pPr>
      <w:r>
        <w:rPr>
          <w:rFonts w:ascii="Arial" w:hAnsi="Arial" w:cs="Arial"/>
          <w:i/>
          <w:iCs/>
          <w:sz w:val="22"/>
          <w:szCs w:val="22"/>
        </w:rPr>
        <w:t>“</w:t>
      </w:r>
      <w:r w:rsidR="00D47AE6" w:rsidRPr="00D47AE6">
        <w:rPr>
          <w:rFonts w:ascii="Arial" w:hAnsi="Arial" w:cs="Arial"/>
          <w:i/>
          <w:iCs/>
          <w:sz w:val="22"/>
          <w:szCs w:val="22"/>
        </w:rPr>
        <w:t>Parties cannot circumvent the terms of the Act by resorting to a confidentiality</w:t>
      </w:r>
      <w:r>
        <w:rPr>
          <w:rFonts w:ascii="Arial" w:hAnsi="Arial" w:cs="Arial"/>
          <w:i/>
          <w:iCs/>
          <w:sz w:val="22"/>
          <w:szCs w:val="22"/>
        </w:rPr>
        <w:t xml:space="preserve"> </w:t>
      </w:r>
      <w:r w:rsidR="00D47AE6" w:rsidRPr="00D47AE6">
        <w:rPr>
          <w:rFonts w:ascii="Arial" w:hAnsi="Arial" w:cs="Arial"/>
          <w:i/>
          <w:iCs/>
          <w:sz w:val="22"/>
          <w:szCs w:val="22"/>
        </w:rPr>
        <w:t xml:space="preserve">clause.” </w:t>
      </w:r>
      <w:r w:rsidR="0004095B" w:rsidRPr="00D47AE6">
        <w:rPr>
          <w:rFonts w:ascii="Arial" w:hAnsi="Arial" w:cs="Arial"/>
          <w:i/>
          <w:iCs/>
          <w:sz w:val="22"/>
          <w:szCs w:val="22"/>
        </w:rPr>
        <w:t xml:space="preserve"> </w:t>
      </w:r>
    </w:p>
    <w:p w14:paraId="5756D150" w14:textId="2BF46193" w:rsidR="008D7240" w:rsidRDefault="008D7240" w:rsidP="003C2498">
      <w:pPr>
        <w:rPr>
          <w:rFonts w:ascii="Arial" w:hAnsi="Arial" w:cs="Arial"/>
        </w:rPr>
      </w:pPr>
    </w:p>
    <w:p w14:paraId="0963BD08" w14:textId="18DDDE01" w:rsidR="00E62BAB" w:rsidRPr="004216CB" w:rsidRDefault="004216CB" w:rsidP="004216CB">
      <w:pPr>
        <w:spacing w:line="360" w:lineRule="auto"/>
        <w:ind w:left="851" w:hanging="851"/>
        <w:jc w:val="both"/>
        <w:rPr>
          <w:rFonts w:ascii="Arial" w:hAnsi="Arial" w:cs="Arial"/>
        </w:rPr>
      </w:pPr>
      <w:r>
        <w:rPr>
          <w:rFonts w:ascii="Arial" w:hAnsi="Arial" w:cs="Arial"/>
        </w:rPr>
        <w:t>[35]</w:t>
      </w:r>
      <w:r>
        <w:rPr>
          <w:rFonts w:ascii="Arial" w:hAnsi="Arial" w:cs="Arial"/>
        </w:rPr>
        <w:tab/>
      </w:r>
      <w:r w:rsidR="003C2498" w:rsidRPr="004216CB">
        <w:rPr>
          <w:rFonts w:ascii="Arial" w:hAnsi="Arial" w:cs="Arial"/>
        </w:rPr>
        <w:t xml:space="preserve">It was argued for HJI that even in the face of a confidentiality clause, the non-confidential portions of the documents ought to have been disclosed.  This is particularly so since at least some of the </w:t>
      </w:r>
      <w:r w:rsidR="001C6AA6" w:rsidRPr="004216CB">
        <w:rPr>
          <w:rFonts w:ascii="Arial" w:hAnsi="Arial" w:cs="Arial"/>
        </w:rPr>
        <w:t>information,</w:t>
      </w:r>
      <w:r w:rsidR="003C2498" w:rsidRPr="004216CB">
        <w:rPr>
          <w:rFonts w:ascii="Arial" w:hAnsi="Arial" w:cs="Arial"/>
        </w:rPr>
        <w:t xml:space="preserve"> which was contained in the</w:t>
      </w:r>
      <w:r w:rsidR="00841879" w:rsidRPr="004216CB">
        <w:rPr>
          <w:rFonts w:ascii="Arial" w:hAnsi="Arial" w:cs="Arial"/>
        </w:rPr>
        <w:t xml:space="preserve"> documentation sought</w:t>
      </w:r>
      <w:r w:rsidR="002E54A9" w:rsidRPr="004216CB">
        <w:rPr>
          <w:rFonts w:ascii="Arial" w:hAnsi="Arial" w:cs="Arial"/>
        </w:rPr>
        <w:t>, but at the very least the import of what may have been agreed to</w:t>
      </w:r>
      <w:r w:rsidR="00841879" w:rsidRPr="004216CB">
        <w:rPr>
          <w:rFonts w:ascii="Arial" w:hAnsi="Arial" w:cs="Arial"/>
        </w:rPr>
        <w:t xml:space="preserve"> was publicly disclosed by the Minister of Finance to Parliament</w:t>
      </w:r>
      <w:r w:rsidR="00CC3811" w:rsidRPr="004216CB">
        <w:rPr>
          <w:rFonts w:ascii="Arial" w:hAnsi="Arial" w:cs="Arial"/>
        </w:rPr>
        <w:t>’s Portfolio Committee on Health</w:t>
      </w:r>
      <w:r w:rsidR="00841879" w:rsidRPr="004216CB">
        <w:rPr>
          <w:rFonts w:ascii="Arial" w:hAnsi="Arial" w:cs="Arial"/>
        </w:rPr>
        <w:t xml:space="preserve"> as well as the citizenry.</w:t>
      </w:r>
      <w:r w:rsidR="00841879">
        <w:rPr>
          <w:rStyle w:val="FootnoteReference"/>
          <w:rFonts w:ascii="Arial" w:hAnsi="Arial" w:cs="Arial"/>
        </w:rPr>
        <w:footnoteReference w:id="21"/>
      </w:r>
    </w:p>
    <w:p w14:paraId="02418A01" w14:textId="77777777" w:rsidR="00E62BAB" w:rsidRDefault="00E62BAB" w:rsidP="00E62BAB">
      <w:pPr>
        <w:pStyle w:val="ListParagraph"/>
        <w:spacing w:line="360" w:lineRule="auto"/>
        <w:ind w:left="851" w:hanging="851"/>
        <w:jc w:val="both"/>
        <w:rPr>
          <w:rFonts w:ascii="Arial" w:hAnsi="Arial" w:cs="Arial"/>
        </w:rPr>
      </w:pPr>
    </w:p>
    <w:p w14:paraId="3A46724C" w14:textId="5DFD36FD" w:rsidR="00DE588F" w:rsidRPr="004216CB" w:rsidRDefault="004216CB" w:rsidP="004216CB">
      <w:pPr>
        <w:spacing w:line="360" w:lineRule="auto"/>
        <w:ind w:left="851" w:hanging="851"/>
        <w:jc w:val="both"/>
        <w:rPr>
          <w:rFonts w:ascii="Arial" w:hAnsi="Arial" w:cs="Arial"/>
        </w:rPr>
      </w:pPr>
      <w:r w:rsidRPr="00E62BAB">
        <w:rPr>
          <w:rFonts w:ascii="Arial" w:hAnsi="Arial" w:cs="Arial"/>
        </w:rPr>
        <w:t>[36]</w:t>
      </w:r>
      <w:r w:rsidRPr="00E62BAB">
        <w:rPr>
          <w:rFonts w:ascii="Arial" w:hAnsi="Arial" w:cs="Arial"/>
        </w:rPr>
        <w:tab/>
      </w:r>
      <w:r w:rsidR="000E4726" w:rsidRPr="004216CB">
        <w:rPr>
          <w:rFonts w:ascii="Arial" w:hAnsi="Arial" w:cs="Arial"/>
        </w:rPr>
        <w:t xml:space="preserve">It seems somewhat obvious, in the context of public procurement but in particular in the present instance, that just because there is a confidentiality clause, does not mean that the information and documentation can be withheld on that basis alone.  In </w:t>
      </w:r>
      <w:r w:rsidR="000E4726" w:rsidRPr="004216CB">
        <w:rPr>
          <w:rFonts w:ascii="Arial" w:hAnsi="Arial" w:cs="Arial"/>
          <w:i/>
          <w:iCs/>
        </w:rPr>
        <w:t>De Lange and Another v Eskom Holdings Ltd and Others</w:t>
      </w:r>
      <w:r w:rsidR="000E4726">
        <w:rPr>
          <w:rStyle w:val="FootnoteReference"/>
          <w:rFonts w:ascii="Arial" w:hAnsi="Arial" w:cs="Arial"/>
        </w:rPr>
        <w:footnoteReference w:id="22"/>
      </w:r>
      <w:r w:rsidR="00DE588F" w:rsidRPr="004216CB">
        <w:rPr>
          <w:rFonts w:ascii="Arial" w:hAnsi="Arial" w:cs="Arial"/>
        </w:rPr>
        <w:t>, it was held that in regard to reliance on a confidentiality clause to withhold disclosure, more was required:</w:t>
      </w:r>
    </w:p>
    <w:p w14:paraId="5DB8B558" w14:textId="2757FD31" w:rsidR="00DE588F" w:rsidRDefault="00DE588F" w:rsidP="00DE588F">
      <w:pPr>
        <w:spacing w:line="360" w:lineRule="auto"/>
        <w:jc w:val="both"/>
        <w:rPr>
          <w:rFonts w:ascii="Arial" w:hAnsi="Arial" w:cs="Arial"/>
        </w:rPr>
      </w:pPr>
    </w:p>
    <w:p w14:paraId="7598F673" w14:textId="08338CB9" w:rsidR="00E62BAB" w:rsidRDefault="00E62BAB" w:rsidP="00DE588F">
      <w:pPr>
        <w:spacing w:line="360" w:lineRule="auto"/>
        <w:jc w:val="both"/>
        <w:rPr>
          <w:rFonts w:ascii="Arial" w:hAnsi="Arial" w:cs="Arial"/>
        </w:rPr>
      </w:pPr>
    </w:p>
    <w:p w14:paraId="3CAA3AE6" w14:textId="77777777" w:rsidR="00E62BAB" w:rsidRDefault="00E62BAB" w:rsidP="00DE588F">
      <w:pPr>
        <w:spacing w:line="360" w:lineRule="auto"/>
        <w:jc w:val="both"/>
        <w:rPr>
          <w:rFonts w:ascii="Arial" w:hAnsi="Arial" w:cs="Arial"/>
        </w:rPr>
      </w:pPr>
    </w:p>
    <w:p w14:paraId="4F2AFBD3" w14:textId="77C57175" w:rsidR="000E4726" w:rsidRDefault="00DE588F" w:rsidP="00DE588F">
      <w:pPr>
        <w:spacing w:line="360" w:lineRule="auto"/>
        <w:ind w:left="1418"/>
        <w:jc w:val="both"/>
        <w:rPr>
          <w:rFonts w:ascii="Arial" w:hAnsi="Arial" w:cs="Arial"/>
          <w:i/>
          <w:iCs/>
          <w:sz w:val="22"/>
          <w:szCs w:val="22"/>
        </w:rPr>
      </w:pPr>
      <w:r>
        <w:rPr>
          <w:rFonts w:ascii="Arial" w:hAnsi="Arial" w:cs="Arial"/>
        </w:rPr>
        <w:t>“</w:t>
      </w:r>
      <w:r>
        <w:rPr>
          <w:rFonts w:ascii="Arial" w:hAnsi="Arial" w:cs="Arial"/>
          <w:i/>
          <w:iCs/>
          <w:sz w:val="22"/>
          <w:szCs w:val="22"/>
        </w:rPr>
        <w:t>[D]etails as to the nature of this confidence, whether it arises from the agreements themselves or some other basis, what aspects of the agreements the duty of confidence covers, and whether the duty of confidence contains any exceptions, for example, in relation to disclosures required by law or pursuant to a court order.”</w:t>
      </w:r>
    </w:p>
    <w:p w14:paraId="6C9E97BA" w14:textId="77777777" w:rsidR="0034067E" w:rsidRDefault="0034067E" w:rsidP="00DE588F">
      <w:pPr>
        <w:spacing w:line="360" w:lineRule="auto"/>
        <w:ind w:left="1418"/>
        <w:jc w:val="both"/>
        <w:rPr>
          <w:rFonts w:ascii="Arial" w:hAnsi="Arial" w:cs="Arial"/>
          <w:i/>
          <w:iCs/>
          <w:sz w:val="22"/>
          <w:szCs w:val="22"/>
        </w:rPr>
      </w:pPr>
    </w:p>
    <w:p w14:paraId="605CC02B" w14:textId="0CEA418C" w:rsidR="00BD1079" w:rsidRPr="004216CB" w:rsidRDefault="004216CB" w:rsidP="004216CB">
      <w:pPr>
        <w:spacing w:line="360" w:lineRule="auto"/>
        <w:ind w:left="851" w:hanging="851"/>
        <w:jc w:val="both"/>
        <w:rPr>
          <w:rFonts w:ascii="Arial" w:hAnsi="Arial" w:cs="Arial"/>
        </w:rPr>
      </w:pPr>
      <w:r>
        <w:rPr>
          <w:rFonts w:ascii="Arial" w:hAnsi="Arial" w:cs="Arial"/>
        </w:rPr>
        <w:t>[37]</w:t>
      </w:r>
      <w:r>
        <w:rPr>
          <w:rFonts w:ascii="Arial" w:hAnsi="Arial" w:cs="Arial"/>
        </w:rPr>
        <w:tab/>
      </w:r>
      <w:r w:rsidR="00966673" w:rsidRPr="004216CB">
        <w:rPr>
          <w:rFonts w:ascii="Arial" w:hAnsi="Arial" w:cs="Arial"/>
        </w:rPr>
        <w:t xml:space="preserve">It has not been suggested by the respondents that </w:t>
      </w:r>
      <w:r w:rsidR="00B63EE6" w:rsidRPr="004216CB">
        <w:rPr>
          <w:rFonts w:ascii="Arial" w:hAnsi="Arial" w:cs="Arial"/>
        </w:rPr>
        <w:t xml:space="preserve">were this court to order the furnishing of the information and documentation sought in spite of </w:t>
      </w:r>
      <w:r w:rsidR="00F26A66" w:rsidRPr="004216CB">
        <w:rPr>
          <w:rFonts w:ascii="Arial" w:hAnsi="Arial" w:cs="Arial"/>
        </w:rPr>
        <w:t>t</w:t>
      </w:r>
      <w:r w:rsidR="00966673" w:rsidRPr="004216CB">
        <w:rPr>
          <w:rFonts w:ascii="Arial" w:hAnsi="Arial" w:cs="Arial"/>
        </w:rPr>
        <w:t>he confidentiality clause</w:t>
      </w:r>
      <w:r w:rsidR="00F26A66" w:rsidRPr="004216CB">
        <w:rPr>
          <w:rFonts w:ascii="Arial" w:hAnsi="Arial" w:cs="Arial"/>
        </w:rPr>
        <w:t>, that this</w:t>
      </w:r>
      <w:r w:rsidR="00966673" w:rsidRPr="004216CB">
        <w:rPr>
          <w:rFonts w:ascii="Arial" w:hAnsi="Arial" w:cs="Arial"/>
        </w:rPr>
        <w:t xml:space="preserve"> would have any adverse consequence</w:t>
      </w:r>
      <w:r w:rsidR="00F26A66" w:rsidRPr="004216CB">
        <w:rPr>
          <w:rFonts w:ascii="Arial" w:hAnsi="Arial" w:cs="Arial"/>
        </w:rPr>
        <w:t>, such as a claim for damages for breach of contract,</w:t>
      </w:r>
      <w:r w:rsidR="00F26A66">
        <w:rPr>
          <w:rStyle w:val="FootnoteReference"/>
          <w:rFonts w:ascii="Arial" w:hAnsi="Arial" w:cs="Arial"/>
        </w:rPr>
        <w:footnoteReference w:id="23"/>
      </w:r>
      <w:r w:rsidR="00966673" w:rsidRPr="004216CB">
        <w:rPr>
          <w:rFonts w:ascii="Arial" w:hAnsi="Arial" w:cs="Arial"/>
        </w:rPr>
        <w:t xml:space="preserve"> for either the respondents or for that matter any of the parties with whom they contracted</w:t>
      </w:r>
      <w:r w:rsidR="00F26A66" w:rsidRPr="004216CB">
        <w:rPr>
          <w:rFonts w:ascii="Arial" w:hAnsi="Arial" w:cs="Arial"/>
        </w:rPr>
        <w:t>.</w:t>
      </w:r>
    </w:p>
    <w:p w14:paraId="110E3842" w14:textId="77777777" w:rsidR="005809C3" w:rsidRDefault="005809C3" w:rsidP="00E62BAB">
      <w:pPr>
        <w:pStyle w:val="ListParagraph"/>
        <w:spacing w:line="360" w:lineRule="auto"/>
        <w:ind w:left="851" w:hanging="851"/>
        <w:jc w:val="both"/>
        <w:rPr>
          <w:rFonts w:ascii="Arial" w:hAnsi="Arial" w:cs="Arial"/>
        </w:rPr>
      </w:pPr>
    </w:p>
    <w:p w14:paraId="3BD19BD3" w14:textId="68A62B8E" w:rsidR="0034067E" w:rsidRPr="004216CB" w:rsidRDefault="004216CB" w:rsidP="004216CB">
      <w:pPr>
        <w:spacing w:line="360" w:lineRule="auto"/>
        <w:ind w:left="851" w:hanging="851"/>
        <w:jc w:val="both"/>
        <w:rPr>
          <w:rFonts w:ascii="Arial" w:hAnsi="Arial" w:cs="Arial"/>
        </w:rPr>
      </w:pPr>
      <w:r w:rsidRPr="00BD1079">
        <w:rPr>
          <w:rFonts w:ascii="Arial" w:hAnsi="Arial" w:cs="Arial"/>
        </w:rPr>
        <w:t>[38]</w:t>
      </w:r>
      <w:r w:rsidRPr="00BD1079">
        <w:rPr>
          <w:rFonts w:ascii="Arial" w:hAnsi="Arial" w:cs="Arial"/>
        </w:rPr>
        <w:tab/>
      </w:r>
      <w:r w:rsidR="0079297C" w:rsidRPr="004216CB">
        <w:rPr>
          <w:rFonts w:ascii="Arial" w:hAnsi="Arial" w:cs="Arial"/>
        </w:rPr>
        <w:t>For the reasons set out above, I find that the respondents have failed to show that the information and documentation sought falls within the ambit of the exemption in section 37(1)(a) of PAIA.</w:t>
      </w:r>
      <w:r w:rsidR="00966673" w:rsidRPr="004216CB">
        <w:rPr>
          <w:rFonts w:ascii="Arial" w:hAnsi="Arial" w:cs="Arial"/>
        </w:rPr>
        <w:t xml:space="preserve"> </w:t>
      </w:r>
    </w:p>
    <w:p w14:paraId="27700472" w14:textId="77777777" w:rsidR="00F50FA7" w:rsidRPr="00966673" w:rsidRDefault="00F50FA7" w:rsidP="0034067E">
      <w:pPr>
        <w:spacing w:line="360" w:lineRule="auto"/>
        <w:jc w:val="both"/>
        <w:rPr>
          <w:rFonts w:ascii="Arial" w:hAnsi="Arial" w:cs="Arial"/>
        </w:rPr>
      </w:pPr>
    </w:p>
    <w:p w14:paraId="08585086" w14:textId="282EB43A" w:rsidR="003C2498" w:rsidRPr="003C2498" w:rsidRDefault="003C2498" w:rsidP="003C2498">
      <w:pPr>
        <w:rPr>
          <w:rFonts w:ascii="Arial" w:hAnsi="Arial" w:cs="Arial"/>
        </w:rPr>
      </w:pPr>
    </w:p>
    <w:p w14:paraId="37BB17F6" w14:textId="3D9735DB" w:rsidR="00136595" w:rsidRDefault="00E20730" w:rsidP="00136595">
      <w:pPr>
        <w:spacing w:line="360" w:lineRule="auto"/>
        <w:ind w:right="50"/>
        <w:jc w:val="both"/>
        <w:rPr>
          <w:rFonts w:ascii="Arial" w:hAnsi="Arial" w:cs="Arial"/>
          <w:b/>
          <w:bCs/>
        </w:rPr>
      </w:pPr>
      <w:r>
        <w:rPr>
          <w:rFonts w:ascii="Arial" w:hAnsi="Arial" w:cs="Arial"/>
          <w:b/>
          <w:bCs/>
        </w:rPr>
        <w:t>PREJUDICE TO FUTURE ENGAGEMENTS</w:t>
      </w:r>
      <w:r w:rsidR="0079297C">
        <w:rPr>
          <w:rFonts w:ascii="Arial" w:hAnsi="Arial" w:cs="Arial"/>
          <w:b/>
          <w:bCs/>
        </w:rPr>
        <w:t xml:space="preserve"> / COMMERCIAL PREJUDICE</w:t>
      </w:r>
    </w:p>
    <w:p w14:paraId="471D052D" w14:textId="77777777" w:rsidR="00E20730" w:rsidRPr="00136595" w:rsidRDefault="00E20730" w:rsidP="00136595">
      <w:pPr>
        <w:spacing w:line="360" w:lineRule="auto"/>
        <w:ind w:right="50"/>
        <w:jc w:val="both"/>
        <w:rPr>
          <w:rFonts w:ascii="Arial" w:hAnsi="Arial" w:cs="Arial"/>
          <w:b/>
          <w:bCs/>
        </w:rPr>
      </w:pPr>
    </w:p>
    <w:p w14:paraId="2B7CF1B9" w14:textId="7DB83ABA" w:rsidR="00BD1079" w:rsidRPr="004216CB" w:rsidRDefault="004216CB" w:rsidP="004216CB">
      <w:pPr>
        <w:spacing w:line="360" w:lineRule="auto"/>
        <w:ind w:left="851" w:right="50" w:hanging="720"/>
        <w:jc w:val="both"/>
        <w:rPr>
          <w:rFonts w:ascii="Arial" w:hAnsi="Arial" w:cs="Arial"/>
          <w:sz w:val="22"/>
          <w:szCs w:val="22"/>
        </w:rPr>
      </w:pPr>
      <w:r>
        <w:rPr>
          <w:rFonts w:ascii="Arial" w:hAnsi="Arial" w:cs="Arial"/>
        </w:rPr>
        <w:t>[39]</w:t>
      </w:r>
      <w:r>
        <w:rPr>
          <w:rFonts w:ascii="Arial" w:hAnsi="Arial" w:cs="Arial"/>
        </w:rPr>
        <w:tab/>
      </w:r>
      <w:r w:rsidR="0079297C" w:rsidRPr="004216CB">
        <w:rPr>
          <w:rFonts w:ascii="Arial" w:hAnsi="Arial" w:cs="Arial"/>
        </w:rPr>
        <w:t>It was argued on behalf of the respondents that the disclosure of the information sought would cause harm to the commercial interests of the Republic. This argument was s</w:t>
      </w:r>
      <w:r w:rsidR="00DA6E5A" w:rsidRPr="004216CB">
        <w:rPr>
          <w:rFonts w:ascii="Arial" w:hAnsi="Arial" w:cs="Arial"/>
        </w:rPr>
        <w:t xml:space="preserve">aid to encompass </w:t>
      </w:r>
      <w:r w:rsidR="00DA6E5A" w:rsidRPr="004216CB">
        <w:rPr>
          <w:rFonts w:ascii="Arial" w:hAnsi="Arial" w:cs="Arial"/>
          <w:i/>
          <w:iCs/>
          <w:sz w:val="22"/>
          <w:szCs w:val="22"/>
        </w:rPr>
        <w:t>“its future contractual relationships with the manufacturers, suppliers of vaccines and other countries who are signatories to the agreements and other international pharmaceutical companies”.</w:t>
      </w:r>
      <w:r w:rsidR="00DA6E5A" w:rsidRPr="004216CB">
        <w:rPr>
          <w:rFonts w:ascii="Arial" w:hAnsi="Arial" w:cs="Arial"/>
          <w:sz w:val="22"/>
          <w:szCs w:val="22"/>
        </w:rPr>
        <w:t xml:space="preserve">  </w:t>
      </w:r>
    </w:p>
    <w:p w14:paraId="232BF3CC" w14:textId="77777777" w:rsidR="00BD1079" w:rsidRDefault="00BD1079" w:rsidP="00E62BAB">
      <w:pPr>
        <w:pStyle w:val="ListParagraph"/>
        <w:spacing w:line="360" w:lineRule="auto"/>
        <w:ind w:left="851" w:right="50" w:hanging="720"/>
        <w:jc w:val="both"/>
        <w:rPr>
          <w:rFonts w:ascii="Arial" w:hAnsi="Arial" w:cs="Arial"/>
          <w:sz w:val="22"/>
          <w:szCs w:val="22"/>
        </w:rPr>
      </w:pPr>
    </w:p>
    <w:p w14:paraId="41CC0D5D" w14:textId="51B097A8" w:rsidR="00BD1079" w:rsidRPr="004216CB" w:rsidRDefault="004216CB" w:rsidP="004216CB">
      <w:pPr>
        <w:spacing w:line="360" w:lineRule="auto"/>
        <w:ind w:left="851" w:right="50" w:hanging="720"/>
        <w:jc w:val="both"/>
        <w:rPr>
          <w:rFonts w:ascii="Arial" w:hAnsi="Arial" w:cs="Arial"/>
          <w:sz w:val="22"/>
          <w:szCs w:val="22"/>
        </w:rPr>
      </w:pPr>
      <w:r w:rsidRPr="00BD1079">
        <w:rPr>
          <w:rFonts w:ascii="Arial" w:hAnsi="Arial" w:cs="Arial"/>
        </w:rPr>
        <w:t>[40]</w:t>
      </w:r>
      <w:r w:rsidRPr="00BD1079">
        <w:rPr>
          <w:rFonts w:ascii="Arial" w:hAnsi="Arial" w:cs="Arial"/>
        </w:rPr>
        <w:tab/>
      </w:r>
      <w:r w:rsidR="00DA6E5A" w:rsidRPr="004216CB">
        <w:rPr>
          <w:rFonts w:ascii="Arial" w:hAnsi="Arial" w:cs="Arial"/>
        </w:rPr>
        <w:t>The argument then proceeded on the assertion that “</w:t>
      </w:r>
      <w:r w:rsidR="00DA6E5A" w:rsidRPr="004216CB">
        <w:rPr>
          <w:rFonts w:ascii="Arial" w:hAnsi="Arial" w:cs="Arial"/>
          <w:i/>
          <w:iCs/>
          <w:sz w:val="22"/>
          <w:szCs w:val="22"/>
        </w:rPr>
        <w:t>the manufacturers and suppliers would be reluctant to engage with the South African government in confidence because the government may be compelled by third parties to disclose information provided to it in confidence.”</w:t>
      </w:r>
    </w:p>
    <w:p w14:paraId="448BF672" w14:textId="77777777" w:rsidR="00BD1079" w:rsidRPr="00BD1079" w:rsidRDefault="00BD1079" w:rsidP="00F50FA7">
      <w:pPr>
        <w:spacing w:line="360" w:lineRule="auto"/>
        <w:ind w:left="851" w:right="50" w:hanging="851"/>
        <w:jc w:val="both"/>
        <w:rPr>
          <w:rFonts w:ascii="Arial" w:hAnsi="Arial" w:cs="Arial"/>
          <w:sz w:val="22"/>
          <w:szCs w:val="22"/>
        </w:rPr>
      </w:pPr>
    </w:p>
    <w:p w14:paraId="7071B300" w14:textId="49ADE7C7" w:rsidR="00BD1079" w:rsidRPr="004216CB" w:rsidRDefault="004216CB" w:rsidP="004216CB">
      <w:pPr>
        <w:spacing w:line="360" w:lineRule="auto"/>
        <w:ind w:left="851" w:right="50" w:hanging="851"/>
        <w:jc w:val="both"/>
        <w:rPr>
          <w:rFonts w:ascii="Arial" w:hAnsi="Arial" w:cs="Arial"/>
          <w:sz w:val="22"/>
          <w:szCs w:val="22"/>
        </w:rPr>
      </w:pPr>
      <w:r w:rsidRPr="00BD1079">
        <w:rPr>
          <w:rFonts w:ascii="Arial" w:hAnsi="Arial" w:cs="Arial"/>
        </w:rPr>
        <w:t>[41]</w:t>
      </w:r>
      <w:r w:rsidRPr="00BD1079">
        <w:rPr>
          <w:rFonts w:ascii="Arial" w:hAnsi="Arial" w:cs="Arial"/>
        </w:rPr>
        <w:tab/>
      </w:r>
      <w:r w:rsidR="00DA6E5A" w:rsidRPr="004216CB">
        <w:rPr>
          <w:rFonts w:ascii="Arial" w:hAnsi="Arial" w:cs="Arial"/>
        </w:rPr>
        <w:t xml:space="preserve">The high-water mark of this argument was that </w:t>
      </w:r>
      <w:r w:rsidR="00DA6E5A" w:rsidRPr="004216CB">
        <w:rPr>
          <w:rFonts w:ascii="Arial" w:hAnsi="Arial" w:cs="Arial"/>
          <w:i/>
          <w:iCs/>
          <w:sz w:val="22"/>
          <w:szCs w:val="22"/>
        </w:rPr>
        <w:t>“South Africa was not the only country that agreed to have confidentiality clauses in the agreements with pharmaceutical companies.”</w:t>
      </w:r>
    </w:p>
    <w:p w14:paraId="2A3BB4C6" w14:textId="77777777" w:rsidR="00BD1079" w:rsidRPr="00BD1079" w:rsidRDefault="00BD1079" w:rsidP="00E62BAB">
      <w:pPr>
        <w:spacing w:line="360" w:lineRule="auto"/>
        <w:ind w:left="851" w:right="50" w:hanging="851"/>
        <w:jc w:val="both"/>
        <w:rPr>
          <w:rFonts w:ascii="Arial" w:hAnsi="Arial" w:cs="Arial"/>
          <w:sz w:val="22"/>
          <w:szCs w:val="22"/>
        </w:rPr>
      </w:pPr>
    </w:p>
    <w:p w14:paraId="60BEAF8B" w14:textId="1D1AA827" w:rsidR="00047A0D" w:rsidRPr="004216CB" w:rsidRDefault="004216CB" w:rsidP="004216CB">
      <w:pPr>
        <w:spacing w:line="360" w:lineRule="auto"/>
        <w:ind w:left="851" w:right="50" w:hanging="851"/>
        <w:jc w:val="both"/>
        <w:rPr>
          <w:rFonts w:ascii="Arial" w:hAnsi="Arial" w:cs="Arial"/>
          <w:sz w:val="22"/>
          <w:szCs w:val="22"/>
        </w:rPr>
      </w:pPr>
      <w:r w:rsidRPr="00047A0D">
        <w:rPr>
          <w:rFonts w:ascii="Arial" w:hAnsi="Arial" w:cs="Arial"/>
        </w:rPr>
        <w:t>[42]</w:t>
      </w:r>
      <w:r w:rsidRPr="00047A0D">
        <w:rPr>
          <w:rFonts w:ascii="Arial" w:hAnsi="Arial" w:cs="Arial"/>
        </w:rPr>
        <w:tab/>
      </w:r>
      <w:r w:rsidR="00A344F9" w:rsidRPr="004216CB">
        <w:rPr>
          <w:rFonts w:ascii="Arial" w:hAnsi="Arial" w:cs="Arial"/>
        </w:rPr>
        <w:t>While it is permissible for the disclosure of information and documentation to be withheld</w:t>
      </w:r>
      <w:r w:rsidR="005326A3" w:rsidRPr="004216CB">
        <w:rPr>
          <w:rFonts w:ascii="Arial" w:hAnsi="Arial" w:cs="Arial"/>
        </w:rPr>
        <w:t xml:space="preserve"> in the event that it would put a third party at a disadvantage in contractual or other negotiations,</w:t>
      </w:r>
      <w:r w:rsidR="005326A3">
        <w:rPr>
          <w:rStyle w:val="FootnoteReference"/>
          <w:rFonts w:ascii="Arial" w:hAnsi="Arial" w:cs="Arial"/>
        </w:rPr>
        <w:footnoteReference w:id="24"/>
      </w:r>
      <w:r w:rsidR="005326A3" w:rsidRPr="004216CB">
        <w:rPr>
          <w:rFonts w:ascii="Arial" w:hAnsi="Arial" w:cs="Arial"/>
        </w:rPr>
        <w:t xml:space="preserve"> or would cause prejudice in commercial competition,</w:t>
      </w:r>
      <w:r w:rsidR="005326A3">
        <w:rPr>
          <w:rStyle w:val="FootnoteReference"/>
          <w:rFonts w:ascii="Arial" w:hAnsi="Arial" w:cs="Arial"/>
        </w:rPr>
        <w:footnoteReference w:id="25"/>
      </w:r>
      <w:r w:rsidR="005326A3" w:rsidRPr="004216CB">
        <w:rPr>
          <w:rFonts w:ascii="Arial" w:hAnsi="Arial" w:cs="Arial"/>
        </w:rPr>
        <w:t xml:space="preserve"> it is necessary for the respondents to show that disclosure would in fact result in a disadvantage or</w:t>
      </w:r>
      <w:r w:rsidR="00F635E3" w:rsidRPr="004216CB">
        <w:rPr>
          <w:rFonts w:ascii="Arial" w:hAnsi="Arial" w:cs="Arial"/>
        </w:rPr>
        <w:t>,</w:t>
      </w:r>
      <w:r w:rsidR="005326A3" w:rsidRPr="004216CB">
        <w:rPr>
          <w:rFonts w:ascii="Arial" w:hAnsi="Arial" w:cs="Arial"/>
        </w:rPr>
        <w:t xml:space="preserve"> alternatively</w:t>
      </w:r>
      <w:r w:rsidR="00F635E3" w:rsidRPr="004216CB">
        <w:rPr>
          <w:rFonts w:ascii="Arial" w:hAnsi="Arial" w:cs="Arial"/>
        </w:rPr>
        <w:t>,</w:t>
      </w:r>
      <w:r w:rsidR="005326A3" w:rsidRPr="004216CB">
        <w:rPr>
          <w:rFonts w:ascii="Arial" w:hAnsi="Arial" w:cs="Arial"/>
        </w:rPr>
        <w:t xml:space="preserve"> prejudice in commercial competition. </w:t>
      </w:r>
    </w:p>
    <w:p w14:paraId="3E4DD0FE" w14:textId="64CA9645" w:rsidR="00BD1079" w:rsidRPr="00F50FA7" w:rsidRDefault="005326A3" w:rsidP="00E62BAB">
      <w:pPr>
        <w:spacing w:line="360" w:lineRule="auto"/>
        <w:ind w:left="851" w:right="50" w:hanging="851"/>
        <w:jc w:val="both"/>
        <w:rPr>
          <w:rFonts w:ascii="Arial" w:hAnsi="Arial" w:cs="Arial"/>
          <w:sz w:val="22"/>
          <w:szCs w:val="22"/>
        </w:rPr>
      </w:pPr>
      <w:r w:rsidRPr="00047A0D">
        <w:rPr>
          <w:rFonts w:ascii="Arial" w:hAnsi="Arial" w:cs="Arial"/>
        </w:rPr>
        <w:t xml:space="preserve"> </w:t>
      </w:r>
    </w:p>
    <w:p w14:paraId="1AB3A31C" w14:textId="72976CA7" w:rsidR="00DA6E5A" w:rsidRPr="004216CB" w:rsidRDefault="004216CB" w:rsidP="004216CB">
      <w:pPr>
        <w:spacing w:line="360" w:lineRule="auto"/>
        <w:ind w:left="851" w:right="50" w:hanging="851"/>
        <w:jc w:val="both"/>
        <w:rPr>
          <w:rFonts w:ascii="Arial" w:hAnsi="Arial" w:cs="Arial"/>
          <w:sz w:val="22"/>
          <w:szCs w:val="22"/>
        </w:rPr>
      </w:pPr>
      <w:r w:rsidRPr="00E62BAB">
        <w:rPr>
          <w:rFonts w:ascii="Arial" w:hAnsi="Arial" w:cs="Arial"/>
        </w:rPr>
        <w:t>[43]</w:t>
      </w:r>
      <w:r w:rsidRPr="00E62BAB">
        <w:rPr>
          <w:rFonts w:ascii="Arial" w:hAnsi="Arial" w:cs="Arial"/>
        </w:rPr>
        <w:tab/>
      </w:r>
      <w:r w:rsidR="005326A3" w:rsidRPr="004216CB">
        <w:rPr>
          <w:rFonts w:ascii="Arial" w:hAnsi="Arial" w:cs="Arial"/>
        </w:rPr>
        <w:t xml:space="preserve">There is nothing before this court to indicate that there would be </w:t>
      </w:r>
      <w:r w:rsidR="0019501B" w:rsidRPr="004216CB">
        <w:rPr>
          <w:rFonts w:ascii="Arial" w:hAnsi="Arial" w:cs="Arial"/>
        </w:rPr>
        <w:t>any disadvantage</w:t>
      </w:r>
      <w:r w:rsidR="005326A3" w:rsidRPr="004216CB">
        <w:rPr>
          <w:rFonts w:ascii="Arial" w:hAnsi="Arial" w:cs="Arial"/>
        </w:rPr>
        <w:t xml:space="preserve"> in future negotiations or commercial prejudice</w:t>
      </w:r>
      <w:r w:rsidR="0019501B" w:rsidRPr="004216CB">
        <w:rPr>
          <w:rFonts w:ascii="Arial" w:hAnsi="Arial" w:cs="Arial"/>
        </w:rPr>
        <w:t xml:space="preserve"> to the Republic or to any of the other parties to the contracts concerned were the information and documentation to be disclosed.  This basis for refusing disclosure is without any merit.</w:t>
      </w:r>
    </w:p>
    <w:p w14:paraId="0227E4D8" w14:textId="77777777" w:rsidR="00F50FA7" w:rsidRPr="00DA6E5A" w:rsidRDefault="00F50FA7" w:rsidP="00E20730">
      <w:pPr>
        <w:spacing w:line="360" w:lineRule="auto"/>
        <w:ind w:right="50"/>
        <w:jc w:val="both"/>
        <w:rPr>
          <w:rFonts w:ascii="Arial" w:hAnsi="Arial" w:cs="Arial"/>
        </w:rPr>
      </w:pPr>
    </w:p>
    <w:p w14:paraId="409EF7C9" w14:textId="347B211D" w:rsidR="00E20730" w:rsidRDefault="00E20730" w:rsidP="00E20730">
      <w:pPr>
        <w:spacing w:line="360" w:lineRule="auto"/>
        <w:ind w:right="50"/>
        <w:jc w:val="both"/>
        <w:rPr>
          <w:rFonts w:ascii="Arial" w:hAnsi="Arial" w:cs="Arial"/>
          <w:b/>
          <w:bCs/>
        </w:rPr>
      </w:pPr>
      <w:r w:rsidRPr="00E20730">
        <w:rPr>
          <w:rFonts w:ascii="Arial" w:hAnsi="Arial" w:cs="Arial"/>
          <w:b/>
          <w:bCs/>
        </w:rPr>
        <w:t>NO ADEQUATE PUBLIC INTEREST</w:t>
      </w:r>
    </w:p>
    <w:p w14:paraId="72B2373D" w14:textId="77777777" w:rsidR="0019501B" w:rsidRPr="00E20730" w:rsidRDefault="0019501B" w:rsidP="00E20730">
      <w:pPr>
        <w:spacing w:line="360" w:lineRule="auto"/>
        <w:ind w:right="50"/>
        <w:jc w:val="both"/>
        <w:rPr>
          <w:rFonts w:ascii="Arial" w:hAnsi="Arial" w:cs="Arial"/>
          <w:b/>
          <w:bCs/>
        </w:rPr>
      </w:pPr>
    </w:p>
    <w:p w14:paraId="0D4069DA" w14:textId="684DBD5B" w:rsidR="00A82EEC" w:rsidRPr="004216CB" w:rsidRDefault="004216CB" w:rsidP="004216CB">
      <w:pPr>
        <w:spacing w:line="360" w:lineRule="auto"/>
        <w:ind w:left="851" w:right="50" w:hanging="851"/>
        <w:jc w:val="both"/>
        <w:rPr>
          <w:rFonts w:ascii="Arial" w:hAnsi="Arial" w:cs="Arial"/>
        </w:rPr>
      </w:pPr>
      <w:r>
        <w:rPr>
          <w:rFonts w:ascii="Arial" w:hAnsi="Arial" w:cs="Arial"/>
        </w:rPr>
        <w:t>[44]</w:t>
      </w:r>
      <w:r>
        <w:rPr>
          <w:rFonts w:ascii="Arial" w:hAnsi="Arial" w:cs="Arial"/>
        </w:rPr>
        <w:tab/>
      </w:r>
      <w:r w:rsidR="0019501B" w:rsidRPr="004216CB">
        <w:rPr>
          <w:rFonts w:ascii="Arial" w:hAnsi="Arial" w:cs="Arial"/>
        </w:rPr>
        <w:t>The respondents argued that there is no basis for the application of the public interest override provided for in section 46 of PAIA.</w:t>
      </w:r>
      <w:r w:rsidR="0019501B">
        <w:rPr>
          <w:rStyle w:val="FootnoteReference"/>
          <w:rFonts w:ascii="Arial" w:hAnsi="Arial" w:cs="Arial"/>
        </w:rPr>
        <w:footnoteReference w:id="26"/>
      </w:r>
      <w:r w:rsidR="00774539" w:rsidRPr="004216CB">
        <w:rPr>
          <w:rFonts w:ascii="Arial" w:hAnsi="Arial" w:cs="Arial"/>
        </w:rPr>
        <w:t xml:space="preserve">  </w:t>
      </w:r>
      <w:r w:rsidR="00AA2597" w:rsidRPr="004216CB">
        <w:rPr>
          <w:rFonts w:ascii="Arial" w:hAnsi="Arial" w:cs="Arial"/>
        </w:rPr>
        <w:t xml:space="preserve">I was referred to </w:t>
      </w:r>
      <w:r w:rsidR="00AA2597" w:rsidRPr="004216CB">
        <w:rPr>
          <w:rFonts w:ascii="Arial" w:hAnsi="Arial" w:cs="Arial"/>
          <w:i/>
          <w:iCs/>
        </w:rPr>
        <w:t>Centre for Social Accountability v Secretary of Parliament</w:t>
      </w:r>
      <w:r w:rsidR="00AA2597">
        <w:rPr>
          <w:rStyle w:val="FootnoteReference"/>
          <w:rFonts w:ascii="Arial" w:hAnsi="Arial" w:cs="Arial"/>
        </w:rPr>
        <w:footnoteReference w:id="27"/>
      </w:r>
      <w:r w:rsidR="00AA2597" w:rsidRPr="004216CB">
        <w:rPr>
          <w:rFonts w:ascii="Arial" w:hAnsi="Arial" w:cs="Arial"/>
          <w:i/>
          <w:iCs/>
        </w:rPr>
        <w:t xml:space="preserve"> </w:t>
      </w:r>
      <w:r w:rsidR="00AA2597" w:rsidRPr="004216CB">
        <w:rPr>
          <w:rFonts w:ascii="Arial" w:hAnsi="Arial" w:cs="Arial"/>
        </w:rPr>
        <w:t>as authority for the proposition that there is an onus</w:t>
      </w:r>
      <w:r w:rsidR="001212EE" w:rsidRPr="004216CB">
        <w:rPr>
          <w:rFonts w:ascii="Arial" w:hAnsi="Arial" w:cs="Arial"/>
        </w:rPr>
        <w:t xml:space="preserve"> on HJI to show on a balance of probability that the disclosure would reveal evidence of either a substantial contravention of or </w:t>
      </w:r>
      <w:r w:rsidR="001212EE" w:rsidRPr="004216CB">
        <w:rPr>
          <w:rFonts w:ascii="Arial" w:hAnsi="Arial" w:cs="Arial"/>
        </w:rPr>
        <w:lastRenderedPageBreak/>
        <w:t>failure to comply with the law, imminent or serious public safety or environmental risk or that the public interest in the disclosure would clearly outweigh the harm.  It was argued that HJI failed to demonstrate any of these.</w:t>
      </w:r>
      <w:r w:rsidR="009759AC" w:rsidRPr="004216CB">
        <w:rPr>
          <w:rFonts w:ascii="Arial" w:hAnsi="Arial" w:cs="Arial"/>
        </w:rPr>
        <w:t xml:space="preserve"> </w:t>
      </w:r>
    </w:p>
    <w:p w14:paraId="0200B6EB" w14:textId="77777777" w:rsidR="00A82EEC" w:rsidRDefault="00A82EEC" w:rsidP="00F50FA7">
      <w:pPr>
        <w:pStyle w:val="ListParagraph"/>
        <w:spacing w:line="360" w:lineRule="auto"/>
        <w:ind w:left="851" w:right="50" w:hanging="851"/>
        <w:jc w:val="both"/>
        <w:rPr>
          <w:rFonts w:ascii="Arial" w:hAnsi="Arial" w:cs="Arial"/>
        </w:rPr>
      </w:pPr>
    </w:p>
    <w:p w14:paraId="0CAAE2FC" w14:textId="37AA6ED2" w:rsidR="00BD1079" w:rsidRPr="004216CB" w:rsidRDefault="004216CB" w:rsidP="004216CB">
      <w:pPr>
        <w:spacing w:line="360" w:lineRule="auto"/>
        <w:ind w:left="851" w:right="50" w:hanging="851"/>
        <w:jc w:val="both"/>
        <w:rPr>
          <w:rFonts w:ascii="Arial" w:hAnsi="Arial" w:cs="Arial"/>
        </w:rPr>
      </w:pPr>
      <w:r>
        <w:rPr>
          <w:rFonts w:ascii="Arial" w:hAnsi="Arial" w:cs="Arial"/>
        </w:rPr>
        <w:t>[45]</w:t>
      </w:r>
      <w:r>
        <w:rPr>
          <w:rFonts w:ascii="Arial" w:hAnsi="Arial" w:cs="Arial"/>
        </w:rPr>
        <w:tab/>
      </w:r>
      <w:r w:rsidR="009759AC" w:rsidRPr="004216CB">
        <w:rPr>
          <w:rFonts w:ascii="Arial" w:hAnsi="Arial" w:cs="Arial"/>
        </w:rPr>
        <w:t xml:space="preserve">I am unable to find that this is so – in </w:t>
      </w:r>
      <w:r w:rsidR="009759AC" w:rsidRPr="004216CB">
        <w:rPr>
          <w:rFonts w:ascii="Arial" w:hAnsi="Arial" w:cs="Arial"/>
          <w:i/>
          <w:iCs/>
        </w:rPr>
        <w:t>Centre for Social Accountability v Secretary of Parliament</w:t>
      </w:r>
      <w:r w:rsidR="009759AC" w:rsidRPr="004216CB">
        <w:rPr>
          <w:rFonts w:ascii="Arial" w:hAnsi="Arial" w:cs="Arial"/>
        </w:rPr>
        <w:t xml:space="preserve">, the court specifically stated that </w:t>
      </w:r>
      <w:r w:rsidR="009759AC" w:rsidRPr="004216CB">
        <w:rPr>
          <w:rFonts w:ascii="Arial" w:hAnsi="Arial" w:cs="Arial"/>
          <w:i/>
          <w:iCs/>
          <w:sz w:val="22"/>
          <w:szCs w:val="22"/>
        </w:rPr>
        <w:t>“[i]n order to give effect to the constitutional right of access to information held by the State, qualified only by the limitation clause 36 of the Constitution and other rights, the restrictive wording used by section 46 of the AIA [PAIA] must be read subject to section 81 of PAIA.</w:t>
      </w:r>
      <w:r w:rsidR="009759AC" w:rsidRPr="004216CB">
        <w:rPr>
          <w:rFonts w:ascii="Arial" w:hAnsi="Arial" w:cs="Arial"/>
        </w:rPr>
        <w:t>”</w:t>
      </w:r>
      <w:r w:rsidR="009759AC">
        <w:rPr>
          <w:rStyle w:val="FootnoteReference"/>
          <w:rFonts w:ascii="Arial" w:hAnsi="Arial" w:cs="Arial"/>
        </w:rPr>
        <w:footnoteReference w:id="28"/>
      </w:r>
    </w:p>
    <w:p w14:paraId="73E11C79" w14:textId="77777777" w:rsidR="00BD1079" w:rsidRDefault="00BD1079" w:rsidP="00E62BAB">
      <w:pPr>
        <w:pStyle w:val="ListParagraph"/>
        <w:spacing w:line="360" w:lineRule="auto"/>
        <w:ind w:left="851" w:right="50" w:hanging="851"/>
        <w:jc w:val="both"/>
        <w:rPr>
          <w:rFonts w:ascii="Arial" w:hAnsi="Arial" w:cs="Arial"/>
        </w:rPr>
      </w:pPr>
    </w:p>
    <w:p w14:paraId="281D8B6C" w14:textId="5975BD0E" w:rsidR="00B0544D" w:rsidRPr="004216CB" w:rsidRDefault="004216CB" w:rsidP="004216CB">
      <w:pPr>
        <w:spacing w:line="360" w:lineRule="auto"/>
        <w:ind w:left="851" w:right="50" w:hanging="851"/>
        <w:jc w:val="both"/>
        <w:rPr>
          <w:rFonts w:ascii="Arial" w:hAnsi="Arial" w:cs="Arial"/>
        </w:rPr>
      </w:pPr>
      <w:r w:rsidRPr="00E62BAB">
        <w:rPr>
          <w:rFonts w:ascii="Arial" w:hAnsi="Arial" w:cs="Arial"/>
        </w:rPr>
        <w:t>[46]</w:t>
      </w:r>
      <w:r w:rsidRPr="00E62BAB">
        <w:rPr>
          <w:rFonts w:ascii="Arial" w:hAnsi="Arial" w:cs="Arial"/>
        </w:rPr>
        <w:tab/>
      </w:r>
      <w:r w:rsidR="00A82EEC" w:rsidRPr="004216CB">
        <w:rPr>
          <w:rFonts w:ascii="Arial" w:hAnsi="Arial" w:cs="Arial"/>
        </w:rPr>
        <w:t xml:space="preserve">The onus to demonstrate why access to a record should not be given is borne by the party refusing access. </w:t>
      </w:r>
      <w:r w:rsidR="00E479AF" w:rsidRPr="004216CB">
        <w:rPr>
          <w:rFonts w:ascii="Arial" w:hAnsi="Arial" w:cs="Arial"/>
        </w:rPr>
        <w:t xml:space="preserve">Bearing in mind that access to </w:t>
      </w:r>
      <w:r w:rsidR="000B7053" w:rsidRPr="004216CB">
        <w:rPr>
          <w:rFonts w:ascii="Arial" w:hAnsi="Arial" w:cs="Arial"/>
        </w:rPr>
        <w:t xml:space="preserve">any of the </w:t>
      </w:r>
      <w:r w:rsidR="00E479AF" w:rsidRPr="004216CB">
        <w:rPr>
          <w:rFonts w:ascii="Arial" w:hAnsi="Arial" w:cs="Arial"/>
        </w:rPr>
        <w:t xml:space="preserve"> information and documentation sought by HJI has been refused by the respondents, section 46 of PAIA ought not to be read or applied to create an insuperable barrier to the exercise of its right of access</w:t>
      </w:r>
      <w:r w:rsidR="00E479AF">
        <w:rPr>
          <w:rStyle w:val="FootnoteReference"/>
          <w:rFonts w:ascii="Arial" w:hAnsi="Arial" w:cs="Arial"/>
        </w:rPr>
        <w:footnoteReference w:id="29"/>
      </w:r>
      <w:r w:rsidR="00A82EEC" w:rsidRPr="004216CB">
        <w:rPr>
          <w:rFonts w:ascii="Arial" w:hAnsi="Arial" w:cs="Arial"/>
        </w:rPr>
        <w:t xml:space="preserve"> and certainly not to place an onus on HJI.</w:t>
      </w:r>
      <w:r w:rsidR="00E479AF" w:rsidRPr="004216CB">
        <w:rPr>
          <w:rFonts w:ascii="Arial" w:hAnsi="Arial" w:cs="Arial"/>
        </w:rPr>
        <w:t xml:space="preserve"> </w:t>
      </w:r>
    </w:p>
    <w:p w14:paraId="27015F66" w14:textId="77777777" w:rsidR="00BD1079" w:rsidRPr="00BD1079" w:rsidRDefault="00BD1079" w:rsidP="00E62BAB">
      <w:pPr>
        <w:spacing w:line="360" w:lineRule="auto"/>
        <w:ind w:left="851" w:right="50" w:hanging="851"/>
        <w:jc w:val="both"/>
        <w:rPr>
          <w:rFonts w:ascii="Arial" w:hAnsi="Arial" w:cs="Arial"/>
        </w:rPr>
      </w:pPr>
    </w:p>
    <w:p w14:paraId="5B166BDD" w14:textId="135742BD" w:rsidR="00E479AF" w:rsidRPr="004216CB" w:rsidRDefault="004216CB" w:rsidP="004216CB">
      <w:pPr>
        <w:spacing w:line="360" w:lineRule="auto"/>
        <w:ind w:left="851" w:right="50" w:hanging="851"/>
        <w:jc w:val="both"/>
        <w:rPr>
          <w:rFonts w:ascii="Arial" w:hAnsi="Arial" w:cs="Arial"/>
        </w:rPr>
      </w:pPr>
      <w:r w:rsidRPr="00BD1079">
        <w:rPr>
          <w:rFonts w:ascii="Arial" w:hAnsi="Arial" w:cs="Arial"/>
        </w:rPr>
        <w:t>[47]</w:t>
      </w:r>
      <w:r w:rsidRPr="00BD1079">
        <w:rPr>
          <w:rFonts w:ascii="Arial" w:hAnsi="Arial" w:cs="Arial"/>
        </w:rPr>
        <w:tab/>
      </w:r>
      <w:r w:rsidR="002F3A39" w:rsidRPr="004216CB">
        <w:rPr>
          <w:rFonts w:ascii="Arial" w:hAnsi="Arial" w:cs="Arial"/>
        </w:rPr>
        <w:t>The grounds advanced by HJI for the application of the public interest override were that:</w:t>
      </w:r>
    </w:p>
    <w:p w14:paraId="37BC4946" w14:textId="4D53CAF6" w:rsidR="002F3A39" w:rsidRDefault="002F3A39" w:rsidP="0019501B">
      <w:pPr>
        <w:spacing w:line="360" w:lineRule="auto"/>
        <w:ind w:left="851" w:right="50" w:hanging="851"/>
        <w:jc w:val="both"/>
        <w:rPr>
          <w:rFonts w:ascii="Arial" w:hAnsi="Arial" w:cs="Arial"/>
        </w:rPr>
      </w:pPr>
    </w:p>
    <w:p w14:paraId="229E129D" w14:textId="7FABB86F" w:rsidR="002F3A39" w:rsidRPr="002F3A39" w:rsidRDefault="002F3A39" w:rsidP="002F3A39">
      <w:pPr>
        <w:spacing w:line="360" w:lineRule="auto"/>
        <w:ind w:left="1701" w:right="50" w:hanging="850"/>
        <w:jc w:val="both"/>
        <w:rPr>
          <w:rFonts w:ascii="Arial" w:hAnsi="Arial" w:cs="Arial"/>
          <w:i/>
          <w:iCs/>
          <w:sz w:val="22"/>
          <w:szCs w:val="22"/>
        </w:rPr>
      </w:pPr>
      <w:r w:rsidRPr="002F3A39">
        <w:rPr>
          <w:rFonts w:ascii="Arial" w:hAnsi="Arial" w:cs="Arial"/>
          <w:i/>
          <w:iCs/>
          <w:sz w:val="22"/>
          <w:szCs w:val="22"/>
        </w:rPr>
        <w:t>“42.1</w:t>
      </w:r>
      <w:r w:rsidRPr="002F3A39">
        <w:rPr>
          <w:rFonts w:ascii="Arial" w:hAnsi="Arial" w:cs="Arial"/>
          <w:i/>
          <w:iCs/>
          <w:sz w:val="22"/>
          <w:szCs w:val="22"/>
        </w:rPr>
        <w:tab/>
        <w:t>The Department admits to having bound itself to confidentiality clauses, which the HJI submits are at odds with it</w:t>
      </w:r>
      <w:r w:rsidR="00FB724F">
        <w:rPr>
          <w:rFonts w:ascii="Arial" w:hAnsi="Arial" w:cs="Arial"/>
          <w:i/>
          <w:iCs/>
          <w:sz w:val="22"/>
          <w:szCs w:val="22"/>
        </w:rPr>
        <w:t>s</w:t>
      </w:r>
      <w:r w:rsidRPr="002F3A39">
        <w:rPr>
          <w:rFonts w:ascii="Arial" w:hAnsi="Arial" w:cs="Arial"/>
          <w:i/>
          <w:iCs/>
          <w:sz w:val="22"/>
          <w:szCs w:val="22"/>
        </w:rPr>
        <w:t xml:space="preserve"> obligations under sections 195 and 217 of the Constitution, and which are otherwise contra bonos mores;</w:t>
      </w:r>
    </w:p>
    <w:p w14:paraId="672F8CDC" w14:textId="263BBD33" w:rsidR="002F3A39" w:rsidRPr="002F3A39" w:rsidRDefault="002F3A39" w:rsidP="002F3A39">
      <w:pPr>
        <w:spacing w:line="360" w:lineRule="auto"/>
        <w:ind w:left="1701" w:right="50" w:hanging="850"/>
        <w:jc w:val="both"/>
        <w:rPr>
          <w:rFonts w:ascii="Arial" w:hAnsi="Arial" w:cs="Arial"/>
          <w:i/>
          <w:iCs/>
          <w:sz w:val="22"/>
          <w:szCs w:val="22"/>
        </w:rPr>
      </w:pPr>
    </w:p>
    <w:p w14:paraId="5CD608DE" w14:textId="58A98E2B" w:rsidR="002F3A39" w:rsidRPr="002F3A39" w:rsidRDefault="002F3A39" w:rsidP="002F3A39">
      <w:pPr>
        <w:spacing w:line="360" w:lineRule="auto"/>
        <w:ind w:left="1701" w:right="50" w:hanging="850"/>
        <w:jc w:val="both"/>
        <w:rPr>
          <w:rFonts w:ascii="Arial" w:hAnsi="Arial" w:cs="Arial"/>
          <w:i/>
          <w:iCs/>
          <w:sz w:val="22"/>
          <w:szCs w:val="22"/>
        </w:rPr>
      </w:pPr>
      <w:r w:rsidRPr="002F3A39">
        <w:rPr>
          <w:rFonts w:ascii="Arial" w:hAnsi="Arial" w:cs="Arial"/>
          <w:i/>
          <w:iCs/>
          <w:sz w:val="22"/>
          <w:szCs w:val="22"/>
        </w:rPr>
        <w:t>42.2</w:t>
      </w:r>
      <w:r w:rsidRPr="002F3A39">
        <w:rPr>
          <w:rFonts w:ascii="Arial" w:hAnsi="Arial" w:cs="Arial"/>
          <w:i/>
          <w:iCs/>
          <w:sz w:val="22"/>
          <w:szCs w:val="22"/>
        </w:rPr>
        <w:tab/>
        <w:t>Media reports suggest that the Department procured vaccines at differential and inflated prices (again, in beach of its obligations under section 217 of the Constitution); and</w:t>
      </w:r>
    </w:p>
    <w:p w14:paraId="356A76F5" w14:textId="50625A03" w:rsidR="002F3A39" w:rsidRPr="002F3A39" w:rsidRDefault="002F3A39" w:rsidP="002F3A39">
      <w:pPr>
        <w:spacing w:line="360" w:lineRule="auto"/>
        <w:ind w:left="1701" w:right="50" w:hanging="850"/>
        <w:jc w:val="both"/>
        <w:rPr>
          <w:rFonts w:ascii="Arial" w:hAnsi="Arial" w:cs="Arial"/>
          <w:i/>
          <w:iCs/>
          <w:sz w:val="22"/>
          <w:szCs w:val="22"/>
        </w:rPr>
      </w:pPr>
    </w:p>
    <w:p w14:paraId="68240A17" w14:textId="188651E4" w:rsidR="002F3A39" w:rsidRDefault="002F3A39" w:rsidP="002F3A39">
      <w:pPr>
        <w:spacing w:line="360" w:lineRule="auto"/>
        <w:ind w:left="1701" w:right="50" w:hanging="850"/>
        <w:jc w:val="both"/>
        <w:rPr>
          <w:rFonts w:ascii="Arial" w:hAnsi="Arial" w:cs="Arial"/>
          <w:i/>
          <w:iCs/>
          <w:sz w:val="22"/>
          <w:szCs w:val="22"/>
        </w:rPr>
      </w:pPr>
      <w:r w:rsidRPr="002F3A39">
        <w:rPr>
          <w:rFonts w:ascii="Arial" w:hAnsi="Arial" w:cs="Arial"/>
          <w:i/>
          <w:iCs/>
          <w:sz w:val="22"/>
          <w:szCs w:val="22"/>
        </w:rPr>
        <w:t>42.3</w:t>
      </w:r>
      <w:r w:rsidRPr="002F3A39">
        <w:rPr>
          <w:rFonts w:ascii="Arial" w:hAnsi="Arial" w:cs="Arial"/>
          <w:i/>
          <w:iCs/>
          <w:sz w:val="22"/>
          <w:szCs w:val="22"/>
        </w:rPr>
        <w:tab/>
        <w:t xml:space="preserve">The vaccine procurement agreements contain unreasonable and inequitable terms, including in relation to indemnification; prohibitions on export, on-ward </w:t>
      </w:r>
      <w:r w:rsidRPr="002F3A39">
        <w:rPr>
          <w:rFonts w:ascii="Arial" w:hAnsi="Arial" w:cs="Arial"/>
          <w:i/>
          <w:iCs/>
          <w:sz w:val="22"/>
          <w:szCs w:val="22"/>
        </w:rPr>
        <w:lastRenderedPageBreak/>
        <w:t>sale and donation; and non-refundability of down-payments.  Indeed, the Department has admitted as much.  It is, we submit, unlawful for the Department to enter into contracts on unreasonable and unenforceable terms, and then to seek to shield them from disclosure and potential challenge.”</w:t>
      </w:r>
    </w:p>
    <w:p w14:paraId="74005E42" w14:textId="77777777" w:rsidR="00D8370B" w:rsidRPr="002F3A39" w:rsidRDefault="00D8370B" w:rsidP="002F3A39">
      <w:pPr>
        <w:spacing w:line="360" w:lineRule="auto"/>
        <w:ind w:left="1701" w:right="50" w:hanging="850"/>
        <w:jc w:val="both"/>
        <w:rPr>
          <w:rFonts w:ascii="Arial" w:hAnsi="Arial" w:cs="Arial"/>
          <w:i/>
          <w:iCs/>
          <w:sz w:val="22"/>
          <w:szCs w:val="22"/>
        </w:rPr>
      </w:pPr>
    </w:p>
    <w:p w14:paraId="6735090E" w14:textId="62C35948" w:rsidR="00B0544D" w:rsidRPr="004216CB" w:rsidRDefault="004216CB" w:rsidP="004216CB">
      <w:pPr>
        <w:spacing w:line="360" w:lineRule="auto"/>
        <w:ind w:left="851" w:right="50" w:hanging="851"/>
        <w:jc w:val="both"/>
        <w:rPr>
          <w:rFonts w:ascii="Arial" w:hAnsi="Arial" w:cs="Arial"/>
        </w:rPr>
      </w:pPr>
      <w:r>
        <w:rPr>
          <w:rFonts w:ascii="Arial" w:hAnsi="Arial" w:cs="Arial"/>
        </w:rPr>
        <w:t>[48]</w:t>
      </w:r>
      <w:r>
        <w:rPr>
          <w:rFonts w:ascii="Arial" w:hAnsi="Arial" w:cs="Arial"/>
        </w:rPr>
        <w:tab/>
      </w:r>
      <w:r w:rsidR="00A16684" w:rsidRPr="004216CB">
        <w:rPr>
          <w:rFonts w:ascii="Arial" w:hAnsi="Arial" w:cs="Arial"/>
        </w:rPr>
        <w:t xml:space="preserve">While the circumstances under which </w:t>
      </w:r>
      <w:r w:rsidR="004E5AA0" w:rsidRPr="004216CB">
        <w:rPr>
          <w:rFonts w:ascii="Arial" w:hAnsi="Arial" w:cs="Arial"/>
        </w:rPr>
        <w:t>the respondents</w:t>
      </w:r>
      <w:r w:rsidR="00A16684" w:rsidRPr="004216CB">
        <w:rPr>
          <w:rFonts w:ascii="Arial" w:hAnsi="Arial" w:cs="Arial"/>
        </w:rPr>
        <w:t xml:space="preserve"> negotiated the vaccine procurement contracts and concluded those contracts, i</w:t>
      </w:r>
      <w:r w:rsidR="000B7053" w:rsidRPr="004216CB">
        <w:rPr>
          <w:rFonts w:ascii="Arial" w:hAnsi="Arial" w:cs="Arial"/>
        </w:rPr>
        <w:t>s</w:t>
      </w:r>
      <w:r w:rsidR="00A16684" w:rsidRPr="004216CB">
        <w:rPr>
          <w:rFonts w:ascii="Arial" w:hAnsi="Arial" w:cs="Arial"/>
        </w:rPr>
        <w:t xml:space="preserve"> what may fairly be described as an emergency situation, this does not preclude their disclosure in the public interest.</w:t>
      </w:r>
      <w:r w:rsidR="004E5AA0" w:rsidRPr="004216CB">
        <w:rPr>
          <w:rFonts w:ascii="Arial" w:hAnsi="Arial" w:cs="Arial"/>
        </w:rPr>
        <w:t xml:space="preserve"> </w:t>
      </w:r>
    </w:p>
    <w:p w14:paraId="147C0F98" w14:textId="77777777" w:rsidR="00B0544D" w:rsidRDefault="00B0544D" w:rsidP="00E62BAB">
      <w:pPr>
        <w:pStyle w:val="ListParagraph"/>
        <w:spacing w:line="360" w:lineRule="auto"/>
        <w:ind w:left="851" w:right="50" w:hanging="851"/>
        <w:jc w:val="both"/>
        <w:rPr>
          <w:rFonts w:ascii="Arial" w:hAnsi="Arial" w:cs="Arial"/>
        </w:rPr>
      </w:pPr>
    </w:p>
    <w:p w14:paraId="1AAD26BE" w14:textId="0C785AB8" w:rsidR="009F7E69" w:rsidRPr="004216CB" w:rsidRDefault="004216CB" w:rsidP="004216CB">
      <w:pPr>
        <w:spacing w:line="360" w:lineRule="auto"/>
        <w:ind w:left="851" w:right="50" w:hanging="851"/>
        <w:jc w:val="both"/>
        <w:rPr>
          <w:rFonts w:ascii="Arial" w:hAnsi="Arial" w:cs="Arial"/>
        </w:rPr>
      </w:pPr>
      <w:r w:rsidRPr="00B0544D">
        <w:rPr>
          <w:rFonts w:ascii="Arial" w:hAnsi="Arial" w:cs="Arial"/>
        </w:rPr>
        <w:t>[49]</w:t>
      </w:r>
      <w:r w:rsidRPr="00B0544D">
        <w:rPr>
          <w:rFonts w:ascii="Arial" w:hAnsi="Arial" w:cs="Arial"/>
        </w:rPr>
        <w:tab/>
      </w:r>
      <w:r w:rsidR="004E5AA0" w:rsidRPr="004216CB">
        <w:rPr>
          <w:rFonts w:ascii="Arial" w:hAnsi="Arial" w:cs="Arial"/>
        </w:rPr>
        <w:t>The public interest considerations argued</w:t>
      </w:r>
      <w:r w:rsidR="009F7E69" w:rsidRPr="004216CB">
        <w:rPr>
          <w:rFonts w:ascii="Arial" w:hAnsi="Arial" w:cs="Arial"/>
        </w:rPr>
        <w:t xml:space="preserve"> for HJI</w:t>
      </w:r>
      <w:r w:rsidR="009F7E69">
        <w:rPr>
          <w:rStyle w:val="FootnoteReference"/>
          <w:rFonts w:ascii="Arial" w:hAnsi="Arial" w:cs="Arial"/>
        </w:rPr>
        <w:footnoteReference w:id="30"/>
      </w:r>
      <w:r w:rsidR="009F7E69" w:rsidRPr="004216CB">
        <w:rPr>
          <w:rFonts w:ascii="Arial" w:hAnsi="Arial" w:cs="Arial"/>
        </w:rPr>
        <w:t xml:space="preserve"> were:</w:t>
      </w:r>
    </w:p>
    <w:p w14:paraId="388C3BEE" w14:textId="77777777" w:rsidR="009F7E69" w:rsidRDefault="009F7E69" w:rsidP="00D8370B">
      <w:pPr>
        <w:spacing w:line="360" w:lineRule="auto"/>
        <w:ind w:left="851" w:right="50" w:hanging="851"/>
        <w:jc w:val="both"/>
        <w:rPr>
          <w:rFonts w:ascii="Arial" w:hAnsi="Arial" w:cs="Arial"/>
        </w:rPr>
      </w:pPr>
    </w:p>
    <w:p w14:paraId="04B91251" w14:textId="581A4CD9" w:rsidR="000B7053" w:rsidRDefault="009F7E69" w:rsidP="00904522">
      <w:pPr>
        <w:spacing w:line="360" w:lineRule="auto"/>
        <w:ind w:left="1701" w:right="50" w:hanging="850"/>
        <w:jc w:val="both"/>
        <w:rPr>
          <w:rFonts w:ascii="Arial" w:hAnsi="Arial" w:cs="Arial"/>
        </w:rPr>
      </w:pPr>
      <w:r>
        <w:rPr>
          <w:rFonts w:ascii="Arial" w:hAnsi="Arial" w:cs="Arial"/>
        </w:rPr>
        <w:t>[4</w:t>
      </w:r>
      <w:r w:rsidR="00E62BAB">
        <w:rPr>
          <w:rFonts w:ascii="Arial" w:hAnsi="Arial" w:cs="Arial"/>
        </w:rPr>
        <w:t>9</w:t>
      </w:r>
      <w:r>
        <w:rPr>
          <w:rFonts w:ascii="Arial" w:hAnsi="Arial" w:cs="Arial"/>
        </w:rPr>
        <w:t>.1]</w:t>
      </w:r>
      <w:r>
        <w:rPr>
          <w:rFonts w:ascii="Arial" w:hAnsi="Arial" w:cs="Arial"/>
        </w:rPr>
        <w:tab/>
        <w:t>The records sought are necessary to understand the basis and terms upon which the department negotiated and procured Covid-19 vaccines.  Besides the initial immediate term financial obligations</w:t>
      </w:r>
      <w:r w:rsidR="004E5AA0">
        <w:rPr>
          <w:rFonts w:ascii="Arial" w:hAnsi="Arial" w:cs="Arial"/>
        </w:rPr>
        <w:t xml:space="preserve"> </w:t>
      </w:r>
      <w:r>
        <w:rPr>
          <w:rFonts w:ascii="Arial" w:hAnsi="Arial" w:cs="Arial"/>
        </w:rPr>
        <w:t xml:space="preserve">of the NDOH, there may be terms that will bind the NDOH and through them the citizenry into the future and beyond the pandemic for which they were </w:t>
      </w:r>
      <w:r w:rsidR="00326F4A">
        <w:rPr>
          <w:rFonts w:ascii="Arial" w:hAnsi="Arial" w:cs="Arial"/>
        </w:rPr>
        <w:t>negotiated,</w:t>
      </w:r>
      <w:r>
        <w:rPr>
          <w:rFonts w:ascii="Arial" w:hAnsi="Arial" w:cs="Arial"/>
        </w:rPr>
        <w:t xml:space="preserve"> and which is now over.</w:t>
      </w:r>
      <w:r w:rsidR="00326F4A">
        <w:rPr>
          <w:rFonts w:ascii="Arial" w:hAnsi="Arial" w:cs="Arial"/>
        </w:rPr>
        <w:t xml:space="preserve">  </w:t>
      </w:r>
    </w:p>
    <w:p w14:paraId="69F99F6C" w14:textId="77777777" w:rsidR="000B7053" w:rsidRDefault="000B7053" w:rsidP="00904522">
      <w:pPr>
        <w:spacing w:line="360" w:lineRule="auto"/>
        <w:ind w:left="1701" w:right="50" w:hanging="850"/>
        <w:jc w:val="both"/>
        <w:rPr>
          <w:rFonts w:ascii="Arial" w:hAnsi="Arial" w:cs="Arial"/>
        </w:rPr>
      </w:pPr>
    </w:p>
    <w:p w14:paraId="3D7ED7C3" w14:textId="010CAD86" w:rsidR="004E5AA0" w:rsidRDefault="000B7053" w:rsidP="00904522">
      <w:pPr>
        <w:spacing w:line="360" w:lineRule="auto"/>
        <w:ind w:left="1701" w:right="50" w:hanging="850"/>
        <w:jc w:val="both"/>
        <w:rPr>
          <w:rFonts w:ascii="Arial" w:hAnsi="Arial" w:cs="Arial"/>
        </w:rPr>
      </w:pPr>
      <w:r>
        <w:rPr>
          <w:rFonts w:ascii="Arial" w:hAnsi="Arial" w:cs="Arial"/>
        </w:rPr>
        <w:t>[4</w:t>
      </w:r>
      <w:r w:rsidR="00E62BAB">
        <w:rPr>
          <w:rFonts w:ascii="Arial" w:hAnsi="Arial" w:cs="Arial"/>
        </w:rPr>
        <w:t>9</w:t>
      </w:r>
      <w:r>
        <w:rPr>
          <w:rFonts w:ascii="Arial" w:hAnsi="Arial" w:cs="Arial"/>
        </w:rPr>
        <w:t>.2]</w:t>
      </w:r>
      <w:r>
        <w:rPr>
          <w:rFonts w:ascii="Arial" w:hAnsi="Arial" w:cs="Arial"/>
        </w:rPr>
        <w:tab/>
      </w:r>
      <w:r w:rsidR="00326F4A">
        <w:rPr>
          <w:rFonts w:ascii="Arial" w:hAnsi="Arial" w:cs="Arial"/>
        </w:rPr>
        <w:t xml:space="preserve">Non-disclosure of any of the records sought means that a shroud of secrecy is placed over the entire negotiation, </w:t>
      </w:r>
      <w:r w:rsidR="00047A0D">
        <w:rPr>
          <w:rFonts w:ascii="Arial" w:hAnsi="Arial" w:cs="Arial"/>
        </w:rPr>
        <w:t>procurement,</w:t>
      </w:r>
      <w:r w:rsidR="00326F4A">
        <w:rPr>
          <w:rFonts w:ascii="Arial" w:hAnsi="Arial" w:cs="Arial"/>
        </w:rPr>
        <w:t xml:space="preserve"> and payment process – the very mischief which our Constitution and legislation such as PAIA seeks to address.</w:t>
      </w:r>
    </w:p>
    <w:p w14:paraId="0743FAAC" w14:textId="55F43B53" w:rsidR="00326F4A" w:rsidRDefault="00326F4A" w:rsidP="00904522">
      <w:pPr>
        <w:spacing w:line="360" w:lineRule="auto"/>
        <w:ind w:left="1701" w:right="50" w:hanging="850"/>
        <w:jc w:val="both"/>
        <w:rPr>
          <w:rFonts w:ascii="Arial" w:hAnsi="Arial" w:cs="Arial"/>
        </w:rPr>
      </w:pPr>
    </w:p>
    <w:p w14:paraId="1594CAC1" w14:textId="14165BB1" w:rsidR="00326F4A" w:rsidRDefault="00326F4A" w:rsidP="00904522">
      <w:pPr>
        <w:spacing w:line="360" w:lineRule="auto"/>
        <w:ind w:left="1701" w:right="50" w:hanging="850"/>
        <w:jc w:val="both"/>
        <w:rPr>
          <w:rFonts w:ascii="Arial" w:hAnsi="Arial" w:cs="Arial"/>
        </w:rPr>
      </w:pPr>
      <w:r>
        <w:rPr>
          <w:rFonts w:ascii="Arial" w:hAnsi="Arial" w:cs="Arial"/>
        </w:rPr>
        <w:t>[4</w:t>
      </w:r>
      <w:r w:rsidR="00E62BAB">
        <w:rPr>
          <w:rFonts w:ascii="Arial" w:hAnsi="Arial" w:cs="Arial"/>
        </w:rPr>
        <w:t>9</w:t>
      </w:r>
      <w:r>
        <w:rPr>
          <w:rFonts w:ascii="Arial" w:hAnsi="Arial" w:cs="Arial"/>
        </w:rPr>
        <w:t>.</w:t>
      </w:r>
      <w:r w:rsidR="000B7053">
        <w:rPr>
          <w:rFonts w:ascii="Arial" w:hAnsi="Arial" w:cs="Arial"/>
        </w:rPr>
        <w:t>3</w:t>
      </w:r>
      <w:r>
        <w:rPr>
          <w:rFonts w:ascii="Arial" w:hAnsi="Arial" w:cs="Arial"/>
        </w:rPr>
        <w:t>]</w:t>
      </w:r>
      <w:r>
        <w:rPr>
          <w:rFonts w:ascii="Arial" w:hAnsi="Arial" w:cs="Arial"/>
        </w:rPr>
        <w:tab/>
        <w:t>Non-disclosure to HJI means non-disclosure to the public at large.  If the records are not made available, then it will simply not be possible to ascertain whether the mandatory disclosure contemplated in section 46 of PAIA is of application and if this is so, then this is tantamount to the ousting of the court’s jurisdiction and oversight function in respect of the vaccine procurement agreements.</w:t>
      </w:r>
    </w:p>
    <w:p w14:paraId="620428DA" w14:textId="2F1F084D" w:rsidR="00326F4A" w:rsidRDefault="00326F4A" w:rsidP="00904522">
      <w:pPr>
        <w:spacing w:line="360" w:lineRule="auto"/>
        <w:ind w:left="1701" w:right="50" w:hanging="850"/>
        <w:jc w:val="both"/>
        <w:rPr>
          <w:rFonts w:ascii="Arial" w:hAnsi="Arial" w:cs="Arial"/>
        </w:rPr>
      </w:pPr>
    </w:p>
    <w:p w14:paraId="548E3089" w14:textId="77777777" w:rsidR="00E62BAB" w:rsidRDefault="00E62BAB" w:rsidP="00904522">
      <w:pPr>
        <w:spacing w:line="360" w:lineRule="auto"/>
        <w:ind w:left="1701" w:right="50" w:hanging="850"/>
        <w:jc w:val="both"/>
        <w:rPr>
          <w:rFonts w:ascii="Arial" w:hAnsi="Arial" w:cs="Arial"/>
        </w:rPr>
      </w:pPr>
    </w:p>
    <w:p w14:paraId="1E9BFBDA" w14:textId="787156E2" w:rsidR="00326F4A" w:rsidRDefault="00326F4A" w:rsidP="00904522">
      <w:pPr>
        <w:spacing w:line="360" w:lineRule="auto"/>
        <w:ind w:left="1701" w:right="50" w:hanging="850"/>
        <w:jc w:val="both"/>
        <w:rPr>
          <w:rFonts w:ascii="Arial" w:hAnsi="Arial" w:cs="Arial"/>
        </w:rPr>
      </w:pPr>
      <w:r>
        <w:rPr>
          <w:rFonts w:ascii="Arial" w:hAnsi="Arial" w:cs="Arial"/>
        </w:rPr>
        <w:t>[4</w:t>
      </w:r>
      <w:r w:rsidR="00E62BAB">
        <w:rPr>
          <w:rFonts w:ascii="Arial" w:hAnsi="Arial" w:cs="Arial"/>
        </w:rPr>
        <w:t>9</w:t>
      </w:r>
      <w:r>
        <w:rPr>
          <w:rFonts w:ascii="Arial" w:hAnsi="Arial" w:cs="Arial"/>
        </w:rPr>
        <w:t>.</w:t>
      </w:r>
      <w:r w:rsidR="000B7053">
        <w:rPr>
          <w:rFonts w:ascii="Arial" w:hAnsi="Arial" w:cs="Arial"/>
        </w:rPr>
        <w:t>4</w:t>
      </w:r>
      <w:r>
        <w:rPr>
          <w:rFonts w:ascii="Arial" w:hAnsi="Arial" w:cs="Arial"/>
        </w:rPr>
        <w:t>]</w:t>
      </w:r>
      <w:r>
        <w:rPr>
          <w:rFonts w:ascii="Arial" w:hAnsi="Arial" w:cs="Arial"/>
        </w:rPr>
        <w:tab/>
      </w:r>
      <w:r w:rsidR="00904522">
        <w:rPr>
          <w:rFonts w:ascii="Arial" w:hAnsi="Arial" w:cs="Arial"/>
        </w:rPr>
        <w:t>The NDOH reports to Parliament suggesting that some or all of the vaccine manufacturers / suppliers insisted that government provide them with far-reaching indemnities, and establish a vaccine injury fund, failing which vaccines would not be supplied seems to me to be grotesque having regard to the context within which they were negotiated.  This context was that of both a national and international emergency and at a time where across the globe and including within South Africa many lives were being lost to the pandemic on a daily basis</w:t>
      </w:r>
      <w:r w:rsidR="00047A0D">
        <w:rPr>
          <w:rFonts w:ascii="Arial" w:hAnsi="Arial" w:cs="Arial"/>
        </w:rPr>
        <w:t>.</w:t>
      </w:r>
    </w:p>
    <w:p w14:paraId="38F8A221" w14:textId="77777777" w:rsidR="00BD1079" w:rsidRDefault="00BD1079" w:rsidP="00904522">
      <w:pPr>
        <w:spacing w:line="360" w:lineRule="auto"/>
        <w:ind w:left="1701" w:right="50" w:hanging="850"/>
        <w:jc w:val="both"/>
        <w:rPr>
          <w:rFonts w:ascii="Arial" w:hAnsi="Arial" w:cs="Arial"/>
        </w:rPr>
      </w:pPr>
    </w:p>
    <w:p w14:paraId="2E891C50" w14:textId="1B9812FD" w:rsidR="00904522" w:rsidRDefault="00904522" w:rsidP="00904522">
      <w:pPr>
        <w:spacing w:line="360" w:lineRule="auto"/>
        <w:ind w:left="1701" w:right="50" w:hanging="850"/>
        <w:jc w:val="both"/>
        <w:rPr>
          <w:rFonts w:ascii="Arial" w:hAnsi="Arial" w:cs="Arial"/>
        </w:rPr>
      </w:pPr>
      <w:r>
        <w:rPr>
          <w:rFonts w:ascii="Arial" w:hAnsi="Arial" w:cs="Arial"/>
        </w:rPr>
        <w:t>[4</w:t>
      </w:r>
      <w:r w:rsidR="00E62BAB">
        <w:rPr>
          <w:rFonts w:ascii="Arial" w:hAnsi="Arial" w:cs="Arial"/>
        </w:rPr>
        <w:t>9</w:t>
      </w:r>
      <w:r>
        <w:rPr>
          <w:rFonts w:ascii="Arial" w:hAnsi="Arial" w:cs="Arial"/>
        </w:rPr>
        <w:t>.</w:t>
      </w:r>
      <w:r w:rsidR="000B7053">
        <w:rPr>
          <w:rFonts w:ascii="Arial" w:hAnsi="Arial" w:cs="Arial"/>
        </w:rPr>
        <w:t>5</w:t>
      </w:r>
      <w:r>
        <w:rPr>
          <w:rFonts w:ascii="Arial" w:hAnsi="Arial" w:cs="Arial"/>
        </w:rPr>
        <w:t>]</w:t>
      </w:r>
      <w:r>
        <w:rPr>
          <w:rFonts w:ascii="Arial" w:hAnsi="Arial" w:cs="Arial"/>
        </w:rPr>
        <w:tab/>
      </w:r>
      <w:r w:rsidR="008536B0">
        <w:rPr>
          <w:rFonts w:ascii="Arial" w:hAnsi="Arial" w:cs="Arial"/>
        </w:rPr>
        <w:t xml:space="preserve">Every single </w:t>
      </w:r>
      <w:r w:rsidR="000B7053">
        <w:rPr>
          <w:rFonts w:ascii="Arial" w:hAnsi="Arial" w:cs="Arial"/>
        </w:rPr>
        <w:t xml:space="preserve">one of the over 30 million </w:t>
      </w:r>
      <w:r w:rsidR="008536B0">
        <w:rPr>
          <w:rFonts w:ascii="Arial" w:hAnsi="Arial" w:cs="Arial"/>
        </w:rPr>
        <w:t>South African</w:t>
      </w:r>
      <w:r w:rsidR="000B7053">
        <w:rPr>
          <w:rFonts w:ascii="Arial" w:hAnsi="Arial" w:cs="Arial"/>
        </w:rPr>
        <w:t>s</w:t>
      </w:r>
      <w:r w:rsidR="008536B0">
        <w:rPr>
          <w:rFonts w:ascii="Arial" w:hAnsi="Arial" w:cs="Arial"/>
        </w:rPr>
        <w:t xml:space="preserve"> </w:t>
      </w:r>
      <w:r w:rsidR="000179B1">
        <w:rPr>
          <w:rFonts w:ascii="Arial" w:hAnsi="Arial" w:cs="Arial"/>
        </w:rPr>
        <w:t>who received one or more doses of one or other of the vaccines as well as those who chose not to, nevertheless have paid and may continue to pay through the fiscus for what was negotiated by the NDOH – the obligations may well be continuing but until such time as there has been full access granted to the records concerned, this cannot be ascertained.</w:t>
      </w:r>
    </w:p>
    <w:p w14:paraId="222E48AC" w14:textId="77777777" w:rsidR="00B0544D" w:rsidRDefault="00B0544D" w:rsidP="00E62BAB">
      <w:pPr>
        <w:spacing w:line="360" w:lineRule="auto"/>
        <w:ind w:right="50"/>
        <w:jc w:val="both"/>
        <w:rPr>
          <w:rFonts w:ascii="Arial" w:hAnsi="Arial" w:cs="Arial"/>
        </w:rPr>
      </w:pPr>
    </w:p>
    <w:p w14:paraId="00AD516E" w14:textId="408EF448" w:rsidR="00B0544D" w:rsidRPr="004216CB" w:rsidRDefault="004216CB" w:rsidP="004216CB">
      <w:pPr>
        <w:spacing w:line="360" w:lineRule="auto"/>
        <w:ind w:left="851" w:right="50" w:hanging="851"/>
        <w:jc w:val="both"/>
        <w:rPr>
          <w:rFonts w:ascii="Arial" w:hAnsi="Arial" w:cs="Arial"/>
        </w:rPr>
      </w:pPr>
      <w:r>
        <w:rPr>
          <w:rFonts w:ascii="Arial" w:hAnsi="Arial" w:cs="Arial"/>
        </w:rPr>
        <w:t>[50]</w:t>
      </w:r>
      <w:r>
        <w:rPr>
          <w:rFonts w:ascii="Arial" w:hAnsi="Arial" w:cs="Arial"/>
        </w:rPr>
        <w:tab/>
      </w:r>
      <w:r w:rsidR="004957BD" w:rsidRPr="004216CB">
        <w:rPr>
          <w:rFonts w:ascii="Arial" w:hAnsi="Arial" w:cs="Arial"/>
        </w:rPr>
        <w:t>It is</w:t>
      </w:r>
      <w:r w:rsidR="00F635E3" w:rsidRPr="004216CB">
        <w:rPr>
          <w:rFonts w:ascii="Arial" w:hAnsi="Arial" w:cs="Arial"/>
        </w:rPr>
        <w:t>,</w:t>
      </w:r>
      <w:r w:rsidR="004957BD" w:rsidRPr="004216CB">
        <w:rPr>
          <w:rFonts w:ascii="Arial" w:hAnsi="Arial" w:cs="Arial"/>
        </w:rPr>
        <w:t xml:space="preserve"> in my view, self-evident, that there is a public interest in the disclosure of the records.</w:t>
      </w:r>
      <w:r w:rsidR="00047A0D" w:rsidRPr="004216CB">
        <w:rPr>
          <w:rFonts w:ascii="Arial" w:hAnsi="Arial" w:cs="Arial"/>
        </w:rPr>
        <w:t xml:space="preserve"> </w:t>
      </w:r>
    </w:p>
    <w:p w14:paraId="3781B01E" w14:textId="77777777" w:rsidR="00B0544D" w:rsidRDefault="00B0544D" w:rsidP="00E62BAB">
      <w:pPr>
        <w:pStyle w:val="ListParagraph"/>
        <w:spacing w:line="360" w:lineRule="auto"/>
        <w:ind w:left="851" w:right="50" w:hanging="851"/>
        <w:jc w:val="both"/>
        <w:rPr>
          <w:rFonts w:ascii="Arial" w:hAnsi="Arial" w:cs="Arial"/>
        </w:rPr>
      </w:pPr>
    </w:p>
    <w:p w14:paraId="7D70D8C3" w14:textId="46619AB2" w:rsidR="004957BD" w:rsidRPr="004216CB" w:rsidRDefault="004216CB" w:rsidP="004216CB">
      <w:pPr>
        <w:spacing w:line="360" w:lineRule="auto"/>
        <w:ind w:left="851" w:right="50" w:hanging="851"/>
        <w:jc w:val="both"/>
        <w:rPr>
          <w:rFonts w:ascii="Arial" w:hAnsi="Arial" w:cs="Arial"/>
        </w:rPr>
      </w:pPr>
      <w:r w:rsidRPr="00B0544D">
        <w:rPr>
          <w:rFonts w:ascii="Arial" w:hAnsi="Arial" w:cs="Arial"/>
        </w:rPr>
        <w:t>[51]</w:t>
      </w:r>
      <w:r w:rsidRPr="00B0544D">
        <w:rPr>
          <w:rFonts w:ascii="Arial" w:hAnsi="Arial" w:cs="Arial"/>
        </w:rPr>
        <w:tab/>
      </w:r>
      <w:r w:rsidR="004957BD" w:rsidRPr="004216CB">
        <w:rPr>
          <w:rFonts w:ascii="Arial" w:hAnsi="Arial" w:cs="Arial"/>
        </w:rPr>
        <w:t>In summary</w:t>
      </w:r>
      <w:r w:rsidR="00924920" w:rsidRPr="004216CB">
        <w:rPr>
          <w:rFonts w:ascii="Arial" w:hAnsi="Arial" w:cs="Arial"/>
        </w:rPr>
        <w:t>, I find that there is no merit in the arguments on the part of the respondents that the information and records sought should not be disclosed in consequence of:</w:t>
      </w:r>
    </w:p>
    <w:p w14:paraId="783FFE2F" w14:textId="4A074789" w:rsidR="00924920" w:rsidRDefault="00924920" w:rsidP="004957BD">
      <w:pPr>
        <w:spacing w:line="360" w:lineRule="auto"/>
        <w:ind w:left="851" w:right="50" w:hanging="851"/>
        <w:jc w:val="both"/>
        <w:rPr>
          <w:rFonts w:ascii="Arial" w:hAnsi="Arial" w:cs="Arial"/>
        </w:rPr>
      </w:pPr>
    </w:p>
    <w:p w14:paraId="1450335B" w14:textId="5B253679" w:rsidR="00924920" w:rsidRDefault="00924920" w:rsidP="000E2580">
      <w:pPr>
        <w:spacing w:line="360" w:lineRule="auto"/>
        <w:ind w:left="1701" w:right="50" w:hanging="850"/>
        <w:jc w:val="both"/>
        <w:rPr>
          <w:rFonts w:ascii="Arial" w:hAnsi="Arial" w:cs="Arial"/>
        </w:rPr>
      </w:pPr>
      <w:r>
        <w:rPr>
          <w:rFonts w:ascii="Arial" w:hAnsi="Arial" w:cs="Arial"/>
        </w:rPr>
        <w:t>[</w:t>
      </w:r>
      <w:r w:rsidR="00E62BAB">
        <w:rPr>
          <w:rFonts w:ascii="Arial" w:hAnsi="Arial" w:cs="Arial"/>
        </w:rPr>
        <w:t>51</w:t>
      </w:r>
      <w:r>
        <w:rPr>
          <w:rFonts w:ascii="Arial" w:hAnsi="Arial" w:cs="Arial"/>
        </w:rPr>
        <w:t>.1]</w:t>
      </w:r>
      <w:r>
        <w:rPr>
          <w:rFonts w:ascii="Arial" w:hAnsi="Arial" w:cs="Arial"/>
        </w:rPr>
        <w:tab/>
        <w:t>material non-joinder of affected parties;</w:t>
      </w:r>
    </w:p>
    <w:p w14:paraId="32DFB1A3" w14:textId="4AAE79E7" w:rsidR="00924920" w:rsidRDefault="00924920" w:rsidP="000E2580">
      <w:pPr>
        <w:spacing w:line="360" w:lineRule="auto"/>
        <w:ind w:left="1701" w:right="50" w:hanging="850"/>
        <w:jc w:val="both"/>
        <w:rPr>
          <w:rFonts w:ascii="Arial" w:hAnsi="Arial" w:cs="Arial"/>
        </w:rPr>
      </w:pPr>
    </w:p>
    <w:p w14:paraId="22877BE5" w14:textId="2493F903" w:rsidR="00924920" w:rsidRDefault="00924920" w:rsidP="000E2580">
      <w:pPr>
        <w:spacing w:line="360" w:lineRule="auto"/>
        <w:ind w:left="1701" w:right="50" w:hanging="850"/>
        <w:jc w:val="both"/>
        <w:rPr>
          <w:rFonts w:ascii="Arial" w:hAnsi="Arial" w:cs="Arial"/>
        </w:rPr>
      </w:pPr>
      <w:r>
        <w:rPr>
          <w:rFonts w:ascii="Arial" w:hAnsi="Arial" w:cs="Arial"/>
        </w:rPr>
        <w:t>[</w:t>
      </w:r>
      <w:r w:rsidR="00E62BAB">
        <w:rPr>
          <w:rFonts w:ascii="Arial" w:hAnsi="Arial" w:cs="Arial"/>
        </w:rPr>
        <w:t>51</w:t>
      </w:r>
      <w:r>
        <w:rPr>
          <w:rFonts w:ascii="Arial" w:hAnsi="Arial" w:cs="Arial"/>
        </w:rPr>
        <w:t>.2]</w:t>
      </w:r>
      <w:r>
        <w:rPr>
          <w:rFonts w:ascii="Arial" w:hAnsi="Arial" w:cs="Arial"/>
        </w:rPr>
        <w:tab/>
        <w:t>confidentiality clauses which are alleged to be contained in the contracts in question;</w:t>
      </w:r>
    </w:p>
    <w:p w14:paraId="342DAF1A" w14:textId="57A346D2" w:rsidR="00924920" w:rsidRDefault="00924920" w:rsidP="000E2580">
      <w:pPr>
        <w:spacing w:line="360" w:lineRule="auto"/>
        <w:ind w:left="1701" w:right="50" w:hanging="850"/>
        <w:jc w:val="both"/>
        <w:rPr>
          <w:rFonts w:ascii="Arial" w:hAnsi="Arial" w:cs="Arial"/>
        </w:rPr>
      </w:pPr>
    </w:p>
    <w:p w14:paraId="2DE0D6FC" w14:textId="3891C20F" w:rsidR="00924920" w:rsidRDefault="00924920" w:rsidP="000E2580">
      <w:pPr>
        <w:spacing w:line="360" w:lineRule="auto"/>
        <w:ind w:left="1701" w:right="50" w:hanging="850"/>
        <w:jc w:val="both"/>
        <w:rPr>
          <w:rFonts w:ascii="Arial" w:hAnsi="Arial" w:cs="Arial"/>
        </w:rPr>
      </w:pPr>
      <w:r>
        <w:rPr>
          <w:rFonts w:ascii="Arial" w:hAnsi="Arial" w:cs="Arial"/>
        </w:rPr>
        <w:t>[</w:t>
      </w:r>
      <w:r w:rsidR="00E62BAB">
        <w:rPr>
          <w:rFonts w:ascii="Arial" w:hAnsi="Arial" w:cs="Arial"/>
        </w:rPr>
        <w:t>51</w:t>
      </w:r>
      <w:r>
        <w:rPr>
          <w:rFonts w:ascii="Arial" w:hAnsi="Arial" w:cs="Arial"/>
        </w:rPr>
        <w:t>.3]</w:t>
      </w:r>
      <w:r>
        <w:rPr>
          <w:rFonts w:ascii="Arial" w:hAnsi="Arial" w:cs="Arial"/>
        </w:rPr>
        <w:tab/>
      </w:r>
      <w:r w:rsidR="00F635E3">
        <w:rPr>
          <w:rFonts w:ascii="Arial" w:hAnsi="Arial" w:cs="Arial"/>
        </w:rPr>
        <w:t>t</w:t>
      </w:r>
      <w:r>
        <w:rPr>
          <w:rFonts w:ascii="Arial" w:hAnsi="Arial" w:cs="Arial"/>
        </w:rPr>
        <w:t>he present or future commercial interests of the Republic preclude disclosure of the records and last</w:t>
      </w:r>
      <w:r w:rsidR="000E2580">
        <w:rPr>
          <w:rFonts w:ascii="Arial" w:hAnsi="Arial" w:cs="Arial"/>
        </w:rPr>
        <w:t>ly</w:t>
      </w:r>
      <w:r>
        <w:rPr>
          <w:rFonts w:ascii="Arial" w:hAnsi="Arial" w:cs="Arial"/>
        </w:rPr>
        <w:t>,</w:t>
      </w:r>
    </w:p>
    <w:p w14:paraId="58D21072" w14:textId="0DCDC673" w:rsidR="00924920" w:rsidRDefault="00924920" w:rsidP="000E2580">
      <w:pPr>
        <w:spacing w:line="360" w:lineRule="auto"/>
        <w:ind w:left="1701" w:right="50" w:hanging="850"/>
        <w:jc w:val="both"/>
        <w:rPr>
          <w:rFonts w:ascii="Arial" w:hAnsi="Arial" w:cs="Arial"/>
        </w:rPr>
      </w:pPr>
    </w:p>
    <w:p w14:paraId="0DB0B40F" w14:textId="53A3DF48" w:rsidR="00A16684" w:rsidRDefault="00924920" w:rsidP="000E2580">
      <w:pPr>
        <w:spacing w:line="360" w:lineRule="auto"/>
        <w:ind w:left="1701" w:right="50" w:hanging="850"/>
        <w:jc w:val="both"/>
        <w:rPr>
          <w:rFonts w:ascii="Arial" w:hAnsi="Arial" w:cs="Arial"/>
        </w:rPr>
      </w:pPr>
      <w:r>
        <w:rPr>
          <w:rFonts w:ascii="Arial" w:hAnsi="Arial" w:cs="Arial"/>
        </w:rPr>
        <w:t>[</w:t>
      </w:r>
      <w:r w:rsidR="00232DEB">
        <w:rPr>
          <w:rFonts w:ascii="Arial" w:hAnsi="Arial" w:cs="Arial"/>
        </w:rPr>
        <w:t>51</w:t>
      </w:r>
      <w:r>
        <w:rPr>
          <w:rFonts w:ascii="Arial" w:hAnsi="Arial" w:cs="Arial"/>
        </w:rPr>
        <w:t>.4]</w:t>
      </w:r>
      <w:r>
        <w:rPr>
          <w:rFonts w:ascii="Arial" w:hAnsi="Arial" w:cs="Arial"/>
        </w:rPr>
        <w:tab/>
        <w:t xml:space="preserve">There is no </w:t>
      </w:r>
      <w:r w:rsidR="000E2580">
        <w:rPr>
          <w:rFonts w:ascii="Arial" w:hAnsi="Arial" w:cs="Arial"/>
        </w:rPr>
        <w:t>basis upon which there should be mandatory disclosure in the public interest.</w:t>
      </w:r>
    </w:p>
    <w:p w14:paraId="3471EB43" w14:textId="77777777" w:rsidR="000E2580" w:rsidRPr="0019501B" w:rsidRDefault="000E2580" w:rsidP="00D8370B">
      <w:pPr>
        <w:spacing w:line="360" w:lineRule="auto"/>
        <w:ind w:left="851" w:right="50" w:hanging="851"/>
        <w:jc w:val="both"/>
        <w:rPr>
          <w:rFonts w:ascii="Arial" w:hAnsi="Arial" w:cs="Arial"/>
        </w:rPr>
      </w:pPr>
    </w:p>
    <w:p w14:paraId="7E5CC3CA" w14:textId="581780F6" w:rsidR="00E20730" w:rsidRPr="00E20730" w:rsidRDefault="00E20730" w:rsidP="00E20730">
      <w:pPr>
        <w:spacing w:line="360" w:lineRule="auto"/>
        <w:ind w:right="50"/>
        <w:jc w:val="both"/>
        <w:rPr>
          <w:rFonts w:ascii="Arial" w:hAnsi="Arial" w:cs="Arial"/>
          <w:b/>
          <w:bCs/>
        </w:rPr>
      </w:pPr>
      <w:r w:rsidRPr="00E20730">
        <w:rPr>
          <w:rFonts w:ascii="Arial" w:hAnsi="Arial" w:cs="Arial"/>
          <w:b/>
          <w:bCs/>
        </w:rPr>
        <w:t>COSTS</w:t>
      </w:r>
    </w:p>
    <w:p w14:paraId="5AE2A22E" w14:textId="08FB7E12" w:rsidR="00E20730" w:rsidRDefault="00E20730" w:rsidP="000E2580">
      <w:pPr>
        <w:spacing w:line="360" w:lineRule="auto"/>
        <w:ind w:right="50"/>
        <w:jc w:val="both"/>
        <w:rPr>
          <w:rFonts w:ascii="Arial" w:hAnsi="Arial" w:cs="Arial"/>
        </w:rPr>
      </w:pPr>
    </w:p>
    <w:p w14:paraId="7C25E010" w14:textId="3F77614E" w:rsidR="00BD1079" w:rsidRPr="004216CB" w:rsidRDefault="004216CB" w:rsidP="004216CB">
      <w:pPr>
        <w:tabs>
          <w:tab w:val="left" w:pos="851"/>
        </w:tabs>
        <w:spacing w:line="360" w:lineRule="auto"/>
        <w:ind w:left="851" w:right="50" w:hanging="851"/>
        <w:jc w:val="both"/>
        <w:rPr>
          <w:rFonts w:ascii="Arial" w:hAnsi="Arial" w:cs="Arial"/>
        </w:rPr>
      </w:pPr>
      <w:r>
        <w:rPr>
          <w:rFonts w:ascii="Arial" w:hAnsi="Arial" w:cs="Arial"/>
        </w:rPr>
        <w:t>[52]</w:t>
      </w:r>
      <w:r>
        <w:rPr>
          <w:rFonts w:ascii="Arial" w:hAnsi="Arial" w:cs="Arial"/>
        </w:rPr>
        <w:tab/>
      </w:r>
      <w:r w:rsidR="000E2580" w:rsidRPr="004216CB">
        <w:rPr>
          <w:rFonts w:ascii="Arial" w:hAnsi="Arial" w:cs="Arial"/>
        </w:rPr>
        <w:t xml:space="preserve">It is customary for the costs of litigation to follow the result unless argument to the contrary is presented.  In the present matter, I am not persuaded that HJI as the successful party ought not to be awarded its costs. </w:t>
      </w:r>
      <w:r w:rsidR="002E54A9" w:rsidRPr="004216CB">
        <w:rPr>
          <w:rFonts w:ascii="Arial" w:hAnsi="Arial" w:cs="Arial"/>
        </w:rPr>
        <w:t>On consideration of the matter as a whole, had HJI sought a special order for costs, I would have granted it.</w:t>
      </w:r>
    </w:p>
    <w:p w14:paraId="45BBBDAB" w14:textId="77777777" w:rsidR="00BD1079" w:rsidRDefault="00BD1079" w:rsidP="00232DEB">
      <w:pPr>
        <w:pStyle w:val="ListParagraph"/>
        <w:tabs>
          <w:tab w:val="left" w:pos="851"/>
        </w:tabs>
        <w:spacing w:line="360" w:lineRule="auto"/>
        <w:ind w:left="851" w:right="50" w:hanging="851"/>
        <w:jc w:val="both"/>
        <w:rPr>
          <w:rFonts w:ascii="Arial" w:hAnsi="Arial" w:cs="Arial"/>
        </w:rPr>
      </w:pPr>
    </w:p>
    <w:p w14:paraId="4E5721EA" w14:textId="6F4A0680" w:rsidR="000E2580" w:rsidRPr="004216CB" w:rsidRDefault="004216CB" w:rsidP="004216CB">
      <w:pPr>
        <w:tabs>
          <w:tab w:val="left" w:pos="851"/>
        </w:tabs>
        <w:spacing w:line="360" w:lineRule="auto"/>
        <w:ind w:left="851" w:right="50" w:hanging="851"/>
        <w:jc w:val="both"/>
        <w:rPr>
          <w:rFonts w:ascii="Arial" w:hAnsi="Arial" w:cs="Arial"/>
        </w:rPr>
      </w:pPr>
      <w:r w:rsidRPr="00BD1079">
        <w:rPr>
          <w:rFonts w:ascii="Arial" w:hAnsi="Arial" w:cs="Arial"/>
        </w:rPr>
        <w:t>[53]</w:t>
      </w:r>
      <w:r w:rsidRPr="00BD1079">
        <w:rPr>
          <w:rFonts w:ascii="Arial" w:hAnsi="Arial" w:cs="Arial"/>
        </w:rPr>
        <w:tab/>
      </w:r>
      <w:r w:rsidR="000E2580" w:rsidRPr="004216CB">
        <w:rPr>
          <w:rFonts w:ascii="Arial" w:hAnsi="Arial" w:cs="Arial"/>
        </w:rPr>
        <w:t>Furthermore, the matter is clearly one of significant importance, both to the litigants but also to society at large.  Both HJI and the respondents engaged the services of more than one counsel – a wise and reasonable precaution in the circumstances.  It is for this reason that I intend to make the order for costs that I do.</w:t>
      </w:r>
    </w:p>
    <w:p w14:paraId="775AC531" w14:textId="49C193BF" w:rsidR="00E20730" w:rsidRDefault="00E20730" w:rsidP="00E20730">
      <w:pPr>
        <w:spacing w:line="360" w:lineRule="auto"/>
        <w:ind w:right="50"/>
        <w:jc w:val="both"/>
        <w:rPr>
          <w:rFonts w:ascii="Arial" w:hAnsi="Arial" w:cs="Arial"/>
        </w:rPr>
      </w:pPr>
    </w:p>
    <w:p w14:paraId="224DEC24" w14:textId="73A82635" w:rsidR="000E2580" w:rsidRDefault="000E2580" w:rsidP="00E20730">
      <w:pPr>
        <w:spacing w:line="360" w:lineRule="auto"/>
        <w:ind w:right="50"/>
        <w:jc w:val="both"/>
        <w:rPr>
          <w:rFonts w:ascii="Arial" w:hAnsi="Arial" w:cs="Arial"/>
          <w:b/>
          <w:bCs/>
        </w:rPr>
      </w:pPr>
      <w:r>
        <w:rPr>
          <w:rFonts w:ascii="Arial" w:hAnsi="Arial" w:cs="Arial"/>
          <w:b/>
          <w:bCs/>
        </w:rPr>
        <w:t>ORDER</w:t>
      </w:r>
    </w:p>
    <w:p w14:paraId="14CEB2B9" w14:textId="58AB133C" w:rsidR="000E2580" w:rsidRDefault="000E2580" w:rsidP="00E20730">
      <w:pPr>
        <w:spacing w:line="360" w:lineRule="auto"/>
        <w:ind w:right="50"/>
        <w:jc w:val="both"/>
        <w:rPr>
          <w:rFonts w:ascii="Arial" w:hAnsi="Arial" w:cs="Arial"/>
          <w:b/>
          <w:bCs/>
        </w:rPr>
      </w:pPr>
    </w:p>
    <w:p w14:paraId="360DCF32" w14:textId="4EDCF9E2" w:rsidR="000E2580" w:rsidRDefault="000E2580" w:rsidP="00E20730">
      <w:pPr>
        <w:spacing w:line="360" w:lineRule="auto"/>
        <w:ind w:right="50"/>
        <w:jc w:val="both"/>
        <w:rPr>
          <w:rFonts w:ascii="Arial" w:hAnsi="Arial" w:cs="Arial"/>
        </w:rPr>
      </w:pPr>
      <w:r>
        <w:rPr>
          <w:rFonts w:ascii="Arial" w:hAnsi="Arial" w:cs="Arial"/>
        </w:rPr>
        <w:t>[5</w:t>
      </w:r>
      <w:r w:rsidR="00232DEB">
        <w:rPr>
          <w:rFonts w:ascii="Arial" w:hAnsi="Arial" w:cs="Arial"/>
        </w:rPr>
        <w:t>4</w:t>
      </w:r>
      <w:r>
        <w:rPr>
          <w:rFonts w:ascii="Arial" w:hAnsi="Arial" w:cs="Arial"/>
        </w:rPr>
        <w:t>]</w:t>
      </w:r>
      <w:r>
        <w:rPr>
          <w:rFonts w:ascii="Arial" w:hAnsi="Arial" w:cs="Arial"/>
        </w:rPr>
        <w:tab/>
        <w:t>In the circumstances, it is ordered:</w:t>
      </w:r>
    </w:p>
    <w:p w14:paraId="0B7FE8C1" w14:textId="4510F048" w:rsidR="000E2580" w:rsidRDefault="000E2580" w:rsidP="00E20730">
      <w:pPr>
        <w:spacing w:line="360" w:lineRule="auto"/>
        <w:ind w:right="50"/>
        <w:jc w:val="both"/>
        <w:rPr>
          <w:rFonts w:ascii="Arial" w:hAnsi="Arial" w:cs="Arial"/>
        </w:rPr>
      </w:pPr>
    </w:p>
    <w:p w14:paraId="35DECE87" w14:textId="3F68D994" w:rsidR="000E2580" w:rsidRDefault="000E2580" w:rsidP="00E75F31">
      <w:pPr>
        <w:spacing w:line="360" w:lineRule="auto"/>
        <w:ind w:left="1701" w:right="50" w:hanging="850"/>
        <w:jc w:val="both"/>
        <w:rPr>
          <w:rFonts w:ascii="Arial" w:hAnsi="Arial" w:cs="Arial"/>
        </w:rPr>
      </w:pPr>
      <w:r>
        <w:rPr>
          <w:rFonts w:ascii="Arial" w:hAnsi="Arial" w:cs="Arial"/>
        </w:rPr>
        <w:t>[5</w:t>
      </w:r>
      <w:r w:rsidR="00232DEB">
        <w:rPr>
          <w:rFonts w:ascii="Arial" w:hAnsi="Arial" w:cs="Arial"/>
        </w:rPr>
        <w:t>4</w:t>
      </w:r>
      <w:r>
        <w:rPr>
          <w:rFonts w:ascii="Arial" w:hAnsi="Arial" w:cs="Arial"/>
        </w:rPr>
        <w:t>.1]</w:t>
      </w:r>
      <w:r>
        <w:rPr>
          <w:rFonts w:ascii="Arial" w:hAnsi="Arial" w:cs="Arial"/>
        </w:rPr>
        <w:tab/>
      </w:r>
      <w:r w:rsidR="001C6AA6">
        <w:rPr>
          <w:rFonts w:ascii="Arial" w:hAnsi="Arial" w:cs="Arial"/>
        </w:rPr>
        <w:t>The refusal by the respondents to grant access by the applicant to the records referred to in paragraph 52.3 (subparagraphs included) is set aside.</w:t>
      </w:r>
    </w:p>
    <w:p w14:paraId="2BDFBFA6" w14:textId="41C7FFEC" w:rsidR="00E75F31" w:rsidRDefault="00E75F31" w:rsidP="00E75F31">
      <w:pPr>
        <w:spacing w:line="360" w:lineRule="auto"/>
        <w:ind w:left="1701" w:right="50" w:hanging="850"/>
        <w:jc w:val="both"/>
        <w:rPr>
          <w:rFonts w:ascii="Arial" w:hAnsi="Arial" w:cs="Arial"/>
        </w:rPr>
      </w:pPr>
    </w:p>
    <w:p w14:paraId="30B1D88D" w14:textId="41ED9DCD" w:rsidR="00E75F31" w:rsidRDefault="00E75F31" w:rsidP="00E75F31">
      <w:pPr>
        <w:spacing w:line="360" w:lineRule="auto"/>
        <w:ind w:left="1701" w:right="50" w:hanging="850"/>
        <w:jc w:val="both"/>
        <w:rPr>
          <w:rFonts w:ascii="Arial" w:hAnsi="Arial" w:cs="Arial"/>
        </w:rPr>
      </w:pPr>
      <w:r>
        <w:rPr>
          <w:rFonts w:ascii="Arial" w:hAnsi="Arial" w:cs="Arial"/>
        </w:rPr>
        <w:t>[5</w:t>
      </w:r>
      <w:r w:rsidR="00232DEB">
        <w:rPr>
          <w:rFonts w:ascii="Arial" w:hAnsi="Arial" w:cs="Arial"/>
        </w:rPr>
        <w:t>4</w:t>
      </w:r>
      <w:r>
        <w:rPr>
          <w:rFonts w:ascii="Arial" w:hAnsi="Arial" w:cs="Arial"/>
        </w:rPr>
        <w:t>.2]</w:t>
      </w:r>
      <w:r>
        <w:rPr>
          <w:rFonts w:ascii="Arial" w:hAnsi="Arial" w:cs="Arial"/>
        </w:rPr>
        <w:tab/>
        <w:t>The first alternatively second respondent is directed to supply to the applicant, within 10 (ten) days of the service of this order upon them, copies of the documents</w:t>
      </w:r>
      <w:r w:rsidR="00C50EDB">
        <w:rPr>
          <w:rFonts w:ascii="Arial" w:hAnsi="Arial" w:cs="Arial"/>
        </w:rPr>
        <w:t xml:space="preserve"> mentioned in paragraph 52.3 hereunder</w:t>
      </w:r>
      <w:r>
        <w:rPr>
          <w:rFonts w:ascii="Arial" w:hAnsi="Arial" w:cs="Arial"/>
        </w:rPr>
        <w:t>:</w:t>
      </w:r>
    </w:p>
    <w:p w14:paraId="37F63913" w14:textId="77777777" w:rsidR="00E75F31" w:rsidRPr="000E2580" w:rsidRDefault="00E75F31" w:rsidP="00E75F31">
      <w:pPr>
        <w:spacing w:line="360" w:lineRule="auto"/>
        <w:ind w:left="1701" w:right="50" w:hanging="850"/>
        <w:jc w:val="both"/>
        <w:rPr>
          <w:rFonts w:ascii="Arial" w:hAnsi="Arial" w:cs="Arial"/>
        </w:rPr>
      </w:pPr>
    </w:p>
    <w:p w14:paraId="420643B6" w14:textId="440C8981" w:rsidR="00C50EDB" w:rsidRDefault="00C50EDB" w:rsidP="00B0544D">
      <w:pPr>
        <w:spacing w:after="129" w:line="360" w:lineRule="auto"/>
        <w:ind w:left="1712" w:right="49" w:hanging="861"/>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w:t>
      </w:r>
      <w:r w:rsidRPr="00291C24">
        <w:rPr>
          <w:rFonts w:ascii="Arial" w:hAnsi="Arial" w:cs="Arial"/>
          <w:iCs/>
        </w:rPr>
        <w:tab/>
      </w:r>
      <w:r w:rsidR="00E75F31" w:rsidRPr="00291C24">
        <w:rPr>
          <w:rFonts w:ascii="Arial" w:hAnsi="Arial" w:cs="Arial"/>
          <w:iCs/>
        </w:rPr>
        <w:t xml:space="preserve">Covid-19 Vaccine Contracts: </w:t>
      </w:r>
    </w:p>
    <w:p w14:paraId="0558A1F4" w14:textId="3003EAA3" w:rsidR="00B0544D" w:rsidRDefault="00B0544D" w:rsidP="00B0544D">
      <w:pPr>
        <w:spacing w:after="129" w:line="360" w:lineRule="auto"/>
        <w:ind w:left="1712" w:right="49" w:hanging="861"/>
        <w:rPr>
          <w:rFonts w:ascii="Arial" w:hAnsi="Arial" w:cs="Arial"/>
          <w:iCs/>
        </w:rPr>
      </w:pPr>
    </w:p>
    <w:p w14:paraId="214D41B7" w14:textId="77777777" w:rsidR="00232DEB" w:rsidRPr="00291C24" w:rsidRDefault="00232DEB" w:rsidP="00B0544D">
      <w:pPr>
        <w:spacing w:after="129" w:line="360" w:lineRule="auto"/>
        <w:ind w:left="1712" w:right="49" w:hanging="861"/>
        <w:rPr>
          <w:rFonts w:ascii="Arial" w:hAnsi="Arial" w:cs="Arial"/>
          <w:iCs/>
        </w:rPr>
      </w:pPr>
    </w:p>
    <w:p w14:paraId="5A3C3ACE" w14:textId="1AEFB595" w:rsidR="00C50EDB" w:rsidRPr="00291C24" w:rsidRDefault="00C50EDB" w:rsidP="00291C24">
      <w:pPr>
        <w:spacing w:after="156" w:line="360" w:lineRule="auto"/>
        <w:ind w:left="2835" w:right="49" w:hanging="1134"/>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.3.1]</w:t>
      </w:r>
      <w:r w:rsidRPr="00291C24">
        <w:rPr>
          <w:rFonts w:ascii="Arial" w:hAnsi="Arial" w:cs="Arial"/>
          <w:iCs/>
        </w:rPr>
        <w:tab/>
      </w:r>
      <w:r w:rsidR="00E75F31" w:rsidRPr="00291C24">
        <w:rPr>
          <w:rFonts w:ascii="Arial" w:hAnsi="Arial" w:cs="Arial"/>
          <w:iCs/>
        </w:rPr>
        <w:t>Copies of all Covid-19 vaccine procurement contracts, and Memoranda of Understanding, and agreements including</w:t>
      </w:r>
      <w:r w:rsidR="00047A0D">
        <w:rPr>
          <w:rFonts w:ascii="Arial" w:hAnsi="Arial" w:cs="Arial"/>
          <w:iCs/>
        </w:rPr>
        <w:t xml:space="preserve"> but not limited to</w:t>
      </w:r>
      <w:r w:rsidR="00E75F31" w:rsidRPr="00291C24">
        <w:rPr>
          <w:rFonts w:ascii="Arial" w:hAnsi="Arial" w:cs="Arial"/>
          <w:iCs/>
        </w:rPr>
        <w:t xml:space="preserve"> the following parties</w:t>
      </w:r>
      <w:r w:rsidR="00047A0D">
        <w:rPr>
          <w:rFonts w:ascii="Arial" w:hAnsi="Arial" w:cs="Arial"/>
          <w:iCs/>
        </w:rPr>
        <w:t>, their subsidiaries</w:t>
      </w:r>
      <w:r w:rsidR="00E75F31" w:rsidRPr="00291C24">
        <w:rPr>
          <w:rFonts w:ascii="Arial" w:hAnsi="Arial" w:cs="Arial"/>
          <w:iCs/>
        </w:rPr>
        <w:t xml:space="preserve"> and/or duly authorised licensed representative/s of: </w:t>
      </w:r>
    </w:p>
    <w:p w14:paraId="67F7D9E4" w14:textId="57FF22F7" w:rsidR="00C50EDB" w:rsidRPr="00291C24" w:rsidRDefault="00C50EDB"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.3.1.1]</w:t>
      </w:r>
      <w:r w:rsidRPr="00291C24">
        <w:rPr>
          <w:rFonts w:ascii="Arial" w:hAnsi="Arial" w:cs="Arial"/>
          <w:iCs/>
        </w:rPr>
        <w:tab/>
      </w:r>
      <w:r w:rsidR="00E75F31" w:rsidRPr="00291C24">
        <w:rPr>
          <w:rFonts w:ascii="Arial" w:hAnsi="Arial" w:cs="Arial"/>
          <w:iCs/>
        </w:rPr>
        <w:t xml:space="preserve">Janssen Pharmaceuticals / Johnson &amp; Johnson. </w:t>
      </w:r>
    </w:p>
    <w:p w14:paraId="4FF4A72B" w14:textId="3611DB59" w:rsidR="00C50EDB" w:rsidRPr="00291C24" w:rsidRDefault="00C50EDB"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.3.1.2]</w:t>
      </w:r>
      <w:r w:rsidRPr="00291C24">
        <w:rPr>
          <w:rFonts w:ascii="Arial" w:hAnsi="Arial" w:cs="Arial"/>
          <w:iCs/>
        </w:rPr>
        <w:tab/>
      </w:r>
      <w:r w:rsidR="00E75F31" w:rsidRPr="00291C24">
        <w:rPr>
          <w:rFonts w:ascii="Arial" w:hAnsi="Arial" w:cs="Arial"/>
          <w:iCs/>
        </w:rPr>
        <w:t xml:space="preserve">Aspen Pharmacare. </w:t>
      </w:r>
    </w:p>
    <w:p w14:paraId="2B175734" w14:textId="5CE3DE3E" w:rsidR="00C50EDB" w:rsidRPr="00291C24" w:rsidRDefault="00C50EDB"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.3.1.3]</w:t>
      </w:r>
      <w:r w:rsidRPr="00291C24">
        <w:rPr>
          <w:rFonts w:ascii="Arial" w:hAnsi="Arial" w:cs="Arial"/>
          <w:iCs/>
        </w:rPr>
        <w:tab/>
      </w:r>
      <w:r w:rsidR="00E75F31" w:rsidRPr="00291C24">
        <w:rPr>
          <w:rFonts w:ascii="Arial" w:hAnsi="Arial" w:cs="Arial"/>
          <w:iCs/>
        </w:rPr>
        <w:t xml:space="preserve">Pfizer. </w:t>
      </w:r>
    </w:p>
    <w:p w14:paraId="0E3243A6" w14:textId="0ABCBBE3" w:rsidR="00C50EDB" w:rsidRPr="00291C24" w:rsidRDefault="00C50EDB"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.3.1.4]</w:t>
      </w:r>
      <w:r w:rsidRPr="00291C24">
        <w:rPr>
          <w:rFonts w:ascii="Arial" w:hAnsi="Arial" w:cs="Arial"/>
          <w:iCs/>
        </w:rPr>
        <w:tab/>
      </w:r>
      <w:r w:rsidR="00E75F31" w:rsidRPr="00291C24">
        <w:rPr>
          <w:rFonts w:ascii="Arial" w:hAnsi="Arial" w:cs="Arial"/>
          <w:iCs/>
        </w:rPr>
        <w:t xml:space="preserve">Serum Institute of India / Cipla. </w:t>
      </w:r>
    </w:p>
    <w:p w14:paraId="524A2FA6" w14:textId="343DB577" w:rsidR="00C50EDB" w:rsidRPr="00291C24" w:rsidRDefault="00C50EDB"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.3.1.5]</w:t>
      </w:r>
      <w:r w:rsidRPr="00291C24">
        <w:rPr>
          <w:rFonts w:ascii="Arial" w:hAnsi="Arial" w:cs="Arial"/>
          <w:iCs/>
        </w:rPr>
        <w:tab/>
      </w:r>
      <w:r w:rsidR="00E75F31" w:rsidRPr="00291C24">
        <w:rPr>
          <w:rFonts w:ascii="Arial" w:hAnsi="Arial" w:cs="Arial"/>
          <w:iCs/>
        </w:rPr>
        <w:t>Sinovac/Coronavac</w:t>
      </w:r>
      <w:r w:rsidRPr="00291C24">
        <w:rPr>
          <w:rFonts w:ascii="Arial" w:hAnsi="Arial" w:cs="Arial"/>
          <w:iCs/>
        </w:rPr>
        <w:t>.</w:t>
      </w:r>
      <w:r w:rsidR="00E75F31" w:rsidRPr="00291C24">
        <w:rPr>
          <w:rFonts w:ascii="Arial" w:hAnsi="Arial" w:cs="Arial"/>
          <w:iCs/>
        </w:rPr>
        <w:t xml:space="preserve"> </w:t>
      </w:r>
    </w:p>
    <w:p w14:paraId="56739BAE" w14:textId="1EA2927A" w:rsidR="00C50EDB" w:rsidRPr="00291C24" w:rsidRDefault="00C50EDB"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.3.1.6]</w:t>
      </w:r>
      <w:r w:rsidRPr="00291C24">
        <w:rPr>
          <w:rFonts w:ascii="Arial" w:hAnsi="Arial" w:cs="Arial"/>
          <w:iCs/>
        </w:rPr>
        <w:tab/>
      </w:r>
      <w:r w:rsidR="00E75F31" w:rsidRPr="00291C24">
        <w:rPr>
          <w:rFonts w:ascii="Arial" w:hAnsi="Arial" w:cs="Arial"/>
          <w:iCs/>
        </w:rPr>
        <w:t xml:space="preserve">Any other vaccine manufacturer / licensee. </w:t>
      </w:r>
    </w:p>
    <w:p w14:paraId="0F178FD4" w14:textId="5D192F0C" w:rsidR="00B0544D" w:rsidRPr="00291C24" w:rsidRDefault="00C50EDB" w:rsidP="00232DEB">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.3.1.7]</w:t>
      </w:r>
      <w:r w:rsidRPr="00291C24">
        <w:rPr>
          <w:rFonts w:ascii="Arial" w:hAnsi="Arial" w:cs="Arial"/>
          <w:iCs/>
        </w:rPr>
        <w:tab/>
      </w:r>
      <w:r w:rsidR="00E75F31" w:rsidRPr="00291C24">
        <w:rPr>
          <w:rFonts w:ascii="Arial" w:hAnsi="Arial" w:cs="Arial"/>
          <w:iCs/>
        </w:rPr>
        <w:t xml:space="preserve">The African Union Vaccine Access Task Team (AU AVATT).  </w:t>
      </w:r>
    </w:p>
    <w:p w14:paraId="29672FBC" w14:textId="52FF630D" w:rsidR="00C50EDB" w:rsidRPr="00291C24" w:rsidRDefault="00C50EDB"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.3.1.8]</w:t>
      </w:r>
      <w:r w:rsidRPr="00291C24">
        <w:rPr>
          <w:rFonts w:ascii="Arial" w:hAnsi="Arial" w:cs="Arial"/>
          <w:iCs/>
        </w:rPr>
        <w:tab/>
      </w:r>
      <w:r w:rsidR="00E75F31" w:rsidRPr="00291C24">
        <w:rPr>
          <w:rFonts w:ascii="Arial" w:hAnsi="Arial" w:cs="Arial"/>
          <w:iCs/>
        </w:rPr>
        <w:t>‘COVAX’ (with the Global Vaccine Alliance – GAVI /other)</w:t>
      </w:r>
      <w:r w:rsidRPr="00291C24">
        <w:rPr>
          <w:rFonts w:ascii="Arial" w:hAnsi="Arial" w:cs="Arial"/>
          <w:iCs/>
        </w:rPr>
        <w:t>.</w:t>
      </w:r>
    </w:p>
    <w:p w14:paraId="7FA5B8B9" w14:textId="5803B4E4" w:rsidR="00C50EDB" w:rsidRDefault="00C50EDB" w:rsidP="00232DEB">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.3.1.9]</w:t>
      </w:r>
      <w:r w:rsidRPr="00291C24">
        <w:rPr>
          <w:rFonts w:ascii="Arial" w:hAnsi="Arial" w:cs="Arial"/>
          <w:iCs/>
        </w:rPr>
        <w:tab/>
      </w:r>
      <w:r w:rsidR="00E75F31" w:rsidRPr="00291C24">
        <w:rPr>
          <w:rFonts w:ascii="Arial" w:hAnsi="Arial" w:cs="Arial"/>
          <w:iCs/>
        </w:rPr>
        <w:t xml:space="preserve">The Solidarity Fund. </w:t>
      </w:r>
    </w:p>
    <w:p w14:paraId="213F71A9" w14:textId="77777777" w:rsidR="00232DEB" w:rsidRPr="00291C24" w:rsidRDefault="00232DEB" w:rsidP="00232DEB">
      <w:pPr>
        <w:spacing w:after="156" w:line="360" w:lineRule="auto"/>
        <w:ind w:left="4253" w:right="49" w:hanging="1418"/>
        <w:jc w:val="both"/>
        <w:rPr>
          <w:rFonts w:ascii="Arial" w:hAnsi="Arial" w:cs="Arial"/>
          <w:iCs/>
        </w:rPr>
      </w:pPr>
    </w:p>
    <w:p w14:paraId="2C696B7D" w14:textId="60868FE6" w:rsidR="00E75F31" w:rsidRPr="00291C24" w:rsidRDefault="00C50EDB" w:rsidP="00291C24">
      <w:pPr>
        <w:spacing w:after="156" w:line="360" w:lineRule="auto"/>
        <w:ind w:left="2835" w:right="49" w:hanging="1134"/>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.3.2]</w:t>
      </w:r>
      <w:r w:rsidRPr="00291C24">
        <w:rPr>
          <w:rFonts w:ascii="Arial" w:hAnsi="Arial" w:cs="Arial"/>
          <w:iCs/>
        </w:rPr>
        <w:tab/>
      </w:r>
      <w:r w:rsidR="00E75F31" w:rsidRPr="00291C24">
        <w:rPr>
          <w:rFonts w:ascii="Arial" w:hAnsi="Arial" w:cs="Arial"/>
          <w:iCs/>
        </w:rPr>
        <w:t>Copies of all Covid-19 vaccine negotiation meeting outcomes and/or minutes, and correspondence, including with the following parties</w:t>
      </w:r>
      <w:r w:rsidR="00047A0D">
        <w:rPr>
          <w:rFonts w:ascii="Arial" w:hAnsi="Arial" w:cs="Arial"/>
          <w:iCs/>
        </w:rPr>
        <w:t>, their subsidiaries</w:t>
      </w:r>
      <w:r w:rsidR="00E75F31" w:rsidRPr="00291C24">
        <w:rPr>
          <w:rFonts w:ascii="Arial" w:hAnsi="Arial" w:cs="Arial"/>
          <w:iCs/>
        </w:rPr>
        <w:t xml:space="preserve"> and/or duly authorised licensed representative/s of: </w:t>
      </w:r>
    </w:p>
    <w:p w14:paraId="1B735F50" w14:textId="567A8395" w:rsidR="00291C24" w:rsidRPr="00291C24" w:rsidRDefault="00291C24"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.3.2.1]</w:t>
      </w:r>
      <w:r w:rsidRPr="00291C24">
        <w:rPr>
          <w:rFonts w:ascii="Arial" w:hAnsi="Arial" w:cs="Arial"/>
          <w:iCs/>
        </w:rPr>
        <w:tab/>
      </w:r>
      <w:r w:rsidR="00E75F31" w:rsidRPr="00291C24">
        <w:rPr>
          <w:rFonts w:ascii="Arial" w:hAnsi="Arial" w:cs="Arial"/>
          <w:iCs/>
        </w:rPr>
        <w:t xml:space="preserve">Janssen Pharmaceuticals / Johnson &amp; Johnson. </w:t>
      </w:r>
    </w:p>
    <w:p w14:paraId="2EEB3945" w14:textId="46A0437B" w:rsidR="00291C24" w:rsidRPr="00291C24" w:rsidRDefault="00291C24"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.3.2.2]</w:t>
      </w:r>
      <w:r w:rsidRPr="00291C24">
        <w:rPr>
          <w:rFonts w:ascii="Arial" w:hAnsi="Arial" w:cs="Arial"/>
          <w:iCs/>
        </w:rPr>
        <w:tab/>
      </w:r>
      <w:r w:rsidR="00E75F31" w:rsidRPr="00291C24">
        <w:rPr>
          <w:rFonts w:ascii="Arial" w:hAnsi="Arial" w:cs="Arial"/>
          <w:iCs/>
        </w:rPr>
        <w:t xml:space="preserve">Aspen Pharmacare. </w:t>
      </w:r>
    </w:p>
    <w:p w14:paraId="3ACB5FF6" w14:textId="5B3A97B5" w:rsidR="00291C24" w:rsidRPr="00291C24" w:rsidRDefault="00291C24"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.3.2.3]</w:t>
      </w:r>
      <w:r w:rsidRPr="00291C24">
        <w:rPr>
          <w:rFonts w:ascii="Arial" w:hAnsi="Arial" w:cs="Arial"/>
          <w:iCs/>
        </w:rPr>
        <w:tab/>
      </w:r>
      <w:r w:rsidR="00E75F31" w:rsidRPr="00291C24">
        <w:rPr>
          <w:rFonts w:ascii="Arial" w:hAnsi="Arial" w:cs="Arial"/>
          <w:iCs/>
        </w:rPr>
        <w:t xml:space="preserve">Pfizer. </w:t>
      </w:r>
    </w:p>
    <w:p w14:paraId="4D5D4E67" w14:textId="729942B5" w:rsidR="00291C24" w:rsidRPr="00291C24" w:rsidRDefault="00291C24"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.3.2.4]</w:t>
      </w:r>
      <w:r w:rsidRPr="00291C24">
        <w:rPr>
          <w:rFonts w:ascii="Arial" w:hAnsi="Arial" w:cs="Arial"/>
          <w:iCs/>
        </w:rPr>
        <w:tab/>
      </w:r>
      <w:r w:rsidR="00E75F31" w:rsidRPr="00291C24">
        <w:rPr>
          <w:rFonts w:ascii="Arial" w:hAnsi="Arial" w:cs="Arial"/>
          <w:iCs/>
        </w:rPr>
        <w:t xml:space="preserve">Serum Institute of India / Cipla. </w:t>
      </w:r>
    </w:p>
    <w:p w14:paraId="17A99478" w14:textId="02887507" w:rsidR="00291C24" w:rsidRDefault="00291C24"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.3.2.5]</w:t>
      </w:r>
      <w:r w:rsidRPr="00291C24">
        <w:rPr>
          <w:rFonts w:ascii="Arial" w:hAnsi="Arial" w:cs="Arial"/>
          <w:iCs/>
        </w:rPr>
        <w:tab/>
      </w:r>
      <w:r w:rsidR="00E75F31" w:rsidRPr="00291C24">
        <w:rPr>
          <w:rFonts w:ascii="Arial" w:hAnsi="Arial" w:cs="Arial"/>
          <w:iCs/>
        </w:rPr>
        <w:t xml:space="preserve">Sinovac/Coronavac. </w:t>
      </w:r>
    </w:p>
    <w:p w14:paraId="47FE3CE6" w14:textId="77777777" w:rsidR="00232DEB" w:rsidRPr="00291C24" w:rsidRDefault="00232DEB" w:rsidP="00291C24">
      <w:pPr>
        <w:spacing w:after="156" w:line="360" w:lineRule="auto"/>
        <w:ind w:left="4253" w:right="49" w:hanging="1418"/>
        <w:jc w:val="both"/>
        <w:rPr>
          <w:rFonts w:ascii="Arial" w:hAnsi="Arial" w:cs="Arial"/>
          <w:iCs/>
        </w:rPr>
      </w:pPr>
    </w:p>
    <w:p w14:paraId="6F7A30E6" w14:textId="7D10A1D0" w:rsidR="00291C24" w:rsidRPr="00291C24" w:rsidRDefault="00291C24"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.3.2.6]</w:t>
      </w:r>
      <w:r w:rsidRPr="00291C24">
        <w:rPr>
          <w:rFonts w:ascii="Arial" w:hAnsi="Arial" w:cs="Arial"/>
          <w:iCs/>
        </w:rPr>
        <w:tab/>
      </w:r>
      <w:r w:rsidR="00E75F31" w:rsidRPr="00291C24">
        <w:rPr>
          <w:rFonts w:ascii="Arial" w:hAnsi="Arial" w:cs="Arial"/>
          <w:iCs/>
        </w:rPr>
        <w:t xml:space="preserve">Any other vaccine manufacturer / licensee. </w:t>
      </w:r>
    </w:p>
    <w:p w14:paraId="4BE01887" w14:textId="2015FDDE" w:rsidR="00291C24" w:rsidRPr="00291C24" w:rsidRDefault="00291C24"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.3.2.7]</w:t>
      </w:r>
      <w:r w:rsidRPr="00291C24">
        <w:rPr>
          <w:rFonts w:ascii="Arial" w:hAnsi="Arial" w:cs="Arial"/>
          <w:iCs/>
        </w:rPr>
        <w:tab/>
      </w:r>
      <w:r w:rsidR="00E75F31" w:rsidRPr="00291C24">
        <w:rPr>
          <w:rFonts w:ascii="Arial" w:hAnsi="Arial" w:cs="Arial"/>
          <w:iCs/>
        </w:rPr>
        <w:t xml:space="preserve">The AU AVATT. </w:t>
      </w:r>
    </w:p>
    <w:p w14:paraId="557B97E9" w14:textId="7F14409D" w:rsidR="00291C24" w:rsidRPr="00291C24" w:rsidRDefault="00291C24"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.3.2.8]</w:t>
      </w:r>
      <w:r w:rsidRPr="00291C24">
        <w:rPr>
          <w:rFonts w:ascii="Arial" w:hAnsi="Arial" w:cs="Arial"/>
          <w:iCs/>
        </w:rPr>
        <w:tab/>
      </w:r>
      <w:r w:rsidR="00E75F31" w:rsidRPr="00291C24">
        <w:rPr>
          <w:rFonts w:ascii="Arial" w:hAnsi="Arial" w:cs="Arial"/>
          <w:iCs/>
        </w:rPr>
        <w:t xml:space="preserve">‘COVAX’ (with the Global Vaccine Alliance – GAVI /other). </w:t>
      </w:r>
    </w:p>
    <w:p w14:paraId="38CF6470" w14:textId="5CF007E4" w:rsidR="00E75F31" w:rsidRPr="00291C24" w:rsidRDefault="00291C24" w:rsidP="00291C24">
      <w:pPr>
        <w:spacing w:after="156" w:line="360" w:lineRule="auto"/>
        <w:ind w:left="4253" w:right="49" w:hanging="1418"/>
        <w:jc w:val="both"/>
        <w:rPr>
          <w:rFonts w:ascii="Arial" w:hAnsi="Arial" w:cs="Arial"/>
          <w:iCs/>
        </w:rPr>
      </w:pPr>
      <w:r w:rsidRPr="00291C24">
        <w:rPr>
          <w:rFonts w:ascii="Arial" w:hAnsi="Arial" w:cs="Arial"/>
          <w:iCs/>
        </w:rPr>
        <w:t>[5</w:t>
      </w:r>
      <w:r w:rsidR="00232DEB">
        <w:rPr>
          <w:rFonts w:ascii="Arial" w:hAnsi="Arial" w:cs="Arial"/>
          <w:iCs/>
        </w:rPr>
        <w:t>4</w:t>
      </w:r>
      <w:r w:rsidRPr="00291C24">
        <w:rPr>
          <w:rFonts w:ascii="Arial" w:hAnsi="Arial" w:cs="Arial"/>
          <w:iCs/>
        </w:rPr>
        <w:t>.3.2.9]</w:t>
      </w:r>
      <w:r w:rsidRPr="00291C24">
        <w:rPr>
          <w:rFonts w:ascii="Arial" w:hAnsi="Arial" w:cs="Arial"/>
          <w:iCs/>
        </w:rPr>
        <w:tab/>
      </w:r>
      <w:r w:rsidR="00E75F31" w:rsidRPr="00291C24">
        <w:rPr>
          <w:rFonts w:ascii="Arial" w:hAnsi="Arial" w:cs="Arial"/>
          <w:iCs/>
        </w:rPr>
        <w:t>The Solidarity Fund.</w:t>
      </w:r>
    </w:p>
    <w:p w14:paraId="7493C9C1" w14:textId="074CFC3A" w:rsidR="007F0B8A" w:rsidRDefault="007F0B8A" w:rsidP="007F0B8A">
      <w:pPr>
        <w:pStyle w:val="ListParagraph"/>
        <w:spacing w:line="360" w:lineRule="auto"/>
        <w:ind w:left="851" w:right="50"/>
        <w:jc w:val="both"/>
        <w:rPr>
          <w:rFonts w:ascii="Arial" w:hAnsi="Arial" w:cs="Arial"/>
        </w:rPr>
      </w:pPr>
    </w:p>
    <w:p w14:paraId="24E22621" w14:textId="3A4F94FF" w:rsidR="008E6813" w:rsidRPr="00232DEB" w:rsidRDefault="00E75F31" w:rsidP="00232DEB">
      <w:pPr>
        <w:pStyle w:val="ListParagraph"/>
        <w:spacing w:line="360" w:lineRule="auto"/>
        <w:ind w:left="1701" w:right="50" w:hanging="850"/>
        <w:jc w:val="both"/>
        <w:rPr>
          <w:rFonts w:ascii="Arial" w:hAnsi="Arial" w:cs="Arial"/>
        </w:rPr>
      </w:pPr>
      <w:r>
        <w:rPr>
          <w:rFonts w:ascii="Arial" w:hAnsi="Arial" w:cs="Arial"/>
        </w:rPr>
        <w:t>[5</w:t>
      </w:r>
      <w:r w:rsidR="00232DEB">
        <w:rPr>
          <w:rFonts w:ascii="Arial" w:hAnsi="Arial" w:cs="Arial"/>
        </w:rPr>
        <w:t>4</w:t>
      </w:r>
      <w:r>
        <w:rPr>
          <w:rFonts w:ascii="Arial" w:hAnsi="Arial" w:cs="Arial"/>
        </w:rPr>
        <w:t>.</w:t>
      </w:r>
      <w:r w:rsidR="00291C24">
        <w:rPr>
          <w:rFonts w:ascii="Arial" w:hAnsi="Arial" w:cs="Arial"/>
        </w:rPr>
        <w:t>4</w:t>
      </w:r>
      <w:r>
        <w:rPr>
          <w:rFonts w:ascii="Arial" w:hAnsi="Arial" w:cs="Arial"/>
        </w:rPr>
        <w:t>]</w:t>
      </w:r>
      <w:r>
        <w:rPr>
          <w:rFonts w:ascii="Arial" w:hAnsi="Arial" w:cs="Arial"/>
        </w:rPr>
        <w:tab/>
        <w:t>The first and second respondents are ordered to pay the costs of the application of the applicant on the scale as between party and party which costs are to include the costs consequent upon the employment of two counsel.</w:t>
      </w:r>
    </w:p>
    <w:p w14:paraId="67B4416D" w14:textId="27F9EEEC" w:rsidR="001D6C62" w:rsidRPr="00232DEB" w:rsidRDefault="00101D88" w:rsidP="00232DEB">
      <w:pPr>
        <w:pStyle w:val="Body"/>
        <w:spacing w:line="360" w:lineRule="auto"/>
        <w:ind w:left="720"/>
        <w:jc w:val="right"/>
        <w:rPr>
          <w:rFonts w:cs="Arial"/>
          <w:sz w:val="24"/>
          <w:szCs w:val="24"/>
        </w:rPr>
      </w:pPr>
      <w:r w:rsidRPr="00413603">
        <w:rPr>
          <w:rFonts w:cs="Arial"/>
          <w:b/>
          <w:bCs/>
          <w:sz w:val="24"/>
          <w:szCs w:val="24"/>
        </w:rPr>
        <w:t>_____________________________</w:t>
      </w:r>
    </w:p>
    <w:p w14:paraId="7C493B1F" w14:textId="65ACEF1C" w:rsidR="00101D88" w:rsidRPr="00242E76" w:rsidRDefault="00101D88" w:rsidP="00232DEB">
      <w:pPr>
        <w:pStyle w:val="BodyA"/>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232DEB">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232DEB">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6370866B" w14:textId="77777777" w:rsidR="00416EA1" w:rsidRDefault="00416EA1" w:rsidP="00232DEB">
      <w:pPr>
        <w:spacing w:line="360" w:lineRule="auto"/>
        <w:jc w:val="both"/>
        <w:rPr>
          <w:rFonts w:ascii="Arial" w:hAnsi="Arial" w:cs="Arial"/>
        </w:rPr>
      </w:pPr>
    </w:p>
    <w:p w14:paraId="5ACDA854" w14:textId="22FE28D5" w:rsidR="002040D5" w:rsidRPr="00242E76" w:rsidRDefault="00412E0C" w:rsidP="008E6813">
      <w:pPr>
        <w:spacing w:line="36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237E44">
        <w:rPr>
          <w:rFonts w:ascii="Arial" w:hAnsi="Arial" w:cs="Arial"/>
          <w:sz w:val="22"/>
          <w:szCs w:val="22"/>
        </w:rPr>
        <w:t>26 JULY 2023</w:t>
      </w:r>
    </w:p>
    <w:p w14:paraId="7E6457D4" w14:textId="15C33B13" w:rsidR="002040D5"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1C6AA6">
        <w:rPr>
          <w:rFonts w:ascii="Arial" w:hAnsi="Arial" w:cs="Arial"/>
          <w:sz w:val="22"/>
          <w:szCs w:val="22"/>
        </w:rPr>
        <w:t>1</w:t>
      </w:r>
      <w:r w:rsidR="00D710E6">
        <w:rPr>
          <w:rFonts w:ascii="Arial" w:hAnsi="Arial" w:cs="Arial"/>
          <w:sz w:val="22"/>
          <w:szCs w:val="22"/>
        </w:rPr>
        <w:t>7</w:t>
      </w:r>
      <w:r w:rsidR="001C6AA6">
        <w:rPr>
          <w:rFonts w:ascii="Arial" w:hAnsi="Arial" w:cs="Arial"/>
          <w:sz w:val="22"/>
          <w:szCs w:val="22"/>
        </w:rPr>
        <w:t xml:space="preserve"> </w:t>
      </w:r>
      <w:r w:rsidR="00291C24">
        <w:rPr>
          <w:rFonts w:ascii="Arial" w:hAnsi="Arial" w:cs="Arial"/>
          <w:sz w:val="22"/>
          <w:szCs w:val="22"/>
        </w:rPr>
        <w:t>AUGUST 2023</w:t>
      </w:r>
    </w:p>
    <w:p w14:paraId="70B75637" w14:textId="77777777" w:rsidR="006710DC" w:rsidRDefault="006710DC" w:rsidP="008E6813">
      <w:pPr>
        <w:spacing w:line="360" w:lineRule="auto"/>
        <w:ind w:left="567" w:hanging="567"/>
        <w:jc w:val="both"/>
        <w:rPr>
          <w:rFonts w:ascii="Arial" w:hAnsi="Arial" w:cs="Arial"/>
          <w:sz w:val="22"/>
          <w:szCs w:val="22"/>
        </w:rPr>
      </w:pPr>
    </w:p>
    <w:p w14:paraId="02474508" w14:textId="3F2D3154" w:rsidR="006630FB"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APPLICANT</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BB04EC">
        <w:rPr>
          <w:rFonts w:ascii="Arial" w:hAnsi="Arial" w:cs="Arial"/>
          <w:sz w:val="22"/>
          <w:szCs w:val="22"/>
        </w:rPr>
        <w:t>I GOODMAN</w:t>
      </w:r>
    </w:p>
    <w:p w14:paraId="3E7016F3" w14:textId="424F6E34" w:rsidR="00BB04EC" w:rsidRDefault="00BB04EC" w:rsidP="008E6813">
      <w:pPr>
        <w:spacing w:line="36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ADV. S MABUNDA</w:t>
      </w:r>
    </w:p>
    <w:p w14:paraId="47071B74" w14:textId="1D40A5BE" w:rsidR="00BB04EC" w:rsidRPr="00242E76" w:rsidRDefault="00BB04EC" w:rsidP="008E6813">
      <w:pPr>
        <w:spacing w:line="36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ADV. N SOEKOE</w:t>
      </w:r>
    </w:p>
    <w:p w14:paraId="6434C520" w14:textId="4BAC31A9" w:rsidR="006630FB" w:rsidRPr="00242E76" w:rsidRDefault="006630FB" w:rsidP="00232DEB">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BB04EC">
        <w:rPr>
          <w:rFonts w:ascii="Arial" w:hAnsi="Arial" w:cs="Arial"/>
          <w:sz w:val="22"/>
          <w:szCs w:val="22"/>
        </w:rPr>
        <w:t>POWER SINGH INC.</w:t>
      </w:r>
    </w:p>
    <w:p w14:paraId="7383FC0C" w14:textId="1F60DE76" w:rsidR="000E6633" w:rsidRPr="00242E76" w:rsidRDefault="000E6633" w:rsidP="008E6813">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BB04EC">
        <w:rPr>
          <w:rFonts w:ascii="Arial" w:hAnsi="Arial" w:cs="Arial"/>
          <w:sz w:val="22"/>
          <w:szCs w:val="22"/>
        </w:rPr>
        <w:t>MS. T DAVIS</w:t>
      </w:r>
    </w:p>
    <w:p w14:paraId="4502317A" w14:textId="77777777" w:rsidR="000E6633" w:rsidRPr="00242E76" w:rsidRDefault="000E6633" w:rsidP="008E6813">
      <w:pPr>
        <w:spacing w:line="360" w:lineRule="auto"/>
        <w:ind w:left="567" w:hanging="567"/>
        <w:jc w:val="both"/>
        <w:rPr>
          <w:rFonts w:ascii="Arial" w:hAnsi="Arial" w:cs="Arial"/>
          <w:sz w:val="22"/>
          <w:szCs w:val="22"/>
        </w:rPr>
      </w:pPr>
    </w:p>
    <w:p w14:paraId="577B443F" w14:textId="37952E04" w:rsidR="006630FB" w:rsidRDefault="002A6A3F" w:rsidP="008E6813">
      <w:pPr>
        <w:spacing w:line="36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 xml:space="preserve">THE </w:t>
      </w:r>
      <w:r w:rsidR="00D77C76">
        <w:rPr>
          <w:rFonts w:ascii="Arial" w:hAnsi="Arial" w:cs="Arial"/>
          <w:sz w:val="22"/>
          <w:szCs w:val="22"/>
        </w:rPr>
        <w:t xml:space="preserve">FIRST </w:t>
      </w:r>
      <w:r w:rsidR="000218AC">
        <w:rPr>
          <w:rFonts w:ascii="Arial" w:hAnsi="Arial" w:cs="Arial"/>
          <w:sz w:val="22"/>
          <w:szCs w:val="22"/>
        </w:rPr>
        <w:t>RESPONDENT</w:t>
      </w:r>
      <w:r w:rsidR="006630FB" w:rsidRPr="00242E76">
        <w:rPr>
          <w:rFonts w:ascii="Arial" w:hAnsi="Arial" w:cs="Arial"/>
          <w:sz w:val="22"/>
          <w:szCs w:val="22"/>
        </w:rPr>
        <w:t>:</w:t>
      </w:r>
      <w:r w:rsidR="000E07B1">
        <w:rPr>
          <w:rFonts w:ascii="Arial" w:hAnsi="Arial" w:cs="Arial"/>
          <w:sz w:val="22"/>
          <w:szCs w:val="22"/>
        </w:rPr>
        <w:tab/>
      </w:r>
      <w:r w:rsidR="006630FB" w:rsidRPr="00242E76">
        <w:rPr>
          <w:rFonts w:ascii="Arial" w:hAnsi="Arial" w:cs="Arial"/>
          <w:sz w:val="22"/>
          <w:szCs w:val="22"/>
        </w:rPr>
        <w:t>ADV</w:t>
      </w:r>
      <w:r w:rsidR="00D77C76">
        <w:rPr>
          <w:rFonts w:ascii="Arial" w:hAnsi="Arial" w:cs="Arial"/>
          <w:sz w:val="22"/>
          <w:szCs w:val="22"/>
        </w:rPr>
        <w:t xml:space="preserve">. </w:t>
      </w:r>
      <w:r w:rsidR="00BB04EC">
        <w:rPr>
          <w:rFonts w:ascii="Arial" w:hAnsi="Arial" w:cs="Arial"/>
          <w:sz w:val="22"/>
          <w:szCs w:val="22"/>
        </w:rPr>
        <w:t>M PHASWANE</w:t>
      </w:r>
    </w:p>
    <w:p w14:paraId="0319227B" w14:textId="25911392" w:rsidR="00BB04EC" w:rsidRPr="00242E76" w:rsidRDefault="00BB04EC" w:rsidP="008E6813">
      <w:pPr>
        <w:spacing w:line="36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ADV. </w:t>
      </w:r>
      <w:r w:rsidR="000C3C98">
        <w:rPr>
          <w:rFonts w:ascii="Arial" w:hAnsi="Arial" w:cs="Arial"/>
          <w:sz w:val="22"/>
          <w:szCs w:val="22"/>
        </w:rPr>
        <w:t>N</w:t>
      </w:r>
      <w:r w:rsidR="007C73A8">
        <w:rPr>
          <w:rFonts w:ascii="Arial" w:hAnsi="Arial" w:cs="Arial"/>
          <w:sz w:val="22"/>
          <w:szCs w:val="22"/>
        </w:rPr>
        <w:t xml:space="preserve"> </w:t>
      </w:r>
      <w:r>
        <w:rPr>
          <w:rFonts w:ascii="Arial" w:hAnsi="Arial" w:cs="Arial"/>
          <w:sz w:val="22"/>
          <w:szCs w:val="22"/>
        </w:rPr>
        <w:t>JANUARY</w:t>
      </w:r>
    </w:p>
    <w:p w14:paraId="204D9D98" w14:textId="77777777" w:rsidR="000C3C98" w:rsidRDefault="000C3C98" w:rsidP="008E6813">
      <w:pPr>
        <w:spacing w:line="360" w:lineRule="auto"/>
        <w:ind w:left="567" w:hanging="567"/>
        <w:jc w:val="both"/>
        <w:rPr>
          <w:rFonts w:ascii="Arial" w:hAnsi="Arial" w:cs="Arial"/>
          <w:sz w:val="22"/>
          <w:szCs w:val="22"/>
        </w:rPr>
      </w:pPr>
    </w:p>
    <w:p w14:paraId="6EEF6A02" w14:textId="43F16F74" w:rsidR="008465D6"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BB04EC">
        <w:rPr>
          <w:rFonts w:ascii="Arial" w:hAnsi="Arial" w:cs="Arial"/>
          <w:sz w:val="22"/>
          <w:szCs w:val="22"/>
        </w:rPr>
        <w:t>THE STATE ATTORNEY,PRETORIA</w:t>
      </w:r>
    </w:p>
    <w:p w14:paraId="0030EF17" w14:textId="58B4DF85" w:rsidR="000E6633" w:rsidRDefault="000E6633" w:rsidP="008E6813">
      <w:pPr>
        <w:spacing w:line="36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BB04EC">
        <w:rPr>
          <w:rFonts w:ascii="Arial" w:hAnsi="Arial" w:cs="Arial"/>
          <w:sz w:val="22"/>
          <w:szCs w:val="22"/>
        </w:rPr>
        <w:t>MS. N QONGQO</w:t>
      </w:r>
    </w:p>
    <w:p w14:paraId="748D69AA" w14:textId="7969D0B6" w:rsidR="00A56BC1" w:rsidRDefault="00A56BC1" w:rsidP="008E6813">
      <w:pPr>
        <w:spacing w:line="360" w:lineRule="auto"/>
        <w:jc w:val="both"/>
        <w:rPr>
          <w:rFonts w:ascii="Arial" w:hAnsi="Arial"/>
          <w:sz w:val="22"/>
          <w:szCs w:val="22"/>
        </w:rPr>
      </w:pPr>
    </w:p>
    <w:p w14:paraId="6072C765" w14:textId="3902A2A7" w:rsidR="0027008F" w:rsidRDefault="0027008F" w:rsidP="008E6813">
      <w:pPr>
        <w:spacing w:line="360" w:lineRule="auto"/>
        <w:ind w:left="567" w:hanging="567"/>
        <w:jc w:val="both"/>
        <w:rPr>
          <w:rFonts w:ascii="Arial" w:hAnsi="Arial" w:cs="Arial"/>
        </w:rPr>
      </w:pPr>
      <w:r>
        <w:rPr>
          <w:rFonts w:ascii="Arial" w:hAnsi="Arial" w:cs="Arial"/>
          <w:sz w:val="22"/>
          <w:szCs w:val="22"/>
        </w:rPr>
        <w:tab/>
      </w:r>
    </w:p>
    <w:p w14:paraId="56023C2B" w14:textId="77777777" w:rsidR="0027008F" w:rsidRPr="00CB6F8A" w:rsidRDefault="0027008F" w:rsidP="00CB6F8A">
      <w:pPr>
        <w:spacing w:line="480" w:lineRule="auto"/>
        <w:jc w:val="both"/>
        <w:rPr>
          <w:rFonts w:ascii="Arial" w:hAnsi="Arial"/>
          <w:sz w:val="22"/>
          <w:szCs w:val="22"/>
        </w:rPr>
      </w:pPr>
    </w:p>
    <w:sectPr w:rsidR="0027008F" w:rsidRPr="00CB6F8A" w:rsidSect="008E6813">
      <w:headerReference w:type="even" r:id="rId10"/>
      <w:headerReference w:type="default" r:id="rId11"/>
      <w:pgSz w:w="12240" w:h="15840"/>
      <w:pgMar w:top="978"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180E5" w14:textId="77777777" w:rsidR="006C5550" w:rsidRDefault="006C5550" w:rsidP="008C18AE">
      <w:r>
        <w:separator/>
      </w:r>
    </w:p>
  </w:endnote>
  <w:endnote w:type="continuationSeparator" w:id="0">
    <w:p w14:paraId="2065777F" w14:textId="77777777" w:rsidR="006C5550" w:rsidRDefault="006C5550"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E20FD" w14:textId="77777777" w:rsidR="006C5550" w:rsidRDefault="006C5550" w:rsidP="008C18AE">
      <w:r>
        <w:separator/>
      </w:r>
    </w:p>
  </w:footnote>
  <w:footnote w:type="continuationSeparator" w:id="0">
    <w:p w14:paraId="67F97FD2" w14:textId="77777777" w:rsidR="006C5550" w:rsidRDefault="006C5550" w:rsidP="008C18AE">
      <w:r>
        <w:continuationSeparator/>
      </w:r>
    </w:p>
  </w:footnote>
  <w:footnote w:id="1">
    <w:p w14:paraId="3573FD03" w14:textId="1801A292" w:rsidR="00774539" w:rsidRPr="0090045D" w:rsidRDefault="00774539" w:rsidP="00DA6A81">
      <w:pPr>
        <w:pStyle w:val="FootnoteText"/>
        <w:ind w:left="284" w:hanging="284"/>
        <w:jc w:val="both"/>
        <w:rPr>
          <w:rFonts w:ascii="Arial" w:hAnsi="Arial" w:cs="Arial"/>
          <w:sz w:val="20"/>
          <w:szCs w:val="20"/>
        </w:rPr>
      </w:pPr>
      <w:r w:rsidRPr="0090045D">
        <w:rPr>
          <w:rStyle w:val="FootnoteReference"/>
          <w:rFonts w:ascii="Arial" w:hAnsi="Arial" w:cs="Arial"/>
          <w:sz w:val="20"/>
          <w:szCs w:val="20"/>
        </w:rPr>
        <w:footnoteRef/>
      </w:r>
      <w:r w:rsidRPr="0090045D">
        <w:rPr>
          <w:rFonts w:ascii="Arial" w:hAnsi="Arial" w:cs="Arial"/>
          <w:sz w:val="20"/>
          <w:szCs w:val="20"/>
        </w:rPr>
        <w:t xml:space="preserve"> </w:t>
      </w:r>
      <w:r w:rsidR="00DA6A81" w:rsidRPr="0090045D">
        <w:rPr>
          <w:rFonts w:ascii="Arial" w:hAnsi="Arial" w:cs="Arial"/>
          <w:sz w:val="20"/>
          <w:szCs w:val="20"/>
        </w:rPr>
        <w:tab/>
      </w:r>
      <w:r w:rsidRPr="0090045D">
        <w:rPr>
          <w:rFonts w:ascii="Arial" w:hAnsi="Arial" w:cs="Arial"/>
          <w:sz w:val="20"/>
          <w:szCs w:val="20"/>
        </w:rPr>
        <w:t>2 of 2000.</w:t>
      </w:r>
    </w:p>
  </w:footnote>
  <w:footnote w:id="2">
    <w:p w14:paraId="4D664A9F" w14:textId="196169B9" w:rsidR="0090045D" w:rsidRPr="00F50FA7" w:rsidRDefault="0090045D" w:rsidP="00F50FA7">
      <w:pPr>
        <w:pStyle w:val="FootnoteText"/>
        <w:ind w:left="284" w:hanging="284"/>
        <w:jc w:val="both"/>
        <w:rPr>
          <w:rFonts w:ascii="Arial" w:hAnsi="Arial" w:cs="Arial"/>
          <w:sz w:val="20"/>
          <w:szCs w:val="20"/>
        </w:rPr>
      </w:pPr>
      <w:r w:rsidRPr="00F50FA7">
        <w:rPr>
          <w:rStyle w:val="FootnoteReference"/>
          <w:rFonts w:ascii="Arial" w:hAnsi="Arial" w:cs="Arial"/>
          <w:sz w:val="20"/>
          <w:szCs w:val="20"/>
        </w:rPr>
        <w:footnoteRef/>
      </w:r>
      <w:r w:rsidRPr="00F50FA7">
        <w:rPr>
          <w:rFonts w:ascii="Arial" w:hAnsi="Arial" w:cs="Arial"/>
          <w:sz w:val="20"/>
          <w:szCs w:val="20"/>
        </w:rPr>
        <w:t xml:space="preserve"> </w:t>
      </w:r>
      <w:r w:rsidR="00F50FA7">
        <w:rPr>
          <w:rFonts w:ascii="Arial" w:hAnsi="Arial" w:cs="Arial"/>
          <w:sz w:val="20"/>
          <w:szCs w:val="20"/>
        </w:rPr>
        <w:tab/>
      </w:r>
      <w:r w:rsidRPr="00F50FA7">
        <w:rPr>
          <w:rFonts w:ascii="Arial" w:hAnsi="Arial" w:cs="Arial"/>
          <w:i/>
          <w:iCs/>
          <w:sz w:val="20"/>
          <w:szCs w:val="20"/>
        </w:rPr>
        <w:t>Brummer v Minister of Social Development and</w:t>
      </w:r>
      <w:r w:rsidRPr="00F50FA7">
        <w:rPr>
          <w:rFonts w:ascii="Arial" w:hAnsi="Arial" w:cs="Arial"/>
          <w:sz w:val="20"/>
          <w:szCs w:val="20"/>
        </w:rPr>
        <w:t xml:space="preserve"> </w:t>
      </w:r>
      <w:r w:rsidRPr="00F635E3">
        <w:rPr>
          <w:rFonts w:ascii="Arial" w:hAnsi="Arial" w:cs="Arial"/>
          <w:i/>
          <w:iCs/>
          <w:sz w:val="20"/>
          <w:szCs w:val="20"/>
        </w:rPr>
        <w:t>Others</w:t>
      </w:r>
      <w:r w:rsidRPr="00F50FA7">
        <w:rPr>
          <w:rFonts w:ascii="Arial" w:hAnsi="Arial" w:cs="Arial"/>
          <w:sz w:val="20"/>
          <w:szCs w:val="20"/>
        </w:rPr>
        <w:t xml:space="preserve"> 2009 (6) SA 323 (CC) at paras [62] to [63] in which the Court said “</w:t>
      </w:r>
      <w:r w:rsidRPr="00F50FA7">
        <w:rPr>
          <w:rFonts w:ascii="Arial" w:hAnsi="Arial" w:cs="Arial"/>
          <w:i/>
          <w:iCs/>
          <w:sz w:val="20"/>
          <w:szCs w:val="20"/>
        </w:rPr>
        <w:t>access to information is crucial to the right of freedom of expression which includes freedom of the press and other media and freedom to receive or impart information or ideas.”</w:t>
      </w:r>
    </w:p>
  </w:footnote>
  <w:footnote w:id="3">
    <w:p w14:paraId="3F4DAA27" w14:textId="4921A0E5" w:rsidR="0090045D" w:rsidRPr="00F50FA7" w:rsidRDefault="0090045D" w:rsidP="00F50FA7">
      <w:pPr>
        <w:pStyle w:val="FootnoteText"/>
        <w:ind w:left="284" w:hanging="284"/>
        <w:jc w:val="both"/>
        <w:rPr>
          <w:rFonts w:ascii="Arial" w:hAnsi="Arial" w:cs="Arial"/>
          <w:sz w:val="20"/>
          <w:szCs w:val="20"/>
        </w:rPr>
      </w:pPr>
      <w:r w:rsidRPr="00F50FA7">
        <w:rPr>
          <w:rStyle w:val="FootnoteReference"/>
          <w:rFonts w:ascii="Arial" w:hAnsi="Arial" w:cs="Arial"/>
          <w:sz w:val="20"/>
          <w:szCs w:val="20"/>
        </w:rPr>
        <w:footnoteRef/>
      </w:r>
      <w:r w:rsidRPr="00F50FA7">
        <w:rPr>
          <w:rFonts w:ascii="Arial" w:hAnsi="Arial" w:cs="Arial"/>
          <w:sz w:val="20"/>
          <w:szCs w:val="20"/>
        </w:rPr>
        <w:t xml:space="preserve"> </w:t>
      </w:r>
      <w:r w:rsidR="00F50FA7">
        <w:rPr>
          <w:rFonts w:ascii="Arial" w:hAnsi="Arial" w:cs="Arial"/>
          <w:sz w:val="20"/>
          <w:szCs w:val="20"/>
        </w:rPr>
        <w:tab/>
      </w:r>
      <w:r w:rsidRPr="00F50FA7">
        <w:rPr>
          <w:rFonts w:ascii="Arial" w:hAnsi="Arial" w:cs="Arial"/>
          <w:sz w:val="20"/>
          <w:szCs w:val="20"/>
        </w:rPr>
        <w:t>The part of the preamble to PAIA relevant in this matter.</w:t>
      </w:r>
    </w:p>
  </w:footnote>
  <w:footnote w:id="4">
    <w:p w14:paraId="03FCB1F3" w14:textId="2A263DFF" w:rsidR="001F3568" w:rsidRPr="0090045D" w:rsidRDefault="001F3568" w:rsidP="00F50FA7">
      <w:pPr>
        <w:pStyle w:val="FootnoteText"/>
        <w:ind w:left="284" w:hanging="284"/>
        <w:jc w:val="both"/>
        <w:rPr>
          <w:rFonts w:ascii="Arial" w:hAnsi="Arial" w:cs="Arial"/>
          <w:sz w:val="20"/>
          <w:szCs w:val="20"/>
        </w:rPr>
      </w:pPr>
      <w:r w:rsidRPr="00F50FA7">
        <w:rPr>
          <w:rStyle w:val="FootnoteReference"/>
          <w:rFonts w:ascii="Arial" w:hAnsi="Arial" w:cs="Arial"/>
          <w:sz w:val="20"/>
          <w:szCs w:val="20"/>
        </w:rPr>
        <w:footnoteRef/>
      </w:r>
      <w:r w:rsidRPr="00F50FA7">
        <w:rPr>
          <w:rFonts w:ascii="Arial" w:hAnsi="Arial" w:cs="Arial"/>
          <w:sz w:val="20"/>
          <w:szCs w:val="20"/>
        </w:rPr>
        <w:t xml:space="preserve"> </w:t>
      </w:r>
      <w:r w:rsidR="00F50FA7">
        <w:rPr>
          <w:rFonts w:ascii="Arial" w:hAnsi="Arial" w:cs="Arial"/>
          <w:sz w:val="20"/>
          <w:szCs w:val="20"/>
        </w:rPr>
        <w:tab/>
      </w:r>
      <w:r w:rsidRPr="00F50FA7">
        <w:rPr>
          <w:rFonts w:ascii="Arial" w:hAnsi="Arial" w:cs="Arial"/>
          <w:i/>
          <w:iCs/>
          <w:sz w:val="20"/>
          <w:szCs w:val="20"/>
        </w:rPr>
        <w:t>President of the Republic of South Africa and Others v M &amp; G Media</w:t>
      </w:r>
      <w:r w:rsidRPr="00F635E3">
        <w:rPr>
          <w:rFonts w:ascii="Arial" w:hAnsi="Arial" w:cs="Arial"/>
          <w:i/>
          <w:iCs/>
          <w:sz w:val="20"/>
          <w:szCs w:val="20"/>
        </w:rPr>
        <w:t xml:space="preserve"> Ltd</w:t>
      </w:r>
      <w:r w:rsidRPr="00F50FA7">
        <w:rPr>
          <w:rFonts w:ascii="Arial" w:hAnsi="Arial" w:cs="Arial"/>
          <w:sz w:val="20"/>
          <w:szCs w:val="20"/>
        </w:rPr>
        <w:t xml:space="preserve"> 2012 (2) SA 50 (CC) at paras [13] – [14].</w:t>
      </w:r>
    </w:p>
  </w:footnote>
  <w:footnote w:id="5">
    <w:p w14:paraId="019DAF33" w14:textId="136399FB" w:rsidR="00774539" w:rsidRPr="00360617" w:rsidRDefault="00774539" w:rsidP="00DA6A81">
      <w:pPr>
        <w:pStyle w:val="FootnoteText"/>
        <w:ind w:left="284" w:hanging="284"/>
        <w:jc w:val="both"/>
      </w:pPr>
      <w:r w:rsidRPr="0090045D">
        <w:rPr>
          <w:rStyle w:val="FootnoteReference"/>
          <w:rFonts w:ascii="Arial" w:hAnsi="Arial" w:cs="Arial"/>
          <w:sz w:val="20"/>
          <w:szCs w:val="20"/>
        </w:rPr>
        <w:footnoteRef/>
      </w:r>
      <w:r w:rsidRPr="0090045D">
        <w:rPr>
          <w:rFonts w:ascii="Arial" w:hAnsi="Arial" w:cs="Arial"/>
          <w:sz w:val="20"/>
          <w:szCs w:val="20"/>
        </w:rPr>
        <w:t xml:space="preserve"> </w:t>
      </w:r>
      <w:r w:rsidR="00DA6A81" w:rsidRPr="0090045D">
        <w:rPr>
          <w:rFonts w:ascii="Arial" w:hAnsi="Arial" w:cs="Arial"/>
          <w:sz w:val="20"/>
          <w:szCs w:val="20"/>
        </w:rPr>
        <w:tab/>
      </w:r>
      <w:r w:rsidRPr="0090045D">
        <w:rPr>
          <w:rFonts w:ascii="Arial" w:hAnsi="Arial" w:cs="Arial"/>
          <w:sz w:val="20"/>
          <w:szCs w:val="20"/>
        </w:rPr>
        <w:t xml:space="preserve">The section provides that the request must be made in a prescribed form and that certain particulars which include </w:t>
      </w:r>
      <w:r w:rsidRPr="0090045D">
        <w:rPr>
          <w:rFonts w:ascii="Arial" w:hAnsi="Arial" w:cs="Arial"/>
          <w:i/>
          <w:iCs/>
          <w:sz w:val="20"/>
          <w:szCs w:val="20"/>
        </w:rPr>
        <w:t xml:space="preserve">inter alia </w:t>
      </w:r>
      <w:r w:rsidRPr="0090045D">
        <w:rPr>
          <w:rFonts w:ascii="Arial" w:hAnsi="Arial" w:cs="Arial"/>
          <w:sz w:val="20"/>
          <w:szCs w:val="20"/>
        </w:rPr>
        <w:t>sufficient details of the documents requested to enable the identification of those documents.</w:t>
      </w:r>
    </w:p>
  </w:footnote>
  <w:footnote w:id="6">
    <w:p w14:paraId="73683D1C" w14:textId="1AD24127" w:rsidR="00102F67" w:rsidRPr="00102F67" w:rsidRDefault="00102F67" w:rsidP="00102F67">
      <w:pPr>
        <w:pStyle w:val="FootnoteText"/>
        <w:ind w:left="284" w:hanging="284"/>
        <w:rPr>
          <w:rFonts w:ascii="Arial" w:hAnsi="Arial" w:cs="Arial"/>
          <w:sz w:val="20"/>
          <w:szCs w:val="20"/>
        </w:rPr>
      </w:pPr>
      <w:r w:rsidRPr="00102F67">
        <w:rPr>
          <w:rStyle w:val="FootnoteReference"/>
          <w:rFonts w:ascii="Arial" w:hAnsi="Arial" w:cs="Arial"/>
          <w:sz w:val="20"/>
          <w:szCs w:val="20"/>
        </w:rPr>
        <w:footnoteRef/>
      </w:r>
      <w:r w:rsidRPr="00102F67">
        <w:rPr>
          <w:rFonts w:ascii="Arial" w:hAnsi="Arial" w:cs="Arial"/>
          <w:sz w:val="20"/>
          <w:szCs w:val="20"/>
        </w:rPr>
        <w:t xml:space="preserve"> </w:t>
      </w:r>
      <w:r w:rsidRPr="00102F67">
        <w:rPr>
          <w:rFonts w:ascii="Arial" w:hAnsi="Arial" w:cs="Arial"/>
          <w:sz w:val="20"/>
          <w:szCs w:val="20"/>
        </w:rPr>
        <w:tab/>
        <w:t>Sections 47 and 48 of PAIA.</w:t>
      </w:r>
    </w:p>
  </w:footnote>
  <w:footnote w:id="7">
    <w:p w14:paraId="041FF4B1" w14:textId="21940688" w:rsidR="00774539" w:rsidRPr="00396318" w:rsidRDefault="00774539" w:rsidP="00DA6A81">
      <w:pPr>
        <w:pStyle w:val="FootnoteText"/>
        <w:ind w:left="284" w:hanging="284"/>
        <w:jc w:val="both"/>
        <w:rPr>
          <w:rFonts w:ascii="Arial" w:hAnsi="Arial" w:cs="Arial"/>
          <w:sz w:val="20"/>
          <w:szCs w:val="20"/>
        </w:rPr>
      </w:pPr>
      <w:r w:rsidRPr="00396318">
        <w:rPr>
          <w:rStyle w:val="FootnoteReference"/>
          <w:rFonts w:ascii="Arial" w:hAnsi="Arial" w:cs="Arial"/>
          <w:sz w:val="20"/>
          <w:szCs w:val="20"/>
        </w:rPr>
        <w:footnoteRef/>
      </w:r>
      <w:r w:rsidRPr="00396318">
        <w:rPr>
          <w:rFonts w:ascii="Arial" w:hAnsi="Arial" w:cs="Arial"/>
          <w:sz w:val="20"/>
          <w:szCs w:val="20"/>
        </w:rPr>
        <w:t xml:space="preserve"> </w:t>
      </w:r>
      <w:r w:rsidR="00DA6A81">
        <w:rPr>
          <w:rFonts w:ascii="Arial" w:hAnsi="Arial" w:cs="Arial"/>
          <w:sz w:val="20"/>
          <w:szCs w:val="20"/>
        </w:rPr>
        <w:tab/>
      </w:r>
      <w:r w:rsidRPr="00396318">
        <w:rPr>
          <w:rFonts w:ascii="Arial" w:hAnsi="Arial" w:cs="Arial"/>
          <w:sz w:val="20"/>
          <w:szCs w:val="20"/>
        </w:rPr>
        <w:t>2003 (2) 325 (T) at para [16].</w:t>
      </w:r>
    </w:p>
  </w:footnote>
  <w:footnote w:id="8">
    <w:p w14:paraId="273FD4F2" w14:textId="207F9C0E" w:rsidR="00774539" w:rsidRPr="00396318" w:rsidRDefault="00774539" w:rsidP="00DA6A81">
      <w:pPr>
        <w:pStyle w:val="FootnoteText"/>
        <w:ind w:left="284" w:hanging="284"/>
        <w:jc w:val="both"/>
        <w:rPr>
          <w:rFonts w:ascii="Arial" w:hAnsi="Arial" w:cs="Arial"/>
          <w:i/>
          <w:iCs/>
          <w:sz w:val="20"/>
          <w:szCs w:val="20"/>
        </w:rPr>
      </w:pPr>
      <w:r w:rsidRPr="00396318">
        <w:rPr>
          <w:rStyle w:val="FootnoteReference"/>
          <w:rFonts w:ascii="Arial" w:hAnsi="Arial" w:cs="Arial"/>
          <w:sz w:val="20"/>
          <w:szCs w:val="20"/>
        </w:rPr>
        <w:footnoteRef/>
      </w:r>
      <w:r w:rsidRPr="00396318">
        <w:rPr>
          <w:rFonts w:ascii="Arial" w:hAnsi="Arial" w:cs="Arial"/>
          <w:sz w:val="20"/>
          <w:szCs w:val="20"/>
        </w:rPr>
        <w:t xml:space="preserve"> </w:t>
      </w:r>
      <w:r w:rsidR="00DA6A81">
        <w:rPr>
          <w:rFonts w:ascii="Arial" w:hAnsi="Arial" w:cs="Arial"/>
          <w:sz w:val="20"/>
          <w:szCs w:val="20"/>
        </w:rPr>
        <w:tab/>
      </w:r>
      <w:r w:rsidRPr="00396318">
        <w:rPr>
          <w:rFonts w:ascii="Arial" w:hAnsi="Arial" w:cs="Arial"/>
          <w:sz w:val="20"/>
          <w:szCs w:val="20"/>
        </w:rPr>
        <w:t xml:space="preserve">2011 (2) SA 1 (SCA) para [19]. When the same matter came before the Constitutional Court, </w:t>
      </w:r>
      <w:r w:rsidR="00ED1968">
        <w:rPr>
          <w:rFonts w:ascii="Arial" w:hAnsi="Arial" w:cs="Arial"/>
          <w:sz w:val="20"/>
          <w:szCs w:val="20"/>
        </w:rPr>
        <w:t>footnote 2 supra,</w:t>
      </w:r>
      <w:r w:rsidRPr="00396318">
        <w:rPr>
          <w:rFonts w:ascii="Arial" w:hAnsi="Arial" w:cs="Arial"/>
          <w:sz w:val="20"/>
          <w:szCs w:val="20"/>
        </w:rPr>
        <w:t xml:space="preserve"> at para [24] this view was supported when the court held “</w:t>
      </w:r>
      <w:r w:rsidRPr="00396318">
        <w:rPr>
          <w:rFonts w:ascii="Arial" w:hAnsi="Arial" w:cs="Arial"/>
          <w:i/>
          <w:iCs/>
          <w:sz w:val="20"/>
          <w:szCs w:val="20"/>
        </w:rPr>
        <w:t>The recitation of the statutory language of the exemptions claimed is not sufficient for the state to show that the record in question falls within the exemptions claimed. Nor are mere ipse dixit affidavits proffered by the state. The affidavits for the state must provide sufficient information to bring the record within the exemption claimed.”</w:t>
      </w:r>
    </w:p>
  </w:footnote>
  <w:footnote w:id="9">
    <w:p w14:paraId="7140100E" w14:textId="7FBD5F2A" w:rsidR="00774539" w:rsidRDefault="00774539" w:rsidP="00DA6A81">
      <w:pPr>
        <w:pStyle w:val="FootnoteText"/>
        <w:ind w:left="284" w:hanging="284"/>
        <w:jc w:val="both"/>
      </w:pPr>
      <w:r w:rsidRPr="00396318">
        <w:rPr>
          <w:rStyle w:val="FootnoteReference"/>
          <w:rFonts w:ascii="Arial" w:hAnsi="Arial" w:cs="Arial"/>
          <w:sz w:val="20"/>
          <w:szCs w:val="20"/>
        </w:rPr>
        <w:footnoteRef/>
      </w:r>
      <w:r w:rsidRPr="00396318">
        <w:rPr>
          <w:rFonts w:ascii="Arial" w:hAnsi="Arial" w:cs="Arial"/>
          <w:sz w:val="20"/>
          <w:szCs w:val="20"/>
        </w:rPr>
        <w:t xml:space="preserve"> </w:t>
      </w:r>
      <w:r w:rsidR="00DA6A81">
        <w:rPr>
          <w:rFonts w:ascii="Arial" w:hAnsi="Arial" w:cs="Arial"/>
          <w:sz w:val="20"/>
          <w:szCs w:val="20"/>
        </w:rPr>
        <w:tab/>
      </w:r>
      <w:r w:rsidRPr="00396318">
        <w:rPr>
          <w:rFonts w:ascii="Arial" w:hAnsi="Arial" w:cs="Arial"/>
          <w:sz w:val="20"/>
          <w:szCs w:val="20"/>
        </w:rPr>
        <w:t>2020 (6) SA 127 (SCA) at para [36].</w:t>
      </w:r>
      <w:r>
        <w:rPr>
          <w:rFonts w:ascii="Arial" w:hAnsi="Arial" w:cs="Arial"/>
          <w:sz w:val="20"/>
          <w:szCs w:val="20"/>
        </w:rPr>
        <w:t xml:space="preserve"> See also </w:t>
      </w:r>
      <w:r w:rsidRPr="00DA6A81">
        <w:rPr>
          <w:rFonts w:ascii="Arial" w:hAnsi="Arial" w:cs="Arial"/>
          <w:i/>
          <w:iCs/>
          <w:sz w:val="20"/>
          <w:szCs w:val="20"/>
        </w:rPr>
        <w:t>Centre for Applied Legal Studies v Acting National Commissioner: Department of Correctional Services and Others</w:t>
      </w:r>
      <w:r>
        <w:rPr>
          <w:rFonts w:ascii="Arial" w:hAnsi="Arial" w:cs="Arial"/>
          <w:sz w:val="20"/>
          <w:szCs w:val="20"/>
        </w:rPr>
        <w:t xml:space="preserve"> (37578/15) an unreported judgment of Rabie J handed down on 5 February 2020 in the Gauteng High Court, Pretoria, at para [24] in which the same observation was made.</w:t>
      </w:r>
    </w:p>
  </w:footnote>
  <w:footnote w:id="10">
    <w:p w14:paraId="641B2BBC" w14:textId="16E6A303" w:rsidR="00774539" w:rsidRPr="002E098D" w:rsidRDefault="00774539" w:rsidP="00DA6A81">
      <w:pPr>
        <w:pStyle w:val="FootnoteText"/>
        <w:ind w:left="284" w:hanging="284"/>
        <w:jc w:val="both"/>
        <w:rPr>
          <w:rFonts w:ascii="Arial" w:hAnsi="Arial" w:cs="Arial"/>
          <w:sz w:val="20"/>
          <w:szCs w:val="20"/>
        </w:rPr>
      </w:pPr>
      <w:r w:rsidRPr="00AF47B2">
        <w:rPr>
          <w:rStyle w:val="FootnoteReference"/>
          <w:rFonts w:ascii="Arial" w:hAnsi="Arial" w:cs="Arial"/>
          <w:sz w:val="20"/>
          <w:szCs w:val="20"/>
        </w:rPr>
        <w:footnoteRef/>
      </w:r>
      <w:r w:rsidRPr="00AF47B2">
        <w:rPr>
          <w:rFonts w:ascii="Arial" w:hAnsi="Arial" w:cs="Arial"/>
          <w:sz w:val="20"/>
          <w:szCs w:val="20"/>
        </w:rPr>
        <w:t xml:space="preserve"> </w:t>
      </w:r>
      <w:r w:rsidR="00DA6A81">
        <w:rPr>
          <w:rFonts w:ascii="Arial" w:hAnsi="Arial" w:cs="Arial"/>
          <w:sz w:val="20"/>
          <w:szCs w:val="20"/>
        </w:rPr>
        <w:tab/>
      </w:r>
      <w:r w:rsidRPr="00AF47B2">
        <w:rPr>
          <w:rFonts w:ascii="Arial" w:hAnsi="Arial" w:cs="Arial"/>
          <w:sz w:val="20"/>
          <w:szCs w:val="20"/>
        </w:rPr>
        <w:t>2007 (5) SA 391 (SCA) at para [21].</w:t>
      </w:r>
    </w:p>
  </w:footnote>
  <w:footnote w:id="11">
    <w:p w14:paraId="70CF6577" w14:textId="290862E3" w:rsidR="00774539" w:rsidRPr="002E098D" w:rsidRDefault="00774539" w:rsidP="00DA6A81">
      <w:pPr>
        <w:spacing w:after="83"/>
        <w:ind w:left="284" w:right="13" w:hanging="284"/>
        <w:jc w:val="both"/>
        <w:rPr>
          <w:rFonts w:ascii="Arial" w:eastAsia="Verdana" w:hAnsi="Arial" w:cs="Arial"/>
          <w:color w:val="000000"/>
          <w:sz w:val="20"/>
          <w:szCs w:val="20"/>
          <w:lang w:eastAsia="en-ZA"/>
        </w:rPr>
      </w:pPr>
      <w:r w:rsidRPr="002E098D">
        <w:rPr>
          <w:rStyle w:val="FootnoteReference"/>
          <w:rFonts w:ascii="Arial" w:hAnsi="Arial" w:cs="Arial"/>
          <w:sz w:val="20"/>
          <w:szCs w:val="20"/>
        </w:rPr>
        <w:footnoteRef/>
      </w:r>
      <w:r w:rsidRPr="002E098D">
        <w:rPr>
          <w:rFonts w:ascii="Arial" w:hAnsi="Arial" w:cs="Arial"/>
          <w:sz w:val="20"/>
          <w:szCs w:val="20"/>
        </w:rPr>
        <w:t xml:space="preserve"> </w:t>
      </w:r>
      <w:r w:rsidR="00DA6A81">
        <w:rPr>
          <w:rFonts w:ascii="Arial" w:hAnsi="Arial" w:cs="Arial"/>
          <w:sz w:val="20"/>
          <w:szCs w:val="20"/>
        </w:rPr>
        <w:tab/>
      </w:r>
      <w:r w:rsidRPr="002E098D">
        <w:rPr>
          <w:rFonts w:ascii="Arial" w:hAnsi="Arial" w:cs="Arial"/>
          <w:sz w:val="20"/>
          <w:szCs w:val="20"/>
        </w:rPr>
        <w:t xml:space="preserve">Section 47(1) which provides </w:t>
      </w:r>
      <w:r w:rsidRPr="002E098D">
        <w:rPr>
          <w:rFonts w:ascii="Arial" w:hAnsi="Arial" w:cs="Arial"/>
          <w:i/>
          <w:iCs/>
          <w:sz w:val="20"/>
          <w:szCs w:val="20"/>
        </w:rPr>
        <w:t>“</w:t>
      </w:r>
      <w:r w:rsidRPr="002E098D">
        <w:rPr>
          <w:rFonts w:ascii="Arial" w:eastAsia="Verdana" w:hAnsi="Arial" w:cs="Arial"/>
          <w:i/>
          <w:iCs/>
          <w:color w:val="000000"/>
          <w:sz w:val="20"/>
          <w:szCs w:val="20"/>
          <w:lang w:eastAsia="en-ZA"/>
        </w:rPr>
        <w:t>The information officer of a public body considering a request for access to a record that might be a record contemplated in section 34(1), 35 (1), 36 (1), 37 (1) or 43 (1) must take all reasonable steps to inform a third party to whom or which the record relates of the request.”</w:t>
      </w:r>
    </w:p>
  </w:footnote>
  <w:footnote w:id="12">
    <w:p w14:paraId="5F747CFD" w14:textId="41C66C2A" w:rsidR="00774539" w:rsidRPr="002E098D" w:rsidRDefault="00774539" w:rsidP="00DA6A81">
      <w:pPr>
        <w:pStyle w:val="FootnoteText"/>
        <w:ind w:left="284" w:hanging="284"/>
        <w:jc w:val="both"/>
        <w:rPr>
          <w:rFonts w:ascii="Arial" w:hAnsi="Arial" w:cs="Arial"/>
          <w:sz w:val="20"/>
          <w:szCs w:val="20"/>
        </w:rPr>
      </w:pPr>
      <w:r w:rsidRPr="002E098D">
        <w:rPr>
          <w:rStyle w:val="FootnoteReference"/>
          <w:rFonts w:ascii="Arial" w:hAnsi="Arial" w:cs="Arial"/>
          <w:sz w:val="20"/>
          <w:szCs w:val="20"/>
        </w:rPr>
        <w:footnoteRef/>
      </w:r>
      <w:r w:rsidRPr="002E098D">
        <w:rPr>
          <w:rFonts w:ascii="Arial" w:hAnsi="Arial" w:cs="Arial"/>
          <w:sz w:val="20"/>
          <w:szCs w:val="20"/>
        </w:rPr>
        <w:t xml:space="preserve"> </w:t>
      </w:r>
      <w:r w:rsidR="00DA6A81">
        <w:rPr>
          <w:rFonts w:ascii="Arial" w:hAnsi="Arial" w:cs="Arial"/>
          <w:sz w:val="20"/>
          <w:szCs w:val="20"/>
        </w:rPr>
        <w:tab/>
      </w:r>
      <w:r w:rsidRPr="002E098D">
        <w:rPr>
          <w:rFonts w:ascii="Arial" w:hAnsi="Arial" w:cs="Arial"/>
          <w:sz w:val="20"/>
          <w:szCs w:val="20"/>
        </w:rPr>
        <w:t>By the NDOH and Pfizer SA (the only manufacturer of those to whom requests had been addressed who responded).</w:t>
      </w:r>
    </w:p>
  </w:footnote>
  <w:footnote w:id="13">
    <w:p w14:paraId="4FE62671" w14:textId="0C6E4561" w:rsidR="00774539" w:rsidRPr="002E098D" w:rsidRDefault="00774539" w:rsidP="00DA6A81">
      <w:pPr>
        <w:autoSpaceDE w:val="0"/>
        <w:autoSpaceDN w:val="0"/>
        <w:adjustRightInd w:val="0"/>
        <w:ind w:left="284" w:hanging="284"/>
        <w:jc w:val="both"/>
        <w:rPr>
          <w:rFonts w:ascii="Arial" w:hAnsi="Arial" w:cs="Arial"/>
          <w:i/>
          <w:iCs/>
          <w:sz w:val="20"/>
          <w:szCs w:val="20"/>
        </w:rPr>
      </w:pPr>
      <w:r w:rsidRPr="002E098D">
        <w:rPr>
          <w:rStyle w:val="FootnoteReference"/>
          <w:rFonts w:ascii="Arial" w:hAnsi="Arial" w:cs="Arial"/>
          <w:sz w:val="20"/>
          <w:szCs w:val="20"/>
        </w:rPr>
        <w:footnoteRef/>
      </w:r>
      <w:r w:rsidRPr="002E098D">
        <w:rPr>
          <w:rFonts w:ascii="Arial" w:hAnsi="Arial" w:cs="Arial"/>
          <w:sz w:val="20"/>
          <w:szCs w:val="20"/>
        </w:rPr>
        <w:t xml:space="preserve"> </w:t>
      </w:r>
      <w:r w:rsidR="00DA6A81">
        <w:rPr>
          <w:rFonts w:ascii="Arial" w:hAnsi="Arial" w:cs="Arial"/>
          <w:sz w:val="20"/>
          <w:szCs w:val="20"/>
        </w:rPr>
        <w:tab/>
      </w:r>
      <w:r w:rsidRPr="002E098D">
        <w:rPr>
          <w:rFonts w:ascii="Arial" w:hAnsi="Arial" w:cs="Arial"/>
          <w:i/>
          <w:iCs/>
          <w:sz w:val="20"/>
          <w:szCs w:val="20"/>
        </w:rPr>
        <w:t>“(1) A third party that is informed in terms of section 47 (1) of a request for access, may, within 21 days after the third party has been Informed (a) make written or oral representations to the information officer concerned why the request should be refused</w:t>
      </w:r>
      <w:r w:rsidR="00DA6A81">
        <w:rPr>
          <w:rFonts w:ascii="Arial" w:hAnsi="Arial" w:cs="Arial"/>
          <w:i/>
          <w:iCs/>
          <w:sz w:val="20"/>
          <w:szCs w:val="20"/>
        </w:rPr>
        <w:t xml:space="preserve"> </w:t>
      </w:r>
      <w:r w:rsidRPr="002E098D">
        <w:rPr>
          <w:rFonts w:ascii="Arial" w:hAnsi="Arial" w:cs="Arial"/>
          <w:i/>
          <w:iCs/>
          <w:sz w:val="20"/>
          <w:szCs w:val="20"/>
        </w:rPr>
        <w:t>or (b) give written consent for the disclosure of the record to the requester concerned.”</w:t>
      </w:r>
    </w:p>
  </w:footnote>
  <w:footnote w:id="14">
    <w:p w14:paraId="1CDFA73C" w14:textId="03296E79" w:rsidR="00774539" w:rsidRPr="00CC1658" w:rsidRDefault="00774539" w:rsidP="00DA6A81">
      <w:pPr>
        <w:autoSpaceDE w:val="0"/>
        <w:autoSpaceDN w:val="0"/>
        <w:adjustRightInd w:val="0"/>
        <w:ind w:left="284" w:hanging="284"/>
        <w:jc w:val="both"/>
        <w:rPr>
          <w:rFonts w:ascii="Arial" w:hAnsi="Arial" w:cs="Arial"/>
          <w:i/>
          <w:iCs/>
          <w:sz w:val="20"/>
          <w:szCs w:val="20"/>
        </w:rPr>
      </w:pPr>
      <w:r w:rsidRPr="002E098D">
        <w:rPr>
          <w:rStyle w:val="FootnoteReference"/>
          <w:rFonts w:ascii="Arial" w:hAnsi="Arial" w:cs="Arial"/>
          <w:sz w:val="20"/>
          <w:szCs w:val="20"/>
        </w:rPr>
        <w:footnoteRef/>
      </w:r>
      <w:r w:rsidRPr="002E098D">
        <w:rPr>
          <w:rFonts w:ascii="Arial" w:hAnsi="Arial" w:cs="Arial"/>
          <w:sz w:val="20"/>
          <w:szCs w:val="20"/>
        </w:rPr>
        <w:t xml:space="preserve"> </w:t>
      </w:r>
      <w:r w:rsidR="00DA6A81">
        <w:rPr>
          <w:rFonts w:ascii="Arial" w:hAnsi="Arial" w:cs="Arial"/>
          <w:sz w:val="20"/>
          <w:szCs w:val="20"/>
        </w:rPr>
        <w:tab/>
      </w:r>
      <w:r w:rsidRPr="002E098D">
        <w:rPr>
          <w:rFonts w:ascii="Arial" w:hAnsi="Arial" w:cs="Arial"/>
          <w:i/>
          <w:iCs/>
          <w:sz w:val="20"/>
          <w:szCs w:val="20"/>
        </w:rPr>
        <w:t>“(2) A third party that obtains knowledge about a request for access other than in terms of section 47 (1) may (a) make written or oral representations to the information officer concerned why the request should be refused or (b) give written consent for the disclosure of the record to the requester concerned.”</w:t>
      </w:r>
    </w:p>
  </w:footnote>
  <w:footnote w:id="15">
    <w:p w14:paraId="5C4CFEE7" w14:textId="4B6464BE" w:rsidR="00774539" w:rsidRDefault="00774539" w:rsidP="00DA6A81">
      <w:pPr>
        <w:pStyle w:val="FootnoteText"/>
        <w:ind w:left="284" w:hanging="284"/>
        <w:jc w:val="both"/>
      </w:pPr>
      <w:r>
        <w:rPr>
          <w:rStyle w:val="FootnoteReference"/>
        </w:rPr>
        <w:footnoteRef/>
      </w:r>
      <w:r>
        <w:t xml:space="preserve"> </w:t>
      </w:r>
      <w:r w:rsidR="00DA6A81">
        <w:tab/>
      </w:r>
      <w:r w:rsidR="00F635E3" w:rsidRPr="00F635E3">
        <w:rPr>
          <w:rFonts w:ascii="Arial" w:hAnsi="Arial" w:cs="Arial"/>
          <w:sz w:val="20"/>
          <w:szCs w:val="20"/>
        </w:rPr>
        <w:t>Supra p</w:t>
      </w:r>
      <w:r w:rsidRPr="00F635E3">
        <w:rPr>
          <w:rFonts w:ascii="Arial" w:hAnsi="Arial" w:cs="Arial"/>
          <w:sz w:val="20"/>
          <w:szCs w:val="20"/>
        </w:rPr>
        <w:t>aras [6] – [11].</w:t>
      </w:r>
    </w:p>
  </w:footnote>
  <w:footnote w:id="16">
    <w:p w14:paraId="154A4030" w14:textId="0D446F7A" w:rsidR="00774539" w:rsidRPr="00A82EEC" w:rsidRDefault="00774539" w:rsidP="00F50FA7">
      <w:pPr>
        <w:pStyle w:val="FootnoteText"/>
        <w:ind w:left="284" w:hanging="284"/>
        <w:jc w:val="both"/>
        <w:rPr>
          <w:rFonts w:ascii="Arial" w:hAnsi="Arial" w:cs="Arial"/>
          <w:sz w:val="20"/>
          <w:szCs w:val="20"/>
        </w:rPr>
      </w:pPr>
      <w:r w:rsidRPr="00DA6A81">
        <w:rPr>
          <w:rStyle w:val="FootnoteReference"/>
          <w:rFonts w:ascii="Arial" w:hAnsi="Arial" w:cs="Arial"/>
          <w:sz w:val="20"/>
          <w:szCs w:val="20"/>
        </w:rPr>
        <w:footnoteRef/>
      </w:r>
      <w:r w:rsidRPr="00DA6A81">
        <w:rPr>
          <w:rFonts w:ascii="Arial" w:hAnsi="Arial" w:cs="Arial"/>
          <w:sz w:val="20"/>
          <w:szCs w:val="20"/>
        </w:rPr>
        <w:t xml:space="preserve"> </w:t>
      </w:r>
      <w:r w:rsidR="00F50FA7">
        <w:rPr>
          <w:rFonts w:ascii="Arial" w:hAnsi="Arial" w:cs="Arial"/>
          <w:sz w:val="20"/>
          <w:szCs w:val="20"/>
        </w:rPr>
        <w:tab/>
      </w:r>
      <w:r w:rsidRPr="00A82EEC">
        <w:rPr>
          <w:rFonts w:ascii="Arial" w:hAnsi="Arial" w:cs="Arial"/>
          <w:sz w:val="20"/>
          <w:szCs w:val="20"/>
        </w:rPr>
        <w:t>(04/27514) [2005] ZAGPHC 129 at para [72].</w:t>
      </w:r>
    </w:p>
  </w:footnote>
  <w:footnote w:id="17">
    <w:p w14:paraId="4C6D5936" w14:textId="4191F326" w:rsidR="003475A9" w:rsidRPr="00962416" w:rsidRDefault="003475A9" w:rsidP="00F50FA7">
      <w:pPr>
        <w:pStyle w:val="FootnoteText"/>
        <w:ind w:left="284" w:hanging="284"/>
        <w:jc w:val="both"/>
        <w:rPr>
          <w:rFonts w:ascii="Arial" w:hAnsi="Arial" w:cs="Arial"/>
          <w:sz w:val="20"/>
          <w:szCs w:val="20"/>
        </w:rPr>
      </w:pPr>
      <w:r w:rsidRPr="00962416">
        <w:rPr>
          <w:rStyle w:val="FootnoteReference"/>
          <w:rFonts w:ascii="Arial" w:hAnsi="Arial" w:cs="Arial"/>
          <w:sz w:val="20"/>
          <w:szCs w:val="20"/>
        </w:rPr>
        <w:footnoteRef/>
      </w:r>
      <w:r w:rsidRPr="00962416">
        <w:rPr>
          <w:rFonts w:ascii="Arial" w:hAnsi="Arial" w:cs="Arial"/>
          <w:sz w:val="20"/>
          <w:szCs w:val="20"/>
        </w:rPr>
        <w:t xml:space="preserve"> </w:t>
      </w:r>
      <w:r w:rsidR="00F50FA7">
        <w:rPr>
          <w:rFonts w:ascii="Arial" w:hAnsi="Arial" w:cs="Arial"/>
          <w:sz w:val="20"/>
          <w:szCs w:val="20"/>
        </w:rPr>
        <w:tab/>
      </w:r>
      <w:r w:rsidR="00962416">
        <w:rPr>
          <w:rFonts w:ascii="Arial" w:hAnsi="Arial" w:cs="Arial"/>
          <w:sz w:val="20"/>
          <w:szCs w:val="20"/>
        </w:rPr>
        <w:t xml:space="preserve">Ibid </w:t>
      </w:r>
      <w:r w:rsidR="00F635E3">
        <w:rPr>
          <w:rFonts w:ascii="Arial" w:hAnsi="Arial" w:cs="Arial"/>
          <w:sz w:val="20"/>
          <w:szCs w:val="20"/>
        </w:rPr>
        <w:t>.</w:t>
      </w:r>
      <w:r w:rsidRPr="00962416">
        <w:rPr>
          <w:rFonts w:ascii="Arial" w:hAnsi="Arial" w:cs="Arial"/>
          <w:sz w:val="20"/>
          <w:szCs w:val="20"/>
        </w:rPr>
        <w:t>The quote to which I was referred was prefaced with: “</w:t>
      </w:r>
      <w:r w:rsidR="00962416" w:rsidRPr="00C80E1B">
        <w:rPr>
          <w:rFonts w:ascii="Arial" w:hAnsi="Arial" w:cs="Arial"/>
          <w:i/>
          <w:iCs/>
          <w:sz w:val="20"/>
          <w:szCs w:val="20"/>
        </w:rPr>
        <w:t>Having regard to the evidence of Dr Lennon”</w:t>
      </w:r>
      <w:r w:rsidR="00962416" w:rsidRPr="00962416">
        <w:rPr>
          <w:rFonts w:ascii="Arial" w:hAnsi="Arial" w:cs="Arial"/>
          <w:sz w:val="20"/>
          <w:szCs w:val="20"/>
        </w:rPr>
        <w:t>. This appears to have been overlooked by the respondents.</w:t>
      </w:r>
    </w:p>
  </w:footnote>
  <w:footnote w:id="18">
    <w:p w14:paraId="674300C4" w14:textId="53D7D1B0" w:rsidR="00657011" w:rsidRPr="00C80E1B" w:rsidRDefault="00657011" w:rsidP="00F50FA7">
      <w:pPr>
        <w:pStyle w:val="FootnoteText"/>
        <w:ind w:left="284" w:hanging="284"/>
        <w:jc w:val="both"/>
        <w:rPr>
          <w:rFonts w:ascii="Arial" w:hAnsi="Arial" w:cs="Arial"/>
          <w:sz w:val="20"/>
          <w:szCs w:val="20"/>
        </w:rPr>
      </w:pPr>
      <w:r w:rsidRPr="00C80E1B">
        <w:rPr>
          <w:rStyle w:val="FootnoteReference"/>
          <w:rFonts w:ascii="Arial" w:hAnsi="Arial" w:cs="Arial"/>
          <w:sz w:val="20"/>
          <w:szCs w:val="20"/>
        </w:rPr>
        <w:footnoteRef/>
      </w:r>
      <w:r w:rsidRPr="00C80E1B">
        <w:rPr>
          <w:rFonts w:ascii="Arial" w:hAnsi="Arial" w:cs="Arial"/>
          <w:sz w:val="20"/>
          <w:szCs w:val="20"/>
        </w:rPr>
        <w:t xml:space="preserve"> </w:t>
      </w:r>
      <w:r w:rsidR="00F50FA7">
        <w:rPr>
          <w:rFonts w:ascii="Arial" w:hAnsi="Arial" w:cs="Arial"/>
          <w:sz w:val="20"/>
          <w:szCs w:val="20"/>
        </w:rPr>
        <w:tab/>
      </w:r>
      <w:r w:rsidRPr="00C80E1B">
        <w:rPr>
          <w:rFonts w:ascii="Arial" w:hAnsi="Arial" w:cs="Arial"/>
          <w:sz w:val="20"/>
          <w:szCs w:val="20"/>
        </w:rPr>
        <w:t xml:space="preserve">I was referred to </w:t>
      </w:r>
      <w:r w:rsidRPr="00C80E1B">
        <w:rPr>
          <w:rFonts w:ascii="Arial" w:hAnsi="Arial" w:cs="Arial"/>
          <w:i/>
          <w:iCs/>
          <w:sz w:val="20"/>
          <w:szCs w:val="20"/>
        </w:rPr>
        <w:t>Coco v AN Clark (Engineers)</w:t>
      </w:r>
      <w:r w:rsidRPr="00C80E1B">
        <w:rPr>
          <w:rFonts w:ascii="Arial" w:hAnsi="Arial" w:cs="Arial"/>
          <w:sz w:val="20"/>
          <w:szCs w:val="20"/>
        </w:rPr>
        <w:t xml:space="preserve"> </w:t>
      </w:r>
      <w:r w:rsidRPr="00F635E3">
        <w:rPr>
          <w:rFonts w:ascii="Arial" w:hAnsi="Arial" w:cs="Arial"/>
          <w:i/>
          <w:iCs/>
          <w:sz w:val="20"/>
          <w:szCs w:val="20"/>
        </w:rPr>
        <w:t>Ltd</w:t>
      </w:r>
      <w:r w:rsidRPr="00C80E1B">
        <w:rPr>
          <w:rFonts w:ascii="Arial" w:hAnsi="Arial" w:cs="Arial"/>
          <w:b/>
          <w:bCs/>
          <w:sz w:val="20"/>
          <w:szCs w:val="20"/>
        </w:rPr>
        <w:t xml:space="preserve"> </w:t>
      </w:r>
      <w:r w:rsidR="00C80E1B">
        <w:rPr>
          <w:rFonts w:ascii="Arial" w:hAnsi="Arial" w:cs="Arial"/>
          <w:color w:val="000000"/>
          <w:sz w:val="20"/>
          <w:szCs w:val="20"/>
        </w:rPr>
        <w:t>[</w:t>
      </w:r>
      <w:r w:rsidR="005809C3" w:rsidRPr="00C80E1B">
        <w:rPr>
          <w:rFonts w:ascii="Arial" w:hAnsi="Arial" w:cs="Arial"/>
          <w:color w:val="000000"/>
          <w:sz w:val="20"/>
          <w:szCs w:val="20"/>
        </w:rPr>
        <w:t>1968] F.S.R. 415 (01 July 1968)</w:t>
      </w:r>
      <w:r w:rsidR="005809C3" w:rsidRPr="00C80E1B">
        <w:rPr>
          <w:rFonts w:ascii="Arial" w:hAnsi="Arial" w:cs="Arial"/>
          <w:sz w:val="20"/>
          <w:szCs w:val="20"/>
        </w:rPr>
        <w:t xml:space="preserve"> i</w:t>
      </w:r>
      <w:r w:rsidRPr="00C80E1B">
        <w:rPr>
          <w:rFonts w:ascii="Arial" w:hAnsi="Arial" w:cs="Arial"/>
          <w:sz w:val="20"/>
          <w:szCs w:val="20"/>
        </w:rPr>
        <w:t xml:space="preserve">n regard to the obligations that may attribute to the recipient of confidential </w:t>
      </w:r>
      <w:r w:rsidR="00A82EEC" w:rsidRPr="00C80E1B">
        <w:rPr>
          <w:rFonts w:ascii="Arial" w:hAnsi="Arial" w:cs="Arial"/>
          <w:sz w:val="20"/>
          <w:szCs w:val="20"/>
        </w:rPr>
        <w:t>information,</w:t>
      </w:r>
      <w:r w:rsidRPr="00C80E1B">
        <w:rPr>
          <w:rFonts w:ascii="Arial" w:hAnsi="Arial" w:cs="Arial"/>
          <w:sz w:val="20"/>
          <w:szCs w:val="20"/>
        </w:rPr>
        <w:t xml:space="preserve"> but that case is distinguishable from the present case in that in that case there was no written contract as in the present case.</w:t>
      </w:r>
    </w:p>
  </w:footnote>
  <w:footnote w:id="19">
    <w:p w14:paraId="564A3328" w14:textId="72099A68" w:rsidR="00774539" w:rsidRPr="00C67900" w:rsidRDefault="00774539" w:rsidP="00C67900">
      <w:pPr>
        <w:pStyle w:val="FootnoteText"/>
        <w:ind w:left="284" w:hanging="284"/>
        <w:jc w:val="both"/>
        <w:rPr>
          <w:rFonts w:ascii="Arial" w:hAnsi="Arial" w:cs="Arial"/>
          <w:sz w:val="20"/>
          <w:szCs w:val="20"/>
        </w:rPr>
      </w:pPr>
      <w:r w:rsidRPr="00C67900">
        <w:rPr>
          <w:rStyle w:val="FootnoteReference"/>
          <w:rFonts w:ascii="Arial" w:hAnsi="Arial" w:cs="Arial"/>
          <w:sz w:val="20"/>
          <w:szCs w:val="20"/>
        </w:rPr>
        <w:footnoteRef/>
      </w:r>
      <w:r w:rsidRPr="00C67900">
        <w:rPr>
          <w:rFonts w:ascii="Arial" w:hAnsi="Arial" w:cs="Arial"/>
          <w:sz w:val="20"/>
          <w:szCs w:val="20"/>
        </w:rPr>
        <w:t xml:space="preserve"> </w:t>
      </w:r>
      <w:r>
        <w:rPr>
          <w:rFonts w:ascii="Arial" w:hAnsi="Arial" w:cs="Arial"/>
          <w:sz w:val="20"/>
          <w:szCs w:val="20"/>
        </w:rPr>
        <w:tab/>
      </w:r>
      <w:r w:rsidRPr="00C67900">
        <w:rPr>
          <w:rFonts w:ascii="Arial" w:hAnsi="Arial" w:cs="Arial"/>
          <w:sz w:val="20"/>
          <w:szCs w:val="20"/>
        </w:rPr>
        <w:t>See for example, s</w:t>
      </w:r>
      <w:r w:rsidR="00F635E3">
        <w:rPr>
          <w:rFonts w:ascii="Arial" w:hAnsi="Arial" w:cs="Arial"/>
          <w:sz w:val="20"/>
          <w:szCs w:val="20"/>
        </w:rPr>
        <w:t xml:space="preserve">ections </w:t>
      </w:r>
      <w:r w:rsidRPr="00C67900">
        <w:rPr>
          <w:rFonts w:ascii="Arial" w:hAnsi="Arial" w:cs="Arial"/>
          <w:sz w:val="20"/>
          <w:szCs w:val="20"/>
        </w:rPr>
        <w:t>195(1) and 217(1) of the Constitution.</w:t>
      </w:r>
    </w:p>
  </w:footnote>
  <w:footnote w:id="20">
    <w:p w14:paraId="184B4142" w14:textId="0FDE59DD" w:rsidR="00774539" w:rsidRPr="00B330AB" w:rsidRDefault="00774539" w:rsidP="00B330AB">
      <w:pPr>
        <w:pStyle w:val="FootnoteText"/>
        <w:ind w:left="284" w:hanging="284"/>
        <w:jc w:val="both"/>
        <w:rPr>
          <w:rFonts w:ascii="Arial" w:hAnsi="Arial" w:cs="Arial"/>
          <w:sz w:val="20"/>
          <w:szCs w:val="20"/>
        </w:rPr>
      </w:pPr>
      <w:r w:rsidRPr="00B330AB">
        <w:rPr>
          <w:rStyle w:val="FootnoteReference"/>
          <w:rFonts w:ascii="Arial" w:hAnsi="Arial" w:cs="Arial"/>
          <w:sz w:val="20"/>
          <w:szCs w:val="20"/>
        </w:rPr>
        <w:footnoteRef/>
      </w:r>
      <w:r w:rsidRPr="00B330AB">
        <w:rPr>
          <w:rFonts w:ascii="Arial" w:hAnsi="Arial" w:cs="Arial"/>
          <w:sz w:val="20"/>
          <w:szCs w:val="20"/>
        </w:rPr>
        <w:t xml:space="preserve"> </w:t>
      </w:r>
      <w:r>
        <w:rPr>
          <w:rFonts w:ascii="Arial" w:hAnsi="Arial" w:cs="Arial"/>
          <w:sz w:val="20"/>
          <w:szCs w:val="20"/>
        </w:rPr>
        <w:tab/>
      </w:r>
      <w:r w:rsidRPr="00B330AB">
        <w:rPr>
          <w:rFonts w:ascii="Arial" w:hAnsi="Arial" w:cs="Arial"/>
          <w:sz w:val="20"/>
          <w:szCs w:val="20"/>
        </w:rPr>
        <w:t>2006 (6) SA 285 (SCA) at paras 55 to 56.</w:t>
      </w:r>
    </w:p>
  </w:footnote>
  <w:footnote w:id="21">
    <w:p w14:paraId="31760C71" w14:textId="462D2227" w:rsidR="00774539" w:rsidRDefault="00774539" w:rsidP="00B63EE6">
      <w:pPr>
        <w:pStyle w:val="FootnoteText"/>
        <w:ind w:left="284" w:hanging="284"/>
        <w:jc w:val="both"/>
      </w:pPr>
      <w:r>
        <w:rPr>
          <w:rStyle w:val="FootnoteReference"/>
        </w:rPr>
        <w:footnoteRef/>
      </w:r>
      <w:r>
        <w:t xml:space="preserve"> </w:t>
      </w:r>
      <w:r>
        <w:tab/>
      </w:r>
      <w:r w:rsidR="002E54A9" w:rsidRPr="002E54A9">
        <w:rPr>
          <w:rFonts w:ascii="Arial" w:hAnsi="Arial" w:cs="Arial"/>
          <w:sz w:val="20"/>
          <w:szCs w:val="20"/>
        </w:rPr>
        <w:t xml:space="preserve">The Minister of Health informed the </w:t>
      </w:r>
      <w:r w:rsidR="002E54A9">
        <w:rPr>
          <w:rFonts w:ascii="Arial" w:hAnsi="Arial" w:cs="Arial"/>
          <w:sz w:val="20"/>
          <w:szCs w:val="20"/>
        </w:rPr>
        <w:t>P</w:t>
      </w:r>
      <w:r w:rsidR="002E54A9" w:rsidRPr="002E54A9">
        <w:rPr>
          <w:rFonts w:ascii="Arial" w:hAnsi="Arial" w:cs="Arial"/>
          <w:sz w:val="20"/>
          <w:szCs w:val="20"/>
        </w:rPr>
        <w:t xml:space="preserve">arliamentary </w:t>
      </w:r>
      <w:r w:rsidR="002E54A9">
        <w:rPr>
          <w:rFonts w:ascii="Arial" w:hAnsi="Arial" w:cs="Arial"/>
          <w:sz w:val="20"/>
          <w:szCs w:val="20"/>
        </w:rPr>
        <w:t>P</w:t>
      </w:r>
      <w:r w:rsidR="002E54A9" w:rsidRPr="002E54A9">
        <w:rPr>
          <w:rFonts w:ascii="Arial" w:hAnsi="Arial" w:cs="Arial"/>
          <w:sz w:val="20"/>
          <w:szCs w:val="20"/>
        </w:rPr>
        <w:t xml:space="preserve">ortfolio </w:t>
      </w:r>
      <w:r w:rsidR="002E54A9">
        <w:rPr>
          <w:rFonts w:ascii="Arial" w:hAnsi="Arial" w:cs="Arial"/>
          <w:sz w:val="20"/>
          <w:szCs w:val="20"/>
        </w:rPr>
        <w:t>C</w:t>
      </w:r>
      <w:r w:rsidR="002E54A9" w:rsidRPr="002E54A9">
        <w:rPr>
          <w:rFonts w:ascii="Arial" w:hAnsi="Arial" w:cs="Arial"/>
          <w:sz w:val="20"/>
          <w:szCs w:val="20"/>
        </w:rPr>
        <w:t>ommittee</w:t>
      </w:r>
      <w:r w:rsidR="002E54A9">
        <w:rPr>
          <w:rFonts w:ascii="Arial" w:hAnsi="Arial" w:cs="Arial"/>
          <w:sz w:val="20"/>
          <w:szCs w:val="20"/>
        </w:rPr>
        <w:t xml:space="preserve"> on Health</w:t>
      </w:r>
      <w:r w:rsidR="002E54A9" w:rsidRPr="002E54A9">
        <w:rPr>
          <w:rFonts w:ascii="Arial" w:hAnsi="Arial" w:cs="Arial"/>
          <w:sz w:val="20"/>
          <w:szCs w:val="20"/>
        </w:rPr>
        <w:t xml:space="preserve"> on 14 April 2021 that “</w:t>
      </w:r>
      <w:r w:rsidR="002E54A9" w:rsidRPr="002E54A9">
        <w:rPr>
          <w:rFonts w:ascii="Arial" w:hAnsi="Arial" w:cs="Arial"/>
          <w:i/>
          <w:iCs/>
          <w:sz w:val="20"/>
          <w:szCs w:val="20"/>
        </w:rPr>
        <w:t>As Government, we have found ourselves in the precarious position of having to choose between saving our citizen’s lives and risking putting the country’s assets into private companies’ hands”</w:t>
      </w:r>
      <w:r w:rsidR="002E54A9" w:rsidRPr="002E54A9">
        <w:rPr>
          <w:rFonts w:ascii="Arial" w:hAnsi="Arial" w:cs="Arial"/>
          <w:sz w:val="20"/>
          <w:szCs w:val="20"/>
        </w:rPr>
        <w:t>.</w:t>
      </w:r>
    </w:p>
  </w:footnote>
  <w:footnote w:id="22">
    <w:p w14:paraId="2B59D5BB" w14:textId="585EB43C" w:rsidR="00774539" w:rsidRPr="00DE588F" w:rsidRDefault="00774539" w:rsidP="000E4726">
      <w:pPr>
        <w:pStyle w:val="FootnoteText"/>
        <w:ind w:left="284" w:hanging="284"/>
        <w:rPr>
          <w:rFonts w:ascii="Arial" w:hAnsi="Arial" w:cs="Arial"/>
          <w:sz w:val="20"/>
          <w:szCs w:val="20"/>
        </w:rPr>
      </w:pPr>
      <w:r w:rsidRPr="00DE588F">
        <w:rPr>
          <w:rStyle w:val="FootnoteReference"/>
          <w:rFonts w:ascii="Arial" w:hAnsi="Arial" w:cs="Arial"/>
          <w:sz w:val="20"/>
          <w:szCs w:val="20"/>
        </w:rPr>
        <w:footnoteRef/>
      </w:r>
      <w:r w:rsidRPr="00DE588F">
        <w:rPr>
          <w:rFonts w:ascii="Arial" w:hAnsi="Arial" w:cs="Arial"/>
          <w:sz w:val="20"/>
          <w:szCs w:val="20"/>
        </w:rPr>
        <w:t xml:space="preserve"> </w:t>
      </w:r>
      <w:r>
        <w:rPr>
          <w:rFonts w:ascii="Arial" w:hAnsi="Arial" w:cs="Arial"/>
          <w:sz w:val="20"/>
          <w:szCs w:val="20"/>
        </w:rPr>
        <w:tab/>
      </w:r>
      <w:r w:rsidRPr="00DE588F">
        <w:rPr>
          <w:rFonts w:ascii="Arial" w:hAnsi="Arial" w:cs="Arial"/>
          <w:sz w:val="20"/>
          <w:szCs w:val="20"/>
        </w:rPr>
        <w:t xml:space="preserve">2012 (1) SA 280 </w:t>
      </w:r>
      <w:r>
        <w:rPr>
          <w:rFonts w:ascii="Arial" w:hAnsi="Arial" w:cs="Arial"/>
          <w:sz w:val="20"/>
          <w:szCs w:val="20"/>
        </w:rPr>
        <w:t>(</w:t>
      </w:r>
      <w:r w:rsidRPr="00DE588F">
        <w:rPr>
          <w:rFonts w:ascii="Arial" w:hAnsi="Arial" w:cs="Arial"/>
          <w:sz w:val="20"/>
          <w:szCs w:val="20"/>
        </w:rPr>
        <w:t>GSJ</w:t>
      </w:r>
      <w:r>
        <w:rPr>
          <w:rFonts w:ascii="Arial" w:hAnsi="Arial" w:cs="Arial"/>
          <w:sz w:val="20"/>
          <w:szCs w:val="20"/>
        </w:rPr>
        <w:t>)</w:t>
      </w:r>
      <w:r w:rsidRPr="00DE588F">
        <w:rPr>
          <w:rFonts w:ascii="Arial" w:hAnsi="Arial" w:cs="Arial"/>
          <w:sz w:val="20"/>
          <w:szCs w:val="20"/>
        </w:rPr>
        <w:t xml:space="preserve"> at para </w:t>
      </w:r>
      <w:r>
        <w:rPr>
          <w:rFonts w:ascii="Arial" w:hAnsi="Arial" w:cs="Arial"/>
          <w:sz w:val="20"/>
          <w:szCs w:val="20"/>
        </w:rPr>
        <w:t>[</w:t>
      </w:r>
      <w:r w:rsidRPr="00DE588F">
        <w:rPr>
          <w:rFonts w:ascii="Arial" w:hAnsi="Arial" w:cs="Arial"/>
          <w:sz w:val="20"/>
          <w:szCs w:val="20"/>
        </w:rPr>
        <w:t>128</w:t>
      </w:r>
      <w:r>
        <w:rPr>
          <w:rFonts w:ascii="Arial" w:hAnsi="Arial" w:cs="Arial"/>
          <w:sz w:val="20"/>
          <w:szCs w:val="20"/>
        </w:rPr>
        <w:t>]; [2012] 1 ALL SA 543 (GSJ) at para [128]</w:t>
      </w:r>
      <w:r w:rsidRPr="00DE588F">
        <w:rPr>
          <w:rFonts w:ascii="Arial" w:hAnsi="Arial" w:cs="Arial"/>
          <w:sz w:val="20"/>
          <w:szCs w:val="20"/>
        </w:rPr>
        <w:t>.</w:t>
      </w:r>
    </w:p>
  </w:footnote>
  <w:footnote w:id="23">
    <w:p w14:paraId="0C2B5F38" w14:textId="77777777" w:rsidR="00774539" w:rsidRPr="00AB4E88" w:rsidRDefault="00774539" w:rsidP="00F26A66">
      <w:pPr>
        <w:pStyle w:val="FootnoteText"/>
        <w:ind w:left="284" w:hanging="284"/>
        <w:jc w:val="both"/>
        <w:rPr>
          <w:rFonts w:ascii="Arial" w:hAnsi="Arial" w:cs="Arial"/>
          <w:sz w:val="20"/>
          <w:szCs w:val="20"/>
        </w:rPr>
      </w:pPr>
      <w:r>
        <w:rPr>
          <w:rStyle w:val="FootnoteReference"/>
        </w:rPr>
        <w:footnoteRef/>
      </w:r>
      <w:r>
        <w:t xml:space="preserve"> </w:t>
      </w:r>
      <w:r>
        <w:tab/>
      </w:r>
      <w:r w:rsidRPr="00B17E0F">
        <w:rPr>
          <w:rFonts w:ascii="Arial" w:hAnsi="Arial" w:cs="Arial"/>
          <w:i/>
          <w:iCs/>
          <w:sz w:val="20"/>
          <w:szCs w:val="20"/>
        </w:rPr>
        <w:t>Transnet Ltd and Another v SA Metal Machinery Co (Pty) Ltd</w:t>
      </w:r>
      <w:r>
        <w:rPr>
          <w:rFonts w:ascii="Arial" w:hAnsi="Arial" w:cs="Arial"/>
          <w:sz w:val="20"/>
          <w:szCs w:val="20"/>
        </w:rPr>
        <w:t xml:space="preserve"> at para 57; </w:t>
      </w:r>
      <w:r w:rsidRPr="00F635E3">
        <w:rPr>
          <w:rFonts w:ascii="Arial" w:hAnsi="Arial" w:cs="Arial"/>
          <w:i/>
          <w:iCs/>
          <w:sz w:val="20"/>
          <w:szCs w:val="20"/>
        </w:rPr>
        <w:t>SA Airlink (Pty) Ltd v Mpumalanga Tourism and Parks Agency and Others</w:t>
      </w:r>
      <w:r>
        <w:rPr>
          <w:rFonts w:ascii="Arial" w:hAnsi="Arial" w:cs="Arial"/>
          <w:sz w:val="20"/>
          <w:szCs w:val="20"/>
        </w:rPr>
        <w:t xml:space="preserve"> (2013) 3 (SA) 112 (GSJ) at para [23] in which it was stated: “</w:t>
      </w:r>
      <w:r w:rsidRPr="00B63EE6">
        <w:rPr>
          <w:rFonts w:ascii="Arial" w:hAnsi="Arial" w:cs="Arial"/>
          <w:i/>
          <w:iCs/>
          <w:sz w:val="20"/>
          <w:szCs w:val="20"/>
        </w:rPr>
        <w:t>a party relying on this provision [the confidentiality clause] must show that harm is not simply possible, but probable.  In the circumstances, the third respondent has not put up any reasons that justify the refusal of access to the records.  Furthermore, Comair will not, therefore, suffer any damages should there be such disclosure as it is bound by its decision not to oppose this application.”</w:t>
      </w:r>
    </w:p>
  </w:footnote>
  <w:footnote w:id="24">
    <w:p w14:paraId="7B116EE5" w14:textId="7E9C2F0A" w:rsidR="00774539" w:rsidRPr="005326A3" w:rsidRDefault="00774539" w:rsidP="005326A3">
      <w:pPr>
        <w:pStyle w:val="FootnoteText"/>
        <w:ind w:left="284" w:hanging="284"/>
        <w:rPr>
          <w:rFonts w:ascii="Arial" w:hAnsi="Arial" w:cs="Arial"/>
          <w:sz w:val="20"/>
          <w:szCs w:val="20"/>
        </w:rPr>
      </w:pPr>
      <w:r w:rsidRPr="005326A3">
        <w:rPr>
          <w:rStyle w:val="FootnoteReference"/>
          <w:rFonts w:ascii="Arial" w:hAnsi="Arial" w:cs="Arial"/>
          <w:sz w:val="20"/>
          <w:szCs w:val="20"/>
        </w:rPr>
        <w:footnoteRef/>
      </w:r>
      <w:r w:rsidRPr="005326A3">
        <w:rPr>
          <w:rFonts w:ascii="Arial" w:hAnsi="Arial" w:cs="Arial"/>
          <w:sz w:val="20"/>
          <w:szCs w:val="20"/>
        </w:rPr>
        <w:t xml:space="preserve"> </w:t>
      </w:r>
      <w:r>
        <w:rPr>
          <w:rFonts w:ascii="Arial" w:hAnsi="Arial" w:cs="Arial"/>
          <w:sz w:val="20"/>
          <w:szCs w:val="20"/>
        </w:rPr>
        <w:tab/>
      </w:r>
      <w:r w:rsidRPr="005326A3">
        <w:rPr>
          <w:rFonts w:ascii="Arial" w:hAnsi="Arial" w:cs="Arial"/>
          <w:sz w:val="20"/>
          <w:szCs w:val="20"/>
        </w:rPr>
        <w:t>Section 36(1)(c)(i) of PAIA.</w:t>
      </w:r>
    </w:p>
  </w:footnote>
  <w:footnote w:id="25">
    <w:p w14:paraId="4690C91C" w14:textId="48C59F93" w:rsidR="00774539" w:rsidRDefault="00774539" w:rsidP="005326A3">
      <w:pPr>
        <w:pStyle w:val="FootnoteText"/>
        <w:ind w:left="284" w:hanging="284"/>
      </w:pPr>
      <w:r w:rsidRPr="005326A3">
        <w:rPr>
          <w:rStyle w:val="FootnoteReference"/>
          <w:rFonts w:ascii="Arial" w:hAnsi="Arial" w:cs="Arial"/>
          <w:sz w:val="20"/>
          <w:szCs w:val="20"/>
        </w:rPr>
        <w:footnoteRef/>
      </w:r>
      <w:r w:rsidRPr="005326A3">
        <w:rPr>
          <w:rFonts w:ascii="Arial" w:hAnsi="Arial" w:cs="Arial"/>
          <w:sz w:val="20"/>
          <w:szCs w:val="20"/>
        </w:rPr>
        <w:t xml:space="preserve"> </w:t>
      </w:r>
      <w:r>
        <w:rPr>
          <w:rFonts w:ascii="Arial" w:hAnsi="Arial" w:cs="Arial"/>
          <w:sz w:val="20"/>
          <w:szCs w:val="20"/>
        </w:rPr>
        <w:tab/>
      </w:r>
      <w:r w:rsidRPr="005326A3">
        <w:rPr>
          <w:rFonts w:ascii="Arial" w:hAnsi="Arial" w:cs="Arial"/>
          <w:sz w:val="20"/>
          <w:szCs w:val="20"/>
        </w:rPr>
        <w:t>Section 36(1)(c)(ii) of PAIA.</w:t>
      </w:r>
    </w:p>
  </w:footnote>
  <w:footnote w:id="26">
    <w:p w14:paraId="4E9C196C" w14:textId="03F8DCC1" w:rsidR="00774539" w:rsidRPr="00240EC8" w:rsidRDefault="00774539" w:rsidP="00B0544D">
      <w:pPr>
        <w:pStyle w:val="FootnoteText"/>
        <w:ind w:left="284" w:hanging="284"/>
        <w:jc w:val="both"/>
        <w:rPr>
          <w:rFonts w:ascii="Arial" w:hAnsi="Arial" w:cs="Arial"/>
          <w:i/>
          <w:iCs/>
          <w:sz w:val="20"/>
          <w:szCs w:val="20"/>
        </w:rPr>
      </w:pPr>
      <w:r w:rsidRPr="00240EC8">
        <w:rPr>
          <w:rStyle w:val="FootnoteReference"/>
          <w:rFonts w:ascii="Arial" w:hAnsi="Arial" w:cs="Arial"/>
          <w:sz w:val="20"/>
          <w:szCs w:val="20"/>
        </w:rPr>
        <w:footnoteRef/>
      </w:r>
      <w:r w:rsidRPr="00240EC8">
        <w:rPr>
          <w:rFonts w:ascii="Arial" w:hAnsi="Arial" w:cs="Arial"/>
          <w:sz w:val="20"/>
          <w:szCs w:val="20"/>
        </w:rPr>
        <w:t xml:space="preserve"> </w:t>
      </w:r>
      <w:r w:rsidR="00E479AF">
        <w:rPr>
          <w:rFonts w:ascii="Arial" w:hAnsi="Arial" w:cs="Arial"/>
          <w:sz w:val="20"/>
          <w:szCs w:val="20"/>
        </w:rPr>
        <w:tab/>
      </w:r>
      <w:r w:rsidRPr="00240EC8">
        <w:rPr>
          <w:rFonts w:ascii="Arial" w:hAnsi="Arial" w:cs="Arial"/>
          <w:sz w:val="20"/>
          <w:szCs w:val="20"/>
        </w:rPr>
        <w:t xml:space="preserve">Section 46 of PAIA provides for the </w:t>
      </w:r>
      <w:r w:rsidRPr="00240EC8">
        <w:rPr>
          <w:rFonts w:ascii="Arial" w:hAnsi="Arial" w:cs="Arial"/>
          <w:i/>
          <w:iCs/>
          <w:sz w:val="20"/>
          <w:szCs w:val="20"/>
        </w:rPr>
        <w:t>“Mandatory disclosure in the public interest – Despite any other provision of this Chapter, the information officer of a public body must grant a request for access to a record of the body contemplated in section 34(1), 36(1), 37(1)(a) or (b), 38(a) or (b), 39(1)(a) or (b), 40, 41(1)(a) or (b), 42(1) or (3), 43(1) or (2), 44(1) or (2) or 45, if –</w:t>
      </w:r>
    </w:p>
    <w:p w14:paraId="390DB68F" w14:textId="03C31DCC" w:rsidR="00774539" w:rsidRPr="00240EC8" w:rsidRDefault="004216CB" w:rsidP="004216CB">
      <w:pPr>
        <w:pStyle w:val="FootnoteText"/>
        <w:ind w:left="568" w:hanging="284"/>
        <w:jc w:val="both"/>
        <w:rPr>
          <w:rFonts w:ascii="Arial" w:hAnsi="Arial" w:cs="Arial"/>
          <w:i/>
          <w:iCs/>
          <w:sz w:val="20"/>
          <w:szCs w:val="20"/>
        </w:rPr>
      </w:pPr>
      <w:r w:rsidRPr="00240EC8">
        <w:rPr>
          <w:rFonts w:ascii="Arial" w:hAnsi="Arial" w:cs="Arial"/>
          <w:bCs/>
          <w:i/>
          <w:iCs/>
          <w:sz w:val="20"/>
          <w:szCs w:val="20"/>
        </w:rPr>
        <w:t>(a)</w:t>
      </w:r>
      <w:r w:rsidRPr="00240EC8">
        <w:rPr>
          <w:rFonts w:ascii="Arial" w:hAnsi="Arial" w:cs="Arial"/>
          <w:bCs/>
          <w:i/>
          <w:iCs/>
          <w:sz w:val="20"/>
          <w:szCs w:val="20"/>
        </w:rPr>
        <w:tab/>
      </w:r>
      <w:r w:rsidR="00774539" w:rsidRPr="00240EC8">
        <w:rPr>
          <w:rFonts w:ascii="Arial" w:hAnsi="Arial" w:cs="Arial"/>
          <w:i/>
          <w:iCs/>
          <w:sz w:val="20"/>
          <w:szCs w:val="20"/>
        </w:rPr>
        <w:t>The disclosure of the record would reveal evidence of –</w:t>
      </w:r>
    </w:p>
    <w:p w14:paraId="6507C3CD" w14:textId="6886504A" w:rsidR="00B0544D" w:rsidRDefault="004216CB" w:rsidP="004216CB">
      <w:pPr>
        <w:pStyle w:val="FootnoteText"/>
        <w:tabs>
          <w:tab w:val="center" w:pos="851"/>
        </w:tabs>
        <w:ind w:left="2008" w:hanging="1441"/>
        <w:jc w:val="both"/>
        <w:rPr>
          <w:rFonts w:ascii="Arial" w:hAnsi="Arial" w:cs="Arial"/>
          <w:i/>
          <w:iCs/>
          <w:sz w:val="20"/>
          <w:szCs w:val="20"/>
        </w:rPr>
      </w:pPr>
      <w:r>
        <w:rPr>
          <w:rFonts w:ascii="Arial" w:hAnsi="Arial" w:cs="Arial"/>
          <w:bCs/>
          <w:i/>
          <w:iCs/>
          <w:sz w:val="20"/>
          <w:szCs w:val="20"/>
        </w:rPr>
        <w:t>(i)</w:t>
      </w:r>
      <w:r>
        <w:rPr>
          <w:rFonts w:ascii="Arial" w:hAnsi="Arial" w:cs="Arial"/>
          <w:bCs/>
          <w:i/>
          <w:iCs/>
          <w:sz w:val="20"/>
          <w:szCs w:val="20"/>
        </w:rPr>
        <w:tab/>
      </w:r>
      <w:r w:rsidR="00774539" w:rsidRPr="00240EC8">
        <w:rPr>
          <w:rFonts w:ascii="Arial" w:hAnsi="Arial" w:cs="Arial"/>
          <w:i/>
          <w:iCs/>
          <w:sz w:val="20"/>
          <w:szCs w:val="20"/>
        </w:rPr>
        <w:t xml:space="preserve">a substantial contravention of, or failure to comply with, the law; or </w:t>
      </w:r>
    </w:p>
    <w:p w14:paraId="574298AF" w14:textId="28FF6304" w:rsidR="00774539" w:rsidRPr="00B0544D" w:rsidRDefault="004216CB" w:rsidP="004216CB">
      <w:pPr>
        <w:pStyle w:val="FootnoteText"/>
        <w:tabs>
          <w:tab w:val="center" w:pos="851"/>
        </w:tabs>
        <w:ind w:left="2008" w:hanging="1441"/>
        <w:jc w:val="both"/>
        <w:rPr>
          <w:rFonts w:ascii="Arial" w:hAnsi="Arial" w:cs="Arial"/>
          <w:i/>
          <w:iCs/>
          <w:sz w:val="20"/>
          <w:szCs w:val="20"/>
        </w:rPr>
      </w:pPr>
      <w:r w:rsidRPr="00B0544D">
        <w:rPr>
          <w:rFonts w:ascii="Arial" w:hAnsi="Arial" w:cs="Arial"/>
          <w:bCs/>
          <w:i/>
          <w:iCs/>
          <w:sz w:val="20"/>
          <w:szCs w:val="20"/>
        </w:rPr>
        <w:t>(ii)</w:t>
      </w:r>
      <w:r w:rsidRPr="00B0544D">
        <w:rPr>
          <w:rFonts w:ascii="Arial" w:hAnsi="Arial" w:cs="Arial"/>
          <w:bCs/>
          <w:i/>
          <w:iCs/>
          <w:sz w:val="20"/>
          <w:szCs w:val="20"/>
        </w:rPr>
        <w:tab/>
      </w:r>
      <w:r w:rsidR="00774539" w:rsidRPr="00B0544D">
        <w:rPr>
          <w:rFonts w:ascii="Arial" w:hAnsi="Arial" w:cs="Arial"/>
          <w:i/>
          <w:iCs/>
          <w:sz w:val="20"/>
          <w:szCs w:val="20"/>
        </w:rPr>
        <w:t>an imminent and serious public safety or environmental risk; and</w:t>
      </w:r>
    </w:p>
    <w:p w14:paraId="5A9FADCC" w14:textId="301822E4" w:rsidR="00774539" w:rsidRDefault="004216CB" w:rsidP="004216CB">
      <w:pPr>
        <w:pStyle w:val="FootnoteText"/>
        <w:ind w:left="568" w:hanging="284"/>
        <w:jc w:val="both"/>
      </w:pPr>
      <w:r>
        <w:rPr>
          <w:rFonts w:ascii="Arial" w:hAnsi="Arial" w:cs="Arial"/>
          <w:bCs/>
          <w:i/>
          <w:iCs/>
          <w:sz w:val="20"/>
        </w:rPr>
        <w:t>(b)</w:t>
      </w:r>
      <w:r>
        <w:rPr>
          <w:rFonts w:ascii="Arial" w:hAnsi="Arial" w:cs="Arial"/>
          <w:bCs/>
          <w:i/>
          <w:iCs/>
          <w:sz w:val="20"/>
        </w:rPr>
        <w:tab/>
      </w:r>
      <w:r w:rsidR="00774539" w:rsidRPr="00240EC8">
        <w:rPr>
          <w:rFonts w:ascii="Arial" w:hAnsi="Arial" w:cs="Arial"/>
          <w:i/>
          <w:iCs/>
          <w:sz w:val="20"/>
          <w:szCs w:val="20"/>
        </w:rPr>
        <w:t>the public interest in the disclosure of the record clearly outweighs the harm in the provision in question.”</w:t>
      </w:r>
    </w:p>
  </w:footnote>
  <w:footnote w:id="27">
    <w:p w14:paraId="429F70F6" w14:textId="4AFE16AC" w:rsidR="00AA2597" w:rsidRDefault="00AA2597" w:rsidP="00B0544D">
      <w:pPr>
        <w:pStyle w:val="FootnoteText"/>
        <w:ind w:left="284" w:hanging="284"/>
        <w:jc w:val="both"/>
      </w:pPr>
      <w:r>
        <w:rPr>
          <w:rStyle w:val="FootnoteReference"/>
        </w:rPr>
        <w:footnoteRef/>
      </w:r>
      <w:r>
        <w:t xml:space="preserve"> </w:t>
      </w:r>
      <w:r>
        <w:tab/>
      </w:r>
      <w:r w:rsidRPr="000B7053">
        <w:rPr>
          <w:rFonts w:ascii="Arial" w:hAnsi="Arial" w:cs="Arial"/>
          <w:sz w:val="20"/>
          <w:szCs w:val="20"/>
        </w:rPr>
        <w:t>2011 (5) SA 279 (ECG) at paras [92] and [94].</w:t>
      </w:r>
    </w:p>
  </w:footnote>
  <w:footnote w:id="28">
    <w:p w14:paraId="5EA49E85" w14:textId="3D6775CD" w:rsidR="009759AC" w:rsidRDefault="009759AC" w:rsidP="00B0544D">
      <w:pPr>
        <w:pStyle w:val="FootnoteText"/>
        <w:ind w:left="284" w:hanging="284"/>
        <w:jc w:val="both"/>
      </w:pPr>
      <w:r>
        <w:rPr>
          <w:rStyle w:val="FootnoteReference"/>
        </w:rPr>
        <w:footnoteRef/>
      </w:r>
      <w:r>
        <w:t xml:space="preserve"> </w:t>
      </w:r>
      <w:r w:rsidR="00B0544D">
        <w:tab/>
      </w:r>
      <w:r w:rsidRPr="009759AC">
        <w:rPr>
          <w:rFonts w:ascii="Arial" w:hAnsi="Arial" w:cs="Arial"/>
          <w:sz w:val="20"/>
          <w:szCs w:val="20"/>
        </w:rPr>
        <w:t>Ibid</w:t>
      </w:r>
      <w:r w:rsidR="00F635E3">
        <w:rPr>
          <w:rFonts w:ascii="Arial" w:hAnsi="Arial" w:cs="Arial"/>
          <w:sz w:val="20"/>
          <w:szCs w:val="20"/>
        </w:rPr>
        <w:t>.</w:t>
      </w:r>
      <w:r w:rsidRPr="009759AC">
        <w:rPr>
          <w:rFonts w:ascii="Arial" w:hAnsi="Arial" w:cs="Arial"/>
          <w:sz w:val="20"/>
          <w:szCs w:val="20"/>
        </w:rPr>
        <w:t xml:space="preserve"> para [92]</w:t>
      </w:r>
      <w:r w:rsidR="00102F67">
        <w:rPr>
          <w:rFonts w:ascii="Arial" w:hAnsi="Arial" w:cs="Arial"/>
          <w:sz w:val="20"/>
          <w:szCs w:val="20"/>
        </w:rPr>
        <w:t xml:space="preserve"> and </w:t>
      </w:r>
      <w:r w:rsidR="00F635E3">
        <w:rPr>
          <w:rFonts w:ascii="Arial" w:hAnsi="Arial" w:cs="Arial"/>
          <w:sz w:val="20"/>
          <w:szCs w:val="20"/>
        </w:rPr>
        <w:t xml:space="preserve"> supra </w:t>
      </w:r>
      <w:r w:rsidR="00102F67">
        <w:rPr>
          <w:rFonts w:ascii="Arial" w:hAnsi="Arial" w:cs="Arial"/>
          <w:sz w:val="20"/>
          <w:szCs w:val="20"/>
        </w:rPr>
        <w:t>footnote 5.</w:t>
      </w:r>
    </w:p>
  </w:footnote>
  <w:footnote w:id="29">
    <w:p w14:paraId="6C624AD4" w14:textId="55F9CC83" w:rsidR="00E479AF" w:rsidRPr="00E479AF" w:rsidRDefault="00E479AF" w:rsidP="00B0544D">
      <w:pPr>
        <w:pStyle w:val="FootnoteText"/>
        <w:ind w:left="284" w:hanging="284"/>
        <w:jc w:val="both"/>
        <w:rPr>
          <w:rFonts w:ascii="Arial" w:hAnsi="Arial" w:cs="Arial"/>
          <w:sz w:val="20"/>
          <w:szCs w:val="20"/>
        </w:rPr>
      </w:pPr>
      <w:r w:rsidRPr="00E479AF">
        <w:rPr>
          <w:rStyle w:val="FootnoteReference"/>
          <w:rFonts w:ascii="Arial" w:hAnsi="Arial" w:cs="Arial"/>
          <w:sz w:val="20"/>
          <w:szCs w:val="20"/>
        </w:rPr>
        <w:footnoteRef/>
      </w:r>
      <w:r w:rsidRPr="00E479AF">
        <w:rPr>
          <w:rFonts w:ascii="Arial" w:hAnsi="Arial" w:cs="Arial"/>
          <w:sz w:val="20"/>
          <w:szCs w:val="20"/>
        </w:rPr>
        <w:t xml:space="preserve"> </w:t>
      </w:r>
      <w:r>
        <w:rPr>
          <w:rFonts w:ascii="Arial" w:hAnsi="Arial" w:cs="Arial"/>
          <w:sz w:val="20"/>
          <w:szCs w:val="20"/>
        </w:rPr>
        <w:tab/>
      </w:r>
      <w:r w:rsidRPr="00E479AF">
        <w:rPr>
          <w:rFonts w:ascii="Arial" w:hAnsi="Arial" w:cs="Arial"/>
          <w:sz w:val="20"/>
          <w:szCs w:val="20"/>
        </w:rPr>
        <w:t xml:space="preserve">In this regard it too relied on </w:t>
      </w:r>
      <w:r w:rsidRPr="004E5AA0">
        <w:rPr>
          <w:rFonts w:ascii="Arial" w:hAnsi="Arial" w:cs="Arial"/>
          <w:i/>
          <w:iCs/>
          <w:sz w:val="20"/>
          <w:szCs w:val="20"/>
        </w:rPr>
        <w:t>Centre for Social Accountability v Secretary of Parliament and Others</w:t>
      </w:r>
      <w:r w:rsidRPr="00E479AF">
        <w:rPr>
          <w:rFonts w:ascii="Arial" w:hAnsi="Arial" w:cs="Arial"/>
          <w:sz w:val="20"/>
          <w:szCs w:val="20"/>
        </w:rPr>
        <w:t xml:space="preserve"> at para [90].</w:t>
      </w:r>
    </w:p>
  </w:footnote>
  <w:footnote w:id="30">
    <w:p w14:paraId="284DC20A" w14:textId="369EAB9A" w:rsidR="009F7E69" w:rsidRDefault="009F7E69" w:rsidP="009F7E69">
      <w:pPr>
        <w:pStyle w:val="FootnoteText"/>
        <w:ind w:left="284" w:hanging="284"/>
        <w:jc w:val="both"/>
      </w:pPr>
      <w:r>
        <w:rPr>
          <w:rStyle w:val="FootnoteReference"/>
        </w:rPr>
        <w:footnoteRef/>
      </w:r>
      <w:r>
        <w:t xml:space="preserve"> </w:t>
      </w:r>
      <w:r w:rsidRPr="009F7E69">
        <w:rPr>
          <w:rFonts w:ascii="Arial" w:hAnsi="Arial" w:cs="Arial"/>
          <w:sz w:val="20"/>
          <w:szCs w:val="20"/>
        </w:rPr>
        <w:tab/>
        <w:t>Set out eloquently and succinctly in the heads of argument filed and to which I have made liberal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774539" w:rsidRDefault="00774539" w:rsidP="0077453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774539" w:rsidRDefault="00774539"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774539" w:rsidRDefault="00774539" w:rsidP="0077453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6CB">
      <w:rPr>
        <w:rStyle w:val="PageNumber"/>
        <w:noProof/>
      </w:rPr>
      <w:t>3</w:t>
    </w:r>
    <w:r>
      <w:rPr>
        <w:rStyle w:val="PageNumber"/>
      </w:rPr>
      <w:fldChar w:fldCharType="end"/>
    </w:r>
  </w:p>
  <w:p w14:paraId="7E704A95" w14:textId="77777777" w:rsidR="00774539" w:rsidRDefault="00774539"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B0F09"/>
    <w:multiLevelType w:val="multilevel"/>
    <w:tmpl w:val="2F94955E"/>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nsid w:val="0C9C702D"/>
    <w:multiLevelType w:val="hybridMultilevel"/>
    <w:tmpl w:val="63DED61E"/>
    <w:lvl w:ilvl="0" w:tplc="EBF2280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042C900">
      <w:start w:val="1"/>
      <w:numFmt w:val="bullet"/>
      <w:lvlText w:val="o"/>
      <w:lvlJc w:val="left"/>
      <w:pPr>
        <w:ind w:left="36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C897CC">
      <w:start w:val="1"/>
      <w:numFmt w:val="bullet"/>
      <w:lvlText w:val="▪"/>
      <w:lvlJc w:val="left"/>
      <w:pPr>
        <w:ind w:left="43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B64464">
      <w:start w:val="1"/>
      <w:numFmt w:val="bullet"/>
      <w:lvlText w:val="•"/>
      <w:lvlJc w:val="left"/>
      <w:pPr>
        <w:ind w:left="50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F2DB70">
      <w:start w:val="1"/>
      <w:numFmt w:val="bullet"/>
      <w:lvlText w:val="o"/>
      <w:lvlJc w:val="left"/>
      <w:pPr>
        <w:ind w:left="57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0723B96">
      <w:start w:val="1"/>
      <w:numFmt w:val="bullet"/>
      <w:lvlText w:val="▪"/>
      <w:lvlJc w:val="left"/>
      <w:pPr>
        <w:ind w:left="64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3ACFDF0">
      <w:start w:val="1"/>
      <w:numFmt w:val="bullet"/>
      <w:lvlText w:val="•"/>
      <w:lvlJc w:val="left"/>
      <w:pPr>
        <w:ind w:left="72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0C7580">
      <w:start w:val="1"/>
      <w:numFmt w:val="bullet"/>
      <w:lvlText w:val="o"/>
      <w:lvlJc w:val="left"/>
      <w:pPr>
        <w:ind w:left="79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BFAA310">
      <w:start w:val="1"/>
      <w:numFmt w:val="bullet"/>
      <w:lvlText w:val="▪"/>
      <w:lvlJc w:val="left"/>
      <w:pPr>
        <w:ind w:left="86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nsid w:val="0D842B28"/>
    <w:multiLevelType w:val="hybridMultilevel"/>
    <w:tmpl w:val="E440045C"/>
    <w:lvl w:ilvl="0" w:tplc="136C91CC">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nsid w:val="1BB11686"/>
    <w:multiLevelType w:val="hybridMultilevel"/>
    <w:tmpl w:val="0E5E830A"/>
    <w:lvl w:ilvl="0" w:tplc="7AF69086">
      <w:start w:val="6"/>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1D9645C7"/>
    <w:multiLevelType w:val="hybridMultilevel"/>
    <w:tmpl w:val="5038CDDE"/>
    <w:lvl w:ilvl="0" w:tplc="E4AE8A90">
      <w:start w:val="48"/>
      <w:numFmt w:val="decimal"/>
      <w:lvlText w:val="[%1]"/>
      <w:lvlJc w:val="left"/>
      <w:pPr>
        <w:ind w:left="108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F6F59"/>
    <w:multiLevelType w:val="hybridMultilevel"/>
    <w:tmpl w:val="097A03E4"/>
    <w:lvl w:ilvl="0" w:tplc="79CE5AA0">
      <w:start w:val="36"/>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C18D9"/>
    <w:multiLevelType w:val="hybridMultilevel"/>
    <w:tmpl w:val="9F04D862"/>
    <w:lvl w:ilvl="0" w:tplc="7F3EE276">
      <w:start w:val="34"/>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D7ACC"/>
    <w:multiLevelType w:val="hybridMultilevel"/>
    <w:tmpl w:val="E402D206"/>
    <w:lvl w:ilvl="0" w:tplc="F112F3E0">
      <w:start w:val="1"/>
      <w:numFmt w:val="lowerRoman"/>
      <w:lvlText w:val="(%1)"/>
      <w:lvlJc w:val="left"/>
      <w:pPr>
        <w:ind w:left="2008" w:hanging="720"/>
      </w:pPr>
      <w:rPr>
        <w:rFonts w:ascii="Arial" w:eastAsiaTheme="minorHAnsi" w:hAnsi="Arial" w:cs="Arial"/>
        <w:b w:val="0"/>
        <w:bCs/>
        <w:sz w:val="20"/>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5">
    <w:nsid w:val="2AC929BF"/>
    <w:multiLevelType w:val="hybridMultilevel"/>
    <w:tmpl w:val="8FB69DB8"/>
    <w:lvl w:ilvl="0" w:tplc="88F0D21E">
      <w:start w:val="43"/>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11D5C"/>
    <w:multiLevelType w:val="hybridMultilevel"/>
    <w:tmpl w:val="EC168938"/>
    <w:lvl w:ilvl="0" w:tplc="96C81716">
      <w:start w:val="10"/>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BF27F3"/>
    <w:multiLevelType w:val="hybridMultilevel"/>
    <w:tmpl w:val="5F20B59A"/>
    <w:lvl w:ilvl="0" w:tplc="8CCAC9F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nsid w:val="338E0A9D"/>
    <w:multiLevelType w:val="hybridMultilevel"/>
    <w:tmpl w:val="A2D06E60"/>
    <w:lvl w:ilvl="0" w:tplc="D8143622">
      <w:start w:val="1"/>
      <w:numFmt w:val="bullet"/>
      <w:lvlText w:val="*"/>
      <w:lvlJc w:val="left"/>
      <w:pPr>
        <w:ind w:left="258"/>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01661EBE">
      <w:start w:val="1"/>
      <w:numFmt w:val="decimal"/>
      <w:lvlText w:val="%2"/>
      <w:lvlJc w:val="left"/>
      <w:pPr>
        <w:ind w:left="80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A61E3882">
      <w:start w:val="1"/>
      <w:numFmt w:val="lowerRoman"/>
      <w:lvlText w:val="%3"/>
      <w:lvlJc w:val="left"/>
      <w:pPr>
        <w:ind w:left="163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3C4A30E8">
      <w:start w:val="1"/>
      <w:numFmt w:val="decimal"/>
      <w:lvlText w:val="%4"/>
      <w:lvlJc w:val="left"/>
      <w:pPr>
        <w:ind w:left="235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B99078EC">
      <w:start w:val="1"/>
      <w:numFmt w:val="lowerLetter"/>
      <w:lvlText w:val="%5"/>
      <w:lvlJc w:val="left"/>
      <w:pPr>
        <w:ind w:left="307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8EF034B2">
      <w:start w:val="1"/>
      <w:numFmt w:val="lowerRoman"/>
      <w:lvlText w:val="%6"/>
      <w:lvlJc w:val="left"/>
      <w:pPr>
        <w:ind w:left="379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0E94AF84">
      <w:start w:val="1"/>
      <w:numFmt w:val="decimal"/>
      <w:lvlText w:val="%7"/>
      <w:lvlJc w:val="left"/>
      <w:pPr>
        <w:ind w:left="451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D88C234C">
      <w:start w:val="1"/>
      <w:numFmt w:val="lowerLetter"/>
      <w:lvlText w:val="%8"/>
      <w:lvlJc w:val="left"/>
      <w:pPr>
        <w:ind w:left="523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95F45694">
      <w:start w:val="1"/>
      <w:numFmt w:val="lowerRoman"/>
      <w:lvlText w:val="%9"/>
      <w:lvlJc w:val="left"/>
      <w:pPr>
        <w:ind w:left="595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21">
    <w:nsid w:val="37D821C6"/>
    <w:multiLevelType w:val="hybridMultilevel"/>
    <w:tmpl w:val="B3DEF278"/>
    <w:lvl w:ilvl="0" w:tplc="8920FDA6">
      <w:start w:val="46"/>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E3777"/>
    <w:multiLevelType w:val="hybridMultilevel"/>
    <w:tmpl w:val="176E3312"/>
    <w:lvl w:ilvl="0" w:tplc="B448C258">
      <w:start w:val="1"/>
      <w:numFmt w:val="lowerLetter"/>
      <w:lvlText w:val="(%1)"/>
      <w:lvlJc w:val="left"/>
      <w:pPr>
        <w:ind w:left="720" w:hanging="360"/>
      </w:pPr>
      <w:rPr>
        <w:rFonts w:ascii="Arial" w:hAnsi="Arial" w:cs="Arial" w:hint="default"/>
        <w:b w:val="0"/>
        <w:bCs/>
        <w:i/>
        <w:i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C5A57"/>
    <w:multiLevelType w:val="hybridMultilevel"/>
    <w:tmpl w:val="90603FF0"/>
    <w:lvl w:ilvl="0" w:tplc="9912F424">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7489E"/>
    <w:multiLevelType w:val="hybridMultilevel"/>
    <w:tmpl w:val="1F683E0A"/>
    <w:lvl w:ilvl="0" w:tplc="43FA3D06">
      <w:start w:val="48"/>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890418"/>
    <w:multiLevelType w:val="hybridMultilevel"/>
    <w:tmpl w:val="74A6A4D8"/>
    <w:lvl w:ilvl="0" w:tplc="9912F424">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0E7E69"/>
    <w:multiLevelType w:val="hybridMultilevel"/>
    <w:tmpl w:val="A172003E"/>
    <w:lvl w:ilvl="0" w:tplc="AADEA8E4">
      <w:start w:val="35"/>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0575FD"/>
    <w:multiLevelType w:val="hybridMultilevel"/>
    <w:tmpl w:val="8312C36C"/>
    <w:lvl w:ilvl="0" w:tplc="BDD40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E46C9"/>
    <w:multiLevelType w:val="hybridMultilevel"/>
    <w:tmpl w:val="A93879F4"/>
    <w:lvl w:ilvl="0" w:tplc="3702C0BE">
      <w:start w:val="46"/>
      <w:numFmt w:val="decimal"/>
      <w:lvlText w:val="[%1]"/>
      <w:lvlJc w:val="left"/>
      <w:pPr>
        <w:ind w:left="108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2522F0A"/>
    <w:multiLevelType w:val="hybridMultilevel"/>
    <w:tmpl w:val="A7D2D31C"/>
    <w:lvl w:ilvl="0" w:tplc="B1908C32">
      <w:start w:val="50"/>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E37EC"/>
    <w:multiLevelType w:val="hybridMultilevel"/>
    <w:tmpl w:val="18BAF1D2"/>
    <w:lvl w:ilvl="0" w:tplc="58C2A20A">
      <w:start w:val="38"/>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F175974"/>
    <w:multiLevelType w:val="hybridMultilevel"/>
    <w:tmpl w:val="EEEEEA6A"/>
    <w:lvl w:ilvl="0" w:tplc="6E30B57A">
      <w:start w:val="1"/>
      <w:numFmt w:val="decimal"/>
      <w:lvlText w:val="(%1)"/>
      <w:lvlJc w:val="left"/>
      <w:pPr>
        <w:ind w:left="107"/>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874E2690">
      <w:start w:val="1"/>
      <w:numFmt w:val="lowerLetter"/>
      <w:lvlText w:val="(%2)"/>
      <w:lvlJc w:val="left"/>
      <w:pPr>
        <w:ind w:left="840"/>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2" w:tplc="CB087158">
      <w:start w:val="1"/>
      <w:numFmt w:val="lowerRoman"/>
      <w:lvlText w:val="%3"/>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C88EAD9A">
      <w:start w:val="1"/>
      <w:numFmt w:val="decimal"/>
      <w:lvlText w:val="%4"/>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89D06C84">
      <w:start w:val="1"/>
      <w:numFmt w:val="lowerLetter"/>
      <w:lvlText w:val="%5"/>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6DC46DA0">
      <w:start w:val="1"/>
      <w:numFmt w:val="lowerRoman"/>
      <w:lvlText w:val="%6"/>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12222786">
      <w:start w:val="1"/>
      <w:numFmt w:val="decimal"/>
      <w:lvlText w:val="%7"/>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AD123A1E">
      <w:start w:val="1"/>
      <w:numFmt w:val="lowerLetter"/>
      <w:lvlText w:val="%8"/>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F9888B42">
      <w:start w:val="1"/>
      <w:numFmt w:val="lowerRoman"/>
      <w:lvlText w:val="%9"/>
      <w:lvlJc w:val="left"/>
      <w:pPr>
        <w:ind w:left="58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35">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0"/>
  </w:num>
  <w:num w:numId="4">
    <w:abstractNumId w:val="1"/>
  </w:num>
  <w:num w:numId="5">
    <w:abstractNumId w:val="7"/>
  </w:num>
  <w:num w:numId="6">
    <w:abstractNumId w:val="30"/>
  </w:num>
  <w:num w:numId="7">
    <w:abstractNumId w:val="35"/>
  </w:num>
  <w:num w:numId="8">
    <w:abstractNumId w:val="33"/>
  </w:num>
  <w:num w:numId="9">
    <w:abstractNumId w:val="6"/>
  </w:num>
  <w:num w:numId="10">
    <w:abstractNumId w:val="9"/>
  </w:num>
  <w:num w:numId="11">
    <w:abstractNumId w:val="19"/>
  </w:num>
  <w:num w:numId="12">
    <w:abstractNumId w:val="3"/>
  </w:num>
  <w:num w:numId="13">
    <w:abstractNumId w:val="17"/>
  </w:num>
  <w:num w:numId="14">
    <w:abstractNumId w:val="2"/>
  </w:num>
  <w:num w:numId="15">
    <w:abstractNumId w:val="18"/>
  </w:num>
  <w:num w:numId="16">
    <w:abstractNumId w:val="28"/>
  </w:num>
  <w:num w:numId="17">
    <w:abstractNumId w:val="4"/>
  </w:num>
  <w:num w:numId="18">
    <w:abstractNumId w:val="25"/>
  </w:num>
  <w:num w:numId="19">
    <w:abstractNumId w:val="23"/>
  </w:num>
  <w:num w:numId="20">
    <w:abstractNumId w:val="8"/>
  </w:num>
  <w:num w:numId="21">
    <w:abstractNumId w:val="16"/>
  </w:num>
  <w:num w:numId="22">
    <w:abstractNumId w:val="34"/>
  </w:num>
  <w:num w:numId="23">
    <w:abstractNumId w:val="20"/>
  </w:num>
  <w:num w:numId="24">
    <w:abstractNumId w:val="5"/>
  </w:num>
  <w:num w:numId="25">
    <w:abstractNumId w:val="22"/>
  </w:num>
  <w:num w:numId="26">
    <w:abstractNumId w:val="14"/>
  </w:num>
  <w:num w:numId="27">
    <w:abstractNumId w:val="12"/>
  </w:num>
  <w:num w:numId="28">
    <w:abstractNumId w:val="32"/>
  </w:num>
  <w:num w:numId="29">
    <w:abstractNumId w:val="15"/>
  </w:num>
  <w:num w:numId="30">
    <w:abstractNumId w:val="21"/>
  </w:num>
  <w:num w:numId="31">
    <w:abstractNumId w:val="24"/>
  </w:num>
  <w:num w:numId="32">
    <w:abstractNumId w:val="31"/>
  </w:num>
  <w:num w:numId="33">
    <w:abstractNumId w:val="13"/>
  </w:num>
  <w:num w:numId="34">
    <w:abstractNumId w:val="29"/>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104B4"/>
    <w:rsid w:val="000179B1"/>
    <w:rsid w:val="000218AC"/>
    <w:rsid w:val="0002295E"/>
    <w:rsid w:val="00022E29"/>
    <w:rsid w:val="00030EDB"/>
    <w:rsid w:val="0004095B"/>
    <w:rsid w:val="00047930"/>
    <w:rsid w:val="00047A0D"/>
    <w:rsid w:val="00050078"/>
    <w:rsid w:val="00052547"/>
    <w:rsid w:val="000578D1"/>
    <w:rsid w:val="00062CEF"/>
    <w:rsid w:val="0006302B"/>
    <w:rsid w:val="00064BC9"/>
    <w:rsid w:val="00070EA4"/>
    <w:rsid w:val="000730BB"/>
    <w:rsid w:val="0008376B"/>
    <w:rsid w:val="0008544C"/>
    <w:rsid w:val="00085E25"/>
    <w:rsid w:val="0008693D"/>
    <w:rsid w:val="000964D1"/>
    <w:rsid w:val="000971DB"/>
    <w:rsid w:val="000A26D7"/>
    <w:rsid w:val="000A5272"/>
    <w:rsid w:val="000A58F4"/>
    <w:rsid w:val="000B7053"/>
    <w:rsid w:val="000C091F"/>
    <w:rsid w:val="000C1577"/>
    <w:rsid w:val="000C1D16"/>
    <w:rsid w:val="000C3C98"/>
    <w:rsid w:val="000C4554"/>
    <w:rsid w:val="000D0136"/>
    <w:rsid w:val="000E07B1"/>
    <w:rsid w:val="000E2580"/>
    <w:rsid w:val="000E4726"/>
    <w:rsid w:val="000E5109"/>
    <w:rsid w:val="000E5543"/>
    <w:rsid w:val="000E5FB9"/>
    <w:rsid w:val="000E6633"/>
    <w:rsid w:val="00101D88"/>
    <w:rsid w:val="001021EE"/>
    <w:rsid w:val="00102F67"/>
    <w:rsid w:val="00103EC1"/>
    <w:rsid w:val="00114724"/>
    <w:rsid w:val="001212EE"/>
    <w:rsid w:val="00121456"/>
    <w:rsid w:val="00123324"/>
    <w:rsid w:val="0013492F"/>
    <w:rsid w:val="00136190"/>
    <w:rsid w:val="00136595"/>
    <w:rsid w:val="00140FD0"/>
    <w:rsid w:val="00144EA8"/>
    <w:rsid w:val="00146562"/>
    <w:rsid w:val="00151F35"/>
    <w:rsid w:val="00155668"/>
    <w:rsid w:val="0016046F"/>
    <w:rsid w:val="00161F55"/>
    <w:rsid w:val="00163683"/>
    <w:rsid w:val="00165CCE"/>
    <w:rsid w:val="001721F5"/>
    <w:rsid w:val="00172952"/>
    <w:rsid w:val="0017465D"/>
    <w:rsid w:val="00194AFD"/>
    <w:rsid w:val="00194BAE"/>
    <w:rsid w:val="0019501B"/>
    <w:rsid w:val="001A21CD"/>
    <w:rsid w:val="001A7F86"/>
    <w:rsid w:val="001B288A"/>
    <w:rsid w:val="001B487B"/>
    <w:rsid w:val="001C6AA6"/>
    <w:rsid w:val="001D6C62"/>
    <w:rsid w:val="001D6F4F"/>
    <w:rsid w:val="001D7244"/>
    <w:rsid w:val="001D7FDC"/>
    <w:rsid w:val="001E4A2B"/>
    <w:rsid w:val="001E6710"/>
    <w:rsid w:val="001F07DD"/>
    <w:rsid w:val="001F3568"/>
    <w:rsid w:val="001F450A"/>
    <w:rsid w:val="001F4AE5"/>
    <w:rsid w:val="002003EF"/>
    <w:rsid w:val="00201A93"/>
    <w:rsid w:val="002040D5"/>
    <w:rsid w:val="00205098"/>
    <w:rsid w:val="0020751F"/>
    <w:rsid w:val="0021216F"/>
    <w:rsid w:val="002129F5"/>
    <w:rsid w:val="00213002"/>
    <w:rsid w:val="00232BFD"/>
    <w:rsid w:val="00232DEB"/>
    <w:rsid w:val="00232EA0"/>
    <w:rsid w:val="002332DE"/>
    <w:rsid w:val="00235638"/>
    <w:rsid w:val="00237E44"/>
    <w:rsid w:val="00240EC8"/>
    <w:rsid w:val="00242E76"/>
    <w:rsid w:val="00244901"/>
    <w:rsid w:val="00246D5E"/>
    <w:rsid w:val="00254146"/>
    <w:rsid w:val="00255485"/>
    <w:rsid w:val="00264079"/>
    <w:rsid w:val="00265336"/>
    <w:rsid w:val="00267036"/>
    <w:rsid w:val="0027008F"/>
    <w:rsid w:val="00280528"/>
    <w:rsid w:val="00281CA0"/>
    <w:rsid w:val="00283B34"/>
    <w:rsid w:val="00286EFB"/>
    <w:rsid w:val="00287E6E"/>
    <w:rsid w:val="002914E5"/>
    <w:rsid w:val="00291C24"/>
    <w:rsid w:val="0029767F"/>
    <w:rsid w:val="002A2DA2"/>
    <w:rsid w:val="002A51AF"/>
    <w:rsid w:val="002A53F8"/>
    <w:rsid w:val="002A6A3F"/>
    <w:rsid w:val="002B0A35"/>
    <w:rsid w:val="002B4437"/>
    <w:rsid w:val="002B69B1"/>
    <w:rsid w:val="002C413A"/>
    <w:rsid w:val="002C4D4E"/>
    <w:rsid w:val="002C7527"/>
    <w:rsid w:val="002C780F"/>
    <w:rsid w:val="002D6A2A"/>
    <w:rsid w:val="002D6BF0"/>
    <w:rsid w:val="002E098D"/>
    <w:rsid w:val="002E1F21"/>
    <w:rsid w:val="002E54A9"/>
    <w:rsid w:val="002F3A39"/>
    <w:rsid w:val="00307191"/>
    <w:rsid w:val="00310E8C"/>
    <w:rsid w:val="00313396"/>
    <w:rsid w:val="003155D7"/>
    <w:rsid w:val="00316515"/>
    <w:rsid w:val="00322298"/>
    <w:rsid w:val="00323F5E"/>
    <w:rsid w:val="00326554"/>
    <w:rsid w:val="00326F4A"/>
    <w:rsid w:val="00333325"/>
    <w:rsid w:val="003348C6"/>
    <w:rsid w:val="00334F20"/>
    <w:rsid w:val="00335D42"/>
    <w:rsid w:val="0034067E"/>
    <w:rsid w:val="00342015"/>
    <w:rsid w:val="003475A9"/>
    <w:rsid w:val="003500ED"/>
    <w:rsid w:val="00360617"/>
    <w:rsid w:val="00360697"/>
    <w:rsid w:val="00363165"/>
    <w:rsid w:val="00371BE5"/>
    <w:rsid w:val="00375DC6"/>
    <w:rsid w:val="00385391"/>
    <w:rsid w:val="00385FBC"/>
    <w:rsid w:val="00396318"/>
    <w:rsid w:val="003A14B0"/>
    <w:rsid w:val="003A20FB"/>
    <w:rsid w:val="003A3574"/>
    <w:rsid w:val="003A5BC8"/>
    <w:rsid w:val="003B6C23"/>
    <w:rsid w:val="003C2498"/>
    <w:rsid w:val="003C415E"/>
    <w:rsid w:val="003C432D"/>
    <w:rsid w:val="003D7CC9"/>
    <w:rsid w:val="003E6BDA"/>
    <w:rsid w:val="003F37AE"/>
    <w:rsid w:val="003F46D7"/>
    <w:rsid w:val="00406F88"/>
    <w:rsid w:val="004075F2"/>
    <w:rsid w:val="00412E0C"/>
    <w:rsid w:val="00413603"/>
    <w:rsid w:val="00413E2B"/>
    <w:rsid w:val="00416EA1"/>
    <w:rsid w:val="00417BE7"/>
    <w:rsid w:val="004216CB"/>
    <w:rsid w:val="0042184A"/>
    <w:rsid w:val="004247F2"/>
    <w:rsid w:val="00425F53"/>
    <w:rsid w:val="00432B66"/>
    <w:rsid w:val="004348C5"/>
    <w:rsid w:val="00440D4B"/>
    <w:rsid w:val="0044117D"/>
    <w:rsid w:val="0044361B"/>
    <w:rsid w:val="00443ADE"/>
    <w:rsid w:val="00444C8B"/>
    <w:rsid w:val="0045149D"/>
    <w:rsid w:val="00452A4C"/>
    <w:rsid w:val="00454072"/>
    <w:rsid w:val="00460F1A"/>
    <w:rsid w:val="00461E12"/>
    <w:rsid w:val="00461F6A"/>
    <w:rsid w:val="00465D78"/>
    <w:rsid w:val="00475569"/>
    <w:rsid w:val="00475A8E"/>
    <w:rsid w:val="0048097A"/>
    <w:rsid w:val="0048191C"/>
    <w:rsid w:val="00482966"/>
    <w:rsid w:val="004854D5"/>
    <w:rsid w:val="0049074E"/>
    <w:rsid w:val="0049313B"/>
    <w:rsid w:val="004957BD"/>
    <w:rsid w:val="004B5105"/>
    <w:rsid w:val="004C6A1E"/>
    <w:rsid w:val="004D12FE"/>
    <w:rsid w:val="004D3845"/>
    <w:rsid w:val="004E581A"/>
    <w:rsid w:val="004E5AA0"/>
    <w:rsid w:val="004F0167"/>
    <w:rsid w:val="00500DA0"/>
    <w:rsid w:val="005069D9"/>
    <w:rsid w:val="00514611"/>
    <w:rsid w:val="0051651C"/>
    <w:rsid w:val="005326A3"/>
    <w:rsid w:val="00540198"/>
    <w:rsid w:val="0054192F"/>
    <w:rsid w:val="00545679"/>
    <w:rsid w:val="00547AC7"/>
    <w:rsid w:val="00551B4C"/>
    <w:rsid w:val="00553FD1"/>
    <w:rsid w:val="0055431B"/>
    <w:rsid w:val="005560EF"/>
    <w:rsid w:val="0057074A"/>
    <w:rsid w:val="005720E9"/>
    <w:rsid w:val="005809C3"/>
    <w:rsid w:val="00587548"/>
    <w:rsid w:val="00587BF3"/>
    <w:rsid w:val="00595099"/>
    <w:rsid w:val="00595366"/>
    <w:rsid w:val="005A2F73"/>
    <w:rsid w:val="005B0DB3"/>
    <w:rsid w:val="005B118D"/>
    <w:rsid w:val="005B2C17"/>
    <w:rsid w:val="005B6266"/>
    <w:rsid w:val="005B75C1"/>
    <w:rsid w:val="005C1389"/>
    <w:rsid w:val="005D3007"/>
    <w:rsid w:val="005D4790"/>
    <w:rsid w:val="005D76AF"/>
    <w:rsid w:val="005E2259"/>
    <w:rsid w:val="005E230C"/>
    <w:rsid w:val="005E448E"/>
    <w:rsid w:val="005F49B3"/>
    <w:rsid w:val="005F653D"/>
    <w:rsid w:val="006036F8"/>
    <w:rsid w:val="00605316"/>
    <w:rsid w:val="006077A9"/>
    <w:rsid w:val="00613E4D"/>
    <w:rsid w:val="00615A0C"/>
    <w:rsid w:val="006216B4"/>
    <w:rsid w:val="006430C0"/>
    <w:rsid w:val="00644BB3"/>
    <w:rsid w:val="00646138"/>
    <w:rsid w:val="00650745"/>
    <w:rsid w:val="00651B9B"/>
    <w:rsid w:val="00651C55"/>
    <w:rsid w:val="00653433"/>
    <w:rsid w:val="00655236"/>
    <w:rsid w:val="00657011"/>
    <w:rsid w:val="006630FB"/>
    <w:rsid w:val="006710DC"/>
    <w:rsid w:val="00675035"/>
    <w:rsid w:val="00676987"/>
    <w:rsid w:val="00677BC9"/>
    <w:rsid w:val="006829EA"/>
    <w:rsid w:val="00683071"/>
    <w:rsid w:val="00683294"/>
    <w:rsid w:val="00686AFF"/>
    <w:rsid w:val="00692903"/>
    <w:rsid w:val="00695533"/>
    <w:rsid w:val="006A1AA8"/>
    <w:rsid w:val="006A37E3"/>
    <w:rsid w:val="006A483A"/>
    <w:rsid w:val="006A6DDB"/>
    <w:rsid w:val="006A770C"/>
    <w:rsid w:val="006A7F31"/>
    <w:rsid w:val="006B0014"/>
    <w:rsid w:val="006B3D1D"/>
    <w:rsid w:val="006B67ED"/>
    <w:rsid w:val="006C5550"/>
    <w:rsid w:val="006C705A"/>
    <w:rsid w:val="006D10F2"/>
    <w:rsid w:val="006D1ECD"/>
    <w:rsid w:val="006E1C13"/>
    <w:rsid w:val="006E4415"/>
    <w:rsid w:val="006E462C"/>
    <w:rsid w:val="006E7393"/>
    <w:rsid w:val="006F2787"/>
    <w:rsid w:val="006F40B5"/>
    <w:rsid w:val="006F619C"/>
    <w:rsid w:val="00707C51"/>
    <w:rsid w:val="00713A5D"/>
    <w:rsid w:val="00720FEF"/>
    <w:rsid w:val="0072221F"/>
    <w:rsid w:val="007240E6"/>
    <w:rsid w:val="0073212D"/>
    <w:rsid w:val="00733746"/>
    <w:rsid w:val="00735EB8"/>
    <w:rsid w:val="00736CDA"/>
    <w:rsid w:val="00737291"/>
    <w:rsid w:val="00742BAE"/>
    <w:rsid w:val="00750CC1"/>
    <w:rsid w:val="00753AD4"/>
    <w:rsid w:val="00755484"/>
    <w:rsid w:val="00763002"/>
    <w:rsid w:val="007679D5"/>
    <w:rsid w:val="00771E0F"/>
    <w:rsid w:val="007728D2"/>
    <w:rsid w:val="00774539"/>
    <w:rsid w:val="0078294C"/>
    <w:rsid w:val="00785866"/>
    <w:rsid w:val="007875AE"/>
    <w:rsid w:val="0078777C"/>
    <w:rsid w:val="0079297C"/>
    <w:rsid w:val="007970E1"/>
    <w:rsid w:val="007A077A"/>
    <w:rsid w:val="007A0C0B"/>
    <w:rsid w:val="007A288E"/>
    <w:rsid w:val="007A53BB"/>
    <w:rsid w:val="007B11CD"/>
    <w:rsid w:val="007B2C1E"/>
    <w:rsid w:val="007B46F6"/>
    <w:rsid w:val="007B63CD"/>
    <w:rsid w:val="007C373C"/>
    <w:rsid w:val="007C73A8"/>
    <w:rsid w:val="007C7D36"/>
    <w:rsid w:val="007D17B5"/>
    <w:rsid w:val="007D24A3"/>
    <w:rsid w:val="007E14BF"/>
    <w:rsid w:val="007E7B98"/>
    <w:rsid w:val="007F0B8A"/>
    <w:rsid w:val="007F0BBF"/>
    <w:rsid w:val="007F3625"/>
    <w:rsid w:val="007F7FED"/>
    <w:rsid w:val="0080634A"/>
    <w:rsid w:val="00806DFA"/>
    <w:rsid w:val="00821962"/>
    <w:rsid w:val="00822511"/>
    <w:rsid w:val="0083215B"/>
    <w:rsid w:val="0083710F"/>
    <w:rsid w:val="00837200"/>
    <w:rsid w:val="00840547"/>
    <w:rsid w:val="00841879"/>
    <w:rsid w:val="0084332A"/>
    <w:rsid w:val="008442B1"/>
    <w:rsid w:val="0084532E"/>
    <w:rsid w:val="008465D6"/>
    <w:rsid w:val="008536B0"/>
    <w:rsid w:val="00860448"/>
    <w:rsid w:val="00860899"/>
    <w:rsid w:val="00866025"/>
    <w:rsid w:val="00867729"/>
    <w:rsid w:val="0088233C"/>
    <w:rsid w:val="008908FA"/>
    <w:rsid w:val="008A3877"/>
    <w:rsid w:val="008B0713"/>
    <w:rsid w:val="008B1A58"/>
    <w:rsid w:val="008B1B71"/>
    <w:rsid w:val="008B2182"/>
    <w:rsid w:val="008C18AE"/>
    <w:rsid w:val="008C3603"/>
    <w:rsid w:val="008C3847"/>
    <w:rsid w:val="008C45A5"/>
    <w:rsid w:val="008D1AB6"/>
    <w:rsid w:val="008D34A8"/>
    <w:rsid w:val="008D4FD5"/>
    <w:rsid w:val="008D6B2C"/>
    <w:rsid w:val="008D7240"/>
    <w:rsid w:val="008E4705"/>
    <w:rsid w:val="008E5BBF"/>
    <w:rsid w:val="008E6813"/>
    <w:rsid w:val="008F2E82"/>
    <w:rsid w:val="008F2EA2"/>
    <w:rsid w:val="0090045D"/>
    <w:rsid w:val="009007B6"/>
    <w:rsid w:val="00901159"/>
    <w:rsid w:val="009026AA"/>
    <w:rsid w:val="00904522"/>
    <w:rsid w:val="00911000"/>
    <w:rsid w:val="00911F9D"/>
    <w:rsid w:val="00912A40"/>
    <w:rsid w:val="009155B3"/>
    <w:rsid w:val="00916812"/>
    <w:rsid w:val="00916FDE"/>
    <w:rsid w:val="009227A6"/>
    <w:rsid w:val="00923678"/>
    <w:rsid w:val="00924920"/>
    <w:rsid w:val="00926EAA"/>
    <w:rsid w:val="0093492C"/>
    <w:rsid w:val="0093762E"/>
    <w:rsid w:val="00940B57"/>
    <w:rsid w:val="0094150D"/>
    <w:rsid w:val="00941562"/>
    <w:rsid w:val="00944BDE"/>
    <w:rsid w:val="0094618C"/>
    <w:rsid w:val="0095576C"/>
    <w:rsid w:val="00962416"/>
    <w:rsid w:val="00966673"/>
    <w:rsid w:val="00971CD0"/>
    <w:rsid w:val="009732B6"/>
    <w:rsid w:val="00974554"/>
    <w:rsid w:val="0097473F"/>
    <w:rsid w:val="009759AC"/>
    <w:rsid w:val="00976D15"/>
    <w:rsid w:val="00977E1A"/>
    <w:rsid w:val="009838D5"/>
    <w:rsid w:val="00987290"/>
    <w:rsid w:val="009950C9"/>
    <w:rsid w:val="009A269B"/>
    <w:rsid w:val="009A33C1"/>
    <w:rsid w:val="009A79F1"/>
    <w:rsid w:val="009B099B"/>
    <w:rsid w:val="009B2BC9"/>
    <w:rsid w:val="009B36AA"/>
    <w:rsid w:val="009B4C31"/>
    <w:rsid w:val="009D57DB"/>
    <w:rsid w:val="009E1EF1"/>
    <w:rsid w:val="009F22F0"/>
    <w:rsid w:val="009F43A4"/>
    <w:rsid w:val="009F5E83"/>
    <w:rsid w:val="009F7E69"/>
    <w:rsid w:val="00A01777"/>
    <w:rsid w:val="00A06E43"/>
    <w:rsid w:val="00A07432"/>
    <w:rsid w:val="00A12932"/>
    <w:rsid w:val="00A13793"/>
    <w:rsid w:val="00A156AE"/>
    <w:rsid w:val="00A15E04"/>
    <w:rsid w:val="00A165EA"/>
    <w:rsid w:val="00A16684"/>
    <w:rsid w:val="00A22388"/>
    <w:rsid w:val="00A24B93"/>
    <w:rsid w:val="00A337E6"/>
    <w:rsid w:val="00A344F9"/>
    <w:rsid w:val="00A3600A"/>
    <w:rsid w:val="00A43F9C"/>
    <w:rsid w:val="00A4634B"/>
    <w:rsid w:val="00A52FDF"/>
    <w:rsid w:val="00A54C36"/>
    <w:rsid w:val="00A56BC1"/>
    <w:rsid w:val="00A600CF"/>
    <w:rsid w:val="00A62353"/>
    <w:rsid w:val="00A63F51"/>
    <w:rsid w:val="00A75EF4"/>
    <w:rsid w:val="00A77551"/>
    <w:rsid w:val="00A8089F"/>
    <w:rsid w:val="00A82EEC"/>
    <w:rsid w:val="00A9010C"/>
    <w:rsid w:val="00A901C5"/>
    <w:rsid w:val="00A958D0"/>
    <w:rsid w:val="00AA2597"/>
    <w:rsid w:val="00AA663B"/>
    <w:rsid w:val="00AB14E7"/>
    <w:rsid w:val="00AB1510"/>
    <w:rsid w:val="00AB2DE7"/>
    <w:rsid w:val="00AB4CA7"/>
    <w:rsid w:val="00AB4E88"/>
    <w:rsid w:val="00AB636E"/>
    <w:rsid w:val="00AB6798"/>
    <w:rsid w:val="00AD49F8"/>
    <w:rsid w:val="00AE1E5D"/>
    <w:rsid w:val="00AE4E9C"/>
    <w:rsid w:val="00AF1688"/>
    <w:rsid w:val="00AF3194"/>
    <w:rsid w:val="00AF47B2"/>
    <w:rsid w:val="00B0544D"/>
    <w:rsid w:val="00B11DEB"/>
    <w:rsid w:val="00B120C9"/>
    <w:rsid w:val="00B17E0F"/>
    <w:rsid w:val="00B20170"/>
    <w:rsid w:val="00B21489"/>
    <w:rsid w:val="00B22495"/>
    <w:rsid w:val="00B244B7"/>
    <w:rsid w:val="00B3097A"/>
    <w:rsid w:val="00B3106B"/>
    <w:rsid w:val="00B330AB"/>
    <w:rsid w:val="00B404D0"/>
    <w:rsid w:val="00B44F10"/>
    <w:rsid w:val="00B46A0C"/>
    <w:rsid w:val="00B50E11"/>
    <w:rsid w:val="00B63EE6"/>
    <w:rsid w:val="00B64D36"/>
    <w:rsid w:val="00B70181"/>
    <w:rsid w:val="00B73443"/>
    <w:rsid w:val="00B8347D"/>
    <w:rsid w:val="00B862D2"/>
    <w:rsid w:val="00B908DF"/>
    <w:rsid w:val="00B92A41"/>
    <w:rsid w:val="00B9551D"/>
    <w:rsid w:val="00B95693"/>
    <w:rsid w:val="00B95E84"/>
    <w:rsid w:val="00BA1F62"/>
    <w:rsid w:val="00BB04EC"/>
    <w:rsid w:val="00BB3F9A"/>
    <w:rsid w:val="00BD1079"/>
    <w:rsid w:val="00BD2454"/>
    <w:rsid w:val="00BD6157"/>
    <w:rsid w:val="00BF09B4"/>
    <w:rsid w:val="00C04C43"/>
    <w:rsid w:val="00C11D38"/>
    <w:rsid w:val="00C33AAD"/>
    <w:rsid w:val="00C4185B"/>
    <w:rsid w:val="00C44F7E"/>
    <w:rsid w:val="00C45291"/>
    <w:rsid w:val="00C50EDB"/>
    <w:rsid w:val="00C519B2"/>
    <w:rsid w:val="00C52737"/>
    <w:rsid w:val="00C53B19"/>
    <w:rsid w:val="00C54C41"/>
    <w:rsid w:val="00C5727B"/>
    <w:rsid w:val="00C63FFA"/>
    <w:rsid w:val="00C64B3B"/>
    <w:rsid w:val="00C64B6A"/>
    <w:rsid w:val="00C67900"/>
    <w:rsid w:val="00C72A6C"/>
    <w:rsid w:val="00C7361A"/>
    <w:rsid w:val="00C7460D"/>
    <w:rsid w:val="00C80E1B"/>
    <w:rsid w:val="00C8430A"/>
    <w:rsid w:val="00C9262D"/>
    <w:rsid w:val="00C92BED"/>
    <w:rsid w:val="00CA6C2A"/>
    <w:rsid w:val="00CB2381"/>
    <w:rsid w:val="00CB2439"/>
    <w:rsid w:val="00CB6F8A"/>
    <w:rsid w:val="00CC1658"/>
    <w:rsid w:val="00CC3811"/>
    <w:rsid w:val="00CC3AB3"/>
    <w:rsid w:val="00CD1BDD"/>
    <w:rsid w:val="00CE09E5"/>
    <w:rsid w:val="00CE0CC7"/>
    <w:rsid w:val="00CE30E0"/>
    <w:rsid w:val="00CE3BED"/>
    <w:rsid w:val="00CF05BE"/>
    <w:rsid w:val="00CF3B77"/>
    <w:rsid w:val="00CF7D86"/>
    <w:rsid w:val="00CF7D99"/>
    <w:rsid w:val="00D00B2E"/>
    <w:rsid w:val="00D026E5"/>
    <w:rsid w:val="00D0642F"/>
    <w:rsid w:val="00D16320"/>
    <w:rsid w:val="00D2145B"/>
    <w:rsid w:val="00D23AB6"/>
    <w:rsid w:val="00D2698D"/>
    <w:rsid w:val="00D31928"/>
    <w:rsid w:val="00D344C1"/>
    <w:rsid w:val="00D4125C"/>
    <w:rsid w:val="00D42B06"/>
    <w:rsid w:val="00D47AE6"/>
    <w:rsid w:val="00D523A1"/>
    <w:rsid w:val="00D526DF"/>
    <w:rsid w:val="00D61362"/>
    <w:rsid w:val="00D710E6"/>
    <w:rsid w:val="00D77C76"/>
    <w:rsid w:val="00D8370B"/>
    <w:rsid w:val="00D91BA3"/>
    <w:rsid w:val="00D96A81"/>
    <w:rsid w:val="00DA44A9"/>
    <w:rsid w:val="00DA6A81"/>
    <w:rsid w:val="00DA6E5A"/>
    <w:rsid w:val="00DA7A8D"/>
    <w:rsid w:val="00DB19FF"/>
    <w:rsid w:val="00DC0738"/>
    <w:rsid w:val="00DD0D2F"/>
    <w:rsid w:val="00DD4008"/>
    <w:rsid w:val="00DD4D3D"/>
    <w:rsid w:val="00DE0282"/>
    <w:rsid w:val="00DE1587"/>
    <w:rsid w:val="00DE39D7"/>
    <w:rsid w:val="00DE4590"/>
    <w:rsid w:val="00DE588F"/>
    <w:rsid w:val="00DF0D64"/>
    <w:rsid w:val="00DF1032"/>
    <w:rsid w:val="00DF4D83"/>
    <w:rsid w:val="00E01835"/>
    <w:rsid w:val="00E02EAF"/>
    <w:rsid w:val="00E03204"/>
    <w:rsid w:val="00E03B46"/>
    <w:rsid w:val="00E067A2"/>
    <w:rsid w:val="00E077DF"/>
    <w:rsid w:val="00E07A72"/>
    <w:rsid w:val="00E15BCC"/>
    <w:rsid w:val="00E20730"/>
    <w:rsid w:val="00E3052B"/>
    <w:rsid w:val="00E31629"/>
    <w:rsid w:val="00E43F8E"/>
    <w:rsid w:val="00E45186"/>
    <w:rsid w:val="00E479AF"/>
    <w:rsid w:val="00E50554"/>
    <w:rsid w:val="00E507F0"/>
    <w:rsid w:val="00E51144"/>
    <w:rsid w:val="00E55848"/>
    <w:rsid w:val="00E62BAB"/>
    <w:rsid w:val="00E63F2E"/>
    <w:rsid w:val="00E65FD4"/>
    <w:rsid w:val="00E7210A"/>
    <w:rsid w:val="00E72A79"/>
    <w:rsid w:val="00E75F31"/>
    <w:rsid w:val="00E802B6"/>
    <w:rsid w:val="00E82E00"/>
    <w:rsid w:val="00E83464"/>
    <w:rsid w:val="00E8500B"/>
    <w:rsid w:val="00E8695C"/>
    <w:rsid w:val="00E86AD4"/>
    <w:rsid w:val="00E904E4"/>
    <w:rsid w:val="00E932B5"/>
    <w:rsid w:val="00E94C86"/>
    <w:rsid w:val="00E95904"/>
    <w:rsid w:val="00E972D3"/>
    <w:rsid w:val="00E97D32"/>
    <w:rsid w:val="00EB239A"/>
    <w:rsid w:val="00EB6D92"/>
    <w:rsid w:val="00EC7C52"/>
    <w:rsid w:val="00ED011F"/>
    <w:rsid w:val="00ED1968"/>
    <w:rsid w:val="00ED23AA"/>
    <w:rsid w:val="00ED555D"/>
    <w:rsid w:val="00ED58E4"/>
    <w:rsid w:val="00ED68B8"/>
    <w:rsid w:val="00EE0738"/>
    <w:rsid w:val="00EE0DBB"/>
    <w:rsid w:val="00EE7445"/>
    <w:rsid w:val="00EE7699"/>
    <w:rsid w:val="00EE7C9E"/>
    <w:rsid w:val="00EF0C48"/>
    <w:rsid w:val="00EF3E9C"/>
    <w:rsid w:val="00EF46E6"/>
    <w:rsid w:val="00EF5F44"/>
    <w:rsid w:val="00EF626F"/>
    <w:rsid w:val="00F00B18"/>
    <w:rsid w:val="00F11EF6"/>
    <w:rsid w:val="00F12440"/>
    <w:rsid w:val="00F142DB"/>
    <w:rsid w:val="00F16056"/>
    <w:rsid w:val="00F21520"/>
    <w:rsid w:val="00F21B47"/>
    <w:rsid w:val="00F25D67"/>
    <w:rsid w:val="00F26354"/>
    <w:rsid w:val="00F26A66"/>
    <w:rsid w:val="00F3578B"/>
    <w:rsid w:val="00F43A15"/>
    <w:rsid w:val="00F43C52"/>
    <w:rsid w:val="00F44185"/>
    <w:rsid w:val="00F471C4"/>
    <w:rsid w:val="00F50BCF"/>
    <w:rsid w:val="00F50FA7"/>
    <w:rsid w:val="00F53553"/>
    <w:rsid w:val="00F5420B"/>
    <w:rsid w:val="00F55C9B"/>
    <w:rsid w:val="00F56324"/>
    <w:rsid w:val="00F57032"/>
    <w:rsid w:val="00F63187"/>
    <w:rsid w:val="00F635E3"/>
    <w:rsid w:val="00F71C68"/>
    <w:rsid w:val="00F85632"/>
    <w:rsid w:val="00F87163"/>
    <w:rsid w:val="00F90936"/>
    <w:rsid w:val="00F93BA4"/>
    <w:rsid w:val="00F95B0D"/>
    <w:rsid w:val="00F96145"/>
    <w:rsid w:val="00F97E13"/>
    <w:rsid w:val="00FB4295"/>
    <w:rsid w:val="00FB724F"/>
    <w:rsid w:val="00FC01F2"/>
    <w:rsid w:val="00FC0385"/>
    <w:rsid w:val="00FC76E7"/>
    <w:rsid w:val="00FD07EE"/>
    <w:rsid w:val="00FD36CE"/>
    <w:rsid w:val="00FD48A0"/>
    <w:rsid w:val="00FD6221"/>
    <w:rsid w:val="00FE07D3"/>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2C5034-49CA-4157-9606-BF38A95D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4149</Words>
  <Characters>23652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Mokone</cp:lastModifiedBy>
  <cp:revision>3</cp:revision>
  <cp:lastPrinted>2023-08-14T15:50:00Z</cp:lastPrinted>
  <dcterms:created xsi:type="dcterms:W3CDTF">2023-08-18T09:26:00Z</dcterms:created>
  <dcterms:modified xsi:type="dcterms:W3CDTF">2023-08-18T09:26:00Z</dcterms:modified>
</cp:coreProperties>
</file>