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EC3" w:rsidRDefault="001F4EC3" w:rsidP="001F4EC3"/>
    <w:p w:rsidR="001F4EC3" w:rsidRDefault="001F4EC3" w:rsidP="001F4EC3">
      <w:pPr>
        <w:spacing w:line="360" w:lineRule="auto"/>
        <w:jc w:val="center"/>
        <w:rPr>
          <w:rFonts w:ascii="Arial" w:hAnsi="Arial" w:cs="Arial"/>
          <w:b/>
        </w:rPr>
      </w:pPr>
      <w:r>
        <w:rPr>
          <w:noProof/>
          <w:lang w:val="en-US"/>
        </w:rPr>
        <w:drawing>
          <wp:inline distT="0" distB="0" distL="0" distR="0" wp14:anchorId="41B96389" wp14:editId="002C62F4">
            <wp:extent cx="1354455" cy="1354455"/>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p w:rsidR="001F4EC3" w:rsidRPr="006E129D" w:rsidRDefault="001F4EC3" w:rsidP="001F4EC3">
      <w:pPr>
        <w:spacing w:line="360" w:lineRule="auto"/>
        <w:jc w:val="center"/>
        <w:rPr>
          <w:rFonts w:ascii="Arial" w:hAnsi="Arial" w:cs="Arial"/>
          <w:b/>
        </w:rPr>
      </w:pPr>
      <w:r w:rsidRPr="006E129D">
        <w:rPr>
          <w:rFonts w:ascii="Arial" w:hAnsi="Arial" w:cs="Arial"/>
          <w:b/>
        </w:rPr>
        <w:t xml:space="preserve">IN THE </w:t>
      </w:r>
      <w:r>
        <w:rPr>
          <w:rFonts w:ascii="Arial" w:hAnsi="Arial" w:cs="Arial"/>
          <w:b/>
        </w:rPr>
        <w:t>HIGH COURT OF SOUTH AFRICA</w:t>
      </w:r>
    </w:p>
    <w:p w:rsidR="001F4EC3" w:rsidRDefault="001F4EC3" w:rsidP="001F4EC3">
      <w:pPr>
        <w:spacing w:line="360" w:lineRule="auto"/>
        <w:jc w:val="center"/>
        <w:rPr>
          <w:rFonts w:ascii="Arial" w:hAnsi="Arial" w:cs="Arial"/>
          <w:b/>
        </w:rPr>
      </w:pPr>
      <w:r>
        <w:rPr>
          <w:rFonts w:ascii="Arial" w:hAnsi="Arial" w:cs="Arial"/>
          <w:b/>
        </w:rPr>
        <w:t>GAUTENG DIVISION, PRETORIA</w:t>
      </w:r>
    </w:p>
    <w:p w:rsidR="001F4EC3" w:rsidRDefault="001F4EC3" w:rsidP="001F4EC3">
      <w:pPr>
        <w:spacing w:line="360" w:lineRule="auto"/>
        <w:jc w:val="center"/>
        <w:rPr>
          <w:rFonts w:ascii="Arial" w:hAnsi="Arial" w:cs="Arial"/>
          <w:b/>
        </w:rPr>
      </w:pPr>
    </w:p>
    <w:p w:rsidR="001F4EC3" w:rsidRPr="00AF7474" w:rsidRDefault="001F4EC3" w:rsidP="001F4EC3">
      <w:pPr>
        <w:spacing w:line="360" w:lineRule="auto"/>
        <w:jc w:val="right"/>
        <w:rPr>
          <w:color w:val="000000" w:themeColor="text1"/>
        </w:rPr>
      </w:pPr>
      <w:r w:rsidRPr="00AF7474">
        <w:rPr>
          <w:rFonts w:ascii="Arial" w:hAnsi="Arial" w:cs="Arial"/>
          <w:noProof/>
          <w:color w:val="000000" w:themeColor="text1"/>
          <w:lang w:val="en-US"/>
        </w:rPr>
        <mc:AlternateContent>
          <mc:Choice Requires="wps">
            <w:drawing>
              <wp:anchor distT="0" distB="0" distL="114300" distR="114300" simplePos="0" relativeHeight="251659264" behindDoc="0" locked="0" layoutInCell="1" allowOverlap="1" wp14:anchorId="41DCD87F" wp14:editId="506A6045">
                <wp:simplePos x="0" y="0"/>
                <wp:positionH relativeFrom="column">
                  <wp:posOffset>-133350</wp:posOffset>
                </wp:positionH>
                <wp:positionV relativeFrom="paragraph">
                  <wp:posOffset>168275</wp:posOffset>
                </wp:positionV>
                <wp:extent cx="3657600" cy="15494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49400"/>
                        </a:xfrm>
                        <a:prstGeom prst="rect">
                          <a:avLst/>
                        </a:prstGeom>
                        <a:solidFill>
                          <a:srgbClr val="FFFFFF"/>
                        </a:solidFill>
                        <a:ln w="9525">
                          <a:solidFill>
                            <a:srgbClr val="000000"/>
                          </a:solidFill>
                          <a:miter lim="800000"/>
                          <a:headEnd/>
                          <a:tailEnd/>
                        </a:ln>
                      </wps:spPr>
                      <wps:txbx>
                        <w:txbxContent>
                          <w:p w:rsidR="001F4EC3" w:rsidRPr="0038792A" w:rsidRDefault="001F4EC3" w:rsidP="001F4EC3">
                            <w:pPr>
                              <w:rPr>
                                <w:rFonts w:ascii="Century Gothic" w:hAnsi="Century Gothic" w:cs="Arial"/>
                                <w:b/>
                                <w:sz w:val="20"/>
                                <w:szCs w:val="20"/>
                              </w:rPr>
                            </w:pPr>
                            <w:r w:rsidRPr="0038792A">
                              <w:rPr>
                                <w:rFonts w:ascii="Century Gothic" w:hAnsi="Century Gothic" w:cs="Arial"/>
                                <w:b/>
                                <w:sz w:val="20"/>
                                <w:szCs w:val="20"/>
                              </w:rPr>
                              <w:t>DELETE WHICHEVER IS NOT APPLICABLE</w:t>
                            </w:r>
                          </w:p>
                          <w:p w:rsidR="001F4EC3" w:rsidRPr="0038792A" w:rsidRDefault="00022690" w:rsidP="00022690">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3D3F40">
                              <w:rPr>
                                <w:rFonts w:ascii="Century Gothic" w:hAnsi="Century Gothic"/>
                                <w:sz w:val="20"/>
                                <w:szCs w:val="20"/>
                              </w:rPr>
                              <w:t xml:space="preserve">REPORTABLE: </w:t>
                            </w:r>
                            <w:r w:rsidR="00507F82">
                              <w:rPr>
                                <w:rFonts w:ascii="Century Gothic" w:hAnsi="Century Gothic"/>
                                <w:sz w:val="20"/>
                                <w:szCs w:val="20"/>
                              </w:rPr>
                              <w:t xml:space="preserve">NO </w:t>
                            </w:r>
                          </w:p>
                          <w:p w:rsidR="001F4EC3" w:rsidRPr="0038792A" w:rsidRDefault="00022690" w:rsidP="00022690">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1F4EC3" w:rsidRPr="0038792A">
                              <w:rPr>
                                <w:rFonts w:ascii="Century Gothic" w:hAnsi="Century Gothic"/>
                                <w:sz w:val="20"/>
                                <w:szCs w:val="20"/>
                              </w:rPr>
                              <w:t xml:space="preserve">OF </w:t>
                            </w:r>
                            <w:r w:rsidR="001F4EC3">
                              <w:rPr>
                                <w:rFonts w:ascii="Century Gothic" w:hAnsi="Century Gothic"/>
                                <w:sz w:val="20"/>
                                <w:szCs w:val="20"/>
                              </w:rPr>
                              <w:t xml:space="preserve">INTEREST TO OTHER JUDGES: </w:t>
                            </w:r>
                            <w:r w:rsidR="00507F82">
                              <w:rPr>
                                <w:rFonts w:ascii="Century Gothic" w:hAnsi="Century Gothic"/>
                                <w:sz w:val="20"/>
                                <w:szCs w:val="20"/>
                              </w:rPr>
                              <w:t>NO</w:t>
                            </w:r>
                          </w:p>
                          <w:p w:rsidR="001F4EC3" w:rsidRPr="0096054C" w:rsidRDefault="00022690" w:rsidP="00022690">
                            <w:pPr>
                              <w:tabs>
                                <w:tab w:val="left" w:pos="900"/>
                              </w:tabs>
                              <w:spacing w:after="0" w:line="240" w:lineRule="auto"/>
                              <w:ind w:left="900" w:hanging="720"/>
                              <w:rPr>
                                <w:rFonts w:ascii="Century Gothic" w:hAnsi="Century Gothic"/>
                                <w:sz w:val="20"/>
                                <w:szCs w:val="20"/>
                              </w:rPr>
                            </w:pPr>
                            <w:r w:rsidRPr="0096054C">
                              <w:rPr>
                                <w:rFonts w:ascii="Century Gothic" w:hAnsi="Century Gothic"/>
                                <w:sz w:val="20"/>
                                <w:szCs w:val="20"/>
                              </w:rPr>
                              <w:t>(3)</w:t>
                            </w:r>
                            <w:r w:rsidRPr="0096054C">
                              <w:rPr>
                                <w:rFonts w:ascii="Century Gothic" w:hAnsi="Century Gothic"/>
                                <w:sz w:val="20"/>
                                <w:szCs w:val="20"/>
                              </w:rPr>
                              <w:tab/>
                            </w:r>
                            <w:r w:rsidR="001F4EC3" w:rsidRPr="0096054C">
                              <w:rPr>
                                <w:rFonts w:ascii="Century Gothic" w:hAnsi="Century Gothic"/>
                                <w:sz w:val="20"/>
                                <w:szCs w:val="20"/>
                              </w:rPr>
                              <w:t xml:space="preserve">REVISED: </w:t>
                            </w:r>
                          </w:p>
                          <w:p w:rsidR="001F4EC3" w:rsidRDefault="0096054C" w:rsidP="001F4EC3">
                            <w:pPr>
                              <w:ind w:left="180"/>
                              <w:rPr>
                                <w:rFonts w:ascii="Century Gothic" w:hAnsi="Century Gothic"/>
                                <w:sz w:val="20"/>
                                <w:szCs w:val="20"/>
                              </w:rPr>
                            </w:pPr>
                            <w:r>
                              <w:rPr>
                                <w:rFonts w:ascii="Century Gothic" w:hAnsi="Century Gothic"/>
                                <w:sz w:val="20"/>
                                <w:szCs w:val="20"/>
                              </w:rPr>
                              <w:t>SIGNATURE:</w:t>
                            </w:r>
                            <w:r w:rsidRPr="0096054C">
                              <w:rPr>
                                <w:rFonts w:ascii="Century Gothic" w:hAnsi="Century Gothic"/>
                                <w:noProof/>
                                <w:sz w:val="20"/>
                                <w:szCs w:val="20"/>
                                <w:lang w:eastAsia="en-ZA"/>
                              </w:rPr>
                              <w:t xml:space="preserve"> </w:t>
                            </w:r>
                            <w:r w:rsidRPr="0096054C">
                              <w:rPr>
                                <w:rFonts w:ascii="Century Gothic" w:hAnsi="Century Gothic"/>
                                <w:noProof/>
                                <w:sz w:val="20"/>
                                <w:szCs w:val="20"/>
                                <w:lang w:val="en-US"/>
                              </w:rPr>
                              <w:drawing>
                                <wp:inline distT="0" distB="0" distL="0" distR="0" wp14:anchorId="6C83C079" wp14:editId="157BC850">
                                  <wp:extent cx="844550" cy="402509"/>
                                  <wp:effectExtent l="0" t="0" r="0" b="0"/>
                                  <wp:docPr id="3" name="Picture 3" descr="C:\Users\NoMbatha\Downloads\SCowen Signa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Mbatha\Downloads\SCowen Signature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932" cy="441295"/>
                                          </a:xfrm>
                                          <a:prstGeom prst="rect">
                                            <a:avLst/>
                                          </a:prstGeom>
                                          <a:noFill/>
                                          <a:ln>
                                            <a:noFill/>
                                          </a:ln>
                                        </pic:spPr>
                                      </pic:pic>
                                    </a:graphicData>
                                  </a:graphic>
                                </wp:inline>
                              </w:drawing>
                            </w:r>
                            <w:r w:rsidR="001F4EC3">
                              <w:rPr>
                                <w:rFonts w:ascii="Century Gothic" w:hAnsi="Century Gothic"/>
                                <w:sz w:val="20"/>
                                <w:szCs w:val="20"/>
                              </w:rPr>
                              <w:tab/>
                              <w:t xml:space="preserve">     </w:t>
                            </w:r>
                            <w:r>
                              <w:rPr>
                                <w:rFonts w:ascii="Century Gothic" w:hAnsi="Century Gothic"/>
                                <w:sz w:val="20"/>
                                <w:szCs w:val="20"/>
                              </w:rPr>
                              <w:t xml:space="preserve">DATE: </w:t>
                            </w:r>
                            <w:r w:rsidR="001F4EC3">
                              <w:rPr>
                                <w:rFonts w:ascii="Century Gothic" w:hAnsi="Century Gothic"/>
                                <w:sz w:val="20"/>
                                <w:szCs w:val="20"/>
                              </w:rPr>
                              <w:t>21 August 2023</w:t>
                            </w:r>
                          </w:p>
                          <w:p w:rsidR="001F4EC3" w:rsidRPr="0038792A" w:rsidRDefault="0096054C" w:rsidP="001F4EC3">
                            <w:pPr>
                              <w:ind w:left="180"/>
                              <w:rPr>
                                <w:rFonts w:ascii="Century Gothic" w:hAnsi="Century Gothic"/>
                                <w:sz w:val="20"/>
                                <w:szCs w:val="20"/>
                              </w:rPr>
                            </w:pPr>
                            <w:r>
                              <w:rPr>
                                <w:rFonts w:ascii="Century Gothic" w:hAnsi="Century Gothic"/>
                                <w:sz w:val="20"/>
                                <w:szCs w:val="20"/>
                              </w:rPr>
                              <w:tab/>
                            </w:r>
                            <w:r w:rsidR="001F4EC3">
                              <w:rPr>
                                <w:rFonts w:ascii="Century Gothic" w:hAnsi="Century Gothic"/>
                                <w:sz w:val="20"/>
                                <w:szCs w:val="20"/>
                              </w:rPr>
                              <w:tab/>
                            </w:r>
                            <w:r w:rsidR="001F4EC3">
                              <w:rPr>
                                <w:rFonts w:ascii="Century Gothic" w:hAnsi="Century Gothic"/>
                                <w:sz w:val="20"/>
                                <w:szCs w:val="20"/>
                              </w:rPr>
                              <w:tab/>
                            </w:r>
                            <w:r w:rsidR="001F4EC3">
                              <w:rPr>
                                <w:rFonts w:ascii="Century Gothic" w:hAnsi="Century Gothic"/>
                                <w:sz w:val="20"/>
                                <w:szCs w:val="20"/>
                              </w:rPr>
                              <w:tab/>
                            </w:r>
                          </w:p>
                          <w:p w:rsidR="001F4EC3" w:rsidRPr="0038792A" w:rsidRDefault="001F4EC3" w:rsidP="001F4EC3">
                            <w:pPr>
                              <w:rPr>
                                <w:rFonts w:ascii="Century Gothic" w:hAnsi="Century Gothic"/>
                                <w:sz w:val="20"/>
                                <w:szCs w:val="20"/>
                              </w:rPr>
                            </w:pPr>
                          </w:p>
                          <w:p w:rsidR="001F4EC3" w:rsidRDefault="001F4EC3" w:rsidP="001F4EC3">
                            <w:pPr>
                              <w:rPr>
                                <w:rFonts w:ascii="Century Gothic" w:hAnsi="Century Gothic"/>
                                <w:sz w:val="28"/>
                                <w:szCs w:val="28"/>
                              </w:rPr>
                            </w:pPr>
                          </w:p>
                          <w:p w:rsidR="001F4EC3" w:rsidRDefault="001F4EC3" w:rsidP="001F4EC3">
                            <w:pPr>
                              <w:rPr>
                                <w:rFonts w:ascii="Century Gothic" w:hAnsi="Century Gothic"/>
                                <w:sz w:val="28"/>
                                <w:szCs w:val="28"/>
                              </w:rPr>
                            </w:pPr>
                          </w:p>
                          <w:p w:rsidR="001F4EC3" w:rsidRDefault="001F4EC3" w:rsidP="001F4EC3">
                            <w:pPr>
                              <w:rPr>
                                <w:rFonts w:ascii="Century Gothic" w:hAnsi="Century Gothic"/>
                                <w:sz w:val="28"/>
                                <w:szCs w:val="28"/>
                              </w:rPr>
                            </w:pPr>
                            <w:r>
                              <w:rPr>
                                <w:rFonts w:ascii="Century Gothic" w:hAnsi="Century Gothic"/>
                                <w:sz w:val="28"/>
                                <w:szCs w:val="28"/>
                              </w:rPr>
                              <w:t>____________________        ____________________</w:t>
                            </w:r>
                          </w:p>
                          <w:p w:rsidR="001F4EC3" w:rsidRDefault="001F4EC3" w:rsidP="001F4EC3">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1F4EC3" w:rsidRDefault="001F4EC3" w:rsidP="001F4EC3">
                            <w:pPr>
                              <w:rPr>
                                <w:rFonts w:ascii="Century Gothic" w:hAnsi="Century Gothic"/>
                                <w:sz w:val="28"/>
                                <w:szCs w:val="28"/>
                              </w:rPr>
                            </w:pPr>
                          </w:p>
                          <w:p w:rsidR="001F4EC3" w:rsidRDefault="001F4EC3" w:rsidP="001F4EC3">
                            <w:pPr>
                              <w:rPr>
                                <w:rFonts w:ascii="Century Gothic" w:hAnsi="Century Gothic"/>
                                <w:sz w:val="28"/>
                                <w:szCs w:val="28"/>
                              </w:rPr>
                            </w:pPr>
                          </w:p>
                          <w:p w:rsidR="001F4EC3" w:rsidRDefault="001F4EC3" w:rsidP="001F4EC3">
                            <w:pPr>
                              <w:rPr>
                                <w:rFonts w:ascii="Century Gothic" w:hAnsi="Century Gothic"/>
                                <w:sz w:val="28"/>
                                <w:szCs w:val="28"/>
                              </w:rPr>
                            </w:pPr>
                          </w:p>
                          <w:p w:rsidR="001F4EC3" w:rsidRPr="009533D5" w:rsidRDefault="001F4EC3" w:rsidP="001F4EC3">
                            <w:pPr>
                              <w:rPr>
                                <w:rFonts w:ascii="Century Gothic" w:hAnsi="Century Gothic"/>
                                <w:sz w:val="28"/>
                                <w:szCs w:val="28"/>
                              </w:rPr>
                            </w:pPr>
                          </w:p>
                          <w:p w:rsidR="001F4EC3" w:rsidRDefault="001F4EC3" w:rsidP="001F4EC3">
                            <w:pPr>
                              <w:rPr>
                                <w:rFonts w:ascii="Century Gothic" w:hAnsi="Century Gothic"/>
                                <w:b/>
                                <w:sz w:val="18"/>
                                <w:szCs w:val="18"/>
                              </w:rPr>
                            </w:pPr>
                          </w:p>
                          <w:p w:rsidR="001F4EC3" w:rsidRDefault="001F4EC3" w:rsidP="001F4EC3">
                            <w:pPr>
                              <w:rPr>
                                <w:rFonts w:ascii="Century Gothic" w:hAnsi="Century Gothic"/>
                                <w:b/>
                                <w:sz w:val="18"/>
                                <w:szCs w:val="18"/>
                              </w:rPr>
                            </w:pPr>
                          </w:p>
                          <w:p w:rsidR="001F4EC3" w:rsidRDefault="001F4EC3" w:rsidP="001F4EC3">
                            <w:pPr>
                              <w:rPr>
                                <w:rFonts w:ascii="Century Gothic" w:hAnsi="Century Gothic"/>
                                <w:b/>
                                <w:sz w:val="18"/>
                                <w:szCs w:val="18"/>
                              </w:rPr>
                            </w:pPr>
                          </w:p>
                          <w:p w:rsidR="001F4EC3" w:rsidRPr="00B93709" w:rsidRDefault="001F4EC3" w:rsidP="001F4EC3">
                            <w:pPr>
                              <w:rPr>
                                <w:rFonts w:ascii="Century Gothic" w:hAnsi="Century Gothic"/>
                                <w:b/>
                                <w:sz w:val="18"/>
                                <w:szCs w:val="18"/>
                              </w:rPr>
                            </w:pPr>
                          </w:p>
                          <w:p w:rsidR="001F4EC3" w:rsidRPr="00B93709" w:rsidRDefault="001F4EC3" w:rsidP="001F4EC3">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CD87F" id="_x0000_t202" coordsize="21600,21600" o:spt="202" path="m,l,21600r21600,l21600,xe">
                <v:stroke joinstyle="miter"/>
                <v:path gradientshapeok="t" o:connecttype="rect"/>
              </v:shapetype>
              <v:shape id="Text Box 2" o:spid="_x0000_s1026" type="#_x0000_t202" style="position:absolute;left:0;text-align:left;margin-left:-10.5pt;margin-top:13.25pt;width:4in;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v+KQIAAFE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">
                <v:textbox>
                  <w:txbxContent>
                    <w:p w:rsidR="001F4EC3" w:rsidRPr="0038792A" w:rsidRDefault="001F4EC3" w:rsidP="001F4EC3">
                      <w:pPr>
                        <w:rPr>
                          <w:rFonts w:ascii="Century Gothic" w:hAnsi="Century Gothic" w:cs="Arial"/>
                          <w:b/>
                          <w:sz w:val="20"/>
                          <w:szCs w:val="20"/>
                        </w:rPr>
                      </w:pPr>
                      <w:r w:rsidRPr="0038792A">
                        <w:rPr>
                          <w:rFonts w:ascii="Century Gothic" w:hAnsi="Century Gothic" w:cs="Arial"/>
                          <w:b/>
                          <w:sz w:val="20"/>
                          <w:szCs w:val="20"/>
                        </w:rPr>
                        <w:t>DELETE WHICHEVER IS NOT APPLICABLE</w:t>
                      </w:r>
                    </w:p>
                    <w:p w:rsidR="001F4EC3" w:rsidRPr="0038792A" w:rsidRDefault="00022690" w:rsidP="00022690">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3D3F40">
                        <w:rPr>
                          <w:rFonts w:ascii="Century Gothic" w:hAnsi="Century Gothic"/>
                          <w:sz w:val="20"/>
                          <w:szCs w:val="20"/>
                        </w:rPr>
                        <w:t xml:space="preserve">REPORTABLE: </w:t>
                      </w:r>
                      <w:r w:rsidR="00507F82">
                        <w:rPr>
                          <w:rFonts w:ascii="Century Gothic" w:hAnsi="Century Gothic"/>
                          <w:sz w:val="20"/>
                          <w:szCs w:val="20"/>
                        </w:rPr>
                        <w:t xml:space="preserve">NO </w:t>
                      </w:r>
                    </w:p>
                    <w:p w:rsidR="001F4EC3" w:rsidRPr="0038792A" w:rsidRDefault="00022690" w:rsidP="00022690">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1F4EC3" w:rsidRPr="0038792A">
                        <w:rPr>
                          <w:rFonts w:ascii="Century Gothic" w:hAnsi="Century Gothic"/>
                          <w:sz w:val="20"/>
                          <w:szCs w:val="20"/>
                        </w:rPr>
                        <w:t xml:space="preserve">OF </w:t>
                      </w:r>
                      <w:r w:rsidR="001F4EC3">
                        <w:rPr>
                          <w:rFonts w:ascii="Century Gothic" w:hAnsi="Century Gothic"/>
                          <w:sz w:val="20"/>
                          <w:szCs w:val="20"/>
                        </w:rPr>
                        <w:t xml:space="preserve">INTEREST TO OTHER JUDGES: </w:t>
                      </w:r>
                      <w:r w:rsidR="00507F82">
                        <w:rPr>
                          <w:rFonts w:ascii="Century Gothic" w:hAnsi="Century Gothic"/>
                          <w:sz w:val="20"/>
                          <w:szCs w:val="20"/>
                        </w:rPr>
                        <w:t>NO</w:t>
                      </w:r>
                    </w:p>
                    <w:p w:rsidR="001F4EC3" w:rsidRPr="0096054C" w:rsidRDefault="00022690" w:rsidP="00022690">
                      <w:pPr>
                        <w:tabs>
                          <w:tab w:val="left" w:pos="900"/>
                        </w:tabs>
                        <w:spacing w:after="0" w:line="240" w:lineRule="auto"/>
                        <w:ind w:left="900" w:hanging="720"/>
                        <w:rPr>
                          <w:rFonts w:ascii="Century Gothic" w:hAnsi="Century Gothic"/>
                          <w:sz w:val="20"/>
                          <w:szCs w:val="20"/>
                        </w:rPr>
                      </w:pPr>
                      <w:r w:rsidRPr="0096054C">
                        <w:rPr>
                          <w:rFonts w:ascii="Century Gothic" w:hAnsi="Century Gothic"/>
                          <w:sz w:val="20"/>
                          <w:szCs w:val="20"/>
                        </w:rPr>
                        <w:t>(3)</w:t>
                      </w:r>
                      <w:r w:rsidRPr="0096054C">
                        <w:rPr>
                          <w:rFonts w:ascii="Century Gothic" w:hAnsi="Century Gothic"/>
                          <w:sz w:val="20"/>
                          <w:szCs w:val="20"/>
                        </w:rPr>
                        <w:tab/>
                      </w:r>
                      <w:r w:rsidR="001F4EC3" w:rsidRPr="0096054C">
                        <w:rPr>
                          <w:rFonts w:ascii="Century Gothic" w:hAnsi="Century Gothic"/>
                          <w:sz w:val="20"/>
                          <w:szCs w:val="20"/>
                        </w:rPr>
                        <w:t xml:space="preserve">REVISED: </w:t>
                      </w:r>
                    </w:p>
                    <w:p w:rsidR="001F4EC3" w:rsidRDefault="0096054C" w:rsidP="001F4EC3">
                      <w:pPr>
                        <w:ind w:left="180"/>
                        <w:rPr>
                          <w:rFonts w:ascii="Century Gothic" w:hAnsi="Century Gothic"/>
                          <w:sz w:val="20"/>
                          <w:szCs w:val="20"/>
                        </w:rPr>
                      </w:pPr>
                      <w:r>
                        <w:rPr>
                          <w:rFonts w:ascii="Century Gothic" w:hAnsi="Century Gothic"/>
                          <w:sz w:val="20"/>
                          <w:szCs w:val="20"/>
                        </w:rPr>
                        <w:t>SIGNATURE:</w:t>
                      </w:r>
                      <w:r w:rsidRPr="0096054C">
                        <w:rPr>
                          <w:rFonts w:ascii="Century Gothic" w:hAnsi="Century Gothic"/>
                          <w:noProof/>
                          <w:sz w:val="20"/>
                          <w:szCs w:val="20"/>
                          <w:lang w:eastAsia="en-ZA"/>
                        </w:rPr>
                        <w:t xml:space="preserve"> </w:t>
                      </w:r>
                      <w:r w:rsidRPr="0096054C">
                        <w:rPr>
                          <w:rFonts w:ascii="Century Gothic" w:hAnsi="Century Gothic"/>
                          <w:noProof/>
                          <w:sz w:val="20"/>
                          <w:szCs w:val="20"/>
                          <w:lang w:val="en-US"/>
                        </w:rPr>
                        <w:drawing>
                          <wp:inline distT="0" distB="0" distL="0" distR="0" wp14:anchorId="6C83C079" wp14:editId="157BC850">
                            <wp:extent cx="844550" cy="402509"/>
                            <wp:effectExtent l="0" t="0" r="0" b="0"/>
                            <wp:docPr id="3" name="Picture 3" descr="C:\Users\NoMbatha\Downloads\SCowen Signa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Mbatha\Downloads\SCowen Signature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932" cy="441295"/>
                                    </a:xfrm>
                                    <a:prstGeom prst="rect">
                                      <a:avLst/>
                                    </a:prstGeom>
                                    <a:noFill/>
                                    <a:ln>
                                      <a:noFill/>
                                    </a:ln>
                                  </pic:spPr>
                                </pic:pic>
                              </a:graphicData>
                            </a:graphic>
                          </wp:inline>
                        </w:drawing>
                      </w:r>
                      <w:r w:rsidR="001F4EC3">
                        <w:rPr>
                          <w:rFonts w:ascii="Century Gothic" w:hAnsi="Century Gothic"/>
                          <w:sz w:val="20"/>
                          <w:szCs w:val="20"/>
                        </w:rPr>
                        <w:tab/>
                        <w:t xml:space="preserve">     </w:t>
                      </w:r>
                      <w:r>
                        <w:rPr>
                          <w:rFonts w:ascii="Century Gothic" w:hAnsi="Century Gothic"/>
                          <w:sz w:val="20"/>
                          <w:szCs w:val="20"/>
                        </w:rPr>
                        <w:t xml:space="preserve">DATE: </w:t>
                      </w:r>
                      <w:r w:rsidR="001F4EC3">
                        <w:rPr>
                          <w:rFonts w:ascii="Century Gothic" w:hAnsi="Century Gothic"/>
                          <w:sz w:val="20"/>
                          <w:szCs w:val="20"/>
                        </w:rPr>
                        <w:t>21 August 2023</w:t>
                      </w:r>
                    </w:p>
                    <w:p w:rsidR="001F4EC3" w:rsidRPr="0038792A" w:rsidRDefault="0096054C" w:rsidP="001F4EC3">
                      <w:pPr>
                        <w:ind w:left="180"/>
                        <w:rPr>
                          <w:rFonts w:ascii="Century Gothic" w:hAnsi="Century Gothic"/>
                          <w:sz w:val="20"/>
                          <w:szCs w:val="20"/>
                        </w:rPr>
                      </w:pPr>
                      <w:r>
                        <w:rPr>
                          <w:rFonts w:ascii="Century Gothic" w:hAnsi="Century Gothic"/>
                          <w:sz w:val="20"/>
                          <w:szCs w:val="20"/>
                        </w:rPr>
                        <w:tab/>
                      </w:r>
                      <w:r w:rsidR="001F4EC3">
                        <w:rPr>
                          <w:rFonts w:ascii="Century Gothic" w:hAnsi="Century Gothic"/>
                          <w:sz w:val="20"/>
                          <w:szCs w:val="20"/>
                        </w:rPr>
                        <w:tab/>
                      </w:r>
                      <w:r w:rsidR="001F4EC3">
                        <w:rPr>
                          <w:rFonts w:ascii="Century Gothic" w:hAnsi="Century Gothic"/>
                          <w:sz w:val="20"/>
                          <w:szCs w:val="20"/>
                        </w:rPr>
                        <w:tab/>
                      </w:r>
                      <w:r w:rsidR="001F4EC3">
                        <w:rPr>
                          <w:rFonts w:ascii="Century Gothic" w:hAnsi="Century Gothic"/>
                          <w:sz w:val="20"/>
                          <w:szCs w:val="20"/>
                        </w:rPr>
                        <w:tab/>
                      </w:r>
                    </w:p>
                    <w:p w:rsidR="001F4EC3" w:rsidRPr="0038792A" w:rsidRDefault="001F4EC3" w:rsidP="001F4EC3">
                      <w:pPr>
                        <w:rPr>
                          <w:rFonts w:ascii="Century Gothic" w:hAnsi="Century Gothic"/>
                          <w:sz w:val="20"/>
                          <w:szCs w:val="20"/>
                        </w:rPr>
                      </w:pPr>
                    </w:p>
                    <w:p w:rsidR="001F4EC3" w:rsidRDefault="001F4EC3" w:rsidP="001F4EC3">
                      <w:pPr>
                        <w:rPr>
                          <w:rFonts w:ascii="Century Gothic" w:hAnsi="Century Gothic"/>
                          <w:sz w:val="28"/>
                          <w:szCs w:val="28"/>
                        </w:rPr>
                      </w:pPr>
                    </w:p>
                    <w:p w:rsidR="001F4EC3" w:rsidRDefault="001F4EC3" w:rsidP="001F4EC3">
                      <w:pPr>
                        <w:rPr>
                          <w:rFonts w:ascii="Century Gothic" w:hAnsi="Century Gothic"/>
                          <w:sz w:val="28"/>
                          <w:szCs w:val="28"/>
                        </w:rPr>
                      </w:pPr>
                    </w:p>
                    <w:p w:rsidR="001F4EC3" w:rsidRDefault="001F4EC3" w:rsidP="001F4EC3">
                      <w:pPr>
                        <w:rPr>
                          <w:rFonts w:ascii="Century Gothic" w:hAnsi="Century Gothic"/>
                          <w:sz w:val="28"/>
                          <w:szCs w:val="28"/>
                        </w:rPr>
                      </w:pPr>
                      <w:r>
                        <w:rPr>
                          <w:rFonts w:ascii="Century Gothic" w:hAnsi="Century Gothic"/>
                          <w:sz w:val="28"/>
                          <w:szCs w:val="28"/>
                        </w:rPr>
                        <w:t>____________________        ____________________</w:t>
                      </w:r>
                    </w:p>
                    <w:p w:rsidR="001F4EC3" w:rsidRDefault="001F4EC3" w:rsidP="001F4EC3">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1F4EC3" w:rsidRDefault="001F4EC3" w:rsidP="001F4EC3">
                      <w:pPr>
                        <w:rPr>
                          <w:rFonts w:ascii="Century Gothic" w:hAnsi="Century Gothic"/>
                          <w:sz w:val="28"/>
                          <w:szCs w:val="28"/>
                        </w:rPr>
                      </w:pPr>
                    </w:p>
                    <w:p w:rsidR="001F4EC3" w:rsidRDefault="001F4EC3" w:rsidP="001F4EC3">
                      <w:pPr>
                        <w:rPr>
                          <w:rFonts w:ascii="Century Gothic" w:hAnsi="Century Gothic"/>
                          <w:sz w:val="28"/>
                          <w:szCs w:val="28"/>
                        </w:rPr>
                      </w:pPr>
                    </w:p>
                    <w:p w:rsidR="001F4EC3" w:rsidRDefault="001F4EC3" w:rsidP="001F4EC3">
                      <w:pPr>
                        <w:rPr>
                          <w:rFonts w:ascii="Century Gothic" w:hAnsi="Century Gothic"/>
                          <w:sz w:val="28"/>
                          <w:szCs w:val="28"/>
                        </w:rPr>
                      </w:pPr>
                    </w:p>
                    <w:p w:rsidR="001F4EC3" w:rsidRPr="009533D5" w:rsidRDefault="001F4EC3" w:rsidP="001F4EC3">
                      <w:pPr>
                        <w:rPr>
                          <w:rFonts w:ascii="Century Gothic" w:hAnsi="Century Gothic"/>
                          <w:sz w:val="28"/>
                          <w:szCs w:val="28"/>
                        </w:rPr>
                      </w:pPr>
                    </w:p>
                    <w:p w:rsidR="001F4EC3" w:rsidRDefault="001F4EC3" w:rsidP="001F4EC3">
                      <w:pPr>
                        <w:rPr>
                          <w:rFonts w:ascii="Century Gothic" w:hAnsi="Century Gothic"/>
                          <w:b/>
                          <w:sz w:val="18"/>
                          <w:szCs w:val="18"/>
                        </w:rPr>
                      </w:pPr>
                    </w:p>
                    <w:p w:rsidR="001F4EC3" w:rsidRDefault="001F4EC3" w:rsidP="001F4EC3">
                      <w:pPr>
                        <w:rPr>
                          <w:rFonts w:ascii="Century Gothic" w:hAnsi="Century Gothic"/>
                          <w:b/>
                          <w:sz w:val="18"/>
                          <w:szCs w:val="18"/>
                        </w:rPr>
                      </w:pPr>
                    </w:p>
                    <w:p w:rsidR="001F4EC3" w:rsidRDefault="001F4EC3" w:rsidP="001F4EC3">
                      <w:pPr>
                        <w:rPr>
                          <w:rFonts w:ascii="Century Gothic" w:hAnsi="Century Gothic"/>
                          <w:b/>
                          <w:sz w:val="18"/>
                          <w:szCs w:val="18"/>
                        </w:rPr>
                      </w:pPr>
                    </w:p>
                    <w:p w:rsidR="001F4EC3" w:rsidRPr="00B93709" w:rsidRDefault="001F4EC3" w:rsidP="001F4EC3">
                      <w:pPr>
                        <w:rPr>
                          <w:rFonts w:ascii="Century Gothic" w:hAnsi="Century Gothic"/>
                          <w:b/>
                          <w:sz w:val="18"/>
                          <w:szCs w:val="18"/>
                        </w:rPr>
                      </w:pPr>
                    </w:p>
                    <w:p w:rsidR="001F4EC3" w:rsidRPr="00B93709" w:rsidRDefault="001F4EC3" w:rsidP="001F4EC3">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p>
    <w:p w:rsidR="001F4EC3" w:rsidRPr="00AF7474" w:rsidRDefault="001F4EC3" w:rsidP="001F4EC3">
      <w:pPr>
        <w:spacing w:line="360" w:lineRule="auto"/>
        <w:rPr>
          <w:rFonts w:ascii="Arial" w:hAnsi="Arial" w:cs="Arial"/>
          <w:color w:val="000000" w:themeColor="text1"/>
        </w:rPr>
      </w:pPr>
    </w:p>
    <w:p w:rsidR="001F4EC3" w:rsidRPr="00AF7474" w:rsidRDefault="001F4EC3" w:rsidP="001F4EC3">
      <w:pPr>
        <w:spacing w:line="360" w:lineRule="auto"/>
        <w:rPr>
          <w:rFonts w:ascii="Arial" w:hAnsi="Arial" w:cs="Arial"/>
          <w:color w:val="000000" w:themeColor="text1"/>
        </w:rPr>
      </w:pPr>
    </w:p>
    <w:p w:rsidR="001F4EC3" w:rsidRPr="00AF7474" w:rsidRDefault="001F4EC3" w:rsidP="001F4EC3">
      <w:pPr>
        <w:spacing w:line="360" w:lineRule="auto"/>
        <w:jc w:val="right"/>
        <w:rPr>
          <w:rFonts w:ascii="Arial" w:hAnsi="Arial" w:cs="Arial"/>
          <w:color w:val="000000" w:themeColor="text1"/>
        </w:rPr>
      </w:pPr>
    </w:p>
    <w:p w:rsidR="001F4EC3" w:rsidRPr="00AF7474" w:rsidRDefault="001F4EC3" w:rsidP="001F4EC3">
      <w:pPr>
        <w:spacing w:line="360" w:lineRule="auto"/>
        <w:jc w:val="both"/>
        <w:rPr>
          <w:rFonts w:ascii="Arial" w:hAnsi="Arial" w:cs="Arial"/>
          <w:color w:val="000000" w:themeColor="text1"/>
        </w:rPr>
      </w:pPr>
    </w:p>
    <w:p w:rsidR="001F4EC3" w:rsidRDefault="001F4EC3" w:rsidP="001F4EC3">
      <w:pPr>
        <w:rPr>
          <w:rFonts w:ascii="Arial" w:hAnsi="Arial" w:cs="Arial"/>
          <w:b/>
          <w:sz w:val="24"/>
          <w:szCs w:val="24"/>
          <w:lang w:val="en-US"/>
        </w:rPr>
      </w:pPr>
    </w:p>
    <w:p w:rsidR="00DF62BA" w:rsidRPr="00C059C5" w:rsidRDefault="00DF62BA" w:rsidP="00DF62BA">
      <w:pPr>
        <w:jc w:val="center"/>
        <w:rPr>
          <w:rFonts w:ascii="Arial" w:hAnsi="Arial" w:cs="Arial"/>
          <w:b/>
          <w:sz w:val="24"/>
          <w:szCs w:val="24"/>
          <w:lang w:val="en-US"/>
        </w:rPr>
      </w:pPr>
    </w:p>
    <w:p w:rsidR="00DF62BA" w:rsidRPr="00C059C5" w:rsidRDefault="00DF62BA" w:rsidP="00DF62BA">
      <w:pPr>
        <w:jc w:val="right"/>
        <w:rPr>
          <w:rFonts w:ascii="Arial" w:hAnsi="Arial" w:cs="Arial"/>
          <w:b/>
          <w:sz w:val="24"/>
          <w:szCs w:val="24"/>
          <w:lang w:val="en-US"/>
        </w:rPr>
      </w:pPr>
      <w:r w:rsidRPr="00C059C5">
        <w:rPr>
          <w:rFonts w:ascii="Arial" w:hAnsi="Arial" w:cs="Arial"/>
          <w:b/>
          <w:sz w:val="24"/>
          <w:szCs w:val="24"/>
          <w:lang w:val="en-US"/>
        </w:rPr>
        <w:t>Case no:  17883/2021</w:t>
      </w:r>
    </w:p>
    <w:p w:rsidR="00DF62BA" w:rsidRPr="00C059C5" w:rsidRDefault="00DF62BA" w:rsidP="00DF62BA">
      <w:pPr>
        <w:jc w:val="right"/>
        <w:rPr>
          <w:rFonts w:ascii="Arial" w:hAnsi="Arial" w:cs="Arial"/>
          <w:b/>
          <w:sz w:val="24"/>
          <w:szCs w:val="24"/>
          <w:lang w:val="en-US"/>
        </w:rPr>
      </w:pPr>
    </w:p>
    <w:p w:rsidR="00DF62BA" w:rsidRPr="00C059C5" w:rsidRDefault="00DF62BA" w:rsidP="00DF62BA">
      <w:pPr>
        <w:rPr>
          <w:rFonts w:ascii="Arial" w:hAnsi="Arial" w:cs="Arial"/>
          <w:b/>
          <w:sz w:val="24"/>
          <w:szCs w:val="24"/>
          <w:lang w:val="en-US"/>
        </w:rPr>
      </w:pPr>
      <w:r w:rsidRPr="00C059C5">
        <w:rPr>
          <w:rFonts w:ascii="Arial" w:hAnsi="Arial" w:cs="Arial"/>
          <w:b/>
          <w:sz w:val="24"/>
          <w:szCs w:val="24"/>
          <w:lang w:val="en-US"/>
        </w:rPr>
        <w:t xml:space="preserve">In the matter between: </w:t>
      </w:r>
    </w:p>
    <w:p w:rsidR="00DF62BA" w:rsidRPr="00C059C5" w:rsidRDefault="00DF62BA" w:rsidP="00DF62BA">
      <w:pPr>
        <w:rPr>
          <w:rFonts w:ascii="Arial" w:hAnsi="Arial" w:cs="Arial"/>
          <w:b/>
          <w:sz w:val="24"/>
          <w:szCs w:val="24"/>
          <w:lang w:val="en-US"/>
        </w:rPr>
      </w:pPr>
    </w:p>
    <w:p w:rsidR="00DF62BA" w:rsidRPr="00C059C5" w:rsidRDefault="00DF62BA" w:rsidP="00DF62BA">
      <w:pPr>
        <w:rPr>
          <w:rFonts w:ascii="Arial" w:hAnsi="Arial" w:cs="Arial"/>
          <w:b/>
          <w:sz w:val="24"/>
          <w:szCs w:val="24"/>
          <w:lang w:val="en-US"/>
        </w:rPr>
      </w:pPr>
      <w:r w:rsidRPr="00C059C5">
        <w:rPr>
          <w:rFonts w:ascii="Arial" w:hAnsi="Arial" w:cs="Arial"/>
          <w:b/>
          <w:sz w:val="24"/>
          <w:szCs w:val="24"/>
          <w:lang w:val="en-US"/>
        </w:rPr>
        <w:t>ISWELETHU CEMFORCE CC</w:t>
      </w:r>
      <w:r w:rsidRPr="00C059C5">
        <w:rPr>
          <w:rFonts w:ascii="Arial" w:hAnsi="Arial" w:cs="Arial"/>
          <w:b/>
          <w:sz w:val="24"/>
          <w:szCs w:val="24"/>
          <w:lang w:val="en-US"/>
        </w:rPr>
        <w:tab/>
      </w:r>
      <w:r w:rsidRPr="00C059C5">
        <w:rPr>
          <w:rFonts w:ascii="Arial" w:hAnsi="Arial" w:cs="Arial"/>
          <w:b/>
          <w:sz w:val="24"/>
          <w:szCs w:val="24"/>
          <w:lang w:val="en-US"/>
        </w:rPr>
        <w:tab/>
      </w:r>
      <w:r w:rsidRPr="00C059C5">
        <w:rPr>
          <w:rFonts w:ascii="Arial" w:hAnsi="Arial" w:cs="Arial"/>
          <w:b/>
          <w:sz w:val="24"/>
          <w:szCs w:val="24"/>
          <w:lang w:val="en-US"/>
        </w:rPr>
        <w:tab/>
      </w:r>
      <w:r w:rsidRPr="00C059C5">
        <w:rPr>
          <w:rFonts w:ascii="Arial" w:hAnsi="Arial" w:cs="Arial"/>
          <w:b/>
          <w:sz w:val="24"/>
          <w:szCs w:val="24"/>
          <w:lang w:val="en-US"/>
        </w:rPr>
        <w:tab/>
      </w:r>
      <w:r w:rsidRPr="00C059C5">
        <w:rPr>
          <w:rFonts w:ascii="Arial" w:hAnsi="Arial" w:cs="Arial"/>
          <w:b/>
          <w:sz w:val="24"/>
          <w:szCs w:val="24"/>
          <w:lang w:val="en-US"/>
        </w:rPr>
        <w:tab/>
      </w:r>
      <w:r w:rsidR="00C059C5">
        <w:rPr>
          <w:rFonts w:ascii="Arial" w:hAnsi="Arial" w:cs="Arial"/>
          <w:sz w:val="24"/>
          <w:szCs w:val="24"/>
          <w:lang w:val="en-US"/>
        </w:rPr>
        <w:t xml:space="preserve">                       </w:t>
      </w:r>
      <w:r w:rsidRPr="00C059C5">
        <w:rPr>
          <w:rFonts w:ascii="Arial" w:hAnsi="Arial" w:cs="Arial"/>
          <w:sz w:val="24"/>
          <w:szCs w:val="24"/>
          <w:lang w:val="en-US"/>
        </w:rPr>
        <w:t>Applicant</w:t>
      </w:r>
    </w:p>
    <w:p w:rsidR="00DF62BA" w:rsidRPr="00C059C5" w:rsidRDefault="00DF62BA" w:rsidP="00DF62BA">
      <w:pPr>
        <w:rPr>
          <w:rFonts w:ascii="Arial" w:hAnsi="Arial" w:cs="Arial"/>
          <w:b/>
          <w:sz w:val="24"/>
          <w:szCs w:val="24"/>
          <w:lang w:val="en-US"/>
        </w:rPr>
      </w:pPr>
    </w:p>
    <w:p w:rsidR="00DF62BA" w:rsidRPr="00C059C5" w:rsidRDefault="00E01E05" w:rsidP="00DF62BA">
      <w:pPr>
        <w:rPr>
          <w:rFonts w:ascii="Arial" w:hAnsi="Arial" w:cs="Arial"/>
          <w:b/>
          <w:sz w:val="24"/>
          <w:szCs w:val="24"/>
          <w:lang w:val="en-US"/>
        </w:rPr>
      </w:pPr>
      <w:r>
        <w:rPr>
          <w:rFonts w:ascii="Arial" w:hAnsi="Arial" w:cs="Arial"/>
          <w:b/>
          <w:sz w:val="24"/>
          <w:szCs w:val="24"/>
          <w:lang w:val="en-US"/>
        </w:rPr>
        <w:t>a</w:t>
      </w:r>
      <w:r w:rsidR="00DF62BA" w:rsidRPr="00C059C5">
        <w:rPr>
          <w:rFonts w:ascii="Arial" w:hAnsi="Arial" w:cs="Arial"/>
          <w:b/>
          <w:sz w:val="24"/>
          <w:szCs w:val="24"/>
          <w:lang w:val="en-US"/>
        </w:rPr>
        <w:t>nd</w:t>
      </w:r>
    </w:p>
    <w:p w:rsidR="00DF62BA" w:rsidRPr="00C059C5" w:rsidRDefault="00DF62BA" w:rsidP="00DF62BA">
      <w:pPr>
        <w:rPr>
          <w:rFonts w:ascii="Arial" w:hAnsi="Arial" w:cs="Arial"/>
          <w:b/>
          <w:sz w:val="24"/>
          <w:szCs w:val="24"/>
          <w:lang w:val="en-US"/>
        </w:rPr>
      </w:pPr>
    </w:p>
    <w:p w:rsidR="00DF62BA" w:rsidRPr="00C059C5" w:rsidRDefault="00DF62BA" w:rsidP="00DF62BA">
      <w:pPr>
        <w:rPr>
          <w:rFonts w:ascii="Arial" w:hAnsi="Arial" w:cs="Arial"/>
          <w:b/>
          <w:sz w:val="24"/>
          <w:szCs w:val="24"/>
          <w:lang w:val="en-US"/>
        </w:rPr>
      </w:pPr>
      <w:r w:rsidRPr="00C059C5">
        <w:rPr>
          <w:rFonts w:ascii="Arial" w:hAnsi="Arial" w:cs="Arial"/>
          <w:b/>
          <w:sz w:val="24"/>
          <w:szCs w:val="24"/>
          <w:lang w:val="en-US"/>
        </w:rPr>
        <w:t>THE TRUSTEES FOR THE TIME BEING OF</w:t>
      </w:r>
    </w:p>
    <w:p w:rsidR="00DF62BA" w:rsidRPr="00C059C5" w:rsidRDefault="00DF62BA" w:rsidP="00DF62BA">
      <w:pPr>
        <w:rPr>
          <w:rFonts w:ascii="Arial" w:hAnsi="Arial" w:cs="Arial"/>
          <w:b/>
          <w:sz w:val="24"/>
          <w:szCs w:val="24"/>
          <w:lang w:val="en-US"/>
        </w:rPr>
      </w:pPr>
      <w:r w:rsidRPr="00C059C5">
        <w:rPr>
          <w:rFonts w:ascii="Arial" w:hAnsi="Arial" w:cs="Arial"/>
          <w:b/>
          <w:sz w:val="24"/>
          <w:szCs w:val="24"/>
          <w:lang w:val="en-US"/>
        </w:rPr>
        <w:t xml:space="preserve">THE NATIONAL EDUCATION COLLABORATION </w:t>
      </w:r>
    </w:p>
    <w:p w:rsidR="00DF62BA" w:rsidRPr="00C059C5" w:rsidRDefault="00DF62BA" w:rsidP="00DF62BA">
      <w:pPr>
        <w:rPr>
          <w:rFonts w:ascii="Arial" w:hAnsi="Arial" w:cs="Arial"/>
          <w:sz w:val="24"/>
          <w:szCs w:val="24"/>
          <w:lang w:val="en-US"/>
        </w:rPr>
      </w:pPr>
      <w:r w:rsidRPr="00C059C5">
        <w:rPr>
          <w:rFonts w:ascii="Arial" w:hAnsi="Arial" w:cs="Arial"/>
          <w:b/>
          <w:sz w:val="24"/>
          <w:szCs w:val="24"/>
          <w:lang w:val="en-US"/>
        </w:rPr>
        <w:t>TRUST</w:t>
      </w:r>
      <w:r w:rsidRPr="00C059C5">
        <w:rPr>
          <w:rFonts w:ascii="Arial" w:hAnsi="Arial" w:cs="Arial"/>
          <w:b/>
          <w:sz w:val="24"/>
          <w:szCs w:val="24"/>
          <w:lang w:val="en-US"/>
        </w:rPr>
        <w:tab/>
      </w:r>
      <w:r w:rsidR="00C059C5">
        <w:rPr>
          <w:rFonts w:ascii="Arial" w:hAnsi="Arial" w:cs="Arial"/>
          <w:b/>
          <w:sz w:val="24"/>
          <w:szCs w:val="24"/>
          <w:lang w:val="en-US"/>
        </w:rPr>
        <w:tab/>
      </w:r>
      <w:r w:rsidR="00C059C5">
        <w:rPr>
          <w:rFonts w:ascii="Arial" w:hAnsi="Arial" w:cs="Arial"/>
          <w:b/>
          <w:sz w:val="24"/>
          <w:szCs w:val="24"/>
          <w:lang w:val="en-US"/>
        </w:rPr>
        <w:tab/>
      </w:r>
      <w:r w:rsidR="00C059C5">
        <w:rPr>
          <w:rFonts w:ascii="Arial" w:hAnsi="Arial" w:cs="Arial"/>
          <w:b/>
          <w:sz w:val="24"/>
          <w:szCs w:val="24"/>
          <w:lang w:val="en-US"/>
        </w:rPr>
        <w:tab/>
      </w:r>
      <w:r w:rsidR="00C059C5">
        <w:rPr>
          <w:rFonts w:ascii="Arial" w:hAnsi="Arial" w:cs="Arial"/>
          <w:b/>
          <w:sz w:val="24"/>
          <w:szCs w:val="24"/>
          <w:lang w:val="en-US"/>
        </w:rPr>
        <w:tab/>
      </w:r>
      <w:r w:rsidR="00C059C5">
        <w:rPr>
          <w:rFonts w:ascii="Arial" w:hAnsi="Arial" w:cs="Arial"/>
          <w:b/>
          <w:sz w:val="24"/>
          <w:szCs w:val="24"/>
          <w:lang w:val="en-US"/>
        </w:rPr>
        <w:tab/>
      </w:r>
      <w:r w:rsidR="00C059C5">
        <w:rPr>
          <w:rFonts w:ascii="Arial" w:hAnsi="Arial" w:cs="Arial"/>
          <w:b/>
          <w:sz w:val="24"/>
          <w:szCs w:val="24"/>
          <w:lang w:val="en-US"/>
        </w:rPr>
        <w:tab/>
        <w:t xml:space="preserve">                     </w:t>
      </w:r>
      <w:r w:rsidRPr="00C059C5">
        <w:rPr>
          <w:rFonts w:ascii="Arial" w:hAnsi="Arial" w:cs="Arial"/>
          <w:sz w:val="24"/>
          <w:szCs w:val="24"/>
          <w:lang w:val="en-US"/>
        </w:rPr>
        <w:t>First Respondent</w:t>
      </w:r>
    </w:p>
    <w:p w:rsidR="00DF62BA" w:rsidRPr="00C059C5" w:rsidRDefault="00DF62BA" w:rsidP="00DF62BA">
      <w:pPr>
        <w:rPr>
          <w:rFonts w:ascii="Arial" w:hAnsi="Arial" w:cs="Arial"/>
          <w:b/>
          <w:sz w:val="24"/>
          <w:szCs w:val="24"/>
          <w:lang w:val="en-US"/>
        </w:rPr>
      </w:pPr>
    </w:p>
    <w:p w:rsidR="00DF62BA" w:rsidRPr="00C059C5" w:rsidRDefault="00DF62BA" w:rsidP="00DF62BA">
      <w:pPr>
        <w:rPr>
          <w:rFonts w:ascii="Arial" w:hAnsi="Arial" w:cs="Arial"/>
          <w:b/>
          <w:sz w:val="24"/>
          <w:szCs w:val="24"/>
          <w:lang w:val="en-US"/>
        </w:rPr>
      </w:pPr>
      <w:r w:rsidRPr="00C059C5">
        <w:rPr>
          <w:rFonts w:ascii="Arial" w:hAnsi="Arial" w:cs="Arial"/>
          <w:b/>
          <w:sz w:val="24"/>
          <w:szCs w:val="24"/>
          <w:lang w:val="en-US"/>
        </w:rPr>
        <w:t xml:space="preserve">THE MINISTER:  GOVERNMENT OF THE </w:t>
      </w:r>
    </w:p>
    <w:p w:rsidR="00DF62BA" w:rsidRPr="00C059C5" w:rsidRDefault="00DF62BA" w:rsidP="00DF62BA">
      <w:pPr>
        <w:rPr>
          <w:rFonts w:ascii="Arial" w:hAnsi="Arial" w:cs="Arial"/>
          <w:b/>
          <w:sz w:val="24"/>
          <w:szCs w:val="24"/>
          <w:lang w:val="en-US"/>
        </w:rPr>
      </w:pPr>
      <w:r w:rsidRPr="00C059C5">
        <w:rPr>
          <w:rFonts w:ascii="Arial" w:hAnsi="Arial" w:cs="Arial"/>
          <w:b/>
          <w:sz w:val="24"/>
          <w:szCs w:val="24"/>
          <w:lang w:val="en-US"/>
        </w:rPr>
        <w:lastRenderedPageBreak/>
        <w:t>REPUBLIC OF SOUTH AFRICA:  DEPT OF BASIC</w:t>
      </w:r>
    </w:p>
    <w:p w:rsidR="00DF62BA" w:rsidRPr="00C059C5" w:rsidRDefault="00DF62BA" w:rsidP="00DF62BA">
      <w:pPr>
        <w:rPr>
          <w:rFonts w:ascii="Arial" w:hAnsi="Arial" w:cs="Arial"/>
          <w:sz w:val="24"/>
          <w:szCs w:val="24"/>
          <w:lang w:val="en-US"/>
        </w:rPr>
      </w:pPr>
      <w:r w:rsidRPr="00C059C5">
        <w:rPr>
          <w:rFonts w:ascii="Arial" w:hAnsi="Arial" w:cs="Arial"/>
          <w:b/>
          <w:sz w:val="24"/>
          <w:szCs w:val="24"/>
          <w:lang w:val="en-US"/>
        </w:rPr>
        <w:t>EDUCATION</w:t>
      </w:r>
      <w:r w:rsidRPr="00C059C5">
        <w:rPr>
          <w:rFonts w:ascii="Arial" w:hAnsi="Arial" w:cs="Arial"/>
          <w:b/>
          <w:sz w:val="24"/>
          <w:szCs w:val="24"/>
          <w:lang w:val="en-US"/>
        </w:rPr>
        <w:tab/>
      </w:r>
      <w:r w:rsidRPr="00C059C5">
        <w:rPr>
          <w:rFonts w:ascii="Arial" w:hAnsi="Arial" w:cs="Arial"/>
          <w:b/>
          <w:sz w:val="24"/>
          <w:szCs w:val="24"/>
          <w:lang w:val="en-US"/>
        </w:rPr>
        <w:tab/>
      </w:r>
      <w:r w:rsidRPr="00C059C5">
        <w:rPr>
          <w:rFonts w:ascii="Arial" w:hAnsi="Arial" w:cs="Arial"/>
          <w:b/>
          <w:sz w:val="24"/>
          <w:szCs w:val="24"/>
          <w:lang w:val="en-US"/>
        </w:rPr>
        <w:tab/>
      </w:r>
      <w:r w:rsidRPr="00C059C5">
        <w:rPr>
          <w:rFonts w:ascii="Arial" w:hAnsi="Arial" w:cs="Arial"/>
          <w:b/>
          <w:sz w:val="24"/>
          <w:szCs w:val="24"/>
          <w:lang w:val="en-US"/>
        </w:rPr>
        <w:tab/>
      </w:r>
      <w:r w:rsidRPr="00C059C5">
        <w:rPr>
          <w:rFonts w:ascii="Arial" w:hAnsi="Arial" w:cs="Arial"/>
          <w:b/>
          <w:sz w:val="24"/>
          <w:szCs w:val="24"/>
          <w:lang w:val="en-US"/>
        </w:rPr>
        <w:tab/>
      </w:r>
      <w:r w:rsidRPr="00C059C5">
        <w:rPr>
          <w:rFonts w:ascii="Arial" w:hAnsi="Arial" w:cs="Arial"/>
          <w:b/>
          <w:sz w:val="24"/>
          <w:szCs w:val="24"/>
          <w:lang w:val="en-US"/>
        </w:rPr>
        <w:tab/>
      </w:r>
      <w:r w:rsidRPr="00C059C5">
        <w:rPr>
          <w:rFonts w:ascii="Arial" w:hAnsi="Arial" w:cs="Arial"/>
          <w:b/>
          <w:sz w:val="24"/>
          <w:szCs w:val="24"/>
          <w:lang w:val="en-US"/>
        </w:rPr>
        <w:tab/>
      </w:r>
      <w:r w:rsidRPr="00C059C5">
        <w:rPr>
          <w:rFonts w:ascii="Arial" w:hAnsi="Arial" w:cs="Arial"/>
          <w:b/>
          <w:sz w:val="24"/>
          <w:szCs w:val="24"/>
          <w:lang w:val="en-US"/>
        </w:rPr>
        <w:tab/>
      </w:r>
      <w:r w:rsidR="00C059C5">
        <w:rPr>
          <w:rFonts w:ascii="Arial" w:hAnsi="Arial" w:cs="Arial"/>
          <w:sz w:val="24"/>
          <w:szCs w:val="24"/>
          <w:lang w:val="en-US"/>
        </w:rPr>
        <w:t xml:space="preserve">     </w:t>
      </w:r>
      <w:r w:rsidRPr="00C059C5">
        <w:rPr>
          <w:rFonts w:ascii="Arial" w:hAnsi="Arial" w:cs="Arial"/>
          <w:sz w:val="24"/>
          <w:szCs w:val="24"/>
          <w:lang w:val="en-US"/>
        </w:rPr>
        <w:t>Second Respondent</w:t>
      </w:r>
    </w:p>
    <w:p w:rsidR="00DF62BA" w:rsidRPr="00C059C5" w:rsidRDefault="00DF62BA" w:rsidP="00DF62BA">
      <w:pPr>
        <w:rPr>
          <w:rFonts w:ascii="Arial" w:hAnsi="Arial" w:cs="Arial"/>
          <w:sz w:val="24"/>
          <w:szCs w:val="24"/>
          <w:lang w:val="en-US"/>
        </w:rPr>
      </w:pPr>
    </w:p>
    <w:p w:rsidR="00DF62BA" w:rsidRPr="00C059C5" w:rsidRDefault="00DF62BA" w:rsidP="00DF62BA">
      <w:pPr>
        <w:pBdr>
          <w:top w:val="single" w:sz="12" w:space="1" w:color="auto"/>
          <w:bottom w:val="single" w:sz="12" w:space="1" w:color="auto"/>
        </w:pBdr>
        <w:rPr>
          <w:rFonts w:ascii="Arial" w:hAnsi="Arial" w:cs="Arial"/>
          <w:sz w:val="24"/>
          <w:szCs w:val="24"/>
          <w:lang w:val="en-US"/>
        </w:rPr>
      </w:pPr>
    </w:p>
    <w:p w:rsidR="00DF62BA" w:rsidRPr="00C059C5" w:rsidRDefault="00DF62BA" w:rsidP="00DF62BA">
      <w:pPr>
        <w:pBdr>
          <w:top w:val="single" w:sz="12" w:space="1" w:color="auto"/>
          <w:bottom w:val="single" w:sz="12" w:space="1" w:color="auto"/>
        </w:pBdr>
        <w:jc w:val="center"/>
        <w:rPr>
          <w:rFonts w:ascii="Arial" w:hAnsi="Arial" w:cs="Arial"/>
          <w:b/>
          <w:sz w:val="24"/>
          <w:szCs w:val="24"/>
          <w:lang w:val="en-US"/>
        </w:rPr>
      </w:pPr>
      <w:r w:rsidRPr="00C059C5">
        <w:rPr>
          <w:rFonts w:ascii="Arial" w:hAnsi="Arial" w:cs="Arial"/>
          <w:b/>
          <w:sz w:val="24"/>
          <w:szCs w:val="24"/>
          <w:lang w:val="en-US"/>
        </w:rPr>
        <w:t>JUDGMENT</w:t>
      </w:r>
    </w:p>
    <w:p w:rsidR="00DF62BA" w:rsidRPr="00C059C5" w:rsidRDefault="00DF62BA" w:rsidP="00DF62BA">
      <w:pPr>
        <w:pBdr>
          <w:top w:val="single" w:sz="12" w:space="1" w:color="auto"/>
          <w:bottom w:val="single" w:sz="12" w:space="1" w:color="auto"/>
        </w:pBdr>
        <w:rPr>
          <w:rFonts w:ascii="Arial" w:hAnsi="Arial" w:cs="Arial"/>
          <w:sz w:val="24"/>
          <w:szCs w:val="24"/>
          <w:lang w:val="en-US"/>
        </w:rPr>
      </w:pPr>
    </w:p>
    <w:p w:rsidR="00DF62BA" w:rsidRPr="00C059C5" w:rsidRDefault="00DF62BA" w:rsidP="00DF62BA">
      <w:pPr>
        <w:rPr>
          <w:rFonts w:ascii="Arial" w:hAnsi="Arial" w:cs="Arial"/>
          <w:sz w:val="24"/>
          <w:szCs w:val="24"/>
          <w:lang w:val="en-US"/>
        </w:rPr>
      </w:pPr>
    </w:p>
    <w:p w:rsidR="00582577" w:rsidRPr="00C059C5" w:rsidRDefault="00DF62BA" w:rsidP="00796AA6">
      <w:pPr>
        <w:rPr>
          <w:rFonts w:ascii="Arial" w:hAnsi="Arial" w:cs="Arial"/>
          <w:b/>
          <w:sz w:val="24"/>
          <w:szCs w:val="24"/>
          <w:lang w:val="en-US"/>
        </w:rPr>
      </w:pPr>
      <w:r w:rsidRPr="00C059C5">
        <w:rPr>
          <w:rFonts w:ascii="Arial" w:hAnsi="Arial" w:cs="Arial"/>
          <w:b/>
          <w:sz w:val="24"/>
          <w:szCs w:val="24"/>
          <w:lang w:val="en-US"/>
        </w:rPr>
        <w:t>COWEN J</w:t>
      </w:r>
    </w:p>
    <w:p w:rsidR="00582577" w:rsidRPr="00C059C5" w:rsidRDefault="00582577" w:rsidP="00796AA6">
      <w:pPr>
        <w:rPr>
          <w:rFonts w:ascii="Arial" w:hAnsi="Arial" w:cs="Arial"/>
          <w:b/>
          <w:sz w:val="24"/>
          <w:szCs w:val="24"/>
          <w:lang w:val="en-US"/>
        </w:rPr>
      </w:pPr>
    </w:p>
    <w:p w:rsidR="006479EA" w:rsidRPr="00C059C5" w:rsidRDefault="00582577" w:rsidP="00796AA6">
      <w:pPr>
        <w:rPr>
          <w:rFonts w:ascii="Arial" w:hAnsi="Arial" w:cs="Arial"/>
          <w:b/>
          <w:sz w:val="24"/>
          <w:szCs w:val="24"/>
          <w:lang w:val="en-US"/>
        </w:rPr>
      </w:pPr>
      <w:r w:rsidRPr="00C059C5">
        <w:rPr>
          <w:rFonts w:ascii="Arial" w:hAnsi="Arial" w:cs="Arial"/>
          <w:b/>
          <w:sz w:val="24"/>
          <w:szCs w:val="24"/>
          <w:lang w:val="en-US"/>
        </w:rPr>
        <w:t>Introduction</w:t>
      </w:r>
    </w:p>
    <w:p w:rsidR="002A60E4" w:rsidRPr="00C059C5" w:rsidRDefault="002A60E4" w:rsidP="00796AA6">
      <w:pPr>
        <w:rPr>
          <w:rFonts w:ascii="Arial" w:hAnsi="Arial" w:cs="Arial"/>
          <w:b/>
          <w:sz w:val="24"/>
          <w:szCs w:val="24"/>
          <w:lang w:val="en-US"/>
        </w:rPr>
      </w:pPr>
    </w:p>
    <w:p w:rsidR="00DF62BA" w:rsidRPr="00022690" w:rsidRDefault="00022690" w:rsidP="00022690">
      <w:pPr>
        <w:spacing w:line="480" w:lineRule="auto"/>
        <w:ind w:left="360" w:hanging="360"/>
        <w:jc w:val="both"/>
        <w:rPr>
          <w:rFonts w:ascii="Arial" w:hAnsi="Arial" w:cs="Arial"/>
          <w:sz w:val="24"/>
          <w:szCs w:val="24"/>
          <w:lang w:val="en-US"/>
        </w:rPr>
      </w:pPr>
      <w:r w:rsidRPr="00C059C5">
        <w:rPr>
          <w:rFonts w:ascii="Arial" w:hAnsi="Arial" w:cs="Arial"/>
          <w:sz w:val="24"/>
          <w:szCs w:val="24"/>
          <w:lang w:val="en-US"/>
        </w:rPr>
        <w:t>1.</w:t>
      </w:r>
      <w:r w:rsidRPr="00C059C5">
        <w:rPr>
          <w:rFonts w:ascii="Arial" w:hAnsi="Arial" w:cs="Arial"/>
          <w:sz w:val="24"/>
          <w:szCs w:val="24"/>
          <w:lang w:val="en-US"/>
        </w:rPr>
        <w:tab/>
      </w:r>
      <w:r w:rsidR="00DF62BA" w:rsidRPr="00022690">
        <w:rPr>
          <w:rFonts w:ascii="Arial" w:hAnsi="Arial" w:cs="Arial"/>
          <w:sz w:val="24"/>
          <w:szCs w:val="24"/>
          <w:lang w:val="en-US"/>
        </w:rPr>
        <w:t>The applicant, Izwelethu Cemforce CC</w:t>
      </w:r>
      <w:r w:rsidR="00796AA6" w:rsidRPr="00022690">
        <w:rPr>
          <w:rFonts w:ascii="Arial" w:hAnsi="Arial" w:cs="Arial"/>
          <w:sz w:val="24"/>
          <w:szCs w:val="24"/>
          <w:lang w:val="en-US"/>
        </w:rPr>
        <w:t xml:space="preserve"> (Cemforce) applies</w:t>
      </w:r>
      <w:r w:rsidR="00DF62BA" w:rsidRPr="00022690">
        <w:rPr>
          <w:rFonts w:ascii="Arial" w:hAnsi="Arial" w:cs="Arial"/>
          <w:sz w:val="24"/>
          <w:szCs w:val="24"/>
          <w:lang w:val="en-US"/>
        </w:rPr>
        <w:t xml:space="preserve"> to review a procurement process concerning the provision of sanitation services to rural schools</w:t>
      </w:r>
      <w:r w:rsidR="006479EA" w:rsidRPr="00022690">
        <w:rPr>
          <w:rFonts w:ascii="Arial" w:hAnsi="Arial" w:cs="Arial"/>
          <w:sz w:val="24"/>
          <w:szCs w:val="24"/>
          <w:lang w:val="en-US"/>
        </w:rPr>
        <w:t xml:space="preserve"> in KwaZulu-Natal, the Eastern Cape and Limpopo</w:t>
      </w:r>
      <w:r w:rsidR="00DF62BA" w:rsidRPr="00022690">
        <w:rPr>
          <w:rFonts w:ascii="Arial" w:hAnsi="Arial" w:cs="Arial"/>
          <w:sz w:val="24"/>
          <w:szCs w:val="24"/>
          <w:lang w:val="en-US"/>
        </w:rPr>
        <w:t xml:space="preserve">.  </w:t>
      </w:r>
      <w:r w:rsidR="00A75ACB" w:rsidRPr="00022690">
        <w:rPr>
          <w:rFonts w:ascii="Arial" w:hAnsi="Arial" w:cs="Arial"/>
          <w:sz w:val="24"/>
          <w:szCs w:val="24"/>
          <w:lang w:val="en-US"/>
        </w:rPr>
        <w:t xml:space="preserve">The review is under the Promotion of Administrative Justice Act 3 of 2000 (PAJA).  </w:t>
      </w:r>
      <w:r w:rsidR="00DF62BA" w:rsidRPr="00022690">
        <w:rPr>
          <w:rFonts w:ascii="Arial" w:hAnsi="Arial" w:cs="Arial"/>
          <w:sz w:val="24"/>
          <w:szCs w:val="24"/>
          <w:lang w:val="en-US"/>
        </w:rPr>
        <w:t>The procurement process en</w:t>
      </w:r>
      <w:r w:rsidR="00E01E05" w:rsidRPr="00022690">
        <w:rPr>
          <w:rFonts w:ascii="Arial" w:hAnsi="Arial" w:cs="Arial"/>
          <w:sz w:val="24"/>
          <w:szCs w:val="24"/>
          <w:lang w:val="en-US"/>
        </w:rPr>
        <w:t>tails</w:t>
      </w:r>
      <w:r w:rsidR="00DF62BA" w:rsidRPr="00022690">
        <w:rPr>
          <w:rFonts w:ascii="Arial" w:hAnsi="Arial" w:cs="Arial"/>
          <w:sz w:val="24"/>
          <w:szCs w:val="24"/>
          <w:lang w:val="en-US"/>
        </w:rPr>
        <w:t xml:space="preserve"> soliciting bids for</w:t>
      </w:r>
      <w:r w:rsidR="006479EA" w:rsidRPr="00022690">
        <w:rPr>
          <w:rFonts w:ascii="Arial" w:hAnsi="Arial" w:cs="Arial"/>
          <w:sz w:val="24"/>
          <w:szCs w:val="24"/>
          <w:lang w:val="en-US"/>
        </w:rPr>
        <w:t xml:space="preserve"> the</w:t>
      </w:r>
      <w:r w:rsidR="00DF62BA" w:rsidRPr="00022690">
        <w:rPr>
          <w:rFonts w:ascii="Arial" w:hAnsi="Arial" w:cs="Arial"/>
          <w:sz w:val="24"/>
          <w:szCs w:val="24"/>
          <w:lang w:val="en-US"/>
        </w:rPr>
        <w:t xml:space="preserve"> appointment to a panel of professional service providers to provide</w:t>
      </w:r>
      <w:r w:rsidR="00ED7E89" w:rsidRPr="00022690">
        <w:rPr>
          <w:rFonts w:ascii="Arial" w:hAnsi="Arial" w:cs="Arial"/>
          <w:sz w:val="24"/>
          <w:szCs w:val="24"/>
          <w:lang w:val="en-US"/>
        </w:rPr>
        <w:t>, for a three-</w:t>
      </w:r>
      <w:r w:rsidR="00DF62BA" w:rsidRPr="00022690">
        <w:rPr>
          <w:rFonts w:ascii="Arial" w:hAnsi="Arial" w:cs="Arial"/>
          <w:sz w:val="24"/>
          <w:szCs w:val="24"/>
          <w:lang w:val="en-US"/>
        </w:rPr>
        <w:t>year period, planning, design, construction supervision and related services to build toilet structures at identified schools.</w:t>
      </w:r>
      <w:r w:rsidR="00005678" w:rsidRPr="00022690">
        <w:rPr>
          <w:rFonts w:ascii="Arial" w:hAnsi="Arial" w:cs="Arial"/>
          <w:sz w:val="24"/>
          <w:szCs w:val="24"/>
          <w:lang w:val="en-US"/>
        </w:rPr>
        <w:t xml:space="preserve">  </w:t>
      </w:r>
      <w:r w:rsidR="00DF62BA" w:rsidRPr="00022690">
        <w:rPr>
          <w:rFonts w:ascii="Arial" w:hAnsi="Arial" w:cs="Arial"/>
          <w:sz w:val="24"/>
          <w:szCs w:val="24"/>
          <w:lang w:val="en-US"/>
        </w:rPr>
        <w:t xml:space="preserve"> </w:t>
      </w:r>
    </w:p>
    <w:p w:rsidR="00DF62BA" w:rsidRPr="00C059C5" w:rsidRDefault="00DF62BA" w:rsidP="00DF62BA">
      <w:pPr>
        <w:pStyle w:val="ListParagraph"/>
        <w:spacing w:line="480" w:lineRule="auto"/>
        <w:jc w:val="both"/>
        <w:rPr>
          <w:rFonts w:ascii="Arial" w:hAnsi="Arial" w:cs="Arial"/>
          <w:sz w:val="24"/>
          <w:szCs w:val="24"/>
          <w:lang w:val="en-US"/>
        </w:rPr>
      </w:pPr>
    </w:p>
    <w:p w:rsidR="006479EA" w:rsidRPr="00022690" w:rsidRDefault="00022690" w:rsidP="00022690">
      <w:pPr>
        <w:spacing w:line="480" w:lineRule="auto"/>
        <w:ind w:left="360" w:hanging="360"/>
        <w:jc w:val="both"/>
        <w:rPr>
          <w:rFonts w:ascii="Arial" w:hAnsi="Arial" w:cs="Arial"/>
          <w:sz w:val="24"/>
          <w:szCs w:val="24"/>
          <w:lang w:val="en-US"/>
        </w:rPr>
      </w:pPr>
      <w:r w:rsidRPr="00C059C5">
        <w:rPr>
          <w:rFonts w:ascii="Arial" w:hAnsi="Arial" w:cs="Arial"/>
          <w:sz w:val="24"/>
          <w:szCs w:val="24"/>
          <w:lang w:val="en-US"/>
        </w:rPr>
        <w:t>2.</w:t>
      </w:r>
      <w:r w:rsidRPr="00C059C5">
        <w:rPr>
          <w:rFonts w:ascii="Arial" w:hAnsi="Arial" w:cs="Arial"/>
          <w:sz w:val="24"/>
          <w:szCs w:val="24"/>
          <w:lang w:val="en-US"/>
        </w:rPr>
        <w:tab/>
      </w:r>
      <w:r w:rsidR="00800319" w:rsidRPr="00022690">
        <w:rPr>
          <w:rFonts w:ascii="Arial" w:hAnsi="Arial" w:cs="Arial"/>
          <w:sz w:val="24"/>
          <w:szCs w:val="24"/>
          <w:lang w:val="en-US"/>
        </w:rPr>
        <w:t xml:space="preserve">Cemforce </w:t>
      </w:r>
      <w:r w:rsidR="00DF62BA" w:rsidRPr="00022690">
        <w:rPr>
          <w:rFonts w:ascii="Arial" w:hAnsi="Arial" w:cs="Arial"/>
          <w:sz w:val="24"/>
          <w:szCs w:val="24"/>
          <w:lang w:val="en-US"/>
        </w:rPr>
        <w:t>is</w:t>
      </w:r>
      <w:r w:rsidR="000A352E" w:rsidRPr="00022690">
        <w:rPr>
          <w:rFonts w:ascii="Arial" w:hAnsi="Arial" w:cs="Arial"/>
          <w:sz w:val="24"/>
          <w:szCs w:val="24"/>
          <w:lang w:val="en-US"/>
        </w:rPr>
        <w:t xml:space="preserve"> in the business of providing sanitation solutions</w:t>
      </w:r>
      <w:r w:rsidR="00800319" w:rsidRPr="00022690">
        <w:rPr>
          <w:rFonts w:ascii="Arial" w:hAnsi="Arial" w:cs="Arial"/>
          <w:sz w:val="24"/>
          <w:szCs w:val="24"/>
          <w:lang w:val="en-US"/>
        </w:rPr>
        <w:t xml:space="preserve">, specializing in </w:t>
      </w:r>
      <w:r w:rsidR="000A352E" w:rsidRPr="00022690">
        <w:rPr>
          <w:rFonts w:ascii="Arial" w:hAnsi="Arial" w:cs="Arial"/>
          <w:sz w:val="24"/>
          <w:szCs w:val="24"/>
          <w:lang w:val="en-US"/>
        </w:rPr>
        <w:t>constructing and providing toilet structures</w:t>
      </w:r>
      <w:r w:rsidR="00800319" w:rsidRPr="00022690">
        <w:rPr>
          <w:rFonts w:ascii="Arial" w:hAnsi="Arial" w:cs="Arial"/>
          <w:sz w:val="24"/>
          <w:szCs w:val="24"/>
          <w:lang w:val="en-US"/>
        </w:rPr>
        <w:t xml:space="preserve">.  It has </w:t>
      </w:r>
      <w:r w:rsidR="000A352E" w:rsidRPr="00022690">
        <w:rPr>
          <w:rFonts w:ascii="Arial" w:hAnsi="Arial" w:cs="Arial"/>
          <w:sz w:val="24"/>
          <w:szCs w:val="24"/>
          <w:lang w:val="en-US"/>
        </w:rPr>
        <w:t>been in</w:t>
      </w:r>
      <w:r w:rsidR="00800319" w:rsidRPr="00022690">
        <w:rPr>
          <w:rFonts w:ascii="Arial" w:hAnsi="Arial" w:cs="Arial"/>
          <w:sz w:val="24"/>
          <w:szCs w:val="24"/>
          <w:lang w:val="en-US"/>
        </w:rPr>
        <w:t xml:space="preserve"> the</w:t>
      </w:r>
      <w:r w:rsidR="000A352E" w:rsidRPr="00022690">
        <w:rPr>
          <w:rFonts w:ascii="Arial" w:hAnsi="Arial" w:cs="Arial"/>
          <w:sz w:val="24"/>
          <w:szCs w:val="24"/>
          <w:lang w:val="en-US"/>
        </w:rPr>
        <w:t xml:space="preserve"> business since 2002.  </w:t>
      </w:r>
      <w:r w:rsidR="006479EA" w:rsidRPr="00022690">
        <w:rPr>
          <w:rFonts w:ascii="Arial" w:hAnsi="Arial" w:cs="Arial"/>
          <w:sz w:val="24"/>
          <w:szCs w:val="24"/>
          <w:lang w:val="en-US"/>
        </w:rPr>
        <w:t xml:space="preserve">Cemforce’s ‘VIP toilet product’ is approved by a </w:t>
      </w:r>
      <w:r w:rsidR="00800319" w:rsidRPr="00022690">
        <w:rPr>
          <w:rFonts w:ascii="Arial" w:hAnsi="Arial" w:cs="Arial"/>
          <w:sz w:val="24"/>
          <w:szCs w:val="24"/>
          <w:lang w:val="en-US"/>
        </w:rPr>
        <w:t xml:space="preserve">statutory </w:t>
      </w:r>
      <w:r w:rsidR="006479EA" w:rsidRPr="00022690">
        <w:rPr>
          <w:rFonts w:ascii="Arial" w:hAnsi="Arial" w:cs="Arial"/>
          <w:sz w:val="24"/>
          <w:szCs w:val="24"/>
          <w:lang w:val="en-US"/>
        </w:rPr>
        <w:t>body known as Agrément South Africa.  The product has been tested by the CSIR and accepted by government as in conformity with national standards.</w:t>
      </w:r>
      <w:r w:rsidR="006479EA" w:rsidRPr="00C059C5">
        <w:rPr>
          <w:rStyle w:val="FootnoteReference"/>
          <w:rFonts w:ascii="Arial" w:hAnsi="Arial" w:cs="Arial"/>
          <w:sz w:val="24"/>
          <w:szCs w:val="24"/>
          <w:lang w:val="en-US"/>
        </w:rPr>
        <w:footnoteReference w:id="1"/>
      </w:r>
      <w:r w:rsidR="006479EA" w:rsidRPr="00022690">
        <w:rPr>
          <w:rFonts w:ascii="Arial" w:hAnsi="Arial" w:cs="Arial"/>
          <w:sz w:val="24"/>
          <w:szCs w:val="24"/>
          <w:lang w:val="en-US"/>
        </w:rPr>
        <w:t xml:space="preserve">  Cemforce has completed over 213 sanitation projects providing its VIP toilet product.</w:t>
      </w:r>
    </w:p>
    <w:p w:rsidR="006479EA" w:rsidRPr="00C059C5" w:rsidRDefault="006479EA" w:rsidP="006479EA">
      <w:pPr>
        <w:pStyle w:val="ListParagraph"/>
        <w:rPr>
          <w:rFonts w:ascii="Arial" w:hAnsi="Arial" w:cs="Arial"/>
          <w:sz w:val="24"/>
          <w:szCs w:val="24"/>
          <w:lang w:val="en-US"/>
        </w:rPr>
      </w:pPr>
    </w:p>
    <w:p w:rsidR="00C72C56" w:rsidRPr="00022690" w:rsidRDefault="00022690" w:rsidP="00022690">
      <w:pPr>
        <w:spacing w:line="480" w:lineRule="auto"/>
        <w:ind w:left="360" w:hanging="360"/>
        <w:jc w:val="both"/>
        <w:rPr>
          <w:rFonts w:ascii="Arial" w:hAnsi="Arial" w:cs="Arial"/>
          <w:sz w:val="24"/>
          <w:szCs w:val="24"/>
          <w:lang w:val="en-US"/>
        </w:rPr>
      </w:pPr>
      <w:r w:rsidRPr="00C059C5">
        <w:rPr>
          <w:rFonts w:ascii="Arial" w:hAnsi="Arial" w:cs="Arial"/>
          <w:sz w:val="24"/>
          <w:szCs w:val="24"/>
          <w:lang w:val="en-US"/>
        </w:rPr>
        <w:lastRenderedPageBreak/>
        <w:t>3.</w:t>
      </w:r>
      <w:r w:rsidRPr="00C059C5">
        <w:rPr>
          <w:rFonts w:ascii="Arial" w:hAnsi="Arial" w:cs="Arial"/>
          <w:sz w:val="24"/>
          <w:szCs w:val="24"/>
          <w:lang w:val="en-US"/>
        </w:rPr>
        <w:tab/>
      </w:r>
      <w:r w:rsidR="007F3753" w:rsidRPr="00022690">
        <w:rPr>
          <w:rFonts w:ascii="Arial" w:hAnsi="Arial" w:cs="Arial"/>
          <w:sz w:val="24"/>
          <w:szCs w:val="24"/>
          <w:lang w:val="en-US"/>
        </w:rPr>
        <w:t>The first respondent, t</w:t>
      </w:r>
      <w:r w:rsidR="00DF62BA" w:rsidRPr="00022690">
        <w:rPr>
          <w:rFonts w:ascii="Arial" w:hAnsi="Arial" w:cs="Arial"/>
          <w:sz w:val="24"/>
          <w:szCs w:val="24"/>
          <w:lang w:val="en-US"/>
        </w:rPr>
        <w:t xml:space="preserve">he National Education Collaboration Trust </w:t>
      </w:r>
      <w:r w:rsidR="00796AA6" w:rsidRPr="00022690">
        <w:rPr>
          <w:rFonts w:ascii="Arial" w:hAnsi="Arial" w:cs="Arial"/>
          <w:sz w:val="24"/>
          <w:szCs w:val="24"/>
          <w:lang w:val="en-US"/>
        </w:rPr>
        <w:t xml:space="preserve">(NECT) </w:t>
      </w:r>
      <w:r w:rsidR="00C72C56" w:rsidRPr="00022690">
        <w:rPr>
          <w:rFonts w:ascii="Arial" w:hAnsi="Arial" w:cs="Arial"/>
          <w:sz w:val="24"/>
          <w:szCs w:val="24"/>
          <w:lang w:val="en-US"/>
        </w:rPr>
        <w:t>has been appointed by the Department of Basic Education (the Department) as the implementing agent</w:t>
      </w:r>
      <w:r w:rsidR="000A352E" w:rsidRPr="00022690">
        <w:rPr>
          <w:rFonts w:ascii="Arial" w:hAnsi="Arial" w:cs="Arial"/>
          <w:sz w:val="24"/>
          <w:szCs w:val="24"/>
          <w:lang w:val="en-US"/>
        </w:rPr>
        <w:t xml:space="preserve"> to </w:t>
      </w:r>
      <w:r w:rsidR="00E07C8C" w:rsidRPr="00022690">
        <w:rPr>
          <w:rFonts w:ascii="Arial" w:hAnsi="Arial" w:cs="Arial"/>
          <w:sz w:val="24"/>
          <w:szCs w:val="24"/>
          <w:lang w:val="en-US"/>
        </w:rPr>
        <w:t xml:space="preserve">assist to </w:t>
      </w:r>
      <w:r w:rsidR="000A352E" w:rsidRPr="00022690">
        <w:rPr>
          <w:rFonts w:ascii="Arial" w:hAnsi="Arial" w:cs="Arial"/>
          <w:sz w:val="24"/>
          <w:szCs w:val="24"/>
          <w:lang w:val="en-US"/>
        </w:rPr>
        <w:t>roll out a</w:t>
      </w:r>
      <w:r w:rsidR="00C72C56" w:rsidRPr="00022690">
        <w:rPr>
          <w:rFonts w:ascii="Arial" w:hAnsi="Arial" w:cs="Arial"/>
          <w:sz w:val="24"/>
          <w:szCs w:val="24"/>
          <w:lang w:val="en-US"/>
        </w:rPr>
        <w:t xml:space="preserve"> </w:t>
      </w:r>
      <w:r w:rsidR="000A352E" w:rsidRPr="00022690">
        <w:rPr>
          <w:rFonts w:ascii="Arial" w:hAnsi="Arial" w:cs="Arial"/>
          <w:sz w:val="24"/>
          <w:szCs w:val="24"/>
          <w:lang w:val="en-US"/>
        </w:rPr>
        <w:t>project known as the Sanitation Appropriate for Education Project (the SAFE project)</w:t>
      </w:r>
      <w:r w:rsidR="00796AA6" w:rsidRPr="00022690">
        <w:rPr>
          <w:rFonts w:ascii="Arial" w:hAnsi="Arial" w:cs="Arial"/>
          <w:sz w:val="24"/>
          <w:szCs w:val="24"/>
          <w:lang w:val="en-US"/>
        </w:rPr>
        <w:t>.</w:t>
      </w:r>
      <w:r w:rsidR="00E07C8C" w:rsidRPr="00022690">
        <w:rPr>
          <w:rFonts w:ascii="Arial" w:hAnsi="Arial" w:cs="Arial"/>
          <w:sz w:val="24"/>
          <w:szCs w:val="24"/>
          <w:lang w:val="en-US"/>
        </w:rPr>
        <w:t xml:space="preserve">  </w:t>
      </w:r>
      <w:r w:rsidR="00F376F5" w:rsidRPr="00022690">
        <w:rPr>
          <w:rFonts w:ascii="Arial" w:hAnsi="Arial" w:cs="Arial"/>
          <w:sz w:val="24"/>
          <w:szCs w:val="24"/>
          <w:lang w:val="en-US"/>
        </w:rPr>
        <w:t>The SAFE Project is an initiative led by the Department to eradicate pit latrines and provide dignified sanitary and latrines facilities in public schools.</w:t>
      </w:r>
      <w:r w:rsidR="00C72C56" w:rsidRPr="00022690">
        <w:rPr>
          <w:rFonts w:ascii="Arial" w:hAnsi="Arial" w:cs="Arial"/>
          <w:sz w:val="24"/>
          <w:szCs w:val="24"/>
          <w:lang w:val="en-US"/>
        </w:rPr>
        <w:t xml:space="preserve">  Its primary objective is to replace pit toilets with appropriate sanitation. </w:t>
      </w:r>
      <w:r w:rsidR="00F376F5" w:rsidRPr="00022690">
        <w:rPr>
          <w:rFonts w:ascii="Arial" w:hAnsi="Arial" w:cs="Arial"/>
          <w:sz w:val="24"/>
          <w:szCs w:val="24"/>
          <w:lang w:val="en-US"/>
        </w:rPr>
        <w:t xml:space="preserve">  </w:t>
      </w:r>
      <w:r w:rsidR="00C72C56" w:rsidRPr="00022690">
        <w:rPr>
          <w:rFonts w:ascii="Arial" w:hAnsi="Arial" w:cs="Arial"/>
          <w:sz w:val="24"/>
          <w:szCs w:val="24"/>
          <w:lang w:val="en-US"/>
        </w:rPr>
        <w:t>The Department falls under the second respondent, the Minister of Basic Education (the Minister).</w:t>
      </w:r>
    </w:p>
    <w:p w:rsidR="00C72C56" w:rsidRPr="00C059C5" w:rsidRDefault="00C72C56" w:rsidP="00C72C56">
      <w:pPr>
        <w:pStyle w:val="ListParagraph"/>
        <w:rPr>
          <w:rFonts w:ascii="Arial" w:hAnsi="Arial" w:cs="Arial"/>
          <w:sz w:val="24"/>
          <w:szCs w:val="24"/>
          <w:lang w:val="en-US"/>
        </w:rPr>
      </w:pPr>
    </w:p>
    <w:p w:rsidR="007F3753" w:rsidRPr="00022690" w:rsidRDefault="00022690" w:rsidP="00022690">
      <w:pPr>
        <w:spacing w:line="480" w:lineRule="auto"/>
        <w:ind w:left="360" w:hanging="360"/>
        <w:jc w:val="both"/>
        <w:rPr>
          <w:rFonts w:ascii="Arial" w:hAnsi="Arial" w:cs="Arial"/>
          <w:sz w:val="24"/>
          <w:szCs w:val="24"/>
          <w:lang w:val="en-US"/>
        </w:rPr>
      </w:pPr>
      <w:r w:rsidRPr="00C059C5">
        <w:rPr>
          <w:rFonts w:ascii="Arial" w:hAnsi="Arial" w:cs="Arial"/>
          <w:sz w:val="24"/>
          <w:szCs w:val="24"/>
          <w:lang w:val="en-US"/>
        </w:rPr>
        <w:t>4.</w:t>
      </w:r>
      <w:r w:rsidRPr="00C059C5">
        <w:rPr>
          <w:rFonts w:ascii="Arial" w:hAnsi="Arial" w:cs="Arial"/>
          <w:sz w:val="24"/>
          <w:szCs w:val="24"/>
          <w:lang w:val="en-US"/>
        </w:rPr>
        <w:tab/>
      </w:r>
      <w:r w:rsidR="00C72C56" w:rsidRPr="00022690">
        <w:rPr>
          <w:rFonts w:ascii="Arial" w:hAnsi="Arial" w:cs="Arial"/>
          <w:sz w:val="24"/>
          <w:szCs w:val="24"/>
          <w:lang w:val="en-US"/>
        </w:rPr>
        <w:t>The impugned tender process is restricted to tenders from providers who can provide what is know</w:t>
      </w:r>
      <w:r w:rsidR="00B42AE4" w:rsidRPr="00022690">
        <w:rPr>
          <w:rFonts w:ascii="Arial" w:hAnsi="Arial" w:cs="Arial"/>
          <w:sz w:val="24"/>
          <w:szCs w:val="24"/>
          <w:lang w:val="en-US"/>
        </w:rPr>
        <w:t xml:space="preserve">n as a dry sanitation system.  </w:t>
      </w:r>
      <w:r w:rsidR="00C72C56" w:rsidRPr="00022690">
        <w:rPr>
          <w:rFonts w:ascii="Arial" w:hAnsi="Arial" w:cs="Arial"/>
          <w:sz w:val="24"/>
          <w:szCs w:val="24"/>
          <w:lang w:val="en-US"/>
        </w:rPr>
        <w:t xml:space="preserve">This is a system which separates urine from excrement, enables the evaporation of urine and the drying of excrement </w:t>
      </w:r>
      <w:r w:rsidR="001F4EC3" w:rsidRPr="00022690">
        <w:rPr>
          <w:rFonts w:ascii="Arial" w:hAnsi="Arial" w:cs="Arial"/>
          <w:sz w:val="24"/>
          <w:szCs w:val="24"/>
          <w:lang w:val="en-US"/>
        </w:rPr>
        <w:t xml:space="preserve">in a substructure </w:t>
      </w:r>
      <w:r w:rsidR="00C72C56" w:rsidRPr="00022690">
        <w:rPr>
          <w:rFonts w:ascii="Arial" w:hAnsi="Arial" w:cs="Arial"/>
          <w:sz w:val="24"/>
          <w:szCs w:val="24"/>
          <w:lang w:val="en-US"/>
        </w:rPr>
        <w:t xml:space="preserve">followed by its </w:t>
      </w:r>
      <w:r w:rsidR="007F3753" w:rsidRPr="00022690">
        <w:rPr>
          <w:rFonts w:ascii="Arial" w:hAnsi="Arial" w:cs="Arial"/>
          <w:sz w:val="24"/>
          <w:szCs w:val="24"/>
          <w:lang w:val="en-US"/>
        </w:rPr>
        <w:t xml:space="preserve">periodic </w:t>
      </w:r>
      <w:r w:rsidR="00C72C56" w:rsidRPr="00022690">
        <w:rPr>
          <w:rFonts w:ascii="Arial" w:hAnsi="Arial" w:cs="Arial"/>
          <w:sz w:val="24"/>
          <w:szCs w:val="24"/>
          <w:lang w:val="en-US"/>
        </w:rPr>
        <w:t xml:space="preserve">removal.  It is common cause that </w:t>
      </w:r>
      <w:r w:rsidR="00800319" w:rsidRPr="00022690">
        <w:rPr>
          <w:rFonts w:ascii="Arial" w:hAnsi="Arial" w:cs="Arial"/>
          <w:sz w:val="24"/>
          <w:szCs w:val="24"/>
          <w:lang w:val="en-US"/>
        </w:rPr>
        <w:t xml:space="preserve">a dry sanitation system involves </w:t>
      </w:r>
      <w:r w:rsidR="00C72C56" w:rsidRPr="00022690">
        <w:rPr>
          <w:rFonts w:ascii="Arial" w:hAnsi="Arial" w:cs="Arial"/>
          <w:sz w:val="24"/>
          <w:szCs w:val="24"/>
          <w:lang w:val="en-US"/>
        </w:rPr>
        <w:t xml:space="preserve">technology </w:t>
      </w:r>
      <w:r w:rsidR="00800319" w:rsidRPr="00022690">
        <w:rPr>
          <w:rFonts w:ascii="Arial" w:hAnsi="Arial" w:cs="Arial"/>
          <w:sz w:val="24"/>
          <w:szCs w:val="24"/>
          <w:lang w:val="en-US"/>
        </w:rPr>
        <w:t>that</w:t>
      </w:r>
      <w:r w:rsidR="00C72C56" w:rsidRPr="00022690">
        <w:rPr>
          <w:rFonts w:ascii="Arial" w:hAnsi="Arial" w:cs="Arial"/>
          <w:sz w:val="24"/>
          <w:szCs w:val="24"/>
          <w:lang w:val="en-US"/>
        </w:rPr>
        <w:t xml:space="preserve"> qualifies as an alternative </w:t>
      </w:r>
      <w:r w:rsidR="00800319" w:rsidRPr="00022690">
        <w:rPr>
          <w:rFonts w:ascii="Arial" w:hAnsi="Arial" w:cs="Arial"/>
          <w:sz w:val="24"/>
          <w:szCs w:val="24"/>
          <w:lang w:val="en-US"/>
        </w:rPr>
        <w:t xml:space="preserve">or innovative building technology.  </w:t>
      </w:r>
      <w:r w:rsidR="00005678" w:rsidRPr="00022690">
        <w:rPr>
          <w:rFonts w:ascii="Arial" w:hAnsi="Arial" w:cs="Arial"/>
          <w:sz w:val="24"/>
          <w:szCs w:val="24"/>
          <w:lang w:val="en-US"/>
        </w:rPr>
        <w:t xml:space="preserve"> The procurement process </w:t>
      </w:r>
      <w:r w:rsidR="009037C7" w:rsidRPr="00022690">
        <w:rPr>
          <w:rFonts w:ascii="Arial" w:hAnsi="Arial" w:cs="Arial"/>
          <w:sz w:val="24"/>
          <w:szCs w:val="24"/>
          <w:lang w:val="en-US"/>
        </w:rPr>
        <w:t xml:space="preserve">has </w:t>
      </w:r>
      <w:r w:rsidR="00005678" w:rsidRPr="00022690">
        <w:rPr>
          <w:rFonts w:ascii="Arial" w:hAnsi="Arial" w:cs="Arial"/>
          <w:sz w:val="24"/>
          <w:szCs w:val="24"/>
          <w:lang w:val="en-US"/>
        </w:rPr>
        <w:t xml:space="preserve">two phases.  The first phase entailed inviting expressions of interest from potential bidders </w:t>
      </w:r>
      <w:r w:rsidR="00A75ACB" w:rsidRPr="00022690">
        <w:rPr>
          <w:rFonts w:ascii="Arial" w:hAnsi="Arial" w:cs="Arial"/>
          <w:sz w:val="24"/>
          <w:szCs w:val="24"/>
          <w:lang w:val="en-US"/>
        </w:rPr>
        <w:t xml:space="preserve">for inclusion on a panel.  </w:t>
      </w:r>
      <w:r w:rsidR="00B42AE4" w:rsidRPr="00022690">
        <w:rPr>
          <w:rFonts w:ascii="Arial" w:hAnsi="Arial" w:cs="Arial"/>
          <w:sz w:val="24"/>
          <w:szCs w:val="24"/>
          <w:lang w:val="en-US"/>
        </w:rPr>
        <w:t>In the second phase</w:t>
      </w:r>
      <w:r w:rsidR="006D25CE" w:rsidRPr="00022690">
        <w:rPr>
          <w:rFonts w:ascii="Arial" w:hAnsi="Arial" w:cs="Arial"/>
          <w:sz w:val="24"/>
          <w:szCs w:val="24"/>
          <w:lang w:val="en-US"/>
        </w:rPr>
        <w:t>,</w:t>
      </w:r>
      <w:r w:rsidR="00B42AE4" w:rsidRPr="00022690">
        <w:rPr>
          <w:rFonts w:ascii="Arial" w:hAnsi="Arial" w:cs="Arial"/>
          <w:sz w:val="24"/>
          <w:szCs w:val="24"/>
          <w:lang w:val="en-US"/>
        </w:rPr>
        <w:t xml:space="preserve"> only pre-</w:t>
      </w:r>
      <w:r w:rsidR="00A75ACB" w:rsidRPr="00022690">
        <w:rPr>
          <w:rFonts w:ascii="Arial" w:hAnsi="Arial" w:cs="Arial"/>
          <w:sz w:val="24"/>
          <w:szCs w:val="24"/>
          <w:lang w:val="en-US"/>
        </w:rPr>
        <w:t>qualified registered bidders</w:t>
      </w:r>
      <w:r w:rsidR="00B42AE4" w:rsidRPr="00022690">
        <w:rPr>
          <w:rFonts w:ascii="Arial" w:hAnsi="Arial" w:cs="Arial"/>
          <w:sz w:val="24"/>
          <w:szCs w:val="24"/>
          <w:lang w:val="en-US"/>
        </w:rPr>
        <w:t xml:space="preserve"> are eligible to submit tenders</w:t>
      </w:r>
      <w:r w:rsidR="000775DC" w:rsidRPr="00022690">
        <w:rPr>
          <w:rFonts w:ascii="Arial" w:hAnsi="Arial" w:cs="Arial"/>
          <w:sz w:val="24"/>
          <w:szCs w:val="24"/>
          <w:lang w:val="en-US"/>
        </w:rPr>
        <w:t xml:space="preserve">.  They do so by </w:t>
      </w:r>
      <w:r w:rsidR="000D2257" w:rsidRPr="00022690">
        <w:rPr>
          <w:rFonts w:ascii="Arial" w:hAnsi="Arial" w:cs="Arial"/>
          <w:sz w:val="24"/>
          <w:szCs w:val="24"/>
          <w:lang w:val="en-US"/>
        </w:rPr>
        <w:t>submit</w:t>
      </w:r>
      <w:r w:rsidR="000775DC" w:rsidRPr="00022690">
        <w:rPr>
          <w:rFonts w:ascii="Arial" w:hAnsi="Arial" w:cs="Arial"/>
          <w:sz w:val="24"/>
          <w:szCs w:val="24"/>
          <w:lang w:val="en-US"/>
        </w:rPr>
        <w:t>ting</w:t>
      </w:r>
      <w:r w:rsidR="000D2257" w:rsidRPr="00022690">
        <w:rPr>
          <w:rFonts w:ascii="Arial" w:hAnsi="Arial" w:cs="Arial"/>
          <w:sz w:val="24"/>
          <w:szCs w:val="24"/>
          <w:lang w:val="en-US"/>
        </w:rPr>
        <w:t xml:space="preserve"> quotes to construct new ablution facilities for various schools in KwaZulu-Natal, the Eastern Cape or Limpopo Province</w:t>
      </w:r>
      <w:r w:rsidR="00B42AE4" w:rsidRPr="00022690">
        <w:rPr>
          <w:rFonts w:ascii="Arial" w:hAnsi="Arial" w:cs="Arial"/>
          <w:sz w:val="24"/>
          <w:szCs w:val="24"/>
          <w:lang w:val="en-US"/>
        </w:rPr>
        <w:t xml:space="preserve">. </w:t>
      </w:r>
    </w:p>
    <w:p w:rsidR="007F3753" w:rsidRPr="00C059C5" w:rsidRDefault="007F3753" w:rsidP="007F3753">
      <w:pPr>
        <w:pStyle w:val="ListParagraph"/>
        <w:rPr>
          <w:rFonts w:ascii="Arial" w:hAnsi="Arial" w:cs="Arial"/>
          <w:sz w:val="24"/>
          <w:szCs w:val="24"/>
          <w:lang w:val="en-US"/>
        </w:rPr>
      </w:pPr>
    </w:p>
    <w:p w:rsidR="00DB5D6B" w:rsidRPr="00022690" w:rsidRDefault="00022690" w:rsidP="00022690">
      <w:pPr>
        <w:spacing w:line="480" w:lineRule="auto"/>
        <w:ind w:left="360" w:hanging="36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800319" w:rsidRPr="00022690">
        <w:rPr>
          <w:rFonts w:ascii="Arial" w:hAnsi="Arial" w:cs="Arial"/>
          <w:sz w:val="24"/>
          <w:szCs w:val="24"/>
          <w:lang w:val="en-US"/>
        </w:rPr>
        <w:t>The case pleaded and advanced by the applicant has evolved as the litigation has unfolded</w:t>
      </w:r>
      <w:r w:rsidR="00B42AE4" w:rsidRPr="00022690">
        <w:rPr>
          <w:rFonts w:ascii="Arial" w:hAnsi="Arial" w:cs="Arial"/>
          <w:sz w:val="24"/>
          <w:szCs w:val="24"/>
          <w:lang w:val="en-US"/>
        </w:rPr>
        <w:t>, and in the result, this is a case where</w:t>
      </w:r>
      <w:r w:rsidR="002E2E45" w:rsidRPr="00022690">
        <w:rPr>
          <w:rFonts w:ascii="Arial" w:hAnsi="Arial" w:cs="Arial"/>
          <w:sz w:val="24"/>
          <w:szCs w:val="24"/>
          <w:lang w:val="en-US"/>
        </w:rPr>
        <w:t xml:space="preserve"> caution must be exercised so that only the issues that are duly and fairly canvassed</w:t>
      </w:r>
      <w:r w:rsidR="00A75ACB" w:rsidRPr="00022690">
        <w:rPr>
          <w:rFonts w:ascii="Arial" w:hAnsi="Arial" w:cs="Arial"/>
          <w:sz w:val="24"/>
          <w:szCs w:val="24"/>
          <w:lang w:val="en-US"/>
        </w:rPr>
        <w:t xml:space="preserve"> on the affidavits</w:t>
      </w:r>
      <w:r w:rsidR="002E2E45" w:rsidRPr="00022690">
        <w:rPr>
          <w:rFonts w:ascii="Arial" w:hAnsi="Arial" w:cs="Arial"/>
          <w:sz w:val="24"/>
          <w:szCs w:val="24"/>
          <w:lang w:val="en-US"/>
        </w:rPr>
        <w:t xml:space="preserve"> are decided.  </w:t>
      </w:r>
      <w:r w:rsidR="00800319" w:rsidRPr="00022690">
        <w:rPr>
          <w:rFonts w:ascii="Arial" w:hAnsi="Arial" w:cs="Arial"/>
          <w:sz w:val="24"/>
          <w:szCs w:val="24"/>
          <w:lang w:val="en-US"/>
        </w:rPr>
        <w:t>During argument, the applicant’s counsel advanced the case on two</w:t>
      </w:r>
      <w:r w:rsidR="007675CC" w:rsidRPr="00022690">
        <w:rPr>
          <w:rFonts w:ascii="Arial" w:hAnsi="Arial" w:cs="Arial"/>
          <w:sz w:val="24"/>
          <w:szCs w:val="24"/>
          <w:lang w:val="en-US"/>
        </w:rPr>
        <w:t xml:space="preserve"> main</w:t>
      </w:r>
      <w:r w:rsidR="00B42AE4" w:rsidRPr="00022690">
        <w:rPr>
          <w:rFonts w:ascii="Arial" w:hAnsi="Arial" w:cs="Arial"/>
          <w:sz w:val="24"/>
          <w:szCs w:val="24"/>
          <w:lang w:val="en-US"/>
        </w:rPr>
        <w:t xml:space="preserve"> bases.  </w:t>
      </w:r>
      <w:r w:rsidR="00800319" w:rsidRPr="00022690">
        <w:rPr>
          <w:rFonts w:ascii="Arial" w:hAnsi="Arial" w:cs="Arial"/>
          <w:sz w:val="24"/>
          <w:szCs w:val="24"/>
          <w:lang w:val="en-US"/>
        </w:rPr>
        <w:t xml:space="preserve">First, it was contended that the </w:t>
      </w:r>
      <w:r w:rsidR="007E66D7" w:rsidRPr="00022690">
        <w:rPr>
          <w:rFonts w:ascii="Arial" w:hAnsi="Arial" w:cs="Arial"/>
          <w:sz w:val="24"/>
          <w:szCs w:val="24"/>
          <w:lang w:val="en-US"/>
        </w:rPr>
        <w:t xml:space="preserve">specification or </w:t>
      </w:r>
      <w:r w:rsidR="00800319" w:rsidRPr="00022690">
        <w:rPr>
          <w:rFonts w:ascii="Arial" w:hAnsi="Arial" w:cs="Arial"/>
          <w:sz w:val="24"/>
          <w:szCs w:val="24"/>
          <w:lang w:val="en-US"/>
        </w:rPr>
        <w:t xml:space="preserve">requirement that the system be a dry sanitation system </w:t>
      </w:r>
      <w:r w:rsidR="000775DC" w:rsidRPr="00022690">
        <w:rPr>
          <w:rFonts w:ascii="Arial" w:hAnsi="Arial" w:cs="Arial"/>
          <w:sz w:val="24"/>
          <w:szCs w:val="24"/>
          <w:lang w:val="en-US"/>
        </w:rPr>
        <w:t>(the dry sanitation specification</w:t>
      </w:r>
      <w:r w:rsidR="007E66D7" w:rsidRPr="00022690">
        <w:rPr>
          <w:rFonts w:ascii="Arial" w:hAnsi="Arial" w:cs="Arial"/>
          <w:sz w:val="24"/>
          <w:szCs w:val="24"/>
          <w:lang w:val="en-US"/>
        </w:rPr>
        <w:t xml:space="preserve">) </w:t>
      </w:r>
      <w:r w:rsidR="00800319" w:rsidRPr="00022690">
        <w:rPr>
          <w:rFonts w:ascii="Arial" w:hAnsi="Arial" w:cs="Arial"/>
          <w:sz w:val="24"/>
          <w:szCs w:val="24"/>
          <w:lang w:val="en-US"/>
        </w:rPr>
        <w:t>is irrational and unlawful.</w:t>
      </w:r>
      <w:r w:rsidR="007F3753" w:rsidRPr="00022690">
        <w:rPr>
          <w:rFonts w:ascii="Arial" w:hAnsi="Arial" w:cs="Arial"/>
          <w:sz w:val="24"/>
          <w:szCs w:val="24"/>
          <w:lang w:val="en-US"/>
        </w:rPr>
        <w:t xml:space="preserve"> </w:t>
      </w:r>
      <w:r w:rsidR="00800319" w:rsidRPr="00022690">
        <w:rPr>
          <w:rFonts w:ascii="Arial" w:hAnsi="Arial" w:cs="Arial"/>
          <w:sz w:val="24"/>
          <w:szCs w:val="24"/>
          <w:lang w:val="en-US"/>
        </w:rPr>
        <w:t>Secondly, a formal qualifying criterion</w:t>
      </w:r>
      <w:r w:rsidR="00397AC3" w:rsidRPr="00022690">
        <w:rPr>
          <w:rFonts w:ascii="Arial" w:hAnsi="Arial" w:cs="Arial"/>
          <w:sz w:val="24"/>
          <w:szCs w:val="24"/>
          <w:lang w:val="en-US"/>
        </w:rPr>
        <w:t xml:space="preserve"> is impu</w:t>
      </w:r>
      <w:r w:rsidR="00F34934" w:rsidRPr="00022690">
        <w:rPr>
          <w:rFonts w:ascii="Arial" w:hAnsi="Arial" w:cs="Arial"/>
          <w:sz w:val="24"/>
          <w:szCs w:val="24"/>
          <w:lang w:val="en-US"/>
        </w:rPr>
        <w:t>gned as irrational and unlawful:</w:t>
      </w:r>
      <w:r w:rsidR="002E2E45" w:rsidRPr="00022690">
        <w:rPr>
          <w:rFonts w:ascii="Arial" w:hAnsi="Arial" w:cs="Arial"/>
          <w:sz w:val="24"/>
          <w:szCs w:val="24"/>
          <w:lang w:val="en-US"/>
        </w:rPr>
        <w:t xml:space="preserve">  specifically</w:t>
      </w:r>
      <w:r w:rsidR="00F34934" w:rsidRPr="00022690">
        <w:rPr>
          <w:rFonts w:ascii="Arial" w:hAnsi="Arial" w:cs="Arial"/>
          <w:sz w:val="24"/>
          <w:szCs w:val="24"/>
          <w:lang w:val="en-US"/>
        </w:rPr>
        <w:t xml:space="preserve"> a</w:t>
      </w:r>
      <w:r w:rsidR="007E66D7" w:rsidRPr="00022690">
        <w:rPr>
          <w:rFonts w:ascii="Arial" w:hAnsi="Arial" w:cs="Arial"/>
          <w:sz w:val="24"/>
          <w:szCs w:val="24"/>
          <w:lang w:val="en-US"/>
        </w:rPr>
        <w:t xml:space="preserve"> specification or</w:t>
      </w:r>
      <w:r w:rsidR="00F34934" w:rsidRPr="00022690">
        <w:rPr>
          <w:rFonts w:ascii="Arial" w:hAnsi="Arial" w:cs="Arial"/>
          <w:sz w:val="24"/>
          <w:szCs w:val="24"/>
          <w:lang w:val="en-US"/>
        </w:rPr>
        <w:t xml:space="preserve"> requirement that </w:t>
      </w:r>
      <w:r w:rsidR="00C72C56" w:rsidRPr="00022690">
        <w:rPr>
          <w:rFonts w:ascii="Arial" w:hAnsi="Arial" w:cs="Arial"/>
          <w:sz w:val="24"/>
          <w:szCs w:val="24"/>
          <w:lang w:val="en-US"/>
        </w:rPr>
        <w:t xml:space="preserve">the technology offered must be </w:t>
      </w:r>
      <w:r w:rsidR="00800319" w:rsidRPr="00022690">
        <w:rPr>
          <w:rFonts w:ascii="Arial" w:hAnsi="Arial" w:cs="Arial"/>
          <w:sz w:val="24"/>
          <w:szCs w:val="24"/>
          <w:lang w:val="en-US"/>
        </w:rPr>
        <w:t xml:space="preserve">certified either by </w:t>
      </w:r>
      <w:r w:rsidR="00C72C56" w:rsidRPr="00022690">
        <w:rPr>
          <w:rFonts w:ascii="Arial" w:hAnsi="Arial" w:cs="Arial"/>
          <w:sz w:val="24"/>
          <w:szCs w:val="24"/>
          <w:lang w:val="en-US"/>
        </w:rPr>
        <w:t>Agr</w:t>
      </w:r>
      <w:r w:rsidR="00ED2DBC" w:rsidRPr="00022690">
        <w:rPr>
          <w:rFonts w:ascii="Arial" w:hAnsi="Arial" w:cs="Arial"/>
          <w:sz w:val="24"/>
          <w:szCs w:val="24"/>
          <w:lang w:val="en-US"/>
        </w:rPr>
        <w:t>é</w:t>
      </w:r>
      <w:r w:rsidR="00C72C56" w:rsidRPr="00022690">
        <w:rPr>
          <w:rFonts w:ascii="Arial" w:hAnsi="Arial" w:cs="Arial"/>
          <w:sz w:val="24"/>
          <w:szCs w:val="24"/>
          <w:lang w:val="en-US"/>
        </w:rPr>
        <w:t xml:space="preserve">ment South Africa or </w:t>
      </w:r>
      <w:r w:rsidR="00800319" w:rsidRPr="00022690">
        <w:rPr>
          <w:rFonts w:ascii="Arial" w:hAnsi="Arial" w:cs="Arial"/>
          <w:sz w:val="24"/>
          <w:szCs w:val="24"/>
          <w:lang w:val="en-US"/>
        </w:rPr>
        <w:t xml:space="preserve">under the </w:t>
      </w:r>
      <w:r w:rsidR="00C72C56" w:rsidRPr="00022690">
        <w:rPr>
          <w:rFonts w:ascii="Arial" w:hAnsi="Arial" w:cs="Arial"/>
          <w:sz w:val="24"/>
          <w:szCs w:val="24"/>
          <w:lang w:val="en-US"/>
        </w:rPr>
        <w:t xml:space="preserve">South African National Standards </w:t>
      </w:r>
      <w:r w:rsidR="00ED2DBC" w:rsidRPr="00022690">
        <w:rPr>
          <w:rFonts w:ascii="Arial" w:hAnsi="Arial" w:cs="Arial"/>
          <w:sz w:val="24"/>
          <w:szCs w:val="24"/>
          <w:lang w:val="en-US"/>
        </w:rPr>
        <w:t xml:space="preserve">(SANS) </w:t>
      </w:r>
      <w:r w:rsidR="00800319" w:rsidRPr="00022690">
        <w:rPr>
          <w:rFonts w:ascii="Arial" w:hAnsi="Arial" w:cs="Arial"/>
          <w:sz w:val="24"/>
          <w:szCs w:val="24"/>
          <w:lang w:val="en-US"/>
        </w:rPr>
        <w:t>system</w:t>
      </w:r>
      <w:r w:rsidR="007E66D7" w:rsidRPr="00022690">
        <w:rPr>
          <w:rFonts w:ascii="Arial" w:hAnsi="Arial" w:cs="Arial"/>
          <w:sz w:val="24"/>
          <w:szCs w:val="24"/>
          <w:lang w:val="en-US"/>
        </w:rPr>
        <w:t xml:space="preserve"> (the standards </w:t>
      </w:r>
      <w:r w:rsidR="000775DC" w:rsidRPr="00022690">
        <w:rPr>
          <w:rFonts w:ascii="Arial" w:hAnsi="Arial" w:cs="Arial"/>
          <w:sz w:val="24"/>
          <w:szCs w:val="24"/>
          <w:lang w:val="en-US"/>
        </w:rPr>
        <w:t>specification</w:t>
      </w:r>
      <w:r w:rsidR="007E66D7" w:rsidRPr="00022690">
        <w:rPr>
          <w:rFonts w:ascii="Arial" w:hAnsi="Arial" w:cs="Arial"/>
          <w:sz w:val="24"/>
          <w:szCs w:val="24"/>
          <w:lang w:val="en-US"/>
        </w:rPr>
        <w:t>)</w:t>
      </w:r>
      <w:r w:rsidR="00C72C56" w:rsidRPr="00022690">
        <w:rPr>
          <w:rFonts w:ascii="Arial" w:hAnsi="Arial" w:cs="Arial"/>
          <w:sz w:val="24"/>
          <w:szCs w:val="24"/>
          <w:lang w:val="en-US"/>
        </w:rPr>
        <w:t>.</w:t>
      </w:r>
      <w:r w:rsidR="00DB5D6B" w:rsidRPr="00022690">
        <w:rPr>
          <w:rFonts w:ascii="Arial" w:hAnsi="Arial" w:cs="Arial"/>
          <w:sz w:val="24"/>
          <w:szCs w:val="24"/>
          <w:lang w:val="en-US"/>
        </w:rPr>
        <w:t xml:space="preserve">  The applicant submits that that</w:t>
      </w:r>
      <w:r w:rsidR="007E66D7" w:rsidRPr="00022690">
        <w:rPr>
          <w:rFonts w:ascii="Arial" w:hAnsi="Arial" w:cs="Arial"/>
          <w:sz w:val="24"/>
          <w:szCs w:val="24"/>
          <w:lang w:val="en-US"/>
        </w:rPr>
        <w:t xml:space="preserve"> </w:t>
      </w:r>
      <w:r w:rsidR="00DB5D6B" w:rsidRPr="00022690">
        <w:rPr>
          <w:rFonts w:ascii="Arial" w:hAnsi="Arial" w:cs="Arial"/>
          <w:sz w:val="24"/>
          <w:szCs w:val="24"/>
          <w:lang w:val="en-US"/>
        </w:rPr>
        <w:t>Regulation 18(15) of the Regulations relating to Minimum Norms and Standards for Public School Infrastructure</w:t>
      </w:r>
      <w:r w:rsidR="000775DC" w:rsidRPr="00022690">
        <w:rPr>
          <w:rFonts w:ascii="Arial" w:hAnsi="Arial" w:cs="Arial"/>
          <w:sz w:val="24"/>
          <w:szCs w:val="24"/>
          <w:lang w:val="en-US"/>
        </w:rPr>
        <w:t xml:space="preserve"> specifically</w:t>
      </w:r>
      <w:r w:rsidR="007E66D7" w:rsidRPr="00022690">
        <w:rPr>
          <w:rFonts w:ascii="Arial" w:hAnsi="Arial" w:cs="Arial"/>
          <w:sz w:val="24"/>
          <w:szCs w:val="24"/>
          <w:lang w:val="en-US"/>
        </w:rPr>
        <w:t xml:space="preserve"> requires Agrément certification</w:t>
      </w:r>
      <w:r w:rsidR="00DB5D6B" w:rsidRPr="00022690">
        <w:rPr>
          <w:rFonts w:ascii="Arial" w:hAnsi="Arial" w:cs="Arial"/>
          <w:sz w:val="24"/>
          <w:szCs w:val="24"/>
          <w:lang w:val="en-US"/>
        </w:rPr>
        <w:t>.</w:t>
      </w:r>
      <w:r w:rsidR="007675CC" w:rsidRPr="00C059C5">
        <w:rPr>
          <w:rStyle w:val="FootnoteReference"/>
          <w:rFonts w:ascii="Arial" w:hAnsi="Arial" w:cs="Arial"/>
          <w:sz w:val="24"/>
          <w:szCs w:val="24"/>
          <w:lang w:val="en-US"/>
        </w:rPr>
        <w:footnoteReference w:id="2"/>
      </w:r>
      <w:r w:rsidR="00DB5D6B" w:rsidRPr="00022690">
        <w:rPr>
          <w:rFonts w:ascii="Arial" w:hAnsi="Arial" w:cs="Arial"/>
          <w:sz w:val="24"/>
          <w:szCs w:val="24"/>
          <w:lang w:val="en-US"/>
        </w:rPr>
        <w:t xml:space="preserve">  Regulation 18(15) provides: </w:t>
      </w:r>
    </w:p>
    <w:p w:rsidR="00DB5D6B" w:rsidRPr="00DB5D6B" w:rsidRDefault="00DB5D6B" w:rsidP="00DB5D6B">
      <w:pPr>
        <w:pStyle w:val="ListParagraph"/>
        <w:rPr>
          <w:rFonts w:ascii="Arial" w:hAnsi="Arial" w:cs="Arial"/>
          <w:sz w:val="24"/>
          <w:szCs w:val="24"/>
          <w:lang w:val="en-US"/>
        </w:rPr>
      </w:pPr>
    </w:p>
    <w:p w:rsidR="00C72C56" w:rsidRPr="00DB5D6B" w:rsidRDefault="00DB5D6B" w:rsidP="00DB5D6B">
      <w:pPr>
        <w:pStyle w:val="ListParagraph"/>
        <w:spacing w:line="360" w:lineRule="auto"/>
        <w:jc w:val="both"/>
        <w:rPr>
          <w:rFonts w:ascii="Arial" w:hAnsi="Arial" w:cs="Arial"/>
          <w:lang w:val="en-US"/>
        </w:rPr>
      </w:pPr>
      <w:r w:rsidRPr="00DB5D6B">
        <w:rPr>
          <w:rFonts w:ascii="Arial" w:hAnsi="Arial" w:cs="Arial"/>
          <w:lang w:val="en-US"/>
        </w:rPr>
        <w:t xml:space="preserve">‘Where the use of alternative or innovative building technologies are to be considered for the implementation of the norms and standards contained in these Regulations, certification is required from Agrément South Africa.’ </w:t>
      </w:r>
      <w:r w:rsidR="00C72C56" w:rsidRPr="00DB5D6B">
        <w:rPr>
          <w:rFonts w:ascii="Arial" w:hAnsi="Arial" w:cs="Arial"/>
          <w:lang w:val="en-US"/>
        </w:rPr>
        <w:t xml:space="preserve"> </w:t>
      </w:r>
      <w:r w:rsidR="007F3753" w:rsidRPr="00DB5D6B">
        <w:rPr>
          <w:rFonts w:ascii="Arial" w:hAnsi="Arial" w:cs="Arial"/>
          <w:lang w:val="en-US"/>
        </w:rPr>
        <w:t xml:space="preserve">  </w:t>
      </w:r>
    </w:p>
    <w:p w:rsidR="00ED2DBC" w:rsidRPr="00C059C5" w:rsidRDefault="00ED2DBC" w:rsidP="00ED2DBC">
      <w:pPr>
        <w:pStyle w:val="ListParagraph"/>
        <w:rPr>
          <w:rFonts w:ascii="Arial" w:hAnsi="Arial" w:cs="Arial"/>
          <w:sz w:val="24"/>
          <w:szCs w:val="24"/>
          <w:lang w:val="en-US"/>
        </w:rPr>
      </w:pPr>
    </w:p>
    <w:p w:rsidR="00DB5D6B" w:rsidRPr="00022690" w:rsidRDefault="00022690" w:rsidP="00022690">
      <w:pPr>
        <w:spacing w:line="480" w:lineRule="auto"/>
        <w:ind w:left="360" w:hanging="36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DB5D6B" w:rsidRPr="00022690">
        <w:rPr>
          <w:rFonts w:ascii="Arial" w:hAnsi="Arial" w:cs="Arial"/>
          <w:color w:val="000000" w:themeColor="text1"/>
          <w:sz w:val="24"/>
          <w:szCs w:val="24"/>
          <w:lang w:val="en-US"/>
        </w:rPr>
        <w:t xml:space="preserve">SANS certification is obtained from the South African Bureau of Standards, being the national standards body responsible for developing, maintaining and promoting South African National Standards under the Standards Act 8 of 2008.  </w:t>
      </w:r>
      <w:r w:rsidR="00ED2DBC" w:rsidRPr="00022690">
        <w:rPr>
          <w:rFonts w:ascii="Arial" w:hAnsi="Arial" w:cs="Arial"/>
          <w:sz w:val="24"/>
          <w:szCs w:val="24"/>
          <w:lang w:val="en-US"/>
        </w:rPr>
        <w:t xml:space="preserve">Agrément South Africa is a body </w:t>
      </w:r>
      <w:r w:rsidR="00800319" w:rsidRPr="00022690">
        <w:rPr>
          <w:rFonts w:ascii="Arial" w:hAnsi="Arial" w:cs="Arial"/>
          <w:sz w:val="24"/>
          <w:szCs w:val="24"/>
          <w:lang w:val="en-US"/>
        </w:rPr>
        <w:t xml:space="preserve">recognized and regulated </w:t>
      </w:r>
      <w:r w:rsidR="00ED2DBC" w:rsidRPr="00022690">
        <w:rPr>
          <w:rFonts w:ascii="Arial" w:hAnsi="Arial" w:cs="Arial"/>
          <w:sz w:val="24"/>
          <w:szCs w:val="24"/>
          <w:lang w:val="en-US"/>
        </w:rPr>
        <w:t>under the Agr</w:t>
      </w:r>
      <w:r w:rsidR="000E559A" w:rsidRPr="00022690">
        <w:rPr>
          <w:rFonts w:ascii="Arial" w:hAnsi="Arial" w:cs="Arial"/>
          <w:sz w:val="24"/>
          <w:szCs w:val="24"/>
          <w:lang w:val="en-US"/>
        </w:rPr>
        <w:t>é</w:t>
      </w:r>
      <w:r w:rsidR="00ED2DBC" w:rsidRPr="00022690">
        <w:rPr>
          <w:rFonts w:ascii="Arial" w:hAnsi="Arial" w:cs="Arial"/>
          <w:sz w:val="24"/>
          <w:szCs w:val="24"/>
          <w:lang w:val="en-US"/>
        </w:rPr>
        <w:t>ment South Africa Act 11 of 2015</w:t>
      </w:r>
      <w:r w:rsidR="000E559A" w:rsidRPr="00022690">
        <w:rPr>
          <w:rFonts w:ascii="Arial" w:hAnsi="Arial" w:cs="Arial"/>
          <w:sz w:val="24"/>
          <w:szCs w:val="24"/>
          <w:lang w:val="en-US"/>
        </w:rPr>
        <w:t xml:space="preserve"> (the Agrément Act)</w:t>
      </w:r>
      <w:r w:rsidR="00ED2DBC" w:rsidRPr="00022690">
        <w:rPr>
          <w:rFonts w:ascii="Arial" w:hAnsi="Arial" w:cs="Arial"/>
          <w:sz w:val="24"/>
          <w:szCs w:val="24"/>
          <w:lang w:val="en-US"/>
        </w:rPr>
        <w:t>.</w:t>
      </w:r>
      <w:r w:rsidR="000E559A" w:rsidRPr="00C059C5">
        <w:rPr>
          <w:rStyle w:val="FootnoteReference"/>
          <w:rFonts w:ascii="Arial" w:hAnsi="Arial" w:cs="Arial"/>
          <w:sz w:val="24"/>
          <w:szCs w:val="24"/>
          <w:lang w:val="en-US"/>
        </w:rPr>
        <w:footnoteReference w:id="3"/>
      </w:r>
      <w:r w:rsidR="000E559A" w:rsidRPr="00022690">
        <w:rPr>
          <w:rFonts w:ascii="Arial" w:hAnsi="Arial" w:cs="Arial"/>
          <w:sz w:val="24"/>
          <w:szCs w:val="24"/>
          <w:lang w:val="en-US"/>
        </w:rPr>
        <w:t xml:space="preserve">  Its objects are multifold but</w:t>
      </w:r>
      <w:r w:rsidR="00800319" w:rsidRPr="00022690">
        <w:rPr>
          <w:rFonts w:ascii="Arial" w:hAnsi="Arial" w:cs="Arial"/>
          <w:sz w:val="24"/>
          <w:szCs w:val="24"/>
          <w:lang w:val="en-US"/>
        </w:rPr>
        <w:t xml:space="preserve"> essentially</w:t>
      </w:r>
      <w:r w:rsidR="000E559A" w:rsidRPr="00022690">
        <w:rPr>
          <w:rFonts w:ascii="Arial" w:hAnsi="Arial" w:cs="Arial"/>
          <w:sz w:val="24"/>
          <w:szCs w:val="24"/>
          <w:lang w:val="en-US"/>
        </w:rPr>
        <w:t xml:space="preserve"> concern the use</w:t>
      </w:r>
      <w:r w:rsidR="00800319" w:rsidRPr="00022690">
        <w:rPr>
          <w:rFonts w:ascii="Arial" w:hAnsi="Arial" w:cs="Arial"/>
          <w:sz w:val="24"/>
          <w:szCs w:val="24"/>
          <w:lang w:val="en-US"/>
        </w:rPr>
        <w:t xml:space="preserve"> and certification</w:t>
      </w:r>
      <w:r w:rsidR="000E559A" w:rsidRPr="00022690">
        <w:rPr>
          <w:rFonts w:ascii="Arial" w:hAnsi="Arial" w:cs="Arial"/>
          <w:sz w:val="24"/>
          <w:szCs w:val="24"/>
          <w:lang w:val="en-US"/>
        </w:rPr>
        <w:t xml:space="preserve"> of fit-for-purpose ‘non-standardised construction related products or systems.’</w:t>
      </w:r>
      <w:r w:rsidR="000E559A" w:rsidRPr="00C059C5">
        <w:rPr>
          <w:rStyle w:val="FootnoteReference"/>
          <w:rFonts w:ascii="Arial" w:hAnsi="Arial" w:cs="Arial"/>
          <w:sz w:val="24"/>
          <w:szCs w:val="24"/>
          <w:lang w:val="en-US"/>
        </w:rPr>
        <w:footnoteReference w:id="4"/>
      </w:r>
      <w:r w:rsidR="00800319" w:rsidRPr="00022690">
        <w:rPr>
          <w:rFonts w:ascii="Arial" w:hAnsi="Arial" w:cs="Arial"/>
          <w:sz w:val="24"/>
          <w:szCs w:val="24"/>
          <w:lang w:val="en-US"/>
        </w:rPr>
        <w:t xml:space="preserve">  </w:t>
      </w:r>
    </w:p>
    <w:p w:rsidR="00DB5D6B" w:rsidRDefault="00DB5D6B" w:rsidP="00DB5D6B">
      <w:pPr>
        <w:pStyle w:val="ListParagraph"/>
        <w:spacing w:line="480" w:lineRule="auto"/>
        <w:ind w:left="360"/>
        <w:jc w:val="both"/>
        <w:rPr>
          <w:rFonts w:ascii="Arial" w:hAnsi="Arial" w:cs="Arial"/>
          <w:sz w:val="24"/>
          <w:szCs w:val="24"/>
          <w:lang w:val="en-US"/>
        </w:rPr>
      </w:pPr>
    </w:p>
    <w:p w:rsidR="00397AC3" w:rsidRPr="00022690" w:rsidRDefault="00022690" w:rsidP="00022690">
      <w:pPr>
        <w:spacing w:line="480" w:lineRule="auto"/>
        <w:ind w:left="360" w:hanging="36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0775DC" w:rsidRPr="00022690">
        <w:rPr>
          <w:rFonts w:ascii="Arial" w:hAnsi="Arial" w:cs="Arial"/>
          <w:sz w:val="24"/>
          <w:szCs w:val="24"/>
          <w:lang w:val="en-US"/>
        </w:rPr>
        <w:t xml:space="preserve">Viewed simply, </w:t>
      </w:r>
      <w:r w:rsidR="00DB5D6B" w:rsidRPr="00022690">
        <w:rPr>
          <w:rFonts w:ascii="Arial" w:hAnsi="Arial" w:cs="Arial"/>
          <w:sz w:val="24"/>
          <w:szCs w:val="24"/>
          <w:lang w:val="en-US"/>
        </w:rPr>
        <w:t>the applicant’s grievance is that although its</w:t>
      </w:r>
      <w:r w:rsidR="00397AC3" w:rsidRPr="00022690">
        <w:rPr>
          <w:rFonts w:ascii="Arial" w:hAnsi="Arial" w:cs="Arial"/>
          <w:sz w:val="24"/>
          <w:szCs w:val="24"/>
          <w:lang w:val="en-US"/>
        </w:rPr>
        <w:t xml:space="preserve"> product is certified by Agr</w:t>
      </w:r>
      <w:r w:rsidR="000D2257" w:rsidRPr="00022690">
        <w:rPr>
          <w:rFonts w:ascii="Arial" w:hAnsi="Arial" w:cs="Arial"/>
          <w:sz w:val="24"/>
          <w:szCs w:val="24"/>
          <w:lang w:val="en-US"/>
        </w:rPr>
        <w:t>é</w:t>
      </w:r>
      <w:r w:rsidR="00397AC3" w:rsidRPr="00022690">
        <w:rPr>
          <w:rFonts w:ascii="Arial" w:hAnsi="Arial" w:cs="Arial"/>
          <w:sz w:val="24"/>
          <w:szCs w:val="24"/>
          <w:lang w:val="en-US"/>
        </w:rPr>
        <w:t xml:space="preserve">ment South Africa, it is not a dry sanitation system and the applicant is thereby excluded from consideration. </w:t>
      </w:r>
      <w:r w:rsidR="002E2E45" w:rsidRPr="00022690">
        <w:rPr>
          <w:rFonts w:ascii="Arial" w:hAnsi="Arial" w:cs="Arial"/>
          <w:sz w:val="24"/>
          <w:szCs w:val="24"/>
          <w:lang w:val="en-US"/>
        </w:rPr>
        <w:t xml:space="preserve">  </w:t>
      </w:r>
      <w:r w:rsidR="00DB5D6B" w:rsidRPr="00022690">
        <w:rPr>
          <w:rFonts w:ascii="Arial" w:hAnsi="Arial" w:cs="Arial"/>
          <w:sz w:val="24"/>
          <w:szCs w:val="24"/>
          <w:lang w:val="en-US"/>
        </w:rPr>
        <w:t>The applicant</w:t>
      </w:r>
      <w:r w:rsidR="000775DC" w:rsidRPr="00022690">
        <w:rPr>
          <w:rFonts w:ascii="Arial" w:hAnsi="Arial" w:cs="Arial"/>
          <w:sz w:val="24"/>
          <w:szCs w:val="24"/>
          <w:lang w:val="en-US"/>
        </w:rPr>
        <w:t xml:space="preserve"> is further aggrieved as it takes the view that </w:t>
      </w:r>
      <w:r w:rsidR="00DB5D6B" w:rsidRPr="00022690">
        <w:rPr>
          <w:rFonts w:ascii="Arial" w:hAnsi="Arial" w:cs="Arial"/>
          <w:sz w:val="24"/>
          <w:szCs w:val="24"/>
          <w:lang w:val="en-US"/>
        </w:rPr>
        <w:t xml:space="preserve">because one is dealing with alternative or innovative technologies, only </w:t>
      </w:r>
      <w:r w:rsidR="002E2E45" w:rsidRPr="00022690">
        <w:rPr>
          <w:rFonts w:ascii="Arial" w:hAnsi="Arial" w:cs="Arial"/>
          <w:sz w:val="24"/>
          <w:szCs w:val="24"/>
          <w:lang w:val="en-US"/>
        </w:rPr>
        <w:t>products that are certified by Agrément South Africa</w:t>
      </w:r>
      <w:r w:rsidR="000775DC" w:rsidRPr="00022690">
        <w:rPr>
          <w:rFonts w:ascii="Arial" w:hAnsi="Arial" w:cs="Arial"/>
          <w:sz w:val="24"/>
          <w:szCs w:val="24"/>
          <w:lang w:val="en-US"/>
        </w:rPr>
        <w:t>, as its product is,</w:t>
      </w:r>
      <w:r w:rsidR="002E2E45" w:rsidRPr="00022690">
        <w:rPr>
          <w:rFonts w:ascii="Arial" w:hAnsi="Arial" w:cs="Arial"/>
          <w:sz w:val="24"/>
          <w:szCs w:val="24"/>
          <w:lang w:val="en-US"/>
        </w:rPr>
        <w:t xml:space="preserve"> can lawfully be considered</w:t>
      </w:r>
      <w:r w:rsidR="000775DC" w:rsidRPr="00022690">
        <w:rPr>
          <w:rFonts w:ascii="Arial" w:hAnsi="Arial" w:cs="Arial"/>
          <w:sz w:val="24"/>
          <w:szCs w:val="24"/>
          <w:lang w:val="en-US"/>
        </w:rPr>
        <w:t xml:space="preserve">. </w:t>
      </w:r>
    </w:p>
    <w:p w:rsidR="00DB5D6B" w:rsidRPr="00DB5D6B" w:rsidRDefault="00DB5D6B" w:rsidP="00DB5D6B">
      <w:pPr>
        <w:pStyle w:val="ListParagraph"/>
        <w:spacing w:line="480" w:lineRule="auto"/>
        <w:ind w:left="360"/>
        <w:jc w:val="both"/>
        <w:rPr>
          <w:rFonts w:ascii="Arial" w:hAnsi="Arial" w:cs="Arial"/>
          <w:sz w:val="24"/>
          <w:szCs w:val="24"/>
          <w:lang w:val="en-US"/>
        </w:rPr>
      </w:pPr>
    </w:p>
    <w:p w:rsidR="007675CC" w:rsidRPr="00022690" w:rsidRDefault="00022690" w:rsidP="00022690">
      <w:pPr>
        <w:spacing w:line="480" w:lineRule="auto"/>
        <w:ind w:left="360" w:hanging="360"/>
        <w:jc w:val="both"/>
        <w:rPr>
          <w:rFonts w:ascii="Arial" w:hAnsi="Arial" w:cs="Arial"/>
          <w:sz w:val="24"/>
          <w:szCs w:val="24"/>
          <w:lang w:val="en-US"/>
        </w:rPr>
      </w:pPr>
      <w:r w:rsidRPr="00DB5D6B">
        <w:rPr>
          <w:rFonts w:ascii="Arial" w:hAnsi="Arial" w:cs="Arial"/>
          <w:sz w:val="24"/>
          <w:szCs w:val="24"/>
          <w:lang w:val="en-US"/>
        </w:rPr>
        <w:t>8.</w:t>
      </w:r>
      <w:r w:rsidRPr="00DB5D6B">
        <w:rPr>
          <w:rFonts w:ascii="Arial" w:hAnsi="Arial" w:cs="Arial"/>
          <w:sz w:val="24"/>
          <w:szCs w:val="24"/>
          <w:lang w:val="en-US"/>
        </w:rPr>
        <w:tab/>
      </w:r>
      <w:r w:rsidR="00397AC3" w:rsidRPr="00022690">
        <w:rPr>
          <w:rFonts w:ascii="Arial" w:hAnsi="Arial" w:cs="Arial"/>
          <w:sz w:val="24"/>
          <w:szCs w:val="24"/>
          <w:lang w:val="en-US"/>
        </w:rPr>
        <w:t>It should be noted upfront that NECT has already concluded contracts with service providers</w:t>
      </w:r>
      <w:r w:rsidR="000D2257" w:rsidRPr="00022690">
        <w:rPr>
          <w:rFonts w:ascii="Arial" w:hAnsi="Arial" w:cs="Arial"/>
          <w:sz w:val="24"/>
          <w:szCs w:val="24"/>
          <w:lang w:val="en-US"/>
        </w:rPr>
        <w:t xml:space="preserve"> in respect of multiple schools</w:t>
      </w:r>
      <w:r w:rsidR="00397AC3" w:rsidRPr="00022690">
        <w:rPr>
          <w:rFonts w:ascii="Arial" w:hAnsi="Arial" w:cs="Arial"/>
          <w:sz w:val="24"/>
          <w:szCs w:val="24"/>
          <w:lang w:val="en-US"/>
        </w:rPr>
        <w:t>.</w:t>
      </w:r>
      <w:r w:rsidR="001F4EC3" w:rsidRPr="00022690">
        <w:rPr>
          <w:rFonts w:ascii="Arial" w:hAnsi="Arial" w:cs="Arial"/>
          <w:sz w:val="24"/>
          <w:szCs w:val="24"/>
          <w:lang w:val="en-US"/>
        </w:rPr>
        <w:t xml:space="preserve">  That</w:t>
      </w:r>
      <w:r w:rsidR="00A75ACB" w:rsidRPr="00022690">
        <w:rPr>
          <w:rFonts w:ascii="Arial" w:hAnsi="Arial" w:cs="Arial"/>
          <w:sz w:val="24"/>
          <w:szCs w:val="24"/>
          <w:lang w:val="en-US"/>
        </w:rPr>
        <w:t xml:space="preserve"> emerged from the Rule 53 record and is dealt with in the supplementary founding affidavit</w:t>
      </w:r>
      <w:r w:rsidR="00AC6E85" w:rsidRPr="00022690">
        <w:rPr>
          <w:rFonts w:ascii="Arial" w:hAnsi="Arial" w:cs="Arial"/>
          <w:sz w:val="24"/>
          <w:szCs w:val="24"/>
          <w:lang w:val="en-US"/>
        </w:rPr>
        <w:t xml:space="preserve"> and the NECT’s answering affidavit</w:t>
      </w:r>
      <w:r w:rsidR="00A75ACB" w:rsidRPr="00022690">
        <w:rPr>
          <w:rFonts w:ascii="Arial" w:hAnsi="Arial" w:cs="Arial"/>
          <w:sz w:val="24"/>
          <w:szCs w:val="24"/>
          <w:lang w:val="en-US"/>
        </w:rPr>
        <w:t xml:space="preserve">.  Their appointment was </w:t>
      </w:r>
      <w:r w:rsidR="000D2257" w:rsidRPr="00022690">
        <w:rPr>
          <w:rFonts w:ascii="Arial" w:hAnsi="Arial" w:cs="Arial"/>
          <w:sz w:val="24"/>
          <w:szCs w:val="24"/>
          <w:lang w:val="en-US"/>
        </w:rPr>
        <w:t xml:space="preserve">pursuant to an invitation to bid dated </w:t>
      </w:r>
      <w:r w:rsidR="00397AC3" w:rsidRPr="00022690">
        <w:rPr>
          <w:rFonts w:ascii="Arial" w:hAnsi="Arial" w:cs="Arial"/>
          <w:sz w:val="24"/>
          <w:szCs w:val="24"/>
          <w:lang w:val="en-US"/>
        </w:rPr>
        <w:t>21 January 2021</w:t>
      </w:r>
      <w:r w:rsidR="000D2257" w:rsidRPr="00022690">
        <w:rPr>
          <w:rFonts w:ascii="Arial" w:hAnsi="Arial" w:cs="Arial"/>
          <w:sz w:val="24"/>
          <w:szCs w:val="24"/>
          <w:lang w:val="en-US"/>
        </w:rPr>
        <w:t>.</w:t>
      </w:r>
      <w:r w:rsidR="00397AC3" w:rsidRPr="00DB5D6B">
        <w:rPr>
          <w:rStyle w:val="FootnoteReference"/>
          <w:rFonts w:ascii="Arial" w:hAnsi="Arial" w:cs="Arial"/>
          <w:sz w:val="24"/>
          <w:szCs w:val="24"/>
          <w:lang w:val="en-US"/>
        </w:rPr>
        <w:footnoteReference w:id="5"/>
      </w:r>
      <w:r w:rsidR="00397AC3" w:rsidRPr="00022690">
        <w:rPr>
          <w:rFonts w:ascii="Arial" w:hAnsi="Arial" w:cs="Arial"/>
          <w:sz w:val="24"/>
          <w:szCs w:val="24"/>
          <w:lang w:val="en-US"/>
        </w:rPr>
        <w:t xml:space="preserve">  </w:t>
      </w:r>
      <w:r w:rsidR="000D2257" w:rsidRPr="00022690">
        <w:rPr>
          <w:rFonts w:ascii="Arial" w:hAnsi="Arial" w:cs="Arial"/>
          <w:sz w:val="24"/>
          <w:szCs w:val="24"/>
          <w:lang w:val="en-US"/>
        </w:rPr>
        <w:t>As foreshadowed, o</w:t>
      </w:r>
      <w:r w:rsidR="00397AC3" w:rsidRPr="00022690">
        <w:rPr>
          <w:rFonts w:ascii="Arial" w:hAnsi="Arial" w:cs="Arial"/>
          <w:sz w:val="24"/>
          <w:szCs w:val="24"/>
          <w:lang w:val="en-US"/>
        </w:rPr>
        <w:t>nly pre-qualified tenderers registered for the NECT Infrastructure Framework Database were eligible.  On 25 February 2021, the Bid Adjudication Committee appointed contractors.</w:t>
      </w:r>
      <w:r w:rsidR="00397AC3" w:rsidRPr="00DB5D6B">
        <w:rPr>
          <w:rStyle w:val="FootnoteReference"/>
          <w:rFonts w:ascii="Arial" w:hAnsi="Arial" w:cs="Arial"/>
          <w:sz w:val="24"/>
          <w:szCs w:val="24"/>
          <w:lang w:val="en-US"/>
        </w:rPr>
        <w:footnoteReference w:id="6"/>
      </w:r>
      <w:r w:rsidR="00397AC3" w:rsidRPr="00022690">
        <w:rPr>
          <w:rFonts w:ascii="Arial" w:hAnsi="Arial" w:cs="Arial"/>
          <w:sz w:val="24"/>
          <w:szCs w:val="24"/>
          <w:lang w:val="en-US"/>
        </w:rPr>
        <w:t xml:space="preserve">  Works have commenced.  The applicant does not see</w:t>
      </w:r>
      <w:r w:rsidR="000D2257" w:rsidRPr="00022690">
        <w:rPr>
          <w:rFonts w:ascii="Arial" w:hAnsi="Arial" w:cs="Arial"/>
          <w:sz w:val="24"/>
          <w:szCs w:val="24"/>
          <w:lang w:val="en-US"/>
        </w:rPr>
        <w:t>k to set aside any of these tender awards</w:t>
      </w:r>
      <w:r w:rsidR="00397AC3" w:rsidRPr="00022690">
        <w:rPr>
          <w:rFonts w:ascii="Arial" w:hAnsi="Arial" w:cs="Arial"/>
          <w:sz w:val="24"/>
          <w:szCs w:val="24"/>
          <w:lang w:val="en-US"/>
        </w:rPr>
        <w:t xml:space="preserve"> or appointments.  The relief it seeks will only affect future appointments.  In this regard, it was confirmed during the proceedings that there are still many other schools for which bids will be solicited in the roll-out of the project.</w:t>
      </w:r>
    </w:p>
    <w:p w:rsidR="002E2E45" w:rsidRPr="00DB5D6B" w:rsidRDefault="002E2E45" w:rsidP="002E2E45">
      <w:pPr>
        <w:pStyle w:val="ListParagraph"/>
        <w:spacing w:line="480" w:lineRule="auto"/>
        <w:ind w:left="360"/>
        <w:jc w:val="both"/>
        <w:rPr>
          <w:rFonts w:ascii="Arial" w:hAnsi="Arial" w:cs="Arial"/>
          <w:sz w:val="24"/>
          <w:szCs w:val="24"/>
          <w:lang w:val="en-US"/>
        </w:rPr>
      </w:pPr>
    </w:p>
    <w:p w:rsidR="00B558AE" w:rsidRPr="00022690" w:rsidRDefault="00022690" w:rsidP="00022690">
      <w:pPr>
        <w:spacing w:line="480" w:lineRule="auto"/>
        <w:ind w:left="360" w:hanging="360"/>
        <w:jc w:val="both"/>
        <w:rPr>
          <w:rFonts w:ascii="Arial" w:hAnsi="Arial" w:cs="Arial"/>
          <w:sz w:val="24"/>
          <w:szCs w:val="24"/>
          <w:lang w:val="en-US"/>
        </w:rPr>
      </w:pPr>
      <w:r w:rsidRPr="00DB5D6B">
        <w:rPr>
          <w:rFonts w:ascii="Arial" w:hAnsi="Arial" w:cs="Arial"/>
          <w:sz w:val="24"/>
          <w:szCs w:val="24"/>
          <w:lang w:val="en-US"/>
        </w:rPr>
        <w:t>9.</w:t>
      </w:r>
      <w:r w:rsidRPr="00DB5D6B">
        <w:rPr>
          <w:rFonts w:ascii="Arial" w:hAnsi="Arial" w:cs="Arial"/>
          <w:sz w:val="24"/>
          <w:szCs w:val="24"/>
          <w:lang w:val="en-US"/>
        </w:rPr>
        <w:tab/>
      </w:r>
      <w:r w:rsidR="00ED1E02" w:rsidRPr="00022690">
        <w:rPr>
          <w:rFonts w:ascii="Arial" w:hAnsi="Arial" w:cs="Arial"/>
          <w:sz w:val="24"/>
          <w:szCs w:val="24"/>
          <w:lang w:val="en-US"/>
        </w:rPr>
        <w:t xml:space="preserve">The application was argued before me as a special motion on 16 May 2023.  Mr Grobler SC appeared for the applicant.  Mr Bham (with him Ms Tabata) appeared for </w:t>
      </w:r>
      <w:r w:rsidR="000B7411" w:rsidRPr="00022690">
        <w:rPr>
          <w:rFonts w:ascii="Arial" w:hAnsi="Arial" w:cs="Arial"/>
          <w:sz w:val="24"/>
          <w:szCs w:val="24"/>
          <w:lang w:val="en-US"/>
        </w:rPr>
        <w:t>the NECT</w:t>
      </w:r>
      <w:r w:rsidR="00ED1E02" w:rsidRPr="00022690">
        <w:rPr>
          <w:rFonts w:ascii="Arial" w:hAnsi="Arial" w:cs="Arial"/>
          <w:sz w:val="24"/>
          <w:szCs w:val="24"/>
          <w:lang w:val="en-US"/>
        </w:rPr>
        <w:t xml:space="preserve"> and </w:t>
      </w:r>
      <w:r w:rsidR="000A352E" w:rsidRPr="00022690">
        <w:rPr>
          <w:rFonts w:ascii="Arial" w:hAnsi="Arial" w:cs="Arial"/>
          <w:sz w:val="24"/>
          <w:szCs w:val="24"/>
          <w:lang w:val="en-US"/>
        </w:rPr>
        <w:t xml:space="preserve">Ms Hemraj SC (with her </w:t>
      </w:r>
      <w:r w:rsidR="00397AC3" w:rsidRPr="00022690">
        <w:rPr>
          <w:rFonts w:ascii="Arial" w:hAnsi="Arial" w:cs="Arial"/>
          <w:sz w:val="24"/>
          <w:szCs w:val="24"/>
          <w:lang w:val="en-US"/>
        </w:rPr>
        <w:t>Advocates Bokaba and Sonke)</w:t>
      </w:r>
      <w:r w:rsidR="00ED1E02" w:rsidRPr="00022690">
        <w:rPr>
          <w:rFonts w:ascii="Arial" w:hAnsi="Arial" w:cs="Arial"/>
          <w:sz w:val="24"/>
          <w:szCs w:val="24"/>
          <w:lang w:val="en-US"/>
        </w:rPr>
        <w:t xml:space="preserve"> appeared for the </w:t>
      </w:r>
      <w:r w:rsidR="000B7411" w:rsidRPr="00022690">
        <w:rPr>
          <w:rFonts w:ascii="Arial" w:hAnsi="Arial" w:cs="Arial"/>
          <w:sz w:val="24"/>
          <w:szCs w:val="24"/>
          <w:lang w:val="en-US"/>
        </w:rPr>
        <w:t>Minister</w:t>
      </w:r>
      <w:r w:rsidR="00ED1E02" w:rsidRPr="00022690">
        <w:rPr>
          <w:rFonts w:ascii="Arial" w:hAnsi="Arial" w:cs="Arial"/>
          <w:sz w:val="24"/>
          <w:szCs w:val="24"/>
          <w:lang w:val="en-US"/>
        </w:rPr>
        <w:t xml:space="preserve">. </w:t>
      </w:r>
    </w:p>
    <w:p w:rsidR="00507F82" w:rsidRDefault="00507F82" w:rsidP="000D2257">
      <w:pPr>
        <w:rPr>
          <w:rFonts w:ascii="Arial" w:hAnsi="Arial" w:cs="Arial"/>
          <w:b/>
          <w:sz w:val="24"/>
          <w:szCs w:val="24"/>
          <w:lang w:val="en-US"/>
        </w:rPr>
      </w:pPr>
    </w:p>
    <w:p w:rsidR="00507F82" w:rsidRDefault="00507F82" w:rsidP="000D2257">
      <w:pPr>
        <w:rPr>
          <w:rFonts w:ascii="Arial" w:hAnsi="Arial" w:cs="Arial"/>
          <w:b/>
          <w:sz w:val="24"/>
          <w:szCs w:val="24"/>
          <w:lang w:val="en-US"/>
        </w:rPr>
      </w:pPr>
    </w:p>
    <w:p w:rsidR="00507F82" w:rsidRDefault="00507F82" w:rsidP="000D2257">
      <w:pPr>
        <w:rPr>
          <w:rFonts w:ascii="Arial" w:hAnsi="Arial" w:cs="Arial"/>
          <w:b/>
          <w:sz w:val="24"/>
          <w:szCs w:val="24"/>
          <w:lang w:val="en-US"/>
        </w:rPr>
      </w:pPr>
    </w:p>
    <w:p w:rsidR="00507F82" w:rsidRDefault="00507F82" w:rsidP="000D2257">
      <w:pPr>
        <w:rPr>
          <w:rFonts w:ascii="Arial" w:hAnsi="Arial" w:cs="Arial"/>
          <w:b/>
          <w:sz w:val="24"/>
          <w:szCs w:val="24"/>
          <w:lang w:val="en-US"/>
        </w:rPr>
      </w:pPr>
    </w:p>
    <w:p w:rsidR="00CF0EAC" w:rsidRDefault="000D2257" w:rsidP="000D2257">
      <w:pPr>
        <w:rPr>
          <w:rFonts w:ascii="Arial" w:hAnsi="Arial" w:cs="Arial"/>
          <w:b/>
          <w:sz w:val="24"/>
          <w:szCs w:val="24"/>
          <w:lang w:val="en-US"/>
        </w:rPr>
      </w:pPr>
      <w:r w:rsidRPr="00DB5D6B">
        <w:rPr>
          <w:rFonts w:ascii="Arial" w:hAnsi="Arial" w:cs="Arial"/>
          <w:b/>
          <w:sz w:val="24"/>
          <w:szCs w:val="24"/>
          <w:lang w:val="en-US"/>
        </w:rPr>
        <w:t xml:space="preserve">The issues in dispute </w:t>
      </w:r>
    </w:p>
    <w:p w:rsidR="00507F82" w:rsidRPr="00DB5D6B" w:rsidRDefault="00507F82" w:rsidP="000D2257">
      <w:pPr>
        <w:rPr>
          <w:rFonts w:ascii="Arial" w:hAnsi="Arial" w:cs="Arial"/>
          <w:b/>
          <w:sz w:val="24"/>
          <w:szCs w:val="24"/>
          <w:lang w:val="en-US"/>
        </w:rPr>
      </w:pPr>
    </w:p>
    <w:p w:rsidR="000D2257" w:rsidRPr="00022690" w:rsidRDefault="00022690" w:rsidP="00022690">
      <w:pPr>
        <w:spacing w:line="480" w:lineRule="auto"/>
        <w:ind w:left="360" w:hanging="360"/>
        <w:jc w:val="both"/>
        <w:rPr>
          <w:rFonts w:ascii="Arial" w:hAnsi="Arial" w:cs="Arial"/>
          <w:sz w:val="24"/>
          <w:szCs w:val="24"/>
          <w:lang w:val="en-US"/>
        </w:rPr>
      </w:pPr>
      <w:r w:rsidRPr="00DB5D6B">
        <w:rPr>
          <w:rFonts w:ascii="Arial" w:hAnsi="Arial" w:cs="Arial"/>
          <w:sz w:val="24"/>
          <w:szCs w:val="24"/>
          <w:lang w:val="en-US"/>
        </w:rPr>
        <w:t>10.</w:t>
      </w:r>
      <w:r w:rsidRPr="00DB5D6B">
        <w:rPr>
          <w:rFonts w:ascii="Arial" w:hAnsi="Arial" w:cs="Arial"/>
          <w:sz w:val="24"/>
          <w:szCs w:val="24"/>
          <w:lang w:val="en-US"/>
        </w:rPr>
        <w:tab/>
      </w:r>
      <w:r w:rsidR="000D2257" w:rsidRPr="00022690">
        <w:rPr>
          <w:rFonts w:ascii="Arial" w:hAnsi="Arial" w:cs="Arial"/>
          <w:sz w:val="24"/>
          <w:szCs w:val="24"/>
          <w:lang w:val="en-US"/>
        </w:rPr>
        <w:t>It is necessary to delineate the issues in dispute with reference to the case pleaded in the founding affidavit and the supplementary founding affidavit delivered after t</w:t>
      </w:r>
      <w:r w:rsidR="00C97067" w:rsidRPr="00022690">
        <w:rPr>
          <w:rFonts w:ascii="Arial" w:hAnsi="Arial" w:cs="Arial"/>
          <w:sz w:val="24"/>
          <w:szCs w:val="24"/>
          <w:lang w:val="en-US"/>
        </w:rPr>
        <w:t xml:space="preserve">he Rule 53 Record was supplied.  </w:t>
      </w:r>
      <w:r w:rsidR="000D2257" w:rsidRPr="00022690">
        <w:rPr>
          <w:rFonts w:ascii="Arial" w:hAnsi="Arial" w:cs="Arial"/>
          <w:sz w:val="24"/>
          <w:szCs w:val="24"/>
          <w:lang w:val="en-US"/>
        </w:rPr>
        <w:t xml:space="preserve"> </w:t>
      </w:r>
      <w:r w:rsidR="00C97067" w:rsidRPr="00022690">
        <w:rPr>
          <w:rFonts w:ascii="Arial" w:hAnsi="Arial" w:cs="Arial"/>
          <w:sz w:val="24"/>
          <w:szCs w:val="24"/>
          <w:lang w:val="en-US"/>
        </w:rPr>
        <w:t xml:space="preserve">I do so with reference to the two main bases on which the applicant impugns the process referred to above. </w:t>
      </w:r>
    </w:p>
    <w:p w:rsidR="000D2257" w:rsidRPr="00DB5D6B" w:rsidRDefault="000D2257" w:rsidP="000D2257">
      <w:pPr>
        <w:pStyle w:val="ListParagraph"/>
        <w:spacing w:line="480" w:lineRule="auto"/>
        <w:ind w:left="360"/>
        <w:jc w:val="both"/>
        <w:rPr>
          <w:rFonts w:ascii="Arial" w:hAnsi="Arial" w:cs="Arial"/>
          <w:sz w:val="24"/>
          <w:szCs w:val="24"/>
          <w:lang w:val="en-US"/>
        </w:rPr>
      </w:pPr>
    </w:p>
    <w:p w:rsidR="00042F60" w:rsidRPr="00022690" w:rsidRDefault="00022690" w:rsidP="00022690">
      <w:pPr>
        <w:spacing w:line="480" w:lineRule="auto"/>
        <w:ind w:left="360" w:hanging="360"/>
        <w:jc w:val="both"/>
        <w:rPr>
          <w:rFonts w:ascii="Arial" w:hAnsi="Arial" w:cs="Arial"/>
          <w:sz w:val="24"/>
          <w:szCs w:val="24"/>
          <w:lang w:val="en-US"/>
        </w:rPr>
      </w:pPr>
      <w:r w:rsidRPr="00DB5D6B">
        <w:rPr>
          <w:rFonts w:ascii="Arial" w:hAnsi="Arial" w:cs="Arial"/>
          <w:sz w:val="24"/>
          <w:szCs w:val="24"/>
          <w:lang w:val="en-US"/>
        </w:rPr>
        <w:t>11.</w:t>
      </w:r>
      <w:r w:rsidRPr="00DB5D6B">
        <w:rPr>
          <w:rFonts w:ascii="Arial" w:hAnsi="Arial" w:cs="Arial"/>
          <w:sz w:val="24"/>
          <w:szCs w:val="24"/>
          <w:lang w:val="en-US"/>
        </w:rPr>
        <w:tab/>
      </w:r>
      <w:r w:rsidR="000D2257" w:rsidRPr="00022690">
        <w:rPr>
          <w:rFonts w:ascii="Arial" w:hAnsi="Arial" w:cs="Arial"/>
          <w:sz w:val="24"/>
          <w:szCs w:val="24"/>
          <w:lang w:val="en-US"/>
        </w:rPr>
        <w:t xml:space="preserve">The </w:t>
      </w:r>
      <w:r w:rsidR="001F4EC3" w:rsidRPr="00022690">
        <w:rPr>
          <w:rFonts w:ascii="Arial" w:hAnsi="Arial" w:cs="Arial"/>
          <w:sz w:val="24"/>
          <w:szCs w:val="24"/>
          <w:lang w:val="en-US"/>
        </w:rPr>
        <w:t xml:space="preserve">subject of the first main attack is the </w:t>
      </w:r>
      <w:r w:rsidR="007E66D7" w:rsidRPr="00022690">
        <w:rPr>
          <w:rFonts w:ascii="Arial" w:hAnsi="Arial" w:cs="Arial"/>
          <w:sz w:val="24"/>
          <w:szCs w:val="24"/>
          <w:lang w:val="en-US"/>
        </w:rPr>
        <w:t xml:space="preserve">dry sanitation system </w:t>
      </w:r>
      <w:r w:rsidR="00AC6E85" w:rsidRPr="00022690">
        <w:rPr>
          <w:rFonts w:ascii="Arial" w:hAnsi="Arial" w:cs="Arial"/>
          <w:sz w:val="24"/>
          <w:szCs w:val="24"/>
          <w:lang w:val="en-US"/>
        </w:rPr>
        <w:t>specification</w:t>
      </w:r>
      <w:r w:rsidR="00CF0EAC" w:rsidRPr="00022690">
        <w:rPr>
          <w:rFonts w:ascii="Arial" w:hAnsi="Arial" w:cs="Arial"/>
          <w:sz w:val="24"/>
          <w:szCs w:val="24"/>
          <w:lang w:val="en-US"/>
        </w:rPr>
        <w:t xml:space="preserve">.  </w:t>
      </w:r>
      <w:r w:rsidR="007E66D7" w:rsidRPr="00022690">
        <w:rPr>
          <w:rFonts w:ascii="Arial" w:hAnsi="Arial" w:cs="Arial"/>
          <w:sz w:val="24"/>
          <w:szCs w:val="24"/>
          <w:lang w:val="en-US"/>
        </w:rPr>
        <w:t>This requirement</w:t>
      </w:r>
      <w:r w:rsidR="00C97067" w:rsidRPr="00022690">
        <w:rPr>
          <w:rFonts w:ascii="Arial" w:hAnsi="Arial" w:cs="Arial"/>
          <w:sz w:val="24"/>
          <w:szCs w:val="24"/>
          <w:lang w:val="en-US"/>
        </w:rPr>
        <w:t xml:space="preserve"> appears initially in the expression of interest (phase one) and is carried through to the requests for quotations (phase two). </w:t>
      </w:r>
      <w:r w:rsidR="00CF0EAC" w:rsidRPr="00022690">
        <w:rPr>
          <w:rFonts w:ascii="Arial" w:hAnsi="Arial" w:cs="Arial"/>
          <w:sz w:val="24"/>
          <w:szCs w:val="24"/>
          <w:lang w:val="en-US"/>
        </w:rPr>
        <w:t xml:space="preserve"> In the founding affidavit, the applicant’s complain</w:t>
      </w:r>
      <w:r w:rsidR="00042F60" w:rsidRPr="00022690">
        <w:rPr>
          <w:rFonts w:ascii="Arial" w:hAnsi="Arial" w:cs="Arial"/>
          <w:sz w:val="24"/>
          <w:szCs w:val="24"/>
          <w:lang w:val="en-US"/>
        </w:rPr>
        <w:t>t</w:t>
      </w:r>
      <w:r w:rsidR="00CF0EAC" w:rsidRPr="00022690">
        <w:rPr>
          <w:rFonts w:ascii="Arial" w:hAnsi="Arial" w:cs="Arial"/>
          <w:sz w:val="24"/>
          <w:szCs w:val="24"/>
          <w:lang w:val="en-US"/>
        </w:rPr>
        <w:t xml:space="preserve"> was premised on the contention that the toilet structure NECT required from bidders is one manufactured only by Bertram (Pty) Ltd known as ‘Amalooloo’</w:t>
      </w:r>
      <w:r w:rsidR="00042F60" w:rsidRPr="00022690">
        <w:rPr>
          <w:rFonts w:ascii="Arial" w:hAnsi="Arial" w:cs="Arial"/>
          <w:sz w:val="24"/>
          <w:szCs w:val="24"/>
          <w:lang w:val="en-US"/>
        </w:rPr>
        <w:t xml:space="preserve"> to the exclusion of any other product</w:t>
      </w:r>
      <w:r w:rsidR="00CF0EAC" w:rsidRPr="00022690">
        <w:rPr>
          <w:rFonts w:ascii="Arial" w:hAnsi="Arial" w:cs="Arial"/>
          <w:sz w:val="24"/>
          <w:szCs w:val="24"/>
          <w:lang w:val="en-US"/>
        </w:rPr>
        <w:t xml:space="preserve">.   </w:t>
      </w:r>
      <w:r w:rsidR="00C97067" w:rsidRPr="00022690">
        <w:rPr>
          <w:rFonts w:ascii="Arial" w:hAnsi="Arial" w:cs="Arial"/>
          <w:sz w:val="24"/>
          <w:szCs w:val="24"/>
          <w:lang w:val="en-US"/>
        </w:rPr>
        <w:t xml:space="preserve">However, this </w:t>
      </w:r>
      <w:r w:rsidR="00CF0EAC" w:rsidRPr="00022690">
        <w:rPr>
          <w:rFonts w:ascii="Arial" w:hAnsi="Arial" w:cs="Arial"/>
          <w:sz w:val="24"/>
          <w:szCs w:val="24"/>
          <w:lang w:val="en-US"/>
        </w:rPr>
        <w:t xml:space="preserve">premise falls in view of the facts NECT put up in their answering affidavit, which makes it clear that the process was not limited to the ‘Amalooloo’ product, but included any dry sanitation </w:t>
      </w:r>
      <w:r w:rsidR="00042F60" w:rsidRPr="00022690">
        <w:rPr>
          <w:rFonts w:ascii="Arial" w:hAnsi="Arial" w:cs="Arial"/>
          <w:sz w:val="24"/>
          <w:szCs w:val="24"/>
          <w:lang w:val="en-US"/>
        </w:rPr>
        <w:t>system of w</w:t>
      </w:r>
      <w:r w:rsidR="0025626A" w:rsidRPr="00022690">
        <w:rPr>
          <w:rFonts w:ascii="Arial" w:hAnsi="Arial" w:cs="Arial"/>
          <w:sz w:val="24"/>
          <w:szCs w:val="24"/>
          <w:lang w:val="en-US"/>
        </w:rPr>
        <w:t>hich there are others.  In</w:t>
      </w:r>
      <w:r w:rsidR="00C97067" w:rsidRPr="00022690">
        <w:rPr>
          <w:rFonts w:ascii="Arial" w:hAnsi="Arial" w:cs="Arial"/>
          <w:sz w:val="24"/>
          <w:szCs w:val="24"/>
          <w:lang w:val="en-US"/>
        </w:rPr>
        <w:t xml:space="preserve"> fact</w:t>
      </w:r>
      <w:r w:rsidR="0025626A" w:rsidRPr="00022690">
        <w:rPr>
          <w:rFonts w:ascii="Arial" w:hAnsi="Arial" w:cs="Arial"/>
          <w:sz w:val="24"/>
          <w:szCs w:val="24"/>
          <w:lang w:val="en-US"/>
        </w:rPr>
        <w:t>, contractors proposed six different technologies</w:t>
      </w:r>
      <w:r w:rsidR="00F97D81" w:rsidRPr="00022690">
        <w:rPr>
          <w:rFonts w:ascii="Arial" w:hAnsi="Arial" w:cs="Arial"/>
          <w:sz w:val="24"/>
          <w:szCs w:val="24"/>
          <w:lang w:val="en-US"/>
        </w:rPr>
        <w:t>:  Amalooloo, Cobro Concrete, Conloo/Conrite, Eldo Fox, Shocrete and Cemforce</w:t>
      </w:r>
      <w:r w:rsidR="0025626A" w:rsidRPr="00022690">
        <w:rPr>
          <w:rFonts w:ascii="Arial" w:hAnsi="Arial" w:cs="Arial"/>
          <w:sz w:val="24"/>
          <w:szCs w:val="24"/>
          <w:lang w:val="en-US"/>
        </w:rPr>
        <w:t xml:space="preserve">.  </w:t>
      </w:r>
      <w:r w:rsidR="00C97067" w:rsidRPr="00022690">
        <w:rPr>
          <w:rFonts w:ascii="Arial" w:hAnsi="Arial" w:cs="Arial"/>
          <w:sz w:val="24"/>
          <w:szCs w:val="24"/>
          <w:lang w:val="en-US"/>
        </w:rPr>
        <w:t xml:space="preserve"> Without its premise, </w:t>
      </w:r>
      <w:r w:rsidR="00CF0EAC" w:rsidRPr="00022690">
        <w:rPr>
          <w:rFonts w:ascii="Arial" w:hAnsi="Arial" w:cs="Arial"/>
          <w:sz w:val="24"/>
          <w:szCs w:val="24"/>
          <w:lang w:val="en-US"/>
        </w:rPr>
        <w:t>the case made out in the fo</w:t>
      </w:r>
      <w:r w:rsidR="00042F60" w:rsidRPr="00022690">
        <w:rPr>
          <w:rFonts w:ascii="Arial" w:hAnsi="Arial" w:cs="Arial"/>
          <w:sz w:val="24"/>
          <w:szCs w:val="24"/>
          <w:lang w:val="en-US"/>
        </w:rPr>
        <w:t xml:space="preserve">unding affidavit </w:t>
      </w:r>
      <w:r w:rsidR="00AC6E85" w:rsidRPr="00022690">
        <w:rPr>
          <w:rFonts w:ascii="Arial" w:hAnsi="Arial" w:cs="Arial"/>
          <w:sz w:val="24"/>
          <w:szCs w:val="24"/>
          <w:lang w:val="en-US"/>
        </w:rPr>
        <w:t xml:space="preserve">in respect of the dry sanitation system specification </w:t>
      </w:r>
      <w:r w:rsidR="00042F60" w:rsidRPr="00022690">
        <w:rPr>
          <w:rFonts w:ascii="Arial" w:hAnsi="Arial" w:cs="Arial"/>
          <w:sz w:val="24"/>
          <w:szCs w:val="24"/>
          <w:lang w:val="en-US"/>
        </w:rPr>
        <w:t xml:space="preserve">may be said to be answered.  </w:t>
      </w:r>
    </w:p>
    <w:p w:rsidR="00042F60" w:rsidRPr="00DB5D6B" w:rsidRDefault="00042F60" w:rsidP="00042F60">
      <w:pPr>
        <w:pStyle w:val="ListParagraph"/>
        <w:rPr>
          <w:rFonts w:ascii="Arial" w:hAnsi="Arial" w:cs="Arial"/>
          <w:sz w:val="24"/>
          <w:szCs w:val="24"/>
          <w:lang w:val="en-US"/>
        </w:rPr>
      </w:pPr>
    </w:p>
    <w:p w:rsidR="000D2257" w:rsidRPr="00022690" w:rsidRDefault="00022690" w:rsidP="00022690">
      <w:pPr>
        <w:spacing w:line="480" w:lineRule="auto"/>
        <w:ind w:left="360" w:hanging="360"/>
        <w:jc w:val="both"/>
        <w:rPr>
          <w:rFonts w:ascii="Arial" w:hAnsi="Arial" w:cs="Arial"/>
          <w:sz w:val="24"/>
          <w:szCs w:val="24"/>
          <w:lang w:val="en-US"/>
        </w:rPr>
      </w:pPr>
      <w:r w:rsidRPr="00DB5D6B">
        <w:rPr>
          <w:rFonts w:ascii="Arial" w:hAnsi="Arial" w:cs="Arial"/>
          <w:sz w:val="24"/>
          <w:szCs w:val="24"/>
          <w:lang w:val="en-US"/>
        </w:rPr>
        <w:t>12.</w:t>
      </w:r>
      <w:r w:rsidRPr="00DB5D6B">
        <w:rPr>
          <w:rFonts w:ascii="Arial" w:hAnsi="Arial" w:cs="Arial"/>
          <w:sz w:val="24"/>
          <w:szCs w:val="24"/>
          <w:lang w:val="en-US"/>
        </w:rPr>
        <w:tab/>
      </w:r>
      <w:r w:rsidR="00042F60" w:rsidRPr="00022690">
        <w:rPr>
          <w:rFonts w:ascii="Arial" w:hAnsi="Arial" w:cs="Arial"/>
          <w:sz w:val="24"/>
          <w:szCs w:val="24"/>
          <w:lang w:val="en-US"/>
        </w:rPr>
        <w:t>However, on a more generous reading of the founding affidavit the case may</w:t>
      </w:r>
      <w:r w:rsidR="00C97067" w:rsidRPr="00022690">
        <w:rPr>
          <w:rFonts w:ascii="Arial" w:hAnsi="Arial" w:cs="Arial"/>
          <w:sz w:val="24"/>
          <w:szCs w:val="24"/>
          <w:lang w:val="en-US"/>
        </w:rPr>
        <w:t xml:space="preserve"> fairly</w:t>
      </w:r>
      <w:r w:rsidR="00042F60" w:rsidRPr="00022690">
        <w:rPr>
          <w:rFonts w:ascii="Arial" w:hAnsi="Arial" w:cs="Arial"/>
          <w:sz w:val="24"/>
          <w:szCs w:val="24"/>
          <w:lang w:val="en-US"/>
        </w:rPr>
        <w:t xml:space="preserve"> be understood to </w:t>
      </w:r>
      <w:r w:rsidR="001F4EC3" w:rsidRPr="00022690">
        <w:rPr>
          <w:rFonts w:ascii="Arial" w:hAnsi="Arial" w:cs="Arial"/>
          <w:sz w:val="24"/>
          <w:szCs w:val="24"/>
          <w:lang w:val="en-US"/>
        </w:rPr>
        <w:t>include a</w:t>
      </w:r>
      <w:r w:rsidR="00042F60" w:rsidRPr="00022690">
        <w:rPr>
          <w:rFonts w:ascii="Arial" w:hAnsi="Arial" w:cs="Arial"/>
          <w:sz w:val="24"/>
          <w:szCs w:val="24"/>
          <w:lang w:val="en-US"/>
        </w:rPr>
        <w:t xml:space="preserve"> broader one that takes issue with restricting the tender process to </w:t>
      </w:r>
      <w:r w:rsidR="007E66D7" w:rsidRPr="00022690">
        <w:rPr>
          <w:rFonts w:ascii="Arial" w:hAnsi="Arial" w:cs="Arial"/>
          <w:sz w:val="24"/>
          <w:szCs w:val="24"/>
          <w:lang w:val="en-US"/>
        </w:rPr>
        <w:t>any</w:t>
      </w:r>
      <w:r w:rsidR="00042F60" w:rsidRPr="00022690">
        <w:rPr>
          <w:rFonts w:ascii="Arial" w:hAnsi="Arial" w:cs="Arial"/>
          <w:sz w:val="24"/>
          <w:szCs w:val="24"/>
          <w:lang w:val="en-US"/>
        </w:rPr>
        <w:t xml:space="preserve"> dry sanitation system</w:t>
      </w:r>
      <w:r w:rsidR="00AC6E85" w:rsidRPr="00022690">
        <w:rPr>
          <w:rFonts w:ascii="Arial" w:hAnsi="Arial" w:cs="Arial"/>
          <w:sz w:val="24"/>
          <w:szCs w:val="24"/>
          <w:lang w:val="en-US"/>
        </w:rPr>
        <w:t xml:space="preserve"> to the exclusion of other systems, even if water-wise</w:t>
      </w:r>
      <w:r w:rsidR="00042F60" w:rsidRPr="00022690">
        <w:rPr>
          <w:rFonts w:ascii="Arial" w:hAnsi="Arial" w:cs="Arial"/>
          <w:sz w:val="24"/>
          <w:szCs w:val="24"/>
          <w:lang w:val="en-US"/>
        </w:rPr>
        <w:t xml:space="preserve">.  </w:t>
      </w:r>
      <w:r w:rsidR="007E66D7" w:rsidRPr="00022690">
        <w:rPr>
          <w:rFonts w:ascii="Arial" w:hAnsi="Arial" w:cs="Arial"/>
          <w:sz w:val="24"/>
          <w:szCs w:val="24"/>
          <w:lang w:val="en-US"/>
        </w:rPr>
        <w:t xml:space="preserve">Thus understood, the </w:t>
      </w:r>
      <w:r w:rsidR="00042F60" w:rsidRPr="00022690">
        <w:rPr>
          <w:rFonts w:ascii="Arial" w:hAnsi="Arial" w:cs="Arial"/>
          <w:sz w:val="24"/>
          <w:szCs w:val="24"/>
          <w:lang w:val="en-US"/>
        </w:rPr>
        <w:t>complaint is that a dry sanitation system, such as the Amalooloo, is unsafe and</w:t>
      </w:r>
      <w:r w:rsidR="00C97067" w:rsidRPr="00022690">
        <w:rPr>
          <w:rFonts w:ascii="Arial" w:hAnsi="Arial" w:cs="Arial"/>
          <w:sz w:val="24"/>
          <w:szCs w:val="24"/>
          <w:lang w:val="en-US"/>
        </w:rPr>
        <w:t xml:space="preserve"> it is</w:t>
      </w:r>
      <w:r w:rsidR="00042F60" w:rsidRPr="00022690">
        <w:rPr>
          <w:rFonts w:ascii="Arial" w:hAnsi="Arial" w:cs="Arial"/>
          <w:sz w:val="24"/>
          <w:szCs w:val="24"/>
          <w:lang w:val="en-US"/>
        </w:rPr>
        <w:t xml:space="preserve"> irrational</w:t>
      </w:r>
      <w:r w:rsidR="00C97067" w:rsidRPr="00022690">
        <w:rPr>
          <w:rFonts w:ascii="Arial" w:hAnsi="Arial" w:cs="Arial"/>
          <w:sz w:val="24"/>
          <w:szCs w:val="24"/>
          <w:lang w:val="en-US"/>
        </w:rPr>
        <w:t xml:space="preserve"> to insist on only that system.  In this regard it is said to pose</w:t>
      </w:r>
      <w:r w:rsidR="00042F60" w:rsidRPr="00022690">
        <w:rPr>
          <w:rFonts w:ascii="Arial" w:hAnsi="Arial" w:cs="Arial"/>
          <w:sz w:val="24"/>
          <w:szCs w:val="24"/>
          <w:lang w:val="en-US"/>
        </w:rPr>
        <w:t xml:space="preserve"> a significant safety threat to younger children and infants as children can fall into the substructure pit, </w:t>
      </w:r>
      <w:r w:rsidR="00C97067" w:rsidRPr="00022690">
        <w:rPr>
          <w:rFonts w:ascii="Arial" w:hAnsi="Arial" w:cs="Arial"/>
          <w:sz w:val="24"/>
          <w:szCs w:val="24"/>
          <w:lang w:val="en-US"/>
        </w:rPr>
        <w:t xml:space="preserve">where excrement is retained, </w:t>
      </w:r>
      <w:r w:rsidR="00042F60" w:rsidRPr="00022690">
        <w:rPr>
          <w:rFonts w:ascii="Arial" w:hAnsi="Arial" w:cs="Arial"/>
          <w:sz w:val="24"/>
          <w:szCs w:val="24"/>
          <w:lang w:val="en-US"/>
        </w:rPr>
        <w:t>contrary to the intentions of the SAFE initiative.  Othe</w:t>
      </w:r>
      <w:r w:rsidR="00C97067" w:rsidRPr="00022690">
        <w:rPr>
          <w:rFonts w:ascii="Arial" w:hAnsi="Arial" w:cs="Arial"/>
          <w:sz w:val="24"/>
          <w:szCs w:val="24"/>
          <w:lang w:val="en-US"/>
        </w:rPr>
        <w:t>r difficulties with the system referred to that</w:t>
      </w:r>
      <w:r w:rsidR="00042F60" w:rsidRPr="00022690">
        <w:rPr>
          <w:rFonts w:ascii="Arial" w:hAnsi="Arial" w:cs="Arial"/>
          <w:sz w:val="24"/>
          <w:szCs w:val="24"/>
          <w:lang w:val="en-US"/>
        </w:rPr>
        <w:t xml:space="preserve"> they are said to smell bad and their lifespan can be affected by solid waste disposal.  The system entails the dehydration of solid waste, which may then be disposed of or used as fertilizer.  However, the subsequent use of the solid waste is said to be unsafe and cause illness (in</w:t>
      </w:r>
      <w:r w:rsidR="00C059C5" w:rsidRPr="00022690">
        <w:rPr>
          <w:rFonts w:ascii="Arial" w:hAnsi="Arial" w:cs="Arial"/>
          <w:sz w:val="24"/>
          <w:szCs w:val="24"/>
          <w:lang w:val="en-US"/>
        </w:rPr>
        <w:t xml:space="preserve"> part</w:t>
      </w:r>
      <w:r w:rsidR="00042F60" w:rsidRPr="00022690">
        <w:rPr>
          <w:rFonts w:ascii="Arial" w:hAnsi="Arial" w:cs="Arial"/>
          <w:sz w:val="24"/>
          <w:szCs w:val="24"/>
          <w:lang w:val="en-US"/>
        </w:rPr>
        <w:t xml:space="preserve"> because it</w:t>
      </w:r>
      <w:r w:rsidR="009D45FF" w:rsidRPr="00022690">
        <w:rPr>
          <w:rFonts w:ascii="Arial" w:hAnsi="Arial" w:cs="Arial"/>
          <w:sz w:val="24"/>
          <w:szCs w:val="24"/>
          <w:lang w:val="en-US"/>
        </w:rPr>
        <w:t xml:space="preserve"> may contain Ascaris (roundworm</w:t>
      </w:r>
      <w:r w:rsidR="00C059C5" w:rsidRPr="00022690">
        <w:rPr>
          <w:rFonts w:ascii="Arial" w:hAnsi="Arial" w:cs="Arial"/>
          <w:sz w:val="24"/>
          <w:szCs w:val="24"/>
          <w:lang w:val="en-US"/>
        </w:rPr>
        <w:t xml:space="preserve"> which is not eliminated through the dehydration process</w:t>
      </w:r>
      <w:r w:rsidR="009D45FF" w:rsidRPr="00022690">
        <w:rPr>
          <w:rFonts w:ascii="Arial" w:hAnsi="Arial" w:cs="Arial"/>
          <w:sz w:val="24"/>
          <w:szCs w:val="24"/>
          <w:lang w:val="en-US"/>
        </w:rPr>
        <w:t>)</w:t>
      </w:r>
      <w:r w:rsidR="00042F60" w:rsidRPr="00022690">
        <w:rPr>
          <w:rFonts w:ascii="Arial" w:hAnsi="Arial" w:cs="Arial"/>
          <w:sz w:val="24"/>
          <w:szCs w:val="24"/>
          <w:lang w:val="en-US"/>
        </w:rPr>
        <w:t xml:space="preserve">. </w:t>
      </w:r>
      <w:r w:rsidR="00C059C5" w:rsidRPr="00022690">
        <w:rPr>
          <w:rFonts w:ascii="Arial" w:hAnsi="Arial" w:cs="Arial"/>
          <w:sz w:val="24"/>
          <w:szCs w:val="24"/>
          <w:lang w:val="en-US"/>
        </w:rPr>
        <w:t xml:space="preserve"> </w:t>
      </w:r>
      <w:r w:rsidR="00042F60" w:rsidRPr="00022690">
        <w:rPr>
          <w:rFonts w:ascii="Arial" w:hAnsi="Arial" w:cs="Arial"/>
          <w:sz w:val="24"/>
          <w:szCs w:val="24"/>
          <w:lang w:val="en-US"/>
        </w:rPr>
        <w:t>The system is, moreover, dependent on rain water for handwashing which is unsafe because</w:t>
      </w:r>
      <w:r w:rsidR="00C059C5" w:rsidRPr="00022690">
        <w:rPr>
          <w:rFonts w:ascii="Arial" w:hAnsi="Arial" w:cs="Arial"/>
          <w:sz w:val="24"/>
          <w:szCs w:val="24"/>
          <w:lang w:val="en-US"/>
        </w:rPr>
        <w:t>, it is said,</w:t>
      </w:r>
      <w:r w:rsidR="00042F60" w:rsidRPr="00022690">
        <w:rPr>
          <w:rFonts w:ascii="Arial" w:hAnsi="Arial" w:cs="Arial"/>
          <w:sz w:val="24"/>
          <w:szCs w:val="24"/>
          <w:lang w:val="en-US"/>
        </w:rPr>
        <w:t xml:space="preserve"> it is cross-contaminated with impurities such as bird- and insect waste.   It is then submitted that it is irrational to then exclude</w:t>
      </w:r>
      <w:r w:rsidR="0025626A" w:rsidRPr="00022690">
        <w:rPr>
          <w:rFonts w:ascii="Arial" w:hAnsi="Arial" w:cs="Arial"/>
          <w:sz w:val="24"/>
          <w:szCs w:val="24"/>
          <w:lang w:val="en-US"/>
        </w:rPr>
        <w:t xml:space="preserve"> other</w:t>
      </w:r>
      <w:r w:rsidR="00042F60" w:rsidRPr="00022690">
        <w:rPr>
          <w:rFonts w:ascii="Arial" w:hAnsi="Arial" w:cs="Arial"/>
          <w:sz w:val="24"/>
          <w:szCs w:val="24"/>
          <w:lang w:val="en-US"/>
        </w:rPr>
        <w:t xml:space="preserve"> alternatives such as low flush systems which only require 1-2 liters of water and which are more hygienic.</w:t>
      </w:r>
    </w:p>
    <w:p w:rsidR="0025626A" w:rsidRPr="00DB5D6B" w:rsidRDefault="0025626A" w:rsidP="0025626A">
      <w:pPr>
        <w:pStyle w:val="ListParagraph"/>
        <w:spacing w:line="480" w:lineRule="auto"/>
        <w:ind w:left="360"/>
        <w:jc w:val="both"/>
        <w:rPr>
          <w:rFonts w:ascii="Arial" w:hAnsi="Arial" w:cs="Arial"/>
          <w:sz w:val="24"/>
          <w:szCs w:val="24"/>
          <w:lang w:val="en-US"/>
        </w:rPr>
      </w:pPr>
    </w:p>
    <w:p w:rsidR="00F97D81" w:rsidRPr="00022690" w:rsidRDefault="00022690" w:rsidP="00022690">
      <w:pPr>
        <w:spacing w:line="480" w:lineRule="auto"/>
        <w:ind w:left="360" w:hanging="360"/>
        <w:jc w:val="both"/>
        <w:rPr>
          <w:rFonts w:ascii="Arial" w:hAnsi="Arial" w:cs="Arial"/>
          <w:sz w:val="24"/>
          <w:szCs w:val="24"/>
          <w:lang w:val="en-US"/>
        </w:rPr>
      </w:pPr>
      <w:r w:rsidRPr="00DB5D6B">
        <w:rPr>
          <w:rFonts w:ascii="Arial" w:hAnsi="Arial" w:cs="Arial"/>
          <w:sz w:val="24"/>
          <w:szCs w:val="24"/>
          <w:lang w:val="en-US"/>
        </w:rPr>
        <w:t>13.</w:t>
      </w:r>
      <w:r w:rsidRPr="00DB5D6B">
        <w:rPr>
          <w:rFonts w:ascii="Arial" w:hAnsi="Arial" w:cs="Arial"/>
          <w:sz w:val="24"/>
          <w:szCs w:val="24"/>
          <w:lang w:val="en-US"/>
        </w:rPr>
        <w:tab/>
      </w:r>
      <w:r w:rsidR="0025626A" w:rsidRPr="00022690">
        <w:rPr>
          <w:rFonts w:ascii="Arial" w:hAnsi="Arial" w:cs="Arial"/>
          <w:sz w:val="24"/>
          <w:szCs w:val="24"/>
          <w:lang w:val="en-US"/>
        </w:rPr>
        <w:t xml:space="preserve">The NECT </w:t>
      </w:r>
      <w:r w:rsidR="00C059C5" w:rsidRPr="00022690">
        <w:rPr>
          <w:rFonts w:ascii="Arial" w:hAnsi="Arial" w:cs="Arial"/>
          <w:sz w:val="24"/>
          <w:szCs w:val="24"/>
          <w:lang w:val="en-US"/>
        </w:rPr>
        <w:t>responds to these complaints by stating that it is not for the applicant to determine which systems are better in context:  that is for the s</w:t>
      </w:r>
      <w:r w:rsidR="00DB5D6B" w:rsidRPr="00022690">
        <w:rPr>
          <w:rFonts w:ascii="Arial" w:hAnsi="Arial" w:cs="Arial"/>
          <w:sz w:val="24"/>
          <w:szCs w:val="24"/>
          <w:lang w:val="en-US"/>
        </w:rPr>
        <w:t>tate functionaries to decide</w:t>
      </w:r>
      <w:r w:rsidR="00C059C5" w:rsidRPr="00022690">
        <w:rPr>
          <w:rFonts w:ascii="Arial" w:hAnsi="Arial" w:cs="Arial"/>
          <w:sz w:val="24"/>
          <w:szCs w:val="24"/>
          <w:lang w:val="en-US"/>
        </w:rPr>
        <w:t xml:space="preserve">.  The NECT </w:t>
      </w:r>
      <w:r w:rsidR="0025626A" w:rsidRPr="00022690">
        <w:rPr>
          <w:rFonts w:ascii="Arial" w:hAnsi="Arial" w:cs="Arial"/>
          <w:sz w:val="24"/>
          <w:szCs w:val="24"/>
          <w:lang w:val="en-US"/>
        </w:rPr>
        <w:t>provide</w:t>
      </w:r>
      <w:r w:rsidR="00C059C5" w:rsidRPr="00022690">
        <w:rPr>
          <w:rFonts w:ascii="Arial" w:hAnsi="Arial" w:cs="Arial"/>
          <w:sz w:val="24"/>
          <w:szCs w:val="24"/>
          <w:lang w:val="en-US"/>
        </w:rPr>
        <w:t>s a factual response</w:t>
      </w:r>
      <w:r w:rsidR="0025626A" w:rsidRPr="00022690">
        <w:rPr>
          <w:rFonts w:ascii="Arial" w:hAnsi="Arial" w:cs="Arial"/>
          <w:sz w:val="24"/>
          <w:szCs w:val="24"/>
          <w:lang w:val="en-US"/>
        </w:rPr>
        <w:t xml:space="preserve"> to the complaints about </w:t>
      </w:r>
      <w:r w:rsidR="00F97D81" w:rsidRPr="00022690">
        <w:rPr>
          <w:rFonts w:ascii="Arial" w:hAnsi="Arial" w:cs="Arial"/>
          <w:sz w:val="24"/>
          <w:szCs w:val="24"/>
          <w:lang w:val="en-US"/>
        </w:rPr>
        <w:t>a</w:t>
      </w:r>
      <w:r w:rsidR="0025626A" w:rsidRPr="00022690">
        <w:rPr>
          <w:rFonts w:ascii="Arial" w:hAnsi="Arial" w:cs="Arial"/>
          <w:sz w:val="24"/>
          <w:szCs w:val="24"/>
          <w:lang w:val="en-US"/>
        </w:rPr>
        <w:t xml:space="preserve"> </w:t>
      </w:r>
      <w:r w:rsidR="00F97D81" w:rsidRPr="00022690">
        <w:rPr>
          <w:rFonts w:ascii="Arial" w:hAnsi="Arial" w:cs="Arial"/>
          <w:sz w:val="24"/>
          <w:szCs w:val="24"/>
          <w:lang w:val="en-US"/>
        </w:rPr>
        <w:t>dry sanitation system</w:t>
      </w:r>
      <w:r w:rsidR="0025626A" w:rsidRPr="00022690">
        <w:rPr>
          <w:rFonts w:ascii="Arial" w:hAnsi="Arial" w:cs="Arial"/>
          <w:sz w:val="24"/>
          <w:szCs w:val="24"/>
          <w:lang w:val="en-US"/>
        </w:rPr>
        <w:t xml:space="preserve"> and the</w:t>
      </w:r>
      <w:r w:rsidR="00AC6E85" w:rsidRPr="00022690">
        <w:rPr>
          <w:rFonts w:ascii="Arial" w:hAnsi="Arial" w:cs="Arial"/>
          <w:sz w:val="24"/>
          <w:szCs w:val="24"/>
          <w:lang w:val="en-US"/>
        </w:rPr>
        <w:t xml:space="preserve"> suitability or</w:t>
      </w:r>
      <w:r w:rsidR="0025626A" w:rsidRPr="00022690">
        <w:rPr>
          <w:rFonts w:ascii="Arial" w:hAnsi="Arial" w:cs="Arial"/>
          <w:sz w:val="24"/>
          <w:szCs w:val="24"/>
          <w:lang w:val="en-US"/>
        </w:rPr>
        <w:t xml:space="preserve"> relative benefits of other systems, such as low-flush systems.  In short, the NECT explains that the toilet systems installed are designed to ensure that no-one can fall into them</w:t>
      </w:r>
      <w:r w:rsidR="00DB5D6B" w:rsidRPr="00022690">
        <w:rPr>
          <w:rFonts w:ascii="Arial" w:hAnsi="Arial" w:cs="Arial"/>
          <w:sz w:val="24"/>
          <w:szCs w:val="24"/>
          <w:lang w:val="en-US"/>
        </w:rPr>
        <w:t>, their depth is</w:t>
      </w:r>
      <w:r w:rsidR="00C059C5" w:rsidRPr="00022690">
        <w:rPr>
          <w:rFonts w:ascii="Arial" w:hAnsi="Arial" w:cs="Arial"/>
          <w:sz w:val="24"/>
          <w:szCs w:val="24"/>
          <w:lang w:val="en-US"/>
        </w:rPr>
        <w:t xml:space="preserve"> </w:t>
      </w:r>
      <w:r w:rsidR="00DB5D6B" w:rsidRPr="00022690">
        <w:rPr>
          <w:rFonts w:ascii="Arial" w:hAnsi="Arial" w:cs="Arial"/>
          <w:sz w:val="24"/>
          <w:szCs w:val="24"/>
          <w:lang w:val="en-US"/>
        </w:rPr>
        <w:t>one</w:t>
      </w:r>
      <w:r w:rsidR="00C059C5" w:rsidRPr="00022690">
        <w:rPr>
          <w:rFonts w:ascii="Arial" w:hAnsi="Arial" w:cs="Arial"/>
          <w:sz w:val="24"/>
          <w:szCs w:val="24"/>
          <w:lang w:val="en-US"/>
        </w:rPr>
        <w:t xml:space="preserve"> metre</w:t>
      </w:r>
      <w:r w:rsidR="00DB5D6B" w:rsidRPr="00022690">
        <w:rPr>
          <w:rFonts w:ascii="Arial" w:hAnsi="Arial" w:cs="Arial"/>
          <w:sz w:val="24"/>
          <w:szCs w:val="24"/>
          <w:lang w:val="en-US"/>
        </w:rPr>
        <w:t xml:space="preserve"> </w:t>
      </w:r>
      <w:r w:rsidR="00C059C5" w:rsidRPr="00022690">
        <w:rPr>
          <w:rFonts w:ascii="Arial" w:hAnsi="Arial" w:cs="Arial"/>
          <w:sz w:val="24"/>
          <w:szCs w:val="24"/>
          <w:lang w:val="en-US"/>
        </w:rPr>
        <w:t xml:space="preserve">and </w:t>
      </w:r>
      <w:r w:rsidR="0025626A" w:rsidRPr="00022690">
        <w:rPr>
          <w:rFonts w:ascii="Arial" w:hAnsi="Arial" w:cs="Arial"/>
          <w:sz w:val="24"/>
          <w:szCs w:val="24"/>
          <w:lang w:val="en-US"/>
        </w:rPr>
        <w:t>waste</w:t>
      </w:r>
      <w:r w:rsidR="00C059C5" w:rsidRPr="00022690">
        <w:rPr>
          <w:rFonts w:ascii="Arial" w:hAnsi="Arial" w:cs="Arial"/>
          <w:sz w:val="24"/>
          <w:szCs w:val="24"/>
          <w:lang w:val="en-US"/>
        </w:rPr>
        <w:t xml:space="preserve"> is</w:t>
      </w:r>
      <w:r w:rsidR="00AC6E85" w:rsidRPr="00022690">
        <w:rPr>
          <w:rFonts w:ascii="Arial" w:hAnsi="Arial" w:cs="Arial"/>
          <w:sz w:val="24"/>
          <w:szCs w:val="24"/>
          <w:lang w:val="en-US"/>
        </w:rPr>
        <w:t xml:space="preserve"> regularly removed.  </w:t>
      </w:r>
      <w:r w:rsidR="0025626A" w:rsidRPr="00022690">
        <w:rPr>
          <w:rFonts w:ascii="Arial" w:hAnsi="Arial" w:cs="Arial"/>
          <w:sz w:val="24"/>
          <w:szCs w:val="24"/>
          <w:lang w:val="en-US"/>
        </w:rPr>
        <w:t>The NECT accepts that the waste is used as an organic fertilizer but contends it is safe to remove it</w:t>
      </w:r>
      <w:r w:rsidR="009D45FF" w:rsidRPr="00022690">
        <w:rPr>
          <w:rFonts w:ascii="Arial" w:hAnsi="Arial" w:cs="Arial"/>
          <w:sz w:val="24"/>
          <w:szCs w:val="24"/>
          <w:lang w:val="en-US"/>
        </w:rPr>
        <w:t xml:space="preserve">.  </w:t>
      </w:r>
      <w:r w:rsidR="00F97D81" w:rsidRPr="00022690">
        <w:rPr>
          <w:rFonts w:ascii="Arial" w:hAnsi="Arial" w:cs="Arial"/>
          <w:sz w:val="24"/>
          <w:szCs w:val="24"/>
          <w:lang w:val="en-US"/>
        </w:rPr>
        <w:t>The NECT disputes that rainwater cannot be used to wash hands.  The NECT explains that low flush systems were not considered to be viable because of the scarcity of water in</w:t>
      </w:r>
      <w:r w:rsidR="00C059C5" w:rsidRPr="00022690">
        <w:rPr>
          <w:rFonts w:ascii="Arial" w:hAnsi="Arial" w:cs="Arial"/>
          <w:sz w:val="24"/>
          <w:szCs w:val="24"/>
          <w:lang w:val="en-US"/>
        </w:rPr>
        <w:t xml:space="preserve"> the affected</w:t>
      </w:r>
      <w:r w:rsidR="00F97D81" w:rsidRPr="00022690">
        <w:rPr>
          <w:rFonts w:ascii="Arial" w:hAnsi="Arial" w:cs="Arial"/>
          <w:sz w:val="24"/>
          <w:szCs w:val="24"/>
          <w:lang w:val="en-US"/>
        </w:rPr>
        <w:t xml:space="preserve"> rural areas</w:t>
      </w:r>
      <w:r w:rsidR="00C059C5" w:rsidRPr="00022690">
        <w:rPr>
          <w:rFonts w:ascii="Arial" w:hAnsi="Arial" w:cs="Arial"/>
          <w:sz w:val="24"/>
          <w:szCs w:val="24"/>
          <w:lang w:val="en-US"/>
        </w:rPr>
        <w:t xml:space="preserve"> and, it is said, they </w:t>
      </w:r>
      <w:r w:rsidR="00F97D81" w:rsidRPr="00022690">
        <w:rPr>
          <w:rFonts w:ascii="Arial" w:hAnsi="Arial" w:cs="Arial"/>
          <w:sz w:val="24"/>
          <w:szCs w:val="24"/>
          <w:lang w:val="en-US"/>
        </w:rPr>
        <w:t xml:space="preserve">cannot be regarded as a serious solution for communities without running water or a bulk water supply.  The communities served by the SAFE project are those in deep rural areas where the main water source is underground and tends to run dry within 10 years of installing a borehole. </w:t>
      </w:r>
    </w:p>
    <w:p w:rsidR="006726B9" w:rsidRPr="00DB5D6B" w:rsidRDefault="006726B9" w:rsidP="006726B9">
      <w:pPr>
        <w:pStyle w:val="ListParagraph"/>
        <w:rPr>
          <w:rFonts w:ascii="Arial" w:hAnsi="Arial" w:cs="Arial"/>
          <w:sz w:val="24"/>
          <w:szCs w:val="24"/>
          <w:lang w:val="en-US"/>
        </w:rPr>
      </w:pPr>
    </w:p>
    <w:p w:rsidR="006726B9" w:rsidRPr="00022690" w:rsidRDefault="00022690" w:rsidP="00022690">
      <w:pPr>
        <w:spacing w:line="480" w:lineRule="auto"/>
        <w:ind w:left="360" w:hanging="360"/>
        <w:jc w:val="both"/>
        <w:rPr>
          <w:rFonts w:ascii="Arial" w:hAnsi="Arial" w:cs="Arial"/>
          <w:sz w:val="24"/>
          <w:szCs w:val="24"/>
          <w:lang w:val="en-US"/>
        </w:rPr>
      </w:pPr>
      <w:r w:rsidRPr="00FC4F04">
        <w:rPr>
          <w:rFonts w:ascii="Arial" w:hAnsi="Arial" w:cs="Arial"/>
          <w:sz w:val="24"/>
          <w:szCs w:val="24"/>
          <w:lang w:val="en-US"/>
        </w:rPr>
        <w:t>14.</w:t>
      </w:r>
      <w:r w:rsidRPr="00FC4F04">
        <w:rPr>
          <w:rFonts w:ascii="Arial" w:hAnsi="Arial" w:cs="Arial"/>
          <w:sz w:val="24"/>
          <w:szCs w:val="24"/>
          <w:lang w:val="en-US"/>
        </w:rPr>
        <w:tab/>
      </w:r>
      <w:r w:rsidR="006726B9" w:rsidRPr="00022690">
        <w:rPr>
          <w:rFonts w:ascii="Arial" w:hAnsi="Arial" w:cs="Arial"/>
          <w:sz w:val="24"/>
          <w:szCs w:val="24"/>
          <w:lang w:val="en-US"/>
        </w:rPr>
        <w:t>During argument, the</w:t>
      </w:r>
      <w:r w:rsidR="00C059C5" w:rsidRPr="00022690">
        <w:rPr>
          <w:rFonts w:ascii="Arial" w:hAnsi="Arial" w:cs="Arial"/>
          <w:sz w:val="24"/>
          <w:szCs w:val="24"/>
          <w:lang w:val="en-US"/>
        </w:rPr>
        <w:t xml:space="preserve"> applicant</w:t>
      </w:r>
      <w:r w:rsidR="006726B9" w:rsidRPr="00022690">
        <w:rPr>
          <w:rFonts w:ascii="Arial" w:hAnsi="Arial" w:cs="Arial"/>
          <w:sz w:val="24"/>
          <w:szCs w:val="24"/>
          <w:lang w:val="en-US"/>
        </w:rPr>
        <w:t xml:space="preserve"> </w:t>
      </w:r>
      <w:r w:rsidR="00C059C5" w:rsidRPr="00022690">
        <w:rPr>
          <w:rFonts w:ascii="Arial" w:hAnsi="Arial" w:cs="Arial"/>
          <w:sz w:val="24"/>
          <w:szCs w:val="24"/>
          <w:lang w:val="en-US"/>
        </w:rPr>
        <w:t xml:space="preserve">submitted that </w:t>
      </w:r>
      <w:r w:rsidR="006726B9" w:rsidRPr="00022690">
        <w:rPr>
          <w:rFonts w:ascii="Arial" w:hAnsi="Arial" w:cs="Arial"/>
          <w:sz w:val="24"/>
          <w:szCs w:val="24"/>
          <w:lang w:val="en-US"/>
        </w:rPr>
        <w:t xml:space="preserve">restricting bidders to a dry sanitation system is in breach of </w:t>
      </w:r>
      <w:r w:rsidR="00DB5D6B" w:rsidRPr="00022690">
        <w:rPr>
          <w:rFonts w:ascii="Arial" w:hAnsi="Arial" w:cs="Arial"/>
          <w:sz w:val="24"/>
          <w:szCs w:val="24"/>
          <w:lang w:val="en-US"/>
        </w:rPr>
        <w:t xml:space="preserve">Regulation 12(2) of the Minimum </w:t>
      </w:r>
      <w:r w:rsidR="009418C1" w:rsidRPr="00022690">
        <w:rPr>
          <w:rFonts w:ascii="Arial" w:hAnsi="Arial" w:cs="Arial"/>
          <w:sz w:val="24"/>
          <w:szCs w:val="24"/>
          <w:lang w:val="en-US"/>
        </w:rPr>
        <w:t>Norms and Standards Regulations.</w:t>
      </w:r>
      <w:r w:rsidR="009418C1" w:rsidRPr="00FC4F04">
        <w:rPr>
          <w:rStyle w:val="FootnoteReference"/>
          <w:rFonts w:ascii="Arial" w:hAnsi="Arial" w:cs="Arial"/>
          <w:sz w:val="24"/>
          <w:szCs w:val="24"/>
          <w:lang w:val="en-US"/>
        </w:rPr>
        <w:footnoteReference w:id="7"/>
      </w:r>
      <w:r w:rsidR="006726B9" w:rsidRPr="00022690">
        <w:rPr>
          <w:rFonts w:ascii="Arial" w:hAnsi="Arial" w:cs="Arial"/>
          <w:sz w:val="24"/>
          <w:szCs w:val="24"/>
          <w:lang w:val="en-US"/>
        </w:rPr>
        <w:t xml:space="preserve">  This case was not, however, advanced in the founding affidavit</w:t>
      </w:r>
      <w:r w:rsidR="009418C1" w:rsidRPr="00022690">
        <w:rPr>
          <w:rFonts w:ascii="Arial" w:hAnsi="Arial" w:cs="Arial"/>
          <w:sz w:val="24"/>
          <w:szCs w:val="24"/>
          <w:lang w:val="en-US"/>
        </w:rPr>
        <w:t>s</w:t>
      </w:r>
      <w:r w:rsidR="00FC4F04" w:rsidRPr="00022690">
        <w:rPr>
          <w:rFonts w:ascii="Arial" w:hAnsi="Arial" w:cs="Arial"/>
          <w:sz w:val="24"/>
          <w:szCs w:val="24"/>
          <w:lang w:val="en-US"/>
        </w:rPr>
        <w:t xml:space="preserve"> and was raised in reply.</w:t>
      </w:r>
      <w:r w:rsidR="00AC6E85" w:rsidRPr="00022690">
        <w:rPr>
          <w:rFonts w:ascii="Arial" w:hAnsi="Arial" w:cs="Arial"/>
          <w:sz w:val="24"/>
          <w:szCs w:val="24"/>
          <w:lang w:val="en-US"/>
        </w:rPr>
        <w:t xml:space="preserve">  </w:t>
      </w:r>
      <w:r w:rsidR="00FC4F04" w:rsidRPr="00022690">
        <w:rPr>
          <w:rFonts w:ascii="Arial" w:hAnsi="Arial" w:cs="Arial"/>
          <w:sz w:val="24"/>
          <w:szCs w:val="24"/>
          <w:lang w:val="en-US"/>
        </w:rPr>
        <w:t xml:space="preserve">  </w:t>
      </w:r>
      <w:r w:rsidR="009418C1" w:rsidRPr="00022690">
        <w:rPr>
          <w:rFonts w:ascii="Arial" w:hAnsi="Arial" w:cs="Arial"/>
          <w:sz w:val="24"/>
          <w:szCs w:val="24"/>
          <w:lang w:val="en-US"/>
        </w:rPr>
        <w:t xml:space="preserve"> </w:t>
      </w:r>
      <w:r w:rsidR="006726B9" w:rsidRPr="00022690">
        <w:rPr>
          <w:rFonts w:ascii="Arial" w:hAnsi="Arial" w:cs="Arial"/>
          <w:sz w:val="24"/>
          <w:szCs w:val="24"/>
          <w:lang w:val="en-US"/>
        </w:rPr>
        <w:t xml:space="preserve"> </w:t>
      </w:r>
    </w:p>
    <w:p w:rsidR="00F97D81" w:rsidRPr="00FC4F04" w:rsidRDefault="00F97D81" w:rsidP="00F97D81">
      <w:pPr>
        <w:pStyle w:val="ListParagraph"/>
        <w:rPr>
          <w:rFonts w:ascii="Arial" w:hAnsi="Arial" w:cs="Arial"/>
          <w:sz w:val="24"/>
          <w:szCs w:val="24"/>
          <w:lang w:val="en-US"/>
        </w:rPr>
      </w:pPr>
    </w:p>
    <w:p w:rsidR="0057572B" w:rsidRPr="00022690" w:rsidRDefault="00022690" w:rsidP="00022690">
      <w:pPr>
        <w:spacing w:line="480" w:lineRule="auto"/>
        <w:ind w:left="360" w:hanging="360"/>
        <w:jc w:val="both"/>
        <w:rPr>
          <w:rFonts w:ascii="Arial" w:hAnsi="Arial" w:cs="Arial"/>
          <w:sz w:val="24"/>
          <w:szCs w:val="24"/>
          <w:lang w:val="en-US"/>
        </w:rPr>
      </w:pPr>
      <w:r w:rsidRPr="00FC4F04">
        <w:rPr>
          <w:rFonts w:ascii="Arial" w:hAnsi="Arial" w:cs="Arial"/>
          <w:sz w:val="24"/>
          <w:szCs w:val="24"/>
          <w:lang w:val="en-US"/>
        </w:rPr>
        <w:t>15.</w:t>
      </w:r>
      <w:r w:rsidRPr="00FC4F04">
        <w:rPr>
          <w:rFonts w:ascii="Arial" w:hAnsi="Arial" w:cs="Arial"/>
          <w:sz w:val="24"/>
          <w:szCs w:val="24"/>
          <w:lang w:val="en-US"/>
        </w:rPr>
        <w:tab/>
      </w:r>
      <w:r w:rsidR="00F97D81" w:rsidRPr="00022690">
        <w:rPr>
          <w:rFonts w:ascii="Arial" w:hAnsi="Arial" w:cs="Arial"/>
          <w:sz w:val="24"/>
          <w:szCs w:val="24"/>
          <w:lang w:val="en-US"/>
        </w:rPr>
        <w:t>The</w:t>
      </w:r>
      <w:r w:rsidR="0057572B" w:rsidRPr="00022690">
        <w:rPr>
          <w:rFonts w:ascii="Arial" w:hAnsi="Arial" w:cs="Arial"/>
          <w:sz w:val="24"/>
          <w:szCs w:val="24"/>
          <w:lang w:val="en-US"/>
        </w:rPr>
        <w:t xml:space="preserve"> second main basis upon which t</w:t>
      </w:r>
      <w:r w:rsidR="00AC6E85" w:rsidRPr="00022690">
        <w:rPr>
          <w:rFonts w:ascii="Arial" w:hAnsi="Arial" w:cs="Arial"/>
          <w:sz w:val="24"/>
          <w:szCs w:val="24"/>
          <w:lang w:val="en-US"/>
        </w:rPr>
        <w:t xml:space="preserve">he tender process is impugned relates to the standards specification, in other words the </w:t>
      </w:r>
      <w:r w:rsidR="0057572B" w:rsidRPr="00022690">
        <w:rPr>
          <w:rFonts w:ascii="Arial" w:hAnsi="Arial" w:cs="Arial"/>
          <w:sz w:val="24"/>
          <w:szCs w:val="24"/>
          <w:lang w:val="en-US"/>
        </w:rPr>
        <w:t>specification that the alternative technology offered by bidders must be SANS Certified or Agrément certified.</w:t>
      </w:r>
      <w:r w:rsidR="0057572B" w:rsidRPr="00FC4F04">
        <w:rPr>
          <w:rStyle w:val="FootnoteReference"/>
          <w:rFonts w:ascii="Arial" w:hAnsi="Arial" w:cs="Arial"/>
          <w:sz w:val="24"/>
          <w:szCs w:val="24"/>
          <w:lang w:val="en-US"/>
        </w:rPr>
        <w:footnoteReference w:id="8"/>
      </w:r>
      <w:r w:rsidR="0057572B" w:rsidRPr="00022690">
        <w:rPr>
          <w:rFonts w:ascii="Arial" w:hAnsi="Arial" w:cs="Arial"/>
          <w:sz w:val="24"/>
          <w:szCs w:val="24"/>
          <w:lang w:val="en-US"/>
        </w:rPr>
        <w:t xml:space="preserve">  This is said to be in breach of Regulation 18(15) of the Regulations Relating to Minimum Uniform Norms and Standards for Public School Infrastructure, which provides: </w:t>
      </w:r>
    </w:p>
    <w:p w:rsidR="0057572B" w:rsidRPr="00FC4F04" w:rsidRDefault="0057572B" w:rsidP="00AC6E85">
      <w:pPr>
        <w:pStyle w:val="ListParagraph"/>
        <w:spacing w:line="360" w:lineRule="auto"/>
        <w:jc w:val="both"/>
        <w:rPr>
          <w:rFonts w:ascii="Arial" w:hAnsi="Arial" w:cs="Arial"/>
          <w:sz w:val="24"/>
          <w:szCs w:val="24"/>
          <w:lang w:val="en-US"/>
        </w:rPr>
      </w:pPr>
      <w:r w:rsidRPr="00FC4F04">
        <w:rPr>
          <w:rFonts w:ascii="Arial" w:hAnsi="Arial" w:cs="Arial"/>
          <w:sz w:val="24"/>
          <w:szCs w:val="24"/>
          <w:lang w:val="en-US"/>
        </w:rPr>
        <w:t xml:space="preserve">‘Where the use of alternative or innovative building technologies are to be considered for the implement of the norms and standards contained in these regulations, certification is required from Agrément South Africa.’  </w:t>
      </w:r>
    </w:p>
    <w:p w:rsidR="0057572B" w:rsidRPr="00FC4F04" w:rsidRDefault="0057572B" w:rsidP="0057572B">
      <w:pPr>
        <w:pStyle w:val="ListParagraph"/>
        <w:rPr>
          <w:rFonts w:ascii="Arial" w:hAnsi="Arial" w:cs="Arial"/>
          <w:sz w:val="24"/>
          <w:szCs w:val="24"/>
          <w:lang w:val="en-US"/>
        </w:rPr>
      </w:pPr>
    </w:p>
    <w:p w:rsidR="006726B9" w:rsidRPr="00FC4F04" w:rsidRDefault="006726B9" w:rsidP="0057572B">
      <w:pPr>
        <w:pStyle w:val="ListParagraph"/>
        <w:rPr>
          <w:rFonts w:ascii="Arial" w:hAnsi="Arial" w:cs="Arial"/>
          <w:sz w:val="24"/>
          <w:szCs w:val="24"/>
          <w:lang w:val="en-US"/>
        </w:rPr>
      </w:pPr>
    </w:p>
    <w:p w:rsidR="006726B9" w:rsidRPr="00022690" w:rsidRDefault="00022690" w:rsidP="00022690">
      <w:pPr>
        <w:spacing w:line="480" w:lineRule="auto"/>
        <w:ind w:left="360" w:hanging="360"/>
        <w:jc w:val="both"/>
        <w:rPr>
          <w:rFonts w:ascii="Arial" w:hAnsi="Arial" w:cs="Arial"/>
          <w:sz w:val="24"/>
          <w:szCs w:val="24"/>
          <w:lang w:val="en-US"/>
        </w:rPr>
      </w:pPr>
      <w:r w:rsidRPr="00FC4F04">
        <w:rPr>
          <w:rFonts w:ascii="Arial" w:hAnsi="Arial" w:cs="Arial"/>
          <w:sz w:val="24"/>
          <w:szCs w:val="24"/>
          <w:lang w:val="en-US"/>
        </w:rPr>
        <w:t>16.</w:t>
      </w:r>
      <w:r w:rsidRPr="00FC4F04">
        <w:rPr>
          <w:rFonts w:ascii="Arial" w:hAnsi="Arial" w:cs="Arial"/>
          <w:sz w:val="24"/>
          <w:szCs w:val="24"/>
          <w:lang w:val="en-US"/>
        </w:rPr>
        <w:tab/>
      </w:r>
      <w:r w:rsidR="0057572B" w:rsidRPr="00022690">
        <w:rPr>
          <w:rFonts w:ascii="Arial" w:hAnsi="Arial" w:cs="Arial"/>
          <w:sz w:val="24"/>
          <w:szCs w:val="24"/>
          <w:lang w:val="en-US"/>
        </w:rPr>
        <w:t>The effect of this contention, if correct, would be to restrict any tender process to solicit alternative or innovative building technologies to those that are Agr</w:t>
      </w:r>
      <w:r w:rsidR="006726B9" w:rsidRPr="00022690">
        <w:rPr>
          <w:rFonts w:ascii="Arial" w:hAnsi="Arial" w:cs="Arial"/>
          <w:sz w:val="24"/>
          <w:szCs w:val="24"/>
          <w:lang w:val="en-US"/>
        </w:rPr>
        <w:t>é</w:t>
      </w:r>
      <w:r w:rsidR="0057572B" w:rsidRPr="00022690">
        <w:rPr>
          <w:rFonts w:ascii="Arial" w:hAnsi="Arial" w:cs="Arial"/>
          <w:sz w:val="24"/>
          <w:szCs w:val="24"/>
          <w:lang w:val="en-US"/>
        </w:rPr>
        <w:t>ment certified</w:t>
      </w:r>
      <w:r w:rsidR="006726B9" w:rsidRPr="00022690">
        <w:rPr>
          <w:rFonts w:ascii="Arial" w:hAnsi="Arial" w:cs="Arial"/>
          <w:sz w:val="24"/>
          <w:szCs w:val="24"/>
          <w:lang w:val="en-US"/>
        </w:rPr>
        <w:t xml:space="preserve">.  </w:t>
      </w:r>
      <w:r w:rsidR="00FC4F04" w:rsidRPr="00022690">
        <w:rPr>
          <w:rFonts w:ascii="Arial" w:hAnsi="Arial" w:cs="Arial"/>
          <w:sz w:val="24"/>
          <w:szCs w:val="24"/>
          <w:lang w:val="en-US"/>
        </w:rPr>
        <w:t>As mentioned, a</w:t>
      </w:r>
      <w:r w:rsidR="006726B9" w:rsidRPr="00022690">
        <w:rPr>
          <w:rFonts w:ascii="Arial" w:hAnsi="Arial" w:cs="Arial"/>
          <w:sz w:val="24"/>
          <w:szCs w:val="24"/>
          <w:lang w:val="en-US"/>
        </w:rPr>
        <w:t xml:space="preserve">lthough the applicant’s product is not a dry sanitation system, it does carry </w:t>
      </w:r>
      <w:r w:rsidR="00AC6E85" w:rsidRPr="00022690">
        <w:rPr>
          <w:rFonts w:ascii="Arial" w:hAnsi="Arial" w:cs="Arial"/>
          <w:sz w:val="24"/>
          <w:szCs w:val="24"/>
          <w:lang w:val="en-US"/>
        </w:rPr>
        <w:t>Agrément</w:t>
      </w:r>
      <w:r w:rsidR="006726B9" w:rsidRPr="00022690">
        <w:rPr>
          <w:rFonts w:ascii="Arial" w:hAnsi="Arial" w:cs="Arial"/>
          <w:sz w:val="24"/>
          <w:szCs w:val="24"/>
          <w:lang w:val="en-US"/>
        </w:rPr>
        <w:t xml:space="preserve"> certification.</w:t>
      </w:r>
    </w:p>
    <w:p w:rsidR="006726B9" w:rsidRPr="00FC4F04" w:rsidRDefault="006726B9" w:rsidP="006726B9">
      <w:pPr>
        <w:pStyle w:val="ListParagraph"/>
        <w:spacing w:line="480" w:lineRule="auto"/>
        <w:ind w:left="360"/>
        <w:jc w:val="both"/>
        <w:rPr>
          <w:rFonts w:ascii="Arial" w:hAnsi="Arial" w:cs="Arial"/>
          <w:sz w:val="24"/>
          <w:szCs w:val="24"/>
          <w:lang w:val="en-US"/>
        </w:rPr>
      </w:pPr>
    </w:p>
    <w:p w:rsidR="002E2E45" w:rsidRPr="00022690" w:rsidRDefault="00022690" w:rsidP="00022690">
      <w:pPr>
        <w:spacing w:line="480" w:lineRule="auto"/>
        <w:ind w:left="360" w:hanging="360"/>
        <w:jc w:val="both"/>
        <w:rPr>
          <w:rFonts w:ascii="Arial" w:hAnsi="Arial" w:cs="Arial"/>
          <w:sz w:val="24"/>
          <w:szCs w:val="24"/>
          <w:lang w:val="en-US"/>
        </w:rPr>
      </w:pPr>
      <w:r w:rsidRPr="00FC4F04">
        <w:rPr>
          <w:rFonts w:ascii="Arial" w:hAnsi="Arial" w:cs="Arial"/>
          <w:sz w:val="24"/>
          <w:szCs w:val="24"/>
          <w:lang w:val="en-US"/>
        </w:rPr>
        <w:t>17.</w:t>
      </w:r>
      <w:r w:rsidRPr="00FC4F04">
        <w:rPr>
          <w:rFonts w:ascii="Arial" w:hAnsi="Arial" w:cs="Arial"/>
          <w:sz w:val="24"/>
          <w:szCs w:val="24"/>
          <w:lang w:val="en-US"/>
        </w:rPr>
        <w:tab/>
      </w:r>
      <w:r w:rsidR="006726B9" w:rsidRPr="00022690">
        <w:rPr>
          <w:rFonts w:ascii="Arial" w:hAnsi="Arial" w:cs="Arial"/>
          <w:sz w:val="24"/>
          <w:szCs w:val="24"/>
          <w:lang w:val="en-US"/>
        </w:rPr>
        <w:t xml:space="preserve"> </w:t>
      </w:r>
      <w:r w:rsidR="000B7411" w:rsidRPr="00022690">
        <w:rPr>
          <w:rFonts w:ascii="Arial" w:hAnsi="Arial" w:cs="Arial"/>
          <w:sz w:val="24"/>
          <w:szCs w:val="24"/>
          <w:lang w:val="en-US"/>
        </w:rPr>
        <w:t xml:space="preserve">The Minister defends the application by raising three technical or preliminary points.  First, the Minister contends that the applicant ought to have joined the appointed contractors.  Second, the applicant is said to lack standing to institute the application.  Third, </w:t>
      </w:r>
      <w:r w:rsidR="00FC4F04" w:rsidRPr="00022690">
        <w:rPr>
          <w:rFonts w:ascii="Arial" w:hAnsi="Arial" w:cs="Arial"/>
          <w:sz w:val="24"/>
          <w:szCs w:val="24"/>
          <w:lang w:val="en-US"/>
        </w:rPr>
        <w:t>the Minister contends that the applicant</w:t>
      </w:r>
      <w:r w:rsidR="000B7411" w:rsidRPr="00022690">
        <w:rPr>
          <w:rFonts w:ascii="Arial" w:hAnsi="Arial" w:cs="Arial"/>
          <w:sz w:val="24"/>
          <w:szCs w:val="24"/>
          <w:lang w:val="en-US"/>
        </w:rPr>
        <w:t xml:space="preserve"> ha</w:t>
      </w:r>
      <w:r w:rsidR="00FC4F04" w:rsidRPr="00022690">
        <w:rPr>
          <w:rFonts w:ascii="Arial" w:hAnsi="Arial" w:cs="Arial"/>
          <w:sz w:val="24"/>
          <w:szCs w:val="24"/>
          <w:lang w:val="en-US"/>
        </w:rPr>
        <w:t>s</w:t>
      </w:r>
      <w:r w:rsidR="000B7411" w:rsidRPr="00022690">
        <w:rPr>
          <w:rFonts w:ascii="Arial" w:hAnsi="Arial" w:cs="Arial"/>
          <w:sz w:val="24"/>
          <w:szCs w:val="24"/>
          <w:lang w:val="en-US"/>
        </w:rPr>
        <w:t xml:space="preserve"> failed to make out a </w:t>
      </w:r>
      <w:r w:rsidR="000B7411" w:rsidRPr="00022690">
        <w:rPr>
          <w:rFonts w:ascii="Arial" w:hAnsi="Arial" w:cs="Arial"/>
          <w:i/>
          <w:sz w:val="24"/>
          <w:szCs w:val="24"/>
          <w:lang w:val="en-US"/>
        </w:rPr>
        <w:t>prima facie</w:t>
      </w:r>
      <w:r w:rsidR="000B7411" w:rsidRPr="00022690">
        <w:rPr>
          <w:rFonts w:ascii="Arial" w:hAnsi="Arial" w:cs="Arial"/>
          <w:sz w:val="24"/>
          <w:szCs w:val="24"/>
          <w:lang w:val="en-US"/>
        </w:rPr>
        <w:t xml:space="preserve"> case in terms of PAJA’s essential requirements</w:t>
      </w:r>
      <w:r w:rsidR="006726B9" w:rsidRPr="00022690">
        <w:rPr>
          <w:rFonts w:ascii="Arial" w:hAnsi="Arial" w:cs="Arial"/>
          <w:sz w:val="24"/>
          <w:szCs w:val="24"/>
          <w:lang w:val="en-US"/>
        </w:rPr>
        <w:t xml:space="preserve">.  More specifically, it is contended that the grounds of review are not </w:t>
      </w:r>
      <w:r w:rsidR="00FC4F04" w:rsidRPr="00022690">
        <w:rPr>
          <w:rFonts w:ascii="Arial" w:hAnsi="Arial" w:cs="Arial"/>
          <w:sz w:val="24"/>
          <w:szCs w:val="24"/>
          <w:lang w:val="en-US"/>
        </w:rPr>
        <w:t xml:space="preserve">adequately pleaded </w:t>
      </w:r>
      <w:r w:rsidR="006726B9" w:rsidRPr="00022690">
        <w:rPr>
          <w:rFonts w:ascii="Arial" w:hAnsi="Arial" w:cs="Arial"/>
          <w:sz w:val="24"/>
          <w:szCs w:val="24"/>
          <w:lang w:val="en-US"/>
        </w:rPr>
        <w:t xml:space="preserve">and the </w:t>
      </w:r>
      <w:r w:rsidR="00AC6E85" w:rsidRPr="00022690">
        <w:rPr>
          <w:rFonts w:ascii="Arial" w:hAnsi="Arial" w:cs="Arial"/>
          <w:sz w:val="24"/>
          <w:szCs w:val="24"/>
          <w:lang w:val="en-US"/>
        </w:rPr>
        <w:t xml:space="preserve">definitional </w:t>
      </w:r>
      <w:r w:rsidR="006726B9" w:rsidRPr="00022690">
        <w:rPr>
          <w:rFonts w:ascii="Arial" w:hAnsi="Arial" w:cs="Arial"/>
          <w:sz w:val="24"/>
          <w:szCs w:val="24"/>
          <w:lang w:val="en-US"/>
        </w:rPr>
        <w:t xml:space="preserve">requirement that a decision must ‘adversely affect the rights’ of a person to constitute administrative action is not met. </w:t>
      </w:r>
    </w:p>
    <w:p w:rsidR="006726B9" w:rsidRPr="00FC4F04" w:rsidRDefault="006726B9" w:rsidP="006726B9">
      <w:pPr>
        <w:pStyle w:val="ListParagraph"/>
        <w:rPr>
          <w:rFonts w:ascii="Arial" w:hAnsi="Arial" w:cs="Arial"/>
          <w:sz w:val="24"/>
          <w:szCs w:val="24"/>
          <w:lang w:val="en-US"/>
        </w:rPr>
      </w:pPr>
    </w:p>
    <w:p w:rsidR="006726B9" w:rsidRPr="00022690" w:rsidRDefault="00022690" w:rsidP="00022690">
      <w:pPr>
        <w:spacing w:line="480" w:lineRule="auto"/>
        <w:ind w:left="360" w:hanging="360"/>
        <w:jc w:val="both"/>
        <w:rPr>
          <w:rFonts w:ascii="Arial" w:hAnsi="Arial" w:cs="Arial"/>
          <w:sz w:val="24"/>
          <w:szCs w:val="24"/>
          <w:lang w:val="en-US"/>
        </w:rPr>
      </w:pPr>
      <w:r w:rsidRPr="00FC4F04">
        <w:rPr>
          <w:rFonts w:ascii="Arial" w:hAnsi="Arial" w:cs="Arial"/>
          <w:sz w:val="24"/>
          <w:szCs w:val="24"/>
          <w:lang w:val="en-US"/>
        </w:rPr>
        <w:t>18.</w:t>
      </w:r>
      <w:r w:rsidRPr="00FC4F04">
        <w:rPr>
          <w:rFonts w:ascii="Arial" w:hAnsi="Arial" w:cs="Arial"/>
          <w:sz w:val="24"/>
          <w:szCs w:val="24"/>
          <w:lang w:val="en-US"/>
        </w:rPr>
        <w:tab/>
      </w:r>
      <w:r w:rsidR="006726B9" w:rsidRPr="00022690">
        <w:rPr>
          <w:rFonts w:ascii="Arial" w:hAnsi="Arial" w:cs="Arial"/>
          <w:sz w:val="24"/>
          <w:szCs w:val="24"/>
          <w:lang w:val="en-US"/>
        </w:rPr>
        <w:t>During the hearing, counsel for the NECT argued the case squarely on the merits of the review.   However, counsel had no instructions to abandon two technical or pr</w:t>
      </w:r>
      <w:r w:rsidR="009D45FF" w:rsidRPr="00022690">
        <w:rPr>
          <w:rFonts w:ascii="Arial" w:hAnsi="Arial" w:cs="Arial"/>
          <w:sz w:val="24"/>
          <w:szCs w:val="24"/>
          <w:lang w:val="en-US"/>
        </w:rPr>
        <w:t>eliminary points advanced on its</w:t>
      </w:r>
      <w:r w:rsidR="006726B9" w:rsidRPr="00022690">
        <w:rPr>
          <w:rFonts w:ascii="Arial" w:hAnsi="Arial" w:cs="Arial"/>
          <w:sz w:val="24"/>
          <w:szCs w:val="24"/>
          <w:lang w:val="en-US"/>
        </w:rPr>
        <w:t xml:space="preserve"> papers, being the non-joinder and standing points also raised by the Minister.  On the merits, the NECT defends the decision to restrict bidding to dry sanitation systems</w:t>
      </w:r>
      <w:r w:rsidR="00FC4F04" w:rsidRPr="00022690">
        <w:rPr>
          <w:rFonts w:ascii="Arial" w:hAnsi="Arial" w:cs="Arial"/>
          <w:sz w:val="24"/>
          <w:szCs w:val="24"/>
          <w:lang w:val="en-US"/>
        </w:rPr>
        <w:t xml:space="preserve"> centrally</w:t>
      </w:r>
      <w:r w:rsidR="006726B9" w:rsidRPr="00022690">
        <w:rPr>
          <w:rFonts w:ascii="Arial" w:hAnsi="Arial" w:cs="Arial"/>
          <w:sz w:val="24"/>
          <w:szCs w:val="24"/>
          <w:lang w:val="en-US"/>
        </w:rPr>
        <w:t xml:space="preserve"> on a factual basis,</w:t>
      </w:r>
      <w:r w:rsidR="00FC4F04" w:rsidRPr="00022690">
        <w:rPr>
          <w:rFonts w:ascii="Arial" w:hAnsi="Arial" w:cs="Arial"/>
          <w:sz w:val="24"/>
          <w:szCs w:val="24"/>
          <w:lang w:val="en-US"/>
        </w:rPr>
        <w:t xml:space="preserve"> and by</w:t>
      </w:r>
      <w:r w:rsidR="006726B9" w:rsidRPr="00022690">
        <w:rPr>
          <w:rFonts w:ascii="Arial" w:hAnsi="Arial" w:cs="Arial"/>
          <w:sz w:val="24"/>
          <w:szCs w:val="24"/>
          <w:lang w:val="en-US"/>
        </w:rPr>
        <w:t xml:space="preserve"> contending that it is the appropriate sanitation solution for schools in deep rural areas that are water scarce and that have no bulk water supply or running water, these being the affected schools.  The NECT defends the impugned specification that allows either SANS or Agrément </w:t>
      </w:r>
      <w:r w:rsidR="008913AA" w:rsidRPr="00022690">
        <w:rPr>
          <w:rFonts w:ascii="Arial" w:hAnsi="Arial" w:cs="Arial"/>
          <w:sz w:val="24"/>
          <w:szCs w:val="24"/>
          <w:lang w:val="en-US"/>
        </w:rPr>
        <w:t>certification</w:t>
      </w:r>
      <w:r w:rsidR="006726B9" w:rsidRPr="00022690">
        <w:rPr>
          <w:rFonts w:ascii="Arial" w:hAnsi="Arial" w:cs="Arial"/>
          <w:sz w:val="24"/>
          <w:szCs w:val="24"/>
          <w:lang w:val="en-US"/>
        </w:rPr>
        <w:t xml:space="preserve"> on two grounds.  The first, emphasized in the answering affidavit and heads of argument, amounts to a contention that there is substantial compliance with the applicable regulations, which</w:t>
      </w:r>
      <w:r w:rsidR="00FC4F04" w:rsidRPr="00022690">
        <w:rPr>
          <w:rFonts w:ascii="Arial" w:hAnsi="Arial" w:cs="Arial"/>
          <w:sz w:val="24"/>
          <w:szCs w:val="24"/>
          <w:lang w:val="en-US"/>
        </w:rPr>
        <w:t>, it is submitted,</w:t>
      </w:r>
      <w:r w:rsidR="006726B9" w:rsidRPr="00022690">
        <w:rPr>
          <w:rFonts w:ascii="Arial" w:hAnsi="Arial" w:cs="Arial"/>
          <w:sz w:val="24"/>
          <w:szCs w:val="24"/>
          <w:lang w:val="en-US"/>
        </w:rPr>
        <w:t xml:space="preserve"> permit of deviation</w:t>
      </w:r>
      <w:r w:rsidR="006A2C27" w:rsidRPr="00022690">
        <w:rPr>
          <w:rFonts w:ascii="Arial" w:hAnsi="Arial" w:cs="Arial"/>
          <w:sz w:val="24"/>
          <w:szCs w:val="24"/>
          <w:lang w:val="en-US"/>
        </w:rPr>
        <w:t xml:space="preserve"> based on reasonable practicability.   The second, emphasized in oral argument is a legal argument to the effect that the </w:t>
      </w:r>
      <w:r w:rsidR="00FC4F04" w:rsidRPr="00022690">
        <w:rPr>
          <w:rFonts w:ascii="Arial" w:hAnsi="Arial" w:cs="Arial"/>
          <w:sz w:val="24"/>
          <w:szCs w:val="24"/>
          <w:lang w:val="en-US"/>
        </w:rPr>
        <w:t xml:space="preserve">impugned specification is authorized by the Minimum Norms and Standards Regulations, </w:t>
      </w:r>
      <w:r w:rsidR="006A2C27" w:rsidRPr="00022690">
        <w:rPr>
          <w:rFonts w:ascii="Arial" w:hAnsi="Arial" w:cs="Arial"/>
          <w:sz w:val="24"/>
          <w:szCs w:val="24"/>
          <w:lang w:val="en-US"/>
        </w:rPr>
        <w:t>properly construed</w:t>
      </w:r>
      <w:r w:rsidR="00FC4F04" w:rsidRPr="00022690">
        <w:rPr>
          <w:rFonts w:ascii="Arial" w:hAnsi="Arial" w:cs="Arial"/>
          <w:sz w:val="24"/>
          <w:szCs w:val="24"/>
          <w:lang w:val="en-US"/>
        </w:rPr>
        <w:t xml:space="preserve"> in light of the Agrément Act</w:t>
      </w:r>
      <w:r w:rsidR="006A2C27" w:rsidRPr="00022690">
        <w:rPr>
          <w:rFonts w:ascii="Arial" w:hAnsi="Arial" w:cs="Arial"/>
          <w:sz w:val="24"/>
          <w:szCs w:val="24"/>
          <w:lang w:val="en-US"/>
        </w:rPr>
        <w:t xml:space="preserve">. </w:t>
      </w:r>
      <w:r w:rsidR="006726B9" w:rsidRPr="00022690">
        <w:rPr>
          <w:rFonts w:ascii="Arial" w:hAnsi="Arial" w:cs="Arial"/>
          <w:sz w:val="24"/>
          <w:szCs w:val="24"/>
          <w:lang w:val="en-US"/>
        </w:rPr>
        <w:t xml:space="preserve"> </w:t>
      </w:r>
    </w:p>
    <w:p w:rsidR="006A2C27" w:rsidRPr="00FC4F04" w:rsidRDefault="006A2C27" w:rsidP="006A2C27">
      <w:pPr>
        <w:pStyle w:val="ListParagraph"/>
        <w:rPr>
          <w:rFonts w:ascii="Arial" w:hAnsi="Arial" w:cs="Arial"/>
          <w:sz w:val="24"/>
          <w:szCs w:val="24"/>
          <w:lang w:val="en-US"/>
        </w:rPr>
      </w:pPr>
    </w:p>
    <w:p w:rsidR="006A2C27" w:rsidRPr="00022690" w:rsidRDefault="00022690" w:rsidP="00022690">
      <w:pPr>
        <w:spacing w:line="480" w:lineRule="auto"/>
        <w:ind w:left="360" w:hanging="360"/>
        <w:jc w:val="both"/>
        <w:rPr>
          <w:rFonts w:ascii="Arial" w:hAnsi="Arial" w:cs="Arial"/>
          <w:sz w:val="24"/>
          <w:szCs w:val="24"/>
          <w:lang w:val="en-US"/>
        </w:rPr>
      </w:pPr>
      <w:r w:rsidRPr="00FC4F04">
        <w:rPr>
          <w:rFonts w:ascii="Arial" w:hAnsi="Arial" w:cs="Arial"/>
          <w:sz w:val="24"/>
          <w:szCs w:val="24"/>
          <w:lang w:val="en-US"/>
        </w:rPr>
        <w:t>19.</w:t>
      </w:r>
      <w:r w:rsidRPr="00FC4F04">
        <w:rPr>
          <w:rFonts w:ascii="Arial" w:hAnsi="Arial" w:cs="Arial"/>
          <w:sz w:val="24"/>
          <w:szCs w:val="24"/>
          <w:lang w:val="en-US"/>
        </w:rPr>
        <w:tab/>
      </w:r>
      <w:r w:rsidR="006A2C27" w:rsidRPr="00022690">
        <w:rPr>
          <w:rFonts w:ascii="Arial" w:hAnsi="Arial" w:cs="Arial"/>
          <w:sz w:val="24"/>
          <w:szCs w:val="24"/>
          <w:lang w:val="en-US"/>
        </w:rPr>
        <w:t xml:space="preserve">In light of the above, the following issues arise for decision: </w:t>
      </w:r>
    </w:p>
    <w:p w:rsidR="006A2C27" w:rsidRPr="00FC4F04" w:rsidRDefault="006A2C27" w:rsidP="006A2C27">
      <w:pPr>
        <w:pStyle w:val="ListParagraph"/>
        <w:rPr>
          <w:rFonts w:ascii="Arial" w:hAnsi="Arial" w:cs="Arial"/>
          <w:sz w:val="24"/>
          <w:szCs w:val="24"/>
          <w:lang w:val="en-US"/>
        </w:rPr>
      </w:pPr>
    </w:p>
    <w:p w:rsidR="006A2C27" w:rsidRPr="00022690" w:rsidRDefault="00022690" w:rsidP="00022690">
      <w:pPr>
        <w:spacing w:line="480" w:lineRule="auto"/>
        <w:ind w:left="1134" w:hanging="774"/>
        <w:jc w:val="both"/>
        <w:rPr>
          <w:rFonts w:ascii="Arial" w:hAnsi="Arial" w:cs="Arial"/>
          <w:sz w:val="24"/>
          <w:szCs w:val="24"/>
          <w:lang w:val="en-US"/>
        </w:rPr>
      </w:pPr>
      <w:r w:rsidRPr="00FC4F04">
        <w:rPr>
          <w:rFonts w:ascii="Arial" w:hAnsi="Arial" w:cs="Arial"/>
          <w:sz w:val="24"/>
          <w:szCs w:val="24"/>
          <w:lang w:val="en-US"/>
        </w:rPr>
        <w:t>19.1.</w:t>
      </w:r>
      <w:r w:rsidRPr="00FC4F04">
        <w:rPr>
          <w:rFonts w:ascii="Arial" w:hAnsi="Arial" w:cs="Arial"/>
          <w:sz w:val="24"/>
          <w:szCs w:val="24"/>
          <w:lang w:val="en-US"/>
        </w:rPr>
        <w:tab/>
      </w:r>
      <w:r w:rsidR="006A2C27" w:rsidRPr="00022690">
        <w:rPr>
          <w:rFonts w:ascii="Arial" w:hAnsi="Arial" w:cs="Arial"/>
          <w:sz w:val="24"/>
          <w:szCs w:val="24"/>
          <w:lang w:val="en-US"/>
        </w:rPr>
        <w:t>Does the applicant have standing?</w:t>
      </w:r>
    </w:p>
    <w:p w:rsidR="006A2C27" w:rsidRPr="00022690" w:rsidRDefault="00022690" w:rsidP="00022690">
      <w:pPr>
        <w:spacing w:line="480" w:lineRule="auto"/>
        <w:ind w:left="1134" w:hanging="774"/>
        <w:jc w:val="both"/>
        <w:rPr>
          <w:rFonts w:ascii="Arial" w:hAnsi="Arial" w:cs="Arial"/>
          <w:sz w:val="24"/>
          <w:szCs w:val="24"/>
          <w:lang w:val="en-US"/>
        </w:rPr>
      </w:pPr>
      <w:r w:rsidRPr="00FC4F04">
        <w:rPr>
          <w:rFonts w:ascii="Arial" w:hAnsi="Arial" w:cs="Arial"/>
          <w:sz w:val="24"/>
          <w:szCs w:val="24"/>
          <w:lang w:val="en-US"/>
        </w:rPr>
        <w:t>19.2.</w:t>
      </w:r>
      <w:r w:rsidRPr="00FC4F04">
        <w:rPr>
          <w:rFonts w:ascii="Arial" w:hAnsi="Arial" w:cs="Arial"/>
          <w:sz w:val="24"/>
          <w:szCs w:val="24"/>
          <w:lang w:val="en-US"/>
        </w:rPr>
        <w:tab/>
      </w:r>
      <w:r w:rsidR="006A2C27" w:rsidRPr="00022690">
        <w:rPr>
          <w:rFonts w:ascii="Arial" w:hAnsi="Arial" w:cs="Arial"/>
          <w:sz w:val="24"/>
          <w:szCs w:val="24"/>
          <w:lang w:val="en-US"/>
        </w:rPr>
        <w:t>Was the applicant obliged to join the successful bidders who have commenced works?</w:t>
      </w:r>
    </w:p>
    <w:p w:rsidR="006A2C27" w:rsidRPr="00022690" w:rsidRDefault="00022690" w:rsidP="00022690">
      <w:pPr>
        <w:spacing w:line="480" w:lineRule="auto"/>
        <w:ind w:left="1134" w:hanging="774"/>
        <w:jc w:val="both"/>
        <w:rPr>
          <w:rFonts w:ascii="Arial" w:hAnsi="Arial" w:cs="Arial"/>
          <w:sz w:val="24"/>
          <w:szCs w:val="24"/>
          <w:lang w:val="en-US"/>
        </w:rPr>
      </w:pPr>
      <w:r w:rsidRPr="00FC4F04">
        <w:rPr>
          <w:rFonts w:ascii="Arial" w:hAnsi="Arial" w:cs="Arial"/>
          <w:sz w:val="24"/>
          <w:szCs w:val="24"/>
          <w:lang w:val="en-US"/>
        </w:rPr>
        <w:t>19.3.</w:t>
      </w:r>
      <w:r w:rsidRPr="00FC4F04">
        <w:rPr>
          <w:rFonts w:ascii="Arial" w:hAnsi="Arial" w:cs="Arial"/>
          <w:sz w:val="24"/>
          <w:szCs w:val="24"/>
          <w:lang w:val="en-US"/>
        </w:rPr>
        <w:tab/>
      </w:r>
      <w:r w:rsidR="006A2C27" w:rsidRPr="00022690">
        <w:rPr>
          <w:rFonts w:ascii="Arial" w:hAnsi="Arial" w:cs="Arial"/>
          <w:sz w:val="24"/>
          <w:szCs w:val="24"/>
          <w:lang w:val="en-US"/>
        </w:rPr>
        <w:t xml:space="preserve">Has the applicant made out a </w:t>
      </w:r>
      <w:r w:rsidR="006A2C27" w:rsidRPr="00022690">
        <w:rPr>
          <w:rFonts w:ascii="Arial" w:hAnsi="Arial" w:cs="Arial"/>
          <w:i/>
          <w:sz w:val="24"/>
          <w:szCs w:val="24"/>
          <w:lang w:val="en-US"/>
        </w:rPr>
        <w:t xml:space="preserve">prima facie </w:t>
      </w:r>
      <w:r w:rsidR="006A2C27" w:rsidRPr="00022690">
        <w:rPr>
          <w:rFonts w:ascii="Arial" w:hAnsi="Arial" w:cs="Arial"/>
          <w:sz w:val="24"/>
          <w:szCs w:val="24"/>
          <w:lang w:val="en-US"/>
        </w:rPr>
        <w:t>case under PAJA?</w:t>
      </w:r>
    </w:p>
    <w:p w:rsidR="006A2C27" w:rsidRPr="00022690" w:rsidRDefault="00022690" w:rsidP="00022690">
      <w:pPr>
        <w:spacing w:line="480" w:lineRule="auto"/>
        <w:ind w:left="1134" w:hanging="774"/>
        <w:jc w:val="both"/>
        <w:rPr>
          <w:rFonts w:ascii="Arial" w:hAnsi="Arial" w:cs="Arial"/>
          <w:sz w:val="24"/>
          <w:szCs w:val="24"/>
          <w:lang w:val="en-US"/>
        </w:rPr>
      </w:pPr>
      <w:r w:rsidRPr="00FC4F04">
        <w:rPr>
          <w:rFonts w:ascii="Arial" w:hAnsi="Arial" w:cs="Arial"/>
          <w:sz w:val="24"/>
          <w:szCs w:val="24"/>
          <w:lang w:val="en-US"/>
        </w:rPr>
        <w:t>19.4.</w:t>
      </w:r>
      <w:r w:rsidRPr="00FC4F04">
        <w:rPr>
          <w:rFonts w:ascii="Arial" w:hAnsi="Arial" w:cs="Arial"/>
          <w:sz w:val="24"/>
          <w:szCs w:val="24"/>
          <w:lang w:val="en-US"/>
        </w:rPr>
        <w:tab/>
      </w:r>
      <w:r w:rsidR="006A2C27" w:rsidRPr="00022690">
        <w:rPr>
          <w:rFonts w:ascii="Arial" w:hAnsi="Arial" w:cs="Arial"/>
          <w:sz w:val="24"/>
          <w:szCs w:val="24"/>
          <w:lang w:val="en-US"/>
        </w:rPr>
        <w:t xml:space="preserve">Is the </w:t>
      </w:r>
      <w:r w:rsidR="00AC6E85" w:rsidRPr="00022690">
        <w:rPr>
          <w:rFonts w:ascii="Arial" w:hAnsi="Arial" w:cs="Arial"/>
          <w:sz w:val="24"/>
          <w:szCs w:val="24"/>
          <w:lang w:val="en-US"/>
        </w:rPr>
        <w:t xml:space="preserve">dry sanitation systems specification lawful and </w:t>
      </w:r>
      <w:r w:rsidR="006A2C27" w:rsidRPr="00022690">
        <w:rPr>
          <w:rFonts w:ascii="Arial" w:hAnsi="Arial" w:cs="Arial"/>
          <w:sz w:val="24"/>
          <w:szCs w:val="24"/>
          <w:lang w:val="en-US"/>
        </w:rPr>
        <w:t>rational?</w:t>
      </w:r>
    </w:p>
    <w:p w:rsidR="006A2C27" w:rsidRPr="00022690" w:rsidRDefault="00022690" w:rsidP="00022690">
      <w:pPr>
        <w:spacing w:line="480" w:lineRule="auto"/>
        <w:ind w:left="1134" w:hanging="774"/>
        <w:jc w:val="both"/>
        <w:rPr>
          <w:rFonts w:ascii="Arial" w:hAnsi="Arial" w:cs="Arial"/>
          <w:lang w:val="en-US"/>
        </w:rPr>
      </w:pPr>
      <w:r>
        <w:rPr>
          <w:rFonts w:ascii="Arial" w:hAnsi="Arial" w:cs="Arial"/>
          <w:lang w:val="en-US"/>
        </w:rPr>
        <w:t>19.5.</w:t>
      </w:r>
      <w:r>
        <w:rPr>
          <w:rFonts w:ascii="Arial" w:hAnsi="Arial" w:cs="Arial"/>
          <w:lang w:val="en-US"/>
        </w:rPr>
        <w:tab/>
      </w:r>
      <w:r w:rsidR="006A2C27" w:rsidRPr="00022690">
        <w:rPr>
          <w:rFonts w:ascii="Arial" w:hAnsi="Arial" w:cs="Arial"/>
          <w:sz w:val="24"/>
          <w:szCs w:val="24"/>
          <w:lang w:val="en-US"/>
        </w:rPr>
        <w:t xml:space="preserve">Is the </w:t>
      </w:r>
      <w:r w:rsidR="00AC6E85" w:rsidRPr="00022690">
        <w:rPr>
          <w:rFonts w:ascii="Arial" w:hAnsi="Arial" w:cs="Arial"/>
          <w:sz w:val="24"/>
          <w:szCs w:val="24"/>
          <w:lang w:val="en-US"/>
        </w:rPr>
        <w:t xml:space="preserve">standards </w:t>
      </w:r>
      <w:r w:rsidR="006A2C27" w:rsidRPr="00022690">
        <w:rPr>
          <w:rFonts w:ascii="Arial" w:hAnsi="Arial" w:cs="Arial"/>
          <w:sz w:val="24"/>
          <w:szCs w:val="24"/>
          <w:lang w:val="en-US"/>
        </w:rPr>
        <w:t xml:space="preserve">specification </w:t>
      </w:r>
      <w:r w:rsidR="00AC6E85" w:rsidRPr="00022690">
        <w:rPr>
          <w:rFonts w:ascii="Arial" w:hAnsi="Arial" w:cs="Arial"/>
          <w:sz w:val="24"/>
          <w:szCs w:val="24"/>
          <w:lang w:val="en-US"/>
        </w:rPr>
        <w:t>lawful</w:t>
      </w:r>
      <w:r w:rsidR="006A2C27" w:rsidRPr="00022690">
        <w:rPr>
          <w:rFonts w:ascii="Arial" w:hAnsi="Arial" w:cs="Arial"/>
          <w:sz w:val="24"/>
          <w:szCs w:val="24"/>
          <w:lang w:val="en-US"/>
        </w:rPr>
        <w:t xml:space="preserve"> </w:t>
      </w:r>
      <w:r w:rsidR="00AC6E85" w:rsidRPr="00022690">
        <w:rPr>
          <w:rFonts w:ascii="Arial" w:hAnsi="Arial" w:cs="Arial"/>
          <w:sz w:val="24"/>
          <w:szCs w:val="24"/>
          <w:lang w:val="en-US"/>
        </w:rPr>
        <w:t xml:space="preserve">and </w:t>
      </w:r>
      <w:r w:rsidR="006A2C27" w:rsidRPr="00022690">
        <w:rPr>
          <w:rFonts w:ascii="Arial" w:hAnsi="Arial" w:cs="Arial"/>
          <w:sz w:val="24"/>
          <w:szCs w:val="24"/>
          <w:lang w:val="en-US"/>
        </w:rPr>
        <w:t>rational?</w:t>
      </w:r>
    </w:p>
    <w:p w:rsidR="0067740B" w:rsidRDefault="0067740B" w:rsidP="006A2C27">
      <w:pPr>
        <w:spacing w:line="480" w:lineRule="auto"/>
        <w:jc w:val="both"/>
        <w:rPr>
          <w:rFonts w:ascii="Arial" w:hAnsi="Arial" w:cs="Arial"/>
          <w:b/>
          <w:sz w:val="24"/>
          <w:szCs w:val="24"/>
          <w:lang w:val="en-US"/>
        </w:rPr>
      </w:pPr>
    </w:p>
    <w:p w:rsidR="006A2C27" w:rsidRPr="00FC4F04" w:rsidRDefault="006A2C27" w:rsidP="006A2C27">
      <w:pPr>
        <w:spacing w:line="480" w:lineRule="auto"/>
        <w:jc w:val="both"/>
        <w:rPr>
          <w:rFonts w:ascii="Arial" w:hAnsi="Arial" w:cs="Arial"/>
          <w:b/>
          <w:sz w:val="24"/>
          <w:szCs w:val="24"/>
          <w:lang w:val="en-US"/>
        </w:rPr>
      </w:pPr>
      <w:r w:rsidRPr="00FC4F04">
        <w:rPr>
          <w:rFonts w:ascii="Arial" w:hAnsi="Arial" w:cs="Arial"/>
          <w:b/>
          <w:sz w:val="24"/>
          <w:szCs w:val="24"/>
          <w:lang w:val="en-US"/>
        </w:rPr>
        <w:t>Standing</w:t>
      </w:r>
    </w:p>
    <w:p w:rsidR="00DF0D14" w:rsidRPr="00022690" w:rsidRDefault="00022690" w:rsidP="00022690">
      <w:pPr>
        <w:spacing w:line="480" w:lineRule="auto"/>
        <w:ind w:left="360" w:hanging="360"/>
        <w:jc w:val="both"/>
        <w:rPr>
          <w:rFonts w:ascii="Arial" w:hAnsi="Arial" w:cs="Arial"/>
          <w:sz w:val="24"/>
          <w:szCs w:val="24"/>
          <w:lang w:val="en-US"/>
        </w:rPr>
      </w:pPr>
      <w:r w:rsidRPr="00BE6740">
        <w:rPr>
          <w:rFonts w:ascii="Arial" w:hAnsi="Arial" w:cs="Arial"/>
          <w:sz w:val="24"/>
          <w:szCs w:val="24"/>
          <w:lang w:val="en-US"/>
        </w:rPr>
        <w:t>20.</w:t>
      </w:r>
      <w:r w:rsidRPr="00BE6740">
        <w:rPr>
          <w:rFonts w:ascii="Arial" w:hAnsi="Arial" w:cs="Arial"/>
          <w:sz w:val="24"/>
          <w:szCs w:val="24"/>
          <w:lang w:val="en-US"/>
        </w:rPr>
        <w:tab/>
      </w:r>
      <w:r w:rsidR="00C07D50" w:rsidRPr="00022690">
        <w:rPr>
          <w:rFonts w:ascii="Arial" w:hAnsi="Arial" w:cs="Arial"/>
          <w:sz w:val="24"/>
          <w:szCs w:val="24"/>
          <w:lang w:val="en-US"/>
        </w:rPr>
        <w:t>The applicant approaches the Court in its own interests, and, though only obliquely asserted, the interests of other potential contractors who may also wish to tender on broader eligibility criteria.  Only the Minister articulated the challenge to the applicant’s standing with any clarity</w:t>
      </w:r>
      <w:r w:rsidR="00AC6E85" w:rsidRPr="00022690">
        <w:rPr>
          <w:rFonts w:ascii="Arial" w:hAnsi="Arial" w:cs="Arial"/>
          <w:sz w:val="24"/>
          <w:szCs w:val="24"/>
          <w:lang w:val="en-US"/>
        </w:rPr>
        <w:t>.  The Minister contends that the</w:t>
      </w:r>
      <w:r w:rsidR="00114D45" w:rsidRPr="00022690">
        <w:rPr>
          <w:rFonts w:ascii="Arial" w:hAnsi="Arial" w:cs="Arial"/>
          <w:sz w:val="24"/>
          <w:szCs w:val="24"/>
          <w:lang w:val="en-US"/>
        </w:rPr>
        <w:t xml:space="preserve"> applicant lacks standing because its rights are not affected by the process to date, it has not submitted any expression of interest or bid and it only has some future possible interest, insufficient to ground standing.  As against this, the applicant pleaded and Mr Grobler submitted that the applicant has standing because it is wholly excluded from the tender process due to its alleged illegality.   If the illegality is cured – specifically, the restriction that only dry sanitation systems may be supplied, it would be able to participate in the tender process</w:t>
      </w:r>
      <w:r w:rsidR="009D45FF" w:rsidRPr="00022690">
        <w:rPr>
          <w:rFonts w:ascii="Arial" w:hAnsi="Arial" w:cs="Arial"/>
          <w:sz w:val="24"/>
          <w:szCs w:val="24"/>
          <w:lang w:val="en-US"/>
        </w:rPr>
        <w:t xml:space="preserve"> going forward</w:t>
      </w:r>
      <w:r w:rsidR="00114D45" w:rsidRPr="00022690">
        <w:rPr>
          <w:rFonts w:ascii="Arial" w:hAnsi="Arial" w:cs="Arial"/>
          <w:sz w:val="24"/>
          <w:szCs w:val="24"/>
          <w:lang w:val="en-US"/>
        </w:rPr>
        <w:t xml:space="preserve">.  </w:t>
      </w:r>
    </w:p>
    <w:p w:rsidR="00DF0D14" w:rsidRPr="00BE6740" w:rsidRDefault="00DF0D14" w:rsidP="00DF0D14">
      <w:pPr>
        <w:pStyle w:val="ListParagraph"/>
        <w:spacing w:line="480" w:lineRule="auto"/>
        <w:ind w:left="360"/>
        <w:jc w:val="both"/>
        <w:rPr>
          <w:rFonts w:ascii="Arial" w:hAnsi="Arial" w:cs="Arial"/>
          <w:sz w:val="24"/>
          <w:szCs w:val="24"/>
          <w:lang w:val="en-US"/>
        </w:rPr>
      </w:pPr>
    </w:p>
    <w:p w:rsidR="00AC6E85" w:rsidRPr="00022690" w:rsidRDefault="00022690" w:rsidP="00022690">
      <w:pPr>
        <w:spacing w:line="480" w:lineRule="auto"/>
        <w:ind w:left="360" w:hanging="360"/>
        <w:jc w:val="both"/>
        <w:rPr>
          <w:rFonts w:ascii="Arial" w:hAnsi="Arial" w:cs="Arial"/>
          <w:sz w:val="24"/>
          <w:szCs w:val="24"/>
          <w:lang w:val="en-US"/>
        </w:rPr>
      </w:pPr>
      <w:r w:rsidRPr="00BE6740">
        <w:rPr>
          <w:rFonts w:ascii="Arial" w:hAnsi="Arial" w:cs="Arial"/>
          <w:sz w:val="24"/>
          <w:szCs w:val="24"/>
          <w:lang w:val="en-US"/>
        </w:rPr>
        <w:t>21.</w:t>
      </w:r>
      <w:r w:rsidRPr="00BE6740">
        <w:rPr>
          <w:rFonts w:ascii="Arial" w:hAnsi="Arial" w:cs="Arial"/>
          <w:sz w:val="24"/>
          <w:szCs w:val="24"/>
          <w:lang w:val="en-US"/>
        </w:rPr>
        <w:tab/>
      </w:r>
      <w:r w:rsidR="00FF6463" w:rsidRPr="00022690">
        <w:rPr>
          <w:rFonts w:ascii="Arial" w:hAnsi="Arial" w:cs="Arial"/>
          <w:sz w:val="24"/>
          <w:szCs w:val="24"/>
          <w:lang w:val="en-US"/>
        </w:rPr>
        <w:t>Th</w:t>
      </w:r>
      <w:r w:rsidR="00AC6E85" w:rsidRPr="00022690">
        <w:rPr>
          <w:rFonts w:ascii="Arial" w:hAnsi="Arial" w:cs="Arial"/>
          <w:sz w:val="24"/>
          <w:szCs w:val="24"/>
          <w:lang w:val="en-US"/>
        </w:rPr>
        <w:t>e effect of the impugned specification, specifically the dry sanitation systems specification,</w:t>
      </w:r>
      <w:r w:rsidR="00FF6463" w:rsidRPr="00022690">
        <w:rPr>
          <w:rFonts w:ascii="Arial" w:hAnsi="Arial" w:cs="Arial"/>
          <w:sz w:val="24"/>
          <w:szCs w:val="24"/>
          <w:lang w:val="en-US"/>
        </w:rPr>
        <w:t xml:space="preserve"> is to exclude the applicant from being appointed to the panel, and therefore to be considered for any of the works. </w:t>
      </w:r>
      <w:r w:rsidR="009D45FF" w:rsidRPr="00022690">
        <w:rPr>
          <w:rFonts w:ascii="Arial" w:hAnsi="Arial" w:cs="Arial"/>
          <w:sz w:val="24"/>
          <w:szCs w:val="24"/>
          <w:lang w:val="en-US"/>
        </w:rPr>
        <w:t xml:space="preserve"> </w:t>
      </w:r>
      <w:r w:rsidR="00BE6740" w:rsidRPr="00022690">
        <w:rPr>
          <w:rFonts w:ascii="Arial" w:hAnsi="Arial" w:cs="Arial"/>
          <w:sz w:val="24"/>
          <w:szCs w:val="24"/>
          <w:lang w:val="en-US"/>
        </w:rPr>
        <w:t xml:space="preserve">In </w:t>
      </w:r>
      <w:r w:rsidR="00BE6740" w:rsidRPr="00022690">
        <w:rPr>
          <w:rFonts w:ascii="Arial" w:hAnsi="Arial" w:cs="Arial"/>
          <w:i/>
          <w:sz w:val="24"/>
          <w:szCs w:val="24"/>
          <w:lang w:val="en-US"/>
        </w:rPr>
        <w:t>Giant Concerts</w:t>
      </w:r>
      <w:r w:rsidR="00BE6740" w:rsidRPr="00022690">
        <w:rPr>
          <w:rFonts w:ascii="Arial" w:hAnsi="Arial" w:cs="Arial"/>
          <w:sz w:val="24"/>
          <w:szCs w:val="24"/>
          <w:lang w:val="en-US"/>
        </w:rPr>
        <w:t xml:space="preserve">, the Constitutional Court held that </w:t>
      </w:r>
      <w:r w:rsidR="00BE6740" w:rsidRPr="00022690">
        <w:rPr>
          <w:rFonts w:ascii="Arial" w:hAnsi="Arial" w:cs="Arial"/>
          <w:color w:val="242121"/>
          <w:sz w:val="24"/>
          <w:szCs w:val="24"/>
          <w:shd w:val="clear" w:color="auto" w:fill="FFFFFF"/>
        </w:rPr>
        <w:t>“(t)he own interest litigant must …  demonstrate that his or her interests or potential interests are directly affected by the unlawfulness sought to be impugned”.</w:t>
      </w:r>
      <w:r w:rsidR="00BE6740" w:rsidRPr="00BE6740">
        <w:rPr>
          <w:rStyle w:val="FootnoteReference"/>
          <w:rFonts w:ascii="Arial" w:hAnsi="Arial" w:cs="Arial"/>
          <w:sz w:val="24"/>
          <w:szCs w:val="24"/>
          <w:lang w:val="en-US"/>
        </w:rPr>
        <w:footnoteReference w:id="9"/>
      </w:r>
      <w:r w:rsidR="00BE6740" w:rsidRPr="00022690">
        <w:rPr>
          <w:rFonts w:ascii="Arial" w:hAnsi="Arial" w:cs="Arial"/>
          <w:color w:val="242121"/>
          <w:sz w:val="24"/>
          <w:szCs w:val="24"/>
          <w:shd w:val="clear" w:color="auto" w:fill="FFFFFF"/>
        </w:rPr>
        <w:t xml:space="preserve">  </w:t>
      </w:r>
      <w:r w:rsidR="00BE6740" w:rsidRPr="00022690">
        <w:rPr>
          <w:rFonts w:ascii="Arial" w:hAnsi="Arial" w:cs="Arial"/>
          <w:sz w:val="24"/>
          <w:szCs w:val="24"/>
          <w:lang w:val="en-US"/>
        </w:rPr>
        <w:t xml:space="preserve">In my view, the applicant has established own interest standing as articulated in </w:t>
      </w:r>
      <w:r w:rsidR="00BE6740" w:rsidRPr="00022690">
        <w:rPr>
          <w:rFonts w:ascii="Arial" w:hAnsi="Arial" w:cs="Arial"/>
          <w:i/>
          <w:sz w:val="24"/>
          <w:szCs w:val="24"/>
          <w:lang w:val="en-US"/>
        </w:rPr>
        <w:t>Giant Concerts</w:t>
      </w:r>
      <w:r w:rsidR="00BE6740" w:rsidRPr="00022690">
        <w:rPr>
          <w:rFonts w:ascii="Arial" w:hAnsi="Arial" w:cs="Arial"/>
          <w:sz w:val="24"/>
          <w:szCs w:val="24"/>
          <w:lang w:val="en-US"/>
        </w:rPr>
        <w:t>. T</w:t>
      </w:r>
      <w:r w:rsidR="00216C5B" w:rsidRPr="00022690">
        <w:rPr>
          <w:rFonts w:ascii="Arial" w:hAnsi="Arial" w:cs="Arial"/>
          <w:sz w:val="24"/>
          <w:szCs w:val="24"/>
          <w:lang w:val="en-US"/>
        </w:rPr>
        <w:t xml:space="preserve">he </w:t>
      </w:r>
      <w:r w:rsidR="00FF6463" w:rsidRPr="00022690">
        <w:rPr>
          <w:rFonts w:ascii="Arial" w:hAnsi="Arial" w:cs="Arial"/>
          <w:sz w:val="24"/>
          <w:szCs w:val="24"/>
          <w:lang w:val="en-US"/>
        </w:rPr>
        <w:t>exclusionary criteria impact directly</w:t>
      </w:r>
      <w:r w:rsidR="00BE6740" w:rsidRPr="00022690">
        <w:rPr>
          <w:rFonts w:ascii="Arial" w:hAnsi="Arial" w:cs="Arial"/>
          <w:sz w:val="24"/>
          <w:szCs w:val="24"/>
          <w:lang w:val="en-US"/>
        </w:rPr>
        <w:t xml:space="preserve"> and sufficiently</w:t>
      </w:r>
      <w:r w:rsidR="00FF6463" w:rsidRPr="00022690">
        <w:rPr>
          <w:rFonts w:ascii="Arial" w:hAnsi="Arial" w:cs="Arial"/>
          <w:sz w:val="24"/>
          <w:szCs w:val="24"/>
          <w:lang w:val="en-US"/>
        </w:rPr>
        <w:t xml:space="preserve"> on its interests</w:t>
      </w:r>
      <w:r w:rsidR="00BE6740" w:rsidRPr="00022690">
        <w:rPr>
          <w:rFonts w:ascii="Arial" w:hAnsi="Arial" w:cs="Arial"/>
          <w:sz w:val="24"/>
          <w:szCs w:val="24"/>
          <w:lang w:val="en-US"/>
        </w:rPr>
        <w:t xml:space="preserve"> and potential interests</w:t>
      </w:r>
      <w:r w:rsidR="00FF6463" w:rsidRPr="00022690">
        <w:rPr>
          <w:rFonts w:ascii="Arial" w:hAnsi="Arial" w:cs="Arial"/>
          <w:sz w:val="24"/>
          <w:szCs w:val="24"/>
          <w:lang w:val="en-US"/>
        </w:rPr>
        <w:t>.</w:t>
      </w:r>
      <w:r w:rsidR="00DF0D14" w:rsidRPr="00022690">
        <w:rPr>
          <w:rFonts w:ascii="Arial" w:hAnsi="Arial" w:cs="Arial"/>
          <w:sz w:val="24"/>
          <w:szCs w:val="24"/>
          <w:lang w:val="en-US"/>
        </w:rPr>
        <w:t xml:space="preserve">  </w:t>
      </w:r>
    </w:p>
    <w:p w:rsidR="0067740B" w:rsidRDefault="0067740B" w:rsidP="00FF6463">
      <w:pPr>
        <w:spacing w:line="480" w:lineRule="auto"/>
        <w:jc w:val="both"/>
        <w:rPr>
          <w:rFonts w:ascii="Arial" w:hAnsi="Arial" w:cs="Arial"/>
          <w:b/>
          <w:sz w:val="24"/>
          <w:szCs w:val="24"/>
          <w:lang w:val="en-US"/>
        </w:rPr>
      </w:pPr>
    </w:p>
    <w:p w:rsidR="00FF6463" w:rsidRPr="00AC6E85" w:rsidRDefault="00FF6463" w:rsidP="00FF6463">
      <w:pPr>
        <w:spacing w:line="480" w:lineRule="auto"/>
        <w:jc w:val="both"/>
        <w:rPr>
          <w:rFonts w:ascii="Arial" w:hAnsi="Arial" w:cs="Arial"/>
          <w:b/>
          <w:sz w:val="24"/>
          <w:szCs w:val="24"/>
          <w:lang w:val="en-US"/>
        </w:rPr>
      </w:pPr>
      <w:r w:rsidRPr="00AC6E85">
        <w:rPr>
          <w:rFonts w:ascii="Arial" w:hAnsi="Arial" w:cs="Arial"/>
          <w:b/>
          <w:sz w:val="24"/>
          <w:szCs w:val="24"/>
          <w:lang w:val="en-US"/>
        </w:rPr>
        <w:t>Non-joinder</w:t>
      </w:r>
    </w:p>
    <w:p w:rsidR="00836F82" w:rsidRPr="00022690" w:rsidRDefault="00022690" w:rsidP="00022690">
      <w:pPr>
        <w:spacing w:line="480" w:lineRule="auto"/>
        <w:ind w:left="360" w:hanging="360"/>
        <w:jc w:val="both"/>
        <w:rPr>
          <w:rFonts w:ascii="Arial" w:hAnsi="Arial" w:cs="Arial"/>
          <w:i/>
          <w:sz w:val="24"/>
          <w:szCs w:val="24"/>
          <w:lang w:val="en-US"/>
        </w:rPr>
      </w:pPr>
      <w:r w:rsidRPr="00FE7E2F">
        <w:rPr>
          <w:rFonts w:ascii="Arial" w:hAnsi="Arial" w:cs="Arial"/>
          <w:sz w:val="24"/>
          <w:szCs w:val="24"/>
          <w:lang w:val="en-US"/>
        </w:rPr>
        <w:t>22.</w:t>
      </w:r>
      <w:r w:rsidRPr="00FE7E2F">
        <w:rPr>
          <w:rFonts w:ascii="Arial" w:hAnsi="Arial" w:cs="Arial"/>
          <w:sz w:val="24"/>
          <w:szCs w:val="24"/>
          <w:lang w:val="en-US"/>
        </w:rPr>
        <w:tab/>
      </w:r>
      <w:r w:rsidR="00FF6463" w:rsidRPr="00022690">
        <w:rPr>
          <w:rFonts w:ascii="Arial" w:hAnsi="Arial" w:cs="Arial"/>
          <w:sz w:val="24"/>
          <w:szCs w:val="24"/>
          <w:lang w:val="en-US"/>
        </w:rPr>
        <w:t xml:space="preserve">The Minister and the NECT pleaded that the applicant ought to have joined the successful </w:t>
      </w:r>
      <w:r w:rsidR="002C7ED5" w:rsidRPr="00022690">
        <w:rPr>
          <w:rFonts w:ascii="Arial" w:hAnsi="Arial" w:cs="Arial"/>
          <w:sz w:val="24"/>
          <w:szCs w:val="24"/>
          <w:lang w:val="en-US"/>
        </w:rPr>
        <w:t xml:space="preserve">contractors </w:t>
      </w:r>
      <w:r w:rsidR="008954D7" w:rsidRPr="00022690">
        <w:rPr>
          <w:rFonts w:ascii="Arial" w:hAnsi="Arial" w:cs="Arial"/>
          <w:sz w:val="24"/>
          <w:szCs w:val="24"/>
          <w:lang w:val="en-US"/>
        </w:rPr>
        <w:t xml:space="preserve">who were appointed pursuant to the </w:t>
      </w:r>
      <w:r w:rsidR="0067740B" w:rsidRPr="00022690">
        <w:rPr>
          <w:rFonts w:ascii="Arial" w:hAnsi="Arial" w:cs="Arial"/>
          <w:sz w:val="24"/>
          <w:szCs w:val="24"/>
          <w:lang w:val="en-US"/>
        </w:rPr>
        <w:t>three requests for quotations submitted in J</w:t>
      </w:r>
      <w:r w:rsidR="008954D7" w:rsidRPr="00022690">
        <w:rPr>
          <w:rFonts w:ascii="Arial" w:hAnsi="Arial" w:cs="Arial"/>
          <w:sz w:val="24"/>
          <w:szCs w:val="24"/>
          <w:lang w:val="en-US"/>
        </w:rPr>
        <w:t>anuary 2021.</w:t>
      </w:r>
      <w:r w:rsidR="008954D7">
        <w:rPr>
          <w:rStyle w:val="FootnoteReference"/>
          <w:rFonts w:ascii="Arial" w:hAnsi="Arial" w:cs="Arial"/>
          <w:sz w:val="24"/>
          <w:szCs w:val="24"/>
          <w:lang w:val="en-US"/>
        </w:rPr>
        <w:footnoteReference w:id="10"/>
      </w:r>
      <w:r w:rsidR="008954D7" w:rsidRPr="00022690">
        <w:rPr>
          <w:rFonts w:ascii="Arial" w:hAnsi="Arial" w:cs="Arial"/>
          <w:sz w:val="24"/>
          <w:szCs w:val="24"/>
          <w:lang w:val="en-US"/>
        </w:rPr>
        <w:t xml:space="preserve">  </w:t>
      </w:r>
      <w:r w:rsidR="00BE6740" w:rsidRPr="00022690">
        <w:rPr>
          <w:rFonts w:ascii="Arial" w:hAnsi="Arial" w:cs="Arial"/>
          <w:sz w:val="24"/>
          <w:szCs w:val="24"/>
          <w:lang w:val="en-US"/>
        </w:rPr>
        <w:t xml:space="preserve">The Minister advanced the point in argument too.  </w:t>
      </w:r>
      <w:r w:rsidR="00FF6463" w:rsidRPr="00022690">
        <w:rPr>
          <w:rFonts w:ascii="Arial" w:hAnsi="Arial" w:cs="Arial"/>
          <w:sz w:val="24"/>
          <w:szCs w:val="24"/>
          <w:lang w:val="en-US"/>
        </w:rPr>
        <w:t>The test for</w:t>
      </w:r>
      <w:r w:rsidR="00BE6740" w:rsidRPr="00022690">
        <w:rPr>
          <w:rFonts w:ascii="Arial" w:hAnsi="Arial" w:cs="Arial"/>
          <w:sz w:val="24"/>
          <w:szCs w:val="24"/>
          <w:lang w:val="en-US"/>
        </w:rPr>
        <w:t xml:space="preserve"> joinder</w:t>
      </w:r>
      <w:r w:rsidR="00960B8F" w:rsidRPr="00022690">
        <w:rPr>
          <w:rFonts w:ascii="Arial" w:hAnsi="Arial" w:cs="Arial"/>
          <w:sz w:val="24"/>
          <w:szCs w:val="24"/>
          <w:lang w:val="en-US"/>
        </w:rPr>
        <w:t xml:space="preserve"> is </w:t>
      </w:r>
      <w:r w:rsidR="00E651CF" w:rsidRPr="00022690">
        <w:rPr>
          <w:rFonts w:ascii="Arial" w:hAnsi="Arial" w:cs="Arial"/>
          <w:sz w:val="24"/>
          <w:szCs w:val="24"/>
          <w:lang w:val="en-US"/>
        </w:rPr>
        <w:t xml:space="preserve">whether a party has </w:t>
      </w:r>
      <w:r w:rsidR="002C7ED5" w:rsidRPr="00022690">
        <w:rPr>
          <w:rFonts w:ascii="Arial" w:hAnsi="Arial" w:cs="Arial"/>
          <w:sz w:val="24"/>
          <w:szCs w:val="24"/>
          <w:lang w:val="en-US"/>
        </w:rPr>
        <w:t xml:space="preserve">a </w:t>
      </w:r>
      <w:r w:rsidR="00E651CF" w:rsidRPr="00022690">
        <w:rPr>
          <w:rFonts w:ascii="Arial" w:hAnsi="Arial" w:cs="Arial"/>
          <w:sz w:val="24"/>
          <w:szCs w:val="24"/>
          <w:lang w:val="en-US"/>
        </w:rPr>
        <w:t>legal interest in the subject matter of the litigation which may be affected prejudicially by the judgm</w:t>
      </w:r>
      <w:r w:rsidR="002C7ED5" w:rsidRPr="00022690">
        <w:rPr>
          <w:rFonts w:ascii="Arial" w:hAnsi="Arial" w:cs="Arial"/>
          <w:sz w:val="24"/>
          <w:szCs w:val="24"/>
          <w:lang w:val="en-US"/>
        </w:rPr>
        <w:t>ent of the C</w:t>
      </w:r>
      <w:r w:rsidR="00E651CF" w:rsidRPr="00022690">
        <w:rPr>
          <w:rFonts w:ascii="Arial" w:hAnsi="Arial" w:cs="Arial"/>
          <w:sz w:val="24"/>
          <w:szCs w:val="24"/>
          <w:lang w:val="en-US"/>
        </w:rPr>
        <w:t>ourt</w:t>
      </w:r>
      <w:r w:rsidR="002C7ED5" w:rsidRPr="00022690">
        <w:rPr>
          <w:rFonts w:ascii="Arial" w:hAnsi="Arial" w:cs="Arial"/>
          <w:sz w:val="24"/>
          <w:szCs w:val="24"/>
          <w:lang w:val="en-US"/>
        </w:rPr>
        <w:t xml:space="preserve"> in the proceedings concerned</w:t>
      </w:r>
      <w:r w:rsidR="00E651CF" w:rsidRPr="00022690">
        <w:rPr>
          <w:rFonts w:ascii="Arial" w:hAnsi="Arial" w:cs="Arial"/>
          <w:sz w:val="24"/>
          <w:szCs w:val="24"/>
          <w:lang w:val="en-US"/>
        </w:rPr>
        <w:t>.</w:t>
      </w:r>
      <w:r w:rsidR="00E14E3F">
        <w:rPr>
          <w:rStyle w:val="FootnoteReference"/>
          <w:rFonts w:ascii="Arial" w:hAnsi="Arial" w:cs="Arial"/>
          <w:sz w:val="24"/>
          <w:szCs w:val="24"/>
          <w:lang w:val="en-US"/>
        </w:rPr>
        <w:footnoteReference w:id="11"/>
      </w:r>
      <w:r w:rsidR="00E651CF" w:rsidRPr="00022690">
        <w:rPr>
          <w:rFonts w:ascii="Arial" w:hAnsi="Arial" w:cs="Arial"/>
          <w:sz w:val="24"/>
          <w:szCs w:val="24"/>
          <w:lang w:val="en-US"/>
        </w:rPr>
        <w:t xml:space="preserve"> </w:t>
      </w:r>
      <w:r w:rsidR="00E14E3F" w:rsidRPr="00022690">
        <w:rPr>
          <w:rFonts w:ascii="Arial" w:hAnsi="Arial" w:cs="Arial"/>
          <w:sz w:val="24"/>
          <w:szCs w:val="24"/>
          <w:lang w:val="en-US"/>
        </w:rPr>
        <w:t xml:space="preserve"> </w:t>
      </w:r>
      <w:r w:rsidR="00FF6463" w:rsidRPr="00022690">
        <w:rPr>
          <w:rFonts w:ascii="Arial" w:hAnsi="Arial" w:cs="Arial"/>
          <w:sz w:val="24"/>
          <w:szCs w:val="24"/>
          <w:lang w:val="en-US"/>
        </w:rPr>
        <w:t xml:space="preserve">In my view, the argument would have traction </w:t>
      </w:r>
      <w:r w:rsidR="00836F82" w:rsidRPr="00022690">
        <w:rPr>
          <w:rFonts w:ascii="Arial" w:hAnsi="Arial" w:cs="Arial"/>
          <w:sz w:val="24"/>
          <w:szCs w:val="24"/>
          <w:lang w:val="en-US"/>
        </w:rPr>
        <w:t xml:space="preserve">had the applicant applied to review and set aside </w:t>
      </w:r>
      <w:r w:rsidR="00E14E3F" w:rsidRPr="00022690">
        <w:rPr>
          <w:rFonts w:ascii="Arial" w:hAnsi="Arial" w:cs="Arial"/>
          <w:sz w:val="24"/>
          <w:szCs w:val="24"/>
          <w:lang w:val="en-US"/>
        </w:rPr>
        <w:t xml:space="preserve">the awarded bids.   But, the </w:t>
      </w:r>
      <w:r w:rsidR="00836F82" w:rsidRPr="00022690">
        <w:rPr>
          <w:rFonts w:ascii="Arial" w:hAnsi="Arial" w:cs="Arial"/>
          <w:sz w:val="24"/>
          <w:szCs w:val="24"/>
          <w:lang w:val="en-US"/>
        </w:rPr>
        <w:t xml:space="preserve">applicant </w:t>
      </w:r>
      <w:r w:rsidR="00960B8F" w:rsidRPr="00022690">
        <w:rPr>
          <w:rFonts w:ascii="Arial" w:hAnsi="Arial" w:cs="Arial"/>
          <w:sz w:val="24"/>
          <w:szCs w:val="24"/>
          <w:lang w:val="en-US"/>
        </w:rPr>
        <w:t xml:space="preserve">made it clear in its supplementary founding affidavit that it </w:t>
      </w:r>
      <w:r w:rsidR="00836F82" w:rsidRPr="00022690">
        <w:rPr>
          <w:rFonts w:ascii="Arial" w:hAnsi="Arial" w:cs="Arial"/>
          <w:sz w:val="24"/>
          <w:szCs w:val="24"/>
          <w:lang w:val="en-US"/>
        </w:rPr>
        <w:t>is not doing so</w:t>
      </w:r>
      <w:r w:rsidR="00960B8F" w:rsidRPr="00022690">
        <w:rPr>
          <w:rFonts w:ascii="Arial" w:hAnsi="Arial" w:cs="Arial"/>
          <w:sz w:val="24"/>
          <w:szCs w:val="24"/>
          <w:lang w:val="en-US"/>
        </w:rPr>
        <w:t xml:space="preserve"> and seeks no relief that will interfere in their rights as successful bidders</w:t>
      </w:r>
      <w:r w:rsidR="00F208A0" w:rsidRPr="00022690">
        <w:rPr>
          <w:rFonts w:ascii="Arial" w:hAnsi="Arial" w:cs="Arial"/>
          <w:sz w:val="24"/>
          <w:szCs w:val="24"/>
          <w:lang w:val="en-US"/>
        </w:rPr>
        <w:t xml:space="preserve">. </w:t>
      </w:r>
      <w:r w:rsidR="00FE7E2F" w:rsidRPr="00022690">
        <w:rPr>
          <w:rFonts w:ascii="Arial" w:hAnsi="Arial" w:cs="Arial"/>
          <w:sz w:val="24"/>
          <w:szCs w:val="24"/>
          <w:lang w:val="en-US"/>
        </w:rPr>
        <w:t xml:space="preserve"> The stance adopted in the supplementary founding affidavit limits the relief sought.  It means that what is impugned is restricted to</w:t>
      </w:r>
      <w:r w:rsidR="00836F82" w:rsidRPr="00022690">
        <w:rPr>
          <w:rFonts w:ascii="Arial" w:hAnsi="Arial" w:cs="Arial"/>
          <w:sz w:val="24"/>
          <w:szCs w:val="24"/>
          <w:lang w:val="en-US"/>
        </w:rPr>
        <w:t xml:space="preserve"> an exclusionary criterion</w:t>
      </w:r>
      <w:r w:rsidR="00F208A0" w:rsidRPr="00022690">
        <w:rPr>
          <w:rFonts w:ascii="Arial" w:hAnsi="Arial" w:cs="Arial"/>
          <w:sz w:val="24"/>
          <w:szCs w:val="24"/>
          <w:lang w:val="en-US"/>
        </w:rPr>
        <w:t xml:space="preserve"> and can have only prospective effect, without interfering with the rights of </w:t>
      </w:r>
      <w:r w:rsidR="00FE7E2F" w:rsidRPr="00022690">
        <w:rPr>
          <w:rFonts w:ascii="Arial" w:hAnsi="Arial" w:cs="Arial"/>
          <w:sz w:val="24"/>
          <w:szCs w:val="24"/>
          <w:lang w:val="en-US"/>
        </w:rPr>
        <w:t>the affected contractors.</w:t>
      </w:r>
      <w:r w:rsidR="00F208A0" w:rsidRPr="00022690">
        <w:rPr>
          <w:rFonts w:ascii="Arial" w:hAnsi="Arial" w:cs="Arial"/>
          <w:sz w:val="24"/>
          <w:szCs w:val="24"/>
          <w:lang w:val="en-US"/>
        </w:rPr>
        <w:t xml:space="preserve">  </w:t>
      </w:r>
      <w:r w:rsidR="00836F82" w:rsidRPr="00022690">
        <w:rPr>
          <w:rFonts w:ascii="Arial" w:hAnsi="Arial" w:cs="Arial"/>
          <w:sz w:val="24"/>
          <w:szCs w:val="24"/>
          <w:lang w:val="en-US"/>
        </w:rPr>
        <w:t xml:space="preserve">In these </w:t>
      </w:r>
      <w:r w:rsidR="00F208A0" w:rsidRPr="00022690">
        <w:rPr>
          <w:rFonts w:ascii="Arial" w:hAnsi="Arial" w:cs="Arial"/>
          <w:sz w:val="24"/>
          <w:szCs w:val="24"/>
          <w:lang w:val="en-US"/>
        </w:rPr>
        <w:t xml:space="preserve">somewhat unusual </w:t>
      </w:r>
      <w:r w:rsidR="00836F82" w:rsidRPr="00022690">
        <w:rPr>
          <w:rFonts w:ascii="Arial" w:hAnsi="Arial" w:cs="Arial"/>
          <w:sz w:val="24"/>
          <w:szCs w:val="24"/>
          <w:lang w:val="en-US"/>
        </w:rPr>
        <w:t xml:space="preserve">circumstances, I conclude that it was not necessary for the successful </w:t>
      </w:r>
      <w:r w:rsidR="002C7ED5" w:rsidRPr="00022690">
        <w:rPr>
          <w:rFonts w:ascii="Arial" w:hAnsi="Arial" w:cs="Arial"/>
          <w:sz w:val="24"/>
          <w:szCs w:val="24"/>
          <w:lang w:val="en-US"/>
        </w:rPr>
        <w:t xml:space="preserve">contractors </w:t>
      </w:r>
      <w:r w:rsidR="00836F82" w:rsidRPr="00022690">
        <w:rPr>
          <w:rFonts w:ascii="Arial" w:hAnsi="Arial" w:cs="Arial"/>
          <w:sz w:val="24"/>
          <w:szCs w:val="24"/>
          <w:lang w:val="en-US"/>
        </w:rPr>
        <w:t xml:space="preserve">to be joined.   </w:t>
      </w:r>
    </w:p>
    <w:p w:rsidR="00FE7E2F" w:rsidRPr="0044223A" w:rsidRDefault="00FE7E2F" w:rsidP="00FE7E2F">
      <w:pPr>
        <w:pStyle w:val="ListParagraph"/>
        <w:spacing w:line="480" w:lineRule="auto"/>
        <w:ind w:left="360"/>
        <w:jc w:val="both"/>
        <w:rPr>
          <w:rFonts w:ascii="Arial" w:hAnsi="Arial" w:cs="Arial"/>
          <w:i/>
          <w:sz w:val="24"/>
          <w:szCs w:val="24"/>
          <w:lang w:val="en-US"/>
        </w:rPr>
      </w:pPr>
    </w:p>
    <w:p w:rsidR="00836F82" w:rsidRPr="00836F82" w:rsidRDefault="00836F82" w:rsidP="00836F82">
      <w:pPr>
        <w:spacing w:line="480" w:lineRule="auto"/>
        <w:jc w:val="both"/>
        <w:rPr>
          <w:rFonts w:ascii="Arial" w:hAnsi="Arial" w:cs="Arial"/>
          <w:b/>
          <w:sz w:val="24"/>
          <w:szCs w:val="24"/>
          <w:lang w:val="en-US"/>
        </w:rPr>
      </w:pPr>
      <w:r w:rsidRPr="00836F82">
        <w:rPr>
          <w:rFonts w:ascii="Arial" w:hAnsi="Arial" w:cs="Arial"/>
          <w:b/>
          <w:sz w:val="24"/>
          <w:szCs w:val="24"/>
          <w:lang w:val="en-US"/>
        </w:rPr>
        <w:t xml:space="preserve">A </w:t>
      </w:r>
      <w:r w:rsidRPr="0044223A">
        <w:rPr>
          <w:rFonts w:ascii="Arial" w:hAnsi="Arial" w:cs="Arial"/>
          <w:b/>
          <w:i/>
          <w:sz w:val="24"/>
          <w:szCs w:val="24"/>
          <w:lang w:val="en-US"/>
        </w:rPr>
        <w:t>prima</w:t>
      </w:r>
      <w:r w:rsidR="0044223A" w:rsidRPr="0044223A">
        <w:rPr>
          <w:rFonts w:ascii="Arial" w:hAnsi="Arial" w:cs="Arial"/>
          <w:b/>
          <w:i/>
          <w:sz w:val="24"/>
          <w:szCs w:val="24"/>
          <w:lang w:val="en-US"/>
        </w:rPr>
        <w:t xml:space="preserve"> facie</w:t>
      </w:r>
      <w:r w:rsidRPr="00836F82">
        <w:rPr>
          <w:rFonts w:ascii="Arial" w:hAnsi="Arial" w:cs="Arial"/>
          <w:b/>
          <w:sz w:val="24"/>
          <w:szCs w:val="24"/>
          <w:lang w:val="en-US"/>
        </w:rPr>
        <w:t xml:space="preserve"> case under PAJA</w:t>
      </w:r>
    </w:p>
    <w:p w:rsidR="00836F82" w:rsidRPr="00022690" w:rsidRDefault="00022690" w:rsidP="00022690">
      <w:pPr>
        <w:spacing w:line="480" w:lineRule="auto"/>
        <w:ind w:left="360" w:hanging="360"/>
        <w:jc w:val="both"/>
        <w:rPr>
          <w:rFonts w:ascii="Arial" w:hAnsi="Arial" w:cs="Arial"/>
          <w:i/>
          <w:sz w:val="24"/>
          <w:szCs w:val="24"/>
          <w:lang w:val="en-US"/>
        </w:rPr>
      </w:pPr>
      <w:r w:rsidRPr="0044223A">
        <w:rPr>
          <w:rFonts w:ascii="Arial" w:hAnsi="Arial" w:cs="Arial"/>
          <w:sz w:val="24"/>
          <w:szCs w:val="24"/>
          <w:lang w:val="en-US"/>
        </w:rPr>
        <w:t>23.</w:t>
      </w:r>
      <w:r w:rsidRPr="0044223A">
        <w:rPr>
          <w:rFonts w:ascii="Arial" w:hAnsi="Arial" w:cs="Arial"/>
          <w:sz w:val="24"/>
          <w:szCs w:val="24"/>
          <w:lang w:val="en-US"/>
        </w:rPr>
        <w:tab/>
      </w:r>
      <w:r w:rsidR="00836F82" w:rsidRPr="00022690">
        <w:rPr>
          <w:rFonts w:ascii="Arial" w:hAnsi="Arial" w:cs="Arial"/>
          <w:sz w:val="24"/>
          <w:szCs w:val="24"/>
          <w:lang w:val="en-US"/>
        </w:rPr>
        <w:t xml:space="preserve">The Minister submits that the applicant has not made out a </w:t>
      </w:r>
      <w:r w:rsidR="0044223A" w:rsidRPr="00022690">
        <w:rPr>
          <w:rFonts w:ascii="Arial" w:hAnsi="Arial" w:cs="Arial"/>
          <w:i/>
          <w:sz w:val="24"/>
          <w:szCs w:val="24"/>
          <w:lang w:val="en-US"/>
        </w:rPr>
        <w:t xml:space="preserve">prima facie </w:t>
      </w:r>
      <w:r w:rsidR="0044223A" w:rsidRPr="00022690">
        <w:rPr>
          <w:rFonts w:ascii="Arial" w:hAnsi="Arial" w:cs="Arial"/>
          <w:sz w:val="24"/>
          <w:szCs w:val="24"/>
          <w:lang w:val="en-US"/>
        </w:rPr>
        <w:t xml:space="preserve">case both because the grounds of review relied upon under PAJA are not apparent and because the applicant has not made out a case that its rights are adversely affected, this being a definitional requirement for a decision to constitute administrative action. </w:t>
      </w:r>
    </w:p>
    <w:p w:rsidR="0044223A" w:rsidRPr="0044223A" w:rsidRDefault="0044223A" w:rsidP="0044223A">
      <w:pPr>
        <w:pStyle w:val="ListParagraph"/>
        <w:spacing w:line="480" w:lineRule="auto"/>
        <w:ind w:left="360"/>
        <w:jc w:val="both"/>
        <w:rPr>
          <w:rFonts w:ascii="Arial" w:hAnsi="Arial" w:cs="Arial"/>
          <w:i/>
          <w:sz w:val="24"/>
          <w:szCs w:val="24"/>
          <w:lang w:val="en-US"/>
        </w:rPr>
      </w:pPr>
    </w:p>
    <w:p w:rsidR="00DD1CE6" w:rsidRPr="00022690" w:rsidRDefault="00022690" w:rsidP="00022690">
      <w:pPr>
        <w:spacing w:line="480" w:lineRule="auto"/>
        <w:ind w:left="360" w:hanging="360"/>
        <w:jc w:val="both"/>
        <w:rPr>
          <w:rFonts w:ascii="Arial" w:hAnsi="Arial" w:cs="Arial"/>
          <w:i/>
          <w:sz w:val="24"/>
          <w:szCs w:val="24"/>
          <w:lang w:val="en-US"/>
        </w:rPr>
      </w:pPr>
      <w:r w:rsidRPr="00DD1CE6">
        <w:rPr>
          <w:rFonts w:ascii="Arial" w:hAnsi="Arial" w:cs="Arial"/>
          <w:sz w:val="24"/>
          <w:szCs w:val="24"/>
          <w:lang w:val="en-US"/>
        </w:rPr>
        <w:t>24.</w:t>
      </w:r>
      <w:r w:rsidRPr="00DD1CE6">
        <w:rPr>
          <w:rFonts w:ascii="Arial" w:hAnsi="Arial" w:cs="Arial"/>
          <w:sz w:val="24"/>
          <w:szCs w:val="24"/>
          <w:lang w:val="en-US"/>
        </w:rPr>
        <w:tab/>
      </w:r>
      <w:r w:rsidR="00DD1CE6" w:rsidRPr="00022690">
        <w:rPr>
          <w:rFonts w:ascii="Arial" w:hAnsi="Arial" w:cs="Arial"/>
          <w:sz w:val="24"/>
          <w:szCs w:val="24"/>
          <w:lang w:val="en-US"/>
        </w:rPr>
        <w:t xml:space="preserve">In </w:t>
      </w:r>
      <w:r w:rsidR="00DD1CE6" w:rsidRPr="00022690">
        <w:rPr>
          <w:rFonts w:ascii="Arial" w:hAnsi="Arial" w:cs="Arial"/>
          <w:i/>
          <w:sz w:val="24"/>
          <w:szCs w:val="24"/>
          <w:lang w:val="en-US"/>
        </w:rPr>
        <w:t>Bato Star,</w:t>
      </w:r>
      <w:r w:rsidR="0044223A" w:rsidRPr="00DD1CE6">
        <w:rPr>
          <w:rStyle w:val="FootnoteReference"/>
          <w:rFonts w:ascii="Arial" w:hAnsi="Arial" w:cs="Arial"/>
          <w:sz w:val="24"/>
          <w:szCs w:val="24"/>
          <w:lang w:val="en-US"/>
        </w:rPr>
        <w:footnoteReference w:id="12"/>
      </w:r>
      <w:r w:rsidR="00DD1CE6" w:rsidRPr="00022690">
        <w:rPr>
          <w:rFonts w:ascii="Arial" w:hAnsi="Arial" w:cs="Arial"/>
          <w:i/>
          <w:sz w:val="24"/>
          <w:szCs w:val="24"/>
          <w:lang w:val="en-US"/>
        </w:rPr>
        <w:t xml:space="preserve"> </w:t>
      </w:r>
      <w:r w:rsidR="00DD1CE6" w:rsidRPr="00022690">
        <w:rPr>
          <w:rFonts w:ascii="Arial" w:hAnsi="Arial" w:cs="Arial"/>
          <w:sz w:val="24"/>
          <w:szCs w:val="24"/>
          <w:lang w:val="en-US"/>
        </w:rPr>
        <w:t>the Constitutional Court dealt with a submission that the cause of action – there also a PAJA review –was not sufficiently clearly or precisely disclosed to enable a response.  The Constitutional Court was willing in that case to assume in favour of the applicant that the manner in which the case had been pleaded was not fatal to its case</w:t>
      </w:r>
      <w:r w:rsidR="00F208A0" w:rsidRPr="00022690">
        <w:rPr>
          <w:rFonts w:ascii="Arial" w:hAnsi="Arial" w:cs="Arial"/>
          <w:sz w:val="24"/>
          <w:szCs w:val="24"/>
          <w:lang w:val="en-US"/>
        </w:rPr>
        <w:t>.  It did so</w:t>
      </w:r>
      <w:r w:rsidR="00DD1CE6" w:rsidRPr="00022690">
        <w:rPr>
          <w:rFonts w:ascii="Arial" w:hAnsi="Arial" w:cs="Arial"/>
          <w:sz w:val="24"/>
          <w:szCs w:val="24"/>
          <w:lang w:val="en-US"/>
        </w:rPr>
        <w:t xml:space="preserve"> in circumstances where the specific provisions of PAJA relied upon were referred to only in written argument.  However, the Court held (footnotes omitted): </w:t>
      </w:r>
    </w:p>
    <w:p w:rsidR="00DD1CE6" w:rsidRPr="00DD1CE6" w:rsidRDefault="00DD1CE6" w:rsidP="00DD1CE6">
      <w:pPr>
        <w:pStyle w:val="ListParagraph"/>
        <w:rPr>
          <w:rFonts w:ascii="Arial" w:hAnsi="Arial" w:cs="Arial"/>
          <w:i/>
          <w:sz w:val="24"/>
          <w:szCs w:val="24"/>
          <w:lang w:val="en-US"/>
        </w:rPr>
      </w:pPr>
    </w:p>
    <w:p w:rsidR="0044223A" w:rsidRDefault="00DD1CE6" w:rsidP="00F208A0">
      <w:pPr>
        <w:pStyle w:val="ListParagraph"/>
        <w:spacing w:line="360" w:lineRule="auto"/>
        <w:jc w:val="both"/>
        <w:rPr>
          <w:rFonts w:ascii="Arial" w:hAnsi="Arial" w:cs="Arial"/>
          <w:sz w:val="24"/>
          <w:szCs w:val="24"/>
          <w:lang w:val="en-US"/>
        </w:rPr>
      </w:pPr>
      <w:r w:rsidRPr="00DD1CE6">
        <w:rPr>
          <w:rFonts w:ascii="Arial" w:hAnsi="Arial" w:cs="Arial"/>
          <w:i/>
          <w:sz w:val="24"/>
          <w:szCs w:val="24"/>
          <w:lang w:val="en-US"/>
        </w:rPr>
        <w:t xml:space="preserve">‘ … </w:t>
      </w:r>
      <w:r w:rsidRPr="00DD1CE6">
        <w:rPr>
          <w:rFonts w:ascii="Arial" w:hAnsi="Arial" w:cs="Arial"/>
          <w:color w:val="000000"/>
          <w:sz w:val="24"/>
          <w:szCs w:val="24"/>
        </w:rPr>
        <w:t>Where a litigant relies upon a statutory provision, it is not necessary to specify it, but it must be clear from the facts alleged by the litigant that the section is relevant and operative.</w:t>
      </w:r>
      <w:bookmarkStart w:id="0" w:name="0-0-0-430461"/>
      <w:bookmarkEnd w:id="0"/>
      <w:r w:rsidRPr="00DD1CE6">
        <w:rPr>
          <w:rFonts w:ascii="Arial" w:hAnsi="Arial" w:cs="Arial"/>
          <w:color w:val="000000"/>
          <w:sz w:val="24"/>
          <w:szCs w:val="24"/>
        </w:rPr>
        <w:t>  …. [i]t must be emphasised that it is desirable for litigants who seek to review administrative action to identify clearly both the facts upon which they base their cause of action, and the legal basis of their cause of action…</w:t>
      </w:r>
      <w:r w:rsidRPr="00DD1CE6">
        <w:rPr>
          <w:rFonts w:ascii="Arial" w:hAnsi="Arial" w:cs="Arial"/>
          <w:sz w:val="24"/>
          <w:szCs w:val="24"/>
          <w:lang w:val="en-US"/>
        </w:rPr>
        <w:t>’</w:t>
      </w:r>
      <w:r w:rsidR="0044223A" w:rsidRPr="00DD1CE6">
        <w:rPr>
          <w:rFonts w:ascii="Arial" w:hAnsi="Arial" w:cs="Arial"/>
          <w:sz w:val="24"/>
          <w:szCs w:val="24"/>
          <w:lang w:val="en-US"/>
        </w:rPr>
        <w:t xml:space="preserve"> </w:t>
      </w:r>
    </w:p>
    <w:p w:rsidR="00626774" w:rsidRPr="00626774" w:rsidRDefault="00626774" w:rsidP="00626774">
      <w:pPr>
        <w:spacing w:line="480" w:lineRule="auto"/>
        <w:jc w:val="both"/>
        <w:rPr>
          <w:rFonts w:ascii="Verdana" w:hAnsi="Verdana"/>
          <w:color w:val="000000"/>
          <w:sz w:val="20"/>
          <w:szCs w:val="20"/>
        </w:rPr>
      </w:pPr>
    </w:p>
    <w:p w:rsidR="00B83C28" w:rsidRPr="00022690" w:rsidRDefault="00022690" w:rsidP="00022690">
      <w:pPr>
        <w:spacing w:line="480" w:lineRule="auto"/>
        <w:ind w:left="360" w:hanging="360"/>
        <w:jc w:val="both"/>
        <w:rPr>
          <w:rFonts w:ascii="Arial" w:hAnsi="Arial" w:cs="Arial"/>
          <w:i/>
          <w:sz w:val="24"/>
          <w:szCs w:val="24"/>
          <w:lang w:val="en-US"/>
        </w:rPr>
      </w:pPr>
      <w:r w:rsidRPr="00B83C28">
        <w:rPr>
          <w:rFonts w:ascii="Arial" w:hAnsi="Arial" w:cs="Arial"/>
          <w:sz w:val="24"/>
          <w:szCs w:val="24"/>
          <w:lang w:val="en-US"/>
        </w:rPr>
        <w:t>25.</w:t>
      </w:r>
      <w:r w:rsidRPr="00B83C28">
        <w:rPr>
          <w:rFonts w:ascii="Arial" w:hAnsi="Arial" w:cs="Arial"/>
          <w:sz w:val="24"/>
          <w:szCs w:val="24"/>
          <w:lang w:val="en-US"/>
        </w:rPr>
        <w:tab/>
      </w:r>
      <w:r w:rsidR="00B03952" w:rsidRPr="00022690">
        <w:rPr>
          <w:rFonts w:ascii="Arial" w:hAnsi="Arial" w:cs="Arial"/>
          <w:sz w:val="24"/>
          <w:szCs w:val="24"/>
          <w:lang w:val="en-US"/>
        </w:rPr>
        <w:t xml:space="preserve">There is no </w:t>
      </w:r>
      <w:r w:rsidR="002C7ED5" w:rsidRPr="00022690">
        <w:rPr>
          <w:rFonts w:ascii="Arial" w:hAnsi="Arial" w:cs="Arial"/>
          <w:sz w:val="24"/>
          <w:szCs w:val="24"/>
          <w:lang w:val="en-US"/>
        </w:rPr>
        <w:t>question</w:t>
      </w:r>
      <w:r w:rsidR="00B03952" w:rsidRPr="00022690">
        <w:rPr>
          <w:rFonts w:ascii="Arial" w:hAnsi="Arial" w:cs="Arial"/>
          <w:sz w:val="24"/>
          <w:szCs w:val="24"/>
          <w:lang w:val="en-US"/>
        </w:rPr>
        <w:t xml:space="preserve"> in this matter that this is an application for judicial review in terms of PAJA.  The applicant refers expressly to PAJA in the founding affidavit alleging that the procurement decision is subject to the Act and constitutes administrative action susceptible to judicial review in terms of section 6</w:t>
      </w:r>
      <w:r w:rsidR="002C7ED5" w:rsidRPr="00022690">
        <w:rPr>
          <w:rFonts w:ascii="Arial" w:hAnsi="Arial" w:cs="Arial"/>
          <w:sz w:val="24"/>
          <w:szCs w:val="24"/>
          <w:lang w:val="en-US"/>
        </w:rPr>
        <w:t>.</w:t>
      </w:r>
      <w:r w:rsidR="00B03952" w:rsidRPr="00022690">
        <w:rPr>
          <w:rFonts w:ascii="Arial" w:hAnsi="Arial" w:cs="Arial"/>
          <w:sz w:val="24"/>
          <w:szCs w:val="24"/>
          <w:lang w:val="en-US"/>
        </w:rPr>
        <w:t xml:space="preserve">  The applicant does not refer</w:t>
      </w:r>
      <w:r w:rsidR="00B83C28" w:rsidRPr="00022690">
        <w:rPr>
          <w:rFonts w:ascii="Arial" w:hAnsi="Arial" w:cs="Arial"/>
          <w:sz w:val="24"/>
          <w:szCs w:val="24"/>
          <w:lang w:val="en-US"/>
        </w:rPr>
        <w:t xml:space="preserve"> in its founding affidavits</w:t>
      </w:r>
      <w:r w:rsidR="00B03952" w:rsidRPr="00022690">
        <w:rPr>
          <w:rFonts w:ascii="Arial" w:hAnsi="Arial" w:cs="Arial"/>
          <w:sz w:val="24"/>
          <w:szCs w:val="24"/>
          <w:lang w:val="en-US"/>
        </w:rPr>
        <w:t xml:space="preserve"> to </w:t>
      </w:r>
      <w:r w:rsidR="002C7ED5" w:rsidRPr="00022690">
        <w:rPr>
          <w:rFonts w:ascii="Arial" w:hAnsi="Arial" w:cs="Arial"/>
          <w:sz w:val="24"/>
          <w:szCs w:val="24"/>
          <w:lang w:val="en-US"/>
        </w:rPr>
        <w:t>the specific grounds of review in section 6</w:t>
      </w:r>
      <w:r w:rsidR="00B03952" w:rsidRPr="00022690">
        <w:rPr>
          <w:rFonts w:ascii="Arial" w:hAnsi="Arial" w:cs="Arial"/>
          <w:sz w:val="24"/>
          <w:szCs w:val="24"/>
          <w:lang w:val="en-US"/>
        </w:rPr>
        <w:t xml:space="preserve"> upon which it relies.</w:t>
      </w:r>
      <w:r w:rsidR="00B03952">
        <w:rPr>
          <w:rStyle w:val="FootnoteReference"/>
          <w:rFonts w:ascii="Arial" w:hAnsi="Arial" w:cs="Arial"/>
          <w:sz w:val="24"/>
          <w:szCs w:val="24"/>
          <w:lang w:val="en-US"/>
        </w:rPr>
        <w:footnoteReference w:id="13"/>
      </w:r>
      <w:r w:rsidR="00B03952" w:rsidRPr="00022690">
        <w:rPr>
          <w:rFonts w:ascii="Arial" w:hAnsi="Arial" w:cs="Arial"/>
          <w:sz w:val="24"/>
          <w:szCs w:val="24"/>
          <w:lang w:val="en-US"/>
        </w:rPr>
        <w:t xml:space="preserve"> </w:t>
      </w:r>
      <w:r w:rsidR="00B83C28" w:rsidRPr="00022690">
        <w:rPr>
          <w:rFonts w:ascii="Arial" w:hAnsi="Arial" w:cs="Arial"/>
          <w:sz w:val="24"/>
          <w:szCs w:val="24"/>
          <w:lang w:val="en-US"/>
        </w:rPr>
        <w:t xml:space="preserve"> </w:t>
      </w:r>
      <w:r w:rsidR="00B03952" w:rsidRPr="00022690">
        <w:rPr>
          <w:rFonts w:ascii="Arial" w:hAnsi="Arial" w:cs="Arial"/>
          <w:sz w:val="24"/>
          <w:szCs w:val="24"/>
          <w:lang w:val="en-US"/>
        </w:rPr>
        <w:t>The process is, rather, impugned as ‘unlawful’ and ‘irrational’</w:t>
      </w:r>
      <w:r w:rsidR="00B83C28" w:rsidRPr="00022690">
        <w:rPr>
          <w:rFonts w:ascii="Arial" w:hAnsi="Arial" w:cs="Arial"/>
          <w:sz w:val="24"/>
          <w:szCs w:val="24"/>
          <w:lang w:val="en-US"/>
        </w:rPr>
        <w:t xml:space="preserve"> and the reasons for saying so are then spelt out, </w:t>
      </w:r>
      <w:r w:rsidR="00B03952" w:rsidRPr="00022690">
        <w:rPr>
          <w:rFonts w:ascii="Arial" w:hAnsi="Arial" w:cs="Arial"/>
          <w:sz w:val="24"/>
          <w:szCs w:val="24"/>
          <w:lang w:val="en-US"/>
        </w:rPr>
        <w:t>centrally in paragraphs 16 and 17 of the founding affidavit.</w:t>
      </w:r>
      <w:r w:rsidR="00B83C28" w:rsidRPr="00022690">
        <w:rPr>
          <w:rFonts w:ascii="Arial" w:hAnsi="Arial" w:cs="Arial"/>
          <w:sz w:val="24"/>
          <w:szCs w:val="24"/>
          <w:lang w:val="en-US"/>
        </w:rPr>
        <w:t xml:space="preserve">   While there is and was no duty on the applicant to specify the statutory provi</w:t>
      </w:r>
      <w:r w:rsidR="00F208A0" w:rsidRPr="00022690">
        <w:rPr>
          <w:rFonts w:ascii="Arial" w:hAnsi="Arial" w:cs="Arial"/>
          <w:sz w:val="24"/>
          <w:szCs w:val="24"/>
          <w:lang w:val="en-US"/>
        </w:rPr>
        <w:t>sion relied upon, the question remains</w:t>
      </w:r>
      <w:r w:rsidR="00B83C28" w:rsidRPr="00022690">
        <w:rPr>
          <w:rFonts w:ascii="Arial" w:hAnsi="Arial" w:cs="Arial"/>
          <w:sz w:val="24"/>
          <w:szCs w:val="24"/>
          <w:lang w:val="en-US"/>
        </w:rPr>
        <w:t xml:space="preserve"> whether it is clear from the facts alleged what sections are relevant and operative.   The applicant’s heads of argument </w:t>
      </w:r>
      <w:r w:rsidR="00F208A0" w:rsidRPr="00022690">
        <w:rPr>
          <w:rFonts w:ascii="Arial" w:hAnsi="Arial" w:cs="Arial"/>
          <w:sz w:val="24"/>
          <w:szCs w:val="24"/>
          <w:lang w:val="en-US"/>
        </w:rPr>
        <w:t xml:space="preserve">do </w:t>
      </w:r>
      <w:r w:rsidR="00B83C28" w:rsidRPr="00022690">
        <w:rPr>
          <w:rFonts w:ascii="Arial" w:hAnsi="Arial" w:cs="Arial"/>
          <w:sz w:val="24"/>
          <w:szCs w:val="24"/>
          <w:lang w:val="en-US"/>
        </w:rPr>
        <w:t>assist in this regard</w:t>
      </w:r>
      <w:r w:rsidR="00F208A0" w:rsidRPr="00022690">
        <w:rPr>
          <w:rFonts w:ascii="Arial" w:hAnsi="Arial" w:cs="Arial"/>
          <w:sz w:val="24"/>
          <w:szCs w:val="24"/>
          <w:lang w:val="en-US"/>
        </w:rPr>
        <w:t xml:space="preserve"> at least in respect of the</w:t>
      </w:r>
      <w:r w:rsidR="00FF2481" w:rsidRPr="00022690">
        <w:rPr>
          <w:rFonts w:ascii="Arial" w:hAnsi="Arial" w:cs="Arial"/>
          <w:sz w:val="24"/>
          <w:szCs w:val="24"/>
          <w:lang w:val="en-US"/>
        </w:rPr>
        <w:t xml:space="preserve"> attack on the</w:t>
      </w:r>
      <w:r w:rsidR="00F208A0" w:rsidRPr="00022690">
        <w:rPr>
          <w:rFonts w:ascii="Arial" w:hAnsi="Arial" w:cs="Arial"/>
          <w:sz w:val="24"/>
          <w:szCs w:val="24"/>
          <w:lang w:val="en-US"/>
        </w:rPr>
        <w:t xml:space="preserve"> standards specification in that rel</w:t>
      </w:r>
      <w:r w:rsidR="00B83C28" w:rsidRPr="00022690">
        <w:rPr>
          <w:rFonts w:ascii="Arial" w:hAnsi="Arial" w:cs="Arial"/>
          <w:sz w:val="24"/>
          <w:szCs w:val="24"/>
          <w:lang w:val="en-US"/>
        </w:rPr>
        <w:t>iance is squarely placed on Regulation 18(15) of the Minimum Norms and Standards Regulations</w:t>
      </w:r>
      <w:r w:rsidR="008913AA" w:rsidRPr="00022690">
        <w:rPr>
          <w:rFonts w:ascii="Arial" w:hAnsi="Arial" w:cs="Arial"/>
          <w:sz w:val="24"/>
          <w:szCs w:val="24"/>
          <w:lang w:val="en-US"/>
        </w:rPr>
        <w:t xml:space="preserve"> and reference made to the Agrément Act. </w:t>
      </w:r>
    </w:p>
    <w:p w:rsidR="00B83C28" w:rsidRPr="002C7ED5" w:rsidRDefault="00B83C28" w:rsidP="00B83C28">
      <w:pPr>
        <w:pStyle w:val="ListParagraph"/>
        <w:spacing w:line="480" w:lineRule="auto"/>
        <w:ind w:left="360"/>
        <w:jc w:val="both"/>
        <w:rPr>
          <w:rFonts w:ascii="Arial" w:hAnsi="Arial" w:cs="Arial"/>
          <w:i/>
          <w:sz w:val="24"/>
          <w:szCs w:val="24"/>
          <w:lang w:val="en-US"/>
        </w:rPr>
      </w:pPr>
    </w:p>
    <w:p w:rsidR="00FB729B" w:rsidRPr="00022690" w:rsidRDefault="00022690" w:rsidP="00022690">
      <w:pPr>
        <w:spacing w:line="480" w:lineRule="auto"/>
        <w:ind w:left="360" w:hanging="360"/>
        <w:jc w:val="both"/>
        <w:rPr>
          <w:rFonts w:ascii="Arial" w:hAnsi="Arial" w:cs="Arial"/>
          <w:i/>
          <w:sz w:val="24"/>
          <w:szCs w:val="24"/>
          <w:lang w:val="en-US"/>
        </w:rPr>
      </w:pPr>
      <w:r w:rsidRPr="00FB729B">
        <w:rPr>
          <w:rFonts w:ascii="Arial" w:hAnsi="Arial" w:cs="Arial"/>
          <w:sz w:val="24"/>
          <w:szCs w:val="24"/>
          <w:lang w:val="en-US"/>
        </w:rPr>
        <w:t>26.</w:t>
      </w:r>
      <w:r w:rsidRPr="00FB729B">
        <w:rPr>
          <w:rFonts w:ascii="Arial" w:hAnsi="Arial" w:cs="Arial"/>
          <w:sz w:val="24"/>
          <w:szCs w:val="24"/>
          <w:lang w:val="en-US"/>
        </w:rPr>
        <w:tab/>
      </w:r>
      <w:r w:rsidR="00B83C28" w:rsidRPr="00022690">
        <w:rPr>
          <w:rFonts w:ascii="Arial" w:hAnsi="Arial" w:cs="Arial"/>
          <w:sz w:val="24"/>
          <w:szCs w:val="24"/>
          <w:lang w:val="en-US"/>
        </w:rPr>
        <w:t>In my view, the way in which the applicant has set out its case</w:t>
      </w:r>
      <w:r w:rsidR="002C7ED5" w:rsidRPr="00022690">
        <w:rPr>
          <w:rFonts w:ascii="Arial" w:hAnsi="Arial" w:cs="Arial"/>
          <w:sz w:val="24"/>
          <w:szCs w:val="24"/>
          <w:lang w:val="en-US"/>
        </w:rPr>
        <w:t xml:space="preserve"> in respect of the standards specification</w:t>
      </w:r>
      <w:r w:rsidR="00B83C28" w:rsidRPr="00022690">
        <w:rPr>
          <w:rFonts w:ascii="Arial" w:hAnsi="Arial" w:cs="Arial"/>
          <w:sz w:val="24"/>
          <w:szCs w:val="24"/>
          <w:lang w:val="en-US"/>
        </w:rPr>
        <w:t xml:space="preserve"> </w:t>
      </w:r>
      <w:r w:rsidR="00F208A0" w:rsidRPr="00022690">
        <w:rPr>
          <w:rFonts w:ascii="Arial" w:hAnsi="Arial" w:cs="Arial"/>
          <w:sz w:val="24"/>
          <w:szCs w:val="24"/>
          <w:lang w:val="en-US"/>
        </w:rPr>
        <w:t xml:space="preserve">satisfactorily </w:t>
      </w:r>
      <w:r w:rsidR="00B83C28" w:rsidRPr="00022690">
        <w:rPr>
          <w:rFonts w:ascii="Arial" w:hAnsi="Arial" w:cs="Arial"/>
          <w:sz w:val="24"/>
          <w:szCs w:val="24"/>
          <w:lang w:val="en-US"/>
        </w:rPr>
        <w:t>disclose</w:t>
      </w:r>
      <w:r w:rsidR="00F208A0" w:rsidRPr="00022690">
        <w:rPr>
          <w:rFonts w:ascii="Arial" w:hAnsi="Arial" w:cs="Arial"/>
          <w:sz w:val="24"/>
          <w:szCs w:val="24"/>
          <w:lang w:val="en-US"/>
        </w:rPr>
        <w:t>s</w:t>
      </w:r>
      <w:r w:rsidR="00B83C28" w:rsidRPr="00022690">
        <w:rPr>
          <w:rFonts w:ascii="Arial" w:hAnsi="Arial" w:cs="Arial"/>
          <w:sz w:val="24"/>
          <w:szCs w:val="24"/>
          <w:lang w:val="en-US"/>
        </w:rPr>
        <w:t xml:space="preserve"> a cau</w:t>
      </w:r>
      <w:r w:rsidR="00F208A0" w:rsidRPr="00022690">
        <w:rPr>
          <w:rFonts w:ascii="Arial" w:hAnsi="Arial" w:cs="Arial"/>
          <w:sz w:val="24"/>
          <w:szCs w:val="24"/>
          <w:lang w:val="en-US"/>
        </w:rPr>
        <w:t>se of action under PAJA</w:t>
      </w:r>
      <w:r w:rsidR="002C7ED5" w:rsidRPr="00022690">
        <w:rPr>
          <w:rFonts w:ascii="Arial" w:hAnsi="Arial" w:cs="Arial"/>
          <w:sz w:val="24"/>
          <w:szCs w:val="24"/>
          <w:lang w:val="en-US"/>
        </w:rPr>
        <w:t>.</w:t>
      </w:r>
      <w:r w:rsidR="00F208A0" w:rsidRPr="00022690">
        <w:rPr>
          <w:rFonts w:ascii="Arial" w:hAnsi="Arial" w:cs="Arial"/>
          <w:sz w:val="24"/>
          <w:szCs w:val="24"/>
          <w:lang w:val="en-US"/>
        </w:rPr>
        <w:t xml:space="preserve"> The case, put simply, is that the </w:t>
      </w:r>
      <w:r w:rsidR="008913AA" w:rsidRPr="00022690">
        <w:rPr>
          <w:rFonts w:ascii="Arial" w:hAnsi="Arial" w:cs="Arial"/>
          <w:sz w:val="24"/>
          <w:szCs w:val="24"/>
          <w:lang w:val="en-US"/>
        </w:rPr>
        <w:t>standards specification</w:t>
      </w:r>
      <w:r w:rsidR="00F208A0" w:rsidRPr="00022690">
        <w:rPr>
          <w:rFonts w:ascii="Arial" w:hAnsi="Arial" w:cs="Arial"/>
          <w:sz w:val="24"/>
          <w:szCs w:val="24"/>
          <w:lang w:val="en-US"/>
        </w:rPr>
        <w:t xml:space="preserve"> is</w:t>
      </w:r>
      <w:r w:rsidR="008913AA" w:rsidRPr="00022690">
        <w:rPr>
          <w:rFonts w:ascii="Arial" w:hAnsi="Arial" w:cs="Arial"/>
          <w:sz w:val="24"/>
          <w:szCs w:val="24"/>
          <w:lang w:val="en-US"/>
        </w:rPr>
        <w:t xml:space="preserve"> unlawful because it breaches Regulation 18(5) of the Minimum Norms and Standards Act.  </w:t>
      </w:r>
      <w:r w:rsidR="00FB729B" w:rsidRPr="00022690">
        <w:rPr>
          <w:rFonts w:ascii="Arial" w:hAnsi="Arial" w:cs="Arial"/>
          <w:sz w:val="24"/>
          <w:szCs w:val="24"/>
          <w:lang w:val="en-US"/>
        </w:rPr>
        <w:t xml:space="preserve">It is unfortunate that </w:t>
      </w:r>
      <w:r w:rsidR="008913AA" w:rsidRPr="00022690">
        <w:rPr>
          <w:rFonts w:ascii="Arial" w:hAnsi="Arial" w:cs="Arial"/>
          <w:sz w:val="24"/>
          <w:szCs w:val="24"/>
          <w:lang w:val="en-US"/>
        </w:rPr>
        <w:t>Mr Grobler does not specify which part of section 6 of PAJA is thereby triggered</w:t>
      </w:r>
      <w:r w:rsidR="00FB729B" w:rsidRPr="00022690">
        <w:rPr>
          <w:rFonts w:ascii="Arial" w:hAnsi="Arial" w:cs="Arial"/>
          <w:sz w:val="24"/>
          <w:szCs w:val="24"/>
          <w:lang w:val="en-US"/>
        </w:rPr>
        <w:t xml:space="preserve">.  However, in my view, this failure is not fatal in this case because </w:t>
      </w:r>
      <w:r w:rsidR="00F208A0" w:rsidRPr="00022690">
        <w:rPr>
          <w:rFonts w:ascii="Arial" w:hAnsi="Arial" w:cs="Arial"/>
          <w:sz w:val="24"/>
          <w:szCs w:val="24"/>
          <w:lang w:val="en-US"/>
        </w:rPr>
        <w:t xml:space="preserve">the argument is both clearly advanced and this </w:t>
      </w:r>
      <w:r w:rsidR="00FB729B" w:rsidRPr="00022690">
        <w:rPr>
          <w:rFonts w:ascii="Arial" w:hAnsi="Arial" w:cs="Arial"/>
          <w:sz w:val="24"/>
          <w:szCs w:val="24"/>
          <w:lang w:val="en-US"/>
        </w:rPr>
        <w:t xml:space="preserve">is a </w:t>
      </w:r>
      <w:r w:rsidR="008913AA" w:rsidRPr="00022690">
        <w:rPr>
          <w:rFonts w:ascii="Arial" w:hAnsi="Arial" w:cs="Arial"/>
          <w:sz w:val="24"/>
          <w:szCs w:val="24"/>
          <w:lang w:val="en-US"/>
        </w:rPr>
        <w:t>classic legality argument embraced by section 6(2)(a)(i)</w:t>
      </w:r>
      <w:r w:rsidR="00FB729B" w:rsidRPr="00022690">
        <w:rPr>
          <w:rFonts w:ascii="Arial" w:hAnsi="Arial" w:cs="Arial"/>
          <w:sz w:val="24"/>
          <w:szCs w:val="24"/>
          <w:lang w:val="en-US"/>
        </w:rPr>
        <w:t>, section 6(2)(b) or section 6(2)(f)(i) of PAJA.</w:t>
      </w:r>
      <w:r w:rsidR="00045CBE">
        <w:rPr>
          <w:rStyle w:val="FootnoteReference"/>
          <w:rFonts w:ascii="Arial" w:hAnsi="Arial" w:cs="Arial"/>
          <w:sz w:val="24"/>
          <w:szCs w:val="24"/>
          <w:lang w:val="en-US"/>
        </w:rPr>
        <w:footnoteReference w:id="14"/>
      </w:r>
      <w:r w:rsidR="00FB729B" w:rsidRPr="00022690">
        <w:rPr>
          <w:rFonts w:ascii="Arial" w:hAnsi="Arial" w:cs="Arial"/>
          <w:sz w:val="24"/>
          <w:szCs w:val="24"/>
          <w:lang w:val="en-US"/>
        </w:rPr>
        <w:t xml:space="preserve">  </w:t>
      </w:r>
    </w:p>
    <w:p w:rsidR="00FB729B" w:rsidRPr="00FB729B" w:rsidRDefault="00FB729B" w:rsidP="00FB729B">
      <w:pPr>
        <w:pStyle w:val="ListParagraph"/>
        <w:rPr>
          <w:rFonts w:ascii="Arial" w:hAnsi="Arial" w:cs="Arial"/>
          <w:sz w:val="24"/>
          <w:szCs w:val="24"/>
          <w:lang w:val="en-US"/>
        </w:rPr>
      </w:pPr>
    </w:p>
    <w:p w:rsidR="00FF6463" w:rsidRPr="00022690" w:rsidRDefault="00022690" w:rsidP="00022690">
      <w:pPr>
        <w:spacing w:line="480" w:lineRule="auto"/>
        <w:ind w:left="360" w:hanging="360"/>
        <w:jc w:val="both"/>
        <w:rPr>
          <w:rFonts w:ascii="Arial" w:hAnsi="Arial" w:cs="Arial"/>
          <w:i/>
          <w:sz w:val="24"/>
          <w:szCs w:val="24"/>
          <w:lang w:val="en-US"/>
        </w:rPr>
      </w:pPr>
      <w:r w:rsidRPr="00195A6F">
        <w:rPr>
          <w:rFonts w:ascii="Arial" w:hAnsi="Arial" w:cs="Arial"/>
          <w:sz w:val="24"/>
          <w:szCs w:val="24"/>
          <w:lang w:val="en-US"/>
        </w:rPr>
        <w:t>27.</w:t>
      </w:r>
      <w:r w:rsidRPr="00195A6F">
        <w:rPr>
          <w:rFonts w:ascii="Arial" w:hAnsi="Arial" w:cs="Arial"/>
          <w:sz w:val="24"/>
          <w:szCs w:val="24"/>
          <w:lang w:val="en-US"/>
        </w:rPr>
        <w:tab/>
      </w:r>
      <w:r w:rsidR="00FB729B" w:rsidRPr="00022690">
        <w:rPr>
          <w:rFonts w:ascii="Arial" w:hAnsi="Arial" w:cs="Arial"/>
          <w:sz w:val="24"/>
          <w:szCs w:val="24"/>
          <w:lang w:val="en-US"/>
        </w:rPr>
        <w:t>The</w:t>
      </w:r>
      <w:r w:rsidR="00E65740" w:rsidRPr="00022690">
        <w:rPr>
          <w:rFonts w:ascii="Arial" w:hAnsi="Arial" w:cs="Arial"/>
          <w:sz w:val="24"/>
          <w:szCs w:val="24"/>
          <w:lang w:val="en-US"/>
        </w:rPr>
        <w:t xml:space="preserve"> operative provisions relevant to the </w:t>
      </w:r>
      <w:r w:rsidR="00FB729B" w:rsidRPr="00022690">
        <w:rPr>
          <w:rFonts w:ascii="Arial" w:hAnsi="Arial" w:cs="Arial"/>
          <w:sz w:val="24"/>
          <w:szCs w:val="24"/>
          <w:lang w:val="en-US"/>
        </w:rPr>
        <w:t>attack on the dry sanitation system specification</w:t>
      </w:r>
      <w:r w:rsidR="007E66D7" w:rsidRPr="00022690">
        <w:rPr>
          <w:rFonts w:ascii="Arial" w:hAnsi="Arial" w:cs="Arial"/>
          <w:sz w:val="24"/>
          <w:szCs w:val="24"/>
          <w:lang w:val="en-US"/>
        </w:rPr>
        <w:t xml:space="preserve"> are </w:t>
      </w:r>
      <w:r w:rsidR="00FB729B" w:rsidRPr="00022690">
        <w:rPr>
          <w:rFonts w:ascii="Arial" w:hAnsi="Arial" w:cs="Arial"/>
          <w:sz w:val="24"/>
          <w:szCs w:val="24"/>
          <w:lang w:val="en-US"/>
        </w:rPr>
        <w:t xml:space="preserve">less clear and one is left to speculate.  There are various possibly relevant </w:t>
      </w:r>
      <w:r w:rsidR="00E65740" w:rsidRPr="00022690">
        <w:rPr>
          <w:rFonts w:ascii="Arial" w:hAnsi="Arial" w:cs="Arial"/>
          <w:sz w:val="24"/>
          <w:szCs w:val="24"/>
          <w:lang w:val="en-US"/>
        </w:rPr>
        <w:t xml:space="preserve">and operative </w:t>
      </w:r>
      <w:r w:rsidR="00FB729B" w:rsidRPr="00022690">
        <w:rPr>
          <w:rFonts w:ascii="Arial" w:hAnsi="Arial" w:cs="Arial"/>
          <w:sz w:val="24"/>
          <w:szCs w:val="24"/>
          <w:lang w:val="en-US"/>
        </w:rPr>
        <w:t xml:space="preserve">grounds of review.  In </w:t>
      </w:r>
      <w:r w:rsidR="00E65740" w:rsidRPr="00022690">
        <w:rPr>
          <w:rFonts w:ascii="Arial" w:hAnsi="Arial" w:cs="Arial"/>
          <w:sz w:val="24"/>
          <w:szCs w:val="24"/>
          <w:lang w:val="en-US"/>
        </w:rPr>
        <w:t>my view it was i</w:t>
      </w:r>
      <w:r w:rsidR="00FB729B" w:rsidRPr="00022690">
        <w:rPr>
          <w:rFonts w:ascii="Arial" w:hAnsi="Arial" w:cs="Arial"/>
          <w:sz w:val="24"/>
          <w:szCs w:val="24"/>
          <w:lang w:val="en-US"/>
        </w:rPr>
        <w:t>ncumbent upon the applicant to specify the grounds relied upon</w:t>
      </w:r>
      <w:r w:rsidR="00195A6F" w:rsidRPr="00022690">
        <w:rPr>
          <w:rFonts w:ascii="Arial" w:hAnsi="Arial" w:cs="Arial"/>
          <w:sz w:val="24"/>
          <w:szCs w:val="24"/>
          <w:lang w:val="en-US"/>
        </w:rPr>
        <w:t xml:space="preserve"> as the Minister submitted</w:t>
      </w:r>
      <w:r w:rsidR="00FF2481" w:rsidRPr="00022690">
        <w:rPr>
          <w:rFonts w:ascii="Arial" w:hAnsi="Arial" w:cs="Arial"/>
          <w:sz w:val="24"/>
          <w:szCs w:val="24"/>
          <w:lang w:val="en-US"/>
        </w:rPr>
        <w:t xml:space="preserve">. </w:t>
      </w:r>
      <w:r w:rsidR="00FB729B" w:rsidRPr="00022690">
        <w:rPr>
          <w:rFonts w:ascii="Arial" w:hAnsi="Arial" w:cs="Arial"/>
          <w:sz w:val="24"/>
          <w:szCs w:val="24"/>
          <w:lang w:val="en-US"/>
        </w:rPr>
        <w:t xml:space="preserve">  Nevertheless, I will assume in </w:t>
      </w:r>
      <w:r w:rsidR="00045CBE" w:rsidRPr="00022690">
        <w:rPr>
          <w:rFonts w:ascii="Arial" w:hAnsi="Arial" w:cs="Arial"/>
          <w:sz w:val="24"/>
          <w:szCs w:val="24"/>
          <w:lang w:val="en-US"/>
        </w:rPr>
        <w:t>the applicant’s</w:t>
      </w:r>
      <w:r w:rsidR="007E66D7" w:rsidRPr="00022690">
        <w:rPr>
          <w:rFonts w:ascii="Arial" w:hAnsi="Arial" w:cs="Arial"/>
          <w:sz w:val="24"/>
          <w:szCs w:val="24"/>
          <w:lang w:val="en-US"/>
        </w:rPr>
        <w:t xml:space="preserve"> </w:t>
      </w:r>
      <w:r w:rsidR="00FB729B" w:rsidRPr="00022690">
        <w:rPr>
          <w:rFonts w:ascii="Arial" w:hAnsi="Arial" w:cs="Arial"/>
          <w:sz w:val="24"/>
          <w:szCs w:val="24"/>
          <w:lang w:val="en-US"/>
        </w:rPr>
        <w:t xml:space="preserve">favour that this is not destructive of this part of the </w:t>
      </w:r>
      <w:r w:rsidR="00E65740" w:rsidRPr="00022690">
        <w:rPr>
          <w:rFonts w:ascii="Arial" w:hAnsi="Arial" w:cs="Arial"/>
          <w:sz w:val="24"/>
          <w:szCs w:val="24"/>
          <w:lang w:val="en-US"/>
        </w:rPr>
        <w:t>case</w:t>
      </w:r>
      <w:r w:rsidR="00FB729B" w:rsidRPr="00022690">
        <w:rPr>
          <w:rFonts w:ascii="Arial" w:hAnsi="Arial" w:cs="Arial"/>
          <w:sz w:val="24"/>
          <w:szCs w:val="24"/>
          <w:lang w:val="en-US"/>
        </w:rPr>
        <w:t xml:space="preserve"> and in doing so</w:t>
      </w:r>
      <w:r w:rsidR="00FF2481" w:rsidRPr="00022690">
        <w:rPr>
          <w:rFonts w:ascii="Arial" w:hAnsi="Arial" w:cs="Arial"/>
          <w:sz w:val="24"/>
          <w:szCs w:val="24"/>
          <w:lang w:val="en-US"/>
        </w:rPr>
        <w:t xml:space="preserve"> I</w:t>
      </w:r>
      <w:r w:rsidR="00FB729B" w:rsidRPr="00022690">
        <w:rPr>
          <w:rFonts w:ascii="Arial" w:hAnsi="Arial" w:cs="Arial"/>
          <w:sz w:val="24"/>
          <w:szCs w:val="24"/>
          <w:lang w:val="en-US"/>
        </w:rPr>
        <w:t xml:space="preserve"> will </w:t>
      </w:r>
      <w:r w:rsidR="007E66D7" w:rsidRPr="00022690">
        <w:rPr>
          <w:rFonts w:ascii="Arial" w:hAnsi="Arial" w:cs="Arial"/>
          <w:sz w:val="24"/>
          <w:szCs w:val="24"/>
          <w:lang w:val="en-US"/>
        </w:rPr>
        <w:t xml:space="preserve">approach the issue in terms of </w:t>
      </w:r>
      <w:r w:rsidR="00E65740" w:rsidRPr="00022690">
        <w:rPr>
          <w:rFonts w:ascii="Arial" w:hAnsi="Arial" w:cs="Arial"/>
          <w:sz w:val="24"/>
          <w:szCs w:val="24"/>
          <w:lang w:val="en-US"/>
        </w:rPr>
        <w:t>section 6(2)</w:t>
      </w:r>
      <w:r w:rsidR="007E66D7" w:rsidRPr="00022690">
        <w:rPr>
          <w:rFonts w:ascii="Arial" w:hAnsi="Arial" w:cs="Arial"/>
          <w:sz w:val="24"/>
          <w:szCs w:val="24"/>
          <w:lang w:val="en-US"/>
        </w:rPr>
        <w:t>(e)(vi) and 6(2)</w:t>
      </w:r>
      <w:r w:rsidR="00E65740" w:rsidRPr="00022690">
        <w:rPr>
          <w:rFonts w:ascii="Arial" w:hAnsi="Arial" w:cs="Arial"/>
          <w:sz w:val="24"/>
          <w:szCs w:val="24"/>
          <w:lang w:val="en-US"/>
        </w:rPr>
        <w:t>(f) of PAJA, th</w:t>
      </w:r>
      <w:r w:rsidR="007E66D7" w:rsidRPr="00022690">
        <w:rPr>
          <w:rFonts w:ascii="Arial" w:hAnsi="Arial" w:cs="Arial"/>
          <w:sz w:val="24"/>
          <w:szCs w:val="24"/>
          <w:lang w:val="en-US"/>
        </w:rPr>
        <w:t>ese</w:t>
      </w:r>
      <w:r w:rsidR="00E65740" w:rsidRPr="00022690">
        <w:rPr>
          <w:rFonts w:ascii="Arial" w:hAnsi="Arial" w:cs="Arial"/>
          <w:sz w:val="24"/>
          <w:szCs w:val="24"/>
          <w:lang w:val="en-US"/>
        </w:rPr>
        <w:t xml:space="preserve"> being the primary provision</w:t>
      </w:r>
      <w:r w:rsidR="007E66D7" w:rsidRPr="00022690">
        <w:rPr>
          <w:rFonts w:ascii="Arial" w:hAnsi="Arial" w:cs="Arial"/>
          <w:sz w:val="24"/>
          <w:szCs w:val="24"/>
          <w:lang w:val="en-US"/>
        </w:rPr>
        <w:t>s</w:t>
      </w:r>
      <w:r w:rsidR="00E65740" w:rsidRPr="00022690">
        <w:rPr>
          <w:rFonts w:ascii="Arial" w:hAnsi="Arial" w:cs="Arial"/>
          <w:sz w:val="24"/>
          <w:szCs w:val="24"/>
          <w:lang w:val="en-US"/>
        </w:rPr>
        <w:t xml:space="preserve"> dealing with </w:t>
      </w:r>
      <w:r w:rsidR="007E66D7" w:rsidRPr="00022690">
        <w:rPr>
          <w:rFonts w:ascii="Arial" w:hAnsi="Arial" w:cs="Arial"/>
          <w:sz w:val="24"/>
          <w:szCs w:val="24"/>
          <w:lang w:val="en-US"/>
        </w:rPr>
        <w:t xml:space="preserve">arbitrariness and </w:t>
      </w:r>
      <w:r w:rsidR="00E65740" w:rsidRPr="00022690">
        <w:rPr>
          <w:rFonts w:ascii="Arial" w:hAnsi="Arial" w:cs="Arial"/>
          <w:sz w:val="24"/>
          <w:szCs w:val="24"/>
          <w:lang w:val="en-US"/>
        </w:rPr>
        <w:t>rationality</w:t>
      </w:r>
      <w:r w:rsidR="00045CBE" w:rsidRPr="00022690">
        <w:rPr>
          <w:rFonts w:ascii="Arial" w:hAnsi="Arial" w:cs="Arial"/>
          <w:sz w:val="24"/>
          <w:szCs w:val="24"/>
          <w:lang w:val="en-US"/>
        </w:rPr>
        <w:t>.</w:t>
      </w:r>
      <w:r w:rsidR="00045CBE">
        <w:rPr>
          <w:rStyle w:val="FootnoteReference"/>
          <w:rFonts w:ascii="Arial" w:hAnsi="Arial" w:cs="Arial"/>
          <w:sz w:val="24"/>
          <w:szCs w:val="24"/>
          <w:lang w:val="en-US"/>
        </w:rPr>
        <w:footnoteReference w:id="15"/>
      </w:r>
      <w:r w:rsidR="00045CBE" w:rsidRPr="00022690">
        <w:rPr>
          <w:rFonts w:ascii="Arial" w:hAnsi="Arial" w:cs="Arial"/>
          <w:sz w:val="24"/>
          <w:szCs w:val="24"/>
          <w:lang w:val="en-US"/>
        </w:rPr>
        <w:t xml:space="preserve"> </w:t>
      </w:r>
    </w:p>
    <w:p w:rsidR="00195A6F" w:rsidRPr="00195A6F" w:rsidRDefault="00195A6F" w:rsidP="00195A6F">
      <w:pPr>
        <w:pStyle w:val="ListParagraph"/>
        <w:rPr>
          <w:rFonts w:ascii="Arial" w:hAnsi="Arial" w:cs="Arial"/>
          <w:i/>
          <w:sz w:val="24"/>
          <w:szCs w:val="24"/>
          <w:lang w:val="en-US"/>
        </w:rPr>
      </w:pPr>
    </w:p>
    <w:p w:rsidR="0047063A" w:rsidRPr="00022690" w:rsidRDefault="00022690" w:rsidP="00022690">
      <w:pPr>
        <w:spacing w:line="480" w:lineRule="auto"/>
        <w:ind w:left="360" w:hanging="360"/>
        <w:jc w:val="both"/>
        <w:rPr>
          <w:rFonts w:ascii="Arial" w:hAnsi="Arial" w:cs="Arial"/>
          <w:i/>
          <w:sz w:val="24"/>
          <w:szCs w:val="24"/>
          <w:lang w:val="en-US"/>
        </w:rPr>
      </w:pPr>
      <w:r w:rsidRPr="0047063A">
        <w:rPr>
          <w:rFonts w:ascii="Arial" w:hAnsi="Arial" w:cs="Arial"/>
          <w:sz w:val="24"/>
          <w:szCs w:val="24"/>
          <w:lang w:val="en-US"/>
        </w:rPr>
        <w:t>28.</w:t>
      </w:r>
      <w:r w:rsidRPr="0047063A">
        <w:rPr>
          <w:rFonts w:ascii="Arial" w:hAnsi="Arial" w:cs="Arial"/>
          <w:sz w:val="24"/>
          <w:szCs w:val="24"/>
          <w:lang w:val="en-US"/>
        </w:rPr>
        <w:tab/>
      </w:r>
      <w:r w:rsidR="00195A6F" w:rsidRPr="00022690">
        <w:rPr>
          <w:rFonts w:ascii="Arial" w:hAnsi="Arial" w:cs="Arial"/>
          <w:sz w:val="24"/>
          <w:szCs w:val="24"/>
          <w:lang w:val="en-US"/>
        </w:rPr>
        <w:t>The Minister also submitted that a case is not made out that the impugned procurement process constitutes administrative action because of a failure to establish the definitional req</w:t>
      </w:r>
      <w:r w:rsidR="00F32159" w:rsidRPr="00022690">
        <w:rPr>
          <w:rFonts w:ascii="Arial" w:hAnsi="Arial" w:cs="Arial"/>
          <w:sz w:val="24"/>
          <w:szCs w:val="24"/>
          <w:lang w:val="en-US"/>
        </w:rPr>
        <w:t>uirement that the impugned conduct</w:t>
      </w:r>
      <w:r w:rsidR="00195A6F" w:rsidRPr="00022690">
        <w:rPr>
          <w:rFonts w:ascii="Arial" w:hAnsi="Arial" w:cs="Arial"/>
          <w:sz w:val="24"/>
          <w:szCs w:val="24"/>
          <w:lang w:val="en-US"/>
        </w:rPr>
        <w:t xml:space="preserve"> adversely affects the rights of the applicant.</w:t>
      </w:r>
      <w:r w:rsidR="00045CBE" w:rsidRPr="00022690">
        <w:rPr>
          <w:rFonts w:ascii="Arial" w:hAnsi="Arial" w:cs="Arial"/>
          <w:sz w:val="24"/>
          <w:szCs w:val="24"/>
          <w:lang w:val="en-US"/>
        </w:rPr>
        <w:t xml:space="preserve">  </w:t>
      </w:r>
    </w:p>
    <w:p w:rsidR="0047063A" w:rsidRPr="0047063A" w:rsidRDefault="0047063A" w:rsidP="0047063A">
      <w:pPr>
        <w:pStyle w:val="ListParagraph"/>
        <w:rPr>
          <w:rFonts w:ascii="Arial" w:hAnsi="Arial" w:cs="Arial"/>
          <w:sz w:val="24"/>
          <w:szCs w:val="24"/>
          <w:lang w:val="en-US"/>
        </w:rPr>
      </w:pPr>
    </w:p>
    <w:p w:rsidR="000B3D04" w:rsidRPr="00022690" w:rsidRDefault="00022690" w:rsidP="00022690">
      <w:pPr>
        <w:spacing w:line="480" w:lineRule="auto"/>
        <w:ind w:left="360" w:hanging="360"/>
        <w:jc w:val="both"/>
        <w:rPr>
          <w:rFonts w:ascii="Arial" w:hAnsi="Arial" w:cs="Arial"/>
          <w:i/>
          <w:sz w:val="24"/>
          <w:szCs w:val="24"/>
          <w:lang w:val="en-US"/>
        </w:rPr>
      </w:pPr>
      <w:r w:rsidRPr="000B3D04">
        <w:rPr>
          <w:rFonts w:ascii="Arial" w:hAnsi="Arial" w:cs="Arial"/>
          <w:sz w:val="24"/>
          <w:szCs w:val="24"/>
          <w:lang w:val="en-US"/>
        </w:rPr>
        <w:t>29.</w:t>
      </w:r>
      <w:r w:rsidRPr="000B3D04">
        <w:rPr>
          <w:rFonts w:ascii="Arial" w:hAnsi="Arial" w:cs="Arial"/>
          <w:sz w:val="24"/>
          <w:szCs w:val="24"/>
          <w:lang w:val="en-US"/>
        </w:rPr>
        <w:tab/>
      </w:r>
      <w:r w:rsidR="00045CBE" w:rsidRPr="00022690">
        <w:rPr>
          <w:rFonts w:ascii="Arial" w:hAnsi="Arial" w:cs="Arial"/>
          <w:sz w:val="24"/>
          <w:szCs w:val="24"/>
          <w:lang w:val="en-US"/>
        </w:rPr>
        <w:t xml:space="preserve">The SCA dealt with this requirement in </w:t>
      </w:r>
      <w:r w:rsidR="00045CBE" w:rsidRPr="00022690">
        <w:rPr>
          <w:rFonts w:ascii="Arial" w:hAnsi="Arial" w:cs="Arial"/>
          <w:i/>
          <w:sz w:val="24"/>
          <w:szCs w:val="24"/>
          <w:lang w:val="en-US"/>
        </w:rPr>
        <w:t>Greys Marine</w:t>
      </w:r>
      <w:r w:rsidR="000B3D04">
        <w:rPr>
          <w:rStyle w:val="FootnoteReference"/>
          <w:rFonts w:ascii="Arial" w:hAnsi="Arial" w:cs="Arial"/>
          <w:i/>
          <w:sz w:val="24"/>
          <w:szCs w:val="24"/>
          <w:lang w:val="en-US"/>
        </w:rPr>
        <w:footnoteReference w:id="16"/>
      </w:r>
      <w:r w:rsidR="00195A6F" w:rsidRPr="00022690">
        <w:rPr>
          <w:rFonts w:ascii="Arial" w:hAnsi="Arial" w:cs="Arial"/>
          <w:sz w:val="24"/>
          <w:szCs w:val="24"/>
          <w:lang w:val="en-US"/>
        </w:rPr>
        <w:t xml:space="preserve"> </w:t>
      </w:r>
      <w:r w:rsidR="000B3D04" w:rsidRPr="00022690">
        <w:rPr>
          <w:rFonts w:ascii="Arial" w:hAnsi="Arial" w:cs="Arial"/>
          <w:sz w:val="24"/>
          <w:szCs w:val="24"/>
          <w:lang w:val="en-US"/>
        </w:rPr>
        <w:t xml:space="preserve">in the following terms: </w:t>
      </w:r>
    </w:p>
    <w:p w:rsidR="000B3D04" w:rsidRPr="0047063A" w:rsidRDefault="000B3D04" w:rsidP="0047063A">
      <w:pPr>
        <w:pStyle w:val="ListParagraph"/>
        <w:spacing w:line="480" w:lineRule="auto"/>
        <w:jc w:val="both"/>
        <w:rPr>
          <w:rFonts w:ascii="Arial" w:hAnsi="Arial" w:cs="Arial"/>
          <w:lang w:val="en-US"/>
        </w:rPr>
      </w:pPr>
      <w:r w:rsidRPr="0047063A">
        <w:rPr>
          <w:rFonts w:ascii="Arial" w:hAnsi="Arial" w:cs="Arial"/>
          <w:lang w:val="en-US"/>
        </w:rPr>
        <w:t>‘</w:t>
      </w:r>
      <w:r w:rsidR="0047063A" w:rsidRPr="0047063A">
        <w:rPr>
          <w:rFonts w:ascii="Arial" w:hAnsi="Arial" w:cs="Arial"/>
          <w:color w:val="000000"/>
        </w:rPr>
        <w:t>While PAJA's definition purports to restrict administrative action to decisions that, as a fact, 'adversely affect the rights of any person', I do not think that literal meaning could have been intended. For administrative action to be characterised by its effect in particular cases (either beneficial or adverse) seems to me to be paradoxical and also finds no support from the construction that has until now been placed on s 33 of the Constitution. Moreover, that literal construction would be inconsonant with s 3(1), which </w:t>
      </w:r>
      <w:r w:rsidR="0047063A">
        <w:rPr>
          <w:rFonts w:ascii="Arial" w:hAnsi="Arial" w:cs="Arial"/>
          <w:color w:val="000000"/>
        </w:rPr>
        <w:t xml:space="preserve">envisages </w:t>
      </w:r>
      <w:r w:rsidR="0047063A" w:rsidRPr="0047063A">
        <w:rPr>
          <w:rFonts w:ascii="Arial" w:hAnsi="Arial" w:cs="Arial"/>
          <w:color w:val="000000"/>
        </w:rPr>
        <w:t>that administrative action might or might not affect rights adversely.</w:t>
      </w:r>
      <w:bookmarkStart w:id="24" w:name="0-0-0-423921"/>
      <w:bookmarkEnd w:id="24"/>
      <w:r w:rsidR="0047063A" w:rsidRPr="0047063A">
        <w:rPr>
          <w:rFonts w:ascii="Arial" w:hAnsi="Arial" w:cs="Arial"/>
          <w:color w:val="000000"/>
        </w:rPr>
        <w:t>  The qualification, particularly when seen in conjunction with the requirement that it must have a 'direct and external legal effect',</w:t>
      </w:r>
      <w:bookmarkStart w:id="25" w:name="0-0-0-423925"/>
      <w:bookmarkEnd w:id="25"/>
      <w:r w:rsidR="0047063A" w:rsidRPr="0047063A">
        <w:rPr>
          <w:rFonts w:ascii="Arial" w:hAnsi="Arial" w:cs="Arial"/>
          <w:color w:val="000000"/>
        </w:rPr>
        <w:t xml:space="preserve"> was probably intended rather to convey that administrative action is action that has the capacity to affect legal rights, the two qualifications in tandem serving to emphasise that administrative action impacts directly and immediately on individuals.</w:t>
      </w:r>
      <w:r w:rsidR="00FF2481">
        <w:rPr>
          <w:rFonts w:ascii="Arial" w:hAnsi="Arial" w:cs="Arial"/>
          <w:color w:val="000000"/>
        </w:rPr>
        <w:t>’</w:t>
      </w:r>
    </w:p>
    <w:p w:rsidR="000B3D04" w:rsidRPr="0047063A" w:rsidRDefault="000B3D04" w:rsidP="0047063A">
      <w:pPr>
        <w:pStyle w:val="ListParagraph"/>
        <w:spacing w:line="480" w:lineRule="auto"/>
        <w:rPr>
          <w:rFonts w:ascii="Arial" w:hAnsi="Arial" w:cs="Arial"/>
          <w:lang w:val="en-US"/>
        </w:rPr>
      </w:pPr>
    </w:p>
    <w:p w:rsidR="00613517" w:rsidRPr="00022690" w:rsidRDefault="00022690" w:rsidP="00022690">
      <w:pPr>
        <w:spacing w:line="480" w:lineRule="auto"/>
        <w:ind w:left="360" w:hanging="360"/>
        <w:jc w:val="both"/>
        <w:rPr>
          <w:rFonts w:ascii="Arial" w:hAnsi="Arial" w:cs="Arial"/>
          <w:i/>
          <w:sz w:val="24"/>
          <w:szCs w:val="24"/>
          <w:lang w:val="en-US"/>
        </w:rPr>
      </w:pPr>
      <w:r w:rsidRPr="00613517">
        <w:rPr>
          <w:rFonts w:ascii="Arial" w:hAnsi="Arial" w:cs="Arial"/>
          <w:sz w:val="24"/>
          <w:szCs w:val="24"/>
          <w:lang w:val="en-US"/>
        </w:rPr>
        <w:t>30.</w:t>
      </w:r>
      <w:r w:rsidRPr="00613517">
        <w:rPr>
          <w:rFonts w:ascii="Arial" w:hAnsi="Arial" w:cs="Arial"/>
          <w:sz w:val="24"/>
          <w:szCs w:val="24"/>
          <w:lang w:val="en-US"/>
        </w:rPr>
        <w:tab/>
      </w:r>
      <w:r w:rsidR="00323FA4" w:rsidRPr="00022690">
        <w:rPr>
          <w:rFonts w:ascii="Arial" w:hAnsi="Arial" w:cs="Arial"/>
          <w:sz w:val="24"/>
          <w:szCs w:val="24"/>
          <w:lang w:val="en-US"/>
        </w:rPr>
        <w:t>There is no dispute that a decision to award or refuse a tender constitutes administrative action because the decision ‘materially and directly affects the- legal interests or rights of tenderers concerned.’</w:t>
      </w:r>
      <w:r w:rsidR="00323FA4">
        <w:rPr>
          <w:rStyle w:val="FootnoteReference"/>
          <w:rFonts w:ascii="Arial" w:hAnsi="Arial" w:cs="Arial"/>
          <w:sz w:val="24"/>
          <w:szCs w:val="24"/>
          <w:lang w:val="en-US"/>
        </w:rPr>
        <w:footnoteReference w:id="17"/>
      </w:r>
      <w:r w:rsidR="00613517" w:rsidRPr="00022690">
        <w:rPr>
          <w:rFonts w:ascii="Arial" w:hAnsi="Arial" w:cs="Arial"/>
          <w:sz w:val="24"/>
          <w:szCs w:val="24"/>
          <w:lang w:val="en-US"/>
        </w:rPr>
        <w:t xml:space="preserve">  However, in this case the applicant is not a tenderer, successful or unsuccessful as it was excluded from submitting a bid due to an exclusionary criterion which it contends is unlawful.  In this regard, I accept that there must a limit to when a person can contend that their rights are adversely affected due to their inability to pr</w:t>
      </w:r>
      <w:r w:rsidR="00FF2481" w:rsidRPr="00022690">
        <w:rPr>
          <w:rFonts w:ascii="Arial" w:hAnsi="Arial" w:cs="Arial"/>
          <w:sz w:val="24"/>
          <w:szCs w:val="24"/>
          <w:lang w:val="en-US"/>
        </w:rPr>
        <w:t>ovide the works or goods sought in a tender process.</w:t>
      </w:r>
      <w:r w:rsidR="00613517" w:rsidRPr="00022690">
        <w:rPr>
          <w:rFonts w:ascii="Arial" w:hAnsi="Arial" w:cs="Arial"/>
          <w:sz w:val="24"/>
          <w:szCs w:val="24"/>
          <w:lang w:val="en-US"/>
        </w:rPr>
        <w:t xml:space="preserve">  However, a similar issue arose in </w:t>
      </w:r>
      <w:r w:rsidR="00613517" w:rsidRPr="00022690">
        <w:rPr>
          <w:rFonts w:ascii="Arial" w:hAnsi="Arial" w:cs="Arial"/>
          <w:i/>
          <w:sz w:val="24"/>
          <w:szCs w:val="24"/>
          <w:lang w:val="en-US"/>
        </w:rPr>
        <w:t>Earth Life Africa,</w:t>
      </w:r>
      <w:r w:rsidR="00613517" w:rsidRPr="00323FA4">
        <w:rPr>
          <w:rStyle w:val="FootnoteReference"/>
          <w:rFonts w:ascii="Arial" w:hAnsi="Arial" w:cs="Arial"/>
          <w:sz w:val="24"/>
          <w:szCs w:val="24"/>
          <w:lang w:val="en-US"/>
        </w:rPr>
        <w:footnoteReference w:id="18"/>
      </w:r>
      <w:r w:rsidR="00613517" w:rsidRPr="00022690">
        <w:rPr>
          <w:rFonts w:ascii="Arial" w:hAnsi="Arial" w:cs="Arial"/>
          <w:sz w:val="24"/>
          <w:szCs w:val="24"/>
          <w:lang w:val="en-US"/>
        </w:rPr>
        <w:t xml:space="preserve"> in which a full bench of the Western Cape High Court held that a ministerial determination that a quantity of new power generation capacity would be sourced from nuclear energy adversely affected the rights of non-nuclear power producers.  </w:t>
      </w:r>
    </w:p>
    <w:p w:rsidR="00613517" w:rsidRPr="00613517" w:rsidRDefault="00613517" w:rsidP="00613517">
      <w:pPr>
        <w:pStyle w:val="ListParagraph"/>
        <w:spacing w:line="480" w:lineRule="auto"/>
        <w:ind w:left="360"/>
        <w:jc w:val="both"/>
        <w:rPr>
          <w:rFonts w:ascii="Arial" w:hAnsi="Arial" w:cs="Arial"/>
          <w:i/>
          <w:sz w:val="24"/>
          <w:szCs w:val="24"/>
          <w:lang w:val="en-US"/>
        </w:rPr>
      </w:pPr>
    </w:p>
    <w:p w:rsidR="00195A6F" w:rsidRPr="00022690" w:rsidRDefault="00022690" w:rsidP="00022690">
      <w:pPr>
        <w:spacing w:line="480" w:lineRule="auto"/>
        <w:ind w:left="360" w:hanging="360"/>
        <w:jc w:val="both"/>
        <w:rPr>
          <w:rFonts w:ascii="Arial" w:hAnsi="Arial" w:cs="Arial"/>
          <w:i/>
          <w:sz w:val="24"/>
          <w:szCs w:val="24"/>
          <w:lang w:val="en-US"/>
        </w:rPr>
      </w:pPr>
      <w:r w:rsidRPr="007E66D7">
        <w:rPr>
          <w:rFonts w:ascii="Arial" w:hAnsi="Arial" w:cs="Arial"/>
          <w:sz w:val="24"/>
          <w:szCs w:val="24"/>
          <w:lang w:val="en-US"/>
        </w:rPr>
        <w:t>31.</w:t>
      </w:r>
      <w:r w:rsidRPr="007E66D7">
        <w:rPr>
          <w:rFonts w:ascii="Arial" w:hAnsi="Arial" w:cs="Arial"/>
          <w:sz w:val="24"/>
          <w:szCs w:val="24"/>
          <w:lang w:val="en-US"/>
        </w:rPr>
        <w:tab/>
      </w:r>
      <w:r w:rsidR="00613517" w:rsidRPr="00022690">
        <w:rPr>
          <w:rFonts w:ascii="Arial" w:hAnsi="Arial" w:cs="Arial"/>
          <w:sz w:val="24"/>
          <w:szCs w:val="24"/>
          <w:lang w:val="en-US"/>
        </w:rPr>
        <w:t xml:space="preserve">In my view this is a case where the rights of the applicant are adversely affected in the sense articulated in </w:t>
      </w:r>
      <w:r w:rsidR="00613517" w:rsidRPr="00022690">
        <w:rPr>
          <w:rFonts w:ascii="Arial" w:hAnsi="Arial" w:cs="Arial"/>
          <w:i/>
          <w:sz w:val="24"/>
          <w:szCs w:val="24"/>
          <w:lang w:val="en-US"/>
        </w:rPr>
        <w:t>Greys Marine</w:t>
      </w:r>
      <w:r w:rsidR="002A195C" w:rsidRPr="00022690">
        <w:rPr>
          <w:rFonts w:ascii="Arial" w:hAnsi="Arial" w:cs="Arial"/>
          <w:i/>
          <w:sz w:val="24"/>
          <w:szCs w:val="24"/>
          <w:lang w:val="en-US"/>
        </w:rPr>
        <w:t xml:space="preserve"> </w:t>
      </w:r>
      <w:r w:rsidR="002A195C" w:rsidRPr="00022690">
        <w:rPr>
          <w:rFonts w:ascii="Arial" w:hAnsi="Arial" w:cs="Arial"/>
          <w:sz w:val="24"/>
          <w:szCs w:val="24"/>
          <w:lang w:val="en-US"/>
        </w:rPr>
        <w:t>at least because of the manner in which the case has been pleaded</w:t>
      </w:r>
      <w:r w:rsidR="00613517" w:rsidRPr="00022690">
        <w:rPr>
          <w:rFonts w:ascii="Arial" w:hAnsi="Arial" w:cs="Arial"/>
          <w:i/>
          <w:sz w:val="24"/>
          <w:szCs w:val="24"/>
          <w:lang w:val="en-US"/>
        </w:rPr>
        <w:t xml:space="preserve">. </w:t>
      </w:r>
      <w:r w:rsidR="002A195C" w:rsidRPr="00022690">
        <w:rPr>
          <w:rFonts w:ascii="Arial" w:hAnsi="Arial" w:cs="Arial"/>
          <w:i/>
          <w:sz w:val="24"/>
          <w:szCs w:val="24"/>
          <w:lang w:val="en-US"/>
        </w:rPr>
        <w:t xml:space="preserve"> </w:t>
      </w:r>
      <w:r w:rsidR="00613517" w:rsidRPr="00022690">
        <w:rPr>
          <w:rFonts w:ascii="Arial" w:hAnsi="Arial" w:cs="Arial"/>
          <w:sz w:val="24"/>
          <w:szCs w:val="24"/>
          <w:lang w:val="en-US"/>
        </w:rPr>
        <w:t>Although the applicant ultimately could not persist with the argument on the facts established in answer, the case was advanced partly on the basis that the tender was limited to procuri</w:t>
      </w:r>
      <w:r w:rsidR="002A195C" w:rsidRPr="00022690">
        <w:rPr>
          <w:rFonts w:ascii="Arial" w:hAnsi="Arial" w:cs="Arial"/>
          <w:sz w:val="24"/>
          <w:szCs w:val="24"/>
          <w:lang w:val="en-US"/>
        </w:rPr>
        <w:t xml:space="preserve">ng one product, the Amalooloo.  </w:t>
      </w:r>
      <w:r w:rsidR="00613517" w:rsidRPr="00022690">
        <w:rPr>
          <w:rFonts w:ascii="Arial" w:hAnsi="Arial" w:cs="Arial"/>
          <w:sz w:val="24"/>
          <w:szCs w:val="24"/>
          <w:lang w:val="en-US"/>
        </w:rPr>
        <w:t>The rights of suppliers of substantially similar products can legitimately contend that their rights are adversely affected thereby, not least the rights that flow from section 217 of the Constitution which imposes</w:t>
      </w:r>
      <w:r w:rsidR="002A195C" w:rsidRPr="00022690">
        <w:rPr>
          <w:rFonts w:ascii="Arial" w:hAnsi="Arial" w:cs="Arial"/>
          <w:sz w:val="24"/>
          <w:szCs w:val="24"/>
          <w:lang w:val="en-US"/>
        </w:rPr>
        <w:t xml:space="preserve"> a duty on organs of State, when they contract for goods or services to do so in accordance with a system which is ‘fair, equitable, transparent, competitive and cost-effective’, which rights are given effect to in, </w:t>
      </w:r>
      <w:r w:rsidR="002A195C" w:rsidRPr="00022690">
        <w:rPr>
          <w:rFonts w:ascii="Arial" w:hAnsi="Arial" w:cs="Arial"/>
          <w:i/>
          <w:sz w:val="24"/>
          <w:szCs w:val="24"/>
          <w:lang w:val="en-US"/>
        </w:rPr>
        <w:t>inter alia,</w:t>
      </w:r>
      <w:r w:rsidR="002A195C" w:rsidRPr="00022690">
        <w:rPr>
          <w:rFonts w:ascii="Arial" w:hAnsi="Arial" w:cs="Arial"/>
          <w:sz w:val="24"/>
          <w:szCs w:val="24"/>
          <w:lang w:val="en-US"/>
        </w:rPr>
        <w:t xml:space="preserve"> the Preferential Procurement Policy Framework Act 5 of 2000 and the particular tender system in place. </w:t>
      </w:r>
      <w:r w:rsidR="00613517" w:rsidRPr="00022690">
        <w:rPr>
          <w:rFonts w:ascii="Arial" w:hAnsi="Arial" w:cs="Arial"/>
          <w:sz w:val="24"/>
          <w:szCs w:val="24"/>
          <w:lang w:val="en-US"/>
        </w:rPr>
        <w:t xml:space="preserve"> </w:t>
      </w:r>
      <w:r w:rsidR="002A195C" w:rsidRPr="00022690">
        <w:rPr>
          <w:rFonts w:ascii="Arial" w:hAnsi="Arial" w:cs="Arial"/>
          <w:color w:val="FF0000"/>
          <w:sz w:val="24"/>
          <w:szCs w:val="24"/>
          <w:lang w:val="en-US"/>
        </w:rPr>
        <w:t xml:space="preserve"> </w:t>
      </w:r>
    </w:p>
    <w:p w:rsidR="00802720" w:rsidRDefault="00802720" w:rsidP="007E66D7">
      <w:pPr>
        <w:rPr>
          <w:rFonts w:ascii="Arial" w:hAnsi="Arial" w:cs="Arial"/>
          <w:b/>
          <w:sz w:val="24"/>
          <w:szCs w:val="24"/>
          <w:lang w:val="en-US"/>
        </w:rPr>
      </w:pPr>
    </w:p>
    <w:p w:rsidR="007E66D7" w:rsidRDefault="007E66D7" w:rsidP="007E66D7">
      <w:pPr>
        <w:rPr>
          <w:rFonts w:ascii="Arial" w:hAnsi="Arial" w:cs="Arial"/>
          <w:b/>
          <w:sz w:val="24"/>
          <w:szCs w:val="24"/>
          <w:lang w:val="en-US"/>
        </w:rPr>
      </w:pPr>
      <w:r w:rsidRPr="007E66D7">
        <w:rPr>
          <w:rFonts w:ascii="Arial" w:hAnsi="Arial" w:cs="Arial"/>
          <w:b/>
          <w:sz w:val="24"/>
          <w:szCs w:val="24"/>
          <w:lang w:val="en-US"/>
        </w:rPr>
        <w:t>The dry sanitation system specification</w:t>
      </w:r>
    </w:p>
    <w:p w:rsidR="007E66D7" w:rsidRPr="007E66D7" w:rsidRDefault="007E66D7" w:rsidP="007E66D7">
      <w:pPr>
        <w:rPr>
          <w:rFonts w:ascii="Arial" w:hAnsi="Arial" w:cs="Arial"/>
          <w:b/>
          <w:sz w:val="24"/>
          <w:szCs w:val="24"/>
          <w:lang w:val="en-US"/>
        </w:rPr>
      </w:pPr>
    </w:p>
    <w:p w:rsidR="00D809EC" w:rsidRPr="00022690" w:rsidRDefault="00022690" w:rsidP="00022690">
      <w:pPr>
        <w:spacing w:line="480" w:lineRule="auto"/>
        <w:ind w:left="360" w:hanging="360"/>
        <w:jc w:val="both"/>
        <w:rPr>
          <w:rFonts w:ascii="Arial" w:hAnsi="Arial" w:cs="Arial"/>
          <w:i/>
          <w:sz w:val="24"/>
          <w:szCs w:val="24"/>
          <w:lang w:val="en-US"/>
        </w:rPr>
      </w:pPr>
      <w:r w:rsidRPr="00D809EC">
        <w:rPr>
          <w:rFonts w:ascii="Arial" w:hAnsi="Arial" w:cs="Arial"/>
          <w:sz w:val="24"/>
          <w:szCs w:val="24"/>
          <w:lang w:val="en-US"/>
        </w:rPr>
        <w:t>32.</w:t>
      </w:r>
      <w:r w:rsidRPr="00D809EC">
        <w:rPr>
          <w:rFonts w:ascii="Arial" w:hAnsi="Arial" w:cs="Arial"/>
          <w:sz w:val="24"/>
          <w:szCs w:val="24"/>
          <w:lang w:val="en-US"/>
        </w:rPr>
        <w:tab/>
      </w:r>
      <w:r w:rsidR="007E66D7" w:rsidRPr="00022690">
        <w:rPr>
          <w:rFonts w:ascii="Arial" w:hAnsi="Arial" w:cs="Arial"/>
          <w:sz w:val="24"/>
          <w:szCs w:val="24"/>
          <w:lang w:val="en-US"/>
        </w:rPr>
        <w:t>In my view, the NECT has</w:t>
      </w:r>
      <w:r w:rsidR="004E18FF" w:rsidRPr="00022690">
        <w:rPr>
          <w:rFonts w:ascii="Arial" w:hAnsi="Arial" w:cs="Arial"/>
          <w:sz w:val="24"/>
          <w:szCs w:val="24"/>
          <w:lang w:val="en-US"/>
        </w:rPr>
        <w:t xml:space="preserve"> factually</w:t>
      </w:r>
      <w:r w:rsidR="007E66D7" w:rsidRPr="00022690">
        <w:rPr>
          <w:rFonts w:ascii="Arial" w:hAnsi="Arial" w:cs="Arial"/>
          <w:sz w:val="24"/>
          <w:szCs w:val="24"/>
          <w:lang w:val="en-US"/>
        </w:rPr>
        <w:t xml:space="preserve"> answered the complaint about the dry sanitation system specification.  </w:t>
      </w:r>
      <w:r w:rsidR="00D8373B" w:rsidRPr="00022690">
        <w:rPr>
          <w:rFonts w:ascii="Arial" w:hAnsi="Arial" w:cs="Arial"/>
          <w:sz w:val="24"/>
          <w:szCs w:val="24"/>
          <w:lang w:val="en-US"/>
        </w:rPr>
        <w:t xml:space="preserve"> I accept that there is scope under PAJA to review as irrational the use of an unsafe system where the very purpose is to secure safety.  But on the evidence I cannot conclude that the systems are unsafe.  In this regard, the </w:t>
      </w:r>
      <w:r w:rsidR="007E66D7" w:rsidRPr="00022690">
        <w:rPr>
          <w:rFonts w:ascii="Arial" w:hAnsi="Arial" w:cs="Arial"/>
          <w:sz w:val="24"/>
          <w:szCs w:val="24"/>
          <w:lang w:val="en-US"/>
        </w:rPr>
        <w:t xml:space="preserve">applicant contends – in general terms – that </w:t>
      </w:r>
      <w:r w:rsidR="00D8373B" w:rsidRPr="00022690">
        <w:rPr>
          <w:rFonts w:ascii="Arial" w:hAnsi="Arial" w:cs="Arial"/>
          <w:sz w:val="24"/>
          <w:szCs w:val="24"/>
          <w:lang w:val="en-US"/>
        </w:rPr>
        <w:t>the system is</w:t>
      </w:r>
      <w:r w:rsidR="007E66D7" w:rsidRPr="00022690">
        <w:rPr>
          <w:rFonts w:ascii="Arial" w:hAnsi="Arial" w:cs="Arial"/>
          <w:sz w:val="24"/>
          <w:szCs w:val="24"/>
          <w:lang w:val="en-US"/>
        </w:rPr>
        <w:t xml:space="preserve"> unsafe as </w:t>
      </w:r>
      <w:r w:rsidR="00D8373B" w:rsidRPr="00022690">
        <w:rPr>
          <w:rFonts w:ascii="Arial" w:hAnsi="Arial" w:cs="Arial"/>
          <w:sz w:val="24"/>
          <w:szCs w:val="24"/>
          <w:lang w:val="en-US"/>
        </w:rPr>
        <w:t xml:space="preserve">a </w:t>
      </w:r>
      <w:r w:rsidR="007E66D7" w:rsidRPr="00022690">
        <w:rPr>
          <w:rFonts w:ascii="Arial" w:hAnsi="Arial" w:cs="Arial"/>
          <w:sz w:val="24"/>
          <w:szCs w:val="24"/>
          <w:lang w:val="en-US"/>
        </w:rPr>
        <w:t>child can fall into the substructure</w:t>
      </w:r>
      <w:r w:rsidR="00D8373B" w:rsidRPr="00022690">
        <w:rPr>
          <w:rFonts w:ascii="Arial" w:hAnsi="Arial" w:cs="Arial"/>
          <w:sz w:val="24"/>
          <w:szCs w:val="24"/>
          <w:lang w:val="en-US"/>
        </w:rPr>
        <w:t>.  T</w:t>
      </w:r>
      <w:r w:rsidR="007E66D7" w:rsidRPr="00022690">
        <w:rPr>
          <w:rFonts w:ascii="Arial" w:hAnsi="Arial" w:cs="Arial"/>
          <w:sz w:val="24"/>
          <w:szCs w:val="24"/>
          <w:lang w:val="en-US"/>
        </w:rPr>
        <w:t>he NECT has responded</w:t>
      </w:r>
      <w:r w:rsidR="00792E32" w:rsidRPr="00022690">
        <w:rPr>
          <w:rFonts w:ascii="Arial" w:hAnsi="Arial" w:cs="Arial"/>
          <w:sz w:val="24"/>
          <w:szCs w:val="24"/>
          <w:lang w:val="en-US"/>
        </w:rPr>
        <w:t xml:space="preserve"> – also in general terms – to </w:t>
      </w:r>
      <w:r w:rsidR="007E66D7" w:rsidRPr="00022690">
        <w:rPr>
          <w:rFonts w:ascii="Arial" w:hAnsi="Arial" w:cs="Arial"/>
          <w:sz w:val="24"/>
          <w:szCs w:val="24"/>
          <w:lang w:val="en-US"/>
        </w:rPr>
        <w:t>say that the systems</w:t>
      </w:r>
      <w:r w:rsidR="00D8373B" w:rsidRPr="00022690">
        <w:rPr>
          <w:rFonts w:ascii="Arial" w:hAnsi="Arial" w:cs="Arial"/>
          <w:sz w:val="24"/>
          <w:szCs w:val="24"/>
          <w:lang w:val="en-US"/>
        </w:rPr>
        <w:t xml:space="preserve"> that will be used are designed to ensure this cannot happen.  I must accept the NECT’s version, not least on the limited information the applicant supplies on the issue.</w:t>
      </w:r>
      <w:r w:rsidR="00D809EC">
        <w:rPr>
          <w:rStyle w:val="FootnoteReference"/>
          <w:rFonts w:ascii="Arial" w:hAnsi="Arial" w:cs="Arial"/>
          <w:sz w:val="24"/>
          <w:szCs w:val="24"/>
          <w:lang w:val="en-US"/>
        </w:rPr>
        <w:footnoteReference w:id="19"/>
      </w:r>
      <w:r w:rsidR="00D8373B" w:rsidRPr="00022690">
        <w:rPr>
          <w:rFonts w:ascii="Arial" w:hAnsi="Arial" w:cs="Arial"/>
          <w:sz w:val="24"/>
          <w:szCs w:val="24"/>
          <w:lang w:val="en-US"/>
        </w:rPr>
        <w:t xml:space="preserve">  </w:t>
      </w:r>
      <w:r w:rsidR="00792E32" w:rsidRPr="00022690">
        <w:rPr>
          <w:rFonts w:ascii="Arial" w:hAnsi="Arial" w:cs="Arial"/>
          <w:sz w:val="24"/>
          <w:szCs w:val="24"/>
          <w:lang w:val="en-US"/>
        </w:rPr>
        <w:t>In my view, the further complaints about the drawbacks of a dry sanitation system are insufficiently substantiated to ground a rationality review.</w:t>
      </w:r>
    </w:p>
    <w:p w:rsidR="00D8373B" w:rsidRPr="00802720" w:rsidRDefault="00D809EC" w:rsidP="00802720">
      <w:pPr>
        <w:pStyle w:val="NormalWeb"/>
        <w:shd w:val="clear" w:color="auto" w:fill="FFFFFF"/>
        <w:spacing w:before="144" w:beforeAutospacing="0" w:after="0" w:afterAutospacing="0" w:line="360" w:lineRule="atLeast"/>
        <w:rPr>
          <w:rFonts w:ascii="Verdana" w:hAnsi="Verdana"/>
          <w:color w:val="242121"/>
          <w:sz w:val="27"/>
          <w:szCs w:val="27"/>
        </w:rPr>
      </w:pPr>
      <w:r>
        <w:rPr>
          <w:rFonts w:ascii="Arial" w:hAnsi="Arial" w:cs="Arial"/>
          <w:color w:val="242121"/>
          <w:sz w:val="22"/>
          <w:szCs w:val="22"/>
        </w:rPr>
        <w:t> </w:t>
      </w:r>
    </w:p>
    <w:p w:rsidR="004E18FF" w:rsidRPr="00022690" w:rsidRDefault="00022690" w:rsidP="00022690">
      <w:pPr>
        <w:spacing w:line="480" w:lineRule="auto"/>
        <w:ind w:left="360" w:hanging="360"/>
        <w:jc w:val="both"/>
        <w:rPr>
          <w:rFonts w:ascii="Arial" w:hAnsi="Arial" w:cs="Arial"/>
          <w:i/>
          <w:sz w:val="24"/>
          <w:szCs w:val="24"/>
          <w:lang w:val="en-US"/>
        </w:rPr>
      </w:pPr>
      <w:r w:rsidRPr="004E18FF">
        <w:rPr>
          <w:rFonts w:ascii="Arial" w:hAnsi="Arial" w:cs="Arial"/>
          <w:sz w:val="24"/>
          <w:szCs w:val="24"/>
          <w:lang w:val="en-US"/>
        </w:rPr>
        <w:t>33.</w:t>
      </w:r>
      <w:r w:rsidRPr="004E18FF">
        <w:rPr>
          <w:rFonts w:ascii="Arial" w:hAnsi="Arial" w:cs="Arial"/>
          <w:sz w:val="24"/>
          <w:szCs w:val="24"/>
          <w:lang w:val="en-US"/>
        </w:rPr>
        <w:tab/>
      </w:r>
      <w:r w:rsidR="00D8373B" w:rsidRPr="00022690">
        <w:rPr>
          <w:rFonts w:ascii="Arial" w:hAnsi="Arial" w:cs="Arial"/>
          <w:sz w:val="24"/>
          <w:szCs w:val="24"/>
          <w:lang w:val="en-US"/>
        </w:rPr>
        <w:t xml:space="preserve">The further </w:t>
      </w:r>
      <w:r w:rsidR="004E18FF" w:rsidRPr="00022690">
        <w:rPr>
          <w:rFonts w:ascii="Arial" w:hAnsi="Arial" w:cs="Arial"/>
          <w:sz w:val="24"/>
          <w:szCs w:val="24"/>
          <w:lang w:val="en-US"/>
        </w:rPr>
        <w:t>argument</w:t>
      </w:r>
      <w:r w:rsidR="00D8373B" w:rsidRPr="00022690">
        <w:rPr>
          <w:rFonts w:ascii="Arial" w:hAnsi="Arial" w:cs="Arial"/>
          <w:sz w:val="24"/>
          <w:szCs w:val="24"/>
          <w:lang w:val="en-US"/>
        </w:rPr>
        <w:t xml:space="preserve"> was advanced </w:t>
      </w:r>
      <w:r w:rsidR="004E18FF" w:rsidRPr="00022690">
        <w:rPr>
          <w:rFonts w:ascii="Arial" w:hAnsi="Arial" w:cs="Arial"/>
          <w:sz w:val="24"/>
          <w:szCs w:val="24"/>
          <w:lang w:val="en-US"/>
        </w:rPr>
        <w:t xml:space="preserve">that </w:t>
      </w:r>
      <w:r w:rsidR="00D8373B" w:rsidRPr="00022690">
        <w:rPr>
          <w:rFonts w:ascii="Arial" w:hAnsi="Arial" w:cs="Arial"/>
          <w:sz w:val="24"/>
          <w:szCs w:val="24"/>
          <w:lang w:val="en-US"/>
        </w:rPr>
        <w:t xml:space="preserve">it is irrational to exclude from consideration other </w:t>
      </w:r>
      <w:r w:rsidR="004E18FF" w:rsidRPr="00022690">
        <w:rPr>
          <w:rFonts w:ascii="Arial" w:hAnsi="Arial" w:cs="Arial"/>
          <w:sz w:val="24"/>
          <w:szCs w:val="24"/>
          <w:lang w:val="en-US"/>
        </w:rPr>
        <w:t xml:space="preserve">water-wise </w:t>
      </w:r>
      <w:r w:rsidR="00D8373B" w:rsidRPr="00022690">
        <w:rPr>
          <w:rFonts w:ascii="Arial" w:hAnsi="Arial" w:cs="Arial"/>
          <w:sz w:val="24"/>
          <w:szCs w:val="24"/>
          <w:lang w:val="en-US"/>
        </w:rPr>
        <w:t>systems, such as low-flush systems.   In my view, th</w:t>
      </w:r>
      <w:r w:rsidR="004E18FF" w:rsidRPr="00022690">
        <w:rPr>
          <w:rFonts w:ascii="Arial" w:hAnsi="Arial" w:cs="Arial"/>
          <w:sz w:val="24"/>
          <w:szCs w:val="24"/>
          <w:lang w:val="en-US"/>
        </w:rPr>
        <w:t xml:space="preserve">at case </w:t>
      </w:r>
      <w:r w:rsidR="00D8373B" w:rsidRPr="00022690">
        <w:rPr>
          <w:rFonts w:ascii="Arial" w:hAnsi="Arial" w:cs="Arial"/>
          <w:sz w:val="24"/>
          <w:szCs w:val="24"/>
          <w:lang w:val="en-US"/>
        </w:rPr>
        <w:t>is also answered factually.  As Mr Bham submitted, on the evidence before me, the affected schools are all in water scarce, deep rural areas where there is no bulk-water supply or running water.</w:t>
      </w:r>
      <w:r w:rsidR="00792E32" w:rsidRPr="00022690">
        <w:rPr>
          <w:rFonts w:ascii="Arial" w:hAnsi="Arial" w:cs="Arial"/>
          <w:sz w:val="24"/>
          <w:szCs w:val="24"/>
          <w:lang w:val="en-US"/>
        </w:rPr>
        <w:t xml:space="preserve">  The use of low-flush systems was accordingly </w:t>
      </w:r>
      <w:r w:rsidR="004E18FF" w:rsidRPr="00022690">
        <w:rPr>
          <w:rFonts w:ascii="Arial" w:hAnsi="Arial" w:cs="Arial"/>
          <w:sz w:val="24"/>
          <w:szCs w:val="24"/>
          <w:lang w:val="en-US"/>
        </w:rPr>
        <w:t xml:space="preserve">regarded </w:t>
      </w:r>
      <w:r w:rsidR="00792E32" w:rsidRPr="00022690">
        <w:rPr>
          <w:rFonts w:ascii="Arial" w:hAnsi="Arial" w:cs="Arial"/>
          <w:sz w:val="24"/>
          <w:szCs w:val="24"/>
          <w:lang w:val="en-US"/>
        </w:rPr>
        <w:t xml:space="preserve">as unsuitable. </w:t>
      </w:r>
      <w:r w:rsidR="00A37450" w:rsidRPr="00022690">
        <w:rPr>
          <w:rFonts w:ascii="Arial" w:hAnsi="Arial" w:cs="Arial"/>
          <w:sz w:val="24"/>
          <w:szCs w:val="24"/>
          <w:lang w:val="en-US"/>
        </w:rPr>
        <w:t xml:space="preserve"> Moreover, the NECT explains that the tender requirement must be understood against the settling of water scarcity in South Africa.   Africa is categori</w:t>
      </w:r>
      <w:r w:rsidR="00802720" w:rsidRPr="00022690">
        <w:rPr>
          <w:rFonts w:ascii="Arial" w:hAnsi="Arial" w:cs="Arial"/>
          <w:sz w:val="24"/>
          <w:szCs w:val="24"/>
          <w:lang w:val="en-US"/>
        </w:rPr>
        <w:t>sed</w:t>
      </w:r>
      <w:r w:rsidR="00A37450" w:rsidRPr="00022690">
        <w:rPr>
          <w:rFonts w:ascii="Arial" w:hAnsi="Arial" w:cs="Arial"/>
          <w:sz w:val="24"/>
          <w:szCs w:val="24"/>
          <w:lang w:val="en-US"/>
        </w:rPr>
        <w:t xml:space="preserve"> as a water-stressed continent</w:t>
      </w:r>
      <w:r w:rsidR="00802720" w:rsidRPr="00022690">
        <w:rPr>
          <w:rFonts w:ascii="Arial" w:hAnsi="Arial" w:cs="Arial"/>
          <w:sz w:val="24"/>
          <w:szCs w:val="24"/>
          <w:lang w:val="en-US"/>
        </w:rPr>
        <w:t>.  The 2014 Intergovernmental P</w:t>
      </w:r>
      <w:r w:rsidR="00A37450" w:rsidRPr="00022690">
        <w:rPr>
          <w:rFonts w:ascii="Arial" w:hAnsi="Arial" w:cs="Arial"/>
          <w:sz w:val="24"/>
          <w:szCs w:val="24"/>
          <w:lang w:val="en-US"/>
        </w:rPr>
        <w:t>anel on Climate Change projected that between 75 and 250 million people will be adversely affected by this</w:t>
      </w:r>
      <w:r w:rsidR="00802720" w:rsidRPr="00022690">
        <w:rPr>
          <w:rFonts w:ascii="Arial" w:hAnsi="Arial" w:cs="Arial"/>
          <w:sz w:val="24"/>
          <w:szCs w:val="24"/>
          <w:lang w:val="en-US"/>
        </w:rPr>
        <w:t xml:space="preserve"> climate change </w:t>
      </w:r>
      <w:r w:rsidR="00A37450" w:rsidRPr="00022690">
        <w:rPr>
          <w:rFonts w:ascii="Arial" w:hAnsi="Arial" w:cs="Arial"/>
          <w:sz w:val="24"/>
          <w:szCs w:val="24"/>
          <w:lang w:val="en-US"/>
        </w:rPr>
        <w:t xml:space="preserve">by 2020.  The selection of dry sanitation systems is informed by this context in that it is understood that in the long term, increased water scarcity will negatively affect the use of modern technology including modern waterborne flush toilets that require large amounts of water.  </w:t>
      </w:r>
    </w:p>
    <w:p w:rsidR="004E18FF" w:rsidRPr="004E18FF" w:rsidRDefault="004E18FF" w:rsidP="004E18FF">
      <w:pPr>
        <w:pStyle w:val="ListParagraph"/>
        <w:spacing w:line="480" w:lineRule="auto"/>
        <w:ind w:left="360"/>
        <w:jc w:val="both"/>
        <w:rPr>
          <w:rFonts w:ascii="Arial" w:hAnsi="Arial" w:cs="Arial"/>
          <w:i/>
          <w:sz w:val="24"/>
          <w:szCs w:val="24"/>
          <w:lang w:val="en-US"/>
        </w:rPr>
      </w:pPr>
    </w:p>
    <w:p w:rsidR="007E66D7" w:rsidRPr="00022690" w:rsidRDefault="00022690" w:rsidP="00022690">
      <w:pPr>
        <w:spacing w:line="480" w:lineRule="auto"/>
        <w:ind w:left="360" w:hanging="360"/>
        <w:jc w:val="both"/>
        <w:rPr>
          <w:rFonts w:ascii="Arial" w:hAnsi="Arial" w:cs="Arial"/>
          <w:i/>
          <w:sz w:val="24"/>
          <w:szCs w:val="24"/>
          <w:lang w:val="en-US"/>
        </w:rPr>
      </w:pPr>
      <w:r w:rsidRPr="005F41FF">
        <w:rPr>
          <w:rFonts w:ascii="Arial" w:hAnsi="Arial" w:cs="Arial"/>
          <w:sz w:val="24"/>
          <w:szCs w:val="24"/>
          <w:lang w:val="en-US"/>
        </w:rPr>
        <w:t>34.</w:t>
      </w:r>
      <w:r w:rsidRPr="005F41FF">
        <w:rPr>
          <w:rFonts w:ascii="Arial" w:hAnsi="Arial" w:cs="Arial"/>
          <w:sz w:val="24"/>
          <w:szCs w:val="24"/>
          <w:lang w:val="en-US"/>
        </w:rPr>
        <w:tab/>
      </w:r>
      <w:r w:rsidR="004E18FF" w:rsidRPr="00022690">
        <w:rPr>
          <w:rFonts w:ascii="Arial" w:hAnsi="Arial" w:cs="Arial"/>
          <w:sz w:val="24"/>
          <w:szCs w:val="24"/>
          <w:lang w:val="en-US"/>
        </w:rPr>
        <w:t>As indicated above, during argument, a legality argument was advanced in respect of the dry sanitation system to the effect that it breaches Regulation 12(2) of the Minimum Norms and Standards Regulations.   The point was</w:t>
      </w:r>
      <w:r w:rsidR="005F41FF" w:rsidRPr="00022690">
        <w:rPr>
          <w:rFonts w:ascii="Arial" w:hAnsi="Arial" w:cs="Arial"/>
          <w:sz w:val="24"/>
          <w:szCs w:val="24"/>
          <w:lang w:val="en-US"/>
        </w:rPr>
        <w:t xml:space="preserve"> only </w:t>
      </w:r>
      <w:r w:rsidR="004E18FF" w:rsidRPr="00022690">
        <w:rPr>
          <w:rFonts w:ascii="Arial" w:hAnsi="Arial" w:cs="Arial"/>
          <w:sz w:val="24"/>
          <w:szCs w:val="24"/>
          <w:lang w:val="en-US"/>
        </w:rPr>
        <w:t xml:space="preserve">raised in the replying affidavit and in my view it </w:t>
      </w:r>
      <w:r w:rsidR="005F41FF" w:rsidRPr="00022690">
        <w:rPr>
          <w:rFonts w:ascii="Arial" w:hAnsi="Arial" w:cs="Arial"/>
          <w:sz w:val="24"/>
          <w:szCs w:val="24"/>
          <w:lang w:val="en-US"/>
        </w:rPr>
        <w:t>would be unfair to entertain it because had it been duly raised in the founding af</w:t>
      </w:r>
      <w:r w:rsidR="00D809EC" w:rsidRPr="00022690">
        <w:rPr>
          <w:rFonts w:ascii="Arial" w:hAnsi="Arial" w:cs="Arial"/>
          <w:sz w:val="24"/>
          <w:szCs w:val="24"/>
          <w:lang w:val="en-US"/>
        </w:rPr>
        <w:t>f</w:t>
      </w:r>
      <w:r w:rsidR="005F41FF" w:rsidRPr="00022690">
        <w:rPr>
          <w:rFonts w:ascii="Arial" w:hAnsi="Arial" w:cs="Arial"/>
          <w:sz w:val="24"/>
          <w:szCs w:val="24"/>
          <w:lang w:val="en-US"/>
        </w:rPr>
        <w:t>idavit</w:t>
      </w:r>
      <w:r w:rsidR="00D809EC" w:rsidRPr="00022690">
        <w:rPr>
          <w:rFonts w:ascii="Arial" w:hAnsi="Arial" w:cs="Arial"/>
          <w:sz w:val="24"/>
          <w:szCs w:val="24"/>
          <w:lang w:val="en-US"/>
        </w:rPr>
        <w:t>s</w:t>
      </w:r>
      <w:r w:rsidR="005F41FF" w:rsidRPr="00022690">
        <w:rPr>
          <w:rFonts w:ascii="Arial" w:hAnsi="Arial" w:cs="Arial"/>
          <w:sz w:val="24"/>
          <w:szCs w:val="24"/>
          <w:lang w:val="en-US"/>
        </w:rPr>
        <w:t>, the NECT would have been able to explain the precise extent to which the needs of individual schools were assessed before a determination was made that the dry sanitation system would be a suitable one</w:t>
      </w:r>
      <w:r w:rsidR="00D809EC" w:rsidRPr="00022690">
        <w:rPr>
          <w:rFonts w:ascii="Arial" w:hAnsi="Arial" w:cs="Arial"/>
          <w:sz w:val="24"/>
          <w:szCs w:val="24"/>
          <w:lang w:val="en-US"/>
        </w:rPr>
        <w:t xml:space="preserve"> for the relevant schools</w:t>
      </w:r>
      <w:r w:rsidR="00792E32" w:rsidRPr="00022690">
        <w:rPr>
          <w:rFonts w:ascii="Arial" w:hAnsi="Arial" w:cs="Arial"/>
          <w:sz w:val="24"/>
          <w:szCs w:val="24"/>
          <w:lang w:val="en-US"/>
        </w:rPr>
        <w:t>.</w:t>
      </w:r>
      <w:r w:rsidR="00792E32">
        <w:rPr>
          <w:rStyle w:val="FootnoteReference"/>
          <w:rFonts w:ascii="Arial" w:hAnsi="Arial" w:cs="Arial"/>
          <w:sz w:val="24"/>
          <w:szCs w:val="24"/>
          <w:lang w:val="en-US"/>
        </w:rPr>
        <w:footnoteReference w:id="20"/>
      </w:r>
      <w:r w:rsidR="005F41FF" w:rsidRPr="00022690">
        <w:rPr>
          <w:rFonts w:ascii="Arial" w:hAnsi="Arial" w:cs="Arial"/>
          <w:sz w:val="24"/>
          <w:szCs w:val="24"/>
          <w:lang w:val="en-US"/>
        </w:rPr>
        <w:t xml:space="preserve">  The NECT was not pertinently afforded that opportunity.  And in any event, to the extent that the case is foreshadowed, it is answered in that the NECT explains that the schools earmarked for the dry sanitation system are all in deep rural areas which are water scarce and without any bulk water system or running water.  </w:t>
      </w:r>
    </w:p>
    <w:p w:rsidR="005F41FF" w:rsidRPr="005F41FF" w:rsidRDefault="005F41FF" w:rsidP="005F41FF">
      <w:pPr>
        <w:pStyle w:val="ListParagraph"/>
        <w:rPr>
          <w:rFonts w:ascii="Arial" w:hAnsi="Arial" w:cs="Arial"/>
          <w:i/>
          <w:sz w:val="24"/>
          <w:szCs w:val="24"/>
          <w:lang w:val="en-US"/>
        </w:rPr>
      </w:pPr>
    </w:p>
    <w:p w:rsidR="005F41FF" w:rsidRPr="00022690" w:rsidRDefault="00022690" w:rsidP="00022690">
      <w:pPr>
        <w:spacing w:line="480" w:lineRule="auto"/>
        <w:ind w:left="360" w:hanging="360"/>
        <w:jc w:val="both"/>
        <w:rPr>
          <w:rFonts w:ascii="Arial" w:hAnsi="Arial" w:cs="Arial"/>
          <w:i/>
          <w:sz w:val="24"/>
          <w:szCs w:val="24"/>
          <w:lang w:val="en-US"/>
        </w:rPr>
      </w:pPr>
      <w:r w:rsidRPr="00B03952">
        <w:rPr>
          <w:rFonts w:ascii="Arial" w:hAnsi="Arial" w:cs="Arial"/>
          <w:sz w:val="24"/>
          <w:szCs w:val="24"/>
          <w:lang w:val="en-US"/>
        </w:rPr>
        <w:t>35.</w:t>
      </w:r>
      <w:r w:rsidRPr="00B03952">
        <w:rPr>
          <w:rFonts w:ascii="Arial" w:hAnsi="Arial" w:cs="Arial"/>
          <w:sz w:val="24"/>
          <w:szCs w:val="24"/>
          <w:lang w:val="en-US"/>
        </w:rPr>
        <w:tab/>
      </w:r>
      <w:r w:rsidR="005F41FF" w:rsidRPr="00022690">
        <w:rPr>
          <w:rFonts w:ascii="Arial" w:hAnsi="Arial" w:cs="Arial"/>
          <w:sz w:val="24"/>
          <w:szCs w:val="24"/>
          <w:lang w:val="en-US"/>
        </w:rPr>
        <w:t xml:space="preserve">Accordingly, on the affidavits before me, I am of the view that the applicant cannot succeed in its review of the procurement system based on the attack on the dry sanitation system specification. </w:t>
      </w:r>
    </w:p>
    <w:p w:rsidR="005F41FF" w:rsidRDefault="005F41FF" w:rsidP="006A2C27">
      <w:pPr>
        <w:spacing w:line="480" w:lineRule="auto"/>
        <w:jc w:val="both"/>
        <w:rPr>
          <w:rFonts w:ascii="Arial" w:hAnsi="Arial" w:cs="Arial"/>
          <w:b/>
          <w:sz w:val="24"/>
          <w:szCs w:val="24"/>
          <w:lang w:val="en-US"/>
        </w:rPr>
      </w:pPr>
    </w:p>
    <w:p w:rsidR="00FF6463" w:rsidRDefault="00792E32" w:rsidP="006A2C27">
      <w:pPr>
        <w:spacing w:line="480" w:lineRule="auto"/>
        <w:jc w:val="both"/>
        <w:rPr>
          <w:rFonts w:ascii="Arial" w:hAnsi="Arial" w:cs="Arial"/>
          <w:b/>
          <w:sz w:val="24"/>
          <w:szCs w:val="24"/>
          <w:lang w:val="en-US"/>
        </w:rPr>
      </w:pPr>
      <w:r>
        <w:rPr>
          <w:rFonts w:ascii="Arial" w:hAnsi="Arial" w:cs="Arial"/>
          <w:b/>
          <w:sz w:val="24"/>
          <w:szCs w:val="24"/>
          <w:lang w:val="en-US"/>
        </w:rPr>
        <w:t>The standards specification</w:t>
      </w:r>
    </w:p>
    <w:p w:rsidR="00D809EC" w:rsidRPr="00022690" w:rsidRDefault="00022690" w:rsidP="00022690">
      <w:pPr>
        <w:spacing w:line="480" w:lineRule="auto"/>
        <w:ind w:left="360" w:hanging="360"/>
        <w:jc w:val="both"/>
        <w:rPr>
          <w:rFonts w:ascii="Arial" w:hAnsi="Arial" w:cs="Arial"/>
          <w:lang w:val="en-US"/>
        </w:rPr>
      </w:pPr>
      <w:r w:rsidRPr="00D809EC">
        <w:rPr>
          <w:rFonts w:ascii="Arial" w:hAnsi="Arial" w:cs="Arial"/>
          <w:lang w:val="en-US"/>
        </w:rPr>
        <w:t>36.</w:t>
      </w:r>
      <w:r w:rsidRPr="00D809EC">
        <w:rPr>
          <w:rFonts w:ascii="Arial" w:hAnsi="Arial" w:cs="Arial"/>
          <w:lang w:val="en-US"/>
        </w:rPr>
        <w:tab/>
      </w:r>
      <w:r w:rsidR="00802720" w:rsidRPr="00022690">
        <w:rPr>
          <w:rFonts w:ascii="Arial" w:hAnsi="Arial" w:cs="Arial"/>
          <w:sz w:val="24"/>
          <w:szCs w:val="24"/>
          <w:lang w:val="en-US"/>
        </w:rPr>
        <w:t>In order to assess the lawfulness</w:t>
      </w:r>
      <w:r w:rsidR="005F41FF" w:rsidRPr="00022690">
        <w:rPr>
          <w:rFonts w:ascii="Arial" w:hAnsi="Arial" w:cs="Arial"/>
          <w:sz w:val="24"/>
          <w:szCs w:val="24"/>
          <w:lang w:val="en-US"/>
        </w:rPr>
        <w:t xml:space="preserve"> of the standards specification, it is necessary to interpret the requirements of the Minimum Norms and Standards Regulations and the Agrément Act</w:t>
      </w:r>
      <w:r w:rsidR="00D809EC" w:rsidRPr="00022690">
        <w:rPr>
          <w:rFonts w:ascii="Arial" w:hAnsi="Arial" w:cs="Arial"/>
          <w:sz w:val="24"/>
          <w:szCs w:val="24"/>
          <w:lang w:val="en-US"/>
        </w:rPr>
        <w:t>.</w:t>
      </w:r>
      <w:r w:rsidR="003D3F40">
        <w:rPr>
          <w:rStyle w:val="FootnoteReference"/>
          <w:rFonts w:ascii="Arial" w:hAnsi="Arial" w:cs="Arial"/>
          <w:sz w:val="24"/>
          <w:szCs w:val="24"/>
          <w:lang w:val="en-US"/>
        </w:rPr>
        <w:footnoteReference w:id="21"/>
      </w:r>
      <w:r w:rsidR="005F41FF" w:rsidRPr="00022690">
        <w:rPr>
          <w:rFonts w:ascii="Arial" w:hAnsi="Arial" w:cs="Arial"/>
          <w:sz w:val="24"/>
          <w:szCs w:val="24"/>
          <w:lang w:val="en-US"/>
        </w:rPr>
        <w:t xml:space="preserve">  Specifically, to consider whether they do impose a requirement that a dry sanitation system</w:t>
      </w:r>
      <w:r w:rsidR="00D809EC" w:rsidRPr="00022690">
        <w:rPr>
          <w:rFonts w:ascii="Arial" w:hAnsi="Arial" w:cs="Arial"/>
          <w:sz w:val="24"/>
          <w:szCs w:val="24"/>
          <w:lang w:val="en-US"/>
        </w:rPr>
        <w:t xml:space="preserve"> used in schools</w:t>
      </w:r>
      <w:r w:rsidR="005F41FF" w:rsidRPr="00022690">
        <w:rPr>
          <w:rFonts w:ascii="Arial" w:hAnsi="Arial" w:cs="Arial"/>
          <w:sz w:val="24"/>
          <w:szCs w:val="24"/>
          <w:lang w:val="en-US"/>
        </w:rPr>
        <w:t xml:space="preserve"> can </w:t>
      </w:r>
      <w:r w:rsidR="005F41FF" w:rsidRPr="00022690">
        <w:rPr>
          <w:rFonts w:ascii="Arial" w:hAnsi="Arial" w:cs="Arial"/>
          <w:i/>
          <w:sz w:val="24"/>
          <w:szCs w:val="24"/>
          <w:lang w:val="en-US"/>
        </w:rPr>
        <w:t xml:space="preserve">only </w:t>
      </w:r>
      <w:r w:rsidR="005F41FF" w:rsidRPr="00022690">
        <w:rPr>
          <w:rFonts w:ascii="Arial" w:hAnsi="Arial" w:cs="Arial"/>
          <w:sz w:val="24"/>
          <w:szCs w:val="24"/>
          <w:lang w:val="en-US"/>
        </w:rPr>
        <w:t>be Agrément certified</w:t>
      </w:r>
      <w:r w:rsidR="00EB1971" w:rsidRPr="00022690">
        <w:rPr>
          <w:rFonts w:ascii="Arial" w:hAnsi="Arial" w:cs="Arial"/>
          <w:sz w:val="24"/>
          <w:szCs w:val="24"/>
          <w:lang w:val="en-US"/>
        </w:rPr>
        <w:t xml:space="preserve"> or whether it is lawful to specify that </w:t>
      </w:r>
      <w:r w:rsidR="00D809EC" w:rsidRPr="00022690">
        <w:rPr>
          <w:rFonts w:ascii="Arial" w:hAnsi="Arial" w:cs="Arial"/>
          <w:sz w:val="24"/>
          <w:szCs w:val="24"/>
          <w:lang w:val="en-US"/>
        </w:rPr>
        <w:t>the technology be either SANS certified or Agrément certified</w:t>
      </w:r>
      <w:r w:rsidR="00802720" w:rsidRPr="00022690">
        <w:rPr>
          <w:rFonts w:ascii="Arial" w:hAnsi="Arial" w:cs="Arial"/>
          <w:sz w:val="24"/>
          <w:szCs w:val="24"/>
          <w:lang w:val="en-US"/>
        </w:rPr>
        <w:t xml:space="preserve"> as occurred in this caser</w:t>
      </w:r>
      <w:r w:rsidR="00D809EC" w:rsidRPr="00022690">
        <w:rPr>
          <w:rFonts w:ascii="Arial" w:hAnsi="Arial" w:cs="Arial"/>
          <w:sz w:val="24"/>
          <w:szCs w:val="24"/>
          <w:lang w:val="en-US"/>
        </w:rPr>
        <w:t>.</w:t>
      </w:r>
      <w:r w:rsidR="00A34B8C" w:rsidRPr="00022690">
        <w:rPr>
          <w:rFonts w:ascii="Arial" w:hAnsi="Arial" w:cs="Arial"/>
          <w:sz w:val="24"/>
          <w:szCs w:val="24"/>
          <w:lang w:val="en-US"/>
        </w:rPr>
        <w:t xml:space="preserve">  This requires a fuller consideration of the</w:t>
      </w:r>
      <w:r w:rsidR="00D37055" w:rsidRPr="00022690">
        <w:rPr>
          <w:rFonts w:ascii="Arial" w:hAnsi="Arial" w:cs="Arial"/>
          <w:sz w:val="24"/>
          <w:szCs w:val="24"/>
          <w:lang w:val="en-US"/>
        </w:rPr>
        <w:t xml:space="preserve"> language, purpose and</w:t>
      </w:r>
      <w:r w:rsidR="00A34B8C" w:rsidRPr="00022690">
        <w:rPr>
          <w:rFonts w:ascii="Arial" w:hAnsi="Arial" w:cs="Arial"/>
          <w:sz w:val="24"/>
          <w:szCs w:val="24"/>
          <w:lang w:val="en-US"/>
        </w:rPr>
        <w:t xml:space="preserve"> legislative context within which Regulation 18(15), which imposes the Agrément certification requirement, is found. </w:t>
      </w:r>
      <w:r w:rsidR="00D37055" w:rsidRPr="00022690">
        <w:rPr>
          <w:rFonts w:ascii="Arial" w:hAnsi="Arial" w:cs="Arial"/>
          <w:sz w:val="24"/>
          <w:szCs w:val="24"/>
          <w:lang w:val="en-US"/>
        </w:rPr>
        <w:t xml:space="preserve">  Also relevant is that Regulation 18(15) is intended to protect constitutional rights of </w:t>
      </w:r>
      <w:r w:rsidR="00D9282A" w:rsidRPr="00022690">
        <w:rPr>
          <w:rFonts w:ascii="Arial" w:hAnsi="Arial" w:cs="Arial"/>
          <w:sz w:val="24"/>
          <w:szCs w:val="24"/>
          <w:lang w:val="en-US"/>
        </w:rPr>
        <w:t>learners, usually children, by ensuring that children are educated in dignified, safe and suitable conditions</w:t>
      </w:r>
      <w:r w:rsidR="00D37055" w:rsidRPr="00022690">
        <w:rPr>
          <w:rFonts w:ascii="Arial" w:hAnsi="Arial" w:cs="Arial"/>
          <w:sz w:val="24"/>
          <w:szCs w:val="24"/>
          <w:lang w:val="en-US"/>
        </w:rPr>
        <w:t>.</w:t>
      </w:r>
      <w:r w:rsidR="00D9282A">
        <w:rPr>
          <w:rStyle w:val="FootnoteReference"/>
          <w:rFonts w:ascii="Arial" w:hAnsi="Arial" w:cs="Arial"/>
          <w:sz w:val="24"/>
          <w:szCs w:val="24"/>
          <w:lang w:val="en-US"/>
        </w:rPr>
        <w:footnoteReference w:id="22"/>
      </w:r>
      <w:r w:rsidR="00D37055" w:rsidRPr="00022690">
        <w:rPr>
          <w:rFonts w:ascii="Arial" w:hAnsi="Arial" w:cs="Arial"/>
          <w:sz w:val="24"/>
          <w:szCs w:val="24"/>
          <w:lang w:val="en-US"/>
        </w:rPr>
        <w:t xml:space="preserve"> </w:t>
      </w:r>
    </w:p>
    <w:p w:rsidR="00D809EC" w:rsidRPr="00D809EC" w:rsidRDefault="00D809EC" w:rsidP="00D809EC">
      <w:pPr>
        <w:pStyle w:val="ListParagraph"/>
        <w:spacing w:line="480" w:lineRule="auto"/>
        <w:ind w:left="360"/>
        <w:jc w:val="both"/>
        <w:rPr>
          <w:rFonts w:ascii="Arial" w:hAnsi="Arial" w:cs="Arial"/>
          <w:lang w:val="en-US"/>
        </w:rPr>
      </w:pPr>
    </w:p>
    <w:p w:rsidR="00A34B8C" w:rsidRPr="00022690" w:rsidRDefault="00022690" w:rsidP="00022690">
      <w:pPr>
        <w:spacing w:line="480" w:lineRule="auto"/>
        <w:ind w:left="360" w:hanging="360"/>
        <w:jc w:val="both"/>
        <w:rPr>
          <w:rFonts w:ascii="Arial" w:hAnsi="Arial" w:cs="Arial"/>
          <w:lang w:val="en-US"/>
        </w:rPr>
      </w:pPr>
      <w:r w:rsidRPr="00A34B8C">
        <w:rPr>
          <w:rFonts w:ascii="Arial" w:hAnsi="Arial" w:cs="Arial"/>
          <w:lang w:val="en-US"/>
        </w:rPr>
        <w:t>37.</w:t>
      </w:r>
      <w:r w:rsidRPr="00A34B8C">
        <w:rPr>
          <w:rFonts w:ascii="Arial" w:hAnsi="Arial" w:cs="Arial"/>
          <w:lang w:val="en-US"/>
        </w:rPr>
        <w:tab/>
      </w:r>
      <w:r w:rsidR="00A34B8C" w:rsidRPr="00022690">
        <w:rPr>
          <w:rFonts w:ascii="Arial" w:hAnsi="Arial" w:cs="Arial"/>
          <w:sz w:val="24"/>
          <w:szCs w:val="24"/>
          <w:lang w:val="en-US"/>
        </w:rPr>
        <w:t>Regulation 4 of the Minimum Norms and Standards Regulations is titled ‘Implementation of regulations’.  Regulation 4(1)(a), upon which the NECT relies, provides</w:t>
      </w:r>
      <w:r w:rsidR="00235704" w:rsidRPr="00022690">
        <w:rPr>
          <w:rFonts w:ascii="Arial" w:hAnsi="Arial" w:cs="Arial"/>
          <w:sz w:val="24"/>
          <w:szCs w:val="24"/>
          <w:lang w:val="en-US"/>
        </w:rPr>
        <w:t xml:space="preserve"> (with emphasis supplied)</w:t>
      </w:r>
      <w:r w:rsidR="00A34B8C" w:rsidRPr="00022690">
        <w:rPr>
          <w:rFonts w:ascii="Arial" w:hAnsi="Arial" w:cs="Arial"/>
          <w:sz w:val="24"/>
          <w:szCs w:val="24"/>
          <w:lang w:val="en-US"/>
        </w:rPr>
        <w:t xml:space="preserve">: </w:t>
      </w:r>
    </w:p>
    <w:p w:rsidR="00A34B8C" w:rsidRPr="00A34B8C" w:rsidRDefault="00A34B8C" w:rsidP="00A34B8C">
      <w:pPr>
        <w:pStyle w:val="ListParagraph"/>
        <w:spacing w:line="360" w:lineRule="auto"/>
        <w:rPr>
          <w:rFonts w:ascii="Arial" w:hAnsi="Arial" w:cs="Arial"/>
          <w:lang w:val="en-US"/>
        </w:rPr>
      </w:pPr>
      <w:r w:rsidRPr="00A34B8C">
        <w:rPr>
          <w:rFonts w:ascii="Arial" w:hAnsi="Arial" w:cs="Arial"/>
          <w:lang w:val="en-US"/>
        </w:rPr>
        <w:t xml:space="preserve">‘(1)  Notwithstanding the provisions of these Regulations, the norms and standards contained in the regulations – </w:t>
      </w:r>
    </w:p>
    <w:p w:rsidR="00A34B8C" w:rsidRPr="00022690" w:rsidRDefault="00022690" w:rsidP="00022690">
      <w:pPr>
        <w:spacing w:line="360" w:lineRule="auto"/>
        <w:ind w:left="1800" w:hanging="360"/>
        <w:jc w:val="both"/>
        <w:rPr>
          <w:rFonts w:ascii="Arial" w:hAnsi="Arial" w:cs="Arial"/>
          <w:lang w:val="en-US"/>
        </w:rPr>
      </w:pPr>
      <w:r w:rsidRPr="00A34B8C">
        <w:rPr>
          <w:rFonts w:ascii="Arial" w:hAnsi="Arial" w:cs="Arial"/>
          <w:lang w:val="en-US"/>
        </w:rPr>
        <w:t>(a)</w:t>
      </w:r>
      <w:r w:rsidRPr="00A34B8C">
        <w:rPr>
          <w:rFonts w:ascii="Arial" w:hAnsi="Arial" w:cs="Arial"/>
          <w:lang w:val="en-US"/>
        </w:rPr>
        <w:tab/>
      </w:r>
      <w:r w:rsidR="00A34B8C" w:rsidRPr="00022690">
        <w:rPr>
          <w:rFonts w:ascii="Arial" w:hAnsi="Arial" w:cs="Arial"/>
          <w:lang w:val="en-US"/>
        </w:rPr>
        <w:t xml:space="preserve">Must, subject to subregulation (5) and </w:t>
      </w:r>
      <w:r w:rsidR="00A34B8C" w:rsidRPr="00022690">
        <w:rPr>
          <w:rFonts w:ascii="Arial" w:hAnsi="Arial" w:cs="Arial"/>
          <w:b/>
          <w:lang w:val="en-US"/>
        </w:rPr>
        <w:t>as far as reasonably practicable</w:t>
      </w:r>
      <w:r w:rsidR="00A34B8C" w:rsidRPr="00022690">
        <w:rPr>
          <w:rFonts w:ascii="Arial" w:hAnsi="Arial" w:cs="Arial"/>
          <w:lang w:val="en-US"/>
        </w:rPr>
        <w:t>, be applied to all new schools and add</w:t>
      </w:r>
      <w:r w:rsidR="00235704" w:rsidRPr="00022690">
        <w:rPr>
          <w:rFonts w:ascii="Arial" w:hAnsi="Arial" w:cs="Arial"/>
          <w:lang w:val="en-US"/>
        </w:rPr>
        <w:t>itions, alter</w:t>
      </w:r>
      <w:r w:rsidR="00A34B8C" w:rsidRPr="00022690">
        <w:rPr>
          <w:rFonts w:ascii="Arial" w:hAnsi="Arial" w:cs="Arial"/>
          <w:lang w:val="en-US"/>
        </w:rPr>
        <w:t>ations and improvements to schools, with the exception of schools contemplated in subregulation (2); ….’</w:t>
      </w:r>
    </w:p>
    <w:p w:rsidR="00A34B8C" w:rsidRPr="00A34B8C" w:rsidRDefault="00A34B8C" w:rsidP="00A34B8C">
      <w:pPr>
        <w:pStyle w:val="ListParagraph"/>
        <w:ind w:left="1800"/>
        <w:jc w:val="both"/>
        <w:rPr>
          <w:rFonts w:ascii="Arial" w:hAnsi="Arial" w:cs="Arial"/>
          <w:sz w:val="24"/>
          <w:szCs w:val="24"/>
          <w:lang w:val="en-US"/>
        </w:rPr>
      </w:pPr>
      <w:r>
        <w:rPr>
          <w:rFonts w:ascii="Arial" w:hAnsi="Arial" w:cs="Arial"/>
          <w:sz w:val="24"/>
          <w:szCs w:val="24"/>
          <w:lang w:val="en-US"/>
        </w:rPr>
        <w:t xml:space="preserve"> </w:t>
      </w:r>
    </w:p>
    <w:p w:rsidR="005F41FF" w:rsidRPr="00022690" w:rsidRDefault="00022690" w:rsidP="00022690">
      <w:pPr>
        <w:spacing w:line="480" w:lineRule="auto"/>
        <w:ind w:left="360" w:hanging="360"/>
        <w:jc w:val="both"/>
        <w:rPr>
          <w:rFonts w:ascii="Arial" w:hAnsi="Arial" w:cs="Arial"/>
          <w:lang w:val="en-US"/>
        </w:rPr>
      </w:pPr>
      <w:r w:rsidRPr="00235704">
        <w:rPr>
          <w:rFonts w:ascii="Arial" w:hAnsi="Arial" w:cs="Arial"/>
          <w:lang w:val="en-US"/>
        </w:rPr>
        <w:t>38.</w:t>
      </w:r>
      <w:r w:rsidRPr="00235704">
        <w:rPr>
          <w:rFonts w:ascii="Arial" w:hAnsi="Arial" w:cs="Arial"/>
          <w:lang w:val="en-US"/>
        </w:rPr>
        <w:tab/>
      </w:r>
      <w:r w:rsidR="00D809EC" w:rsidRPr="00022690">
        <w:rPr>
          <w:rFonts w:ascii="Arial" w:hAnsi="Arial" w:cs="Arial"/>
          <w:sz w:val="24"/>
          <w:szCs w:val="24"/>
          <w:lang w:val="en-US"/>
        </w:rPr>
        <w:t>Regulation 12 of the Minimum Norms and Standards Regulations deal with Sanitation specifically</w:t>
      </w:r>
      <w:r w:rsidR="00A34B8C" w:rsidRPr="00022690">
        <w:rPr>
          <w:rFonts w:ascii="Arial" w:hAnsi="Arial" w:cs="Arial"/>
          <w:sz w:val="24"/>
          <w:szCs w:val="24"/>
          <w:lang w:val="en-US"/>
        </w:rPr>
        <w:t>.</w:t>
      </w:r>
      <w:r w:rsidR="00A34B8C">
        <w:rPr>
          <w:rStyle w:val="FootnoteReference"/>
          <w:rFonts w:ascii="Arial" w:hAnsi="Arial" w:cs="Arial"/>
          <w:sz w:val="24"/>
          <w:szCs w:val="24"/>
          <w:lang w:val="en-US"/>
        </w:rPr>
        <w:footnoteReference w:id="23"/>
      </w:r>
      <w:r w:rsidR="00A34B8C" w:rsidRPr="00022690">
        <w:rPr>
          <w:rFonts w:ascii="Arial" w:hAnsi="Arial" w:cs="Arial"/>
          <w:sz w:val="24"/>
          <w:szCs w:val="24"/>
          <w:lang w:val="en-US"/>
        </w:rPr>
        <w:t xml:space="preserve">  Regulation 12(1) imposes a requirement, </w:t>
      </w:r>
      <w:r w:rsidR="00A34B8C" w:rsidRPr="00022690">
        <w:rPr>
          <w:rFonts w:ascii="Arial" w:hAnsi="Arial" w:cs="Arial"/>
          <w:i/>
          <w:sz w:val="24"/>
          <w:szCs w:val="24"/>
          <w:lang w:val="en-US"/>
        </w:rPr>
        <w:t>inter alia,</w:t>
      </w:r>
      <w:r w:rsidR="00A34B8C" w:rsidRPr="00022690">
        <w:rPr>
          <w:rFonts w:ascii="Arial" w:hAnsi="Arial" w:cs="Arial"/>
          <w:sz w:val="24"/>
          <w:szCs w:val="24"/>
          <w:lang w:val="en-US"/>
        </w:rPr>
        <w:t xml:space="preserve"> that sanitation facilities ‘comply with all relevant laws’.  </w:t>
      </w:r>
      <w:r w:rsidR="00235704" w:rsidRPr="00022690">
        <w:rPr>
          <w:rFonts w:ascii="Arial" w:hAnsi="Arial" w:cs="Arial"/>
          <w:sz w:val="24"/>
          <w:szCs w:val="24"/>
          <w:lang w:val="en-US"/>
        </w:rPr>
        <w:t xml:space="preserve"> </w:t>
      </w:r>
    </w:p>
    <w:p w:rsidR="00235704" w:rsidRPr="00235704" w:rsidRDefault="00235704" w:rsidP="00235704">
      <w:pPr>
        <w:pStyle w:val="ListParagraph"/>
        <w:spacing w:line="480" w:lineRule="auto"/>
        <w:ind w:left="360"/>
        <w:jc w:val="both"/>
        <w:rPr>
          <w:rFonts w:ascii="Arial" w:hAnsi="Arial" w:cs="Arial"/>
          <w:lang w:val="en-US"/>
        </w:rPr>
      </w:pPr>
    </w:p>
    <w:p w:rsidR="0039295E" w:rsidRPr="00022690" w:rsidRDefault="00022690" w:rsidP="00022690">
      <w:pPr>
        <w:spacing w:line="480" w:lineRule="auto"/>
        <w:ind w:left="360" w:hanging="360"/>
        <w:jc w:val="both"/>
        <w:rPr>
          <w:rFonts w:ascii="Arial" w:hAnsi="Arial" w:cs="Arial"/>
          <w:sz w:val="24"/>
          <w:szCs w:val="24"/>
          <w:lang w:val="en-US"/>
        </w:rPr>
      </w:pPr>
      <w:r w:rsidRPr="002E06C3">
        <w:rPr>
          <w:rFonts w:ascii="Arial" w:hAnsi="Arial" w:cs="Arial"/>
          <w:sz w:val="24"/>
          <w:szCs w:val="24"/>
          <w:lang w:val="en-US"/>
        </w:rPr>
        <w:t>39.</w:t>
      </w:r>
      <w:r w:rsidRPr="002E06C3">
        <w:rPr>
          <w:rFonts w:ascii="Arial" w:hAnsi="Arial" w:cs="Arial"/>
          <w:sz w:val="24"/>
          <w:szCs w:val="24"/>
          <w:lang w:val="en-US"/>
        </w:rPr>
        <w:tab/>
      </w:r>
      <w:r w:rsidR="00235704" w:rsidRPr="00022690">
        <w:rPr>
          <w:rFonts w:ascii="Arial" w:hAnsi="Arial" w:cs="Arial"/>
          <w:sz w:val="24"/>
          <w:szCs w:val="24"/>
          <w:lang w:val="en-US"/>
        </w:rPr>
        <w:t>Regulation 18 is titled ‘Design considerations for all education areas’</w:t>
      </w:r>
      <w:r w:rsidR="0039295E" w:rsidRPr="00022690">
        <w:rPr>
          <w:rFonts w:ascii="Arial" w:hAnsi="Arial" w:cs="Arial"/>
          <w:sz w:val="24"/>
          <w:szCs w:val="24"/>
          <w:lang w:val="en-US"/>
        </w:rPr>
        <w:t xml:space="preserve">.  It contains 15 sub-regulations most of which apply generally to all education areas covering a range of issues such as ventilation and background noise.   Both Regulation 18(14) and (15) are relevant, and read: </w:t>
      </w:r>
    </w:p>
    <w:p w:rsidR="0039295E" w:rsidRPr="0039295E" w:rsidRDefault="0039295E" w:rsidP="0039295E">
      <w:pPr>
        <w:pStyle w:val="ListParagraph"/>
        <w:spacing w:line="360" w:lineRule="auto"/>
        <w:rPr>
          <w:rFonts w:ascii="Arial" w:hAnsi="Arial" w:cs="Arial"/>
          <w:lang w:val="en-US"/>
        </w:rPr>
      </w:pPr>
    </w:p>
    <w:p w:rsidR="00235704" w:rsidRPr="0039295E" w:rsidRDefault="0039295E" w:rsidP="0039295E">
      <w:pPr>
        <w:pStyle w:val="ListParagraph"/>
        <w:spacing w:line="360" w:lineRule="auto"/>
        <w:ind w:left="360"/>
        <w:jc w:val="both"/>
        <w:rPr>
          <w:rFonts w:ascii="Arial" w:hAnsi="Arial" w:cs="Arial"/>
          <w:lang w:val="en-US"/>
        </w:rPr>
      </w:pPr>
      <w:r w:rsidRPr="0039295E">
        <w:rPr>
          <w:rFonts w:ascii="Arial" w:hAnsi="Arial" w:cs="Arial"/>
          <w:lang w:val="en-US"/>
        </w:rPr>
        <w:t xml:space="preserve">‘(14)  In the planning and design of all schools contemplated in regulation 4(1)(a), school design must comply with all relevant laws, including the National Building Regulations, SANS 10-400 and the Occupational Health and Safety Act 85 of 1993. </w:t>
      </w:r>
    </w:p>
    <w:p w:rsidR="0039295E" w:rsidRDefault="0039295E" w:rsidP="0039295E">
      <w:pPr>
        <w:pStyle w:val="ListParagraph"/>
        <w:spacing w:line="360" w:lineRule="auto"/>
        <w:ind w:left="360"/>
        <w:jc w:val="both"/>
        <w:rPr>
          <w:rFonts w:ascii="Arial" w:hAnsi="Arial" w:cs="Arial"/>
          <w:lang w:val="en-US"/>
        </w:rPr>
      </w:pPr>
      <w:r w:rsidRPr="0039295E">
        <w:rPr>
          <w:rFonts w:ascii="Arial" w:hAnsi="Arial" w:cs="Arial"/>
          <w:lang w:val="en-US"/>
        </w:rPr>
        <w:t xml:space="preserve">(15)  Where the </w:t>
      </w:r>
      <w:r>
        <w:rPr>
          <w:rFonts w:ascii="Arial" w:hAnsi="Arial" w:cs="Arial"/>
          <w:lang w:val="en-US"/>
        </w:rPr>
        <w:t>use of alternative or innovative</w:t>
      </w:r>
      <w:r w:rsidRPr="0039295E">
        <w:rPr>
          <w:rFonts w:ascii="Arial" w:hAnsi="Arial" w:cs="Arial"/>
          <w:lang w:val="en-US"/>
        </w:rPr>
        <w:t xml:space="preserve"> building technologies are to be considered for the implementation of the norms and standards contained in these Regulations, certification is required from Agrément South Africa.’</w:t>
      </w:r>
      <w:r>
        <w:rPr>
          <w:rFonts w:ascii="Arial" w:hAnsi="Arial" w:cs="Arial"/>
          <w:lang w:val="en-US"/>
        </w:rPr>
        <w:t xml:space="preserve"> </w:t>
      </w:r>
    </w:p>
    <w:p w:rsidR="0039295E" w:rsidRPr="0039295E" w:rsidRDefault="0039295E" w:rsidP="0039295E">
      <w:pPr>
        <w:spacing w:line="360" w:lineRule="auto"/>
        <w:jc w:val="both"/>
        <w:rPr>
          <w:rFonts w:ascii="Arial" w:hAnsi="Arial" w:cs="Arial"/>
          <w:lang w:val="en-US"/>
        </w:rPr>
      </w:pPr>
    </w:p>
    <w:p w:rsidR="00EB1971" w:rsidRPr="00022690" w:rsidRDefault="00022690" w:rsidP="00022690">
      <w:pPr>
        <w:spacing w:line="480" w:lineRule="auto"/>
        <w:ind w:left="360" w:hanging="360"/>
        <w:jc w:val="both"/>
        <w:rPr>
          <w:rFonts w:ascii="Arial" w:hAnsi="Arial" w:cs="Arial"/>
          <w:sz w:val="24"/>
          <w:szCs w:val="24"/>
          <w:lang w:val="en-US"/>
        </w:rPr>
      </w:pPr>
      <w:r>
        <w:rPr>
          <w:rFonts w:ascii="Arial" w:hAnsi="Arial" w:cs="Arial"/>
          <w:sz w:val="24"/>
          <w:szCs w:val="24"/>
          <w:lang w:val="en-US"/>
        </w:rPr>
        <w:t>40.</w:t>
      </w:r>
      <w:r>
        <w:rPr>
          <w:rFonts w:ascii="Arial" w:hAnsi="Arial" w:cs="Arial"/>
          <w:sz w:val="24"/>
          <w:szCs w:val="24"/>
          <w:lang w:val="en-US"/>
        </w:rPr>
        <w:tab/>
      </w:r>
      <w:r w:rsidR="0039295E" w:rsidRPr="00022690">
        <w:rPr>
          <w:rFonts w:ascii="Arial" w:hAnsi="Arial" w:cs="Arial"/>
          <w:sz w:val="24"/>
          <w:szCs w:val="24"/>
          <w:lang w:val="en-US"/>
        </w:rPr>
        <w:t xml:space="preserve">Mr Bham submitted that these requirements must be understood in context of the provisions of the Agrément Act itself.   Notably, the Agrément Act does not use the language of alternative or innovative building technologies’.  It uses the language of a ‘non-standardised construction related product’ which is defined </w:t>
      </w:r>
      <w:r w:rsidR="009F27F7" w:rsidRPr="00022690">
        <w:rPr>
          <w:rFonts w:ascii="Arial" w:hAnsi="Arial" w:cs="Arial"/>
          <w:sz w:val="24"/>
          <w:szCs w:val="24"/>
          <w:lang w:val="en-US"/>
        </w:rPr>
        <w:t xml:space="preserve">in section 1 </w:t>
      </w:r>
      <w:r w:rsidR="0039295E" w:rsidRPr="00022690">
        <w:rPr>
          <w:rFonts w:ascii="Arial" w:hAnsi="Arial" w:cs="Arial"/>
          <w:sz w:val="24"/>
          <w:szCs w:val="24"/>
          <w:lang w:val="en-US"/>
        </w:rPr>
        <w:t>to mean ‘a construction related product or system, which may not necessarily be regarded as innovative and for which no SABS standard specification exists or which falls outside the scope and requirements of an existing SABS standard specification.’</w:t>
      </w:r>
      <w:r w:rsidR="009F27F7" w:rsidRPr="00022690">
        <w:rPr>
          <w:rFonts w:ascii="Arial" w:hAnsi="Arial" w:cs="Arial"/>
          <w:sz w:val="24"/>
          <w:szCs w:val="24"/>
          <w:lang w:val="en-US"/>
        </w:rPr>
        <w:t xml:space="preserve">  In turn, a ‘construction related product or system’ is defined to mean ‘a product, material, component, element, system, method, assembly, process or procedure intended for use in the construction of a building or infrastructures within the built environment.’ </w:t>
      </w:r>
      <w:r w:rsidR="0039295E" w:rsidRPr="00022690">
        <w:rPr>
          <w:rFonts w:ascii="Arial" w:hAnsi="Arial" w:cs="Arial"/>
          <w:sz w:val="24"/>
          <w:szCs w:val="24"/>
          <w:lang w:val="en-US"/>
        </w:rPr>
        <w:t xml:space="preserve"> </w:t>
      </w:r>
      <w:r w:rsidR="009F27F7" w:rsidRPr="00022690">
        <w:rPr>
          <w:rFonts w:ascii="Arial" w:hAnsi="Arial" w:cs="Arial"/>
          <w:sz w:val="24"/>
          <w:szCs w:val="24"/>
          <w:lang w:val="en-US"/>
        </w:rPr>
        <w:t xml:space="preserve">Under section 5(1) of the Agrément Act, Agrément South Africa is empowered to certify the fitness-for-purpose of a ‘non-standardised construction related product or system.’  </w:t>
      </w:r>
    </w:p>
    <w:p w:rsidR="009F27F7" w:rsidRDefault="009F27F7" w:rsidP="009F27F7">
      <w:pPr>
        <w:pStyle w:val="ListParagraph"/>
        <w:spacing w:line="480" w:lineRule="auto"/>
        <w:ind w:left="360"/>
        <w:jc w:val="both"/>
        <w:rPr>
          <w:rFonts w:ascii="Arial" w:hAnsi="Arial" w:cs="Arial"/>
          <w:sz w:val="24"/>
          <w:szCs w:val="24"/>
          <w:lang w:val="en-US"/>
        </w:rPr>
      </w:pPr>
    </w:p>
    <w:p w:rsidR="00913015" w:rsidRPr="00022690" w:rsidRDefault="00022690" w:rsidP="00022690">
      <w:pPr>
        <w:spacing w:line="480" w:lineRule="auto"/>
        <w:ind w:left="360" w:hanging="360"/>
        <w:jc w:val="both"/>
        <w:rPr>
          <w:rFonts w:ascii="Arial" w:hAnsi="Arial" w:cs="Arial"/>
          <w:sz w:val="24"/>
          <w:szCs w:val="24"/>
          <w:lang w:val="en-US"/>
        </w:rPr>
      </w:pPr>
      <w:r>
        <w:rPr>
          <w:rFonts w:ascii="Arial" w:hAnsi="Arial" w:cs="Arial"/>
          <w:sz w:val="24"/>
          <w:szCs w:val="24"/>
          <w:lang w:val="en-US"/>
        </w:rPr>
        <w:t>41.</w:t>
      </w:r>
      <w:r>
        <w:rPr>
          <w:rFonts w:ascii="Arial" w:hAnsi="Arial" w:cs="Arial"/>
          <w:sz w:val="24"/>
          <w:szCs w:val="24"/>
          <w:lang w:val="en-US"/>
        </w:rPr>
        <w:tab/>
      </w:r>
      <w:r w:rsidR="009F27F7" w:rsidRPr="00022690">
        <w:rPr>
          <w:rFonts w:ascii="Arial" w:hAnsi="Arial" w:cs="Arial"/>
          <w:sz w:val="24"/>
          <w:szCs w:val="24"/>
          <w:lang w:val="en-US"/>
        </w:rPr>
        <w:t xml:space="preserve">In this context, Mr Bham submitted that the standards specification </w:t>
      </w:r>
      <w:r w:rsidR="00352870" w:rsidRPr="00022690">
        <w:rPr>
          <w:rFonts w:ascii="Arial" w:hAnsi="Arial" w:cs="Arial"/>
          <w:sz w:val="24"/>
          <w:szCs w:val="24"/>
          <w:lang w:val="en-US"/>
        </w:rPr>
        <w:t xml:space="preserve">serves a legitimate purpose and </w:t>
      </w:r>
      <w:r w:rsidR="009F27F7" w:rsidRPr="00022690">
        <w:rPr>
          <w:rFonts w:ascii="Arial" w:hAnsi="Arial" w:cs="Arial"/>
          <w:sz w:val="24"/>
          <w:szCs w:val="24"/>
          <w:lang w:val="en-US"/>
        </w:rPr>
        <w:t xml:space="preserve">complies with the Minimum Norms and Standards Regulations read with the Agrément Act.  While it is common cause that a dry sanitation system is an alternative or innovative building technology as contemplated by Regulation 18(15) of the Minimum Norms and Standards Regulations, the standards specification anticipates that there may be features of </w:t>
      </w:r>
      <w:r w:rsidR="00352870" w:rsidRPr="00022690">
        <w:rPr>
          <w:rFonts w:ascii="Arial" w:hAnsi="Arial" w:cs="Arial"/>
          <w:sz w:val="24"/>
          <w:szCs w:val="24"/>
          <w:lang w:val="en-US"/>
        </w:rPr>
        <w:t xml:space="preserve">such </w:t>
      </w:r>
      <w:r w:rsidR="009F27F7" w:rsidRPr="00022690">
        <w:rPr>
          <w:rFonts w:ascii="Arial" w:hAnsi="Arial" w:cs="Arial"/>
          <w:sz w:val="24"/>
          <w:szCs w:val="24"/>
          <w:lang w:val="en-US"/>
        </w:rPr>
        <w:t xml:space="preserve">a system for which a SABS standards specification exists and which must then be in place.  </w:t>
      </w:r>
      <w:r w:rsidR="00352870" w:rsidRPr="00022690">
        <w:rPr>
          <w:rFonts w:ascii="Arial" w:hAnsi="Arial" w:cs="Arial"/>
          <w:sz w:val="24"/>
          <w:szCs w:val="24"/>
          <w:lang w:val="en-US"/>
        </w:rPr>
        <w:t xml:space="preserve">The standards specification thus serves to ensure that nothing falls between the cracks and that all necessary certifications are in place.  </w:t>
      </w:r>
      <w:r w:rsidR="009F27F7" w:rsidRPr="00022690">
        <w:rPr>
          <w:rFonts w:ascii="Arial" w:hAnsi="Arial" w:cs="Arial"/>
          <w:sz w:val="24"/>
          <w:szCs w:val="24"/>
          <w:lang w:val="en-US"/>
        </w:rPr>
        <w:t>As against this, Mr Grobler contended that Regulation 18(15) is quit</w:t>
      </w:r>
      <w:r w:rsidR="00352870" w:rsidRPr="00022690">
        <w:rPr>
          <w:rFonts w:ascii="Arial" w:hAnsi="Arial" w:cs="Arial"/>
          <w:sz w:val="24"/>
          <w:szCs w:val="24"/>
          <w:lang w:val="en-US"/>
        </w:rPr>
        <w:t>e clear in its requirements</w:t>
      </w:r>
      <w:r w:rsidR="00802720" w:rsidRPr="00022690">
        <w:rPr>
          <w:rFonts w:ascii="Arial" w:hAnsi="Arial" w:cs="Arial"/>
          <w:sz w:val="24"/>
          <w:szCs w:val="24"/>
          <w:lang w:val="en-US"/>
        </w:rPr>
        <w:t xml:space="preserve"> and must be strictly applied to the products in question</w:t>
      </w:r>
      <w:r w:rsidR="00352870" w:rsidRPr="00022690">
        <w:rPr>
          <w:rFonts w:ascii="Arial" w:hAnsi="Arial" w:cs="Arial"/>
          <w:sz w:val="24"/>
          <w:szCs w:val="24"/>
          <w:lang w:val="en-US"/>
        </w:rPr>
        <w:t xml:space="preserve">.  </w:t>
      </w:r>
    </w:p>
    <w:p w:rsidR="00913015" w:rsidRPr="00913015" w:rsidRDefault="00913015" w:rsidP="00913015">
      <w:pPr>
        <w:pStyle w:val="ListParagraph"/>
        <w:rPr>
          <w:rFonts w:ascii="Arial" w:hAnsi="Arial" w:cs="Arial"/>
          <w:sz w:val="24"/>
          <w:szCs w:val="24"/>
          <w:lang w:val="en-US"/>
        </w:rPr>
      </w:pPr>
    </w:p>
    <w:p w:rsidR="00D37055" w:rsidRPr="00022690" w:rsidRDefault="00022690" w:rsidP="00022690">
      <w:pPr>
        <w:spacing w:line="480" w:lineRule="auto"/>
        <w:ind w:left="360" w:hanging="360"/>
        <w:jc w:val="both"/>
        <w:rPr>
          <w:rFonts w:ascii="Arial" w:hAnsi="Arial" w:cs="Arial"/>
          <w:sz w:val="24"/>
          <w:szCs w:val="24"/>
          <w:lang w:val="en-US"/>
        </w:rPr>
      </w:pPr>
      <w:r>
        <w:rPr>
          <w:rFonts w:ascii="Arial" w:hAnsi="Arial" w:cs="Arial"/>
          <w:sz w:val="24"/>
          <w:szCs w:val="24"/>
          <w:lang w:val="en-US"/>
        </w:rPr>
        <w:t>42.</w:t>
      </w:r>
      <w:r>
        <w:rPr>
          <w:rFonts w:ascii="Arial" w:hAnsi="Arial" w:cs="Arial"/>
          <w:sz w:val="24"/>
          <w:szCs w:val="24"/>
          <w:lang w:val="en-US"/>
        </w:rPr>
        <w:tab/>
      </w:r>
      <w:r w:rsidR="002812A1" w:rsidRPr="00022690">
        <w:rPr>
          <w:rFonts w:ascii="Arial" w:hAnsi="Arial" w:cs="Arial"/>
          <w:sz w:val="24"/>
          <w:szCs w:val="24"/>
          <w:lang w:val="en-US"/>
        </w:rPr>
        <w:t>The</w:t>
      </w:r>
      <w:r w:rsidR="00507F82" w:rsidRPr="00022690">
        <w:rPr>
          <w:rFonts w:ascii="Arial" w:hAnsi="Arial" w:cs="Arial"/>
          <w:sz w:val="24"/>
          <w:szCs w:val="24"/>
          <w:lang w:val="en-US"/>
        </w:rPr>
        <w:t xml:space="preserve"> Regulation must, in my view, be interpreted consistently with the Agrément Act.  </w:t>
      </w:r>
      <w:r w:rsidR="002E06C3" w:rsidRPr="00022690">
        <w:rPr>
          <w:rFonts w:ascii="Arial" w:hAnsi="Arial" w:cs="Arial"/>
          <w:sz w:val="24"/>
          <w:szCs w:val="24"/>
          <w:lang w:val="en-US"/>
        </w:rPr>
        <w:t xml:space="preserve">Notably, </w:t>
      </w:r>
      <w:r w:rsidR="00913015" w:rsidRPr="00022690">
        <w:rPr>
          <w:rFonts w:ascii="Arial" w:hAnsi="Arial" w:cs="Arial"/>
          <w:sz w:val="24"/>
          <w:szCs w:val="24"/>
          <w:lang w:val="en-US"/>
        </w:rPr>
        <w:t>Regulation 18(15) predates the enactment of the Agr</w:t>
      </w:r>
      <w:r w:rsidR="002E06C3" w:rsidRPr="00022690">
        <w:rPr>
          <w:rFonts w:ascii="Arial" w:hAnsi="Arial" w:cs="Arial"/>
          <w:sz w:val="24"/>
          <w:szCs w:val="24"/>
          <w:lang w:val="en-US"/>
        </w:rPr>
        <w:t>é</w:t>
      </w:r>
      <w:r w:rsidR="00913015" w:rsidRPr="00022690">
        <w:rPr>
          <w:rFonts w:ascii="Arial" w:hAnsi="Arial" w:cs="Arial"/>
          <w:sz w:val="24"/>
          <w:szCs w:val="24"/>
          <w:lang w:val="en-US"/>
        </w:rPr>
        <w:t xml:space="preserve">ment Act </w:t>
      </w:r>
      <w:r w:rsidR="002E06C3" w:rsidRPr="00022690">
        <w:rPr>
          <w:rFonts w:ascii="Arial" w:hAnsi="Arial" w:cs="Arial"/>
          <w:sz w:val="24"/>
          <w:szCs w:val="24"/>
          <w:lang w:val="en-US"/>
        </w:rPr>
        <w:t xml:space="preserve">but it invokes the </w:t>
      </w:r>
      <w:r w:rsidR="00913015" w:rsidRPr="00022690">
        <w:rPr>
          <w:rFonts w:ascii="Arial" w:hAnsi="Arial" w:cs="Arial"/>
          <w:sz w:val="24"/>
          <w:szCs w:val="24"/>
          <w:lang w:val="en-US"/>
        </w:rPr>
        <w:t>Agr</w:t>
      </w:r>
      <w:r w:rsidR="002E06C3" w:rsidRPr="00022690">
        <w:rPr>
          <w:rFonts w:ascii="Arial" w:hAnsi="Arial" w:cs="Arial"/>
          <w:sz w:val="24"/>
          <w:szCs w:val="24"/>
          <w:lang w:val="en-US"/>
        </w:rPr>
        <w:t>é</w:t>
      </w:r>
      <w:r w:rsidR="00913015" w:rsidRPr="00022690">
        <w:rPr>
          <w:rFonts w:ascii="Arial" w:hAnsi="Arial" w:cs="Arial"/>
          <w:sz w:val="24"/>
          <w:szCs w:val="24"/>
          <w:lang w:val="en-US"/>
        </w:rPr>
        <w:t>ment South Africa regime,</w:t>
      </w:r>
      <w:r w:rsidR="002E06C3" w:rsidRPr="00022690">
        <w:rPr>
          <w:rFonts w:ascii="Arial" w:hAnsi="Arial" w:cs="Arial"/>
          <w:sz w:val="24"/>
          <w:szCs w:val="24"/>
          <w:lang w:val="en-US"/>
        </w:rPr>
        <w:t xml:space="preserve"> which – according to its transitional provisions – entailed certification through a Board appointed by the Minister of Public Works.</w:t>
      </w:r>
      <w:r w:rsidR="00507F82" w:rsidRPr="00022690">
        <w:rPr>
          <w:rFonts w:ascii="Arial" w:hAnsi="Arial" w:cs="Arial"/>
          <w:sz w:val="24"/>
          <w:szCs w:val="24"/>
          <w:lang w:val="en-US"/>
        </w:rPr>
        <w:t xml:space="preserve">  </w:t>
      </w:r>
      <w:r w:rsidR="00802720" w:rsidRPr="00022690">
        <w:rPr>
          <w:rFonts w:ascii="Arial" w:hAnsi="Arial" w:cs="Arial"/>
          <w:sz w:val="24"/>
          <w:szCs w:val="24"/>
          <w:lang w:val="en-US"/>
        </w:rPr>
        <w:t>The</w:t>
      </w:r>
      <w:r w:rsidR="002E06C3" w:rsidRPr="00022690">
        <w:rPr>
          <w:rFonts w:ascii="Arial" w:hAnsi="Arial" w:cs="Arial"/>
          <w:sz w:val="24"/>
          <w:szCs w:val="24"/>
          <w:lang w:val="en-US"/>
        </w:rPr>
        <w:t xml:space="preserve"> Regulations are subordinate legislation and expressly contemplate that school planning and design generally and sanitation facilities in particular comply with all relevant laws.  Thus the reference to certification by Agrément South Africa in Regulation 18(15) must be interpreted to mean certification in accordance with any governing laws.   Once this is accepted, Mr Bham’s submissions have traction as it would be wholly undesirable let alone impracticable if </w:t>
      </w:r>
      <w:r w:rsidR="00802720" w:rsidRPr="00022690">
        <w:rPr>
          <w:rFonts w:ascii="Arial" w:hAnsi="Arial" w:cs="Arial"/>
          <w:sz w:val="24"/>
          <w:szCs w:val="24"/>
          <w:lang w:val="en-US"/>
        </w:rPr>
        <w:t xml:space="preserve">any part of the technology used </w:t>
      </w:r>
      <w:r w:rsidR="002E06C3" w:rsidRPr="00022690">
        <w:rPr>
          <w:rFonts w:ascii="Arial" w:hAnsi="Arial" w:cs="Arial"/>
          <w:sz w:val="24"/>
          <w:szCs w:val="24"/>
          <w:lang w:val="en-US"/>
        </w:rPr>
        <w:t xml:space="preserve">somehow fall between the cracks of SANS or Agrément certification.  </w:t>
      </w:r>
      <w:r w:rsidR="002812A1" w:rsidRPr="00022690">
        <w:rPr>
          <w:rFonts w:ascii="Arial" w:hAnsi="Arial" w:cs="Arial"/>
          <w:sz w:val="24"/>
          <w:szCs w:val="24"/>
          <w:lang w:val="en-US"/>
        </w:rPr>
        <w:t>This approach also comports with a purposive interpretation of</w:t>
      </w:r>
      <w:r w:rsidR="00D37055" w:rsidRPr="00022690">
        <w:rPr>
          <w:rFonts w:ascii="Arial" w:hAnsi="Arial" w:cs="Arial"/>
          <w:sz w:val="24"/>
          <w:szCs w:val="24"/>
          <w:lang w:val="en-US"/>
        </w:rPr>
        <w:t xml:space="preserve"> </w:t>
      </w:r>
      <w:r w:rsidR="002812A1" w:rsidRPr="00022690">
        <w:rPr>
          <w:rFonts w:ascii="Arial" w:hAnsi="Arial" w:cs="Arial"/>
          <w:sz w:val="24"/>
          <w:szCs w:val="24"/>
          <w:lang w:val="en-US"/>
        </w:rPr>
        <w:t>Regulation 18(15) – its purpose being to ensure that alternative and innovative technologies are assessed as fit for purpose – and it serves to advance its constitutional goals.</w:t>
      </w:r>
    </w:p>
    <w:p w:rsidR="00D37055" w:rsidRPr="00D37055" w:rsidRDefault="00D37055" w:rsidP="00D37055">
      <w:pPr>
        <w:pStyle w:val="ListParagraph"/>
        <w:rPr>
          <w:rFonts w:ascii="Arial" w:hAnsi="Arial" w:cs="Arial"/>
          <w:sz w:val="24"/>
          <w:szCs w:val="24"/>
          <w:lang w:val="en-US"/>
        </w:rPr>
      </w:pPr>
    </w:p>
    <w:p w:rsidR="00D37055" w:rsidRPr="00022690" w:rsidRDefault="00022690" w:rsidP="00022690">
      <w:pPr>
        <w:spacing w:line="480" w:lineRule="auto"/>
        <w:ind w:left="360" w:hanging="360"/>
        <w:jc w:val="both"/>
        <w:rPr>
          <w:rFonts w:ascii="Arial" w:hAnsi="Arial" w:cs="Arial"/>
          <w:sz w:val="24"/>
          <w:szCs w:val="24"/>
          <w:lang w:val="en-US"/>
        </w:rPr>
      </w:pPr>
      <w:r>
        <w:rPr>
          <w:rFonts w:ascii="Arial" w:hAnsi="Arial" w:cs="Arial"/>
          <w:sz w:val="24"/>
          <w:szCs w:val="24"/>
          <w:lang w:val="en-US"/>
        </w:rPr>
        <w:t>43.</w:t>
      </w:r>
      <w:r>
        <w:rPr>
          <w:rFonts w:ascii="Arial" w:hAnsi="Arial" w:cs="Arial"/>
          <w:sz w:val="24"/>
          <w:szCs w:val="24"/>
          <w:lang w:val="en-US"/>
        </w:rPr>
        <w:tab/>
      </w:r>
      <w:r w:rsidR="00D37055" w:rsidRPr="00022690">
        <w:rPr>
          <w:rFonts w:ascii="Arial" w:hAnsi="Arial" w:cs="Arial"/>
          <w:sz w:val="24"/>
          <w:szCs w:val="24"/>
          <w:lang w:val="en-US"/>
        </w:rPr>
        <w:t xml:space="preserve">Viewed in this way, the standards specification cannot be said to be unlawful or in breach of section 6(2)(a)(i), section 6(2)(b) or section 6(2)(f)(i) of PAJA.   Nor can it be said to be irrational.  </w:t>
      </w:r>
    </w:p>
    <w:p w:rsidR="00D37055" w:rsidRPr="00D37055" w:rsidRDefault="00D37055" w:rsidP="00D37055">
      <w:pPr>
        <w:pStyle w:val="ListParagraph"/>
        <w:rPr>
          <w:rFonts w:ascii="Arial" w:hAnsi="Arial" w:cs="Arial"/>
          <w:sz w:val="24"/>
          <w:szCs w:val="24"/>
          <w:lang w:val="en-US"/>
        </w:rPr>
      </w:pPr>
    </w:p>
    <w:p w:rsidR="006B08DE" w:rsidRPr="00022690" w:rsidRDefault="00022690" w:rsidP="00022690">
      <w:pPr>
        <w:spacing w:line="480" w:lineRule="auto"/>
        <w:ind w:left="360" w:hanging="360"/>
        <w:jc w:val="both"/>
        <w:rPr>
          <w:rFonts w:ascii="Arial" w:hAnsi="Arial" w:cs="Arial"/>
          <w:sz w:val="24"/>
          <w:szCs w:val="24"/>
          <w:lang w:val="en-US"/>
        </w:rPr>
      </w:pPr>
      <w:r w:rsidRPr="00D37055">
        <w:rPr>
          <w:rFonts w:ascii="Arial" w:hAnsi="Arial" w:cs="Arial"/>
          <w:sz w:val="24"/>
          <w:szCs w:val="24"/>
          <w:lang w:val="en-US"/>
        </w:rPr>
        <w:t>44.</w:t>
      </w:r>
      <w:r w:rsidRPr="00D37055">
        <w:rPr>
          <w:rFonts w:ascii="Arial" w:hAnsi="Arial" w:cs="Arial"/>
          <w:sz w:val="24"/>
          <w:szCs w:val="24"/>
          <w:lang w:val="en-US"/>
        </w:rPr>
        <w:tab/>
      </w:r>
      <w:r w:rsidR="00D37055" w:rsidRPr="00022690">
        <w:rPr>
          <w:rFonts w:ascii="Arial" w:hAnsi="Arial" w:cs="Arial"/>
          <w:sz w:val="24"/>
          <w:szCs w:val="24"/>
          <w:lang w:val="en-US"/>
        </w:rPr>
        <w:t>This means, however, that</w:t>
      </w:r>
      <w:r w:rsidR="002E06C3" w:rsidRPr="00022690">
        <w:rPr>
          <w:rFonts w:ascii="Arial" w:hAnsi="Arial" w:cs="Arial"/>
          <w:sz w:val="24"/>
          <w:szCs w:val="24"/>
          <w:lang w:val="en-US"/>
        </w:rPr>
        <w:t xml:space="preserve"> in the application of the </w:t>
      </w:r>
      <w:r w:rsidR="00353D8A" w:rsidRPr="00022690">
        <w:rPr>
          <w:rFonts w:ascii="Arial" w:hAnsi="Arial" w:cs="Arial"/>
          <w:sz w:val="24"/>
          <w:szCs w:val="24"/>
          <w:lang w:val="en-US"/>
        </w:rPr>
        <w:t>standards specification, it is i</w:t>
      </w:r>
      <w:r w:rsidR="002E06C3" w:rsidRPr="00022690">
        <w:rPr>
          <w:rFonts w:ascii="Arial" w:hAnsi="Arial" w:cs="Arial"/>
          <w:sz w:val="24"/>
          <w:szCs w:val="24"/>
          <w:lang w:val="en-US"/>
        </w:rPr>
        <w:t>ncumbent upon NECT only to award bids to tenderers whose technology is in fact</w:t>
      </w:r>
      <w:r w:rsidR="00802720" w:rsidRPr="00022690">
        <w:rPr>
          <w:rFonts w:ascii="Arial" w:hAnsi="Arial" w:cs="Arial"/>
          <w:sz w:val="24"/>
          <w:szCs w:val="24"/>
          <w:lang w:val="en-US"/>
        </w:rPr>
        <w:t xml:space="preserve"> so</w:t>
      </w:r>
      <w:r w:rsidR="002E06C3" w:rsidRPr="00022690">
        <w:rPr>
          <w:rFonts w:ascii="Arial" w:hAnsi="Arial" w:cs="Arial"/>
          <w:sz w:val="24"/>
          <w:szCs w:val="24"/>
          <w:lang w:val="en-US"/>
        </w:rPr>
        <w:t xml:space="preserve"> compliant</w:t>
      </w:r>
      <w:r w:rsidR="002C1EFF" w:rsidRPr="00022690">
        <w:rPr>
          <w:rFonts w:ascii="Arial" w:hAnsi="Arial" w:cs="Arial"/>
          <w:sz w:val="24"/>
          <w:szCs w:val="24"/>
          <w:lang w:val="en-US"/>
        </w:rPr>
        <w:t>.</w:t>
      </w:r>
      <w:r w:rsidR="00353D8A" w:rsidRPr="00022690">
        <w:rPr>
          <w:rFonts w:ascii="Arial" w:hAnsi="Arial" w:cs="Arial"/>
          <w:sz w:val="24"/>
          <w:szCs w:val="24"/>
          <w:lang w:val="en-US"/>
        </w:rPr>
        <w:t xml:space="preserve">  </w:t>
      </w:r>
      <w:r w:rsidR="002812A1" w:rsidRPr="00022690">
        <w:rPr>
          <w:rFonts w:ascii="Arial" w:hAnsi="Arial" w:cs="Arial"/>
          <w:sz w:val="24"/>
          <w:szCs w:val="24"/>
          <w:lang w:val="en-US"/>
        </w:rPr>
        <w:t>It is more difficult to discern on the papers before me what this means practically for the parties and the legality of the application of the specification is not before me, only the specification itself</w:t>
      </w:r>
      <w:r w:rsidR="00802720" w:rsidRPr="00022690">
        <w:rPr>
          <w:rFonts w:ascii="Arial" w:hAnsi="Arial" w:cs="Arial"/>
          <w:sz w:val="24"/>
          <w:szCs w:val="24"/>
          <w:lang w:val="en-US"/>
        </w:rPr>
        <w:t>.  S</w:t>
      </w:r>
      <w:r w:rsidR="00353D8A" w:rsidRPr="00022690">
        <w:rPr>
          <w:rFonts w:ascii="Arial" w:hAnsi="Arial" w:cs="Arial"/>
          <w:sz w:val="24"/>
          <w:szCs w:val="24"/>
          <w:lang w:val="en-US"/>
        </w:rPr>
        <w:t xml:space="preserve">uffice to note that </w:t>
      </w:r>
      <w:r w:rsidR="002812A1" w:rsidRPr="00022690">
        <w:rPr>
          <w:rFonts w:ascii="Arial" w:hAnsi="Arial" w:cs="Arial"/>
          <w:sz w:val="24"/>
          <w:szCs w:val="24"/>
          <w:lang w:val="en-US"/>
        </w:rPr>
        <w:t xml:space="preserve">I am unable to discount that, in practice, the applicant may be correct in saying that </w:t>
      </w:r>
      <w:r w:rsidR="00353D8A" w:rsidRPr="00022690">
        <w:rPr>
          <w:rFonts w:ascii="Arial" w:hAnsi="Arial" w:cs="Arial"/>
          <w:sz w:val="24"/>
          <w:szCs w:val="24"/>
          <w:lang w:val="en-US"/>
        </w:rPr>
        <w:t>Agrément certification</w:t>
      </w:r>
      <w:r w:rsidR="002812A1" w:rsidRPr="00022690">
        <w:rPr>
          <w:rFonts w:ascii="Arial" w:hAnsi="Arial" w:cs="Arial"/>
          <w:sz w:val="24"/>
          <w:szCs w:val="24"/>
          <w:lang w:val="en-US"/>
        </w:rPr>
        <w:t xml:space="preserve"> may in fact be required for this tender, even if it is not the only necessary certification in context of a particular bid.  </w:t>
      </w:r>
      <w:r w:rsidR="00353D8A" w:rsidRPr="00022690">
        <w:rPr>
          <w:rFonts w:ascii="Arial" w:hAnsi="Arial" w:cs="Arial"/>
          <w:sz w:val="24"/>
          <w:szCs w:val="24"/>
          <w:lang w:val="en-US"/>
        </w:rPr>
        <w:t xml:space="preserve">This in circumstances where counsel confirmed that there is no dispute that </w:t>
      </w:r>
      <w:r w:rsidR="002C1EFF" w:rsidRPr="00022690">
        <w:rPr>
          <w:rFonts w:ascii="Arial" w:hAnsi="Arial" w:cs="Arial"/>
          <w:sz w:val="24"/>
          <w:szCs w:val="24"/>
          <w:lang w:val="en-US"/>
        </w:rPr>
        <w:t>dry sanitation systems invariably entail alternative and innovative technology, a</w:t>
      </w:r>
      <w:r w:rsidR="00353D8A" w:rsidRPr="00022690">
        <w:rPr>
          <w:rFonts w:ascii="Arial" w:hAnsi="Arial" w:cs="Arial"/>
          <w:sz w:val="24"/>
          <w:szCs w:val="24"/>
          <w:lang w:val="en-US"/>
        </w:rPr>
        <w:t>n</w:t>
      </w:r>
      <w:r w:rsidR="002C1EFF" w:rsidRPr="00022690">
        <w:rPr>
          <w:rFonts w:ascii="Arial" w:hAnsi="Arial" w:cs="Arial"/>
          <w:sz w:val="24"/>
          <w:szCs w:val="24"/>
          <w:lang w:val="en-US"/>
        </w:rPr>
        <w:t>d no applicable SANS standards have been drawn to the Court</w:t>
      </w:r>
      <w:r w:rsidR="00353D8A" w:rsidRPr="00022690">
        <w:rPr>
          <w:rFonts w:ascii="Arial" w:hAnsi="Arial" w:cs="Arial"/>
          <w:sz w:val="24"/>
          <w:szCs w:val="24"/>
          <w:lang w:val="en-US"/>
        </w:rPr>
        <w:t xml:space="preserve">’s attention that apply to dry sanitation systems.  </w:t>
      </w:r>
    </w:p>
    <w:p w:rsidR="006B08DE" w:rsidRDefault="006B08DE" w:rsidP="006B08DE">
      <w:pPr>
        <w:pStyle w:val="ListParagraph"/>
        <w:spacing w:line="480" w:lineRule="auto"/>
        <w:ind w:left="360"/>
        <w:jc w:val="both"/>
        <w:rPr>
          <w:rFonts w:ascii="Arial" w:hAnsi="Arial" w:cs="Arial"/>
          <w:sz w:val="24"/>
          <w:szCs w:val="24"/>
          <w:lang w:val="en-US"/>
        </w:rPr>
      </w:pPr>
    </w:p>
    <w:p w:rsidR="00B2521E" w:rsidRPr="00022690" w:rsidRDefault="00022690" w:rsidP="00022690">
      <w:pPr>
        <w:spacing w:line="480" w:lineRule="auto"/>
        <w:ind w:left="360" w:hanging="360"/>
        <w:jc w:val="both"/>
        <w:rPr>
          <w:rFonts w:ascii="Arial" w:hAnsi="Arial" w:cs="Arial"/>
          <w:sz w:val="24"/>
          <w:szCs w:val="24"/>
          <w:lang w:val="en-US"/>
        </w:rPr>
      </w:pPr>
      <w:r>
        <w:rPr>
          <w:rFonts w:ascii="Arial" w:hAnsi="Arial" w:cs="Arial"/>
          <w:sz w:val="24"/>
          <w:szCs w:val="24"/>
          <w:lang w:val="en-US"/>
        </w:rPr>
        <w:t>45.</w:t>
      </w:r>
      <w:r>
        <w:rPr>
          <w:rFonts w:ascii="Arial" w:hAnsi="Arial" w:cs="Arial"/>
          <w:sz w:val="24"/>
          <w:szCs w:val="24"/>
          <w:lang w:val="en-US"/>
        </w:rPr>
        <w:tab/>
      </w:r>
      <w:r w:rsidR="00353D8A" w:rsidRPr="00022690">
        <w:rPr>
          <w:rFonts w:ascii="Arial" w:hAnsi="Arial" w:cs="Arial"/>
          <w:sz w:val="24"/>
          <w:szCs w:val="24"/>
          <w:lang w:val="en-US"/>
        </w:rPr>
        <w:t>The NECT also defended the standards specification on the basis that it entails substantial compliance with the Minimum Standards Regulations.  In this regard, it was pleaded that the NECT’s empirical understanding is that not many entities have the relevant Agr</w:t>
      </w:r>
      <w:r w:rsidR="00B2521E" w:rsidRPr="00022690">
        <w:rPr>
          <w:rFonts w:ascii="Arial" w:hAnsi="Arial" w:cs="Arial"/>
          <w:sz w:val="24"/>
          <w:szCs w:val="24"/>
          <w:lang w:val="en-US"/>
        </w:rPr>
        <w:t>é</w:t>
      </w:r>
      <w:r w:rsidR="00353D8A" w:rsidRPr="00022690">
        <w:rPr>
          <w:rFonts w:ascii="Arial" w:hAnsi="Arial" w:cs="Arial"/>
          <w:sz w:val="24"/>
          <w:szCs w:val="24"/>
          <w:lang w:val="en-US"/>
        </w:rPr>
        <w:t>ment certification and limiting the certification sought to Agr</w:t>
      </w:r>
      <w:r w:rsidR="00B2521E" w:rsidRPr="00022690">
        <w:rPr>
          <w:rFonts w:ascii="Arial" w:hAnsi="Arial" w:cs="Arial"/>
          <w:sz w:val="24"/>
          <w:szCs w:val="24"/>
          <w:lang w:val="en-US"/>
        </w:rPr>
        <w:t>é</w:t>
      </w:r>
      <w:r w:rsidR="00353D8A" w:rsidRPr="00022690">
        <w:rPr>
          <w:rFonts w:ascii="Arial" w:hAnsi="Arial" w:cs="Arial"/>
          <w:sz w:val="24"/>
          <w:szCs w:val="24"/>
          <w:lang w:val="en-US"/>
        </w:rPr>
        <w:t xml:space="preserve">ment certification would have had the effect of limiting the number of responses to the </w:t>
      </w:r>
      <w:r w:rsidR="00B2521E" w:rsidRPr="00022690">
        <w:rPr>
          <w:rFonts w:ascii="Arial" w:hAnsi="Arial" w:cs="Arial"/>
          <w:sz w:val="24"/>
          <w:szCs w:val="24"/>
          <w:lang w:val="en-US"/>
        </w:rPr>
        <w:t xml:space="preserve">to the requests for quotations and in turn impacted the efficiency with which the SAFE Project is rolled out.   </w:t>
      </w:r>
      <w:r w:rsidR="00802720" w:rsidRPr="00022690">
        <w:rPr>
          <w:rFonts w:ascii="Arial" w:hAnsi="Arial" w:cs="Arial"/>
          <w:sz w:val="24"/>
          <w:szCs w:val="24"/>
          <w:lang w:val="en-US"/>
        </w:rPr>
        <w:t>T</w:t>
      </w:r>
      <w:r w:rsidR="00B2521E" w:rsidRPr="00022690">
        <w:rPr>
          <w:rFonts w:ascii="Arial" w:hAnsi="Arial" w:cs="Arial"/>
          <w:sz w:val="24"/>
          <w:szCs w:val="24"/>
          <w:lang w:val="en-US"/>
        </w:rPr>
        <w:t xml:space="preserve">he NECT pleaded that there are other safeguards in the process such as the requirement for a sign off from a qualified and duly registered structural engineer.   </w:t>
      </w:r>
    </w:p>
    <w:p w:rsidR="00B2521E" w:rsidRPr="00B2521E" w:rsidRDefault="00B2521E" w:rsidP="00B2521E">
      <w:pPr>
        <w:pStyle w:val="ListParagraph"/>
        <w:rPr>
          <w:rFonts w:ascii="Arial" w:hAnsi="Arial" w:cs="Arial"/>
          <w:sz w:val="24"/>
          <w:szCs w:val="24"/>
          <w:lang w:val="en-US"/>
        </w:rPr>
      </w:pPr>
    </w:p>
    <w:p w:rsidR="00046610" w:rsidRPr="00022690" w:rsidRDefault="00022690" w:rsidP="00022690">
      <w:pPr>
        <w:spacing w:line="480" w:lineRule="auto"/>
        <w:ind w:left="360" w:hanging="360"/>
        <w:jc w:val="both"/>
        <w:rPr>
          <w:rFonts w:ascii="Arial" w:hAnsi="Arial" w:cs="Arial"/>
          <w:sz w:val="24"/>
          <w:szCs w:val="24"/>
          <w:lang w:val="en-US"/>
        </w:rPr>
      </w:pPr>
      <w:r>
        <w:rPr>
          <w:rFonts w:ascii="Arial" w:hAnsi="Arial" w:cs="Arial"/>
          <w:sz w:val="24"/>
          <w:szCs w:val="24"/>
          <w:lang w:val="en-US"/>
        </w:rPr>
        <w:t>46.</w:t>
      </w:r>
      <w:r>
        <w:rPr>
          <w:rFonts w:ascii="Arial" w:hAnsi="Arial" w:cs="Arial"/>
          <w:sz w:val="24"/>
          <w:szCs w:val="24"/>
          <w:lang w:val="en-US"/>
        </w:rPr>
        <w:tab/>
      </w:r>
      <w:r w:rsidR="00B2521E" w:rsidRPr="00022690">
        <w:rPr>
          <w:rFonts w:ascii="Arial" w:hAnsi="Arial" w:cs="Arial"/>
          <w:sz w:val="24"/>
          <w:szCs w:val="24"/>
          <w:lang w:val="en-US"/>
        </w:rPr>
        <w:t>Mr Grobler submitted that the test for su</w:t>
      </w:r>
      <w:r w:rsidR="00243850" w:rsidRPr="00022690">
        <w:rPr>
          <w:rFonts w:ascii="Arial" w:hAnsi="Arial" w:cs="Arial"/>
          <w:sz w:val="24"/>
          <w:szCs w:val="24"/>
          <w:lang w:val="en-US"/>
        </w:rPr>
        <w:t>bstantial compliance is not met</w:t>
      </w:r>
      <w:r w:rsidR="00802720" w:rsidRPr="00022690">
        <w:rPr>
          <w:rFonts w:ascii="Arial" w:hAnsi="Arial" w:cs="Arial"/>
          <w:sz w:val="24"/>
          <w:szCs w:val="24"/>
          <w:lang w:val="en-US"/>
        </w:rPr>
        <w:t xml:space="preserve">.  He relied on </w:t>
      </w:r>
      <w:r w:rsidR="00046610" w:rsidRPr="00022690">
        <w:rPr>
          <w:rFonts w:ascii="Arial" w:hAnsi="Arial" w:cs="Arial"/>
          <w:sz w:val="24"/>
          <w:szCs w:val="24"/>
          <w:lang w:val="en-US"/>
        </w:rPr>
        <w:t xml:space="preserve">test the Constitutional Court articulated for compliance with a statutory provision in </w:t>
      </w:r>
      <w:r w:rsidR="00046610" w:rsidRPr="00022690">
        <w:rPr>
          <w:rFonts w:ascii="Arial" w:hAnsi="Arial" w:cs="Arial"/>
          <w:i/>
          <w:sz w:val="24"/>
          <w:szCs w:val="24"/>
          <w:lang w:val="en-US"/>
        </w:rPr>
        <w:t xml:space="preserve">ACDP </w:t>
      </w:r>
      <w:r w:rsidR="00046610" w:rsidRPr="00022690">
        <w:rPr>
          <w:rFonts w:ascii="Arial" w:hAnsi="Arial" w:cs="Arial"/>
          <w:sz w:val="24"/>
          <w:szCs w:val="24"/>
          <w:lang w:val="en-US"/>
        </w:rPr>
        <w:t>being ‘whether [the conduct] constituted compliance with the statutory provisions viewed in light of their purpose.’</w:t>
      </w:r>
      <w:r w:rsidR="00046610">
        <w:rPr>
          <w:rStyle w:val="FootnoteReference"/>
          <w:rFonts w:ascii="Arial" w:hAnsi="Arial" w:cs="Arial"/>
          <w:sz w:val="24"/>
          <w:szCs w:val="24"/>
          <w:lang w:val="en-US"/>
        </w:rPr>
        <w:footnoteReference w:id="24"/>
      </w:r>
      <w:r w:rsidR="00046610" w:rsidRPr="00022690">
        <w:rPr>
          <w:rFonts w:ascii="Arial" w:hAnsi="Arial" w:cs="Arial"/>
          <w:sz w:val="24"/>
          <w:szCs w:val="24"/>
          <w:lang w:val="en-US"/>
        </w:rPr>
        <w:t xml:space="preserve">  </w:t>
      </w:r>
      <w:r w:rsidR="00243850" w:rsidRPr="00022690">
        <w:rPr>
          <w:rFonts w:ascii="Arial" w:hAnsi="Arial" w:cs="Arial"/>
          <w:sz w:val="24"/>
          <w:szCs w:val="24"/>
          <w:lang w:val="en-US"/>
        </w:rPr>
        <w:t xml:space="preserve">He submitted further that substantial compliance cannot be achieved on peremptory requirements such as what is contained in Regulation 18(15).  </w:t>
      </w:r>
      <w:r w:rsidR="00046610" w:rsidRPr="00022690">
        <w:rPr>
          <w:rFonts w:ascii="Arial" w:hAnsi="Arial" w:cs="Arial"/>
          <w:sz w:val="24"/>
          <w:szCs w:val="24"/>
          <w:lang w:val="en-US"/>
        </w:rPr>
        <w:t xml:space="preserve"> </w:t>
      </w:r>
    </w:p>
    <w:p w:rsidR="00046610" w:rsidRPr="00046610" w:rsidRDefault="00046610" w:rsidP="00046610">
      <w:pPr>
        <w:pStyle w:val="ListParagraph"/>
        <w:rPr>
          <w:rFonts w:ascii="Arial" w:hAnsi="Arial" w:cs="Arial"/>
          <w:sz w:val="24"/>
          <w:szCs w:val="24"/>
          <w:lang w:val="en-US"/>
        </w:rPr>
      </w:pPr>
    </w:p>
    <w:p w:rsidR="00353D8A" w:rsidRPr="00022690" w:rsidRDefault="00022690" w:rsidP="00022690">
      <w:pPr>
        <w:spacing w:line="480" w:lineRule="auto"/>
        <w:ind w:left="360" w:hanging="360"/>
        <w:jc w:val="both"/>
        <w:rPr>
          <w:rFonts w:ascii="Arial" w:hAnsi="Arial" w:cs="Arial"/>
          <w:sz w:val="24"/>
          <w:szCs w:val="24"/>
          <w:lang w:val="en-US"/>
        </w:rPr>
      </w:pPr>
      <w:r>
        <w:rPr>
          <w:rFonts w:ascii="Arial" w:hAnsi="Arial" w:cs="Arial"/>
          <w:sz w:val="24"/>
          <w:szCs w:val="24"/>
          <w:lang w:val="en-US"/>
        </w:rPr>
        <w:t>47.</w:t>
      </w:r>
      <w:r>
        <w:rPr>
          <w:rFonts w:ascii="Arial" w:hAnsi="Arial" w:cs="Arial"/>
          <w:sz w:val="24"/>
          <w:szCs w:val="24"/>
          <w:lang w:val="en-US"/>
        </w:rPr>
        <w:tab/>
      </w:r>
      <w:r w:rsidR="00046610" w:rsidRPr="00022690">
        <w:rPr>
          <w:rFonts w:ascii="Arial" w:hAnsi="Arial" w:cs="Arial"/>
          <w:sz w:val="24"/>
          <w:szCs w:val="24"/>
          <w:lang w:val="en-US"/>
        </w:rPr>
        <w:t xml:space="preserve">The latter submission is difficult to reconcile with </w:t>
      </w:r>
      <w:r w:rsidR="00046610" w:rsidRPr="00022690">
        <w:rPr>
          <w:rFonts w:ascii="Arial" w:hAnsi="Arial" w:cs="Arial"/>
          <w:i/>
          <w:sz w:val="24"/>
          <w:szCs w:val="24"/>
          <w:lang w:val="en-US"/>
        </w:rPr>
        <w:t xml:space="preserve">All Pay </w:t>
      </w:r>
      <w:r w:rsidR="00046610" w:rsidRPr="00022690">
        <w:rPr>
          <w:rFonts w:ascii="Arial" w:hAnsi="Arial" w:cs="Arial"/>
          <w:sz w:val="24"/>
          <w:szCs w:val="24"/>
          <w:lang w:val="en-US"/>
        </w:rPr>
        <w:t>in which the Constitutional Court held:</w:t>
      </w:r>
      <w:r w:rsidR="00046610">
        <w:rPr>
          <w:rStyle w:val="FootnoteReference"/>
          <w:rFonts w:ascii="Arial" w:hAnsi="Arial" w:cs="Arial"/>
          <w:sz w:val="24"/>
          <w:szCs w:val="24"/>
          <w:lang w:val="en-US"/>
        </w:rPr>
        <w:footnoteReference w:id="25"/>
      </w:r>
      <w:r w:rsidR="00046610" w:rsidRPr="00022690">
        <w:rPr>
          <w:rFonts w:ascii="Arial" w:hAnsi="Arial" w:cs="Arial"/>
          <w:sz w:val="24"/>
          <w:szCs w:val="24"/>
          <w:lang w:val="en-US"/>
        </w:rPr>
        <w:t xml:space="preserve"> </w:t>
      </w:r>
    </w:p>
    <w:p w:rsidR="00046610" w:rsidRPr="00046610" w:rsidRDefault="00046610" w:rsidP="00046610">
      <w:pPr>
        <w:pStyle w:val="ListParagraph"/>
        <w:rPr>
          <w:rFonts w:ascii="Arial" w:hAnsi="Arial" w:cs="Arial"/>
          <w:sz w:val="24"/>
          <w:szCs w:val="24"/>
          <w:lang w:val="en-US"/>
        </w:rPr>
      </w:pPr>
    </w:p>
    <w:p w:rsidR="00046610" w:rsidRPr="00046610" w:rsidRDefault="00046610" w:rsidP="00046610">
      <w:pPr>
        <w:spacing w:line="360" w:lineRule="auto"/>
        <w:ind w:left="720"/>
        <w:jc w:val="both"/>
        <w:rPr>
          <w:rFonts w:ascii="Arial" w:hAnsi="Arial" w:cs="Arial"/>
          <w:lang w:val="en-US"/>
        </w:rPr>
      </w:pPr>
      <w:r w:rsidRPr="00046610">
        <w:rPr>
          <w:rFonts w:ascii="Arial" w:hAnsi="Arial" w:cs="Arial"/>
          <w:color w:val="000000"/>
        </w:rPr>
        <w:t>‘Assessing the materiality of compliance with legal requirements in our administrative law is, fortunately, an exercise unencumbered by excessive formality. It was not always so. Formal distinctions were drawn between 'mandatory' or 'peremptory' provisions on the one hand and 'directory' ones on the other, the forme</w:t>
      </w:r>
      <w:r w:rsidR="00DC0DBA">
        <w:rPr>
          <w:rFonts w:ascii="Arial" w:hAnsi="Arial" w:cs="Arial"/>
          <w:color w:val="000000"/>
        </w:rPr>
        <w:t>r needing strict compliance on </w:t>
      </w:r>
      <w:r w:rsidRPr="00046610">
        <w:rPr>
          <w:rFonts w:ascii="Arial" w:hAnsi="Arial" w:cs="Arial"/>
          <w:color w:val="000000"/>
        </w:rPr>
        <w:t>pain of non-validity, and the latter only substantial compliance or even non-compliance. </w:t>
      </w:r>
      <w:bookmarkStart w:id="26" w:name="0-0-0-224195"/>
      <w:bookmarkEnd w:id="26"/>
      <w:r w:rsidRPr="00046610">
        <w:rPr>
          <w:rFonts w:ascii="Arial" w:hAnsi="Arial" w:cs="Arial"/>
          <w:color w:val="000000"/>
        </w:rPr>
        <w:t>That strict mechanical approach has been discarded. </w:t>
      </w:r>
      <w:bookmarkStart w:id="27" w:name="0-0-0-224199"/>
      <w:bookmarkEnd w:id="27"/>
      <w:r w:rsidRPr="00046610">
        <w:rPr>
          <w:rFonts w:ascii="Arial" w:hAnsi="Arial" w:cs="Arial"/>
          <w:color w:val="000000"/>
        </w:rPr>
        <w:t>Although a number of factors need to be considered in this kind of enquiry, the central element is to link the question of compliance to the purpose of the provision. In this court O'Regan J succinctly put the question in </w:t>
      </w:r>
      <w:r w:rsidRPr="00046610">
        <w:rPr>
          <w:rFonts w:ascii="Arial" w:hAnsi="Arial" w:cs="Arial"/>
          <w:i/>
          <w:iCs/>
          <w:color w:val="000000"/>
        </w:rPr>
        <w:t>ACDP v Electoral Commission</w:t>
      </w:r>
      <w:r w:rsidRPr="00046610">
        <w:rPr>
          <w:rFonts w:ascii="Arial" w:hAnsi="Arial" w:cs="Arial"/>
          <w:color w:val="000000"/>
        </w:rPr>
        <w:t> as being 'whether what the applicant did constituted compliance with the statutory provisions viewed in the light of their purpose'. </w:t>
      </w:r>
      <w:bookmarkStart w:id="28" w:name="0-0-0-224203"/>
      <w:bookmarkEnd w:id="28"/>
      <w:r w:rsidRPr="00046610">
        <w:rPr>
          <w:rFonts w:ascii="Arial" w:hAnsi="Arial" w:cs="Arial"/>
          <w:color w:val="000000"/>
        </w:rPr>
        <w:t>This is not the same as asking whether compliance with the provisions will lead to a different result.</w:t>
      </w:r>
    </w:p>
    <w:p w:rsidR="00046610" w:rsidRDefault="00046610" w:rsidP="00046610">
      <w:pPr>
        <w:pStyle w:val="ListParagraph"/>
        <w:spacing w:line="480" w:lineRule="auto"/>
        <w:ind w:left="360"/>
        <w:jc w:val="both"/>
        <w:rPr>
          <w:rFonts w:ascii="Arial" w:hAnsi="Arial" w:cs="Arial"/>
          <w:sz w:val="24"/>
          <w:szCs w:val="24"/>
          <w:lang w:val="en-US"/>
        </w:rPr>
      </w:pPr>
    </w:p>
    <w:p w:rsidR="002812A1" w:rsidRPr="00022690" w:rsidRDefault="00022690" w:rsidP="00022690">
      <w:pPr>
        <w:spacing w:line="480" w:lineRule="auto"/>
        <w:ind w:left="360" w:hanging="360"/>
        <w:jc w:val="both"/>
        <w:rPr>
          <w:rFonts w:ascii="Arial" w:hAnsi="Arial" w:cs="Arial"/>
          <w:sz w:val="24"/>
          <w:szCs w:val="24"/>
          <w:lang w:val="en-US"/>
        </w:rPr>
      </w:pPr>
      <w:r>
        <w:rPr>
          <w:rFonts w:ascii="Arial" w:hAnsi="Arial" w:cs="Arial"/>
          <w:sz w:val="24"/>
          <w:szCs w:val="24"/>
          <w:lang w:val="en-US"/>
        </w:rPr>
        <w:t>48.</w:t>
      </w:r>
      <w:r>
        <w:rPr>
          <w:rFonts w:ascii="Arial" w:hAnsi="Arial" w:cs="Arial"/>
          <w:sz w:val="24"/>
          <w:szCs w:val="24"/>
          <w:lang w:val="en-US"/>
        </w:rPr>
        <w:tab/>
      </w:r>
      <w:r w:rsidR="00492496" w:rsidRPr="00022690">
        <w:rPr>
          <w:rFonts w:ascii="Arial" w:hAnsi="Arial" w:cs="Arial"/>
          <w:sz w:val="24"/>
          <w:szCs w:val="24"/>
          <w:lang w:val="en-US"/>
        </w:rPr>
        <w:t>The question is then whether the standards specification complies with Regulation 18(15) viewed in light of its purpose</w:t>
      </w:r>
      <w:r w:rsidR="002812A1" w:rsidRPr="00022690">
        <w:rPr>
          <w:rFonts w:ascii="Arial" w:hAnsi="Arial" w:cs="Arial"/>
          <w:sz w:val="24"/>
          <w:szCs w:val="24"/>
          <w:lang w:val="en-US"/>
        </w:rPr>
        <w:t xml:space="preserve"> (see above)</w:t>
      </w:r>
      <w:r w:rsidR="00492496" w:rsidRPr="00022690">
        <w:rPr>
          <w:rFonts w:ascii="Arial" w:hAnsi="Arial" w:cs="Arial"/>
          <w:sz w:val="24"/>
          <w:szCs w:val="24"/>
          <w:lang w:val="en-US"/>
        </w:rPr>
        <w:t>. Regulation 18 e</w:t>
      </w:r>
      <w:r w:rsidR="00211FB2" w:rsidRPr="00022690">
        <w:rPr>
          <w:rFonts w:ascii="Arial" w:hAnsi="Arial" w:cs="Arial"/>
          <w:sz w:val="24"/>
          <w:szCs w:val="24"/>
          <w:lang w:val="en-US"/>
        </w:rPr>
        <w:t xml:space="preserve">ncourages the use of innovative and alternative technologies in its detail. </w:t>
      </w:r>
      <w:r w:rsidR="00492496" w:rsidRPr="00022690">
        <w:rPr>
          <w:rFonts w:ascii="Arial" w:hAnsi="Arial" w:cs="Arial"/>
          <w:sz w:val="24"/>
          <w:szCs w:val="24"/>
          <w:lang w:val="en-US"/>
        </w:rPr>
        <w:t xml:space="preserve"> </w:t>
      </w:r>
      <w:r w:rsidR="00211FB2" w:rsidRPr="00022690">
        <w:rPr>
          <w:rFonts w:ascii="Arial" w:hAnsi="Arial" w:cs="Arial"/>
          <w:sz w:val="24"/>
          <w:szCs w:val="24"/>
          <w:lang w:val="en-US"/>
        </w:rPr>
        <w:t xml:space="preserve">Viewed contextually, the </w:t>
      </w:r>
      <w:r w:rsidR="00492496" w:rsidRPr="00022690">
        <w:rPr>
          <w:rFonts w:ascii="Arial" w:hAnsi="Arial" w:cs="Arial"/>
          <w:sz w:val="24"/>
          <w:szCs w:val="24"/>
          <w:lang w:val="en-US"/>
        </w:rPr>
        <w:t>purpose of Regulation</w:t>
      </w:r>
      <w:r w:rsidR="00211FB2" w:rsidRPr="00022690">
        <w:rPr>
          <w:rFonts w:ascii="Arial" w:hAnsi="Arial" w:cs="Arial"/>
          <w:sz w:val="24"/>
          <w:szCs w:val="24"/>
          <w:lang w:val="en-US"/>
        </w:rPr>
        <w:t xml:space="preserve"> 18(15)</w:t>
      </w:r>
      <w:r w:rsidR="00492496" w:rsidRPr="00022690">
        <w:rPr>
          <w:rFonts w:ascii="Arial" w:hAnsi="Arial" w:cs="Arial"/>
          <w:sz w:val="24"/>
          <w:szCs w:val="24"/>
          <w:lang w:val="en-US"/>
        </w:rPr>
        <w:t xml:space="preserve"> must include to ensure that</w:t>
      </w:r>
      <w:r w:rsidR="00211FB2" w:rsidRPr="00022690">
        <w:rPr>
          <w:rFonts w:ascii="Arial" w:hAnsi="Arial" w:cs="Arial"/>
          <w:sz w:val="24"/>
          <w:szCs w:val="24"/>
          <w:lang w:val="en-US"/>
        </w:rPr>
        <w:t xml:space="preserve"> such</w:t>
      </w:r>
      <w:r w:rsidR="00492496" w:rsidRPr="00022690">
        <w:rPr>
          <w:rFonts w:ascii="Arial" w:hAnsi="Arial" w:cs="Arial"/>
          <w:sz w:val="24"/>
          <w:szCs w:val="24"/>
          <w:lang w:val="en-US"/>
        </w:rPr>
        <w:t xml:space="preserve"> technologies</w:t>
      </w:r>
      <w:r w:rsidR="00211FB2" w:rsidRPr="00022690">
        <w:rPr>
          <w:rFonts w:ascii="Arial" w:hAnsi="Arial" w:cs="Arial"/>
          <w:sz w:val="24"/>
          <w:szCs w:val="24"/>
          <w:lang w:val="en-US"/>
        </w:rPr>
        <w:t xml:space="preserve"> have been suitably assessed as</w:t>
      </w:r>
      <w:r w:rsidR="005D241B" w:rsidRPr="00022690">
        <w:rPr>
          <w:rFonts w:ascii="Arial" w:hAnsi="Arial" w:cs="Arial"/>
          <w:sz w:val="24"/>
          <w:szCs w:val="24"/>
          <w:lang w:val="en-US"/>
        </w:rPr>
        <w:t xml:space="preserve"> fit for purpose in accordance with the Agrément South Africa dispensation, whose objectives include</w:t>
      </w:r>
      <w:r w:rsidR="00DC0DBA" w:rsidRPr="00022690">
        <w:rPr>
          <w:rFonts w:ascii="Arial" w:hAnsi="Arial" w:cs="Arial"/>
          <w:sz w:val="24"/>
          <w:szCs w:val="24"/>
          <w:lang w:val="en-US"/>
        </w:rPr>
        <w:t xml:space="preserve"> </w:t>
      </w:r>
      <w:r w:rsidR="005D241B" w:rsidRPr="00022690">
        <w:rPr>
          <w:rFonts w:ascii="Arial" w:hAnsi="Arial" w:cs="Arial"/>
          <w:sz w:val="24"/>
          <w:szCs w:val="24"/>
          <w:lang w:val="en-US"/>
        </w:rPr>
        <w:t>minimizing the risk associated with non-standardised products or systems.</w:t>
      </w:r>
      <w:r w:rsidR="005D241B">
        <w:rPr>
          <w:rStyle w:val="FootnoteReference"/>
          <w:rFonts w:ascii="Arial" w:hAnsi="Arial" w:cs="Arial"/>
          <w:sz w:val="24"/>
          <w:szCs w:val="24"/>
          <w:lang w:val="en-US"/>
        </w:rPr>
        <w:footnoteReference w:id="26"/>
      </w:r>
      <w:r w:rsidR="005D241B" w:rsidRPr="00022690">
        <w:rPr>
          <w:rFonts w:ascii="Arial" w:hAnsi="Arial" w:cs="Arial"/>
          <w:sz w:val="24"/>
          <w:szCs w:val="24"/>
          <w:lang w:val="en-US"/>
        </w:rPr>
        <w:t xml:space="preserve"> </w:t>
      </w:r>
    </w:p>
    <w:p w:rsidR="00492496" w:rsidRDefault="009F2729" w:rsidP="002812A1">
      <w:pPr>
        <w:pStyle w:val="ListParagraph"/>
        <w:spacing w:line="480" w:lineRule="auto"/>
        <w:ind w:left="360"/>
        <w:jc w:val="both"/>
        <w:rPr>
          <w:rFonts w:ascii="Arial" w:hAnsi="Arial" w:cs="Arial"/>
          <w:sz w:val="24"/>
          <w:szCs w:val="24"/>
          <w:lang w:val="en-US"/>
        </w:rPr>
      </w:pPr>
      <w:r>
        <w:rPr>
          <w:rFonts w:ascii="Arial" w:hAnsi="Arial" w:cs="Arial"/>
          <w:sz w:val="24"/>
          <w:szCs w:val="24"/>
          <w:lang w:val="en-US"/>
        </w:rPr>
        <w:t xml:space="preserve">  </w:t>
      </w:r>
    </w:p>
    <w:p w:rsidR="009F2729" w:rsidRPr="00022690" w:rsidRDefault="00022690" w:rsidP="00022690">
      <w:pPr>
        <w:spacing w:line="480" w:lineRule="auto"/>
        <w:ind w:left="360" w:hanging="360"/>
        <w:jc w:val="both"/>
        <w:rPr>
          <w:rFonts w:ascii="Arial" w:hAnsi="Arial" w:cs="Arial"/>
          <w:sz w:val="24"/>
          <w:szCs w:val="24"/>
          <w:lang w:val="en-US"/>
        </w:rPr>
      </w:pPr>
      <w:r>
        <w:rPr>
          <w:rFonts w:ascii="Arial" w:hAnsi="Arial" w:cs="Arial"/>
          <w:sz w:val="24"/>
          <w:szCs w:val="24"/>
          <w:lang w:val="en-US"/>
        </w:rPr>
        <w:t>49.</w:t>
      </w:r>
      <w:r>
        <w:rPr>
          <w:rFonts w:ascii="Arial" w:hAnsi="Arial" w:cs="Arial"/>
          <w:sz w:val="24"/>
          <w:szCs w:val="24"/>
          <w:lang w:val="en-US"/>
        </w:rPr>
        <w:tab/>
      </w:r>
      <w:r w:rsidR="009F2729" w:rsidRPr="00022690">
        <w:rPr>
          <w:rFonts w:ascii="Arial" w:hAnsi="Arial" w:cs="Arial"/>
          <w:sz w:val="24"/>
          <w:szCs w:val="24"/>
          <w:lang w:val="en-US"/>
        </w:rPr>
        <w:t>The explanation for deviation proffered by NECT is difficult to understand in the absence of evidence that there are SANS compliant dry sanitation systems</w:t>
      </w:r>
      <w:r w:rsidR="00DC0DBA" w:rsidRPr="00022690">
        <w:rPr>
          <w:rFonts w:ascii="Arial" w:hAnsi="Arial" w:cs="Arial"/>
          <w:sz w:val="24"/>
          <w:szCs w:val="24"/>
          <w:lang w:val="en-US"/>
        </w:rPr>
        <w:t xml:space="preserve">.  Furthermore, as </w:t>
      </w:r>
      <w:r w:rsidR="009F2729" w:rsidRPr="00022690">
        <w:rPr>
          <w:rFonts w:ascii="Arial" w:hAnsi="Arial" w:cs="Arial"/>
          <w:sz w:val="24"/>
          <w:szCs w:val="24"/>
          <w:lang w:val="en-US"/>
        </w:rPr>
        <w:t>postulate</w:t>
      </w:r>
      <w:bookmarkStart w:id="29" w:name="_GoBack"/>
      <w:bookmarkEnd w:id="29"/>
      <w:r w:rsidR="009F2729" w:rsidRPr="00022690">
        <w:rPr>
          <w:rFonts w:ascii="Arial" w:hAnsi="Arial" w:cs="Arial"/>
          <w:sz w:val="24"/>
          <w:szCs w:val="24"/>
          <w:lang w:val="en-US"/>
        </w:rPr>
        <w:t>d above, o</w:t>
      </w:r>
      <w:r w:rsidR="00DC0DBA" w:rsidRPr="00022690">
        <w:rPr>
          <w:rFonts w:ascii="Arial" w:hAnsi="Arial" w:cs="Arial"/>
          <w:sz w:val="24"/>
          <w:szCs w:val="24"/>
          <w:lang w:val="en-US"/>
        </w:rPr>
        <w:t xml:space="preserve">n the limited information to hand but on the face of it, it may be that, </w:t>
      </w:r>
      <w:r w:rsidR="009F2729" w:rsidRPr="00022690">
        <w:rPr>
          <w:rFonts w:ascii="Arial" w:hAnsi="Arial" w:cs="Arial"/>
          <w:sz w:val="24"/>
          <w:szCs w:val="24"/>
          <w:lang w:val="en-US"/>
        </w:rPr>
        <w:t>practically,</w:t>
      </w:r>
      <w:r w:rsidR="00DC0DBA" w:rsidRPr="00022690">
        <w:rPr>
          <w:rFonts w:ascii="Arial" w:hAnsi="Arial" w:cs="Arial"/>
          <w:sz w:val="24"/>
          <w:szCs w:val="24"/>
          <w:lang w:val="en-US"/>
        </w:rPr>
        <w:t xml:space="preserve"> some level of</w:t>
      </w:r>
      <w:r w:rsidR="009F2729" w:rsidRPr="00022690">
        <w:rPr>
          <w:rFonts w:ascii="Arial" w:hAnsi="Arial" w:cs="Arial"/>
          <w:sz w:val="24"/>
          <w:szCs w:val="24"/>
          <w:lang w:val="en-US"/>
        </w:rPr>
        <w:t xml:space="preserve"> Agrément certification can</w:t>
      </w:r>
      <w:r w:rsidR="00DC0DBA" w:rsidRPr="00022690">
        <w:rPr>
          <w:rFonts w:ascii="Arial" w:hAnsi="Arial" w:cs="Arial"/>
          <w:sz w:val="24"/>
          <w:szCs w:val="24"/>
          <w:lang w:val="en-US"/>
        </w:rPr>
        <w:t>not</w:t>
      </w:r>
      <w:r w:rsidR="009F2729" w:rsidRPr="00022690">
        <w:rPr>
          <w:rFonts w:ascii="Arial" w:hAnsi="Arial" w:cs="Arial"/>
          <w:sz w:val="24"/>
          <w:szCs w:val="24"/>
          <w:lang w:val="en-US"/>
        </w:rPr>
        <w:t xml:space="preserve"> be avoided if dry sanitation systems are required. However, I have insufficient evidence before me to draw any firm conclusions in this regard.  Nevertheless, provided the specifications standard is understood to require certification under one or both systems – each of which serve to set what the legislature regards as suitable standards – it is difficult to see how it is either unlawful or irrational.  The real question seems to </w:t>
      </w:r>
      <w:r w:rsidR="00DC0DBA" w:rsidRPr="00022690">
        <w:rPr>
          <w:rFonts w:ascii="Arial" w:hAnsi="Arial" w:cs="Arial"/>
          <w:sz w:val="24"/>
          <w:szCs w:val="24"/>
          <w:lang w:val="en-US"/>
        </w:rPr>
        <w:t>be how it is applied in practice</w:t>
      </w:r>
      <w:r w:rsidR="009F2729" w:rsidRPr="00022690">
        <w:rPr>
          <w:rFonts w:ascii="Arial" w:hAnsi="Arial" w:cs="Arial"/>
          <w:sz w:val="24"/>
          <w:szCs w:val="24"/>
          <w:lang w:val="en-US"/>
        </w:rPr>
        <w:t xml:space="preserve">.  </w:t>
      </w:r>
    </w:p>
    <w:p w:rsidR="00492496" w:rsidRPr="009F2729" w:rsidRDefault="00492496" w:rsidP="00492496">
      <w:pPr>
        <w:pStyle w:val="ListParagraph"/>
        <w:spacing w:line="480" w:lineRule="auto"/>
        <w:ind w:left="360"/>
        <w:jc w:val="both"/>
        <w:rPr>
          <w:rFonts w:ascii="Arial" w:hAnsi="Arial" w:cs="Arial"/>
          <w:sz w:val="24"/>
          <w:szCs w:val="24"/>
          <w:lang w:val="en-US"/>
        </w:rPr>
      </w:pPr>
    </w:p>
    <w:p w:rsidR="00195A6F" w:rsidRPr="00022690" w:rsidRDefault="00022690" w:rsidP="00022690">
      <w:pPr>
        <w:spacing w:line="480" w:lineRule="auto"/>
        <w:ind w:left="360" w:hanging="360"/>
        <w:jc w:val="both"/>
        <w:rPr>
          <w:rFonts w:ascii="Arial" w:hAnsi="Arial" w:cs="Arial"/>
          <w:sz w:val="24"/>
          <w:szCs w:val="24"/>
          <w:lang w:val="en-US"/>
        </w:rPr>
      </w:pPr>
      <w:r w:rsidRPr="009F2729">
        <w:rPr>
          <w:rFonts w:ascii="Arial" w:hAnsi="Arial" w:cs="Arial"/>
          <w:sz w:val="24"/>
          <w:szCs w:val="24"/>
          <w:lang w:val="en-US"/>
        </w:rPr>
        <w:t>50.</w:t>
      </w:r>
      <w:r w:rsidRPr="009F2729">
        <w:rPr>
          <w:rFonts w:ascii="Arial" w:hAnsi="Arial" w:cs="Arial"/>
          <w:sz w:val="24"/>
          <w:szCs w:val="24"/>
          <w:lang w:val="en-US"/>
        </w:rPr>
        <w:tab/>
      </w:r>
      <w:r w:rsidR="00195A6F" w:rsidRPr="00022690">
        <w:rPr>
          <w:rFonts w:ascii="Arial" w:hAnsi="Arial" w:cs="Arial"/>
          <w:sz w:val="24"/>
          <w:szCs w:val="24"/>
          <w:lang w:val="en-US"/>
        </w:rPr>
        <w:t xml:space="preserve">In the result, I am of the view that the applicant’s attack on the standards specification </w:t>
      </w:r>
      <w:r w:rsidR="009F2729" w:rsidRPr="00022690">
        <w:rPr>
          <w:rFonts w:ascii="Arial" w:hAnsi="Arial" w:cs="Arial"/>
          <w:sz w:val="24"/>
          <w:szCs w:val="24"/>
          <w:lang w:val="en-US"/>
        </w:rPr>
        <w:t xml:space="preserve">itself </w:t>
      </w:r>
      <w:r w:rsidR="00195A6F" w:rsidRPr="00022690">
        <w:rPr>
          <w:rFonts w:ascii="Arial" w:hAnsi="Arial" w:cs="Arial"/>
          <w:sz w:val="24"/>
          <w:szCs w:val="24"/>
          <w:lang w:val="en-US"/>
        </w:rPr>
        <w:t>must also fail.</w:t>
      </w:r>
    </w:p>
    <w:p w:rsidR="00195A6F" w:rsidRPr="009F2729" w:rsidRDefault="00195A6F" w:rsidP="00195A6F">
      <w:pPr>
        <w:rPr>
          <w:rFonts w:ascii="Arial" w:hAnsi="Arial" w:cs="Arial"/>
          <w:b/>
          <w:lang w:val="en-US"/>
        </w:rPr>
      </w:pPr>
    </w:p>
    <w:p w:rsidR="00195A6F" w:rsidRPr="00A37450" w:rsidRDefault="00195A6F" w:rsidP="00195A6F">
      <w:pPr>
        <w:rPr>
          <w:rFonts w:ascii="Arial" w:hAnsi="Arial" w:cs="Arial"/>
          <w:b/>
          <w:sz w:val="24"/>
          <w:szCs w:val="24"/>
          <w:lang w:val="en-US"/>
        </w:rPr>
      </w:pPr>
      <w:r w:rsidRPr="00A37450">
        <w:rPr>
          <w:rFonts w:ascii="Arial" w:hAnsi="Arial" w:cs="Arial"/>
          <w:b/>
          <w:sz w:val="24"/>
          <w:szCs w:val="24"/>
          <w:lang w:val="en-US"/>
        </w:rPr>
        <w:t>Costs and order</w:t>
      </w:r>
    </w:p>
    <w:p w:rsidR="00195A6F" w:rsidRPr="00A37450" w:rsidRDefault="00195A6F" w:rsidP="00195A6F">
      <w:pPr>
        <w:rPr>
          <w:rFonts w:ascii="Arial" w:hAnsi="Arial" w:cs="Arial"/>
          <w:b/>
          <w:sz w:val="24"/>
          <w:szCs w:val="24"/>
          <w:lang w:val="en-US"/>
        </w:rPr>
      </w:pPr>
      <w:r w:rsidRPr="00A37450">
        <w:rPr>
          <w:rFonts w:ascii="Arial" w:hAnsi="Arial" w:cs="Arial"/>
          <w:b/>
          <w:sz w:val="24"/>
          <w:szCs w:val="24"/>
          <w:lang w:val="en-US"/>
        </w:rPr>
        <w:t xml:space="preserve"> </w:t>
      </w:r>
    </w:p>
    <w:p w:rsidR="00EB1971" w:rsidRPr="00022690" w:rsidRDefault="00022690" w:rsidP="00022690">
      <w:pPr>
        <w:spacing w:line="480" w:lineRule="auto"/>
        <w:ind w:left="360" w:hanging="360"/>
        <w:jc w:val="both"/>
        <w:rPr>
          <w:rFonts w:ascii="Arial" w:hAnsi="Arial" w:cs="Arial"/>
          <w:sz w:val="24"/>
          <w:szCs w:val="24"/>
          <w:lang w:val="en-US"/>
        </w:rPr>
      </w:pPr>
      <w:r w:rsidRPr="00A37450">
        <w:rPr>
          <w:rFonts w:ascii="Arial" w:hAnsi="Arial" w:cs="Arial"/>
          <w:sz w:val="24"/>
          <w:szCs w:val="24"/>
          <w:lang w:val="en-US"/>
        </w:rPr>
        <w:t>51.</w:t>
      </w:r>
      <w:r w:rsidRPr="00A37450">
        <w:rPr>
          <w:rFonts w:ascii="Arial" w:hAnsi="Arial" w:cs="Arial"/>
          <w:sz w:val="24"/>
          <w:szCs w:val="24"/>
          <w:lang w:val="en-US"/>
        </w:rPr>
        <w:tab/>
      </w:r>
      <w:r w:rsidR="00195A6F" w:rsidRPr="00022690">
        <w:rPr>
          <w:rFonts w:ascii="Arial" w:hAnsi="Arial" w:cs="Arial"/>
          <w:sz w:val="24"/>
          <w:szCs w:val="24"/>
          <w:lang w:val="en-US"/>
        </w:rPr>
        <w:t>The NECT has succeeded in defending the application on its merits.  The Minister</w:t>
      </w:r>
      <w:r w:rsidR="009F2729" w:rsidRPr="00022690">
        <w:rPr>
          <w:rFonts w:ascii="Arial" w:hAnsi="Arial" w:cs="Arial"/>
          <w:sz w:val="24"/>
          <w:szCs w:val="24"/>
          <w:lang w:val="en-US"/>
        </w:rPr>
        <w:t xml:space="preserve"> was materially unsuccessful in defending the application on the three technical points</w:t>
      </w:r>
      <w:r w:rsidR="0038038D" w:rsidRPr="00022690">
        <w:rPr>
          <w:rFonts w:ascii="Arial" w:hAnsi="Arial" w:cs="Arial"/>
          <w:sz w:val="24"/>
          <w:szCs w:val="24"/>
          <w:lang w:val="en-US"/>
        </w:rPr>
        <w:t xml:space="preserve"> raised.  </w:t>
      </w:r>
      <w:r w:rsidR="00195A6F" w:rsidRPr="00022690">
        <w:rPr>
          <w:rFonts w:ascii="Arial" w:hAnsi="Arial" w:cs="Arial"/>
          <w:sz w:val="24"/>
          <w:szCs w:val="24"/>
          <w:lang w:val="en-US"/>
        </w:rPr>
        <w:t>In my view, the NECT is entitled to its costs including the cost</w:t>
      </w:r>
      <w:r w:rsidR="00A37450" w:rsidRPr="00022690">
        <w:rPr>
          <w:rFonts w:ascii="Arial" w:hAnsi="Arial" w:cs="Arial"/>
          <w:sz w:val="24"/>
          <w:szCs w:val="24"/>
          <w:lang w:val="en-US"/>
        </w:rPr>
        <w:t xml:space="preserve">s of two counsel.  </w:t>
      </w:r>
      <w:r w:rsidR="0038038D" w:rsidRPr="00022690">
        <w:rPr>
          <w:rFonts w:ascii="Arial" w:hAnsi="Arial" w:cs="Arial"/>
          <w:sz w:val="24"/>
          <w:szCs w:val="24"/>
          <w:lang w:val="en-US"/>
        </w:rPr>
        <w:t xml:space="preserve">In all the circumstances, the </w:t>
      </w:r>
      <w:r w:rsidR="00A37450" w:rsidRPr="00022690">
        <w:rPr>
          <w:rFonts w:ascii="Arial" w:hAnsi="Arial" w:cs="Arial"/>
          <w:sz w:val="24"/>
          <w:szCs w:val="24"/>
          <w:lang w:val="en-US"/>
        </w:rPr>
        <w:t xml:space="preserve">second respondent should, in my view, carry its own costs.  </w:t>
      </w:r>
    </w:p>
    <w:p w:rsidR="00195A6F" w:rsidRPr="00A37450" w:rsidRDefault="00195A6F" w:rsidP="00195A6F">
      <w:pPr>
        <w:pStyle w:val="ListParagraph"/>
        <w:spacing w:line="480" w:lineRule="auto"/>
        <w:ind w:left="360"/>
        <w:jc w:val="both"/>
        <w:rPr>
          <w:rFonts w:ascii="Arial" w:hAnsi="Arial" w:cs="Arial"/>
          <w:color w:val="FF0000"/>
          <w:sz w:val="24"/>
          <w:szCs w:val="24"/>
          <w:lang w:val="en-US"/>
        </w:rPr>
      </w:pPr>
    </w:p>
    <w:p w:rsidR="00DC0DBA" w:rsidRPr="00022690" w:rsidRDefault="00022690" w:rsidP="00022690">
      <w:pPr>
        <w:spacing w:line="480" w:lineRule="auto"/>
        <w:ind w:left="360" w:hanging="360"/>
        <w:jc w:val="both"/>
        <w:rPr>
          <w:rFonts w:ascii="Arial" w:hAnsi="Arial" w:cs="Arial"/>
          <w:sz w:val="24"/>
          <w:szCs w:val="24"/>
          <w:lang w:val="en-US"/>
        </w:rPr>
      </w:pPr>
      <w:r w:rsidRPr="00DC0DBA">
        <w:rPr>
          <w:rFonts w:ascii="Arial" w:hAnsi="Arial" w:cs="Arial"/>
          <w:sz w:val="24"/>
          <w:szCs w:val="24"/>
          <w:lang w:val="en-US"/>
        </w:rPr>
        <w:t>52.</w:t>
      </w:r>
      <w:r w:rsidRPr="00DC0DBA">
        <w:rPr>
          <w:rFonts w:ascii="Arial" w:hAnsi="Arial" w:cs="Arial"/>
          <w:sz w:val="24"/>
          <w:szCs w:val="24"/>
          <w:lang w:val="en-US"/>
        </w:rPr>
        <w:tab/>
      </w:r>
      <w:r w:rsidR="00195A6F" w:rsidRPr="00022690">
        <w:rPr>
          <w:rFonts w:ascii="Arial" w:hAnsi="Arial" w:cs="Arial"/>
          <w:sz w:val="24"/>
          <w:szCs w:val="24"/>
          <w:lang w:val="en-US"/>
        </w:rPr>
        <w:t xml:space="preserve">I make the following order: </w:t>
      </w:r>
    </w:p>
    <w:p w:rsidR="00A37450" w:rsidRPr="00022690" w:rsidRDefault="00022690" w:rsidP="00022690">
      <w:pPr>
        <w:spacing w:line="480" w:lineRule="auto"/>
        <w:ind w:left="792" w:hanging="432"/>
        <w:jc w:val="both"/>
        <w:rPr>
          <w:rFonts w:ascii="Arial" w:hAnsi="Arial" w:cs="Arial"/>
          <w:sz w:val="24"/>
          <w:szCs w:val="24"/>
          <w:lang w:val="en-US"/>
        </w:rPr>
      </w:pPr>
      <w:r w:rsidRPr="00A37450">
        <w:rPr>
          <w:rFonts w:ascii="Arial" w:hAnsi="Arial" w:cs="Arial"/>
          <w:sz w:val="24"/>
          <w:szCs w:val="24"/>
          <w:lang w:val="en-US"/>
        </w:rPr>
        <w:t>52.1.</w:t>
      </w:r>
      <w:r w:rsidRPr="00A37450">
        <w:rPr>
          <w:rFonts w:ascii="Arial" w:hAnsi="Arial" w:cs="Arial"/>
          <w:sz w:val="24"/>
          <w:szCs w:val="24"/>
          <w:lang w:val="en-US"/>
        </w:rPr>
        <w:tab/>
      </w:r>
      <w:r w:rsidR="00195A6F" w:rsidRPr="00022690">
        <w:rPr>
          <w:rFonts w:ascii="Arial" w:hAnsi="Arial" w:cs="Arial"/>
          <w:sz w:val="24"/>
          <w:szCs w:val="24"/>
          <w:lang w:val="en-US"/>
        </w:rPr>
        <w:t>The application is dismissed</w:t>
      </w:r>
      <w:r w:rsidR="00A37450" w:rsidRPr="00022690">
        <w:rPr>
          <w:rFonts w:ascii="Arial" w:hAnsi="Arial" w:cs="Arial"/>
          <w:sz w:val="24"/>
          <w:szCs w:val="24"/>
          <w:lang w:val="en-US"/>
        </w:rPr>
        <w:t xml:space="preserve">. </w:t>
      </w:r>
    </w:p>
    <w:p w:rsidR="005C0A4A" w:rsidRPr="00022690" w:rsidRDefault="00022690" w:rsidP="00022690">
      <w:pPr>
        <w:spacing w:line="480" w:lineRule="auto"/>
        <w:ind w:left="1418" w:hanging="999"/>
        <w:jc w:val="both"/>
        <w:rPr>
          <w:rFonts w:ascii="Arial" w:hAnsi="Arial" w:cs="Arial"/>
          <w:sz w:val="24"/>
          <w:szCs w:val="24"/>
          <w:lang w:val="en-US"/>
        </w:rPr>
      </w:pPr>
      <w:r w:rsidRPr="00A37450">
        <w:rPr>
          <w:rFonts w:ascii="Arial" w:hAnsi="Arial" w:cs="Arial"/>
          <w:sz w:val="24"/>
          <w:szCs w:val="24"/>
          <w:lang w:val="en-US"/>
        </w:rPr>
        <w:t>52.2.</w:t>
      </w:r>
      <w:r w:rsidRPr="00A37450">
        <w:rPr>
          <w:rFonts w:ascii="Arial" w:hAnsi="Arial" w:cs="Arial"/>
          <w:sz w:val="24"/>
          <w:szCs w:val="24"/>
          <w:lang w:val="en-US"/>
        </w:rPr>
        <w:tab/>
      </w:r>
      <w:r w:rsidR="00A37450" w:rsidRPr="00022690">
        <w:rPr>
          <w:rFonts w:ascii="Arial" w:hAnsi="Arial" w:cs="Arial"/>
          <w:sz w:val="24"/>
          <w:szCs w:val="24"/>
          <w:lang w:val="en-US"/>
        </w:rPr>
        <w:t xml:space="preserve">The applicant is directed to pay the costs of the first respondent including the costs of two counsel. </w:t>
      </w:r>
    </w:p>
    <w:p w:rsidR="0096054C" w:rsidRPr="00022690" w:rsidRDefault="00022690" w:rsidP="00022690">
      <w:pPr>
        <w:spacing w:line="480" w:lineRule="auto"/>
        <w:ind w:left="1418" w:hanging="999"/>
        <w:jc w:val="both"/>
        <w:rPr>
          <w:rFonts w:ascii="Arial" w:hAnsi="Arial" w:cs="Arial"/>
          <w:sz w:val="24"/>
          <w:szCs w:val="24"/>
          <w:lang w:val="en-US"/>
        </w:rPr>
      </w:pPr>
      <w:r>
        <w:rPr>
          <w:rFonts w:ascii="Arial" w:hAnsi="Arial" w:cs="Arial"/>
          <w:sz w:val="24"/>
          <w:szCs w:val="24"/>
          <w:lang w:val="en-US"/>
        </w:rPr>
        <w:t>52.3.</w:t>
      </w:r>
      <w:r>
        <w:rPr>
          <w:rFonts w:ascii="Arial" w:hAnsi="Arial" w:cs="Arial"/>
          <w:sz w:val="24"/>
          <w:szCs w:val="24"/>
          <w:lang w:val="en-US"/>
        </w:rPr>
        <w:tab/>
      </w:r>
      <w:r w:rsidR="00A37450" w:rsidRPr="00022690">
        <w:rPr>
          <w:rFonts w:ascii="Arial" w:hAnsi="Arial" w:cs="Arial"/>
          <w:sz w:val="24"/>
          <w:szCs w:val="24"/>
          <w:lang w:val="en-US"/>
        </w:rPr>
        <w:t xml:space="preserve">The second respondent is to pay its own costs. </w:t>
      </w:r>
    </w:p>
    <w:p w:rsidR="0096054C" w:rsidRPr="0096054C" w:rsidRDefault="0096054C" w:rsidP="0096054C">
      <w:pPr>
        <w:pStyle w:val="ListParagraph"/>
        <w:spacing w:line="480" w:lineRule="auto"/>
        <w:ind w:left="1418"/>
        <w:jc w:val="right"/>
        <w:rPr>
          <w:rFonts w:ascii="Arial" w:hAnsi="Arial" w:cs="Arial"/>
          <w:sz w:val="24"/>
          <w:szCs w:val="24"/>
          <w:lang w:val="en-US"/>
        </w:rPr>
      </w:pPr>
      <w:r>
        <w:rPr>
          <w:noProof/>
          <w:lang w:val="en-US"/>
        </w:rPr>
        <w:drawing>
          <wp:inline distT="0" distB="0" distL="0" distR="0" wp14:anchorId="28A4340D" wp14:editId="3E6D985C">
            <wp:extent cx="847725" cy="40259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402590"/>
                    </a:xfrm>
                    <a:prstGeom prst="rect">
                      <a:avLst/>
                    </a:prstGeom>
                    <a:noFill/>
                  </pic:spPr>
                </pic:pic>
              </a:graphicData>
            </a:graphic>
          </wp:inline>
        </w:drawing>
      </w:r>
    </w:p>
    <w:p w:rsidR="00F16608" w:rsidRDefault="00F16608" w:rsidP="00F16608">
      <w:pPr>
        <w:spacing w:line="480" w:lineRule="auto"/>
        <w:jc w:val="right"/>
        <w:rPr>
          <w:rFonts w:ascii="Arial" w:hAnsi="Arial" w:cs="Arial"/>
          <w:sz w:val="24"/>
          <w:szCs w:val="24"/>
          <w:lang w:val="en-US"/>
        </w:rPr>
      </w:pPr>
      <w:r>
        <w:rPr>
          <w:rFonts w:ascii="Arial" w:hAnsi="Arial" w:cs="Arial"/>
          <w:sz w:val="24"/>
          <w:szCs w:val="24"/>
          <w:lang w:val="en-US"/>
        </w:rPr>
        <w:t>SJ Cowen</w:t>
      </w:r>
    </w:p>
    <w:p w:rsidR="00F16608" w:rsidRPr="00F16608" w:rsidRDefault="00F16608" w:rsidP="00F16608">
      <w:pPr>
        <w:spacing w:line="480" w:lineRule="auto"/>
        <w:jc w:val="right"/>
        <w:rPr>
          <w:rFonts w:ascii="Arial" w:hAnsi="Arial" w:cs="Arial"/>
          <w:sz w:val="24"/>
          <w:szCs w:val="24"/>
          <w:lang w:val="en-US"/>
        </w:rPr>
      </w:pPr>
      <w:r>
        <w:rPr>
          <w:rFonts w:ascii="Arial" w:hAnsi="Arial" w:cs="Arial"/>
          <w:sz w:val="24"/>
          <w:szCs w:val="24"/>
          <w:lang w:val="en-US"/>
        </w:rPr>
        <w:t>Judge, High Court Pretoria</w:t>
      </w:r>
    </w:p>
    <w:p w:rsidR="005F1168" w:rsidRDefault="005F1168" w:rsidP="005F1168">
      <w:pPr>
        <w:spacing w:line="480" w:lineRule="auto"/>
        <w:jc w:val="both"/>
        <w:rPr>
          <w:rFonts w:ascii="Arial" w:hAnsi="Arial" w:cs="Arial"/>
          <w:sz w:val="24"/>
          <w:szCs w:val="24"/>
          <w:lang w:val="en-US"/>
        </w:rPr>
      </w:pPr>
    </w:p>
    <w:p w:rsidR="00F16608" w:rsidRDefault="00F16608" w:rsidP="005F1168">
      <w:pPr>
        <w:spacing w:line="480" w:lineRule="auto"/>
        <w:jc w:val="both"/>
        <w:rPr>
          <w:rFonts w:ascii="Arial" w:hAnsi="Arial" w:cs="Arial"/>
          <w:sz w:val="24"/>
          <w:szCs w:val="24"/>
          <w:lang w:val="en-US"/>
        </w:rPr>
      </w:pPr>
      <w:r>
        <w:rPr>
          <w:rFonts w:ascii="Arial" w:hAnsi="Arial" w:cs="Arial"/>
          <w:sz w:val="24"/>
          <w:szCs w:val="24"/>
          <w:lang w:val="en-US"/>
        </w:rPr>
        <w:t>Date of hearing:  16 May 2023</w:t>
      </w:r>
    </w:p>
    <w:p w:rsidR="00F16608" w:rsidRPr="00F16608" w:rsidRDefault="00DC0DBA" w:rsidP="005F1168">
      <w:pPr>
        <w:spacing w:line="480" w:lineRule="auto"/>
        <w:jc w:val="both"/>
        <w:rPr>
          <w:rFonts w:ascii="Arial" w:hAnsi="Arial" w:cs="Arial"/>
          <w:sz w:val="24"/>
          <w:szCs w:val="24"/>
          <w:lang w:val="en-US"/>
        </w:rPr>
      </w:pPr>
      <w:r>
        <w:rPr>
          <w:rFonts w:ascii="Arial" w:hAnsi="Arial" w:cs="Arial"/>
          <w:sz w:val="24"/>
          <w:szCs w:val="24"/>
          <w:lang w:val="en-US"/>
        </w:rPr>
        <w:t>Date of decision:  21</w:t>
      </w:r>
      <w:r w:rsidR="00F16608">
        <w:rPr>
          <w:rFonts w:ascii="Arial" w:hAnsi="Arial" w:cs="Arial"/>
          <w:sz w:val="24"/>
          <w:szCs w:val="24"/>
          <w:lang w:val="en-US"/>
        </w:rPr>
        <w:t xml:space="preserve"> August 2023</w:t>
      </w:r>
    </w:p>
    <w:p w:rsidR="00F16608" w:rsidRDefault="00F16608" w:rsidP="005F1168">
      <w:pPr>
        <w:spacing w:line="480" w:lineRule="auto"/>
        <w:jc w:val="both"/>
        <w:rPr>
          <w:rFonts w:ascii="Arial" w:hAnsi="Arial" w:cs="Arial"/>
          <w:i/>
          <w:sz w:val="24"/>
          <w:szCs w:val="24"/>
          <w:lang w:val="en-US"/>
        </w:rPr>
      </w:pPr>
    </w:p>
    <w:p w:rsidR="005F1168" w:rsidRPr="00F16608" w:rsidRDefault="005F1168" w:rsidP="005F1168">
      <w:pPr>
        <w:spacing w:line="480" w:lineRule="auto"/>
        <w:jc w:val="both"/>
        <w:rPr>
          <w:rFonts w:ascii="Arial" w:hAnsi="Arial" w:cs="Arial"/>
          <w:b/>
          <w:sz w:val="24"/>
          <w:szCs w:val="24"/>
          <w:lang w:val="en-US"/>
        </w:rPr>
      </w:pPr>
      <w:r w:rsidRPr="00F16608">
        <w:rPr>
          <w:rFonts w:ascii="Arial" w:hAnsi="Arial" w:cs="Arial"/>
          <w:b/>
          <w:sz w:val="24"/>
          <w:szCs w:val="24"/>
          <w:lang w:val="en-US"/>
        </w:rPr>
        <w:t xml:space="preserve">Appearances: </w:t>
      </w:r>
    </w:p>
    <w:p w:rsidR="005F1168" w:rsidRDefault="005F1168" w:rsidP="005F1168">
      <w:pPr>
        <w:spacing w:line="480" w:lineRule="auto"/>
        <w:jc w:val="both"/>
        <w:rPr>
          <w:rFonts w:ascii="Arial" w:hAnsi="Arial" w:cs="Arial"/>
          <w:sz w:val="24"/>
          <w:szCs w:val="24"/>
          <w:lang w:val="en-US"/>
        </w:rPr>
      </w:pPr>
      <w:r>
        <w:rPr>
          <w:rFonts w:ascii="Arial" w:hAnsi="Arial" w:cs="Arial"/>
          <w:sz w:val="24"/>
          <w:szCs w:val="24"/>
          <w:lang w:val="en-US"/>
        </w:rPr>
        <w:t xml:space="preserve">Applicant:  </w:t>
      </w:r>
      <w:r w:rsidR="0073555F">
        <w:rPr>
          <w:rFonts w:ascii="Arial" w:hAnsi="Arial" w:cs="Arial"/>
          <w:sz w:val="24"/>
          <w:szCs w:val="24"/>
          <w:lang w:val="en-US"/>
        </w:rPr>
        <w:tab/>
      </w:r>
      <w:r w:rsidR="0073555F">
        <w:rPr>
          <w:rFonts w:ascii="Arial" w:hAnsi="Arial" w:cs="Arial"/>
          <w:sz w:val="24"/>
          <w:szCs w:val="24"/>
          <w:lang w:val="en-US"/>
        </w:rPr>
        <w:tab/>
        <w:t xml:space="preserve">   </w:t>
      </w:r>
      <w:r>
        <w:rPr>
          <w:rFonts w:ascii="Arial" w:hAnsi="Arial" w:cs="Arial"/>
          <w:sz w:val="24"/>
          <w:szCs w:val="24"/>
          <w:lang w:val="en-US"/>
        </w:rPr>
        <w:t>S Grobler SC instructed by Honey Attorneys</w:t>
      </w:r>
    </w:p>
    <w:p w:rsidR="005F1168" w:rsidRDefault="0073555F" w:rsidP="0073555F">
      <w:pPr>
        <w:spacing w:line="480" w:lineRule="auto"/>
        <w:ind w:left="2410" w:hanging="2410"/>
        <w:jc w:val="both"/>
        <w:rPr>
          <w:rFonts w:ascii="Arial" w:hAnsi="Arial" w:cs="Arial"/>
          <w:sz w:val="24"/>
          <w:szCs w:val="24"/>
          <w:lang w:val="en-US"/>
        </w:rPr>
      </w:pPr>
      <w:r>
        <w:rPr>
          <w:rFonts w:ascii="Arial" w:hAnsi="Arial" w:cs="Arial"/>
          <w:sz w:val="24"/>
          <w:szCs w:val="24"/>
          <w:lang w:val="en-US"/>
        </w:rPr>
        <w:t xml:space="preserve">First Respondent:    </w:t>
      </w:r>
      <w:r w:rsidR="00F16608">
        <w:rPr>
          <w:rFonts w:ascii="Arial" w:hAnsi="Arial" w:cs="Arial"/>
          <w:sz w:val="24"/>
          <w:szCs w:val="24"/>
          <w:lang w:val="en-US"/>
        </w:rPr>
        <w:t xml:space="preserve">A Bham SC and C Tabata instructed by Mkhabela Huntley </w:t>
      </w:r>
      <w:r>
        <w:rPr>
          <w:rFonts w:ascii="Arial" w:hAnsi="Arial" w:cs="Arial"/>
          <w:sz w:val="24"/>
          <w:szCs w:val="24"/>
          <w:lang w:val="en-US"/>
        </w:rPr>
        <w:t xml:space="preserve">   </w:t>
      </w:r>
      <w:r w:rsidR="00F16608">
        <w:rPr>
          <w:rFonts w:ascii="Arial" w:hAnsi="Arial" w:cs="Arial"/>
          <w:sz w:val="24"/>
          <w:szCs w:val="24"/>
          <w:lang w:val="en-US"/>
        </w:rPr>
        <w:t>Attorneys</w:t>
      </w:r>
    </w:p>
    <w:p w:rsidR="00F16608" w:rsidRPr="005F1168" w:rsidRDefault="00F16608" w:rsidP="0073555F">
      <w:pPr>
        <w:spacing w:line="480" w:lineRule="auto"/>
        <w:ind w:left="2410" w:hanging="2410"/>
        <w:jc w:val="both"/>
        <w:rPr>
          <w:rFonts w:ascii="Arial" w:hAnsi="Arial" w:cs="Arial"/>
          <w:sz w:val="24"/>
          <w:szCs w:val="24"/>
          <w:lang w:val="en-US"/>
        </w:rPr>
      </w:pPr>
      <w:r>
        <w:rPr>
          <w:rFonts w:ascii="Arial" w:hAnsi="Arial" w:cs="Arial"/>
          <w:sz w:val="24"/>
          <w:szCs w:val="24"/>
          <w:lang w:val="en-US"/>
        </w:rPr>
        <w:t xml:space="preserve">Second Respondent:  </w:t>
      </w:r>
      <w:r w:rsidR="0073555F">
        <w:rPr>
          <w:rFonts w:ascii="Arial" w:hAnsi="Arial" w:cs="Arial"/>
          <w:sz w:val="24"/>
          <w:szCs w:val="24"/>
          <w:lang w:val="en-US"/>
        </w:rPr>
        <w:t>P Hemraj SC, K Bokaba and L Sonke</w:t>
      </w:r>
      <w:r>
        <w:rPr>
          <w:rFonts w:ascii="Arial" w:hAnsi="Arial" w:cs="Arial"/>
          <w:sz w:val="24"/>
          <w:szCs w:val="24"/>
          <w:lang w:val="en-US"/>
        </w:rPr>
        <w:t xml:space="preserve"> instructed by the State Attorney, Pretoria </w:t>
      </w:r>
    </w:p>
    <w:sectPr w:rsidR="00F16608" w:rsidRPr="005F116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19E" w:rsidRDefault="0029119E" w:rsidP="00ED7E89">
      <w:pPr>
        <w:spacing w:after="0" w:line="240" w:lineRule="auto"/>
      </w:pPr>
      <w:r>
        <w:separator/>
      </w:r>
    </w:p>
  </w:endnote>
  <w:endnote w:type="continuationSeparator" w:id="0">
    <w:p w:rsidR="0029119E" w:rsidRDefault="0029119E" w:rsidP="00ED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174512"/>
      <w:docPartObj>
        <w:docPartGallery w:val="Page Numbers (Bottom of Page)"/>
        <w:docPartUnique/>
      </w:docPartObj>
    </w:sdtPr>
    <w:sdtEndPr>
      <w:rPr>
        <w:noProof/>
      </w:rPr>
    </w:sdtEndPr>
    <w:sdtContent>
      <w:p w:rsidR="003D3F40" w:rsidRDefault="003D3F40">
        <w:pPr>
          <w:pStyle w:val="Footer"/>
          <w:jc w:val="center"/>
        </w:pPr>
        <w:r>
          <w:fldChar w:fldCharType="begin"/>
        </w:r>
        <w:r>
          <w:instrText xml:space="preserve"> PAGE   \* MERGEFORMAT </w:instrText>
        </w:r>
        <w:r>
          <w:fldChar w:fldCharType="separate"/>
        </w:r>
        <w:r w:rsidR="00022690">
          <w:rPr>
            <w:noProof/>
          </w:rPr>
          <w:t>25</w:t>
        </w:r>
        <w:r>
          <w:rPr>
            <w:noProof/>
          </w:rPr>
          <w:fldChar w:fldCharType="end"/>
        </w:r>
      </w:p>
    </w:sdtContent>
  </w:sdt>
  <w:p w:rsidR="003D3F40" w:rsidRDefault="003D3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19E" w:rsidRDefault="0029119E" w:rsidP="00ED7E89">
      <w:pPr>
        <w:spacing w:after="0" w:line="240" w:lineRule="auto"/>
      </w:pPr>
      <w:r>
        <w:separator/>
      </w:r>
    </w:p>
  </w:footnote>
  <w:footnote w:type="continuationSeparator" w:id="0">
    <w:p w:rsidR="0029119E" w:rsidRDefault="0029119E" w:rsidP="00ED7E89">
      <w:pPr>
        <w:spacing w:after="0" w:line="240" w:lineRule="auto"/>
      </w:pPr>
      <w:r>
        <w:continuationSeparator/>
      </w:r>
    </w:p>
  </w:footnote>
  <w:footnote w:id="1">
    <w:p w:rsidR="0039295E" w:rsidRPr="000A352E" w:rsidRDefault="0039295E" w:rsidP="006479EA">
      <w:pPr>
        <w:pStyle w:val="FootnoteText"/>
        <w:rPr>
          <w:rFonts w:ascii="Arial" w:hAnsi="Arial" w:cs="Arial"/>
          <w:sz w:val="18"/>
          <w:szCs w:val="18"/>
          <w:lang w:val="en-US"/>
        </w:rPr>
      </w:pPr>
      <w:r w:rsidRPr="000A352E">
        <w:rPr>
          <w:rStyle w:val="FootnoteReference"/>
          <w:rFonts w:ascii="Arial" w:hAnsi="Arial" w:cs="Arial"/>
          <w:sz w:val="18"/>
          <w:szCs w:val="18"/>
        </w:rPr>
        <w:footnoteRef/>
      </w:r>
      <w:r w:rsidRPr="000A352E">
        <w:rPr>
          <w:rFonts w:ascii="Arial" w:hAnsi="Arial" w:cs="Arial"/>
          <w:sz w:val="18"/>
          <w:szCs w:val="18"/>
        </w:rPr>
        <w:t xml:space="preserve"> </w:t>
      </w:r>
      <w:r w:rsidRPr="000A352E">
        <w:rPr>
          <w:rFonts w:ascii="Arial" w:hAnsi="Arial" w:cs="Arial"/>
          <w:sz w:val="18"/>
          <w:szCs w:val="18"/>
          <w:lang w:val="en-US"/>
        </w:rPr>
        <w:t>Government Gazette 25492, GN 2512.</w:t>
      </w:r>
    </w:p>
  </w:footnote>
  <w:footnote w:id="2">
    <w:p w:rsidR="0039295E" w:rsidRPr="007675CC" w:rsidRDefault="0039295E" w:rsidP="007675CC">
      <w:pPr>
        <w:pStyle w:val="FootnoteText"/>
        <w:jc w:val="both"/>
        <w:rPr>
          <w:rFonts w:ascii="Arial" w:hAnsi="Arial" w:cs="Arial"/>
          <w:sz w:val="18"/>
          <w:szCs w:val="18"/>
          <w:lang w:val="en-US"/>
        </w:rPr>
      </w:pPr>
      <w:r w:rsidRPr="007675CC">
        <w:rPr>
          <w:rStyle w:val="FootnoteReference"/>
          <w:rFonts w:ascii="Arial" w:hAnsi="Arial" w:cs="Arial"/>
          <w:sz w:val="18"/>
          <w:szCs w:val="18"/>
        </w:rPr>
        <w:footnoteRef/>
      </w:r>
      <w:r w:rsidRPr="007675CC">
        <w:rPr>
          <w:rFonts w:ascii="Arial" w:hAnsi="Arial" w:cs="Arial"/>
          <w:sz w:val="18"/>
          <w:szCs w:val="18"/>
        </w:rPr>
        <w:t xml:space="preserve"> </w:t>
      </w:r>
      <w:r>
        <w:rPr>
          <w:rFonts w:ascii="Arial" w:hAnsi="Arial" w:cs="Arial"/>
          <w:sz w:val="18"/>
          <w:szCs w:val="18"/>
        </w:rPr>
        <w:t xml:space="preserve">Published under GN R920 in GG 37081 of 29 November 2014 and made under section 5A(1)(a) of the South African Schools Act 1996 (the Minimum Norms and Standards Regulations). </w:t>
      </w:r>
    </w:p>
  </w:footnote>
  <w:footnote w:id="3">
    <w:p w:rsidR="0039295E" w:rsidRPr="000E559A" w:rsidRDefault="0039295E" w:rsidP="000E559A">
      <w:pPr>
        <w:pStyle w:val="FootnoteText"/>
        <w:jc w:val="both"/>
        <w:rPr>
          <w:rFonts w:ascii="Arial" w:hAnsi="Arial" w:cs="Arial"/>
          <w:sz w:val="18"/>
          <w:szCs w:val="18"/>
          <w:lang w:val="en-US"/>
        </w:rPr>
      </w:pPr>
      <w:r w:rsidRPr="000E559A">
        <w:rPr>
          <w:rStyle w:val="FootnoteReference"/>
          <w:rFonts w:ascii="Arial" w:hAnsi="Arial" w:cs="Arial"/>
          <w:sz w:val="18"/>
          <w:szCs w:val="18"/>
        </w:rPr>
        <w:footnoteRef/>
      </w:r>
      <w:r w:rsidRPr="000E559A">
        <w:rPr>
          <w:rFonts w:ascii="Arial" w:hAnsi="Arial" w:cs="Arial"/>
          <w:sz w:val="18"/>
          <w:szCs w:val="18"/>
        </w:rPr>
        <w:t xml:space="preserve"> </w:t>
      </w:r>
      <w:r w:rsidRPr="000E559A">
        <w:rPr>
          <w:rFonts w:ascii="Arial" w:hAnsi="Arial" w:cs="Arial"/>
          <w:sz w:val="18"/>
          <w:szCs w:val="18"/>
          <w:lang w:val="en-US"/>
        </w:rPr>
        <w:t xml:space="preserve">The President assented to the Act on 13 December 2015 and it commenced on 1 April 2017. </w:t>
      </w:r>
      <w:r>
        <w:rPr>
          <w:rFonts w:ascii="Arial" w:hAnsi="Arial" w:cs="Arial"/>
          <w:sz w:val="18"/>
          <w:szCs w:val="18"/>
          <w:lang w:val="en-US"/>
        </w:rPr>
        <w:t xml:space="preserve"> Section 3 provides that the body, which was established by the Minister of Public Works and which exists when the Act took effect continues to exist and is a juristic person. </w:t>
      </w:r>
    </w:p>
  </w:footnote>
  <w:footnote w:id="4">
    <w:p w:rsidR="0039295E" w:rsidRPr="000E559A" w:rsidRDefault="0039295E">
      <w:pPr>
        <w:pStyle w:val="FootnoteText"/>
        <w:rPr>
          <w:rFonts w:ascii="Arial" w:hAnsi="Arial" w:cs="Arial"/>
          <w:sz w:val="18"/>
          <w:szCs w:val="18"/>
          <w:lang w:val="en-US"/>
        </w:rPr>
      </w:pPr>
      <w:r w:rsidRPr="000E559A">
        <w:rPr>
          <w:rStyle w:val="FootnoteReference"/>
          <w:rFonts w:ascii="Arial" w:hAnsi="Arial" w:cs="Arial"/>
          <w:sz w:val="18"/>
          <w:szCs w:val="18"/>
        </w:rPr>
        <w:footnoteRef/>
      </w:r>
      <w:r w:rsidRPr="000E559A">
        <w:rPr>
          <w:rFonts w:ascii="Arial" w:hAnsi="Arial" w:cs="Arial"/>
          <w:sz w:val="18"/>
          <w:szCs w:val="18"/>
        </w:rPr>
        <w:t xml:space="preserve"> </w:t>
      </w:r>
      <w:r w:rsidRPr="000E559A">
        <w:rPr>
          <w:rFonts w:ascii="Arial" w:hAnsi="Arial" w:cs="Arial"/>
          <w:sz w:val="18"/>
          <w:szCs w:val="18"/>
          <w:lang w:val="en-US"/>
        </w:rPr>
        <w:t>Its objects ar</w:t>
      </w:r>
      <w:r>
        <w:rPr>
          <w:rFonts w:ascii="Arial" w:hAnsi="Arial" w:cs="Arial"/>
          <w:sz w:val="18"/>
          <w:szCs w:val="18"/>
          <w:lang w:val="en-US"/>
        </w:rPr>
        <w:t>e set out in section 4</w:t>
      </w:r>
      <w:r w:rsidRPr="000E559A">
        <w:rPr>
          <w:rFonts w:ascii="Arial" w:hAnsi="Arial" w:cs="Arial"/>
          <w:sz w:val="18"/>
          <w:szCs w:val="18"/>
          <w:lang w:val="en-US"/>
        </w:rPr>
        <w:t xml:space="preserve"> of the Agrément Act.</w:t>
      </w:r>
    </w:p>
  </w:footnote>
  <w:footnote w:id="5">
    <w:p w:rsidR="0039295E" w:rsidRPr="00611A25" w:rsidRDefault="0039295E" w:rsidP="00397AC3">
      <w:pPr>
        <w:pStyle w:val="FootnoteText"/>
        <w:jc w:val="both"/>
        <w:rPr>
          <w:rFonts w:ascii="Arial" w:hAnsi="Arial" w:cs="Arial"/>
          <w:sz w:val="18"/>
          <w:szCs w:val="18"/>
          <w:lang w:val="en-US"/>
        </w:rPr>
      </w:pPr>
      <w:r w:rsidRPr="00611A25">
        <w:rPr>
          <w:rStyle w:val="FootnoteReference"/>
          <w:rFonts w:ascii="Arial" w:hAnsi="Arial" w:cs="Arial"/>
          <w:sz w:val="18"/>
          <w:szCs w:val="18"/>
        </w:rPr>
        <w:footnoteRef/>
      </w:r>
      <w:r w:rsidRPr="00611A25">
        <w:rPr>
          <w:rFonts w:ascii="Arial" w:hAnsi="Arial" w:cs="Arial"/>
          <w:sz w:val="18"/>
          <w:szCs w:val="18"/>
        </w:rPr>
        <w:t xml:space="preserve"> </w:t>
      </w:r>
      <w:r w:rsidRPr="00611A25">
        <w:rPr>
          <w:rFonts w:ascii="Arial" w:hAnsi="Arial" w:cs="Arial"/>
          <w:sz w:val="18"/>
          <w:szCs w:val="18"/>
          <w:lang w:val="en-US"/>
        </w:rPr>
        <w:t>Tenders No NECT/2021/01001 (Batch One); NECT/2021/01/001 (Batch Two); NECT/2021/01/003 (Batch Three).</w:t>
      </w:r>
    </w:p>
  </w:footnote>
  <w:footnote w:id="6">
    <w:p w:rsidR="0039295E" w:rsidRPr="00611A25" w:rsidRDefault="0039295E" w:rsidP="00397AC3">
      <w:pPr>
        <w:pStyle w:val="FootnoteText"/>
        <w:jc w:val="both"/>
        <w:rPr>
          <w:rFonts w:ascii="Arial" w:hAnsi="Arial" w:cs="Arial"/>
          <w:sz w:val="18"/>
          <w:szCs w:val="18"/>
          <w:lang w:val="en-US"/>
        </w:rPr>
      </w:pPr>
      <w:r w:rsidRPr="00611A25">
        <w:rPr>
          <w:rStyle w:val="FootnoteReference"/>
          <w:rFonts w:ascii="Arial" w:hAnsi="Arial" w:cs="Arial"/>
          <w:sz w:val="18"/>
          <w:szCs w:val="18"/>
        </w:rPr>
        <w:footnoteRef/>
      </w:r>
      <w:r w:rsidRPr="00611A25">
        <w:rPr>
          <w:rFonts w:ascii="Arial" w:hAnsi="Arial" w:cs="Arial"/>
          <w:sz w:val="18"/>
          <w:szCs w:val="18"/>
        </w:rPr>
        <w:t xml:space="preserve"> 25 contractors were appointed for Batch One (from 152 bids); </w:t>
      </w:r>
      <w:r w:rsidRPr="00611A25">
        <w:rPr>
          <w:rFonts w:ascii="Arial" w:hAnsi="Arial" w:cs="Arial"/>
          <w:sz w:val="18"/>
          <w:szCs w:val="18"/>
          <w:lang w:val="en-US"/>
        </w:rPr>
        <w:t>24 contractors were appointed for Batch Two (from 83 bids) and 36 for Batch Three (from 122 bids).</w:t>
      </w:r>
    </w:p>
  </w:footnote>
  <w:footnote w:id="7">
    <w:p w:rsidR="0039295E" w:rsidRPr="00005115" w:rsidRDefault="0039295E" w:rsidP="00005115">
      <w:pPr>
        <w:pStyle w:val="FootnoteText"/>
        <w:jc w:val="both"/>
        <w:rPr>
          <w:rFonts w:ascii="Arial" w:hAnsi="Arial" w:cs="Arial"/>
          <w:sz w:val="18"/>
          <w:szCs w:val="18"/>
          <w:lang w:val="en-US"/>
        </w:rPr>
      </w:pPr>
      <w:r w:rsidRPr="00005115">
        <w:rPr>
          <w:rStyle w:val="FootnoteReference"/>
          <w:rFonts w:ascii="Arial" w:hAnsi="Arial" w:cs="Arial"/>
          <w:sz w:val="18"/>
          <w:szCs w:val="18"/>
        </w:rPr>
        <w:footnoteRef/>
      </w:r>
      <w:r w:rsidRPr="00005115">
        <w:rPr>
          <w:rFonts w:ascii="Arial" w:hAnsi="Arial" w:cs="Arial"/>
          <w:sz w:val="18"/>
          <w:szCs w:val="18"/>
        </w:rPr>
        <w:t xml:space="preserve"> </w:t>
      </w:r>
      <w:r w:rsidRPr="00005115">
        <w:rPr>
          <w:rFonts w:ascii="Arial" w:hAnsi="Arial" w:cs="Arial"/>
          <w:sz w:val="18"/>
          <w:szCs w:val="18"/>
          <w:lang w:val="en-US"/>
        </w:rPr>
        <w:t xml:space="preserve">Regulation 12(2) is titled Sanitation and provides: </w:t>
      </w:r>
    </w:p>
    <w:p w:rsidR="0039295E" w:rsidRPr="00005115" w:rsidRDefault="00022690" w:rsidP="00022690">
      <w:pPr>
        <w:pStyle w:val="FootnoteText"/>
        <w:ind w:left="720" w:hanging="360"/>
        <w:jc w:val="both"/>
        <w:rPr>
          <w:rFonts w:ascii="Arial" w:hAnsi="Arial" w:cs="Arial"/>
          <w:sz w:val="18"/>
          <w:szCs w:val="18"/>
          <w:lang w:val="en-US"/>
        </w:rPr>
      </w:pPr>
      <w:r w:rsidRPr="00005115">
        <w:rPr>
          <w:rFonts w:ascii="Arial" w:hAnsi="Arial" w:cs="Arial"/>
          <w:sz w:val="18"/>
          <w:szCs w:val="18"/>
          <w:lang w:val="en-US"/>
        </w:rPr>
        <w:t>(1)</w:t>
      </w:r>
      <w:r w:rsidRPr="00005115">
        <w:rPr>
          <w:rFonts w:ascii="Arial" w:hAnsi="Arial" w:cs="Arial"/>
          <w:sz w:val="18"/>
          <w:szCs w:val="18"/>
          <w:lang w:val="en-US"/>
        </w:rPr>
        <w:tab/>
      </w:r>
      <w:r w:rsidR="0039295E" w:rsidRPr="00005115">
        <w:rPr>
          <w:rFonts w:ascii="Arial" w:hAnsi="Arial" w:cs="Arial"/>
          <w:sz w:val="18"/>
          <w:szCs w:val="18"/>
          <w:lang w:val="en-US"/>
        </w:rPr>
        <w:t xml:space="preserve">All schools must have a sufficient number of sanitation facilities, as contained in Annexure G, that are easily accessible to all learners and educators, provide privacy and security, promote health and hygiene standards, comply with all relevant laws and are maintained in good working order. </w:t>
      </w:r>
    </w:p>
    <w:p w:rsidR="0039295E" w:rsidRPr="00005115" w:rsidRDefault="00022690" w:rsidP="00022690">
      <w:pPr>
        <w:pStyle w:val="FootnoteText"/>
        <w:ind w:left="720" w:hanging="360"/>
        <w:jc w:val="both"/>
        <w:rPr>
          <w:rFonts w:ascii="Arial" w:hAnsi="Arial" w:cs="Arial"/>
          <w:sz w:val="18"/>
          <w:szCs w:val="18"/>
          <w:lang w:val="en-US"/>
        </w:rPr>
      </w:pPr>
      <w:r w:rsidRPr="00005115">
        <w:rPr>
          <w:rFonts w:ascii="Arial" w:hAnsi="Arial" w:cs="Arial"/>
          <w:sz w:val="18"/>
          <w:szCs w:val="18"/>
          <w:lang w:val="en-US"/>
        </w:rPr>
        <w:t>(2)</w:t>
      </w:r>
      <w:r w:rsidRPr="00005115">
        <w:rPr>
          <w:rFonts w:ascii="Arial" w:hAnsi="Arial" w:cs="Arial"/>
          <w:sz w:val="18"/>
          <w:szCs w:val="18"/>
          <w:lang w:val="en-US"/>
        </w:rPr>
        <w:tab/>
      </w:r>
      <w:r w:rsidR="0039295E" w:rsidRPr="00005115">
        <w:rPr>
          <w:rFonts w:ascii="Arial" w:hAnsi="Arial" w:cs="Arial"/>
          <w:sz w:val="18"/>
          <w:szCs w:val="18"/>
          <w:lang w:val="en-US"/>
        </w:rPr>
        <w:t xml:space="preserve">The choice of an appropriate sanitation technology must be based on an assessment conduct on the most suitable sanitation technology for each particular school. </w:t>
      </w:r>
    </w:p>
    <w:p w:rsidR="0039295E" w:rsidRPr="00005115" w:rsidRDefault="00022690" w:rsidP="00022690">
      <w:pPr>
        <w:pStyle w:val="FootnoteText"/>
        <w:ind w:left="720" w:hanging="360"/>
        <w:jc w:val="both"/>
        <w:rPr>
          <w:rFonts w:ascii="Arial" w:hAnsi="Arial" w:cs="Arial"/>
          <w:sz w:val="18"/>
          <w:szCs w:val="18"/>
          <w:lang w:val="en-US"/>
        </w:rPr>
      </w:pPr>
      <w:r w:rsidRPr="00005115">
        <w:rPr>
          <w:rFonts w:ascii="Arial" w:hAnsi="Arial" w:cs="Arial"/>
          <w:sz w:val="18"/>
          <w:szCs w:val="18"/>
          <w:lang w:val="en-US"/>
        </w:rPr>
        <w:t>(3)</w:t>
      </w:r>
      <w:r w:rsidRPr="00005115">
        <w:rPr>
          <w:rFonts w:ascii="Arial" w:hAnsi="Arial" w:cs="Arial"/>
          <w:sz w:val="18"/>
          <w:szCs w:val="18"/>
          <w:lang w:val="en-US"/>
        </w:rPr>
        <w:tab/>
      </w:r>
      <w:r w:rsidR="0039295E" w:rsidRPr="00005115">
        <w:rPr>
          <w:rFonts w:ascii="Arial" w:hAnsi="Arial" w:cs="Arial"/>
          <w:sz w:val="18"/>
          <w:szCs w:val="18"/>
          <w:lang w:val="en-US"/>
        </w:rPr>
        <w:t>Sanitation facilities could include one or more of the following:</w:t>
      </w:r>
    </w:p>
    <w:p w:rsidR="0039295E" w:rsidRPr="00005115" w:rsidRDefault="00022690" w:rsidP="00022690">
      <w:pPr>
        <w:pStyle w:val="FootnoteText"/>
        <w:ind w:left="1080" w:hanging="360"/>
        <w:jc w:val="both"/>
        <w:rPr>
          <w:rFonts w:ascii="Arial" w:hAnsi="Arial" w:cs="Arial"/>
          <w:sz w:val="18"/>
          <w:szCs w:val="18"/>
          <w:lang w:val="en-US"/>
        </w:rPr>
      </w:pPr>
      <w:r w:rsidRPr="00005115">
        <w:rPr>
          <w:rFonts w:ascii="Arial" w:hAnsi="Arial" w:cs="Arial"/>
          <w:sz w:val="18"/>
          <w:szCs w:val="18"/>
          <w:lang w:val="en-US"/>
        </w:rPr>
        <w:t>(a)</w:t>
      </w:r>
      <w:r w:rsidRPr="00005115">
        <w:rPr>
          <w:rFonts w:ascii="Arial" w:hAnsi="Arial" w:cs="Arial"/>
          <w:sz w:val="18"/>
          <w:szCs w:val="18"/>
          <w:lang w:val="en-US"/>
        </w:rPr>
        <w:tab/>
      </w:r>
      <w:r w:rsidR="0039295E" w:rsidRPr="00005115">
        <w:rPr>
          <w:rFonts w:ascii="Arial" w:hAnsi="Arial" w:cs="Arial"/>
          <w:sz w:val="18"/>
          <w:szCs w:val="18"/>
          <w:lang w:val="en-US"/>
        </w:rPr>
        <w:t>Water borne sanitation;</w:t>
      </w:r>
    </w:p>
    <w:p w:rsidR="0039295E" w:rsidRPr="00005115" w:rsidRDefault="00022690" w:rsidP="00022690">
      <w:pPr>
        <w:pStyle w:val="FootnoteText"/>
        <w:ind w:left="1080" w:hanging="360"/>
        <w:jc w:val="both"/>
        <w:rPr>
          <w:rFonts w:ascii="Arial" w:hAnsi="Arial" w:cs="Arial"/>
          <w:sz w:val="18"/>
          <w:szCs w:val="18"/>
          <w:lang w:val="en-US"/>
        </w:rPr>
      </w:pPr>
      <w:r w:rsidRPr="00005115">
        <w:rPr>
          <w:rFonts w:ascii="Arial" w:hAnsi="Arial" w:cs="Arial"/>
          <w:sz w:val="18"/>
          <w:szCs w:val="18"/>
          <w:lang w:val="en-US"/>
        </w:rPr>
        <w:t>(b)</w:t>
      </w:r>
      <w:r w:rsidRPr="00005115">
        <w:rPr>
          <w:rFonts w:ascii="Arial" w:hAnsi="Arial" w:cs="Arial"/>
          <w:sz w:val="18"/>
          <w:szCs w:val="18"/>
          <w:lang w:val="en-US"/>
        </w:rPr>
        <w:tab/>
      </w:r>
      <w:r w:rsidR="0039295E" w:rsidRPr="00005115">
        <w:rPr>
          <w:rFonts w:ascii="Arial" w:hAnsi="Arial" w:cs="Arial"/>
          <w:sz w:val="18"/>
          <w:szCs w:val="18"/>
          <w:lang w:val="en-US"/>
        </w:rPr>
        <w:t xml:space="preserve">Small bore sewer reticulation; </w:t>
      </w:r>
    </w:p>
    <w:p w:rsidR="0039295E" w:rsidRPr="00005115" w:rsidRDefault="00022690" w:rsidP="00022690">
      <w:pPr>
        <w:pStyle w:val="FootnoteText"/>
        <w:ind w:left="1080" w:hanging="360"/>
        <w:jc w:val="both"/>
        <w:rPr>
          <w:rFonts w:ascii="Arial" w:hAnsi="Arial" w:cs="Arial"/>
          <w:sz w:val="18"/>
          <w:szCs w:val="18"/>
          <w:lang w:val="en-US"/>
        </w:rPr>
      </w:pPr>
      <w:r w:rsidRPr="00005115">
        <w:rPr>
          <w:rFonts w:ascii="Arial" w:hAnsi="Arial" w:cs="Arial"/>
          <w:sz w:val="18"/>
          <w:szCs w:val="18"/>
          <w:lang w:val="en-US"/>
        </w:rPr>
        <w:t>(c)</w:t>
      </w:r>
      <w:r w:rsidRPr="00005115">
        <w:rPr>
          <w:rFonts w:ascii="Arial" w:hAnsi="Arial" w:cs="Arial"/>
          <w:sz w:val="18"/>
          <w:szCs w:val="18"/>
          <w:lang w:val="en-US"/>
        </w:rPr>
        <w:tab/>
      </w:r>
      <w:r w:rsidR="0039295E" w:rsidRPr="00005115">
        <w:rPr>
          <w:rFonts w:ascii="Arial" w:hAnsi="Arial" w:cs="Arial"/>
          <w:sz w:val="18"/>
          <w:szCs w:val="18"/>
          <w:lang w:val="en-US"/>
        </w:rPr>
        <w:t>Septic or conservancy tank systems;</w:t>
      </w:r>
    </w:p>
    <w:p w:rsidR="0039295E" w:rsidRPr="00005115" w:rsidRDefault="00022690" w:rsidP="00022690">
      <w:pPr>
        <w:pStyle w:val="FootnoteText"/>
        <w:ind w:left="1080" w:hanging="360"/>
        <w:jc w:val="both"/>
        <w:rPr>
          <w:rFonts w:ascii="Arial" w:hAnsi="Arial" w:cs="Arial"/>
          <w:sz w:val="18"/>
          <w:szCs w:val="18"/>
          <w:lang w:val="en-US"/>
        </w:rPr>
      </w:pPr>
      <w:r w:rsidRPr="00005115">
        <w:rPr>
          <w:rFonts w:ascii="Arial" w:hAnsi="Arial" w:cs="Arial"/>
          <w:sz w:val="18"/>
          <w:szCs w:val="18"/>
          <w:lang w:val="en-US"/>
        </w:rPr>
        <w:t>(d)</w:t>
      </w:r>
      <w:r w:rsidRPr="00005115">
        <w:rPr>
          <w:rFonts w:ascii="Arial" w:hAnsi="Arial" w:cs="Arial"/>
          <w:sz w:val="18"/>
          <w:szCs w:val="18"/>
          <w:lang w:val="en-US"/>
        </w:rPr>
        <w:tab/>
      </w:r>
      <w:r w:rsidR="0039295E" w:rsidRPr="00005115">
        <w:rPr>
          <w:rFonts w:ascii="Arial" w:hAnsi="Arial" w:cs="Arial"/>
          <w:sz w:val="18"/>
          <w:szCs w:val="18"/>
          <w:lang w:val="en-US"/>
        </w:rPr>
        <w:t>Ventilated improved pit latrines; or</w:t>
      </w:r>
    </w:p>
    <w:p w:rsidR="0039295E" w:rsidRPr="00005115" w:rsidRDefault="00022690" w:rsidP="00022690">
      <w:pPr>
        <w:pStyle w:val="FootnoteText"/>
        <w:ind w:left="1080" w:hanging="360"/>
        <w:jc w:val="both"/>
        <w:rPr>
          <w:rFonts w:ascii="Arial" w:hAnsi="Arial" w:cs="Arial"/>
          <w:sz w:val="18"/>
          <w:szCs w:val="18"/>
          <w:lang w:val="en-US"/>
        </w:rPr>
      </w:pPr>
      <w:r w:rsidRPr="00005115">
        <w:rPr>
          <w:rFonts w:ascii="Arial" w:hAnsi="Arial" w:cs="Arial"/>
          <w:sz w:val="18"/>
          <w:szCs w:val="18"/>
          <w:lang w:val="en-US"/>
        </w:rPr>
        <w:t>(e)</w:t>
      </w:r>
      <w:r w:rsidRPr="00005115">
        <w:rPr>
          <w:rFonts w:ascii="Arial" w:hAnsi="Arial" w:cs="Arial"/>
          <w:sz w:val="18"/>
          <w:szCs w:val="18"/>
          <w:lang w:val="en-US"/>
        </w:rPr>
        <w:tab/>
      </w:r>
      <w:r w:rsidR="0039295E" w:rsidRPr="00005115">
        <w:rPr>
          <w:rFonts w:ascii="Arial" w:hAnsi="Arial" w:cs="Arial"/>
          <w:sz w:val="18"/>
          <w:szCs w:val="18"/>
          <w:lang w:val="en-US"/>
        </w:rPr>
        <w:t xml:space="preserve">Composting toilets. </w:t>
      </w:r>
    </w:p>
    <w:p w:rsidR="0039295E" w:rsidRDefault="00022690" w:rsidP="00022690">
      <w:pPr>
        <w:pStyle w:val="FootnoteText"/>
        <w:ind w:left="720" w:hanging="360"/>
        <w:jc w:val="both"/>
        <w:rPr>
          <w:rFonts w:ascii="Arial" w:hAnsi="Arial" w:cs="Arial"/>
          <w:sz w:val="18"/>
          <w:szCs w:val="18"/>
          <w:lang w:val="en-US"/>
        </w:rPr>
      </w:pPr>
      <w:r>
        <w:rPr>
          <w:rFonts w:ascii="Arial" w:hAnsi="Arial" w:cs="Arial"/>
          <w:sz w:val="18"/>
          <w:szCs w:val="18"/>
          <w:lang w:val="en-US"/>
        </w:rPr>
        <w:t>(4)</w:t>
      </w:r>
      <w:r>
        <w:rPr>
          <w:rFonts w:ascii="Arial" w:hAnsi="Arial" w:cs="Arial"/>
          <w:sz w:val="18"/>
          <w:szCs w:val="18"/>
          <w:lang w:val="en-US"/>
        </w:rPr>
        <w:tab/>
      </w:r>
      <w:r w:rsidR="0039295E" w:rsidRPr="00005115">
        <w:rPr>
          <w:rFonts w:ascii="Arial" w:hAnsi="Arial" w:cs="Arial"/>
          <w:sz w:val="18"/>
          <w:szCs w:val="18"/>
          <w:lang w:val="en-US"/>
        </w:rPr>
        <w:t xml:space="preserve">Plain pit and bucket latrines are not allowed at schools. </w:t>
      </w:r>
    </w:p>
    <w:p w:rsidR="0039295E" w:rsidRPr="00005115" w:rsidRDefault="0039295E" w:rsidP="00FC4F04">
      <w:pPr>
        <w:pStyle w:val="FootnoteText"/>
        <w:jc w:val="both"/>
        <w:rPr>
          <w:rFonts w:ascii="Arial" w:hAnsi="Arial" w:cs="Arial"/>
          <w:sz w:val="18"/>
          <w:szCs w:val="18"/>
          <w:lang w:val="en-US"/>
        </w:rPr>
      </w:pPr>
      <w:r>
        <w:rPr>
          <w:rFonts w:ascii="Arial" w:hAnsi="Arial" w:cs="Arial"/>
          <w:sz w:val="18"/>
          <w:szCs w:val="18"/>
          <w:lang w:val="en-US"/>
        </w:rPr>
        <w:t xml:space="preserve">Annexure G sets out the number of toilets, basins and urinals required in primary and secondary schools based on enrolment ranges and gender. </w:t>
      </w:r>
    </w:p>
  </w:footnote>
  <w:footnote w:id="8">
    <w:p w:rsidR="0039295E" w:rsidRPr="0057572B" w:rsidRDefault="0039295E">
      <w:pPr>
        <w:pStyle w:val="FootnoteText"/>
        <w:rPr>
          <w:rFonts w:ascii="Arial" w:hAnsi="Arial" w:cs="Arial"/>
          <w:sz w:val="18"/>
          <w:szCs w:val="18"/>
          <w:lang w:val="en-US"/>
        </w:rPr>
      </w:pPr>
      <w:r w:rsidRPr="0057572B">
        <w:rPr>
          <w:rStyle w:val="FootnoteReference"/>
          <w:rFonts w:ascii="Arial" w:hAnsi="Arial" w:cs="Arial"/>
          <w:sz w:val="18"/>
          <w:szCs w:val="18"/>
        </w:rPr>
        <w:footnoteRef/>
      </w:r>
      <w:r w:rsidRPr="0057572B">
        <w:rPr>
          <w:rFonts w:ascii="Arial" w:hAnsi="Arial" w:cs="Arial"/>
          <w:sz w:val="18"/>
          <w:szCs w:val="18"/>
        </w:rPr>
        <w:t xml:space="preserve"> </w:t>
      </w:r>
      <w:r w:rsidRPr="0057572B">
        <w:rPr>
          <w:rFonts w:ascii="Arial" w:hAnsi="Arial" w:cs="Arial"/>
          <w:sz w:val="18"/>
          <w:szCs w:val="18"/>
          <w:lang w:val="en-US"/>
        </w:rPr>
        <w:t xml:space="preserve">In the founding affidavit it is incorrectly alleged </w:t>
      </w:r>
      <w:r>
        <w:rPr>
          <w:rFonts w:ascii="Arial" w:hAnsi="Arial" w:cs="Arial"/>
          <w:sz w:val="18"/>
          <w:szCs w:val="18"/>
          <w:lang w:val="en-US"/>
        </w:rPr>
        <w:t xml:space="preserve">at a point </w:t>
      </w:r>
      <w:r w:rsidRPr="0057572B">
        <w:rPr>
          <w:rFonts w:ascii="Arial" w:hAnsi="Arial" w:cs="Arial"/>
          <w:sz w:val="18"/>
          <w:szCs w:val="18"/>
          <w:lang w:val="en-US"/>
        </w:rPr>
        <w:t xml:space="preserve">that the tender process required neither SANS certification nor Agrément certification. </w:t>
      </w:r>
    </w:p>
  </w:footnote>
  <w:footnote w:id="9">
    <w:p w:rsidR="0039295E" w:rsidRPr="00BE6740" w:rsidRDefault="0039295E" w:rsidP="0067740B">
      <w:pPr>
        <w:pStyle w:val="FootnoteText"/>
        <w:jc w:val="both"/>
        <w:rPr>
          <w:rFonts w:ascii="Arial" w:hAnsi="Arial" w:cs="Arial"/>
          <w:sz w:val="18"/>
          <w:szCs w:val="18"/>
          <w:lang w:val="en-US"/>
        </w:rPr>
      </w:pPr>
      <w:r w:rsidRPr="00BE6740">
        <w:rPr>
          <w:rStyle w:val="FootnoteReference"/>
          <w:rFonts w:ascii="Arial" w:hAnsi="Arial" w:cs="Arial"/>
          <w:sz w:val="18"/>
          <w:szCs w:val="18"/>
        </w:rPr>
        <w:footnoteRef/>
      </w:r>
      <w:r w:rsidRPr="00BE6740">
        <w:rPr>
          <w:rFonts w:ascii="Arial" w:hAnsi="Arial" w:cs="Arial"/>
          <w:sz w:val="18"/>
          <w:szCs w:val="18"/>
        </w:rPr>
        <w:t xml:space="preserve"> </w:t>
      </w:r>
      <w:r w:rsidRPr="00BE6740">
        <w:rPr>
          <w:rFonts w:ascii="Arial" w:hAnsi="Arial" w:cs="Arial"/>
          <w:i/>
          <w:sz w:val="18"/>
          <w:szCs w:val="18"/>
          <w:lang w:val="en-US"/>
        </w:rPr>
        <w:t>Giant Concerts CC v Rinaldo In</w:t>
      </w:r>
      <w:r w:rsidRPr="0067740B">
        <w:rPr>
          <w:rFonts w:ascii="Arial" w:hAnsi="Arial" w:cs="Arial"/>
          <w:i/>
          <w:sz w:val="18"/>
          <w:szCs w:val="18"/>
          <w:lang w:val="en-US"/>
        </w:rPr>
        <w:t>vestments (Pty) Ltd and others</w:t>
      </w:r>
      <w:r w:rsidRPr="0067740B">
        <w:rPr>
          <w:rFonts w:ascii="Arial" w:hAnsi="Arial" w:cs="Arial"/>
          <w:sz w:val="18"/>
          <w:szCs w:val="18"/>
          <w:lang w:val="en-US"/>
        </w:rPr>
        <w:t xml:space="preserve"> 2013(3) BCLR 251 (CC) (</w:t>
      </w:r>
      <w:r w:rsidRPr="0067740B">
        <w:rPr>
          <w:rFonts w:ascii="Arial" w:hAnsi="Arial" w:cs="Arial"/>
          <w:i/>
          <w:sz w:val="18"/>
          <w:szCs w:val="18"/>
          <w:lang w:val="en-US"/>
        </w:rPr>
        <w:t>Giant Concerts</w:t>
      </w:r>
      <w:r>
        <w:rPr>
          <w:rFonts w:ascii="Arial" w:hAnsi="Arial" w:cs="Arial"/>
          <w:sz w:val="18"/>
          <w:szCs w:val="18"/>
          <w:lang w:val="en-US"/>
        </w:rPr>
        <w:t xml:space="preserve">) para 41a. Compare: </w:t>
      </w:r>
      <w:r w:rsidRPr="0067740B">
        <w:rPr>
          <w:rFonts w:ascii="Arial" w:hAnsi="Arial" w:cs="Arial"/>
          <w:i/>
          <w:sz w:val="18"/>
          <w:szCs w:val="18"/>
          <w:lang w:val="en-US"/>
        </w:rPr>
        <w:t>Areva NP Incorporated in France v Eskom Holdings Soc Limited and others</w:t>
      </w:r>
      <w:r w:rsidRPr="0067740B">
        <w:rPr>
          <w:rFonts w:ascii="Arial" w:hAnsi="Arial" w:cs="Arial"/>
          <w:sz w:val="18"/>
          <w:szCs w:val="18"/>
          <w:lang w:val="en-US"/>
        </w:rPr>
        <w:t xml:space="preserve"> [2016] ZACC 51; 2017(6) BCLR 675 (CC)’ 2017(6) SA 621 (CC) in which the Constitutional Court held that a party who did not submit a bid in its own right did not have standing to institute a review.  </w:t>
      </w:r>
      <w:r>
        <w:rPr>
          <w:rFonts w:ascii="Arial" w:hAnsi="Arial" w:cs="Arial"/>
          <w:sz w:val="18"/>
          <w:szCs w:val="18"/>
          <w:lang w:val="en-US"/>
        </w:rPr>
        <w:t>In that case, t</w:t>
      </w:r>
      <w:r w:rsidRPr="0067740B">
        <w:rPr>
          <w:rFonts w:ascii="Arial" w:hAnsi="Arial" w:cs="Arial"/>
          <w:sz w:val="18"/>
          <w:szCs w:val="18"/>
          <w:lang w:val="en-US"/>
        </w:rPr>
        <w:t>he applicant was part of the same group of companies of the company that submitted the bid.</w:t>
      </w:r>
      <w:r>
        <w:rPr>
          <w:rFonts w:ascii="Arial" w:hAnsi="Arial" w:cs="Arial"/>
          <w:color w:val="FF0000"/>
          <w:sz w:val="18"/>
          <w:szCs w:val="18"/>
          <w:lang w:val="en-US"/>
        </w:rPr>
        <w:t xml:space="preserve"> </w:t>
      </w:r>
    </w:p>
  </w:footnote>
  <w:footnote w:id="10">
    <w:p w:rsidR="0039295E" w:rsidRPr="008954D7" w:rsidRDefault="0039295E">
      <w:pPr>
        <w:pStyle w:val="FootnoteText"/>
        <w:rPr>
          <w:rFonts w:ascii="Arial" w:hAnsi="Arial" w:cs="Arial"/>
          <w:sz w:val="18"/>
          <w:szCs w:val="18"/>
          <w:lang w:val="en-US"/>
        </w:rPr>
      </w:pPr>
      <w:r w:rsidRPr="008954D7">
        <w:rPr>
          <w:rStyle w:val="FootnoteReference"/>
          <w:rFonts w:ascii="Arial" w:hAnsi="Arial" w:cs="Arial"/>
          <w:sz w:val="18"/>
          <w:szCs w:val="18"/>
        </w:rPr>
        <w:footnoteRef/>
      </w:r>
      <w:r w:rsidRPr="008954D7">
        <w:rPr>
          <w:rFonts w:ascii="Arial" w:hAnsi="Arial" w:cs="Arial"/>
          <w:sz w:val="18"/>
          <w:szCs w:val="18"/>
        </w:rPr>
        <w:t xml:space="preserve"> </w:t>
      </w:r>
      <w:r>
        <w:rPr>
          <w:rFonts w:ascii="Arial" w:hAnsi="Arial" w:cs="Arial"/>
          <w:sz w:val="18"/>
          <w:szCs w:val="18"/>
          <w:lang w:val="en-US"/>
        </w:rPr>
        <w:t>See para</w:t>
      </w:r>
      <w:r w:rsidRPr="008954D7">
        <w:rPr>
          <w:rFonts w:ascii="Arial" w:hAnsi="Arial" w:cs="Arial"/>
          <w:sz w:val="18"/>
          <w:szCs w:val="18"/>
          <w:lang w:val="en-US"/>
        </w:rPr>
        <w:t xml:space="preserve"> 8 above. </w:t>
      </w:r>
    </w:p>
  </w:footnote>
  <w:footnote w:id="11">
    <w:p w:rsidR="0039295E" w:rsidRPr="00E14E3F" w:rsidRDefault="0039295E" w:rsidP="00E14E3F">
      <w:pPr>
        <w:pStyle w:val="FootnoteText"/>
        <w:jc w:val="both"/>
        <w:rPr>
          <w:rFonts w:ascii="Arial" w:hAnsi="Arial" w:cs="Arial"/>
          <w:sz w:val="18"/>
          <w:szCs w:val="18"/>
          <w:lang w:val="en-US"/>
        </w:rPr>
      </w:pPr>
      <w:r w:rsidRPr="00E14E3F">
        <w:rPr>
          <w:rStyle w:val="FootnoteReference"/>
          <w:rFonts w:ascii="Arial" w:hAnsi="Arial" w:cs="Arial"/>
          <w:sz w:val="18"/>
          <w:szCs w:val="18"/>
        </w:rPr>
        <w:footnoteRef/>
      </w:r>
      <w:r w:rsidRPr="00E14E3F">
        <w:rPr>
          <w:rFonts w:ascii="Arial" w:hAnsi="Arial" w:cs="Arial"/>
          <w:sz w:val="18"/>
          <w:szCs w:val="18"/>
        </w:rPr>
        <w:t xml:space="preserve"> </w:t>
      </w:r>
      <w:r w:rsidRPr="00E14E3F">
        <w:rPr>
          <w:rFonts w:ascii="Arial" w:hAnsi="Arial" w:cs="Arial"/>
          <w:sz w:val="18"/>
          <w:szCs w:val="18"/>
          <w:lang w:val="en-US"/>
        </w:rPr>
        <w:t xml:space="preserve">See </w:t>
      </w:r>
      <w:r w:rsidRPr="00E14E3F">
        <w:rPr>
          <w:rFonts w:ascii="Arial" w:hAnsi="Arial" w:cs="Arial"/>
          <w:i/>
          <w:sz w:val="18"/>
          <w:szCs w:val="18"/>
          <w:lang w:val="en-US"/>
        </w:rPr>
        <w:t>Bowring NO v Vrededorp Properties CC</w:t>
      </w:r>
      <w:r w:rsidRPr="00E14E3F">
        <w:rPr>
          <w:rFonts w:ascii="Arial" w:hAnsi="Arial" w:cs="Arial"/>
          <w:sz w:val="18"/>
          <w:szCs w:val="18"/>
          <w:lang w:val="en-US"/>
        </w:rPr>
        <w:t xml:space="preserve"> [2007] ZASCA 80; 2007(5) SA 391 (SCA) at para 21 and </w:t>
      </w:r>
      <w:r w:rsidRPr="00E14E3F">
        <w:rPr>
          <w:rFonts w:ascii="Arial" w:hAnsi="Arial" w:cs="Arial"/>
          <w:i/>
          <w:sz w:val="18"/>
          <w:szCs w:val="18"/>
          <w:lang w:val="en-US"/>
        </w:rPr>
        <w:t>South African History Archive Trust v South African Reserve Bank</w:t>
      </w:r>
      <w:r w:rsidRPr="00E14E3F">
        <w:rPr>
          <w:rFonts w:ascii="Arial" w:hAnsi="Arial" w:cs="Arial"/>
          <w:sz w:val="18"/>
          <w:szCs w:val="18"/>
          <w:lang w:val="en-US"/>
        </w:rPr>
        <w:t xml:space="preserve"> 2020(6) SA 127 (SCA) at para 30. </w:t>
      </w:r>
    </w:p>
  </w:footnote>
  <w:footnote w:id="12">
    <w:p w:rsidR="0039295E" w:rsidRPr="002C7ED5" w:rsidRDefault="0039295E">
      <w:pPr>
        <w:pStyle w:val="FootnoteText"/>
        <w:rPr>
          <w:rFonts w:ascii="Arial" w:hAnsi="Arial" w:cs="Arial"/>
          <w:sz w:val="18"/>
          <w:szCs w:val="18"/>
          <w:lang w:val="en-US"/>
        </w:rPr>
      </w:pPr>
      <w:r w:rsidRPr="002C7ED5">
        <w:rPr>
          <w:rStyle w:val="FootnoteReference"/>
          <w:rFonts w:ascii="Arial" w:hAnsi="Arial" w:cs="Arial"/>
          <w:sz w:val="18"/>
          <w:szCs w:val="18"/>
        </w:rPr>
        <w:footnoteRef/>
      </w:r>
      <w:r w:rsidRPr="002C7ED5">
        <w:rPr>
          <w:rFonts w:ascii="Arial" w:hAnsi="Arial" w:cs="Arial"/>
          <w:sz w:val="18"/>
          <w:szCs w:val="18"/>
        </w:rPr>
        <w:t xml:space="preserve"> </w:t>
      </w:r>
      <w:r w:rsidRPr="002C7ED5">
        <w:rPr>
          <w:rFonts w:ascii="Arial" w:hAnsi="Arial" w:cs="Arial"/>
          <w:bCs/>
          <w:i/>
          <w:color w:val="000000"/>
          <w:sz w:val="18"/>
          <w:szCs w:val="18"/>
        </w:rPr>
        <w:t>Bato Star Fishing (Pty) Ltd v Minister of Environmental Affairs and Tourism and others</w:t>
      </w:r>
      <w:r w:rsidRPr="002C7ED5">
        <w:rPr>
          <w:rFonts w:ascii="Arial" w:hAnsi="Arial" w:cs="Arial"/>
          <w:bCs/>
          <w:color w:val="000000"/>
          <w:sz w:val="18"/>
          <w:szCs w:val="18"/>
        </w:rPr>
        <w:t xml:space="preserve"> 2004 (4) SA 490 (CC) at para 27.</w:t>
      </w:r>
    </w:p>
  </w:footnote>
  <w:footnote w:id="13">
    <w:p w:rsidR="0039295E" w:rsidRDefault="0039295E" w:rsidP="00045CBE">
      <w:pPr>
        <w:spacing w:after="0" w:line="240" w:lineRule="auto"/>
        <w:rPr>
          <w:rFonts w:ascii="Arial" w:hAnsi="Arial" w:cs="Arial"/>
          <w:sz w:val="18"/>
          <w:szCs w:val="18"/>
        </w:rPr>
      </w:pPr>
      <w:r w:rsidRPr="00B03952">
        <w:rPr>
          <w:rStyle w:val="FootnoteReference"/>
          <w:rFonts w:ascii="Arial" w:hAnsi="Arial" w:cs="Arial"/>
          <w:sz w:val="18"/>
          <w:szCs w:val="18"/>
        </w:rPr>
        <w:footnoteRef/>
      </w:r>
      <w:r w:rsidRPr="00B03952">
        <w:rPr>
          <w:rFonts w:ascii="Arial" w:hAnsi="Arial" w:cs="Arial"/>
          <w:sz w:val="18"/>
          <w:szCs w:val="18"/>
        </w:rPr>
        <w:t xml:space="preserve"> </w:t>
      </w:r>
      <w:r>
        <w:rPr>
          <w:rFonts w:ascii="Arial" w:hAnsi="Arial" w:cs="Arial"/>
          <w:sz w:val="18"/>
          <w:szCs w:val="18"/>
        </w:rPr>
        <w:t xml:space="preserve">Section 6(2) provides: </w:t>
      </w:r>
    </w:p>
    <w:p w:rsidR="0039295E" w:rsidRPr="00045CBE" w:rsidRDefault="0039295E" w:rsidP="00045CBE">
      <w:pPr>
        <w:spacing w:after="0" w:line="240" w:lineRule="auto"/>
        <w:rPr>
          <w:rFonts w:ascii="Arial" w:hAnsi="Arial" w:cs="Arial"/>
          <w:sz w:val="18"/>
          <w:szCs w:val="18"/>
        </w:rPr>
      </w:pPr>
      <w:r w:rsidRPr="00045CBE">
        <w:rPr>
          <w:rFonts w:ascii="Arial" w:hAnsi="Arial" w:cs="Arial"/>
          <w:sz w:val="18"/>
          <w:szCs w:val="18"/>
        </w:rPr>
        <w:t>‘</w:t>
      </w:r>
      <w:r w:rsidRPr="00045CBE">
        <w:rPr>
          <w:rFonts w:ascii="Arial" w:hAnsi="Arial" w:cs="Arial"/>
          <w:color w:val="000000"/>
          <w:sz w:val="18"/>
          <w:szCs w:val="18"/>
        </w:rPr>
        <w:t>A court or tribunal has the power to judicially review an administrative action if-</w:t>
      </w:r>
    </w:p>
    <w:p w:rsidR="0039295E" w:rsidRPr="00045CBE" w:rsidRDefault="0039295E" w:rsidP="00045CBE">
      <w:pPr>
        <w:spacing w:after="0" w:line="240" w:lineRule="auto"/>
        <w:ind w:hanging="737"/>
        <w:rPr>
          <w:rFonts w:ascii="Arial" w:hAnsi="Arial" w:cs="Arial"/>
          <w:sz w:val="18"/>
          <w:szCs w:val="18"/>
        </w:rPr>
      </w:pPr>
      <w:r w:rsidRPr="00045CBE">
        <w:rPr>
          <w:rFonts w:ascii="Arial" w:hAnsi="Arial" w:cs="Arial"/>
          <w:color w:val="000000"/>
          <w:sz w:val="18"/>
          <w:szCs w:val="18"/>
        </w:rPr>
        <w:t>   </w:t>
      </w:r>
      <w:bookmarkStart w:id="1" w:name="0-0-0-132477"/>
      <w:bookmarkEnd w:id="1"/>
      <w:r w:rsidRPr="00045CBE">
        <w:rPr>
          <w:rFonts w:ascii="Arial" w:hAnsi="Arial" w:cs="Arial"/>
          <w:color w:val="000000"/>
          <w:sz w:val="18"/>
          <w:szCs w:val="18"/>
        </w:rPr>
        <w:tab/>
      </w:r>
      <w:r>
        <w:rPr>
          <w:rFonts w:ascii="Arial" w:hAnsi="Arial" w:cs="Arial"/>
          <w:color w:val="000000"/>
          <w:sz w:val="18"/>
          <w:szCs w:val="18"/>
        </w:rPr>
        <w:tab/>
      </w:r>
      <w:r w:rsidRPr="00045CBE">
        <w:rPr>
          <w:rFonts w:ascii="Arial" w:hAnsi="Arial" w:cs="Arial"/>
          <w:i/>
          <w:iCs/>
          <w:color w:val="000000"/>
          <w:sz w:val="18"/>
          <w:szCs w:val="18"/>
        </w:rPr>
        <w:t>(a)</w:t>
      </w:r>
      <w:r w:rsidRPr="00045CBE">
        <w:rPr>
          <w:rFonts w:ascii="Arial" w:hAnsi="Arial" w:cs="Arial"/>
          <w:color w:val="000000"/>
          <w:sz w:val="18"/>
          <w:szCs w:val="18"/>
        </w:rPr>
        <w:t>   the administrator wh</w:t>
      </w:r>
      <w:r w:rsidRPr="00045CBE">
        <w:rPr>
          <w:rFonts w:ascii="Arial" w:hAnsi="Arial" w:cs="Arial"/>
          <w:sz w:val="18"/>
          <w:szCs w:val="18"/>
        </w:rPr>
        <w:t>o took it-</w:t>
      </w:r>
    </w:p>
    <w:p w:rsidR="0039295E" w:rsidRPr="00045CBE" w:rsidRDefault="0039295E" w:rsidP="00045CBE">
      <w:pPr>
        <w:spacing w:after="0" w:line="240" w:lineRule="auto"/>
        <w:ind w:hanging="794"/>
        <w:rPr>
          <w:rFonts w:ascii="Arial" w:hAnsi="Arial" w:cs="Arial"/>
          <w:sz w:val="18"/>
          <w:szCs w:val="18"/>
        </w:rPr>
      </w:pPr>
      <w:r w:rsidRPr="00045CBE">
        <w:rPr>
          <w:rFonts w:ascii="Arial" w:hAnsi="Arial" w:cs="Arial"/>
          <w:sz w:val="18"/>
          <w:szCs w:val="18"/>
        </w:rPr>
        <w:t>     </w:t>
      </w:r>
      <w:bookmarkStart w:id="2" w:name="0-0-0-132479"/>
      <w:bookmarkEnd w:id="2"/>
      <w:r w:rsidRPr="00045CBE">
        <w:rPr>
          <w:rFonts w:ascii="Arial" w:hAnsi="Arial" w:cs="Arial"/>
          <w:sz w:val="18"/>
          <w:szCs w:val="18"/>
        </w:rPr>
        <w:tab/>
      </w:r>
      <w:r w:rsidRPr="00045CBE">
        <w:rPr>
          <w:rFonts w:ascii="Arial" w:hAnsi="Arial" w:cs="Arial"/>
          <w:sz w:val="18"/>
          <w:szCs w:val="18"/>
        </w:rPr>
        <w:tab/>
      </w:r>
      <w:r>
        <w:rPr>
          <w:rFonts w:ascii="Arial" w:hAnsi="Arial" w:cs="Arial"/>
          <w:sz w:val="18"/>
          <w:szCs w:val="18"/>
        </w:rPr>
        <w:tab/>
      </w:r>
      <w:hyperlink r:id="rId1" w:tgtFrame="main" w:history="1">
        <w:r w:rsidRPr="00045CBE">
          <w:rPr>
            <w:rStyle w:val="Hyperlink"/>
            <w:rFonts w:ascii="Arial" w:hAnsi="Arial" w:cs="Arial"/>
            <w:color w:val="auto"/>
            <w:sz w:val="18"/>
            <w:szCs w:val="18"/>
            <w:u w:val="none"/>
          </w:rPr>
          <w:t>(i)</w:t>
        </w:r>
      </w:hyperlink>
      <w:r w:rsidRPr="00045CBE">
        <w:rPr>
          <w:rFonts w:ascii="Arial" w:hAnsi="Arial" w:cs="Arial"/>
          <w:sz w:val="18"/>
          <w:szCs w:val="18"/>
        </w:rPr>
        <w:t>   was not authorised to do so by the empowering provision;</w:t>
      </w:r>
    </w:p>
    <w:p w:rsidR="0039295E" w:rsidRPr="00045CBE" w:rsidRDefault="0039295E" w:rsidP="00045CBE">
      <w:pPr>
        <w:spacing w:after="0" w:line="240" w:lineRule="auto"/>
        <w:ind w:left="1440" w:hanging="794"/>
        <w:rPr>
          <w:rFonts w:ascii="Arial" w:hAnsi="Arial" w:cs="Arial"/>
          <w:sz w:val="18"/>
          <w:szCs w:val="18"/>
        </w:rPr>
      </w:pPr>
      <w:r w:rsidRPr="00045CBE">
        <w:rPr>
          <w:rFonts w:ascii="Arial" w:hAnsi="Arial" w:cs="Arial"/>
          <w:sz w:val="18"/>
          <w:szCs w:val="18"/>
        </w:rPr>
        <w:t>    </w:t>
      </w:r>
      <w:bookmarkStart w:id="3" w:name="0-0-0-132483"/>
      <w:bookmarkEnd w:id="3"/>
      <w:r w:rsidRPr="00045CBE">
        <w:rPr>
          <w:rFonts w:ascii="Arial" w:hAnsi="Arial" w:cs="Arial"/>
          <w:sz w:val="18"/>
          <w:szCs w:val="18"/>
        </w:rPr>
        <w:tab/>
      </w:r>
      <w:hyperlink r:id="rId2" w:tgtFrame="main" w:history="1">
        <w:r w:rsidRPr="00045CBE">
          <w:rPr>
            <w:rStyle w:val="Hyperlink"/>
            <w:rFonts w:ascii="Arial" w:hAnsi="Arial" w:cs="Arial"/>
            <w:color w:val="auto"/>
            <w:sz w:val="18"/>
            <w:szCs w:val="18"/>
            <w:u w:val="none"/>
          </w:rPr>
          <w:t>(ii)</w:t>
        </w:r>
      </w:hyperlink>
      <w:r w:rsidRPr="00045CBE">
        <w:rPr>
          <w:rFonts w:ascii="Arial" w:hAnsi="Arial" w:cs="Arial"/>
          <w:sz w:val="18"/>
          <w:szCs w:val="18"/>
        </w:rPr>
        <w:t>   acted under a delegation of power which was not authorised by the empowering provision; or</w:t>
      </w:r>
    </w:p>
    <w:p w:rsidR="0039295E" w:rsidRPr="00045CBE" w:rsidRDefault="0039295E" w:rsidP="00045CBE">
      <w:pPr>
        <w:spacing w:after="0" w:line="240" w:lineRule="auto"/>
        <w:ind w:hanging="794"/>
        <w:rPr>
          <w:rFonts w:ascii="Arial" w:hAnsi="Arial" w:cs="Arial"/>
          <w:sz w:val="18"/>
          <w:szCs w:val="18"/>
        </w:rPr>
      </w:pPr>
      <w:r w:rsidRPr="00045CBE">
        <w:rPr>
          <w:rFonts w:ascii="Arial" w:hAnsi="Arial" w:cs="Arial"/>
          <w:sz w:val="18"/>
          <w:szCs w:val="18"/>
        </w:rPr>
        <w:t>   </w:t>
      </w:r>
      <w:bookmarkStart w:id="4" w:name="0-0-0-132487"/>
      <w:bookmarkEnd w:id="4"/>
      <w:r w:rsidRPr="00045CBE">
        <w:rPr>
          <w:rFonts w:ascii="Arial" w:hAnsi="Arial" w:cs="Arial"/>
          <w:sz w:val="18"/>
          <w:szCs w:val="18"/>
        </w:rPr>
        <w:tab/>
      </w:r>
      <w:r>
        <w:rPr>
          <w:rFonts w:ascii="Arial" w:hAnsi="Arial" w:cs="Arial"/>
          <w:sz w:val="18"/>
          <w:szCs w:val="18"/>
        </w:rPr>
        <w:tab/>
      </w:r>
      <w:r w:rsidRPr="00045CBE">
        <w:rPr>
          <w:rFonts w:ascii="Arial" w:hAnsi="Arial" w:cs="Arial"/>
          <w:sz w:val="18"/>
          <w:szCs w:val="18"/>
        </w:rPr>
        <w:tab/>
      </w:r>
      <w:hyperlink r:id="rId3" w:tgtFrame="main" w:history="1">
        <w:r w:rsidRPr="00045CBE">
          <w:rPr>
            <w:rStyle w:val="Hyperlink"/>
            <w:rFonts w:ascii="Arial" w:hAnsi="Arial" w:cs="Arial"/>
            <w:color w:val="auto"/>
            <w:sz w:val="18"/>
            <w:szCs w:val="18"/>
            <w:u w:val="none"/>
          </w:rPr>
          <w:t>(iii)</w:t>
        </w:r>
      </w:hyperlink>
      <w:r w:rsidRPr="00045CBE">
        <w:rPr>
          <w:rFonts w:ascii="Arial" w:hAnsi="Arial" w:cs="Arial"/>
          <w:sz w:val="18"/>
          <w:szCs w:val="18"/>
        </w:rPr>
        <w:t>   was biased or reasonably suspected of bias;</w:t>
      </w:r>
    </w:p>
    <w:p w:rsidR="0039295E" w:rsidRPr="00045CBE" w:rsidRDefault="00476EA7" w:rsidP="00045CBE">
      <w:pPr>
        <w:spacing w:after="0" w:line="240" w:lineRule="auto"/>
        <w:ind w:left="720"/>
        <w:rPr>
          <w:rFonts w:ascii="Arial" w:hAnsi="Arial" w:cs="Arial"/>
          <w:sz w:val="18"/>
          <w:szCs w:val="18"/>
        </w:rPr>
      </w:pPr>
      <w:hyperlink r:id="rId4" w:tgtFrame="main" w:history="1">
        <w:r w:rsidR="0039295E" w:rsidRPr="00045CBE">
          <w:rPr>
            <w:rStyle w:val="Hyperlink"/>
            <w:rFonts w:ascii="Arial" w:hAnsi="Arial" w:cs="Arial"/>
            <w:i/>
            <w:iCs/>
            <w:color w:val="auto"/>
            <w:sz w:val="18"/>
            <w:szCs w:val="18"/>
            <w:u w:val="none"/>
          </w:rPr>
          <w:t>(b)</w:t>
        </w:r>
      </w:hyperlink>
      <w:r w:rsidR="0039295E" w:rsidRPr="00045CBE">
        <w:rPr>
          <w:rFonts w:ascii="Arial" w:hAnsi="Arial" w:cs="Arial"/>
          <w:sz w:val="18"/>
          <w:szCs w:val="18"/>
        </w:rPr>
        <w:t>   a mandatory and material procedure or condition prescribed by an empowering provision was not complied with;</w:t>
      </w:r>
    </w:p>
    <w:p w:rsidR="0039295E" w:rsidRPr="00045CBE" w:rsidRDefault="0039295E" w:rsidP="00045CBE">
      <w:pPr>
        <w:spacing w:after="0" w:line="240" w:lineRule="auto"/>
        <w:ind w:hanging="737"/>
        <w:rPr>
          <w:rFonts w:ascii="Arial" w:hAnsi="Arial" w:cs="Arial"/>
          <w:sz w:val="18"/>
          <w:szCs w:val="18"/>
        </w:rPr>
      </w:pPr>
      <w:r w:rsidRPr="00045CBE">
        <w:rPr>
          <w:rFonts w:ascii="Arial" w:hAnsi="Arial" w:cs="Arial"/>
          <w:sz w:val="18"/>
          <w:szCs w:val="18"/>
        </w:rPr>
        <w:t>   </w:t>
      </w:r>
      <w:bookmarkStart w:id="5" w:name="0-0-0-132495"/>
      <w:bookmarkEnd w:id="5"/>
      <w:r w:rsidRPr="00045CBE">
        <w:rPr>
          <w:rFonts w:ascii="Arial" w:hAnsi="Arial" w:cs="Arial"/>
          <w:sz w:val="18"/>
          <w:szCs w:val="18"/>
        </w:rPr>
        <w:tab/>
      </w:r>
      <w:r>
        <w:rPr>
          <w:rFonts w:ascii="Arial" w:hAnsi="Arial" w:cs="Arial"/>
          <w:sz w:val="18"/>
          <w:szCs w:val="18"/>
        </w:rPr>
        <w:tab/>
      </w:r>
      <w:hyperlink r:id="rId5" w:tgtFrame="main" w:history="1">
        <w:r w:rsidRPr="00045CBE">
          <w:rPr>
            <w:rStyle w:val="Hyperlink"/>
            <w:rFonts w:ascii="Arial" w:hAnsi="Arial" w:cs="Arial"/>
            <w:i/>
            <w:iCs/>
            <w:color w:val="auto"/>
            <w:sz w:val="18"/>
            <w:szCs w:val="18"/>
            <w:u w:val="none"/>
          </w:rPr>
          <w:t>(c)</w:t>
        </w:r>
      </w:hyperlink>
      <w:r w:rsidRPr="00045CBE">
        <w:rPr>
          <w:rFonts w:ascii="Arial" w:hAnsi="Arial" w:cs="Arial"/>
          <w:sz w:val="18"/>
          <w:szCs w:val="18"/>
        </w:rPr>
        <w:t>   the action was procedurally unfair;</w:t>
      </w:r>
    </w:p>
    <w:p w:rsidR="0039295E" w:rsidRPr="00045CBE" w:rsidRDefault="0039295E" w:rsidP="00045CBE">
      <w:pPr>
        <w:spacing w:after="0" w:line="240" w:lineRule="auto"/>
        <w:ind w:hanging="737"/>
        <w:rPr>
          <w:rFonts w:ascii="Arial" w:hAnsi="Arial" w:cs="Arial"/>
          <w:sz w:val="18"/>
          <w:szCs w:val="18"/>
        </w:rPr>
      </w:pPr>
      <w:r w:rsidRPr="00045CBE">
        <w:rPr>
          <w:rFonts w:ascii="Arial" w:hAnsi="Arial" w:cs="Arial"/>
          <w:sz w:val="18"/>
          <w:szCs w:val="18"/>
        </w:rPr>
        <w:t>   </w:t>
      </w:r>
      <w:bookmarkStart w:id="6" w:name="0-0-0-132499"/>
      <w:bookmarkEnd w:id="6"/>
      <w:r w:rsidRPr="00045CBE">
        <w:rPr>
          <w:rFonts w:ascii="Arial" w:hAnsi="Arial" w:cs="Arial"/>
          <w:sz w:val="18"/>
          <w:szCs w:val="18"/>
        </w:rPr>
        <w:tab/>
      </w:r>
      <w:r>
        <w:rPr>
          <w:rFonts w:ascii="Arial" w:hAnsi="Arial" w:cs="Arial"/>
          <w:sz w:val="18"/>
          <w:szCs w:val="18"/>
        </w:rPr>
        <w:tab/>
      </w:r>
      <w:hyperlink r:id="rId6" w:tgtFrame="main" w:history="1">
        <w:r w:rsidRPr="00045CBE">
          <w:rPr>
            <w:rStyle w:val="Hyperlink"/>
            <w:rFonts w:ascii="Arial" w:hAnsi="Arial" w:cs="Arial"/>
            <w:i/>
            <w:iCs/>
            <w:color w:val="auto"/>
            <w:sz w:val="18"/>
            <w:szCs w:val="18"/>
            <w:u w:val="none"/>
          </w:rPr>
          <w:t>(d)</w:t>
        </w:r>
      </w:hyperlink>
      <w:r w:rsidRPr="00045CBE">
        <w:rPr>
          <w:rFonts w:ascii="Arial" w:hAnsi="Arial" w:cs="Arial"/>
          <w:sz w:val="18"/>
          <w:szCs w:val="18"/>
        </w:rPr>
        <w:t>   the action was materially influenced by an error of law;</w:t>
      </w:r>
    </w:p>
    <w:p w:rsidR="0039295E" w:rsidRPr="00045CBE" w:rsidRDefault="0039295E" w:rsidP="00045CBE">
      <w:pPr>
        <w:spacing w:after="0" w:line="240" w:lineRule="auto"/>
        <w:ind w:hanging="737"/>
        <w:rPr>
          <w:rFonts w:ascii="Arial" w:hAnsi="Arial" w:cs="Arial"/>
          <w:sz w:val="18"/>
          <w:szCs w:val="18"/>
        </w:rPr>
      </w:pPr>
      <w:r w:rsidRPr="00045CBE">
        <w:rPr>
          <w:rFonts w:ascii="Arial" w:hAnsi="Arial" w:cs="Arial"/>
          <w:sz w:val="18"/>
          <w:szCs w:val="18"/>
        </w:rPr>
        <w:t>   </w:t>
      </w:r>
      <w:bookmarkStart w:id="7" w:name="0-0-0-132503"/>
      <w:bookmarkEnd w:id="7"/>
      <w:r w:rsidRPr="00045CBE">
        <w:rPr>
          <w:rFonts w:ascii="Arial" w:hAnsi="Arial" w:cs="Arial"/>
          <w:sz w:val="18"/>
          <w:szCs w:val="18"/>
        </w:rPr>
        <w:tab/>
      </w:r>
      <w:r>
        <w:rPr>
          <w:rFonts w:ascii="Arial" w:hAnsi="Arial" w:cs="Arial"/>
          <w:sz w:val="18"/>
          <w:szCs w:val="18"/>
        </w:rPr>
        <w:tab/>
      </w:r>
      <w:r w:rsidRPr="00045CBE">
        <w:rPr>
          <w:rFonts w:ascii="Arial" w:hAnsi="Arial" w:cs="Arial"/>
          <w:i/>
          <w:iCs/>
          <w:sz w:val="18"/>
          <w:szCs w:val="18"/>
        </w:rPr>
        <w:t>(e)</w:t>
      </w:r>
      <w:r w:rsidRPr="00045CBE">
        <w:rPr>
          <w:rFonts w:ascii="Arial" w:hAnsi="Arial" w:cs="Arial"/>
          <w:sz w:val="18"/>
          <w:szCs w:val="18"/>
        </w:rPr>
        <w:t>   the action was taken-</w:t>
      </w:r>
    </w:p>
    <w:p w:rsidR="0039295E" w:rsidRPr="00045CBE" w:rsidRDefault="0039295E" w:rsidP="00045CBE">
      <w:pPr>
        <w:spacing w:after="0" w:line="240" w:lineRule="auto"/>
        <w:ind w:hanging="794"/>
        <w:rPr>
          <w:rFonts w:ascii="Arial" w:hAnsi="Arial" w:cs="Arial"/>
          <w:sz w:val="18"/>
          <w:szCs w:val="18"/>
        </w:rPr>
      </w:pPr>
      <w:r w:rsidRPr="00045CBE">
        <w:rPr>
          <w:rFonts w:ascii="Arial" w:hAnsi="Arial" w:cs="Arial"/>
          <w:sz w:val="18"/>
          <w:szCs w:val="18"/>
        </w:rPr>
        <w:t>     </w:t>
      </w:r>
      <w:bookmarkStart w:id="8" w:name="0-0-0-132505"/>
      <w:bookmarkEnd w:id="8"/>
      <w:r w:rsidRPr="00045CBE">
        <w:rPr>
          <w:rFonts w:ascii="Arial" w:hAnsi="Arial" w:cs="Arial"/>
          <w:sz w:val="18"/>
          <w:szCs w:val="18"/>
        </w:rPr>
        <w:tab/>
      </w:r>
      <w:r w:rsidRPr="00045CBE">
        <w:rPr>
          <w:rFonts w:ascii="Arial" w:hAnsi="Arial" w:cs="Arial"/>
          <w:sz w:val="18"/>
          <w:szCs w:val="18"/>
        </w:rPr>
        <w:tab/>
      </w:r>
      <w:r>
        <w:rPr>
          <w:rFonts w:ascii="Arial" w:hAnsi="Arial" w:cs="Arial"/>
          <w:sz w:val="18"/>
          <w:szCs w:val="18"/>
        </w:rPr>
        <w:tab/>
      </w:r>
      <w:hyperlink r:id="rId7" w:tgtFrame="main" w:history="1">
        <w:r w:rsidRPr="00045CBE">
          <w:rPr>
            <w:rStyle w:val="Hyperlink"/>
            <w:rFonts w:ascii="Arial" w:hAnsi="Arial" w:cs="Arial"/>
            <w:color w:val="auto"/>
            <w:sz w:val="18"/>
            <w:szCs w:val="18"/>
            <w:u w:val="none"/>
          </w:rPr>
          <w:t>(i)</w:t>
        </w:r>
      </w:hyperlink>
      <w:r w:rsidRPr="00045CBE">
        <w:rPr>
          <w:rFonts w:ascii="Arial" w:hAnsi="Arial" w:cs="Arial"/>
          <w:sz w:val="18"/>
          <w:szCs w:val="18"/>
        </w:rPr>
        <w:t>   for a reason not authorised by the empowering provision;</w:t>
      </w:r>
    </w:p>
    <w:p w:rsidR="0039295E" w:rsidRPr="00045CBE" w:rsidRDefault="0039295E" w:rsidP="00045CBE">
      <w:pPr>
        <w:spacing w:after="0" w:line="240" w:lineRule="auto"/>
        <w:ind w:hanging="794"/>
        <w:rPr>
          <w:rFonts w:ascii="Arial" w:hAnsi="Arial" w:cs="Arial"/>
          <w:sz w:val="18"/>
          <w:szCs w:val="18"/>
        </w:rPr>
      </w:pPr>
      <w:r w:rsidRPr="00045CBE">
        <w:rPr>
          <w:rFonts w:ascii="Arial" w:hAnsi="Arial" w:cs="Arial"/>
          <w:sz w:val="18"/>
          <w:szCs w:val="18"/>
        </w:rPr>
        <w:t>    </w:t>
      </w:r>
      <w:bookmarkStart w:id="9" w:name="0-0-0-132509"/>
      <w:bookmarkEnd w:id="9"/>
      <w:r w:rsidRPr="00045CBE">
        <w:rPr>
          <w:rFonts w:ascii="Arial" w:hAnsi="Arial" w:cs="Arial"/>
          <w:sz w:val="18"/>
          <w:szCs w:val="18"/>
        </w:rPr>
        <w:tab/>
      </w:r>
      <w:r w:rsidRPr="00045CBE">
        <w:rPr>
          <w:rFonts w:ascii="Arial" w:hAnsi="Arial" w:cs="Arial"/>
          <w:sz w:val="18"/>
          <w:szCs w:val="18"/>
        </w:rPr>
        <w:tab/>
      </w:r>
      <w:r>
        <w:rPr>
          <w:rFonts w:ascii="Arial" w:hAnsi="Arial" w:cs="Arial"/>
          <w:sz w:val="18"/>
          <w:szCs w:val="18"/>
        </w:rPr>
        <w:tab/>
      </w:r>
      <w:r w:rsidRPr="00045CBE">
        <w:rPr>
          <w:rFonts w:ascii="Arial" w:hAnsi="Arial" w:cs="Arial"/>
          <w:sz w:val="18"/>
          <w:szCs w:val="18"/>
        </w:rPr>
        <w:t>(ii)   for an ulterior purpose or motive;</w:t>
      </w:r>
    </w:p>
    <w:p w:rsidR="0039295E" w:rsidRPr="00045CBE" w:rsidRDefault="0039295E" w:rsidP="00045CBE">
      <w:pPr>
        <w:spacing w:after="0" w:line="240" w:lineRule="auto"/>
        <w:ind w:left="1440" w:hanging="794"/>
        <w:rPr>
          <w:rFonts w:ascii="Arial" w:hAnsi="Arial" w:cs="Arial"/>
          <w:sz w:val="18"/>
          <w:szCs w:val="18"/>
        </w:rPr>
      </w:pPr>
      <w:r w:rsidRPr="00045CBE">
        <w:rPr>
          <w:rFonts w:ascii="Arial" w:hAnsi="Arial" w:cs="Arial"/>
          <w:sz w:val="18"/>
          <w:szCs w:val="18"/>
        </w:rPr>
        <w:t>   </w:t>
      </w:r>
      <w:bookmarkStart w:id="10" w:name="0-0-0-132511"/>
      <w:bookmarkEnd w:id="10"/>
      <w:r w:rsidRPr="00045CBE">
        <w:rPr>
          <w:rFonts w:ascii="Arial" w:hAnsi="Arial" w:cs="Arial"/>
          <w:sz w:val="18"/>
          <w:szCs w:val="18"/>
        </w:rPr>
        <w:tab/>
      </w:r>
      <w:hyperlink r:id="rId8" w:tgtFrame="main" w:history="1">
        <w:r w:rsidRPr="00045CBE">
          <w:rPr>
            <w:rStyle w:val="Hyperlink"/>
            <w:rFonts w:ascii="Arial" w:hAnsi="Arial" w:cs="Arial"/>
            <w:color w:val="auto"/>
            <w:sz w:val="18"/>
            <w:szCs w:val="18"/>
            <w:u w:val="none"/>
          </w:rPr>
          <w:t>(iii)</w:t>
        </w:r>
      </w:hyperlink>
      <w:r w:rsidRPr="00045CBE">
        <w:rPr>
          <w:rFonts w:ascii="Arial" w:hAnsi="Arial" w:cs="Arial"/>
          <w:sz w:val="18"/>
          <w:szCs w:val="18"/>
        </w:rPr>
        <w:t>   because irrelevant considerations were taken into account or relevant considerations were not considered;</w:t>
      </w:r>
    </w:p>
    <w:p w:rsidR="0039295E" w:rsidRPr="00045CBE" w:rsidRDefault="00476EA7" w:rsidP="00045CBE">
      <w:pPr>
        <w:spacing w:after="0" w:line="240" w:lineRule="auto"/>
        <w:ind w:left="1436" w:firstLine="4"/>
        <w:rPr>
          <w:rFonts w:ascii="Arial" w:hAnsi="Arial" w:cs="Arial"/>
          <w:sz w:val="18"/>
          <w:szCs w:val="18"/>
        </w:rPr>
      </w:pPr>
      <w:hyperlink r:id="rId9" w:tgtFrame="main" w:history="1">
        <w:r w:rsidR="0039295E" w:rsidRPr="00045CBE">
          <w:rPr>
            <w:rStyle w:val="Hyperlink"/>
            <w:rFonts w:ascii="Arial" w:hAnsi="Arial" w:cs="Arial"/>
            <w:color w:val="auto"/>
            <w:sz w:val="18"/>
            <w:szCs w:val="18"/>
            <w:u w:val="none"/>
          </w:rPr>
          <w:t>(iv)</w:t>
        </w:r>
      </w:hyperlink>
      <w:r w:rsidR="0039295E" w:rsidRPr="00045CBE">
        <w:rPr>
          <w:rFonts w:ascii="Arial" w:hAnsi="Arial" w:cs="Arial"/>
          <w:sz w:val="18"/>
          <w:szCs w:val="18"/>
        </w:rPr>
        <w:t>   because of the unauthorised or unwarranted dictates of another person or body;</w:t>
      </w:r>
    </w:p>
    <w:p w:rsidR="0039295E" w:rsidRPr="00045CBE" w:rsidRDefault="0039295E" w:rsidP="00045CBE">
      <w:pPr>
        <w:spacing w:after="0" w:line="240" w:lineRule="auto"/>
        <w:ind w:hanging="794"/>
        <w:rPr>
          <w:rFonts w:ascii="Arial" w:hAnsi="Arial" w:cs="Arial"/>
          <w:sz w:val="18"/>
          <w:szCs w:val="18"/>
        </w:rPr>
      </w:pPr>
      <w:r w:rsidRPr="00045CBE">
        <w:rPr>
          <w:rFonts w:ascii="Arial" w:hAnsi="Arial" w:cs="Arial"/>
          <w:sz w:val="18"/>
          <w:szCs w:val="18"/>
        </w:rPr>
        <w:t>    </w:t>
      </w:r>
      <w:bookmarkStart w:id="11" w:name="0-0-0-132519"/>
      <w:bookmarkEnd w:id="11"/>
      <w:r w:rsidRPr="00045CBE">
        <w:rPr>
          <w:rFonts w:ascii="Arial" w:hAnsi="Arial" w:cs="Arial"/>
          <w:sz w:val="18"/>
          <w:szCs w:val="18"/>
        </w:rPr>
        <w:tab/>
      </w:r>
      <w:r w:rsidRPr="00045CBE">
        <w:rPr>
          <w:rFonts w:ascii="Arial" w:hAnsi="Arial" w:cs="Arial"/>
          <w:sz w:val="18"/>
          <w:szCs w:val="18"/>
        </w:rPr>
        <w:tab/>
      </w:r>
      <w:r>
        <w:rPr>
          <w:rFonts w:ascii="Arial" w:hAnsi="Arial" w:cs="Arial"/>
          <w:sz w:val="18"/>
          <w:szCs w:val="18"/>
        </w:rPr>
        <w:tab/>
      </w:r>
      <w:r w:rsidRPr="00045CBE">
        <w:rPr>
          <w:rFonts w:ascii="Arial" w:hAnsi="Arial" w:cs="Arial"/>
          <w:sz w:val="18"/>
          <w:szCs w:val="18"/>
        </w:rPr>
        <w:t>(v)   in bad faith; or</w:t>
      </w:r>
    </w:p>
    <w:p w:rsidR="0039295E" w:rsidRPr="00045CBE" w:rsidRDefault="0039295E" w:rsidP="00045CBE">
      <w:pPr>
        <w:spacing w:after="0" w:line="240" w:lineRule="auto"/>
        <w:ind w:hanging="794"/>
        <w:rPr>
          <w:rFonts w:ascii="Arial" w:hAnsi="Arial" w:cs="Arial"/>
          <w:sz w:val="18"/>
          <w:szCs w:val="18"/>
        </w:rPr>
      </w:pPr>
      <w:r w:rsidRPr="00045CBE">
        <w:rPr>
          <w:rFonts w:ascii="Arial" w:hAnsi="Arial" w:cs="Arial"/>
          <w:sz w:val="18"/>
          <w:szCs w:val="18"/>
        </w:rPr>
        <w:t>   </w:t>
      </w:r>
      <w:bookmarkStart w:id="12" w:name="0-0-0-132521"/>
      <w:bookmarkEnd w:id="12"/>
      <w:r w:rsidRPr="00045CBE">
        <w:rPr>
          <w:rFonts w:ascii="Arial" w:hAnsi="Arial" w:cs="Arial"/>
          <w:sz w:val="18"/>
          <w:szCs w:val="18"/>
        </w:rPr>
        <w:tab/>
      </w:r>
      <w:r w:rsidRPr="00045CBE">
        <w:rPr>
          <w:rFonts w:ascii="Arial" w:hAnsi="Arial" w:cs="Arial"/>
          <w:sz w:val="18"/>
          <w:szCs w:val="18"/>
        </w:rPr>
        <w:tab/>
      </w:r>
      <w:r>
        <w:rPr>
          <w:rFonts w:ascii="Arial" w:hAnsi="Arial" w:cs="Arial"/>
          <w:sz w:val="18"/>
          <w:szCs w:val="18"/>
        </w:rPr>
        <w:tab/>
      </w:r>
      <w:r w:rsidRPr="00045CBE">
        <w:rPr>
          <w:rFonts w:ascii="Arial" w:hAnsi="Arial" w:cs="Arial"/>
          <w:sz w:val="18"/>
          <w:szCs w:val="18"/>
        </w:rPr>
        <w:t>(vi)   arbitrarily or capriciously;</w:t>
      </w:r>
    </w:p>
    <w:p w:rsidR="0039295E" w:rsidRPr="00045CBE" w:rsidRDefault="0039295E" w:rsidP="00045CBE">
      <w:pPr>
        <w:spacing w:after="0" w:line="240" w:lineRule="auto"/>
        <w:ind w:hanging="737"/>
        <w:rPr>
          <w:rFonts w:ascii="Arial" w:hAnsi="Arial" w:cs="Arial"/>
          <w:sz w:val="18"/>
          <w:szCs w:val="18"/>
        </w:rPr>
      </w:pPr>
      <w:r w:rsidRPr="00045CBE">
        <w:rPr>
          <w:rFonts w:ascii="Arial" w:hAnsi="Arial" w:cs="Arial"/>
          <w:sz w:val="18"/>
          <w:szCs w:val="18"/>
        </w:rPr>
        <w:t>   </w:t>
      </w:r>
      <w:bookmarkStart w:id="13" w:name="0-0-0-132523"/>
      <w:bookmarkEnd w:id="13"/>
      <w:r w:rsidRPr="00045CBE">
        <w:rPr>
          <w:rFonts w:ascii="Arial" w:hAnsi="Arial" w:cs="Arial"/>
          <w:sz w:val="18"/>
          <w:szCs w:val="18"/>
        </w:rPr>
        <w:tab/>
      </w:r>
      <w:r>
        <w:rPr>
          <w:rFonts w:ascii="Arial" w:hAnsi="Arial" w:cs="Arial"/>
          <w:sz w:val="18"/>
          <w:szCs w:val="18"/>
        </w:rPr>
        <w:tab/>
      </w:r>
      <w:r w:rsidRPr="00045CBE">
        <w:rPr>
          <w:rFonts w:ascii="Arial" w:hAnsi="Arial" w:cs="Arial"/>
          <w:i/>
          <w:iCs/>
          <w:sz w:val="18"/>
          <w:szCs w:val="18"/>
        </w:rPr>
        <w:t>(f)</w:t>
      </w:r>
      <w:r w:rsidRPr="00045CBE">
        <w:rPr>
          <w:rFonts w:ascii="Arial" w:hAnsi="Arial" w:cs="Arial"/>
          <w:sz w:val="18"/>
          <w:szCs w:val="18"/>
        </w:rPr>
        <w:t>   the action itself-</w:t>
      </w:r>
    </w:p>
    <w:p w:rsidR="0039295E" w:rsidRPr="00045CBE" w:rsidRDefault="0039295E" w:rsidP="00045CBE">
      <w:pPr>
        <w:spacing w:after="0" w:line="240" w:lineRule="auto"/>
        <w:ind w:hanging="794"/>
        <w:rPr>
          <w:rFonts w:ascii="Arial" w:hAnsi="Arial" w:cs="Arial"/>
          <w:sz w:val="18"/>
          <w:szCs w:val="18"/>
        </w:rPr>
      </w:pPr>
      <w:r w:rsidRPr="00045CBE">
        <w:rPr>
          <w:rFonts w:ascii="Arial" w:hAnsi="Arial" w:cs="Arial"/>
          <w:sz w:val="18"/>
          <w:szCs w:val="18"/>
        </w:rPr>
        <w:t>     </w:t>
      </w:r>
      <w:bookmarkStart w:id="14" w:name="0-0-0-132525"/>
      <w:bookmarkEnd w:id="14"/>
      <w:r w:rsidRPr="00045CBE">
        <w:rPr>
          <w:rFonts w:ascii="Arial" w:hAnsi="Arial" w:cs="Arial"/>
          <w:sz w:val="18"/>
          <w:szCs w:val="18"/>
        </w:rPr>
        <w:tab/>
      </w:r>
      <w:r w:rsidRPr="00045CBE">
        <w:rPr>
          <w:rFonts w:ascii="Arial" w:hAnsi="Arial" w:cs="Arial"/>
          <w:sz w:val="18"/>
          <w:szCs w:val="18"/>
        </w:rPr>
        <w:tab/>
      </w:r>
      <w:r>
        <w:rPr>
          <w:rFonts w:ascii="Arial" w:hAnsi="Arial" w:cs="Arial"/>
          <w:sz w:val="18"/>
          <w:szCs w:val="18"/>
        </w:rPr>
        <w:tab/>
      </w:r>
      <w:hyperlink r:id="rId10" w:tgtFrame="main" w:history="1">
        <w:r w:rsidRPr="00045CBE">
          <w:rPr>
            <w:rStyle w:val="Hyperlink"/>
            <w:rFonts w:ascii="Arial" w:hAnsi="Arial" w:cs="Arial"/>
            <w:color w:val="auto"/>
            <w:sz w:val="18"/>
            <w:szCs w:val="18"/>
            <w:u w:val="none"/>
          </w:rPr>
          <w:t>(i)</w:t>
        </w:r>
      </w:hyperlink>
      <w:r w:rsidRPr="00045CBE">
        <w:rPr>
          <w:rFonts w:ascii="Arial" w:hAnsi="Arial" w:cs="Arial"/>
          <w:sz w:val="18"/>
          <w:szCs w:val="18"/>
        </w:rPr>
        <w:t>   contravenes a law or is not authorised by the empowering provision; or</w:t>
      </w:r>
    </w:p>
    <w:p w:rsidR="0039295E" w:rsidRPr="00045CBE" w:rsidRDefault="0039295E" w:rsidP="00045CBE">
      <w:pPr>
        <w:spacing w:after="0" w:line="240" w:lineRule="auto"/>
        <w:ind w:hanging="794"/>
        <w:rPr>
          <w:rFonts w:ascii="Arial" w:hAnsi="Arial" w:cs="Arial"/>
          <w:sz w:val="18"/>
          <w:szCs w:val="18"/>
        </w:rPr>
      </w:pPr>
      <w:r w:rsidRPr="00045CBE">
        <w:rPr>
          <w:rFonts w:ascii="Arial" w:hAnsi="Arial" w:cs="Arial"/>
          <w:sz w:val="18"/>
          <w:szCs w:val="18"/>
        </w:rPr>
        <w:t>    </w:t>
      </w:r>
      <w:bookmarkStart w:id="15" w:name="0-0-0-132529"/>
      <w:bookmarkEnd w:id="15"/>
      <w:r w:rsidRPr="00045CBE">
        <w:rPr>
          <w:rFonts w:ascii="Arial" w:hAnsi="Arial" w:cs="Arial"/>
          <w:sz w:val="18"/>
          <w:szCs w:val="18"/>
        </w:rPr>
        <w:tab/>
      </w:r>
      <w:r w:rsidRPr="00045CBE">
        <w:rPr>
          <w:rFonts w:ascii="Arial" w:hAnsi="Arial" w:cs="Arial"/>
          <w:sz w:val="18"/>
          <w:szCs w:val="18"/>
        </w:rPr>
        <w:tab/>
      </w:r>
      <w:r>
        <w:rPr>
          <w:rFonts w:ascii="Arial" w:hAnsi="Arial" w:cs="Arial"/>
          <w:sz w:val="18"/>
          <w:szCs w:val="18"/>
        </w:rPr>
        <w:tab/>
      </w:r>
      <w:hyperlink r:id="rId11" w:tgtFrame="main" w:history="1">
        <w:r w:rsidRPr="00045CBE">
          <w:rPr>
            <w:rStyle w:val="Hyperlink"/>
            <w:rFonts w:ascii="Arial" w:hAnsi="Arial" w:cs="Arial"/>
            <w:color w:val="auto"/>
            <w:sz w:val="18"/>
            <w:szCs w:val="18"/>
            <w:u w:val="none"/>
          </w:rPr>
          <w:t>(ii)</w:t>
        </w:r>
      </w:hyperlink>
      <w:r w:rsidRPr="00045CBE">
        <w:rPr>
          <w:rFonts w:ascii="Arial" w:hAnsi="Arial" w:cs="Arial"/>
          <w:sz w:val="18"/>
          <w:szCs w:val="18"/>
        </w:rPr>
        <w:t>   is not rationally connected to-</w:t>
      </w:r>
    </w:p>
    <w:p w:rsidR="0039295E" w:rsidRPr="00045CBE" w:rsidRDefault="0039295E" w:rsidP="00045CBE">
      <w:pPr>
        <w:spacing w:after="0" w:line="240" w:lineRule="auto"/>
        <w:ind w:hanging="851"/>
        <w:rPr>
          <w:rFonts w:ascii="Arial" w:hAnsi="Arial" w:cs="Arial"/>
          <w:sz w:val="18"/>
          <w:szCs w:val="18"/>
        </w:rPr>
      </w:pPr>
      <w:r w:rsidRPr="00045CBE">
        <w:rPr>
          <w:rFonts w:ascii="Arial" w:hAnsi="Arial" w:cs="Arial"/>
          <w:sz w:val="18"/>
          <w:szCs w:val="18"/>
        </w:rPr>
        <w:t>   </w:t>
      </w:r>
      <w:bookmarkStart w:id="16" w:name="0-0-0-132533"/>
      <w:bookmarkEnd w:id="16"/>
      <w:r w:rsidRPr="00045CBE">
        <w:rPr>
          <w:rFonts w:ascii="Arial" w:hAnsi="Arial" w:cs="Arial"/>
          <w:sz w:val="18"/>
          <w:szCs w:val="18"/>
        </w:rPr>
        <w:tab/>
      </w:r>
      <w:r w:rsidRPr="00045CBE">
        <w:rPr>
          <w:rFonts w:ascii="Arial" w:hAnsi="Arial" w:cs="Arial"/>
          <w:sz w:val="18"/>
          <w:szCs w:val="18"/>
        </w:rPr>
        <w:tab/>
      </w:r>
      <w:r w:rsidRPr="00045CBE">
        <w:rPr>
          <w:rFonts w:ascii="Arial" w:hAnsi="Arial" w:cs="Arial"/>
          <w:sz w:val="18"/>
          <w:szCs w:val="18"/>
        </w:rPr>
        <w:tab/>
      </w:r>
      <w:r>
        <w:rPr>
          <w:rFonts w:ascii="Arial" w:hAnsi="Arial" w:cs="Arial"/>
          <w:sz w:val="18"/>
          <w:szCs w:val="18"/>
        </w:rPr>
        <w:tab/>
      </w:r>
      <w:r w:rsidRPr="00045CBE">
        <w:rPr>
          <w:rFonts w:ascii="Arial" w:hAnsi="Arial" w:cs="Arial"/>
          <w:i/>
          <w:iCs/>
          <w:sz w:val="18"/>
          <w:szCs w:val="18"/>
        </w:rPr>
        <w:t>(aa)</w:t>
      </w:r>
      <w:r w:rsidRPr="00045CBE">
        <w:rPr>
          <w:rFonts w:ascii="Arial" w:hAnsi="Arial" w:cs="Arial"/>
          <w:sz w:val="18"/>
          <w:szCs w:val="18"/>
        </w:rPr>
        <w:t>   the purpose for which it was taken;</w:t>
      </w:r>
    </w:p>
    <w:p w:rsidR="0039295E" w:rsidRPr="00045CBE" w:rsidRDefault="0039295E" w:rsidP="00045CBE">
      <w:pPr>
        <w:spacing w:after="0" w:line="240" w:lineRule="auto"/>
        <w:ind w:hanging="851"/>
        <w:rPr>
          <w:rFonts w:ascii="Arial" w:hAnsi="Arial" w:cs="Arial"/>
          <w:sz w:val="18"/>
          <w:szCs w:val="18"/>
        </w:rPr>
      </w:pPr>
      <w:r w:rsidRPr="00045CBE">
        <w:rPr>
          <w:rFonts w:ascii="Arial" w:hAnsi="Arial" w:cs="Arial"/>
          <w:sz w:val="18"/>
          <w:szCs w:val="18"/>
        </w:rPr>
        <w:t>   </w:t>
      </w:r>
      <w:bookmarkStart w:id="17" w:name="0-0-0-132535"/>
      <w:bookmarkEnd w:id="17"/>
      <w:r w:rsidRPr="00045CBE">
        <w:rPr>
          <w:rFonts w:ascii="Arial" w:hAnsi="Arial" w:cs="Arial"/>
          <w:sz w:val="18"/>
          <w:szCs w:val="18"/>
        </w:rPr>
        <w:tab/>
      </w:r>
      <w:r w:rsidRPr="00045CBE">
        <w:rPr>
          <w:rFonts w:ascii="Arial" w:hAnsi="Arial" w:cs="Arial"/>
          <w:sz w:val="18"/>
          <w:szCs w:val="18"/>
        </w:rPr>
        <w:tab/>
      </w:r>
      <w:r w:rsidRPr="00045CBE">
        <w:rPr>
          <w:rFonts w:ascii="Arial" w:hAnsi="Arial" w:cs="Arial"/>
          <w:sz w:val="18"/>
          <w:szCs w:val="18"/>
        </w:rPr>
        <w:tab/>
      </w:r>
      <w:r>
        <w:rPr>
          <w:rFonts w:ascii="Arial" w:hAnsi="Arial" w:cs="Arial"/>
          <w:sz w:val="18"/>
          <w:szCs w:val="18"/>
        </w:rPr>
        <w:tab/>
      </w:r>
      <w:r w:rsidRPr="00045CBE">
        <w:rPr>
          <w:rFonts w:ascii="Arial" w:hAnsi="Arial" w:cs="Arial"/>
          <w:i/>
          <w:iCs/>
          <w:sz w:val="18"/>
          <w:szCs w:val="18"/>
        </w:rPr>
        <w:t>(bb)</w:t>
      </w:r>
      <w:r w:rsidRPr="00045CBE">
        <w:rPr>
          <w:rFonts w:ascii="Arial" w:hAnsi="Arial" w:cs="Arial"/>
          <w:sz w:val="18"/>
          <w:szCs w:val="18"/>
        </w:rPr>
        <w:t>   the purpose of the empowering provision;</w:t>
      </w:r>
    </w:p>
    <w:p w:rsidR="0039295E" w:rsidRPr="00045CBE" w:rsidRDefault="0039295E" w:rsidP="00045CBE">
      <w:pPr>
        <w:spacing w:after="0" w:line="240" w:lineRule="auto"/>
        <w:ind w:hanging="851"/>
        <w:rPr>
          <w:rFonts w:ascii="Arial" w:hAnsi="Arial" w:cs="Arial"/>
          <w:sz w:val="18"/>
          <w:szCs w:val="18"/>
        </w:rPr>
      </w:pPr>
      <w:r w:rsidRPr="00045CBE">
        <w:rPr>
          <w:rFonts w:ascii="Arial" w:hAnsi="Arial" w:cs="Arial"/>
          <w:sz w:val="18"/>
          <w:szCs w:val="18"/>
        </w:rPr>
        <w:t>   </w:t>
      </w:r>
      <w:bookmarkStart w:id="18" w:name="0-0-0-132537"/>
      <w:bookmarkEnd w:id="18"/>
      <w:r w:rsidRPr="00045CBE">
        <w:rPr>
          <w:rFonts w:ascii="Arial" w:hAnsi="Arial" w:cs="Arial"/>
          <w:sz w:val="18"/>
          <w:szCs w:val="18"/>
        </w:rPr>
        <w:tab/>
      </w:r>
      <w:r w:rsidRPr="00045CBE">
        <w:rPr>
          <w:rFonts w:ascii="Arial" w:hAnsi="Arial" w:cs="Arial"/>
          <w:sz w:val="18"/>
          <w:szCs w:val="18"/>
        </w:rPr>
        <w:tab/>
      </w:r>
      <w:r w:rsidRPr="00045CBE">
        <w:rPr>
          <w:rFonts w:ascii="Arial" w:hAnsi="Arial" w:cs="Arial"/>
          <w:sz w:val="18"/>
          <w:szCs w:val="18"/>
        </w:rPr>
        <w:tab/>
      </w:r>
      <w:r>
        <w:rPr>
          <w:rFonts w:ascii="Arial" w:hAnsi="Arial" w:cs="Arial"/>
          <w:sz w:val="18"/>
          <w:szCs w:val="18"/>
        </w:rPr>
        <w:tab/>
      </w:r>
      <w:hyperlink r:id="rId12" w:tgtFrame="main" w:history="1">
        <w:r w:rsidRPr="00045CBE">
          <w:rPr>
            <w:rStyle w:val="Hyperlink"/>
            <w:rFonts w:ascii="Arial" w:hAnsi="Arial" w:cs="Arial"/>
            <w:i/>
            <w:iCs/>
            <w:color w:val="auto"/>
            <w:sz w:val="18"/>
            <w:szCs w:val="18"/>
            <w:u w:val="none"/>
          </w:rPr>
          <w:t>(cc)</w:t>
        </w:r>
      </w:hyperlink>
      <w:r w:rsidRPr="00045CBE">
        <w:rPr>
          <w:rFonts w:ascii="Arial" w:hAnsi="Arial" w:cs="Arial"/>
          <w:sz w:val="18"/>
          <w:szCs w:val="18"/>
        </w:rPr>
        <w:t>   the information before the administrator; or</w:t>
      </w:r>
    </w:p>
    <w:p w:rsidR="0039295E" w:rsidRPr="00045CBE" w:rsidRDefault="0039295E" w:rsidP="00045CBE">
      <w:pPr>
        <w:spacing w:after="0" w:line="240" w:lineRule="auto"/>
        <w:ind w:hanging="851"/>
        <w:rPr>
          <w:rFonts w:ascii="Arial" w:hAnsi="Arial" w:cs="Arial"/>
          <w:sz w:val="18"/>
          <w:szCs w:val="18"/>
        </w:rPr>
      </w:pPr>
      <w:r w:rsidRPr="00045CBE">
        <w:rPr>
          <w:rFonts w:ascii="Arial" w:hAnsi="Arial" w:cs="Arial"/>
          <w:sz w:val="18"/>
          <w:szCs w:val="18"/>
        </w:rPr>
        <w:t>   </w:t>
      </w:r>
      <w:bookmarkStart w:id="19" w:name="0-0-0-132541"/>
      <w:bookmarkEnd w:id="19"/>
      <w:r w:rsidRPr="00045CBE">
        <w:rPr>
          <w:rFonts w:ascii="Arial" w:hAnsi="Arial" w:cs="Arial"/>
          <w:sz w:val="18"/>
          <w:szCs w:val="18"/>
        </w:rPr>
        <w:tab/>
      </w:r>
      <w:r w:rsidRPr="00045CBE">
        <w:rPr>
          <w:rFonts w:ascii="Arial" w:hAnsi="Arial" w:cs="Arial"/>
          <w:sz w:val="18"/>
          <w:szCs w:val="18"/>
        </w:rPr>
        <w:tab/>
      </w:r>
      <w:r w:rsidRPr="00045CBE">
        <w:rPr>
          <w:rFonts w:ascii="Arial" w:hAnsi="Arial" w:cs="Arial"/>
          <w:sz w:val="18"/>
          <w:szCs w:val="18"/>
        </w:rPr>
        <w:tab/>
      </w:r>
      <w:r>
        <w:rPr>
          <w:rFonts w:ascii="Arial" w:hAnsi="Arial" w:cs="Arial"/>
          <w:sz w:val="18"/>
          <w:szCs w:val="18"/>
        </w:rPr>
        <w:tab/>
      </w:r>
      <w:hyperlink r:id="rId13" w:tgtFrame="main" w:history="1">
        <w:r w:rsidRPr="00045CBE">
          <w:rPr>
            <w:rStyle w:val="Hyperlink"/>
            <w:rFonts w:ascii="Arial" w:hAnsi="Arial" w:cs="Arial"/>
            <w:i/>
            <w:iCs/>
            <w:color w:val="auto"/>
            <w:sz w:val="18"/>
            <w:szCs w:val="18"/>
            <w:u w:val="none"/>
          </w:rPr>
          <w:t>(dd)</w:t>
        </w:r>
      </w:hyperlink>
      <w:r w:rsidRPr="00045CBE">
        <w:rPr>
          <w:rFonts w:ascii="Arial" w:hAnsi="Arial" w:cs="Arial"/>
          <w:sz w:val="18"/>
          <w:szCs w:val="18"/>
        </w:rPr>
        <w:t>   the reasons given for it by the administrator;</w:t>
      </w:r>
    </w:p>
    <w:p w:rsidR="0039295E" w:rsidRPr="00045CBE" w:rsidRDefault="0039295E" w:rsidP="00045CBE">
      <w:pPr>
        <w:spacing w:after="0" w:line="240" w:lineRule="auto"/>
        <w:ind w:hanging="737"/>
        <w:rPr>
          <w:rFonts w:ascii="Arial" w:hAnsi="Arial" w:cs="Arial"/>
          <w:sz w:val="18"/>
          <w:szCs w:val="18"/>
        </w:rPr>
      </w:pPr>
      <w:r w:rsidRPr="00045CBE">
        <w:rPr>
          <w:rFonts w:ascii="Arial" w:hAnsi="Arial" w:cs="Arial"/>
          <w:sz w:val="18"/>
          <w:szCs w:val="18"/>
        </w:rPr>
        <w:t>   </w:t>
      </w:r>
      <w:bookmarkStart w:id="20" w:name="0-0-0-132545"/>
      <w:bookmarkEnd w:id="20"/>
      <w:r w:rsidRPr="00045CBE">
        <w:rPr>
          <w:rFonts w:ascii="Arial" w:hAnsi="Arial" w:cs="Arial"/>
          <w:sz w:val="18"/>
          <w:szCs w:val="18"/>
        </w:rPr>
        <w:tab/>
      </w:r>
      <w:r w:rsidRPr="00045CBE">
        <w:rPr>
          <w:rFonts w:ascii="Arial" w:hAnsi="Arial" w:cs="Arial"/>
          <w:sz w:val="18"/>
          <w:szCs w:val="18"/>
        </w:rPr>
        <w:tab/>
      </w:r>
      <w:hyperlink r:id="rId14" w:tgtFrame="main" w:history="1">
        <w:r w:rsidRPr="00045CBE">
          <w:rPr>
            <w:rStyle w:val="Hyperlink"/>
            <w:rFonts w:ascii="Arial" w:hAnsi="Arial" w:cs="Arial"/>
            <w:i/>
            <w:iCs/>
            <w:color w:val="auto"/>
            <w:sz w:val="18"/>
            <w:szCs w:val="18"/>
            <w:u w:val="none"/>
          </w:rPr>
          <w:t>(g)</w:t>
        </w:r>
      </w:hyperlink>
      <w:r w:rsidRPr="00045CBE">
        <w:rPr>
          <w:rFonts w:ascii="Arial" w:hAnsi="Arial" w:cs="Arial"/>
          <w:sz w:val="18"/>
          <w:szCs w:val="18"/>
        </w:rPr>
        <w:t>   the action concerned consists of a failure to take a decision;</w:t>
      </w:r>
    </w:p>
    <w:p w:rsidR="0039295E" w:rsidRPr="00045CBE" w:rsidRDefault="0039295E" w:rsidP="00045CBE">
      <w:pPr>
        <w:spacing w:after="0" w:line="240" w:lineRule="auto"/>
        <w:ind w:left="720" w:hanging="737"/>
        <w:rPr>
          <w:rFonts w:ascii="Arial" w:hAnsi="Arial" w:cs="Arial"/>
          <w:sz w:val="18"/>
          <w:szCs w:val="18"/>
        </w:rPr>
      </w:pPr>
      <w:r w:rsidRPr="00045CBE">
        <w:rPr>
          <w:rFonts w:ascii="Arial" w:hAnsi="Arial" w:cs="Arial"/>
          <w:sz w:val="18"/>
          <w:szCs w:val="18"/>
        </w:rPr>
        <w:t>   </w:t>
      </w:r>
      <w:bookmarkStart w:id="21" w:name="0-0-0-132549"/>
      <w:bookmarkEnd w:id="21"/>
      <w:r w:rsidRPr="00045CBE">
        <w:rPr>
          <w:rFonts w:ascii="Arial" w:hAnsi="Arial" w:cs="Arial"/>
          <w:sz w:val="18"/>
          <w:szCs w:val="18"/>
        </w:rPr>
        <w:tab/>
      </w:r>
      <w:hyperlink r:id="rId15" w:tgtFrame="main" w:history="1">
        <w:r w:rsidRPr="00045CBE">
          <w:rPr>
            <w:rStyle w:val="Hyperlink"/>
            <w:rFonts w:ascii="Arial" w:hAnsi="Arial" w:cs="Arial"/>
            <w:i/>
            <w:iCs/>
            <w:color w:val="auto"/>
            <w:sz w:val="18"/>
            <w:szCs w:val="18"/>
            <w:u w:val="none"/>
          </w:rPr>
          <w:t>(h)</w:t>
        </w:r>
      </w:hyperlink>
      <w:r w:rsidRPr="00045CBE">
        <w:rPr>
          <w:rFonts w:ascii="Arial" w:hAnsi="Arial" w:cs="Arial"/>
          <w:sz w:val="18"/>
          <w:szCs w:val="18"/>
        </w:rPr>
        <w:t>   the exercise of the power or the performance of the function authorised by the empowering provision, in pursuance of which the administrative action was purportedly taken, is so unreasonable that no reasonable person could have so exercised the power or performed the function; or</w:t>
      </w:r>
    </w:p>
    <w:bookmarkStart w:id="22" w:name="0-0-0-132553"/>
    <w:bookmarkEnd w:id="22"/>
    <w:p w:rsidR="0039295E" w:rsidRPr="00045CBE" w:rsidRDefault="0039295E" w:rsidP="00045CBE">
      <w:pPr>
        <w:spacing w:line="240" w:lineRule="auto"/>
        <w:ind w:firstLine="720"/>
        <w:rPr>
          <w:rFonts w:ascii="Arial" w:hAnsi="Arial" w:cs="Arial"/>
          <w:color w:val="000000"/>
          <w:sz w:val="18"/>
          <w:szCs w:val="18"/>
        </w:rPr>
      </w:pPr>
      <w:r w:rsidRPr="00045CBE">
        <w:rPr>
          <w:rFonts w:ascii="Arial" w:hAnsi="Arial" w:cs="Arial"/>
          <w:sz w:val="18"/>
          <w:szCs w:val="18"/>
        </w:rPr>
        <w:fldChar w:fldCharType="begin"/>
      </w:r>
      <w:r w:rsidRPr="00045CBE">
        <w:rPr>
          <w:rFonts w:ascii="Arial" w:hAnsi="Arial" w:cs="Arial"/>
          <w:sz w:val="18"/>
          <w:szCs w:val="18"/>
        </w:rPr>
        <w:instrText xml:space="preserve"> HYPERLINK "https://jutastat.juta.co.za/nxt/foliolinks.asp?f=xhitlist&amp;xhitlist_x=Advanced&amp;xhitlist_vpc=first&amp;xhitlist_xsl=querylink.xsl&amp;xhitlist_sel=title;path;content-type;home-title&amp;xhitlist_d=%7bstatreg%7d&amp;xhitlist_q=%5bfield%20folio-destination-name:%27LJC_a3y2000s6(2)(i)%27%5d&amp;xhitlist_md=target-id=0-0-0-132555" \t "main" </w:instrText>
      </w:r>
      <w:r w:rsidRPr="00045CBE">
        <w:rPr>
          <w:rFonts w:ascii="Arial" w:hAnsi="Arial" w:cs="Arial"/>
          <w:sz w:val="18"/>
          <w:szCs w:val="18"/>
        </w:rPr>
        <w:fldChar w:fldCharType="separate"/>
      </w:r>
      <w:r w:rsidRPr="00045CBE">
        <w:rPr>
          <w:rStyle w:val="Hyperlink"/>
          <w:rFonts w:ascii="Arial" w:hAnsi="Arial" w:cs="Arial"/>
          <w:i/>
          <w:iCs/>
          <w:color w:val="auto"/>
          <w:sz w:val="18"/>
          <w:szCs w:val="18"/>
          <w:u w:val="none"/>
        </w:rPr>
        <w:t>(i)</w:t>
      </w:r>
      <w:r w:rsidRPr="00045CBE">
        <w:rPr>
          <w:rFonts w:ascii="Arial" w:hAnsi="Arial" w:cs="Arial"/>
          <w:sz w:val="18"/>
          <w:szCs w:val="18"/>
        </w:rPr>
        <w:fldChar w:fldCharType="end"/>
      </w:r>
      <w:r w:rsidRPr="00045CBE">
        <w:rPr>
          <w:rFonts w:ascii="Arial" w:hAnsi="Arial" w:cs="Arial"/>
          <w:sz w:val="18"/>
          <w:szCs w:val="18"/>
        </w:rPr>
        <w:t>   the action is</w:t>
      </w:r>
      <w:r w:rsidRPr="00045CBE">
        <w:rPr>
          <w:rFonts w:ascii="Arial" w:hAnsi="Arial" w:cs="Arial"/>
          <w:color w:val="000000"/>
          <w:sz w:val="18"/>
          <w:szCs w:val="18"/>
        </w:rPr>
        <w:t xml:space="preserve"> otherwise unconstitutional or unlawful.</w:t>
      </w:r>
    </w:p>
    <w:p w:rsidR="0039295E" w:rsidRPr="00B03952" w:rsidRDefault="0039295E" w:rsidP="00B03952">
      <w:pPr>
        <w:pStyle w:val="FootnoteText"/>
        <w:jc w:val="both"/>
        <w:rPr>
          <w:rFonts w:ascii="Arial" w:hAnsi="Arial" w:cs="Arial"/>
          <w:sz w:val="18"/>
          <w:szCs w:val="18"/>
          <w:lang w:val="en-US"/>
        </w:rPr>
      </w:pPr>
      <w:bookmarkStart w:id="23" w:name="0-0-0-132557"/>
      <w:bookmarkEnd w:id="23"/>
    </w:p>
  </w:footnote>
  <w:footnote w:id="14">
    <w:p w:rsidR="0039295E" w:rsidRPr="00045CBE" w:rsidRDefault="0039295E">
      <w:pPr>
        <w:pStyle w:val="FootnoteText"/>
        <w:rPr>
          <w:rFonts w:ascii="Arial" w:hAnsi="Arial" w:cs="Arial"/>
          <w:sz w:val="18"/>
          <w:szCs w:val="18"/>
          <w:lang w:val="en-US"/>
        </w:rPr>
      </w:pPr>
      <w:r w:rsidRPr="00045CBE">
        <w:rPr>
          <w:rStyle w:val="FootnoteReference"/>
          <w:rFonts w:ascii="Arial" w:hAnsi="Arial" w:cs="Arial"/>
          <w:sz w:val="18"/>
          <w:szCs w:val="18"/>
        </w:rPr>
        <w:footnoteRef/>
      </w:r>
      <w:r w:rsidRPr="00045CBE">
        <w:rPr>
          <w:rFonts w:ascii="Arial" w:hAnsi="Arial" w:cs="Arial"/>
          <w:sz w:val="18"/>
          <w:szCs w:val="18"/>
        </w:rPr>
        <w:t xml:space="preserve"> </w:t>
      </w:r>
      <w:r w:rsidRPr="00045CBE">
        <w:rPr>
          <w:rFonts w:ascii="Arial" w:hAnsi="Arial" w:cs="Arial"/>
          <w:sz w:val="18"/>
          <w:szCs w:val="18"/>
          <w:lang w:val="en-US"/>
        </w:rPr>
        <w:t xml:space="preserve">See fn 13 above. </w:t>
      </w:r>
    </w:p>
  </w:footnote>
  <w:footnote w:id="15">
    <w:p w:rsidR="0039295E" w:rsidRPr="000B3D04" w:rsidRDefault="0039295E">
      <w:pPr>
        <w:pStyle w:val="FootnoteText"/>
        <w:rPr>
          <w:rFonts w:ascii="Arial" w:hAnsi="Arial" w:cs="Arial"/>
          <w:sz w:val="18"/>
          <w:szCs w:val="18"/>
          <w:lang w:val="en-US"/>
        </w:rPr>
      </w:pPr>
      <w:r w:rsidRPr="00045CBE">
        <w:rPr>
          <w:rStyle w:val="FootnoteReference"/>
          <w:rFonts w:ascii="Arial" w:hAnsi="Arial" w:cs="Arial"/>
          <w:sz w:val="18"/>
          <w:szCs w:val="18"/>
        </w:rPr>
        <w:footnoteRef/>
      </w:r>
      <w:r w:rsidRPr="00045CBE">
        <w:rPr>
          <w:rFonts w:ascii="Arial" w:hAnsi="Arial" w:cs="Arial"/>
          <w:sz w:val="18"/>
          <w:szCs w:val="18"/>
        </w:rPr>
        <w:t xml:space="preserve"> </w:t>
      </w:r>
      <w:r w:rsidRPr="00045CBE">
        <w:rPr>
          <w:rFonts w:ascii="Arial" w:hAnsi="Arial" w:cs="Arial"/>
          <w:sz w:val="18"/>
          <w:szCs w:val="18"/>
          <w:lang w:val="en-US"/>
        </w:rPr>
        <w:t xml:space="preserve">Id. </w:t>
      </w:r>
    </w:p>
  </w:footnote>
  <w:footnote w:id="16">
    <w:p w:rsidR="0039295E" w:rsidRPr="000B3D04" w:rsidRDefault="0039295E">
      <w:pPr>
        <w:pStyle w:val="FootnoteText"/>
        <w:rPr>
          <w:lang w:val="en-US"/>
        </w:rPr>
      </w:pPr>
      <w:r w:rsidRPr="000B3D04">
        <w:rPr>
          <w:rStyle w:val="FootnoteReference"/>
          <w:rFonts w:ascii="Arial" w:hAnsi="Arial" w:cs="Arial"/>
          <w:sz w:val="18"/>
          <w:szCs w:val="18"/>
        </w:rPr>
        <w:footnoteRef/>
      </w:r>
      <w:r w:rsidRPr="000B3D04">
        <w:rPr>
          <w:rFonts w:ascii="Arial" w:hAnsi="Arial" w:cs="Arial"/>
          <w:sz w:val="18"/>
          <w:szCs w:val="18"/>
        </w:rPr>
        <w:t xml:space="preserve"> </w:t>
      </w:r>
      <w:r w:rsidRPr="000B3D04">
        <w:rPr>
          <w:rFonts w:ascii="Arial" w:hAnsi="Arial" w:cs="Arial"/>
          <w:i/>
          <w:sz w:val="18"/>
          <w:szCs w:val="18"/>
          <w:lang w:val="en-US"/>
        </w:rPr>
        <w:t>Grey’s Marine Hout Bay (Pty) Ltd and others v Minister of Public Works and others</w:t>
      </w:r>
      <w:r w:rsidRPr="000B3D04">
        <w:rPr>
          <w:rFonts w:ascii="Arial" w:hAnsi="Arial" w:cs="Arial"/>
          <w:sz w:val="18"/>
          <w:szCs w:val="18"/>
          <w:lang w:val="en-US"/>
        </w:rPr>
        <w:t xml:space="preserve"> 2005(6) SA 313 (SCA) (</w:t>
      </w:r>
      <w:r w:rsidRPr="000B3D04">
        <w:rPr>
          <w:rFonts w:ascii="Arial" w:hAnsi="Arial" w:cs="Arial"/>
          <w:i/>
          <w:sz w:val="18"/>
          <w:szCs w:val="18"/>
          <w:lang w:val="en-US"/>
        </w:rPr>
        <w:t>Grey’s Marine</w:t>
      </w:r>
      <w:r w:rsidRPr="000B3D04">
        <w:rPr>
          <w:rFonts w:ascii="Arial" w:hAnsi="Arial" w:cs="Arial"/>
          <w:sz w:val="18"/>
          <w:szCs w:val="18"/>
          <w:lang w:val="en-US"/>
        </w:rPr>
        <w:t>)</w:t>
      </w:r>
      <w:r>
        <w:rPr>
          <w:rFonts w:ascii="Arial" w:hAnsi="Arial" w:cs="Arial"/>
          <w:sz w:val="18"/>
          <w:szCs w:val="18"/>
          <w:lang w:val="en-US"/>
        </w:rPr>
        <w:t xml:space="preserve"> at para 23</w:t>
      </w:r>
      <w:r w:rsidRPr="000B3D04">
        <w:rPr>
          <w:rFonts w:ascii="Arial" w:hAnsi="Arial" w:cs="Arial"/>
          <w:sz w:val="18"/>
          <w:szCs w:val="18"/>
          <w:lang w:val="en-US"/>
        </w:rPr>
        <w:t>.</w:t>
      </w:r>
    </w:p>
  </w:footnote>
  <w:footnote w:id="17">
    <w:p w:rsidR="0039295E" w:rsidRPr="00323FA4" w:rsidRDefault="0039295E">
      <w:pPr>
        <w:pStyle w:val="FootnoteText"/>
        <w:rPr>
          <w:i/>
          <w:lang w:val="en-US"/>
        </w:rPr>
      </w:pPr>
      <w:r w:rsidRPr="00323FA4">
        <w:rPr>
          <w:rStyle w:val="FootnoteReference"/>
          <w:rFonts w:ascii="Arial" w:hAnsi="Arial" w:cs="Arial"/>
          <w:sz w:val="18"/>
          <w:szCs w:val="18"/>
        </w:rPr>
        <w:footnoteRef/>
      </w:r>
      <w:r w:rsidRPr="00323FA4">
        <w:rPr>
          <w:rFonts w:ascii="Arial" w:hAnsi="Arial" w:cs="Arial"/>
          <w:sz w:val="18"/>
          <w:szCs w:val="18"/>
        </w:rPr>
        <w:t xml:space="preserve"> </w:t>
      </w:r>
      <w:r w:rsidRPr="00323FA4">
        <w:rPr>
          <w:rFonts w:ascii="Arial" w:hAnsi="Arial" w:cs="Arial"/>
          <w:i/>
          <w:sz w:val="18"/>
          <w:szCs w:val="18"/>
          <w:lang w:val="en-US"/>
        </w:rPr>
        <w:t xml:space="preserve">Steenkamp NO v Provincial Tender Board, Eastern Cape </w:t>
      </w:r>
      <w:r w:rsidRPr="00323FA4">
        <w:rPr>
          <w:rFonts w:ascii="Arial" w:hAnsi="Arial" w:cs="Arial"/>
          <w:sz w:val="18"/>
          <w:szCs w:val="18"/>
          <w:lang w:val="en-US"/>
        </w:rPr>
        <w:t>[2006] ZACC 16; 2007(3) SA 121 (CC); 2007(3) BCLR 300 (CC).</w:t>
      </w:r>
    </w:p>
  </w:footnote>
  <w:footnote w:id="18">
    <w:p w:rsidR="0039295E" w:rsidRPr="0047063A" w:rsidRDefault="0039295E" w:rsidP="00613517">
      <w:pPr>
        <w:pStyle w:val="FootnoteText"/>
        <w:rPr>
          <w:rFonts w:ascii="Arial" w:hAnsi="Arial" w:cs="Arial"/>
          <w:sz w:val="18"/>
          <w:szCs w:val="18"/>
          <w:lang w:val="en-US"/>
        </w:rPr>
      </w:pPr>
      <w:r w:rsidRPr="0047063A">
        <w:rPr>
          <w:rStyle w:val="FootnoteReference"/>
          <w:rFonts w:ascii="Arial" w:hAnsi="Arial" w:cs="Arial"/>
          <w:sz w:val="18"/>
          <w:szCs w:val="18"/>
        </w:rPr>
        <w:footnoteRef/>
      </w:r>
      <w:r w:rsidRPr="0047063A">
        <w:rPr>
          <w:rFonts w:ascii="Arial" w:hAnsi="Arial" w:cs="Arial"/>
          <w:sz w:val="18"/>
          <w:szCs w:val="18"/>
        </w:rPr>
        <w:t xml:space="preserve"> </w:t>
      </w:r>
      <w:r w:rsidRPr="0047063A">
        <w:rPr>
          <w:rFonts w:ascii="Arial" w:hAnsi="Arial" w:cs="Arial"/>
          <w:i/>
          <w:sz w:val="18"/>
          <w:szCs w:val="18"/>
          <w:lang w:val="en-US"/>
        </w:rPr>
        <w:t>Earthlife Africa and another v Minister of Energy and others</w:t>
      </w:r>
      <w:r w:rsidRPr="0047063A">
        <w:rPr>
          <w:rFonts w:ascii="Arial" w:hAnsi="Arial" w:cs="Arial"/>
          <w:sz w:val="18"/>
          <w:szCs w:val="18"/>
          <w:lang w:val="en-US"/>
        </w:rPr>
        <w:t xml:space="preserve"> 2017(5) SA 227 (WCC) at</w:t>
      </w:r>
      <w:r>
        <w:rPr>
          <w:rFonts w:ascii="Arial" w:hAnsi="Arial" w:cs="Arial"/>
          <w:sz w:val="18"/>
          <w:szCs w:val="18"/>
          <w:lang w:val="en-US"/>
        </w:rPr>
        <w:t xml:space="preserve"> para 37.</w:t>
      </w:r>
    </w:p>
  </w:footnote>
  <w:footnote w:id="19">
    <w:p w:rsidR="0039295E" w:rsidRPr="00D809EC" w:rsidRDefault="0039295E" w:rsidP="00D809EC">
      <w:pPr>
        <w:pStyle w:val="NormalWeb"/>
        <w:shd w:val="clear" w:color="auto" w:fill="FFFFFF"/>
        <w:spacing w:before="0" w:beforeAutospacing="0" w:after="0" w:afterAutospacing="0"/>
        <w:jc w:val="both"/>
        <w:rPr>
          <w:rFonts w:ascii="Arial" w:hAnsi="Arial" w:cs="Arial"/>
          <w:color w:val="242121"/>
          <w:sz w:val="18"/>
          <w:szCs w:val="18"/>
        </w:rPr>
      </w:pPr>
      <w:r w:rsidRPr="00D809EC">
        <w:rPr>
          <w:rStyle w:val="FootnoteReference"/>
          <w:rFonts w:ascii="Arial" w:hAnsi="Arial" w:cs="Arial"/>
          <w:sz w:val="18"/>
          <w:szCs w:val="18"/>
        </w:rPr>
        <w:footnoteRef/>
      </w:r>
      <w:r w:rsidRPr="00D809EC">
        <w:rPr>
          <w:rFonts w:ascii="Arial" w:hAnsi="Arial" w:cs="Arial"/>
          <w:sz w:val="18"/>
          <w:szCs w:val="18"/>
        </w:rPr>
        <w:t xml:space="preserve"> </w:t>
      </w:r>
      <w:r w:rsidRPr="00D809EC">
        <w:rPr>
          <w:rFonts w:ascii="Arial" w:hAnsi="Arial" w:cs="Arial"/>
          <w:i/>
          <w:iCs/>
          <w:color w:val="242121"/>
          <w:sz w:val="18"/>
          <w:szCs w:val="18"/>
          <w:lang w:val="en-US"/>
        </w:rPr>
        <w:t>Plascon-Evans Paints v Van Riebeeck Paints </w:t>
      </w:r>
      <w:r w:rsidRPr="00D809EC">
        <w:rPr>
          <w:rFonts w:ascii="Arial" w:hAnsi="Arial" w:cs="Arial"/>
          <w:color w:val="242121"/>
          <w:sz w:val="18"/>
          <w:szCs w:val="18"/>
          <w:lang w:val="en-US"/>
        </w:rPr>
        <w:t xml:space="preserve">1984(3) 623 (A) at 634H-635C; </w:t>
      </w:r>
      <w:r w:rsidRPr="00D809EC">
        <w:rPr>
          <w:rFonts w:ascii="Arial" w:hAnsi="Arial" w:cs="Arial"/>
          <w:i/>
          <w:iCs/>
          <w:color w:val="242121"/>
          <w:sz w:val="18"/>
          <w:szCs w:val="18"/>
          <w:lang w:val="en-US"/>
        </w:rPr>
        <w:t>Wightman t/a JW Construction v Headfour (Pty) Ltd and ano </w:t>
      </w:r>
      <w:r w:rsidRPr="00D809EC">
        <w:rPr>
          <w:rFonts w:ascii="Arial" w:hAnsi="Arial" w:cs="Arial"/>
          <w:color w:val="242121"/>
          <w:sz w:val="18"/>
          <w:szCs w:val="18"/>
          <w:lang w:val="en-US"/>
        </w:rPr>
        <w:t>2008(3) SA 371 (SCA), para 13.</w:t>
      </w:r>
    </w:p>
    <w:p w:rsidR="0039295E" w:rsidRPr="00D809EC" w:rsidRDefault="0039295E">
      <w:pPr>
        <w:pStyle w:val="FootnoteText"/>
        <w:rPr>
          <w:lang w:val="en-US"/>
        </w:rPr>
      </w:pPr>
    </w:p>
  </w:footnote>
  <w:footnote w:id="20">
    <w:p w:rsidR="0039295E" w:rsidRPr="00D37055" w:rsidRDefault="0039295E" w:rsidP="00D37055">
      <w:pPr>
        <w:pStyle w:val="Heading2"/>
        <w:shd w:val="clear" w:color="auto" w:fill="FFFFFF"/>
        <w:spacing w:before="0" w:beforeAutospacing="0" w:after="0" w:afterAutospacing="0"/>
        <w:rPr>
          <w:rFonts w:ascii="Arial" w:hAnsi="Arial" w:cs="Arial"/>
          <w:b w:val="0"/>
          <w:bCs w:val="0"/>
          <w:sz w:val="18"/>
          <w:szCs w:val="18"/>
        </w:rPr>
      </w:pPr>
      <w:r w:rsidRPr="00D809EC">
        <w:rPr>
          <w:rStyle w:val="FootnoteReference"/>
          <w:rFonts w:ascii="Arial" w:hAnsi="Arial" w:cs="Arial"/>
          <w:sz w:val="18"/>
          <w:szCs w:val="18"/>
        </w:rPr>
        <w:footnoteRef/>
      </w:r>
      <w:r w:rsidRPr="00D809EC">
        <w:rPr>
          <w:rFonts w:ascii="Arial" w:hAnsi="Arial" w:cs="Arial"/>
          <w:sz w:val="18"/>
          <w:szCs w:val="18"/>
        </w:rPr>
        <w:t xml:space="preserve"> </w:t>
      </w:r>
      <w:r w:rsidRPr="00D809EC">
        <w:rPr>
          <w:rFonts w:ascii="Arial" w:hAnsi="Arial" w:cs="Arial"/>
          <w:b w:val="0"/>
          <w:bCs w:val="0"/>
          <w:i/>
          <w:sz w:val="18"/>
          <w:szCs w:val="18"/>
        </w:rPr>
        <w:t>Administrator of Transvaal and Others v Theletsane and Another</w:t>
      </w:r>
      <w:r w:rsidRPr="00D809EC">
        <w:rPr>
          <w:rFonts w:ascii="Arial" w:hAnsi="Arial" w:cs="Arial"/>
          <w:b w:val="0"/>
          <w:bCs w:val="0"/>
          <w:sz w:val="18"/>
          <w:szCs w:val="18"/>
        </w:rPr>
        <w:t xml:space="preserve"> [1990] ZASCA 156; 1991 (2) SA 192 (AD); [1991] 4 All SA 132 (AD).</w:t>
      </w:r>
    </w:p>
  </w:footnote>
  <w:footnote w:id="21">
    <w:p w:rsidR="003D3F40" w:rsidRPr="00D37055" w:rsidRDefault="003D3F40">
      <w:pPr>
        <w:pStyle w:val="FootnoteText"/>
        <w:rPr>
          <w:rFonts w:ascii="Arial" w:hAnsi="Arial" w:cs="Arial"/>
          <w:sz w:val="18"/>
          <w:szCs w:val="18"/>
          <w:lang w:val="en-US"/>
        </w:rPr>
      </w:pPr>
      <w:r w:rsidRPr="00D37055">
        <w:rPr>
          <w:rStyle w:val="FootnoteReference"/>
          <w:rFonts w:ascii="Arial" w:hAnsi="Arial" w:cs="Arial"/>
          <w:sz w:val="18"/>
          <w:szCs w:val="18"/>
        </w:rPr>
        <w:footnoteRef/>
      </w:r>
      <w:r w:rsidRPr="00D37055">
        <w:rPr>
          <w:rFonts w:ascii="Arial" w:hAnsi="Arial" w:cs="Arial"/>
          <w:sz w:val="18"/>
          <w:szCs w:val="18"/>
        </w:rPr>
        <w:t xml:space="preserve"> </w:t>
      </w:r>
      <w:r w:rsidR="00D37055" w:rsidRPr="00D37055">
        <w:rPr>
          <w:rFonts w:ascii="Arial" w:hAnsi="Arial" w:cs="Arial"/>
          <w:i/>
          <w:sz w:val="18"/>
          <w:szCs w:val="18"/>
        </w:rPr>
        <w:t xml:space="preserve">Cool Ideas 1186 CC v Hubbard and another </w:t>
      </w:r>
      <w:r w:rsidR="00D37055" w:rsidRPr="00D37055">
        <w:rPr>
          <w:rFonts w:ascii="Arial" w:hAnsi="Arial" w:cs="Arial"/>
          <w:sz w:val="18"/>
          <w:szCs w:val="18"/>
        </w:rPr>
        <w:t xml:space="preserve">2014(4) SA 474 (CC) </w:t>
      </w:r>
      <w:r w:rsidR="00D37055">
        <w:rPr>
          <w:rFonts w:ascii="Arial" w:hAnsi="Arial" w:cs="Arial"/>
          <w:sz w:val="18"/>
          <w:szCs w:val="18"/>
        </w:rPr>
        <w:t>(</w:t>
      </w:r>
      <w:r w:rsidR="00D37055" w:rsidRPr="00D37055">
        <w:rPr>
          <w:rFonts w:ascii="Arial" w:hAnsi="Arial" w:cs="Arial"/>
          <w:sz w:val="18"/>
          <w:szCs w:val="18"/>
        </w:rPr>
        <w:t>Cool Ideas</w:t>
      </w:r>
      <w:r w:rsidR="00D37055">
        <w:rPr>
          <w:rFonts w:ascii="Arial" w:hAnsi="Arial" w:cs="Arial"/>
          <w:sz w:val="18"/>
          <w:szCs w:val="18"/>
        </w:rPr>
        <w:t xml:space="preserve">) </w:t>
      </w:r>
      <w:r w:rsidR="00D37055" w:rsidRPr="00D37055">
        <w:rPr>
          <w:rFonts w:ascii="Arial" w:hAnsi="Arial" w:cs="Arial"/>
          <w:sz w:val="18"/>
          <w:szCs w:val="18"/>
        </w:rPr>
        <w:t>at para 28.</w:t>
      </w:r>
    </w:p>
  </w:footnote>
  <w:footnote w:id="22">
    <w:p w:rsidR="00D9282A" w:rsidRPr="004A6E23" w:rsidRDefault="00D9282A" w:rsidP="004A6E23">
      <w:pPr>
        <w:pStyle w:val="Heading2"/>
        <w:shd w:val="clear" w:color="auto" w:fill="FFFFFF"/>
        <w:spacing w:before="0" w:beforeAutospacing="0" w:after="0" w:afterAutospacing="0"/>
        <w:jc w:val="both"/>
        <w:rPr>
          <w:rFonts w:ascii="Arial" w:hAnsi="Arial" w:cs="Arial"/>
          <w:b w:val="0"/>
          <w:bCs w:val="0"/>
          <w:sz w:val="18"/>
          <w:szCs w:val="18"/>
        </w:rPr>
      </w:pPr>
      <w:r w:rsidRPr="004A6E23">
        <w:rPr>
          <w:rStyle w:val="FootnoteReference"/>
          <w:rFonts w:ascii="Arial" w:hAnsi="Arial" w:cs="Arial"/>
          <w:b w:val="0"/>
          <w:sz w:val="18"/>
          <w:szCs w:val="18"/>
        </w:rPr>
        <w:footnoteRef/>
      </w:r>
      <w:r w:rsidRPr="004A6E23">
        <w:rPr>
          <w:rFonts w:ascii="Arial" w:hAnsi="Arial" w:cs="Arial"/>
          <w:b w:val="0"/>
          <w:sz w:val="18"/>
          <w:szCs w:val="18"/>
        </w:rPr>
        <w:t xml:space="preserve"> </w:t>
      </w:r>
      <w:r w:rsidRPr="004A6E23">
        <w:rPr>
          <w:rFonts w:ascii="Arial" w:hAnsi="Arial" w:cs="Arial"/>
          <w:b w:val="0"/>
          <w:sz w:val="18"/>
          <w:szCs w:val="18"/>
          <w:lang w:val="en-US"/>
        </w:rPr>
        <w:t xml:space="preserve">Section 10, section 28(2) and section 29(1) of the Bill of Rights. </w:t>
      </w:r>
      <w:r w:rsidR="004A6E23" w:rsidRPr="004A6E23">
        <w:rPr>
          <w:rFonts w:ascii="Arial" w:hAnsi="Arial" w:cs="Arial"/>
          <w:b w:val="0"/>
          <w:sz w:val="18"/>
          <w:szCs w:val="18"/>
          <w:lang w:val="en-US"/>
        </w:rPr>
        <w:t xml:space="preserve">See too </w:t>
      </w:r>
      <w:r w:rsidR="004A6E23" w:rsidRPr="004A6E23">
        <w:rPr>
          <w:rFonts w:ascii="Arial" w:hAnsi="Arial" w:cs="Arial"/>
          <w:b w:val="0"/>
          <w:bCs w:val="0"/>
          <w:i/>
          <w:sz w:val="18"/>
          <w:szCs w:val="18"/>
        </w:rPr>
        <w:t>Komape and Others v Minister of Basic Education</w:t>
      </w:r>
      <w:r w:rsidR="004A6E23" w:rsidRPr="004A6E23">
        <w:rPr>
          <w:rFonts w:ascii="Arial" w:hAnsi="Arial" w:cs="Arial"/>
          <w:b w:val="0"/>
          <w:bCs w:val="0"/>
          <w:sz w:val="18"/>
          <w:szCs w:val="18"/>
        </w:rPr>
        <w:t xml:space="preserve"> [2018] ZALMPPHC 18; </w:t>
      </w:r>
      <w:r w:rsidR="004A6E23" w:rsidRPr="004A6E23">
        <w:rPr>
          <w:rFonts w:ascii="Arial" w:hAnsi="Arial" w:cs="Arial"/>
          <w:b w:val="0"/>
          <w:i/>
          <w:sz w:val="18"/>
          <w:szCs w:val="18"/>
          <w:shd w:val="clear" w:color="auto" w:fill="FFFFFF"/>
        </w:rPr>
        <w:t>Komape v Minister of Basic Education</w:t>
      </w:r>
      <w:r w:rsidR="004A6E23" w:rsidRPr="004A6E23">
        <w:rPr>
          <w:rFonts w:ascii="Arial" w:hAnsi="Arial" w:cs="Arial"/>
          <w:b w:val="0"/>
          <w:sz w:val="18"/>
          <w:szCs w:val="18"/>
          <w:shd w:val="clear" w:color="auto" w:fill="FFFFFF"/>
        </w:rPr>
        <w:t xml:space="preserve"> [2019] ZASCA 192. </w:t>
      </w:r>
    </w:p>
  </w:footnote>
  <w:footnote w:id="23">
    <w:p w:rsidR="0039295E" w:rsidRPr="004A6E23" w:rsidRDefault="0039295E" w:rsidP="004A6E23">
      <w:pPr>
        <w:pStyle w:val="FootnoteText"/>
        <w:jc w:val="both"/>
        <w:rPr>
          <w:rFonts w:ascii="Arial" w:hAnsi="Arial" w:cs="Arial"/>
          <w:sz w:val="18"/>
          <w:szCs w:val="18"/>
          <w:lang w:val="en-US"/>
        </w:rPr>
      </w:pPr>
      <w:r w:rsidRPr="004A6E23">
        <w:rPr>
          <w:rStyle w:val="FootnoteReference"/>
          <w:rFonts w:ascii="Arial" w:hAnsi="Arial" w:cs="Arial"/>
          <w:sz w:val="18"/>
          <w:szCs w:val="18"/>
        </w:rPr>
        <w:footnoteRef/>
      </w:r>
      <w:r w:rsidRPr="004A6E23">
        <w:rPr>
          <w:rFonts w:ascii="Arial" w:hAnsi="Arial" w:cs="Arial"/>
          <w:sz w:val="18"/>
          <w:szCs w:val="18"/>
        </w:rPr>
        <w:t xml:space="preserve"> </w:t>
      </w:r>
      <w:r w:rsidRPr="004A6E23">
        <w:rPr>
          <w:rFonts w:ascii="Arial" w:hAnsi="Arial" w:cs="Arial"/>
          <w:sz w:val="18"/>
          <w:szCs w:val="18"/>
          <w:lang w:val="en-US"/>
        </w:rPr>
        <w:t>See above n 7 for its detailed requirements.</w:t>
      </w:r>
    </w:p>
  </w:footnote>
  <w:footnote w:id="24">
    <w:p w:rsidR="00046610" w:rsidRPr="00243850" w:rsidRDefault="00046610" w:rsidP="00046610">
      <w:pPr>
        <w:pStyle w:val="FootnoteText"/>
        <w:jc w:val="both"/>
        <w:rPr>
          <w:rFonts w:ascii="Arial" w:hAnsi="Arial" w:cs="Arial"/>
          <w:sz w:val="18"/>
          <w:szCs w:val="18"/>
          <w:lang w:val="en-US"/>
        </w:rPr>
      </w:pPr>
      <w:r w:rsidRPr="00243850">
        <w:rPr>
          <w:rStyle w:val="FootnoteReference"/>
          <w:rFonts w:ascii="Arial" w:hAnsi="Arial" w:cs="Arial"/>
          <w:sz w:val="18"/>
          <w:szCs w:val="18"/>
        </w:rPr>
        <w:footnoteRef/>
      </w:r>
      <w:r w:rsidRPr="00243850">
        <w:rPr>
          <w:rFonts w:ascii="Arial" w:hAnsi="Arial" w:cs="Arial"/>
          <w:sz w:val="18"/>
          <w:szCs w:val="18"/>
        </w:rPr>
        <w:t xml:space="preserve"> </w:t>
      </w:r>
      <w:r w:rsidRPr="00243850">
        <w:rPr>
          <w:rFonts w:ascii="Arial" w:hAnsi="Arial" w:cs="Arial"/>
          <w:i/>
          <w:sz w:val="18"/>
          <w:szCs w:val="18"/>
          <w:lang w:val="en-US"/>
        </w:rPr>
        <w:t>African Christian Democratic party v Electoral Commission and others</w:t>
      </w:r>
      <w:r w:rsidRPr="00243850">
        <w:rPr>
          <w:rFonts w:ascii="Arial" w:hAnsi="Arial" w:cs="Arial"/>
          <w:sz w:val="18"/>
          <w:szCs w:val="18"/>
          <w:lang w:val="en-US"/>
        </w:rPr>
        <w:t xml:space="preserve"> 2006(83) SA 305 (CC)</w:t>
      </w:r>
      <w:r>
        <w:rPr>
          <w:rFonts w:ascii="Arial" w:hAnsi="Arial" w:cs="Arial"/>
          <w:sz w:val="18"/>
          <w:szCs w:val="18"/>
          <w:lang w:val="en-US"/>
        </w:rPr>
        <w:t xml:space="preserve"> at para 25.  See t</w:t>
      </w:r>
      <w:r w:rsidRPr="00243850">
        <w:rPr>
          <w:rFonts w:ascii="Arial" w:hAnsi="Arial" w:cs="Arial"/>
          <w:sz w:val="18"/>
          <w:szCs w:val="18"/>
          <w:lang w:val="en-US"/>
        </w:rPr>
        <w:t xml:space="preserve">oo, </w:t>
      </w:r>
      <w:r w:rsidRPr="00243850">
        <w:rPr>
          <w:rFonts w:ascii="Arial" w:hAnsi="Arial" w:cs="Arial"/>
          <w:i/>
          <w:iCs/>
          <w:color w:val="000000"/>
          <w:sz w:val="18"/>
          <w:szCs w:val="18"/>
        </w:rPr>
        <w:t xml:space="preserve">Allpay Consolidated Investment Holdings (Pty) Ltd and Others v Chief Executive Officer, South African Social Security Agency, and </w:t>
      </w:r>
      <w:r w:rsidRPr="00243850">
        <w:rPr>
          <w:rFonts w:ascii="Arial" w:hAnsi="Arial" w:cs="Arial"/>
          <w:i/>
          <w:iCs/>
          <w:sz w:val="18"/>
          <w:szCs w:val="18"/>
        </w:rPr>
        <w:t>Others</w:t>
      </w:r>
      <w:r w:rsidRPr="00243850">
        <w:rPr>
          <w:rFonts w:ascii="Arial" w:hAnsi="Arial" w:cs="Arial"/>
          <w:sz w:val="18"/>
          <w:szCs w:val="18"/>
        </w:rPr>
        <w:t> </w:t>
      </w:r>
      <w:r>
        <w:rPr>
          <w:rFonts w:ascii="Arial" w:hAnsi="Arial" w:cs="Arial"/>
          <w:sz w:val="18"/>
          <w:szCs w:val="18"/>
        </w:rPr>
        <w:t xml:space="preserve">[2013] ACC 42; </w:t>
      </w:r>
      <w:hyperlink r:id="rId16" w:tgtFrame="main" w:history="1">
        <w:r w:rsidRPr="00243850">
          <w:rPr>
            <w:rStyle w:val="Hyperlink"/>
            <w:rFonts w:ascii="Arial" w:hAnsi="Arial" w:cs="Arial"/>
            <w:color w:val="auto"/>
            <w:sz w:val="18"/>
            <w:szCs w:val="18"/>
            <w:u w:val="none"/>
          </w:rPr>
          <w:t>2014 (1) SA 604 (CC)</w:t>
        </w:r>
      </w:hyperlink>
      <w:r w:rsidRPr="00243850">
        <w:rPr>
          <w:rFonts w:ascii="Arial" w:hAnsi="Arial" w:cs="Arial"/>
          <w:sz w:val="18"/>
          <w:szCs w:val="18"/>
        </w:rPr>
        <w:t xml:space="preserve"> (2014 (1) BCLR </w:t>
      </w:r>
      <w:r w:rsidRPr="00243850">
        <w:rPr>
          <w:rFonts w:ascii="Arial" w:hAnsi="Arial" w:cs="Arial"/>
          <w:color w:val="000000"/>
          <w:sz w:val="18"/>
          <w:szCs w:val="18"/>
        </w:rPr>
        <w:t>1</w:t>
      </w:r>
      <w:r>
        <w:rPr>
          <w:rFonts w:ascii="Arial" w:hAnsi="Arial" w:cs="Arial"/>
          <w:color w:val="000000"/>
          <w:sz w:val="18"/>
          <w:szCs w:val="18"/>
        </w:rPr>
        <w:t xml:space="preserve"> at</w:t>
      </w:r>
      <w:r w:rsidRPr="00243850">
        <w:rPr>
          <w:rFonts w:ascii="Arial" w:hAnsi="Arial" w:cs="Arial"/>
          <w:color w:val="000000"/>
          <w:sz w:val="18"/>
          <w:szCs w:val="18"/>
        </w:rPr>
        <w:t xml:space="preserve"> para 30</w:t>
      </w:r>
      <w:r>
        <w:rPr>
          <w:rFonts w:ascii="Arial" w:hAnsi="Arial" w:cs="Arial"/>
          <w:sz w:val="18"/>
          <w:szCs w:val="18"/>
          <w:lang w:val="en-US"/>
        </w:rPr>
        <w:t>.</w:t>
      </w:r>
    </w:p>
  </w:footnote>
  <w:footnote w:id="25">
    <w:p w:rsidR="00046610" w:rsidRPr="00046610" w:rsidRDefault="00046610">
      <w:pPr>
        <w:pStyle w:val="FootnoteText"/>
        <w:rPr>
          <w:rFonts w:ascii="Arial" w:hAnsi="Arial" w:cs="Arial"/>
          <w:sz w:val="18"/>
          <w:szCs w:val="18"/>
          <w:lang w:val="en-US"/>
        </w:rPr>
      </w:pPr>
      <w:r w:rsidRPr="00046610">
        <w:rPr>
          <w:rStyle w:val="FootnoteReference"/>
          <w:rFonts w:ascii="Arial" w:hAnsi="Arial" w:cs="Arial"/>
          <w:sz w:val="18"/>
          <w:szCs w:val="18"/>
        </w:rPr>
        <w:footnoteRef/>
      </w:r>
      <w:r w:rsidRPr="00046610">
        <w:rPr>
          <w:rFonts w:ascii="Arial" w:hAnsi="Arial" w:cs="Arial"/>
          <w:sz w:val="18"/>
          <w:szCs w:val="18"/>
        </w:rPr>
        <w:t xml:space="preserve"> </w:t>
      </w:r>
      <w:r w:rsidRPr="00046610">
        <w:rPr>
          <w:rFonts w:ascii="Arial" w:hAnsi="Arial" w:cs="Arial"/>
          <w:sz w:val="18"/>
          <w:szCs w:val="18"/>
          <w:lang w:val="en-US"/>
        </w:rPr>
        <w:t>At para 30.</w:t>
      </w:r>
    </w:p>
  </w:footnote>
  <w:footnote w:id="26">
    <w:p w:rsidR="005D241B" w:rsidRDefault="005D241B">
      <w:pPr>
        <w:pStyle w:val="FootnoteText"/>
        <w:rPr>
          <w:rFonts w:ascii="Arial" w:hAnsi="Arial" w:cs="Arial"/>
          <w:sz w:val="18"/>
          <w:szCs w:val="18"/>
          <w:lang w:val="en-US"/>
        </w:rPr>
      </w:pPr>
      <w:r w:rsidRPr="005D241B">
        <w:rPr>
          <w:rStyle w:val="FootnoteReference"/>
          <w:rFonts w:ascii="Arial" w:hAnsi="Arial" w:cs="Arial"/>
          <w:sz w:val="18"/>
          <w:szCs w:val="18"/>
        </w:rPr>
        <w:footnoteRef/>
      </w:r>
      <w:r w:rsidRPr="005D241B">
        <w:rPr>
          <w:rFonts w:ascii="Arial" w:hAnsi="Arial" w:cs="Arial"/>
          <w:sz w:val="18"/>
          <w:szCs w:val="18"/>
        </w:rPr>
        <w:t xml:space="preserve"> </w:t>
      </w:r>
      <w:r w:rsidRPr="005D241B">
        <w:rPr>
          <w:rFonts w:ascii="Arial" w:hAnsi="Arial" w:cs="Arial"/>
          <w:sz w:val="18"/>
          <w:szCs w:val="18"/>
          <w:lang w:val="en-US"/>
        </w:rPr>
        <w:t xml:space="preserve">The objects of Agrément South Africa </w:t>
      </w:r>
      <w:r>
        <w:rPr>
          <w:rFonts w:ascii="Arial" w:hAnsi="Arial" w:cs="Arial"/>
          <w:sz w:val="18"/>
          <w:szCs w:val="18"/>
          <w:lang w:val="en-US"/>
        </w:rPr>
        <w:t>are set out in section 4 and are to –</w:t>
      </w:r>
    </w:p>
    <w:p w:rsidR="005D241B" w:rsidRDefault="00022690" w:rsidP="00022690">
      <w:pPr>
        <w:pStyle w:val="FootnoteText"/>
        <w:ind w:left="720" w:hanging="360"/>
        <w:rPr>
          <w:rFonts w:ascii="Arial" w:hAnsi="Arial" w:cs="Arial"/>
          <w:sz w:val="18"/>
          <w:szCs w:val="18"/>
          <w:lang w:val="en-US"/>
        </w:rPr>
      </w:pPr>
      <w:r>
        <w:rPr>
          <w:rFonts w:ascii="Arial" w:hAnsi="Arial" w:cs="Arial"/>
          <w:sz w:val="18"/>
          <w:szCs w:val="18"/>
          <w:lang w:val="en-US"/>
        </w:rPr>
        <w:t>(a)</w:t>
      </w:r>
      <w:r>
        <w:rPr>
          <w:rFonts w:ascii="Arial" w:hAnsi="Arial" w:cs="Arial"/>
          <w:sz w:val="18"/>
          <w:szCs w:val="18"/>
          <w:lang w:val="en-US"/>
        </w:rPr>
        <w:tab/>
      </w:r>
      <w:r w:rsidR="005D241B">
        <w:rPr>
          <w:rFonts w:ascii="Arial" w:hAnsi="Arial" w:cs="Arial"/>
          <w:sz w:val="18"/>
          <w:szCs w:val="18"/>
          <w:lang w:val="en-US"/>
        </w:rPr>
        <w:t>Provide assurance to specifiers and users of the fit</w:t>
      </w:r>
      <w:r w:rsidR="00A37450">
        <w:rPr>
          <w:rFonts w:ascii="Arial" w:hAnsi="Arial" w:cs="Arial"/>
          <w:sz w:val="18"/>
          <w:szCs w:val="18"/>
          <w:lang w:val="en-US"/>
        </w:rPr>
        <w:t>ness-for-purpose of non standardis</w:t>
      </w:r>
      <w:r w:rsidR="005D241B">
        <w:rPr>
          <w:rFonts w:ascii="Arial" w:hAnsi="Arial" w:cs="Arial"/>
          <w:sz w:val="18"/>
          <w:szCs w:val="18"/>
          <w:lang w:val="en-US"/>
        </w:rPr>
        <w:t>ed constr</w:t>
      </w:r>
      <w:r w:rsidR="00A37450">
        <w:rPr>
          <w:rFonts w:ascii="Arial" w:hAnsi="Arial" w:cs="Arial"/>
          <w:sz w:val="18"/>
          <w:szCs w:val="18"/>
          <w:lang w:val="en-US"/>
        </w:rPr>
        <w:t>uction related produc</w:t>
      </w:r>
      <w:r w:rsidR="005D241B">
        <w:rPr>
          <w:rFonts w:ascii="Arial" w:hAnsi="Arial" w:cs="Arial"/>
          <w:sz w:val="18"/>
          <w:szCs w:val="18"/>
          <w:lang w:val="en-US"/>
        </w:rPr>
        <w:t xml:space="preserve">ts or systems; </w:t>
      </w:r>
    </w:p>
    <w:p w:rsidR="005D241B" w:rsidRDefault="00022690" w:rsidP="00022690">
      <w:pPr>
        <w:pStyle w:val="FootnoteText"/>
        <w:ind w:left="720" w:hanging="360"/>
        <w:rPr>
          <w:rFonts w:ascii="Arial" w:hAnsi="Arial" w:cs="Arial"/>
          <w:sz w:val="18"/>
          <w:szCs w:val="18"/>
          <w:lang w:val="en-US"/>
        </w:rPr>
      </w:pPr>
      <w:r>
        <w:rPr>
          <w:rFonts w:ascii="Arial" w:hAnsi="Arial" w:cs="Arial"/>
          <w:sz w:val="18"/>
          <w:szCs w:val="18"/>
          <w:lang w:val="en-US"/>
        </w:rPr>
        <w:t>(b)</w:t>
      </w:r>
      <w:r>
        <w:rPr>
          <w:rFonts w:ascii="Arial" w:hAnsi="Arial" w:cs="Arial"/>
          <w:sz w:val="18"/>
          <w:szCs w:val="18"/>
          <w:lang w:val="en-US"/>
        </w:rPr>
        <w:tab/>
      </w:r>
      <w:r w:rsidR="005D241B">
        <w:rPr>
          <w:rFonts w:ascii="Arial" w:hAnsi="Arial" w:cs="Arial"/>
          <w:sz w:val="18"/>
          <w:szCs w:val="18"/>
          <w:lang w:val="en-US"/>
        </w:rPr>
        <w:t xml:space="preserve">Support and promote the process of integrated socio-economic development in the Republic as it relates to the construction industry; </w:t>
      </w:r>
    </w:p>
    <w:p w:rsidR="005D241B" w:rsidRDefault="00022690" w:rsidP="00022690">
      <w:pPr>
        <w:pStyle w:val="FootnoteText"/>
        <w:ind w:left="720" w:hanging="360"/>
        <w:rPr>
          <w:rFonts w:ascii="Arial" w:hAnsi="Arial" w:cs="Arial"/>
          <w:sz w:val="18"/>
          <w:szCs w:val="18"/>
          <w:lang w:val="en-US"/>
        </w:rPr>
      </w:pPr>
      <w:r>
        <w:rPr>
          <w:rFonts w:ascii="Arial" w:hAnsi="Arial" w:cs="Arial"/>
          <w:sz w:val="18"/>
          <w:szCs w:val="18"/>
          <w:lang w:val="en-US"/>
        </w:rPr>
        <w:t>(c)</w:t>
      </w:r>
      <w:r>
        <w:rPr>
          <w:rFonts w:ascii="Arial" w:hAnsi="Arial" w:cs="Arial"/>
          <w:sz w:val="18"/>
          <w:szCs w:val="18"/>
          <w:lang w:val="en-US"/>
        </w:rPr>
        <w:tab/>
      </w:r>
      <w:r w:rsidR="005D241B">
        <w:rPr>
          <w:rFonts w:ascii="Arial" w:hAnsi="Arial" w:cs="Arial"/>
          <w:sz w:val="18"/>
          <w:szCs w:val="18"/>
          <w:lang w:val="en-US"/>
        </w:rPr>
        <w:t xml:space="preserve">Support and promote the introduction and use of certified non-standardised construction related products or systems in the local or international market; </w:t>
      </w:r>
    </w:p>
    <w:p w:rsidR="005D241B" w:rsidRDefault="00022690" w:rsidP="00022690">
      <w:pPr>
        <w:pStyle w:val="FootnoteText"/>
        <w:ind w:left="720" w:hanging="360"/>
        <w:rPr>
          <w:rFonts w:ascii="Arial" w:hAnsi="Arial" w:cs="Arial"/>
          <w:sz w:val="18"/>
          <w:szCs w:val="18"/>
          <w:lang w:val="en-US"/>
        </w:rPr>
      </w:pPr>
      <w:r>
        <w:rPr>
          <w:rFonts w:ascii="Arial" w:hAnsi="Arial" w:cs="Arial"/>
          <w:sz w:val="18"/>
          <w:szCs w:val="18"/>
          <w:lang w:val="en-US"/>
        </w:rPr>
        <w:t>(d)</w:t>
      </w:r>
      <w:r>
        <w:rPr>
          <w:rFonts w:ascii="Arial" w:hAnsi="Arial" w:cs="Arial"/>
          <w:sz w:val="18"/>
          <w:szCs w:val="18"/>
          <w:lang w:val="en-US"/>
        </w:rPr>
        <w:tab/>
      </w:r>
      <w:r w:rsidR="005D241B">
        <w:rPr>
          <w:rFonts w:ascii="Arial" w:hAnsi="Arial" w:cs="Arial"/>
          <w:sz w:val="18"/>
          <w:szCs w:val="18"/>
          <w:lang w:val="en-US"/>
        </w:rPr>
        <w:t xml:space="preserve">Support policy makers to minimize the risk associated with the use of a non-standardised construction related product or system; and </w:t>
      </w:r>
    </w:p>
    <w:p w:rsidR="005D241B" w:rsidRPr="005D241B" w:rsidRDefault="00022690" w:rsidP="00022690">
      <w:pPr>
        <w:pStyle w:val="FootnoteText"/>
        <w:ind w:left="720" w:hanging="360"/>
        <w:rPr>
          <w:rFonts w:ascii="Arial" w:hAnsi="Arial" w:cs="Arial"/>
          <w:sz w:val="18"/>
          <w:szCs w:val="18"/>
          <w:lang w:val="en-US"/>
        </w:rPr>
      </w:pPr>
      <w:r w:rsidRPr="005D241B">
        <w:rPr>
          <w:rFonts w:ascii="Arial" w:hAnsi="Arial" w:cs="Arial"/>
          <w:sz w:val="18"/>
          <w:szCs w:val="18"/>
          <w:lang w:val="en-US"/>
        </w:rPr>
        <w:t>(e)</w:t>
      </w:r>
      <w:r w:rsidRPr="005D241B">
        <w:rPr>
          <w:rFonts w:ascii="Arial" w:hAnsi="Arial" w:cs="Arial"/>
          <w:sz w:val="18"/>
          <w:szCs w:val="18"/>
          <w:lang w:val="en-US"/>
        </w:rPr>
        <w:tab/>
      </w:r>
      <w:r w:rsidR="005D241B">
        <w:rPr>
          <w:rFonts w:ascii="Arial" w:hAnsi="Arial" w:cs="Arial"/>
          <w:sz w:val="18"/>
          <w:szCs w:val="18"/>
          <w:lang w:val="en-US"/>
        </w:rPr>
        <w:t>Be an impartial and internationally acknowledged South African centre for the assessment and confirmation of fi</w:t>
      </w:r>
      <w:r w:rsidR="005D241B" w:rsidRPr="005D241B">
        <w:rPr>
          <w:rFonts w:ascii="Arial" w:hAnsi="Arial" w:cs="Arial"/>
          <w:sz w:val="18"/>
          <w:szCs w:val="18"/>
          <w:lang w:val="en-US"/>
        </w:rPr>
        <w:t>tness-for</w:t>
      </w:r>
      <w:r w:rsidR="005D241B">
        <w:rPr>
          <w:rFonts w:ascii="Arial" w:hAnsi="Arial" w:cs="Arial"/>
          <w:sz w:val="18"/>
          <w:szCs w:val="18"/>
          <w:lang w:val="en-US"/>
        </w:rPr>
        <w:t>-</w:t>
      </w:r>
      <w:r w:rsidR="005D241B" w:rsidRPr="005D241B">
        <w:rPr>
          <w:rFonts w:ascii="Arial" w:hAnsi="Arial" w:cs="Arial"/>
          <w:sz w:val="18"/>
          <w:szCs w:val="18"/>
          <w:lang w:val="en-US"/>
        </w:rPr>
        <w:t>purpose of non-standardised construction related products or systems.</w:t>
      </w:r>
      <w:r w:rsidR="005D241B">
        <w:rPr>
          <w:rFonts w:ascii="Arial" w:hAnsi="Arial" w:cs="Arial"/>
          <w:sz w:val="18"/>
          <w:szCs w:val="18"/>
          <w:lang w:val="en-US"/>
        </w:rPr>
        <w:t>’</w:t>
      </w:r>
      <w:r w:rsidR="005D241B" w:rsidRPr="005D241B">
        <w:rPr>
          <w:rFonts w:ascii="Arial" w:hAnsi="Arial" w:cs="Arial"/>
          <w:sz w:val="18"/>
          <w:szCs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687729D"/>
    <w:multiLevelType w:val="hybridMultilevel"/>
    <w:tmpl w:val="5F5CD9AC"/>
    <w:lvl w:ilvl="0" w:tplc="158E4398">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2F309AD"/>
    <w:multiLevelType w:val="hybridMultilevel"/>
    <w:tmpl w:val="2AD81BFC"/>
    <w:lvl w:ilvl="0" w:tplc="B20CE9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48A731C"/>
    <w:multiLevelType w:val="hybridMultilevel"/>
    <w:tmpl w:val="2E6C5742"/>
    <w:lvl w:ilvl="0" w:tplc="CD0CD4AA">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6E6080A"/>
    <w:multiLevelType w:val="hybridMultilevel"/>
    <w:tmpl w:val="A13E3E0C"/>
    <w:lvl w:ilvl="0" w:tplc="C16AB0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C1C58DC"/>
    <w:multiLevelType w:val="multilevel"/>
    <w:tmpl w:val="AE101C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B328C3"/>
    <w:multiLevelType w:val="hybridMultilevel"/>
    <w:tmpl w:val="8800F00E"/>
    <w:lvl w:ilvl="0" w:tplc="B4B8894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6DAA64A4"/>
    <w:multiLevelType w:val="hybridMultilevel"/>
    <w:tmpl w:val="8524239A"/>
    <w:lvl w:ilvl="0" w:tplc="4CE8BFC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5"/>
  </w:num>
  <w:num w:numId="2">
    <w:abstractNumId w:val="3"/>
  </w:num>
  <w:num w:numId="3">
    <w:abstractNumId w:val="1"/>
  </w:num>
  <w:num w:numId="4">
    <w:abstractNumId w:val="4"/>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BA"/>
    <w:rsid w:val="00005115"/>
    <w:rsid w:val="00005678"/>
    <w:rsid w:val="00022690"/>
    <w:rsid w:val="00022E98"/>
    <w:rsid w:val="00042F60"/>
    <w:rsid w:val="00045CBE"/>
    <w:rsid w:val="00046610"/>
    <w:rsid w:val="000775DC"/>
    <w:rsid w:val="000A352E"/>
    <w:rsid w:val="000B3D04"/>
    <w:rsid w:val="000B641A"/>
    <w:rsid w:val="000B7411"/>
    <w:rsid w:val="000D2257"/>
    <w:rsid w:val="000E559A"/>
    <w:rsid w:val="00114D45"/>
    <w:rsid w:val="0019183C"/>
    <w:rsid w:val="001927D9"/>
    <w:rsid w:val="00195A6F"/>
    <w:rsid w:val="001F4EC3"/>
    <w:rsid w:val="00211FB2"/>
    <w:rsid w:val="00216C5B"/>
    <w:rsid w:val="00235704"/>
    <w:rsid w:val="00243850"/>
    <w:rsid w:val="0025626A"/>
    <w:rsid w:val="002812A1"/>
    <w:rsid w:val="0029119E"/>
    <w:rsid w:val="002A195C"/>
    <w:rsid w:val="002A60E4"/>
    <w:rsid w:val="002C1EFF"/>
    <w:rsid w:val="002C7ED5"/>
    <w:rsid w:val="002E06C3"/>
    <w:rsid w:val="002E2E45"/>
    <w:rsid w:val="00323FA4"/>
    <w:rsid w:val="00352870"/>
    <w:rsid w:val="00353D8A"/>
    <w:rsid w:val="0038038D"/>
    <w:rsid w:val="0039295E"/>
    <w:rsid w:val="00397AC3"/>
    <w:rsid w:val="003D3F40"/>
    <w:rsid w:val="0044223A"/>
    <w:rsid w:val="0046655E"/>
    <w:rsid w:val="0047063A"/>
    <w:rsid w:val="00492496"/>
    <w:rsid w:val="004A6E23"/>
    <w:rsid w:val="004C0526"/>
    <w:rsid w:val="004E18FF"/>
    <w:rsid w:val="00507F82"/>
    <w:rsid w:val="00561F54"/>
    <w:rsid w:val="0057572B"/>
    <w:rsid w:val="00580204"/>
    <w:rsid w:val="00582577"/>
    <w:rsid w:val="005C0A4A"/>
    <w:rsid w:val="005D241B"/>
    <w:rsid w:val="005D3C6F"/>
    <w:rsid w:val="005F1168"/>
    <w:rsid w:val="005F41FF"/>
    <w:rsid w:val="00611A25"/>
    <w:rsid w:val="00613517"/>
    <w:rsid w:val="00626774"/>
    <w:rsid w:val="006479EA"/>
    <w:rsid w:val="006726B9"/>
    <w:rsid w:val="0067740B"/>
    <w:rsid w:val="006A2C27"/>
    <w:rsid w:val="006B08DE"/>
    <w:rsid w:val="006D25CE"/>
    <w:rsid w:val="0073555F"/>
    <w:rsid w:val="00763FC7"/>
    <w:rsid w:val="007675CC"/>
    <w:rsid w:val="00792E32"/>
    <w:rsid w:val="00796AA6"/>
    <w:rsid w:val="007A4459"/>
    <w:rsid w:val="007D6259"/>
    <w:rsid w:val="007E66D7"/>
    <w:rsid w:val="007F3753"/>
    <w:rsid w:val="00800319"/>
    <w:rsid w:val="0080032F"/>
    <w:rsid w:val="00802720"/>
    <w:rsid w:val="00836F82"/>
    <w:rsid w:val="008913AA"/>
    <w:rsid w:val="008954D7"/>
    <w:rsid w:val="008E2E34"/>
    <w:rsid w:val="009037C7"/>
    <w:rsid w:val="00913015"/>
    <w:rsid w:val="009418C1"/>
    <w:rsid w:val="0096054C"/>
    <w:rsid w:val="00960B8F"/>
    <w:rsid w:val="00980C28"/>
    <w:rsid w:val="00993FEA"/>
    <w:rsid w:val="009A47A9"/>
    <w:rsid w:val="009D45FF"/>
    <w:rsid w:val="009F009B"/>
    <w:rsid w:val="009F2729"/>
    <w:rsid w:val="009F27F7"/>
    <w:rsid w:val="00A241CA"/>
    <w:rsid w:val="00A26AF5"/>
    <w:rsid w:val="00A34B8C"/>
    <w:rsid w:val="00A37450"/>
    <w:rsid w:val="00A75ACB"/>
    <w:rsid w:val="00A75B78"/>
    <w:rsid w:val="00AC6E85"/>
    <w:rsid w:val="00B03952"/>
    <w:rsid w:val="00B2521E"/>
    <w:rsid w:val="00B32EF0"/>
    <w:rsid w:val="00B42AE4"/>
    <w:rsid w:val="00B558AE"/>
    <w:rsid w:val="00B83C28"/>
    <w:rsid w:val="00B92114"/>
    <w:rsid w:val="00BB1385"/>
    <w:rsid w:val="00BE6740"/>
    <w:rsid w:val="00C059C5"/>
    <w:rsid w:val="00C07D50"/>
    <w:rsid w:val="00C72C56"/>
    <w:rsid w:val="00C97067"/>
    <w:rsid w:val="00CB7CF9"/>
    <w:rsid w:val="00CC0944"/>
    <w:rsid w:val="00CF0EAC"/>
    <w:rsid w:val="00D37055"/>
    <w:rsid w:val="00D537FE"/>
    <w:rsid w:val="00D809EC"/>
    <w:rsid w:val="00D8373B"/>
    <w:rsid w:val="00D9282A"/>
    <w:rsid w:val="00DB5D6B"/>
    <w:rsid w:val="00DC0DBA"/>
    <w:rsid w:val="00DC1470"/>
    <w:rsid w:val="00DD1CE6"/>
    <w:rsid w:val="00DF0D14"/>
    <w:rsid w:val="00DF62BA"/>
    <w:rsid w:val="00E01E05"/>
    <w:rsid w:val="00E07C8C"/>
    <w:rsid w:val="00E12522"/>
    <w:rsid w:val="00E14E3F"/>
    <w:rsid w:val="00E431EC"/>
    <w:rsid w:val="00E651CF"/>
    <w:rsid w:val="00E65740"/>
    <w:rsid w:val="00EB1971"/>
    <w:rsid w:val="00ED1E02"/>
    <w:rsid w:val="00ED2DBC"/>
    <w:rsid w:val="00ED7E89"/>
    <w:rsid w:val="00EE2A23"/>
    <w:rsid w:val="00F16608"/>
    <w:rsid w:val="00F208A0"/>
    <w:rsid w:val="00F236E1"/>
    <w:rsid w:val="00F32159"/>
    <w:rsid w:val="00F34934"/>
    <w:rsid w:val="00F376F5"/>
    <w:rsid w:val="00F4542F"/>
    <w:rsid w:val="00F91A0E"/>
    <w:rsid w:val="00F97D81"/>
    <w:rsid w:val="00FA7DAD"/>
    <w:rsid w:val="00FB729B"/>
    <w:rsid w:val="00FC4F04"/>
    <w:rsid w:val="00FE7E2F"/>
    <w:rsid w:val="00FF2481"/>
    <w:rsid w:val="00FF64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7E363-6436-456D-9FF6-19E73DE4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09EC"/>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2BA"/>
    <w:pPr>
      <w:ind w:left="720"/>
      <w:contextualSpacing/>
    </w:pPr>
  </w:style>
  <w:style w:type="paragraph" w:styleId="FootnoteText">
    <w:name w:val="footnote text"/>
    <w:basedOn w:val="Normal"/>
    <w:link w:val="FootnoteTextChar"/>
    <w:uiPriority w:val="99"/>
    <w:unhideWhenUsed/>
    <w:rsid w:val="00ED7E89"/>
    <w:pPr>
      <w:spacing w:after="0" w:line="240" w:lineRule="auto"/>
    </w:pPr>
    <w:rPr>
      <w:sz w:val="20"/>
      <w:szCs w:val="20"/>
    </w:rPr>
  </w:style>
  <w:style w:type="character" w:customStyle="1" w:styleId="FootnoteTextChar">
    <w:name w:val="Footnote Text Char"/>
    <w:basedOn w:val="DefaultParagraphFont"/>
    <w:link w:val="FootnoteText"/>
    <w:uiPriority w:val="99"/>
    <w:rsid w:val="00ED7E89"/>
    <w:rPr>
      <w:sz w:val="20"/>
      <w:szCs w:val="20"/>
    </w:rPr>
  </w:style>
  <w:style w:type="character" w:styleId="FootnoteReference">
    <w:name w:val="footnote reference"/>
    <w:basedOn w:val="DefaultParagraphFont"/>
    <w:uiPriority w:val="99"/>
    <w:semiHidden/>
    <w:unhideWhenUsed/>
    <w:rsid w:val="00ED7E89"/>
    <w:rPr>
      <w:vertAlign w:val="superscript"/>
    </w:rPr>
  </w:style>
  <w:style w:type="character" w:customStyle="1" w:styleId="mc">
    <w:name w:val="mc"/>
    <w:basedOn w:val="DefaultParagraphFont"/>
    <w:rsid w:val="00DD1CE6"/>
  </w:style>
  <w:style w:type="character" w:customStyle="1" w:styleId="g1">
    <w:name w:val="g1"/>
    <w:basedOn w:val="DefaultParagraphFont"/>
    <w:rsid w:val="00DD1CE6"/>
  </w:style>
  <w:style w:type="character" w:styleId="Hyperlink">
    <w:name w:val="Hyperlink"/>
    <w:basedOn w:val="DefaultParagraphFont"/>
    <w:uiPriority w:val="99"/>
    <w:semiHidden/>
    <w:unhideWhenUsed/>
    <w:rsid w:val="00DD1CE6"/>
    <w:rPr>
      <w:color w:val="0000FF"/>
      <w:u w:val="single"/>
    </w:rPr>
  </w:style>
  <w:style w:type="paragraph" w:styleId="NormalWeb">
    <w:name w:val="Normal (Web)"/>
    <w:basedOn w:val="Normal"/>
    <w:uiPriority w:val="99"/>
    <w:unhideWhenUsed/>
    <w:rsid w:val="00D809E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D809EC"/>
    <w:rPr>
      <w:rFonts w:ascii="Times New Roman" w:eastAsia="Times New Roman" w:hAnsi="Times New Roman" w:cs="Times New Roman"/>
      <w:b/>
      <w:bCs/>
      <w:sz w:val="36"/>
      <w:szCs w:val="36"/>
      <w:lang w:eastAsia="en-ZA"/>
    </w:rPr>
  </w:style>
  <w:style w:type="paragraph" w:styleId="Header">
    <w:name w:val="header"/>
    <w:basedOn w:val="Normal"/>
    <w:link w:val="HeaderChar"/>
    <w:uiPriority w:val="99"/>
    <w:unhideWhenUsed/>
    <w:rsid w:val="003D3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F40"/>
  </w:style>
  <w:style w:type="paragraph" w:styleId="Footer">
    <w:name w:val="footer"/>
    <w:basedOn w:val="Normal"/>
    <w:link w:val="FooterChar"/>
    <w:uiPriority w:val="99"/>
    <w:unhideWhenUsed/>
    <w:rsid w:val="003D3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77096">
      <w:bodyDiv w:val="1"/>
      <w:marLeft w:val="0"/>
      <w:marRight w:val="0"/>
      <w:marTop w:val="0"/>
      <w:marBottom w:val="0"/>
      <w:divBdr>
        <w:top w:val="none" w:sz="0" w:space="0" w:color="auto"/>
        <w:left w:val="none" w:sz="0" w:space="0" w:color="auto"/>
        <w:bottom w:val="none" w:sz="0" w:space="0" w:color="auto"/>
        <w:right w:val="none" w:sz="0" w:space="0" w:color="auto"/>
      </w:divBdr>
    </w:div>
    <w:div w:id="634063779">
      <w:bodyDiv w:val="1"/>
      <w:marLeft w:val="0"/>
      <w:marRight w:val="0"/>
      <w:marTop w:val="0"/>
      <w:marBottom w:val="0"/>
      <w:divBdr>
        <w:top w:val="none" w:sz="0" w:space="0" w:color="auto"/>
        <w:left w:val="none" w:sz="0" w:space="0" w:color="auto"/>
        <w:bottom w:val="none" w:sz="0" w:space="0" w:color="auto"/>
        <w:right w:val="none" w:sz="0" w:space="0" w:color="auto"/>
      </w:divBdr>
    </w:div>
    <w:div w:id="1364134931">
      <w:bodyDiv w:val="1"/>
      <w:marLeft w:val="0"/>
      <w:marRight w:val="0"/>
      <w:marTop w:val="0"/>
      <w:marBottom w:val="0"/>
      <w:divBdr>
        <w:top w:val="none" w:sz="0" w:space="0" w:color="auto"/>
        <w:left w:val="none" w:sz="0" w:space="0" w:color="auto"/>
        <w:bottom w:val="none" w:sz="0" w:space="0" w:color="auto"/>
        <w:right w:val="none" w:sz="0" w:space="0" w:color="auto"/>
      </w:divBdr>
    </w:div>
    <w:div w:id="2025474583">
      <w:bodyDiv w:val="1"/>
      <w:marLeft w:val="0"/>
      <w:marRight w:val="0"/>
      <w:marTop w:val="0"/>
      <w:marBottom w:val="0"/>
      <w:divBdr>
        <w:top w:val="none" w:sz="0" w:space="0" w:color="auto"/>
        <w:left w:val="none" w:sz="0" w:space="0" w:color="auto"/>
        <w:bottom w:val="none" w:sz="0" w:space="0" w:color="auto"/>
        <w:right w:val="none" w:sz="0" w:space="0" w:color="auto"/>
      </w:divBdr>
      <w:divsChild>
        <w:div w:id="1628926894">
          <w:marLeft w:val="0"/>
          <w:marRight w:val="0"/>
          <w:marTop w:val="120"/>
          <w:marBottom w:val="0"/>
          <w:divBdr>
            <w:top w:val="none" w:sz="0" w:space="0" w:color="auto"/>
            <w:left w:val="none" w:sz="0" w:space="0" w:color="auto"/>
            <w:bottom w:val="none" w:sz="0" w:space="0" w:color="auto"/>
            <w:right w:val="none" w:sz="0" w:space="0" w:color="auto"/>
          </w:divBdr>
        </w:div>
        <w:div w:id="2011789904">
          <w:marLeft w:val="1134"/>
          <w:marRight w:val="0"/>
          <w:marTop w:val="60"/>
          <w:marBottom w:val="0"/>
          <w:divBdr>
            <w:top w:val="none" w:sz="0" w:space="0" w:color="auto"/>
            <w:left w:val="none" w:sz="0" w:space="0" w:color="auto"/>
            <w:bottom w:val="none" w:sz="0" w:space="0" w:color="auto"/>
            <w:right w:val="none" w:sz="0" w:space="0" w:color="auto"/>
          </w:divBdr>
        </w:div>
        <w:div w:id="145125168">
          <w:marLeft w:val="1985"/>
          <w:marRight w:val="0"/>
          <w:marTop w:val="60"/>
          <w:marBottom w:val="0"/>
          <w:divBdr>
            <w:top w:val="none" w:sz="0" w:space="0" w:color="auto"/>
            <w:left w:val="none" w:sz="0" w:space="0" w:color="auto"/>
            <w:bottom w:val="none" w:sz="0" w:space="0" w:color="auto"/>
            <w:right w:val="none" w:sz="0" w:space="0" w:color="auto"/>
          </w:divBdr>
        </w:div>
        <w:div w:id="512426071">
          <w:marLeft w:val="1985"/>
          <w:marRight w:val="0"/>
          <w:marTop w:val="60"/>
          <w:marBottom w:val="0"/>
          <w:divBdr>
            <w:top w:val="none" w:sz="0" w:space="0" w:color="auto"/>
            <w:left w:val="none" w:sz="0" w:space="0" w:color="auto"/>
            <w:bottom w:val="none" w:sz="0" w:space="0" w:color="auto"/>
            <w:right w:val="none" w:sz="0" w:space="0" w:color="auto"/>
          </w:divBdr>
        </w:div>
        <w:div w:id="295835186">
          <w:marLeft w:val="1985"/>
          <w:marRight w:val="0"/>
          <w:marTop w:val="60"/>
          <w:marBottom w:val="0"/>
          <w:divBdr>
            <w:top w:val="none" w:sz="0" w:space="0" w:color="auto"/>
            <w:left w:val="none" w:sz="0" w:space="0" w:color="auto"/>
            <w:bottom w:val="none" w:sz="0" w:space="0" w:color="auto"/>
            <w:right w:val="none" w:sz="0" w:space="0" w:color="auto"/>
          </w:divBdr>
        </w:div>
        <w:div w:id="72169758">
          <w:marLeft w:val="1134"/>
          <w:marRight w:val="0"/>
          <w:marTop w:val="60"/>
          <w:marBottom w:val="0"/>
          <w:divBdr>
            <w:top w:val="none" w:sz="0" w:space="0" w:color="auto"/>
            <w:left w:val="none" w:sz="0" w:space="0" w:color="auto"/>
            <w:bottom w:val="none" w:sz="0" w:space="0" w:color="auto"/>
            <w:right w:val="none" w:sz="0" w:space="0" w:color="auto"/>
          </w:divBdr>
        </w:div>
        <w:div w:id="1385330958">
          <w:marLeft w:val="1134"/>
          <w:marRight w:val="0"/>
          <w:marTop w:val="60"/>
          <w:marBottom w:val="0"/>
          <w:divBdr>
            <w:top w:val="none" w:sz="0" w:space="0" w:color="auto"/>
            <w:left w:val="none" w:sz="0" w:space="0" w:color="auto"/>
            <w:bottom w:val="none" w:sz="0" w:space="0" w:color="auto"/>
            <w:right w:val="none" w:sz="0" w:space="0" w:color="auto"/>
          </w:divBdr>
        </w:div>
        <w:div w:id="676349208">
          <w:marLeft w:val="1134"/>
          <w:marRight w:val="0"/>
          <w:marTop w:val="60"/>
          <w:marBottom w:val="0"/>
          <w:divBdr>
            <w:top w:val="none" w:sz="0" w:space="0" w:color="auto"/>
            <w:left w:val="none" w:sz="0" w:space="0" w:color="auto"/>
            <w:bottom w:val="none" w:sz="0" w:space="0" w:color="auto"/>
            <w:right w:val="none" w:sz="0" w:space="0" w:color="auto"/>
          </w:divBdr>
        </w:div>
        <w:div w:id="918446561">
          <w:marLeft w:val="1134"/>
          <w:marRight w:val="0"/>
          <w:marTop w:val="60"/>
          <w:marBottom w:val="0"/>
          <w:divBdr>
            <w:top w:val="none" w:sz="0" w:space="0" w:color="auto"/>
            <w:left w:val="none" w:sz="0" w:space="0" w:color="auto"/>
            <w:bottom w:val="none" w:sz="0" w:space="0" w:color="auto"/>
            <w:right w:val="none" w:sz="0" w:space="0" w:color="auto"/>
          </w:divBdr>
        </w:div>
        <w:div w:id="352609468">
          <w:marLeft w:val="1985"/>
          <w:marRight w:val="0"/>
          <w:marTop w:val="60"/>
          <w:marBottom w:val="0"/>
          <w:divBdr>
            <w:top w:val="none" w:sz="0" w:space="0" w:color="auto"/>
            <w:left w:val="none" w:sz="0" w:space="0" w:color="auto"/>
            <w:bottom w:val="none" w:sz="0" w:space="0" w:color="auto"/>
            <w:right w:val="none" w:sz="0" w:space="0" w:color="auto"/>
          </w:divBdr>
        </w:div>
        <w:div w:id="407922403">
          <w:marLeft w:val="1985"/>
          <w:marRight w:val="0"/>
          <w:marTop w:val="60"/>
          <w:marBottom w:val="0"/>
          <w:divBdr>
            <w:top w:val="none" w:sz="0" w:space="0" w:color="auto"/>
            <w:left w:val="none" w:sz="0" w:space="0" w:color="auto"/>
            <w:bottom w:val="none" w:sz="0" w:space="0" w:color="auto"/>
            <w:right w:val="none" w:sz="0" w:space="0" w:color="auto"/>
          </w:divBdr>
        </w:div>
        <w:div w:id="642390094">
          <w:marLeft w:val="1985"/>
          <w:marRight w:val="0"/>
          <w:marTop w:val="60"/>
          <w:marBottom w:val="0"/>
          <w:divBdr>
            <w:top w:val="none" w:sz="0" w:space="0" w:color="auto"/>
            <w:left w:val="none" w:sz="0" w:space="0" w:color="auto"/>
            <w:bottom w:val="none" w:sz="0" w:space="0" w:color="auto"/>
            <w:right w:val="none" w:sz="0" w:space="0" w:color="auto"/>
          </w:divBdr>
        </w:div>
        <w:div w:id="1871407540">
          <w:marLeft w:val="1985"/>
          <w:marRight w:val="0"/>
          <w:marTop w:val="60"/>
          <w:marBottom w:val="0"/>
          <w:divBdr>
            <w:top w:val="none" w:sz="0" w:space="0" w:color="auto"/>
            <w:left w:val="none" w:sz="0" w:space="0" w:color="auto"/>
            <w:bottom w:val="none" w:sz="0" w:space="0" w:color="auto"/>
            <w:right w:val="none" w:sz="0" w:space="0" w:color="auto"/>
          </w:divBdr>
        </w:div>
        <w:div w:id="1306277099">
          <w:marLeft w:val="1985"/>
          <w:marRight w:val="0"/>
          <w:marTop w:val="60"/>
          <w:marBottom w:val="0"/>
          <w:divBdr>
            <w:top w:val="none" w:sz="0" w:space="0" w:color="auto"/>
            <w:left w:val="none" w:sz="0" w:space="0" w:color="auto"/>
            <w:bottom w:val="none" w:sz="0" w:space="0" w:color="auto"/>
            <w:right w:val="none" w:sz="0" w:space="0" w:color="auto"/>
          </w:divBdr>
        </w:div>
        <w:div w:id="1069501161">
          <w:marLeft w:val="1985"/>
          <w:marRight w:val="0"/>
          <w:marTop w:val="60"/>
          <w:marBottom w:val="0"/>
          <w:divBdr>
            <w:top w:val="none" w:sz="0" w:space="0" w:color="auto"/>
            <w:left w:val="none" w:sz="0" w:space="0" w:color="auto"/>
            <w:bottom w:val="none" w:sz="0" w:space="0" w:color="auto"/>
            <w:right w:val="none" w:sz="0" w:space="0" w:color="auto"/>
          </w:divBdr>
        </w:div>
        <w:div w:id="1492679191">
          <w:marLeft w:val="1134"/>
          <w:marRight w:val="0"/>
          <w:marTop w:val="60"/>
          <w:marBottom w:val="0"/>
          <w:divBdr>
            <w:top w:val="none" w:sz="0" w:space="0" w:color="auto"/>
            <w:left w:val="none" w:sz="0" w:space="0" w:color="auto"/>
            <w:bottom w:val="none" w:sz="0" w:space="0" w:color="auto"/>
            <w:right w:val="none" w:sz="0" w:space="0" w:color="auto"/>
          </w:divBdr>
        </w:div>
        <w:div w:id="2001686671">
          <w:marLeft w:val="1985"/>
          <w:marRight w:val="0"/>
          <w:marTop w:val="60"/>
          <w:marBottom w:val="0"/>
          <w:divBdr>
            <w:top w:val="none" w:sz="0" w:space="0" w:color="auto"/>
            <w:left w:val="none" w:sz="0" w:space="0" w:color="auto"/>
            <w:bottom w:val="none" w:sz="0" w:space="0" w:color="auto"/>
            <w:right w:val="none" w:sz="0" w:space="0" w:color="auto"/>
          </w:divBdr>
        </w:div>
        <w:div w:id="507410628">
          <w:marLeft w:val="1985"/>
          <w:marRight w:val="0"/>
          <w:marTop w:val="60"/>
          <w:marBottom w:val="0"/>
          <w:divBdr>
            <w:top w:val="none" w:sz="0" w:space="0" w:color="auto"/>
            <w:left w:val="none" w:sz="0" w:space="0" w:color="auto"/>
            <w:bottom w:val="none" w:sz="0" w:space="0" w:color="auto"/>
            <w:right w:val="none" w:sz="0" w:space="0" w:color="auto"/>
          </w:divBdr>
        </w:div>
        <w:div w:id="817117027">
          <w:marLeft w:val="2580"/>
          <w:marRight w:val="0"/>
          <w:marTop w:val="60"/>
          <w:marBottom w:val="0"/>
          <w:divBdr>
            <w:top w:val="none" w:sz="0" w:space="0" w:color="auto"/>
            <w:left w:val="none" w:sz="0" w:space="0" w:color="auto"/>
            <w:bottom w:val="none" w:sz="0" w:space="0" w:color="auto"/>
            <w:right w:val="none" w:sz="0" w:space="0" w:color="auto"/>
          </w:divBdr>
        </w:div>
        <w:div w:id="1450273465">
          <w:marLeft w:val="2580"/>
          <w:marRight w:val="0"/>
          <w:marTop w:val="60"/>
          <w:marBottom w:val="0"/>
          <w:divBdr>
            <w:top w:val="none" w:sz="0" w:space="0" w:color="auto"/>
            <w:left w:val="none" w:sz="0" w:space="0" w:color="auto"/>
            <w:bottom w:val="none" w:sz="0" w:space="0" w:color="auto"/>
            <w:right w:val="none" w:sz="0" w:space="0" w:color="auto"/>
          </w:divBdr>
        </w:div>
        <w:div w:id="1512990974">
          <w:marLeft w:val="2580"/>
          <w:marRight w:val="0"/>
          <w:marTop w:val="60"/>
          <w:marBottom w:val="0"/>
          <w:divBdr>
            <w:top w:val="none" w:sz="0" w:space="0" w:color="auto"/>
            <w:left w:val="none" w:sz="0" w:space="0" w:color="auto"/>
            <w:bottom w:val="none" w:sz="0" w:space="0" w:color="auto"/>
            <w:right w:val="none" w:sz="0" w:space="0" w:color="auto"/>
          </w:divBdr>
        </w:div>
        <w:div w:id="14964071">
          <w:marLeft w:val="2580"/>
          <w:marRight w:val="0"/>
          <w:marTop w:val="60"/>
          <w:marBottom w:val="0"/>
          <w:divBdr>
            <w:top w:val="none" w:sz="0" w:space="0" w:color="auto"/>
            <w:left w:val="none" w:sz="0" w:space="0" w:color="auto"/>
            <w:bottom w:val="none" w:sz="0" w:space="0" w:color="auto"/>
            <w:right w:val="none" w:sz="0" w:space="0" w:color="auto"/>
          </w:divBdr>
        </w:div>
        <w:div w:id="2065331378">
          <w:marLeft w:val="1134"/>
          <w:marRight w:val="0"/>
          <w:marTop w:val="60"/>
          <w:marBottom w:val="0"/>
          <w:divBdr>
            <w:top w:val="none" w:sz="0" w:space="0" w:color="auto"/>
            <w:left w:val="none" w:sz="0" w:space="0" w:color="auto"/>
            <w:bottom w:val="none" w:sz="0" w:space="0" w:color="auto"/>
            <w:right w:val="none" w:sz="0" w:space="0" w:color="auto"/>
          </w:divBdr>
        </w:div>
        <w:div w:id="133304023">
          <w:marLeft w:val="1134"/>
          <w:marRight w:val="0"/>
          <w:marTop w:val="60"/>
          <w:marBottom w:val="0"/>
          <w:divBdr>
            <w:top w:val="none" w:sz="0" w:space="0" w:color="auto"/>
            <w:left w:val="none" w:sz="0" w:space="0" w:color="auto"/>
            <w:bottom w:val="none" w:sz="0" w:space="0" w:color="auto"/>
            <w:right w:val="none" w:sz="0" w:space="0" w:color="auto"/>
          </w:divBdr>
        </w:div>
        <w:div w:id="1562129239">
          <w:marLeft w:val="1134"/>
          <w:marRight w:val="0"/>
          <w:marTop w:val="60"/>
          <w:marBottom w:val="0"/>
          <w:divBdr>
            <w:top w:val="none" w:sz="0" w:space="0" w:color="auto"/>
            <w:left w:val="none" w:sz="0" w:space="0" w:color="auto"/>
            <w:bottom w:val="none" w:sz="0" w:space="0" w:color="auto"/>
            <w:right w:val="none" w:sz="0" w:space="0" w:color="auto"/>
          </w:divBdr>
        </w:div>
        <w:div w:id="666402339">
          <w:marLeft w:val="0"/>
          <w:marRight w:val="0"/>
          <w:marTop w:val="120"/>
          <w:marBottom w:val="0"/>
          <w:divBdr>
            <w:top w:val="none" w:sz="0" w:space="0" w:color="auto"/>
            <w:left w:val="none" w:sz="0" w:space="0" w:color="auto"/>
            <w:bottom w:val="none" w:sz="0" w:space="0" w:color="auto"/>
            <w:right w:val="none" w:sz="0" w:space="0" w:color="auto"/>
          </w:divBdr>
        </w:div>
        <w:div w:id="607280663">
          <w:marLeft w:val="1985"/>
          <w:marRight w:val="0"/>
          <w:marTop w:val="60"/>
          <w:marBottom w:val="0"/>
          <w:divBdr>
            <w:top w:val="none" w:sz="0" w:space="0" w:color="auto"/>
            <w:left w:val="none" w:sz="0" w:space="0" w:color="auto"/>
            <w:bottom w:val="none" w:sz="0" w:space="0" w:color="auto"/>
            <w:right w:val="none" w:sz="0" w:space="0" w:color="auto"/>
          </w:divBdr>
        </w:div>
        <w:div w:id="1030296508">
          <w:marLeft w:val="1985"/>
          <w:marRight w:val="0"/>
          <w:marTop w:val="60"/>
          <w:marBottom w:val="0"/>
          <w:divBdr>
            <w:top w:val="none" w:sz="0" w:space="0" w:color="auto"/>
            <w:left w:val="none" w:sz="0" w:space="0" w:color="auto"/>
            <w:bottom w:val="none" w:sz="0" w:space="0" w:color="auto"/>
            <w:right w:val="none" w:sz="0" w:space="0" w:color="auto"/>
          </w:divBdr>
        </w:div>
        <w:div w:id="832140252">
          <w:marLeft w:val="1985"/>
          <w:marRight w:val="0"/>
          <w:marTop w:val="60"/>
          <w:marBottom w:val="0"/>
          <w:divBdr>
            <w:top w:val="none" w:sz="0" w:space="0" w:color="auto"/>
            <w:left w:val="none" w:sz="0" w:space="0" w:color="auto"/>
            <w:bottom w:val="none" w:sz="0" w:space="0" w:color="auto"/>
            <w:right w:val="none" w:sz="0" w:space="0" w:color="auto"/>
          </w:divBdr>
        </w:div>
        <w:div w:id="1895462077">
          <w:marLeft w:val="1134"/>
          <w:marRight w:val="0"/>
          <w:marTop w:val="60"/>
          <w:marBottom w:val="0"/>
          <w:divBdr>
            <w:top w:val="none" w:sz="0" w:space="0" w:color="auto"/>
            <w:left w:val="none" w:sz="0" w:space="0" w:color="auto"/>
            <w:bottom w:val="none" w:sz="0" w:space="0" w:color="auto"/>
            <w:right w:val="none" w:sz="0" w:space="0" w:color="auto"/>
          </w:divBdr>
        </w:div>
        <w:div w:id="337969466">
          <w:marLeft w:val="1985"/>
          <w:marRight w:val="0"/>
          <w:marTop w:val="60"/>
          <w:marBottom w:val="0"/>
          <w:divBdr>
            <w:top w:val="none" w:sz="0" w:space="0" w:color="auto"/>
            <w:left w:val="none" w:sz="0" w:space="0" w:color="auto"/>
            <w:bottom w:val="none" w:sz="0" w:space="0" w:color="auto"/>
            <w:right w:val="none" w:sz="0" w:space="0" w:color="auto"/>
          </w:divBdr>
        </w:div>
        <w:div w:id="558129815">
          <w:marLeft w:val="1985"/>
          <w:marRight w:val="0"/>
          <w:marTop w:val="60"/>
          <w:marBottom w:val="0"/>
          <w:divBdr>
            <w:top w:val="none" w:sz="0" w:space="0" w:color="auto"/>
            <w:left w:val="none" w:sz="0" w:space="0" w:color="auto"/>
            <w:bottom w:val="none" w:sz="0" w:space="0" w:color="auto"/>
            <w:right w:val="none" w:sz="0" w:space="0" w:color="auto"/>
          </w:divBdr>
        </w:div>
        <w:div w:id="1474718312">
          <w:marLeft w:val="1985"/>
          <w:marRight w:val="0"/>
          <w:marTop w:val="60"/>
          <w:marBottom w:val="0"/>
          <w:divBdr>
            <w:top w:val="none" w:sz="0" w:space="0" w:color="auto"/>
            <w:left w:val="none" w:sz="0" w:space="0" w:color="auto"/>
            <w:bottom w:val="none" w:sz="0" w:space="0" w:color="auto"/>
            <w:right w:val="none" w:sz="0" w:space="0" w:color="auto"/>
          </w:divBdr>
        </w:div>
        <w:div w:id="1050422161">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6(2)(e)(iii)%27%5d&amp;xhitlist_md=target-id=0-0-0-132513" TargetMode="External"/><Relationship Id="rId13"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6(2)(f)(ii)(dd)%27%5d&amp;xhitlist_md=target-id=0-0-0-132543" TargetMode="External"/><Relationship Id="rId3"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6(2)(a)(iii)%27%5d&amp;xhitlist_md=target-id=0-0-0-132489" TargetMode="External"/><Relationship Id="rId7"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6(2)(e)(i)%27%5d&amp;xhitlist_md=target-id=0-0-0-132507" TargetMode="External"/><Relationship Id="rId1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6(2)(f)(ii)(cc)%27%5d&amp;xhitlist_md=target-id=0-0-0-132539"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6(2)(a)(ii)%27%5d&amp;xhitlist_md=target-id=0-0-0-132485" TargetMode="External"/><Relationship Id="rId16"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41604%27%5d&amp;xhitlist_md=target-id=0-0-0-6217"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6(2)(a)(i)%27%5d&amp;xhitlist_md=target-id=0-0-0-132481" TargetMode="External"/><Relationship Id="rId6"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6(2)(d)%27%5d&amp;xhitlist_md=target-id=0-0-0-132501" TargetMode="External"/><Relationship Id="rId1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6(2)(f)(ii)%27%5d&amp;xhitlist_md=target-id=0-0-0-132531" TargetMode="External"/><Relationship Id="rId5"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6(2)(c)%27%5d&amp;xhitlist_md=target-id=0-0-0-132497" TargetMode="External"/><Relationship Id="rId15"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6(2)(h)%27%5d&amp;xhitlist_md=target-id=0-0-0-132551" TargetMode="Externa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6(2)(f)(i)%27%5d&amp;xhitlist_md=target-id=0-0-0-132527"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6(2)(b)%27%5d&amp;xhitlist_md=target-id=0-0-0-132493" TargetMode="Externa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6(2)(e)(iv)%27%5d&amp;xhitlist_md=target-id=0-0-0-132517" TargetMode="External"/><Relationship Id="rId14"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6(2)(g)%27%5d&amp;xhitlist_md=target-id=0-0-0-132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3A4C4-4434-42DC-9C08-9B6556CF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5592</Words>
  <Characters>31877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Judge-Susannah Cowen</dc:creator>
  <cp:keywords/>
  <dc:description/>
  <cp:lastModifiedBy>Mokone</cp:lastModifiedBy>
  <cp:revision>2</cp:revision>
  <dcterms:created xsi:type="dcterms:W3CDTF">2023-08-25T13:38:00Z</dcterms:created>
  <dcterms:modified xsi:type="dcterms:W3CDTF">2023-08-25T13:38:00Z</dcterms:modified>
</cp:coreProperties>
</file>