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98B1" w14:textId="77777777" w:rsidR="008911E9" w:rsidRPr="00E07E00" w:rsidRDefault="008911E9" w:rsidP="00D4446B">
      <w:pPr>
        <w:shd w:val="clear" w:color="auto" w:fill="F5F5F5"/>
        <w:spacing w:after="120" w:line="480" w:lineRule="auto"/>
        <w:jc w:val="center"/>
        <w:textAlignment w:val="top"/>
        <w:rPr>
          <w:rFonts w:ascii="Arial" w:eastAsia="Arial Unicode MS" w:hAnsi="Arial" w:cs="Arial"/>
          <w:b/>
          <w:color w:val="222222"/>
          <w:lang w:val="af-ZA"/>
        </w:rPr>
      </w:pPr>
      <w:r w:rsidRPr="00E07E00">
        <w:rPr>
          <w:rFonts w:ascii="Arial" w:eastAsia="Arial Unicode MS" w:hAnsi="Arial" w:cs="Arial"/>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E07E00" w:rsidRDefault="008911E9" w:rsidP="00D4446B">
      <w:pPr>
        <w:shd w:val="clear" w:color="auto" w:fill="F5F5F5"/>
        <w:spacing w:after="120" w:line="480" w:lineRule="auto"/>
        <w:jc w:val="center"/>
        <w:textAlignment w:val="top"/>
        <w:rPr>
          <w:rFonts w:ascii="Arial" w:eastAsia="Arial Unicode MS" w:hAnsi="Arial" w:cs="Arial"/>
          <w:b/>
          <w:color w:val="777777"/>
        </w:rPr>
      </w:pPr>
      <w:r w:rsidRPr="00E07E00">
        <w:rPr>
          <w:rFonts w:ascii="Arial" w:eastAsia="Arial Unicode MS" w:hAnsi="Arial" w:cs="Arial"/>
          <w:b/>
          <w:color w:val="222222"/>
          <w:lang w:val="af-ZA"/>
        </w:rPr>
        <w:t>IN THE HIGH COURT OF SOUTH AFRICA</w:t>
      </w:r>
      <w:r w:rsidRPr="00E07E00">
        <w:rPr>
          <w:rFonts w:ascii="Arial" w:eastAsia="Arial Unicode MS" w:hAnsi="Arial" w:cs="Arial"/>
          <w:b/>
          <w:color w:val="222222"/>
          <w:lang w:val="af-ZA"/>
        </w:rPr>
        <w:br/>
        <w:t>(GAUTENG DIVISION, PRETORIA)</w:t>
      </w:r>
    </w:p>
    <w:p w14:paraId="25EA93FF" w14:textId="6983047C" w:rsidR="008911E9" w:rsidRPr="00E07E00" w:rsidRDefault="008911E9" w:rsidP="00D4446B">
      <w:pPr>
        <w:shd w:val="clear" w:color="auto" w:fill="F5F5F5"/>
        <w:spacing w:after="120" w:line="480" w:lineRule="auto"/>
        <w:jc w:val="center"/>
        <w:textAlignment w:val="top"/>
        <w:rPr>
          <w:rFonts w:ascii="Arial" w:eastAsia="Arial Unicode MS" w:hAnsi="Arial" w:cs="Arial"/>
          <w:b/>
          <w:color w:val="777777"/>
        </w:rPr>
      </w:pPr>
    </w:p>
    <w:p w14:paraId="48F9DC01" w14:textId="7F1BF500" w:rsidR="009D0D2C" w:rsidRPr="00E07E00" w:rsidRDefault="00D4446B" w:rsidP="00D4446B">
      <w:pPr>
        <w:spacing w:line="480" w:lineRule="auto"/>
        <w:jc w:val="right"/>
        <w:rPr>
          <w:rFonts w:ascii="Arial" w:eastAsia="Arial Unicode MS" w:hAnsi="Arial" w:cs="Arial"/>
          <w:b/>
        </w:rPr>
      </w:pPr>
      <w:r w:rsidRPr="00F3575D">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E565B5B" wp14:editId="2EB9226E">
                <wp:simplePos x="0" y="0"/>
                <wp:positionH relativeFrom="column">
                  <wp:posOffset>-295275</wp:posOffset>
                </wp:positionH>
                <wp:positionV relativeFrom="paragraph">
                  <wp:posOffset>359410</wp:posOffset>
                </wp:positionV>
                <wp:extent cx="3220720" cy="14001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0175"/>
                        </a:xfrm>
                        <a:prstGeom prst="rect">
                          <a:avLst/>
                        </a:prstGeom>
                        <a:solidFill>
                          <a:srgbClr val="FFFFFF"/>
                        </a:solidFill>
                        <a:ln w="9525">
                          <a:solidFill>
                            <a:srgbClr val="000000"/>
                          </a:solidFill>
                          <a:miter lim="800000"/>
                          <a:headEnd/>
                          <a:tailEnd/>
                        </a:ln>
                      </wps:spPr>
                      <wps:txbx>
                        <w:txbxContent>
                          <w:p w14:paraId="11CAB341" w14:textId="69108ECF" w:rsidR="00197ECA" w:rsidRDefault="00FD7813" w:rsidP="00FD7813">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97ECA">
                              <w:rPr>
                                <w:rFonts w:ascii="Century Gothic" w:hAnsi="Century Gothic"/>
                                <w:sz w:val="20"/>
                                <w:szCs w:val="20"/>
                              </w:rPr>
                              <w:t>REPORTABLE: NO</w:t>
                            </w:r>
                          </w:p>
                          <w:p w14:paraId="284B7E3C" w14:textId="49B2BD2F" w:rsidR="00197ECA" w:rsidRDefault="00FD7813" w:rsidP="00FD7813">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97ECA">
                              <w:rPr>
                                <w:rFonts w:ascii="Century Gothic" w:hAnsi="Century Gothic"/>
                                <w:sz w:val="20"/>
                                <w:szCs w:val="20"/>
                              </w:rPr>
                              <w:t>OF INTEREST TO OTHER JUDGES: NO</w:t>
                            </w:r>
                          </w:p>
                          <w:p w14:paraId="7336916B" w14:textId="77777777" w:rsidR="00197ECA" w:rsidRDefault="00197ECA" w:rsidP="00D4446B">
                            <w:pPr>
                              <w:spacing w:after="0" w:line="240" w:lineRule="auto"/>
                              <w:ind w:left="900"/>
                              <w:rPr>
                                <w:rFonts w:ascii="Century Gothic" w:hAnsi="Century Gothic"/>
                                <w:sz w:val="20"/>
                                <w:szCs w:val="20"/>
                              </w:rPr>
                            </w:pPr>
                          </w:p>
                          <w:p w14:paraId="0F75BCF8" w14:textId="77777777" w:rsidR="00197ECA" w:rsidRDefault="00197ECA" w:rsidP="00D4446B">
                            <w:pPr>
                              <w:spacing w:after="0" w:line="240" w:lineRule="auto"/>
                              <w:ind w:left="900"/>
                              <w:rPr>
                                <w:rFonts w:ascii="Century Gothic" w:hAnsi="Century Gothic"/>
                                <w:sz w:val="20"/>
                                <w:szCs w:val="20"/>
                              </w:rPr>
                            </w:pPr>
                          </w:p>
                          <w:p w14:paraId="32DF3CC1" w14:textId="77777777" w:rsidR="00197ECA" w:rsidRDefault="00197ECA" w:rsidP="00D4446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392A769B" w14:textId="77777777" w:rsidR="00197ECA" w:rsidRDefault="00197ECA" w:rsidP="00D4446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 xml:space="preserve">      MEERSINGH  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5B5B" id="_x0000_t202" coordsize="21600,21600" o:spt="202" path="m,l,21600r21600,l21600,xe">
                <v:stroke joinstyle="miter"/>
                <v:path gradientshapeok="t" o:connecttype="rect"/>
              </v:shapetype>
              <v:shape id="Text Box 2" o:spid="_x0000_s1026" type="#_x0000_t202" style="position:absolute;left:0;text-align:left;margin-left:-23.25pt;margin-top:28.3pt;width:253.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">
                <v:textbox>
                  <w:txbxContent>
                    <w:p w14:paraId="11CAB341" w14:textId="69108ECF" w:rsidR="00197ECA" w:rsidRDefault="00FD7813" w:rsidP="00FD7813">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97ECA">
                        <w:rPr>
                          <w:rFonts w:ascii="Century Gothic" w:hAnsi="Century Gothic"/>
                          <w:sz w:val="20"/>
                          <w:szCs w:val="20"/>
                        </w:rPr>
                        <w:t>REPORTABLE: NO</w:t>
                      </w:r>
                    </w:p>
                    <w:p w14:paraId="284B7E3C" w14:textId="49B2BD2F" w:rsidR="00197ECA" w:rsidRDefault="00FD7813" w:rsidP="00FD7813">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97ECA">
                        <w:rPr>
                          <w:rFonts w:ascii="Century Gothic" w:hAnsi="Century Gothic"/>
                          <w:sz w:val="20"/>
                          <w:szCs w:val="20"/>
                        </w:rPr>
                        <w:t>OF INTEREST TO OTHER JUDGES: NO</w:t>
                      </w:r>
                    </w:p>
                    <w:p w14:paraId="7336916B" w14:textId="77777777" w:rsidR="00197ECA" w:rsidRDefault="00197ECA" w:rsidP="00D4446B">
                      <w:pPr>
                        <w:spacing w:after="0" w:line="240" w:lineRule="auto"/>
                        <w:ind w:left="900"/>
                        <w:rPr>
                          <w:rFonts w:ascii="Century Gothic" w:hAnsi="Century Gothic"/>
                          <w:sz w:val="20"/>
                          <w:szCs w:val="20"/>
                        </w:rPr>
                      </w:pPr>
                    </w:p>
                    <w:p w14:paraId="0F75BCF8" w14:textId="77777777" w:rsidR="00197ECA" w:rsidRDefault="00197ECA" w:rsidP="00D4446B">
                      <w:pPr>
                        <w:spacing w:after="0" w:line="240" w:lineRule="auto"/>
                        <w:ind w:left="900"/>
                        <w:rPr>
                          <w:rFonts w:ascii="Century Gothic" w:hAnsi="Century Gothic"/>
                          <w:sz w:val="20"/>
                          <w:szCs w:val="20"/>
                        </w:rPr>
                      </w:pPr>
                    </w:p>
                    <w:p w14:paraId="32DF3CC1" w14:textId="77777777" w:rsidR="00197ECA" w:rsidRDefault="00197ECA" w:rsidP="00D4446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392A769B" w14:textId="77777777" w:rsidR="00197ECA" w:rsidRDefault="00197ECA" w:rsidP="00D4446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 xml:space="preserve">      MEERSINGH  A.J.</w:t>
                      </w:r>
                    </w:p>
                  </w:txbxContent>
                </v:textbox>
              </v:shape>
            </w:pict>
          </mc:Fallback>
        </mc:AlternateContent>
      </w:r>
      <w:r w:rsidR="005F339A" w:rsidRPr="00E07E00">
        <w:rPr>
          <w:rFonts w:ascii="Arial" w:hAnsi="Arial" w:cs="Arial"/>
          <w:b/>
          <w:bCs/>
        </w:rPr>
        <w:t xml:space="preserve">Case No.: </w:t>
      </w:r>
      <w:r w:rsidR="009E510E">
        <w:rPr>
          <w:rFonts w:ascii="Arial" w:hAnsi="Arial" w:cs="Arial"/>
          <w:b/>
          <w:bCs/>
        </w:rPr>
        <w:t>14370 / 20</w:t>
      </w:r>
      <w:r w:rsidR="00D271C2">
        <w:rPr>
          <w:rFonts w:ascii="Arial" w:hAnsi="Arial" w:cs="Arial"/>
          <w:b/>
          <w:bCs/>
        </w:rPr>
        <w:t>2</w:t>
      </w:r>
      <w:r w:rsidR="009E510E">
        <w:rPr>
          <w:rFonts w:ascii="Arial" w:hAnsi="Arial" w:cs="Arial"/>
          <w:b/>
          <w:bCs/>
        </w:rPr>
        <w:t>2</w:t>
      </w:r>
    </w:p>
    <w:p w14:paraId="4D6A2E65" w14:textId="61EB9806"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7D82B3E0" w14:textId="683A4195"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1A3B9AC1" w14:textId="77777777"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7BAC93AF" w14:textId="77777777"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26AA9BE8" w14:textId="77777777"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12FB1F37" w14:textId="611D7E4F" w:rsidR="009D0D2C" w:rsidRDefault="009D0D2C"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r w:rsidRPr="00E07E00">
        <w:rPr>
          <w:rFonts w:ascii="Arial" w:eastAsia="MS Mincho" w:hAnsi="Arial" w:cs="Arial"/>
          <w:color w:val="1B1919"/>
          <w:lang w:val="en-GB" w:eastAsia="ja-JP"/>
        </w:rPr>
        <w:t>In the matter between:</w:t>
      </w:r>
    </w:p>
    <w:p w14:paraId="0F6AA205" w14:textId="77777777" w:rsidR="00D4446B" w:rsidRDefault="00D4446B" w:rsidP="00D4446B">
      <w:pPr>
        <w:autoSpaceDE w:val="0"/>
        <w:autoSpaceDN w:val="0"/>
        <w:adjustRightInd w:val="0"/>
        <w:spacing w:after="0" w:line="480" w:lineRule="auto"/>
        <w:jc w:val="both"/>
        <w:rPr>
          <w:rFonts w:ascii="Arial" w:hAnsi="Arial" w:cs="Arial"/>
          <w:b/>
          <w:bCs/>
        </w:rPr>
      </w:pPr>
    </w:p>
    <w:p w14:paraId="531054E3" w14:textId="3AB1E307" w:rsidR="005F339A" w:rsidRPr="009E510E" w:rsidRDefault="009E510E" w:rsidP="00D4446B">
      <w:pPr>
        <w:autoSpaceDE w:val="0"/>
        <w:autoSpaceDN w:val="0"/>
        <w:adjustRightInd w:val="0"/>
        <w:spacing w:after="0" w:line="480" w:lineRule="auto"/>
        <w:jc w:val="both"/>
        <w:rPr>
          <w:rFonts w:ascii="Arial" w:hAnsi="Arial" w:cs="Arial"/>
          <w:b/>
          <w:bCs/>
        </w:rPr>
      </w:pPr>
      <w:bookmarkStart w:id="0" w:name="_GoBack"/>
      <w:r>
        <w:rPr>
          <w:rFonts w:ascii="Arial" w:hAnsi="Arial" w:cs="Arial"/>
          <w:b/>
          <w:bCs/>
        </w:rPr>
        <w:t>JCO CONSTRUCTION (PTY) LTD</w:t>
      </w:r>
      <w:bookmarkEnd w:id="0"/>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t>Applicant</w:t>
      </w:r>
    </w:p>
    <w:p w14:paraId="3F718B95" w14:textId="77777777" w:rsidR="005F339A" w:rsidRPr="00E07E00" w:rsidRDefault="005F339A" w:rsidP="00D4446B">
      <w:pPr>
        <w:autoSpaceDE w:val="0"/>
        <w:autoSpaceDN w:val="0"/>
        <w:adjustRightInd w:val="0"/>
        <w:spacing w:after="0" w:line="480" w:lineRule="auto"/>
        <w:jc w:val="both"/>
        <w:rPr>
          <w:rFonts w:ascii="Arial" w:hAnsi="Arial" w:cs="Arial"/>
        </w:rPr>
      </w:pPr>
    </w:p>
    <w:p w14:paraId="34956FB8" w14:textId="77777777" w:rsidR="005F339A"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And</w:t>
      </w:r>
    </w:p>
    <w:p w14:paraId="08DC92BA" w14:textId="77777777" w:rsidR="005F339A" w:rsidRPr="00E07E00" w:rsidRDefault="005F339A" w:rsidP="00D4446B">
      <w:pPr>
        <w:autoSpaceDE w:val="0"/>
        <w:autoSpaceDN w:val="0"/>
        <w:adjustRightInd w:val="0"/>
        <w:spacing w:after="0" w:line="480" w:lineRule="auto"/>
        <w:jc w:val="both"/>
        <w:rPr>
          <w:rFonts w:ascii="Arial" w:hAnsi="Arial" w:cs="Arial"/>
          <w:b/>
          <w:bCs/>
        </w:rPr>
      </w:pPr>
    </w:p>
    <w:p w14:paraId="0E8B2B6C" w14:textId="70E0A190" w:rsidR="005F339A" w:rsidRDefault="007E1083" w:rsidP="00D4446B">
      <w:pPr>
        <w:autoSpaceDE w:val="0"/>
        <w:autoSpaceDN w:val="0"/>
        <w:adjustRightInd w:val="0"/>
        <w:spacing w:after="0" w:line="480" w:lineRule="auto"/>
        <w:jc w:val="both"/>
        <w:rPr>
          <w:rFonts w:ascii="Arial" w:hAnsi="Arial" w:cs="Arial"/>
        </w:rPr>
      </w:pPr>
      <w:r>
        <w:rPr>
          <w:rFonts w:ascii="Arial" w:hAnsi="Arial" w:cs="Arial"/>
          <w:b/>
          <w:bCs/>
        </w:rPr>
        <w:t xml:space="preserve">CITY POWER </w:t>
      </w:r>
      <w:r w:rsidR="009E510E">
        <w:rPr>
          <w:rFonts w:ascii="Arial" w:hAnsi="Arial" w:cs="Arial"/>
          <w:b/>
          <w:bCs/>
        </w:rPr>
        <w:t>(PTY) LTD</w:t>
      </w:r>
      <w:r w:rsidR="009E510E">
        <w:rPr>
          <w:rFonts w:ascii="Arial" w:hAnsi="Arial" w:cs="Arial"/>
          <w:b/>
          <w:bCs/>
        </w:rPr>
        <w:tab/>
      </w:r>
      <w:r w:rsidR="009E510E">
        <w:rPr>
          <w:rFonts w:ascii="Arial" w:hAnsi="Arial" w:cs="Arial"/>
          <w:b/>
          <w:bCs/>
        </w:rPr>
        <w:tab/>
      </w:r>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t>First Respondent</w:t>
      </w:r>
    </w:p>
    <w:p w14:paraId="68F376BC" w14:textId="77777777" w:rsidR="009E510E" w:rsidRPr="009E510E" w:rsidRDefault="009E510E" w:rsidP="00D4446B">
      <w:pPr>
        <w:autoSpaceDE w:val="0"/>
        <w:autoSpaceDN w:val="0"/>
        <w:adjustRightInd w:val="0"/>
        <w:spacing w:after="0" w:line="480" w:lineRule="auto"/>
        <w:jc w:val="both"/>
        <w:rPr>
          <w:rFonts w:ascii="Arial" w:hAnsi="Arial" w:cs="Arial"/>
          <w:b/>
          <w:bCs/>
        </w:rPr>
      </w:pPr>
    </w:p>
    <w:p w14:paraId="0C0D896E" w14:textId="39754FF4" w:rsidR="005F339A" w:rsidRDefault="009E510E" w:rsidP="00D4446B">
      <w:pPr>
        <w:autoSpaceDE w:val="0"/>
        <w:autoSpaceDN w:val="0"/>
        <w:adjustRightInd w:val="0"/>
        <w:spacing w:after="0" w:line="480" w:lineRule="auto"/>
        <w:jc w:val="both"/>
        <w:rPr>
          <w:rFonts w:ascii="Arial" w:hAnsi="Arial" w:cs="Arial"/>
          <w:b/>
          <w:bCs/>
        </w:rPr>
      </w:pPr>
      <w:r>
        <w:rPr>
          <w:rFonts w:ascii="Arial" w:hAnsi="Arial" w:cs="Arial"/>
          <w:b/>
          <w:bCs/>
        </w:rPr>
        <w:t>THE CHIEF EXECUTIVE OFFICER</w:t>
      </w:r>
      <w:r w:rsidR="0064162D" w:rsidRPr="0064162D">
        <w:rPr>
          <w:rFonts w:ascii="Arial" w:hAnsi="Arial" w:cs="Arial"/>
        </w:rPr>
        <w:t xml:space="preserve"> </w:t>
      </w:r>
      <w:r w:rsidR="0064162D">
        <w:rPr>
          <w:rFonts w:ascii="Arial" w:hAnsi="Arial" w:cs="Arial"/>
        </w:rPr>
        <w:tab/>
      </w:r>
      <w:r w:rsidR="0064162D">
        <w:rPr>
          <w:rFonts w:ascii="Arial" w:hAnsi="Arial" w:cs="Arial"/>
        </w:rPr>
        <w:tab/>
      </w:r>
      <w:r w:rsidR="0064162D">
        <w:rPr>
          <w:rFonts w:ascii="Arial" w:hAnsi="Arial" w:cs="Arial"/>
        </w:rPr>
        <w:tab/>
      </w:r>
      <w:r w:rsidR="0064162D">
        <w:rPr>
          <w:rFonts w:ascii="Arial" w:hAnsi="Arial" w:cs="Arial"/>
        </w:rPr>
        <w:tab/>
      </w:r>
      <w:r w:rsidR="0064162D">
        <w:rPr>
          <w:rFonts w:ascii="Arial" w:hAnsi="Arial" w:cs="Arial"/>
        </w:rPr>
        <w:tab/>
      </w:r>
      <w:r w:rsidR="0064162D" w:rsidRPr="00E07E00">
        <w:rPr>
          <w:rFonts w:ascii="Arial" w:hAnsi="Arial" w:cs="Arial"/>
        </w:rPr>
        <w:t>Second Respondent</w:t>
      </w:r>
    </w:p>
    <w:p w14:paraId="647D390A" w14:textId="76333B93" w:rsidR="005F339A" w:rsidRPr="009E510E" w:rsidRDefault="009E510E" w:rsidP="00D4446B">
      <w:pPr>
        <w:autoSpaceDE w:val="0"/>
        <w:autoSpaceDN w:val="0"/>
        <w:adjustRightInd w:val="0"/>
        <w:spacing w:after="0" w:line="480" w:lineRule="auto"/>
        <w:jc w:val="both"/>
        <w:rPr>
          <w:rFonts w:ascii="Arial" w:hAnsi="Arial" w:cs="Arial"/>
        </w:rPr>
      </w:pPr>
      <w:r>
        <w:rPr>
          <w:rFonts w:ascii="Arial" w:hAnsi="Arial" w:cs="Arial"/>
          <w:b/>
          <w:bCs/>
        </w:rPr>
        <w:t xml:space="preserve">OF </w:t>
      </w:r>
      <w:r w:rsidR="007E1083">
        <w:rPr>
          <w:rFonts w:ascii="Arial" w:hAnsi="Arial" w:cs="Arial"/>
          <w:b/>
          <w:bCs/>
        </w:rPr>
        <w:t xml:space="preserve">CITY POWER </w:t>
      </w:r>
      <w:r>
        <w:rPr>
          <w:rFonts w:ascii="Arial" w:hAnsi="Arial" w:cs="Arial"/>
          <w:b/>
          <w:bCs/>
        </w:rPr>
        <w:t>(PTY) LTD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BF3D566" w14:textId="77777777" w:rsidR="0064162D" w:rsidRDefault="0064162D" w:rsidP="00D4446B">
      <w:pPr>
        <w:autoSpaceDE w:val="0"/>
        <w:autoSpaceDN w:val="0"/>
        <w:adjustRightInd w:val="0"/>
        <w:spacing w:after="0" w:line="480" w:lineRule="auto"/>
        <w:jc w:val="both"/>
        <w:rPr>
          <w:rFonts w:ascii="Arial" w:hAnsi="Arial" w:cs="Arial"/>
          <w:b/>
          <w:bCs/>
        </w:rPr>
      </w:pPr>
    </w:p>
    <w:p w14:paraId="3302155E" w14:textId="18D3AF2B" w:rsidR="005F339A" w:rsidRDefault="009E510E" w:rsidP="00D4446B">
      <w:pPr>
        <w:autoSpaceDE w:val="0"/>
        <w:autoSpaceDN w:val="0"/>
        <w:adjustRightInd w:val="0"/>
        <w:spacing w:after="0" w:line="480" w:lineRule="auto"/>
        <w:jc w:val="both"/>
        <w:rPr>
          <w:rFonts w:ascii="Arial" w:hAnsi="Arial" w:cs="Arial"/>
          <w:b/>
          <w:bCs/>
        </w:rPr>
      </w:pPr>
      <w:r>
        <w:rPr>
          <w:rFonts w:ascii="Arial" w:hAnsi="Arial" w:cs="Arial"/>
          <w:b/>
          <w:bCs/>
        </w:rPr>
        <w:t xml:space="preserve">THE CITY </w:t>
      </w:r>
      <w:r w:rsidR="007802ED">
        <w:rPr>
          <w:rFonts w:ascii="Arial" w:hAnsi="Arial" w:cs="Arial"/>
          <w:b/>
          <w:bCs/>
        </w:rPr>
        <w:t>OF JOHANNESBURG METROPOLITAN</w:t>
      </w:r>
      <w:r w:rsidR="0064162D" w:rsidRPr="0064162D">
        <w:rPr>
          <w:rFonts w:ascii="Arial" w:hAnsi="Arial" w:cs="Arial"/>
        </w:rPr>
        <w:t xml:space="preserve"> </w:t>
      </w:r>
      <w:r w:rsidR="0064162D">
        <w:rPr>
          <w:rFonts w:ascii="Arial" w:hAnsi="Arial" w:cs="Arial"/>
        </w:rPr>
        <w:tab/>
      </w:r>
      <w:r w:rsidR="0064162D">
        <w:rPr>
          <w:rFonts w:ascii="Arial" w:hAnsi="Arial" w:cs="Arial"/>
        </w:rPr>
        <w:tab/>
      </w:r>
      <w:r w:rsidR="0064162D" w:rsidRPr="00E07E00">
        <w:rPr>
          <w:rFonts w:ascii="Arial" w:hAnsi="Arial" w:cs="Arial"/>
        </w:rPr>
        <w:t>Third Respondent</w:t>
      </w:r>
    </w:p>
    <w:p w14:paraId="31B64CD2" w14:textId="7445E82E" w:rsidR="005F339A" w:rsidRPr="007802ED" w:rsidRDefault="007802ED" w:rsidP="00D4446B">
      <w:pPr>
        <w:autoSpaceDE w:val="0"/>
        <w:autoSpaceDN w:val="0"/>
        <w:adjustRightInd w:val="0"/>
        <w:spacing w:after="0" w:line="480" w:lineRule="auto"/>
        <w:jc w:val="both"/>
        <w:rPr>
          <w:rFonts w:ascii="Arial" w:hAnsi="Arial" w:cs="Arial"/>
          <w:b/>
          <w:bCs/>
        </w:rPr>
      </w:pPr>
      <w:r>
        <w:rPr>
          <w:rFonts w:ascii="Arial" w:hAnsi="Arial" w:cs="Arial"/>
          <w:b/>
          <w:bCs/>
        </w:rPr>
        <w:t>MUNICIPALITY</w:t>
      </w:r>
      <w:r>
        <w:rPr>
          <w:rFonts w:ascii="Arial" w:hAnsi="Arial" w:cs="Arial"/>
          <w:b/>
          <w:bCs/>
        </w:rPr>
        <w:tab/>
      </w:r>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r>
      <w:r w:rsidR="005F339A" w:rsidRPr="00E07E00">
        <w:rPr>
          <w:rFonts w:ascii="Arial" w:hAnsi="Arial" w:cs="Arial"/>
        </w:rPr>
        <w:tab/>
      </w:r>
      <w:r>
        <w:rPr>
          <w:rFonts w:ascii="Arial" w:hAnsi="Arial" w:cs="Arial"/>
        </w:rPr>
        <w:tab/>
      </w:r>
      <w:r>
        <w:rPr>
          <w:rFonts w:ascii="Arial" w:hAnsi="Arial" w:cs="Arial"/>
        </w:rPr>
        <w:tab/>
      </w:r>
    </w:p>
    <w:p w14:paraId="027CEA26" w14:textId="152B2970" w:rsidR="00F81A7F" w:rsidRPr="0064162D" w:rsidRDefault="00BB2772" w:rsidP="00D4446B">
      <w:pPr>
        <w:pBdr>
          <w:top w:val="single" w:sz="36" w:space="1" w:color="auto"/>
          <w:bottom w:val="single" w:sz="36" w:space="1" w:color="auto"/>
        </w:pBdr>
        <w:spacing w:before="360" w:after="120" w:line="480" w:lineRule="auto"/>
        <w:jc w:val="center"/>
        <w:rPr>
          <w:rFonts w:ascii="Arial" w:eastAsia="MS Mincho" w:hAnsi="Arial" w:cs="Arial"/>
          <w:b/>
          <w:color w:val="1B1919"/>
          <w:sz w:val="32"/>
          <w:szCs w:val="32"/>
          <w:lang w:val="en-GB" w:eastAsia="ja-JP"/>
        </w:rPr>
      </w:pPr>
      <w:r w:rsidRPr="0064162D">
        <w:rPr>
          <w:rFonts w:ascii="Arial" w:eastAsia="Arial Unicode MS" w:hAnsi="Arial" w:cs="Arial"/>
          <w:b/>
          <w:sz w:val="32"/>
          <w:szCs w:val="32"/>
        </w:rPr>
        <w:t>J</w:t>
      </w:r>
      <w:r w:rsidR="008911E9" w:rsidRPr="0064162D">
        <w:rPr>
          <w:rFonts w:ascii="Arial" w:eastAsia="Arial Unicode MS" w:hAnsi="Arial" w:cs="Arial"/>
          <w:b/>
          <w:sz w:val="32"/>
          <w:szCs w:val="32"/>
        </w:rPr>
        <w:t>UDGMENT</w:t>
      </w:r>
    </w:p>
    <w:p w14:paraId="1EA36642" w14:textId="04C9490B" w:rsidR="00D676E3" w:rsidRPr="00D4446B" w:rsidRDefault="005E0EAB" w:rsidP="007802ED">
      <w:pPr>
        <w:spacing w:before="360" w:line="480" w:lineRule="auto"/>
        <w:jc w:val="both"/>
        <w:rPr>
          <w:rFonts w:ascii="Arial" w:hAnsi="Arial" w:cs="Arial"/>
          <w:iCs/>
          <w:color w:val="000000"/>
          <w:sz w:val="24"/>
          <w:szCs w:val="24"/>
        </w:rPr>
      </w:pPr>
      <w:r w:rsidRPr="00E07E00">
        <w:rPr>
          <w:rFonts w:ascii="Arial" w:eastAsia="Arial Unicode MS" w:hAnsi="Arial" w:cs="Arial"/>
          <w:b/>
          <w:u w:val="single"/>
        </w:rPr>
        <w:lastRenderedPageBreak/>
        <w:t>MEERSINGH A.J. :</w:t>
      </w:r>
      <w:r w:rsidR="001C5A13">
        <w:rPr>
          <w:rFonts w:ascii="Arial" w:hAnsi="Arial" w:cs="Arial"/>
          <w:iCs/>
          <w:color w:val="000000"/>
          <w:sz w:val="24"/>
          <w:szCs w:val="24"/>
        </w:rPr>
        <w:t xml:space="preserve"> </w:t>
      </w:r>
    </w:p>
    <w:p w14:paraId="7746FD3A" w14:textId="51306C2C" w:rsidR="00B2243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E34BC5">
        <w:rPr>
          <w:rFonts w:ascii="Arial" w:eastAsiaTheme="minorEastAsia" w:hAnsi="Arial" w:cs="Arial"/>
          <w:sz w:val="24"/>
          <w:szCs w:val="24"/>
          <w:lang w:eastAsia="en-ZA"/>
        </w:rPr>
        <w:t>1.</w:t>
      </w:r>
      <w:r w:rsidRPr="00E34BC5">
        <w:rPr>
          <w:rFonts w:ascii="Arial" w:eastAsiaTheme="minorEastAsia" w:hAnsi="Arial" w:cs="Arial"/>
          <w:sz w:val="24"/>
          <w:szCs w:val="24"/>
          <w:lang w:eastAsia="en-ZA"/>
        </w:rPr>
        <w:tab/>
      </w:r>
      <w:r w:rsidR="00043423" w:rsidRPr="00FD7813">
        <w:rPr>
          <w:rFonts w:ascii="Arial" w:hAnsi="Arial" w:cs="Arial"/>
          <w:sz w:val="24"/>
          <w:szCs w:val="24"/>
        </w:rPr>
        <w:t xml:space="preserve">This </w:t>
      </w:r>
      <w:r w:rsidR="001E7034" w:rsidRPr="00FD7813">
        <w:rPr>
          <w:rFonts w:ascii="Arial" w:hAnsi="Arial" w:cs="Arial"/>
          <w:sz w:val="24"/>
          <w:szCs w:val="24"/>
        </w:rPr>
        <w:t>was</w:t>
      </w:r>
      <w:r w:rsidR="00043423" w:rsidRPr="00FD7813">
        <w:rPr>
          <w:rFonts w:ascii="Arial" w:hAnsi="Arial" w:cs="Arial"/>
          <w:sz w:val="24"/>
          <w:szCs w:val="24"/>
        </w:rPr>
        <w:t xml:space="preserve"> an application purportedly for mandamus relief</w:t>
      </w:r>
      <w:r w:rsidR="001E7034" w:rsidRPr="00FD7813">
        <w:rPr>
          <w:rFonts w:ascii="Arial" w:hAnsi="Arial" w:cs="Arial"/>
          <w:sz w:val="24"/>
          <w:szCs w:val="24"/>
        </w:rPr>
        <w:t xml:space="preserve"> which was</w:t>
      </w:r>
      <w:r w:rsidR="00FE6CB3" w:rsidRPr="00FD7813">
        <w:rPr>
          <w:rFonts w:ascii="Arial" w:hAnsi="Arial" w:cs="Arial"/>
          <w:sz w:val="24"/>
          <w:szCs w:val="24"/>
        </w:rPr>
        <w:t xml:space="preserve"> </w:t>
      </w:r>
      <w:r w:rsidR="007D19C8" w:rsidRPr="00FD7813">
        <w:rPr>
          <w:rFonts w:ascii="Arial" w:hAnsi="Arial" w:cs="Arial"/>
          <w:sz w:val="24"/>
          <w:szCs w:val="24"/>
        </w:rPr>
        <w:t>prev</w:t>
      </w:r>
      <w:r w:rsidR="00B22431" w:rsidRPr="00FD7813">
        <w:rPr>
          <w:rFonts w:ascii="Arial" w:hAnsi="Arial" w:cs="Arial"/>
          <w:sz w:val="24"/>
          <w:szCs w:val="24"/>
        </w:rPr>
        <w:t xml:space="preserve">iously </w:t>
      </w:r>
      <w:r w:rsidR="001E7034" w:rsidRPr="00FD7813">
        <w:rPr>
          <w:rFonts w:ascii="Arial" w:hAnsi="Arial" w:cs="Arial"/>
          <w:sz w:val="24"/>
          <w:szCs w:val="24"/>
        </w:rPr>
        <w:t>en</w:t>
      </w:r>
      <w:r w:rsidR="00FE6CB3" w:rsidRPr="00FD7813">
        <w:rPr>
          <w:rFonts w:ascii="Arial" w:hAnsi="Arial" w:cs="Arial"/>
          <w:sz w:val="24"/>
          <w:szCs w:val="24"/>
        </w:rPr>
        <w:t>rolled and heard on an urgent basis.</w:t>
      </w:r>
      <w:r w:rsidR="001E7034" w:rsidRPr="00FD7813">
        <w:rPr>
          <w:rFonts w:ascii="Arial" w:hAnsi="Arial" w:cs="Arial"/>
          <w:sz w:val="24"/>
          <w:szCs w:val="24"/>
        </w:rPr>
        <w:t xml:space="preserve"> </w:t>
      </w:r>
      <w:r w:rsidR="00B22431" w:rsidRPr="00FD7813">
        <w:rPr>
          <w:rFonts w:ascii="Arial" w:hAnsi="Arial" w:cs="Arial"/>
          <w:sz w:val="24"/>
          <w:szCs w:val="24"/>
        </w:rPr>
        <w:t>The matter was then dismissed for lack of urgency and brought before this court in its ordinary course.</w:t>
      </w:r>
    </w:p>
    <w:p w14:paraId="5D4ADE50" w14:textId="77777777" w:rsidR="00D676E3" w:rsidRPr="00194BC3" w:rsidRDefault="00D676E3" w:rsidP="00AC1748">
      <w:pPr>
        <w:autoSpaceDE w:val="0"/>
        <w:autoSpaceDN w:val="0"/>
        <w:adjustRightInd w:val="0"/>
        <w:spacing w:after="0" w:line="480" w:lineRule="auto"/>
        <w:ind w:left="720" w:hanging="720"/>
        <w:jc w:val="both"/>
        <w:rPr>
          <w:rFonts w:ascii="Arial" w:hAnsi="Arial" w:cs="Arial"/>
          <w:iCs/>
          <w:color w:val="000000"/>
          <w:sz w:val="24"/>
          <w:szCs w:val="24"/>
        </w:rPr>
      </w:pPr>
    </w:p>
    <w:p w14:paraId="284003D4" w14:textId="4A49222A" w:rsidR="00B2243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E34BC5">
        <w:rPr>
          <w:rFonts w:ascii="Arial" w:eastAsiaTheme="minorEastAsia" w:hAnsi="Arial" w:cs="Arial"/>
          <w:sz w:val="24"/>
          <w:szCs w:val="24"/>
          <w:lang w:eastAsia="en-ZA"/>
        </w:rPr>
        <w:t>2.</w:t>
      </w:r>
      <w:r w:rsidRPr="00E34BC5">
        <w:rPr>
          <w:rFonts w:ascii="Arial" w:eastAsiaTheme="minorEastAsia" w:hAnsi="Arial" w:cs="Arial"/>
          <w:sz w:val="24"/>
          <w:szCs w:val="24"/>
          <w:lang w:eastAsia="en-ZA"/>
        </w:rPr>
        <w:tab/>
      </w:r>
      <w:r w:rsidR="00B22431" w:rsidRPr="00FD7813">
        <w:rPr>
          <w:rFonts w:ascii="Arial" w:hAnsi="Arial" w:cs="Arial"/>
          <w:sz w:val="24"/>
          <w:szCs w:val="24"/>
        </w:rPr>
        <w:t xml:space="preserve">The applicant is a property development company. It is the owner of </w:t>
      </w:r>
      <w:r w:rsidR="00F015BB" w:rsidRPr="00FD7813">
        <w:rPr>
          <w:rFonts w:ascii="Arial" w:hAnsi="Arial" w:cs="Arial"/>
          <w:sz w:val="24"/>
          <w:szCs w:val="24"/>
        </w:rPr>
        <w:t>Wi</w:t>
      </w:r>
      <w:r w:rsidR="0041067F" w:rsidRPr="00FD7813">
        <w:rPr>
          <w:rFonts w:ascii="Arial" w:hAnsi="Arial" w:cs="Arial"/>
          <w:sz w:val="24"/>
          <w:szCs w:val="24"/>
        </w:rPr>
        <w:t>lgeheuwel Extension 26 Township</w:t>
      </w:r>
      <w:r w:rsidR="00091C65" w:rsidRPr="00FD7813">
        <w:rPr>
          <w:rFonts w:ascii="Arial" w:hAnsi="Arial" w:cs="Arial"/>
          <w:sz w:val="24"/>
          <w:szCs w:val="24"/>
        </w:rPr>
        <w:t xml:space="preserve"> </w:t>
      </w:r>
      <w:r w:rsidR="00B22431" w:rsidRPr="00FD7813">
        <w:rPr>
          <w:rFonts w:ascii="Arial" w:hAnsi="Arial" w:cs="Arial"/>
          <w:sz w:val="24"/>
          <w:szCs w:val="24"/>
        </w:rPr>
        <w:t xml:space="preserve">and </w:t>
      </w:r>
      <w:r w:rsidR="0041067F" w:rsidRPr="00FD7813">
        <w:rPr>
          <w:rFonts w:ascii="Arial" w:hAnsi="Arial" w:cs="Arial"/>
          <w:color w:val="242021"/>
          <w:sz w:val="24"/>
          <w:szCs w:val="24"/>
        </w:rPr>
        <w:t xml:space="preserve">Wilgeheuwel Extension 67 Township </w:t>
      </w:r>
      <w:r w:rsidR="001E7034" w:rsidRPr="00FD7813">
        <w:rPr>
          <w:rFonts w:ascii="Arial" w:hAnsi="Arial" w:cs="Arial"/>
          <w:sz w:val="24"/>
          <w:szCs w:val="24"/>
        </w:rPr>
        <w:t xml:space="preserve">the latter of </w:t>
      </w:r>
      <w:r w:rsidR="00B22431" w:rsidRPr="00FD7813">
        <w:rPr>
          <w:rFonts w:ascii="Arial" w:hAnsi="Arial" w:cs="Arial"/>
          <w:sz w:val="24"/>
          <w:szCs w:val="24"/>
        </w:rPr>
        <w:t>which is the subject matter of this application.</w:t>
      </w:r>
    </w:p>
    <w:p w14:paraId="4B903323" w14:textId="77777777" w:rsidR="0064162D" w:rsidRDefault="0064162D" w:rsidP="00AC1748">
      <w:pPr>
        <w:autoSpaceDE w:val="0"/>
        <w:autoSpaceDN w:val="0"/>
        <w:adjustRightInd w:val="0"/>
        <w:spacing w:after="0" w:line="480" w:lineRule="auto"/>
        <w:jc w:val="both"/>
        <w:rPr>
          <w:rFonts w:ascii="Arial" w:hAnsi="Arial" w:cs="Arial"/>
          <w:sz w:val="24"/>
          <w:szCs w:val="24"/>
        </w:rPr>
      </w:pPr>
    </w:p>
    <w:p w14:paraId="657E270E" w14:textId="4CB32758" w:rsidR="00B2243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E34BC5">
        <w:rPr>
          <w:rFonts w:ascii="Arial" w:eastAsiaTheme="minorEastAsia" w:hAnsi="Arial" w:cs="Arial"/>
          <w:sz w:val="24"/>
          <w:szCs w:val="24"/>
          <w:lang w:eastAsia="en-ZA"/>
        </w:rPr>
        <w:t>3.</w:t>
      </w:r>
      <w:r w:rsidRPr="00E34BC5">
        <w:rPr>
          <w:rFonts w:ascii="Arial" w:eastAsiaTheme="minorEastAsia" w:hAnsi="Arial" w:cs="Arial"/>
          <w:sz w:val="24"/>
          <w:szCs w:val="24"/>
          <w:lang w:eastAsia="en-ZA"/>
        </w:rPr>
        <w:tab/>
      </w:r>
      <w:r w:rsidR="00B22431" w:rsidRPr="00FD7813">
        <w:rPr>
          <w:rFonts w:ascii="Arial" w:hAnsi="Arial" w:cs="Arial"/>
          <w:sz w:val="24"/>
          <w:szCs w:val="24"/>
        </w:rPr>
        <w:t xml:space="preserve">The first </w:t>
      </w:r>
      <w:r w:rsidR="007D19C8" w:rsidRPr="00FD7813">
        <w:rPr>
          <w:rFonts w:ascii="Arial" w:hAnsi="Arial" w:cs="Arial"/>
          <w:sz w:val="24"/>
          <w:szCs w:val="24"/>
        </w:rPr>
        <w:t xml:space="preserve">respondent is </w:t>
      </w:r>
      <w:r w:rsidR="007E1083" w:rsidRPr="00FD7813">
        <w:rPr>
          <w:rFonts w:ascii="Arial" w:hAnsi="Arial" w:cs="Arial"/>
          <w:sz w:val="24"/>
          <w:szCs w:val="24"/>
        </w:rPr>
        <w:t xml:space="preserve">City Power </w:t>
      </w:r>
      <w:r w:rsidR="00127F87" w:rsidRPr="00FD7813">
        <w:rPr>
          <w:rFonts w:ascii="Arial" w:hAnsi="Arial" w:cs="Arial"/>
          <w:sz w:val="24"/>
          <w:szCs w:val="24"/>
        </w:rPr>
        <w:t>PTY LTD</w:t>
      </w:r>
      <w:r w:rsidR="007D19C8" w:rsidRPr="00FD7813">
        <w:rPr>
          <w:rFonts w:ascii="Arial" w:hAnsi="Arial" w:cs="Arial"/>
          <w:sz w:val="24"/>
          <w:szCs w:val="24"/>
        </w:rPr>
        <w:t>, a Muni</w:t>
      </w:r>
      <w:r w:rsidR="007F74EA" w:rsidRPr="00FD7813">
        <w:rPr>
          <w:rFonts w:ascii="Arial" w:hAnsi="Arial" w:cs="Arial"/>
          <w:sz w:val="24"/>
          <w:szCs w:val="24"/>
        </w:rPr>
        <w:t xml:space="preserve">cipal Owned Entity of the third </w:t>
      </w:r>
      <w:r w:rsidR="00127F87" w:rsidRPr="00FD7813">
        <w:rPr>
          <w:rFonts w:ascii="Arial" w:hAnsi="Arial" w:cs="Arial"/>
          <w:sz w:val="24"/>
          <w:szCs w:val="24"/>
        </w:rPr>
        <w:t>respondent</w:t>
      </w:r>
      <w:r w:rsidR="00E34BC5" w:rsidRPr="00FD7813">
        <w:rPr>
          <w:rFonts w:ascii="Arial" w:hAnsi="Arial" w:cs="Arial"/>
          <w:sz w:val="24"/>
          <w:szCs w:val="24"/>
        </w:rPr>
        <w:t xml:space="preserve">, </w:t>
      </w:r>
      <w:r w:rsidR="007D19C8" w:rsidRPr="00FD7813">
        <w:rPr>
          <w:rFonts w:ascii="Arial" w:hAnsi="Arial" w:cs="Arial"/>
          <w:sz w:val="24"/>
          <w:szCs w:val="24"/>
        </w:rPr>
        <w:t xml:space="preserve">The second respondent is the </w:t>
      </w:r>
      <w:r w:rsidR="00B22431" w:rsidRPr="00FD7813">
        <w:rPr>
          <w:rFonts w:ascii="Arial" w:hAnsi="Arial" w:cs="Arial"/>
          <w:sz w:val="24"/>
          <w:szCs w:val="24"/>
        </w:rPr>
        <w:t xml:space="preserve">CEO </w:t>
      </w:r>
      <w:r w:rsidR="007D19C8" w:rsidRPr="00FD7813">
        <w:rPr>
          <w:rFonts w:ascii="Arial" w:hAnsi="Arial" w:cs="Arial"/>
          <w:sz w:val="24"/>
          <w:szCs w:val="24"/>
        </w:rPr>
        <w:t xml:space="preserve">of </w:t>
      </w:r>
      <w:r w:rsidR="007E1083" w:rsidRPr="00FD7813">
        <w:rPr>
          <w:rFonts w:ascii="Arial" w:hAnsi="Arial" w:cs="Arial"/>
          <w:sz w:val="24"/>
          <w:szCs w:val="24"/>
        </w:rPr>
        <w:t xml:space="preserve">City Power </w:t>
      </w:r>
      <w:r w:rsidR="00127F87" w:rsidRPr="00FD7813">
        <w:rPr>
          <w:rFonts w:ascii="Arial" w:hAnsi="Arial" w:cs="Arial"/>
          <w:sz w:val="24"/>
          <w:szCs w:val="24"/>
        </w:rPr>
        <w:t>PTY LTD</w:t>
      </w:r>
      <w:r w:rsidR="00B22431" w:rsidRPr="00FD7813">
        <w:rPr>
          <w:rFonts w:ascii="Arial" w:hAnsi="Arial" w:cs="Arial"/>
          <w:sz w:val="24"/>
          <w:szCs w:val="24"/>
        </w:rPr>
        <w:t>. The third respondent is the City of Johannesburg Metropolitan Municipality (“the COJ”).</w:t>
      </w:r>
    </w:p>
    <w:p w14:paraId="4F910905" w14:textId="1A06D130" w:rsidR="003D0619" w:rsidRPr="00194BC3" w:rsidRDefault="003D0619" w:rsidP="00AC1748">
      <w:pPr>
        <w:spacing w:after="0" w:line="480" w:lineRule="auto"/>
        <w:jc w:val="both"/>
        <w:rPr>
          <w:rFonts w:ascii="Arial" w:eastAsia="Arial Unicode MS" w:hAnsi="Arial" w:cs="Arial"/>
          <w:sz w:val="24"/>
          <w:szCs w:val="24"/>
        </w:rPr>
      </w:pPr>
    </w:p>
    <w:p w14:paraId="1D7D7C3B" w14:textId="00838B70" w:rsidR="00B22431" w:rsidRPr="00FD7813" w:rsidRDefault="00FD7813" w:rsidP="00FD7813">
      <w:pPr>
        <w:spacing w:after="0" w:line="480" w:lineRule="auto"/>
        <w:ind w:left="720" w:hanging="360"/>
        <w:jc w:val="both"/>
        <w:rPr>
          <w:rFonts w:ascii="Arial" w:eastAsia="Arial Unicode MS" w:hAnsi="Arial" w:cs="Arial"/>
          <w:sz w:val="24"/>
          <w:szCs w:val="24"/>
        </w:rPr>
      </w:pPr>
      <w:r w:rsidRPr="00E34BC5">
        <w:rPr>
          <w:rFonts w:ascii="Arial" w:eastAsia="Arial Unicode MS" w:hAnsi="Arial" w:cs="Arial"/>
          <w:sz w:val="24"/>
          <w:szCs w:val="24"/>
          <w:lang w:eastAsia="en-ZA"/>
        </w:rPr>
        <w:t>4.</w:t>
      </w:r>
      <w:r w:rsidRPr="00E34BC5">
        <w:rPr>
          <w:rFonts w:ascii="Arial" w:eastAsia="Arial Unicode MS" w:hAnsi="Arial" w:cs="Arial"/>
          <w:sz w:val="24"/>
          <w:szCs w:val="24"/>
          <w:lang w:eastAsia="en-ZA"/>
        </w:rPr>
        <w:tab/>
      </w:r>
      <w:r w:rsidR="007D19C8" w:rsidRPr="00FD7813">
        <w:rPr>
          <w:rFonts w:ascii="Arial" w:eastAsia="Arial Unicode MS" w:hAnsi="Arial" w:cs="Arial"/>
          <w:sz w:val="24"/>
          <w:szCs w:val="24"/>
        </w:rPr>
        <w:t xml:space="preserve">This application commenced for mandamus relief </w:t>
      </w:r>
      <w:r w:rsidR="00B22431" w:rsidRPr="00FD7813">
        <w:rPr>
          <w:rFonts w:ascii="Arial" w:eastAsia="Arial Unicode MS" w:hAnsi="Arial" w:cs="Arial"/>
          <w:sz w:val="24"/>
          <w:szCs w:val="24"/>
        </w:rPr>
        <w:t>with the intention of seeking a</w:t>
      </w:r>
      <w:r w:rsidR="007D19C8" w:rsidRPr="00FD7813">
        <w:rPr>
          <w:rFonts w:ascii="Arial" w:eastAsia="Arial Unicode MS" w:hAnsi="Arial" w:cs="Arial"/>
          <w:sz w:val="24"/>
          <w:szCs w:val="24"/>
        </w:rPr>
        <w:t>n</w:t>
      </w:r>
      <w:r w:rsidR="007F74EA" w:rsidRPr="00FD7813">
        <w:rPr>
          <w:rFonts w:ascii="Arial" w:eastAsia="Arial Unicode MS" w:hAnsi="Arial" w:cs="Arial"/>
          <w:sz w:val="24"/>
          <w:szCs w:val="24"/>
        </w:rPr>
        <w:t xml:space="preserve"> order as follows</w:t>
      </w:r>
      <w:r w:rsidR="00B22431" w:rsidRPr="00FD7813">
        <w:rPr>
          <w:rFonts w:ascii="Arial" w:eastAsia="Arial Unicode MS" w:hAnsi="Arial" w:cs="Arial"/>
          <w:sz w:val="24"/>
          <w:szCs w:val="24"/>
        </w:rPr>
        <w:t>:-</w:t>
      </w:r>
    </w:p>
    <w:p w14:paraId="7A76AE70" w14:textId="77777777" w:rsidR="00B22431" w:rsidRPr="00194BC3" w:rsidRDefault="00B22431" w:rsidP="00E34BC5">
      <w:pPr>
        <w:autoSpaceDE w:val="0"/>
        <w:autoSpaceDN w:val="0"/>
        <w:adjustRightInd w:val="0"/>
        <w:spacing w:after="0" w:line="480" w:lineRule="auto"/>
        <w:ind w:firstLine="720"/>
        <w:jc w:val="both"/>
        <w:rPr>
          <w:rFonts w:ascii="Arial" w:hAnsi="Arial" w:cs="Arial"/>
          <w:bCs/>
          <w:sz w:val="24"/>
          <w:szCs w:val="24"/>
        </w:rPr>
      </w:pPr>
      <w:r w:rsidRPr="00194BC3">
        <w:rPr>
          <w:rFonts w:ascii="Arial" w:hAnsi="Arial" w:cs="Arial"/>
          <w:sz w:val="24"/>
          <w:szCs w:val="24"/>
        </w:rPr>
        <w:t xml:space="preserve">An order declaring that the </w:t>
      </w:r>
      <w:r w:rsidRPr="00194BC3">
        <w:rPr>
          <w:rFonts w:ascii="Arial" w:hAnsi="Arial" w:cs="Arial"/>
          <w:bCs/>
          <w:sz w:val="24"/>
          <w:szCs w:val="24"/>
        </w:rPr>
        <w:t>Township Electrical Reticulation Standard for</w:t>
      </w:r>
    </w:p>
    <w:p w14:paraId="6E272AE2" w14:textId="54627979" w:rsidR="00B22431" w:rsidRPr="00472709" w:rsidRDefault="00B22431" w:rsidP="00E34BC5">
      <w:pPr>
        <w:autoSpaceDE w:val="0"/>
        <w:autoSpaceDN w:val="0"/>
        <w:adjustRightInd w:val="0"/>
        <w:spacing w:after="0" w:line="480" w:lineRule="auto"/>
        <w:ind w:left="720"/>
        <w:jc w:val="both"/>
        <w:rPr>
          <w:rFonts w:ascii="Arial" w:hAnsi="Arial" w:cs="Arial"/>
          <w:bCs/>
          <w:sz w:val="24"/>
          <w:szCs w:val="24"/>
        </w:rPr>
      </w:pPr>
      <w:r w:rsidRPr="00194BC3">
        <w:rPr>
          <w:rFonts w:ascii="Arial" w:hAnsi="Arial" w:cs="Arial"/>
          <w:bCs/>
          <w:sz w:val="24"/>
          <w:szCs w:val="24"/>
        </w:rPr>
        <w:t xml:space="preserve">Underground Systems Policy </w:t>
      </w:r>
      <w:r w:rsidRPr="00194BC3">
        <w:rPr>
          <w:rFonts w:ascii="Arial" w:hAnsi="Arial" w:cs="Arial"/>
          <w:sz w:val="24"/>
          <w:szCs w:val="24"/>
        </w:rPr>
        <w:t>(“</w:t>
      </w:r>
      <w:r w:rsidR="008D4D25">
        <w:rPr>
          <w:rFonts w:ascii="Arial" w:hAnsi="Arial" w:cs="Arial"/>
          <w:sz w:val="24"/>
          <w:szCs w:val="24"/>
        </w:rPr>
        <w:t xml:space="preserve">the policy </w:t>
      </w:r>
      <w:r w:rsidRPr="00194BC3">
        <w:rPr>
          <w:rFonts w:ascii="Arial" w:hAnsi="Arial" w:cs="Arial"/>
          <w:sz w:val="24"/>
          <w:szCs w:val="24"/>
        </w:rPr>
        <w:t xml:space="preserve">”) dated June 2008 </w:t>
      </w:r>
      <w:r w:rsidRPr="00194BC3">
        <w:rPr>
          <w:rFonts w:ascii="Arial" w:hAnsi="Arial" w:cs="Arial"/>
          <w:bCs/>
          <w:sz w:val="24"/>
          <w:szCs w:val="24"/>
        </w:rPr>
        <w:t>has not been</w:t>
      </w:r>
      <w:r w:rsidR="00472709">
        <w:rPr>
          <w:rFonts w:ascii="Arial" w:hAnsi="Arial" w:cs="Arial"/>
          <w:bCs/>
          <w:sz w:val="24"/>
          <w:szCs w:val="24"/>
        </w:rPr>
        <w:t xml:space="preserve"> </w:t>
      </w:r>
      <w:r w:rsidRPr="00194BC3">
        <w:rPr>
          <w:rFonts w:ascii="Arial" w:hAnsi="Arial" w:cs="Arial"/>
          <w:bCs/>
          <w:sz w:val="24"/>
          <w:szCs w:val="24"/>
        </w:rPr>
        <w:t xml:space="preserve">properly publicly participated and/or adopted </w:t>
      </w:r>
      <w:r w:rsidRPr="00194BC3">
        <w:rPr>
          <w:rFonts w:ascii="Arial" w:hAnsi="Arial" w:cs="Arial"/>
          <w:sz w:val="24"/>
          <w:szCs w:val="24"/>
        </w:rPr>
        <w:t>as is required by the</w:t>
      </w:r>
      <w:r w:rsidR="00472709">
        <w:rPr>
          <w:rFonts w:ascii="Arial" w:hAnsi="Arial" w:cs="Arial"/>
          <w:bCs/>
          <w:sz w:val="24"/>
          <w:szCs w:val="24"/>
        </w:rPr>
        <w:t xml:space="preserve"> </w:t>
      </w:r>
      <w:r w:rsidRPr="00194BC3">
        <w:rPr>
          <w:rFonts w:ascii="Arial" w:hAnsi="Arial" w:cs="Arial"/>
          <w:sz w:val="24"/>
          <w:szCs w:val="24"/>
        </w:rPr>
        <w:t>Constitution and the Local Government: Municipal Systems Act; and</w:t>
      </w:r>
      <w:r w:rsidR="00472709">
        <w:rPr>
          <w:rFonts w:ascii="Arial" w:hAnsi="Arial" w:cs="Arial"/>
          <w:bCs/>
          <w:sz w:val="24"/>
          <w:szCs w:val="24"/>
        </w:rPr>
        <w:t xml:space="preserve"> </w:t>
      </w:r>
      <w:r w:rsidRPr="00194BC3">
        <w:rPr>
          <w:rFonts w:ascii="Arial" w:hAnsi="Arial" w:cs="Arial"/>
          <w:sz w:val="24"/>
          <w:szCs w:val="24"/>
        </w:rPr>
        <w:t>consequently, the said “Policy” does not bind the first respondent in the</w:t>
      </w:r>
      <w:r w:rsidR="00472709">
        <w:rPr>
          <w:rFonts w:ascii="Arial" w:hAnsi="Arial" w:cs="Arial"/>
          <w:bCs/>
          <w:sz w:val="24"/>
          <w:szCs w:val="24"/>
        </w:rPr>
        <w:t xml:space="preserve"> </w:t>
      </w:r>
      <w:r w:rsidRPr="00194BC3">
        <w:rPr>
          <w:rFonts w:ascii="Arial" w:hAnsi="Arial" w:cs="Arial"/>
          <w:sz w:val="24"/>
          <w:szCs w:val="24"/>
        </w:rPr>
        <w:t xml:space="preserve">execution of its powers and is merely a reference document that may </w:t>
      </w:r>
      <w:r w:rsidRPr="00194BC3">
        <w:rPr>
          <w:rFonts w:ascii="Arial" w:hAnsi="Arial" w:cs="Arial"/>
          <w:bCs/>
          <w:sz w:val="24"/>
          <w:szCs w:val="24"/>
        </w:rPr>
        <w:t>guide</w:t>
      </w:r>
      <w:r w:rsidR="00472709">
        <w:rPr>
          <w:rFonts w:ascii="Arial" w:hAnsi="Arial" w:cs="Arial"/>
          <w:bCs/>
          <w:sz w:val="24"/>
          <w:szCs w:val="24"/>
        </w:rPr>
        <w:t xml:space="preserve"> </w:t>
      </w:r>
      <w:r w:rsidRPr="00194BC3">
        <w:rPr>
          <w:rFonts w:ascii="Arial" w:hAnsi="Arial" w:cs="Arial"/>
          <w:bCs/>
          <w:sz w:val="24"/>
          <w:szCs w:val="24"/>
        </w:rPr>
        <w:t xml:space="preserve">and inform </w:t>
      </w:r>
      <w:r w:rsidRPr="00194BC3">
        <w:rPr>
          <w:rFonts w:ascii="Arial" w:hAnsi="Arial" w:cs="Arial"/>
          <w:sz w:val="24"/>
          <w:szCs w:val="24"/>
        </w:rPr>
        <w:t>the first respondent but bears no greater legal status than any other</w:t>
      </w:r>
      <w:r w:rsidR="00472709">
        <w:rPr>
          <w:rFonts w:ascii="Arial" w:hAnsi="Arial" w:cs="Arial"/>
          <w:bCs/>
          <w:sz w:val="24"/>
          <w:szCs w:val="24"/>
        </w:rPr>
        <w:t xml:space="preserve"> </w:t>
      </w:r>
      <w:r w:rsidRPr="00194BC3">
        <w:rPr>
          <w:rFonts w:ascii="Arial" w:hAnsi="Arial" w:cs="Arial"/>
          <w:sz w:val="24"/>
          <w:szCs w:val="24"/>
        </w:rPr>
        <w:t>document or suite of documents to which the first respondent may have regard</w:t>
      </w:r>
      <w:r w:rsidR="00472709">
        <w:rPr>
          <w:rFonts w:ascii="Arial" w:hAnsi="Arial" w:cs="Arial"/>
          <w:bCs/>
          <w:sz w:val="24"/>
          <w:szCs w:val="24"/>
        </w:rPr>
        <w:t xml:space="preserve"> </w:t>
      </w:r>
      <w:r w:rsidRPr="00194BC3">
        <w:rPr>
          <w:rFonts w:ascii="Arial" w:hAnsi="Arial" w:cs="Arial"/>
          <w:sz w:val="24"/>
          <w:szCs w:val="24"/>
        </w:rPr>
        <w:t>when exercising its various statutory powers, including the power (i</w:t>
      </w:r>
      <w:r w:rsidR="0064162D">
        <w:rPr>
          <w:rFonts w:ascii="Arial" w:hAnsi="Arial" w:cs="Arial"/>
          <w:sz w:val="24"/>
          <w:szCs w:val="24"/>
        </w:rPr>
        <w:t>.</w:t>
      </w:r>
      <w:r w:rsidRPr="00194BC3">
        <w:rPr>
          <w:rFonts w:ascii="Arial" w:hAnsi="Arial" w:cs="Arial"/>
          <w:sz w:val="24"/>
          <w:szCs w:val="24"/>
        </w:rPr>
        <w:t>e</w:t>
      </w:r>
      <w:r w:rsidR="0064162D">
        <w:rPr>
          <w:rFonts w:ascii="Arial" w:hAnsi="Arial" w:cs="Arial"/>
          <w:sz w:val="24"/>
          <w:szCs w:val="24"/>
        </w:rPr>
        <w:t>.</w:t>
      </w:r>
      <w:r w:rsidRPr="00194BC3">
        <w:rPr>
          <w:rFonts w:ascii="Arial" w:hAnsi="Arial" w:cs="Arial"/>
          <w:sz w:val="24"/>
          <w:szCs w:val="24"/>
        </w:rPr>
        <w:t xml:space="preserve"> discretion)</w:t>
      </w:r>
      <w:r w:rsidR="00472709">
        <w:rPr>
          <w:rFonts w:ascii="Arial" w:hAnsi="Arial" w:cs="Arial"/>
          <w:bCs/>
          <w:sz w:val="24"/>
          <w:szCs w:val="24"/>
        </w:rPr>
        <w:t xml:space="preserve"> </w:t>
      </w:r>
      <w:r w:rsidRPr="00194BC3">
        <w:rPr>
          <w:rFonts w:ascii="Arial" w:hAnsi="Arial" w:cs="Arial"/>
          <w:sz w:val="24"/>
          <w:szCs w:val="24"/>
        </w:rPr>
        <w:t>to issue positive comments pursuant to the applicant’s rezoning application;</w:t>
      </w:r>
    </w:p>
    <w:p w14:paraId="262CEF1A" w14:textId="77777777" w:rsidR="00B22431" w:rsidRPr="00194BC3" w:rsidRDefault="00B22431" w:rsidP="00AC1748">
      <w:pPr>
        <w:autoSpaceDE w:val="0"/>
        <w:autoSpaceDN w:val="0"/>
        <w:adjustRightInd w:val="0"/>
        <w:spacing w:after="0" w:line="480" w:lineRule="auto"/>
        <w:jc w:val="both"/>
        <w:rPr>
          <w:rFonts w:ascii="Arial" w:hAnsi="Arial" w:cs="Arial"/>
          <w:sz w:val="24"/>
          <w:szCs w:val="24"/>
        </w:rPr>
      </w:pPr>
    </w:p>
    <w:p w14:paraId="6FA507E0" w14:textId="5959DCDB" w:rsidR="00B22431" w:rsidRPr="00194BC3" w:rsidRDefault="00B22431" w:rsidP="00E34BC5">
      <w:pPr>
        <w:autoSpaceDE w:val="0"/>
        <w:autoSpaceDN w:val="0"/>
        <w:adjustRightInd w:val="0"/>
        <w:spacing w:after="0" w:line="480" w:lineRule="auto"/>
        <w:ind w:firstLine="720"/>
        <w:jc w:val="both"/>
        <w:rPr>
          <w:rFonts w:ascii="Arial" w:hAnsi="Arial" w:cs="Arial"/>
          <w:sz w:val="24"/>
          <w:szCs w:val="24"/>
        </w:rPr>
      </w:pPr>
      <w:r w:rsidRPr="00194BC3">
        <w:rPr>
          <w:rFonts w:ascii="Arial" w:hAnsi="Arial" w:cs="Arial"/>
          <w:sz w:val="24"/>
          <w:szCs w:val="24"/>
        </w:rPr>
        <w:t>An order compelling the first respondent to issue its positive comments relating</w:t>
      </w:r>
    </w:p>
    <w:p w14:paraId="658D7009" w14:textId="60DAE867" w:rsidR="007D19C8" w:rsidRPr="00194BC3" w:rsidRDefault="00B22431" w:rsidP="00E34BC5">
      <w:pPr>
        <w:autoSpaceDE w:val="0"/>
        <w:autoSpaceDN w:val="0"/>
        <w:adjustRightInd w:val="0"/>
        <w:spacing w:after="0" w:line="480" w:lineRule="auto"/>
        <w:ind w:left="720"/>
        <w:jc w:val="both"/>
        <w:rPr>
          <w:rFonts w:ascii="Arial" w:hAnsi="Arial" w:cs="Arial"/>
          <w:sz w:val="24"/>
          <w:szCs w:val="24"/>
        </w:rPr>
      </w:pPr>
      <w:r w:rsidRPr="00194BC3">
        <w:rPr>
          <w:rFonts w:ascii="Arial" w:hAnsi="Arial" w:cs="Arial"/>
          <w:sz w:val="24"/>
          <w:szCs w:val="24"/>
        </w:rPr>
        <w:t xml:space="preserve">to the applicant’s rezoning application in respect of Erf 1639 </w:t>
      </w:r>
      <w:r w:rsidR="0041067F">
        <w:rPr>
          <w:rFonts w:ascii="Arial" w:hAnsi="Arial" w:cs="Arial"/>
          <w:color w:val="242021"/>
          <w:sz w:val="24"/>
          <w:szCs w:val="24"/>
        </w:rPr>
        <w:t xml:space="preserve">Wilgeheuwel Extension 67 Township </w:t>
      </w:r>
      <w:r w:rsidR="00A35F23" w:rsidRPr="00194BC3">
        <w:rPr>
          <w:rFonts w:ascii="Arial" w:hAnsi="Arial" w:cs="Arial"/>
          <w:sz w:val="24"/>
          <w:szCs w:val="24"/>
        </w:rPr>
        <w:t xml:space="preserve"> </w:t>
      </w:r>
      <w:r w:rsidRPr="00194BC3">
        <w:rPr>
          <w:rFonts w:ascii="Arial" w:hAnsi="Arial" w:cs="Arial"/>
          <w:sz w:val="24"/>
          <w:szCs w:val="24"/>
        </w:rPr>
        <w:t>lodged on 17 January 2022 and amended on 1 March 2022 (“the</w:t>
      </w:r>
      <w:r w:rsidR="00472709">
        <w:rPr>
          <w:rFonts w:ascii="Arial" w:hAnsi="Arial" w:cs="Arial"/>
          <w:sz w:val="24"/>
          <w:szCs w:val="24"/>
        </w:rPr>
        <w:t xml:space="preserve"> </w:t>
      </w:r>
      <w:r w:rsidRPr="00194BC3">
        <w:rPr>
          <w:rFonts w:ascii="Arial" w:hAnsi="Arial" w:cs="Arial"/>
          <w:sz w:val="24"/>
          <w:szCs w:val="24"/>
        </w:rPr>
        <w:t>rezoning application”) within 7 calendar days of the date of this Order failing</w:t>
      </w:r>
      <w:r w:rsidR="00472709">
        <w:rPr>
          <w:rFonts w:ascii="Arial" w:hAnsi="Arial" w:cs="Arial"/>
          <w:sz w:val="24"/>
          <w:szCs w:val="24"/>
        </w:rPr>
        <w:t xml:space="preserve"> </w:t>
      </w:r>
      <w:r w:rsidRPr="00194BC3">
        <w:rPr>
          <w:rFonts w:ascii="Arial" w:hAnsi="Arial" w:cs="Arial"/>
          <w:sz w:val="24"/>
          <w:szCs w:val="24"/>
        </w:rPr>
        <w:t>which the applicant may, on the same papers duly amended and/or</w:t>
      </w:r>
      <w:r w:rsidR="00472709">
        <w:rPr>
          <w:rFonts w:ascii="Arial" w:hAnsi="Arial" w:cs="Arial"/>
          <w:sz w:val="24"/>
          <w:szCs w:val="24"/>
        </w:rPr>
        <w:t xml:space="preserve"> </w:t>
      </w:r>
      <w:r w:rsidRPr="00194BC3">
        <w:rPr>
          <w:rFonts w:ascii="Arial" w:hAnsi="Arial" w:cs="Arial"/>
          <w:sz w:val="24"/>
          <w:szCs w:val="24"/>
        </w:rPr>
        <w:t>supplemented where necessary, apply to this Honourable Court for an order</w:t>
      </w:r>
      <w:r w:rsidR="00472709">
        <w:rPr>
          <w:rFonts w:ascii="Arial" w:hAnsi="Arial" w:cs="Arial"/>
          <w:sz w:val="24"/>
          <w:szCs w:val="24"/>
        </w:rPr>
        <w:t xml:space="preserve"> </w:t>
      </w:r>
      <w:r w:rsidRPr="00194BC3">
        <w:rPr>
          <w:rFonts w:ascii="Arial" w:hAnsi="Arial" w:cs="Arial"/>
          <w:sz w:val="24"/>
          <w:szCs w:val="24"/>
        </w:rPr>
        <w:t>that the Chief Executive Officer of the first respondent is in contempt of an Order</w:t>
      </w:r>
      <w:r w:rsidR="00472709">
        <w:rPr>
          <w:rFonts w:ascii="Arial" w:hAnsi="Arial" w:cs="Arial"/>
          <w:sz w:val="24"/>
          <w:szCs w:val="24"/>
        </w:rPr>
        <w:t xml:space="preserve"> </w:t>
      </w:r>
      <w:r w:rsidRPr="00194BC3">
        <w:rPr>
          <w:rFonts w:ascii="Arial" w:hAnsi="Arial" w:cs="Arial"/>
          <w:sz w:val="24"/>
          <w:szCs w:val="24"/>
        </w:rPr>
        <w:t>issued by this Honourable Court and committing the Chief Executive Officer to</w:t>
      </w:r>
      <w:r w:rsidR="00472709">
        <w:rPr>
          <w:rFonts w:ascii="Arial" w:hAnsi="Arial" w:cs="Arial"/>
          <w:sz w:val="24"/>
          <w:szCs w:val="24"/>
        </w:rPr>
        <w:t xml:space="preserve"> </w:t>
      </w:r>
      <w:r w:rsidRPr="00194BC3">
        <w:rPr>
          <w:rFonts w:ascii="Arial" w:hAnsi="Arial" w:cs="Arial"/>
          <w:sz w:val="24"/>
          <w:szCs w:val="24"/>
        </w:rPr>
        <w:t>a period of incarceration and/or imposing a fine on such persons for their</w:t>
      </w:r>
      <w:r w:rsidR="00472709">
        <w:rPr>
          <w:rFonts w:ascii="Arial" w:hAnsi="Arial" w:cs="Arial"/>
          <w:sz w:val="24"/>
          <w:szCs w:val="24"/>
        </w:rPr>
        <w:t xml:space="preserve"> </w:t>
      </w:r>
      <w:r w:rsidR="007D19C8" w:rsidRPr="00194BC3">
        <w:rPr>
          <w:rFonts w:ascii="Arial" w:hAnsi="Arial" w:cs="Arial"/>
          <w:sz w:val="24"/>
          <w:szCs w:val="24"/>
        </w:rPr>
        <w:t>contempt, Together with ancillary relief.</w:t>
      </w:r>
    </w:p>
    <w:p w14:paraId="31217EB9" w14:textId="77777777" w:rsidR="0064162D" w:rsidRDefault="0064162D" w:rsidP="00AC1748">
      <w:pPr>
        <w:pStyle w:val="ListParagraph"/>
        <w:tabs>
          <w:tab w:val="left" w:pos="2955"/>
        </w:tabs>
        <w:spacing w:after="0" w:line="480" w:lineRule="auto"/>
        <w:ind w:left="0"/>
        <w:jc w:val="both"/>
        <w:rPr>
          <w:rFonts w:ascii="Arial" w:eastAsia="Arial Unicode MS" w:hAnsi="Arial" w:cs="Arial"/>
          <w:sz w:val="24"/>
          <w:szCs w:val="24"/>
        </w:rPr>
      </w:pPr>
    </w:p>
    <w:p w14:paraId="42594B14" w14:textId="4901ADD1" w:rsidR="00127F87" w:rsidRPr="00FD7813" w:rsidRDefault="00FD7813" w:rsidP="00FD7813">
      <w:pPr>
        <w:tabs>
          <w:tab w:val="left" w:pos="2955"/>
        </w:tabs>
        <w:spacing w:after="0" w:line="480" w:lineRule="auto"/>
        <w:ind w:left="720" w:hanging="360"/>
        <w:jc w:val="both"/>
        <w:rPr>
          <w:rFonts w:ascii="Arial" w:eastAsia="Arial Unicode MS" w:hAnsi="Arial" w:cs="Arial"/>
          <w:sz w:val="24"/>
          <w:szCs w:val="24"/>
        </w:rPr>
      </w:pPr>
      <w:r w:rsidRPr="00E34BC5">
        <w:rPr>
          <w:rFonts w:ascii="Arial" w:eastAsia="Arial Unicode MS" w:hAnsi="Arial" w:cs="Arial"/>
          <w:sz w:val="24"/>
          <w:szCs w:val="24"/>
          <w:lang w:eastAsia="en-ZA"/>
        </w:rPr>
        <w:t>5.</w:t>
      </w:r>
      <w:r w:rsidRPr="00E34BC5">
        <w:rPr>
          <w:rFonts w:ascii="Arial" w:eastAsia="Arial Unicode MS" w:hAnsi="Arial" w:cs="Arial"/>
          <w:sz w:val="24"/>
          <w:szCs w:val="24"/>
          <w:lang w:eastAsia="en-ZA"/>
        </w:rPr>
        <w:tab/>
      </w:r>
      <w:r w:rsidR="00127F87" w:rsidRPr="00FD7813">
        <w:rPr>
          <w:rFonts w:ascii="Arial" w:eastAsia="Arial Unicode MS" w:hAnsi="Arial" w:cs="Arial"/>
          <w:sz w:val="24"/>
          <w:szCs w:val="24"/>
        </w:rPr>
        <w:t>The matter was heard on the 1</w:t>
      </w:r>
      <w:r w:rsidR="00127F87" w:rsidRPr="00FD7813">
        <w:rPr>
          <w:rFonts w:ascii="Arial" w:eastAsia="Arial Unicode MS" w:hAnsi="Arial" w:cs="Arial"/>
          <w:sz w:val="24"/>
          <w:szCs w:val="24"/>
          <w:vertAlign w:val="superscript"/>
        </w:rPr>
        <w:t>st</w:t>
      </w:r>
      <w:r w:rsidR="00127F87" w:rsidRPr="00FD7813">
        <w:rPr>
          <w:rFonts w:ascii="Arial" w:eastAsia="Arial Unicode MS" w:hAnsi="Arial" w:cs="Arial"/>
          <w:sz w:val="24"/>
          <w:szCs w:val="24"/>
        </w:rPr>
        <w:t xml:space="preserve"> November 2022</w:t>
      </w:r>
      <w:r w:rsidR="00EA687A" w:rsidRPr="00FD7813">
        <w:rPr>
          <w:rFonts w:ascii="Arial" w:eastAsia="Arial Unicode MS" w:hAnsi="Arial" w:cs="Arial"/>
          <w:sz w:val="24"/>
          <w:szCs w:val="24"/>
        </w:rPr>
        <w:t>.</w:t>
      </w:r>
      <w:r w:rsidR="00127F87" w:rsidRPr="00FD7813">
        <w:rPr>
          <w:rFonts w:ascii="Arial" w:eastAsia="Arial Unicode MS" w:hAnsi="Arial" w:cs="Arial"/>
          <w:sz w:val="24"/>
          <w:szCs w:val="24"/>
        </w:rPr>
        <w:t xml:space="preserve"> It became evident from the submissions mad</w:t>
      </w:r>
      <w:r w:rsidR="000F5DE1" w:rsidRPr="00FD7813">
        <w:rPr>
          <w:rFonts w:ascii="Arial" w:eastAsia="Arial Unicode MS" w:hAnsi="Arial" w:cs="Arial"/>
          <w:sz w:val="24"/>
          <w:szCs w:val="24"/>
        </w:rPr>
        <w:t>e by the applicant</w:t>
      </w:r>
      <w:r w:rsidR="00127F87" w:rsidRPr="00FD7813">
        <w:rPr>
          <w:rFonts w:ascii="Arial" w:eastAsia="Arial Unicode MS" w:hAnsi="Arial" w:cs="Arial"/>
          <w:sz w:val="24"/>
          <w:szCs w:val="24"/>
        </w:rPr>
        <w:t xml:space="preserve"> that strong reliance was placed on the settlement agreement </w:t>
      </w:r>
      <w:r w:rsidR="0064162D" w:rsidRPr="00FD7813">
        <w:rPr>
          <w:rFonts w:ascii="Arial" w:eastAsia="Arial Unicode MS" w:hAnsi="Arial" w:cs="Arial"/>
          <w:sz w:val="24"/>
          <w:szCs w:val="24"/>
        </w:rPr>
        <w:t xml:space="preserve">dated </w:t>
      </w:r>
      <w:r w:rsidR="00AD3A55" w:rsidRPr="00FD7813">
        <w:rPr>
          <w:rFonts w:ascii="Arial" w:eastAsia="Arial Unicode MS" w:hAnsi="Arial" w:cs="Arial"/>
          <w:sz w:val="24"/>
          <w:szCs w:val="24"/>
        </w:rPr>
        <w:t xml:space="preserve">5 December </w:t>
      </w:r>
      <w:r w:rsidR="007F74EA" w:rsidRPr="00FD7813">
        <w:rPr>
          <w:rFonts w:ascii="Arial" w:eastAsia="Arial Unicode MS" w:hAnsi="Arial" w:cs="Arial"/>
          <w:sz w:val="24"/>
          <w:szCs w:val="24"/>
        </w:rPr>
        <w:t>2017</w:t>
      </w:r>
      <w:r w:rsidR="0064162D" w:rsidRPr="00FD7813">
        <w:rPr>
          <w:rFonts w:ascii="Arial" w:eastAsia="Arial Unicode MS" w:hAnsi="Arial" w:cs="Arial"/>
          <w:sz w:val="24"/>
          <w:szCs w:val="24"/>
        </w:rPr>
        <w:t xml:space="preserve"> </w:t>
      </w:r>
      <w:r w:rsidR="00127F87" w:rsidRPr="00FD7813">
        <w:rPr>
          <w:rFonts w:ascii="Arial" w:eastAsia="Arial Unicode MS" w:hAnsi="Arial" w:cs="Arial"/>
          <w:sz w:val="24"/>
          <w:szCs w:val="24"/>
        </w:rPr>
        <w:t xml:space="preserve">entered into by the </w:t>
      </w:r>
      <w:r w:rsidR="0064162D" w:rsidRPr="00FD7813">
        <w:rPr>
          <w:rFonts w:ascii="Arial" w:eastAsia="Arial Unicode MS" w:hAnsi="Arial" w:cs="Arial"/>
          <w:sz w:val="24"/>
          <w:szCs w:val="24"/>
        </w:rPr>
        <w:t>Applicant and The First and Second Respondent</w:t>
      </w:r>
      <w:r w:rsidR="00127F87" w:rsidRPr="00FD7813">
        <w:rPr>
          <w:rFonts w:ascii="Arial" w:eastAsia="Arial Unicode MS" w:hAnsi="Arial" w:cs="Arial"/>
          <w:sz w:val="24"/>
          <w:szCs w:val="24"/>
        </w:rPr>
        <w:t xml:space="preserve"> and forming part of the papers before it. The Applicant in its opening argument advised the court that prayer 2 of the</w:t>
      </w:r>
      <w:r w:rsidR="00F41B88" w:rsidRPr="00FD7813">
        <w:rPr>
          <w:rFonts w:ascii="Arial" w:eastAsia="Arial Unicode MS" w:hAnsi="Arial" w:cs="Arial"/>
          <w:sz w:val="24"/>
          <w:szCs w:val="24"/>
        </w:rPr>
        <w:t xml:space="preserve"> notice of</w:t>
      </w:r>
      <w:r w:rsidR="001415CC" w:rsidRPr="00FD7813">
        <w:rPr>
          <w:rFonts w:ascii="Arial" w:eastAsia="Arial Unicode MS" w:hAnsi="Arial" w:cs="Arial"/>
          <w:sz w:val="24"/>
          <w:szCs w:val="24"/>
        </w:rPr>
        <w:t xml:space="preserve"> motion was in</w:t>
      </w:r>
      <w:r w:rsidR="00AE50B8" w:rsidRPr="00FD7813">
        <w:rPr>
          <w:rFonts w:ascii="Arial" w:eastAsia="Arial Unicode MS" w:hAnsi="Arial" w:cs="Arial"/>
          <w:sz w:val="24"/>
          <w:szCs w:val="24"/>
        </w:rPr>
        <w:t xml:space="preserve"> </w:t>
      </w:r>
      <w:r w:rsidR="00127F87" w:rsidRPr="00FD7813">
        <w:rPr>
          <w:rFonts w:ascii="Arial" w:eastAsia="Arial Unicode MS" w:hAnsi="Arial" w:cs="Arial"/>
          <w:sz w:val="24"/>
          <w:szCs w:val="24"/>
        </w:rPr>
        <w:t xml:space="preserve">fact seeking specific performance to compel </w:t>
      </w:r>
      <w:r w:rsidR="007E1083" w:rsidRPr="00FD7813">
        <w:rPr>
          <w:rFonts w:ascii="Arial" w:eastAsia="Arial Unicode MS" w:hAnsi="Arial" w:cs="Arial"/>
          <w:sz w:val="24"/>
          <w:szCs w:val="24"/>
        </w:rPr>
        <w:t xml:space="preserve">City Power </w:t>
      </w:r>
      <w:r w:rsidR="00127F87" w:rsidRPr="00FD7813">
        <w:rPr>
          <w:rFonts w:ascii="Arial" w:eastAsia="Arial Unicode MS" w:hAnsi="Arial" w:cs="Arial"/>
          <w:sz w:val="24"/>
          <w:szCs w:val="24"/>
        </w:rPr>
        <w:t>to comply with its obligations which it assumed in the</w:t>
      </w:r>
      <w:r w:rsidR="00303590" w:rsidRPr="00FD7813">
        <w:rPr>
          <w:rFonts w:ascii="Arial" w:eastAsia="Arial Unicode MS" w:hAnsi="Arial" w:cs="Arial"/>
          <w:sz w:val="24"/>
          <w:szCs w:val="24"/>
        </w:rPr>
        <w:t xml:space="preserve"> Settlement Agreement T</w:t>
      </w:r>
      <w:r w:rsidR="00127F87" w:rsidRPr="00FD7813">
        <w:rPr>
          <w:rFonts w:ascii="Arial" w:eastAsia="Arial Unicode MS" w:hAnsi="Arial" w:cs="Arial"/>
          <w:sz w:val="24"/>
          <w:szCs w:val="24"/>
        </w:rPr>
        <w:t xml:space="preserve">he issue before this court relates to the settlement agreement and the </w:t>
      </w:r>
      <w:r w:rsidR="00F41B88" w:rsidRPr="00FD7813">
        <w:rPr>
          <w:rFonts w:ascii="Arial" w:eastAsia="Arial Unicode MS" w:hAnsi="Arial" w:cs="Arial"/>
          <w:sz w:val="24"/>
          <w:szCs w:val="24"/>
        </w:rPr>
        <w:t xml:space="preserve">respondents contention that it will not </w:t>
      </w:r>
      <w:r w:rsidR="0064162D" w:rsidRPr="00FD7813">
        <w:rPr>
          <w:rFonts w:ascii="Arial" w:eastAsia="Arial Unicode MS" w:hAnsi="Arial" w:cs="Arial"/>
          <w:sz w:val="24"/>
          <w:szCs w:val="24"/>
        </w:rPr>
        <w:t xml:space="preserve">issue </w:t>
      </w:r>
      <w:r w:rsidR="00F41B88" w:rsidRPr="00FD7813">
        <w:rPr>
          <w:rFonts w:ascii="Arial" w:eastAsia="Arial Unicode MS" w:hAnsi="Arial" w:cs="Arial"/>
          <w:sz w:val="24"/>
          <w:szCs w:val="24"/>
        </w:rPr>
        <w:t xml:space="preserve">positive comments unless the Applicant complies with </w:t>
      </w:r>
      <w:r w:rsidR="009636D3" w:rsidRPr="00FD7813">
        <w:rPr>
          <w:rFonts w:ascii="Arial" w:eastAsia="Arial Unicode MS" w:hAnsi="Arial" w:cs="Arial"/>
          <w:sz w:val="24"/>
          <w:szCs w:val="24"/>
        </w:rPr>
        <w:t>“</w:t>
      </w:r>
      <w:r w:rsidR="00F41B88" w:rsidRPr="00FD7813">
        <w:rPr>
          <w:rFonts w:ascii="Arial" w:eastAsia="Arial Unicode MS" w:hAnsi="Arial" w:cs="Arial"/>
          <w:sz w:val="24"/>
          <w:szCs w:val="24"/>
        </w:rPr>
        <w:t xml:space="preserve">the </w:t>
      </w:r>
      <w:r w:rsidR="009636D3" w:rsidRPr="00FD7813">
        <w:rPr>
          <w:rFonts w:ascii="Arial" w:eastAsia="Arial Unicode MS" w:hAnsi="Arial" w:cs="Arial"/>
          <w:sz w:val="24"/>
          <w:szCs w:val="24"/>
        </w:rPr>
        <w:t>p</w:t>
      </w:r>
      <w:r w:rsidR="00F41B88" w:rsidRPr="00FD7813">
        <w:rPr>
          <w:rFonts w:ascii="Arial" w:eastAsia="Arial Unicode MS" w:hAnsi="Arial" w:cs="Arial"/>
          <w:sz w:val="24"/>
          <w:szCs w:val="24"/>
        </w:rPr>
        <w:t>olicy</w:t>
      </w:r>
      <w:r w:rsidR="009636D3" w:rsidRPr="00FD7813">
        <w:rPr>
          <w:rFonts w:ascii="Arial" w:eastAsia="Arial Unicode MS" w:hAnsi="Arial" w:cs="Arial"/>
          <w:sz w:val="24"/>
          <w:szCs w:val="24"/>
        </w:rPr>
        <w:t>”</w:t>
      </w:r>
      <w:r w:rsidR="00F41B88" w:rsidRPr="00FD7813">
        <w:rPr>
          <w:rFonts w:ascii="Arial" w:eastAsia="Arial Unicode MS" w:hAnsi="Arial" w:cs="Arial"/>
          <w:sz w:val="24"/>
          <w:szCs w:val="24"/>
        </w:rPr>
        <w:t>. The Applicants contention being that the</w:t>
      </w:r>
      <w:r w:rsidR="00EA3D9B" w:rsidRPr="00FD7813">
        <w:rPr>
          <w:rFonts w:ascii="Arial" w:eastAsia="Arial Unicode MS" w:hAnsi="Arial" w:cs="Arial"/>
          <w:sz w:val="24"/>
          <w:szCs w:val="24"/>
        </w:rPr>
        <w:t xml:space="preserve"> agreement of settlement was concluded at a time when </w:t>
      </w:r>
      <w:r w:rsidR="00AE50B8" w:rsidRPr="00FD7813">
        <w:rPr>
          <w:rFonts w:ascii="Arial" w:eastAsia="Arial Unicode MS" w:hAnsi="Arial" w:cs="Arial"/>
          <w:sz w:val="24"/>
          <w:szCs w:val="24"/>
        </w:rPr>
        <w:t>“</w:t>
      </w:r>
      <w:r w:rsidR="008D4D25" w:rsidRPr="00FD7813">
        <w:rPr>
          <w:rFonts w:ascii="Arial" w:eastAsia="Arial Unicode MS" w:hAnsi="Arial" w:cs="Arial"/>
          <w:sz w:val="24"/>
          <w:szCs w:val="24"/>
        </w:rPr>
        <w:t>the policy “</w:t>
      </w:r>
      <w:r w:rsidR="00EA3D9B" w:rsidRPr="00FD7813">
        <w:rPr>
          <w:rFonts w:ascii="Arial" w:eastAsia="Arial Unicode MS" w:hAnsi="Arial" w:cs="Arial"/>
          <w:sz w:val="24"/>
          <w:szCs w:val="24"/>
        </w:rPr>
        <w:t xml:space="preserve">had already been in existence. The </w:t>
      </w:r>
      <w:r w:rsidR="00F41B88" w:rsidRPr="00FD7813">
        <w:rPr>
          <w:rFonts w:ascii="Arial" w:eastAsia="Arial Unicode MS" w:hAnsi="Arial" w:cs="Arial"/>
          <w:sz w:val="24"/>
          <w:szCs w:val="24"/>
        </w:rPr>
        <w:t xml:space="preserve">policy did not </w:t>
      </w:r>
      <w:r w:rsidR="00AE50B8" w:rsidRPr="00FD7813">
        <w:rPr>
          <w:rFonts w:ascii="Arial" w:eastAsia="Arial Unicode MS" w:hAnsi="Arial" w:cs="Arial"/>
          <w:sz w:val="24"/>
          <w:szCs w:val="24"/>
        </w:rPr>
        <w:t>inform</w:t>
      </w:r>
      <w:r w:rsidR="00F41B88" w:rsidRPr="00FD7813">
        <w:rPr>
          <w:rFonts w:ascii="Arial" w:eastAsia="Arial Unicode MS" w:hAnsi="Arial" w:cs="Arial"/>
          <w:sz w:val="24"/>
          <w:szCs w:val="24"/>
        </w:rPr>
        <w:t xml:space="preserve"> the terms of the settlement agreement. </w:t>
      </w:r>
      <w:r w:rsidR="00127F87" w:rsidRPr="00FD7813">
        <w:rPr>
          <w:rFonts w:ascii="Arial" w:eastAsia="Arial Unicode MS" w:hAnsi="Arial" w:cs="Arial"/>
          <w:sz w:val="24"/>
          <w:szCs w:val="24"/>
        </w:rPr>
        <w:t>The court then accorded both parties an opportunity to supplement their papers to deal specifically</w:t>
      </w:r>
      <w:r w:rsidR="00EA3D9B" w:rsidRPr="00FD7813">
        <w:rPr>
          <w:rFonts w:ascii="Arial" w:eastAsia="Arial Unicode MS" w:hAnsi="Arial" w:cs="Arial"/>
          <w:sz w:val="24"/>
          <w:szCs w:val="24"/>
        </w:rPr>
        <w:t xml:space="preserve"> with the settlement agreement, </w:t>
      </w:r>
      <w:r w:rsidR="008C4A47" w:rsidRPr="00FD7813">
        <w:rPr>
          <w:rFonts w:ascii="Arial" w:eastAsia="Arial Unicode MS" w:hAnsi="Arial" w:cs="Arial"/>
          <w:sz w:val="24"/>
          <w:szCs w:val="24"/>
        </w:rPr>
        <w:t>in particular</w:t>
      </w:r>
      <w:r w:rsidR="00EA3D9B" w:rsidRPr="00FD7813">
        <w:rPr>
          <w:rFonts w:ascii="Arial" w:eastAsia="Arial Unicode MS" w:hAnsi="Arial" w:cs="Arial"/>
          <w:sz w:val="24"/>
          <w:szCs w:val="24"/>
        </w:rPr>
        <w:t>,</w:t>
      </w:r>
      <w:r w:rsidR="009636D3" w:rsidRPr="00FD7813">
        <w:rPr>
          <w:rFonts w:ascii="Arial" w:eastAsia="Arial Unicode MS" w:hAnsi="Arial" w:cs="Arial"/>
          <w:sz w:val="24"/>
          <w:szCs w:val="24"/>
        </w:rPr>
        <w:t xml:space="preserve"> </w:t>
      </w:r>
      <w:r w:rsidR="00127F87" w:rsidRPr="00FD7813">
        <w:rPr>
          <w:rFonts w:ascii="Arial" w:eastAsia="Arial Unicode MS" w:hAnsi="Arial" w:cs="Arial"/>
          <w:sz w:val="24"/>
          <w:szCs w:val="24"/>
        </w:rPr>
        <w:lastRenderedPageBreak/>
        <w:t>why an order for specific performance should or should not be granted. The leave granted to</w:t>
      </w:r>
      <w:r w:rsidR="009636D3" w:rsidRPr="00FD7813">
        <w:rPr>
          <w:rFonts w:ascii="Arial" w:eastAsia="Arial Unicode MS" w:hAnsi="Arial" w:cs="Arial"/>
          <w:sz w:val="24"/>
          <w:szCs w:val="24"/>
        </w:rPr>
        <w:t xml:space="preserve"> supplement the papers would </w:t>
      </w:r>
      <w:r w:rsidR="00127F87" w:rsidRPr="00FD7813">
        <w:rPr>
          <w:rFonts w:ascii="Arial" w:eastAsia="Arial Unicode MS" w:hAnsi="Arial" w:cs="Arial"/>
          <w:sz w:val="24"/>
          <w:szCs w:val="24"/>
        </w:rPr>
        <w:t xml:space="preserve">assist this court in </w:t>
      </w:r>
      <w:r w:rsidR="009636D3" w:rsidRPr="00FD7813">
        <w:rPr>
          <w:rFonts w:ascii="Arial" w:eastAsia="Arial Unicode MS" w:hAnsi="Arial" w:cs="Arial"/>
          <w:sz w:val="24"/>
          <w:szCs w:val="24"/>
        </w:rPr>
        <w:t>a proper understanding of the import of “ the policy “ in relation to the settlement agreement and the evaluation</w:t>
      </w:r>
      <w:r w:rsidR="00127F87" w:rsidRPr="00FD7813">
        <w:rPr>
          <w:rFonts w:ascii="Arial" w:eastAsia="Arial Unicode MS" w:hAnsi="Arial" w:cs="Arial"/>
          <w:sz w:val="24"/>
          <w:szCs w:val="24"/>
        </w:rPr>
        <w:t xml:space="preserve"> of the intent</w:t>
      </w:r>
      <w:r w:rsidR="00AD3A55" w:rsidRPr="00FD7813">
        <w:rPr>
          <w:rFonts w:ascii="Arial" w:eastAsia="Arial Unicode MS" w:hAnsi="Arial" w:cs="Arial"/>
          <w:sz w:val="24"/>
          <w:szCs w:val="24"/>
        </w:rPr>
        <w:t>io</w:t>
      </w:r>
      <w:r w:rsidR="00303590" w:rsidRPr="00FD7813">
        <w:rPr>
          <w:rFonts w:ascii="Arial" w:eastAsia="Arial Unicode MS" w:hAnsi="Arial" w:cs="Arial"/>
          <w:sz w:val="24"/>
          <w:szCs w:val="24"/>
        </w:rPr>
        <w:t xml:space="preserve">n </w:t>
      </w:r>
      <w:r w:rsidR="00127F87" w:rsidRPr="00FD7813">
        <w:rPr>
          <w:rFonts w:ascii="Arial" w:eastAsia="Arial Unicode MS" w:hAnsi="Arial" w:cs="Arial"/>
          <w:sz w:val="24"/>
          <w:szCs w:val="24"/>
        </w:rPr>
        <w:t xml:space="preserve">of the </w:t>
      </w:r>
      <w:r w:rsidR="009636D3" w:rsidRPr="00FD7813">
        <w:rPr>
          <w:rFonts w:ascii="Arial" w:eastAsia="Arial Unicode MS" w:hAnsi="Arial" w:cs="Arial"/>
          <w:sz w:val="24"/>
          <w:szCs w:val="24"/>
        </w:rPr>
        <w:t xml:space="preserve">application. </w:t>
      </w:r>
      <w:r w:rsidR="00303590" w:rsidRPr="00FD7813">
        <w:rPr>
          <w:rFonts w:ascii="Arial" w:eastAsia="Arial Unicode MS" w:hAnsi="Arial" w:cs="Arial"/>
          <w:sz w:val="24"/>
          <w:szCs w:val="24"/>
        </w:rPr>
        <w:t>This leave to supplement papers was accorded because this</w:t>
      </w:r>
      <w:r w:rsidR="008C4A47" w:rsidRPr="00FD7813">
        <w:rPr>
          <w:rFonts w:ascii="Arial" w:eastAsia="Arial Unicode MS" w:hAnsi="Arial" w:cs="Arial"/>
          <w:sz w:val="24"/>
          <w:szCs w:val="24"/>
        </w:rPr>
        <w:t xml:space="preserve"> court</w:t>
      </w:r>
      <w:r w:rsidR="00127F87" w:rsidRPr="00FD7813">
        <w:rPr>
          <w:rFonts w:ascii="Arial" w:eastAsia="Arial Unicode MS" w:hAnsi="Arial" w:cs="Arial"/>
          <w:sz w:val="24"/>
          <w:szCs w:val="24"/>
        </w:rPr>
        <w:t xml:space="preserve"> may where it deems fit amend the relief sought in order to grant suitable and competent relief based on the circumstances of the case before it. </w:t>
      </w:r>
    </w:p>
    <w:p w14:paraId="313BB66B" w14:textId="77777777" w:rsidR="004147BF" w:rsidRPr="00194BC3" w:rsidRDefault="004147BF" w:rsidP="00AC1748">
      <w:pPr>
        <w:spacing w:after="0" w:line="480" w:lineRule="auto"/>
        <w:jc w:val="both"/>
        <w:rPr>
          <w:rFonts w:ascii="Arial" w:eastAsia="Arial Unicode MS" w:hAnsi="Arial" w:cs="Arial"/>
          <w:sz w:val="24"/>
          <w:szCs w:val="24"/>
        </w:rPr>
      </w:pPr>
    </w:p>
    <w:p w14:paraId="1EE0E91A" w14:textId="55DC07A0" w:rsidR="00127F87" w:rsidRPr="00FD7813" w:rsidRDefault="00FD7813" w:rsidP="00FD7813">
      <w:pPr>
        <w:spacing w:after="0" w:line="480" w:lineRule="auto"/>
        <w:ind w:left="720" w:hanging="360"/>
        <w:jc w:val="both"/>
        <w:rPr>
          <w:rFonts w:ascii="Arial" w:hAnsi="Arial" w:cs="Arial"/>
          <w:sz w:val="24"/>
          <w:szCs w:val="24"/>
        </w:rPr>
      </w:pPr>
      <w:r w:rsidRPr="00E34BC5">
        <w:rPr>
          <w:rFonts w:ascii="Arial" w:eastAsiaTheme="minorEastAsia" w:hAnsi="Arial" w:cs="Arial"/>
          <w:sz w:val="24"/>
          <w:szCs w:val="24"/>
          <w:lang w:eastAsia="en-ZA"/>
        </w:rPr>
        <w:t>6.</w:t>
      </w:r>
      <w:r w:rsidRPr="00E34BC5">
        <w:rPr>
          <w:rFonts w:ascii="Arial" w:eastAsiaTheme="minorEastAsia" w:hAnsi="Arial" w:cs="Arial"/>
          <w:sz w:val="24"/>
          <w:szCs w:val="24"/>
          <w:lang w:eastAsia="en-ZA"/>
        </w:rPr>
        <w:tab/>
      </w:r>
      <w:r w:rsidR="00127F87" w:rsidRPr="00FD7813">
        <w:rPr>
          <w:rFonts w:ascii="Arial" w:eastAsia="Arial Unicode MS" w:hAnsi="Arial" w:cs="Arial"/>
          <w:sz w:val="24"/>
          <w:szCs w:val="24"/>
        </w:rPr>
        <w:t>Both parties filed supplementary affidavits.</w:t>
      </w:r>
      <w:r w:rsidR="00EA687A" w:rsidRPr="00FD7813">
        <w:rPr>
          <w:rFonts w:ascii="Arial" w:eastAsia="Arial Unicode MS" w:hAnsi="Arial" w:cs="Arial"/>
          <w:sz w:val="24"/>
          <w:szCs w:val="24"/>
        </w:rPr>
        <w:t xml:space="preserve"> The matter was once again heard on the 29</w:t>
      </w:r>
      <w:r w:rsidR="00EA687A" w:rsidRPr="00FD7813">
        <w:rPr>
          <w:rFonts w:ascii="Arial" w:eastAsia="Arial Unicode MS" w:hAnsi="Arial" w:cs="Arial"/>
          <w:sz w:val="24"/>
          <w:szCs w:val="24"/>
          <w:vertAlign w:val="superscript"/>
        </w:rPr>
        <w:t>th</w:t>
      </w:r>
      <w:r w:rsidR="00EA687A" w:rsidRPr="00FD7813">
        <w:rPr>
          <w:rFonts w:ascii="Arial" w:eastAsia="Arial Unicode MS" w:hAnsi="Arial" w:cs="Arial"/>
          <w:sz w:val="24"/>
          <w:szCs w:val="24"/>
        </w:rPr>
        <w:t xml:space="preserve"> November 2022.</w:t>
      </w:r>
      <w:r w:rsidR="00127F87" w:rsidRPr="00FD7813">
        <w:rPr>
          <w:rFonts w:ascii="Arial" w:eastAsia="Arial Unicode MS" w:hAnsi="Arial" w:cs="Arial"/>
          <w:sz w:val="24"/>
          <w:szCs w:val="24"/>
        </w:rPr>
        <w:t xml:space="preserve"> The relief sought was </w:t>
      </w:r>
      <w:r w:rsidR="000F5DE1" w:rsidRPr="00FD7813">
        <w:rPr>
          <w:rFonts w:ascii="Arial" w:eastAsia="Arial Unicode MS" w:hAnsi="Arial" w:cs="Arial"/>
          <w:sz w:val="24"/>
          <w:szCs w:val="24"/>
        </w:rPr>
        <w:t xml:space="preserve">subsequently </w:t>
      </w:r>
      <w:r w:rsidR="00127F87" w:rsidRPr="00FD7813">
        <w:rPr>
          <w:rFonts w:ascii="Arial" w:hAnsi="Arial" w:cs="Arial"/>
          <w:sz w:val="24"/>
          <w:szCs w:val="24"/>
        </w:rPr>
        <w:t xml:space="preserve">amended to seek an order </w:t>
      </w:r>
      <w:r w:rsidR="00307DE4" w:rsidRPr="00FD7813">
        <w:rPr>
          <w:rFonts w:ascii="Arial" w:hAnsi="Arial" w:cs="Arial"/>
          <w:sz w:val="24"/>
          <w:szCs w:val="24"/>
        </w:rPr>
        <w:t>in</w:t>
      </w:r>
      <w:r w:rsidR="00127F87" w:rsidRPr="00FD7813">
        <w:rPr>
          <w:rFonts w:ascii="Arial" w:hAnsi="Arial" w:cs="Arial"/>
          <w:sz w:val="24"/>
          <w:szCs w:val="24"/>
        </w:rPr>
        <w:t xml:space="preserve"> the following terms</w:t>
      </w:r>
      <w:r w:rsidR="008C4A47" w:rsidRPr="00FD7813">
        <w:rPr>
          <w:rFonts w:ascii="Arial" w:hAnsi="Arial" w:cs="Arial"/>
          <w:sz w:val="24"/>
          <w:szCs w:val="24"/>
        </w:rPr>
        <w:t xml:space="preserve"> :-</w:t>
      </w:r>
      <w:r w:rsidR="00127F87" w:rsidRPr="00FD7813">
        <w:rPr>
          <w:rFonts w:ascii="Arial" w:eastAsia="Arial Unicode MS" w:hAnsi="Arial" w:cs="Arial"/>
          <w:sz w:val="24"/>
          <w:szCs w:val="24"/>
        </w:rPr>
        <w:t xml:space="preserve">  </w:t>
      </w:r>
    </w:p>
    <w:p w14:paraId="0EB505E0" w14:textId="5AE90D20" w:rsidR="00127F87" w:rsidRPr="00E34BC5" w:rsidRDefault="00127F87" w:rsidP="00E34BC5">
      <w:pPr>
        <w:spacing w:after="0" w:line="480" w:lineRule="auto"/>
        <w:ind w:left="720"/>
        <w:jc w:val="both"/>
        <w:rPr>
          <w:rFonts w:ascii="Arial" w:eastAsia="Arial Unicode MS" w:hAnsi="Arial" w:cs="Arial"/>
          <w:sz w:val="24"/>
          <w:szCs w:val="24"/>
        </w:rPr>
      </w:pPr>
      <w:r w:rsidRPr="00194BC3">
        <w:rPr>
          <w:rFonts w:ascii="Arial" w:eastAsia="Arial Unicode MS" w:hAnsi="Arial" w:cs="Arial"/>
          <w:sz w:val="24"/>
          <w:szCs w:val="24"/>
        </w:rPr>
        <w:t>The first respondent is ordered , within 3 days of the service of this order on the second respondent , to comply with the provisions of the settlement Agreement concluded between the Applicant and the First Respondent on 5 December 2017 (;The Settlement Agreement”) a copy of which in annexure “a” to this order , which was concluded by the First Respondent despite the existence of City Power’s Township Electrical Reticulation Standard for Underground Systems Policy (“</w:t>
      </w:r>
      <w:r w:rsidR="008D4D25">
        <w:rPr>
          <w:rFonts w:ascii="Arial" w:eastAsia="Arial Unicode MS" w:hAnsi="Arial" w:cs="Arial"/>
          <w:sz w:val="24"/>
          <w:szCs w:val="24"/>
        </w:rPr>
        <w:t>“ the policy “</w:t>
      </w:r>
      <w:r w:rsidRPr="00194BC3">
        <w:rPr>
          <w:rFonts w:ascii="Arial" w:eastAsia="Arial Unicode MS" w:hAnsi="Arial" w:cs="Arial"/>
          <w:sz w:val="24"/>
          <w:szCs w:val="24"/>
        </w:rPr>
        <w:t xml:space="preserve">”) , and more specifically with clause 2.1.4. of the settlement agreement which requires the First Respondent to provide 500kVA of electrical capacity to </w:t>
      </w:r>
      <w:r w:rsidR="0041067F">
        <w:rPr>
          <w:rFonts w:ascii="Arial" w:hAnsi="Arial" w:cs="Arial"/>
          <w:color w:val="242021"/>
          <w:sz w:val="24"/>
          <w:szCs w:val="24"/>
        </w:rPr>
        <w:t xml:space="preserve">Wilgeheuwel Extension 67 Township </w:t>
      </w:r>
      <w:r w:rsidRPr="00194BC3">
        <w:rPr>
          <w:rFonts w:ascii="Arial" w:eastAsia="Arial Unicode MS" w:hAnsi="Arial" w:cs="Arial"/>
          <w:sz w:val="24"/>
          <w:szCs w:val="24"/>
        </w:rPr>
        <w:t xml:space="preserve">for 280 units being ( or to be) constructed therein in terms of the Site Development Plan (“the SDP’) which informed the settlement agreement signed by the First Respondent, the electrical capacity of which equates to an ADMD of 1.785kVA per unit for the dwelling units in </w:t>
      </w:r>
      <w:r w:rsidR="0041067F">
        <w:rPr>
          <w:rFonts w:ascii="Arial" w:hAnsi="Arial" w:cs="Arial"/>
          <w:color w:val="242021"/>
          <w:sz w:val="24"/>
          <w:szCs w:val="24"/>
        </w:rPr>
        <w:t xml:space="preserve">Wilgeheuwel Extension 67 Township </w:t>
      </w:r>
      <w:r w:rsidR="00A35F23" w:rsidRPr="00194BC3">
        <w:rPr>
          <w:rFonts w:ascii="Arial" w:eastAsia="Arial Unicode MS" w:hAnsi="Arial" w:cs="Arial"/>
          <w:sz w:val="24"/>
          <w:szCs w:val="24"/>
        </w:rPr>
        <w:t xml:space="preserve"> </w:t>
      </w:r>
      <w:r w:rsidRPr="00194BC3">
        <w:rPr>
          <w:rFonts w:ascii="Arial" w:eastAsia="Arial Unicode MS" w:hAnsi="Arial" w:cs="Arial"/>
          <w:sz w:val="24"/>
          <w:szCs w:val="24"/>
        </w:rPr>
        <w:t>which replaced the erstwhile Extension 51</w:t>
      </w:r>
      <w:r w:rsidR="0001184D" w:rsidRPr="0001184D">
        <w:rPr>
          <w:rFonts w:ascii="Arial" w:eastAsia="Arial Unicode MS" w:hAnsi="Arial" w:cs="Arial"/>
          <w:sz w:val="24"/>
          <w:szCs w:val="24"/>
        </w:rPr>
        <w:t xml:space="preserve"> </w:t>
      </w:r>
      <w:r w:rsidR="0001184D" w:rsidRPr="00194BC3">
        <w:rPr>
          <w:rFonts w:ascii="Arial" w:eastAsia="Arial Unicode MS" w:hAnsi="Arial" w:cs="Arial"/>
          <w:sz w:val="24"/>
          <w:szCs w:val="24"/>
        </w:rPr>
        <w:t>Wilgeheuwel</w:t>
      </w:r>
      <w:r w:rsidRPr="00194BC3">
        <w:rPr>
          <w:rFonts w:ascii="Arial" w:eastAsia="Arial Unicode MS" w:hAnsi="Arial" w:cs="Arial"/>
          <w:sz w:val="24"/>
          <w:szCs w:val="24"/>
        </w:rPr>
        <w:t xml:space="preserve"> which</w:t>
      </w:r>
      <w:r w:rsidR="0001184D">
        <w:rPr>
          <w:rFonts w:ascii="Arial" w:eastAsia="Arial Unicode MS" w:hAnsi="Arial" w:cs="Arial"/>
          <w:sz w:val="24"/>
          <w:szCs w:val="24"/>
        </w:rPr>
        <w:t xml:space="preserve"> had</w:t>
      </w:r>
      <w:r w:rsidRPr="00194BC3">
        <w:rPr>
          <w:rFonts w:ascii="Arial" w:eastAsia="Arial Unicode MS" w:hAnsi="Arial" w:cs="Arial"/>
          <w:sz w:val="24"/>
          <w:szCs w:val="24"/>
        </w:rPr>
        <w:t xml:space="preserve"> lapsed, </w:t>
      </w:r>
      <w:r w:rsidRPr="00194BC3">
        <w:rPr>
          <w:rFonts w:ascii="Arial" w:hAnsi="Arial" w:cs="Arial"/>
          <w:sz w:val="24"/>
          <w:szCs w:val="24"/>
        </w:rPr>
        <w:t>Together with ancillary relief.</w:t>
      </w:r>
    </w:p>
    <w:p w14:paraId="0AD06A1A" w14:textId="77777777" w:rsidR="00127F87" w:rsidRPr="00194BC3" w:rsidRDefault="00127F87" w:rsidP="00AC1748">
      <w:pPr>
        <w:spacing w:after="0" w:line="480" w:lineRule="auto"/>
        <w:jc w:val="both"/>
        <w:rPr>
          <w:rFonts w:ascii="Arial" w:eastAsia="Arial Unicode MS" w:hAnsi="Arial" w:cs="Arial"/>
          <w:sz w:val="24"/>
          <w:szCs w:val="24"/>
        </w:rPr>
      </w:pPr>
    </w:p>
    <w:p w14:paraId="7883129A" w14:textId="719060AD" w:rsidR="00127F87" w:rsidRPr="00FD7813" w:rsidRDefault="00FD7813" w:rsidP="00FD7813">
      <w:pPr>
        <w:spacing w:after="0" w:line="480" w:lineRule="auto"/>
        <w:ind w:left="720" w:hanging="360"/>
        <w:jc w:val="both"/>
        <w:rPr>
          <w:rFonts w:ascii="Arial" w:eastAsia="Arial Unicode MS" w:hAnsi="Arial" w:cs="Arial"/>
          <w:sz w:val="24"/>
          <w:szCs w:val="24"/>
        </w:rPr>
      </w:pPr>
      <w:r w:rsidRPr="00E34BC5">
        <w:rPr>
          <w:rFonts w:ascii="Arial" w:eastAsia="Arial Unicode MS" w:hAnsi="Arial" w:cs="Arial"/>
          <w:sz w:val="24"/>
          <w:szCs w:val="24"/>
          <w:lang w:eastAsia="en-ZA"/>
        </w:rPr>
        <w:t>7.</w:t>
      </w:r>
      <w:r w:rsidRPr="00E34BC5">
        <w:rPr>
          <w:rFonts w:ascii="Arial" w:eastAsia="Arial Unicode MS" w:hAnsi="Arial" w:cs="Arial"/>
          <w:sz w:val="24"/>
          <w:szCs w:val="24"/>
          <w:lang w:eastAsia="en-ZA"/>
        </w:rPr>
        <w:tab/>
      </w:r>
      <w:r w:rsidR="00127F87" w:rsidRPr="00FD7813">
        <w:rPr>
          <w:rFonts w:ascii="Arial" w:eastAsia="Arial Unicode MS" w:hAnsi="Arial" w:cs="Arial"/>
          <w:sz w:val="24"/>
          <w:szCs w:val="24"/>
        </w:rPr>
        <w:t>The ground</w:t>
      </w:r>
      <w:r w:rsidR="004D3A8F" w:rsidRPr="00FD7813">
        <w:rPr>
          <w:rFonts w:ascii="Arial" w:eastAsia="Arial Unicode MS" w:hAnsi="Arial" w:cs="Arial"/>
          <w:sz w:val="24"/>
          <w:szCs w:val="24"/>
        </w:rPr>
        <w:t>s of the Applicants case remains</w:t>
      </w:r>
      <w:r w:rsidR="00127F87" w:rsidRPr="00FD7813">
        <w:rPr>
          <w:rFonts w:ascii="Arial" w:eastAsia="Arial Unicode MS" w:hAnsi="Arial" w:cs="Arial"/>
          <w:sz w:val="24"/>
          <w:szCs w:val="24"/>
        </w:rPr>
        <w:t xml:space="preserve"> the same save that the Applicant abandoned its</w:t>
      </w:r>
      <w:r w:rsidR="004D3A8F" w:rsidRPr="00FD7813">
        <w:rPr>
          <w:rFonts w:ascii="Arial" w:eastAsia="Arial Unicode MS" w:hAnsi="Arial" w:cs="Arial"/>
          <w:sz w:val="24"/>
          <w:szCs w:val="24"/>
        </w:rPr>
        <w:t xml:space="preserve"> mandamus</w:t>
      </w:r>
      <w:r w:rsidR="00127F87" w:rsidRPr="00FD7813">
        <w:rPr>
          <w:rFonts w:ascii="Arial" w:eastAsia="Arial Unicode MS" w:hAnsi="Arial" w:cs="Arial"/>
          <w:sz w:val="24"/>
          <w:szCs w:val="24"/>
        </w:rPr>
        <w:t xml:space="preserve"> relief relating to </w:t>
      </w:r>
      <w:r w:rsidR="008D4D25" w:rsidRPr="00FD7813">
        <w:rPr>
          <w:rFonts w:ascii="Arial" w:eastAsia="Arial Unicode MS" w:hAnsi="Arial" w:cs="Arial"/>
          <w:sz w:val="24"/>
          <w:szCs w:val="24"/>
        </w:rPr>
        <w:t>“ the policy “</w:t>
      </w:r>
      <w:r w:rsidR="00127F87" w:rsidRPr="00FD7813">
        <w:rPr>
          <w:rFonts w:ascii="Arial" w:eastAsia="Arial Unicode MS" w:hAnsi="Arial" w:cs="Arial"/>
          <w:sz w:val="24"/>
          <w:szCs w:val="24"/>
        </w:rPr>
        <w:t xml:space="preserve"> and persists with its desire to hold </w:t>
      </w:r>
      <w:r w:rsidR="007E1083" w:rsidRPr="00FD7813">
        <w:rPr>
          <w:rFonts w:ascii="Arial" w:eastAsia="Arial Unicode MS" w:hAnsi="Arial" w:cs="Arial"/>
          <w:sz w:val="24"/>
          <w:szCs w:val="24"/>
        </w:rPr>
        <w:t xml:space="preserve">City Power </w:t>
      </w:r>
      <w:r w:rsidR="00127F87" w:rsidRPr="00FD7813">
        <w:rPr>
          <w:rFonts w:ascii="Arial" w:eastAsia="Arial Unicode MS" w:hAnsi="Arial" w:cs="Arial"/>
          <w:sz w:val="24"/>
          <w:szCs w:val="24"/>
        </w:rPr>
        <w:t>to its obligations in terms of the settlement agreement</w:t>
      </w:r>
      <w:r w:rsidR="008F4FFC" w:rsidRPr="00FD7813">
        <w:rPr>
          <w:rFonts w:ascii="Arial" w:eastAsia="Arial Unicode MS" w:hAnsi="Arial" w:cs="Arial"/>
          <w:sz w:val="24"/>
          <w:szCs w:val="24"/>
        </w:rPr>
        <w:t>.</w:t>
      </w:r>
      <w:r w:rsidR="00127F87" w:rsidRPr="00FD7813">
        <w:rPr>
          <w:rFonts w:ascii="Arial" w:eastAsia="Arial Unicode MS" w:hAnsi="Arial" w:cs="Arial"/>
          <w:sz w:val="24"/>
          <w:szCs w:val="24"/>
        </w:rPr>
        <w:t xml:space="preserve"> </w:t>
      </w:r>
    </w:p>
    <w:p w14:paraId="32E26C43" w14:textId="77777777" w:rsidR="00127F87" w:rsidRDefault="00127F87" w:rsidP="00AC1748">
      <w:pPr>
        <w:spacing w:after="0" w:line="480" w:lineRule="auto"/>
        <w:jc w:val="both"/>
        <w:rPr>
          <w:rFonts w:ascii="Arial" w:eastAsia="Arial Unicode MS" w:hAnsi="Arial" w:cs="Arial"/>
          <w:sz w:val="24"/>
          <w:szCs w:val="24"/>
        </w:rPr>
      </w:pPr>
    </w:p>
    <w:p w14:paraId="1CB79349" w14:textId="0A0F5383" w:rsidR="004147BF" w:rsidRPr="00FD7813" w:rsidRDefault="00FD7813" w:rsidP="00FD7813">
      <w:pPr>
        <w:spacing w:after="0" w:line="480" w:lineRule="auto"/>
        <w:ind w:left="720" w:hanging="360"/>
        <w:jc w:val="both"/>
        <w:rPr>
          <w:rFonts w:ascii="Arial" w:eastAsia="Arial Unicode MS" w:hAnsi="Arial" w:cs="Arial"/>
          <w:sz w:val="24"/>
          <w:szCs w:val="24"/>
        </w:rPr>
      </w:pPr>
      <w:r w:rsidRPr="00E34BC5">
        <w:rPr>
          <w:rFonts w:ascii="Arial" w:eastAsia="Arial Unicode MS" w:hAnsi="Arial" w:cs="Arial"/>
          <w:sz w:val="24"/>
          <w:szCs w:val="24"/>
          <w:lang w:eastAsia="en-ZA"/>
        </w:rPr>
        <w:t>8.</w:t>
      </w:r>
      <w:r w:rsidRPr="00E34BC5">
        <w:rPr>
          <w:rFonts w:ascii="Arial" w:eastAsia="Arial Unicode MS" w:hAnsi="Arial" w:cs="Arial"/>
          <w:sz w:val="24"/>
          <w:szCs w:val="24"/>
          <w:lang w:eastAsia="en-ZA"/>
        </w:rPr>
        <w:tab/>
      </w:r>
      <w:r w:rsidR="008A2753" w:rsidRPr="00FD7813">
        <w:rPr>
          <w:rFonts w:ascii="Arial" w:eastAsia="Arial Unicode MS" w:hAnsi="Arial" w:cs="Arial"/>
          <w:sz w:val="24"/>
          <w:szCs w:val="24"/>
        </w:rPr>
        <w:t xml:space="preserve">The history of the matter and the common cause facts as incorporated in the joint practice notes are as follows </w:t>
      </w:r>
      <w:r w:rsidR="004147BF" w:rsidRPr="00FD7813">
        <w:rPr>
          <w:rFonts w:ascii="Arial" w:eastAsia="Arial Unicode MS" w:hAnsi="Arial" w:cs="Arial"/>
          <w:sz w:val="24"/>
          <w:szCs w:val="24"/>
        </w:rPr>
        <w:t>:-</w:t>
      </w:r>
    </w:p>
    <w:p w14:paraId="3917229B" w14:textId="0A38A8E5" w:rsidR="004147BF" w:rsidRPr="00194BC3" w:rsidRDefault="004147BF" w:rsidP="00E34BC5">
      <w:pPr>
        <w:autoSpaceDE w:val="0"/>
        <w:autoSpaceDN w:val="0"/>
        <w:adjustRightInd w:val="0"/>
        <w:spacing w:after="0" w:line="480" w:lineRule="auto"/>
        <w:ind w:left="720"/>
        <w:jc w:val="both"/>
        <w:rPr>
          <w:rFonts w:ascii="Arial" w:hAnsi="Arial" w:cs="Arial"/>
          <w:color w:val="1F1F1F"/>
          <w:sz w:val="24"/>
          <w:szCs w:val="24"/>
        </w:rPr>
      </w:pPr>
      <w:r w:rsidRPr="00194BC3">
        <w:rPr>
          <w:rFonts w:ascii="Arial" w:hAnsi="Arial" w:cs="Arial"/>
          <w:color w:val="1F1F1F"/>
          <w:sz w:val="24"/>
          <w:szCs w:val="24"/>
        </w:rPr>
        <w:t xml:space="preserve">On 1 September 2016 </w:t>
      </w:r>
      <w:r w:rsidR="007E1083">
        <w:rPr>
          <w:rFonts w:ascii="Arial" w:hAnsi="Arial" w:cs="Arial"/>
          <w:color w:val="1F1F1F"/>
          <w:sz w:val="24"/>
          <w:szCs w:val="24"/>
        </w:rPr>
        <w:t xml:space="preserve">City Power </w:t>
      </w:r>
      <w:r w:rsidRPr="00194BC3">
        <w:rPr>
          <w:rFonts w:ascii="Arial" w:hAnsi="Arial" w:cs="Arial"/>
          <w:color w:val="1F1F1F"/>
          <w:sz w:val="24"/>
          <w:szCs w:val="24"/>
        </w:rPr>
        <w:t xml:space="preserve">confirmed its agreement regarding the "transfer of capacity" </w:t>
      </w:r>
      <w:r w:rsidRPr="00194BC3">
        <w:rPr>
          <w:rFonts w:ascii="Arial" w:hAnsi="Arial" w:cs="Arial"/>
          <w:bCs/>
          <w:color w:val="1F1F1F"/>
          <w:sz w:val="24"/>
          <w:szCs w:val="24"/>
        </w:rPr>
        <w:t xml:space="preserve">(630 kV A </w:t>
      </w:r>
      <w:r w:rsidRPr="00194BC3">
        <w:rPr>
          <w:rFonts w:ascii="Arial" w:hAnsi="Arial" w:cs="Arial"/>
          <w:color w:val="1F1F1F"/>
          <w:sz w:val="24"/>
          <w:szCs w:val="24"/>
        </w:rPr>
        <w:t xml:space="preserve">for </w:t>
      </w:r>
      <w:r w:rsidR="00F015BB">
        <w:rPr>
          <w:rFonts w:ascii="Arial" w:hAnsi="Arial" w:cs="Arial"/>
          <w:sz w:val="24"/>
          <w:szCs w:val="24"/>
        </w:rPr>
        <w:t xml:space="preserve">Wilgeheuwel Extension 26 Township </w:t>
      </w:r>
      <w:r w:rsidRPr="00194BC3">
        <w:rPr>
          <w:rFonts w:ascii="Arial" w:hAnsi="Arial" w:cs="Arial"/>
          <w:color w:val="1F1F1F"/>
          <w:sz w:val="24"/>
          <w:szCs w:val="24"/>
        </w:rPr>
        <w:t xml:space="preserve">and </w:t>
      </w:r>
      <w:r w:rsidR="008A43ED" w:rsidRPr="00194BC3">
        <w:rPr>
          <w:rFonts w:ascii="Arial" w:hAnsi="Arial" w:cs="Arial"/>
          <w:bCs/>
          <w:color w:val="1F1F1F"/>
          <w:sz w:val="24"/>
          <w:szCs w:val="24"/>
        </w:rPr>
        <w:t>630</w:t>
      </w:r>
      <w:r w:rsidRPr="00194BC3">
        <w:rPr>
          <w:rFonts w:ascii="Arial" w:hAnsi="Arial" w:cs="Arial"/>
          <w:bCs/>
          <w:color w:val="1F1F1F"/>
          <w:sz w:val="24"/>
          <w:szCs w:val="24"/>
        </w:rPr>
        <w:t xml:space="preserve"> kV A </w:t>
      </w:r>
      <w:r w:rsidRPr="00194BC3">
        <w:rPr>
          <w:rFonts w:ascii="Arial" w:hAnsi="Arial" w:cs="Arial"/>
          <w:color w:val="1F1F1F"/>
          <w:sz w:val="24"/>
          <w:szCs w:val="24"/>
        </w:rPr>
        <w:t xml:space="preserve">for </w:t>
      </w:r>
      <w:r w:rsidR="0041067F">
        <w:rPr>
          <w:rFonts w:ascii="Arial" w:hAnsi="Arial" w:cs="Arial"/>
          <w:color w:val="242021"/>
          <w:sz w:val="24"/>
          <w:szCs w:val="24"/>
        </w:rPr>
        <w:t>Wi</w:t>
      </w:r>
      <w:r w:rsidR="000F5DE1">
        <w:rPr>
          <w:rFonts w:ascii="Arial" w:hAnsi="Arial" w:cs="Arial"/>
          <w:color w:val="242021"/>
          <w:sz w:val="24"/>
          <w:szCs w:val="24"/>
        </w:rPr>
        <w:t>lgeheuwel Extension 67 Township.</w:t>
      </w:r>
      <w:r w:rsidRPr="00194BC3">
        <w:rPr>
          <w:rFonts w:ascii="Arial" w:hAnsi="Arial" w:cs="Arial"/>
          <w:color w:val="1F1F1F"/>
          <w:sz w:val="24"/>
          <w:szCs w:val="24"/>
        </w:rPr>
        <w:t xml:space="preserve"> </w:t>
      </w:r>
      <w:r w:rsidR="007E1083">
        <w:rPr>
          <w:rFonts w:ascii="Arial" w:hAnsi="Arial" w:cs="Arial"/>
          <w:color w:val="1F1F1F"/>
          <w:sz w:val="24"/>
          <w:szCs w:val="24"/>
        </w:rPr>
        <w:t xml:space="preserve">City Power </w:t>
      </w:r>
      <w:r w:rsidRPr="00194BC3">
        <w:rPr>
          <w:rFonts w:ascii="Arial" w:hAnsi="Arial" w:cs="Arial"/>
          <w:color w:val="1F1F1F"/>
          <w:sz w:val="24"/>
          <w:szCs w:val="24"/>
        </w:rPr>
        <w:t xml:space="preserve">agreed to allocate 1 260 kVA electrical capacity to the then "proposed" </w:t>
      </w:r>
      <w:r w:rsidR="00F015BB">
        <w:rPr>
          <w:rFonts w:ascii="Arial" w:hAnsi="Arial" w:cs="Arial"/>
          <w:sz w:val="24"/>
          <w:szCs w:val="24"/>
        </w:rPr>
        <w:t xml:space="preserve">Wilgeheuwel Extension 26 Township </w:t>
      </w:r>
      <w:r w:rsidR="00091C65" w:rsidRPr="00194BC3">
        <w:rPr>
          <w:rFonts w:ascii="Arial" w:hAnsi="Arial" w:cs="Arial"/>
          <w:sz w:val="24"/>
          <w:szCs w:val="24"/>
        </w:rPr>
        <w:t xml:space="preserve"> </w:t>
      </w:r>
      <w:r w:rsidRPr="00194BC3">
        <w:rPr>
          <w:rFonts w:ascii="Arial" w:hAnsi="Arial" w:cs="Arial"/>
          <w:color w:val="1F1F1F"/>
          <w:sz w:val="24"/>
          <w:szCs w:val="24"/>
        </w:rPr>
        <w:t xml:space="preserve">and </w:t>
      </w:r>
      <w:r w:rsidR="0041067F">
        <w:rPr>
          <w:rFonts w:ascii="Arial" w:hAnsi="Arial" w:cs="Arial"/>
          <w:color w:val="242021"/>
          <w:sz w:val="24"/>
          <w:szCs w:val="24"/>
        </w:rPr>
        <w:t xml:space="preserve">Wilgeheuwel Extension 67 Township </w:t>
      </w:r>
      <w:r w:rsidRPr="00194BC3">
        <w:rPr>
          <w:rFonts w:ascii="Arial" w:hAnsi="Arial" w:cs="Arial"/>
          <w:color w:val="1F1F1F"/>
          <w:sz w:val="24"/>
          <w:szCs w:val="24"/>
        </w:rPr>
        <w:t>.</w:t>
      </w:r>
    </w:p>
    <w:p w14:paraId="47976E86" w14:textId="77777777" w:rsidR="004147BF" w:rsidRPr="00194BC3" w:rsidRDefault="004147BF" w:rsidP="00AC1748">
      <w:pPr>
        <w:autoSpaceDE w:val="0"/>
        <w:autoSpaceDN w:val="0"/>
        <w:adjustRightInd w:val="0"/>
        <w:spacing w:after="0" w:line="480" w:lineRule="auto"/>
        <w:jc w:val="both"/>
        <w:rPr>
          <w:rFonts w:ascii="Arial" w:hAnsi="Arial" w:cs="Arial"/>
          <w:color w:val="1F1F1F"/>
          <w:sz w:val="24"/>
          <w:szCs w:val="24"/>
        </w:rPr>
      </w:pPr>
    </w:p>
    <w:p w14:paraId="1777D8D5" w14:textId="720C504E" w:rsidR="004147BF" w:rsidRPr="00FD7813" w:rsidRDefault="00FD7813" w:rsidP="00FD7813">
      <w:pPr>
        <w:autoSpaceDE w:val="0"/>
        <w:autoSpaceDN w:val="0"/>
        <w:adjustRightInd w:val="0"/>
        <w:spacing w:after="0" w:line="480" w:lineRule="auto"/>
        <w:ind w:left="720" w:hanging="360"/>
        <w:jc w:val="both"/>
        <w:rPr>
          <w:rFonts w:ascii="Arial" w:hAnsi="Arial" w:cs="Arial"/>
          <w:color w:val="1F1F1F"/>
          <w:sz w:val="24"/>
          <w:szCs w:val="24"/>
        </w:rPr>
      </w:pPr>
      <w:r w:rsidRPr="00E34BC5">
        <w:rPr>
          <w:rFonts w:ascii="Arial" w:eastAsiaTheme="minorEastAsia" w:hAnsi="Arial" w:cs="Arial"/>
          <w:color w:val="1F1F1F"/>
          <w:sz w:val="24"/>
          <w:szCs w:val="24"/>
          <w:lang w:eastAsia="en-ZA"/>
        </w:rPr>
        <w:t>9.</w:t>
      </w:r>
      <w:r w:rsidRPr="00E34BC5">
        <w:rPr>
          <w:rFonts w:ascii="Arial" w:eastAsiaTheme="minorEastAsia" w:hAnsi="Arial" w:cs="Arial"/>
          <w:color w:val="1F1F1F"/>
          <w:sz w:val="24"/>
          <w:szCs w:val="24"/>
          <w:lang w:eastAsia="en-ZA"/>
        </w:rPr>
        <w:tab/>
      </w:r>
      <w:r w:rsidR="007E1083" w:rsidRPr="00FD7813">
        <w:rPr>
          <w:rFonts w:ascii="Arial" w:hAnsi="Arial" w:cs="Arial"/>
          <w:color w:val="1F1F1F"/>
          <w:sz w:val="24"/>
          <w:szCs w:val="24"/>
        </w:rPr>
        <w:t xml:space="preserve">City Power </w:t>
      </w:r>
      <w:r w:rsidR="004147BF" w:rsidRPr="00FD7813">
        <w:rPr>
          <w:rFonts w:ascii="Arial" w:hAnsi="Arial" w:cs="Arial"/>
          <w:color w:val="353535"/>
          <w:sz w:val="24"/>
          <w:szCs w:val="24"/>
        </w:rPr>
        <w:t xml:space="preserve">reneged </w:t>
      </w:r>
      <w:r w:rsidR="004147BF" w:rsidRPr="00FD7813">
        <w:rPr>
          <w:rFonts w:ascii="Arial" w:hAnsi="Arial" w:cs="Arial"/>
          <w:color w:val="1F1F1F"/>
          <w:sz w:val="24"/>
          <w:szCs w:val="24"/>
        </w:rPr>
        <w:t xml:space="preserve">on its </w:t>
      </w:r>
      <w:r w:rsidR="004147BF" w:rsidRPr="00FD7813">
        <w:rPr>
          <w:rFonts w:ascii="Arial" w:hAnsi="Arial" w:cs="Arial"/>
          <w:color w:val="464646"/>
          <w:sz w:val="24"/>
          <w:szCs w:val="24"/>
        </w:rPr>
        <w:t xml:space="preserve">agreement </w:t>
      </w:r>
      <w:r w:rsidR="004147BF" w:rsidRPr="00FD7813">
        <w:rPr>
          <w:rFonts w:ascii="Arial" w:hAnsi="Arial" w:cs="Arial"/>
          <w:color w:val="1F1F1F"/>
          <w:sz w:val="24"/>
          <w:szCs w:val="24"/>
        </w:rPr>
        <w:t xml:space="preserve">and the applicant was compelled to launch an urgent application in this Court to compel it to issue its clearance certificate relating to </w:t>
      </w:r>
      <w:r w:rsidR="00F015BB" w:rsidRPr="00FD7813">
        <w:rPr>
          <w:rFonts w:ascii="Arial" w:hAnsi="Arial" w:cs="Arial"/>
          <w:sz w:val="24"/>
          <w:szCs w:val="24"/>
        </w:rPr>
        <w:t>W</w:t>
      </w:r>
      <w:r w:rsidR="000F5DE1" w:rsidRPr="00FD7813">
        <w:rPr>
          <w:rFonts w:ascii="Arial" w:hAnsi="Arial" w:cs="Arial"/>
          <w:sz w:val="24"/>
          <w:szCs w:val="24"/>
        </w:rPr>
        <w:t>ilgeheuwel Extension 26 Township.</w:t>
      </w:r>
    </w:p>
    <w:p w14:paraId="6BC62829" w14:textId="77777777" w:rsidR="004147BF" w:rsidRPr="00194BC3" w:rsidRDefault="004147BF" w:rsidP="00AC1748">
      <w:pPr>
        <w:autoSpaceDE w:val="0"/>
        <w:autoSpaceDN w:val="0"/>
        <w:adjustRightInd w:val="0"/>
        <w:spacing w:after="0" w:line="480" w:lineRule="auto"/>
        <w:jc w:val="both"/>
        <w:rPr>
          <w:rFonts w:ascii="Arial" w:hAnsi="Arial" w:cs="Arial"/>
          <w:color w:val="1F1F1F"/>
          <w:sz w:val="24"/>
          <w:szCs w:val="24"/>
        </w:rPr>
      </w:pPr>
    </w:p>
    <w:p w14:paraId="2BFFA35C" w14:textId="224F120B" w:rsidR="004147BF" w:rsidRPr="00FD7813" w:rsidRDefault="00FD7813" w:rsidP="00FD7813">
      <w:pPr>
        <w:autoSpaceDE w:val="0"/>
        <w:autoSpaceDN w:val="0"/>
        <w:adjustRightInd w:val="0"/>
        <w:spacing w:after="0" w:line="480" w:lineRule="auto"/>
        <w:ind w:left="720" w:hanging="360"/>
        <w:jc w:val="both"/>
        <w:rPr>
          <w:rFonts w:ascii="Arial" w:hAnsi="Arial" w:cs="Arial"/>
          <w:color w:val="1F1F1F"/>
          <w:sz w:val="24"/>
          <w:szCs w:val="24"/>
        </w:rPr>
      </w:pPr>
      <w:r w:rsidRPr="00E34BC5">
        <w:rPr>
          <w:rFonts w:ascii="Arial" w:eastAsiaTheme="minorEastAsia" w:hAnsi="Arial" w:cs="Arial"/>
          <w:color w:val="1F1F1F"/>
          <w:sz w:val="24"/>
          <w:szCs w:val="24"/>
          <w:lang w:eastAsia="en-ZA"/>
        </w:rPr>
        <w:t>10.</w:t>
      </w:r>
      <w:r w:rsidRPr="00E34BC5">
        <w:rPr>
          <w:rFonts w:ascii="Arial" w:eastAsiaTheme="minorEastAsia" w:hAnsi="Arial" w:cs="Arial"/>
          <w:color w:val="1F1F1F"/>
          <w:sz w:val="24"/>
          <w:szCs w:val="24"/>
          <w:lang w:eastAsia="en-ZA"/>
        </w:rPr>
        <w:tab/>
      </w:r>
      <w:r w:rsidR="007E1083" w:rsidRPr="00FD7813">
        <w:rPr>
          <w:rFonts w:ascii="Arial" w:hAnsi="Arial" w:cs="Arial"/>
          <w:color w:val="1F1F1F"/>
          <w:sz w:val="24"/>
          <w:szCs w:val="24"/>
        </w:rPr>
        <w:t xml:space="preserve">City Power </w:t>
      </w:r>
      <w:r w:rsidR="004147BF" w:rsidRPr="00FD7813">
        <w:rPr>
          <w:rFonts w:ascii="Arial" w:hAnsi="Arial" w:cs="Arial"/>
          <w:color w:val="1F1F1F"/>
          <w:sz w:val="24"/>
          <w:szCs w:val="24"/>
        </w:rPr>
        <w:t xml:space="preserve">indicated that it wished to settle the said litigation and negotiations ensued between the applicant and </w:t>
      </w:r>
      <w:r w:rsidR="007E1083" w:rsidRPr="00FD7813">
        <w:rPr>
          <w:rFonts w:ascii="Arial" w:hAnsi="Arial" w:cs="Arial"/>
          <w:color w:val="1F1F1F"/>
          <w:sz w:val="24"/>
          <w:szCs w:val="24"/>
        </w:rPr>
        <w:t xml:space="preserve">City Power </w:t>
      </w:r>
      <w:r w:rsidR="004147BF" w:rsidRPr="00FD7813">
        <w:rPr>
          <w:rFonts w:ascii="Arial" w:hAnsi="Arial" w:cs="Arial"/>
          <w:color w:val="1F1F1F"/>
          <w:sz w:val="24"/>
          <w:szCs w:val="24"/>
        </w:rPr>
        <w:t xml:space="preserve">during 2016 </w:t>
      </w:r>
      <w:r w:rsidR="0001184D" w:rsidRPr="00FD7813">
        <w:rPr>
          <w:rFonts w:ascii="Arial" w:hAnsi="Arial" w:cs="Arial"/>
          <w:color w:val="1F1F1F"/>
          <w:sz w:val="24"/>
          <w:szCs w:val="24"/>
        </w:rPr>
        <w:t>and</w:t>
      </w:r>
      <w:r w:rsidR="004147BF" w:rsidRPr="00FD7813">
        <w:rPr>
          <w:rFonts w:ascii="Arial" w:hAnsi="Arial" w:cs="Arial"/>
          <w:color w:val="1F1F1F"/>
          <w:sz w:val="24"/>
          <w:szCs w:val="24"/>
        </w:rPr>
        <w:t xml:space="preserve"> 2017.</w:t>
      </w:r>
    </w:p>
    <w:p w14:paraId="092ABAA5" w14:textId="77777777" w:rsidR="004147BF" w:rsidRPr="00194BC3" w:rsidRDefault="004147BF" w:rsidP="00AC1748">
      <w:pPr>
        <w:autoSpaceDE w:val="0"/>
        <w:autoSpaceDN w:val="0"/>
        <w:adjustRightInd w:val="0"/>
        <w:spacing w:after="0" w:line="480" w:lineRule="auto"/>
        <w:jc w:val="both"/>
        <w:rPr>
          <w:rFonts w:ascii="Arial" w:hAnsi="Arial" w:cs="Arial"/>
          <w:color w:val="1F1F1F"/>
          <w:sz w:val="24"/>
          <w:szCs w:val="24"/>
        </w:rPr>
      </w:pPr>
    </w:p>
    <w:p w14:paraId="0A87D49F" w14:textId="245C52AA" w:rsidR="004147BF" w:rsidRPr="00FD7813" w:rsidRDefault="00FD7813" w:rsidP="00FD7813">
      <w:pPr>
        <w:autoSpaceDE w:val="0"/>
        <w:autoSpaceDN w:val="0"/>
        <w:adjustRightInd w:val="0"/>
        <w:spacing w:after="0" w:line="480" w:lineRule="auto"/>
        <w:ind w:left="720" w:hanging="360"/>
        <w:jc w:val="both"/>
        <w:rPr>
          <w:rFonts w:ascii="Arial" w:hAnsi="Arial" w:cs="Arial"/>
          <w:color w:val="1F1F1F"/>
          <w:sz w:val="24"/>
          <w:szCs w:val="24"/>
        </w:rPr>
      </w:pPr>
      <w:r w:rsidRPr="00E34BC5">
        <w:rPr>
          <w:rFonts w:ascii="Arial" w:eastAsiaTheme="minorEastAsia" w:hAnsi="Arial" w:cs="Arial"/>
          <w:color w:val="1F1F1F"/>
          <w:sz w:val="24"/>
          <w:szCs w:val="24"/>
          <w:lang w:eastAsia="en-ZA"/>
        </w:rPr>
        <w:t>11.</w:t>
      </w:r>
      <w:r w:rsidRPr="00E34BC5">
        <w:rPr>
          <w:rFonts w:ascii="Arial" w:eastAsiaTheme="minorEastAsia" w:hAnsi="Arial" w:cs="Arial"/>
          <w:color w:val="1F1F1F"/>
          <w:sz w:val="24"/>
          <w:szCs w:val="24"/>
          <w:lang w:eastAsia="en-ZA"/>
        </w:rPr>
        <w:tab/>
      </w:r>
      <w:r w:rsidR="004147BF" w:rsidRPr="00FD7813">
        <w:rPr>
          <w:rFonts w:ascii="Arial" w:hAnsi="Arial" w:cs="Arial"/>
          <w:color w:val="1F1F1F"/>
          <w:sz w:val="24"/>
          <w:szCs w:val="24"/>
        </w:rPr>
        <w:t xml:space="preserve">By letter to the applicant on 20 November 2016, </w:t>
      </w:r>
      <w:r w:rsidR="007E1083" w:rsidRPr="00FD7813">
        <w:rPr>
          <w:rFonts w:ascii="Arial" w:hAnsi="Arial" w:cs="Arial"/>
          <w:color w:val="1F1F1F"/>
          <w:sz w:val="24"/>
          <w:szCs w:val="24"/>
        </w:rPr>
        <w:t xml:space="preserve">City Power </w:t>
      </w:r>
      <w:r w:rsidR="004147BF" w:rsidRPr="00FD7813">
        <w:rPr>
          <w:rFonts w:ascii="Arial" w:hAnsi="Arial" w:cs="Arial"/>
          <w:color w:val="1F1F1F"/>
          <w:sz w:val="24"/>
          <w:szCs w:val="24"/>
        </w:rPr>
        <w:t xml:space="preserve">recorded that the supply of power to </w:t>
      </w:r>
      <w:r w:rsidR="00F015BB" w:rsidRPr="00FD7813">
        <w:rPr>
          <w:rFonts w:ascii="Arial" w:hAnsi="Arial" w:cs="Arial"/>
          <w:sz w:val="24"/>
          <w:szCs w:val="24"/>
        </w:rPr>
        <w:t>Wi</w:t>
      </w:r>
      <w:r w:rsidR="000F5DE1" w:rsidRPr="00FD7813">
        <w:rPr>
          <w:rFonts w:ascii="Arial" w:hAnsi="Arial" w:cs="Arial"/>
          <w:sz w:val="24"/>
          <w:szCs w:val="24"/>
        </w:rPr>
        <w:t>lgeheuwel Extension 26 Township</w:t>
      </w:r>
      <w:r w:rsidR="00091C65" w:rsidRPr="00FD7813">
        <w:rPr>
          <w:rFonts w:ascii="Arial" w:hAnsi="Arial" w:cs="Arial"/>
          <w:sz w:val="24"/>
          <w:szCs w:val="24"/>
        </w:rPr>
        <w:t xml:space="preserve"> </w:t>
      </w:r>
      <w:r w:rsidR="004147BF" w:rsidRPr="00FD7813">
        <w:rPr>
          <w:rFonts w:ascii="Arial" w:hAnsi="Arial" w:cs="Arial"/>
          <w:bCs/>
          <w:color w:val="1F1F1F"/>
          <w:sz w:val="24"/>
          <w:szCs w:val="24"/>
        </w:rPr>
        <w:t>is subject to the</w:t>
      </w:r>
      <w:r w:rsidR="004147BF" w:rsidRPr="00FD7813">
        <w:rPr>
          <w:rFonts w:ascii="Arial" w:hAnsi="Arial" w:cs="Arial"/>
          <w:color w:val="1F1F1F"/>
          <w:sz w:val="24"/>
          <w:szCs w:val="24"/>
        </w:rPr>
        <w:t xml:space="preserve"> </w:t>
      </w:r>
      <w:r w:rsidR="004147BF" w:rsidRPr="00FD7813">
        <w:rPr>
          <w:rFonts w:ascii="Arial" w:hAnsi="Arial" w:cs="Arial"/>
          <w:bCs/>
          <w:color w:val="1F1F1F"/>
          <w:sz w:val="24"/>
          <w:szCs w:val="24"/>
        </w:rPr>
        <w:t>simultaneous application and physical downgrade of the</w:t>
      </w:r>
      <w:r w:rsidR="004147BF" w:rsidRPr="00FD7813">
        <w:rPr>
          <w:rFonts w:ascii="Arial" w:hAnsi="Arial" w:cs="Arial"/>
          <w:color w:val="1F1F1F"/>
          <w:sz w:val="24"/>
          <w:szCs w:val="24"/>
        </w:rPr>
        <w:t xml:space="preserve"> </w:t>
      </w:r>
      <w:r w:rsidR="004147BF" w:rsidRPr="00FD7813">
        <w:rPr>
          <w:rFonts w:ascii="Arial" w:hAnsi="Arial" w:cs="Arial"/>
          <w:bCs/>
          <w:color w:val="1F1F1F"/>
          <w:sz w:val="24"/>
          <w:szCs w:val="24"/>
        </w:rPr>
        <w:t>services connection supplying the Erven within (inter alia)</w:t>
      </w:r>
      <w:r w:rsidR="00AD3A55" w:rsidRPr="00FD7813">
        <w:rPr>
          <w:rFonts w:ascii="Arial" w:hAnsi="Arial" w:cs="Arial"/>
          <w:color w:val="1F1F1F"/>
          <w:sz w:val="24"/>
          <w:szCs w:val="24"/>
        </w:rPr>
        <w:t xml:space="preserve"> </w:t>
      </w:r>
      <w:r w:rsidR="004147BF" w:rsidRPr="00FD7813">
        <w:rPr>
          <w:rFonts w:ascii="Arial" w:hAnsi="Arial" w:cs="Arial"/>
          <w:bCs/>
          <w:color w:val="1F1F1F"/>
          <w:sz w:val="24"/>
          <w:szCs w:val="24"/>
        </w:rPr>
        <w:t>Honeydew Manor Extension 33 from 250 to 100 kVa".</w:t>
      </w:r>
    </w:p>
    <w:p w14:paraId="17F4A158" w14:textId="77777777" w:rsidR="004147BF" w:rsidRPr="00194BC3" w:rsidRDefault="004147BF" w:rsidP="00AC1748">
      <w:pPr>
        <w:autoSpaceDE w:val="0"/>
        <w:autoSpaceDN w:val="0"/>
        <w:adjustRightInd w:val="0"/>
        <w:spacing w:after="0" w:line="480" w:lineRule="auto"/>
        <w:jc w:val="both"/>
        <w:rPr>
          <w:rFonts w:ascii="Arial" w:hAnsi="Arial" w:cs="Arial"/>
          <w:bCs/>
          <w:color w:val="FFFFFF"/>
          <w:sz w:val="24"/>
          <w:szCs w:val="24"/>
        </w:rPr>
      </w:pPr>
      <w:r w:rsidRPr="00194BC3">
        <w:rPr>
          <w:rFonts w:ascii="Arial" w:hAnsi="Arial" w:cs="Arial"/>
          <w:bCs/>
          <w:color w:val="FFFFFF"/>
          <w:sz w:val="24"/>
          <w:szCs w:val="24"/>
        </w:rPr>
        <w:t>56c55c3da073413d855109e6e2a7edff-7</w:t>
      </w:r>
    </w:p>
    <w:p w14:paraId="5648EE83" w14:textId="76D3EC02" w:rsidR="004147BF" w:rsidRPr="00FD7813" w:rsidRDefault="00FD7813" w:rsidP="00FD7813">
      <w:pPr>
        <w:autoSpaceDE w:val="0"/>
        <w:autoSpaceDN w:val="0"/>
        <w:adjustRightInd w:val="0"/>
        <w:spacing w:after="0" w:line="480" w:lineRule="auto"/>
        <w:ind w:left="720" w:hanging="360"/>
        <w:jc w:val="both"/>
        <w:rPr>
          <w:rFonts w:ascii="Arial" w:hAnsi="Arial" w:cs="Arial"/>
          <w:color w:val="1C1C1C"/>
          <w:sz w:val="24"/>
          <w:szCs w:val="24"/>
        </w:rPr>
      </w:pPr>
      <w:r w:rsidRPr="00E34BC5">
        <w:rPr>
          <w:rFonts w:ascii="Arial" w:eastAsiaTheme="minorEastAsia" w:hAnsi="Arial" w:cs="Arial"/>
          <w:color w:val="1C1C1C"/>
          <w:sz w:val="24"/>
          <w:szCs w:val="24"/>
          <w:lang w:eastAsia="en-ZA"/>
        </w:rPr>
        <w:lastRenderedPageBreak/>
        <w:t>12.</w:t>
      </w:r>
      <w:r w:rsidRPr="00E34BC5">
        <w:rPr>
          <w:rFonts w:ascii="Arial" w:eastAsiaTheme="minorEastAsia" w:hAnsi="Arial" w:cs="Arial"/>
          <w:color w:val="1C1C1C"/>
          <w:sz w:val="24"/>
          <w:szCs w:val="24"/>
          <w:lang w:eastAsia="en-ZA"/>
        </w:rPr>
        <w:tab/>
      </w:r>
      <w:r w:rsidR="004147BF" w:rsidRPr="00FD7813">
        <w:rPr>
          <w:rFonts w:ascii="Arial" w:hAnsi="Arial" w:cs="Arial"/>
          <w:color w:val="1C1C1C"/>
          <w:sz w:val="24"/>
          <w:szCs w:val="24"/>
        </w:rPr>
        <w:t xml:space="preserve">On 4 December 2017, as part of the settlement negotiations, </w:t>
      </w:r>
      <w:r w:rsidR="007E1083" w:rsidRPr="00FD7813">
        <w:rPr>
          <w:rFonts w:ascii="Arial" w:hAnsi="Arial" w:cs="Arial"/>
          <w:color w:val="1C1C1C"/>
          <w:sz w:val="24"/>
          <w:szCs w:val="24"/>
        </w:rPr>
        <w:t xml:space="preserve">City Power </w:t>
      </w:r>
      <w:r w:rsidR="004147BF" w:rsidRPr="00FD7813">
        <w:rPr>
          <w:rFonts w:ascii="Arial" w:hAnsi="Arial" w:cs="Arial"/>
          <w:color w:val="1C1C1C"/>
          <w:sz w:val="24"/>
          <w:szCs w:val="24"/>
        </w:rPr>
        <w:t xml:space="preserve">studied the totality of the development as depicted in </w:t>
      </w:r>
      <w:r w:rsidR="004147BF" w:rsidRPr="00FD7813">
        <w:rPr>
          <w:rFonts w:ascii="Arial" w:hAnsi="Arial" w:cs="Arial"/>
          <w:bCs/>
          <w:color w:val="1C1C1C"/>
          <w:sz w:val="24"/>
          <w:szCs w:val="24"/>
        </w:rPr>
        <w:t>the</w:t>
      </w:r>
      <w:r w:rsidR="004147BF" w:rsidRPr="00FD7813">
        <w:rPr>
          <w:rFonts w:ascii="Arial" w:hAnsi="Arial" w:cs="Arial"/>
          <w:color w:val="1C1C1C"/>
          <w:sz w:val="24"/>
          <w:szCs w:val="24"/>
        </w:rPr>
        <w:t xml:space="preserve"> </w:t>
      </w:r>
      <w:r w:rsidR="004147BF" w:rsidRPr="00FD7813">
        <w:rPr>
          <w:rFonts w:ascii="Arial" w:hAnsi="Arial" w:cs="Arial"/>
          <w:bCs/>
          <w:color w:val="1C1C1C"/>
          <w:sz w:val="24"/>
          <w:szCs w:val="24"/>
        </w:rPr>
        <w:t xml:space="preserve">SDP, </w:t>
      </w:r>
      <w:r w:rsidR="004147BF" w:rsidRPr="00FD7813">
        <w:rPr>
          <w:rFonts w:ascii="Arial" w:hAnsi="Arial" w:cs="Arial"/>
          <w:color w:val="1C1C1C"/>
          <w:sz w:val="24"/>
          <w:szCs w:val="24"/>
        </w:rPr>
        <w:t xml:space="preserve">reassessed how much electrical capacity to allocate to the applicant's townships based on the number of dwelling units shown on the SOP for both townships, </w:t>
      </w:r>
      <w:r w:rsidR="004147BF" w:rsidRPr="00FD7813">
        <w:rPr>
          <w:rFonts w:ascii="Arial" w:hAnsi="Arial" w:cs="Arial"/>
          <w:color w:val="4C4C4C"/>
          <w:sz w:val="24"/>
          <w:szCs w:val="24"/>
        </w:rPr>
        <w:t xml:space="preserve">reduced </w:t>
      </w:r>
      <w:r w:rsidR="004147BF" w:rsidRPr="00FD7813">
        <w:rPr>
          <w:rFonts w:ascii="Arial" w:hAnsi="Arial" w:cs="Arial"/>
          <w:color w:val="1C1C1C"/>
          <w:sz w:val="24"/>
          <w:szCs w:val="24"/>
        </w:rPr>
        <w:t xml:space="preserve">the total capacity for the applicant's townships from </w:t>
      </w:r>
      <w:r w:rsidR="004147BF" w:rsidRPr="00FD7813">
        <w:rPr>
          <w:rFonts w:ascii="Arial" w:hAnsi="Arial" w:cs="Arial"/>
          <w:color w:val="4C4C4C"/>
          <w:sz w:val="24"/>
          <w:szCs w:val="24"/>
        </w:rPr>
        <w:t xml:space="preserve">1 </w:t>
      </w:r>
      <w:r w:rsidR="004147BF" w:rsidRPr="00FD7813">
        <w:rPr>
          <w:rFonts w:ascii="Arial" w:hAnsi="Arial" w:cs="Arial"/>
          <w:color w:val="3C3C3C"/>
          <w:sz w:val="24"/>
          <w:szCs w:val="24"/>
        </w:rPr>
        <w:t xml:space="preserve">260 </w:t>
      </w:r>
      <w:r w:rsidR="004147BF" w:rsidRPr="00FD7813">
        <w:rPr>
          <w:rFonts w:ascii="Arial" w:hAnsi="Arial" w:cs="Arial"/>
          <w:color w:val="4C4C4C"/>
          <w:sz w:val="24"/>
          <w:szCs w:val="24"/>
        </w:rPr>
        <w:t xml:space="preserve">kVA </w:t>
      </w:r>
      <w:r w:rsidR="004147BF" w:rsidRPr="00FD7813">
        <w:rPr>
          <w:rFonts w:ascii="Arial" w:hAnsi="Arial" w:cs="Arial"/>
          <w:color w:val="1C1C1C"/>
          <w:sz w:val="24"/>
          <w:szCs w:val="24"/>
        </w:rPr>
        <w:t xml:space="preserve">to </w:t>
      </w:r>
      <w:r w:rsidR="004147BF" w:rsidRPr="00FD7813">
        <w:rPr>
          <w:rFonts w:ascii="Arial" w:hAnsi="Arial" w:cs="Arial"/>
          <w:bCs/>
          <w:color w:val="1C1C1C"/>
          <w:sz w:val="24"/>
          <w:szCs w:val="24"/>
        </w:rPr>
        <w:t xml:space="preserve">1 130 kVA </w:t>
      </w:r>
      <w:r w:rsidR="004147BF" w:rsidRPr="00FD7813">
        <w:rPr>
          <w:rFonts w:ascii="Arial" w:hAnsi="Arial" w:cs="Arial"/>
          <w:color w:val="1C1C1C"/>
          <w:sz w:val="24"/>
          <w:szCs w:val="24"/>
        </w:rPr>
        <w:t>(i</w:t>
      </w:r>
      <w:r w:rsidR="001D7364" w:rsidRPr="00FD7813">
        <w:rPr>
          <w:rFonts w:ascii="Arial" w:hAnsi="Arial" w:cs="Arial"/>
          <w:color w:val="1C1C1C"/>
          <w:sz w:val="24"/>
          <w:szCs w:val="24"/>
        </w:rPr>
        <w:t>.</w:t>
      </w:r>
      <w:r w:rsidR="004147BF" w:rsidRPr="00FD7813">
        <w:rPr>
          <w:rFonts w:ascii="Arial" w:hAnsi="Arial" w:cs="Arial"/>
          <w:color w:val="1C1C1C"/>
          <w:sz w:val="24"/>
          <w:szCs w:val="24"/>
        </w:rPr>
        <w:t>e</w:t>
      </w:r>
      <w:r w:rsidR="001D7364" w:rsidRPr="00FD7813">
        <w:rPr>
          <w:rFonts w:ascii="Arial" w:hAnsi="Arial" w:cs="Arial"/>
          <w:color w:val="1C1C1C"/>
          <w:sz w:val="24"/>
          <w:szCs w:val="24"/>
        </w:rPr>
        <w:t>.</w:t>
      </w:r>
      <w:r w:rsidR="004147BF" w:rsidRPr="00FD7813">
        <w:rPr>
          <w:rFonts w:ascii="Arial" w:hAnsi="Arial" w:cs="Arial"/>
          <w:color w:val="1C1C1C"/>
          <w:sz w:val="24"/>
          <w:szCs w:val="24"/>
        </w:rPr>
        <w:t xml:space="preserve"> now </w:t>
      </w:r>
      <w:r w:rsidR="00F015BB" w:rsidRPr="00FD7813">
        <w:rPr>
          <w:rFonts w:ascii="Arial" w:hAnsi="Arial" w:cs="Arial"/>
          <w:sz w:val="24"/>
          <w:szCs w:val="24"/>
        </w:rPr>
        <w:t xml:space="preserve">Wilgeheuwel Extension 26 Township </w:t>
      </w:r>
      <w:r w:rsidR="00091C65" w:rsidRPr="00FD7813">
        <w:rPr>
          <w:rFonts w:ascii="Arial" w:hAnsi="Arial" w:cs="Arial"/>
          <w:sz w:val="24"/>
          <w:szCs w:val="24"/>
        </w:rPr>
        <w:t xml:space="preserve"> </w:t>
      </w:r>
      <w:r w:rsidR="004147BF" w:rsidRPr="00FD7813">
        <w:rPr>
          <w:rFonts w:ascii="Arial" w:hAnsi="Arial" w:cs="Arial"/>
          <w:color w:val="1C1C1C"/>
          <w:sz w:val="24"/>
          <w:szCs w:val="24"/>
        </w:rPr>
        <w:t xml:space="preserve">received 630 kVA but </w:t>
      </w:r>
      <w:r w:rsidR="0041067F" w:rsidRPr="00FD7813">
        <w:rPr>
          <w:rFonts w:ascii="Arial" w:hAnsi="Arial" w:cs="Arial"/>
          <w:color w:val="242021"/>
          <w:sz w:val="24"/>
          <w:szCs w:val="24"/>
        </w:rPr>
        <w:t xml:space="preserve">Wilgeheuwel Extension 67 Township </w:t>
      </w:r>
      <w:r w:rsidR="00A35F23" w:rsidRPr="00FD7813">
        <w:rPr>
          <w:rFonts w:ascii="Arial" w:hAnsi="Arial" w:cs="Arial"/>
          <w:color w:val="1C1C1C"/>
          <w:sz w:val="24"/>
          <w:szCs w:val="24"/>
        </w:rPr>
        <w:t xml:space="preserve"> </w:t>
      </w:r>
      <w:r w:rsidR="004147BF" w:rsidRPr="00FD7813">
        <w:rPr>
          <w:rFonts w:ascii="Arial" w:hAnsi="Arial" w:cs="Arial"/>
          <w:color w:val="1C1C1C"/>
          <w:sz w:val="24"/>
          <w:szCs w:val="24"/>
        </w:rPr>
        <w:t xml:space="preserve">would only receive a reduced electrical capacity of </w:t>
      </w:r>
      <w:r w:rsidR="004147BF" w:rsidRPr="00FD7813">
        <w:rPr>
          <w:rFonts w:ascii="Arial" w:hAnsi="Arial" w:cs="Arial"/>
          <w:bCs/>
          <w:color w:val="1C1C1C"/>
          <w:sz w:val="24"/>
          <w:szCs w:val="24"/>
        </w:rPr>
        <w:t xml:space="preserve">500 kVA </w:t>
      </w:r>
      <w:r w:rsidR="004147BF" w:rsidRPr="00FD7813">
        <w:rPr>
          <w:rFonts w:ascii="Arial" w:hAnsi="Arial" w:cs="Arial"/>
          <w:color w:val="1C1C1C"/>
          <w:sz w:val="24"/>
          <w:szCs w:val="24"/>
        </w:rPr>
        <w:t xml:space="preserve">for the </w:t>
      </w:r>
      <w:r w:rsidR="004147BF" w:rsidRPr="00FD7813">
        <w:rPr>
          <w:rFonts w:ascii="Arial" w:hAnsi="Arial" w:cs="Arial"/>
          <w:color w:val="3C3C3C"/>
          <w:sz w:val="24"/>
          <w:szCs w:val="24"/>
        </w:rPr>
        <w:t>280 dwelling units</w:t>
      </w:r>
      <w:r w:rsidR="004147BF" w:rsidRPr="00FD7813">
        <w:rPr>
          <w:rFonts w:ascii="Arial" w:hAnsi="Arial" w:cs="Arial"/>
          <w:color w:val="1C1C1C"/>
          <w:sz w:val="24"/>
          <w:szCs w:val="24"/>
        </w:rPr>
        <w:t xml:space="preserve"> to be erected therein. </w:t>
      </w:r>
      <w:r w:rsidR="007E1083" w:rsidRPr="00FD7813">
        <w:rPr>
          <w:rFonts w:ascii="Arial" w:hAnsi="Arial" w:cs="Arial"/>
          <w:color w:val="1C1C1C"/>
          <w:sz w:val="24"/>
          <w:szCs w:val="24"/>
        </w:rPr>
        <w:t xml:space="preserve">City Power </w:t>
      </w:r>
      <w:r w:rsidR="004147BF" w:rsidRPr="00FD7813">
        <w:rPr>
          <w:rFonts w:ascii="Arial" w:hAnsi="Arial" w:cs="Arial"/>
          <w:color w:val="1C1C1C"/>
          <w:sz w:val="24"/>
          <w:szCs w:val="24"/>
        </w:rPr>
        <w:t xml:space="preserve">and the applicant </w:t>
      </w:r>
      <w:r w:rsidR="004147BF" w:rsidRPr="00FD7813">
        <w:rPr>
          <w:rFonts w:ascii="Arial" w:hAnsi="Arial" w:cs="Arial"/>
          <w:bCs/>
          <w:color w:val="1C1C1C"/>
          <w:sz w:val="24"/>
          <w:szCs w:val="24"/>
        </w:rPr>
        <w:t>signed a</w:t>
      </w:r>
      <w:r w:rsidR="004147BF" w:rsidRPr="00FD7813">
        <w:rPr>
          <w:rFonts w:ascii="Arial" w:hAnsi="Arial" w:cs="Arial"/>
          <w:color w:val="1C1C1C"/>
          <w:sz w:val="24"/>
          <w:szCs w:val="24"/>
        </w:rPr>
        <w:t xml:space="preserve"> </w:t>
      </w:r>
      <w:r w:rsidR="004147BF" w:rsidRPr="00FD7813">
        <w:rPr>
          <w:rFonts w:ascii="Arial" w:hAnsi="Arial" w:cs="Arial"/>
          <w:color w:val="3C3C3C"/>
          <w:sz w:val="24"/>
          <w:szCs w:val="24"/>
        </w:rPr>
        <w:t xml:space="preserve">settlement agreement </w:t>
      </w:r>
      <w:r w:rsidR="004147BF" w:rsidRPr="00FD7813">
        <w:rPr>
          <w:rFonts w:ascii="Arial" w:hAnsi="Arial" w:cs="Arial"/>
          <w:color w:val="1C1C1C"/>
          <w:sz w:val="24"/>
          <w:szCs w:val="24"/>
        </w:rPr>
        <w:t>on 4 December 2017 which settled the litigation between the parties and created legal rights and obligations</w:t>
      </w:r>
      <w:r w:rsidR="00472709" w:rsidRPr="00FD7813">
        <w:rPr>
          <w:rFonts w:ascii="Arial" w:hAnsi="Arial" w:cs="Arial"/>
          <w:color w:val="1C1C1C"/>
          <w:sz w:val="24"/>
          <w:szCs w:val="24"/>
        </w:rPr>
        <w:t xml:space="preserve"> </w:t>
      </w:r>
      <w:r w:rsidR="004147BF" w:rsidRPr="00FD7813">
        <w:rPr>
          <w:rFonts w:ascii="Arial" w:hAnsi="Arial" w:cs="Arial"/>
          <w:color w:val="1C1C1C"/>
          <w:sz w:val="24"/>
          <w:szCs w:val="24"/>
        </w:rPr>
        <w:t>relating to the applicant's development.</w:t>
      </w:r>
    </w:p>
    <w:p w14:paraId="09B976F9" w14:textId="77777777" w:rsidR="00C8676C" w:rsidRDefault="00C8676C" w:rsidP="00AC1748">
      <w:pPr>
        <w:autoSpaceDE w:val="0"/>
        <w:autoSpaceDN w:val="0"/>
        <w:adjustRightInd w:val="0"/>
        <w:spacing w:after="0" w:line="480" w:lineRule="auto"/>
        <w:jc w:val="both"/>
        <w:rPr>
          <w:rFonts w:ascii="Arial" w:hAnsi="Arial" w:cs="Arial"/>
          <w:color w:val="1C1C1C"/>
          <w:sz w:val="24"/>
          <w:szCs w:val="24"/>
        </w:rPr>
      </w:pPr>
    </w:p>
    <w:p w14:paraId="7477B459" w14:textId="47C37DB6" w:rsidR="004147BF" w:rsidRPr="00FD7813" w:rsidRDefault="00FD7813" w:rsidP="00FD7813">
      <w:pPr>
        <w:autoSpaceDE w:val="0"/>
        <w:autoSpaceDN w:val="0"/>
        <w:adjustRightInd w:val="0"/>
        <w:spacing w:after="0" w:line="480" w:lineRule="auto"/>
        <w:ind w:left="720" w:hanging="360"/>
        <w:jc w:val="both"/>
        <w:rPr>
          <w:rFonts w:ascii="Arial" w:hAnsi="Arial" w:cs="Arial"/>
          <w:color w:val="1C1C1C"/>
          <w:sz w:val="24"/>
          <w:szCs w:val="24"/>
        </w:rPr>
      </w:pPr>
      <w:r w:rsidRPr="00E34BC5">
        <w:rPr>
          <w:rFonts w:ascii="Arial" w:eastAsiaTheme="minorEastAsia" w:hAnsi="Arial" w:cs="Arial"/>
          <w:color w:val="1C1C1C"/>
          <w:sz w:val="24"/>
          <w:szCs w:val="24"/>
          <w:lang w:eastAsia="en-ZA"/>
        </w:rPr>
        <w:t>13.</w:t>
      </w:r>
      <w:r w:rsidRPr="00E34BC5">
        <w:rPr>
          <w:rFonts w:ascii="Arial" w:eastAsiaTheme="minorEastAsia" w:hAnsi="Arial" w:cs="Arial"/>
          <w:color w:val="1C1C1C"/>
          <w:sz w:val="24"/>
          <w:szCs w:val="24"/>
          <w:lang w:eastAsia="en-ZA"/>
        </w:rPr>
        <w:tab/>
      </w:r>
      <w:r w:rsidR="004147BF" w:rsidRPr="00FD7813">
        <w:rPr>
          <w:rFonts w:ascii="Arial" w:hAnsi="Arial" w:cs="Arial"/>
          <w:color w:val="1C1C1C"/>
          <w:sz w:val="24"/>
          <w:szCs w:val="24"/>
        </w:rPr>
        <w:t xml:space="preserve">The development in </w:t>
      </w:r>
      <w:r w:rsidR="00F015BB" w:rsidRPr="00FD7813">
        <w:rPr>
          <w:rFonts w:ascii="Arial" w:hAnsi="Arial" w:cs="Arial"/>
          <w:sz w:val="24"/>
          <w:szCs w:val="24"/>
        </w:rPr>
        <w:t xml:space="preserve">Wilgeheuwel Extension 26 Township </w:t>
      </w:r>
      <w:r w:rsidR="004147BF" w:rsidRPr="00FD7813">
        <w:rPr>
          <w:rFonts w:ascii="Arial" w:hAnsi="Arial" w:cs="Arial"/>
          <w:color w:val="1C1C1C"/>
          <w:sz w:val="24"/>
          <w:szCs w:val="24"/>
        </w:rPr>
        <w:t xml:space="preserve">, indicated on the SOP as comprising </w:t>
      </w:r>
      <w:r w:rsidR="004147BF" w:rsidRPr="00FD7813">
        <w:rPr>
          <w:rFonts w:ascii="Arial" w:hAnsi="Arial" w:cs="Arial"/>
          <w:color w:val="3C3C3C"/>
          <w:sz w:val="24"/>
          <w:szCs w:val="24"/>
        </w:rPr>
        <w:t>340 dwelling units</w:t>
      </w:r>
      <w:r w:rsidR="004147BF" w:rsidRPr="00FD7813">
        <w:rPr>
          <w:rFonts w:ascii="Arial" w:hAnsi="Arial" w:cs="Arial"/>
          <w:color w:val="1C1C1C"/>
          <w:sz w:val="24"/>
          <w:szCs w:val="24"/>
        </w:rPr>
        <w:t xml:space="preserve">, came about via two rezoning applications, the first of which was approved on 3 August 2018 (for 260 dwelling units) and the second (for the remaining 80 dwelling units) was approved on 30 October 2019. </w:t>
      </w:r>
      <w:r w:rsidR="007E1083" w:rsidRPr="00FD7813">
        <w:rPr>
          <w:rFonts w:ascii="Arial" w:hAnsi="Arial" w:cs="Arial"/>
          <w:color w:val="1C1C1C"/>
          <w:sz w:val="24"/>
          <w:szCs w:val="24"/>
        </w:rPr>
        <w:t xml:space="preserve">City Power </w:t>
      </w:r>
      <w:r w:rsidR="004147BF" w:rsidRPr="00FD7813">
        <w:rPr>
          <w:rFonts w:ascii="Arial" w:hAnsi="Arial" w:cs="Arial"/>
          <w:color w:val="1C1C1C"/>
          <w:sz w:val="24"/>
          <w:szCs w:val="24"/>
        </w:rPr>
        <w:t xml:space="preserve">accordingly approved electrical capacity at </w:t>
      </w:r>
      <w:r w:rsidR="004147BF" w:rsidRPr="00FD7813">
        <w:rPr>
          <w:rFonts w:ascii="Arial" w:hAnsi="Arial" w:cs="Arial"/>
          <w:bCs/>
          <w:color w:val="4C4C4C"/>
          <w:sz w:val="24"/>
          <w:szCs w:val="24"/>
        </w:rPr>
        <w:t xml:space="preserve">1.8 kV A per unit </w:t>
      </w:r>
      <w:r w:rsidR="004147BF" w:rsidRPr="00FD7813">
        <w:rPr>
          <w:rFonts w:ascii="Arial" w:hAnsi="Arial" w:cs="Arial"/>
          <w:color w:val="1C1C1C"/>
          <w:sz w:val="24"/>
          <w:szCs w:val="24"/>
        </w:rPr>
        <w:t xml:space="preserve">for the development of 340 dwelling units in </w:t>
      </w:r>
      <w:r w:rsidR="00F015BB" w:rsidRPr="00FD7813">
        <w:rPr>
          <w:rFonts w:ascii="Arial" w:hAnsi="Arial" w:cs="Arial"/>
          <w:sz w:val="24"/>
          <w:szCs w:val="24"/>
        </w:rPr>
        <w:t xml:space="preserve">Wilgeheuwel Extension 26 Township </w:t>
      </w:r>
      <w:r w:rsidR="004147BF" w:rsidRPr="00FD7813">
        <w:rPr>
          <w:rFonts w:ascii="Arial" w:hAnsi="Arial" w:cs="Arial"/>
          <w:color w:val="1C1C1C"/>
          <w:sz w:val="24"/>
          <w:szCs w:val="24"/>
        </w:rPr>
        <w:t>(630 kVA / 340 = 1,8 kVA).</w:t>
      </w:r>
    </w:p>
    <w:p w14:paraId="7B709ED7" w14:textId="77777777" w:rsidR="004147BF" w:rsidRPr="00194BC3" w:rsidRDefault="004147BF" w:rsidP="00AC1748">
      <w:pPr>
        <w:autoSpaceDE w:val="0"/>
        <w:autoSpaceDN w:val="0"/>
        <w:adjustRightInd w:val="0"/>
        <w:spacing w:after="0" w:line="480" w:lineRule="auto"/>
        <w:jc w:val="both"/>
        <w:rPr>
          <w:rFonts w:ascii="Arial" w:hAnsi="Arial" w:cs="Arial"/>
          <w:color w:val="1C1C1C"/>
          <w:sz w:val="24"/>
          <w:szCs w:val="24"/>
        </w:rPr>
      </w:pPr>
    </w:p>
    <w:p w14:paraId="2A8A9099" w14:textId="0A77F038" w:rsidR="004147BF" w:rsidRPr="00FD7813" w:rsidRDefault="00FD7813" w:rsidP="00FD7813">
      <w:pPr>
        <w:autoSpaceDE w:val="0"/>
        <w:autoSpaceDN w:val="0"/>
        <w:adjustRightInd w:val="0"/>
        <w:spacing w:after="0" w:line="480" w:lineRule="auto"/>
        <w:ind w:left="720" w:hanging="360"/>
        <w:jc w:val="both"/>
        <w:rPr>
          <w:rFonts w:ascii="Arial" w:hAnsi="Arial" w:cs="Arial"/>
          <w:color w:val="1C1C1C"/>
          <w:sz w:val="24"/>
          <w:szCs w:val="24"/>
        </w:rPr>
      </w:pPr>
      <w:r w:rsidRPr="00E34BC5">
        <w:rPr>
          <w:rFonts w:ascii="Arial" w:eastAsiaTheme="minorEastAsia" w:hAnsi="Arial" w:cs="Arial"/>
          <w:color w:val="1C1C1C"/>
          <w:sz w:val="24"/>
          <w:szCs w:val="24"/>
          <w:lang w:eastAsia="en-ZA"/>
        </w:rPr>
        <w:t>14.</w:t>
      </w:r>
      <w:r w:rsidRPr="00E34BC5">
        <w:rPr>
          <w:rFonts w:ascii="Arial" w:eastAsiaTheme="minorEastAsia" w:hAnsi="Arial" w:cs="Arial"/>
          <w:color w:val="1C1C1C"/>
          <w:sz w:val="24"/>
          <w:szCs w:val="24"/>
          <w:lang w:eastAsia="en-ZA"/>
        </w:rPr>
        <w:tab/>
      </w:r>
      <w:r w:rsidR="004147BF" w:rsidRPr="00FD7813">
        <w:rPr>
          <w:rFonts w:ascii="Arial" w:hAnsi="Arial" w:cs="Arial"/>
          <w:color w:val="1C1C1C"/>
          <w:sz w:val="24"/>
          <w:szCs w:val="24"/>
        </w:rPr>
        <w:t xml:space="preserve">On 27 September 2019 the COJ approved </w:t>
      </w:r>
      <w:r w:rsidR="0041067F" w:rsidRPr="00FD7813">
        <w:rPr>
          <w:rFonts w:ascii="Arial" w:hAnsi="Arial" w:cs="Arial"/>
          <w:color w:val="242021"/>
          <w:sz w:val="24"/>
          <w:szCs w:val="24"/>
        </w:rPr>
        <w:t>Wi</w:t>
      </w:r>
      <w:r w:rsidR="000F5DE1" w:rsidRPr="00FD7813">
        <w:rPr>
          <w:rFonts w:ascii="Arial" w:hAnsi="Arial" w:cs="Arial"/>
          <w:color w:val="242021"/>
          <w:sz w:val="24"/>
          <w:szCs w:val="24"/>
        </w:rPr>
        <w:t>lgeheuwel Extension 67 Township</w:t>
      </w:r>
      <w:r w:rsidR="00A35F23" w:rsidRPr="00FD7813">
        <w:rPr>
          <w:rFonts w:ascii="Arial" w:hAnsi="Arial" w:cs="Arial"/>
          <w:color w:val="1C1C1C"/>
          <w:sz w:val="24"/>
          <w:szCs w:val="24"/>
        </w:rPr>
        <w:t xml:space="preserve"> </w:t>
      </w:r>
      <w:r w:rsidR="004147BF" w:rsidRPr="00FD7813">
        <w:rPr>
          <w:rFonts w:ascii="Arial" w:hAnsi="Arial" w:cs="Arial"/>
          <w:color w:val="1C1C1C"/>
          <w:sz w:val="24"/>
          <w:szCs w:val="24"/>
        </w:rPr>
        <w:t>(which replaced the lapsed Extension 51). The portion of land zoned "Residential 3" therein was assigned a density which permitted 197 d</w:t>
      </w:r>
      <w:r w:rsidR="004147BF" w:rsidRPr="00FD7813">
        <w:rPr>
          <w:rFonts w:ascii="Arial" w:hAnsi="Arial" w:cs="Arial"/>
          <w:color w:val="3C3C3C"/>
          <w:sz w:val="24"/>
          <w:szCs w:val="24"/>
        </w:rPr>
        <w:t>w</w:t>
      </w:r>
      <w:r w:rsidR="004147BF" w:rsidRPr="00FD7813">
        <w:rPr>
          <w:rFonts w:ascii="Arial" w:hAnsi="Arial" w:cs="Arial"/>
          <w:color w:val="1C1C1C"/>
          <w:sz w:val="24"/>
          <w:szCs w:val="24"/>
        </w:rPr>
        <w:t>ellin</w:t>
      </w:r>
      <w:r w:rsidR="004147BF" w:rsidRPr="00FD7813">
        <w:rPr>
          <w:rFonts w:ascii="Arial" w:hAnsi="Arial" w:cs="Arial"/>
          <w:color w:val="3C3C3C"/>
          <w:sz w:val="24"/>
          <w:szCs w:val="24"/>
        </w:rPr>
        <w:t>g u</w:t>
      </w:r>
      <w:r w:rsidR="004147BF" w:rsidRPr="00FD7813">
        <w:rPr>
          <w:rFonts w:ascii="Arial" w:hAnsi="Arial" w:cs="Arial"/>
          <w:color w:val="1C1C1C"/>
          <w:sz w:val="24"/>
          <w:szCs w:val="24"/>
        </w:rPr>
        <w:t xml:space="preserve">nits to be erected thereon. This represented Phase 1 of </w:t>
      </w:r>
      <w:r w:rsidR="004147BF" w:rsidRPr="00FD7813">
        <w:rPr>
          <w:rFonts w:ascii="Arial" w:hAnsi="Arial" w:cs="Arial"/>
          <w:color w:val="222222"/>
          <w:sz w:val="24"/>
          <w:szCs w:val="24"/>
        </w:rPr>
        <w:t xml:space="preserve">the development on </w:t>
      </w:r>
      <w:r w:rsidR="0041067F" w:rsidRPr="00FD7813">
        <w:rPr>
          <w:rFonts w:ascii="Arial" w:hAnsi="Arial" w:cs="Arial"/>
          <w:color w:val="242021"/>
          <w:sz w:val="24"/>
          <w:szCs w:val="24"/>
        </w:rPr>
        <w:t>Wi</w:t>
      </w:r>
      <w:r w:rsidR="001D7364" w:rsidRPr="00FD7813">
        <w:rPr>
          <w:rFonts w:ascii="Arial" w:hAnsi="Arial" w:cs="Arial"/>
          <w:color w:val="242021"/>
          <w:sz w:val="24"/>
          <w:szCs w:val="24"/>
        </w:rPr>
        <w:t>lgeheuwel Extension 67 Township</w:t>
      </w:r>
      <w:r w:rsidR="00A35F23" w:rsidRPr="00FD7813">
        <w:rPr>
          <w:rFonts w:ascii="Arial" w:hAnsi="Arial" w:cs="Arial"/>
          <w:color w:val="222222"/>
          <w:sz w:val="24"/>
          <w:szCs w:val="24"/>
        </w:rPr>
        <w:t xml:space="preserve"> </w:t>
      </w:r>
      <w:r w:rsidR="004147BF" w:rsidRPr="00FD7813">
        <w:rPr>
          <w:rFonts w:ascii="Arial" w:hAnsi="Arial" w:cs="Arial"/>
          <w:color w:val="222222"/>
          <w:sz w:val="24"/>
          <w:szCs w:val="24"/>
        </w:rPr>
        <w:t xml:space="preserve">as shown on </w:t>
      </w:r>
      <w:r w:rsidR="004147BF" w:rsidRPr="00FD7813">
        <w:rPr>
          <w:rFonts w:ascii="Arial" w:hAnsi="Arial" w:cs="Arial"/>
          <w:bCs/>
          <w:color w:val="222222"/>
          <w:sz w:val="24"/>
          <w:szCs w:val="24"/>
        </w:rPr>
        <w:t xml:space="preserve">the SDP </w:t>
      </w:r>
      <w:r w:rsidR="004147BF" w:rsidRPr="00FD7813">
        <w:rPr>
          <w:rFonts w:ascii="Arial" w:hAnsi="Arial" w:cs="Arial"/>
          <w:color w:val="222222"/>
          <w:sz w:val="24"/>
          <w:szCs w:val="24"/>
        </w:rPr>
        <w:t>in 2017.</w:t>
      </w:r>
      <w:r w:rsidR="007E1083" w:rsidRPr="00FD7813">
        <w:rPr>
          <w:rFonts w:ascii="Arial" w:hAnsi="Arial" w:cs="Arial"/>
          <w:bCs/>
          <w:color w:val="222222"/>
          <w:sz w:val="24"/>
          <w:szCs w:val="24"/>
        </w:rPr>
        <w:t xml:space="preserve">City Power </w:t>
      </w:r>
      <w:r w:rsidR="004147BF" w:rsidRPr="00FD7813">
        <w:rPr>
          <w:rFonts w:ascii="Arial" w:hAnsi="Arial" w:cs="Arial"/>
          <w:bCs/>
          <w:color w:val="222222"/>
          <w:sz w:val="24"/>
          <w:szCs w:val="24"/>
        </w:rPr>
        <w:t>did not object to this application.</w:t>
      </w:r>
    </w:p>
    <w:p w14:paraId="20DA060A" w14:textId="77777777" w:rsidR="004147BF" w:rsidRPr="00194BC3" w:rsidRDefault="004147BF" w:rsidP="00AC1748">
      <w:pPr>
        <w:autoSpaceDE w:val="0"/>
        <w:autoSpaceDN w:val="0"/>
        <w:adjustRightInd w:val="0"/>
        <w:spacing w:after="0" w:line="480" w:lineRule="auto"/>
        <w:jc w:val="both"/>
        <w:rPr>
          <w:rFonts w:ascii="Arial" w:hAnsi="Arial" w:cs="Arial"/>
          <w:color w:val="222222"/>
          <w:sz w:val="24"/>
          <w:szCs w:val="24"/>
        </w:rPr>
      </w:pPr>
    </w:p>
    <w:p w14:paraId="4A1FB609" w14:textId="6ED7EAD9" w:rsidR="004147BF" w:rsidRPr="00FD7813" w:rsidRDefault="00FD7813" w:rsidP="00FD7813">
      <w:pPr>
        <w:autoSpaceDE w:val="0"/>
        <w:autoSpaceDN w:val="0"/>
        <w:adjustRightInd w:val="0"/>
        <w:spacing w:after="0" w:line="480" w:lineRule="auto"/>
        <w:ind w:left="720" w:hanging="360"/>
        <w:jc w:val="both"/>
        <w:rPr>
          <w:rFonts w:ascii="Arial" w:hAnsi="Arial" w:cs="Arial"/>
          <w:color w:val="222222"/>
          <w:sz w:val="24"/>
          <w:szCs w:val="24"/>
        </w:rPr>
      </w:pPr>
      <w:r w:rsidRPr="00E34BC5">
        <w:rPr>
          <w:rFonts w:ascii="Arial" w:eastAsiaTheme="minorEastAsia" w:hAnsi="Arial" w:cs="Arial"/>
          <w:color w:val="222222"/>
          <w:sz w:val="24"/>
          <w:szCs w:val="24"/>
          <w:lang w:eastAsia="en-ZA"/>
        </w:rPr>
        <w:t>15.</w:t>
      </w:r>
      <w:r w:rsidRPr="00E34BC5">
        <w:rPr>
          <w:rFonts w:ascii="Arial" w:eastAsiaTheme="minorEastAsia" w:hAnsi="Arial" w:cs="Arial"/>
          <w:color w:val="222222"/>
          <w:sz w:val="24"/>
          <w:szCs w:val="24"/>
          <w:lang w:eastAsia="en-ZA"/>
        </w:rPr>
        <w:tab/>
      </w:r>
      <w:r w:rsidR="004147BF" w:rsidRPr="00FD7813">
        <w:rPr>
          <w:rFonts w:ascii="Arial" w:hAnsi="Arial" w:cs="Arial"/>
          <w:color w:val="222222"/>
          <w:sz w:val="24"/>
          <w:szCs w:val="24"/>
        </w:rPr>
        <w:t xml:space="preserve">In January 2022 the applicant submitted its rezoning application for the </w:t>
      </w:r>
      <w:r w:rsidR="004147BF" w:rsidRPr="00FD7813">
        <w:rPr>
          <w:rFonts w:ascii="Arial" w:hAnsi="Arial" w:cs="Arial"/>
          <w:color w:val="424242"/>
          <w:sz w:val="24"/>
          <w:szCs w:val="24"/>
        </w:rPr>
        <w:t>fina</w:t>
      </w:r>
      <w:r w:rsidR="004147BF" w:rsidRPr="00FD7813">
        <w:rPr>
          <w:rFonts w:ascii="Arial" w:hAnsi="Arial" w:cs="Arial"/>
          <w:color w:val="222222"/>
          <w:sz w:val="24"/>
          <w:szCs w:val="24"/>
        </w:rPr>
        <w:t xml:space="preserve">l </w:t>
      </w:r>
      <w:r w:rsidR="004147BF" w:rsidRPr="00FD7813">
        <w:rPr>
          <w:rFonts w:ascii="Arial" w:hAnsi="Arial" w:cs="Arial"/>
          <w:color w:val="424242"/>
          <w:sz w:val="24"/>
          <w:szCs w:val="24"/>
        </w:rPr>
        <w:t xml:space="preserve">phase </w:t>
      </w:r>
      <w:r w:rsidR="004147BF" w:rsidRPr="00FD7813">
        <w:rPr>
          <w:rFonts w:ascii="Arial" w:hAnsi="Arial" w:cs="Arial"/>
          <w:color w:val="222222"/>
          <w:sz w:val="24"/>
          <w:szCs w:val="24"/>
        </w:rPr>
        <w:t xml:space="preserve">of the development in </w:t>
      </w:r>
      <w:r w:rsidR="0041067F" w:rsidRPr="00FD7813">
        <w:rPr>
          <w:rFonts w:ascii="Arial" w:hAnsi="Arial" w:cs="Arial"/>
          <w:color w:val="242021"/>
          <w:sz w:val="24"/>
          <w:szCs w:val="24"/>
        </w:rPr>
        <w:t>Wi</w:t>
      </w:r>
      <w:r w:rsidR="001D7364" w:rsidRPr="00FD7813">
        <w:rPr>
          <w:rFonts w:ascii="Arial" w:hAnsi="Arial" w:cs="Arial"/>
          <w:color w:val="242021"/>
          <w:sz w:val="24"/>
          <w:szCs w:val="24"/>
        </w:rPr>
        <w:t>lgeheuwel Extension 67 Township</w:t>
      </w:r>
      <w:r w:rsidR="004147BF" w:rsidRPr="00FD7813">
        <w:rPr>
          <w:rFonts w:ascii="Arial" w:hAnsi="Arial" w:cs="Arial"/>
          <w:color w:val="222222"/>
          <w:sz w:val="24"/>
          <w:szCs w:val="24"/>
        </w:rPr>
        <w:t>, i.e</w:t>
      </w:r>
      <w:r w:rsidR="001D7364" w:rsidRPr="00FD7813">
        <w:rPr>
          <w:rFonts w:ascii="Arial" w:hAnsi="Arial" w:cs="Arial"/>
          <w:color w:val="222222"/>
          <w:sz w:val="24"/>
          <w:szCs w:val="24"/>
        </w:rPr>
        <w:t>.</w:t>
      </w:r>
      <w:r w:rsidR="004147BF" w:rsidRPr="00FD7813">
        <w:rPr>
          <w:rFonts w:ascii="Arial" w:hAnsi="Arial" w:cs="Arial"/>
          <w:color w:val="222222"/>
          <w:sz w:val="24"/>
          <w:szCs w:val="24"/>
        </w:rPr>
        <w:t xml:space="preserve"> for the </w:t>
      </w:r>
      <w:r w:rsidR="004147BF" w:rsidRPr="00FD7813">
        <w:rPr>
          <w:rFonts w:ascii="Arial" w:hAnsi="Arial" w:cs="Arial"/>
          <w:bCs/>
          <w:color w:val="222222"/>
          <w:sz w:val="24"/>
          <w:szCs w:val="24"/>
        </w:rPr>
        <w:t>last 83</w:t>
      </w:r>
      <w:r w:rsidR="004147BF" w:rsidRPr="00FD7813">
        <w:rPr>
          <w:rFonts w:ascii="Arial" w:hAnsi="Arial" w:cs="Arial"/>
          <w:color w:val="222222"/>
          <w:sz w:val="24"/>
          <w:szCs w:val="24"/>
        </w:rPr>
        <w:t xml:space="preserve"> </w:t>
      </w:r>
      <w:r w:rsidR="004147BF" w:rsidRPr="00FD7813">
        <w:rPr>
          <w:rFonts w:ascii="Arial" w:hAnsi="Arial" w:cs="Arial"/>
          <w:bCs/>
          <w:color w:val="222222"/>
          <w:sz w:val="24"/>
          <w:szCs w:val="24"/>
        </w:rPr>
        <w:t xml:space="preserve">units out of the 280 shown on the SDP </w:t>
      </w:r>
      <w:r w:rsidR="004147BF" w:rsidRPr="00FD7813">
        <w:rPr>
          <w:rFonts w:ascii="Arial" w:hAnsi="Arial" w:cs="Arial"/>
          <w:color w:val="222222"/>
          <w:sz w:val="24"/>
          <w:szCs w:val="24"/>
        </w:rPr>
        <w:t xml:space="preserve">to be constructed in </w:t>
      </w:r>
      <w:r w:rsidR="0041067F" w:rsidRPr="00FD7813">
        <w:rPr>
          <w:rFonts w:ascii="Arial" w:hAnsi="Arial" w:cs="Arial"/>
          <w:color w:val="242021"/>
          <w:sz w:val="24"/>
          <w:szCs w:val="24"/>
        </w:rPr>
        <w:t>Wilgeheuwel Extension 67 Township</w:t>
      </w:r>
      <w:r w:rsidR="00C8676C" w:rsidRPr="00FD7813">
        <w:rPr>
          <w:rFonts w:ascii="Arial" w:hAnsi="Arial" w:cs="Arial"/>
          <w:color w:val="242021"/>
          <w:sz w:val="24"/>
          <w:szCs w:val="24"/>
        </w:rPr>
        <w:t>.</w:t>
      </w:r>
      <w:r w:rsidR="0041067F" w:rsidRPr="00FD7813">
        <w:rPr>
          <w:rFonts w:ascii="Arial" w:hAnsi="Arial" w:cs="Arial"/>
          <w:color w:val="242021"/>
          <w:sz w:val="24"/>
          <w:szCs w:val="24"/>
        </w:rPr>
        <w:t xml:space="preserve"> </w:t>
      </w:r>
    </w:p>
    <w:p w14:paraId="30ED431D" w14:textId="77777777" w:rsidR="004D4E98" w:rsidRPr="00194BC3" w:rsidRDefault="004D4E98" w:rsidP="00AC1748">
      <w:pPr>
        <w:autoSpaceDE w:val="0"/>
        <w:autoSpaceDN w:val="0"/>
        <w:adjustRightInd w:val="0"/>
        <w:spacing w:after="0" w:line="480" w:lineRule="auto"/>
        <w:jc w:val="both"/>
        <w:rPr>
          <w:rFonts w:ascii="Arial" w:hAnsi="Arial" w:cs="Arial"/>
          <w:color w:val="222222"/>
          <w:sz w:val="24"/>
          <w:szCs w:val="24"/>
        </w:rPr>
      </w:pPr>
    </w:p>
    <w:p w14:paraId="6C97CFE6" w14:textId="50A49C0C" w:rsidR="0060109C"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Pr>
          <w:rFonts w:ascii="Arial" w:eastAsiaTheme="minorEastAsia" w:hAnsi="Arial" w:cs="Arial"/>
          <w:sz w:val="24"/>
          <w:szCs w:val="24"/>
          <w:lang w:eastAsia="en-ZA"/>
        </w:rPr>
        <w:t>16.</w:t>
      </w:r>
      <w:r>
        <w:rPr>
          <w:rFonts w:ascii="Arial" w:eastAsiaTheme="minorEastAsia" w:hAnsi="Arial" w:cs="Arial"/>
          <w:sz w:val="24"/>
          <w:szCs w:val="24"/>
          <w:lang w:eastAsia="en-ZA"/>
        </w:rPr>
        <w:tab/>
      </w:r>
      <w:r w:rsidR="004147BF" w:rsidRPr="00FD7813">
        <w:rPr>
          <w:rFonts w:ascii="Arial" w:hAnsi="Arial" w:cs="Arial"/>
          <w:sz w:val="24"/>
          <w:szCs w:val="24"/>
        </w:rPr>
        <w:t xml:space="preserve">The first respondent refuses to furnish the COJ’s planning department with its positive comments relating to the applicant’s rezoning </w:t>
      </w:r>
      <w:r w:rsidR="0054490D" w:rsidRPr="00FD7813">
        <w:rPr>
          <w:rFonts w:ascii="Arial" w:hAnsi="Arial" w:cs="Arial"/>
          <w:sz w:val="24"/>
          <w:szCs w:val="24"/>
        </w:rPr>
        <w:t xml:space="preserve">in respect of </w:t>
      </w:r>
      <w:r w:rsidR="0041067F" w:rsidRPr="00FD7813">
        <w:rPr>
          <w:rFonts w:ascii="Arial" w:hAnsi="Arial" w:cs="Arial"/>
          <w:color w:val="242021"/>
          <w:sz w:val="24"/>
          <w:szCs w:val="24"/>
        </w:rPr>
        <w:t>Wi</w:t>
      </w:r>
      <w:r w:rsidR="00C8676C" w:rsidRPr="00FD7813">
        <w:rPr>
          <w:rFonts w:ascii="Arial" w:hAnsi="Arial" w:cs="Arial"/>
          <w:color w:val="242021"/>
          <w:sz w:val="24"/>
          <w:szCs w:val="24"/>
        </w:rPr>
        <w:t>lgeheuwel Extension 67 Township</w:t>
      </w:r>
      <w:r w:rsidR="0054490D" w:rsidRPr="00FD7813">
        <w:rPr>
          <w:rFonts w:ascii="Arial" w:hAnsi="Arial" w:cs="Arial"/>
          <w:sz w:val="24"/>
          <w:szCs w:val="24"/>
        </w:rPr>
        <w:t xml:space="preserve"> which is </w:t>
      </w:r>
      <w:r w:rsidR="0060109C" w:rsidRPr="00FD7813">
        <w:rPr>
          <w:rFonts w:ascii="Arial" w:hAnsi="Arial" w:cs="Arial"/>
          <w:sz w:val="24"/>
          <w:szCs w:val="24"/>
        </w:rPr>
        <w:t>the final 83 dwelling units to be erected and which will bri</w:t>
      </w:r>
      <w:r w:rsidR="000F5DE1" w:rsidRPr="00FD7813">
        <w:rPr>
          <w:rFonts w:ascii="Arial" w:hAnsi="Arial" w:cs="Arial"/>
          <w:sz w:val="24"/>
          <w:szCs w:val="24"/>
        </w:rPr>
        <w:t>ng the total development thereon</w:t>
      </w:r>
      <w:r w:rsidR="0060109C" w:rsidRPr="00FD7813">
        <w:rPr>
          <w:rFonts w:ascii="Arial" w:hAnsi="Arial" w:cs="Arial"/>
          <w:sz w:val="24"/>
          <w:szCs w:val="24"/>
        </w:rPr>
        <w:t xml:space="preserve"> to 280 dwelling units as shown on the SDP to which it agreed in 2017 and in respect of which it reduced the ele</w:t>
      </w:r>
      <w:r w:rsidR="000F5DE1" w:rsidRPr="00FD7813">
        <w:rPr>
          <w:rFonts w:ascii="Arial" w:hAnsi="Arial" w:cs="Arial"/>
          <w:sz w:val="24"/>
          <w:szCs w:val="24"/>
        </w:rPr>
        <w:t xml:space="preserve">ctrical capacity from 630 kVa </w:t>
      </w:r>
      <w:r w:rsidR="0060109C" w:rsidRPr="00FD7813">
        <w:rPr>
          <w:rFonts w:ascii="Arial" w:hAnsi="Arial" w:cs="Arial"/>
          <w:sz w:val="24"/>
          <w:szCs w:val="24"/>
        </w:rPr>
        <w:t xml:space="preserve"> to 500 kVa in 2017.</w:t>
      </w:r>
    </w:p>
    <w:p w14:paraId="76005F5A" w14:textId="77777777" w:rsidR="00E34BC5" w:rsidRPr="00E34BC5" w:rsidRDefault="00E34BC5" w:rsidP="00E34BC5">
      <w:pPr>
        <w:autoSpaceDE w:val="0"/>
        <w:autoSpaceDN w:val="0"/>
        <w:adjustRightInd w:val="0"/>
        <w:spacing w:after="0" w:line="480" w:lineRule="auto"/>
        <w:jc w:val="both"/>
        <w:rPr>
          <w:rFonts w:ascii="Arial" w:hAnsi="Arial" w:cs="Arial"/>
          <w:sz w:val="24"/>
          <w:szCs w:val="24"/>
        </w:rPr>
      </w:pPr>
    </w:p>
    <w:p w14:paraId="4C95A2FD" w14:textId="3EB898D9" w:rsidR="0060109C"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E34BC5">
        <w:rPr>
          <w:rFonts w:ascii="Arial" w:eastAsiaTheme="minorEastAsia" w:hAnsi="Arial" w:cs="Arial"/>
          <w:sz w:val="24"/>
          <w:szCs w:val="24"/>
          <w:lang w:eastAsia="en-ZA"/>
        </w:rPr>
        <w:t>17.</w:t>
      </w:r>
      <w:r w:rsidRPr="00E34BC5">
        <w:rPr>
          <w:rFonts w:ascii="Arial" w:eastAsiaTheme="minorEastAsia" w:hAnsi="Arial" w:cs="Arial"/>
          <w:sz w:val="24"/>
          <w:szCs w:val="24"/>
          <w:lang w:eastAsia="en-ZA"/>
        </w:rPr>
        <w:tab/>
      </w:r>
      <w:r w:rsidR="0060109C" w:rsidRPr="00FD7813">
        <w:rPr>
          <w:rFonts w:ascii="Arial" w:hAnsi="Arial" w:cs="Arial"/>
          <w:sz w:val="24"/>
          <w:szCs w:val="24"/>
        </w:rPr>
        <w:t xml:space="preserve">City Power insists that the applicant must now provide 5kVa per dwelling unit for </w:t>
      </w:r>
      <w:r w:rsidR="00EA687A" w:rsidRPr="00FD7813">
        <w:rPr>
          <w:rFonts w:ascii="Arial" w:hAnsi="Arial" w:cs="Arial"/>
          <w:sz w:val="24"/>
          <w:szCs w:val="24"/>
        </w:rPr>
        <w:t>the 280 dwelling units in X67 which is</w:t>
      </w:r>
      <w:r w:rsidR="0060109C" w:rsidRPr="00FD7813">
        <w:rPr>
          <w:rFonts w:ascii="Arial" w:hAnsi="Arial" w:cs="Arial"/>
          <w:sz w:val="24"/>
          <w:szCs w:val="24"/>
        </w:rPr>
        <w:t xml:space="preserve"> </w:t>
      </w:r>
      <w:r w:rsidR="00EA687A" w:rsidRPr="00FD7813">
        <w:rPr>
          <w:rFonts w:ascii="Arial" w:hAnsi="Arial" w:cs="Arial"/>
          <w:sz w:val="24"/>
          <w:szCs w:val="24"/>
        </w:rPr>
        <w:t>the amount stated in its policy.</w:t>
      </w:r>
    </w:p>
    <w:p w14:paraId="422B3075" w14:textId="77777777" w:rsidR="0060109C" w:rsidRPr="00194BC3" w:rsidRDefault="0060109C" w:rsidP="00AC1748">
      <w:pPr>
        <w:autoSpaceDE w:val="0"/>
        <w:autoSpaceDN w:val="0"/>
        <w:adjustRightInd w:val="0"/>
        <w:spacing w:after="0" w:line="480" w:lineRule="auto"/>
        <w:jc w:val="both"/>
        <w:rPr>
          <w:rFonts w:ascii="Arial" w:hAnsi="Arial" w:cs="Arial"/>
          <w:sz w:val="24"/>
          <w:szCs w:val="24"/>
        </w:rPr>
      </w:pPr>
    </w:p>
    <w:p w14:paraId="57260E57" w14:textId="12A3C0EF" w:rsidR="000F5DE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E34BC5">
        <w:rPr>
          <w:rFonts w:ascii="Arial" w:eastAsiaTheme="minorEastAsia" w:hAnsi="Arial" w:cs="Arial"/>
          <w:sz w:val="24"/>
          <w:szCs w:val="24"/>
          <w:lang w:eastAsia="en-ZA"/>
        </w:rPr>
        <w:t>18.</w:t>
      </w:r>
      <w:r w:rsidRPr="00E34BC5">
        <w:rPr>
          <w:rFonts w:ascii="Arial" w:eastAsiaTheme="minorEastAsia" w:hAnsi="Arial" w:cs="Arial"/>
          <w:sz w:val="24"/>
          <w:szCs w:val="24"/>
          <w:lang w:eastAsia="en-ZA"/>
        </w:rPr>
        <w:tab/>
      </w:r>
      <w:r w:rsidR="00043423" w:rsidRPr="00FD7813">
        <w:rPr>
          <w:rFonts w:ascii="Arial" w:hAnsi="Arial" w:cs="Arial"/>
          <w:sz w:val="24"/>
          <w:szCs w:val="24"/>
        </w:rPr>
        <w:t>The applicant’s case is that the applicant concluded</w:t>
      </w:r>
      <w:r w:rsidR="00043423" w:rsidRPr="00FD7813">
        <w:rPr>
          <w:rFonts w:ascii="Arial" w:hAnsi="Arial" w:cs="Arial"/>
          <w:color w:val="000000"/>
          <w:sz w:val="24"/>
          <w:szCs w:val="24"/>
        </w:rPr>
        <w:t xml:space="preserve"> a </w:t>
      </w:r>
      <w:r w:rsidR="00043423" w:rsidRPr="00FD7813">
        <w:rPr>
          <w:rFonts w:ascii="Arial" w:hAnsi="Arial" w:cs="Arial"/>
          <w:bCs/>
          <w:iCs/>
          <w:color w:val="000000"/>
          <w:sz w:val="24"/>
          <w:szCs w:val="24"/>
        </w:rPr>
        <w:t>Settlement</w:t>
      </w:r>
      <w:r w:rsidR="00043423" w:rsidRPr="00FD7813">
        <w:rPr>
          <w:rFonts w:ascii="Arial" w:hAnsi="Arial" w:cs="Arial"/>
          <w:sz w:val="24"/>
          <w:szCs w:val="24"/>
        </w:rPr>
        <w:t xml:space="preserve"> </w:t>
      </w:r>
      <w:r w:rsidR="00043423" w:rsidRPr="00FD7813">
        <w:rPr>
          <w:rFonts w:ascii="Arial" w:hAnsi="Arial" w:cs="Arial"/>
          <w:bCs/>
          <w:iCs/>
          <w:color w:val="000000"/>
          <w:sz w:val="24"/>
          <w:szCs w:val="24"/>
        </w:rPr>
        <w:t>agreement</w:t>
      </w:r>
      <w:r w:rsidR="00136CA7" w:rsidRPr="00FD7813">
        <w:rPr>
          <w:rFonts w:ascii="Arial" w:hAnsi="Arial" w:cs="Arial"/>
          <w:b/>
          <w:bCs/>
          <w:i/>
          <w:iCs/>
          <w:color w:val="000000"/>
          <w:sz w:val="24"/>
          <w:szCs w:val="24"/>
        </w:rPr>
        <w:t xml:space="preserve"> </w:t>
      </w:r>
      <w:r w:rsidR="00136CA7" w:rsidRPr="00FD7813">
        <w:rPr>
          <w:rFonts w:ascii="Arial" w:hAnsi="Arial" w:cs="Arial"/>
          <w:color w:val="000000"/>
          <w:sz w:val="24"/>
          <w:szCs w:val="24"/>
        </w:rPr>
        <w:t>on the 5</w:t>
      </w:r>
      <w:r w:rsidR="00136CA7" w:rsidRPr="00FD7813">
        <w:rPr>
          <w:rFonts w:ascii="Arial" w:hAnsi="Arial" w:cs="Arial"/>
          <w:color w:val="000000"/>
          <w:sz w:val="24"/>
          <w:szCs w:val="24"/>
          <w:vertAlign w:val="superscript"/>
        </w:rPr>
        <w:t>th</w:t>
      </w:r>
      <w:r w:rsidR="00136CA7" w:rsidRPr="00FD7813">
        <w:rPr>
          <w:rFonts w:ascii="Arial" w:hAnsi="Arial" w:cs="Arial"/>
          <w:color w:val="000000"/>
          <w:sz w:val="24"/>
          <w:szCs w:val="24"/>
        </w:rPr>
        <w:t xml:space="preserve"> December 2017</w:t>
      </w:r>
      <w:r w:rsidR="00FC4FBA" w:rsidRPr="00FD7813">
        <w:rPr>
          <w:rFonts w:ascii="Arial" w:hAnsi="Arial" w:cs="Arial"/>
          <w:color w:val="000000"/>
          <w:sz w:val="24"/>
          <w:szCs w:val="24"/>
        </w:rPr>
        <w:t xml:space="preserve"> </w:t>
      </w:r>
      <w:r w:rsidR="00136CA7" w:rsidRPr="00FD7813">
        <w:rPr>
          <w:rFonts w:ascii="Arial" w:hAnsi="Arial" w:cs="Arial"/>
          <w:color w:val="000000"/>
          <w:sz w:val="24"/>
          <w:szCs w:val="24"/>
        </w:rPr>
        <w:t>w</w:t>
      </w:r>
      <w:r w:rsidR="00AD6A72" w:rsidRPr="00FD7813">
        <w:rPr>
          <w:rFonts w:ascii="Arial" w:hAnsi="Arial" w:cs="Arial"/>
          <w:color w:val="000000"/>
          <w:sz w:val="24"/>
          <w:szCs w:val="24"/>
        </w:rPr>
        <w:t xml:space="preserve">ith the first </w:t>
      </w:r>
      <w:r w:rsidR="00043423" w:rsidRPr="00FD7813">
        <w:rPr>
          <w:rFonts w:ascii="Arial" w:hAnsi="Arial" w:cs="Arial"/>
          <w:color w:val="000000"/>
          <w:sz w:val="24"/>
          <w:szCs w:val="24"/>
        </w:rPr>
        <w:t>respondent</w:t>
      </w:r>
      <w:r w:rsidR="00FC4FBA" w:rsidRPr="00FD7813">
        <w:rPr>
          <w:rFonts w:ascii="Arial" w:hAnsi="Arial" w:cs="Arial"/>
          <w:color w:val="000000"/>
          <w:sz w:val="24"/>
          <w:szCs w:val="24"/>
        </w:rPr>
        <w:t xml:space="preserve"> which </w:t>
      </w:r>
      <w:r w:rsidR="00A1170B" w:rsidRPr="00FD7813">
        <w:rPr>
          <w:rFonts w:ascii="Arial" w:hAnsi="Arial" w:cs="Arial"/>
          <w:color w:val="000000"/>
          <w:sz w:val="24"/>
          <w:szCs w:val="24"/>
        </w:rPr>
        <w:t xml:space="preserve">agreement </w:t>
      </w:r>
      <w:r w:rsidR="00FC4FBA" w:rsidRPr="00FD7813">
        <w:rPr>
          <w:rFonts w:ascii="Arial" w:hAnsi="Arial" w:cs="Arial"/>
          <w:color w:val="000000"/>
          <w:sz w:val="24"/>
          <w:szCs w:val="24"/>
        </w:rPr>
        <w:t xml:space="preserve">was drawn by </w:t>
      </w:r>
      <w:r w:rsidR="007E1083" w:rsidRPr="00FD7813">
        <w:rPr>
          <w:rFonts w:ascii="Arial" w:hAnsi="Arial" w:cs="Arial"/>
          <w:color w:val="000000"/>
          <w:sz w:val="24"/>
          <w:szCs w:val="24"/>
        </w:rPr>
        <w:t xml:space="preserve">City Power </w:t>
      </w:r>
      <w:r w:rsidR="00FC4FBA" w:rsidRPr="00FD7813">
        <w:rPr>
          <w:rFonts w:ascii="Arial" w:hAnsi="Arial" w:cs="Arial"/>
          <w:color w:val="000000"/>
          <w:sz w:val="24"/>
          <w:szCs w:val="24"/>
        </w:rPr>
        <w:t>PTY LTD</w:t>
      </w:r>
      <w:r w:rsidR="00A1170B" w:rsidRPr="00FD7813">
        <w:rPr>
          <w:rFonts w:ascii="Arial" w:hAnsi="Arial" w:cs="Arial"/>
          <w:color w:val="000000"/>
          <w:sz w:val="24"/>
          <w:szCs w:val="24"/>
        </w:rPr>
        <w:t xml:space="preserve"> </w:t>
      </w:r>
      <w:r w:rsidR="00FC4FBA" w:rsidRPr="00FD7813">
        <w:rPr>
          <w:rFonts w:ascii="Arial" w:hAnsi="Arial" w:cs="Arial"/>
          <w:color w:val="000000"/>
          <w:sz w:val="24"/>
          <w:szCs w:val="24"/>
        </w:rPr>
        <w:t xml:space="preserve">as a result of litigation entered into between the parties in respect of </w:t>
      </w:r>
      <w:r w:rsidR="00F015BB" w:rsidRPr="00FD7813">
        <w:rPr>
          <w:rFonts w:ascii="Arial" w:hAnsi="Arial" w:cs="Arial"/>
          <w:sz w:val="24"/>
          <w:szCs w:val="24"/>
        </w:rPr>
        <w:t>Wi</w:t>
      </w:r>
      <w:r w:rsidR="000F5DE1" w:rsidRPr="00FD7813">
        <w:rPr>
          <w:rFonts w:ascii="Arial" w:hAnsi="Arial" w:cs="Arial"/>
          <w:sz w:val="24"/>
          <w:szCs w:val="24"/>
        </w:rPr>
        <w:t>lgeheuwel Extension 26 Township</w:t>
      </w:r>
      <w:r w:rsidR="00FC4FBA" w:rsidRPr="00FD7813">
        <w:rPr>
          <w:rFonts w:ascii="Arial" w:hAnsi="Arial" w:cs="Arial"/>
          <w:sz w:val="24"/>
          <w:szCs w:val="24"/>
        </w:rPr>
        <w:t>, the township immediately “next door” on which 340 units have been developed and which, by agreement with City Power, has an electrical capacity of 1,8 kVA ADMD per unit.</w:t>
      </w:r>
      <w:r w:rsidR="00A1170B" w:rsidRPr="00FD7813">
        <w:rPr>
          <w:rFonts w:ascii="Arial" w:hAnsi="Arial" w:cs="Arial"/>
          <w:sz w:val="24"/>
          <w:szCs w:val="24"/>
        </w:rPr>
        <w:t xml:space="preserve"> In terms of the said agreement which included Wilgeheuwel Extension 67 Township t</w:t>
      </w:r>
      <w:r w:rsidR="00FC4FBA" w:rsidRPr="00FD7813">
        <w:rPr>
          <w:rFonts w:ascii="Arial" w:hAnsi="Arial" w:cs="Arial"/>
          <w:sz w:val="24"/>
          <w:szCs w:val="24"/>
        </w:rPr>
        <w:t xml:space="preserve">he total electrical capacity which </w:t>
      </w:r>
      <w:r w:rsidR="007E1083" w:rsidRPr="00FD7813">
        <w:rPr>
          <w:rFonts w:ascii="Arial" w:hAnsi="Arial" w:cs="Arial"/>
          <w:sz w:val="24"/>
          <w:szCs w:val="24"/>
        </w:rPr>
        <w:t xml:space="preserve">City Power </w:t>
      </w:r>
      <w:r w:rsidR="00FC4FBA" w:rsidRPr="00FD7813">
        <w:rPr>
          <w:rFonts w:ascii="Arial" w:hAnsi="Arial" w:cs="Arial"/>
          <w:sz w:val="24"/>
          <w:szCs w:val="24"/>
        </w:rPr>
        <w:t>agreed would be allocated to</w:t>
      </w:r>
      <w:r w:rsidR="00A1170B" w:rsidRPr="00FD7813">
        <w:rPr>
          <w:rFonts w:ascii="Arial" w:hAnsi="Arial" w:cs="Arial"/>
          <w:sz w:val="24"/>
          <w:szCs w:val="24"/>
        </w:rPr>
        <w:t xml:space="preserve"> both</w:t>
      </w:r>
      <w:r w:rsidR="00FC4FBA" w:rsidRPr="00FD7813">
        <w:rPr>
          <w:rFonts w:ascii="Arial" w:hAnsi="Arial" w:cs="Arial"/>
          <w:sz w:val="24"/>
          <w:szCs w:val="24"/>
        </w:rPr>
        <w:t xml:space="preserve"> </w:t>
      </w:r>
      <w:r w:rsidR="00F015BB" w:rsidRPr="00FD7813">
        <w:rPr>
          <w:rFonts w:ascii="Arial" w:hAnsi="Arial" w:cs="Arial"/>
          <w:sz w:val="24"/>
          <w:szCs w:val="24"/>
        </w:rPr>
        <w:t>Wi</w:t>
      </w:r>
      <w:r w:rsidR="000F5DE1" w:rsidRPr="00FD7813">
        <w:rPr>
          <w:rFonts w:ascii="Arial" w:hAnsi="Arial" w:cs="Arial"/>
          <w:sz w:val="24"/>
          <w:szCs w:val="24"/>
        </w:rPr>
        <w:t>lgeheuwel Extension 26 Township</w:t>
      </w:r>
      <w:r w:rsidR="00091C65" w:rsidRPr="00FD7813">
        <w:rPr>
          <w:rFonts w:ascii="Arial" w:hAnsi="Arial" w:cs="Arial"/>
          <w:sz w:val="24"/>
          <w:szCs w:val="24"/>
        </w:rPr>
        <w:t xml:space="preserve"> </w:t>
      </w:r>
      <w:r w:rsidR="00FC4FBA" w:rsidRPr="00FD7813">
        <w:rPr>
          <w:rFonts w:ascii="Arial" w:hAnsi="Arial" w:cs="Arial"/>
          <w:sz w:val="24"/>
          <w:szCs w:val="24"/>
        </w:rPr>
        <w:t xml:space="preserve">and </w:t>
      </w:r>
      <w:r w:rsidR="0041067F" w:rsidRPr="00FD7813">
        <w:rPr>
          <w:rFonts w:ascii="Arial" w:hAnsi="Arial" w:cs="Arial"/>
          <w:color w:val="242021"/>
          <w:sz w:val="24"/>
          <w:szCs w:val="24"/>
        </w:rPr>
        <w:t xml:space="preserve">Wilgeheuwel Extension 67 Township </w:t>
      </w:r>
      <w:r w:rsidR="00FC4FBA" w:rsidRPr="00FD7813">
        <w:rPr>
          <w:rFonts w:ascii="Arial" w:hAnsi="Arial" w:cs="Arial"/>
          <w:sz w:val="24"/>
          <w:szCs w:val="24"/>
        </w:rPr>
        <w:t>was 1 130 kVA</w:t>
      </w:r>
      <w:r w:rsidR="00CA6FC5" w:rsidRPr="00FD7813">
        <w:rPr>
          <w:rFonts w:ascii="Arial" w:hAnsi="Arial" w:cs="Arial"/>
          <w:sz w:val="24"/>
          <w:szCs w:val="24"/>
        </w:rPr>
        <w:t xml:space="preserve"> </w:t>
      </w:r>
      <w:r w:rsidR="00FC4FBA" w:rsidRPr="00FD7813">
        <w:rPr>
          <w:rFonts w:ascii="Arial" w:hAnsi="Arial" w:cs="Arial"/>
          <w:sz w:val="24"/>
          <w:szCs w:val="24"/>
        </w:rPr>
        <w:t xml:space="preserve">which would be further divided into 630 kVA (for 340 units) in </w:t>
      </w:r>
      <w:r w:rsidR="00F015BB" w:rsidRPr="00FD7813">
        <w:rPr>
          <w:rFonts w:ascii="Arial" w:hAnsi="Arial" w:cs="Arial"/>
          <w:sz w:val="24"/>
          <w:szCs w:val="24"/>
        </w:rPr>
        <w:lastRenderedPageBreak/>
        <w:t xml:space="preserve">Wilgeheuwel Extension 26 Township </w:t>
      </w:r>
      <w:r w:rsidR="00091C65" w:rsidRPr="00FD7813">
        <w:rPr>
          <w:rFonts w:ascii="Arial" w:hAnsi="Arial" w:cs="Arial"/>
          <w:sz w:val="24"/>
          <w:szCs w:val="24"/>
        </w:rPr>
        <w:t xml:space="preserve"> </w:t>
      </w:r>
      <w:r w:rsidR="00FC4FBA" w:rsidRPr="00FD7813">
        <w:rPr>
          <w:rFonts w:ascii="Arial" w:hAnsi="Arial" w:cs="Arial"/>
          <w:sz w:val="24"/>
          <w:szCs w:val="24"/>
        </w:rPr>
        <w:t xml:space="preserve">and 500 kVA for </w:t>
      </w:r>
      <w:r w:rsidR="0041067F" w:rsidRPr="00FD7813">
        <w:rPr>
          <w:rFonts w:ascii="Arial" w:hAnsi="Arial" w:cs="Arial"/>
          <w:color w:val="242021"/>
          <w:sz w:val="24"/>
          <w:szCs w:val="24"/>
        </w:rPr>
        <w:t xml:space="preserve">Wilgeheuwel Extension 67 Township </w:t>
      </w:r>
      <w:r w:rsidR="00FC4FBA" w:rsidRPr="00FD7813">
        <w:rPr>
          <w:rFonts w:ascii="Arial" w:hAnsi="Arial" w:cs="Arial"/>
          <w:sz w:val="24"/>
          <w:szCs w:val="24"/>
        </w:rPr>
        <w:t>.</w:t>
      </w:r>
    </w:p>
    <w:p w14:paraId="42969A47" w14:textId="77777777" w:rsidR="000F5DE1" w:rsidRDefault="000F5DE1" w:rsidP="00AC1748">
      <w:pPr>
        <w:autoSpaceDE w:val="0"/>
        <w:autoSpaceDN w:val="0"/>
        <w:adjustRightInd w:val="0"/>
        <w:spacing w:after="0" w:line="480" w:lineRule="auto"/>
        <w:jc w:val="both"/>
        <w:rPr>
          <w:rFonts w:ascii="Arial" w:hAnsi="Arial" w:cs="Arial"/>
          <w:sz w:val="24"/>
          <w:szCs w:val="24"/>
        </w:rPr>
      </w:pPr>
    </w:p>
    <w:p w14:paraId="0492DF7C" w14:textId="56797E43" w:rsidR="004D4E98" w:rsidRPr="00FD7813" w:rsidRDefault="00FD7813" w:rsidP="00FD7813">
      <w:pPr>
        <w:autoSpaceDE w:val="0"/>
        <w:autoSpaceDN w:val="0"/>
        <w:adjustRightInd w:val="0"/>
        <w:spacing w:after="0" w:line="480" w:lineRule="auto"/>
        <w:ind w:left="720" w:hanging="360"/>
        <w:jc w:val="both"/>
        <w:rPr>
          <w:rFonts w:ascii="Arial" w:hAnsi="Arial" w:cs="Arial"/>
          <w:color w:val="000000"/>
          <w:sz w:val="24"/>
          <w:szCs w:val="24"/>
        </w:rPr>
      </w:pPr>
      <w:r w:rsidRPr="007C0DA0">
        <w:rPr>
          <w:rFonts w:ascii="Arial" w:eastAsiaTheme="minorEastAsia" w:hAnsi="Arial" w:cs="Arial"/>
          <w:color w:val="000000"/>
          <w:sz w:val="24"/>
          <w:szCs w:val="24"/>
          <w:lang w:eastAsia="en-ZA"/>
        </w:rPr>
        <w:t>19.</w:t>
      </w:r>
      <w:r w:rsidRPr="007C0DA0">
        <w:rPr>
          <w:rFonts w:ascii="Arial" w:eastAsiaTheme="minorEastAsia" w:hAnsi="Arial" w:cs="Arial"/>
          <w:color w:val="000000"/>
          <w:sz w:val="24"/>
          <w:szCs w:val="24"/>
          <w:lang w:eastAsia="en-ZA"/>
        </w:rPr>
        <w:tab/>
      </w:r>
      <w:r w:rsidR="00C8676C" w:rsidRPr="00FD7813">
        <w:rPr>
          <w:rFonts w:ascii="Arial" w:hAnsi="Arial" w:cs="Arial"/>
          <w:sz w:val="24"/>
          <w:szCs w:val="24"/>
        </w:rPr>
        <w:t xml:space="preserve">The clause which </w:t>
      </w:r>
      <w:r w:rsidR="000F5DE1" w:rsidRPr="00FD7813">
        <w:rPr>
          <w:rFonts w:ascii="Arial" w:hAnsi="Arial" w:cs="Arial"/>
          <w:sz w:val="24"/>
          <w:szCs w:val="24"/>
        </w:rPr>
        <w:t>included the latter township</w:t>
      </w:r>
      <w:r w:rsidR="00C8676C" w:rsidRPr="00FD7813">
        <w:rPr>
          <w:rFonts w:ascii="Arial" w:hAnsi="Arial" w:cs="Arial"/>
          <w:sz w:val="24"/>
          <w:szCs w:val="24"/>
        </w:rPr>
        <w:t xml:space="preserve"> in the </w:t>
      </w:r>
      <w:r w:rsidR="00136CA7" w:rsidRPr="00FD7813">
        <w:rPr>
          <w:rFonts w:ascii="Arial" w:hAnsi="Arial" w:cs="Arial"/>
          <w:color w:val="000000"/>
          <w:sz w:val="24"/>
          <w:szCs w:val="24"/>
        </w:rPr>
        <w:t>said agreement</w:t>
      </w:r>
      <w:r w:rsidR="004D4E98" w:rsidRPr="00FD7813">
        <w:rPr>
          <w:rFonts w:ascii="Arial" w:hAnsi="Arial" w:cs="Arial"/>
          <w:color w:val="000000"/>
          <w:sz w:val="24"/>
          <w:szCs w:val="24"/>
        </w:rPr>
        <w:t xml:space="preserve"> </w:t>
      </w:r>
      <w:r w:rsidR="00C8676C" w:rsidRPr="00FD7813">
        <w:rPr>
          <w:rFonts w:ascii="Arial" w:hAnsi="Arial" w:cs="Arial"/>
          <w:color w:val="000000"/>
          <w:sz w:val="24"/>
          <w:szCs w:val="24"/>
        </w:rPr>
        <w:t>is</w:t>
      </w:r>
      <w:r w:rsidR="004D4E98" w:rsidRPr="00FD7813">
        <w:rPr>
          <w:rFonts w:ascii="Arial" w:hAnsi="Arial" w:cs="Arial"/>
          <w:color w:val="000000"/>
          <w:sz w:val="24"/>
          <w:szCs w:val="24"/>
        </w:rPr>
        <w:t xml:space="preserve"> clause 2.1.4.</w:t>
      </w:r>
      <w:r w:rsidR="00136CA7" w:rsidRPr="00FD7813">
        <w:rPr>
          <w:rFonts w:ascii="Arial" w:hAnsi="Arial" w:cs="Arial"/>
          <w:color w:val="000000"/>
          <w:sz w:val="24"/>
          <w:szCs w:val="24"/>
        </w:rPr>
        <w:t xml:space="preserve"> </w:t>
      </w:r>
      <w:r w:rsidR="004D4E98" w:rsidRPr="00FD7813">
        <w:rPr>
          <w:rFonts w:ascii="Arial" w:hAnsi="Arial" w:cs="Arial"/>
          <w:color w:val="000000"/>
          <w:sz w:val="24"/>
          <w:szCs w:val="24"/>
        </w:rPr>
        <w:t xml:space="preserve">which reads as follows </w:t>
      </w:r>
    </w:p>
    <w:p w14:paraId="1A4FDB0A" w14:textId="34EA8CBC" w:rsidR="004D4E98" w:rsidRDefault="004D4E98" w:rsidP="007C0DA0">
      <w:pPr>
        <w:autoSpaceDE w:val="0"/>
        <w:autoSpaceDN w:val="0"/>
        <w:adjustRightInd w:val="0"/>
        <w:spacing w:after="0" w:line="480" w:lineRule="auto"/>
        <w:ind w:left="720"/>
        <w:jc w:val="both"/>
        <w:rPr>
          <w:rFonts w:ascii="Arial" w:hAnsi="Arial" w:cs="Arial"/>
          <w:color w:val="000000"/>
          <w:sz w:val="24"/>
          <w:szCs w:val="24"/>
        </w:rPr>
      </w:pPr>
      <w:r w:rsidRPr="004D4E98">
        <w:rPr>
          <w:rFonts w:ascii="Arial" w:hAnsi="Arial" w:cs="Arial"/>
          <w:i/>
          <w:color w:val="000000"/>
          <w:sz w:val="24"/>
          <w:szCs w:val="24"/>
        </w:rPr>
        <w:t>“ The above is required to make 630 kVa electricity capacity available for Wilgeheuwel 26 Township as well as 500kVa to future Wilgeheuwel 67  Extension Township</w:t>
      </w:r>
      <w:r>
        <w:rPr>
          <w:rFonts w:ascii="Arial" w:hAnsi="Arial" w:cs="Arial"/>
          <w:color w:val="000000"/>
          <w:sz w:val="24"/>
          <w:szCs w:val="24"/>
        </w:rPr>
        <w:t xml:space="preserve"> “</w:t>
      </w:r>
    </w:p>
    <w:p w14:paraId="2525CF08" w14:textId="77777777" w:rsidR="007C0DA0" w:rsidRDefault="007C0DA0" w:rsidP="007C0DA0">
      <w:pPr>
        <w:autoSpaceDE w:val="0"/>
        <w:autoSpaceDN w:val="0"/>
        <w:adjustRightInd w:val="0"/>
        <w:spacing w:after="0" w:line="480" w:lineRule="auto"/>
        <w:ind w:left="720"/>
        <w:jc w:val="both"/>
        <w:rPr>
          <w:rFonts w:ascii="Arial" w:hAnsi="Arial" w:cs="Arial"/>
          <w:color w:val="000000"/>
          <w:sz w:val="24"/>
          <w:szCs w:val="24"/>
        </w:rPr>
      </w:pPr>
    </w:p>
    <w:p w14:paraId="3B882875" w14:textId="21F34C78" w:rsidR="00B12601" w:rsidRPr="00FD7813" w:rsidRDefault="00FD7813" w:rsidP="00FD7813">
      <w:pPr>
        <w:spacing w:after="0" w:line="480" w:lineRule="auto"/>
        <w:ind w:left="720" w:hanging="360"/>
        <w:jc w:val="both"/>
        <w:rPr>
          <w:rFonts w:ascii="Arial" w:eastAsia="Arial Unicode MS" w:hAnsi="Arial" w:cs="Arial"/>
          <w:sz w:val="24"/>
          <w:szCs w:val="24"/>
        </w:rPr>
      </w:pPr>
      <w:r w:rsidRPr="00194BC3">
        <w:rPr>
          <w:rFonts w:ascii="Arial" w:eastAsia="Arial Unicode MS" w:hAnsi="Arial" w:cs="Arial"/>
          <w:sz w:val="24"/>
          <w:szCs w:val="24"/>
          <w:lang w:eastAsia="en-ZA"/>
        </w:rPr>
        <w:t>20.</w:t>
      </w:r>
      <w:r w:rsidRPr="00194BC3">
        <w:rPr>
          <w:rFonts w:ascii="Arial" w:eastAsia="Arial Unicode MS" w:hAnsi="Arial" w:cs="Arial"/>
          <w:sz w:val="24"/>
          <w:szCs w:val="24"/>
          <w:lang w:eastAsia="en-ZA"/>
        </w:rPr>
        <w:tab/>
      </w:r>
      <w:r w:rsidR="00B12601" w:rsidRPr="00FD7813">
        <w:rPr>
          <w:rFonts w:ascii="Arial" w:eastAsia="Arial Unicode MS" w:hAnsi="Arial" w:cs="Arial"/>
          <w:sz w:val="24"/>
          <w:szCs w:val="24"/>
        </w:rPr>
        <w:t xml:space="preserve">This provision in the agreement was agreed to by City Power despite the existence </w:t>
      </w:r>
      <w:r w:rsidR="00D0243B" w:rsidRPr="00FD7813">
        <w:rPr>
          <w:rFonts w:ascii="Arial" w:eastAsia="Arial Unicode MS" w:hAnsi="Arial" w:cs="Arial"/>
          <w:sz w:val="24"/>
          <w:szCs w:val="24"/>
        </w:rPr>
        <w:t xml:space="preserve">since 2008 </w:t>
      </w:r>
      <w:r w:rsidR="00B12601" w:rsidRPr="00FD7813">
        <w:rPr>
          <w:rFonts w:ascii="Arial" w:eastAsia="Arial Unicode MS" w:hAnsi="Arial" w:cs="Arial"/>
          <w:sz w:val="24"/>
          <w:szCs w:val="24"/>
        </w:rPr>
        <w:t>of City Power’s Township Electrical Reticulation Standard for the Underground Systems Policy (“ the policy “)</w:t>
      </w:r>
      <w:r w:rsidR="00D0243B" w:rsidRPr="00FD7813">
        <w:rPr>
          <w:rFonts w:ascii="Arial" w:eastAsia="Arial Unicode MS" w:hAnsi="Arial" w:cs="Arial"/>
          <w:sz w:val="24"/>
          <w:szCs w:val="24"/>
        </w:rPr>
        <w:t xml:space="preserve"> </w:t>
      </w:r>
      <w:r w:rsidR="00B12601" w:rsidRPr="00FD7813">
        <w:rPr>
          <w:rFonts w:ascii="Arial" w:hAnsi="Arial" w:cs="Arial"/>
          <w:sz w:val="24"/>
          <w:szCs w:val="24"/>
        </w:rPr>
        <w:t xml:space="preserve">. The COJ approved the rezoning application in respect of Wilgeheuwel Extension 26 Township. The applicant contends that the settlement agreement as prepared by City Power and presented to the applicant to sign included the subject matter before this court which is Wilgeheuwel </w:t>
      </w:r>
      <w:r w:rsidR="00B12601" w:rsidRPr="00FD7813">
        <w:rPr>
          <w:rFonts w:ascii="Arial" w:hAnsi="Arial" w:cs="Arial"/>
          <w:color w:val="242021"/>
          <w:sz w:val="24"/>
          <w:szCs w:val="24"/>
        </w:rPr>
        <w:t>Extension 67 Township</w:t>
      </w:r>
      <w:r w:rsidR="00B12601" w:rsidRPr="00FD7813">
        <w:rPr>
          <w:rFonts w:ascii="Arial" w:hAnsi="Arial" w:cs="Arial"/>
          <w:sz w:val="24"/>
          <w:szCs w:val="24"/>
        </w:rPr>
        <w:t>.</w:t>
      </w:r>
    </w:p>
    <w:p w14:paraId="629CFC4E" w14:textId="77777777" w:rsidR="00B12601" w:rsidRDefault="00B12601" w:rsidP="00AC1748">
      <w:pPr>
        <w:autoSpaceDE w:val="0"/>
        <w:autoSpaceDN w:val="0"/>
        <w:adjustRightInd w:val="0"/>
        <w:spacing w:after="0" w:line="480" w:lineRule="auto"/>
        <w:jc w:val="both"/>
        <w:rPr>
          <w:rFonts w:ascii="Arial" w:hAnsi="Arial" w:cs="Arial"/>
          <w:color w:val="000000"/>
          <w:sz w:val="24"/>
          <w:szCs w:val="24"/>
        </w:rPr>
      </w:pPr>
    </w:p>
    <w:p w14:paraId="085C824D" w14:textId="2CAF93DC" w:rsidR="00B1260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21.</w:t>
      </w:r>
      <w:r w:rsidRPr="007C0DA0">
        <w:rPr>
          <w:rFonts w:ascii="Arial" w:eastAsiaTheme="minorEastAsia" w:hAnsi="Arial" w:cs="Arial"/>
          <w:sz w:val="24"/>
          <w:szCs w:val="24"/>
          <w:lang w:eastAsia="en-ZA"/>
        </w:rPr>
        <w:tab/>
      </w:r>
      <w:r w:rsidR="00B12601" w:rsidRPr="00FD7813">
        <w:rPr>
          <w:rFonts w:ascii="Arial" w:hAnsi="Arial" w:cs="Arial"/>
          <w:sz w:val="24"/>
          <w:szCs w:val="24"/>
        </w:rPr>
        <w:t xml:space="preserve">Wilgeheuwel </w:t>
      </w:r>
      <w:r w:rsidR="00B12601" w:rsidRPr="00FD7813">
        <w:rPr>
          <w:rFonts w:ascii="Arial" w:hAnsi="Arial" w:cs="Arial"/>
          <w:color w:val="242021"/>
          <w:sz w:val="24"/>
          <w:szCs w:val="24"/>
        </w:rPr>
        <w:t>Extension 67 Township</w:t>
      </w:r>
      <w:r w:rsidR="00B12601" w:rsidRPr="00FD7813">
        <w:rPr>
          <w:rFonts w:ascii="Arial" w:hAnsi="Arial" w:cs="Arial"/>
          <w:sz w:val="24"/>
          <w:szCs w:val="24"/>
        </w:rPr>
        <w:t xml:space="preserve">, an approved township was purchased by the Applicant only after it had ensured that, by agreement with City Power, 500 kVA electrical capacity would be provided to the township through a process of approved reallocation of spare electrical capacity not required by other townships in the area. This reallocation is incorporated in the settlement agreement. </w:t>
      </w:r>
    </w:p>
    <w:p w14:paraId="504FE7A9" w14:textId="77777777" w:rsidR="00B12601" w:rsidRDefault="00B12601" w:rsidP="00AC1748">
      <w:pPr>
        <w:autoSpaceDE w:val="0"/>
        <w:autoSpaceDN w:val="0"/>
        <w:adjustRightInd w:val="0"/>
        <w:spacing w:after="0" w:line="480" w:lineRule="auto"/>
        <w:jc w:val="both"/>
        <w:rPr>
          <w:rFonts w:ascii="Arial" w:hAnsi="Arial" w:cs="Arial"/>
          <w:color w:val="000000"/>
          <w:sz w:val="24"/>
          <w:szCs w:val="24"/>
        </w:rPr>
      </w:pPr>
    </w:p>
    <w:p w14:paraId="28650BB9" w14:textId="1F918DCB" w:rsidR="00043423" w:rsidRPr="00FD7813" w:rsidRDefault="00FD7813" w:rsidP="00FD7813">
      <w:pPr>
        <w:autoSpaceDE w:val="0"/>
        <w:autoSpaceDN w:val="0"/>
        <w:adjustRightInd w:val="0"/>
        <w:spacing w:after="0" w:line="480" w:lineRule="auto"/>
        <w:ind w:left="720" w:hanging="360"/>
        <w:jc w:val="both"/>
        <w:rPr>
          <w:rFonts w:ascii="Arial" w:hAnsi="Arial" w:cs="Arial"/>
          <w:color w:val="000000"/>
          <w:sz w:val="24"/>
          <w:szCs w:val="24"/>
        </w:rPr>
      </w:pPr>
      <w:r w:rsidRPr="007C0DA0">
        <w:rPr>
          <w:rFonts w:ascii="Arial" w:eastAsiaTheme="minorEastAsia" w:hAnsi="Arial" w:cs="Arial"/>
          <w:color w:val="000000"/>
          <w:sz w:val="24"/>
          <w:szCs w:val="24"/>
          <w:lang w:eastAsia="en-ZA"/>
        </w:rPr>
        <w:t>22.</w:t>
      </w:r>
      <w:r w:rsidRPr="007C0DA0">
        <w:rPr>
          <w:rFonts w:ascii="Arial" w:eastAsiaTheme="minorEastAsia" w:hAnsi="Arial" w:cs="Arial"/>
          <w:color w:val="000000"/>
          <w:sz w:val="24"/>
          <w:szCs w:val="24"/>
          <w:lang w:eastAsia="en-ZA"/>
        </w:rPr>
        <w:tab/>
      </w:r>
      <w:r w:rsidR="007E1083" w:rsidRPr="00FD7813">
        <w:rPr>
          <w:rFonts w:ascii="Arial" w:hAnsi="Arial" w:cs="Arial"/>
          <w:color w:val="000000"/>
          <w:sz w:val="24"/>
          <w:szCs w:val="24"/>
        </w:rPr>
        <w:t xml:space="preserve">City Power </w:t>
      </w:r>
      <w:r w:rsidR="00136CA7" w:rsidRPr="00FD7813">
        <w:rPr>
          <w:rFonts w:ascii="Arial" w:hAnsi="Arial" w:cs="Arial"/>
          <w:color w:val="000000"/>
          <w:sz w:val="24"/>
          <w:szCs w:val="24"/>
        </w:rPr>
        <w:t xml:space="preserve">agreed to provide </w:t>
      </w:r>
      <w:r w:rsidR="00043423" w:rsidRPr="00FD7813">
        <w:rPr>
          <w:rFonts w:ascii="Arial" w:hAnsi="Arial" w:cs="Arial"/>
          <w:color w:val="000000"/>
          <w:sz w:val="24"/>
          <w:szCs w:val="24"/>
        </w:rPr>
        <w:t xml:space="preserve">500kVa supply of </w:t>
      </w:r>
      <w:r w:rsidR="00AD6A72" w:rsidRPr="00FD7813">
        <w:rPr>
          <w:rFonts w:ascii="Arial" w:hAnsi="Arial" w:cs="Arial"/>
          <w:color w:val="000000"/>
          <w:sz w:val="24"/>
          <w:szCs w:val="24"/>
        </w:rPr>
        <w:t>Electricity</w:t>
      </w:r>
      <w:r w:rsidR="00043423" w:rsidRPr="00FD7813">
        <w:rPr>
          <w:rFonts w:ascii="Arial" w:hAnsi="Arial" w:cs="Arial"/>
          <w:color w:val="000000"/>
          <w:sz w:val="24"/>
          <w:szCs w:val="24"/>
        </w:rPr>
        <w:t xml:space="preserve"> capacity to </w:t>
      </w:r>
      <w:r w:rsidR="0041067F" w:rsidRPr="00FD7813">
        <w:rPr>
          <w:rFonts w:ascii="Arial" w:hAnsi="Arial" w:cs="Arial"/>
          <w:color w:val="242021"/>
          <w:sz w:val="24"/>
          <w:szCs w:val="24"/>
        </w:rPr>
        <w:t xml:space="preserve">Wilgeheuwel Extension 67 Township </w:t>
      </w:r>
      <w:r w:rsidR="00A35F23" w:rsidRPr="00FD7813">
        <w:rPr>
          <w:rFonts w:ascii="Arial" w:hAnsi="Arial" w:cs="Arial"/>
          <w:color w:val="000000"/>
          <w:sz w:val="24"/>
          <w:szCs w:val="24"/>
        </w:rPr>
        <w:t xml:space="preserve"> </w:t>
      </w:r>
      <w:r w:rsidR="00AD6A72" w:rsidRPr="00FD7813">
        <w:rPr>
          <w:rFonts w:ascii="Arial" w:hAnsi="Arial" w:cs="Arial"/>
          <w:color w:val="000000"/>
          <w:sz w:val="24"/>
          <w:szCs w:val="24"/>
        </w:rPr>
        <w:t xml:space="preserve">for 280 units being (or to be) constructed </w:t>
      </w:r>
      <w:r w:rsidR="00AD6A72" w:rsidRPr="00FD7813">
        <w:rPr>
          <w:rFonts w:ascii="Arial" w:hAnsi="Arial" w:cs="Arial"/>
          <w:color w:val="000000"/>
          <w:sz w:val="24"/>
          <w:szCs w:val="24"/>
        </w:rPr>
        <w:lastRenderedPageBreak/>
        <w:t>therein in terms of the site development plan.</w:t>
      </w:r>
      <w:r w:rsidR="00136CA7" w:rsidRPr="00FD7813">
        <w:rPr>
          <w:rFonts w:ascii="Arial" w:hAnsi="Arial" w:cs="Arial"/>
          <w:color w:val="000000"/>
          <w:sz w:val="24"/>
          <w:szCs w:val="24"/>
        </w:rPr>
        <w:t xml:space="preserve"> This provision in the settlement agreement then equated to an electrical capacity of an after divers</w:t>
      </w:r>
      <w:r w:rsidR="00C8676C" w:rsidRPr="00FD7813">
        <w:rPr>
          <w:rFonts w:ascii="Arial" w:hAnsi="Arial" w:cs="Arial"/>
          <w:color w:val="000000"/>
          <w:sz w:val="24"/>
          <w:szCs w:val="24"/>
        </w:rPr>
        <w:t>ity maximum demand (ADMD) of 1.</w:t>
      </w:r>
      <w:r w:rsidR="00136CA7" w:rsidRPr="00FD7813">
        <w:rPr>
          <w:rFonts w:ascii="Arial" w:hAnsi="Arial" w:cs="Arial"/>
          <w:color w:val="000000"/>
          <w:sz w:val="24"/>
          <w:szCs w:val="24"/>
        </w:rPr>
        <w:t xml:space="preserve">785 KVA per unit </w:t>
      </w:r>
      <w:r w:rsidR="00CA6FC5" w:rsidRPr="00FD7813">
        <w:rPr>
          <w:rFonts w:ascii="Arial" w:hAnsi="Arial" w:cs="Arial"/>
          <w:color w:val="000000"/>
          <w:sz w:val="24"/>
          <w:szCs w:val="24"/>
        </w:rPr>
        <w:t>which was</w:t>
      </w:r>
      <w:r w:rsidR="00D9709C" w:rsidRPr="00FD7813">
        <w:rPr>
          <w:rFonts w:ascii="Arial" w:hAnsi="Arial" w:cs="Arial"/>
          <w:color w:val="000000"/>
          <w:sz w:val="24"/>
          <w:szCs w:val="24"/>
        </w:rPr>
        <w:t xml:space="preserve"> the </w:t>
      </w:r>
      <w:r w:rsidR="004D4E98" w:rsidRPr="00FD7813">
        <w:rPr>
          <w:rFonts w:ascii="Arial" w:hAnsi="Arial" w:cs="Arial"/>
          <w:color w:val="000000"/>
          <w:sz w:val="24"/>
          <w:szCs w:val="24"/>
        </w:rPr>
        <w:t>equivalent</w:t>
      </w:r>
      <w:r w:rsidR="00CA6FC5" w:rsidRPr="00FD7813">
        <w:rPr>
          <w:rFonts w:ascii="Arial" w:hAnsi="Arial" w:cs="Arial"/>
          <w:color w:val="000000"/>
          <w:sz w:val="24"/>
          <w:szCs w:val="24"/>
        </w:rPr>
        <w:t xml:space="preserve"> of what was approved by </w:t>
      </w:r>
      <w:r w:rsidR="007E1083" w:rsidRPr="00FD7813">
        <w:rPr>
          <w:rFonts w:ascii="Arial" w:hAnsi="Arial" w:cs="Arial"/>
          <w:color w:val="000000"/>
          <w:sz w:val="24"/>
          <w:szCs w:val="24"/>
        </w:rPr>
        <w:t xml:space="preserve">City Power </w:t>
      </w:r>
      <w:r w:rsidR="00CA6FC5" w:rsidRPr="00FD7813">
        <w:rPr>
          <w:rFonts w:ascii="Arial" w:hAnsi="Arial" w:cs="Arial"/>
          <w:color w:val="000000"/>
          <w:sz w:val="24"/>
          <w:szCs w:val="24"/>
        </w:rPr>
        <w:t xml:space="preserve">in respect of </w:t>
      </w:r>
      <w:r w:rsidR="00F015BB" w:rsidRPr="00FD7813">
        <w:rPr>
          <w:rFonts w:ascii="Arial" w:hAnsi="Arial" w:cs="Arial"/>
          <w:sz w:val="24"/>
          <w:szCs w:val="24"/>
        </w:rPr>
        <w:t>Wilgeheuwel Extension 26 Township</w:t>
      </w:r>
      <w:r w:rsidR="00091C65" w:rsidRPr="00FD7813">
        <w:rPr>
          <w:rFonts w:ascii="Arial" w:hAnsi="Arial" w:cs="Arial"/>
          <w:sz w:val="24"/>
          <w:szCs w:val="24"/>
        </w:rPr>
        <w:t>.</w:t>
      </w:r>
      <w:r w:rsidR="008B451A" w:rsidRPr="00FD7813">
        <w:rPr>
          <w:rFonts w:ascii="Arial" w:hAnsi="Arial" w:cs="Arial"/>
          <w:sz w:val="24"/>
          <w:szCs w:val="24"/>
        </w:rPr>
        <w:t xml:space="preserve"> </w:t>
      </w:r>
    </w:p>
    <w:p w14:paraId="41BE9FF8" w14:textId="77777777" w:rsidR="00CA6FC5" w:rsidRDefault="00CA6FC5" w:rsidP="00AC1748">
      <w:pPr>
        <w:autoSpaceDE w:val="0"/>
        <w:autoSpaceDN w:val="0"/>
        <w:adjustRightInd w:val="0"/>
        <w:spacing w:after="0" w:line="480" w:lineRule="auto"/>
        <w:jc w:val="both"/>
        <w:rPr>
          <w:rFonts w:ascii="Arial" w:hAnsi="Arial" w:cs="Arial"/>
          <w:color w:val="000000"/>
          <w:sz w:val="24"/>
          <w:szCs w:val="24"/>
        </w:rPr>
      </w:pPr>
    </w:p>
    <w:p w14:paraId="0C8B9B88" w14:textId="3E6645E0" w:rsidR="000924FC"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23.</w:t>
      </w:r>
      <w:r w:rsidRPr="007C0DA0">
        <w:rPr>
          <w:rFonts w:ascii="Arial" w:eastAsiaTheme="minorEastAsia" w:hAnsi="Arial" w:cs="Arial"/>
          <w:sz w:val="24"/>
          <w:szCs w:val="24"/>
          <w:lang w:eastAsia="en-ZA"/>
        </w:rPr>
        <w:tab/>
      </w:r>
      <w:r w:rsidR="000924FC" w:rsidRPr="00FD7813">
        <w:rPr>
          <w:rFonts w:ascii="Arial" w:hAnsi="Arial" w:cs="Arial"/>
          <w:sz w:val="24"/>
          <w:szCs w:val="24"/>
        </w:rPr>
        <w:t xml:space="preserve">It is impossible to separate Wilgeheuwel Extension 26 Township (for which City Power has already approved electrical capacity at 1,8kVA ADMD per unit) from </w:t>
      </w:r>
      <w:r w:rsidR="000924FC" w:rsidRPr="00FD7813">
        <w:rPr>
          <w:rFonts w:ascii="Arial" w:hAnsi="Arial" w:cs="Arial"/>
          <w:color w:val="242021"/>
          <w:sz w:val="24"/>
          <w:szCs w:val="24"/>
        </w:rPr>
        <w:t>Wilgeheuwel Extension 67 Township</w:t>
      </w:r>
      <w:r w:rsidR="000924FC" w:rsidRPr="00FD7813">
        <w:rPr>
          <w:rFonts w:ascii="Arial" w:hAnsi="Arial" w:cs="Arial"/>
          <w:sz w:val="24"/>
          <w:szCs w:val="24"/>
        </w:rPr>
        <w:t xml:space="preserve">. They are developed similarly (save for the addition of inclusionary housing in </w:t>
      </w:r>
      <w:r w:rsidR="000924FC" w:rsidRPr="00FD7813">
        <w:rPr>
          <w:rFonts w:ascii="Arial" w:hAnsi="Arial" w:cs="Arial"/>
          <w:color w:val="242021"/>
          <w:sz w:val="24"/>
          <w:szCs w:val="24"/>
        </w:rPr>
        <w:t>Wilgeheuwel Extension 67 Township</w:t>
      </w:r>
      <w:r w:rsidR="000924FC" w:rsidRPr="00FD7813">
        <w:rPr>
          <w:rFonts w:ascii="Arial" w:hAnsi="Arial" w:cs="Arial"/>
          <w:sz w:val="24"/>
          <w:szCs w:val="24"/>
        </w:rPr>
        <w:t>), the energy-saving mechanisms employed therein are the same and the developer is the same.</w:t>
      </w:r>
    </w:p>
    <w:p w14:paraId="62DA6C7F" w14:textId="77777777" w:rsidR="000924FC" w:rsidRPr="00194BC3" w:rsidRDefault="000924FC" w:rsidP="000924FC">
      <w:pPr>
        <w:autoSpaceDE w:val="0"/>
        <w:autoSpaceDN w:val="0"/>
        <w:adjustRightInd w:val="0"/>
        <w:spacing w:after="0" w:line="480" w:lineRule="auto"/>
        <w:jc w:val="both"/>
        <w:rPr>
          <w:rFonts w:ascii="Arial" w:hAnsi="Arial" w:cs="Arial"/>
          <w:sz w:val="24"/>
          <w:szCs w:val="24"/>
        </w:rPr>
      </w:pPr>
    </w:p>
    <w:p w14:paraId="708137E6" w14:textId="04F3040F" w:rsidR="000924FC"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24.</w:t>
      </w:r>
      <w:r w:rsidRPr="007C0DA0">
        <w:rPr>
          <w:rFonts w:ascii="Arial" w:eastAsiaTheme="minorEastAsia" w:hAnsi="Arial" w:cs="Arial"/>
          <w:sz w:val="24"/>
          <w:szCs w:val="24"/>
          <w:lang w:eastAsia="en-ZA"/>
        </w:rPr>
        <w:tab/>
      </w:r>
      <w:r w:rsidR="000924FC" w:rsidRPr="00FD7813">
        <w:rPr>
          <w:rFonts w:ascii="Arial" w:hAnsi="Arial" w:cs="Arial"/>
          <w:sz w:val="24"/>
          <w:szCs w:val="24"/>
        </w:rPr>
        <w:t xml:space="preserve">The applicant has employed energy-saving mechanisms within the total development of </w:t>
      </w:r>
      <w:r w:rsidR="000924FC" w:rsidRPr="00FD7813">
        <w:rPr>
          <w:rFonts w:ascii="Arial" w:hAnsi="Arial" w:cs="Arial"/>
          <w:color w:val="242021"/>
          <w:sz w:val="24"/>
          <w:szCs w:val="24"/>
        </w:rPr>
        <w:t xml:space="preserve">Wilgeheuwel Extension 67 Township </w:t>
      </w:r>
      <w:r w:rsidR="000924FC" w:rsidRPr="00FD7813">
        <w:rPr>
          <w:rFonts w:ascii="Arial" w:hAnsi="Arial" w:cs="Arial"/>
          <w:sz w:val="24"/>
          <w:szCs w:val="24"/>
        </w:rPr>
        <w:t>which are the same as in Wilgeh</w:t>
      </w:r>
      <w:r w:rsidR="0054490D" w:rsidRPr="00FD7813">
        <w:rPr>
          <w:rFonts w:ascii="Arial" w:hAnsi="Arial" w:cs="Arial"/>
          <w:sz w:val="24"/>
          <w:szCs w:val="24"/>
        </w:rPr>
        <w:t>euwel Extension 26 Township</w:t>
      </w:r>
      <w:r w:rsidR="000924FC" w:rsidRPr="00FD7813">
        <w:rPr>
          <w:rFonts w:ascii="Arial" w:hAnsi="Arial" w:cs="Arial"/>
          <w:sz w:val="24"/>
          <w:szCs w:val="24"/>
        </w:rPr>
        <w:t xml:space="preserve">. The applicant’s engineer’s actual calculation of </w:t>
      </w:r>
      <w:r w:rsidR="000924FC" w:rsidRPr="00FD7813">
        <w:rPr>
          <w:rFonts w:ascii="Arial" w:hAnsi="Arial" w:cs="Arial"/>
          <w:b/>
          <w:bCs/>
          <w:sz w:val="24"/>
          <w:szCs w:val="24"/>
        </w:rPr>
        <w:t xml:space="preserve">1,7 kVA ADMD per unit </w:t>
      </w:r>
      <w:r w:rsidR="000924FC" w:rsidRPr="00FD7813">
        <w:rPr>
          <w:rFonts w:ascii="Arial" w:hAnsi="Arial" w:cs="Arial"/>
          <w:sz w:val="24"/>
          <w:szCs w:val="24"/>
        </w:rPr>
        <w:t xml:space="preserve">was requested by City Power and was accepted as per the settlement agreement. </w:t>
      </w:r>
    </w:p>
    <w:p w14:paraId="284A64BF" w14:textId="77777777" w:rsidR="000924FC" w:rsidRPr="00194BC3" w:rsidRDefault="000924FC" w:rsidP="000924FC">
      <w:pPr>
        <w:autoSpaceDE w:val="0"/>
        <w:autoSpaceDN w:val="0"/>
        <w:adjustRightInd w:val="0"/>
        <w:spacing w:after="0" w:line="480" w:lineRule="auto"/>
        <w:jc w:val="both"/>
        <w:rPr>
          <w:rFonts w:ascii="Arial" w:hAnsi="Arial" w:cs="Arial"/>
          <w:sz w:val="24"/>
          <w:szCs w:val="24"/>
        </w:rPr>
      </w:pPr>
    </w:p>
    <w:p w14:paraId="37D4A8FB" w14:textId="71EF325C" w:rsidR="00294C1E" w:rsidRPr="00FD7813" w:rsidRDefault="00FD7813" w:rsidP="00FD7813">
      <w:pPr>
        <w:autoSpaceDE w:val="0"/>
        <w:autoSpaceDN w:val="0"/>
        <w:adjustRightInd w:val="0"/>
        <w:spacing w:after="0" w:line="480" w:lineRule="auto"/>
        <w:ind w:left="720" w:hanging="360"/>
        <w:jc w:val="both"/>
        <w:rPr>
          <w:rFonts w:ascii="Arial" w:hAnsi="Arial" w:cs="Arial"/>
          <w:bCs/>
          <w:sz w:val="24"/>
          <w:szCs w:val="24"/>
        </w:rPr>
      </w:pPr>
      <w:r w:rsidRPr="007C0DA0">
        <w:rPr>
          <w:rFonts w:ascii="Arial" w:eastAsiaTheme="minorEastAsia" w:hAnsi="Arial" w:cs="Arial"/>
          <w:bCs/>
          <w:sz w:val="24"/>
          <w:szCs w:val="24"/>
          <w:lang w:eastAsia="en-ZA"/>
        </w:rPr>
        <w:t>25.</w:t>
      </w:r>
      <w:r w:rsidRPr="007C0DA0">
        <w:rPr>
          <w:rFonts w:ascii="Arial" w:eastAsiaTheme="minorEastAsia" w:hAnsi="Arial" w:cs="Arial"/>
          <w:bCs/>
          <w:sz w:val="24"/>
          <w:szCs w:val="24"/>
          <w:lang w:eastAsia="en-ZA"/>
        </w:rPr>
        <w:tab/>
      </w:r>
      <w:r w:rsidR="00294C1E" w:rsidRPr="00FD7813">
        <w:rPr>
          <w:rFonts w:ascii="Arial" w:hAnsi="Arial" w:cs="Arial"/>
          <w:sz w:val="24"/>
          <w:szCs w:val="24"/>
        </w:rPr>
        <w:t xml:space="preserve">The applicant </w:t>
      </w:r>
      <w:r w:rsidR="00294C1E" w:rsidRPr="00FD7813">
        <w:rPr>
          <w:rFonts w:ascii="Arial" w:hAnsi="Arial" w:cs="Arial"/>
          <w:bCs/>
          <w:sz w:val="24"/>
          <w:szCs w:val="24"/>
        </w:rPr>
        <w:t xml:space="preserve">already had approval from the COJ and City Power for the erection of 197 units </w:t>
      </w:r>
      <w:r w:rsidR="00294C1E" w:rsidRPr="00FD7813">
        <w:rPr>
          <w:rFonts w:ascii="Arial" w:hAnsi="Arial" w:cs="Arial"/>
          <w:sz w:val="24"/>
          <w:szCs w:val="24"/>
        </w:rPr>
        <w:t>within the development on the property. Therefore, only</w:t>
      </w:r>
      <w:r w:rsidR="00294C1E" w:rsidRPr="00FD7813">
        <w:rPr>
          <w:rFonts w:ascii="Arial" w:hAnsi="Arial" w:cs="Arial"/>
          <w:bCs/>
          <w:sz w:val="24"/>
          <w:szCs w:val="24"/>
        </w:rPr>
        <w:t xml:space="preserve"> </w:t>
      </w:r>
      <w:r w:rsidR="00294C1E" w:rsidRPr="00FD7813">
        <w:rPr>
          <w:rFonts w:ascii="Arial" w:hAnsi="Arial" w:cs="Arial"/>
          <w:sz w:val="24"/>
          <w:szCs w:val="24"/>
        </w:rPr>
        <w:t>an additional 83 units were required to be considered by City Power. The stated purpose of the amended rezoning application was to reduce the market units to 187 units and to add 93 “</w:t>
      </w:r>
      <w:r w:rsidR="00294C1E" w:rsidRPr="00FD7813">
        <w:rPr>
          <w:rFonts w:ascii="Arial" w:hAnsi="Arial" w:cs="Arial"/>
          <w:i/>
          <w:iCs/>
          <w:sz w:val="24"/>
          <w:szCs w:val="24"/>
        </w:rPr>
        <w:t>inclusionary units</w:t>
      </w:r>
      <w:r w:rsidR="00294C1E" w:rsidRPr="00FD7813">
        <w:rPr>
          <w:rFonts w:ascii="Arial" w:hAnsi="Arial" w:cs="Arial"/>
          <w:sz w:val="24"/>
          <w:szCs w:val="24"/>
        </w:rPr>
        <w:t>” thereto.</w:t>
      </w:r>
    </w:p>
    <w:p w14:paraId="074D341B" w14:textId="77777777" w:rsidR="00294C1E" w:rsidRDefault="00294C1E" w:rsidP="00AC1748">
      <w:pPr>
        <w:autoSpaceDE w:val="0"/>
        <w:autoSpaceDN w:val="0"/>
        <w:adjustRightInd w:val="0"/>
        <w:spacing w:after="0" w:line="480" w:lineRule="auto"/>
        <w:jc w:val="both"/>
        <w:rPr>
          <w:rFonts w:ascii="Arial" w:hAnsi="Arial" w:cs="Arial"/>
          <w:color w:val="000000"/>
          <w:sz w:val="24"/>
          <w:szCs w:val="24"/>
        </w:rPr>
      </w:pPr>
    </w:p>
    <w:p w14:paraId="28F0F599" w14:textId="514833B5" w:rsidR="00294C1E"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lastRenderedPageBreak/>
        <w:t>26.</w:t>
      </w:r>
      <w:r w:rsidRPr="007C0DA0">
        <w:rPr>
          <w:rFonts w:ascii="Arial" w:eastAsiaTheme="minorEastAsia" w:hAnsi="Arial" w:cs="Arial"/>
          <w:sz w:val="24"/>
          <w:szCs w:val="24"/>
          <w:lang w:eastAsia="en-ZA"/>
        </w:rPr>
        <w:tab/>
      </w:r>
      <w:r w:rsidR="00294C1E" w:rsidRPr="00FD7813">
        <w:rPr>
          <w:rFonts w:ascii="Arial" w:hAnsi="Arial" w:cs="Arial"/>
          <w:sz w:val="24"/>
          <w:szCs w:val="24"/>
        </w:rPr>
        <w:t>City Power refuses to issue positive comments in respect of the inclusionary units unless the applicant provides no less t</w:t>
      </w:r>
      <w:r w:rsidR="0054490D" w:rsidRPr="00FD7813">
        <w:rPr>
          <w:rFonts w:ascii="Arial" w:hAnsi="Arial" w:cs="Arial"/>
          <w:sz w:val="24"/>
          <w:szCs w:val="24"/>
        </w:rPr>
        <w:t>han 5kVa ADMD per unit as per “</w:t>
      </w:r>
      <w:r w:rsidR="00294C1E" w:rsidRPr="00FD7813">
        <w:rPr>
          <w:rFonts w:ascii="Arial" w:hAnsi="Arial" w:cs="Arial"/>
          <w:sz w:val="24"/>
          <w:szCs w:val="24"/>
        </w:rPr>
        <w:t xml:space="preserve">the policy ”. </w:t>
      </w:r>
    </w:p>
    <w:p w14:paraId="0B752AA0" w14:textId="77777777" w:rsidR="00294C1E" w:rsidRDefault="00294C1E" w:rsidP="00AC1748">
      <w:pPr>
        <w:autoSpaceDE w:val="0"/>
        <w:autoSpaceDN w:val="0"/>
        <w:adjustRightInd w:val="0"/>
        <w:spacing w:after="0" w:line="480" w:lineRule="auto"/>
        <w:jc w:val="both"/>
        <w:rPr>
          <w:rFonts w:ascii="Arial" w:hAnsi="Arial" w:cs="Arial"/>
          <w:color w:val="000000"/>
          <w:sz w:val="24"/>
          <w:szCs w:val="24"/>
        </w:rPr>
      </w:pPr>
    </w:p>
    <w:p w14:paraId="59F5B7BA" w14:textId="769C4C3B" w:rsidR="00B1260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27.</w:t>
      </w:r>
      <w:r w:rsidRPr="007C0DA0">
        <w:rPr>
          <w:rFonts w:ascii="Arial" w:eastAsiaTheme="minorEastAsia" w:hAnsi="Arial" w:cs="Arial"/>
          <w:sz w:val="24"/>
          <w:szCs w:val="24"/>
          <w:lang w:eastAsia="en-ZA"/>
        </w:rPr>
        <w:tab/>
      </w:r>
      <w:r w:rsidR="00B12601" w:rsidRPr="00FD7813">
        <w:rPr>
          <w:rFonts w:ascii="Arial" w:hAnsi="Arial" w:cs="Arial"/>
          <w:bCs/>
          <w:sz w:val="24"/>
          <w:szCs w:val="24"/>
        </w:rPr>
        <w:t xml:space="preserve">This policy </w:t>
      </w:r>
      <w:r w:rsidR="00B12601" w:rsidRPr="00FD7813">
        <w:rPr>
          <w:rFonts w:ascii="Arial" w:hAnsi="Arial" w:cs="Arial"/>
          <w:sz w:val="24"/>
          <w:szCs w:val="24"/>
        </w:rPr>
        <w:t xml:space="preserve">has neither been publicly participated nor adopted by the Council of the COJ. Furthermore, in terms of its own language, its manifest purpose is </w:t>
      </w:r>
      <w:r w:rsidR="00B12601" w:rsidRPr="00FD7813">
        <w:rPr>
          <w:rFonts w:ascii="Arial" w:hAnsi="Arial" w:cs="Arial"/>
          <w:i/>
          <w:iCs/>
          <w:sz w:val="24"/>
          <w:szCs w:val="24"/>
        </w:rPr>
        <w:t xml:space="preserve">to </w:t>
      </w:r>
      <w:r w:rsidR="00B12601" w:rsidRPr="00FD7813">
        <w:rPr>
          <w:rFonts w:ascii="Arial" w:hAnsi="Arial" w:cs="Arial"/>
          <w:bCs/>
          <w:i/>
          <w:iCs/>
          <w:sz w:val="24"/>
          <w:szCs w:val="24"/>
        </w:rPr>
        <w:t xml:space="preserve">guide </w:t>
      </w:r>
      <w:r w:rsidR="00B12601" w:rsidRPr="00FD7813">
        <w:rPr>
          <w:rFonts w:ascii="Arial" w:hAnsi="Arial" w:cs="Arial"/>
          <w:i/>
          <w:iCs/>
          <w:sz w:val="24"/>
          <w:szCs w:val="24"/>
        </w:rPr>
        <w:t>both private developers and</w:t>
      </w:r>
      <w:r w:rsidR="00B12601" w:rsidRPr="00FD7813">
        <w:rPr>
          <w:rFonts w:ascii="Arial" w:hAnsi="Arial" w:cs="Arial"/>
          <w:sz w:val="24"/>
          <w:szCs w:val="24"/>
        </w:rPr>
        <w:t xml:space="preserve"> </w:t>
      </w:r>
      <w:r w:rsidR="00B12601" w:rsidRPr="00FD7813">
        <w:rPr>
          <w:rFonts w:ascii="Arial" w:hAnsi="Arial" w:cs="Arial"/>
          <w:i/>
          <w:iCs/>
          <w:sz w:val="24"/>
          <w:szCs w:val="24"/>
        </w:rPr>
        <w:t>the first respondent regarding City Power policies and standard methods of</w:t>
      </w:r>
      <w:r w:rsidR="00B12601" w:rsidRPr="00FD7813">
        <w:rPr>
          <w:rFonts w:ascii="Arial" w:hAnsi="Arial" w:cs="Arial"/>
          <w:sz w:val="24"/>
          <w:szCs w:val="24"/>
        </w:rPr>
        <w:t xml:space="preserve"> </w:t>
      </w:r>
      <w:r w:rsidR="00B12601" w:rsidRPr="00FD7813">
        <w:rPr>
          <w:rFonts w:ascii="Arial" w:hAnsi="Arial" w:cs="Arial"/>
          <w:i/>
          <w:iCs/>
          <w:sz w:val="24"/>
          <w:szCs w:val="24"/>
        </w:rPr>
        <w:t>work undertaken and to declare the level of service to which the designs are</w:t>
      </w:r>
      <w:r w:rsidR="00B12601" w:rsidRPr="00FD7813">
        <w:rPr>
          <w:rFonts w:ascii="Arial" w:hAnsi="Arial" w:cs="Arial"/>
          <w:sz w:val="24"/>
          <w:szCs w:val="24"/>
        </w:rPr>
        <w:t xml:space="preserve"> </w:t>
      </w:r>
      <w:r w:rsidR="00B12601" w:rsidRPr="00FD7813">
        <w:rPr>
          <w:rFonts w:ascii="Arial" w:hAnsi="Arial" w:cs="Arial"/>
          <w:i/>
          <w:iCs/>
          <w:sz w:val="24"/>
          <w:szCs w:val="24"/>
        </w:rPr>
        <w:t>accepted</w:t>
      </w:r>
      <w:r w:rsidR="00B12601" w:rsidRPr="00FD7813">
        <w:rPr>
          <w:rFonts w:ascii="Arial" w:hAnsi="Arial" w:cs="Arial"/>
          <w:sz w:val="24"/>
          <w:szCs w:val="24"/>
        </w:rPr>
        <w:t>.</w:t>
      </w:r>
    </w:p>
    <w:p w14:paraId="7FC2C4C5" w14:textId="77777777" w:rsidR="0046599F" w:rsidRDefault="0046599F" w:rsidP="00AC1748">
      <w:pPr>
        <w:autoSpaceDE w:val="0"/>
        <w:autoSpaceDN w:val="0"/>
        <w:adjustRightInd w:val="0"/>
        <w:spacing w:after="0" w:line="480" w:lineRule="auto"/>
        <w:jc w:val="both"/>
        <w:rPr>
          <w:rFonts w:ascii="Arial" w:hAnsi="Arial" w:cs="Arial"/>
          <w:sz w:val="24"/>
          <w:szCs w:val="24"/>
        </w:rPr>
      </w:pPr>
    </w:p>
    <w:p w14:paraId="56377187" w14:textId="19C798CC" w:rsidR="004423E6" w:rsidRPr="00FD7813" w:rsidRDefault="00FD7813" w:rsidP="00FD7813">
      <w:pPr>
        <w:spacing w:after="0" w:line="480" w:lineRule="auto"/>
        <w:ind w:left="720" w:hanging="360"/>
        <w:jc w:val="both"/>
        <w:rPr>
          <w:rFonts w:ascii="Arial" w:hAnsi="Arial" w:cs="Arial"/>
          <w:sz w:val="24"/>
          <w:szCs w:val="24"/>
        </w:rPr>
      </w:pPr>
      <w:r>
        <w:rPr>
          <w:rFonts w:ascii="Arial" w:eastAsiaTheme="minorEastAsia" w:hAnsi="Arial" w:cs="Arial"/>
          <w:sz w:val="24"/>
          <w:szCs w:val="24"/>
          <w:lang w:eastAsia="en-ZA"/>
        </w:rPr>
        <w:t>28.</w:t>
      </w:r>
      <w:r>
        <w:rPr>
          <w:rFonts w:ascii="Arial" w:eastAsiaTheme="minorEastAsia" w:hAnsi="Arial" w:cs="Arial"/>
          <w:sz w:val="24"/>
          <w:szCs w:val="24"/>
          <w:lang w:eastAsia="en-ZA"/>
        </w:rPr>
        <w:tab/>
      </w:r>
      <w:r w:rsidR="00FB1058" w:rsidRPr="00FD7813">
        <w:rPr>
          <w:rFonts w:ascii="Arial" w:eastAsia="Arial Unicode MS" w:hAnsi="Arial" w:cs="Arial"/>
          <w:sz w:val="24"/>
          <w:szCs w:val="24"/>
        </w:rPr>
        <w:t xml:space="preserve">City Power now requires the applicant to build additional capacity </w:t>
      </w:r>
      <w:r w:rsidR="00FB1058" w:rsidRPr="00FD7813">
        <w:rPr>
          <w:rFonts w:ascii="Arial" w:hAnsi="Arial" w:cs="Arial"/>
          <w:color w:val="242021"/>
          <w:sz w:val="24"/>
          <w:szCs w:val="24"/>
        </w:rPr>
        <w:t xml:space="preserve">for the proposed remaining 83 Units of the 280 units in respect Wilgeheuwel Extension 67 Township </w:t>
      </w:r>
      <w:r w:rsidR="000924FC" w:rsidRPr="00FD7813">
        <w:rPr>
          <w:rFonts w:ascii="Arial" w:hAnsi="Arial" w:cs="Arial"/>
          <w:color w:val="242021"/>
          <w:sz w:val="24"/>
          <w:szCs w:val="24"/>
        </w:rPr>
        <w:t xml:space="preserve">to comply with “ the policy “ </w:t>
      </w:r>
      <w:r w:rsidR="00FB1058" w:rsidRPr="00FD7813">
        <w:rPr>
          <w:rFonts w:ascii="Arial" w:eastAsia="Arial Unicode MS" w:hAnsi="Arial" w:cs="Arial"/>
          <w:sz w:val="24"/>
          <w:szCs w:val="24"/>
        </w:rPr>
        <w:t xml:space="preserve">despite the applicant having installed external engineering services in excess of R13 million over both Wilgeheuwel Extension 26 Township and Wilgeheuwel Extension 67 Township as per the settlement agreement.  </w:t>
      </w:r>
      <w:r w:rsidR="004423E6" w:rsidRPr="00FD7813">
        <w:rPr>
          <w:rFonts w:ascii="Arial" w:hAnsi="Arial" w:cs="Arial"/>
          <w:sz w:val="24"/>
          <w:szCs w:val="24"/>
        </w:rPr>
        <w:t>This requirement by City Power is extortionist conduct because such increased capacity will benefit Cit</w:t>
      </w:r>
      <w:r w:rsidR="001F1DE2" w:rsidRPr="00FD7813">
        <w:rPr>
          <w:rFonts w:ascii="Arial" w:hAnsi="Arial" w:cs="Arial"/>
          <w:sz w:val="24"/>
          <w:szCs w:val="24"/>
        </w:rPr>
        <w:t>y Power in “spare electricity “</w:t>
      </w:r>
      <w:r w:rsidR="004423E6" w:rsidRPr="00FD7813">
        <w:rPr>
          <w:rFonts w:ascii="Arial" w:hAnsi="Arial" w:cs="Arial"/>
          <w:sz w:val="24"/>
          <w:szCs w:val="24"/>
        </w:rPr>
        <w:t>which City Power will use at the expense of the applicant in other developments.</w:t>
      </w:r>
    </w:p>
    <w:p w14:paraId="4702D236" w14:textId="77777777" w:rsidR="00F64CAC" w:rsidRPr="00194BC3" w:rsidRDefault="00F64CAC" w:rsidP="00F64CAC">
      <w:pPr>
        <w:autoSpaceDE w:val="0"/>
        <w:autoSpaceDN w:val="0"/>
        <w:adjustRightInd w:val="0"/>
        <w:spacing w:after="0" w:line="480" w:lineRule="auto"/>
        <w:jc w:val="both"/>
        <w:rPr>
          <w:rFonts w:ascii="Arial" w:hAnsi="Arial" w:cs="Arial"/>
          <w:sz w:val="24"/>
          <w:szCs w:val="24"/>
        </w:rPr>
      </w:pPr>
    </w:p>
    <w:p w14:paraId="524749B1" w14:textId="76D2E20D" w:rsidR="00F64CAC"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29.</w:t>
      </w:r>
      <w:r w:rsidRPr="007C0DA0">
        <w:rPr>
          <w:rFonts w:ascii="Arial" w:eastAsiaTheme="minorEastAsia" w:hAnsi="Arial" w:cs="Arial"/>
          <w:sz w:val="24"/>
          <w:szCs w:val="24"/>
          <w:lang w:eastAsia="en-ZA"/>
        </w:rPr>
        <w:tab/>
      </w:r>
      <w:r w:rsidR="00F64CAC" w:rsidRPr="00FD7813">
        <w:rPr>
          <w:rFonts w:ascii="Arial" w:hAnsi="Arial" w:cs="Arial"/>
          <w:sz w:val="24"/>
          <w:szCs w:val="24"/>
        </w:rPr>
        <w:t xml:space="preserve">City Power has departed from </w:t>
      </w:r>
      <w:r w:rsidR="00294C1E" w:rsidRPr="00FD7813">
        <w:rPr>
          <w:rFonts w:ascii="Arial" w:hAnsi="Arial" w:cs="Arial"/>
          <w:sz w:val="24"/>
          <w:szCs w:val="24"/>
        </w:rPr>
        <w:t>“</w:t>
      </w:r>
      <w:r w:rsidR="00F64CAC" w:rsidRPr="00FD7813">
        <w:rPr>
          <w:rFonts w:ascii="Arial" w:hAnsi="Arial" w:cs="Arial"/>
          <w:sz w:val="24"/>
          <w:szCs w:val="24"/>
        </w:rPr>
        <w:t xml:space="preserve">the policy “in respect of Wilgeheuwel Extension 26 Township, based on </w:t>
      </w:r>
      <w:r w:rsidR="00F64CAC" w:rsidRPr="00FD7813">
        <w:rPr>
          <w:rFonts w:ascii="Arial" w:hAnsi="Arial" w:cs="Arial"/>
          <w:bCs/>
          <w:sz w:val="24"/>
          <w:szCs w:val="24"/>
        </w:rPr>
        <w:t>its acceptance of the applicant’s engineer’s</w:t>
      </w:r>
      <w:r w:rsidR="00F64CAC" w:rsidRPr="00FD7813">
        <w:rPr>
          <w:rFonts w:ascii="Arial" w:hAnsi="Arial" w:cs="Arial"/>
          <w:sz w:val="24"/>
          <w:szCs w:val="24"/>
        </w:rPr>
        <w:t xml:space="preserve"> </w:t>
      </w:r>
      <w:r w:rsidR="00F64CAC" w:rsidRPr="00FD7813">
        <w:rPr>
          <w:rFonts w:ascii="Arial" w:hAnsi="Arial" w:cs="Arial"/>
          <w:bCs/>
          <w:sz w:val="24"/>
          <w:szCs w:val="24"/>
        </w:rPr>
        <w:t>actual ADMD calculations. City Power is not bound by “the policy “and</w:t>
      </w:r>
      <w:r w:rsidR="00F64CAC" w:rsidRPr="00FD7813">
        <w:rPr>
          <w:rFonts w:ascii="Arial" w:hAnsi="Arial" w:cs="Arial"/>
          <w:sz w:val="24"/>
          <w:szCs w:val="24"/>
        </w:rPr>
        <w:t xml:space="preserve"> may (and in fact does) depart therefrom where good cause exists.</w:t>
      </w:r>
    </w:p>
    <w:p w14:paraId="144C1D0A" w14:textId="77777777" w:rsidR="00F64CAC" w:rsidRPr="004423E6" w:rsidRDefault="00F64CAC" w:rsidP="004423E6">
      <w:pPr>
        <w:pStyle w:val="ListParagraph"/>
        <w:spacing w:after="0" w:line="480" w:lineRule="auto"/>
        <w:ind w:left="0"/>
        <w:jc w:val="both"/>
        <w:rPr>
          <w:rFonts w:ascii="Arial" w:eastAsia="Arial Unicode MS" w:hAnsi="Arial" w:cs="Arial"/>
          <w:sz w:val="24"/>
          <w:szCs w:val="24"/>
        </w:rPr>
      </w:pPr>
    </w:p>
    <w:p w14:paraId="35EC67A8" w14:textId="4888F271" w:rsidR="009628EC"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lastRenderedPageBreak/>
        <w:t>30.</w:t>
      </w:r>
      <w:r w:rsidRPr="007C0DA0">
        <w:rPr>
          <w:rFonts w:ascii="Arial" w:eastAsiaTheme="minorEastAsia" w:hAnsi="Arial" w:cs="Arial"/>
          <w:sz w:val="24"/>
          <w:szCs w:val="24"/>
          <w:lang w:eastAsia="en-ZA"/>
        </w:rPr>
        <w:tab/>
      </w:r>
      <w:r w:rsidR="001128FC" w:rsidRPr="00FD7813">
        <w:rPr>
          <w:rFonts w:ascii="Arial" w:hAnsi="Arial" w:cs="Arial"/>
          <w:sz w:val="24"/>
          <w:szCs w:val="24"/>
        </w:rPr>
        <w:t xml:space="preserve">The applicant is aware of the constant tripping experienced by residents in the development </w:t>
      </w:r>
      <w:r w:rsidR="00DA6A60" w:rsidRPr="00FD7813">
        <w:rPr>
          <w:rFonts w:ascii="Arial" w:hAnsi="Arial" w:cs="Arial"/>
          <w:sz w:val="24"/>
          <w:szCs w:val="24"/>
        </w:rPr>
        <w:t>in particular the retirement village know a</w:t>
      </w:r>
      <w:r w:rsidR="00EA687A" w:rsidRPr="00FD7813">
        <w:rPr>
          <w:rFonts w:ascii="Arial" w:hAnsi="Arial" w:cs="Arial"/>
          <w:sz w:val="24"/>
          <w:szCs w:val="24"/>
        </w:rPr>
        <w:t>s Bushy Park Retirement Village.</w:t>
      </w:r>
      <w:r w:rsidR="001128FC" w:rsidRPr="00FD7813">
        <w:rPr>
          <w:rFonts w:ascii="Arial" w:hAnsi="Arial" w:cs="Arial"/>
          <w:sz w:val="24"/>
          <w:szCs w:val="24"/>
        </w:rPr>
        <w:t xml:space="preserve"> </w:t>
      </w:r>
      <w:r w:rsidR="00DA6A60" w:rsidRPr="00FD7813">
        <w:rPr>
          <w:rFonts w:ascii="Arial" w:hAnsi="Arial" w:cs="Arial"/>
          <w:sz w:val="24"/>
          <w:szCs w:val="24"/>
        </w:rPr>
        <w:t>A</w:t>
      </w:r>
      <w:r w:rsidR="001128FC" w:rsidRPr="00FD7813">
        <w:rPr>
          <w:rFonts w:ascii="Arial" w:hAnsi="Arial" w:cs="Arial"/>
          <w:sz w:val="24"/>
          <w:szCs w:val="24"/>
        </w:rPr>
        <w:t>ccording to the applicants engineer this is not as a result of reduced capacity.</w:t>
      </w:r>
      <w:r w:rsidR="00D17270" w:rsidRPr="00FD7813">
        <w:rPr>
          <w:rFonts w:ascii="Arial" w:hAnsi="Arial" w:cs="Arial"/>
          <w:sz w:val="24"/>
          <w:szCs w:val="24"/>
        </w:rPr>
        <w:t xml:space="preserve"> This is a </w:t>
      </w:r>
      <w:r w:rsidR="0054490D" w:rsidRPr="00FD7813">
        <w:rPr>
          <w:rFonts w:ascii="Arial" w:hAnsi="Arial" w:cs="Arial"/>
          <w:sz w:val="24"/>
          <w:szCs w:val="24"/>
        </w:rPr>
        <w:t>“phenomenon”</w:t>
      </w:r>
      <w:r w:rsidR="00D17270" w:rsidRPr="00FD7813">
        <w:rPr>
          <w:rFonts w:ascii="Arial" w:hAnsi="Arial" w:cs="Arial"/>
          <w:sz w:val="24"/>
          <w:szCs w:val="24"/>
        </w:rPr>
        <w:t xml:space="preserve"> and is due to power outages from Eskom. </w:t>
      </w:r>
    </w:p>
    <w:p w14:paraId="2CFE49CE" w14:textId="77777777" w:rsidR="0046599F" w:rsidRDefault="0046599F" w:rsidP="00A1170B">
      <w:pPr>
        <w:autoSpaceDE w:val="0"/>
        <w:autoSpaceDN w:val="0"/>
        <w:adjustRightInd w:val="0"/>
        <w:spacing w:after="0" w:line="480" w:lineRule="auto"/>
        <w:jc w:val="both"/>
        <w:rPr>
          <w:rFonts w:ascii="Arial" w:hAnsi="Arial" w:cs="Arial"/>
          <w:sz w:val="24"/>
          <w:szCs w:val="24"/>
        </w:rPr>
      </w:pPr>
    </w:p>
    <w:p w14:paraId="721F38B6" w14:textId="5F96D392" w:rsidR="00A1170B"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31.</w:t>
      </w:r>
      <w:r w:rsidRPr="007C0DA0">
        <w:rPr>
          <w:rFonts w:ascii="Arial" w:eastAsiaTheme="minorEastAsia" w:hAnsi="Arial" w:cs="Arial"/>
          <w:sz w:val="24"/>
          <w:szCs w:val="24"/>
          <w:lang w:eastAsia="en-ZA"/>
        </w:rPr>
        <w:tab/>
      </w:r>
      <w:r w:rsidR="00A1170B" w:rsidRPr="00FD7813">
        <w:rPr>
          <w:rFonts w:ascii="Arial" w:hAnsi="Arial" w:cs="Arial"/>
          <w:sz w:val="24"/>
          <w:szCs w:val="24"/>
        </w:rPr>
        <w:t>The applicant’s rezoning application is supported by all other internal departments of the COJ and has attracted no external objections. Without City Power’s positive comments, the COJ cannot finalise the applicant’s rezoning application.</w:t>
      </w:r>
    </w:p>
    <w:p w14:paraId="59035316" w14:textId="77777777" w:rsidR="001F1DE2" w:rsidRPr="00194BC3" w:rsidRDefault="001F1DE2" w:rsidP="00AC1748">
      <w:pPr>
        <w:autoSpaceDE w:val="0"/>
        <w:autoSpaceDN w:val="0"/>
        <w:adjustRightInd w:val="0"/>
        <w:spacing w:after="0" w:line="480" w:lineRule="auto"/>
        <w:jc w:val="both"/>
        <w:rPr>
          <w:rFonts w:ascii="Arial" w:hAnsi="Arial" w:cs="Arial"/>
          <w:sz w:val="24"/>
          <w:szCs w:val="24"/>
        </w:rPr>
      </w:pPr>
    </w:p>
    <w:p w14:paraId="7FAD22D9" w14:textId="01406D36" w:rsidR="00B65B04"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32.</w:t>
      </w:r>
      <w:r w:rsidRPr="007C0DA0">
        <w:rPr>
          <w:rFonts w:ascii="Arial" w:eastAsiaTheme="minorEastAsia" w:hAnsi="Arial" w:cs="Arial"/>
          <w:sz w:val="24"/>
          <w:szCs w:val="24"/>
          <w:lang w:eastAsia="en-ZA"/>
        </w:rPr>
        <w:tab/>
      </w:r>
      <w:r w:rsidR="008C14A2" w:rsidRPr="00FD7813">
        <w:rPr>
          <w:rFonts w:ascii="Arial" w:eastAsia="Arial Unicode MS" w:hAnsi="Arial" w:cs="Arial"/>
          <w:sz w:val="24"/>
          <w:szCs w:val="24"/>
        </w:rPr>
        <w:t>In short</w:t>
      </w:r>
      <w:r w:rsidR="00EA687A" w:rsidRPr="00FD7813">
        <w:rPr>
          <w:rFonts w:ascii="Arial" w:eastAsia="Arial Unicode MS" w:hAnsi="Arial" w:cs="Arial"/>
          <w:sz w:val="24"/>
          <w:szCs w:val="24"/>
        </w:rPr>
        <w:t>,</w:t>
      </w:r>
      <w:r w:rsidR="008C14A2" w:rsidRPr="00FD7813">
        <w:rPr>
          <w:rFonts w:ascii="Arial" w:eastAsia="Arial Unicode MS" w:hAnsi="Arial" w:cs="Arial"/>
          <w:sz w:val="24"/>
          <w:szCs w:val="24"/>
        </w:rPr>
        <w:t xml:space="preserve"> the applicant seeks</w:t>
      </w:r>
      <w:r w:rsidR="00895F1C" w:rsidRPr="00FD7813">
        <w:rPr>
          <w:rFonts w:ascii="Arial" w:eastAsia="Arial Unicode MS" w:hAnsi="Arial" w:cs="Arial"/>
          <w:sz w:val="24"/>
          <w:szCs w:val="24"/>
        </w:rPr>
        <w:t>,</w:t>
      </w:r>
      <w:r w:rsidR="008C14A2" w:rsidRPr="00FD7813">
        <w:rPr>
          <w:rFonts w:ascii="Arial" w:eastAsia="Arial Unicode MS" w:hAnsi="Arial" w:cs="Arial"/>
          <w:sz w:val="24"/>
          <w:szCs w:val="24"/>
        </w:rPr>
        <w:t xml:space="preserve"> by </w:t>
      </w:r>
      <w:r w:rsidR="00C97030" w:rsidRPr="00FD7813">
        <w:rPr>
          <w:rFonts w:ascii="Arial" w:eastAsia="Arial Unicode MS" w:hAnsi="Arial" w:cs="Arial"/>
          <w:sz w:val="24"/>
          <w:szCs w:val="24"/>
        </w:rPr>
        <w:t>way</w:t>
      </w:r>
      <w:r w:rsidR="008C14A2" w:rsidRPr="00FD7813">
        <w:rPr>
          <w:rFonts w:ascii="Arial" w:eastAsia="Arial Unicode MS" w:hAnsi="Arial" w:cs="Arial"/>
          <w:sz w:val="24"/>
          <w:szCs w:val="24"/>
        </w:rPr>
        <w:t xml:space="preserve"> of this application</w:t>
      </w:r>
      <w:r w:rsidR="00895F1C" w:rsidRPr="00FD7813">
        <w:rPr>
          <w:rFonts w:ascii="Arial" w:eastAsia="Arial Unicode MS" w:hAnsi="Arial" w:cs="Arial"/>
          <w:sz w:val="24"/>
          <w:szCs w:val="24"/>
        </w:rPr>
        <w:t xml:space="preserve">, </w:t>
      </w:r>
      <w:r w:rsidR="001F1DE2" w:rsidRPr="00FD7813">
        <w:rPr>
          <w:rFonts w:ascii="Arial" w:hAnsi="Arial" w:cs="Arial"/>
          <w:sz w:val="24"/>
          <w:szCs w:val="24"/>
        </w:rPr>
        <w:t xml:space="preserve">an approval from City Power of </w:t>
      </w:r>
      <w:r w:rsidR="001F1DE2" w:rsidRPr="00FD7813">
        <w:rPr>
          <w:rFonts w:ascii="Arial" w:hAnsi="Arial" w:cs="Arial"/>
          <w:bCs/>
          <w:sz w:val="24"/>
          <w:szCs w:val="24"/>
        </w:rPr>
        <w:t>1,785</w:t>
      </w:r>
      <w:r w:rsidR="001F1DE2" w:rsidRPr="00FD7813">
        <w:rPr>
          <w:rFonts w:ascii="Arial" w:hAnsi="Arial" w:cs="Arial"/>
          <w:sz w:val="24"/>
          <w:szCs w:val="24"/>
        </w:rPr>
        <w:t xml:space="preserve"> </w:t>
      </w:r>
      <w:r w:rsidR="001F1DE2" w:rsidRPr="00FD7813">
        <w:rPr>
          <w:rFonts w:ascii="Arial" w:hAnsi="Arial" w:cs="Arial"/>
          <w:bCs/>
          <w:sz w:val="24"/>
          <w:szCs w:val="24"/>
        </w:rPr>
        <w:t>kVA ADMD per unit</w:t>
      </w:r>
      <w:r w:rsidR="001F1DE2" w:rsidRPr="00FD7813">
        <w:rPr>
          <w:rFonts w:ascii="Arial" w:hAnsi="Arial" w:cs="Arial"/>
          <w:sz w:val="24"/>
          <w:szCs w:val="24"/>
        </w:rPr>
        <w:t xml:space="preserve"> in respect of Wilgeheuwel Extension 67 township as was the case in respect of Wilgeheuwel Extension 26 thereby </w:t>
      </w:r>
      <w:r w:rsidR="001F1DE2" w:rsidRPr="00FD7813">
        <w:rPr>
          <w:rFonts w:ascii="Arial" w:eastAsia="Arial Unicode MS" w:hAnsi="Arial" w:cs="Arial"/>
          <w:sz w:val="24"/>
          <w:szCs w:val="24"/>
        </w:rPr>
        <w:t>enforcing</w:t>
      </w:r>
      <w:r w:rsidR="008C14A2" w:rsidRPr="00FD7813">
        <w:rPr>
          <w:rFonts w:ascii="Arial" w:eastAsia="Arial Unicode MS" w:hAnsi="Arial" w:cs="Arial"/>
          <w:sz w:val="24"/>
          <w:szCs w:val="24"/>
        </w:rPr>
        <w:t xml:space="preserve"> City Powers obligation</w:t>
      </w:r>
      <w:r w:rsidR="001F1DE2" w:rsidRPr="00FD7813">
        <w:rPr>
          <w:rFonts w:ascii="Arial" w:eastAsia="Arial Unicode MS" w:hAnsi="Arial" w:cs="Arial"/>
          <w:sz w:val="24"/>
          <w:szCs w:val="24"/>
        </w:rPr>
        <w:t>s</w:t>
      </w:r>
      <w:r w:rsidR="008C14A2" w:rsidRPr="00FD7813">
        <w:rPr>
          <w:rFonts w:ascii="Arial" w:eastAsia="Arial Unicode MS" w:hAnsi="Arial" w:cs="Arial"/>
          <w:sz w:val="24"/>
          <w:szCs w:val="24"/>
        </w:rPr>
        <w:t xml:space="preserve"> which it voluntarily</w:t>
      </w:r>
      <w:r w:rsidR="00780148" w:rsidRPr="00FD7813">
        <w:rPr>
          <w:rFonts w:ascii="Arial" w:eastAsia="Arial Unicode MS" w:hAnsi="Arial" w:cs="Arial"/>
          <w:sz w:val="24"/>
          <w:szCs w:val="24"/>
        </w:rPr>
        <w:t xml:space="preserve"> </w:t>
      </w:r>
      <w:r w:rsidR="008C14A2" w:rsidRPr="00FD7813">
        <w:rPr>
          <w:rFonts w:ascii="Arial" w:eastAsia="Arial Unicode MS" w:hAnsi="Arial" w:cs="Arial"/>
          <w:sz w:val="24"/>
          <w:szCs w:val="24"/>
        </w:rPr>
        <w:t>undertook relating to the electrical capacity which it agreed to in the settlement agreement in 2017</w:t>
      </w:r>
      <w:r w:rsidR="00780148" w:rsidRPr="00FD7813">
        <w:rPr>
          <w:rFonts w:ascii="Arial" w:eastAsia="Arial Unicode MS" w:hAnsi="Arial" w:cs="Arial"/>
          <w:sz w:val="24"/>
          <w:szCs w:val="24"/>
        </w:rPr>
        <w:t xml:space="preserve"> despite the existence of “</w:t>
      </w:r>
      <w:r w:rsidR="00895F1C" w:rsidRPr="00FD7813">
        <w:rPr>
          <w:rFonts w:ascii="Arial" w:eastAsia="Arial Unicode MS" w:hAnsi="Arial" w:cs="Arial"/>
          <w:sz w:val="24"/>
          <w:szCs w:val="24"/>
        </w:rPr>
        <w:t>the policy”</w:t>
      </w:r>
      <w:r w:rsidR="008C14A2" w:rsidRPr="00FD7813">
        <w:rPr>
          <w:rFonts w:ascii="Arial" w:eastAsia="Arial Unicode MS" w:hAnsi="Arial" w:cs="Arial"/>
          <w:sz w:val="24"/>
          <w:szCs w:val="24"/>
        </w:rPr>
        <w:t>.</w:t>
      </w:r>
    </w:p>
    <w:p w14:paraId="145DC4EE" w14:textId="77777777" w:rsidR="00472709" w:rsidRDefault="00472709" w:rsidP="00AC1748">
      <w:pPr>
        <w:autoSpaceDE w:val="0"/>
        <w:autoSpaceDN w:val="0"/>
        <w:adjustRightInd w:val="0"/>
        <w:spacing w:after="0" w:line="480" w:lineRule="auto"/>
        <w:jc w:val="both"/>
        <w:rPr>
          <w:rFonts w:ascii="Arial" w:hAnsi="Arial" w:cs="Arial"/>
          <w:sz w:val="24"/>
          <w:szCs w:val="24"/>
        </w:rPr>
      </w:pPr>
    </w:p>
    <w:p w14:paraId="5F3488D6" w14:textId="5C6FD132" w:rsidR="00071F51" w:rsidRPr="00FD7813" w:rsidRDefault="00FD7813" w:rsidP="00FD7813">
      <w:pPr>
        <w:autoSpaceDE w:val="0"/>
        <w:autoSpaceDN w:val="0"/>
        <w:adjustRightInd w:val="0"/>
        <w:spacing w:after="0" w:line="480" w:lineRule="auto"/>
        <w:ind w:left="720" w:hanging="360"/>
        <w:jc w:val="both"/>
        <w:rPr>
          <w:rFonts w:ascii="Arial" w:hAnsi="Arial" w:cs="Arial"/>
          <w:sz w:val="24"/>
          <w:szCs w:val="24"/>
        </w:rPr>
      </w:pPr>
      <w:r w:rsidRPr="007C0DA0">
        <w:rPr>
          <w:rFonts w:ascii="Arial" w:eastAsiaTheme="minorEastAsia" w:hAnsi="Arial" w:cs="Arial"/>
          <w:sz w:val="24"/>
          <w:szCs w:val="24"/>
          <w:lang w:eastAsia="en-ZA"/>
        </w:rPr>
        <w:t>33.</w:t>
      </w:r>
      <w:r w:rsidRPr="007C0DA0">
        <w:rPr>
          <w:rFonts w:ascii="Arial" w:eastAsiaTheme="minorEastAsia" w:hAnsi="Arial" w:cs="Arial"/>
          <w:sz w:val="24"/>
          <w:szCs w:val="24"/>
          <w:lang w:eastAsia="en-ZA"/>
        </w:rPr>
        <w:tab/>
      </w:r>
      <w:r w:rsidR="00632E2E" w:rsidRPr="00FD7813">
        <w:rPr>
          <w:rFonts w:ascii="Arial" w:hAnsi="Arial" w:cs="Arial"/>
          <w:sz w:val="24"/>
          <w:szCs w:val="24"/>
        </w:rPr>
        <w:t>The respondent</w:t>
      </w:r>
      <w:r w:rsidR="00595334" w:rsidRPr="00FD7813">
        <w:rPr>
          <w:rFonts w:ascii="Arial" w:hAnsi="Arial" w:cs="Arial"/>
          <w:sz w:val="24"/>
          <w:szCs w:val="24"/>
        </w:rPr>
        <w:t>’</w:t>
      </w:r>
      <w:r w:rsidR="00632E2E" w:rsidRPr="00FD7813">
        <w:rPr>
          <w:rFonts w:ascii="Arial" w:hAnsi="Arial" w:cs="Arial"/>
          <w:sz w:val="24"/>
          <w:szCs w:val="24"/>
        </w:rPr>
        <w:t xml:space="preserve">s case is </w:t>
      </w:r>
      <w:r w:rsidR="00071F51" w:rsidRPr="00FD7813">
        <w:rPr>
          <w:rFonts w:ascii="Arial" w:hAnsi="Arial" w:cs="Arial"/>
          <w:sz w:val="24"/>
          <w:szCs w:val="24"/>
        </w:rPr>
        <w:t xml:space="preserve">as </w:t>
      </w:r>
      <w:r w:rsidR="00632E2E" w:rsidRPr="00FD7813">
        <w:rPr>
          <w:rFonts w:ascii="Arial" w:hAnsi="Arial" w:cs="Arial"/>
          <w:sz w:val="24"/>
          <w:szCs w:val="24"/>
        </w:rPr>
        <w:t>follows:</w:t>
      </w:r>
    </w:p>
    <w:p w14:paraId="306B25C5" w14:textId="3F8F4A99" w:rsidR="00C97030" w:rsidRDefault="00173A8E" w:rsidP="007C0DA0">
      <w:pPr>
        <w:autoSpaceDE w:val="0"/>
        <w:autoSpaceDN w:val="0"/>
        <w:adjustRightInd w:val="0"/>
        <w:spacing w:after="0" w:line="480" w:lineRule="auto"/>
        <w:ind w:left="720"/>
        <w:jc w:val="both"/>
        <w:rPr>
          <w:rFonts w:ascii="Arial" w:hAnsi="Arial" w:cs="Arial"/>
          <w:color w:val="242021"/>
          <w:sz w:val="24"/>
          <w:szCs w:val="24"/>
        </w:rPr>
      </w:pPr>
      <w:r w:rsidRPr="00194BC3">
        <w:rPr>
          <w:rFonts w:ascii="Arial" w:hAnsi="Arial" w:cs="Arial"/>
          <w:color w:val="242021"/>
          <w:sz w:val="24"/>
          <w:szCs w:val="24"/>
        </w:rPr>
        <w:t xml:space="preserve">The respondent admits that it concluded a settlement agreement with </w:t>
      </w:r>
      <w:r>
        <w:rPr>
          <w:rFonts w:ascii="Arial" w:hAnsi="Arial" w:cs="Arial"/>
          <w:color w:val="242021"/>
          <w:sz w:val="24"/>
          <w:szCs w:val="24"/>
        </w:rPr>
        <w:t xml:space="preserve">City Power </w:t>
      </w:r>
      <w:r w:rsidRPr="00194BC3">
        <w:rPr>
          <w:rFonts w:ascii="Arial" w:hAnsi="Arial" w:cs="Arial"/>
          <w:color w:val="242021"/>
          <w:sz w:val="24"/>
          <w:szCs w:val="24"/>
        </w:rPr>
        <w:t xml:space="preserve">in which agreed to supply 500 kVa to </w:t>
      </w:r>
      <w:r>
        <w:rPr>
          <w:rFonts w:ascii="Arial" w:hAnsi="Arial" w:cs="Arial"/>
          <w:color w:val="242021"/>
          <w:sz w:val="24"/>
          <w:szCs w:val="24"/>
        </w:rPr>
        <w:t>Wilgeheuwel Extension 6</w:t>
      </w:r>
      <w:r w:rsidR="00CA291C">
        <w:rPr>
          <w:rFonts w:ascii="Arial" w:hAnsi="Arial" w:cs="Arial"/>
          <w:color w:val="242021"/>
          <w:sz w:val="24"/>
          <w:szCs w:val="24"/>
        </w:rPr>
        <w:t>7 Township as per clause 2.1.4.</w:t>
      </w:r>
      <w:r>
        <w:rPr>
          <w:rFonts w:ascii="Arial" w:hAnsi="Arial" w:cs="Arial"/>
          <w:color w:val="242021"/>
          <w:sz w:val="24"/>
          <w:szCs w:val="24"/>
        </w:rPr>
        <w:t>thereof.</w:t>
      </w:r>
      <w:r w:rsidR="00C97030">
        <w:rPr>
          <w:rFonts w:ascii="Arial" w:hAnsi="Arial" w:cs="Arial"/>
          <w:color w:val="242021"/>
          <w:sz w:val="24"/>
          <w:szCs w:val="24"/>
        </w:rPr>
        <w:t xml:space="preserve">  City Power does not</w:t>
      </w:r>
      <w:r w:rsidR="00C97030" w:rsidRPr="00194BC3">
        <w:rPr>
          <w:rFonts w:ascii="Arial" w:hAnsi="Arial" w:cs="Arial"/>
          <w:color w:val="242021"/>
          <w:sz w:val="24"/>
          <w:szCs w:val="24"/>
        </w:rPr>
        <w:t xml:space="preserve"> intends to remove the allocated capacity</w:t>
      </w:r>
      <w:r w:rsidR="00C97030">
        <w:rPr>
          <w:rFonts w:ascii="Arial" w:hAnsi="Arial" w:cs="Arial"/>
          <w:color w:val="242021"/>
          <w:sz w:val="24"/>
          <w:szCs w:val="24"/>
        </w:rPr>
        <w:t xml:space="preserve"> of 500kVa. All that is required is adequate allocation as guided by the policy.</w:t>
      </w:r>
    </w:p>
    <w:p w14:paraId="63739E05" w14:textId="77777777" w:rsidR="00173A8E" w:rsidRPr="00194BC3" w:rsidRDefault="00173A8E" w:rsidP="00173A8E">
      <w:pPr>
        <w:autoSpaceDE w:val="0"/>
        <w:autoSpaceDN w:val="0"/>
        <w:adjustRightInd w:val="0"/>
        <w:spacing w:after="0" w:line="480" w:lineRule="auto"/>
        <w:jc w:val="both"/>
        <w:rPr>
          <w:rFonts w:ascii="Arial" w:hAnsi="Arial" w:cs="Arial"/>
          <w:color w:val="242021"/>
          <w:sz w:val="24"/>
          <w:szCs w:val="24"/>
        </w:rPr>
      </w:pPr>
    </w:p>
    <w:p w14:paraId="4D9F6CD5" w14:textId="19C41700" w:rsidR="00173A8E" w:rsidRPr="00194BC3" w:rsidRDefault="0020473A" w:rsidP="0020473A">
      <w:pPr>
        <w:tabs>
          <w:tab w:val="left" w:pos="1335"/>
        </w:tabs>
        <w:autoSpaceDE w:val="0"/>
        <w:autoSpaceDN w:val="0"/>
        <w:adjustRightInd w:val="0"/>
        <w:spacing w:after="0" w:line="480" w:lineRule="auto"/>
        <w:jc w:val="both"/>
        <w:rPr>
          <w:rFonts w:ascii="Arial" w:hAnsi="Arial" w:cs="Arial"/>
          <w:color w:val="242021"/>
          <w:sz w:val="24"/>
          <w:szCs w:val="24"/>
        </w:rPr>
      </w:pPr>
      <w:r>
        <w:rPr>
          <w:rFonts w:ascii="Arial" w:hAnsi="Arial" w:cs="Arial"/>
          <w:color w:val="242021"/>
          <w:sz w:val="24"/>
          <w:szCs w:val="24"/>
        </w:rPr>
        <w:tab/>
      </w:r>
    </w:p>
    <w:p w14:paraId="1DC2361D" w14:textId="38A224C6" w:rsidR="00D91B36" w:rsidRPr="00FD7813" w:rsidRDefault="00FD7813" w:rsidP="00FD7813">
      <w:pPr>
        <w:autoSpaceDE w:val="0"/>
        <w:autoSpaceDN w:val="0"/>
        <w:adjustRightInd w:val="0"/>
        <w:spacing w:after="0" w:line="480" w:lineRule="auto"/>
        <w:ind w:left="720" w:hanging="360"/>
        <w:jc w:val="both"/>
        <w:rPr>
          <w:rFonts w:ascii="Arial" w:hAnsi="Arial" w:cs="Arial"/>
          <w:color w:val="3D3A3B"/>
          <w:sz w:val="24"/>
          <w:szCs w:val="24"/>
        </w:rPr>
      </w:pPr>
      <w:r w:rsidRPr="007C0DA0">
        <w:rPr>
          <w:rFonts w:ascii="Arial" w:eastAsiaTheme="minorEastAsia" w:hAnsi="Arial" w:cs="Arial"/>
          <w:color w:val="3D3A3B"/>
          <w:sz w:val="24"/>
          <w:szCs w:val="24"/>
          <w:lang w:eastAsia="en-ZA"/>
        </w:rPr>
        <w:lastRenderedPageBreak/>
        <w:t>34.</w:t>
      </w:r>
      <w:r w:rsidRPr="007C0DA0">
        <w:rPr>
          <w:rFonts w:ascii="Arial" w:eastAsiaTheme="minorEastAsia" w:hAnsi="Arial" w:cs="Arial"/>
          <w:color w:val="3D3A3B"/>
          <w:sz w:val="24"/>
          <w:szCs w:val="24"/>
          <w:lang w:eastAsia="en-ZA"/>
        </w:rPr>
        <w:tab/>
      </w:r>
      <w:r w:rsidR="00C0580C" w:rsidRPr="00FD7813">
        <w:rPr>
          <w:rFonts w:ascii="Arial" w:hAnsi="Arial" w:cs="Arial"/>
          <w:color w:val="242021"/>
          <w:sz w:val="24"/>
          <w:szCs w:val="24"/>
        </w:rPr>
        <w:t xml:space="preserve">City Power has complied with its obligations in terms of the settlement agreement over Wilgeheuwel Extension 26 Township and has encountered adverse consequences for itself and consumers. City Power has also equally complied in respect of Wilgeheuwel Extension 67 Township specifically the 197 units of 500kVa </w:t>
      </w:r>
      <w:r w:rsidR="0067363B" w:rsidRPr="00FD7813">
        <w:rPr>
          <w:rFonts w:ascii="Arial" w:hAnsi="Arial" w:cs="Arial"/>
          <w:color w:val="242021"/>
          <w:sz w:val="24"/>
          <w:szCs w:val="24"/>
        </w:rPr>
        <w:t xml:space="preserve">Electricity </w:t>
      </w:r>
      <w:r w:rsidR="00C0580C" w:rsidRPr="00FD7813">
        <w:rPr>
          <w:rFonts w:ascii="Arial" w:hAnsi="Arial" w:cs="Arial"/>
          <w:color w:val="242021"/>
          <w:sz w:val="24"/>
          <w:szCs w:val="24"/>
        </w:rPr>
        <w:t>as per the settlement agreement. The allocation of capacity per unit will be at approximately 2,5 kVA.</w:t>
      </w:r>
      <w:r w:rsidR="00C0580C" w:rsidRPr="00FD7813">
        <w:rPr>
          <w:rFonts w:ascii="Arial" w:hAnsi="Arial" w:cs="Arial"/>
          <w:color w:val="3D3A3B"/>
          <w:sz w:val="24"/>
          <w:szCs w:val="24"/>
        </w:rPr>
        <w:t xml:space="preserve"> </w:t>
      </w:r>
      <w:r w:rsidR="00E61847" w:rsidRPr="00FD7813">
        <w:rPr>
          <w:rFonts w:ascii="Arial" w:hAnsi="Arial" w:cs="Arial"/>
          <w:color w:val="3D3A3B"/>
          <w:sz w:val="24"/>
          <w:szCs w:val="24"/>
        </w:rPr>
        <w:t>An additional 83 units as proposed by the applicant will bring the ADMD to 1.785kva which is not in compliance with the policy.</w:t>
      </w:r>
    </w:p>
    <w:p w14:paraId="2AB5C958" w14:textId="77777777" w:rsidR="00C97030" w:rsidRDefault="00C97030" w:rsidP="00AC1748">
      <w:pPr>
        <w:autoSpaceDE w:val="0"/>
        <w:autoSpaceDN w:val="0"/>
        <w:adjustRightInd w:val="0"/>
        <w:spacing w:after="0" w:line="480" w:lineRule="auto"/>
        <w:jc w:val="both"/>
        <w:rPr>
          <w:rFonts w:ascii="Arial" w:hAnsi="Arial" w:cs="Arial"/>
          <w:color w:val="3D3A3B"/>
          <w:sz w:val="24"/>
          <w:szCs w:val="24"/>
        </w:rPr>
      </w:pPr>
    </w:p>
    <w:p w14:paraId="02C41328" w14:textId="2DC659C0" w:rsidR="00C97030"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7C0DA0">
        <w:rPr>
          <w:rFonts w:ascii="Arial" w:eastAsiaTheme="minorEastAsia" w:hAnsi="Arial" w:cs="Arial"/>
          <w:color w:val="242021"/>
          <w:sz w:val="24"/>
          <w:szCs w:val="24"/>
          <w:lang w:eastAsia="en-ZA"/>
        </w:rPr>
        <w:t>35.</w:t>
      </w:r>
      <w:r w:rsidRPr="007C0DA0">
        <w:rPr>
          <w:rFonts w:ascii="Arial" w:eastAsiaTheme="minorEastAsia" w:hAnsi="Arial" w:cs="Arial"/>
          <w:color w:val="242021"/>
          <w:sz w:val="24"/>
          <w:szCs w:val="24"/>
          <w:lang w:eastAsia="en-ZA"/>
        </w:rPr>
        <w:tab/>
      </w:r>
      <w:r w:rsidR="0020473A" w:rsidRPr="00FD7813">
        <w:rPr>
          <w:rFonts w:ascii="Arial" w:hAnsi="Arial" w:cs="Arial"/>
          <w:color w:val="242021"/>
          <w:sz w:val="24"/>
          <w:szCs w:val="24"/>
        </w:rPr>
        <w:t xml:space="preserve"> T</w:t>
      </w:r>
      <w:r w:rsidR="00C97030" w:rsidRPr="00FD7813">
        <w:rPr>
          <w:rFonts w:ascii="Arial" w:hAnsi="Arial" w:cs="Arial"/>
          <w:color w:val="242021"/>
          <w:sz w:val="24"/>
          <w:szCs w:val="24"/>
        </w:rPr>
        <w:t>he settlement agreement does not set out the actual ADMD per unit of the proposed development. The allocation of 500kVa of the entire development of Wilgeheuwel Extension 67 Township as proposed by the Applicant being 280 units is no longer sufficient in light of the risks associated with reduced capacity.</w:t>
      </w:r>
    </w:p>
    <w:p w14:paraId="371F90C4" w14:textId="77777777" w:rsidR="00C97030" w:rsidRDefault="00C97030" w:rsidP="00AC1748">
      <w:pPr>
        <w:autoSpaceDE w:val="0"/>
        <w:autoSpaceDN w:val="0"/>
        <w:adjustRightInd w:val="0"/>
        <w:spacing w:after="0" w:line="480" w:lineRule="auto"/>
        <w:jc w:val="both"/>
        <w:rPr>
          <w:rFonts w:ascii="Arial" w:hAnsi="Arial" w:cs="Arial"/>
          <w:color w:val="242021"/>
          <w:sz w:val="24"/>
          <w:szCs w:val="24"/>
        </w:rPr>
      </w:pPr>
    </w:p>
    <w:p w14:paraId="675BAA70" w14:textId="22D65D27" w:rsidR="0020473A" w:rsidRPr="00FD7813" w:rsidRDefault="00FD7813" w:rsidP="00FD7813">
      <w:pPr>
        <w:autoSpaceDE w:val="0"/>
        <w:autoSpaceDN w:val="0"/>
        <w:adjustRightInd w:val="0"/>
        <w:spacing w:after="0" w:line="480" w:lineRule="auto"/>
        <w:ind w:left="720" w:hanging="360"/>
        <w:jc w:val="both"/>
        <w:rPr>
          <w:rFonts w:ascii="Arial" w:hAnsi="Arial" w:cs="Arial"/>
          <w:color w:val="242122"/>
          <w:sz w:val="24"/>
          <w:szCs w:val="24"/>
        </w:rPr>
      </w:pPr>
      <w:r w:rsidRPr="007C0DA0">
        <w:rPr>
          <w:rFonts w:ascii="Arial" w:eastAsiaTheme="minorEastAsia" w:hAnsi="Arial" w:cs="Arial"/>
          <w:color w:val="242122"/>
          <w:sz w:val="24"/>
          <w:szCs w:val="24"/>
          <w:lang w:eastAsia="en-ZA"/>
        </w:rPr>
        <w:t>36.</w:t>
      </w:r>
      <w:r w:rsidRPr="007C0DA0">
        <w:rPr>
          <w:rFonts w:ascii="Arial" w:eastAsiaTheme="minorEastAsia" w:hAnsi="Arial" w:cs="Arial"/>
          <w:color w:val="242122"/>
          <w:sz w:val="24"/>
          <w:szCs w:val="24"/>
          <w:lang w:eastAsia="en-ZA"/>
        </w:rPr>
        <w:tab/>
      </w:r>
      <w:r w:rsidR="0020473A" w:rsidRPr="00FD7813">
        <w:rPr>
          <w:rFonts w:ascii="Arial" w:hAnsi="Arial" w:cs="Arial"/>
          <w:color w:val="242122"/>
          <w:sz w:val="24"/>
          <w:szCs w:val="24"/>
        </w:rPr>
        <w:t xml:space="preserve">City Power advised the Applicant that it will not accept allocation of capacity </w:t>
      </w:r>
      <w:r w:rsidR="0020473A" w:rsidRPr="00FD7813">
        <w:rPr>
          <w:rFonts w:ascii="Arial" w:hAnsi="Arial" w:cs="Arial"/>
          <w:color w:val="242021"/>
          <w:sz w:val="24"/>
          <w:szCs w:val="24"/>
        </w:rPr>
        <w:t>below the</w:t>
      </w:r>
      <w:r w:rsidR="0020473A" w:rsidRPr="00FD7813">
        <w:rPr>
          <w:rFonts w:ascii="Arial" w:hAnsi="Arial" w:cs="Arial"/>
          <w:color w:val="242122"/>
          <w:sz w:val="24"/>
          <w:szCs w:val="24"/>
        </w:rPr>
        <w:t xml:space="preserve"> </w:t>
      </w:r>
      <w:r w:rsidR="0020473A" w:rsidRPr="00FD7813">
        <w:rPr>
          <w:rFonts w:ascii="Arial" w:hAnsi="Arial" w:cs="Arial"/>
          <w:color w:val="242021"/>
          <w:sz w:val="24"/>
          <w:szCs w:val="24"/>
        </w:rPr>
        <w:t>standard set in its policy, rejecting the proposed allocation of 1</w:t>
      </w:r>
      <w:r w:rsidR="0020473A" w:rsidRPr="00FD7813">
        <w:rPr>
          <w:rFonts w:ascii="Arial" w:hAnsi="Arial" w:cs="Arial"/>
          <w:color w:val="474446"/>
          <w:sz w:val="24"/>
          <w:szCs w:val="24"/>
        </w:rPr>
        <w:t>.</w:t>
      </w:r>
      <w:r w:rsidR="0020473A" w:rsidRPr="00FD7813">
        <w:rPr>
          <w:rFonts w:ascii="Arial" w:hAnsi="Arial" w:cs="Arial"/>
          <w:color w:val="242021"/>
          <w:sz w:val="24"/>
          <w:szCs w:val="24"/>
        </w:rPr>
        <w:t>785 kVA which is what the ADMD would equate if it were to support to the rezoning application in respect of the remaining 83 units. The 1.8 kVa ADMD per unit as supported previously in respect of Wilgeheuwel Extension 26 is below capacity and is causing issues with inadequate electrical supply to the residents</w:t>
      </w:r>
      <w:r w:rsidR="0020473A" w:rsidRPr="00FD7813">
        <w:rPr>
          <w:rFonts w:ascii="Arial" w:hAnsi="Arial" w:cs="Arial"/>
          <w:color w:val="474446"/>
          <w:sz w:val="24"/>
          <w:szCs w:val="24"/>
        </w:rPr>
        <w:t xml:space="preserve">. </w:t>
      </w:r>
    </w:p>
    <w:p w14:paraId="341010A7" w14:textId="77777777" w:rsidR="0020473A" w:rsidRDefault="0020473A" w:rsidP="00AC1748">
      <w:pPr>
        <w:autoSpaceDE w:val="0"/>
        <w:autoSpaceDN w:val="0"/>
        <w:adjustRightInd w:val="0"/>
        <w:spacing w:after="0" w:line="480" w:lineRule="auto"/>
        <w:jc w:val="both"/>
        <w:rPr>
          <w:rFonts w:ascii="Arial" w:hAnsi="Arial" w:cs="Arial"/>
          <w:color w:val="242021"/>
          <w:sz w:val="24"/>
          <w:szCs w:val="24"/>
        </w:rPr>
      </w:pPr>
    </w:p>
    <w:p w14:paraId="52BFFE30" w14:textId="19EC4FD4" w:rsidR="00FD15D0"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7C0DA0">
        <w:rPr>
          <w:rFonts w:ascii="Arial" w:eastAsiaTheme="minorEastAsia" w:hAnsi="Arial" w:cs="Arial"/>
          <w:color w:val="242021"/>
          <w:sz w:val="24"/>
          <w:szCs w:val="24"/>
          <w:lang w:eastAsia="en-ZA"/>
        </w:rPr>
        <w:t>37.</w:t>
      </w:r>
      <w:r w:rsidRPr="007C0DA0">
        <w:rPr>
          <w:rFonts w:ascii="Arial" w:eastAsiaTheme="minorEastAsia" w:hAnsi="Arial" w:cs="Arial"/>
          <w:color w:val="242021"/>
          <w:sz w:val="24"/>
          <w:szCs w:val="24"/>
          <w:lang w:eastAsia="en-ZA"/>
        </w:rPr>
        <w:tab/>
      </w:r>
      <w:r w:rsidR="007E1083" w:rsidRPr="00FD7813">
        <w:rPr>
          <w:rFonts w:ascii="Arial" w:hAnsi="Arial" w:cs="Arial"/>
          <w:color w:val="242021"/>
          <w:sz w:val="24"/>
          <w:szCs w:val="24"/>
        </w:rPr>
        <w:t xml:space="preserve">City Power </w:t>
      </w:r>
      <w:r w:rsidR="00206C45" w:rsidRPr="00FD7813">
        <w:rPr>
          <w:rFonts w:ascii="Arial" w:hAnsi="Arial" w:cs="Arial"/>
          <w:color w:val="242021"/>
          <w:sz w:val="24"/>
          <w:szCs w:val="24"/>
        </w:rPr>
        <w:t xml:space="preserve">is reposed </w:t>
      </w:r>
      <w:r w:rsidR="00FD15D0" w:rsidRPr="00FD7813">
        <w:rPr>
          <w:rFonts w:ascii="Arial" w:hAnsi="Arial" w:cs="Arial"/>
          <w:color w:val="242021"/>
          <w:sz w:val="24"/>
          <w:szCs w:val="24"/>
        </w:rPr>
        <w:t>with authority to supply adequate bulk electri</w:t>
      </w:r>
      <w:r w:rsidR="00206C45" w:rsidRPr="00FD7813">
        <w:rPr>
          <w:rFonts w:ascii="Arial" w:hAnsi="Arial" w:cs="Arial"/>
          <w:color w:val="242021"/>
          <w:sz w:val="24"/>
          <w:szCs w:val="24"/>
        </w:rPr>
        <w:t xml:space="preserve">city reticulation in the entire </w:t>
      </w:r>
      <w:r w:rsidR="00FD15D0" w:rsidRPr="00FD7813">
        <w:rPr>
          <w:rFonts w:ascii="Arial" w:hAnsi="Arial" w:cs="Arial"/>
          <w:color w:val="242021"/>
          <w:sz w:val="24"/>
          <w:szCs w:val="24"/>
        </w:rPr>
        <w:t xml:space="preserve">Johannesburg metropolitan area. It </w:t>
      </w:r>
      <w:r w:rsidR="00206C45" w:rsidRPr="00FD7813">
        <w:rPr>
          <w:rFonts w:ascii="Arial" w:hAnsi="Arial" w:cs="Arial"/>
          <w:color w:val="242021"/>
          <w:sz w:val="24"/>
          <w:szCs w:val="24"/>
        </w:rPr>
        <w:t>is responsible for</w:t>
      </w:r>
      <w:r w:rsidR="000B3360" w:rsidRPr="00FD7813">
        <w:rPr>
          <w:rFonts w:ascii="Arial" w:hAnsi="Arial" w:cs="Arial"/>
          <w:color w:val="242021"/>
          <w:sz w:val="24"/>
          <w:szCs w:val="24"/>
        </w:rPr>
        <w:t xml:space="preserve"> ensuring safe and consistent supply of electricity to consumers </w:t>
      </w:r>
      <w:r w:rsidR="001128FC" w:rsidRPr="00FD7813">
        <w:rPr>
          <w:rFonts w:ascii="Arial" w:hAnsi="Arial" w:cs="Arial"/>
          <w:color w:val="242021"/>
          <w:sz w:val="24"/>
          <w:szCs w:val="24"/>
        </w:rPr>
        <w:t>in its area</w:t>
      </w:r>
      <w:r w:rsidR="000B3360" w:rsidRPr="00FD7813">
        <w:rPr>
          <w:rFonts w:ascii="Arial" w:hAnsi="Arial" w:cs="Arial"/>
          <w:color w:val="242021"/>
          <w:sz w:val="24"/>
          <w:szCs w:val="24"/>
        </w:rPr>
        <w:t xml:space="preserve"> of operation.</w:t>
      </w:r>
      <w:r w:rsidR="00206C45" w:rsidRPr="00FD7813">
        <w:rPr>
          <w:rFonts w:ascii="Arial" w:hAnsi="Arial" w:cs="Arial"/>
          <w:color w:val="242021"/>
          <w:sz w:val="24"/>
          <w:szCs w:val="24"/>
        </w:rPr>
        <w:t xml:space="preserve"> </w:t>
      </w:r>
    </w:p>
    <w:p w14:paraId="710EB0B2" w14:textId="77777777" w:rsidR="000B3360" w:rsidRPr="00194BC3" w:rsidRDefault="000B3360" w:rsidP="00AC1748">
      <w:pPr>
        <w:autoSpaceDE w:val="0"/>
        <w:autoSpaceDN w:val="0"/>
        <w:adjustRightInd w:val="0"/>
        <w:spacing w:after="0" w:line="480" w:lineRule="auto"/>
        <w:jc w:val="both"/>
        <w:rPr>
          <w:rFonts w:ascii="Arial" w:hAnsi="Arial" w:cs="Arial"/>
          <w:color w:val="242021"/>
          <w:sz w:val="24"/>
          <w:szCs w:val="24"/>
        </w:rPr>
      </w:pPr>
    </w:p>
    <w:p w14:paraId="2A874D02" w14:textId="64544028" w:rsidR="00FD15D0"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7C0DA0">
        <w:rPr>
          <w:rFonts w:ascii="Arial" w:eastAsiaTheme="minorEastAsia" w:hAnsi="Arial" w:cs="Arial"/>
          <w:color w:val="242021"/>
          <w:sz w:val="24"/>
          <w:szCs w:val="24"/>
          <w:lang w:eastAsia="en-ZA"/>
        </w:rPr>
        <w:lastRenderedPageBreak/>
        <w:t>38.</w:t>
      </w:r>
      <w:r w:rsidRPr="007C0DA0">
        <w:rPr>
          <w:rFonts w:ascii="Arial" w:eastAsiaTheme="minorEastAsia" w:hAnsi="Arial" w:cs="Arial"/>
          <w:color w:val="242021"/>
          <w:sz w:val="24"/>
          <w:szCs w:val="24"/>
          <w:lang w:eastAsia="en-ZA"/>
        </w:rPr>
        <w:tab/>
      </w:r>
      <w:r w:rsidR="00FD15D0" w:rsidRPr="00FD7813">
        <w:rPr>
          <w:rFonts w:ascii="Arial" w:hAnsi="Arial" w:cs="Arial"/>
          <w:color w:val="242021"/>
          <w:sz w:val="24"/>
          <w:szCs w:val="24"/>
        </w:rPr>
        <w:t xml:space="preserve">During or about 01 June 2008 </w:t>
      </w:r>
      <w:r w:rsidR="007E1083" w:rsidRPr="00FD7813">
        <w:rPr>
          <w:rFonts w:ascii="Arial" w:hAnsi="Arial" w:cs="Arial"/>
          <w:color w:val="242021"/>
          <w:sz w:val="24"/>
          <w:szCs w:val="24"/>
        </w:rPr>
        <w:t xml:space="preserve">City Power </w:t>
      </w:r>
      <w:r w:rsidR="00FD15D0" w:rsidRPr="00FD7813">
        <w:rPr>
          <w:rFonts w:ascii="Arial" w:hAnsi="Arial" w:cs="Arial"/>
          <w:color w:val="242021"/>
          <w:sz w:val="24"/>
          <w:szCs w:val="24"/>
        </w:rPr>
        <w:t xml:space="preserve">passed </w:t>
      </w:r>
      <w:r w:rsidR="00206C45" w:rsidRPr="00FD7813">
        <w:rPr>
          <w:rFonts w:ascii="Arial" w:hAnsi="Arial" w:cs="Arial"/>
          <w:color w:val="242021"/>
          <w:sz w:val="24"/>
          <w:szCs w:val="24"/>
        </w:rPr>
        <w:t>a</w:t>
      </w:r>
      <w:r w:rsidR="00FD15D0" w:rsidRPr="00FD7813">
        <w:rPr>
          <w:rFonts w:ascii="Arial" w:hAnsi="Arial" w:cs="Arial"/>
          <w:color w:val="242021"/>
          <w:sz w:val="24"/>
          <w:szCs w:val="24"/>
        </w:rPr>
        <w:t xml:space="preserve"> poli</w:t>
      </w:r>
      <w:r w:rsidR="0085427D" w:rsidRPr="00FD7813">
        <w:rPr>
          <w:rFonts w:ascii="Arial" w:hAnsi="Arial" w:cs="Arial"/>
          <w:color w:val="242021"/>
          <w:sz w:val="24"/>
          <w:szCs w:val="24"/>
        </w:rPr>
        <w:t>cy</w:t>
      </w:r>
      <w:r w:rsidR="000B3360" w:rsidRPr="00FD7813">
        <w:rPr>
          <w:rFonts w:ascii="Arial" w:hAnsi="Arial" w:cs="Arial"/>
          <w:color w:val="242021"/>
          <w:sz w:val="24"/>
          <w:szCs w:val="24"/>
        </w:rPr>
        <w:t xml:space="preserve"> called</w:t>
      </w:r>
      <w:r w:rsidR="0085427D" w:rsidRPr="00FD7813">
        <w:rPr>
          <w:rFonts w:ascii="Arial" w:hAnsi="Arial" w:cs="Arial"/>
          <w:color w:val="242021"/>
          <w:sz w:val="24"/>
          <w:szCs w:val="24"/>
        </w:rPr>
        <w:t xml:space="preserve"> The Township Reticulation Standards for Underground System P</w:t>
      </w:r>
      <w:r w:rsidR="00206C45" w:rsidRPr="00FD7813">
        <w:rPr>
          <w:rFonts w:ascii="Arial" w:hAnsi="Arial" w:cs="Arial"/>
          <w:color w:val="242021"/>
          <w:sz w:val="24"/>
          <w:szCs w:val="24"/>
        </w:rPr>
        <w:t>olicy</w:t>
      </w:r>
      <w:r w:rsidR="000B3360" w:rsidRPr="00FD7813">
        <w:rPr>
          <w:rFonts w:ascii="Arial" w:hAnsi="Arial" w:cs="Arial"/>
          <w:color w:val="242021"/>
          <w:sz w:val="24"/>
          <w:szCs w:val="24"/>
        </w:rPr>
        <w:t xml:space="preserve"> (“ the policy”) </w:t>
      </w:r>
      <w:r w:rsidR="00206C45" w:rsidRPr="00FD7813">
        <w:rPr>
          <w:rFonts w:ascii="Arial" w:hAnsi="Arial" w:cs="Arial"/>
          <w:color w:val="242021"/>
          <w:sz w:val="24"/>
          <w:szCs w:val="24"/>
        </w:rPr>
        <w:t xml:space="preserve"> as a </w:t>
      </w:r>
      <w:r w:rsidR="00FD15D0" w:rsidRPr="00FD7813">
        <w:rPr>
          <w:rFonts w:ascii="Arial" w:hAnsi="Arial" w:cs="Arial"/>
          <w:color w:val="242021"/>
          <w:sz w:val="24"/>
          <w:szCs w:val="24"/>
        </w:rPr>
        <w:t>means to guide developers on h</w:t>
      </w:r>
      <w:r w:rsidR="00206C45" w:rsidRPr="00FD7813">
        <w:rPr>
          <w:rFonts w:ascii="Arial" w:hAnsi="Arial" w:cs="Arial"/>
          <w:color w:val="242021"/>
          <w:sz w:val="24"/>
          <w:szCs w:val="24"/>
        </w:rPr>
        <w:t xml:space="preserve">ow to conduct their township </w:t>
      </w:r>
      <w:r w:rsidR="0085427D" w:rsidRPr="00FD7813">
        <w:rPr>
          <w:rFonts w:ascii="Arial" w:hAnsi="Arial" w:cs="Arial"/>
          <w:color w:val="242021"/>
          <w:sz w:val="24"/>
          <w:szCs w:val="24"/>
        </w:rPr>
        <w:t xml:space="preserve">Electrical Reticulation designs and installations </w:t>
      </w:r>
      <w:r w:rsidR="00206C45" w:rsidRPr="00FD7813">
        <w:rPr>
          <w:rFonts w:ascii="Arial" w:hAnsi="Arial" w:cs="Arial"/>
          <w:color w:val="242021"/>
          <w:sz w:val="24"/>
          <w:szCs w:val="24"/>
        </w:rPr>
        <w:t xml:space="preserve">in </w:t>
      </w:r>
      <w:r w:rsidR="00FD15D0" w:rsidRPr="00FD7813">
        <w:rPr>
          <w:rFonts w:ascii="Arial" w:hAnsi="Arial" w:cs="Arial"/>
          <w:color w:val="242021"/>
          <w:sz w:val="24"/>
          <w:szCs w:val="24"/>
        </w:rPr>
        <w:t>developments i</w:t>
      </w:r>
      <w:r w:rsidR="0085427D" w:rsidRPr="00FD7813">
        <w:rPr>
          <w:rFonts w:ascii="Arial" w:hAnsi="Arial" w:cs="Arial"/>
          <w:color w:val="242021"/>
          <w:sz w:val="24"/>
          <w:szCs w:val="24"/>
        </w:rPr>
        <w:t>n City Power's area of operation.</w:t>
      </w:r>
    </w:p>
    <w:p w14:paraId="739CBE90" w14:textId="77777777" w:rsidR="00FD15D0" w:rsidRPr="00194BC3" w:rsidRDefault="00FD15D0" w:rsidP="00AC1748">
      <w:pPr>
        <w:autoSpaceDE w:val="0"/>
        <w:autoSpaceDN w:val="0"/>
        <w:adjustRightInd w:val="0"/>
        <w:spacing w:after="0" w:line="480" w:lineRule="auto"/>
        <w:jc w:val="both"/>
        <w:rPr>
          <w:rFonts w:ascii="Arial" w:hAnsi="Arial" w:cs="Arial"/>
          <w:color w:val="242021"/>
          <w:sz w:val="24"/>
          <w:szCs w:val="24"/>
        </w:rPr>
      </w:pPr>
    </w:p>
    <w:p w14:paraId="5F479472" w14:textId="4422831E" w:rsidR="00FD15D0"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7C0DA0">
        <w:rPr>
          <w:rFonts w:ascii="Arial" w:eastAsiaTheme="minorEastAsia" w:hAnsi="Arial" w:cs="Arial"/>
          <w:color w:val="242021"/>
          <w:sz w:val="24"/>
          <w:szCs w:val="24"/>
          <w:lang w:eastAsia="en-ZA"/>
        </w:rPr>
        <w:t>39.</w:t>
      </w:r>
      <w:r w:rsidRPr="007C0DA0">
        <w:rPr>
          <w:rFonts w:ascii="Arial" w:eastAsiaTheme="minorEastAsia" w:hAnsi="Arial" w:cs="Arial"/>
          <w:color w:val="242021"/>
          <w:sz w:val="24"/>
          <w:szCs w:val="24"/>
          <w:lang w:eastAsia="en-ZA"/>
        </w:rPr>
        <w:tab/>
      </w:r>
      <w:r w:rsidR="008D4D25" w:rsidRPr="00FD7813">
        <w:rPr>
          <w:rFonts w:ascii="Arial" w:hAnsi="Arial" w:cs="Arial"/>
          <w:color w:val="242021"/>
          <w:sz w:val="24"/>
          <w:szCs w:val="24"/>
        </w:rPr>
        <w:t>“</w:t>
      </w:r>
      <w:r w:rsidR="000B3360" w:rsidRPr="00FD7813">
        <w:rPr>
          <w:rFonts w:ascii="Arial" w:hAnsi="Arial" w:cs="Arial"/>
          <w:color w:val="242021"/>
          <w:sz w:val="24"/>
          <w:szCs w:val="24"/>
        </w:rPr>
        <w:t>T</w:t>
      </w:r>
      <w:r w:rsidR="008D4D25" w:rsidRPr="00FD7813">
        <w:rPr>
          <w:rFonts w:ascii="Arial" w:hAnsi="Arial" w:cs="Arial"/>
          <w:color w:val="242021"/>
          <w:sz w:val="24"/>
          <w:szCs w:val="24"/>
        </w:rPr>
        <w:t>he policy “</w:t>
      </w:r>
      <w:r w:rsidR="0085427D" w:rsidRPr="00FD7813">
        <w:rPr>
          <w:rFonts w:ascii="Arial" w:hAnsi="Arial" w:cs="Arial"/>
          <w:color w:val="242021"/>
          <w:sz w:val="24"/>
          <w:szCs w:val="24"/>
        </w:rPr>
        <w:t xml:space="preserve">was </w:t>
      </w:r>
      <w:r w:rsidR="00FD15D0" w:rsidRPr="00FD7813">
        <w:rPr>
          <w:rFonts w:ascii="Arial" w:hAnsi="Arial" w:cs="Arial"/>
          <w:color w:val="242021"/>
          <w:sz w:val="24"/>
          <w:szCs w:val="24"/>
        </w:rPr>
        <w:t xml:space="preserve">developed </w:t>
      </w:r>
      <w:r w:rsidR="0085427D" w:rsidRPr="00FD7813">
        <w:rPr>
          <w:rFonts w:ascii="Arial" w:hAnsi="Arial" w:cs="Arial"/>
          <w:color w:val="242021"/>
          <w:sz w:val="24"/>
          <w:szCs w:val="24"/>
        </w:rPr>
        <w:t xml:space="preserve">in terms of the </w:t>
      </w:r>
      <w:r w:rsidR="00FD15D0" w:rsidRPr="00FD7813">
        <w:rPr>
          <w:rFonts w:ascii="Arial" w:hAnsi="Arial" w:cs="Arial"/>
          <w:color w:val="242021"/>
          <w:sz w:val="24"/>
          <w:szCs w:val="24"/>
        </w:rPr>
        <w:t xml:space="preserve">National Standards </w:t>
      </w:r>
      <w:r w:rsidR="0085427D" w:rsidRPr="00FD7813">
        <w:rPr>
          <w:rFonts w:ascii="Arial" w:hAnsi="Arial" w:cs="Arial"/>
          <w:color w:val="242021"/>
          <w:sz w:val="24"/>
          <w:szCs w:val="24"/>
        </w:rPr>
        <w:t>that are applicable.</w:t>
      </w:r>
    </w:p>
    <w:p w14:paraId="7234639D" w14:textId="107FE0C5" w:rsidR="00FD15D0" w:rsidRPr="00CC100A" w:rsidRDefault="00D91B36" w:rsidP="007C0DA0">
      <w:pPr>
        <w:autoSpaceDE w:val="0"/>
        <w:autoSpaceDN w:val="0"/>
        <w:adjustRightInd w:val="0"/>
        <w:spacing w:after="0" w:line="480" w:lineRule="auto"/>
        <w:ind w:left="720"/>
        <w:jc w:val="both"/>
        <w:rPr>
          <w:rFonts w:ascii="Arial" w:hAnsi="Arial" w:cs="Arial"/>
          <w:color w:val="242021"/>
          <w:sz w:val="24"/>
          <w:szCs w:val="24"/>
        </w:rPr>
      </w:pPr>
      <w:r>
        <w:rPr>
          <w:rFonts w:ascii="Arial" w:hAnsi="Arial" w:cs="Arial"/>
          <w:color w:val="242021"/>
          <w:sz w:val="24"/>
          <w:szCs w:val="24"/>
        </w:rPr>
        <w:t>“</w:t>
      </w:r>
      <w:r w:rsidR="00CC100A">
        <w:rPr>
          <w:rFonts w:ascii="Arial" w:hAnsi="Arial" w:cs="Arial"/>
          <w:color w:val="242021"/>
          <w:sz w:val="24"/>
          <w:szCs w:val="24"/>
        </w:rPr>
        <w:t>T</w:t>
      </w:r>
      <w:r>
        <w:rPr>
          <w:rFonts w:ascii="Arial" w:hAnsi="Arial" w:cs="Arial"/>
          <w:color w:val="242021"/>
          <w:sz w:val="24"/>
          <w:szCs w:val="24"/>
        </w:rPr>
        <w:t xml:space="preserve">he policy </w:t>
      </w:r>
      <w:r w:rsidR="00FD15D0" w:rsidRPr="00194BC3">
        <w:rPr>
          <w:rFonts w:ascii="Arial" w:hAnsi="Arial" w:cs="Arial"/>
          <w:color w:val="242021"/>
          <w:sz w:val="24"/>
          <w:szCs w:val="24"/>
        </w:rPr>
        <w:t xml:space="preserve">is a necessary tool that helps </w:t>
      </w:r>
      <w:r w:rsidR="007E1083">
        <w:rPr>
          <w:rFonts w:ascii="Arial" w:hAnsi="Arial" w:cs="Arial"/>
          <w:color w:val="242021"/>
          <w:sz w:val="24"/>
          <w:szCs w:val="24"/>
        </w:rPr>
        <w:t xml:space="preserve">City Power </w:t>
      </w:r>
      <w:r w:rsidR="00FD15D0" w:rsidRPr="00194BC3">
        <w:rPr>
          <w:rFonts w:ascii="Arial" w:hAnsi="Arial" w:cs="Arial"/>
          <w:color w:val="242021"/>
          <w:sz w:val="24"/>
          <w:szCs w:val="24"/>
        </w:rPr>
        <w:t>to ensure sustainable</w:t>
      </w:r>
      <w:r w:rsidR="00CC100A">
        <w:rPr>
          <w:rFonts w:ascii="Arial" w:hAnsi="Arial" w:cs="Arial"/>
          <w:color w:val="242021"/>
          <w:sz w:val="24"/>
          <w:szCs w:val="24"/>
        </w:rPr>
        <w:t xml:space="preserve"> </w:t>
      </w:r>
      <w:r w:rsidR="00FD15D0" w:rsidRPr="00194BC3">
        <w:rPr>
          <w:rFonts w:ascii="Arial" w:hAnsi="Arial" w:cs="Arial"/>
          <w:color w:val="242021"/>
          <w:sz w:val="24"/>
          <w:szCs w:val="24"/>
        </w:rPr>
        <w:t>supply of electricity t</w:t>
      </w:r>
      <w:r>
        <w:rPr>
          <w:rFonts w:ascii="Arial" w:hAnsi="Arial" w:cs="Arial"/>
          <w:color w:val="242021"/>
          <w:sz w:val="24"/>
          <w:szCs w:val="24"/>
        </w:rPr>
        <w:t>hroughout its area of operation</w:t>
      </w:r>
      <w:r w:rsidR="00FD15D0" w:rsidRPr="00194BC3">
        <w:rPr>
          <w:rFonts w:ascii="Arial" w:hAnsi="Arial" w:cs="Arial"/>
          <w:color w:val="474546"/>
          <w:sz w:val="24"/>
          <w:szCs w:val="24"/>
        </w:rPr>
        <w:t xml:space="preserve">. </w:t>
      </w:r>
      <w:r w:rsidR="0085427D" w:rsidRPr="00194BC3">
        <w:rPr>
          <w:rFonts w:ascii="Arial" w:hAnsi="Arial" w:cs="Arial"/>
          <w:color w:val="474546"/>
          <w:sz w:val="24"/>
          <w:szCs w:val="24"/>
        </w:rPr>
        <w:t xml:space="preserve">Clause 1 of the aforesaid </w:t>
      </w:r>
      <w:r w:rsidR="005923D8" w:rsidRPr="00194BC3">
        <w:rPr>
          <w:rFonts w:ascii="Arial" w:hAnsi="Arial" w:cs="Arial"/>
          <w:color w:val="474546"/>
          <w:sz w:val="24"/>
          <w:szCs w:val="24"/>
        </w:rPr>
        <w:t xml:space="preserve">policy </w:t>
      </w:r>
      <w:r>
        <w:rPr>
          <w:rFonts w:ascii="Arial" w:hAnsi="Arial" w:cs="Arial"/>
          <w:color w:val="474546"/>
          <w:sz w:val="24"/>
          <w:szCs w:val="24"/>
        </w:rPr>
        <w:t>reads as follows</w:t>
      </w:r>
      <w:r w:rsidR="0085427D" w:rsidRPr="00194BC3">
        <w:rPr>
          <w:rFonts w:ascii="Arial" w:hAnsi="Arial" w:cs="Arial"/>
          <w:color w:val="474546"/>
          <w:sz w:val="24"/>
          <w:szCs w:val="24"/>
        </w:rPr>
        <w:t>:-</w:t>
      </w:r>
    </w:p>
    <w:p w14:paraId="3D15A12E" w14:textId="77777777" w:rsidR="0085427D" w:rsidRPr="00194BC3" w:rsidRDefault="0085427D" w:rsidP="00472709">
      <w:pPr>
        <w:autoSpaceDE w:val="0"/>
        <w:autoSpaceDN w:val="0"/>
        <w:adjustRightInd w:val="0"/>
        <w:spacing w:after="0" w:line="480" w:lineRule="auto"/>
        <w:jc w:val="center"/>
        <w:rPr>
          <w:rFonts w:ascii="Arial" w:hAnsi="Arial" w:cs="Arial"/>
          <w:color w:val="242021"/>
          <w:sz w:val="24"/>
          <w:szCs w:val="24"/>
        </w:rPr>
      </w:pPr>
    </w:p>
    <w:p w14:paraId="0C17A09D" w14:textId="77777777" w:rsidR="00FD15D0" w:rsidRPr="00194BC3" w:rsidRDefault="00FD15D0" w:rsidP="00472709">
      <w:pPr>
        <w:autoSpaceDE w:val="0"/>
        <w:autoSpaceDN w:val="0"/>
        <w:adjustRightInd w:val="0"/>
        <w:spacing w:after="0" w:line="480" w:lineRule="auto"/>
        <w:jc w:val="center"/>
        <w:rPr>
          <w:rFonts w:ascii="Arial" w:hAnsi="Arial" w:cs="Arial"/>
          <w:i/>
          <w:iCs/>
          <w:color w:val="252122"/>
          <w:sz w:val="24"/>
          <w:szCs w:val="24"/>
        </w:rPr>
      </w:pPr>
      <w:r w:rsidRPr="00194BC3">
        <w:rPr>
          <w:rFonts w:ascii="Arial" w:hAnsi="Arial" w:cs="Arial"/>
          <w:i/>
          <w:iCs/>
          <w:color w:val="252122"/>
          <w:sz w:val="24"/>
          <w:szCs w:val="24"/>
        </w:rPr>
        <w:t>"This document covers the standards and specifications for township</w:t>
      </w:r>
    </w:p>
    <w:p w14:paraId="01795F76" w14:textId="3D1A7037" w:rsidR="00FD15D0" w:rsidRPr="00194BC3" w:rsidRDefault="00D91B36" w:rsidP="00472709">
      <w:pPr>
        <w:autoSpaceDE w:val="0"/>
        <w:autoSpaceDN w:val="0"/>
        <w:adjustRightInd w:val="0"/>
        <w:spacing w:after="0" w:line="480" w:lineRule="auto"/>
        <w:jc w:val="center"/>
        <w:rPr>
          <w:rFonts w:ascii="Arial" w:hAnsi="Arial" w:cs="Arial"/>
          <w:i/>
          <w:iCs/>
          <w:color w:val="252122"/>
          <w:sz w:val="24"/>
          <w:szCs w:val="24"/>
        </w:rPr>
      </w:pPr>
      <w:r>
        <w:rPr>
          <w:rFonts w:ascii="Arial" w:hAnsi="Arial" w:cs="Arial"/>
          <w:i/>
          <w:iCs/>
          <w:color w:val="252122"/>
          <w:sz w:val="24"/>
          <w:szCs w:val="24"/>
        </w:rPr>
        <w:t>electrical</w:t>
      </w:r>
      <w:r w:rsidR="00FD15D0" w:rsidRPr="00194BC3">
        <w:rPr>
          <w:rFonts w:ascii="Arial" w:hAnsi="Arial" w:cs="Arial"/>
          <w:i/>
          <w:iCs/>
          <w:color w:val="252122"/>
          <w:sz w:val="24"/>
          <w:szCs w:val="24"/>
        </w:rPr>
        <w:t xml:space="preserve"> reticulation. It also covers the supply, delivery, and testing of</w:t>
      </w:r>
    </w:p>
    <w:p w14:paraId="284FDCBA" w14:textId="3A4FD575" w:rsidR="00FD15D0" w:rsidRPr="00194BC3" w:rsidRDefault="00D91B36" w:rsidP="00D91B36">
      <w:pPr>
        <w:autoSpaceDE w:val="0"/>
        <w:autoSpaceDN w:val="0"/>
        <w:adjustRightInd w:val="0"/>
        <w:spacing w:after="0" w:line="480" w:lineRule="auto"/>
        <w:rPr>
          <w:rFonts w:ascii="Arial" w:hAnsi="Arial" w:cs="Arial"/>
          <w:i/>
          <w:iCs/>
          <w:color w:val="252122"/>
          <w:sz w:val="24"/>
          <w:szCs w:val="24"/>
        </w:rPr>
      </w:pPr>
      <w:r>
        <w:rPr>
          <w:rFonts w:ascii="Arial" w:hAnsi="Arial" w:cs="Arial"/>
          <w:i/>
          <w:iCs/>
          <w:color w:val="252122"/>
          <w:sz w:val="24"/>
          <w:szCs w:val="24"/>
        </w:rPr>
        <w:t xml:space="preserve">           </w:t>
      </w:r>
      <w:r w:rsidR="00FD15D0" w:rsidRPr="00194BC3">
        <w:rPr>
          <w:rFonts w:ascii="Arial" w:hAnsi="Arial" w:cs="Arial"/>
          <w:i/>
          <w:iCs/>
          <w:color w:val="252122"/>
          <w:sz w:val="24"/>
          <w:szCs w:val="24"/>
        </w:rPr>
        <w:t>all material and equipment including the installation; commissioning</w:t>
      </w:r>
    </w:p>
    <w:p w14:paraId="1AD3A184" w14:textId="5585B0BB" w:rsidR="00FD15D0" w:rsidRPr="00194BC3" w:rsidRDefault="00FD15D0" w:rsidP="00472709">
      <w:pPr>
        <w:autoSpaceDE w:val="0"/>
        <w:autoSpaceDN w:val="0"/>
        <w:adjustRightInd w:val="0"/>
        <w:spacing w:after="0" w:line="480" w:lineRule="auto"/>
        <w:jc w:val="center"/>
        <w:rPr>
          <w:rFonts w:ascii="Arial" w:hAnsi="Arial" w:cs="Arial"/>
          <w:i/>
          <w:iCs/>
          <w:color w:val="252122"/>
          <w:sz w:val="24"/>
          <w:szCs w:val="24"/>
        </w:rPr>
      </w:pPr>
      <w:r w:rsidRPr="00194BC3">
        <w:rPr>
          <w:rFonts w:ascii="Arial" w:hAnsi="Arial" w:cs="Arial"/>
          <w:i/>
          <w:iCs/>
          <w:color w:val="252122"/>
          <w:sz w:val="24"/>
          <w:szCs w:val="24"/>
        </w:rPr>
        <w:t xml:space="preserve">hand-over to and acceptance by </w:t>
      </w:r>
      <w:r w:rsidR="007E1083">
        <w:rPr>
          <w:rFonts w:ascii="Arial" w:hAnsi="Arial" w:cs="Arial"/>
          <w:i/>
          <w:iCs/>
          <w:color w:val="252122"/>
          <w:sz w:val="24"/>
          <w:szCs w:val="24"/>
        </w:rPr>
        <w:t xml:space="preserve">City Power </w:t>
      </w:r>
      <w:r w:rsidRPr="00194BC3">
        <w:rPr>
          <w:rFonts w:ascii="Arial" w:hAnsi="Arial" w:cs="Arial"/>
          <w:i/>
          <w:iCs/>
          <w:color w:val="252122"/>
          <w:sz w:val="24"/>
          <w:szCs w:val="24"/>
        </w:rPr>
        <w:t>of the required network."</w:t>
      </w:r>
    </w:p>
    <w:p w14:paraId="38E2AB26" w14:textId="77777777" w:rsidR="00FD15D0" w:rsidRPr="00194BC3" w:rsidRDefault="00FD15D0" w:rsidP="00AC1748">
      <w:pPr>
        <w:autoSpaceDE w:val="0"/>
        <w:autoSpaceDN w:val="0"/>
        <w:adjustRightInd w:val="0"/>
        <w:spacing w:after="0" w:line="480" w:lineRule="auto"/>
        <w:jc w:val="both"/>
        <w:rPr>
          <w:rFonts w:ascii="Arial" w:hAnsi="Arial" w:cs="Arial"/>
          <w:color w:val="252122"/>
          <w:sz w:val="24"/>
          <w:szCs w:val="24"/>
        </w:rPr>
      </w:pPr>
    </w:p>
    <w:p w14:paraId="5F8F8386" w14:textId="67D84CF5" w:rsidR="00FD15D0" w:rsidRPr="00FD7813" w:rsidRDefault="00FD7813" w:rsidP="00FD7813">
      <w:pPr>
        <w:autoSpaceDE w:val="0"/>
        <w:autoSpaceDN w:val="0"/>
        <w:adjustRightInd w:val="0"/>
        <w:spacing w:after="0" w:line="480" w:lineRule="auto"/>
        <w:ind w:left="720" w:hanging="360"/>
        <w:jc w:val="both"/>
        <w:rPr>
          <w:rFonts w:ascii="Arial" w:hAnsi="Arial" w:cs="Arial"/>
          <w:color w:val="252122"/>
          <w:sz w:val="24"/>
          <w:szCs w:val="24"/>
        </w:rPr>
      </w:pPr>
      <w:r w:rsidRPr="007C0DA0">
        <w:rPr>
          <w:rFonts w:ascii="Arial" w:eastAsiaTheme="minorEastAsia" w:hAnsi="Arial" w:cs="Arial"/>
          <w:color w:val="252122"/>
          <w:sz w:val="24"/>
          <w:szCs w:val="24"/>
          <w:lang w:eastAsia="en-ZA"/>
        </w:rPr>
        <w:t>40.</w:t>
      </w:r>
      <w:r w:rsidRPr="007C0DA0">
        <w:rPr>
          <w:rFonts w:ascii="Arial" w:eastAsiaTheme="minorEastAsia" w:hAnsi="Arial" w:cs="Arial"/>
          <w:color w:val="252122"/>
          <w:sz w:val="24"/>
          <w:szCs w:val="24"/>
          <w:lang w:eastAsia="en-ZA"/>
        </w:rPr>
        <w:tab/>
      </w:r>
      <w:r w:rsidR="0085427D" w:rsidRPr="00FD7813">
        <w:rPr>
          <w:rFonts w:ascii="Arial" w:hAnsi="Arial" w:cs="Arial"/>
          <w:color w:val="252122"/>
          <w:sz w:val="24"/>
          <w:szCs w:val="24"/>
        </w:rPr>
        <w:t>C</w:t>
      </w:r>
      <w:r w:rsidR="00D17270" w:rsidRPr="00FD7813">
        <w:rPr>
          <w:rFonts w:ascii="Arial" w:hAnsi="Arial" w:cs="Arial"/>
          <w:color w:val="252122"/>
          <w:sz w:val="24"/>
          <w:szCs w:val="24"/>
        </w:rPr>
        <w:t xml:space="preserve">lause 8 : </w:t>
      </w:r>
      <w:r w:rsidR="00472709" w:rsidRPr="00FD7813">
        <w:rPr>
          <w:rFonts w:ascii="Arial" w:hAnsi="Arial" w:cs="Arial"/>
          <w:color w:val="252122"/>
          <w:sz w:val="24"/>
          <w:szCs w:val="24"/>
        </w:rPr>
        <w:t>6.2.3.8.</w:t>
      </w:r>
      <w:r w:rsidR="00D17270" w:rsidRPr="00FD7813">
        <w:rPr>
          <w:rFonts w:ascii="Arial" w:hAnsi="Arial" w:cs="Arial"/>
          <w:color w:val="252122"/>
          <w:sz w:val="24"/>
          <w:szCs w:val="24"/>
        </w:rPr>
        <w:t>thereof</w:t>
      </w:r>
      <w:r w:rsidR="00AB550A" w:rsidRPr="00FD7813">
        <w:rPr>
          <w:rFonts w:ascii="Arial" w:hAnsi="Arial" w:cs="Arial"/>
          <w:color w:val="252122"/>
          <w:sz w:val="24"/>
          <w:szCs w:val="24"/>
        </w:rPr>
        <w:t>,</w:t>
      </w:r>
      <w:r w:rsidR="00FD15D0" w:rsidRPr="00FD7813">
        <w:rPr>
          <w:rFonts w:ascii="Arial" w:hAnsi="Arial" w:cs="Arial"/>
          <w:color w:val="252122"/>
          <w:sz w:val="24"/>
          <w:szCs w:val="24"/>
        </w:rPr>
        <w:t xml:space="preserve"> reads</w:t>
      </w:r>
      <w:r w:rsidR="0085427D" w:rsidRPr="00FD7813">
        <w:rPr>
          <w:rFonts w:ascii="Arial" w:hAnsi="Arial" w:cs="Arial"/>
          <w:color w:val="4A4749"/>
          <w:sz w:val="24"/>
          <w:szCs w:val="24"/>
        </w:rPr>
        <w:t xml:space="preserve"> as follows </w:t>
      </w:r>
    </w:p>
    <w:p w14:paraId="7369CD46" w14:textId="444258E6" w:rsidR="00D17270" w:rsidRDefault="00FD15D0" w:rsidP="007C0DA0">
      <w:pPr>
        <w:autoSpaceDE w:val="0"/>
        <w:autoSpaceDN w:val="0"/>
        <w:adjustRightInd w:val="0"/>
        <w:spacing w:after="0" w:line="480" w:lineRule="auto"/>
        <w:ind w:left="720"/>
        <w:jc w:val="both"/>
        <w:rPr>
          <w:rFonts w:ascii="Arial" w:hAnsi="Arial" w:cs="Arial"/>
          <w:i/>
          <w:iCs/>
          <w:color w:val="252122"/>
          <w:sz w:val="24"/>
          <w:szCs w:val="24"/>
        </w:rPr>
      </w:pPr>
      <w:r w:rsidRPr="00194BC3">
        <w:rPr>
          <w:rFonts w:ascii="Arial" w:hAnsi="Arial" w:cs="Arial"/>
          <w:i/>
          <w:iCs/>
          <w:color w:val="252122"/>
          <w:sz w:val="24"/>
          <w:szCs w:val="24"/>
        </w:rPr>
        <w:t>"The preferred sizes for residential developments are 315/500kVA</w:t>
      </w:r>
      <w:r w:rsidR="00472709">
        <w:rPr>
          <w:rFonts w:ascii="Arial" w:hAnsi="Arial" w:cs="Arial"/>
          <w:i/>
          <w:iCs/>
          <w:color w:val="252122"/>
          <w:sz w:val="24"/>
          <w:szCs w:val="24"/>
        </w:rPr>
        <w:t xml:space="preserve"> </w:t>
      </w:r>
      <w:r w:rsidRPr="00194BC3">
        <w:rPr>
          <w:rFonts w:ascii="Arial" w:hAnsi="Arial" w:cs="Arial"/>
          <w:i/>
          <w:iCs/>
          <w:color w:val="252122"/>
          <w:sz w:val="24"/>
          <w:szCs w:val="24"/>
        </w:rPr>
        <w:t>units and 630/1 000kVA for Industrial/Commercial use."</w:t>
      </w:r>
      <w:r w:rsidR="003F4F69">
        <w:rPr>
          <w:rFonts w:ascii="Arial" w:hAnsi="Arial" w:cs="Arial"/>
          <w:i/>
          <w:iCs/>
          <w:color w:val="252122"/>
          <w:sz w:val="24"/>
          <w:szCs w:val="24"/>
        </w:rPr>
        <w:t xml:space="preserve"> </w:t>
      </w:r>
      <w:r w:rsidR="003F4F69">
        <w:rPr>
          <w:rFonts w:ascii="Arial" w:hAnsi="Arial" w:cs="Arial"/>
          <w:color w:val="252122"/>
          <w:sz w:val="24"/>
          <w:szCs w:val="24"/>
        </w:rPr>
        <w:t xml:space="preserve">This clause </w:t>
      </w:r>
      <w:r w:rsidR="00D17270" w:rsidRPr="00194BC3">
        <w:rPr>
          <w:rFonts w:ascii="Arial" w:hAnsi="Arial" w:cs="Arial"/>
          <w:color w:val="252122"/>
          <w:sz w:val="24"/>
          <w:szCs w:val="24"/>
        </w:rPr>
        <w:t xml:space="preserve">deals with the infrastructure requirements for </w:t>
      </w:r>
      <w:r w:rsidR="003F4F69">
        <w:rPr>
          <w:rFonts w:ascii="Arial" w:hAnsi="Arial" w:cs="Arial"/>
          <w:color w:val="252122"/>
          <w:sz w:val="24"/>
          <w:szCs w:val="24"/>
        </w:rPr>
        <w:t xml:space="preserve">the </w:t>
      </w:r>
      <w:r w:rsidR="00E44CCB">
        <w:rPr>
          <w:rFonts w:ascii="Arial" w:hAnsi="Arial" w:cs="Arial"/>
          <w:color w:val="252122"/>
          <w:sz w:val="24"/>
          <w:szCs w:val="24"/>
        </w:rPr>
        <w:t>s</w:t>
      </w:r>
      <w:r w:rsidR="00D17270" w:rsidRPr="00194BC3">
        <w:rPr>
          <w:rFonts w:ascii="Arial" w:hAnsi="Arial" w:cs="Arial"/>
          <w:color w:val="252122"/>
          <w:sz w:val="24"/>
          <w:szCs w:val="24"/>
        </w:rPr>
        <w:t>upply of electricity in a residential development</w:t>
      </w:r>
      <w:r w:rsidR="003F4F69">
        <w:rPr>
          <w:rFonts w:ascii="Arial" w:hAnsi="Arial" w:cs="Arial"/>
          <w:color w:val="252122"/>
          <w:sz w:val="24"/>
          <w:szCs w:val="24"/>
        </w:rPr>
        <w:t>.</w:t>
      </w:r>
    </w:p>
    <w:p w14:paraId="40595575" w14:textId="77777777" w:rsidR="007C0DA0" w:rsidRPr="00194BC3" w:rsidRDefault="007C0DA0" w:rsidP="007C0DA0">
      <w:pPr>
        <w:autoSpaceDE w:val="0"/>
        <w:autoSpaceDN w:val="0"/>
        <w:adjustRightInd w:val="0"/>
        <w:spacing w:after="0" w:line="480" w:lineRule="auto"/>
        <w:ind w:left="720"/>
        <w:jc w:val="both"/>
        <w:rPr>
          <w:rFonts w:ascii="Arial" w:hAnsi="Arial" w:cs="Arial"/>
          <w:i/>
          <w:iCs/>
          <w:color w:val="252122"/>
          <w:sz w:val="24"/>
          <w:szCs w:val="24"/>
        </w:rPr>
      </w:pPr>
    </w:p>
    <w:p w14:paraId="04555AEF" w14:textId="2F69D929" w:rsidR="00CC100A" w:rsidRPr="00FD7813" w:rsidRDefault="00FD7813" w:rsidP="00FD7813">
      <w:pPr>
        <w:autoSpaceDE w:val="0"/>
        <w:autoSpaceDN w:val="0"/>
        <w:adjustRightInd w:val="0"/>
        <w:spacing w:after="0" w:line="480" w:lineRule="auto"/>
        <w:ind w:left="720" w:hanging="360"/>
        <w:jc w:val="both"/>
        <w:rPr>
          <w:rFonts w:ascii="Arial" w:hAnsi="Arial" w:cs="Arial"/>
          <w:color w:val="242122"/>
          <w:sz w:val="24"/>
          <w:szCs w:val="24"/>
        </w:rPr>
      </w:pPr>
      <w:r>
        <w:rPr>
          <w:rFonts w:ascii="Arial" w:eastAsiaTheme="minorEastAsia" w:hAnsi="Arial" w:cs="Arial"/>
          <w:color w:val="242122"/>
          <w:sz w:val="24"/>
          <w:szCs w:val="24"/>
          <w:lang w:eastAsia="en-ZA"/>
        </w:rPr>
        <w:t>41.</w:t>
      </w:r>
      <w:r>
        <w:rPr>
          <w:rFonts w:ascii="Arial" w:eastAsiaTheme="minorEastAsia" w:hAnsi="Arial" w:cs="Arial"/>
          <w:color w:val="242122"/>
          <w:sz w:val="24"/>
          <w:szCs w:val="24"/>
          <w:lang w:eastAsia="en-ZA"/>
        </w:rPr>
        <w:tab/>
      </w:r>
      <w:r w:rsidR="00CC100A" w:rsidRPr="00FD7813">
        <w:rPr>
          <w:rFonts w:ascii="Arial" w:hAnsi="Arial" w:cs="Arial"/>
          <w:color w:val="242122"/>
          <w:sz w:val="24"/>
          <w:szCs w:val="24"/>
        </w:rPr>
        <w:t>This policy was developed and published to :</w:t>
      </w:r>
    </w:p>
    <w:p w14:paraId="54D9EA38" w14:textId="77777777" w:rsidR="007C0DA0" w:rsidRPr="007C0DA0" w:rsidRDefault="007C0DA0" w:rsidP="007C0DA0">
      <w:pPr>
        <w:pStyle w:val="ListParagraph"/>
        <w:autoSpaceDE w:val="0"/>
        <w:autoSpaceDN w:val="0"/>
        <w:adjustRightInd w:val="0"/>
        <w:spacing w:after="0" w:line="480" w:lineRule="auto"/>
        <w:jc w:val="both"/>
        <w:rPr>
          <w:rFonts w:ascii="Arial" w:hAnsi="Arial" w:cs="Arial"/>
          <w:color w:val="242122"/>
          <w:sz w:val="24"/>
          <w:szCs w:val="24"/>
        </w:rPr>
      </w:pPr>
    </w:p>
    <w:p w14:paraId="4274FABC" w14:textId="5B845560" w:rsidR="00CC100A" w:rsidRPr="00FD7813" w:rsidRDefault="00FD7813" w:rsidP="00FD7813">
      <w:pPr>
        <w:autoSpaceDE w:val="0"/>
        <w:autoSpaceDN w:val="0"/>
        <w:adjustRightInd w:val="0"/>
        <w:spacing w:after="0" w:line="480" w:lineRule="auto"/>
        <w:ind w:left="1080" w:hanging="360"/>
        <w:jc w:val="both"/>
        <w:rPr>
          <w:rFonts w:ascii="Arial" w:hAnsi="Arial" w:cs="Arial"/>
          <w:color w:val="242122"/>
          <w:sz w:val="24"/>
          <w:szCs w:val="24"/>
        </w:rPr>
      </w:pPr>
      <w:r>
        <w:rPr>
          <w:rFonts w:ascii="Arial" w:eastAsiaTheme="minorEastAsia" w:hAnsi="Arial" w:cs="Arial"/>
          <w:color w:val="242122"/>
          <w:sz w:val="24"/>
          <w:szCs w:val="24"/>
          <w:lang w:eastAsia="en-ZA"/>
        </w:rPr>
        <w:t>1.</w:t>
      </w:r>
      <w:r>
        <w:rPr>
          <w:rFonts w:ascii="Arial" w:eastAsiaTheme="minorEastAsia" w:hAnsi="Arial" w:cs="Arial"/>
          <w:color w:val="242122"/>
          <w:sz w:val="24"/>
          <w:szCs w:val="24"/>
          <w:lang w:eastAsia="en-ZA"/>
        </w:rPr>
        <w:tab/>
      </w:r>
      <w:r w:rsidR="00CC100A" w:rsidRPr="00FD7813">
        <w:rPr>
          <w:rFonts w:ascii="Arial" w:hAnsi="Arial" w:cs="Arial"/>
          <w:color w:val="242122"/>
          <w:sz w:val="24"/>
          <w:szCs w:val="24"/>
        </w:rPr>
        <w:t xml:space="preserve">To regulate the supply of electricity by </w:t>
      </w:r>
      <w:r w:rsidR="007E1083" w:rsidRPr="00FD7813">
        <w:rPr>
          <w:rFonts w:ascii="Arial" w:hAnsi="Arial" w:cs="Arial"/>
          <w:color w:val="242122"/>
          <w:sz w:val="24"/>
          <w:szCs w:val="24"/>
        </w:rPr>
        <w:t xml:space="preserve">City Power </w:t>
      </w:r>
    </w:p>
    <w:p w14:paraId="072CEEE4" w14:textId="42D87CB6" w:rsidR="00CC100A" w:rsidRPr="00FD7813" w:rsidRDefault="00FD7813" w:rsidP="00FD7813">
      <w:pPr>
        <w:autoSpaceDE w:val="0"/>
        <w:autoSpaceDN w:val="0"/>
        <w:adjustRightInd w:val="0"/>
        <w:spacing w:after="0" w:line="480" w:lineRule="auto"/>
        <w:ind w:left="1080" w:hanging="360"/>
        <w:jc w:val="both"/>
        <w:rPr>
          <w:rFonts w:ascii="Arial" w:hAnsi="Arial" w:cs="Arial"/>
          <w:color w:val="242122"/>
          <w:sz w:val="24"/>
          <w:szCs w:val="24"/>
        </w:rPr>
      </w:pPr>
      <w:r>
        <w:rPr>
          <w:rFonts w:ascii="Arial" w:eastAsiaTheme="minorEastAsia" w:hAnsi="Arial" w:cs="Arial"/>
          <w:color w:val="242122"/>
          <w:sz w:val="24"/>
          <w:szCs w:val="24"/>
          <w:lang w:eastAsia="en-ZA"/>
        </w:rPr>
        <w:lastRenderedPageBreak/>
        <w:t>2.</w:t>
      </w:r>
      <w:r>
        <w:rPr>
          <w:rFonts w:ascii="Arial" w:eastAsiaTheme="minorEastAsia" w:hAnsi="Arial" w:cs="Arial"/>
          <w:color w:val="242122"/>
          <w:sz w:val="24"/>
          <w:szCs w:val="24"/>
          <w:lang w:eastAsia="en-ZA"/>
        </w:rPr>
        <w:tab/>
      </w:r>
      <w:r w:rsidR="00CC100A" w:rsidRPr="00FD7813">
        <w:rPr>
          <w:rFonts w:ascii="Arial" w:hAnsi="Arial" w:cs="Arial"/>
          <w:color w:val="242122"/>
          <w:sz w:val="24"/>
          <w:szCs w:val="24"/>
        </w:rPr>
        <w:t>Serve as guiding principles f</w:t>
      </w:r>
      <w:r w:rsidR="00CE2C85" w:rsidRPr="00FD7813">
        <w:rPr>
          <w:rFonts w:ascii="Arial" w:hAnsi="Arial" w:cs="Arial"/>
          <w:color w:val="242122"/>
          <w:sz w:val="24"/>
          <w:szCs w:val="24"/>
        </w:rPr>
        <w:t>or</w:t>
      </w:r>
      <w:r w:rsidR="00CC100A" w:rsidRPr="00FD7813">
        <w:rPr>
          <w:rFonts w:ascii="Arial" w:hAnsi="Arial" w:cs="Arial"/>
          <w:color w:val="242122"/>
          <w:sz w:val="24"/>
          <w:szCs w:val="24"/>
        </w:rPr>
        <w:t xml:space="preserve"> the determination of when and how to supply electricity.</w:t>
      </w:r>
    </w:p>
    <w:p w14:paraId="6AD6BE78" w14:textId="1E0ECAE8" w:rsidR="00CC100A" w:rsidRPr="00FD7813" w:rsidRDefault="00FD7813" w:rsidP="00FD7813">
      <w:pPr>
        <w:autoSpaceDE w:val="0"/>
        <w:autoSpaceDN w:val="0"/>
        <w:adjustRightInd w:val="0"/>
        <w:spacing w:after="0" w:line="480" w:lineRule="auto"/>
        <w:ind w:left="1080" w:hanging="360"/>
        <w:jc w:val="both"/>
        <w:rPr>
          <w:rFonts w:ascii="Arial" w:hAnsi="Arial" w:cs="Arial"/>
          <w:color w:val="242122"/>
          <w:sz w:val="24"/>
          <w:szCs w:val="24"/>
        </w:rPr>
      </w:pPr>
      <w:r w:rsidRPr="00CC100A">
        <w:rPr>
          <w:rFonts w:ascii="Arial" w:eastAsiaTheme="minorEastAsia" w:hAnsi="Arial" w:cs="Arial"/>
          <w:color w:val="242122"/>
          <w:sz w:val="24"/>
          <w:szCs w:val="24"/>
          <w:lang w:eastAsia="en-ZA"/>
        </w:rPr>
        <w:t>3.</w:t>
      </w:r>
      <w:r w:rsidRPr="00CC100A">
        <w:rPr>
          <w:rFonts w:ascii="Arial" w:eastAsiaTheme="minorEastAsia" w:hAnsi="Arial" w:cs="Arial"/>
          <w:color w:val="242122"/>
          <w:sz w:val="24"/>
          <w:szCs w:val="24"/>
          <w:lang w:eastAsia="en-ZA"/>
        </w:rPr>
        <w:tab/>
      </w:r>
      <w:r w:rsidR="00CC100A" w:rsidRPr="00FD7813">
        <w:rPr>
          <w:rFonts w:ascii="Arial" w:hAnsi="Arial" w:cs="Arial"/>
          <w:color w:val="242122"/>
          <w:sz w:val="24"/>
          <w:szCs w:val="24"/>
        </w:rPr>
        <w:t>Operate within the national regulatory frameworks.</w:t>
      </w:r>
    </w:p>
    <w:p w14:paraId="279D5966" w14:textId="77777777" w:rsidR="00FD15D0" w:rsidRPr="00194BC3" w:rsidRDefault="00FD15D0" w:rsidP="00AC1748">
      <w:pPr>
        <w:autoSpaceDE w:val="0"/>
        <w:autoSpaceDN w:val="0"/>
        <w:adjustRightInd w:val="0"/>
        <w:spacing w:after="0" w:line="480" w:lineRule="auto"/>
        <w:jc w:val="both"/>
        <w:rPr>
          <w:rFonts w:ascii="Arial" w:hAnsi="Arial" w:cs="Arial"/>
          <w:color w:val="474446"/>
          <w:sz w:val="24"/>
          <w:szCs w:val="24"/>
        </w:rPr>
      </w:pPr>
    </w:p>
    <w:p w14:paraId="0FEFE896" w14:textId="3F1D5D97" w:rsidR="00CA291C"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7C0DA0">
        <w:rPr>
          <w:rFonts w:ascii="Arial" w:eastAsiaTheme="minorEastAsia" w:hAnsi="Arial" w:cs="Arial"/>
          <w:color w:val="242021"/>
          <w:sz w:val="24"/>
          <w:szCs w:val="24"/>
          <w:lang w:eastAsia="en-ZA"/>
        </w:rPr>
        <w:t>42.</w:t>
      </w:r>
      <w:r w:rsidRPr="007C0DA0">
        <w:rPr>
          <w:rFonts w:ascii="Arial" w:eastAsiaTheme="minorEastAsia" w:hAnsi="Arial" w:cs="Arial"/>
          <w:color w:val="242021"/>
          <w:sz w:val="24"/>
          <w:szCs w:val="24"/>
          <w:lang w:eastAsia="en-ZA"/>
        </w:rPr>
        <w:tab/>
      </w:r>
      <w:r w:rsidR="002C4225" w:rsidRPr="00FD7813">
        <w:rPr>
          <w:rFonts w:ascii="Arial" w:hAnsi="Arial" w:cs="Arial"/>
          <w:color w:val="242122"/>
          <w:sz w:val="24"/>
          <w:szCs w:val="24"/>
        </w:rPr>
        <w:t xml:space="preserve">The Applicant proposed measures to </w:t>
      </w:r>
      <w:r w:rsidR="00FD15D0" w:rsidRPr="00FD7813">
        <w:rPr>
          <w:rFonts w:ascii="Arial" w:hAnsi="Arial" w:cs="Arial"/>
          <w:color w:val="242122"/>
          <w:sz w:val="24"/>
          <w:szCs w:val="24"/>
        </w:rPr>
        <w:t xml:space="preserve">resolve the </w:t>
      </w:r>
      <w:r w:rsidR="002C4225" w:rsidRPr="00FD7813">
        <w:rPr>
          <w:rFonts w:ascii="Arial" w:hAnsi="Arial" w:cs="Arial"/>
          <w:color w:val="242122"/>
          <w:sz w:val="24"/>
          <w:szCs w:val="24"/>
        </w:rPr>
        <w:t>issue by way of redistribution of capacity</w:t>
      </w:r>
      <w:r w:rsidR="00DA6A60" w:rsidRPr="00FD7813">
        <w:rPr>
          <w:rFonts w:ascii="Arial" w:hAnsi="Arial" w:cs="Arial"/>
          <w:color w:val="242122"/>
          <w:sz w:val="24"/>
          <w:szCs w:val="24"/>
        </w:rPr>
        <w:t>. The</w:t>
      </w:r>
      <w:r w:rsidR="00D91B36" w:rsidRPr="00FD7813">
        <w:rPr>
          <w:rFonts w:ascii="Arial" w:hAnsi="Arial" w:cs="Arial"/>
          <w:color w:val="242122"/>
          <w:sz w:val="24"/>
          <w:szCs w:val="24"/>
        </w:rPr>
        <w:t>se</w:t>
      </w:r>
      <w:r w:rsidR="00DA6A60" w:rsidRPr="00FD7813">
        <w:rPr>
          <w:rFonts w:ascii="Arial" w:hAnsi="Arial" w:cs="Arial"/>
          <w:color w:val="242122"/>
          <w:sz w:val="24"/>
          <w:szCs w:val="24"/>
        </w:rPr>
        <w:t xml:space="preserve"> proposed measures will not resolve the issues. </w:t>
      </w:r>
      <w:r w:rsidR="006D480A" w:rsidRPr="00FD7813">
        <w:rPr>
          <w:rFonts w:ascii="Arial" w:hAnsi="Arial" w:cs="Arial"/>
          <w:color w:val="242021"/>
          <w:sz w:val="24"/>
          <w:szCs w:val="24"/>
        </w:rPr>
        <w:t xml:space="preserve">The inadequate capacity allocation results in constant tripping of circuit breakers and </w:t>
      </w:r>
      <w:r w:rsidR="00E42BE0" w:rsidRPr="00FD7813">
        <w:rPr>
          <w:rFonts w:ascii="Arial" w:hAnsi="Arial" w:cs="Arial"/>
          <w:color w:val="242021"/>
          <w:sz w:val="24"/>
          <w:szCs w:val="24"/>
        </w:rPr>
        <w:t>poses</w:t>
      </w:r>
      <w:r w:rsidR="001C7E50" w:rsidRPr="00FD7813">
        <w:rPr>
          <w:rFonts w:ascii="Arial" w:hAnsi="Arial" w:cs="Arial"/>
          <w:color w:val="242021"/>
          <w:sz w:val="24"/>
          <w:szCs w:val="24"/>
        </w:rPr>
        <w:t xml:space="preserve"> a</w:t>
      </w:r>
      <w:r w:rsidR="00E42BE0" w:rsidRPr="00FD7813">
        <w:rPr>
          <w:rFonts w:ascii="Arial" w:hAnsi="Arial" w:cs="Arial"/>
          <w:color w:val="242021"/>
          <w:sz w:val="24"/>
          <w:szCs w:val="24"/>
        </w:rPr>
        <w:t xml:space="preserve"> threat to human life</w:t>
      </w:r>
      <w:r w:rsidR="00221C9F" w:rsidRPr="00FD7813">
        <w:rPr>
          <w:rFonts w:ascii="Arial" w:hAnsi="Arial" w:cs="Arial"/>
          <w:color w:val="242021"/>
          <w:sz w:val="24"/>
          <w:szCs w:val="24"/>
        </w:rPr>
        <w:t>.</w:t>
      </w:r>
      <w:r w:rsidR="00E42BE0" w:rsidRPr="00FD7813">
        <w:rPr>
          <w:rFonts w:ascii="Arial" w:hAnsi="Arial" w:cs="Arial"/>
          <w:color w:val="242021"/>
          <w:sz w:val="24"/>
          <w:szCs w:val="24"/>
        </w:rPr>
        <w:t xml:space="preserve"> </w:t>
      </w:r>
      <w:r w:rsidR="00221C9F" w:rsidRPr="00FD7813">
        <w:rPr>
          <w:rFonts w:ascii="Arial" w:hAnsi="Arial" w:cs="Arial"/>
          <w:color w:val="242021"/>
          <w:sz w:val="24"/>
          <w:szCs w:val="24"/>
        </w:rPr>
        <w:t xml:space="preserve">The effect of outages as a result of inadequate power capacity allocations was brought to the attention of </w:t>
      </w:r>
      <w:r w:rsidR="007E1083" w:rsidRPr="00FD7813">
        <w:rPr>
          <w:rFonts w:ascii="Arial" w:hAnsi="Arial" w:cs="Arial"/>
          <w:color w:val="242021"/>
          <w:sz w:val="24"/>
          <w:szCs w:val="24"/>
        </w:rPr>
        <w:t xml:space="preserve">City Power </w:t>
      </w:r>
      <w:r w:rsidR="00221C9F" w:rsidRPr="00FD7813">
        <w:rPr>
          <w:rFonts w:ascii="Arial" w:hAnsi="Arial" w:cs="Arial"/>
          <w:color w:val="242021"/>
          <w:sz w:val="24"/>
          <w:szCs w:val="24"/>
        </w:rPr>
        <w:t>by the residents of the other developments in the area. In particular by the chairperson of Bushy Park Retirement village one Ms J Gontier who advised by way of an email that neither the committee nor the residents were made aware that the supply of electricity was downgraded. The retirement village has</w:t>
      </w:r>
      <w:r w:rsidR="00EA687A" w:rsidRPr="00FD7813">
        <w:rPr>
          <w:rFonts w:ascii="Arial" w:hAnsi="Arial" w:cs="Arial"/>
          <w:color w:val="242021"/>
          <w:sz w:val="24"/>
          <w:szCs w:val="24"/>
        </w:rPr>
        <w:t xml:space="preserve">  90 year</w:t>
      </w:r>
      <w:r w:rsidR="00EB56CD" w:rsidRPr="00FD7813">
        <w:rPr>
          <w:rFonts w:ascii="Arial" w:hAnsi="Arial" w:cs="Arial"/>
          <w:color w:val="242021"/>
          <w:sz w:val="24"/>
          <w:szCs w:val="24"/>
        </w:rPr>
        <w:t xml:space="preserve"> old </w:t>
      </w:r>
      <w:r w:rsidR="00EA687A" w:rsidRPr="00FD7813">
        <w:rPr>
          <w:rFonts w:ascii="Arial" w:hAnsi="Arial" w:cs="Arial"/>
          <w:color w:val="242021"/>
          <w:sz w:val="24"/>
          <w:szCs w:val="24"/>
        </w:rPr>
        <w:t xml:space="preserve">people </w:t>
      </w:r>
      <w:r w:rsidR="00EB56CD" w:rsidRPr="00FD7813">
        <w:rPr>
          <w:rFonts w:ascii="Arial" w:hAnsi="Arial" w:cs="Arial"/>
          <w:color w:val="242021"/>
          <w:sz w:val="24"/>
          <w:szCs w:val="24"/>
        </w:rPr>
        <w:t>who</w:t>
      </w:r>
      <w:r w:rsidR="00221C9F" w:rsidRPr="00FD7813">
        <w:rPr>
          <w:rFonts w:ascii="Arial" w:hAnsi="Arial" w:cs="Arial"/>
          <w:color w:val="242021"/>
          <w:sz w:val="24"/>
          <w:szCs w:val="24"/>
        </w:rPr>
        <w:t xml:space="preserve"> are constantly dependent on their oxygen machines and emergency medical equipment. The outages caused by Eskom together with the constant tripping of the sub</w:t>
      </w:r>
      <w:r w:rsidR="00DA6A60" w:rsidRPr="00FD7813">
        <w:rPr>
          <w:rFonts w:ascii="Arial" w:hAnsi="Arial" w:cs="Arial"/>
          <w:color w:val="242021"/>
          <w:sz w:val="24"/>
          <w:szCs w:val="24"/>
        </w:rPr>
        <w:t>-</w:t>
      </w:r>
      <w:r w:rsidR="00EA687A" w:rsidRPr="00FD7813">
        <w:rPr>
          <w:rFonts w:ascii="Arial" w:hAnsi="Arial" w:cs="Arial"/>
          <w:color w:val="242021"/>
          <w:sz w:val="24"/>
          <w:szCs w:val="24"/>
        </w:rPr>
        <w:t>station causes</w:t>
      </w:r>
      <w:r w:rsidR="00D91B36" w:rsidRPr="00FD7813">
        <w:rPr>
          <w:rFonts w:ascii="Arial" w:hAnsi="Arial" w:cs="Arial"/>
          <w:color w:val="242021"/>
          <w:sz w:val="24"/>
          <w:szCs w:val="24"/>
        </w:rPr>
        <w:t xml:space="preserve"> </w:t>
      </w:r>
      <w:r w:rsidR="00221C9F" w:rsidRPr="00FD7813">
        <w:rPr>
          <w:rFonts w:ascii="Arial" w:hAnsi="Arial" w:cs="Arial"/>
          <w:color w:val="242021"/>
          <w:sz w:val="24"/>
          <w:szCs w:val="24"/>
        </w:rPr>
        <w:t xml:space="preserve">extreme hardship </w:t>
      </w:r>
      <w:r w:rsidR="00DA6A60" w:rsidRPr="00FD7813">
        <w:rPr>
          <w:rFonts w:ascii="Arial" w:hAnsi="Arial" w:cs="Arial"/>
          <w:color w:val="242021"/>
          <w:sz w:val="24"/>
          <w:szCs w:val="24"/>
        </w:rPr>
        <w:t>for the</w:t>
      </w:r>
      <w:r w:rsidR="00D91B36" w:rsidRPr="00FD7813">
        <w:rPr>
          <w:rFonts w:ascii="Arial" w:hAnsi="Arial" w:cs="Arial"/>
          <w:color w:val="242021"/>
          <w:sz w:val="24"/>
          <w:szCs w:val="24"/>
        </w:rPr>
        <w:t xml:space="preserve"> residents and could pose a threat to human life.</w:t>
      </w:r>
    </w:p>
    <w:p w14:paraId="366BDAE9" w14:textId="77777777" w:rsidR="00FD15D0" w:rsidRPr="00194BC3" w:rsidRDefault="00FD15D0" w:rsidP="00AC1748">
      <w:pPr>
        <w:autoSpaceDE w:val="0"/>
        <w:autoSpaceDN w:val="0"/>
        <w:adjustRightInd w:val="0"/>
        <w:spacing w:after="0" w:line="480" w:lineRule="auto"/>
        <w:jc w:val="both"/>
        <w:rPr>
          <w:rFonts w:ascii="Arial" w:hAnsi="Arial" w:cs="Arial"/>
          <w:color w:val="4B484A"/>
          <w:sz w:val="24"/>
          <w:szCs w:val="24"/>
        </w:rPr>
      </w:pPr>
    </w:p>
    <w:p w14:paraId="20ACC0D1" w14:textId="4E9F1069" w:rsidR="00EB762B"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43.</w:t>
      </w:r>
      <w:r w:rsidRPr="00EB762B">
        <w:rPr>
          <w:rFonts w:ascii="Arial" w:eastAsiaTheme="minorEastAsia" w:hAnsi="Arial" w:cs="Arial"/>
          <w:color w:val="242021"/>
          <w:sz w:val="24"/>
          <w:szCs w:val="24"/>
          <w:lang w:eastAsia="en-ZA"/>
        </w:rPr>
        <w:tab/>
      </w:r>
      <w:r w:rsidR="007E1083" w:rsidRPr="00FD7813">
        <w:rPr>
          <w:rFonts w:ascii="Arial" w:hAnsi="Arial" w:cs="Arial"/>
          <w:color w:val="242021"/>
          <w:sz w:val="24"/>
          <w:szCs w:val="24"/>
        </w:rPr>
        <w:t xml:space="preserve">City Power </w:t>
      </w:r>
      <w:r w:rsidR="00DE5C65" w:rsidRPr="00FD7813">
        <w:rPr>
          <w:rFonts w:ascii="Arial" w:hAnsi="Arial" w:cs="Arial"/>
          <w:color w:val="242021"/>
          <w:sz w:val="24"/>
          <w:szCs w:val="24"/>
        </w:rPr>
        <w:t xml:space="preserve">has previously allowed below standard capacity in respect other </w:t>
      </w:r>
      <w:r w:rsidR="00EE4FF8" w:rsidRPr="00FD7813">
        <w:rPr>
          <w:rFonts w:ascii="Arial" w:hAnsi="Arial" w:cs="Arial"/>
          <w:color w:val="242021"/>
          <w:sz w:val="24"/>
          <w:szCs w:val="24"/>
        </w:rPr>
        <w:t>developments</w:t>
      </w:r>
      <w:r w:rsidR="00DE5C65" w:rsidRPr="00FD7813">
        <w:rPr>
          <w:rFonts w:ascii="Arial" w:hAnsi="Arial" w:cs="Arial"/>
          <w:color w:val="242021"/>
          <w:sz w:val="24"/>
          <w:szCs w:val="24"/>
        </w:rPr>
        <w:t xml:space="preserve"> which developments include </w:t>
      </w:r>
      <w:r w:rsidR="00F015BB" w:rsidRPr="00FD7813">
        <w:rPr>
          <w:rFonts w:ascii="Arial" w:hAnsi="Arial" w:cs="Arial"/>
          <w:sz w:val="24"/>
          <w:szCs w:val="24"/>
        </w:rPr>
        <w:t>Wi</w:t>
      </w:r>
      <w:r w:rsidR="00CA291C" w:rsidRPr="00FD7813">
        <w:rPr>
          <w:rFonts w:ascii="Arial" w:hAnsi="Arial" w:cs="Arial"/>
          <w:sz w:val="24"/>
          <w:szCs w:val="24"/>
        </w:rPr>
        <w:t>lgeheuwel Extension 26 Township</w:t>
      </w:r>
      <w:r w:rsidR="00EE4FF8" w:rsidRPr="00FD7813">
        <w:rPr>
          <w:rFonts w:ascii="Arial" w:hAnsi="Arial" w:cs="Arial"/>
          <w:color w:val="242021"/>
          <w:sz w:val="24"/>
          <w:szCs w:val="24"/>
        </w:rPr>
        <w:t xml:space="preserve">. </w:t>
      </w:r>
      <w:r w:rsidR="007E1083" w:rsidRPr="00FD7813">
        <w:rPr>
          <w:rFonts w:ascii="Arial" w:hAnsi="Arial" w:cs="Arial"/>
          <w:color w:val="242021"/>
          <w:sz w:val="24"/>
          <w:szCs w:val="24"/>
        </w:rPr>
        <w:t>City Power</w:t>
      </w:r>
      <w:r w:rsidR="00733501" w:rsidRPr="00FD7813">
        <w:rPr>
          <w:rFonts w:ascii="Arial" w:hAnsi="Arial" w:cs="Arial"/>
          <w:color w:val="242021"/>
          <w:sz w:val="24"/>
          <w:szCs w:val="24"/>
        </w:rPr>
        <w:t>’s</w:t>
      </w:r>
      <w:r w:rsidR="007E1083" w:rsidRPr="00FD7813">
        <w:rPr>
          <w:rFonts w:ascii="Arial" w:hAnsi="Arial" w:cs="Arial"/>
          <w:color w:val="242021"/>
          <w:sz w:val="24"/>
          <w:szCs w:val="24"/>
        </w:rPr>
        <w:t xml:space="preserve"> </w:t>
      </w:r>
      <w:r w:rsidR="00D91B36" w:rsidRPr="00FD7813">
        <w:rPr>
          <w:rFonts w:ascii="Arial" w:hAnsi="Arial" w:cs="Arial"/>
          <w:color w:val="242021"/>
          <w:sz w:val="24"/>
          <w:szCs w:val="24"/>
        </w:rPr>
        <w:t>approval of</w:t>
      </w:r>
      <w:r w:rsidR="00113F46" w:rsidRPr="00FD7813">
        <w:rPr>
          <w:rFonts w:ascii="Arial" w:hAnsi="Arial" w:cs="Arial"/>
          <w:color w:val="242021"/>
          <w:sz w:val="24"/>
          <w:szCs w:val="24"/>
        </w:rPr>
        <w:t xml:space="preserve"> low capacity for </w:t>
      </w:r>
      <w:r w:rsidR="00F015BB" w:rsidRPr="00FD7813">
        <w:rPr>
          <w:rFonts w:ascii="Arial" w:hAnsi="Arial" w:cs="Arial"/>
          <w:color w:val="242021"/>
          <w:sz w:val="24"/>
          <w:szCs w:val="24"/>
        </w:rPr>
        <w:t>Wi</w:t>
      </w:r>
      <w:r w:rsidR="00221C9F" w:rsidRPr="00FD7813">
        <w:rPr>
          <w:rFonts w:ascii="Arial" w:hAnsi="Arial" w:cs="Arial"/>
          <w:color w:val="242021"/>
          <w:sz w:val="24"/>
          <w:szCs w:val="24"/>
        </w:rPr>
        <w:t>lgeheuwel Extension 26 Township</w:t>
      </w:r>
      <w:r w:rsidR="00D91B36" w:rsidRPr="00FD7813">
        <w:rPr>
          <w:rFonts w:ascii="Arial" w:hAnsi="Arial" w:cs="Arial"/>
          <w:color w:val="242021"/>
          <w:sz w:val="24"/>
          <w:szCs w:val="24"/>
        </w:rPr>
        <w:t xml:space="preserve"> </w:t>
      </w:r>
      <w:r w:rsidR="00CA291C" w:rsidRPr="00FD7813">
        <w:rPr>
          <w:rFonts w:ascii="Arial" w:hAnsi="Arial" w:cs="Arial"/>
          <w:color w:val="242021"/>
          <w:sz w:val="24"/>
          <w:szCs w:val="24"/>
        </w:rPr>
        <w:t>was on the recommendations and calculations of the Applicant's</w:t>
      </w:r>
      <w:r w:rsidR="00EB6A26" w:rsidRPr="00FD7813">
        <w:rPr>
          <w:rFonts w:ascii="Arial" w:hAnsi="Arial" w:cs="Arial"/>
          <w:color w:val="242021"/>
          <w:sz w:val="24"/>
          <w:szCs w:val="24"/>
        </w:rPr>
        <w:t xml:space="preserve"> </w:t>
      </w:r>
      <w:r w:rsidR="00CA291C" w:rsidRPr="00FD7813">
        <w:rPr>
          <w:rFonts w:ascii="Arial" w:hAnsi="Arial" w:cs="Arial"/>
          <w:color w:val="242021"/>
          <w:sz w:val="24"/>
          <w:szCs w:val="24"/>
        </w:rPr>
        <w:t>Engineer</w:t>
      </w:r>
      <w:r w:rsidR="00733501" w:rsidRPr="00FD7813">
        <w:rPr>
          <w:rFonts w:ascii="Arial" w:hAnsi="Arial" w:cs="Arial"/>
          <w:color w:val="242021"/>
          <w:sz w:val="24"/>
          <w:szCs w:val="24"/>
        </w:rPr>
        <w:t>.</w:t>
      </w:r>
      <w:r w:rsidR="00CA291C" w:rsidRPr="00FD7813">
        <w:rPr>
          <w:rFonts w:ascii="Arial" w:hAnsi="Arial" w:cs="Arial"/>
          <w:color w:val="242021"/>
          <w:sz w:val="24"/>
          <w:szCs w:val="24"/>
        </w:rPr>
        <w:t xml:space="preserve"> </w:t>
      </w:r>
      <w:r w:rsidR="00113F46" w:rsidRPr="00FD7813">
        <w:rPr>
          <w:rFonts w:ascii="Arial" w:hAnsi="Arial" w:cs="Arial"/>
          <w:color w:val="242021"/>
          <w:sz w:val="24"/>
          <w:szCs w:val="24"/>
        </w:rPr>
        <w:t>The implementation of solar</w:t>
      </w:r>
      <w:r w:rsidR="00221C9F" w:rsidRPr="00FD7813">
        <w:rPr>
          <w:rFonts w:ascii="Arial" w:hAnsi="Arial" w:cs="Arial"/>
          <w:color w:val="242021"/>
          <w:sz w:val="24"/>
          <w:szCs w:val="24"/>
        </w:rPr>
        <w:t xml:space="preserve"> </w:t>
      </w:r>
      <w:r w:rsidR="00113F46" w:rsidRPr="00FD7813">
        <w:rPr>
          <w:rFonts w:ascii="Arial" w:hAnsi="Arial" w:cs="Arial"/>
          <w:color w:val="242021"/>
          <w:sz w:val="24"/>
          <w:szCs w:val="24"/>
        </w:rPr>
        <w:t xml:space="preserve">generated energy and other alternative sources </w:t>
      </w:r>
      <w:r w:rsidR="00733501" w:rsidRPr="00FD7813">
        <w:rPr>
          <w:rFonts w:ascii="Arial" w:hAnsi="Arial" w:cs="Arial"/>
          <w:color w:val="242021"/>
          <w:sz w:val="24"/>
          <w:szCs w:val="24"/>
        </w:rPr>
        <w:t xml:space="preserve">by the applicant </w:t>
      </w:r>
      <w:r w:rsidR="00113F46" w:rsidRPr="00FD7813">
        <w:rPr>
          <w:rFonts w:ascii="Arial" w:hAnsi="Arial" w:cs="Arial"/>
          <w:color w:val="242021"/>
          <w:sz w:val="24"/>
          <w:szCs w:val="24"/>
        </w:rPr>
        <w:t xml:space="preserve">persuaded </w:t>
      </w:r>
      <w:r w:rsidR="007E1083" w:rsidRPr="00FD7813">
        <w:rPr>
          <w:rFonts w:ascii="Arial" w:hAnsi="Arial" w:cs="Arial"/>
          <w:color w:val="242021"/>
          <w:sz w:val="24"/>
          <w:szCs w:val="24"/>
        </w:rPr>
        <w:t xml:space="preserve">City Power </w:t>
      </w:r>
      <w:r w:rsidR="00113F46" w:rsidRPr="00FD7813">
        <w:rPr>
          <w:rFonts w:ascii="Arial" w:hAnsi="Arial" w:cs="Arial"/>
          <w:color w:val="242021"/>
          <w:sz w:val="24"/>
          <w:szCs w:val="24"/>
        </w:rPr>
        <w:t>to</w:t>
      </w:r>
      <w:r w:rsidR="00221C9F" w:rsidRPr="00FD7813">
        <w:rPr>
          <w:rFonts w:ascii="Arial" w:hAnsi="Arial" w:cs="Arial"/>
          <w:color w:val="242021"/>
          <w:sz w:val="24"/>
          <w:szCs w:val="24"/>
        </w:rPr>
        <w:t xml:space="preserve"> </w:t>
      </w:r>
      <w:r w:rsidR="00113F46" w:rsidRPr="00FD7813">
        <w:rPr>
          <w:rFonts w:ascii="Arial" w:hAnsi="Arial" w:cs="Arial"/>
          <w:color w:val="242021"/>
          <w:sz w:val="24"/>
          <w:szCs w:val="24"/>
        </w:rPr>
        <w:t xml:space="preserve">support the application. </w:t>
      </w:r>
      <w:r w:rsidR="00733501" w:rsidRPr="00FD7813">
        <w:rPr>
          <w:rFonts w:ascii="Arial" w:hAnsi="Arial" w:cs="Arial"/>
          <w:color w:val="242021"/>
          <w:sz w:val="24"/>
          <w:szCs w:val="24"/>
        </w:rPr>
        <w:t>The capacity for the Retirement</w:t>
      </w:r>
      <w:r w:rsidR="00733501" w:rsidRPr="00FD7813">
        <w:rPr>
          <w:rFonts w:ascii="Arial" w:hAnsi="Arial" w:cs="Arial"/>
          <w:color w:val="4B484A"/>
          <w:sz w:val="24"/>
          <w:szCs w:val="24"/>
        </w:rPr>
        <w:t xml:space="preserve"> </w:t>
      </w:r>
      <w:r w:rsidR="00733501" w:rsidRPr="00FD7813">
        <w:rPr>
          <w:rFonts w:ascii="Arial" w:hAnsi="Arial" w:cs="Arial"/>
          <w:color w:val="242021"/>
          <w:sz w:val="24"/>
          <w:szCs w:val="24"/>
        </w:rPr>
        <w:t xml:space="preserve">Village was reduced to cater for the Applicant's </w:t>
      </w:r>
      <w:r w:rsidR="00733501" w:rsidRPr="00FD7813">
        <w:rPr>
          <w:rFonts w:ascii="Arial" w:hAnsi="Arial" w:cs="Arial"/>
          <w:color w:val="242021"/>
          <w:sz w:val="24"/>
          <w:szCs w:val="24"/>
        </w:rPr>
        <w:lastRenderedPageBreak/>
        <w:t>development</w:t>
      </w:r>
      <w:r w:rsidR="00733501" w:rsidRPr="00FD7813">
        <w:rPr>
          <w:rFonts w:ascii="Arial" w:hAnsi="Arial" w:cs="Arial"/>
          <w:color w:val="413E40"/>
          <w:sz w:val="24"/>
          <w:szCs w:val="24"/>
        </w:rPr>
        <w:t xml:space="preserve">. As a result thereof </w:t>
      </w:r>
      <w:r w:rsidR="00733501" w:rsidRPr="00FD7813">
        <w:rPr>
          <w:rFonts w:ascii="Arial" w:hAnsi="Arial" w:cs="Arial"/>
          <w:color w:val="242021"/>
          <w:sz w:val="24"/>
          <w:szCs w:val="24"/>
        </w:rPr>
        <w:t>it has become City Power's duty to upgrade capacity</w:t>
      </w:r>
      <w:r w:rsidR="00733501" w:rsidRPr="00FD7813">
        <w:rPr>
          <w:rFonts w:ascii="Arial" w:hAnsi="Arial" w:cs="Arial"/>
          <w:color w:val="413E40"/>
          <w:sz w:val="24"/>
          <w:szCs w:val="24"/>
        </w:rPr>
        <w:t xml:space="preserve">. </w:t>
      </w:r>
    </w:p>
    <w:p w14:paraId="1E6DD9B6" w14:textId="77777777" w:rsidR="00EB762B" w:rsidRPr="00EB762B" w:rsidRDefault="00EB762B" w:rsidP="00EB762B">
      <w:pPr>
        <w:pStyle w:val="ListParagraph"/>
        <w:rPr>
          <w:rFonts w:ascii="Arial" w:hAnsi="Arial" w:cs="Arial"/>
          <w:color w:val="242021"/>
          <w:sz w:val="24"/>
          <w:szCs w:val="24"/>
        </w:rPr>
      </w:pPr>
    </w:p>
    <w:p w14:paraId="64CBB7AF" w14:textId="7F72F841" w:rsidR="005E6382"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Pr>
          <w:rFonts w:ascii="Arial" w:eastAsiaTheme="minorEastAsia" w:hAnsi="Arial" w:cs="Arial"/>
          <w:color w:val="242021"/>
          <w:sz w:val="24"/>
          <w:szCs w:val="24"/>
          <w:lang w:eastAsia="en-ZA"/>
        </w:rPr>
        <w:t>44.</w:t>
      </w:r>
      <w:r>
        <w:rPr>
          <w:rFonts w:ascii="Arial" w:eastAsiaTheme="minorEastAsia" w:hAnsi="Arial" w:cs="Arial"/>
          <w:color w:val="242021"/>
          <w:sz w:val="24"/>
          <w:szCs w:val="24"/>
          <w:lang w:eastAsia="en-ZA"/>
        </w:rPr>
        <w:tab/>
      </w:r>
      <w:r w:rsidR="0055617F" w:rsidRPr="00FD7813">
        <w:rPr>
          <w:rFonts w:ascii="Arial" w:hAnsi="Arial" w:cs="Arial"/>
          <w:color w:val="242021"/>
          <w:sz w:val="24"/>
          <w:szCs w:val="24"/>
        </w:rPr>
        <w:t>This is not so in the proposed Wilgeheuwel Extension 67 Township development</w:t>
      </w:r>
      <w:r w:rsidR="0055617F" w:rsidRPr="00FD7813">
        <w:rPr>
          <w:rFonts w:ascii="Arial" w:hAnsi="Arial" w:cs="Arial"/>
          <w:color w:val="4B484A"/>
          <w:sz w:val="24"/>
          <w:szCs w:val="24"/>
        </w:rPr>
        <w:t>.</w:t>
      </w:r>
      <w:r w:rsidR="007C0DA0" w:rsidRPr="00FD7813">
        <w:rPr>
          <w:rFonts w:ascii="Arial" w:hAnsi="Arial" w:cs="Arial"/>
          <w:color w:val="4B484A"/>
          <w:sz w:val="24"/>
          <w:szCs w:val="24"/>
        </w:rPr>
        <w:t xml:space="preserve"> </w:t>
      </w:r>
      <w:r w:rsidR="007E1083" w:rsidRPr="00FD7813">
        <w:rPr>
          <w:rFonts w:ascii="Arial" w:hAnsi="Arial" w:cs="Arial"/>
          <w:color w:val="242021"/>
          <w:sz w:val="24"/>
          <w:szCs w:val="24"/>
        </w:rPr>
        <w:t xml:space="preserve">City Power </w:t>
      </w:r>
      <w:r w:rsidR="009D229F" w:rsidRPr="00FD7813">
        <w:rPr>
          <w:rFonts w:ascii="Arial" w:hAnsi="Arial" w:cs="Arial"/>
          <w:color w:val="242021"/>
          <w:sz w:val="24"/>
          <w:szCs w:val="24"/>
        </w:rPr>
        <w:t>deals</w:t>
      </w:r>
      <w:r w:rsidR="00D82504" w:rsidRPr="00FD7813">
        <w:rPr>
          <w:rFonts w:ascii="Arial" w:hAnsi="Arial" w:cs="Arial"/>
          <w:color w:val="242021"/>
          <w:sz w:val="24"/>
          <w:szCs w:val="24"/>
        </w:rPr>
        <w:t xml:space="preserve"> with each development on its merits. Those that are</w:t>
      </w:r>
      <w:r w:rsidR="002771B1" w:rsidRPr="00FD7813">
        <w:rPr>
          <w:rFonts w:ascii="Arial" w:hAnsi="Arial" w:cs="Arial"/>
          <w:color w:val="242021"/>
          <w:sz w:val="24"/>
          <w:szCs w:val="24"/>
        </w:rPr>
        <w:t xml:space="preserve"> </w:t>
      </w:r>
      <w:r w:rsidR="00D82504" w:rsidRPr="00FD7813">
        <w:rPr>
          <w:rFonts w:ascii="Arial" w:hAnsi="Arial" w:cs="Arial"/>
          <w:color w:val="242021"/>
          <w:sz w:val="24"/>
          <w:szCs w:val="24"/>
        </w:rPr>
        <w:t>compliant or show the allocation of alternative capacity from sources such as solar and gas do get the green light even where the ADMD allocation per unit</w:t>
      </w:r>
      <w:r w:rsidR="002771B1" w:rsidRPr="00FD7813">
        <w:rPr>
          <w:rFonts w:ascii="Arial" w:hAnsi="Arial" w:cs="Arial"/>
          <w:color w:val="242021"/>
          <w:sz w:val="24"/>
          <w:szCs w:val="24"/>
        </w:rPr>
        <w:t xml:space="preserve"> </w:t>
      </w:r>
      <w:r w:rsidR="00D82504" w:rsidRPr="00FD7813">
        <w:rPr>
          <w:rFonts w:ascii="Arial" w:hAnsi="Arial" w:cs="Arial"/>
          <w:color w:val="242021"/>
          <w:sz w:val="24"/>
          <w:szCs w:val="24"/>
        </w:rPr>
        <w:t>is lower than w</w:t>
      </w:r>
      <w:r w:rsidR="00A15653" w:rsidRPr="00FD7813">
        <w:rPr>
          <w:rFonts w:ascii="Arial" w:hAnsi="Arial" w:cs="Arial"/>
          <w:color w:val="242021"/>
          <w:sz w:val="24"/>
          <w:szCs w:val="24"/>
        </w:rPr>
        <w:t xml:space="preserve">hat is stipulated in </w:t>
      </w:r>
      <w:r w:rsidR="008D4D25" w:rsidRPr="00FD7813">
        <w:rPr>
          <w:rFonts w:ascii="Arial" w:hAnsi="Arial" w:cs="Arial"/>
          <w:color w:val="242021"/>
          <w:sz w:val="24"/>
          <w:szCs w:val="24"/>
        </w:rPr>
        <w:t>“ the policy “</w:t>
      </w:r>
      <w:r w:rsidR="009D229F" w:rsidRPr="00FD7813">
        <w:rPr>
          <w:rFonts w:ascii="Arial" w:hAnsi="Arial" w:cs="Arial"/>
          <w:color w:val="242021"/>
          <w:sz w:val="24"/>
          <w:szCs w:val="24"/>
        </w:rPr>
        <w:t xml:space="preserve">. </w:t>
      </w:r>
      <w:r w:rsidR="00EB56CD" w:rsidRPr="00FD7813">
        <w:rPr>
          <w:rFonts w:ascii="Arial" w:hAnsi="Arial" w:cs="Arial"/>
          <w:color w:val="242021"/>
          <w:sz w:val="24"/>
          <w:szCs w:val="24"/>
        </w:rPr>
        <w:t>The applicant has this option avail</w:t>
      </w:r>
      <w:r w:rsidR="004613B1" w:rsidRPr="00FD7813">
        <w:rPr>
          <w:rFonts w:ascii="Arial" w:hAnsi="Arial" w:cs="Arial"/>
          <w:color w:val="242021"/>
          <w:sz w:val="24"/>
          <w:szCs w:val="24"/>
        </w:rPr>
        <w:t xml:space="preserve">able to it to increase capacity to </w:t>
      </w:r>
      <w:r w:rsidR="00EB56CD" w:rsidRPr="00FD7813">
        <w:rPr>
          <w:rFonts w:ascii="Arial" w:hAnsi="Arial" w:cs="Arial"/>
          <w:color w:val="242021"/>
          <w:sz w:val="24"/>
          <w:szCs w:val="24"/>
        </w:rPr>
        <w:t>meet the minimum standards of allowable allocations which is 3,5kVa. City Power is dealing with different situations over different times and with</w:t>
      </w:r>
      <w:r w:rsidR="00EB56CD" w:rsidRPr="00FD7813">
        <w:rPr>
          <w:rFonts w:ascii="Arial" w:hAnsi="Arial" w:cs="Arial"/>
          <w:sz w:val="24"/>
          <w:szCs w:val="24"/>
        </w:rPr>
        <w:t xml:space="preserve"> hindsight</w:t>
      </w:r>
      <w:r w:rsidR="0020473A" w:rsidRPr="00FD7813">
        <w:rPr>
          <w:rFonts w:ascii="Arial" w:hAnsi="Arial" w:cs="Arial"/>
          <w:color w:val="242021"/>
          <w:sz w:val="24"/>
          <w:szCs w:val="24"/>
        </w:rPr>
        <w:t>.</w:t>
      </w:r>
      <w:r w:rsidR="00EB762B" w:rsidRPr="00FD7813">
        <w:rPr>
          <w:rFonts w:ascii="Arial" w:hAnsi="Arial" w:cs="Arial"/>
          <w:color w:val="242021"/>
          <w:sz w:val="24"/>
          <w:szCs w:val="24"/>
        </w:rPr>
        <w:t xml:space="preserve"> </w:t>
      </w:r>
      <w:r w:rsidR="0020473A" w:rsidRPr="00FD7813">
        <w:rPr>
          <w:rFonts w:ascii="Arial" w:hAnsi="Arial" w:cs="Arial"/>
          <w:color w:val="242021"/>
          <w:sz w:val="24"/>
          <w:szCs w:val="24"/>
        </w:rPr>
        <w:t>The</w:t>
      </w:r>
      <w:r w:rsidR="006C38F2" w:rsidRPr="00FD7813">
        <w:rPr>
          <w:rFonts w:ascii="Arial" w:hAnsi="Arial" w:cs="Arial"/>
          <w:color w:val="242021"/>
          <w:sz w:val="24"/>
          <w:szCs w:val="24"/>
        </w:rPr>
        <w:t xml:space="preserve"> </w:t>
      </w:r>
      <w:r w:rsidR="00EB56CD" w:rsidRPr="00FD7813">
        <w:rPr>
          <w:rFonts w:ascii="Arial" w:hAnsi="Arial" w:cs="Arial"/>
          <w:color w:val="242021"/>
          <w:sz w:val="24"/>
          <w:szCs w:val="24"/>
        </w:rPr>
        <w:t>agreement of settlement was entered into</w:t>
      </w:r>
      <w:r w:rsidR="006C38F2" w:rsidRPr="00FD7813">
        <w:rPr>
          <w:rFonts w:ascii="Arial" w:hAnsi="Arial" w:cs="Arial"/>
          <w:color w:val="444243"/>
          <w:sz w:val="24"/>
          <w:szCs w:val="24"/>
        </w:rPr>
        <w:t xml:space="preserve"> in 2017</w:t>
      </w:r>
      <w:r w:rsidR="0007444B" w:rsidRPr="00FD7813">
        <w:rPr>
          <w:rFonts w:ascii="Arial" w:hAnsi="Arial" w:cs="Arial"/>
          <w:color w:val="444243"/>
          <w:sz w:val="24"/>
          <w:szCs w:val="24"/>
        </w:rPr>
        <w:t>.</w:t>
      </w:r>
      <w:r w:rsidR="0007444B" w:rsidRPr="00FD7813">
        <w:rPr>
          <w:rFonts w:ascii="Arial" w:hAnsi="Arial" w:cs="Arial"/>
          <w:color w:val="242021"/>
          <w:sz w:val="24"/>
          <w:szCs w:val="24"/>
        </w:rPr>
        <w:t xml:space="preserve"> Power outages have increased in the country</w:t>
      </w:r>
      <w:r w:rsidR="00EB762B" w:rsidRPr="00FD7813">
        <w:rPr>
          <w:rFonts w:ascii="Arial" w:hAnsi="Arial" w:cs="Arial"/>
          <w:color w:val="242021"/>
          <w:sz w:val="24"/>
          <w:szCs w:val="24"/>
        </w:rPr>
        <w:t>.</w:t>
      </w:r>
    </w:p>
    <w:p w14:paraId="29B68A4F" w14:textId="77777777" w:rsidR="00EB762B" w:rsidRPr="00EB762B" w:rsidRDefault="00EB762B" w:rsidP="00EB762B">
      <w:pPr>
        <w:pStyle w:val="ListParagraph"/>
        <w:rPr>
          <w:rFonts w:ascii="Arial" w:hAnsi="Arial" w:cs="Arial"/>
          <w:color w:val="242021"/>
          <w:sz w:val="24"/>
          <w:szCs w:val="24"/>
        </w:rPr>
      </w:pPr>
    </w:p>
    <w:p w14:paraId="7E670F40" w14:textId="2C2F7AA5" w:rsidR="00EB6A26"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45.</w:t>
      </w:r>
      <w:r w:rsidRPr="00EB762B">
        <w:rPr>
          <w:rFonts w:ascii="Arial" w:eastAsiaTheme="minorEastAsia" w:hAnsi="Arial" w:cs="Arial"/>
          <w:color w:val="242021"/>
          <w:sz w:val="24"/>
          <w:szCs w:val="24"/>
          <w:lang w:eastAsia="en-ZA"/>
        </w:rPr>
        <w:tab/>
      </w:r>
      <w:r w:rsidR="00EB6A26" w:rsidRPr="00FD7813">
        <w:rPr>
          <w:rFonts w:ascii="Arial" w:hAnsi="Arial" w:cs="Arial"/>
          <w:color w:val="242021"/>
          <w:sz w:val="24"/>
          <w:szCs w:val="24"/>
        </w:rPr>
        <w:t xml:space="preserve">According to the respondent’s engineer, one Mr De Beer, </w:t>
      </w:r>
      <w:r w:rsidR="00EB6A26" w:rsidRPr="00FD7813">
        <w:rPr>
          <w:rFonts w:ascii="Arial" w:hAnsi="Arial" w:cs="Arial"/>
          <w:color w:val="252122"/>
          <w:sz w:val="24"/>
          <w:szCs w:val="24"/>
        </w:rPr>
        <w:t>these problems are a direct result of inadequate capacity allocation.</w:t>
      </w:r>
      <w:r w:rsidR="00EB6A26" w:rsidRPr="00FD7813">
        <w:rPr>
          <w:rFonts w:ascii="Arial" w:hAnsi="Arial" w:cs="Arial"/>
          <w:color w:val="242021"/>
          <w:sz w:val="24"/>
          <w:szCs w:val="24"/>
        </w:rPr>
        <w:t xml:space="preserve"> In Mr De Beers view the so called 'Large Inrush Currents' happen because of low capacity allocation which in turn results in constant tripping. The 'phenomenon' as submitted by the applicants engineer</w:t>
      </w:r>
      <w:r w:rsidR="0064572B" w:rsidRPr="00FD7813">
        <w:rPr>
          <w:rFonts w:ascii="Arial" w:hAnsi="Arial" w:cs="Arial"/>
          <w:color w:val="242021"/>
          <w:sz w:val="24"/>
          <w:szCs w:val="24"/>
        </w:rPr>
        <w:t xml:space="preserve"> as being the cause of constant tripping</w:t>
      </w:r>
      <w:r w:rsidR="00EB6A26" w:rsidRPr="00FD7813">
        <w:rPr>
          <w:rFonts w:ascii="Arial" w:hAnsi="Arial" w:cs="Arial"/>
          <w:color w:val="242021"/>
          <w:sz w:val="24"/>
          <w:szCs w:val="24"/>
        </w:rPr>
        <w:t xml:space="preserve"> is not experienced in developments where sufficient capacity is in place</w:t>
      </w:r>
      <w:r w:rsidR="00EB6A26" w:rsidRPr="00FD7813">
        <w:rPr>
          <w:rFonts w:ascii="Arial" w:hAnsi="Arial" w:cs="Arial"/>
          <w:color w:val="474546"/>
          <w:sz w:val="24"/>
          <w:szCs w:val="24"/>
        </w:rPr>
        <w:t>.</w:t>
      </w:r>
    </w:p>
    <w:p w14:paraId="6750D300" w14:textId="77777777" w:rsidR="00EB6A26" w:rsidRDefault="00EB6A26" w:rsidP="00EB6A26">
      <w:pPr>
        <w:autoSpaceDE w:val="0"/>
        <w:autoSpaceDN w:val="0"/>
        <w:adjustRightInd w:val="0"/>
        <w:spacing w:after="0" w:line="480" w:lineRule="auto"/>
        <w:jc w:val="both"/>
        <w:rPr>
          <w:rFonts w:ascii="Arial" w:hAnsi="Arial" w:cs="Arial"/>
          <w:color w:val="4B484A"/>
          <w:sz w:val="24"/>
          <w:szCs w:val="24"/>
        </w:rPr>
      </w:pPr>
    </w:p>
    <w:p w14:paraId="57794E47" w14:textId="20D3F286" w:rsidR="001F703B"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46.</w:t>
      </w:r>
      <w:r w:rsidRPr="00EB762B">
        <w:rPr>
          <w:rFonts w:ascii="Arial" w:eastAsiaTheme="minorEastAsia" w:hAnsi="Arial" w:cs="Arial"/>
          <w:color w:val="242021"/>
          <w:sz w:val="24"/>
          <w:szCs w:val="24"/>
          <w:lang w:eastAsia="en-ZA"/>
        </w:rPr>
        <w:tab/>
      </w:r>
      <w:r w:rsidR="00EB6A26" w:rsidRPr="00FD7813">
        <w:rPr>
          <w:rFonts w:ascii="Arial" w:hAnsi="Arial" w:cs="Arial"/>
          <w:color w:val="242021"/>
          <w:sz w:val="24"/>
          <w:szCs w:val="24"/>
        </w:rPr>
        <w:t xml:space="preserve">City Power has realised the folly of its ways given the situation at the retirement village and other developments where it had allowed below standard capacity. </w:t>
      </w:r>
      <w:r w:rsidR="007E1083" w:rsidRPr="00FD7813">
        <w:rPr>
          <w:rFonts w:ascii="Arial" w:hAnsi="Arial" w:cs="Arial"/>
          <w:color w:val="242021"/>
          <w:sz w:val="24"/>
          <w:szCs w:val="24"/>
        </w:rPr>
        <w:t>City Power</w:t>
      </w:r>
      <w:r w:rsidR="0007444B" w:rsidRPr="00FD7813">
        <w:rPr>
          <w:rFonts w:ascii="Arial" w:hAnsi="Arial" w:cs="Arial"/>
          <w:color w:val="242021"/>
          <w:sz w:val="24"/>
          <w:szCs w:val="24"/>
        </w:rPr>
        <w:t xml:space="preserve"> </w:t>
      </w:r>
      <w:r w:rsidR="0059457A" w:rsidRPr="00FD7813">
        <w:rPr>
          <w:rFonts w:ascii="Arial" w:hAnsi="Arial" w:cs="Arial"/>
          <w:color w:val="242021"/>
          <w:sz w:val="24"/>
          <w:szCs w:val="24"/>
        </w:rPr>
        <w:t>refuses to</w:t>
      </w:r>
      <w:r w:rsidR="007E1083" w:rsidRPr="00FD7813">
        <w:rPr>
          <w:rFonts w:ascii="Arial" w:hAnsi="Arial" w:cs="Arial"/>
          <w:color w:val="242021"/>
          <w:sz w:val="24"/>
          <w:szCs w:val="24"/>
        </w:rPr>
        <w:t xml:space="preserve"> </w:t>
      </w:r>
      <w:r w:rsidR="00E6747E" w:rsidRPr="00FD7813">
        <w:rPr>
          <w:rFonts w:ascii="Arial" w:hAnsi="Arial" w:cs="Arial"/>
          <w:color w:val="242021"/>
          <w:sz w:val="24"/>
          <w:szCs w:val="24"/>
        </w:rPr>
        <w:t>support the application</w:t>
      </w:r>
      <w:r w:rsidR="0059457A" w:rsidRPr="00FD7813">
        <w:rPr>
          <w:rFonts w:ascii="Arial" w:hAnsi="Arial" w:cs="Arial"/>
          <w:color w:val="242021"/>
          <w:sz w:val="24"/>
          <w:szCs w:val="24"/>
        </w:rPr>
        <w:t xml:space="preserve"> because</w:t>
      </w:r>
      <w:r w:rsidR="005E6382" w:rsidRPr="00FD7813">
        <w:rPr>
          <w:rFonts w:ascii="Arial" w:hAnsi="Arial" w:cs="Arial"/>
          <w:color w:val="242021"/>
          <w:sz w:val="24"/>
          <w:szCs w:val="24"/>
        </w:rPr>
        <w:t xml:space="preserve"> t</w:t>
      </w:r>
      <w:r w:rsidR="00906A77" w:rsidRPr="00FD7813">
        <w:rPr>
          <w:rFonts w:ascii="Arial" w:hAnsi="Arial" w:cs="Arial"/>
          <w:color w:val="242021"/>
          <w:sz w:val="24"/>
          <w:szCs w:val="24"/>
        </w:rPr>
        <w:t>here will be serious overloading of the system that will cause persistent</w:t>
      </w:r>
      <w:r w:rsidR="0044484F" w:rsidRPr="00FD7813">
        <w:rPr>
          <w:rFonts w:ascii="Arial" w:hAnsi="Arial" w:cs="Arial"/>
          <w:color w:val="242021"/>
          <w:sz w:val="24"/>
          <w:szCs w:val="24"/>
        </w:rPr>
        <w:t xml:space="preserve"> </w:t>
      </w:r>
      <w:r w:rsidR="00906A77" w:rsidRPr="00FD7813">
        <w:rPr>
          <w:rFonts w:ascii="Arial" w:hAnsi="Arial" w:cs="Arial"/>
          <w:color w:val="242021"/>
          <w:sz w:val="24"/>
          <w:szCs w:val="24"/>
        </w:rPr>
        <w:t>tripping o</w:t>
      </w:r>
      <w:r w:rsidR="00E6747E" w:rsidRPr="00FD7813">
        <w:rPr>
          <w:rFonts w:ascii="Arial" w:hAnsi="Arial" w:cs="Arial"/>
          <w:color w:val="242021"/>
          <w:sz w:val="24"/>
          <w:szCs w:val="24"/>
        </w:rPr>
        <w:t>f circu</w:t>
      </w:r>
      <w:r w:rsidR="001E3E76" w:rsidRPr="00FD7813">
        <w:rPr>
          <w:rFonts w:ascii="Arial" w:hAnsi="Arial" w:cs="Arial"/>
          <w:color w:val="242021"/>
          <w:sz w:val="24"/>
          <w:szCs w:val="24"/>
        </w:rPr>
        <w:t>it breakers and pose</w:t>
      </w:r>
      <w:r w:rsidR="0059457A" w:rsidRPr="00FD7813">
        <w:rPr>
          <w:rFonts w:ascii="Arial" w:hAnsi="Arial" w:cs="Arial"/>
          <w:color w:val="242021"/>
          <w:sz w:val="24"/>
          <w:szCs w:val="24"/>
        </w:rPr>
        <w:t xml:space="preserve"> a risk to human life</w:t>
      </w:r>
      <w:r w:rsidR="0007444B" w:rsidRPr="00FD7813">
        <w:rPr>
          <w:rFonts w:ascii="Arial" w:hAnsi="Arial" w:cs="Arial"/>
          <w:color w:val="242021"/>
          <w:sz w:val="24"/>
          <w:szCs w:val="24"/>
        </w:rPr>
        <w:t xml:space="preserve"> and which will place an undue burden on its future operations</w:t>
      </w:r>
    </w:p>
    <w:p w14:paraId="11AAD38B" w14:textId="77777777" w:rsidR="00EB56CD" w:rsidRDefault="00EB56CD" w:rsidP="00AC1748">
      <w:pPr>
        <w:spacing w:after="0" w:line="480" w:lineRule="auto"/>
        <w:jc w:val="both"/>
        <w:rPr>
          <w:rFonts w:ascii="Arial" w:hAnsi="Arial" w:cs="Arial"/>
          <w:color w:val="242021"/>
          <w:sz w:val="24"/>
          <w:szCs w:val="24"/>
        </w:rPr>
      </w:pPr>
    </w:p>
    <w:p w14:paraId="10651FFB" w14:textId="69F807C7" w:rsidR="006373D3" w:rsidRPr="00FD7813" w:rsidRDefault="00FD7813" w:rsidP="00FD7813">
      <w:pPr>
        <w:spacing w:after="0" w:line="480" w:lineRule="auto"/>
        <w:ind w:left="720" w:hanging="360"/>
        <w:jc w:val="both"/>
        <w:rPr>
          <w:rFonts w:ascii="Arial" w:hAnsi="Arial" w:cs="Arial"/>
          <w:color w:val="242021"/>
          <w:sz w:val="24"/>
          <w:szCs w:val="24"/>
        </w:rPr>
      </w:pPr>
      <w:r>
        <w:rPr>
          <w:rFonts w:ascii="Arial" w:eastAsiaTheme="minorEastAsia" w:hAnsi="Arial" w:cs="Arial"/>
          <w:color w:val="242021"/>
          <w:sz w:val="24"/>
          <w:szCs w:val="24"/>
          <w:lang w:eastAsia="en-ZA"/>
        </w:rPr>
        <w:t>47.</w:t>
      </w:r>
      <w:r>
        <w:rPr>
          <w:rFonts w:ascii="Arial" w:eastAsiaTheme="minorEastAsia" w:hAnsi="Arial" w:cs="Arial"/>
          <w:color w:val="242021"/>
          <w:sz w:val="24"/>
          <w:szCs w:val="24"/>
          <w:lang w:eastAsia="en-ZA"/>
        </w:rPr>
        <w:tab/>
      </w:r>
      <w:r w:rsidR="001B16CD" w:rsidRPr="00FD7813">
        <w:rPr>
          <w:rFonts w:ascii="Arial" w:hAnsi="Arial" w:cs="Arial"/>
          <w:color w:val="242021"/>
          <w:sz w:val="24"/>
          <w:szCs w:val="24"/>
        </w:rPr>
        <w:t xml:space="preserve">On evaluation of the facts before this court it is evident that the </w:t>
      </w:r>
      <w:r w:rsidR="009F6D8C" w:rsidRPr="00FD7813">
        <w:rPr>
          <w:rFonts w:ascii="Arial" w:hAnsi="Arial" w:cs="Arial"/>
          <w:color w:val="242021"/>
          <w:sz w:val="24"/>
          <w:szCs w:val="24"/>
        </w:rPr>
        <w:t>Applicant was guided in</w:t>
      </w:r>
      <w:r w:rsidR="00AB3316" w:rsidRPr="00FD7813">
        <w:rPr>
          <w:rFonts w:ascii="Arial" w:hAnsi="Arial" w:cs="Arial"/>
          <w:color w:val="242021"/>
          <w:sz w:val="24"/>
          <w:szCs w:val="24"/>
        </w:rPr>
        <w:t xml:space="preserve"> </w:t>
      </w:r>
      <w:r w:rsidR="001B16CD" w:rsidRPr="00FD7813">
        <w:rPr>
          <w:rFonts w:ascii="Arial" w:hAnsi="Arial" w:cs="Arial"/>
          <w:color w:val="242021"/>
          <w:sz w:val="24"/>
          <w:szCs w:val="24"/>
        </w:rPr>
        <w:t>its development</w:t>
      </w:r>
      <w:r w:rsidR="00AB3316" w:rsidRPr="00FD7813">
        <w:rPr>
          <w:rFonts w:ascii="Arial" w:hAnsi="Arial" w:cs="Arial"/>
          <w:color w:val="242021"/>
          <w:sz w:val="24"/>
          <w:szCs w:val="24"/>
        </w:rPr>
        <w:t xml:space="preserve"> as a business venture </w:t>
      </w:r>
      <w:r w:rsidR="009F6D8C" w:rsidRPr="00FD7813">
        <w:rPr>
          <w:rFonts w:ascii="Arial" w:hAnsi="Arial" w:cs="Arial"/>
          <w:color w:val="242021"/>
          <w:sz w:val="24"/>
          <w:szCs w:val="24"/>
        </w:rPr>
        <w:t>by the agreement enter</w:t>
      </w:r>
      <w:r w:rsidR="00227E66" w:rsidRPr="00FD7813">
        <w:rPr>
          <w:rFonts w:ascii="Arial" w:hAnsi="Arial" w:cs="Arial"/>
          <w:color w:val="242021"/>
          <w:sz w:val="24"/>
          <w:szCs w:val="24"/>
        </w:rPr>
        <w:t>ed into by the parties</w:t>
      </w:r>
      <w:r w:rsidR="001E2AA0" w:rsidRPr="00FD7813">
        <w:rPr>
          <w:rFonts w:ascii="Arial" w:hAnsi="Arial" w:cs="Arial"/>
          <w:color w:val="242021"/>
          <w:sz w:val="24"/>
          <w:szCs w:val="24"/>
        </w:rPr>
        <w:t>.</w:t>
      </w:r>
      <w:r w:rsidR="00227E66" w:rsidRPr="00FD7813">
        <w:rPr>
          <w:rFonts w:ascii="Arial" w:hAnsi="Arial" w:cs="Arial"/>
          <w:color w:val="242021"/>
          <w:sz w:val="24"/>
          <w:szCs w:val="24"/>
        </w:rPr>
        <w:t xml:space="preserve"> </w:t>
      </w:r>
      <w:r w:rsidR="00AB3316" w:rsidRPr="00FD7813">
        <w:rPr>
          <w:rFonts w:ascii="Arial" w:hAnsi="Arial" w:cs="Arial"/>
          <w:color w:val="242021"/>
          <w:sz w:val="24"/>
          <w:szCs w:val="24"/>
        </w:rPr>
        <w:t xml:space="preserve">The Applicants proposal to deal with the issue of tripping by way of </w:t>
      </w:r>
      <w:r w:rsidR="001B16CD" w:rsidRPr="00FD7813">
        <w:rPr>
          <w:rFonts w:ascii="Arial" w:hAnsi="Arial" w:cs="Arial"/>
          <w:color w:val="242021"/>
          <w:sz w:val="24"/>
          <w:szCs w:val="24"/>
        </w:rPr>
        <w:t>redistribution</w:t>
      </w:r>
      <w:r w:rsidR="00AB3316" w:rsidRPr="00FD7813">
        <w:rPr>
          <w:rFonts w:ascii="Arial" w:hAnsi="Arial" w:cs="Arial"/>
          <w:color w:val="242021"/>
          <w:sz w:val="24"/>
          <w:szCs w:val="24"/>
        </w:rPr>
        <w:t xml:space="preserve"> does not assist the applicant </w:t>
      </w:r>
      <w:r w:rsidR="00C703B4" w:rsidRPr="00FD7813">
        <w:rPr>
          <w:rFonts w:ascii="Arial" w:hAnsi="Arial" w:cs="Arial"/>
          <w:color w:val="242021"/>
          <w:sz w:val="24"/>
          <w:szCs w:val="24"/>
        </w:rPr>
        <w:t xml:space="preserve">in the allocation of electricity over the remaining units in complying with </w:t>
      </w:r>
      <w:r w:rsidR="00E92492" w:rsidRPr="00FD7813">
        <w:rPr>
          <w:rFonts w:ascii="Arial" w:hAnsi="Arial" w:cs="Arial"/>
          <w:color w:val="242021"/>
          <w:sz w:val="24"/>
          <w:szCs w:val="24"/>
        </w:rPr>
        <w:t>“</w:t>
      </w:r>
      <w:r w:rsidR="0059457A" w:rsidRPr="00FD7813">
        <w:rPr>
          <w:rFonts w:ascii="Arial" w:hAnsi="Arial" w:cs="Arial"/>
          <w:color w:val="242021"/>
          <w:sz w:val="24"/>
          <w:szCs w:val="24"/>
        </w:rPr>
        <w:t>the policy</w:t>
      </w:r>
      <w:r w:rsidR="00EB6A26" w:rsidRPr="00FD7813">
        <w:rPr>
          <w:rFonts w:ascii="Arial" w:hAnsi="Arial" w:cs="Arial"/>
          <w:color w:val="242021"/>
          <w:sz w:val="24"/>
          <w:szCs w:val="24"/>
        </w:rPr>
        <w:t>”</w:t>
      </w:r>
      <w:r w:rsidR="0059457A" w:rsidRPr="00FD7813">
        <w:rPr>
          <w:rFonts w:ascii="Arial" w:hAnsi="Arial" w:cs="Arial"/>
          <w:color w:val="242021"/>
          <w:sz w:val="24"/>
          <w:szCs w:val="24"/>
        </w:rPr>
        <w:t>.</w:t>
      </w:r>
      <w:r w:rsidR="00EB6A26" w:rsidRPr="00FD7813">
        <w:rPr>
          <w:rFonts w:ascii="Arial" w:hAnsi="Arial" w:cs="Arial"/>
          <w:color w:val="242021"/>
          <w:sz w:val="24"/>
          <w:szCs w:val="24"/>
        </w:rPr>
        <w:t xml:space="preserve"> </w:t>
      </w:r>
      <w:r w:rsidR="00F24BA0" w:rsidRPr="00FD7813">
        <w:rPr>
          <w:rFonts w:ascii="Arial" w:hAnsi="Arial" w:cs="Arial"/>
          <w:color w:val="242021"/>
          <w:sz w:val="24"/>
          <w:szCs w:val="24"/>
        </w:rPr>
        <w:t>T</w:t>
      </w:r>
      <w:r w:rsidR="00821810" w:rsidRPr="00FD7813">
        <w:rPr>
          <w:rFonts w:ascii="Arial" w:hAnsi="Arial" w:cs="Arial"/>
          <w:color w:val="242021"/>
          <w:sz w:val="24"/>
          <w:szCs w:val="24"/>
        </w:rPr>
        <w:t>his will cause serious overloading</w:t>
      </w:r>
      <w:r w:rsidR="00F24BA0" w:rsidRPr="00FD7813">
        <w:rPr>
          <w:rFonts w:ascii="Arial" w:hAnsi="Arial" w:cs="Arial"/>
          <w:color w:val="242021"/>
          <w:sz w:val="24"/>
          <w:szCs w:val="24"/>
        </w:rPr>
        <w:t xml:space="preserve"> of the system</w:t>
      </w:r>
      <w:r w:rsidR="00821810" w:rsidRPr="00FD7813">
        <w:rPr>
          <w:rFonts w:ascii="Arial" w:hAnsi="Arial" w:cs="Arial"/>
          <w:color w:val="242021"/>
          <w:sz w:val="24"/>
          <w:szCs w:val="24"/>
        </w:rPr>
        <w:t xml:space="preserve">. </w:t>
      </w:r>
      <w:r w:rsidR="00227E66" w:rsidRPr="00FD7813">
        <w:rPr>
          <w:rFonts w:ascii="Arial" w:hAnsi="Arial" w:cs="Arial"/>
          <w:color w:val="242021"/>
          <w:sz w:val="24"/>
          <w:szCs w:val="24"/>
        </w:rPr>
        <w:t>T</w:t>
      </w:r>
      <w:r w:rsidR="00C703B4" w:rsidRPr="00FD7813">
        <w:rPr>
          <w:rFonts w:ascii="Arial" w:hAnsi="Arial" w:cs="Arial"/>
          <w:color w:val="242021"/>
          <w:sz w:val="24"/>
          <w:szCs w:val="24"/>
        </w:rPr>
        <w:t xml:space="preserve">he applicants </w:t>
      </w:r>
      <w:r w:rsidR="00227E66" w:rsidRPr="00FD7813">
        <w:rPr>
          <w:rFonts w:ascii="Arial" w:hAnsi="Arial" w:cs="Arial"/>
          <w:color w:val="242021"/>
          <w:sz w:val="24"/>
          <w:szCs w:val="24"/>
        </w:rPr>
        <w:t>w</w:t>
      </w:r>
      <w:r w:rsidR="001E2AA0" w:rsidRPr="00FD7813">
        <w:rPr>
          <w:rFonts w:ascii="Arial" w:hAnsi="Arial" w:cs="Arial"/>
          <w:color w:val="242021"/>
          <w:sz w:val="24"/>
          <w:szCs w:val="24"/>
        </w:rPr>
        <w:t>ere aware of the existence of “</w:t>
      </w:r>
      <w:r w:rsidR="00E92492" w:rsidRPr="00FD7813">
        <w:rPr>
          <w:rFonts w:ascii="Arial" w:hAnsi="Arial" w:cs="Arial"/>
          <w:color w:val="242021"/>
          <w:sz w:val="24"/>
          <w:szCs w:val="24"/>
        </w:rPr>
        <w:t>the policy</w:t>
      </w:r>
      <w:r w:rsidR="00821810" w:rsidRPr="00FD7813">
        <w:rPr>
          <w:rFonts w:ascii="Arial" w:hAnsi="Arial" w:cs="Arial"/>
          <w:color w:val="242021"/>
          <w:sz w:val="24"/>
          <w:szCs w:val="24"/>
        </w:rPr>
        <w:t xml:space="preserve"> </w:t>
      </w:r>
      <w:r w:rsidR="00E92492" w:rsidRPr="00FD7813">
        <w:rPr>
          <w:rFonts w:ascii="Arial" w:hAnsi="Arial" w:cs="Arial"/>
          <w:color w:val="242021"/>
          <w:sz w:val="24"/>
          <w:szCs w:val="24"/>
        </w:rPr>
        <w:t>“</w:t>
      </w:r>
      <w:r w:rsidR="00227E66" w:rsidRPr="00FD7813">
        <w:rPr>
          <w:rFonts w:ascii="Arial" w:hAnsi="Arial" w:cs="Arial"/>
          <w:color w:val="242021"/>
          <w:sz w:val="24"/>
          <w:szCs w:val="24"/>
        </w:rPr>
        <w:t xml:space="preserve">from the inception of its company. Its </w:t>
      </w:r>
      <w:r w:rsidR="00C703B4" w:rsidRPr="00FD7813">
        <w:rPr>
          <w:rFonts w:ascii="Arial" w:hAnsi="Arial" w:cs="Arial"/>
          <w:color w:val="242021"/>
          <w:sz w:val="24"/>
          <w:szCs w:val="24"/>
        </w:rPr>
        <w:t xml:space="preserve">contention that </w:t>
      </w:r>
      <w:r w:rsidR="00227E66" w:rsidRPr="00FD7813">
        <w:rPr>
          <w:rFonts w:ascii="Arial" w:hAnsi="Arial" w:cs="Arial"/>
          <w:color w:val="242021"/>
          <w:sz w:val="24"/>
          <w:szCs w:val="24"/>
        </w:rPr>
        <w:t xml:space="preserve">City Power </w:t>
      </w:r>
      <w:r w:rsidR="00C703B4" w:rsidRPr="00FD7813">
        <w:rPr>
          <w:rFonts w:ascii="Arial" w:hAnsi="Arial" w:cs="Arial"/>
          <w:color w:val="242021"/>
          <w:sz w:val="24"/>
          <w:szCs w:val="24"/>
        </w:rPr>
        <w:t xml:space="preserve">is not bound by </w:t>
      </w:r>
      <w:r w:rsidR="008D4D25" w:rsidRPr="00FD7813">
        <w:rPr>
          <w:rFonts w:ascii="Arial" w:hAnsi="Arial" w:cs="Arial"/>
          <w:color w:val="242021"/>
          <w:sz w:val="24"/>
          <w:szCs w:val="24"/>
        </w:rPr>
        <w:t xml:space="preserve">“the policy </w:t>
      </w:r>
      <w:r w:rsidR="00EB6A26" w:rsidRPr="00FD7813">
        <w:rPr>
          <w:rFonts w:ascii="Arial" w:hAnsi="Arial" w:cs="Arial"/>
          <w:color w:val="242021"/>
          <w:sz w:val="24"/>
          <w:szCs w:val="24"/>
        </w:rPr>
        <w:t>“because</w:t>
      </w:r>
      <w:r w:rsidR="00E92492" w:rsidRPr="00FD7813">
        <w:rPr>
          <w:rFonts w:ascii="Arial" w:hAnsi="Arial" w:cs="Arial"/>
          <w:color w:val="242021"/>
          <w:sz w:val="24"/>
          <w:szCs w:val="24"/>
        </w:rPr>
        <w:t xml:space="preserve"> </w:t>
      </w:r>
      <w:r w:rsidR="0059457A" w:rsidRPr="00FD7813">
        <w:rPr>
          <w:rFonts w:ascii="Arial" w:hAnsi="Arial" w:cs="Arial"/>
          <w:color w:val="242021"/>
          <w:sz w:val="24"/>
          <w:szCs w:val="24"/>
        </w:rPr>
        <w:t xml:space="preserve">of its previous </w:t>
      </w:r>
      <w:r w:rsidR="00EB6A26" w:rsidRPr="00FD7813">
        <w:rPr>
          <w:rFonts w:ascii="Arial" w:hAnsi="Arial" w:cs="Arial"/>
          <w:color w:val="242021"/>
          <w:sz w:val="24"/>
          <w:szCs w:val="24"/>
        </w:rPr>
        <w:t>ill-advised</w:t>
      </w:r>
      <w:r w:rsidR="004613B1" w:rsidRPr="00FD7813">
        <w:rPr>
          <w:rFonts w:ascii="Arial" w:hAnsi="Arial" w:cs="Arial"/>
          <w:color w:val="242021"/>
          <w:sz w:val="24"/>
          <w:szCs w:val="24"/>
        </w:rPr>
        <w:t xml:space="preserve"> conduct</w:t>
      </w:r>
      <w:r w:rsidR="00C703B4" w:rsidRPr="00FD7813">
        <w:rPr>
          <w:rFonts w:ascii="Arial" w:hAnsi="Arial" w:cs="Arial"/>
          <w:color w:val="242021"/>
          <w:sz w:val="24"/>
          <w:szCs w:val="24"/>
        </w:rPr>
        <w:t xml:space="preserve"> cannot be sustained</w:t>
      </w:r>
      <w:r w:rsidR="00E92492" w:rsidRPr="00FD7813">
        <w:rPr>
          <w:rFonts w:ascii="Arial" w:hAnsi="Arial" w:cs="Arial"/>
          <w:color w:val="242021"/>
          <w:sz w:val="24"/>
          <w:szCs w:val="24"/>
        </w:rPr>
        <w:t>.</w:t>
      </w:r>
      <w:r w:rsidR="00C703B4" w:rsidRPr="00FD7813">
        <w:rPr>
          <w:rFonts w:ascii="Arial" w:hAnsi="Arial" w:cs="Arial"/>
          <w:color w:val="242021"/>
          <w:sz w:val="24"/>
          <w:szCs w:val="24"/>
        </w:rPr>
        <w:t xml:space="preserve"> </w:t>
      </w:r>
      <w:r w:rsidR="00E92492" w:rsidRPr="00FD7813">
        <w:rPr>
          <w:rFonts w:ascii="Arial" w:hAnsi="Arial" w:cs="Arial"/>
          <w:color w:val="242021"/>
          <w:sz w:val="24"/>
          <w:szCs w:val="24"/>
        </w:rPr>
        <w:t>T</w:t>
      </w:r>
      <w:r w:rsidR="00227E66" w:rsidRPr="00FD7813">
        <w:rPr>
          <w:rFonts w:ascii="Arial" w:hAnsi="Arial" w:cs="Arial"/>
          <w:color w:val="242021"/>
          <w:sz w:val="24"/>
          <w:szCs w:val="24"/>
        </w:rPr>
        <w:t>he policy is in place for a specific purpose which is prescriptive as to what is expected of</w:t>
      </w:r>
      <w:r w:rsidR="00EB6A26" w:rsidRPr="00FD7813">
        <w:rPr>
          <w:rFonts w:ascii="Arial" w:hAnsi="Arial" w:cs="Arial"/>
          <w:color w:val="242021"/>
          <w:sz w:val="24"/>
          <w:szCs w:val="24"/>
        </w:rPr>
        <w:t xml:space="preserve"> both the Applicant</w:t>
      </w:r>
      <w:r w:rsidR="00227E66" w:rsidRPr="00FD7813">
        <w:rPr>
          <w:rFonts w:ascii="Arial" w:hAnsi="Arial" w:cs="Arial"/>
          <w:color w:val="242021"/>
          <w:sz w:val="24"/>
          <w:szCs w:val="24"/>
        </w:rPr>
        <w:t xml:space="preserve"> </w:t>
      </w:r>
      <w:r w:rsidR="00F24BA0" w:rsidRPr="00FD7813">
        <w:rPr>
          <w:rFonts w:ascii="Arial" w:hAnsi="Arial" w:cs="Arial"/>
          <w:color w:val="242021"/>
          <w:sz w:val="24"/>
          <w:szCs w:val="24"/>
        </w:rPr>
        <w:t>and City Power</w:t>
      </w:r>
      <w:r w:rsidR="006C38F2" w:rsidRPr="00FD7813">
        <w:rPr>
          <w:rFonts w:ascii="Arial" w:hAnsi="Arial" w:cs="Arial"/>
          <w:color w:val="242021"/>
          <w:sz w:val="24"/>
          <w:szCs w:val="24"/>
        </w:rPr>
        <w:t>.</w:t>
      </w:r>
      <w:r w:rsidR="00F24BA0" w:rsidRPr="00FD7813">
        <w:rPr>
          <w:rFonts w:ascii="Arial" w:hAnsi="Arial" w:cs="Arial"/>
          <w:color w:val="242021"/>
          <w:sz w:val="24"/>
          <w:szCs w:val="24"/>
        </w:rPr>
        <w:t xml:space="preserve"> </w:t>
      </w:r>
      <w:r w:rsidR="007E1083" w:rsidRPr="00FD7813">
        <w:rPr>
          <w:rFonts w:ascii="Arial" w:hAnsi="Arial" w:cs="Arial"/>
          <w:color w:val="242021"/>
          <w:sz w:val="24"/>
          <w:szCs w:val="24"/>
        </w:rPr>
        <w:t xml:space="preserve">City Power </w:t>
      </w:r>
      <w:r w:rsidR="00722D87" w:rsidRPr="00FD7813">
        <w:rPr>
          <w:rFonts w:ascii="Arial" w:hAnsi="Arial" w:cs="Arial"/>
          <w:color w:val="242021"/>
          <w:sz w:val="24"/>
          <w:szCs w:val="24"/>
        </w:rPr>
        <w:t xml:space="preserve">acted irresponsibly in the drafting </w:t>
      </w:r>
      <w:r w:rsidR="00EB6A26" w:rsidRPr="00FD7813">
        <w:rPr>
          <w:rFonts w:ascii="Arial" w:hAnsi="Arial" w:cs="Arial"/>
          <w:color w:val="242021"/>
          <w:sz w:val="24"/>
          <w:szCs w:val="24"/>
        </w:rPr>
        <w:t>and acceptance</w:t>
      </w:r>
      <w:r w:rsidR="00227E66" w:rsidRPr="00FD7813">
        <w:rPr>
          <w:rFonts w:ascii="Arial" w:hAnsi="Arial" w:cs="Arial"/>
          <w:color w:val="242021"/>
          <w:sz w:val="24"/>
          <w:szCs w:val="24"/>
        </w:rPr>
        <w:t xml:space="preserve"> of the said agreement</w:t>
      </w:r>
      <w:r w:rsidR="00E92492" w:rsidRPr="00FD7813">
        <w:rPr>
          <w:rFonts w:ascii="Arial" w:hAnsi="Arial" w:cs="Arial"/>
          <w:color w:val="242021"/>
          <w:sz w:val="24"/>
          <w:szCs w:val="24"/>
        </w:rPr>
        <w:t xml:space="preserve"> as did </w:t>
      </w:r>
      <w:r w:rsidR="006373D3" w:rsidRPr="00FD7813">
        <w:rPr>
          <w:rFonts w:ascii="Arial" w:hAnsi="Arial" w:cs="Arial"/>
          <w:color w:val="242021"/>
          <w:sz w:val="24"/>
          <w:szCs w:val="24"/>
        </w:rPr>
        <w:t>the applicant in its quest to obtain maximum value out of its development.</w:t>
      </w:r>
    </w:p>
    <w:p w14:paraId="2CCD433D" w14:textId="77777777" w:rsidR="00EB762B" w:rsidRPr="00EB762B" w:rsidRDefault="00EB762B" w:rsidP="00EB762B">
      <w:pPr>
        <w:spacing w:after="0" w:line="480" w:lineRule="auto"/>
        <w:jc w:val="both"/>
        <w:rPr>
          <w:rFonts w:ascii="Arial" w:hAnsi="Arial" w:cs="Arial"/>
          <w:color w:val="242021"/>
          <w:sz w:val="24"/>
          <w:szCs w:val="24"/>
        </w:rPr>
      </w:pPr>
    </w:p>
    <w:p w14:paraId="28DE6881" w14:textId="091A5A9F" w:rsidR="009F6D8C" w:rsidRPr="00FD7813" w:rsidRDefault="00FD7813" w:rsidP="00FD7813">
      <w:pPr>
        <w:spacing w:after="0" w:line="480" w:lineRule="auto"/>
        <w:ind w:left="720" w:hanging="360"/>
        <w:jc w:val="both"/>
        <w:rPr>
          <w:rFonts w:ascii="Arial" w:hAnsi="Arial" w:cs="Arial"/>
          <w:color w:val="242021"/>
          <w:sz w:val="24"/>
          <w:szCs w:val="24"/>
        </w:rPr>
      </w:pPr>
      <w:r>
        <w:rPr>
          <w:rFonts w:ascii="Arial" w:eastAsiaTheme="minorEastAsia" w:hAnsi="Arial" w:cs="Arial"/>
          <w:color w:val="242021"/>
          <w:sz w:val="24"/>
          <w:szCs w:val="24"/>
          <w:lang w:eastAsia="en-ZA"/>
        </w:rPr>
        <w:t>48.</w:t>
      </w:r>
      <w:r>
        <w:rPr>
          <w:rFonts w:ascii="Arial" w:eastAsiaTheme="minorEastAsia" w:hAnsi="Arial" w:cs="Arial"/>
          <w:color w:val="242021"/>
          <w:sz w:val="24"/>
          <w:szCs w:val="24"/>
          <w:lang w:eastAsia="en-ZA"/>
        </w:rPr>
        <w:tab/>
      </w:r>
      <w:r w:rsidR="009654DA" w:rsidRPr="00FD7813">
        <w:rPr>
          <w:rFonts w:ascii="Arial" w:hAnsi="Arial" w:cs="Arial"/>
          <w:color w:val="242021"/>
          <w:sz w:val="24"/>
          <w:szCs w:val="24"/>
        </w:rPr>
        <w:t xml:space="preserve">The policy was already in existence </w:t>
      </w:r>
      <w:r w:rsidR="007866A5" w:rsidRPr="00FD7813">
        <w:rPr>
          <w:rFonts w:ascii="Arial" w:hAnsi="Arial" w:cs="Arial"/>
          <w:color w:val="242021"/>
          <w:sz w:val="24"/>
          <w:szCs w:val="24"/>
        </w:rPr>
        <w:t xml:space="preserve">as at 2017 which was when the agreement was entered into. </w:t>
      </w:r>
      <w:r w:rsidR="009654DA" w:rsidRPr="00FD7813">
        <w:rPr>
          <w:rFonts w:ascii="Arial" w:hAnsi="Arial" w:cs="Arial"/>
          <w:color w:val="242021"/>
          <w:sz w:val="24"/>
          <w:szCs w:val="24"/>
        </w:rPr>
        <w:t xml:space="preserve">City Power </w:t>
      </w:r>
      <w:r w:rsidR="00EB6A26" w:rsidRPr="00FD7813">
        <w:rPr>
          <w:rFonts w:ascii="Arial" w:hAnsi="Arial" w:cs="Arial"/>
          <w:color w:val="242021"/>
          <w:sz w:val="24"/>
          <w:szCs w:val="24"/>
        </w:rPr>
        <w:t>ought to</w:t>
      </w:r>
      <w:r w:rsidR="009654DA" w:rsidRPr="00FD7813">
        <w:rPr>
          <w:rFonts w:ascii="Arial" w:hAnsi="Arial" w:cs="Arial"/>
          <w:color w:val="242021"/>
          <w:sz w:val="24"/>
          <w:szCs w:val="24"/>
        </w:rPr>
        <w:t xml:space="preserve"> have been mindful of the purpose of the policy and the duties imposed on it by the said policy. </w:t>
      </w:r>
      <w:r w:rsidR="007E1083" w:rsidRPr="00FD7813">
        <w:rPr>
          <w:rFonts w:ascii="Arial" w:hAnsi="Arial" w:cs="Arial"/>
          <w:color w:val="242021"/>
          <w:sz w:val="24"/>
          <w:szCs w:val="24"/>
        </w:rPr>
        <w:t xml:space="preserve">City Power </w:t>
      </w:r>
      <w:r w:rsidR="004476AF" w:rsidRPr="00FD7813">
        <w:rPr>
          <w:rFonts w:ascii="Arial" w:hAnsi="Arial" w:cs="Arial"/>
          <w:color w:val="242021"/>
          <w:sz w:val="24"/>
          <w:szCs w:val="24"/>
        </w:rPr>
        <w:t>cannot escape i</w:t>
      </w:r>
      <w:r w:rsidR="00E64B2B" w:rsidRPr="00FD7813">
        <w:rPr>
          <w:rFonts w:ascii="Arial" w:hAnsi="Arial" w:cs="Arial"/>
          <w:color w:val="242021"/>
          <w:sz w:val="24"/>
          <w:szCs w:val="24"/>
        </w:rPr>
        <w:t>ts obvious culpabil</w:t>
      </w:r>
      <w:r w:rsidR="0041067F" w:rsidRPr="00FD7813">
        <w:rPr>
          <w:rFonts w:ascii="Arial" w:hAnsi="Arial" w:cs="Arial"/>
          <w:color w:val="242021"/>
          <w:sz w:val="24"/>
          <w:szCs w:val="24"/>
        </w:rPr>
        <w:t xml:space="preserve">ity in </w:t>
      </w:r>
      <w:r w:rsidR="004476AF" w:rsidRPr="00FD7813">
        <w:rPr>
          <w:rFonts w:ascii="Arial" w:hAnsi="Arial" w:cs="Arial"/>
          <w:color w:val="242021"/>
          <w:sz w:val="24"/>
          <w:szCs w:val="24"/>
        </w:rPr>
        <w:t>allowing below standard allocation of electricity</w:t>
      </w:r>
      <w:r w:rsidR="00227E66" w:rsidRPr="00FD7813">
        <w:rPr>
          <w:rFonts w:ascii="Arial" w:hAnsi="Arial" w:cs="Arial"/>
          <w:color w:val="242021"/>
          <w:sz w:val="24"/>
          <w:szCs w:val="24"/>
        </w:rPr>
        <w:t xml:space="preserve">. </w:t>
      </w:r>
      <w:r w:rsidR="001D6C19" w:rsidRPr="00FD7813">
        <w:rPr>
          <w:rFonts w:ascii="Arial" w:hAnsi="Arial" w:cs="Arial"/>
          <w:color w:val="242021"/>
          <w:sz w:val="24"/>
          <w:szCs w:val="24"/>
        </w:rPr>
        <w:t>T</w:t>
      </w:r>
      <w:r w:rsidR="00E64B2B" w:rsidRPr="00FD7813">
        <w:rPr>
          <w:rFonts w:ascii="Arial" w:hAnsi="Arial" w:cs="Arial"/>
          <w:color w:val="242021"/>
          <w:sz w:val="24"/>
          <w:szCs w:val="24"/>
        </w:rPr>
        <w:t>his court is min</w:t>
      </w:r>
      <w:r w:rsidR="00C17E69" w:rsidRPr="00FD7813">
        <w:rPr>
          <w:rFonts w:ascii="Arial" w:hAnsi="Arial" w:cs="Arial"/>
          <w:color w:val="242021"/>
          <w:sz w:val="24"/>
          <w:szCs w:val="24"/>
        </w:rPr>
        <w:t xml:space="preserve">dful of the correspondence from Ms Gontier </w:t>
      </w:r>
      <w:r w:rsidR="001D6C19" w:rsidRPr="00FD7813">
        <w:rPr>
          <w:rFonts w:ascii="Arial" w:hAnsi="Arial" w:cs="Arial"/>
          <w:color w:val="242021"/>
          <w:sz w:val="24"/>
          <w:szCs w:val="24"/>
        </w:rPr>
        <w:t>the chairperson of the retirement village</w:t>
      </w:r>
      <w:r w:rsidR="006373D3" w:rsidRPr="00FD7813">
        <w:rPr>
          <w:rFonts w:ascii="Arial" w:hAnsi="Arial" w:cs="Arial"/>
          <w:color w:val="242021"/>
          <w:sz w:val="24"/>
          <w:szCs w:val="24"/>
        </w:rPr>
        <w:t>.</w:t>
      </w:r>
      <w:r w:rsidR="001D6C19" w:rsidRPr="00FD7813">
        <w:rPr>
          <w:rFonts w:ascii="Arial" w:hAnsi="Arial" w:cs="Arial"/>
          <w:color w:val="242021"/>
          <w:sz w:val="24"/>
          <w:szCs w:val="24"/>
        </w:rPr>
        <w:t xml:space="preserve"> </w:t>
      </w:r>
    </w:p>
    <w:p w14:paraId="70E4BF06" w14:textId="77777777" w:rsidR="00EB762B" w:rsidRPr="00EB762B" w:rsidRDefault="00EB762B" w:rsidP="00EB762B">
      <w:pPr>
        <w:spacing w:after="0" w:line="480" w:lineRule="auto"/>
        <w:jc w:val="both"/>
        <w:rPr>
          <w:rFonts w:ascii="Arial" w:hAnsi="Arial" w:cs="Arial"/>
          <w:color w:val="242021"/>
          <w:sz w:val="24"/>
          <w:szCs w:val="24"/>
        </w:rPr>
      </w:pPr>
    </w:p>
    <w:p w14:paraId="54033EAF" w14:textId="24E07940" w:rsidR="001D6C19" w:rsidRPr="00FD7813" w:rsidRDefault="00FD7813" w:rsidP="00FD7813">
      <w:pPr>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49.</w:t>
      </w:r>
      <w:r w:rsidRPr="00EB762B">
        <w:rPr>
          <w:rFonts w:ascii="Arial" w:eastAsiaTheme="minorEastAsia" w:hAnsi="Arial" w:cs="Arial"/>
          <w:color w:val="242021"/>
          <w:sz w:val="24"/>
          <w:szCs w:val="24"/>
          <w:lang w:eastAsia="en-ZA"/>
        </w:rPr>
        <w:tab/>
      </w:r>
      <w:r w:rsidR="007E1083" w:rsidRPr="00FD7813">
        <w:rPr>
          <w:rFonts w:ascii="Arial" w:hAnsi="Arial" w:cs="Arial"/>
          <w:color w:val="242021"/>
          <w:sz w:val="24"/>
          <w:szCs w:val="24"/>
        </w:rPr>
        <w:t xml:space="preserve">City Power </w:t>
      </w:r>
      <w:r w:rsidR="004476AF" w:rsidRPr="00FD7813">
        <w:rPr>
          <w:rFonts w:ascii="Arial" w:hAnsi="Arial" w:cs="Arial"/>
          <w:color w:val="242021"/>
          <w:sz w:val="24"/>
          <w:szCs w:val="24"/>
        </w:rPr>
        <w:t>has now come to its senses.</w:t>
      </w:r>
      <w:r w:rsidR="0059457A" w:rsidRPr="00FD7813">
        <w:rPr>
          <w:rFonts w:ascii="Arial" w:hAnsi="Arial" w:cs="Arial"/>
          <w:color w:val="242021"/>
          <w:sz w:val="24"/>
          <w:szCs w:val="24"/>
        </w:rPr>
        <w:t xml:space="preserve"> Its present stance is circumspect and prudent</w:t>
      </w:r>
      <w:r w:rsidR="004476AF" w:rsidRPr="00FD7813">
        <w:rPr>
          <w:rFonts w:ascii="Arial" w:hAnsi="Arial" w:cs="Arial"/>
          <w:color w:val="242021"/>
          <w:sz w:val="24"/>
          <w:szCs w:val="24"/>
        </w:rPr>
        <w:t xml:space="preserve"> </w:t>
      </w:r>
      <w:r w:rsidR="00EB762B" w:rsidRPr="00FD7813">
        <w:rPr>
          <w:rFonts w:ascii="Arial" w:hAnsi="Arial" w:cs="Arial"/>
          <w:color w:val="242021"/>
          <w:sz w:val="24"/>
          <w:szCs w:val="24"/>
        </w:rPr>
        <w:t>,the</w:t>
      </w:r>
      <w:r w:rsidR="004476AF" w:rsidRPr="00FD7813">
        <w:rPr>
          <w:rFonts w:ascii="Arial" w:hAnsi="Arial" w:cs="Arial"/>
          <w:color w:val="242021"/>
          <w:sz w:val="24"/>
          <w:szCs w:val="24"/>
        </w:rPr>
        <w:t xml:space="preserve"> policy </w:t>
      </w:r>
      <w:r w:rsidR="00A35F23" w:rsidRPr="00FD7813">
        <w:rPr>
          <w:rFonts w:ascii="Arial" w:hAnsi="Arial" w:cs="Arial"/>
          <w:color w:val="242021"/>
          <w:sz w:val="24"/>
          <w:szCs w:val="24"/>
        </w:rPr>
        <w:t>serve</w:t>
      </w:r>
      <w:r w:rsidR="004476AF" w:rsidRPr="00FD7813">
        <w:rPr>
          <w:rFonts w:ascii="Arial" w:hAnsi="Arial" w:cs="Arial"/>
          <w:color w:val="242021"/>
          <w:sz w:val="24"/>
          <w:szCs w:val="24"/>
        </w:rPr>
        <w:t>s</w:t>
      </w:r>
      <w:r w:rsidR="00A35F23" w:rsidRPr="00FD7813">
        <w:rPr>
          <w:rFonts w:ascii="Arial" w:hAnsi="Arial" w:cs="Arial"/>
          <w:color w:val="242021"/>
          <w:sz w:val="24"/>
          <w:szCs w:val="24"/>
        </w:rPr>
        <w:t xml:space="preserve"> an important purpose. T</w:t>
      </w:r>
      <w:r w:rsidR="001D6C19" w:rsidRPr="00FD7813">
        <w:rPr>
          <w:rFonts w:ascii="Arial" w:hAnsi="Arial" w:cs="Arial"/>
          <w:color w:val="242021"/>
          <w:sz w:val="24"/>
          <w:szCs w:val="24"/>
        </w:rPr>
        <w:t xml:space="preserve">his purpose has clearly been </w:t>
      </w:r>
      <w:r w:rsidR="001B16CD" w:rsidRPr="00FD7813">
        <w:rPr>
          <w:rFonts w:ascii="Arial" w:hAnsi="Arial" w:cs="Arial"/>
          <w:color w:val="242021"/>
          <w:sz w:val="24"/>
          <w:szCs w:val="24"/>
        </w:rPr>
        <w:t>disregarded</w:t>
      </w:r>
      <w:r w:rsidR="001D6C19" w:rsidRPr="00FD7813">
        <w:rPr>
          <w:rFonts w:ascii="Arial" w:hAnsi="Arial" w:cs="Arial"/>
          <w:color w:val="242021"/>
          <w:sz w:val="24"/>
          <w:szCs w:val="24"/>
        </w:rPr>
        <w:t xml:space="preserve"> by </w:t>
      </w:r>
      <w:r w:rsidR="007E1083" w:rsidRPr="00FD7813">
        <w:rPr>
          <w:rFonts w:ascii="Arial" w:hAnsi="Arial" w:cs="Arial"/>
          <w:color w:val="242021"/>
          <w:sz w:val="24"/>
          <w:szCs w:val="24"/>
        </w:rPr>
        <w:t xml:space="preserve">City Power </w:t>
      </w:r>
      <w:r w:rsidR="0041067F" w:rsidRPr="00FD7813">
        <w:rPr>
          <w:rFonts w:ascii="Arial" w:hAnsi="Arial" w:cs="Arial"/>
          <w:color w:val="242021"/>
          <w:sz w:val="24"/>
          <w:szCs w:val="24"/>
        </w:rPr>
        <w:t>in the past</w:t>
      </w:r>
      <w:r w:rsidR="00F24BA0" w:rsidRPr="00FD7813">
        <w:rPr>
          <w:rFonts w:ascii="Arial" w:hAnsi="Arial" w:cs="Arial"/>
          <w:color w:val="242021"/>
          <w:sz w:val="24"/>
          <w:szCs w:val="24"/>
        </w:rPr>
        <w:t xml:space="preserve"> and it is this conduct that </w:t>
      </w:r>
      <w:r w:rsidR="001D6C19" w:rsidRPr="00FD7813">
        <w:rPr>
          <w:rFonts w:ascii="Arial" w:hAnsi="Arial" w:cs="Arial"/>
          <w:color w:val="242021"/>
          <w:sz w:val="24"/>
          <w:szCs w:val="24"/>
        </w:rPr>
        <w:t>has encour</w:t>
      </w:r>
      <w:r w:rsidR="00672504" w:rsidRPr="00FD7813">
        <w:rPr>
          <w:rFonts w:ascii="Arial" w:hAnsi="Arial" w:cs="Arial"/>
          <w:color w:val="242021"/>
          <w:sz w:val="24"/>
          <w:szCs w:val="24"/>
        </w:rPr>
        <w:t>ag</w:t>
      </w:r>
      <w:r w:rsidR="001D6C19" w:rsidRPr="00FD7813">
        <w:rPr>
          <w:rFonts w:ascii="Arial" w:hAnsi="Arial" w:cs="Arial"/>
          <w:color w:val="242021"/>
          <w:sz w:val="24"/>
          <w:szCs w:val="24"/>
        </w:rPr>
        <w:t xml:space="preserve">ed </w:t>
      </w:r>
      <w:r w:rsidR="00672504" w:rsidRPr="00FD7813">
        <w:rPr>
          <w:rFonts w:ascii="Arial" w:hAnsi="Arial" w:cs="Arial"/>
          <w:color w:val="242021"/>
          <w:sz w:val="24"/>
          <w:szCs w:val="24"/>
        </w:rPr>
        <w:t>developers such as the applicant to maximise on their developments.</w:t>
      </w:r>
    </w:p>
    <w:p w14:paraId="52FA0F11" w14:textId="77777777" w:rsidR="00A27CE2" w:rsidRPr="00194BC3" w:rsidRDefault="00A27CE2" w:rsidP="00AC1748">
      <w:pPr>
        <w:spacing w:after="0" w:line="480" w:lineRule="auto"/>
        <w:jc w:val="both"/>
        <w:rPr>
          <w:rFonts w:ascii="Arial" w:hAnsi="Arial" w:cs="Arial"/>
          <w:color w:val="242021"/>
          <w:sz w:val="24"/>
          <w:szCs w:val="24"/>
        </w:rPr>
      </w:pPr>
    </w:p>
    <w:p w14:paraId="6AD1B069" w14:textId="494EA9D9" w:rsidR="0031674F" w:rsidRPr="00FD7813" w:rsidRDefault="00FD7813" w:rsidP="00FD7813">
      <w:pPr>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lastRenderedPageBreak/>
        <w:t>50.</w:t>
      </w:r>
      <w:r w:rsidRPr="00EB762B">
        <w:rPr>
          <w:rFonts w:ascii="Arial" w:eastAsiaTheme="minorEastAsia" w:hAnsi="Arial" w:cs="Arial"/>
          <w:color w:val="242021"/>
          <w:sz w:val="24"/>
          <w:szCs w:val="24"/>
          <w:lang w:eastAsia="en-ZA"/>
        </w:rPr>
        <w:tab/>
      </w:r>
      <w:r w:rsidR="00625819" w:rsidRPr="00FD7813">
        <w:rPr>
          <w:rFonts w:ascii="Arial" w:hAnsi="Arial" w:cs="Arial"/>
          <w:color w:val="242021"/>
          <w:sz w:val="24"/>
          <w:szCs w:val="24"/>
        </w:rPr>
        <w:t>The Applicant on its papers as supplemented and</w:t>
      </w:r>
      <w:r w:rsidR="009910F9" w:rsidRPr="00FD7813">
        <w:rPr>
          <w:rFonts w:ascii="Arial" w:hAnsi="Arial" w:cs="Arial"/>
          <w:color w:val="242021"/>
          <w:sz w:val="24"/>
          <w:szCs w:val="24"/>
        </w:rPr>
        <w:t xml:space="preserve"> by why of its oral submissions</w:t>
      </w:r>
      <w:r w:rsidR="004613B1" w:rsidRPr="00FD7813">
        <w:rPr>
          <w:rFonts w:ascii="Arial" w:hAnsi="Arial" w:cs="Arial"/>
          <w:color w:val="242021"/>
          <w:sz w:val="24"/>
          <w:szCs w:val="24"/>
        </w:rPr>
        <w:t xml:space="preserve"> seeks </w:t>
      </w:r>
      <w:r w:rsidR="00EB6A26" w:rsidRPr="00FD7813">
        <w:rPr>
          <w:rFonts w:ascii="Arial" w:hAnsi="Arial" w:cs="Arial"/>
          <w:color w:val="242021"/>
          <w:sz w:val="24"/>
          <w:szCs w:val="24"/>
        </w:rPr>
        <w:t xml:space="preserve">an </w:t>
      </w:r>
      <w:r w:rsidR="0031674F" w:rsidRPr="00FD7813">
        <w:rPr>
          <w:rFonts w:ascii="Arial" w:hAnsi="Arial" w:cs="Arial"/>
          <w:color w:val="242021"/>
          <w:sz w:val="24"/>
          <w:szCs w:val="24"/>
        </w:rPr>
        <w:t>order of specific performance</w:t>
      </w:r>
      <w:r w:rsidR="00625819" w:rsidRPr="00FD7813">
        <w:rPr>
          <w:rFonts w:ascii="Arial" w:hAnsi="Arial" w:cs="Arial"/>
          <w:color w:val="242021"/>
          <w:sz w:val="24"/>
          <w:szCs w:val="24"/>
        </w:rPr>
        <w:t>. It is trite that the requirements</w:t>
      </w:r>
      <w:r w:rsidR="0031674F" w:rsidRPr="00FD7813">
        <w:rPr>
          <w:rFonts w:ascii="Arial" w:hAnsi="Arial" w:cs="Arial"/>
          <w:color w:val="242021"/>
          <w:sz w:val="24"/>
          <w:szCs w:val="24"/>
        </w:rPr>
        <w:t xml:space="preserve"> </w:t>
      </w:r>
      <w:r w:rsidR="00625819" w:rsidRPr="00FD7813">
        <w:rPr>
          <w:rFonts w:ascii="Arial" w:hAnsi="Arial" w:cs="Arial"/>
          <w:color w:val="242021"/>
          <w:sz w:val="24"/>
          <w:szCs w:val="24"/>
        </w:rPr>
        <w:t>applicable for such an order are as follows:-</w:t>
      </w:r>
    </w:p>
    <w:p w14:paraId="7B95088B" w14:textId="20F151E7" w:rsidR="004E1A54" w:rsidRPr="00FD7813" w:rsidRDefault="00FD7813" w:rsidP="00FD7813">
      <w:pPr>
        <w:autoSpaceDE w:val="0"/>
        <w:autoSpaceDN w:val="0"/>
        <w:adjustRightInd w:val="0"/>
        <w:spacing w:after="0" w:line="240" w:lineRule="auto"/>
        <w:ind w:left="1440" w:hanging="360"/>
        <w:jc w:val="both"/>
        <w:rPr>
          <w:rFonts w:ascii="Arial" w:hAnsi="Arial" w:cs="Arial"/>
          <w:sz w:val="24"/>
          <w:szCs w:val="24"/>
        </w:rPr>
      </w:pPr>
      <w:r w:rsidRPr="00EB6A26">
        <w:rPr>
          <w:rFonts w:ascii="Arial" w:eastAsiaTheme="minorEastAsia" w:hAnsi="Arial" w:cs="Arial"/>
          <w:sz w:val="24"/>
          <w:szCs w:val="24"/>
          <w:lang w:eastAsia="en-ZA"/>
        </w:rPr>
        <w:t>a.</w:t>
      </w:r>
      <w:r w:rsidRPr="00EB6A26">
        <w:rPr>
          <w:rFonts w:ascii="Arial" w:eastAsiaTheme="minorEastAsia" w:hAnsi="Arial" w:cs="Arial"/>
          <w:sz w:val="24"/>
          <w:szCs w:val="24"/>
          <w:lang w:eastAsia="en-ZA"/>
        </w:rPr>
        <w:tab/>
      </w:r>
      <w:r w:rsidR="00F24BA0" w:rsidRPr="00FD7813">
        <w:rPr>
          <w:rFonts w:ascii="Arial" w:hAnsi="Arial" w:cs="Arial"/>
          <w:sz w:val="24"/>
          <w:szCs w:val="24"/>
        </w:rPr>
        <w:t>The</w:t>
      </w:r>
      <w:r w:rsidR="004E1A54" w:rsidRPr="00FD7813">
        <w:rPr>
          <w:rFonts w:ascii="Arial" w:hAnsi="Arial" w:cs="Arial"/>
          <w:sz w:val="24"/>
          <w:szCs w:val="24"/>
        </w:rPr>
        <w:t xml:space="preserve"> presence of a contract;</w:t>
      </w:r>
    </w:p>
    <w:p w14:paraId="2433FF56" w14:textId="77777777" w:rsidR="00EB6A26" w:rsidRPr="00EB6A26" w:rsidRDefault="00EB6A26" w:rsidP="00EB6A26">
      <w:pPr>
        <w:pStyle w:val="ListParagraph"/>
        <w:autoSpaceDE w:val="0"/>
        <w:autoSpaceDN w:val="0"/>
        <w:adjustRightInd w:val="0"/>
        <w:spacing w:after="0" w:line="240" w:lineRule="auto"/>
        <w:jc w:val="both"/>
        <w:rPr>
          <w:rFonts w:ascii="Arial" w:hAnsi="Arial" w:cs="Arial"/>
          <w:sz w:val="24"/>
          <w:szCs w:val="24"/>
        </w:rPr>
      </w:pPr>
    </w:p>
    <w:p w14:paraId="04789DE6" w14:textId="3AC267D6" w:rsidR="004E1A54" w:rsidRPr="00FD7813" w:rsidRDefault="00FD7813" w:rsidP="00FD7813">
      <w:pPr>
        <w:autoSpaceDE w:val="0"/>
        <w:autoSpaceDN w:val="0"/>
        <w:adjustRightInd w:val="0"/>
        <w:spacing w:after="0" w:line="240" w:lineRule="auto"/>
        <w:ind w:left="1440" w:hanging="360"/>
        <w:jc w:val="both"/>
        <w:rPr>
          <w:rFonts w:ascii="Arial" w:hAnsi="Arial" w:cs="Arial"/>
          <w:sz w:val="24"/>
          <w:szCs w:val="24"/>
        </w:rPr>
      </w:pPr>
      <w:r w:rsidRPr="00EB6A26">
        <w:rPr>
          <w:rFonts w:ascii="Arial" w:eastAsiaTheme="minorEastAsia" w:hAnsi="Arial" w:cs="Arial"/>
          <w:sz w:val="24"/>
          <w:szCs w:val="24"/>
          <w:lang w:eastAsia="en-ZA"/>
        </w:rPr>
        <w:t>b.</w:t>
      </w:r>
      <w:r w:rsidRPr="00EB6A26">
        <w:rPr>
          <w:rFonts w:ascii="Arial" w:eastAsiaTheme="minorEastAsia" w:hAnsi="Arial" w:cs="Arial"/>
          <w:sz w:val="24"/>
          <w:szCs w:val="24"/>
          <w:lang w:eastAsia="en-ZA"/>
        </w:rPr>
        <w:tab/>
      </w:r>
      <w:r w:rsidR="00F24BA0" w:rsidRPr="00FD7813">
        <w:rPr>
          <w:rFonts w:ascii="Arial" w:hAnsi="Arial" w:cs="Arial"/>
          <w:sz w:val="24"/>
          <w:szCs w:val="24"/>
        </w:rPr>
        <w:t>The</w:t>
      </w:r>
      <w:r w:rsidR="004E1A54" w:rsidRPr="00FD7813">
        <w:rPr>
          <w:rFonts w:ascii="Arial" w:hAnsi="Arial" w:cs="Arial"/>
          <w:sz w:val="24"/>
          <w:szCs w:val="24"/>
        </w:rPr>
        <w:t xml:space="preserve"> specific term or provision that it alleges the Respondents to be breaching; and</w:t>
      </w:r>
    </w:p>
    <w:p w14:paraId="1AA11583" w14:textId="77777777" w:rsidR="00EB6A26" w:rsidRPr="00EB6A26" w:rsidRDefault="00EB6A26" w:rsidP="00EB6A26">
      <w:pPr>
        <w:pStyle w:val="ListParagraph"/>
        <w:rPr>
          <w:rFonts w:ascii="Arial" w:hAnsi="Arial" w:cs="Arial"/>
          <w:sz w:val="24"/>
          <w:szCs w:val="24"/>
        </w:rPr>
      </w:pPr>
    </w:p>
    <w:p w14:paraId="7C4BFC89" w14:textId="77777777" w:rsidR="00EB6A26" w:rsidRPr="00EB6A26" w:rsidRDefault="00EB6A26" w:rsidP="00EB6A26">
      <w:pPr>
        <w:pStyle w:val="ListParagraph"/>
        <w:autoSpaceDE w:val="0"/>
        <w:autoSpaceDN w:val="0"/>
        <w:adjustRightInd w:val="0"/>
        <w:spacing w:after="0" w:line="240" w:lineRule="auto"/>
        <w:jc w:val="both"/>
        <w:rPr>
          <w:rFonts w:ascii="Arial" w:hAnsi="Arial" w:cs="Arial"/>
          <w:sz w:val="24"/>
          <w:szCs w:val="24"/>
        </w:rPr>
      </w:pPr>
    </w:p>
    <w:p w14:paraId="316FD402" w14:textId="6B29417B" w:rsidR="004E1A54" w:rsidRPr="00FD7813" w:rsidRDefault="00FD7813" w:rsidP="00FD7813">
      <w:pPr>
        <w:autoSpaceDE w:val="0"/>
        <w:autoSpaceDN w:val="0"/>
        <w:adjustRightInd w:val="0"/>
        <w:spacing w:after="0" w:line="240" w:lineRule="auto"/>
        <w:ind w:left="1440" w:hanging="360"/>
        <w:jc w:val="both"/>
        <w:rPr>
          <w:rFonts w:ascii="Arial" w:hAnsi="Arial" w:cs="Arial"/>
          <w:sz w:val="24"/>
          <w:szCs w:val="24"/>
        </w:rPr>
      </w:pPr>
      <w:r w:rsidRPr="00EB762B">
        <w:rPr>
          <w:rFonts w:ascii="Arial" w:eastAsiaTheme="minorEastAsia" w:hAnsi="Arial" w:cs="Arial"/>
          <w:sz w:val="24"/>
          <w:szCs w:val="24"/>
          <w:lang w:eastAsia="en-ZA"/>
        </w:rPr>
        <w:t>c.</w:t>
      </w:r>
      <w:r w:rsidRPr="00EB762B">
        <w:rPr>
          <w:rFonts w:ascii="Arial" w:eastAsiaTheme="minorEastAsia" w:hAnsi="Arial" w:cs="Arial"/>
          <w:sz w:val="24"/>
          <w:szCs w:val="24"/>
          <w:lang w:eastAsia="en-ZA"/>
        </w:rPr>
        <w:tab/>
      </w:r>
      <w:r w:rsidR="00F24BA0" w:rsidRPr="00FD7813">
        <w:rPr>
          <w:rFonts w:ascii="Arial" w:hAnsi="Arial" w:cs="Arial"/>
          <w:sz w:val="24"/>
          <w:szCs w:val="24"/>
        </w:rPr>
        <w:t>Demand</w:t>
      </w:r>
      <w:r w:rsidR="004E1A54" w:rsidRPr="00FD7813">
        <w:rPr>
          <w:rFonts w:ascii="Arial" w:hAnsi="Arial" w:cs="Arial"/>
          <w:sz w:val="24"/>
          <w:szCs w:val="24"/>
        </w:rPr>
        <w:t xml:space="preserve"> the specific execution or performance of such term or provision in the </w:t>
      </w:r>
      <w:r w:rsidR="00EB6A26" w:rsidRPr="00FD7813">
        <w:rPr>
          <w:rFonts w:ascii="Arial" w:hAnsi="Arial" w:cs="Arial"/>
          <w:sz w:val="24"/>
          <w:szCs w:val="24"/>
        </w:rPr>
        <w:t xml:space="preserve"> </w:t>
      </w:r>
      <w:r w:rsidR="004E1A54" w:rsidRPr="00FD7813">
        <w:rPr>
          <w:rFonts w:ascii="Arial" w:hAnsi="Arial" w:cs="Arial"/>
          <w:sz w:val="24"/>
          <w:szCs w:val="24"/>
        </w:rPr>
        <w:t>contract.</w:t>
      </w:r>
    </w:p>
    <w:p w14:paraId="2213EE4D" w14:textId="77777777" w:rsidR="004E1A54" w:rsidRDefault="004E1A54" w:rsidP="00AC1748">
      <w:pPr>
        <w:autoSpaceDE w:val="0"/>
        <w:autoSpaceDN w:val="0"/>
        <w:adjustRightInd w:val="0"/>
        <w:spacing w:after="0" w:line="480" w:lineRule="auto"/>
        <w:jc w:val="both"/>
        <w:rPr>
          <w:rFonts w:ascii="Arial" w:hAnsi="Arial" w:cs="Arial"/>
          <w:color w:val="242021"/>
          <w:sz w:val="24"/>
          <w:szCs w:val="24"/>
        </w:rPr>
      </w:pPr>
    </w:p>
    <w:p w14:paraId="3B9D436F" w14:textId="53E8356A" w:rsidR="00C27810"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51.</w:t>
      </w:r>
      <w:r w:rsidRPr="00EB762B">
        <w:rPr>
          <w:rFonts w:ascii="Arial" w:eastAsiaTheme="minorEastAsia" w:hAnsi="Arial" w:cs="Arial"/>
          <w:color w:val="242021"/>
          <w:sz w:val="24"/>
          <w:szCs w:val="24"/>
          <w:lang w:eastAsia="en-ZA"/>
        </w:rPr>
        <w:tab/>
      </w:r>
      <w:r w:rsidR="00625819" w:rsidRPr="00FD7813">
        <w:rPr>
          <w:rFonts w:ascii="Arial" w:hAnsi="Arial" w:cs="Arial"/>
          <w:color w:val="242021"/>
          <w:sz w:val="24"/>
          <w:szCs w:val="24"/>
        </w:rPr>
        <w:t>There is</w:t>
      </w:r>
      <w:r w:rsidR="00C27810" w:rsidRPr="00FD7813">
        <w:rPr>
          <w:rFonts w:ascii="Arial" w:hAnsi="Arial" w:cs="Arial"/>
          <w:color w:val="242021"/>
          <w:sz w:val="24"/>
          <w:szCs w:val="24"/>
        </w:rPr>
        <w:t xml:space="preserve"> no dispute between the parties </w:t>
      </w:r>
      <w:r w:rsidR="00F24BA0" w:rsidRPr="00FD7813">
        <w:rPr>
          <w:rFonts w:ascii="Arial" w:hAnsi="Arial" w:cs="Arial"/>
          <w:color w:val="242021"/>
          <w:sz w:val="24"/>
          <w:szCs w:val="24"/>
        </w:rPr>
        <w:t>that:</w:t>
      </w:r>
      <w:r w:rsidR="00C27810" w:rsidRPr="00FD7813">
        <w:rPr>
          <w:rFonts w:ascii="Arial" w:hAnsi="Arial" w:cs="Arial"/>
          <w:color w:val="242021"/>
          <w:sz w:val="24"/>
          <w:szCs w:val="24"/>
        </w:rPr>
        <w:t>-</w:t>
      </w:r>
    </w:p>
    <w:p w14:paraId="0F71D594" w14:textId="204649CB" w:rsidR="00C27810" w:rsidRPr="00FD7813" w:rsidRDefault="00FD7813" w:rsidP="00FD7813">
      <w:pPr>
        <w:autoSpaceDE w:val="0"/>
        <w:autoSpaceDN w:val="0"/>
        <w:adjustRightInd w:val="0"/>
        <w:spacing w:after="0" w:line="480" w:lineRule="auto"/>
        <w:ind w:left="1440" w:hanging="360"/>
        <w:jc w:val="both"/>
        <w:rPr>
          <w:rFonts w:ascii="Arial" w:hAnsi="Arial" w:cs="Arial"/>
          <w:color w:val="242021"/>
          <w:sz w:val="24"/>
          <w:szCs w:val="24"/>
        </w:rPr>
      </w:pPr>
      <w:r>
        <w:rPr>
          <w:rFonts w:ascii="Arial" w:eastAsiaTheme="minorEastAsia" w:hAnsi="Arial" w:cs="Arial"/>
          <w:color w:val="242021"/>
          <w:sz w:val="24"/>
          <w:szCs w:val="24"/>
          <w:lang w:eastAsia="en-ZA"/>
        </w:rPr>
        <w:t>a.</w:t>
      </w:r>
      <w:r>
        <w:rPr>
          <w:rFonts w:ascii="Arial" w:eastAsiaTheme="minorEastAsia" w:hAnsi="Arial" w:cs="Arial"/>
          <w:color w:val="242021"/>
          <w:sz w:val="24"/>
          <w:szCs w:val="24"/>
          <w:lang w:eastAsia="en-ZA"/>
        </w:rPr>
        <w:tab/>
      </w:r>
      <w:r w:rsidR="00625819" w:rsidRPr="00FD7813">
        <w:rPr>
          <w:rFonts w:ascii="Arial" w:hAnsi="Arial" w:cs="Arial"/>
          <w:color w:val="242021"/>
          <w:sz w:val="24"/>
          <w:szCs w:val="24"/>
        </w:rPr>
        <w:t xml:space="preserve"> </w:t>
      </w:r>
      <w:r w:rsidR="00F24BA0" w:rsidRPr="00FD7813">
        <w:rPr>
          <w:rFonts w:ascii="Arial" w:hAnsi="Arial" w:cs="Arial"/>
          <w:color w:val="242021"/>
          <w:sz w:val="24"/>
          <w:szCs w:val="24"/>
        </w:rPr>
        <w:t>An</w:t>
      </w:r>
      <w:r w:rsidR="00285805" w:rsidRPr="00FD7813">
        <w:rPr>
          <w:rFonts w:ascii="Arial" w:hAnsi="Arial" w:cs="Arial"/>
          <w:color w:val="242021"/>
          <w:sz w:val="24"/>
          <w:szCs w:val="24"/>
        </w:rPr>
        <w:t xml:space="preserve"> agreement was entered which </w:t>
      </w:r>
      <w:r w:rsidR="0020473A" w:rsidRPr="00FD7813">
        <w:rPr>
          <w:rFonts w:ascii="Arial" w:hAnsi="Arial" w:cs="Arial"/>
          <w:color w:val="242021"/>
          <w:sz w:val="24"/>
          <w:szCs w:val="24"/>
        </w:rPr>
        <w:t xml:space="preserve">into by the parties </w:t>
      </w:r>
      <w:r w:rsidR="00625819" w:rsidRPr="00FD7813">
        <w:rPr>
          <w:rFonts w:ascii="Arial" w:hAnsi="Arial" w:cs="Arial"/>
          <w:color w:val="242021"/>
          <w:sz w:val="24"/>
          <w:szCs w:val="24"/>
        </w:rPr>
        <w:t xml:space="preserve">and it is the said agreement which the Applicant relies on. </w:t>
      </w:r>
    </w:p>
    <w:p w14:paraId="24D280BD" w14:textId="5E6B53E2" w:rsidR="00321E91" w:rsidRPr="00FD7813" w:rsidRDefault="00FD7813" w:rsidP="00FD7813">
      <w:pPr>
        <w:autoSpaceDE w:val="0"/>
        <w:autoSpaceDN w:val="0"/>
        <w:adjustRightInd w:val="0"/>
        <w:spacing w:after="0" w:line="480" w:lineRule="auto"/>
        <w:ind w:left="1440" w:hanging="360"/>
        <w:jc w:val="both"/>
        <w:rPr>
          <w:rFonts w:ascii="Arial" w:hAnsi="Arial" w:cs="Arial"/>
          <w:color w:val="242021"/>
          <w:sz w:val="24"/>
          <w:szCs w:val="24"/>
        </w:rPr>
      </w:pPr>
      <w:r>
        <w:rPr>
          <w:rFonts w:ascii="Arial" w:eastAsiaTheme="minorEastAsia" w:hAnsi="Arial" w:cs="Arial"/>
          <w:color w:val="242021"/>
          <w:sz w:val="24"/>
          <w:szCs w:val="24"/>
          <w:lang w:eastAsia="en-ZA"/>
        </w:rPr>
        <w:t>b.</w:t>
      </w:r>
      <w:r>
        <w:rPr>
          <w:rFonts w:ascii="Arial" w:eastAsiaTheme="minorEastAsia" w:hAnsi="Arial" w:cs="Arial"/>
          <w:color w:val="242021"/>
          <w:sz w:val="24"/>
          <w:szCs w:val="24"/>
          <w:lang w:eastAsia="en-ZA"/>
        </w:rPr>
        <w:tab/>
      </w:r>
      <w:r w:rsidR="00625819" w:rsidRPr="00FD7813">
        <w:rPr>
          <w:rFonts w:ascii="Arial" w:hAnsi="Arial" w:cs="Arial"/>
          <w:color w:val="242021"/>
          <w:sz w:val="24"/>
          <w:szCs w:val="24"/>
        </w:rPr>
        <w:t>The specific term or provision which the Applicant refers to is clau</w:t>
      </w:r>
      <w:r w:rsidR="00B03327" w:rsidRPr="00FD7813">
        <w:rPr>
          <w:rFonts w:ascii="Arial" w:hAnsi="Arial" w:cs="Arial"/>
          <w:color w:val="242021"/>
          <w:sz w:val="24"/>
          <w:szCs w:val="24"/>
        </w:rPr>
        <w:t xml:space="preserve">se 2.1.4 of the said agreement which makes </w:t>
      </w:r>
      <w:r w:rsidR="00625819" w:rsidRPr="00FD7813">
        <w:rPr>
          <w:rFonts w:ascii="Arial" w:hAnsi="Arial" w:cs="Arial"/>
          <w:color w:val="242021"/>
          <w:sz w:val="24"/>
          <w:szCs w:val="24"/>
        </w:rPr>
        <w:t xml:space="preserve">provision for 500kVa electrical capacity over </w:t>
      </w:r>
      <w:r w:rsidR="0041067F" w:rsidRPr="00FD7813">
        <w:rPr>
          <w:rFonts w:ascii="Arial" w:hAnsi="Arial" w:cs="Arial"/>
          <w:color w:val="242021"/>
          <w:sz w:val="24"/>
          <w:szCs w:val="24"/>
        </w:rPr>
        <w:t xml:space="preserve">Wilgeheuwel Extension 67 </w:t>
      </w:r>
      <w:r w:rsidR="00F24BA0" w:rsidRPr="00FD7813">
        <w:rPr>
          <w:rFonts w:ascii="Arial" w:hAnsi="Arial" w:cs="Arial"/>
          <w:color w:val="242021"/>
          <w:sz w:val="24"/>
          <w:szCs w:val="24"/>
        </w:rPr>
        <w:t xml:space="preserve">Township. </w:t>
      </w:r>
    </w:p>
    <w:p w14:paraId="044F8213" w14:textId="77777777" w:rsidR="002111E0" w:rsidRPr="00C27810" w:rsidRDefault="002111E0" w:rsidP="002111E0">
      <w:pPr>
        <w:pStyle w:val="ListParagraph"/>
        <w:autoSpaceDE w:val="0"/>
        <w:autoSpaceDN w:val="0"/>
        <w:adjustRightInd w:val="0"/>
        <w:spacing w:after="0" w:line="480" w:lineRule="auto"/>
        <w:jc w:val="both"/>
        <w:rPr>
          <w:rFonts w:ascii="Arial" w:hAnsi="Arial" w:cs="Arial"/>
          <w:color w:val="242021"/>
          <w:sz w:val="24"/>
          <w:szCs w:val="24"/>
        </w:rPr>
      </w:pPr>
    </w:p>
    <w:p w14:paraId="2EC8A067" w14:textId="1D58C1B8" w:rsidR="002111E0"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52.</w:t>
      </w:r>
      <w:r w:rsidRPr="00EB762B">
        <w:rPr>
          <w:rFonts w:ascii="Arial" w:eastAsiaTheme="minorEastAsia" w:hAnsi="Arial" w:cs="Arial"/>
          <w:color w:val="242021"/>
          <w:sz w:val="24"/>
          <w:szCs w:val="24"/>
          <w:lang w:eastAsia="en-ZA"/>
        </w:rPr>
        <w:tab/>
      </w:r>
      <w:r w:rsidR="002111E0" w:rsidRPr="00FD7813">
        <w:rPr>
          <w:rFonts w:ascii="Arial" w:hAnsi="Arial" w:cs="Arial"/>
          <w:color w:val="242021"/>
          <w:sz w:val="24"/>
          <w:szCs w:val="24"/>
        </w:rPr>
        <w:t>Both City Power and the Applicant have seriously undervalued the requirement for power allocation as compared to the applicable standards.</w:t>
      </w:r>
      <w:r w:rsidR="00F24BA0" w:rsidRPr="00FD7813">
        <w:rPr>
          <w:rFonts w:ascii="Arial" w:hAnsi="Arial" w:cs="Arial"/>
          <w:color w:val="242021"/>
          <w:sz w:val="24"/>
          <w:szCs w:val="24"/>
        </w:rPr>
        <w:t xml:space="preserve"> Both parties disregarded “the policy”.</w:t>
      </w:r>
      <w:r w:rsidR="00EB6A26" w:rsidRPr="00FD7813">
        <w:rPr>
          <w:rFonts w:ascii="Arial" w:hAnsi="Arial" w:cs="Arial"/>
          <w:color w:val="242021"/>
          <w:sz w:val="24"/>
          <w:szCs w:val="24"/>
        </w:rPr>
        <w:t xml:space="preserve"> </w:t>
      </w:r>
      <w:r w:rsidR="002111E0" w:rsidRPr="00FD7813">
        <w:rPr>
          <w:rFonts w:ascii="Arial" w:hAnsi="Arial" w:cs="Arial"/>
          <w:color w:val="242021"/>
          <w:sz w:val="24"/>
          <w:szCs w:val="24"/>
        </w:rPr>
        <w:t>This agreement was entered into in good faith as at 2017. The circumstances prevalent at such time were different</w:t>
      </w:r>
      <w:r w:rsidR="00F24BA0" w:rsidRPr="00FD7813">
        <w:rPr>
          <w:rFonts w:ascii="Arial" w:hAnsi="Arial" w:cs="Arial"/>
          <w:color w:val="242021"/>
          <w:sz w:val="24"/>
          <w:szCs w:val="24"/>
        </w:rPr>
        <w:t>.</w:t>
      </w:r>
      <w:r w:rsidR="002111E0" w:rsidRPr="00FD7813">
        <w:rPr>
          <w:rFonts w:ascii="Arial" w:hAnsi="Arial" w:cs="Arial"/>
          <w:color w:val="242021"/>
          <w:sz w:val="24"/>
          <w:szCs w:val="24"/>
        </w:rPr>
        <w:t xml:space="preserve"> </w:t>
      </w:r>
    </w:p>
    <w:p w14:paraId="01C478EF" w14:textId="77777777" w:rsidR="00B03327" w:rsidRDefault="00B03327" w:rsidP="00AC1748">
      <w:pPr>
        <w:autoSpaceDE w:val="0"/>
        <w:autoSpaceDN w:val="0"/>
        <w:adjustRightInd w:val="0"/>
        <w:spacing w:after="0" w:line="480" w:lineRule="auto"/>
        <w:jc w:val="both"/>
        <w:rPr>
          <w:rFonts w:ascii="Arial" w:hAnsi="Arial" w:cs="Arial"/>
          <w:color w:val="242021"/>
          <w:sz w:val="24"/>
          <w:szCs w:val="24"/>
        </w:rPr>
      </w:pPr>
    </w:p>
    <w:p w14:paraId="7008A11B" w14:textId="46A53AB7" w:rsidR="004825EA" w:rsidRPr="00FD7813" w:rsidRDefault="00FD7813" w:rsidP="00FD7813">
      <w:pPr>
        <w:spacing w:after="0" w:line="480" w:lineRule="auto"/>
        <w:ind w:left="720" w:hanging="360"/>
        <w:jc w:val="both"/>
        <w:rPr>
          <w:rFonts w:ascii="Arial" w:eastAsia="Arial Unicode MS" w:hAnsi="Arial" w:cs="Arial"/>
          <w:sz w:val="24"/>
          <w:szCs w:val="24"/>
        </w:rPr>
      </w:pPr>
      <w:r w:rsidRPr="00EB762B">
        <w:rPr>
          <w:rFonts w:ascii="Arial" w:eastAsia="Arial Unicode MS" w:hAnsi="Arial" w:cs="Arial"/>
          <w:sz w:val="24"/>
          <w:szCs w:val="24"/>
          <w:lang w:eastAsia="en-ZA"/>
        </w:rPr>
        <w:t>53.</w:t>
      </w:r>
      <w:r w:rsidRPr="00EB762B">
        <w:rPr>
          <w:rFonts w:ascii="Arial" w:eastAsia="Arial Unicode MS" w:hAnsi="Arial" w:cs="Arial"/>
          <w:sz w:val="24"/>
          <w:szCs w:val="24"/>
          <w:lang w:eastAsia="en-ZA"/>
        </w:rPr>
        <w:tab/>
      </w:r>
      <w:r w:rsidR="004825EA" w:rsidRPr="00FD7813">
        <w:rPr>
          <w:rFonts w:ascii="Arial" w:eastAsia="Arial Unicode MS" w:hAnsi="Arial" w:cs="Arial"/>
          <w:sz w:val="24"/>
          <w:szCs w:val="24"/>
        </w:rPr>
        <w:t>This court in balancing the facts before it which include the vie</w:t>
      </w:r>
      <w:r w:rsidR="0064572B" w:rsidRPr="00FD7813">
        <w:rPr>
          <w:rFonts w:ascii="Arial" w:eastAsia="Arial Unicode MS" w:hAnsi="Arial" w:cs="Arial"/>
          <w:sz w:val="24"/>
          <w:szCs w:val="24"/>
        </w:rPr>
        <w:t xml:space="preserve">ws of the applicants engineer, </w:t>
      </w:r>
      <w:r w:rsidR="004825EA" w:rsidRPr="00FD7813">
        <w:rPr>
          <w:rFonts w:ascii="Arial" w:eastAsia="Arial Unicode MS" w:hAnsi="Arial" w:cs="Arial"/>
          <w:sz w:val="24"/>
          <w:szCs w:val="24"/>
        </w:rPr>
        <w:t>the views of the respondents engineer and the issues actually experienced by the residents where the capacity is reduced to almost one third of the recommended allocation as per “the policy”,  is inclined to accept that the reduced capacity contributes substantially  to the constant tripping which in turn could pose a threat to human life.</w:t>
      </w:r>
    </w:p>
    <w:p w14:paraId="5FEBB196" w14:textId="77777777" w:rsidR="004825EA" w:rsidRDefault="004825EA" w:rsidP="0020473A">
      <w:pPr>
        <w:autoSpaceDE w:val="0"/>
        <w:autoSpaceDN w:val="0"/>
        <w:adjustRightInd w:val="0"/>
        <w:spacing w:after="0" w:line="480" w:lineRule="auto"/>
        <w:ind w:firstLine="720"/>
        <w:jc w:val="both"/>
        <w:rPr>
          <w:rFonts w:ascii="Arial" w:hAnsi="Arial" w:cs="Arial"/>
          <w:color w:val="242021"/>
          <w:sz w:val="24"/>
          <w:szCs w:val="24"/>
        </w:rPr>
      </w:pPr>
    </w:p>
    <w:p w14:paraId="73ECA919" w14:textId="45E32845" w:rsidR="0007444B"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Pr>
          <w:rFonts w:ascii="Arial" w:eastAsiaTheme="minorEastAsia" w:hAnsi="Arial" w:cs="Arial"/>
          <w:color w:val="242021"/>
          <w:sz w:val="24"/>
          <w:szCs w:val="24"/>
          <w:lang w:eastAsia="en-ZA"/>
        </w:rPr>
        <w:t>54.</w:t>
      </w:r>
      <w:r>
        <w:rPr>
          <w:rFonts w:ascii="Arial" w:eastAsiaTheme="minorEastAsia" w:hAnsi="Arial" w:cs="Arial"/>
          <w:color w:val="242021"/>
          <w:sz w:val="24"/>
          <w:szCs w:val="24"/>
          <w:lang w:eastAsia="en-ZA"/>
        </w:rPr>
        <w:tab/>
      </w:r>
      <w:r w:rsidR="00C27810" w:rsidRPr="00FD7813">
        <w:rPr>
          <w:rFonts w:ascii="Arial" w:hAnsi="Arial" w:cs="Arial"/>
          <w:color w:val="242021"/>
          <w:sz w:val="24"/>
          <w:szCs w:val="24"/>
        </w:rPr>
        <w:t>The only dispute before this court relates to whether the re</w:t>
      </w:r>
      <w:r w:rsidR="00A27CE2" w:rsidRPr="00FD7813">
        <w:rPr>
          <w:rFonts w:ascii="Arial" w:hAnsi="Arial" w:cs="Arial"/>
          <w:color w:val="242021"/>
          <w:sz w:val="24"/>
          <w:szCs w:val="24"/>
        </w:rPr>
        <w:t>spon</w:t>
      </w:r>
      <w:r w:rsidR="00C27810" w:rsidRPr="00FD7813">
        <w:rPr>
          <w:rFonts w:ascii="Arial" w:hAnsi="Arial" w:cs="Arial"/>
          <w:color w:val="242021"/>
          <w:sz w:val="24"/>
          <w:szCs w:val="24"/>
        </w:rPr>
        <w:t>d</w:t>
      </w:r>
      <w:r w:rsidR="00197ECA" w:rsidRPr="00FD7813">
        <w:rPr>
          <w:rFonts w:ascii="Arial" w:hAnsi="Arial" w:cs="Arial"/>
          <w:color w:val="242021"/>
          <w:sz w:val="24"/>
          <w:szCs w:val="24"/>
        </w:rPr>
        <w:t xml:space="preserve">ent may be ordered </w:t>
      </w:r>
      <w:r w:rsidR="00C27810" w:rsidRPr="00FD7813">
        <w:rPr>
          <w:rFonts w:ascii="Arial" w:hAnsi="Arial" w:cs="Arial"/>
          <w:color w:val="242021"/>
          <w:sz w:val="24"/>
          <w:szCs w:val="24"/>
        </w:rPr>
        <w:t xml:space="preserve">to comply with the </w:t>
      </w:r>
      <w:r w:rsidR="00C76A8A" w:rsidRPr="00FD7813">
        <w:rPr>
          <w:rFonts w:ascii="Arial" w:hAnsi="Arial" w:cs="Arial"/>
          <w:color w:val="242021"/>
          <w:sz w:val="24"/>
          <w:szCs w:val="24"/>
        </w:rPr>
        <w:t xml:space="preserve">settlement </w:t>
      </w:r>
      <w:r w:rsidR="00C27810" w:rsidRPr="00FD7813">
        <w:rPr>
          <w:rFonts w:ascii="Arial" w:hAnsi="Arial" w:cs="Arial"/>
          <w:color w:val="242021"/>
          <w:sz w:val="24"/>
          <w:szCs w:val="24"/>
        </w:rPr>
        <w:t>agreement</w:t>
      </w:r>
      <w:r w:rsidR="00C76A8A" w:rsidRPr="00FD7813">
        <w:rPr>
          <w:rFonts w:ascii="Arial" w:hAnsi="Arial" w:cs="Arial"/>
          <w:color w:val="242021"/>
          <w:sz w:val="24"/>
          <w:szCs w:val="24"/>
        </w:rPr>
        <w:t xml:space="preserve"> for the provision</w:t>
      </w:r>
      <w:r w:rsidR="00C27810" w:rsidRPr="00FD7813">
        <w:rPr>
          <w:rFonts w:ascii="Arial" w:hAnsi="Arial" w:cs="Arial"/>
          <w:color w:val="242021"/>
          <w:sz w:val="24"/>
          <w:szCs w:val="24"/>
        </w:rPr>
        <w:t xml:space="preserve"> of 500kVa over the entire development as proposed by the applic</w:t>
      </w:r>
      <w:r w:rsidR="004476AF" w:rsidRPr="00FD7813">
        <w:rPr>
          <w:rFonts w:ascii="Arial" w:hAnsi="Arial" w:cs="Arial"/>
          <w:color w:val="242021"/>
          <w:sz w:val="24"/>
          <w:szCs w:val="24"/>
        </w:rPr>
        <w:t>ant which includes the additional 83 units.</w:t>
      </w:r>
      <w:r w:rsidR="00C76A8A" w:rsidRPr="00FD7813">
        <w:rPr>
          <w:rFonts w:ascii="Arial" w:hAnsi="Arial" w:cs="Arial"/>
          <w:color w:val="242021"/>
          <w:sz w:val="24"/>
          <w:szCs w:val="24"/>
        </w:rPr>
        <w:t xml:space="preserve"> </w:t>
      </w:r>
    </w:p>
    <w:p w14:paraId="450225AF" w14:textId="77777777" w:rsidR="00EB762B" w:rsidRPr="00EB762B" w:rsidRDefault="00EB762B" w:rsidP="00EB762B">
      <w:pPr>
        <w:pStyle w:val="ListParagraph"/>
        <w:rPr>
          <w:rFonts w:ascii="Arial" w:hAnsi="Arial" w:cs="Arial"/>
          <w:color w:val="242021"/>
          <w:sz w:val="24"/>
          <w:szCs w:val="24"/>
        </w:rPr>
      </w:pPr>
    </w:p>
    <w:p w14:paraId="5FAE83C6" w14:textId="77777777" w:rsidR="00EB762B" w:rsidRPr="00EB762B" w:rsidRDefault="00EB762B" w:rsidP="00EB762B">
      <w:pPr>
        <w:pStyle w:val="ListParagraph"/>
        <w:autoSpaceDE w:val="0"/>
        <w:autoSpaceDN w:val="0"/>
        <w:adjustRightInd w:val="0"/>
        <w:spacing w:after="0" w:line="480" w:lineRule="auto"/>
        <w:jc w:val="both"/>
        <w:rPr>
          <w:rFonts w:ascii="Arial" w:hAnsi="Arial" w:cs="Arial"/>
          <w:color w:val="242021"/>
          <w:sz w:val="24"/>
          <w:szCs w:val="24"/>
        </w:rPr>
      </w:pPr>
    </w:p>
    <w:p w14:paraId="592024CF" w14:textId="2762015E" w:rsidR="0007444B" w:rsidRPr="00FD7813" w:rsidRDefault="00FD7813" w:rsidP="00FD7813">
      <w:pPr>
        <w:autoSpaceDE w:val="0"/>
        <w:autoSpaceDN w:val="0"/>
        <w:adjustRightInd w:val="0"/>
        <w:spacing w:after="0" w:line="480" w:lineRule="auto"/>
        <w:ind w:left="720" w:hanging="360"/>
        <w:jc w:val="both"/>
        <w:rPr>
          <w:rFonts w:ascii="Arial" w:hAnsi="Arial" w:cs="Arial"/>
          <w:color w:val="242121"/>
          <w:sz w:val="24"/>
          <w:szCs w:val="24"/>
        </w:rPr>
      </w:pPr>
      <w:r w:rsidRPr="00EB762B">
        <w:rPr>
          <w:rFonts w:ascii="Arial" w:eastAsiaTheme="minorEastAsia" w:hAnsi="Arial" w:cs="Arial"/>
          <w:color w:val="242121"/>
          <w:sz w:val="24"/>
          <w:szCs w:val="24"/>
          <w:lang w:eastAsia="en-ZA"/>
        </w:rPr>
        <w:t>55.</w:t>
      </w:r>
      <w:r w:rsidRPr="00EB762B">
        <w:rPr>
          <w:rFonts w:ascii="Arial" w:eastAsiaTheme="minorEastAsia" w:hAnsi="Arial" w:cs="Arial"/>
          <w:color w:val="242121"/>
          <w:sz w:val="24"/>
          <w:szCs w:val="24"/>
          <w:lang w:eastAsia="en-ZA"/>
        </w:rPr>
        <w:tab/>
      </w:r>
      <w:r w:rsidR="00F24BA0" w:rsidRPr="00FD7813">
        <w:rPr>
          <w:rFonts w:ascii="Arial" w:hAnsi="Arial" w:cs="Arial"/>
          <w:color w:val="242021"/>
          <w:sz w:val="24"/>
          <w:szCs w:val="24"/>
        </w:rPr>
        <w:t>T</w:t>
      </w:r>
      <w:r w:rsidR="00F24BA0" w:rsidRPr="00FD7813">
        <w:rPr>
          <w:rFonts w:ascii="Arial" w:hAnsi="Arial" w:cs="Arial"/>
          <w:color w:val="242121"/>
          <w:sz w:val="24"/>
          <w:szCs w:val="24"/>
        </w:rPr>
        <w:t>he Settlement Agreement is clearly inimical to the present interests of the community.</w:t>
      </w:r>
      <w:r w:rsidR="0020473A" w:rsidRPr="00FD7813">
        <w:rPr>
          <w:rFonts w:ascii="Arial" w:hAnsi="Arial" w:cs="Arial"/>
          <w:color w:val="242121"/>
          <w:sz w:val="24"/>
          <w:szCs w:val="24"/>
        </w:rPr>
        <w:t xml:space="preserve"> </w:t>
      </w:r>
    </w:p>
    <w:p w14:paraId="0FC19ECA" w14:textId="4130F570" w:rsidR="00E954EF" w:rsidRPr="0020473A" w:rsidRDefault="00E954EF" w:rsidP="00EB762B">
      <w:pPr>
        <w:autoSpaceDE w:val="0"/>
        <w:autoSpaceDN w:val="0"/>
        <w:adjustRightInd w:val="0"/>
        <w:spacing w:after="0" w:line="480" w:lineRule="auto"/>
        <w:ind w:left="720"/>
        <w:jc w:val="both"/>
        <w:rPr>
          <w:rFonts w:ascii="Arial" w:hAnsi="Arial" w:cs="Arial"/>
          <w:color w:val="242021"/>
          <w:sz w:val="24"/>
          <w:szCs w:val="24"/>
        </w:rPr>
      </w:pPr>
      <w:r w:rsidRPr="005270FB">
        <w:rPr>
          <w:rFonts w:ascii="Arial" w:hAnsi="Arial" w:cs="Arial"/>
          <w:color w:val="242121"/>
        </w:rPr>
        <w:t xml:space="preserve">Wessels on the </w:t>
      </w:r>
      <w:r w:rsidRPr="005270FB">
        <w:rPr>
          <w:rFonts w:ascii="Arial" w:hAnsi="Arial" w:cs="Arial"/>
          <w:color w:val="242121"/>
          <w:u w:val="single"/>
        </w:rPr>
        <w:t>Law of Contract in South Africa</w:t>
      </w:r>
      <w:r w:rsidRPr="005270FB">
        <w:rPr>
          <w:rFonts w:ascii="Arial" w:hAnsi="Arial" w:cs="Arial"/>
          <w:color w:val="242121"/>
        </w:rPr>
        <w:t xml:space="preserve"> : 2nd Edition, Vol 1, para 480 states that "(a)n act which is contrary to the interests of the community is said to be an act contrary to public policy". Wessels goes on to state that such acts may also be regarded as contrary to the common law, and in some cases contrary to the moral sense of the community. </w:t>
      </w:r>
    </w:p>
    <w:p w14:paraId="11F55605" w14:textId="77777777" w:rsidR="00E954EF" w:rsidRPr="005270FB" w:rsidRDefault="00E954EF" w:rsidP="00EB762B">
      <w:pPr>
        <w:pStyle w:val="NormalWeb"/>
        <w:shd w:val="clear" w:color="auto" w:fill="FFFFFF"/>
        <w:spacing w:before="144" w:beforeAutospacing="0" w:after="288" w:afterAutospacing="0" w:line="360" w:lineRule="auto"/>
        <w:ind w:left="720"/>
        <w:jc w:val="both"/>
        <w:rPr>
          <w:rFonts w:ascii="Arial" w:hAnsi="Arial" w:cs="Arial"/>
          <w:color w:val="242121"/>
        </w:rPr>
      </w:pPr>
      <w:r w:rsidRPr="005270FB">
        <w:rPr>
          <w:rFonts w:ascii="Arial" w:hAnsi="Arial" w:cs="Arial"/>
          <w:color w:val="242121"/>
        </w:rPr>
        <w:t>The learned author "Aquilius" in one of a series of articles on "Immorality and Illegality in Contract" in 1941, 1942 and 1943 SALJ defines a contract against public policy as "one stipulating performance which is not </w:t>
      </w:r>
      <w:r w:rsidRPr="005270FB">
        <w:rPr>
          <w:rFonts w:ascii="Arial" w:hAnsi="Arial" w:cs="Arial"/>
          <w:color w:val="242121"/>
          <w:u w:val="single"/>
        </w:rPr>
        <w:t>per se</w:t>
      </w:r>
      <w:r w:rsidRPr="005270FB">
        <w:rPr>
          <w:rFonts w:ascii="Arial" w:hAnsi="Arial" w:cs="Arial"/>
          <w:color w:val="242121"/>
        </w:rPr>
        <w:t> illegal or immoral but which the Courts, on grounds of expedience, will not enforce, because performance will detrimentally affect the interest of the community" </w:t>
      </w:r>
      <w:hyperlink r:id="rId10" w:tooltip="View LawCiteRecord" w:history="1">
        <w:r w:rsidRPr="005270FB">
          <w:rPr>
            <w:rStyle w:val="Hyperlink"/>
            <w:rFonts w:ascii="Arial" w:hAnsi="Arial" w:cs="Arial"/>
            <w:b/>
            <w:bCs/>
            <w:color w:val="0B4B0B"/>
          </w:rPr>
          <w:t>(1941 SALJ 346).</w:t>
        </w:r>
      </w:hyperlink>
      <w:r w:rsidRPr="005270FB">
        <w:rPr>
          <w:rFonts w:ascii="Arial" w:hAnsi="Arial" w:cs="Arial"/>
          <w:color w:val="242121"/>
        </w:rPr>
        <w:t> </w:t>
      </w:r>
    </w:p>
    <w:p w14:paraId="5433A482" w14:textId="0B1A6F60" w:rsidR="00E954EF" w:rsidRPr="005270FB" w:rsidRDefault="00E954EF" w:rsidP="00EB762B">
      <w:pPr>
        <w:pStyle w:val="NormalWeb"/>
        <w:shd w:val="clear" w:color="auto" w:fill="FFFFFF"/>
        <w:spacing w:line="360" w:lineRule="auto"/>
        <w:ind w:left="720"/>
        <w:jc w:val="both"/>
        <w:rPr>
          <w:rFonts w:ascii="Arial" w:hAnsi="Arial" w:cs="Arial"/>
          <w:color w:val="000000"/>
        </w:rPr>
      </w:pPr>
      <w:r w:rsidRPr="005270FB">
        <w:rPr>
          <w:rFonts w:ascii="Arial" w:hAnsi="Arial" w:cs="Arial"/>
          <w:i/>
          <w:iCs/>
          <w:color w:val="000000"/>
        </w:rPr>
        <w:t>In Sasfin (Pty) Ltd v Beukes</w:t>
      </w:r>
      <w:r w:rsidR="004A3651">
        <w:rPr>
          <w:rFonts w:ascii="Arial" w:hAnsi="Arial" w:cs="Arial"/>
          <w:i/>
          <w:iCs/>
          <w:color w:val="000000"/>
          <w:vertAlign w:val="superscript"/>
        </w:rPr>
        <w:t>1</w:t>
      </w:r>
      <w:r w:rsidRPr="005270FB">
        <w:rPr>
          <w:rFonts w:ascii="Arial" w:hAnsi="Arial" w:cs="Arial"/>
          <w:i/>
          <w:iCs/>
          <w:color w:val="000000"/>
        </w:rPr>
        <w:t>,</w:t>
      </w:r>
      <w:bookmarkStart w:id="1" w:name="top21"/>
      <w:bookmarkEnd w:id="1"/>
      <w:r w:rsidRPr="005270FB">
        <w:rPr>
          <w:rFonts w:ascii="Arial" w:hAnsi="Arial" w:cs="Arial"/>
          <w:color w:val="000000"/>
        </w:rPr>
        <w:t>the Appellate Division had recognised the principle of public policy as a benchmark for judging fairness and reasonableness. Smalberger JA held</w:t>
      </w:r>
      <w:bookmarkStart w:id="2" w:name="top22"/>
      <w:bookmarkEnd w:id="2"/>
      <w:r w:rsidRPr="005270FB">
        <w:rPr>
          <w:rFonts w:ascii="Arial" w:hAnsi="Arial" w:cs="Arial"/>
          <w:color w:val="000000"/>
        </w:rPr>
        <w:t> that "[n]o court should ... shrink from the duty of declaring a contract contrary to public policy when the occasion so demands".</w:t>
      </w:r>
    </w:p>
    <w:p w14:paraId="077612E1" w14:textId="77777777" w:rsidR="009E13B9" w:rsidRDefault="00D919F4" w:rsidP="00EB762B">
      <w:pPr>
        <w:pStyle w:val="NormalWeb"/>
        <w:shd w:val="clear" w:color="auto" w:fill="FFFFFF"/>
        <w:spacing w:line="360" w:lineRule="auto"/>
        <w:ind w:left="720"/>
        <w:jc w:val="both"/>
        <w:rPr>
          <w:rFonts w:ascii="Arial" w:hAnsi="Arial" w:cs="Arial"/>
          <w:color w:val="000000"/>
        </w:rPr>
      </w:pPr>
      <w:r w:rsidRPr="005270FB">
        <w:rPr>
          <w:rFonts w:ascii="Arial" w:hAnsi="Arial" w:cs="Arial"/>
          <w:color w:val="000000"/>
        </w:rPr>
        <w:t xml:space="preserve">In </w:t>
      </w:r>
      <w:r w:rsidR="00E954EF" w:rsidRPr="005270FB">
        <w:rPr>
          <w:rFonts w:ascii="Arial" w:hAnsi="Arial" w:cs="Arial"/>
          <w:i/>
          <w:iCs/>
          <w:color w:val="000000"/>
        </w:rPr>
        <w:t>Barkhuizen v Napier</w:t>
      </w:r>
      <w:bookmarkStart w:id="3" w:name="top25"/>
      <w:bookmarkEnd w:id="3"/>
      <w:r w:rsidR="004A3651">
        <w:rPr>
          <w:rFonts w:ascii="Arial" w:hAnsi="Arial" w:cs="Arial"/>
          <w:i/>
          <w:iCs/>
          <w:color w:val="000000"/>
          <w:vertAlign w:val="superscript"/>
        </w:rPr>
        <w:t>2</w:t>
      </w:r>
      <w:r w:rsidR="00E954EF" w:rsidRPr="005270FB">
        <w:rPr>
          <w:rFonts w:ascii="Arial" w:hAnsi="Arial" w:cs="Arial"/>
          <w:color w:val="000000"/>
        </w:rPr>
        <w:t> </w:t>
      </w:r>
      <w:r w:rsidRPr="005270FB">
        <w:rPr>
          <w:rFonts w:ascii="Arial" w:hAnsi="Arial" w:cs="Arial"/>
          <w:color w:val="000000"/>
        </w:rPr>
        <w:t xml:space="preserve">the Constitutional Court </w:t>
      </w:r>
      <w:r w:rsidR="00E954EF" w:rsidRPr="005270FB">
        <w:rPr>
          <w:rFonts w:ascii="Arial" w:hAnsi="Arial" w:cs="Arial"/>
          <w:color w:val="000000"/>
        </w:rPr>
        <w:t xml:space="preserve">reiterated the choice of public policy over good faith. In this seminal judgment the court endorsed the concept of public policy as the benchmark for fairness and reasonableness. Ngcobo J held that the law currently stands good faith is not a self-standing rule, but an </w:t>
      </w:r>
      <w:r w:rsidR="00E954EF" w:rsidRPr="005270FB">
        <w:rPr>
          <w:rFonts w:ascii="Arial" w:hAnsi="Arial" w:cs="Arial"/>
          <w:color w:val="000000"/>
        </w:rPr>
        <w:lastRenderedPageBreak/>
        <w:t>underlying value that is given expression through existing rules of law".</w:t>
      </w:r>
      <w:bookmarkStart w:id="4" w:name="top26"/>
      <w:bookmarkEnd w:id="4"/>
      <w:r w:rsidR="00E954EF" w:rsidRPr="005270FB">
        <w:rPr>
          <w:rFonts w:ascii="Arial" w:hAnsi="Arial" w:cs="Arial"/>
          <w:color w:val="000000"/>
        </w:rPr>
        <w:t> In regard to the question what the approach is concerning constitutional challenges to contractu</w:t>
      </w:r>
      <w:r w:rsidRPr="005270FB">
        <w:rPr>
          <w:rFonts w:ascii="Arial" w:hAnsi="Arial" w:cs="Arial"/>
          <w:color w:val="000000"/>
        </w:rPr>
        <w:t>al terms, he pointed out that o</w:t>
      </w:r>
      <w:r w:rsidR="00E954EF" w:rsidRPr="005270FB">
        <w:rPr>
          <w:rFonts w:ascii="Arial" w:hAnsi="Arial" w:cs="Arial"/>
          <w:color w:val="000000"/>
        </w:rPr>
        <w:t>rdinarily constitutional challenges to contractual terms will give rise to the question of whether </w:t>
      </w:r>
      <w:r w:rsidR="00E954EF" w:rsidRPr="005270FB">
        <w:rPr>
          <w:rFonts w:ascii="Arial" w:hAnsi="Arial" w:cs="Arial"/>
          <w:i/>
          <w:iCs/>
          <w:color w:val="000000"/>
        </w:rPr>
        <w:t>the disputed provision is contrary to public policy"</w:t>
      </w:r>
      <w:r w:rsidR="00E954EF" w:rsidRPr="005270FB">
        <w:rPr>
          <w:rFonts w:ascii="Arial" w:hAnsi="Arial" w:cs="Arial"/>
          <w:color w:val="000000"/>
        </w:rPr>
        <w:t xml:space="preserve"> (my emphasis). </w:t>
      </w:r>
    </w:p>
    <w:p w14:paraId="006FF807" w14:textId="6C5CA615" w:rsidR="00FA3542" w:rsidRDefault="00FA3542" w:rsidP="00EB762B">
      <w:pPr>
        <w:pStyle w:val="NormalWeb"/>
        <w:shd w:val="clear" w:color="auto" w:fill="FFFFFF"/>
        <w:spacing w:line="360" w:lineRule="auto"/>
        <w:ind w:left="720"/>
        <w:jc w:val="both"/>
        <w:rPr>
          <w:rFonts w:ascii="Arial" w:hAnsi="Arial" w:cs="Arial"/>
        </w:rPr>
      </w:pPr>
      <w:r w:rsidRPr="00FA3542">
        <w:rPr>
          <w:rFonts w:ascii="Arial" w:hAnsi="Arial" w:cs="Arial"/>
          <w:bCs/>
        </w:rPr>
        <w:t xml:space="preserve">In </w:t>
      </w:r>
      <w:r w:rsidRPr="00EB762B">
        <w:rPr>
          <w:rFonts w:ascii="Arial" w:hAnsi="Arial" w:cs="Arial"/>
          <w:bCs/>
          <w:i/>
          <w:iCs/>
        </w:rPr>
        <w:t>Beadica 231 CC and Others</w:t>
      </w:r>
      <w:r w:rsidRPr="00EB762B">
        <w:rPr>
          <w:rFonts w:ascii="Arial" w:hAnsi="Arial" w:cs="Arial"/>
          <w:bCs/>
          <w:i/>
          <w:iCs/>
          <w:vertAlign w:val="superscript"/>
        </w:rPr>
        <w:t>3</w:t>
      </w:r>
      <w:r w:rsidRPr="00EB762B">
        <w:rPr>
          <w:rFonts w:ascii="Arial" w:hAnsi="Arial" w:cs="Arial"/>
          <w:bCs/>
          <w:i/>
          <w:iCs/>
        </w:rPr>
        <w:t xml:space="preserve"> v Trustees</w:t>
      </w:r>
      <w:r w:rsidRPr="00FA3542">
        <w:rPr>
          <w:rFonts w:ascii="Arial" w:hAnsi="Arial" w:cs="Arial"/>
          <w:bCs/>
        </w:rPr>
        <w:t xml:space="preserve"> for the time being of the Oregon Trust and Others the constitutional</w:t>
      </w:r>
      <w:r>
        <w:rPr>
          <w:rFonts w:ascii="Arial" w:hAnsi="Arial" w:cs="Arial"/>
          <w:bCs/>
        </w:rPr>
        <w:t xml:space="preserve"> court held</w:t>
      </w:r>
      <w:r w:rsidRPr="00FA3542">
        <w:rPr>
          <w:rFonts w:ascii="Arial" w:hAnsi="Arial" w:cs="Arial"/>
          <w:bCs/>
        </w:rPr>
        <w:t xml:space="preserve"> that public policy is grounds upon </w:t>
      </w:r>
      <w:r w:rsidR="0064572B">
        <w:rPr>
          <w:rFonts w:ascii="Arial" w:hAnsi="Arial" w:cs="Arial"/>
          <w:bCs/>
        </w:rPr>
        <w:t xml:space="preserve">which </w:t>
      </w:r>
      <w:r w:rsidRPr="00FA3542">
        <w:rPr>
          <w:rFonts w:ascii="Arial" w:hAnsi="Arial" w:cs="Arial"/>
          <w:bCs/>
        </w:rPr>
        <w:t>a court may refuse to enforce contractual terms.</w:t>
      </w:r>
    </w:p>
    <w:p w14:paraId="110A54E2" w14:textId="77777777" w:rsidR="00EB762B" w:rsidRPr="00FA3542" w:rsidRDefault="00EB762B" w:rsidP="00EB762B">
      <w:pPr>
        <w:pStyle w:val="NormalWeb"/>
        <w:shd w:val="clear" w:color="auto" w:fill="FFFFFF"/>
        <w:spacing w:line="360" w:lineRule="auto"/>
        <w:ind w:left="720"/>
        <w:jc w:val="both"/>
        <w:rPr>
          <w:rFonts w:ascii="Arial" w:hAnsi="Arial" w:cs="Arial"/>
        </w:rPr>
      </w:pPr>
    </w:p>
    <w:p w14:paraId="78F53F8D" w14:textId="59EAF082" w:rsidR="00EB762B" w:rsidRDefault="00FD7813" w:rsidP="00FD7813">
      <w:pPr>
        <w:pStyle w:val="NormalWeb"/>
        <w:shd w:val="clear" w:color="auto" w:fill="FFFFFF"/>
        <w:spacing w:line="360" w:lineRule="auto"/>
        <w:ind w:left="720" w:hanging="360"/>
        <w:jc w:val="both"/>
        <w:rPr>
          <w:rFonts w:ascii="Arial" w:hAnsi="Arial" w:cs="Arial"/>
          <w:color w:val="000000"/>
        </w:rPr>
      </w:pPr>
      <w:r>
        <w:rPr>
          <w:rFonts w:ascii="Arial" w:hAnsi="Arial" w:cs="Arial"/>
          <w:color w:val="000000"/>
        </w:rPr>
        <w:t>56.</w:t>
      </w:r>
      <w:r>
        <w:rPr>
          <w:rFonts w:ascii="Arial" w:hAnsi="Arial" w:cs="Arial"/>
          <w:color w:val="000000"/>
        </w:rPr>
        <w:tab/>
      </w:r>
      <w:r w:rsidR="00E954EF" w:rsidRPr="005270FB">
        <w:rPr>
          <w:rFonts w:ascii="Arial" w:hAnsi="Arial" w:cs="Arial"/>
          <w:color w:val="000000"/>
        </w:rPr>
        <w:t>Consequently, the highest court in South Africa has</w:t>
      </w:r>
      <w:r w:rsidR="009E13B9">
        <w:rPr>
          <w:rFonts w:ascii="Arial" w:hAnsi="Arial" w:cs="Arial"/>
          <w:color w:val="000000"/>
        </w:rPr>
        <w:t xml:space="preserve"> </w:t>
      </w:r>
      <w:r w:rsidR="00E954EF" w:rsidRPr="005270FB">
        <w:rPr>
          <w:rFonts w:ascii="Arial" w:hAnsi="Arial" w:cs="Arial"/>
          <w:color w:val="000000"/>
        </w:rPr>
        <w:t>identified public policy as the</w:t>
      </w:r>
      <w:r w:rsidR="009E13B9">
        <w:rPr>
          <w:rFonts w:ascii="Arial" w:hAnsi="Arial" w:cs="Arial"/>
          <w:color w:val="000000"/>
        </w:rPr>
        <w:t xml:space="preserve"> </w:t>
      </w:r>
      <w:r w:rsidR="009E13B9" w:rsidRPr="005270FB">
        <w:rPr>
          <w:rFonts w:ascii="Arial" w:hAnsi="Arial" w:cs="Arial"/>
          <w:color w:val="000000"/>
        </w:rPr>
        <w:t xml:space="preserve">touchstone for the enforceability of contracts. </w:t>
      </w:r>
    </w:p>
    <w:p w14:paraId="1A152249" w14:textId="77777777" w:rsidR="00EB762B" w:rsidRPr="00EB762B" w:rsidRDefault="00EB762B" w:rsidP="00EB762B">
      <w:pPr>
        <w:pStyle w:val="NormalWeb"/>
        <w:shd w:val="clear" w:color="auto" w:fill="FFFFFF"/>
        <w:spacing w:line="360" w:lineRule="auto"/>
        <w:ind w:left="720"/>
        <w:jc w:val="both"/>
        <w:rPr>
          <w:rFonts w:ascii="Arial" w:hAnsi="Arial" w:cs="Arial"/>
          <w:color w:val="000000"/>
        </w:rPr>
      </w:pPr>
    </w:p>
    <w:p w14:paraId="010DE9ED" w14:textId="4D1C836E" w:rsidR="004825EA"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57.</w:t>
      </w:r>
      <w:r w:rsidRPr="00EB762B">
        <w:rPr>
          <w:rFonts w:ascii="Arial" w:eastAsiaTheme="minorEastAsia" w:hAnsi="Arial" w:cs="Arial"/>
          <w:color w:val="242021"/>
          <w:sz w:val="24"/>
          <w:szCs w:val="24"/>
          <w:lang w:eastAsia="en-ZA"/>
        </w:rPr>
        <w:tab/>
      </w:r>
      <w:r w:rsidR="009E13B9" w:rsidRPr="00FD7813">
        <w:rPr>
          <w:rFonts w:ascii="Arial" w:hAnsi="Arial" w:cs="Arial"/>
          <w:color w:val="242021"/>
          <w:sz w:val="24"/>
          <w:szCs w:val="24"/>
        </w:rPr>
        <w:t>An order requiring the respondents to perform in terms of the said provi</w:t>
      </w:r>
      <w:r w:rsidR="002111E0" w:rsidRPr="00FD7813">
        <w:rPr>
          <w:rFonts w:ascii="Arial" w:hAnsi="Arial" w:cs="Arial"/>
          <w:color w:val="242021"/>
          <w:sz w:val="24"/>
          <w:szCs w:val="24"/>
        </w:rPr>
        <w:t xml:space="preserve">sions </w:t>
      </w:r>
      <w:r w:rsidR="004825EA" w:rsidRPr="00FD7813">
        <w:rPr>
          <w:rFonts w:ascii="Arial" w:hAnsi="Arial" w:cs="Arial"/>
          <w:color w:val="242021"/>
          <w:sz w:val="24"/>
          <w:szCs w:val="24"/>
        </w:rPr>
        <w:t xml:space="preserve">of the settlement agreement will </w:t>
      </w:r>
      <w:r w:rsidR="002111E0" w:rsidRPr="00FD7813">
        <w:rPr>
          <w:rFonts w:ascii="Arial" w:hAnsi="Arial" w:cs="Arial"/>
          <w:color w:val="242021"/>
          <w:sz w:val="24"/>
          <w:szCs w:val="24"/>
        </w:rPr>
        <w:t xml:space="preserve">offend public policy and fly in the face of section 11 of the Constitution of South Africa which is the right to life. Every person is entitled to the safety and preservation of life. </w:t>
      </w:r>
      <w:r w:rsidR="004825EA" w:rsidRPr="00FD7813">
        <w:rPr>
          <w:rFonts w:ascii="Arial" w:hAnsi="Arial" w:cs="Arial"/>
          <w:color w:val="242021"/>
          <w:sz w:val="24"/>
          <w:szCs w:val="24"/>
        </w:rPr>
        <w:t xml:space="preserve"> </w:t>
      </w:r>
    </w:p>
    <w:p w14:paraId="796492CD" w14:textId="77777777" w:rsidR="005B65DB" w:rsidRPr="005270FB" w:rsidRDefault="005B65DB" w:rsidP="009C5F92">
      <w:pPr>
        <w:autoSpaceDE w:val="0"/>
        <w:autoSpaceDN w:val="0"/>
        <w:adjustRightInd w:val="0"/>
        <w:spacing w:after="0" w:line="480" w:lineRule="auto"/>
        <w:rPr>
          <w:rFonts w:ascii="Arial" w:hAnsi="Arial" w:cs="Arial"/>
          <w:color w:val="242021"/>
          <w:sz w:val="24"/>
          <w:szCs w:val="24"/>
        </w:rPr>
      </w:pPr>
    </w:p>
    <w:p w14:paraId="4768351E" w14:textId="4398737E" w:rsidR="00D919F4"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58.</w:t>
      </w:r>
      <w:r w:rsidRPr="00EB762B">
        <w:rPr>
          <w:rFonts w:ascii="Arial" w:eastAsiaTheme="minorEastAsia" w:hAnsi="Arial" w:cs="Arial"/>
          <w:color w:val="242021"/>
          <w:sz w:val="24"/>
          <w:szCs w:val="24"/>
          <w:lang w:eastAsia="en-ZA"/>
        </w:rPr>
        <w:tab/>
      </w:r>
      <w:r w:rsidR="009E13B9" w:rsidRPr="00FD7813">
        <w:rPr>
          <w:rFonts w:ascii="Arial" w:hAnsi="Arial" w:cs="Arial"/>
          <w:color w:val="242021"/>
          <w:sz w:val="24"/>
          <w:szCs w:val="24"/>
        </w:rPr>
        <w:t>O</w:t>
      </w:r>
      <w:r w:rsidR="00C2259E" w:rsidRPr="00FD7813">
        <w:rPr>
          <w:rFonts w:ascii="Arial" w:hAnsi="Arial" w:cs="Arial"/>
          <w:color w:val="242021"/>
          <w:sz w:val="24"/>
          <w:szCs w:val="24"/>
        </w:rPr>
        <w:t>n the balance of the facts of</w:t>
      </w:r>
      <w:r w:rsidR="00DF11BD" w:rsidRPr="00FD7813">
        <w:rPr>
          <w:rFonts w:ascii="Arial" w:hAnsi="Arial" w:cs="Arial"/>
          <w:color w:val="242021"/>
          <w:sz w:val="24"/>
          <w:szCs w:val="24"/>
        </w:rPr>
        <w:t xml:space="preserve"> this application, </w:t>
      </w:r>
      <w:r w:rsidR="00C2259E" w:rsidRPr="00FD7813">
        <w:rPr>
          <w:rFonts w:ascii="Arial" w:hAnsi="Arial" w:cs="Arial"/>
          <w:color w:val="242021"/>
          <w:sz w:val="24"/>
          <w:szCs w:val="24"/>
        </w:rPr>
        <w:t>considerations of</w:t>
      </w:r>
      <w:r w:rsidR="00AC7B4B" w:rsidRPr="00FD7813">
        <w:rPr>
          <w:rFonts w:ascii="Arial" w:hAnsi="Arial" w:cs="Arial"/>
          <w:color w:val="242021"/>
          <w:sz w:val="24"/>
          <w:szCs w:val="24"/>
        </w:rPr>
        <w:t xml:space="preserve"> </w:t>
      </w:r>
      <w:r w:rsidR="00C2259E" w:rsidRPr="00FD7813">
        <w:rPr>
          <w:rFonts w:ascii="Arial" w:hAnsi="Arial" w:cs="Arial"/>
          <w:color w:val="242021"/>
          <w:sz w:val="24"/>
          <w:szCs w:val="24"/>
        </w:rPr>
        <w:t>the</w:t>
      </w:r>
      <w:r w:rsidR="009E13B9" w:rsidRPr="00FD7813">
        <w:rPr>
          <w:rFonts w:ascii="Arial" w:hAnsi="Arial" w:cs="Arial"/>
          <w:color w:val="242021"/>
          <w:sz w:val="24"/>
          <w:szCs w:val="24"/>
        </w:rPr>
        <w:t xml:space="preserve"> law and public policy</w:t>
      </w:r>
      <w:r w:rsidR="00D919F4" w:rsidRPr="00FD7813">
        <w:rPr>
          <w:rFonts w:ascii="Arial" w:hAnsi="Arial" w:cs="Arial"/>
          <w:color w:val="242021"/>
          <w:sz w:val="24"/>
          <w:szCs w:val="24"/>
        </w:rPr>
        <w:t xml:space="preserve"> it would be unconscionable for this court to grant</w:t>
      </w:r>
      <w:r w:rsidR="009E13B9" w:rsidRPr="00FD7813">
        <w:rPr>
          <w:rFonts w:ascii="Arial" w:hAnsi="Arial" w:cs="Arial"/>
          <w:color w:val="242021"/>
          <w:sz w:val="24"/>
          <w:szCs w:val="24"/>
        </w:rPr>
        <w:t xml:space="preserve"> the</w:t>
      </w:r>
      <w:r w:rsidR="00D919F4" w:rsidRPr="00FD7813">
        <w:rPr>
          <w:rFonts w:ascii="Arial" w:hAnsi="Arial" w:cs="Arial"/>
          <w:color w:val="242021"/>
          <w:sz w:val="24"/>
          <w:szCs w:val="24"/>
        </w:rPr>
        <w:t xml:space="preserve"> re</w:t>
      </w:r>
      <w:r w:rsidR="009E13B9" w:rsidRPr="00FD7813">
        <w:rPr>
          <w:rFonts w:ascii="Arial" w:hAnsi="Arial" w:cs="Arial"/>
          <w:color w:val="242021"/>
          <w:sz w:val="24"/>
          <w:szCs w:val="24"/>
        </w:rPr>
        <w:t>lief as sought by the applicant</w:t>
      </w:r>
      <w:r w:rsidR="00D919F4" w:rsidRPr="00FD7813">
        <w:rPr>
          <w:rFonts w:ascii="Arial" w:hAnsi="Arial" w:cs="Arial"/>
          <w:color w:val="242021"/>
          <w:sz w:val="24"/>
          <w:szCs w:val="24"/>
        </w:rPr>
        <w:t>. This</w:t>
      </w:r>
      <w:r w:rsidR="00C60F6A" w:rsidRPr="00FD7813">
        <w:rPr>
          <w:rFonts w:ascii="Arial" w:hAnsi="Arial" w:cs="Arial"/>
          <w:color w:val="242021"/>
          <w:sz w:val="24"/>
          <w:szCs w:val="24"/>
        </w:rPr>
        <w:t xml:space="preserve"> application</w:t>
      </w:r>
      <w:r w:rsidR="00D919F4" w:rsidRPr="00FD7813">
        <w:rPr>
          <w:rFonts w:ascii="Arial" w:hAnsi="Arial" w:cs="Arial"/>
          <w:color w:val="242021"/>
          <w:sz w:val="24"/>
          <w:szCs w:val="24"/>
        </w:rPr>
        <w:t xml:space="preserve"> accordingly</w:t>
      </w:r>
      <w:r w:rsidR="00C60F6A" w:rsidRPr="00FD7813">
        <w:rPr>
          <w:rFonts w:ascii="Arial" w:hAnsi="Arial" w:cs="Arial"/>
          <w:color w:val="242021"/>
          <w:sz w:val="24"/>
          <w:szCs w:val="24"/>
        </w:rPr>
        <w:t xml:space="preserve"> falls to be dismissed</w:t>
      </w:r>
      <w:r w:rsidR="00C2259E" w:rsidRPr="00FD7813">
        <w:rPr>
          <w:rFonts w:ascii="Arial" w:hAnsi="Arial" w:cs="Arial"/>
          <w:color w:val="242021"/>
          <w:sz w:val="24"/>
          <w:szCs w:val="24"/>
        </w:rPr>
        <w:t xml:space="preserve">. </w:t>
      </w:r>
    </w:p>
    <w:p w14:paraId="0F6A2E79" w14:textId="77777777" w:rsidR="00D919F4" w:rsidRDefault="00D919F4" w:rsidP="00AC1748">
      <w:pPr>
        <w:autoSpaceDE w:val="0"/>
        <w:autoSpaceDN w:val="0"/>
        <w:adjustRightInd w:val="0"/>
        <w:spacing w:after="0" w:line="480" w:lineRule="auto"/>
        <w:jc w:val="both"/>
        <w:rPr>
          <w:rFonts w:ascii="Arial" w:hAnsi="Arial" w:cs="Arial"/>
          <w:color w:val="242021"/>
          <w:sz w:val="24"/>
          <w:szCs w:val="24"/>
        </w:rPr>
      </w:pPr>
    </w:p>
    <w:p w14:paraId="076A95B4" w14:textId="5AA39777" w:rsidR="00EB762B"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Pr>
          <w:rFonts w:ascii="Arial" w:eastAsiaTheme="minorEastAsia" w:hAnsi="Arial" w:cs="Arial"/>
          <w:color w:val="242021"/>
          <w:sz w:val="24"/>
          <w:szCs w:val="24"/>
          <w:lang w:eastAsia="en-ZA"/>
        </w:rPr>
        <w:t>59.</w:t>
      </w:r>
      <w:r>
        <w:rPr>
          <w:rFonts w:ascii="Arial" w:eastAsiaTheme="minorEastAsia" w:hAnsi="Arial" w:cs="Arial"/>
          <w:color w:val="242021"/>
          <w:sz w:val="24"/>
          <w:szCs w:val="24"/>
          <w:lang w:eastAsia="en-ZA"/>
        </w:rPr>
        <w:tab/>
      </w:r>
      <w:r w:rsidR="00AC7B4B" w:rsidRPr="00FD7813">
        <w:rPr>
          <w:rFonts w:ascii="Arial" w:hAnsi="Arial" w:cs="Arial"/>
          <w:color w:val="242021"/>
          <w:sz w:val="24"/>
          <w:szCs w:val="24"/>
        </w:rPr>
        <w:t>This court is of the view that the appropriate costs order in light of the facts of the case is for each party to pay its own costs.</w:t>
      </w:r>
    </w:p>
    <w:p w14:paraId="1EFDD968" w14:textId="77777777" w:rsidR="00EB762B" w:rsidRPr="00EB762B" w:rsidRDefault="00EB762B" w:rsidP="00EB762B">
      <w:pPr>
        <w:pStyle w:val="ListParagraph"/>
        <w:rPr>
          <w:rFonts w:ascii="Arial" w:hAnsi="Arial" w:cs="Arial"/>
          <w:color w:val="242021"/>
          <w:sz w:val="24"/>
          <w:szCs w:val="24"/>
        </w:rPr>
      </w:pPr>
    </w:p>
    <w:p w14:paraId="1E8601A3" w14:textId="793A2F36" w:rsidR="00C60F6A" w:rsidRPr="00FD7813" w:rsidRDefault="00FD7813" w:rsidP="00FD7813">
      <w:pPr>
        <w:autoSpaceDE w:val="0"/>
        <w:autoSpaceDN w:val="0"/>
        <w:adjustRightInd w:val="0"/>
        <w:spacing w:after="0" w:line="480" w:lineRule="auto"/>
        <w:ind w:left="720" w:hanging="360"/>
        <w:jc w:val="both"/>
        <w:rPr>
          <w:rFonts w:ascii="Arial" w:hAnsi="Arial" w:cs="Arial"/>
          <w:color w:val="242021"/>
          <w:sz w:val="24"/>
          <w:szCs w:val="24"/>
        </w:rPr>
      </w:pPr>
      <w:r w:rsidRPr="00EB762B">
        <w:rPr>
          <w:rFonts w:ascii="Arial" w:eastAsiaTheme="minorEastAsia" w:hAnsi="Arial" w:cs="Arial"/>
          <w:color w:val="242021"/>
          <w:sz w:val="24"/>
          <w:szCs w:val="24"/>
          <w:lang w:eastAsia="en-ZA"/>
        </w:rPr>
        <w:t>60.</w:t>
      </w:r>
      <w:r w:rsidRPr="00EB762B">
        <w:rPr>
          <w:rFonts w:ascii="Arial" w:eastAsiaTheme="minorEastAsia" w:hAnsi="Arial" w:cs="Arial"/>
          <w:color w:val="242021"/>
          <w:sz w:val="24"/>
          <w:szCs w:val="24"/>
          <w:lang w:eastAsia="en-ZA"/>
        </w:rPr>
        <w:tab/>
      </w:r>
      <w:r w:rsidR="00C60F6A" w:rsidRPr="00FD7813">
        <w:rPr>
          <w:rFonts w:ascii="Arial" w:hAnsi="Arial" w:cs="Arial"/>
          <w:color w:val="242021"/>
          <w:sz w:val="24"/>
          <w:szCs w:val="24"/>
        </w:rPr>
        <w:t xml:space="preserve">Accordingly </w:t>
      </w:r>
      <w:r w:rsidR="00AC7B4B" w:rsidRPr="00FD7813">
        <w:rPr>
          <w:rFonts w:ascii="Arial" w:hAnsi="Arial" w:cs="Arial"/>
          <w:color w:val="242021"/>
          <w:sz w:val="24"/>
          <w:szCs w:val="24"/>
        </w:rPr>
        <w:t>this</w:t>
      </w:r>
      <w:r w:rsidR="00C60F6A" w:rsidRPr="00FD7813">
        <w:rPr>
          <w:rFonts w:ascii="Arial" w:hAnsi="Arial" w:cs="Arial"/>
          <w:color w:val="242021"/>
          <w:sz w:val="24"/>
          <w:szCs w:val="24"/>
        </w:rPr>
        <w:t xml:space="preserve"> Application is dismissed </w:t>
      </w:r>
      <w:r w:rsidR="00AC7B4B" w:rsidRPr="00FD7813">
        <w:rPr>
          <w:rFonts w:ascii="Arial" w:hAnsi="Arial" w:cs="Arial"/>
          <w:color w:val="242021"/>
          <w:sz w:val="24"/>
          <w:szCs w:val="24"/>
        </w:rPr>
        <w:t xml:space="preserve">with </w:t>
      </w:r>
      <w:r w:rsidR="00C60F6A" w:rsidRPr="00FD7813">
        <w:rPr>
          <w:rFonts w:ascii="Arial" w:hAnsi="Arial" w:cs="Arial"/>
          <w:color w:val="242021"/>
          <w:sz w:val="24"/>
          <w:szCs w:val="24"/>
        </w:rPr>
        <w:t>each party to pay its own costs.</w:t>
      </w:r>
    </w:p>
    <w:p w14:paraId="02F725B8" w14:textId="77777777" w:rsidR="009C5F92" w:rsidRDefault="009C5F92" w:rsidP="00AC1748">
      <w:pPr>
        <w:autoSpaceDE w:val="0"/>
        <w:autoSpaceDN w:val="0"/>
        <w:adjustRightInd w:val="0"/>
        <w:spacing w:after="0" w:line="480" w:lineRule="auto"/>
        <w:jc w:val="both"/>
        <w:rPr>
          <w:rFonts w:ascii="Arial" w:hAnsi="Arial" w:cs="Arial"/>
          <w:color w:val="242021"/>
          <w:sz w:val="24"/>
          <w:szCs w:val="24"/>
        </w:rPr>
      </w:pPr>
    </w:p>
    <w:p w14:paraId="19580681" w14:textId="77777777" w:rsidR="008C14A2" w:rsidRDefault="008C14A2" w:rsidP="00136CA7">
      <w:pPr>
        <w:pStyle w:val="ListParagraph"/>
        <w:spacing w:after="0" w:line="480" w:lineRule="auto"/>
        <w:ind w:left="709"/>
        <w:jc w:val="both"/>
        <w:rPr>
          <w:rFonts w:ascii="Arial" w:eastAsia="Arial Unicode MS" w:hAnsi="Arial" w:cs="Arial"/>
          <w:sz w:val="24"/>
          <w:szCs w:val="24"/>
        </w:rPr>
      </w:pPr>
    </w:p>
    <w:p w14:paraId="12A5A2B9" w14:textId="77777777" w:rsidR="008C14A2" w:rsidRPr="00D4446B" w:rsidRDefault="008C14A2" w:rsidP="00136CA7">
      <w:pPr>
        <w:pStyle w:val="ListParagraph"/>
        <w:spacing w:after="0" w:line="480" w:lineRule="auto"/>
        <w:ind w:left="709"/>
        <w:jc w:val="both"/>
        <w:rPr>
          <w:rFonts w:ascii="Arial" w:eastAsia="Arial Unicode MS" w:hAnsi="Arial" w:cs="Arial"/>
          <w:sz w:val="24"/>
          <w:szCs w:val="24"/>
        </w:rPr>
      </w:pPr>
    </w:p>
    <w:p w14:paraId="3DFE3FB3" w14:textId="30E9F983" w:rsidR="008911E9" w:rsidRPr="00D4446B" w:rsidRDefault="008911E9" w:rsidP="00D4446B">
      <w:pPr>
        <w:spacing w:before="120" w:after="120" w:line="480" w:lineRule="auto"/>
        <w:ind w:left="720" w:hanging="720"/>
        <w:jc w:val="both"/>
        <w:rPr>
          <w:rFonts w:ascii="Arial" w:eastAsia="Arial Unicode MS" w:hAnsi="Arial" w:cs="Arial"/>
          <w:b/>
          <w:sz w:val="24"/>
          <w:szCs w:val="24"/>
        </w:rPr>
      </w:pPr>
      <w:r w:rsidRPr="00D4446B">
        <w:rPr>
          <w:rFonts w:ascii="Arial" w:eastAsia="Arial Unicode MS" w:hAnsi="Arial" w:cs="Arial"/>
          <w:b/>
          <w:sz w:val="24"/>
          <w:szCs w:val="24"/>
        </w:rPr>
        <w:t>___________________________</w:t>
      </w:r>
    </w:p>
    <w:p w14:paraId="5DDE8DFE" w14:textId="5C4B51B8" w:rsidR="008911E9" w:rsidRPr="00D4446B" w:rsidRDefault="005E0EAB" w:rsidP="00D4446B">
      <w:pPr>
        <w:spacing w:before="120" w:after="120" w:line="480" w:lineRule="auto"/>
        <w:ind w:left="720" w:hanging="720"/>
        <w:jc w:val="both"/>
        <w:rPr>
          <w:rFonts w:ascii="Arial" w:eastAsia="Arial Unicode MS" w:hAnsi="Arial" w:cs="Arial"/>
          <w:b/>
          <w:sz w:val="24"/>
          <w:szCs w:val="24"/>
        </w:rPr>
      </w:pPr>
      <w:r w:rsidRPr="00D4446B">
        <w:rPr>
          <w:rFonts w:ascii="Arial" w:eastAsia="Arial Unicode MS" w:hAnsi="Arial" w:cs="Arial"/>
          <w:b/>
          <w:sz w:val="24"/>
          <w:szCs w:val="24"/>
        </w:rPr>
        <w:t>MEERSINGH A.J.</w:t>
      </w:r>
    </w:p>
    <w:p w14:paraId="3DFA2C8E" w14:textId="508AEBAA" w:rsidR="008911E9" w:rsidRPr="00D4446B" w:rsidRDefault="005E0EAB" w:rsidP="00D4446B">
      <w:pPr>
        <w:spacing w:before="120" w:after="120" w:line="480" w:lineRule="auto"/>
        <w:ind w:left="720" w:hanging="720"/>
        <w:jc w:val="both"/>
        <w:rPr>
          <w:rFonts w:ascii="Arial" w:eastAsia="Arial Unicode MS" w:hAnsi="Arial" w:cs="Arial"/>
          <w:b/>
          <w:sz w:val="24"/>
          <w:szCs w:val="24"/>
        </w:rPr>
      </w:pPr>
      <w:r w:rsidRPr="00D4446B">
        <w:rPr>
          <w:rFonts w:ascii="Arial" w:eastAsia="Arial Unicode MS" w:hAnsi="Arial" w:cs="Arial"/>
          <w:b/>
          <w:sz w:val="24"/>
          <w:szCs w:val="24"/>
        </w:rPr>
        <w:t xml:space="preserve">ACTING </w:t>
      </w:r>
      <w:r w:rsidR="008911E9" w:rsidRPr="00D4446B">
        <w:rPr>
          <w:rFonts w:ascii="Arial" w:eastAsia="Arial Unicode MS" w:hAnsi="Arial" w:cs="Arial"/>
          <w:b/>
          <w:sz w:val="24"/>
          <w:szCs w:val="24"/>
        </w:rPr>
        <w:t>JUDGE OF THE HIGH COURT OF SOUTH AFRICA</w:t>
      </w:r>
    </w:p>
    <w:p w14:paraId="547F7845" w14:textId="514806E4" w:rsidR="003D0619" w:rsidRPr="00D4446B" w:rsidRDefault="008911E9" w:rsidP="00D4446B">
      <w:pPr>
        <w:spacing w:before="120" w:after="120" w:line="480" w:lineRule="auto"/>
        <w:ind w:left="720" w:hanging="720"/>
        <w:jc w:val="both"/>
        <w:rPr>
          <w:rFonts w:ascii="Arial" w:eastAsia="Arial Unicode MS" w:hAnsi="Arial" w:cs="Arial"/>
          <w:b/>
          <w:sz w:val="24"/>
          <w:szCs w:val="24"/>
        </w:rPr>
      </w:pPr>
      <w:r w:rsidRPr="00D4446B">
        <w:rPr>
          <w:rFonts w:ascii="Arial" w:eastAsia="Arial Unicode MS" w:hAnsi="Arial" w:cs="Arial"/>
          <w:b/>
          <w:sz w:val="24"/>
          <w:szCs w:val="24"/>
        </w:rPr>
        <w:t>GAUTENG DIVISION, PRETORIA</w:t>
      </w:r>
    </w:p>
    <w:p w14:paraId="53EF86B6" w14:textId="77777777" w:rsidR="00845353" w:rsidRDefault="00845353" w:rsidP="00D4446B">
      <w:pPr>
        <w:spacing w:line="480" w:lineRule="auto"/>
        <w:jc w:val="both"/>
        <w:rPr>
          <w:rFonts w:ascii="Arial" w:eastAsia="Arial Unicode MS" w:hAnsi="Arial" w:cs="Arial"/>
          <w:b/>
          <w:sz w:val="24"/>
          <w:szCs w:val="24"/>
          <w:u w:val="single"/>
        </w:rPr>
      </w:pPr>
    </w:p>
    <w:p w14:paraId="241AE4A7" w14:textId="77777777" w:rsidR="00845353" w:rsidRDefault="00845353" w:rsidP="00D4446B">
      <w:pPr>
        <w:spacing w:line="480" w:lineRule="auto"/>
        <w:jc w:val="both"/>
        <w:rPr>
          <w:rFonts w:ascii="Arial" w:eastAsia="Arial Unicode MS" w:hAnsi="Arial" w:cs="Arial"/>
          <w:b/>
          <w:sz w:val="24"/>
          <w:szCs w:val="24"/>
          <w:u w:val="single"/>
        </w:rPr>
      </w:pPr>
    </w:p>
    <w:p w14:paraId="4F9C3165" w14:textId="27060FE5" w:rsidR="00551A0A" w:rsidRPr="00D4446B" w:rsidRDefault="008911E9" w:rsidP="00D4446B">
      <w:pPr>
        <w:spacing w:line="480" w:lineRule="auto"/>
        <w:jc w:val="both"/>
        <w:rPr>
          <w:rFonts w:ascii="Arial" w:eastAsia="Arial Unicode MS" w:hAnsi="Arial" w:cs="Arial"/>
          <w:sz w:val="24"/>
          <w:szCs w:val="24"/>
        </w:rPr>
      </w:pPr>
      <w:r w:rsidRPr="00D4446B">
        <w:rPr>
          <w:rFonts w:ascii="Arial" w:eastAsia="Arial Unicode MS" w:hAnsi="Arial" w:cs="Arial"/>
          <w:b/>
          <w:sz w:val="24"/>
          <w:szCs w:val="24"/>
          <w:u w:val="single"/>
        </w:rPr>
        <w:t>D</w:t>
      </w:r>
      <w:r w:rsidR="006D2BE9" w:rsidRPr="00D4446B">
        <w:rPr>
          <w:rFonts w:ascii="Arial" w:eastAsia="Arial Unicode MS" w:hAnsi="Arial" w:cs="Arial"/>
          <w:b/>
          <w:sz w:val="24"/>
          <w:szCs w:val="24"/>
          <w:u w:val="single"/>
        </w:rPr>
        <w:t>ATE HEARD</w:t>
      </w:r>
      <w:r w:rsidRPr="00D4446B">
        <w:rPr>
          <w:rFonts w:ascii="Arial" w:eastAsia="Arial Unicode MS" w:hAnsi="Arial" w:cs="Arial"/>
          <w:b/>
          <w:sz w:val="24"/>
          <w:szCs w:val="24"/>
          <w:u w:val="single"/>
        </w:rPr>
        <w:t>:</w:t>
      </w:r>
      <w:r w:rsidR="009D0D2C" w:rsidRPr="00D4446B">
        <w:rPr>
          <w:rFonts w:ascii="Arial" w:eastAsia="Arial Unicode MS" w:hAnsi="Arial" w:cs="Arial"/>
          <w:sz w:val="24"/>
          <w:szCs w:val="24"/>
        </w:rPr>
        <w:t xml:space="preserve">     </w:t>
      </w:r>
      <w:r w:rsidR="0064572B">
        <w:rPr>
          <w:rFonts w:ascii="Arial" w:eastAsia="Arial Unicode MS" w:hAnsi="Arial" w:cs="Arial"/>
          <w:sz w:val="24"/>
          <w:szCs w:val="24"/>
        </w:rPr>
        <w:t>29</w:t>
      </w:r>
      <w:r w:rsidR="007802ED">
        <w:rPr>
          <w:rFonts w:ascii="Arial" w:eastAsia="Arial Unicode MS" w:hAnsi="Arial" w:cs="Arial"/>
          <w:sz w:val="24"/>
          <w:szCs w:val="24"/>
        </w:rPr>
        <w:t xml:space="preserve"> NOVEMBER 2022</w:t>
      </w:r>
    </w:p>
    <w:p w14:paraId="0BB1F64D" w14:textId="19CCB688" w:rsidR="006D2BE9" w:rsidRPr="00D4446B" w:rsidRDefault="006D2BE9" w:rsidP="00D4446B">
      <w:pPr>
        <w:spacing w:line="480" w:lineRule="auto"/>
        <w:jc w:val="both"/>
        <w:rPr>
          <w:rFonts w:ascii="Arial" w:eastAsia="Arial Unicode MS" w:hAnsi="Arial" w:cs="Arial"/>
          <w:sz w:val="24"/>
          <w:szCs w:val="24"/>
        </w:rPr>
      </w:pPr>
    </w:p>
    <w:p w14:paraId="5CA66EE1" w14:textId="45FAB206" w:rsidR="008911E9" w:rsidRPr="00D4446B" w:rsidRDefault="008911E9" w:rsidP="00D4446B">
      <w:pPr>
        <w:spacing w:line="480" w:lineRule="auto"/>
        <w:jc w:val="both"/>
        <w:rPr>
          <w:rFonts w:ascii="Arial" w:eastAsia="Arial Unicode MS" w:hAnsi="Arial" w:cs="Arial"/>
          <w:b/>
          <w:sz w:val="24"/>
          <w:szCs w:val="24"/>
          <w:u w:val="single"/>
        </w:rPr>
      </w:pPr>
      <w:r w:rsidRPr="00D4446B">
        <w:rPr>
          <w:rFonts w:ascii="Arial" w:eastAsia="Arial Unicode MS" w:hAnsi="Arial" w:cs="Arial"/>
          <w:b/>
          <w:sz w:val="24"/>
          <w:szCs w:val="24"/>
          <w:u w:val="single"/>
        </w:rPr>
        <w:t>DATE DE</w:t>
      </w:r>
      <w:r w:rsidR="007A48CA" w:rsidRPr="00D4446B">
        <w:rPr>
          <w:rFonts w:ascii="Arial" w:eastAsia="Arial Unicode MS" w:hAnsi="Arial" w:cs="Arial"/>
          <w:b/>
          <w:sz w:val="24"/>
          <w:szCs w:val="24"/>
          <w:u w:val="single"/>
        </w:rPr>
        <w:t>LI</w:t>
      </w:r>
      <w:r w:rsidR="006D2BE9" w:rsidRPr="00D4446B">
        <w:rPr>
          <w:rFonts w:ascii="Arial" w:eastAsia="Arial Unicode MS" w:hAnsi="Arial" w:cs="Arial"/>
          <w:b/>
          <w:sz w:val="24"/>
          <w:szCs w:val="24"/>
          <w:u w:val="single"/>
        </w:rPr>
        <w:t>VERED:</w:t>
      </w:r>
      <w:r w:rsidR="0064572B">
        <w:rPr>
          <w:rFonts w:ascii="Arial" w:eastAsia="Arial Unicode MS" w:hAnsi="Arial" w:cs="Arial"/>
          <w:b/>
          <w:sz w:val="24"/>
          <w:szCs w:val="24"/>
          <w:u w:val="single"/>
        </w:rPr>
        <w:t xml:space="preserve"> </w:t>
      </w:r>
      <w:r w:rsidR="0064572B" w:rsidRPr="0064572B">
        <w:rPr>
          <w:rFonts w:ascii="Arial" w:eastAsia="Arial Unicode MS" w:hAnsi="Arial" w:cs="Arial"/>
          <w:sz w:val="24"/>
          <w:szCs w:val="24"/>
        </w:rPr>
        <w:t xml:space="preserve">   28 FEBRUARY 2023</w:t>
      </w:r>
    </w:p>
    <w:p w14:paraId="4A20BBA4" w14:textId="77777777" w:rsidR="006D2BE9" w:rsidRPr="00D4446B" w:rsidRDefault="006D2BE9" w:rsidP="00D4446B">
      <w:pPr>
        <w:spacing w:line="480" w:lineRule="auto"/>
        <w:jc w:val="both"/>
        <w:rPr>
          <w:rFonts w:ascii="Arial" w:eastAsia="Arial Unicode MS" w:hAnsi="Arial" w:cs="Arial"/>
          <w:sz w:val="24"/>
          <w:szCs w:val="24"/>
        </w:rPr>
      </w:pPr>
    </w:p>
    <w:p w14:paraId="77F886AD" w14:textId="77777777" w:rsidR="008911E9" w:rsidRPr="00D4446B" w:rsidRDefault="008911E9" w:rsidP="00D4446B">
      <w:pPr>
        <w:spacing w:line="480" w:lineRule="auto"/>
        <w:jc w:val="both"/>
        <w:rPr>
          <w:rFonts w:ascii="Arial" w:eastAsia="Arial Unicode MS" w:hAnsi="Arial" w:cs="Arial"/>
          <w:b/>
          <w:sz w:val="24"/>
          <w:szCs w:val="24"/>
          <w:u w:val="single"/>
        </w:rPr>
      </w:pPr>
    </w:p>
    <w:p w14:paraId="4C67ACC3" w14:textId="2D1F9CA2" w:rsidR="00FA4C4F" w:rsidRPr="00D4446B" w:rsidRDefault="00FA4C4F" w:rsidP="00D4446B">
      <w:pPr>
        <w:spacing w:line="480" w:lineRule="auto"/>
        <w:jc w:val="both"/>
        <w:rPr>
          <w:rFonts w:ascii="Arial" w:eastAsia="Arial Unicode MS" w:hAnsi="Arial" w:cs="Arial"/>
          <w:sz w:val="24"/>
          <w:szCs w:val="24"/>
          <w:u w:val="single"/>
        </w:rPr>
      </w:pPr>
      <w:r w:rsidRPr="00D4446B">
        <w:rPr>
          <w:rFonts w:ascii="Arial" w:eastAsia="Arial Unicode MS" w:hAnsi="Arial" w:cs="Arial"/>
          <w:b/>
          <w:sz w:val="24"/>
          <w:szCs w:val="24"/>
          <w:u w:val="single"/>
        </w:rPr>
        <w:t>APPEARANCES</w:t>
      </w:r>
    </w:p>
    <w:p w14:paraId="65B81CF1" w14:textId="77777777" w:rsidR="00845353" w:rsidRDefault="00EB762B" w:rsidP="00845353">
      <w:pPr>
        <w:spacing w:after="0" w:line="480" w:lineRule="auto"/>
        <w:rPr>
          <w:rFonts w:ascii="Arial" w:eastAsia="Arial Unicode MS" w:hAnsi="Arial" w:cs="Arial"/>
          <w:b/>
          <w:bCs/>
          <w:sz w:val="24"/>
          <w:szCs w:val="24"/>
        </w:rPr>
      </w:pPr>
      <w:r w:rsidRPr="00A311B1">
        <w:rPr>
          <w:rFonts w:ascii="Arial" w:eastAsia="Arial Unicode MS" w:hAnsi="Arial" w:cs="Arial"/>
          <w:b/>
          <w:bCs/>
          <w:sz w:val="24"/>
          <w:szCs w:val="24"/>
        </w:rPr>
        <w:t>FOR THE APPELLANTS:</w:t>
      </w:r>
      <w:r w:rsidRPr="00A311B1">
        <w:rPr>
          <w:rFonts w:ascii="Arial" w:eastAsia="Arial Unicode MS" w:hAnsi="Arial" w:cs="Arial"/>
          <w:b/>
          <w:bCs/>
          <w:sz w:val="24"/>
          <w:szCs w:val="24"/>
        </w:rPr>
        <w:tab/>
        <w:t xml:space="preserve"> </w:t>
      </w:r>
    </w:p>
    <w:p w14:paraId="1F0BAC58" w14:textId="2B032400" w:rsidR="00845353" w:rsidRPr="00845353" w:rsidRDefault="00845353" w:rsidP="00845353">
      <w:pPr>
        <w:spacing w:after="0" w:line="480" w:lineRule="auto"/>
        <w:rPr>
          <w:rFonts w:ascii="Arial" w:eastAsia="Arial Unicode MS" w:hAnsi="Arial" w:cs="Arial"/>
          <w:b/>
          <w:bCs/>
          <w:sz w:val="24"/>
          <w:szCs w:val="24"/>
        </w:rPr>
      </w:pPr>
      <w:r w:rsidRPr="00845353">
        <w:rPr>
          <w:rFonts w:ascii="Arial" w:eastAsia="Arial Unicode MS" w:hAnsi="Arial" w:cs="Arial"/>
          <w:b/>
          <w:bCs/>
          <w:sz w:val="24"/>
          <w:szCs w:val="24"/>
        </w:rPr>
        <w:t>COUNSEL: ADV S.D. MITCHELL</w:t>
      </w:r>
    </w:p>
    <w:p w14:paraId="43415EE6" w14:textId="1DDF697D" w:rsidR="007802ED" w:rsidRPr="00A311B1" w:rsidRDefault="00845353" w:rsidP="00845353">
      <w:pPr>
        <w:spacing w:after="0" w:line="480" w:lineRule="auto"/>
        <w:rPr>
          <w:rFonts w:ascii="Arial" w:eastAsia="Arial Unicode MS" w:hAnsi="Arial" w:cs="Arial"/>
          <w:b/>
          <w:bCs/>
          <w:sz w:val="24"/>
          <w:szCs w:val="24"/>
        </w:rPr>
      </w:pPr>
      <w:r w:rsidRPr="00845353">
        <w:rPr>
          <w:rFonts w:ascii="Arial" w:eastAsia="Arial Unicode MS" w:hAnsi="Arial" w:cs="Arial"/>
          <w:b/>
          <w:bCs/>
          <w:sz w:val="24"/>
          <w:szCs w:val="24"/>
        </w:rPr>
        <w:t>ATTORNEYS: ROBERT VICTOR AND PARTNERS INC</w:t>
      </w:r>
      <w:r w:rsidR="00EB762B" w:rsidRPr="00A311B1">
        <w:rPr>
          <w:rFonts w:ascii="Arial" w:eastAsia="Arial Unicode MS" w:hAnsi="Arial" w:cs="Arial"/>
          <w:b/>
          <w:bCs/>
          <w:sz w:val="24"/>
          <w:szCs w:val="24"/>
        </w:rPr>
        <w:t xml:space="preserve">      </w:t>
      </w:r>
      <w:r w:rsidR="00A311B1" w:rsidRPr="00A311B1">
        <w:rPr>
          <w:rFonts w:ascii="Arial" w:eastAsia="Arial Unicode MS" w:hAnsi="Arial" w:cs="Arial"/>
          <w:b/>
          <w:bCs/>
          <w:sz w:val="24"/>
          <w:szCs w:val="24"/>
        </w:rPr>
        <w:tab/>
      </w:r>
      <w:r w:rsidR="00A311B1">
        <w:rPr>
          <w:rFonts w:ascii="Arial" w:eastAsia="Arial Unicode MS" w:hAnsi="Arial" w:cs="Arial"/>
          <w:b/>
          <w:bCs/>
          <w:sz w:val="24"/>
          <w:szCs w:val="24"/>
        </w:rPr>
        <w:tab/>
      </w:r>
      <w:r w:rsidR="00A311B1">
        <w:rPr>
          <w:rFonts w:ascii="Arial" w:eastAsia="Arial Unicode MS" w:hAnsi="Arial" w:cs="Arial"/>
          <w:b/>
          <w:bCs/>
          <w:sz w:val="24"/>
          <w:szCs w:val="24"/>
        </w:rPr>
        <w:tab/>
      </w:r>
    </w:p>
    <w:p w14:paraId="12F38118" w14:textId="32D2691C" w:rsidR="00FA4C4F" w:rsidRPr="00A311B1" w:rsidRDefault="00FA4C4F" w:rsidP="00D4446B">
      <w:pPr>
        <w:spacing w:after="0" w:line="480" w:lineRule="auto"/>
        <w:jc w:val="both"/>
        <w:rPr>
          <w:rFonts w:ascii="Arial" w:eastAsia="Arial Unicode MS" w:hAnsi="Arial" w:cs="Arial"/>
          <w:sz w:val="24"/>
          <w:szCs w:val="24"/>
        </w:rPr>
      </w:pPr>
    </w:p>
    <w:p w14:paraId="5C7351D4" w14:textId="77777777" w:rsidR="00845353" w:rsidRDefault="00A311B1" w:rsidP="00845353">
      <w:pPr>
        <w:pStyle w:val="PlainText"/>
        <w:suppressAutoHyphens/>
        <w:spacing w:line="480" w:lineRule="auto"/>
        <w:rPr>
          <w:rFonts w:ascii="Arial" w:hAnsi="Arial" w:cs="Arial"/>
          <w:b/>
          <w:bCs/>
          <w:sz w:val="24"/>
          <w:szCs w:val="24"/>
        </w:rPr>
      </w:pPr>
      <w:r w:rsidRPr="00A311B1">
        <w:rPr>
          <w:rFonts w:ascii="Arial" w:hAnsi="Arial" w:cs="Arial"/>
          <w:b/>
          <w:bCs/>
          <w:sz w:val="24"/>
          <w:szCs w:val="24"/>
        </w:rPr>
        <w:t>FOR THE RESPONDENT</w:t>
      </w:r>
      <w:r w:rsidR="00845353">
        <w:rPr>
          <w:rFonts w:ascii="Arial" w:hAnsi="Arial" w:cs="Arial"/>
          <w:b/>
          <w:bCs/>
          <w:sz w:val="24"/>
          <w:szCs w:val="24"/>
        </w:rPr>
        <w:t>:</w:t>
      </w:r>
    </w:p>
    <w:p w14:paraId="034C228E" w14:textId="77777777" w:rsidR="00845353" w:rsidRPr="00845353" w:rsidRDefault="00845353" w:rsidP="00845353">
      <w:pPr>
        <w:pStyle w:val="PlainText"/>
        <w:suppressAutoHyphens/>
        <w:spacing w:line="480" w:lineRule="auto"/>
        <w:rPr>
          <w:rFonts w:ascii="Arial" w:hAnsi="Arial" w:cs="Arial"/>
          <w:b/>
          <w:bCs/>
          <w:sz w:val="24"/>
          <w:szCs w:val="24"/>
        </w:rPr>
      </w:pPr>
      <w:r w:rsidRPr="00845353">
        <w:rPr>
          <w:rFonts w:ascii="Arial" w:hAnsi="Arial" w:cs="Arial"/>
          <w:b/>
          <w:bCs/>
          <w:sz w:val="24"/>
          <w:szCs w:val="24"/>
        </w:rPr>
        <w:t xml:space="preserve">COUNSEL: ADV GODFREY MOKONTO </w:t>
      </w:r>
    </w:p>
    <w:p w14:paraId="4A20B4BF" w14:textId="1AD66087" w:rsidR="00845353" w:rsidRPr="00A311B1" w:rsidRDefault="00845353" w:rsidP="00845353">
      <w:pPr>
        <w:pStyle w:val="PlainText"/>
        <w:suppressAutoHyphens/>
        <w:spacing w:line="480" w:lineRule="auto"/>
        <w:rPr>
          <w:rFonts w:ascii="Arial" w:hAnsi="Arial" w:cs="Arial"/>
          <w:b/>
          <w:bCs/>
        </w:rPr>
      </w:pPr>
      <w:r w:rsidRPr="00845353">
        <w:rPr>
          <w:rFonts w:ascii="Arial" w:hAnsi="Arial" w:cs="Arial"/>
          <w:b/>
          <w:bCs/>
          <w:sz w:val="24"/>
          <w:szCs w:val="24"/>
        </w:rPr>
        <w:t>ATTORNEYS: PADI INC ATTORNEYS</w:t>
      </w:r>
      <w:r w:rsidR="00A311B1" w:rsidRPr="00A311B1">
        <w:rPr>
          <w:rFonts w:ascii="Arial" w:hAnsi="Arial" w:cs="Arial"/>
          <w:b/>
          <w:bCs/>
          <w:sz w:val="24"/>
          <w:szCs w:val="24"/>
        </w:rPr>
        <w:tab/>
      </w:r>
      <w:r w:rsidR="00A311B1" w:rsidRPr="00A311B1">
        <w:rPr>
          <w:rFonts w:ascii="Arial" w:hAnsi="Arial" w:cs="Arial"/>
          <w:b/>
          <w:bCs/>
          <w:sz w:val="24"/>
          <w:szCs w:val="24"/>
        </w:rPr>
        <w:tab/>
      </w:r>
      <w:r>
        <w:rPr>
          <w:rFonts w:ascii="Arial" w:hAnsi="Arial" w:cs="Arial"/>
          <w:b/>
          <w:bCs/>
          <w:sz w:val="24"/>
          <w:szCs w:val="24"/>
        </w:rPr>
        <w:tab/>
      </w:r>
    </w:p>
    <w:p w14:paraId="3A246AFE" w14:textId="6F468F13" w:rsidR="006C70FE" w:rsidRPr="00A311B1" w:rsidRDefault="005E0EAB" w:rsidP="00845353">
      <w:pPr>
        <w:pStyle w:val="PlainText"/>
        <w:suppressAutoHyphens/>
        <w:spacing w:line="480" w:lineRule="auto"/>
        <w:ind w:left="3600" w:firstLine="720"/>
        <w:jc w:val="right"/>
        <w:rPr>
          <w:rFonts w:ascii="Arial" w:hAnsi="Arial" w:cs="Arial"/>
          <w:bCs/>
          <w:shd w:val="clear" w:color="auto" w:fill="FFFFFF"/>
        </w:rPr>
      </w:pPr>
      <w:r w:rsidRPr="00A311B1">
        <w:rPr>
          <w:rFonts w:ascii="Arial" w:hAnsi="Arial" w:cs="Arial"/>
          <w:b/>
          <w:bCs/>
        </w:rPr>
        <w:tab/>
      </w:r>
      <w:r w:rsidRPr="00A311B1">
        <w:rPr>
          <w:rFonts w:ascii="Arial" w:hAnsi="Arial" w:cs="Arial"/>
          <w:b/>
          <w:bCs/>
        </w:rPr>
        <w:tab/>
      </w:r>
      <w:r w:rsidRPr="00A311B1">
        <w:rPr>
          <w:rFonts w:ascii="Arial" w:hAnsi="Arial" w:cs="Arial"/>
          <w:b/>
          <w:bCs/>
        </w:rPr>
        <w:tab/>
      </w:r>
    </w:p>
    <w:p w14:paraId="3C8D477B" w14:textId="091F8E62" w:rsidR="00FA4C4F" w:rsidRDefault="00FA4C4F" w:rsidP="004A3651">
      <w:pPr>
        <w:pStyle w:val="PlainText"/>
        <w:suppressAutoHyphens/>
        <w:spacing w:before="120" w:after="120" w:line="480" w:lineRule="auto"/>
      </w:pPr>
    </w:p>
    <w:p w14:paraId="1AA60345" w14:textId="77777777" w:rsidR="004A3651" w:rsidRDefault="004A3651" w:rsidP="004A3651">
      <w:pPr>
        <w:pStyle w:val="PlainText"/>
        <w:suppressAutoHyphens/>
        <w:spacing w:before="120" w:after="120" w:line="480" w:lineRule="auto"/>
      </w:pPr>
    </w:p>
    <w:p w14:paraId="6DD83459" w14:textId="77777777" w:rsidR="004A3651" w:rsidRDefault="004A3651" w:rsidP="004A3651">
      <w:pPr>
        <w:pStyle w:val="PlainText"/>
        <w:suppressAutoHyphens/>
        <w:spacing w:before="120" w:after="120" w:line="480" w:lineRule="auto"/>
      </w:pPr>
    </w:p>
    <w:p w14:paraId="1A5D22B6" w14:textId="77777777" w:rsidR="004A3651" w:rsidRDefault="004A3651" w:rsidP="004A3651">
      <w:pPr>
        <w:pStyle w:val="PlainText"/>
        <w:suppressAutoHyphens/>
        <w:spacing w:before="120" w:after="120" w:line="480" w:lineRule="auto"/>
      </w:pPr>
    </w:p>
    <w:p w14:paraId="336C4569" w14:textId="085E7D78" w:rsidR="009E13B9" w:rsidRPr="00650F7E" w:rsidRDefault="00FD7813" w:rsidP="00FD7813">
      <w:pPr>
        <w:pStyle w:val="PlainText"/>
        <w:suppressAutoHyphens/>
        <w:spacing w:before="120" w:after="120" w:line="480" w:lineRule="auto"/>
        <w:ind w:left="720" w:hanging="360"/>
        <w:rPr>
          <w:rStyle w:val="Strong"/>
          <w:rFonts w:ascii="Arial" w:hAnsi="Arial" w:cs="Arial"/>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F7E">
        <w:rPr>
          <w:rStyle w:val="Strong"/>
          <w:rFonts w:ascii="Arial" w:hAnsi="Arial" w:cs="Arial"/>
          <w:b w:val="0"/>
          <w:bCs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50F7E">
        <w:rPr>
          <w:rStyle w:val="Strong"/>
          <w:rFonts w:ascii="Arial" w:hAnsi="Arial" w:cs="Arial"/>
          <w:b w:val="0"/>
          <w:bCs w:val="0"/>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E13B9" w:rsidRPr="00650F7E">
        <w:rPr>
          <w:rFonts w:ascii="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Sasfin (Pty) Ltd v Beukes</w:t>
      </w:r>
      <w:r w:rsidR="009E13B9" w:rsidRPr="00650F7E">
        <w:rPr>
          <w:rStyle w:val="Strong"/>
          <w:rFonts w:ascii="Arial" w:hAnsi="Arial" w:cs="Arial"/>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1989 (1) SA 1 (A) (ZACA 94)</w:t>
      </w:r>
    </w:p>
    <w:p w14:paraId="071391F7" w14:textId="72DC4C0D" w:rsidR="009E13B9" w:rsidRPr="00650F7E" w:rsidRDefault="00FD7813" w:rsidP="00FD7813">
      <w:pPr>
        <w:pStyle w:val="Heading2"/>
        <w:shd w:val="clear" w:color="auto" w:fill="FFFFFF"/>
        <w:spacing w:before="240" w:after="180" w:line="288" w:lineRule="atLeast"/>
        <w:ind w:left="720" w:hanging="36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F7E">
        <w:rPr>
          <w:rFonts w:ascii="Arial" w:hAnsi="Arial" w:cs="Arial"/>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50F7E">
        <w:rPr>
          <w:rFonts w:ascii="Arial" w:hAnsi="Arial" w:cs="Arial"/>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E13B9" w:rsidRPr="00650F7E">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Barkhuizen v Napier [2007] ZACC 5; 2007 (5) SA 323 (CC); 2007 (7) BCLR 691 (CC) </w:t>
      </w:r>
    </w:p>
    <w:p w14:paraId="26A16847" w14:textId="4E2815E2" w:rsidR="00924A00" w:rsidRPr="00650F7E" w:rsidRDefault="00FD7813" w:rsidP="00FD7813">
      <w:pPr>
        <w:pStyle w:val="Heading2"/>
        <w:shd w:val="clear" w:color="auto" w:fill="FFFFFF"/>
        <w:spacing w:before="240" w:after="180" w:line="288" w:lineRule="atLeast"/>
        <w:ind w:left="720" w:hanging="36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F7E">
        <w:rPr>
          <w:rFonts w:ascii="Arial" w:hAnsi="Arial" w:cs="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50F7E">
        <w:rPr>
          <w:rFonts w:ascii="Arial" w:hAnsi="Arial" w:cs="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4A00" w:rsidRPr="00650F7E">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Beadica 231 CC and Others v Trustees for the time being of the Oregon Trust and Others (CCT109/19) [2020] ZACC 13; 2020 (5) SA 247 (CC); 2020 (9) BCLR 1098 (CC) (17 June 2020)</w:t>
      </w:r>
    </w:p>
    <w:p w14:paraId="26B1A020" w14:textId="6FD94339" w:rsidR="00924A00" w:rsidRPr="00924A00" w:rsidRDefault="00924A00" w:rsidP="00FA3542">
      <w:pPr>
        <w:pStyle w:val="ListParagraph"/>
      </w:pPr>
    </w:p>
    <w:p w14:paraId="630CB313" w14:textId="5B8E8F12" w:rsidR="004A3651" w:rsidRPr="00DD3AB0" w:rsidRDefault="004A3651" w:rsidP="009E13B9">
      <w:pPr>
        <w:pStyle w:val="PlainText"/>
        <w:suppressAutoHyphens/>
        <w:spacing w:before="120" w:after="120" w:line="480" w:lineRule="auto"/>
        <w:ind w:left="720"/>
        <w:rPr>
          <w:rFonts w:ascii="Arial" w:hAnsi="Arial" w:cs="Arial"/>
          <w:b/>
        </w:rPr>
      </w:pPr>
    </w:p>
    <w:sectPr w:rsidR="004A3651" w:rsidRPr="00DD3AB0" w:rsidSect="004309C9">
      <w:headerReference w:type="default" r:id="rId11"/>
      <w:pgSz w:w="11906" w:h="16838"/>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A36B" w14:textId="77777777" w:rsidR="00D34D58" w:rsidRDefault="00D34D58" w:rsidP="008911E9">
      <w:pPr>
        <w:spacing w:after="0" w:line="240" w:lineRule="auto"/>
      </w:pPr>
      <w:r>
        <w:separator/>
      </w:r>
    </w:p>
  </w:endnote>
  <w:endnote w:type="continuationSeparator" w:id="0">
    <w:p w14:paraId="616CB9E8" w14:textId="77777777" w:rsidR="00D34D58" w:rsidRDefault="00D34D58"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2212" w14:textId="77777777" w:rsidR="00D34D58" w:rsidRDefault="00D34D58" w:rsidP="008911E9">
      <w:pPr>
        <w:spacing w:after="0" w:line="240" w:lineRule="auto"/>
      </w:pPr>
      <w:r>
        <w:separator/>
      </w:r>
    </w:p>
  </w:footnote>
  <w:footnote w:type="continuationSeparator" w:id="0">
    <w:p w14:paraId="16822A43" w14:textId="77777777" w:rsidR="00D34D58" w:rsidRDefault="00D34D58"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58E79F8C" w:rsidR="00197ECA" w:rsidRDefault="00197ECA">
        <w:pPr>
          <w:pStyle w:val="Header"/>
          <w:jc w:val="right"/>
        </w:pPr>
        <w:r>
          <w:fldChar w:fldCharType="begin"/>
        </w:r>
        <w:r>
          <w:instrText xml:space="preserve"> PAGE   \* MERGEFORMAT </w:instrText>
        </w:r>
        <w:r>
          <w:fldChar w:fldCharType="separate"/>
        </w:r>
        <w:r w:rsidR="00FD7813">
          <w:rPr>
            <w:noProof/>
          </w:rPr>
          <w:t>2</w:t>
        </w:r>
        <w:r>
          <w:rPr>
            <w:noProof/>
          </w:rPr>
          <w:fldChar w:fldCharType="end"/>
        </w:r>
      </w:p>
    </w:sdtContent>
  </w:sdt>
  <w:p w14:paraId="76B2352E" w14:textId="77777777" w:rsidR="00197ECA" w:rsidRDefault="00197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835F03"/>
    <w:multiLevelType w:val="hybridMultilevel"/>
    <w:tmpl w:val="053AF288"/>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7F43AED"/>
    <w:multiLevelType w:val="hybridMultilevel"/>
    <w:tmpl w:val="BCC8F126"/>
    <w:lvl w:ilvl="0" w:tplc="6C0C8B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1EA83E33"/>
    <w:multiLevelType w:val="hybridMultilevel"/>
    <w:tmpl w:val="860A9C30"/>
    <w:lvl w:ilvl="0" w:tplc="06CC12E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3FE67BD"/>
    <w:multiLevelType w:val="hybridMultilevel"/>
    <w:tmpl w:val="DBA4D0FC"/>
    <w:lvl w:ilvl="0" w:tplc="AD6460FA">
      <w:start w:val="1"/>
      <w:numFmt w:val="decimal"/>
      <w:lvlText w:val="%1."/>
      <w:lvlJc w:val="left"/>
      <w:pPr>
        <w:ind w:left="720" w:hanging="360"/>
      </w:pPr>
      <w:rPr>
        <w:rFonts w:hint="default"/>
        <w:b w:val="0"/>
        <w:i/>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3814FC"/>
    <w:multiLevelType w:val="hybridMultilevel"/>
    <w:tmpl w:val="5A002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20C07E1"/>
    <w:multiLevelType w:val="hybridMultilevel"/>
    <w:tmpl w:val="A6F8F6B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B57E41"/>
    <w:multiLevelType w:val="hybridMultilevel"/>
    <w:tmpl w:val="7B54CF7A"/>
    <w:lvl w:ilvl="0" w:tplc="1C09000F">
      <w:start w:val="1"/>
      <w:numFmt w:val="decimal"/>
      <w:lvlText w:val="%1."/>
      <w:lvlJc w:val="left"/>
      <w:pPr>
        <w:ind w:left="1732" w:hanging="360"/>
      </w:pPr>
      <w:rPr>
        <w:rFonts w:hint="default"/>
      </w:rPr>
    </w:lvl>
    <w:lvl w:ilvl="1" w:tplc="1C090019" w:tentative="1">
      <w:start w:val="1"/>
      <w:numFmt w:val="lowerLetter"/>
      <w:lvlText w:val="%2."/>
      <w:lvlJc w:val="left"/>
      <w:pPr>
        <w:ind w:left="2452" w:hanging="360"/>
      </w:pPr>
    </w:lvl>
    <w:lvl w:ilvl="2" w:tplc="1C09001B" w:tentative="1">
      <w:start w:val="1"/>
      <w:numFmt w:val="lowerRoman"/>
      <w:lvlText w:val="%3."/>
      <w:lvlJc w:val="right"/>
      <w:pPr>
        <w:ind w:left="3172" w:hanging="180"/>
      </w:pPr>
    </w:lvl>
    <w:lvl w:ilvl="3" w:tplc="1C09000F" w:tentative="1">
      <w:start w:val="1"/>
      <w:numFmt w:val="decimal"/>
      <w:lvlText w:val="%4."/>
      <w:lvlJc w:val="left"/>
      <w:pPr>
        <w:ind w:left="3892" w:hanging="360"/>
      </w:pPr>
    </w:lvl>
    <w:lvl w:ilvl="4" w:tplc="1C090019" w:tentative="1">
      <w:start w:val="1"/>
      <w:numFmt w:val="lowerLetter"/>
      <w:lvlText w:val="%5."/>
      <w:lvlJc w:val="left"/>
      <w:pPr>
        <w:ind w:left="4612" w:hanging="360"/>
      </w:pPr>
    </w:lvl>
    <w:lvl w:ilvl="5" w:tplc="1C09001B" w:tentative="1">
      <w:start w:val="1"/>
      <w:numFmt w:val="lowerRoman"/>
      <w:lvlText w:val="%6."/>
      <w:lvlJc w:val="right"/>
      <w:pPr>
        <w:ind w:left="5332" w:hanging="180"/>
      </w:pPr>
    </w:lvl>
    <w:lvl w:ilvl="6" w:tplc="1C09000F" w:tentative="1">
      <w:start w:val="1"/>
      <w:numFmt w:val="decimal"/>
      <w:lvlText w:val="%7."/>
      <w:lvlJc w:val="left"/>
      <w:pPr>
        <w:ind w:left="6052" w:hanging="360"/>
      </w:pPr>
    </w:lvl>
    <w:lvl w:ilvl="7" w:tplc="1C090019" w:tentative="1">
      <w:start w:val="1"/>
      <w:numFmt w:val="lowerLetter"/>
      <w:lvlText w:val="%8."/>
      <w:lvlJc w:val="left"/>
      <w:pPr>
        <w:ind w:left="6772" w:hanging="360"/>
      </w:pPr>
    </w:lvl>
    <w:lvl w:ilvl="8" w:tplc="1C09001B" w:tentative="1">
      <w:start w:val="1"/>
      <w:numFmt w:val="lowerRoman"/>
      <w:lvlText w:val="%9."/>
      <w:lvlJc w:val="right"/>
      <w:pPr>
        <w:ind w:left="7492" w:hanging="180"/>
      </w:pPr>
    </w:lvl>
  </w:abstractNum>
  <w:abstractNum w:abstractNumId="14">
    <w:nsid w:val="4A19761D"/>
    <w:multiLevelType w:val="hybridMultilevel"/>
    <w:tmpl w:val="988EEDF0"/>
    <w:lvl w:ilvl="0" w:tplc="001C6B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4B5E1BA1"/>
    <w:multiLevelType w:val="hybridMultilevel"/>
    <w:tmpl w:val="3D240E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D9042B2"/>
    <w:multiLevelType w:val="hybridMultilevel"/>
    <w:tmpl w:val="61960E2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55531844"/>
    <w:multiLevelType w:val="hybridMultilevel"/>
    <w:tmpl w:val="1A3815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4843EF"/>
    <w:multiLevelType w:val="hybridMultilevel"/>
    <w:tmpl w:val="692E7448"/>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BC6BF2"/>
    <w:multiLevelType w:val="hybridMultilevel"/>
    <w:tmpl w:val="3BD246B4"/>
    <w:lvl w:ilvl="0" w:tplc="66C06BF6">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2932F2B"/>
    <w:multiLevelType w:val="hybridMultilevel"/>
    <w:tmpl w:val="721618E4"/>
    <w:lvl w:ilvl="0" w:tplc="8C0ABF54">
      <w:start w:val="1"/>
      <w:numFmt w:val="decimal"/>
      <w:lvlText w:val="%1."/>
      <w:lvlJc w:val="left"/>
      <w:pPr>
        <w:ind w:left="4515" w:hanging="307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B4E3CEB"/>
    <w:multiLevelType w:val="multilevel"/>
    <w:tmpl w:val="39A4D480"/>
    <w:lvl w:ilvl="0">
      <w:start w:val="1"/>
      <w:numFmt w:val="decimal"/>
      <w:lvlText w:val="%1."/>
      <w:lvlJc w:val="left"/>
      <w:pPr>
        <w:ind w:left="992" w:hanging="852"/>
      </w:pPr>
      <w:rPr>
        <w:rFonts w:ascii="Arial MT" w:eastAsia="Arial MT" w:hAnsi="Arial MT" w:cs="Arial MT" w:hint="default"/>
        <w:w w:val="100"/>
        <w:sz w:val="24"/>
        <w:szCs w:val="24"/>
        <w:lang w:val="en-US" w:eastAsia="en-US" w:bidi="ar-SA"/>
      </w:rPr>
    </w:lvl>
    <w:lvl w:ilvl="1">
      <w:start w:val="1"/>
      <w:numFmt w:val="decimal"/>
      <w:lvlText w:val="%1.%2."/>
      <w:lvlJc w:val="left"/>
      <w:pPr>
        <w:ind w:left="2125" w:hanging="1134"/>
      </w:pPr>
      <w:rPr>
        <w:rFonts w:ascii="Arial MT" w:eastAsia="Arial MT" w:hAnsi="Arial MT" w:cs="Arial MT" w:hint="default"/>
        <w:w w:val="99"/>
        <w:sz w:val="24"/>
        <w:szCs w:val="24"/>
        <w:lang w:val="en-US" w:eastAsia="en-US" w:bidi="ar-SA"/>
      </w:rPr>
    </w:lvl>
    <w:lvl w:ilvl="2">
      <w:start w:val="1"/>
      <w:numFmt w:val="decimal"/>
      <w:lvlText w:val="%1.%2.%3."/>
      <w:lvlJc w:val="left"/>
      <w:pPr>
        <w:ind w:left="3261" w:hanging="1136"/>
      </w:pPr>
      <w:rPr>
        <w:rFonts w:ascii="Arial MT" w:eastAsia="Arial MT" w:hAnsi="Arial MT" w:cs="Arial MT" w:hint="default"/>
        <w:spacing w:val="-2"/>
        <w:w w:val="99"/>
        <w:sz w:val="24"/>
        <w:szCs w:val="24"/>
        <w:lang w:val="en-US" w:eastAsia="en-US" w:bidi="ar-SA"/>
      </w:rPr>
    </w:lvl>
    <w:lvl w:ilvl="3">
      <w:numFmt w:val="bullet"/>
      <w:lvlText w:val="•"/>
      <w:lvlJc w:val="left"/>
      <w:pPr>
        <w:ind w:left="4037" w:hanging="1136"/>
      </w:pPr>
      <w:rPr>
        <w:rFonts w:hint="default"/>
        <w:lang w:val="en-US" w:eastAsia="en-US" w:bidi="ar-SA"/>
      </w:rPr>
    </w:lvl>
    <w:lvl w:ilvl="4">
      <w:numFmt w:val="bullet"/>
      <w:lvlText w:val="•"/>
      <w:lvlJc w:val="left"/>
      <w:pPr>
        <w:ind w:left="4814" w:hanging="1136"/>
      </w:pPr>
      <w:rPr>
        <w:rFonts w:hint="default"/>
        <w:lang w:val="en-US" w:eastAsia="en-US" w:bidi="ar-SA"/>
      </w:rPr>
    </w:lvl>
    <w:lvl w:ilvl="5">
      <w:numFmt w:val="bullet"/>
      <w:lvlText w:val="•"/>
      <w:lvlJc w:val="left"/>
      <w:pPr>
        <w:ind w:left="5592" w:hanging="1136"/>
      </w:pPr>
      <w:rPr>
        <w:rFonts w:hint="default"/>
        <w:lang w:val="en-US" w:eastAsia="en-US" w:bidi="ar-SA"/>
      </w:rPr>
    </w:lvl>
    <w:lvl w:ilvl="6">
      <w:numFmt w:val="bullet"/>
      <w:lvlText w:val="•"/>
      <w:lvlJc w:val="left"/>
      <w:pPr>
        <w:ind w:left="6369" w:hanging="1136"/>
      </w:pPr>
      <w:rPr>
        <w:rFonts w:hint="default"/>
        <w:lang w:val="en-US" w:eastAsia="en-US" w:bidi="ar-SA"/>
      </w:rPr>
    </w:lvl>
    <w:lvl w:ilvl="7">
      <w:numFmt w:val="bullet"/>
      <w:lvlText w:val="•"/>
      <w:lvlJc w:val="left"/>
      <w:pPr>
        <w:ind w:left="7147" w:hanging="1136"/>
      </w:pPr>
      <w:rPr>
        <w:rFonts w:hint="default"/>
        <w:lang w:val="en-US" w:eastAsia="en-US" w:bidi="ar-SA"/>
      </w:rPr>
    </w:lvl>
    <w:lvl w:ilvl="8">
      <w:numFmt w:val="bullet"/>
      <w:lvlText w:val="•"/>
      <w:lvlJc w:val="left"/>
      <w:pPr>
        <w:ind w:left="7924" w:hanging="1136"/>
      </w:pPr>
      <w:rPr>
        <w:rFonts w:hint="default"/>
        <w:lang w:val="en-US" w:eastAsia="en-US" w:bidi="ar-SA"/>
      </w:rPr>
    </w:lvl>
  </w:abstractNum>
  <w:abstractNum w:abstractNumId="25">
    <w:nsid w:val="7DD061E5"/>
    <w:multiLevelType w:val="hybridMultilevel"/>
    <w:tmpl w:val="6F163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4"/>
  </w:num>
  <w:num w:numId="3">
    <w:abstractNumId w:val="20"/>
  </w:num>
  <w:num w:numId="4">
    <w:abstractNumId w:val="0"/>
  </w:num>
  <w:num w:numId="5">
    <w:abstractNumId w:val="17"/>
  </w:num>
  <w:num w:numId="6">
    <w:abstractNumId w:val="6"/>
  </w:num>
  <w:num w:numId="7">
    <w:abstractNumId w:val="5"/>
  </w:num>
  <w:num w:numId="8">
    <w:abstractNumId w:val="8"/>
  </w:num>
  <w:num w:numId="9">
    <w:abstractNumId w:val="23"/>
  </w:num>
  <w:num w:numId="10">
    <w:abstractNumId w:val="14"/>
  </w:num>
  <w:num w:numId="11">
    <w:abstractNumId w:val="22"/>
  </w:num>
  <w:num w:numId="12">
    <w:abstractNumId w:val="13"/>
  </w:num>
  <w:num w:numId="13">
    <w:abstractNumId w:val="7"/>
  </w:num>
  <w:num w:numId="14">
    <w:abstractNumId w:val="25"/>
  </w:num>
  <w:num w:numId="15">
    <w:abstractNumId w:val="2"/>
  </w:num>
  <w:num w:numId="16">
    <w:abstractNumId w:val="24"/>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8"/>
  </w:num>
  <w:num w:numId="22">
    <w:abstractNumId w:val="16"/>
  </w:num>
  <w:num w:numId="23">
    <w:abstractNumId w:val="1"/>
  </w:num>
  <w:num w:numId="24">
    <w:abstractNumId w:val="9"/>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017D"/>
    <w:rsid w:val="000027B3"/>
    <w:rsid w:val="00004C43"/>
    <w:rsid w:val="0001184D"/>
    <w:rsid w:val="00014A03"/>
    <w:rsid w:val="000162AA"/>
    <w:rsid w:val="00021497"/>
    <w:rsid w:val="000244DB"/>
    <w:rsid w:val="000258FA"/>
    <w:rsid w:val="000317B5"/>
    <w:rsid w:val="00032466"/>
    <w:rsid w:val="0003769F"/>
    <w:rsid w:val="0004180E"/>
    <w:rsid w:val="00043423"/>
    <w:rsid w:val="00050E26"/>
    <w:rsid w:val="00066704"/>
    <w:rsid w:val="00071F51"/>
    <w:rsid w:val="0007444B"/>
    <w:rsid w:val="00076589"/>
    <w:rsid w:val="000769DC"/>
    <w:rsid w:val="0007730E"/>
    <w:rsid w:val="00084205"/>
    <w:rsid w:val="00085EA3"/>
    <w:rsid w:val="00086556"/>
    <w:rsid w:val="00090E16"/>
    <w:rsid w:val="00091C65"/>
    <w:rsid w:val="000924FC"/>
    <w:rsid w:val="000928B6"/>
    <w:rsid w:val="000A3DFD"/>
    <w:rsid w:val="000A78D4"/>
    <w:rsid w:val="000B2207"/>
    <w:rsid w:val="000B2592"/>
    <w:rsid w:val="000B2C32"/>
    <w:rsid w:val="000B3360"/>
    <w:rsid w:val="000B5E2F"/>
    <w:rsid w:val="000B6014"/>
    <w:rsid w:val="000C1952"/>
    <w:rsid w:val="000C53F0"/>
    <w:rsid w:val="000C654B"/>
    <w:rsid w:val="000D1CDD"/>
    <w:rsid w:val="000D2390"/>
    <w:rsid w:val="000D2EFF"/>
    <w:rsid w:val="000D2FB3"/>
    <w:rsid w:val="000D37A5"/>
    <w:rsid w:val="000D3E9C"/>
    <w:rsid w:val="000D4638"/>
    <w:rsid w:val="000D533B"/>
    <w:rsid w:val="000D5F43"/>
    <w:rsid w:val="000E18BC"/>
    <w:rsid w:val="000E45E8"/>
    <w:rsid w:val="000E79E2"/>
    <w:rsid w:val="000F0C75"/>
    <w:rsid w:val="000F1278"/>
    <w:rsid w:val="000F29B0"/>
    <w:rsid w:val="000F5DE1"/>
    <w:rsid w:val="000F6628"/>
    <w:rsid w:val="000F6731"/>
    <w:rsid w:val="00100056"/>
    <w:rsid w:val="001033CE"/>
    <w:rsid w:val="001065C8"/>
    <w:rsid w:val="0010693C"/>
    <w:rsid w:val="001114A8"/>
    <w:rsid w:val="00111F32"/>
    <w:rsid w:val="001128FC"/>
    <w:rsid w:val="00112A90"/>
    <w:rsid w:val="00113F46"/>
    <w:rsid w:val="0011479C"/>
    <w:rsid w:val="001208EE"/>
    <w:rsid w:val="00122921"/>
    <w:rsid w:val="00127F87"/>
    <w:rsid w:val="00130F8B"/>
    <w:rsid w:val="00135EBF"/>
    <w:rsid w:val="001361E3"/>
    <w:rsid w:val="00136CA7"/>
    <w:rsid w:val="001372E7"/>
    <w:rsid w:val="0014008D"/>
    <w:rsid w:val="001415CC"/>
    <w:rsid w:val="00146532"/>
    <w:rsid w:val="00147AFB"/>
    <w:rsid w:val="00155DEC"/>
    <w:rsid w:val="00157DA1"/>
    <w:rsid w:val="001677AA"/>
    <w:rsid w:val="00173A8E"/>
    <w:rsid w:val="001755AC"/>
    <w:rsid w:val="00176070"/>
    <w:rsid w:val="001807D8"/>
    <w:rsid w:val="0018180A"/>
    <w:rsid w:val="00181944"/>
    <w:rsid w:val="00185952"/>
    <w:rsid w:val="00186F48"/>
    <w:rsid w:val="00191B06"/>
    <w:rsid w:val="0019207C"/>
    <w:rsid w:val="00194BC3"/>
    <w:rsid w:val="00195755"/>
    <w:rsid w:val="00197ECA"/>
    <w:rsid w:val="001B16CD"/>
    <w:rsid w:val="001C187E"/>
    <w:rsid w:val="001C5A13"/>
    <w:rsid w:val="001C7E50"/>
    <w:rsid w:val="001D0095"/>
    <w:rsid w:val="001D11E2"/>
    <w:rsid w:val="001D25E3"/>
    <w:rsid w:val="001D48BC"/>
    <w:rsid w:val="001D6C19"/>
    <w:rsid w:val="001D7364"/>
    <w:rsid w:val="001E1423"/>
    <w:rsid w:val="001E2AA0"/>
    <w:rsid w:val="001E2DF9"/>
    <w:rsid w:val="001E30CE"/>
    <w:rsid w:val="001E31B2"/>
    <w:rsid w:val="001E3E76"/>
    <w:rsid w:val="001E593B"/>
    <w:rsid w:val="001E7034"/>
    <w:rsid w:val="001F1DE2"/>
    <w:rsid w:val="001F34B9"/>
    <w:rsid w:val="001F4CD5"/>
    <w:rsid w:val="001F703B"/>
    <w:rsid w:val="00200822"/>
    <w:rsid w:val="0020473A"/>
    <w:rsid w:val="00206C45"/>
    <w:rsid w:val="002111E0"/>
    <w:rsid w:val="00215F7A"/>
    <w:rsid w:val="002202CC"/>
    <w:rsid w:val="002211F6"/>
    <w:rsid w:val="002216DF"/>
    <w:rsid w:val="00221C9F"/>
    <w:rsid w:val="00226355"/>
    <w:rsid w:val="00227E66"/>
    <w:rsid w:val="00237A5C"/>
    <w:rsid w:val="00237DA5"/>
    <w:rsid w:val="00240C6A"/>
    <w:rsid w:val="0024243B"/>
    <w:rsid w:val="002523DD"/>
    <w:rsid w:val="00256AA6"/>
    <w:rsid w:val="002611D2"/>
    <w:rsid w:val="002625CB"/>
    <w:rsid w:val="00263AE4"/>
    <w:rsid w:val="00264F1B"/>
    <w:rsid w:val="00265D57"/>
    <w:rsid w:val="00275308"/>
    <w:rsid w:val="0027613F"/>
    <w:rsid w:val="002770F6"/>
    <w:rsid w:val="002771B1"/>
    <w:rsid w:val="0028141E"/>
    <w:rsid w:val="00284031"/>
    <w:rsid w:val="00285805"/>
    <w:rsid w:val="0029198C"/>
    <w:rsid w:val="00293982"/>
    <w:rsid w:val="00293CEE"/>
    <w:rsid w:val="00294C1E"/>
    <w:rsid w:val="00296701"/>
    <w:rsid w:val="00296A9F"/>
    <w:rsid w:val="00297324"/>
    <w:rsid w:val="002A3262"/>
    <w:rsid w:val="002A37F2"/>
    <w:rsid w:val="002A423C"/>
    <w:rsid w:val="002A460B"/>
    <w:rsid w:val="002A48B1"/>
    <w:rsid w:val="002B0ECC"/>
    <w:rsid w:val="002B2118"/>
    <w:rsid w:val="002B4DD0"/>
    <w:rsid w:val="002B5CB1"/>
    <w:rsid w:val="002C4225"/>
    <w:rsid w:val="002C6991"/>
    <w:rsid w:val="002D23A8"/>
    <w:rsid w:val="002D5FA4"/>
    <w:rsid w:val="002E2FAF"/>
    <w:rsid w:val="002E3197"/>
    <w:rsid w:val="002F0137"/>
    <w:rsid w:val="002F0DF5"/>
    <w:rsid w:val="002F3069"/>
    <w:rsid w:val="00300442"/>
    <w:rsid w:val="003023F4"/>
    <w:rsid w:val="00302EFC"/>
    <w:rsid w:val="00303590"/>
    <w:rsid w:val="00304122"/>
    <w:rsid w:val="00306E87"/>
    <w:rsid w:val="00306EF9"/>
    <w:rsid w:val="00307DE4"/>
    <w:rsid w:val="003149D1"/>
    <w:rsid w:val="00314D7C"/>
    <w:rsid w:val="0031674F"/>
    <w:rsid w:val="003168F1"/>
    <w:rsid w:val="00320154"/>
    <w:rsid w:val="00320940"/>
    <w:rsid w:val="00321E91"/>
    <w:rsid w:val="00321FF5"/>
    <w:rsid w:val="00322CC4"/>
    <w:rsid w:val="00327C79"/>
    <w:rsid w:val="0033000C"/>
    <w:rsid w:val="00330FD8"/>
    <w:rsid w:val="00336CD0"/>
    <w:rsid w:val="00341E1C"/>
    <w:rsid w:val="00350CD6"/>
    <w:rsid w:val="00366BB5"/>
    <w:rsid w:val="00367853"/>
    <w:rsid w:val="00367C10"/>
    <w:rsid w:val="00370A83"/>
    <w:rsid w:val="003716D3"/>
    <w:rsid w:val="0037345D"/>
    <w:rsid w:val="00384330"/>
    <w:rsid w:val="00387BFE"/>
    <w:rsid w:val="003911B5"/>
    <w:rsid w:val="0039159F"/>
    <w:rsid w:val="00391ABE"/>
    <w:rsid w:val="00395769"/>
    <w:rsid w:val="003A0E8A"/>
    <w:rsid w:val="003A4436"/>
    <w:rsid w:val="003A5FA0"/>
    <w:rsid w:val="003B24D9"/>
    <w:rsid w:val="003B5B93"/>
    <w:rsid w:val="003B797F"/>
    <w:rsid w:val="003C68D3"/>
    <w:rsid w:val="003C6EF0"/>
    <w:rsid w:val="003D0619"/>
    <w:rsid w:val="003D0971"/>
    <w:rsid w:val="003D1311"/>
    <w:rsid w:val="003D1D29"/>
    <w:rsid w:val="003D2149"/>
    <w:rsid w:val="003D6B4D"/>
    <w:rsid w:val="003E0AD8"/>
    <w:rsid w:val="003E4E66"/>
    <w:rsid w:val="003E539A"/>
    <w:rsid w:val="003F04AD"/>
    <w:rsid w:val="003F1475"/>
    <w:rsid w:val="003F3132"/>
    <w:rsid w:val="003F4F69"/>
    <w:rsid w:val="003F5A16"/>
    <w:rsid w:val="00401987"/>
    <w:rsid w:val="004058A7"/>
    <w:rsid w:val="00407AA7"/>
    <w:rsid w:val="00410479"/>
    <w:rsid w:val="0041067F"/>
    <w:rsid w:val="00410B0D"/>
    <w:rsid w:val="00411CFC"/>
    <w:rsid w:val="004146A2"/>
    <w:rsid w:val="004147BF"/>
    <w:rsid w:val="00416D53"/>
    <w:rsid w:val="00420E39"/>
    <w:rsid w:val="00424814"/>
    <w:rsid w:val="00424D8A"/>
    <w:rsid w:val="0042591B"/>
    <w:rsid w:val="00425FDE"/>
    <w:rsid w:val="0042612C"/>
    <w:rsid w:val="004305C3"/>
    <w:rsid w:val="004309C9"/>
    <w:rsid w:val="00430A00"/>
    <w:rsid w:val="00431AD6"/>
    <w:rsid w:val="00433167"/>
    <w:rsid w:val="00433F16"/>
    <w:rsid w:val="00435803"/>
    <w:rsid w:val="00435B0F"/>
    <w:rsid w:val="00437C7D"/>
    <w:rsid w:val="00440AD2"/>
    <w:rsid w:val="00442118"/>
    <w:rsid w:val="004423E6"/>
    <w:rsid w:val="0044467D"/>
    <w:rsid w:val="0044484F"/>
    <w:rsid w:val="00445CE0"/>
    <w:rsid w:val="004466B3"/>
    <w:rsid w:val="004476AF"/>
    <w:rsid w:val="0045080E"/>
    <w:rsid w:val="00451B24"/>
    <w:rsid w:val="00451C3D"/>
    <w:rsid w:val="004528E7"/>
    <w:rsid w:val="00457C03"/>
    <w:rsid w:val="004613B1"/>
    <w:rsid w:val="00461C52"/>
    <w:rsid w:val="004624C2"/>
    <w:rsid w:val="004635DF"/>
    <w:rsid w:val="0046599F"/>
    <w:rsid w:val="004672DF"/>
    <w:rsid w:val="00471129"/>
    <w:rsid w:val="00472709"/>
    <w:rsid w:val="0047565B"/>
    <w:rsid w:val="00480117"/>
    <w:rsid w:val="004825EA"/>
    <w:rsid w:val="00485BE9"/>
    <w:rsid w:val="004876BC"/>
    <w:rsid w:val="00487BFC"/>
    <w:rsid w:val="00497C8E"/>
    <w:rsid w:val="004A07D0"/>
    <w:rsid w:val="004A129F"/>
    <w:rsid w:val="004A3651"/>
    <w:rsid w:val="004A4400"/>
    <w:rsid w:val="004B12E6"/>
    <w:rsid w:val="004B3854"/>
    <w:rsid w:val="004B4683"/>
    <w:rsid w:val="004B65EC"/>
    <w:rsid w:val="004C266D"/>
    <w:rsid w:val="004C2861"/>
    <w:rsid w:val="004D3A8F"/>
    <w:rsid w:val="004D4E98"/>
    <w:rsid w:val="004D649F"/>
    <w:rsid w:val="004D68CB"/>
    <w:rsid w:val="004E0253"/>
    <w:rsid w:val="004E1A54"/>
    <w:rsid w:val="004E6749"/>
    <w:rsid w:val="00507190"/>
    <w:rsid w:val="00517203"/>
    <w:rsid w:val="00520D47"/>
    <w:rsid w:val="00525BA2"/>
    <w:rsid w:val="00526961"/>
    <w:rsid w:val="005270FB"/>
    <w:rsid w:val="00530430"/>
    <w:rsid w:val="00530830"/>
    <w:rsid w:val="00531023"/>
    <w:rsid w:val="0053115B"/>
    <w:rsid w:val="0053121E"/>
    <w:rsid w:val="00532811"/>
    <w:rsid w:val="00541905"/>
    <w:rsid w:val="0054490D"/>
    <w:rsid w:val="005510F5"/>
    <w:rsid w:val="00551A0A"/>
    <w:rsid w:val="005548BC"/>
    <w:rsid w:val="0055617F"/>
    <w:rsid w:val="00557F08"/>
    <w:rsid w:val="0056288E"/>
    <w:rsid w:val="005664E7"/>
    <w:rsid w:val="00566803"/>
    <w:rsid w:val="0057025D"/>
    <w:rsid w:val="00571994"/>
    <w:rsid w:val="00572EF6"/>
    <w:rsid w:val="0057360B"/>
    <w:rsid w:val="0057659A"/>
    <w:rsid w:val="00587088"/>
    <w:rsid w:val="00587A25"/>
    <w:rsid w:val="005902B5"/>
    <w:rsid w:val="0059102A"/>
    <w:rsid w:val="005923D8"/>
    <w:rsid w:val="0059457A"/>
    <w:rsid w:val="00594A75"/>
    <w:rsid w:val="00595334"/>
    <w:rsid w:val="005B120A"/>
    <w:rsid w:val="005B2E07"/>
    <w:rsid w:val="005B65DB"/>
    <w:rsid w:val="005C7FE6"/>
    <w:rsid w:val="005D1D00"/>
    <w:rsid w:val="005E0EAB"/>
    <w:rsid w:val="005E6382"/>
    <w:rsid w:val="005F0681"/>
    <w:rsid w:val="005F339A"/>
    <w:rsid w:val="005F47F8"/>
    <w:rsid w:val="005F6651"/>
    <w:rsid w:val="005F7973"/>
    <w:rsid w:val="0060109C"/>
    <w:rsid w:val="0060353C"/>
    <w:rsid w:val="00604574"/>
    <w:rsid w:val="00606E09"/>
    <w:rsid w:val="00607FD1"/>
    <w:rsid w:val="00610037"/>
    <w:rsid w:val="00614704"/>
    <w:rsid w:val="00614C4E"/>
    <w:rsid w:val="00617491"/>
    <w:rsid w:val="00623EA2"/>
    <w:rsid w:val="00625819"/>
    <w:rsid w:val="0063007C"/>
    <w:rsid w:val="00632E2E"/>
    <w:rsid w:val="006373D3"/>
    <w:rsid w:val="0064162D"/>
    <w:rsid w:val="006422CD"/>
    <w:rsid w:val="0064572B"/>
    <w:rsid w:val="0064720D"/>
    <w:rsid w:val="00650F2C"/>
    <w:rsid w:val="00650F7E"/>
    <w:rsid w:val="00651623"/>
    <w:rsid w:val="00661380"/>
    <w:rsid w:val="006651EC"/>
    <w:rsid w:val="00672193"/>
    <w:rsid w:val="00672504"/>
    <w:rsid w:val="0067363B"/>
    <w:rsid w:val="00675CBF"/>
    <w:rsid w:val="00681053"/>
    <w:rsid w:val="00683750"/>
    <w:rsid w:val="00691935"/>
    <w:rsid w:val="00696233"/>
    <w:rsid w:val="006A00E5"/>
    <w:rsid w:val="006B1CB4"/>
    <w:rsid w:val="006B1D26"/>
    <w:rsid w:val="006B2BF0"/>
    <w:rsid w:val="006B482A"/>
    <w:rsid w:val="006C123F"/>
    <w:rsid w:val="006C3093"/>
    <w:rsid w:val="006C38F2"/>
    <w:rsid w:val="006C5939"/>
    <w:rsid w:val="006C70FE"/>
    <w:rsid w:val="006D1902"/>
    <w:rsid w:val="006D2BE9"/>
    <w:rsid w:val="006D480A"/>
    <w:rsid w:val="006D60D7"/>
    <w:rsid w:val="006E2294"/>
    <w:rsid w:val="006E4686"/>
    <w:rsid w:val="006E5FFB"/>
    <w:rsid w:val="006F2716"/>
    <w:rsid w:val="006F5EFA"/>
    <w:rsid w:val="006F7AFC"/>
    <w:rsid w:val="0070234C"/>
    <w:rsid w:val="007051E1"/>
    <w:rsid w:val="00715A3C"/>
    <w:rsid w:val="00722ADB"/>
    <w:rsid w:val="00722D87"/>
    <w:rsid w:val="00727374"/>
    <w:rsid w:val="00730D37"/>
    <w:rsid w:val="00733501"/>
    <w:rsid w:val="00746490"/>
    <w:rsid w:val="00765144"/>
    <w:rsid w:val="00766376"/>
    <w:rsid w:val="00767E2E"/>
    <w:rsid w:val="00770B85"/>
    <w:rsid w:val="007736C7"/>
    <w:rsid w:val="00780148"/>
    <w:rsid w:val="007802ED"/>
    <w:rsid w:val="007866A5"/>
    <w:rsid w:val="00787357"/>
    <w:rsid w:val="007A48CA"/>
    <w:rsid w:val="007B4239"/>
    <w:rsid w:val="007B44D0"/>
    <w:rsid w:val="007B58AB"/>
    <w:rsid w:val="007B7086"/>
    <w:rsid w:val="007C0DA0"/>
    <w:rsid w:val="007C13D1"/>
    <w:rsid w:val="007C55D2"/>
    <w:rsid w:val="007D19C8"/>
    <w:rsid w:val="007D3CFF"/>
    <w:rsid w:val="007D5681"/>
    <w:rsid w:val="007D6BDA"/>
    <w:rsid w:val="007D7CB6"/>
    <w:rsid w:val="007D7F88"/>
    <w:rsid w:val="007E1083"/>
    <w:rsid w:val="007E6F80"/>
    <w:rsid w:val="007F0477"/>
    <w:rsid w:val="007F1DF7"/>
    <w:rsid w:val="007F4DA9"/>
    <w:rsid w:val="007F74EA"/>
    <w:rsid w:val="007F7F54"/>
    <w:rsid w:val="00804241"/>
    <w:rsid w:val="0080510C"/>
    <w:rsid w:val="008067DF"/>
    <w:rsid w:val="00806896"/>
    <w:rsid w:val="00811076"/>
    <w:rsid w:val="008119A1"/>
    <w:rsid w:val="00811D7F"/>
    <w:rsid w:val="00813A3F"/>
    <w:rsid w:val="00821810"/>
    <w:rsid w:val="00822502"/>
    <w:rsid w:val="00825F31"/>
    <w:rsid w:val="00826EB9"/>
    <w:rsid w:val="00827B56"/>
    <w:rsid w:val="00831936"/>
    <w:rsid w:val="0083299A"/>
    <w:rsid w:val="00834DBE"/>
    <w:rsid w:val="008351C5"/>
    <w:rsid w:val="00844609"/>
    <w:rsid w:val="00845353"/>
    <w:rsid w:val="00847A41"/>
    <w:rsid w:val="00847FB2"/>
    <w:rsid w:val="0085427D"/>
    <w:rsid w:val="0086516E"/>
    <w:rsid w:val="00870027"/>
    <w:rsid w:val="008701D4"/>
    <w:rsid w:val="00870AB9"/>
    <w:rsid w:val="00872CE9"/>
    <w:rsid w:val="00877104"/>
    <w:rsid w:val="008775AE"/>
    <w:rsid w:val="00883266"/>
    <w:rsid w:val="00885659"/>
    <w:rsid w:val="008911E9"/>
    <w:rsid w:val="00895F1C"/>
    <w:rsid w:val="008A2753"/>
    <w:rsid w:val="008A43ED"/>
    <w:rsid w:val="008B1684"/>
    <w:rsid w:val="008B2614"/>
    <w:rsid w:val="008B39B5"/>
    <w:rsid w:val="008B3B9A"/>
    <w:rsid w:val="008B451A"/>
    <w:rsid w:val="008B5400"/>
    <w:rsid w:val="008B6967"/>
    <w:rsid w:val="008C0544"/>
    <w:rsid w:val="008C14A2"/>
    <w:rsid w:val="008C4A47"/>
    <w:rsid w:val="008D3FB3"/>
    <w:rsid w:val="008D4D25"/>
    <w:rsid w:val="008E0B18"/>
    <w:rsid w:val="008E170F"/>
    <w:rsid w:val="008E4059"/>
    <w:rsid w:val="008E4D6E"/>
    <w:rsid w:val="008E5C4F"/>
    <w:rsid w:val="008E6358"/>
    <w:rsid w:val="008F0327"/>
    <w:rsid w:val="008F4FFC"/>
    <w:rsid w:val="008F799D"/>
    <w:rsid w:val="00902C00"/>
    <w:rsid w:val="00905945"/>
    <w:rsid w:val="00906A77"/>
    <w:rsid w:val="009108F4"/>
    <w:rsid w:val="00921CA8"/>
    <w:rsid w:val="00922C90"/>
    <w:rsid w:val="00924A00"/>
    <w:rsid w:val="0092724A"/>
    <w:rsid w:val="009318B3"/>
    <w:rsid w:val="00932D72"/>
    <w:rsid w:val="00934386"/>
    <w:rsid w:val="00935E64"/>
    <w:rsid w:val="009444B9"/>
    <w:rsid w:val="0094599D"/>
    <w:rsid w:val="00950A5E"/>
    <w:rsid w:val="009511BF"/>
    <w:rsid w:val="009556F3"/>
    <w:rsid w:val="00960305"/>
    <w:rsid w:val="0096192B"/>
    <w:rsid w:val="00961F86"/>
    <w:rsid w:val="009628EC"/>
    <w:rsid w:val="009636D3"/>
    <w:rsid w:val="00963FDC"/>
    <w:rsid w:val="009654DA"/>
    <w:rsid w:val="009715F9"/>
    <w:rsid w:val="00976391"/>
    <w:rsid w:val="00976E8D"/>
    <w:rsid w:val="00981644"/>
    <w:rsid w:val="009835C3"/>
    <w:rsid w:val="0098410A"/>
    <w:rsid w:val="009848E7"/>
    <w:rsid w:val="009858F9"/>
    <w:rsid w:val="009862F2"/>
    <w:rsid w:val="009910F9"/>
    <w:rsid w:val="00994ED6"/>
    <w:rsid w:val="009A0980"/>
    <w:rsid w:val="009A4C84"/>
    <w:rsid w:val="009A5391"/>
    <w:rsid w:val="009A76C9"/>
    <w:rsid w:val="009B0329"/>
    <w:rsid w:val="009B135F"/>
    <w:rsid w:val="009B2740"/>
    <w:rsid w:val="009B3AC9"/>
    <w:rsid w:val="009B53FD"/>
    <w:rsid w:val="009B7025"/>
    <w:rsid w:val="009C1E5D"/>
    <w:rsid w:val="009C4109"/>
    <w:rsid w:val="009C5F92"/>
    <w:rsid w:val="009C7055"/>
    <w:rsid w:val="009D0D2C"/>
    <w:rsid w:val="009D202B"/>
    <w:rsid w:val="009D229F"/>
    <w:rsid w:val="009E06CF"/>
    <w:rsid w:val="009E09F6"/>
    <w:rsid w:val="009E13B9"/>
    <w:rsid w:val="009E348E"/>
    <w:rsid w:val="009E4E82"/>
    <w:rsid w:val="009E510E"/>
    <w:rsid w:val="009E582B"/>
    <w:rsid w:val="009E6164"/>
    <w:rsid w:val="009F4CAD"/>
    <w:rsid w:val="009F6D8C"/>
    <w:rsid w:val="009F7C78"/>
    <w:rsid w:val="00A1170B"/>
    <w:rsid w:val="00A15614"/>
    <w:rsid w:val="00A15653"/>
    <w:rsid w:val="00A204D5"/>
    <w:rsid w:val="00A22F1B"/>
    <w:rsid w:val="00A2398A"/>
    <w:rsid w:val="00A251BA"/>
    <w:rsid w:val="00A27BD0"/>
    <w:rsid w:val="00A27CE2"/>
    <w:rsid w:val="00A311B1"/>
    <w:rsid w:val="00A31ED8"/>
    <w:rsid w:val="00A338AC"/>
    <w:rsid w:val="00A35F23"/>
    <w:rsid w:val="00A35FDC"/>
    <w:rsid w:val="00A37C86"/>
    <w:rsid w:val="00A4716C"/>
    <w:rsid w:val="00A4753C"/>
    <w:rsid w:val="00A501E6"/>
    <w:rsid w:val="00A530F2"/>
    <w:rsid w:val="00A552E8"/>
    <w:rsid w:val="00A57DC4"/>
    <w:rsid w:val="00A62E92"/>
    <w:rsid w:val="00A63268"/>
    <w:rsid w:val="00A656D5"/>
    <w:rsid w:val="00A675F8"/>
    <w:rsid w:val="00A750E3"/>
    <w:rsid w:val="00A755B2"/>
    <w:rsid w:val="00A76912"/>
    <w:rsid w:val="00A82C7F"/>
    <w:rsid w:val="00A841E5"/>
    <w:rsid w:val="00A847F6"/>
    <w:rsid w:val="00A8635A"/>
    <w:rsid w:val="00A872FD"/>
    <w:rsid w:val="00A90A10"/>
    <w:rsid w:val="00A938E3"/>
    <w:rsid w:val="00A948F9"/>
    <w:rsid w:val="00A96CC9"/>
    <w:rsid w:val="00AA3CB7"/>
    <w:rsid w:val="00AA5713"/>
    <w:rsid w:val="00AB3316"/>
    <w:rsid w:val="00AB41DC"/>
    <w:rsid w:val="00AB550A"/>
    <w:rsid w:val="00AC120D"/>
    <w:rsid w:val="00AC1748"/>
    <w:rsid w:val="00AC7B4B"/>
    <w:rsid w:val="00AC7B9B"/>
    <w:rsid w:val="00AD2089"/>
    <w:rsid w:val="00AD3A55"/>
    <w:rsid w:val="00AD4B8F"/>
    <w:rsid w:val="00AD61AA"/>
    <w:rsid w:val="00AD6A72"/>
    <w:rsid w:val="00AE18F3"/>
    <w:rsid w:val="00AE1F82"/>
    <w:rsid w:val="00AE50B8"/>
    <w:rsid w:val="00AE52B3"/>
    <w:rsid w:val="00AE5BB2"/>
    <w:rsid w:val="00AE6CD0"/>
    <w:rsid w:val="00AF036D"/>
    <w:rsid w:val="00AF3EF0"/>
    <w:rsid w:val="00B032EE"/>
    <w:rsid w:val="00B03327"/>
    <w:rsid w:val="00B046C6"/>
    <w:rsid w:val="00B12601"/>
    <w:rsid w:val="00B173F9"/>
    <w:rsid w:val="00B22431"/>
    <w:rsid w:val="00B26A3A"/>
    <w:rsid w:val="00B301A5"/>
    <w:rsid w:val="00B325C8"/>
    <w:rsid w:val="00B354C9"/>
    <w:rsid w:val="00B36467"/>
    <w:rsid w:val="00B36C3C"/>
    <w:rsid w:val="00B4159F"/>
    <w:rsid w:val="00B42618"/>
    <w:rsid w:val="00B42964"/>
    <w:rsid w:val="00B4409D"/>
    <w:rsid w:val="00B56F57"/>
    <w:rsid w:val="00B61312"/>
    <w:rsid w:val="00B65B04"/>
    <w:rsid w:val="00B7347A"/>
    <w:rsid w:val="00B7699F"/>
    <w:rsid w:val="00B81732"/>
    <w:rsid w:val="00B9046A"/>
    <w:rsid w:val="00B904C7"/>
    <w:rsid w:val="00B94212"/>
    <w:rsid w:val="00B95C64"/>
    <w:rsid w:val="00B9668E"/>
    <w:rsid w:val="00B966DD"/>
    <w:rsid w:val="00BA3237"/>
    <w:rsid w:val="00BA416D"/>
    <w:rsid w:val="00BA565D"/>
    <w:rsid w:val="00BB2772"/>
    <w:rsid w:val="00BB2D3B"/>
    <w:rsid w:val="00BC2651"/>
    <w:rsid w:val="00BC38F3"/>
    <w:rsid w:val="00BC47C1"/>
    <w:rsid w:val="00BC7CD5"/>
    <w:rsid w:val="00BD6406"/>
    <w:rsid w:val="00BD781C"/>
    <w:rsid w:val="00BE0E32"/>
    <w:rsid w:val="00BE7F73"/>
    <w:rsid w:val="00BF0D07"/>
    <w:rsid w:val="00BF37ED"/>
    <w:rsid w:val="00C00CA8"/>
    <w:rsid w:val="00C017F2"/>
    <w:rsid w:val="00C02BB9"/>
    <w:rsid w:val="00C0580C"/>
    <w:rsid w:val="00C17BEA"/>
    <w:rsid w:val="00C17E69"/>
    <w:rsid w:val="00C218F3"/>
    <w:rsid w:val="00C2259E"/>
    <w:rsid w:val="00C27810"/>
    <w:rsid w:val="00C31A17"/>
    <w:rsid w:val="00C326C0"/>
    <w:rsid w:val="00C34011"/>
    <w:rsid w:val="00C346E7"/>
    <w:rsid w:val="00C356DB"/>
    <w:rsid w:val="00C36A1E"/>
    <w:rsid w:val="00C517CC"/>
    <w:rsid w:val="00C53099"/>
    <w:rsid w:val="00C5582E"/>
    <w:rsid w:val="00C60F6A"/>
    <w:rsid w:val="00C61720"/>
    <w:rsid w:val="00C6208C"/>
    <w:rsid w:val="00C65194"/>
    <w:rsid w:val="00C703B4"/>
    <w:rsid w:val="00C70E80"/>
    <w:rsid w:val="00C71295"/>
    <w:rsid w:val="00C713E0"/>
    <w:rsid w:val="00C72A7A"/>
    <w:rsid w:val="00C76710"/>
    <w:rsid w:val="00C76A8A"/>
    <w:rsid w:val="00C85A3A"/>
    <w:rsid w:val="00C8676C"/>
    <w:rsid w:val="00C874A3"/>
    <w:rsid w:val="00C94C48"/>
    <w:rsid w:val="00C95C1F"/>
    <w:rsid w:val="00C9648E"/>
    <w:rsid w:val="00C97030"/>
    <w:rsid w:val="00CA291C"/>
    <w:rsid w:val="00CA5C42"/>
    <w:rsid w:val="00CA6FC5"/>
    <w:rsid w:val="00CB1CF6"/>
    <w:rsid w:val="00CB2D67"/>
    <w:rsid w:val="00CB477D"/>
    <w:rsid w:val="00CB4D56"/>
    <w:rsid w:val="00CB6AAC"/>
    <w:rsid w:val="00CB6E11"/>
    <w:rsid w:val="00CC0BF8"/>
    <w:rsid w:val="00CC100A"/>
    <w:rsid w:val="00CD5C37"/>
    <w:rsid w:val="00CD6D87"/>
    <w:rsid w:val="00CD70EA"/>
    <w:rsid w:val="00CE0814"/>
    <w:rsid w:val="00CE21BC"/>
    <w:rsid w:val="00CE2C85"/>
    <w:rsid w:val="00CE4858"/>
    <w:rsid w:val="00CE5680"/>
    <w:rsid w:val="00CE5C09"/>
    <w:rsid w:val="00CF7338"/>
    <w:rsid w:val="00CF7B04"/>
    <w:rsid w:val="00D00192"/>
    <w:rsid w:val="00D0243B"/>
    <w:rsid w:val="00D04B03"/>
    <w:rsid w:val="00D07C5E"/>
    <w:rsid w:val="00D10C8A"/>
    <w:rsid w:val="00D1529E"/>
    <w:rsid w:val="00D15954"/>
    <w:rsid w:val="00D17270"/>
    <w:rsid w:val="00D17B90"/>
    <w:rsid w:val="00D2028C"/>
    <w:rsid w:val="00D225A7"/>
    <w:rsid w:val="00D23FD2"/>
    <w:rsid w:val="00D256EB"/>
    <w:rsid w:val="00D271C2"/>
    <w:rsid w:val="00D3128F"/>
    <w:rsid w:val="00D3251E"/>
    <w:rsid w:val="00D32A91"/>
    <w:rsid w:val="00D34D58"/>
    <w:rsid w:val="00D3527B"/>
    <w:rsid w:val="00D35FD8"/>
    <w:rsid w:val="00D370AA"/>
    <w:rsid w:val="00D37FF3"/>
    <w:rsid w:val="00D43825"/>
    <w:rsid w:val="00D440CA"/>
    <w:rsid w:val="00D4446B"/>
    <w:rsid w:val="00D47CD2"/>
    <w:rsid w:val="00D47E55"/>
    <w:rsid w:val="00D50828"/>
    <w:rsid w:val="00D5155F"/>
    <w:rsid w:val="00D54B22"/>
    <w:rsid w:val="00D556A1"/>
    <w:rsid w:val="00D56F5E"/>
    <w:rsid w:val="00D627B1"/>
    <w:rsid w:val="00D64541"/>
    <w:rsid w:val="00D65ACC"/>
    <w:rsid w:val="00D676E3"/>
    <w:rsid w:val="00D82504"/>
    <w:rsid w:val="00D85312"/>
    <w:rsid w:val="00D86DAB"/>
    <w:rsid w:val="00D87202"/>
    <w:rsid w:val="00D90380"/>
    <w:rsid w:val="00D90FB7"/>
    <w:rsid w:val="00D919F4"/>
    <w:rsid w:val="00D91B36"/>
    <w:rsid w:val="00D937A2"/>
    <w:rsid w:val="00D94BF1"/>
    <w:rsid w:val="00D953BD"/>
    <w:rsid w:val="00D963A9"/>
    <w:rsid w:val="00D9709C"/>
    <w:rsid w:val="00D97341"/>
    <w:rsid w:val="00DA6A0A"/>
    <w:rsid w:val="00DA6A60"/>
    <w:rsid w:val="00DA722C"/>
    <w:rsid w:val="00DB0880"/>
    <w:rsid w:val="00DB2CD1"/>
    <w:rsid w:val="00DC4BF2"/>
    <w:rsid w:val="00DC4EE9"/>
    <w:rsid w:val="00DC659E"/>
    <w:rsid w:val="00DC7878"/>
    <w:rsid w:val="00DD2406"/>
    <w:rsid w:val="00DD283B"/>
    <w:rsid w:val="00DD3AB0"/>
    <w:rsid w:val="00DD7CA1"/>
    <w:rsid w:val="00DE0324"/>
    <w:rsid w:val="00DE35AA"/>
    <w:rsid w:val="00DE4FF7"/>
    <w:rsid w:val="00DE5920"/>
    <w:rsid w:val="00DE5C65"/>
    <w:rsid w:val="00DE6717"/>
    <w:rsid w:val="00DF0BA6"/>
    <w:rsid w:val="00DF11BD"/>
    <w:rsid w:val="00DF590D"/>
    <w:rsid w:val="00E005FB"/>
    <w:rsid w:val="00E01B30"/>
    <w:rsid w:val="00E07E00"/>
    <w:rsid w:val="00E103B1"/>
    <w:rsid w:val="00E103C1"/>
    <w:rsid w:val="00E1179C"/>
    <w:rsid w:val="00E127C1"/>
    <w:rsid w:val="00E13C5D"/>
    <w:rsid w:val="00E13D3E"/>
    <w:rsid w:val="00E13DF2"/>
    <w:rsid w:val="00E20582"/>
    <w:rsid w:val="00E218FF"/>
    <w:rsid w:val="00E30533"/>
    <w:rsid w:val="00E340C4"/>
    <w:rsid w:val="00E34617"/>
    <w:rsid w:val="00E34BC5"/>
    <w:rsid w:val="00E36E49"/>
    <w:rsid w:val="00E36FB3"/>
    <w:rsid w:val="00E37336"/>
    <w:rsid w:val="00E407DC"/>
    <w:rsid w:val="00E42BE0"/>
    <w:rsid w:val="00E44CCB"/>
    <w:rsid w:val="00E54B7B"/>
    <w:rsid w:val="00E55278"/>
    <w:rsid w:val="00E5607B"/>
    <w:rsid w:val="00E604B2"/>
    <w:rsid w:val="00E61847"/>
    <w:rsid w:val="00E61E2F"/>
    <w:rsid w:val="00E6215F"/>
    <w:rsid w:val="00E64B2B"/>
    <w:rsid w:val="00E6747E"/>
    <w:rsid w:val="00E73181"/>
    <w:rsid w:val="00E741EB"/>
    <w:rsid w:val="00E772B5"/>
    <w:rsid w:val="00E80806"/>
    <w:rsid w:val="00E817C3"/>
    <w:rsid w:val="00E87321"/>
    <w:rsid w:val="00E90225"/>
    <w:rsid w:val="00E9176B"/>
    <w:rsid w:val="00E92492"/>
    <w:rsid w:val="00E9310B"/>
    <w:rsid w:val="00E93EE0"/>
    <w:rsid w:val="00E946C3"/>
    <w:rsid w:val="00E954EF"/>
    <w:rsid w:val="00E976ED"/>
    <w:rsid w:val="00EA3D9B"/>
    <w:rsid w:val="00EA687A"/>
    <w:rsid w:val="00EB0093"/>
    <w:rsid w:val="00EB391B"/>
    <w:rsid w:val="00EB56CD"/>
    <w:rsid w:val="00EB653A"/>
    <w:rsid w:val="00EB6A26"/>
    <w:rsid w:val="00EB762B"/>
    <w:rsid w:val="00EC6D4F"/>
    <w:rsid w:val="00ED0604"/>
    <w:rsid w:val="00ED0B3C"/>
    <w:rsid w:val="00ED2379"/>
    <w:rsid w:val="00ED3F69"/>
    <w:rsid w:val="00EE0ED8"/>
    <w:rsid w:val="00EE130E"/>
    <w:rsid w:val="00EE4343"/>
    <w:rsid w:val="00EE4807"/>
    <w:rsid w:val="00EE4FF8"/>
    <w:rsid w:val="00EE6413"/>
    <w:rsid w:val="00EF3031"/>
    <w:rsid w:val="00EF41C9"/>
    <w:rsid w:val="00EF6733"/>
    <w:rsid w:val="00EF7486"/>
    <w:rsid w:val="00F015BB"/>
    <w:rsid w:val="00F032FC"/>
    <w:rsid w:val="00F0674B"/>
    <w:rsid w:val="00F14EA0"/>
    <w:rsid w:val="00F160F2"/>
    <w:rsid w:val="00F1737A"/>
    <w:rsid w:val="00F23505"/>
    <w:rsid w:val="00F245BE"/>
    <w:rsid w:val="00F24BA0"/>
    <w:rsid w:val="00F33F95"/>
    <w:rsid w:val="00F34FA4"/>
    <w:rsid w:val="00F35FDF"/>
    <w:rsid w:val="00F41B88"/>
    <w:rsid w:val="00F427B0"/>
    <w:rsid w:val="00F55D9F"/>
    <w:rsid w:val="00F56B5F"/>
    <w:rsid w:val="00F64CAC"/>
    <w:rsid w:val="00F64DCE"/>
    <w:rsid w:val="00F702B6"/>
    <w:rsid w:val="00F709D2"/>
    <w:rsid w:val="00F81A7F"/>
    <w:rsid w:val="00F82DAE"/>
    <w:rsid w:val="00F85EB8"/>
    <w:rsid w:val="00F924F3"/>
    <w:rsid w:val="00F953B6"/>
    <w:rsid w:val="00F96558"/>
    <w:rsid w:val="00FA136A"/>
    <w:rsid w:val="00FA1EAE"/>
    <w:rsid w:val="00FA3542"/>
    <w:rsid w:val="00FA4C4F"/>
    <w:rsid w:val="00FB08C4"/>
    <w:rsid w:val="00FB1058"/>
    <w:rsid w:val="00FB553F"/>
    <w:rsid w:val="00FB78E1"/>
    <w:rsid w:val="00FC0271"/>
    <w:rsid w:val="00FC4FBA"/>
    <w:rsid w:val="00FC559C"/>
    <w:rsid w:val="00FD058D"/>
    <w:rsid w:val="00FD15D0"/>
    <w:rsid w:val="00FD5175"/>
    <w:rsid w:val="00FD7813"/>
    <w:rsid w:val="00FE4E6A"/>
    <w:rsid w:val="00FE5AC0"/>
    <w:rsid w:val="00FE6CB3"/>
    <w:rsid w:val="00FF22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BF"/>
  </w:style>
  <w:style w:type="paragraph" w:styleId="Heading1">
    <w:name w:val="heading 1"/>
    <w:basedOn w:val="Normal"/>
    <w:link w:val="Heading1Char"/>
    <w:uiPriority w:val="1"/>
    <w:qFormat/>
    <w:rsid w:val="00FE4E6A"/>
    <w:pPr>
      <w:widowControl w:val="0"/>
      <w:autoSpaceDE w:val="0"/>
      <w:autoSpaceDN w:val="0"/>
      <w:spacing w:before="92" w:after="0" w:line="240" w:lineRule="auto"/>
      <w:ind w:left="140"/>
      <w:outlineLvl w:val="0"/>
    </w:pPr>
    <w:rPr>
      <w:rFonts w:ascii="Arial" w:eastAsia="Arial" w:hAnsi="Arial" w:cs="Arial"/>
      <w:b/>
      <w:bCs/>
      <w:sz w:val="24"/>
      <w:szCs w:val="24"/>
      <w:lang w:val="en-US"/>
    </w:rPr>
  </w:style>
  <w:style w:type="paragraph" w:styleId="Heading2">
    <w:name w:val="heading 2"/>
    <w:basedOn w:val="Normal"/>
    <w:next w:val="Normal"/>
    <w:link w:val="Heading2Char"/>
    <w:uiPriority w:val="9"/>
    <w:semiHidden/>
    <w:unhideWhenUsed/>
    <w:qFormat/>
    <w:rsid w:val="009E1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4C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66D"/>
    <w:rPr>
      <w:rFonts w:ascii="Segoe UI" w:hAnsi="Segoe UI" w:cs="Segoe UI"/>
      <w:sz w:val="18"/>
      <w:szCs w:val="18"/>
    </w:rPr>
  </w:style>
  <w:style w:type="character" w:customStyle="1" w:styleId="Heading1Char">
    <w:name w:val="Heading 1 Char"/>
    <w:basedOn w:val="DefaultParagraphFont"/>
    <w:link w:val="Heading1"/>
    <w:uiPriority w:val="1"/>
    <w:rsid w:val="00FE4E6A"/>
    <w:rPr>
      <w:rFonts w:ascii="Arial" w:eastAsia="Arial" w:hAnsi="Arial" w:cs="Arial"/>
      <w:b/>
      <w:bCs/>
      <w:sz w:val="24"/>
      <w:szCs w:val="24"/>
      <w:lang w:val="en-US"/>
    </w:rPr>
  </w:style>
  <w:style w:type="paragraph" w:styleId="BodyText">
    <w:name w:val="Body Text"/>
    <w:basedOn w:val="Normal"/>
    <w:link w:val="BodyTextChar"/>
    <w:uiPriority w:val="1"/>
    <w:qFormat/>
    <w:rsid w:val="00FE4E6A"/>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FE4E6A"/>
    <w:rPr>
      <w:rFonts w:ascii="Arial MT" w:eastAsia="Arial MT" w:hAnsi="Arial MT" w:cs="Arial MT"/>
      <w:sz w:val="24"/>
      <w:szCs w:val="24"/>
      <w:lang w:val="en-US"/>
    </w:rPr>
  </w:style>
  <w:style w:type="paragraph" w:customStyle="1" w:styleId="TableParagraph">
    <w:name w:val="Table Paragraph"/>
    <w:basedOn w:val="Normal"/>
    <w:uiPriority w:val="1"/>
    <w:qFormat/>
    <w:rsid w:val="00FE4E6A"/>
    <w:pPr>
      <w:widowControl w:val="0"/>
      <w:autoSpaceDE w:val="0"/>
      <w:autoSpaceDN w:val="0"/>
      <w:spacing w:after="0" w:line="240" w:lineRule="auto"/>
    </w:pPr>
    <w:rPr>
      <w:rFonts w:ascii="Arial MT" w:eastAsia="Arial MT" w:hAnsi="Arial MT" w:cs="Arial MT"/>
      <w:lang w:val="en-US"/>
    </w:rPr>
  </w:style>
  <w:style w:type="paragraph" w:styleId="EndnoteText">
    <w:name w:val="endnote text"/>
    <w:basedOn w:val="Normal"/>
    <w:link w:val="EndnoteTextChar"/>
    <w:uiPriority w:val="99"/>
    <w:semiHidden/>
    <w:unhideWhenUsed/>
    <w:rsid w:val="008351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1C5"/>
    <w:rPr>
      <w:sz w:val="20"/>
      <w:szCs w:val="20"/>
    </w:rPr>
  </w:style>
  <w:style w:type="character" w:styleId="EndnoteReference">
    <w:name w:val="endnote reference"/>
    <w:basedOn w:val="DefaultParagraphFont"/>
    <w:uiPriority w:val="99"/>
    <w:semiHidden/>
    <w:unhideWhenUsed/>
    <w:rsid w:val="008351C5"/>
    <w:rPr>
      <w:vertAlign w:val="superscript"/>
    </w:rPr>
  </w:style>
  <w:style w:type="paragraph" w:styleId="FootnoteText">
    <w:name w:val="footnote text"/>
    <w:basedOn w:val="Normal"/>
    <w:link w:val="FootnoteTextChar"/>
    <w:uiPriority w:val="99"/>
    <w:semiHidden/>
    <w:unhideWhenUsed/>
    <w:rsid w:val="00835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C5"/>
    <w:rPr>
      <w:sz w:val="20"/>
      <w:szCs w:val="20"/>
    </w:rPr>
  </w:style>
  <w:style w:type="character" w:styleId="FootnoteReference">
    <w:name w:val="footnote reference"/>
    <w:basedOn w:val="DefaultParagraphFont"/>
    <w:uiPriority w:val="99"/>
    <w:semiHidden/>
    <w:unhideWhenUsed/>
    <w:rsid w:val="008351C5"/>
    <w:rPr>
      <w:vertAlign w:val="superscript"/>
    </w:rPr>
  </w:style>
  <w:style w:type="character" w:customStyle="1" w:styleId="Heading2Char">
    <w:name w:val="Heading 2 Char"/>
    <w:basedOn w:val="DefaultParagraphFont"/>
    <w:link w:val="Heading2"/>
    <w:uiPriority w:val="9"/>
    <w:semiHidden/>
    <w:rsid w:val="009E13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451562195">
      <w:bodyDiv w:val="1"/>
      <w:marLeft w:val="0"/>
      <w:marRight w:val="0"/>
      <w:marTop w:val="0"/>
      <w:marBottom w:val="0"/>
      <w:divBdr>
        <w:top w:val="none" w:sz="0" w:space="0" w:color="auto"/>
        <w:left w:val="none" w:sz="0" w:space="0" w:color="auto"/>
        <w:bottom w:val="none" w:sz="0" w:space="0" w:color="auto"/>
        <w:right w:val="none" w:sz="0" w:space="0" w:color="auto"/>
      </w:divBdr>
    </w:div>
    <w:div w:id="646789237">
      <w:bodyDiv w:val="1"/>
      <w:marLeft w:val="0"/>
      <w:marRight w:val="0"/>
      <w:marTop w:val="0"/>
      <w:marBottom w:val="0"/>
      <w:divBdr>
        <w:top w:val="none" w:sz="0" w:space="0" w:color="auto"/>
        <w:left w:val="none" w:sz="0" w:space="0" w:color="auto"/>
        <w:bottom w:val="none" w:sz="0" w:space="0" w:color="auto"/>
        <w:right w:val="none" w:sz="0" w:space="0" w:color="auto"/>
      </w:divBdr>
      <w:divsChild>
        <w:div w:id="33561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627114">
      <w:bodyDiv w:val="1"/>
      <w:marLeft w:val="0"/>
      <w:marRight w:val="0"/>
      <w:marTop w:val="0"/>
      <w:marBottom w:val="0"/>
      <w:divBdr>
        <w:top w:val="none" w:sz="0" w:space="0" w:color="auto"/>
        <w:left w:val="none" w:sz="0" w:space="0" w:color="auto"/>
        <w:bottom w:val="none" w:sz="0" w:space="0" w:color="auto"/>
        <w:right w:val="none" w:sz="0" w:space="0" w:color="auto"/>
      </w:divBdr>
    </w:div>
    <w:div w:id="2058627773">
      <w:bodyDiv w:val="1"/>
      <w:marLeft w:val="0"/>
      <w:marRight w:val="0"/>
      <w:marTop w:val="0"/>
      <w:marBottom w:val="0"/>
      <w:divBdr>
        <w:top w:val="none" w:sz="0" w:space="0" w:color="auto"/>
        <w:left w:val="none" w:sz="0" w:space="0" w:color="auto"/>
        <w:bottom w:val="none" w:sz="0" w:space="0" w:color="auto"/>
        <w:right w:val="none" w:sz="0" w:space="0" w:color="auto"/>
      </w:divBdr>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cgi-bin/LawCite?cit=1941%20SALJ%20346"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54B3-8EAE-46EC-AFFD-A98BF13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2022-12-14T20:58:00Z</cp:lastPrinted>
  <dcterms:created xsi:type="dcterms:W3CDTF">2023-03-07T06:47:00Z</dcterms:created>
  <dcterms:modified xsi:type="dcterms:W3CDTF">2023-03-07T06:51:00Z</dcterms:modified>
</cp:coreProperties>
</file>