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8C1D5" w14:textId="73DC89DA" w:rsidR="00AD0BA5" w:rsidRPr="008302DE" w:rsidRDefault="00AD0BA5" w:rsidP="00142EF0">
      <w:pPr>
        <w:spacing w:line="480" w:lineRule="auto"/>
        <w:jc w:val="center"/>
        <w:rPr>
          <w:rFonts w:ascii="Century Gothic" w:hAnsi="Century Gothic"/>
          <w:b/>
          <w:bCs/>
          <w:sz w:val="24"/>
          <w:szCs w:val="24"/>
          <w:lang w:val="en-GB"/>
        </w:rPr>
      </w:pPr>
      <w:r w:rsidRPr="008302DE">
        <w:rPr>
          <w:rFonts w:ascii="Century Gothic" w:hAnsi="Century Gothic"/>
          <w:b/>
          <w:bCs/>
          <w:noProof/>
          <w:sz w:val="24"/>
          <w:szCs w:val="24"/>
          <w:lang w:val="en-US"/>
        </w:rPr>
        <w:drawing>
          <wp:inline distT="0" distB="0" distL="0" distR="0" wp14:anchorId="1AE40E9D" wp14:editId="615E25C9">
            <wp:extent cx="1457325" cy="1450975"/>
            <wp:effectExtent l="0" t="0" r="9525" b="0"/>
            <wp:docPr id="872695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0975"/>
                    </a:xfrm>
                    <a:prstGeom prst="rect">
                      <a:avLst/>
                    </a:prstGeom>
                    <a:noFill/>
                  </pic:spPr>
                </pic:pic>
              </a:graphicData>
            </a:graphic>
          </wp:inline>
        </w:drawing>
      </w:r>
    </w:p>
    <w:p w14:paraId="388C96A6" w14:textId="5B095E05" w:rsidR="005A4CE1" w:rsidRPr="008302DE" w:rsidRDefault="005A4CE1" w:rsidP="00142EF0">
      <w:pPr>
        <w:spacing w:line="480" w:lineRule="auto"/>
        <w:jc w:val="center"/>
        <w:rPr>
          <w:rFonts w:ascii="Century Gothic" w:hAnsi="Century Gothic"/>
          <w:b/>
          <w:bCs/>
          <w:sz w:val="24"/>
          <w:szCs w:val="24"/>
          <w:lang w:val="en-GB"/>
        </w:rPr>
      </w:pPr>
      <w:r w:rsidRPr="008302DE">
        <w:rPr>
          <w:rFonts w:ascii="Century Gothic" w:hAnsi="Century Gothic"/>
          <w:b/>
          <w:bCs/>
          <w:sz w:val="24"/>
          <w:szCs w:val="24"/>
          <w:lang w:val="en-GB"/>
        </w:rPr>
        <w:t>IN THE HIGH COURT OF SOUTH AFRICA</w:t>
      </w:r>
    </w:p>
    <w:p w14:paraId="5F1AC82B" w14:textId="0D733BE0" w:rsidR="005A4CE1" w:rsidRPr="008302DE" w:rsidRDefault="005A4CE1" w:rsidP="00142EF0">
      <w:pPr>
        <w:spacing w:line="480" w:lineRule="auto"/>
        <w:jc w:val="center"/>
        <w:rPr>
          <w:rFonts w:ascii="Century Gothic" w:hAnsi="Century Gothic"/>
          <w:b/>
          <w:bCs/>
          <w:sz w:val="24"/>
          <w:szCs w:val="24"/>
          <w:lang w:val="en-GB"/>
        </w:rPr>
      </w:pPr>
      <w:r w:rsidRPr="008302DE">
        <w:rPr>
          <w:rFonts w:ascii="Century Gothic" w:hAnsi="Century Gothic"/>
          <w:b/>
          <w:bCs/>
          <w:sz w:val="24"/>
          <w:szCs w:val="24"/>
          <w:lang w:val="en-GB"/>
        </w:rPr>
        <w:t>GAUTENG DIVISION, PRETORIA</w:t>
      </w:r>
    </w:p>
    <w:p w14:paraId="02F982E5" w14:textId="77777777" w:rsidR="005A4CE1" w:rsidRPr="008302DE" w:rsidRDefault="005A4CE1" w:rsidP="00142EF0">
      <w:pPr>
        <w:spacing w:line="480" w:lineRule="auto"/>
        <w:rPr>
          <w:rFonts w:ascii="Century Gothic" w:hAnsi="Century Gothic"/>
          <w:sz w:val="24"/>
          <w:szCs w:val="24"/>
          <w:lang w:val="en-GB"/>
        </w:rPr>
      </w:pPr>
    </w:p>
    <w:p w14:paraId="7C60F290" w14:textId="4A071CC1" w:rsidR="005A4CE1" w:rsidRPr="008302DE" w:rsidRDefault="005A4CE1" w:rsidP="00142EF0">
      <w:pPr>
        <w:spacing w:line="480" w:lineRule="auto"/>
        <w:jc w:val="right"/>
        <w:rPr>
          <w:rFonts w:ascii="Century Gothic" w:hAnsi="Century Gothic"/>
          <w:sz w:val="24"/>
          <w:szCs w:val="24"/>
          <w:lang w:val="en-GB"/>
        </w:rPr>
      </w:pPr>
      <w:r w:rsidRPr="008302DE">
        <w:rPr>
          <w:rFonts w:ascii="Century Gothic" w:hAnsi="Century Gothic"/>
          <w:sz w:val="24"/>
          <w:szCs w:val="24"/>
          <w:lang w:val="en-GB"/>
        </w:rPr>
        <w:t>CASE NO: 53694/2020</w:t>
      </w:r>
    </w:p>
    <w:tbl>
      <w:tblPr>
        <w:tblW w:w="3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tblGrid>
      <w:tr w:rsidR="00AD0BA5" w:rsidRPr="008302DE" w14:paraId="28A26A28" w14:textId="77777777" w:rsidTr="0012200E">
        <w:trPr>
          <w:trHeight w:val="2417"/>
        </w:trPr>
        <w:tc>
          <w:tcPr>
            <w:tcW w:w="3870" w:type="dxa"/>
            <w:tcBorders>
              <w:top w:val="single" w:sz="4" w:space="0" w:color="000000"/>
              <w:left w:val="single" w:sz="4" w:space="0" w:color="000000"/>
              <w:bottom w:val="single" w:sz="4" w:space="0" w:color="000000"/>
              <w:right w:val="single" w:sz="4" w:space="0" w:color="000000"/>
            </w:tcBorders>
          </w:tcPr>
          <w:p w14:paraId="4893AD42" w14:textId="77777777" w:rsidR="00AD0BA5" w:rsidRPr="008302DE" w:rsidRDefault="00AD0BA5" w:rsidP="0012200E">
            <w:pPr>
              <w:pBdr>
                <w:top w:val="nil"/>
                <w:left w:val="nil"/>
                <w:bottom w:val="nil"/>
                <w:right w:val="nil"/>
                <w:between w:val="nil"/>
              </w:pBdr>
              <w:spacing w:line="360" w:lineRule="auto"/>
              <w:jc w:val="both"/>
              <w:rPr>
                <w:rFonts w:cs="Arial"/>
                <w:color w:val="000000"/>
                <w:sz w:val="16"/>
                <w:szCs w:val="16"/>
                <w:lang w:val="en-GB"/>
              </w:rPr>
            </w:pPr>
            <w:r w:rsidRPr="008302DE">
              <w:rPr>
                <w:rFonts w:eastAsia="Arial" w:cs="Arial"/>
                <w:color w:val="000000"/>
                <w:sz w:val="16"/>
                <w:szCs w:val="16"/>
                <w:lang w:val="en-GB"/>
              </w:rPr>
              <w:t xml:space="preserve">1.    REPORTABLE: </w:t>
            </w:r>
            <w:r w:rsidRPr="008302DE">
              <w:rPr>
                <w:rFonts w:eastAsia="Arial" w:cs="Arial"/>
                <w:strike/>
                <w:color w:val="000000"/>
                <w:sz w:val="16"/>
                <w:szCs w:val="16"/>
                <w:lang w:val="en-GB"/>
              </w:rPr>
              <w:t>YES</w:t>
            </w:r>
            <w:r w:rsidRPr="008302DE">
              <w:rPr>
                <w:rFonts w:eastAsia="Arial" w:cs="Arial"/>
                <w:color w:val="000000"/>
                <w:sz w:val="16"/>
                <w:szCs w:val="16"/>
                <w:lang w:val="en-GB"/>
              </w:rPr>
              <w:t>/NO</w:t>
            </w:r>
          </w:p>
          <w:p w14:paraId="646A9C0F" w14:textId="77777777" w:rsidR="00AD0BA5" w:rsidRPr="008302DE" w:rsidRDefault="00AD0BA5" w:rsidP="0012200E">
            <w:pPr>
              <w:pBdr>
                <w:top w:val="nil"/>
                <w:left w:val="nil"/>
                <w:bottom w:val="nil"/>
                <w:right w:val="nil"/>
                <w:between w:val="nil"/>
              </w:pBdr>
              <w:spacing w:line="360" w:lineRule="auto"/>
              <w:jc w:val="both"/>
              <w:rPr>
                <w:rFonts w:cs="Arial"/>
                <w:color w:val="000000"/>
                <w:sz w:val="16"/>
                <w:szCs w:val="16"/>
                <w:lang w:val="en-GB"/>
              </w:rPr>
            </w:pPr>
            <w:r w:rsidRPr="008302DE">
              <w:rPr>
                <w:rFonts w:eastAsia="Arial" w:cs="Arial"/>
                <w:color w:val="000000"/>
                <w:sz w:val="16"/>
                <w:szCs w:val="16"/>
                <w:lang w:val="en-GB"/>
              </w:rPr>
              <w:t xml:space="preserve">2.    OF INTEREST TO OTHER JUDGES: </w:t>
            </w:r>
            <w:r w:rsidRPr="008302DE">
              <w:rPr>
                <w:rFonts w:eastAsia="Arial" w:cs="Arial"/>
                <w:strike/>
                <w:color w:val="000000"/>
                <w:sz w:val="16"/>
                <w:szCs w:val="16"/>
                <w:lang w:val="en-GB"/>
              </w:rPr>
              <w:t>YES</w:t>
            </w:r>
            <w:r w:rsidRPr="008302DE">
              <w:rPr>
                <w:rFonts w:eastAsia="Arial" w:cs="Arial"/>
                <w:color w:val="000000"/>
                <w:sz w:val="16"/>
                <w:szCs w:val="16"/>
                <w:lang w:val="en-GB"/>
              </w:rPr>
              <w:t>/ NO</w:t>
            </w:r>
          </w:p>
          <w:p w14:paraId="68F1D88B" w14:textId="77777777" w:rsidR="00AD0BA5" w:rsidRPr="008302DE" w:rsidRDefault="00AD0BA5" w:rsidP="0012200E">
            <w:pPr>
              <w:pBdr>
                <w:top w:val="nil"/>
                <w:left w:val="nil"/>
                <w:bottom w:val="nil"/>
                <w:right w:val="nil"/>
                <w:between w:val="nil"/>
              </w:pBdr>
              <w:spacing w:line="360" w:lineRule="auto"/>
              <w:jc w:val="both"/>
              <w:rPr>
                <w:rFonts w:cs="Arial"/>
                <w:color w:val="000000"/>
                <w:sz w:val="16"/>
                <w:szCs w:val="16"/>
                <w:lang w:val="en-GB"/>
              </w:rPr>
            </w:pPr>
            <w:r w:rsidRPr="008302DE">
              <w:rPr>
                <w:rFonts w:cs="Arial"/>
                <w:color w:val="000000"/>
                <w:sz w:val="16"/>
                <w:szCs w:val="16"/>
                <w:lang w:val="en-GB"/>
              </w:rPr>
              <w:t xml:space="preserve">3.    </w:t>
            </w:r>
            <w:r w:rsidRPr="008302DE">
              <w:rPr>
                <w:rFonts w:eastAsia="Arial" w:cs="Arial"/>
                <w:color w:val="000000"/>
                <w:sz w:val="16"/>
                <w:szCs w:val="16"/>
                <w:lang w:val="en-GB"/>
              </w:rPr>
              <w:t xml:space="preserve">REVISED: YES/ </w:t>
            </w:r>
            <w:r w:rsidRPr="008302DE">
              <w:rPr>
                <w:rFonts w:eastAsia="Arial" w:cs="Arial"/>
                <w:strike/>
                <w:color w:val="000000"/>
                <w:sz w:val="16"/>
                <w:szCs w:val="16"/>
                <w:lang w:val="en-GB"/>
              </w:rPr>
              <w:t>NO</w:t>
            </w:r>
          </w:p>
          <w:p w14:paraId="210D3852" w14:textId="77777777" w:rsidR="00AD0BA5" w:rsidRPr="008302DE" w:rsidRDefault="00AD0BA5" w:rsidP="0012200E">
            <w:pPr>
              <w:spacing w:line="360" w:lineRule="auto"/>
              <w:ind w:left="306" w:hanging="284"/>
              <w:jc w:val="both"/>
              <w:rPr>
                <w:rFonts w:eastAsia="Arial" w:cs="Arial"/>
                <w:sz w:val="16"/>
                <w:szCs w:val="16"/>
                <w:lang w:val="en-GB"/>
              </w:rPr>
            </w:pPr>
          </w:p>
          <w:p w14:paraId="133663E1" w14:textId="49DB5699" w:rsidR="00AD0BA5" w:rsidRPr="008302DE" w:rsidRDefault="00AD0BA5" w:rsidP="0012200E">
            <w:pPr>
              <w:spacing w:line="360" w:lineRule="auto"/>
              <w:jc w:val="both"/>
              <w:rPr>
                <w:rFonts w:eastAsia="Arial" w:cs="Arial"/>
                <w:sz w:val="16"/>
                <w:szCs w:val="16"/>
                <w:lang w:val="en-GB"/>
              </w:rPr>
            </w:pPr>
            <w:r w:rsidRPr="008302DE">
              <w:rPr>
                <w:rFonts w:eastAsia="Arial" w:cs="Arial"/>
                <w:sz w:val="16"/>
                <w:szCs w:val="16"/>
                <w:lang w:val="en-GB"/>
              </w:rPr>
              <w:t>DATE:  2</w:t>
            </w:r>
            <w:r w:rsidR="008F6BED">
              <w:rPr>
                <w:rFonts w:eastAsia="Arial" w:cs="Arial"/>
                <w:sz w:val="16"/>
                <w:szCs w:val="16"/>
                <w:lang w:val="en-GB"/>
              </w:rPr>
              <w:t>5</w:t>
            </w:r>
            <w:r w:rsidRPr="008302DE">
              <w:rPr>
                <w:rFonts w:eastAsia="Arial" w:cs="Arial"/>
                <w:sz w:val="16"/>
                <w:szCs w:val="16"/>
                <w:lang w:val="en-GB"/>
              </w:rPr>
              <w:t xml:space="preserve"> August 2023</w:t>
            </w:r>
          </w:p>
        </w:tc>
      </w:tr>
    </w:tbl>
    <w:p w14:paraId="79CF5BF1" w14:textId="77777777" w:rsidR="00AD0BA5" w:rsidRPr="008302DE" w:rsidRDefault="00AD0BA5" w:rsidP="00AD0BA5">
      <w:pPr>
        <w:pStyle w:val="BodyText"/>
        <w:rPr>
          <w:rFonts w:cs="Arial"/>
          <w:b/>
          <w:sz w:val="24"/>
          <w:szCs w:val="24"/>
          <w:lang w:val="en-GB"/>
        </w:rPr>
      </w:pPr>
    </w:p>
    <w:p w14:paraId="6EA0BD89" w14:textId="77777777" w:rsidR="005A4CE1" w:rsidRPr="008302DE" w:rsidRDefault="005A4CE1" w:rsidP="00142EF0">
      <w:pPr>
        <w:spacing w:line="480" w:lineRule="auto"/>
        <w:jc w:val="right"/>
        <w:rPr>
          <w:rFonts w:ascii="Century Gothic" w:hAnsi="Century Gothic"/>
          <w:sz w:val="24"/>
          <w:szCs w:val="24"/>
          <w:lang w:val="en-GB"/>
        </w:rPr>
      </w:pPr>
    </w:p>
    <w:p w14:paraId="7A081F22" w14:textId="5312F376" w:rsidR="005A4CE1" w:rsidRPr="008302DE" w:rsidRDefault="005A4CE1" w:rsidP="00142EF0">
      <w:pPr>
        <w:spacing w:line="480" w:lineRule="auto"/>
        <w:rPr>
          <w:rFonts w:ascii="Century Gothic" w:hAnsi="Century Gothic"/>
          <w:sz w:val="24"/>
          <w:szCs w:val="24"/>
          <w:lang w:val="en-GB"/>
        </w:rPr>
      </w:pPr>
      <w:r w:rsidRPr="008302DE">
        <w:rPr>
          <w:rFonts w:ascii="Century Gothic" w:hAnsi="Century Gothic"/>
          <w:sz w:val="24"/>
          <w:szCs w:val="24"/>
          <w:lang w:val="en-GB"/>
        </w:rPr>
        <w:t>In the matter between:</w:t>
      </w:r>
    </w:p>
    <w:p w14:paraId="00F3AD39" w14:textId="77777777" w:rsidR="005A4CE1" w:rsidRPr="008302DE" w:rsidRDefault="005A4CE1" w:rsidP="00142EF0">
      <w:pPr>
        <w:spacing w:line="480" w:lineRule="auto"/>
        <w:rPr>
          <w:rFonts w:ascii="Century Gothic" w:hAnsi="Century Gothic"/>
          <w:sz w:val="24"/>
          <w:szCs w:val="24"/>
          <w:lang w:val="en-GB"/>
        </w:rPr>
      </w:pPr>
    </w:p>
    <w:p w14:paraId="22D24CE0" w14:textId="77777777" w:rsidR="00142EF0"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t xml:space="preserve">NEW GX ENVIRO SOLUTIONS AND </w:t>
      </w:r>
    </w:p>
    <w:p w14:paraId="53BA6459" w14:textId="4DE5E296" w:rsidR="005A4CE1"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t>LOGISTICS HOLDINGS (PTY) LTD</w:t>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00142EF0" w:rsidRPr="008302DE">
        <w:rPr>
          <w:rFonts w:ascii="Century Gothic" w:hAnsi="Century Gothic"/>
          <w:b/>
          <w:bCs/>
          <w:sz w:val="24"/>
          <w:szCs w:val="24"/>
          <w:lang w:val="en-GB"/>
        </w:rPr>
        <w:tab/>
      </w:r>
      <w:r w:rsidR="00142EF0" w:rsidRPr="008302DE">
        <w:rPr>
          <w:rFonts w:ascii="Century Gothic" w:hAnsi="Century Gothic"/>
          <w:b/>
          <w:bCs/>
          <w:sz w:val="24"/>
          <w:szCs w:val="24"/>
          <w:lang w:val="en-GB"/>
        </w:rPr>
        <w:tab/>
      </w:r>
      <w:r w:rsidR="00142EF0" w:rsidRPr="008302DE">
        <w:rPr>
          <w:rFonts w:ascii="Century Gothic" w:hAnsi="Century Gothic"/>
          <w:b/>
          <w:bCs/>
          <w:sz w:val="24"/>
          <w:szCs w:val="24"/>
          <w:lang w:val="en-GB"/>
        </w:rPr>
        <w:tab/>
        <w:t xml:space="preserve">      </w:t>
      </w:r>
      <w:r w:rsidRPr="008302DE">
        <w:rPr>
          <w:rFonts w:ascii="Century Gothic" w:hAnsi="Century Gothic"/>
          <w:b/>
          <w:bCs/>
          <w:sz w:val="24"/>
          <w:szCs w:val="24"/>
          <w:lang w:val="en-GB"/>
        </w:rPr>
        <w:t>APPLICANT</w:t>
      </w:r>
    </w:p>
    <w:p w14:paraId="79B36EF2" w14:textId="77777777" w:rsidR="005A4CE1" w:rsidRPr="008302DE" w:rsidRDefault="005A4CE1" w:rsidP="00142EF0">
      <w:pPr>
        <w:spacing w:line="480" w:lineRule="auto"/>
        <w:rPr>
          <w:rFonts w:ascii="Century Gothic" w:hAnsi="Century Gothic"/>
          <w:sz w:val="24"/>
          <w:szCs w:val="24"/>
          <w:lang w:val="en-GB"/>
        </w:rPr>
      </w:pPr>
    </w:p>
    <w:p w14:paraId="2717A5D9" w14:textId="7B5A6980" w:rsidR="005A4CE1" w:rsidRPr="008302DE" w:rsidRDefault="005A4CE1" w:rsidP="00142EF0">
      <w:pPr>
        <w:spacing w:line="480" w:lineRule="auto"/>
        <w:rPr>
          <w:rFonts w:ascii="Century Gothic" w:hAnsi="Century Gothic"/>
          <w:sz w:val="24"/>
          <w:szCs w:val="24"/>
          <w:lang w:val="en-GB"/>
        </w:rPr>
      </w:pPr>
      <w:r w:rsidRPr="008302DE">
        <w:rPr>
          <w:rFonts w:ascii="Century Gothic" w:hAnsi="Century Gothic"/>
          <w:sz w:val="24"/>
          <w:szCs w:val="24"/>
          <w:lang w:val="en-GB"/>
        </w:rPr>
        <w:t>and</w:t>
      </w:r>
    </w:p>
    <w:p w14:paraId="515EF064" w14:textId="2869355E" w:rsidR="005A4CE1"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lastRenderedPageBreak/>
        <w:t>CITY OF TSHWANE METROPOLITAN MUNICIP</w:t>
      </w:r>
      <w:r w:rsidR="00C05777">
        <w:rPr>
          <w:rFonts w:ascii="Century Gothic" w:hAnsi="Century Gothic"/>
          <w:b/>
          <w:bCs/>
          <w:sz w:val="24"/>
          <w:szCs w:val="24"/>
          <w:lang w:val="en-GB"/>
        </w:rPr>
        <w:t>ALIT</w:t>
      </w:r>
      <w:r w:rsidRPr="008302DE">
        <w:rPr>
          <w:rFonts w:ascii="Century Gothic" w:hAnsi="Century Gothic"/>
          <w:b/>
          <w:bCs/>
          <w:sz w:val="24"/>
          <w:szCs w:val="24"/>
          <w:lang w:val="en-GB"/>
        </w:rPr>
        <w:t>Y</w:t>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00142EF0" w:rsidRPr="008302DE">
        <w:rPr>
          <w:rFonts w:ascii="Century Gothic" w:hAnsi="Century Gothic"/>
          <w:b/>
          <w:bCs/>
          <w:sz w:val="24"/>
          <w:szCs w:val="24"/>
          <w:lang w:val="en-GB"/>
        </w:rPr>
        <w:t xml:space="preserve">     </w:t>
      </w:r>
      <w:r w:rsidRPr="008302DE">
        <w:rPr>
          <w:rFonts w:ascii="Century Gothic" w:hAnsi="Century Gothic"/>
          <w:b/>
          <w:bCs/>
          <w:sz w:val="24"/>
          <w:szCs w:val="24"/>
          <w:lang w:val="en-GB"/>
        </w:rPr>
        <w:t xml:space="preserve"> FIRST RESPONDENT</w:t>
      </w:r>
    </w:p>
    <w:p w14:paraId="7978858D" w14:textId="5F2D38B1" w:rsidR="005A4CE1" w:rsidRPr="008302DE" w:rsidRDefault="005A4CE1" w:rsidP="00142EF0">
      <w:pPr>
        <w:spacing w:line="480" w:lineRule="auto"/>
        <w:rPr>
          <w:rFonts w:ascii="Century Gothic" w:hAnsi="Century Gothic"/>
          <w:sz w:val="24"/>
          <w:szCs w:val="24"/>
          <w:lang w:val="en-GB"/>
        </w:rPr>
      </w:pPr>
      <w:r w:rsidRPr="008302DE">
        <w:rPr>
          <w:rFonts w:ascii="Century Gothic" w:hAnsi="Century Gothic"/>
          <w:b/>
          <w:bCs/>
          <w:sz w:val="24"/>
          <w:szCs w:val="24"/>
          <w:lang w:val="en-GB"/>
        </w:rPr>
        <w:t>JUSTICE SANDILE NGCOBO N.O.</w:t>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Pr="008302DE">
        <w:rPr>
          <w:rFonts w:ascii="Century Gothic" w:hAnsi="Century Gothic"/>
          <w:b/>
          <w:bCs/>
          <w:sz w:val="24"/>
          <w:szCs w:val="24"/>
          <w:lang w:val="en-GB"/>
        </w:rPr>
        <w:tab/>
        <w:t xml:space="preserve">          </w:t>
      </w:r>
      <w:r w:rsidR="00142EF0" w:rsidRPr="008302DE">
        <w:rPr>
          <w:rFonts w:ascii="Century Gothic" w:hAnsi="Century Gothic"/>
          <w:b/>
          <w:bCs/>
          <w:sz w:val="24"/>
          <w:szCs w:val="24"/>
          <w:lang w:val="en-GB"/>
        </w:rPr>
        <w:t xml:space="preserve"> </w:t>
      </w:r>
      <w:r w:rsidRPr="008302DE">
        <w:rPr>
          <w:rFonts w:ascii="Century Gothic" w:hAnsi="Century Gothic"/>
          <w:b/>
          <w:bCs/>
          <w:sz w:val="24"/>
          <w:szCs w:val="24"/>
          <w:lang w:val="en-GB"/>
        </w:rPr>
        <w:t>SECOND RESPONDENT</w:t>
      </w:r>
    </w:p>
    <w:p w14:paraId="1B75B9D9" w14:textId="77777777" w:rsidR="005A4CE1" w:rsidRPr="008302DE" w:rsidRDefault="005A4CE1" w:rsidP="00142EF0">
      <w:pPr>
        <w:spacing w:line="480" w:lineRule="auto"/>
        <w:rPr>
          <w:rFonts w:ascii="Century Gothic" w:hAnsi="Century Gothic"/>
          <w:sz w:val="24"/>
          <w:szCs w:val="24"/>
          <w:lang w:val="en-GB"/>
        </w:rPr>
      </w:pPr>
    </w:p>
    <w:p w14:paraId="35234FF8" w14:textId="6625B9DB" w:rsidR="005A4CE1" w:rsidRPr="008302DE" w:rsidRDefault="005A4CE1" w:rsidP="00142EF0">
      <w:pPr>
        <w:spacing w:line="480" w:lineRule="auto"/>
        <w:rPr>
          <w:rFonts w:ascii="Century Gothic" w:hAnsi="Century Gothic"/>
          <w:i/>
          <w:iCs/>
          <w:sz w:val="24"/>
          <w:szCs w:val="24"/>
          <w:lang w:val="en-GB"/>
        </w:rPr>
      </w:pPr>
      <w:r w:rsidRPr="008302DE">
        <w:rPr>
          <w:rFonts w:ascii="Century Gothic" w:hAnsi="Century Gothic"/>
          <w:i/>
          <w:iCs/>
          <w:sz w:val="24"/>
          <w:szCs w:val="24"/>
          <w:lang w:val="en-GB"/>
        </w:rPr>
        <w:t>In re:</w:t>
      </w:r>
    </w:p>
    <w:p w14:paraId="584263F7" w14:textId="77777777" w:rsidR="005A4CE1" w:rsidRPr="008302DE" w:rsidRDefault="005A4CE1" w:rsidP="00142EF0">
      <w:pPr>
        <w:spacing w:line="480" w:lineRule="auto"/>
        <w:rPr>
          <w:rFonts w:ascii="Century Gothic" w:hAnsi="Century Gothic"/>
          <w:i/>
          <w:iCs/>
          <w:sz w:val="24"/>
          <w:szCs w:val="24"/>
          <w:lang w:val="en-GB"/>
        </w:rPr>
      </w:pPr>
    </w:p>
    <w:p w14:paraId="0FBD7148" w14:textId="28A10B23" w:rsidR="005A4CE1"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t>CITY OF TSHWANE METROPOLITAN MUNICIPALITY</w:t>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00142EF0" w:rsidRPr="008302DE">
        <w:rPr>
          <w:rFonts w:ascii="Century Gothic" w:hAnsi="Century Gothic"/>
          <w:b/>
          <w:bCs/>
          <w:sz w:val="24"/>
          <w:szCs w:val="24"/>
          <w:lang w:val="en-GB"/>
        </w:rPr>
        <w:t xml:space="preserve">    </w:t>
      </w:r>
      <w:r w:rsidRPr="008302DE">
        <w:rPr>
          <w:rFonts w:ascii="Century Gothic" w:hAnsi="Century Gothic"/>
          <w:b/>
          <w:bCs/>
          <w:sz w:val="24"/>
          <w:szCs w:val="24"/>
          <w:lang w:val="en-GB"/>
        </w:rPr>
        <w:t xml:space="preserve">     FIRST APPLICANT</w:t>
      </w:r>
    </w:p>
    <w:p w14:paraId="419FF1FE" w14:textId="77777777" w:rsidR="005A4CE1"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t xml:space="preserve">ACTING MUNICIPAL MANAGER – CITY OF </w:t>
      </w:r>
    </w:p>
    <w:p w14:paraId="20838E8B" w14:textId="13FD0F74" w:rsidR="005A4CE1"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t>TSHWANE METROPOLITAN MUNICIPALITY</w:t>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00142EF0" w:rsidRPr="008302DE">
        <w:rPr>
          <w:rFonts w:ascii="Century Gothic" w:hAnsi="Century Gothic"/>
          <w:b/>
          <w:bCs/>
          <w:sz w:val="24"/>
          <w:szCs w:val="24"/>
          <w:lang w:val="en-GB"/>
        </w:rPr>
        <w:t xml:space="preserve">   </w:t>
      </w:r>
      <w:r w:rsidRPr="008302DE">
        <w:rPr>
          <w:rFonts w:ascii="Century Gothic" w:hAnsi="Century Gothic"/>
          <w:b/>
          <w:bCs/>
          <w:sz w:val="24"/>
          <w:szCs w:val="24"/>
          <w:lang w:val="en-GB"/>
        </w:rPr>
        <w:t>SECOND APPLICANT</w:t>
      </w:r>
    </w:p>
    <w:p w14:paraId="1DD5CA66" w14:textId="77777777" w:rsidR="005A4CE1"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t xml:space="preserve">THE ADMINISTRATOR - CITY OF </w:t>
      </w:r>
    </w:p>
    <w:p w14:paraId="57EE82A6" w14:textId="32CC9870" w:rsidR="005A4CE1" w:rsidRPr="008302DE" w:rsidRDefault="005A4CE1" w:rsidP="00142EF0">
      <w:pPr>
        <w:spacing w:line="480" w:lineRule="auto"/>
        <w:rPr>
          <w:rFonts w:ascii="Century Gothic" w:hAnsi="Century Gothic"/>
          <w:b/>
          <w:bCs/>
          <w:sz w:val="24"/>
          <w:szCs w:val="24"/>
          <w:lang w:val="en-GB"/>
        </w:rPr>
      </w:pPr>
      <w:r w:rsidRPr="008302DE">
        <w:rPr>
          <w:rFonts w:ascii="Century Gothic" w:hAnsi="Century Gothic"/>
          <w:b/>
          <w:bCs/>
          <w:sz w:val="24"/>
          <w:szCs w:val="24"/>
          <w:lang w:val="en-GB"/>
        </w:rPr>
        <w:t>TSHWANE METROPOLITAN MUNICIPALITY</w:t>
      </w:r>
      <w:r w:rsidRPr="008302DE">
        <w:rPr>
          <w:rFonts w:ascii="Century Gothic" w:hAnsi="Century Gothic"/>
          <w:b/>
          <w:bCs/>
          <w:sz w:val="24"/>
          <w:szCs w:val="24"/>
          <w:lang w:val="en-GB"/>
        </w:rPr>
        <w:tab/>
      </w:r>
      <w:r w:rsidRPr="008302DE">
        <w:rPr>
          <w:rFonts w:ascii="Century Gothic" w:hAnsi="Century Gothic"/>
          <w:b/>
          <w:bCs/>
          <w:sz w:val="24"/>
          <w:szCs w:val="24"/>
          <w:lang w:val="en-GB"/>
        </w:rPr>
        <w:tab/>
      </w:r>
      <w:r w:rsidR="00142EF0" w:rsidRPr="008302DE">
        <w:rPr>
          <w:rFonts w:ascii="Century Gothic" w:hAnsi="Century Gothic"/>
          <w:b/>
          <w:bCs/>
          <w:sz w:val="24"/>
          <w:szCs w:val="24"/>
          <w:lang w:val="en-GB"/>
        </w:rPr>
        <w:t xml:space="preserve">          </w:t>
      </w:r>
      <w:r w:rsidRPr="008302DE">
        <w:rPr>
          <w:rFonts w:ascii="Century Gothic" w:hAnsi="Century Gothic"/>
          <w:b/>
          <w:bCs/>
          <w:sz w:val="24"/>
          <w:szCs w:val="24"/>
          <w:lang w:val="en-GB"/>
        </w:rPr>
        <w:tab/>
        <w:t xml:space="preserve">    </w:t>
      </w:r>
      <w:r w:rsidR="00142EF0" w:rsidRPr="008302DE">
        <w:rPr>
          <w:rFonts w:ascii="Century Gothic" w:hAnsi="Century Gothic"/>
          <w:b/>
          <w:bCs/>
          <w:sz w:val="24"/>
          <w:szCs w:val="24"/>
          <w:lang w:val="en-GB"/>
        </w:rPr>
        <w:t xml:space="preserve">    </w:t>
      </w:r>
      <w:r w:rsidRPr="008302DE">
        <w:rPr>
          <w:rFonts w:ascii="Century Gothic" w:hAnsi="Century Gothic"/>
          <w:b/>
          <w:bCs/>
          <w:sz w:val="24"/>
          <w:szCs w:val="24"/>
          <w:lang w:val="en-GB"/>
        </w:rPr>
        <w:t>THIRD APPLICANT</w:t>
      </w:r>
    </w:p>
    <w:p w14:paraId="6B4759CC" w14:textId="77777777" w:rsidR="005A4CE1" w:rsidRPr="008302DE" w:rsidRDefault="005A4CE1" w:rsidP="005A4CE1">
      <w:pPr>
        <w:rPr>
          <w:rFonts w:ascii="Century Gothic" w:hAnsi="Century Gothic"/>
          <w:sz w:val="24"/>
          <w:szCs w:val="24"/>
          <w:lang w:val="en-GB"/>
        </w:rPr>
      </w:pPr>
    </w:p>
    <w:p w14:paraId="3D13FF43" w14:textId="1B45A2B8" w:rsidR="005A4CE1" w:rsidRPr="008302DE" w:rsidRDefault="005A4CE1" w:rsidP="005A4CE1">
      <w:pPr>
        <w:rPr>
          <w:rFonts w:ascii="Century Gothic" w:hAnsi="Century Gothic"/>
          <w:sz w:val="24"/>
          <w:szCs w:val="24"/>
          <w:lang w:val="en-GB"/>
        </w:rPr>
      </w:pPr>
      <w:r w:rsidRPr="008302DE">
        <w:rPr>
          <w:rFonts w:ascii="Century Gothic" w:hAnsi="Century Gothic"/>
          <w:sz w:val="24"/>
          <w:szCs w:val="24"/>
          <w:lang w:val="en-GB"/>
        </w:rPr>
        <w:t>and</w:t>
      </w:r>
    </w:p>
    <w:p w14:paraId="2478AF0C" w14:textId="77777777" w:rsidR="005A4CE1" w:rsidRPr="008302DE" w:rsidRDefault="005A4CE1" w:rsidP="005A4CE1">
      <w:pPr>
        <w:rPr>
          <w:rFonts w:ascii="Century Gothic" w:hAnsi="Century Gothic"/>
          <w:sz w:val="24"/>
          <w:szCs w:val="24"/>
          <w:lang w:val="en-GB"/>
        </w:rPr>
      </w:pPr>
    </w:p>
    <w:p w14:paraId="45736041" w14:textId="77777777" w:rsidR="00142EF0" w:rsidRPr="008302DE" w:rsidRDefault="005A4CE1" w:rsidP="005A4CE1">
      <w:pPr>
        <w:rPr>
          <w:rFonts w:ascii="Century Gothic" w:hAnsi="Century Gothic"/>
          <w:b/>
          <w:bCs/>
          <w:sz w:val="24"/>
          <w:szCs w:val="24"/>
          <w:lang w:val="en-GB"/>
        </w:rPr>
      </w:pPr>
      <w:r w:rsidRPr="008302DE">
        <w:rPr>
          <w:rFonts w:ascii="Century Gothic" w:hAnsi="Century Gothic"/>
          <w:b/>
          <w:bCs/>
          <w:sz w:val="24"/>
          <w:szCs w:val="24"/>
          <w:lang w:val="en-GB"/>
        </w:rPr>
        <w:t xml:space="preserve">NEW GX ENVIRO SOLUTIONS AND </w:t>
      </w:r>
    </w:p>
    <w:p w14:paraId="4DFADF15" w14:textId="67F2C603" w:rsidR="005A4CE1" w:rsidRPr="008302DE" w:rsidRDefault="005A4CE1" w:rsidP="005A4CE1">
      <w:pPr>
        <w:rPr>
          <w:rFonts w:ascii="Century Gothic" w:hAnsi="Century Gothic"/>
          <w:b/>
          <w:bCs/>
          <w:sz w:val="24"/>
          <w:szCs w:val="24"/>
          <w:lang w:val="en-GB"/>
        </w:rPr>
      </w:pPr>
      <w:r w:rsidRPr="008302DE">
        <w:rPr>
          <w:rFonts w:ascii="Century Gothic" w:hAnsi="Century Gothic"/>
          <w:b/>
          <w:bCs/>
          <w:sz w:val="24"/>
          <w:szCs w:val="24"/>
          <w:lang w:val="en-GB"/>
        </w:rPr>
        <w:t>LOGISTICS HOLDINGS (PTY) LTD</w:t>
      </w:r>
      <w:r w:rsidRPr="008302DE">
        <w:rPr>
          <w:rFonts w:ascii="Century Gothic" w:hAnsi="Century Gothic"/>
          <w:b/>
          <w:bCs/>
          <w:sz w:val="24"/>
          <w:szCs w:val="24"/>
          <w:lang w:val="en-GB"/>
        </w:rPr>
        <w:tab/>
      </w:r>
      <w:r w:rsidRPr="008302DE">
        <w:rPr>
          <w:rFonts w:ascii="Century Gothic" w:hAnsi="Century Gothic"/>
          <w:b/>
          <w:bCs/>
          <w:sz w:val="24"/>
          <w:szCs w:val="24"/>
          <w:lang w:val="en-GB"/>
        </w:rPr>
        <w:tab/>
        <w:t xml:space="preserve">            </w:t>
      </w:r>
      <w:r w:rsidR="00142EF0" w:rsidRPr="008302DE">
        <w:rPr>
          <w:rFonts w:ascii="Century Gothic" w:hAnsi="Century Gothic"/>
          <w:b/>
          <w:bCs/>
          <w:sz w:val="24"/>
          <w:szCs w:val="24"/>
          <w:lang w:val="en-GB"/>
        </w:rPr>
        <w:tab/>
      </w:r>
      <w:r w:rsidR="00142EF0" w:rsidRPr="008302DE">
        <w:rPr>
          <w:rFonts w:ascii="Century Gothic" w:hAnsi="Century Gothic"/>
          <w:b/>
          <w:bCs/>
          <w:sz w:val="24"/>
          <w:szCs w:val="24"/>
          <w:lang w:val="en-GB"/>
        </w:rPr>
        <w:tab/>
      </w:r>
      <w:r w:rsidR="00142EF0" w:rsidRPr="008302DE">
        <w:rPr>
          <w:rFonts w:ascii="Century Gothic" w:hAnsi="Century Gothic"/>
          <w:b/>
          <w:bCs/>
          <w:sz w:val="24"/>
          <w:szCs w:val="24"/>
          <w:lang w:val="en-GB"/>
        </w:rPr>
        <w:tab/>
        <w:t xml:space="preserve">     </w:t>
      </w:r>
      <w:r w:rsidRPr="008302DE">
        <w:rPr>
          <w:rFonts w:ascii="Century Gothic" w:hAnsi="Century Gothic"/>
          <w:b/>
          <w:bCs/>
          <w:sz w:val="24"/>
          <w:szCs w:val="24"/>
          <w:lang w:val="en-GB"/>
        </w:rPr>
        <w:t>RESPONDENT</w:t>
      </w:r>
    </w:p>
    <w:p w14:paraId="672200AA" w14:textId="77777777" w:rsidR="005A4CE1" w:rsidRPr="008302DE" w:rsidRDefault="005A4CE1" w:rsidP="005A4CE1">
      <w:pPr>
        <w:rPr>
          <w:rFonts w:ascii="Century Gothic" w:hAnsi="Century Gothic"/>
          <w:sz w:val="24"/>
          <w:szCs w:val="24"/>
          <w:lang w:val="en-GB"/>
        </w:rPr>
      </w:pPr>
    </w:p>
    <w:p w14:paraId="5E26B0D2" w14:textId="77777777" w:rsidR="005A4CE1" w:rsidRPr="008302DE" w:rsidRDefault="005A4CE1" w:rsidP="005A4CE1">
      <w:pPr>
        <w:pBdr>
          <w:top w:val="single" w:sz="4" w:space="1" w:color="auto"/>
          <w:bottom w:val="single" w:sz="4" w:space="1" w:color="auto"/>
        </w:pBdr>
        <w:jc w:val="center"/>
        <w:rPr>
          <w:rFonts w:ascii="Century Gothic" w:hAnsi="Century Gothic"/>
          <w:sz w:val="24"/>
          <w:szCs w:val="24"/>
          <w:lang w:val="en-GB"/>
        </w:rPr>
      </w:pPr>
    </w:p>
    <w:p w14:paraId="0D954A67" w14:textId="786F01A7" w:rsidR="005A4CE1" w:rsidRPr="008302DE" w:rsidRDefault="005A4CE1" w:rsidP="005A4CE1">
      <w:pPr>
        <w:pBdr>
          <w:top w:val="single" w:sz="4" w:space="1" w:color="auto"/>
          <w:bottom w:val="single" w:sz="4" w:space="1" w:color="auto"/>
        </w:pBdr>
        <w:jc w:val="center"/>
        <w:rPr>
          <w:rFonts w:ascii="Century Gothic" w:hAnsi="Century Gothic"/>
          <w:b/>
          <w:bCs/>
          <w:sz w:val="24"/>
          <w:szCs w:val="24"/>
          <w:lang w:val="en-GB"/>
        </w:rPr>
      </w:pPr>
      <w:r w:rsidRPr="008302DE">
        <w:rPr>
          <w:rFonts w:ascii="Century Gothic" w:hAnsi="Century Gothic"/>
          <w:b/>
          <w:bCs/>
          <w:sz w:val="24"/>
          <w:szCs w:val="24"/>
          <w:lang w:val="en-GB"/>
        </w:rPr>
        <w:t>JUDGMENT</w:t>
      </w:r>
    </w:p>
    <w:p w14:paraId="5E1ABB84" w14:textId="77777777" w:rsidR="005A4CE1" w:rsidRPr="008302DE" w:rsidRDefault="005A4CE1" w:rsidP="005A4CE1">
      <w:pPr>
        <w:pBdr>
          <w:top w:val="single" w:sz="4" w:space="1" w:color="auto"/>
          <w:bottom w:val="single" w:sz="4" w:space="1" w:color="auto"/>
        </w:pBdr>
        <w:jc w:val="center"/>
        <w:rPr>
          <w:rFonts w:ascii="Century Gothic" w:hAnsi="Century Gothic"/>
          <w:sz w:val="24"/>
          <w:szCs w:val="24"/>
          <w:lang w:val="en-GB"/>
        </w:rPr>
      </w:pPr>
    </w:p>
    <w:p w14:paraId="580A786B" w14:textId="1B4CC924" w:rsidR="005A4CE1" w:rsidRPr="008302DE" w:rsidRDefault="005A4CE1" w:rsidP="005A4CE1">
      <w:pPr>
        <w:rPr>
          <w:rFonts w:ascii="Century Gothic" w:hAnsi="Century Gothic"/>
          <w:sz w:val="24"/>
          <w:szCs w:val="24"/>
          <w:lang w:val="en-GB"/>
        </w:rPr>
      </w:pPr>
      <w:r w:rsidRPr="008302DE">
        <w:rPr>
          <w:rFonts w:ascii="Century Gothic" w:hAnsi="Century Gothic"/>
          <w:sz w:val="24"/>
          <w:szCs w:val="24"/>
          <w:lang w:val="en-GB"/>
        </w:rPr>
        <w:t>MARX DU PLESSIS, AJ</w:t>
      </w:r>
    </w:p>
    <w:p w14:paraId="36D9C36C" w14:textId="77777777" w:rsidR="005A4CE1" w:rsidRDefault="005A4CE1" w:rsidP="005A4CE1">
      <w:pPr>
        <w:rPr>
          <w:rFonts w:ascii="Century Gothic" w:hAnsi="Century Gothic"/>
          <w:sz w:val="24"/>
          <w:szCs w:val="24"/>
          <w:lang w:val="en-GB"/>
        </w:rPr>
      </w:pPr>
    </w:p>
    <w:p w14:paraId="178ADB76" w14:textId="77777777" w:rsidR="00B40013" w:rsidRDefault="00B40013" w:rsidP="005A4CE1">
      <w:pPr>
        <w:rPr>
          <w:rFonts w:ascii="Century Gothic" w:hAnsi="Century Gothic"/>
          <w:sz w:val="24"/>
          <w:szCs w:val="24"/>
          <w:lang w:val="en-GB"/>
        </w:rPr>
      </w:pPr>
    </w:p>
    <w:p w14:paraId="6DEECA2D" w14:textId="77777777" w:rsidR="000A5D01" w:rsidRPr="008302DE" w:rsidRDefault="000A5D01" w:rsidP="005A4CE1">
      <w:pPr>
        <w:rPr>
          <w:rFonts w:ascii="Century Gothic" w:hAnsi="Century Gothic"/>
          <w:sz w:val="24"/>
          <w:szCs w:val="24"/>
          <w:lang w:val="en-GB"/>
        </w:rPr>
      </w:pPr>
    </w:p>
    <w:p w14:paraId="2B261E8E" w14:textId="3526EDB8" w:rsidR="005A4CE1" w:rsidRDefault="005A4CE1" w:rsidP="000D36D4">
      <w:pPr>
        <w:spacing w:line="480" w:lineRule="auto"/>
        <w:jc w:val="both"/>
        <w:rPr>
          <w:rFonts w:ascii="Century Gothic" w:hAnsi="Century Gothic"/>
          <w:b/>
          <w:bCs/>
          <w:sz w:val="24"/>
          <w:szCs w:val="24"/>
          <w:lang w:val="en-GB"/>
        </w:rPr>
      </w:pPr>
      <w:r w:rsidRPr="008302DE">
        <w:rPr>
          <w:rFonts w:ascii="Century Gothic" w:hAnsi="Century Gothic"/>
          <w:b/>
          <w:bCs/>
          <w:sz w:val="24"/>
          <w:szCs w:val="24"/>
          <w:lang w:val="en-GB"/>
        </w:rPr>
        <w:lastRenderedPageBreak/>
        <w:t>Introduction</w:t>
      </w:r>
    </w:p>
    <w:p w14:paraId="2D32803C" w14:textId="77777777" w:rsidR="000A5D01" w:rsidRPr="004331A5" w:rsidRDefault="000A5D01" w:rsidP="000D36D4">
      <w:pPr>
        <w:spacing w:line="480" w:lineRule="auto"/>
        <w:jc w:val="both"/>
        <w:rPr>
          <w:rFonts w:ascii="Century Gothic" w:hAnsi="Century Gothic"/>
          <w:b/>
          <w:bCs/>
          <w:sz w:val="24"/>
          <w:szCs w:val="24"/>
          <w:lang w:val="en-GB"/>
        </w:rPr>
      </w:pPr>
    </w:p>
    <w:p w14:paraId="234FC55E" w14:textId="783BAF6A" w:rsidR="00142EF0" w:rsidRPr="008302DE" w:rsidRDefault="00E06CBD" w:rsidP="00B5654E">
      <w:pPr>
        <w:pStyle w:val="ListParagraph"/>
        <w:numPr>
          <w:ilvl w:val="0"/>
          <w:numId w:val="1"/>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The ap</w:t>
      </w:r>
      <w:bookmarkStart w:id="0" w:name="_GoBack"/>
      <w:bookmarkEnd w:id="0"/>
      <w:r w:rsidRPr="008302DE">
        <w:rPr>
          <w:rFonts w:ascii="Century Gothic" w:hAnsi="Century Gothic"/>
          <w:sz w:val="24"/>
          <w:szCs w:val="24"/>
          <w:lang w:val="en-GB"/>
        </w:rPr>
        <w:t>plication</w:t>
      </w:r>
      <w:r w:rsidR="00142EF0" w:rsidRPr="008302DE">
        <w:rPr>
          <w:rFonts w:ascii="Century Gothic" w:hAnsi="Century Gothic"/>
          <w:sz w:val="24"/>
          <w:szCs w:val="24"/>
          <w:lang w:val="en-GB"/>
        </w:rPr>
        <w:t xml:space="preserve"> before me </w:t>
      </w:r>
      <w:r w:rsidRPr="008302DE">
        <w:rPr>
          <w:rFonts w:ascii="Century Gothic" w:hAnsi="Century Gothic"/>
          <w:sz w:val="24"/>
          <w:szCs w:val="24"/>
          <w:lang w:val="en-GB"/>
        </w:rPr>
        <w:t xml:space="preserve">concerns a court order </w:t>
      </w:r>
      <w:r w:rsidR="00142EF0" w:rsidRPr="008302DE">
        <w:rPr>
          <w:rFonts w:ascii="Century Gothic" w:hAnsi="Century Gothic"/>
          <w:sz w:val="24"/>
          <w:szCs w:val="24"/>
          <w:lang w:val="en-GB"/>
        </w:rPr>
        <w:t>by Van der Westhuizen J handed down on 21 June 2021.</w:t>
      </w:r>
      <w:r w:rsidR="00B5654E" w:rsidRPr="008302DE">
        <w:rPr>
          <w:rFonts w:ascii="Century Gothic" w:hAnsi="Century Gothic"/>
          <w:sz w:val="24"/>
          <w:szCs w:val="24"/>
          <w:lang w:val="en-GB"/>
        </w:rPr>
        <w:t xml:space="preserve"> </w:t>
      </w:r>
      <w:r w:rsidR="00142EF0" w:rsidRPr="008302DE">
        <w:rPr>
          <w:rFonts w:ascii="Century Gothic" w:hAnsi="Century Gothic"/>
          <w:sz w:val="24"/>
          <w:szCs w:val="24"/>
          <w:lang w:val="en-GB"/>
        </w:rPr>
        <w:t>The applicant</w:t>
      </w:r>
      <w:r w:rsidRPr="008302DE">
        <w:rPr>
          <w:rFonts w:ascii="Century Gothic" w:hAnsi="Century Gothic"/>
          <w:sz w:val="24"/>
          <w:szCs w:val="24"/>
          <w:lang w:val="en-GB"/>
        </w:rPr>
        <w:t xml:space="preserve"> (referred to herein as ‘</w:t>
      </w:r>
      <w:r w:rsidRPr="008302DE">
        <w:rPr>
          <w:rFonts w:ascii="Century Gothic" w:hAnsi="Century Gothic"/>
          <w:b/>
          <w:bCs/>
          <w:i/>
          <w:iCs/>
          <w:sz w:val="24"/>
          <w:szCs w:val="24"/>
          <w:lang w:val="en-GB"/>
        </w:rPr>
        <w:t>New GX</w:t>
      </w:r>
      <w:r w:rsidRPr="008302DE">
        <w:rPr>
          <w:rFonts w:ascii="Century Gothic" w:hAnsi="Century Gothic"/>
          <w:i/>
          <w:iCs/>
          <w:sz w:val="24"/>
          <w:szCs w:val="24"/>
          <w:lang w:val="en-GB"/>
        </w:rPr>
        <w:t>’</w:t>
      </w:r>
      <w:r w:rsidRPr="008302DE">
        <w:rPr>
          <w:rFonts w:ascii="Century Gothic" w:hAnsi="Century Gothic"/>
          <w:sz w:val="24"/>
          <w:szCs w:val="24"/>
          <w:lang w:val="en-GB"/>
        </w:rPr>
        <w:t>)</w:t>
      </w:r>
      <w:r w:rsidR="00142EF0" w:rsidRPr="008302DE">
        <w:rPr>
          <w:rFonts w:ascii="Century Gothic" w:hAnsi="Century Gothic"/>
          <w:sz w:val="24"/>
          <w:szCs w:val="24"/>
          <w:lang w:val="en-GB"/>
        </w:rPr>
        <w:t xml:space="preserve"> applies for declaratory relief in respect of the aforementioned order as well as the variation thereof.</w:t>
      </w:r>
    </w:p>
    <w:p w14:paraId="7471F420" w14:textId="77777777" w:rsidR="00E06CBD" w:rsidRPr="008302DE" w:rsidRDefault="00E06CBD" w:rsidP="00E06CBD">
      <w:pPr>
        <w:pStyle w:val="ListParagraph"/>
        <w:spacing w:line="480" w:lineRule="auto"/>
        <w:jc w:val="both"/>
        <w:rPr>
          <w:rFonts w:ascii="Century Gothic" w:hAnsi="Century Gothic"/>
          <w:sz w:val="24"/>
          <w:szCs w:val="24"/>
          <w:lang w:val="en-GB"/>
        </w:rPr>
      </w:pPr>
    </w:p>
    <w:p w14:paraId="7C14862F" w14:textId="57BDEF73" w:rsidR="00E06CBD" w:rsidRPr="008302DE" w:rsidRDefault="00E06CBD" w:rsidP="00B5654E">
      <w:pPr>
        <w:pStyle w:val="ListParagraph"/>
        <w:numPr>
          <w:ilvl w:val="0"/>
          <w:numId w:val="1"/>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The </w:t>
      </w:r>
      <w:r w:rsidR="00C76436" w:rsidRPr="008302DE">
        <w:rPr>
          <w:rFonts w:ascii="Century Gothic" w:hAnsi="Century Gothic"/>
          <w:sz w:val="24"/>
          <w:szCs w:val="24"/>
          <w:lang w:val="en-GB"/>
        </w:rPr>
        <w:t xml:space="preserve">first </w:t>
      </w:r>
      <w:r w:rsidRPr="008302DE">
        <w:rPr>
          <w:rFonts w:ascii="Century Gothic" w:hAnsi="Century Gothic"/>
          <w:sz w:val="24"/>
          <w:szCs w:val="24"/>
          <w:lang w:val="en-GB"/>
        </w:rPr>
        <w:t>respondent</w:t>
      </w:r>
      <w:r w:rsidR="00454D16">
        <w:rPr>
          <w:rFonts w:ascii="Century Gothic" w:hAnsi="Century Gothic"/>
          <w:sz w:val="24"/>
          <w:szCs w:val="24"/>
          <w:lang w:val="en-GB"/>
        </w:rPr>
        <w:t xml:space="preserve"> (</w:t>
      </w:r>
      <w:r w:rsidRPr="008302DE">
        <w:rPr>
          <w:rFonts w:ascii="Century Gothic" w:hAnsi="Century Gothic"/>
          <w:sz w:val="24"/>
          <w:szCs w:val="24"/>
          <w:lang w:val="en-GB"/>
        </w:rPr>
        <w:t>referred to herein as ‘</w:t>
      </w:r>
      <w:r w:rsidRPr="008302DE">
        <w:rPr>
          <w:rFonts w:ascii="Century Gothic" w:hAnsi="Century Gothic"/>
          <w:b/>
          <w:bCs/>
          <w:i/>
          <w:iCs/>
          <w:sz w:val="24"/>
          <w:szCs w:val="24"/>
          <w:lang w:val="en-GB"/>
        </w:rPr>
        <w:t>the COT</w:t>
      </w:r>
      <w:r w:rsidRPr="008302DE">
        <w:rPr>
          <w:rFonts w:ascii="Century Gothic" w:hAnsi="Century Gothic"/>
          <w:sz w:val="24"/>
          <w:szCs w:val="24"/>
          <w:lang w:val="en-GB"/>
        </w:rPr>
        <w:t>’</w:t>
      </w:r>
      <w:r w:rsidR="00454D16">
        <w:rPr>
          <w:rFonts w:ascii="Century Gothic" w:hAnsi="Century Gothic"/>
          <w:sz w:val="24"/>
          <w:szCs w:val="24"/>
          <w:lang w:val="en-GB"/>
        </w:rPr>
        <w:t>)</w:t>
      </w:r>
      <w:r w:rsidRPr="008302DE">
        <w:rPr>
          <w:rFonts w:ascii="Century Gothic" w:hAnsi="Century Gothic"/>
          <w:sz w:val="24"/>
          <w:szCs w:val="24"/>
          <w:lang w:val="en-GB"/>
        </w:rPr>
        <w:t xml:space="preserve"> opposed the relief sought by the applicant. </w:t>
      </w:r>
    </w:p>
    <w:p w14:paraId="5E6E53C6" w14:textId="77777777" w:rsidR="00142EF0" w:rsidRPr="008302DE" w:rsidRDefault="00142EF0" w:rsidP="00142EF0">
      <w:pPr>
        <w:rPr>
          <w:rFonts w:ascii="Century Gothic" w:hAnsi="Century Gothic"/>
          <w:sz w:val="24"/>
          <w:szCs w:val="24"/>
          <w:lang w:val="en-GB"/>
        </w:rPr>
      </w:pPr>
    </w:p>
    <w:p w14:paraId="660D458A" w14:textId="1D8C23C9" w:rsidR="00142EF0" w:rsidRPr="008302DE" w:rsidRDefault="00142EF0" w:rsidP="000A5D01">
      <w:pPr>
        <w:spacing w:line="480" w:lineRule="auto"/>
        <w:rPr>
          <w:rFonts w:ascii="Century Gothic" w:hAnsi="Century Gothic"/>
          <w:b/>
          <w:bCs/>
          <w:sz w:val="24"/>
          <w:szCs w:val="24"/>
          <w:lang w:val="en-GB"/>
        </w:rPr>
      </w:pPr>
      <w:r w:rsidRPr="008302DE">
        <w:rPr>
          <w:rFonts w:ascii="Century Gothic" w:hAnsi="Century Gothic"/>
          <w:b/>
          <w:bCs/>
          <w:sz w:val="24"/>
          <w:szCs w:val="24"/>
          <w:lang w:val="en-GB"/>
        </w:rPr>
        <w:t xml:space="preserve">Brief background </w:t>
      </w:r>
    </w:p>
    <w:p w14:paraId="1B50F7F5" w14:textId="77777777" w:rsidR="00142EF0" w:rsidRPr="008302DE" w:rsidRDefault="00142EF0" w:rsidP="000A5D01">
      <w:pPr>
        <w:spacing w:line="480" w:lineRule="auto"/>
        <w:rPr>
          <w:rFonts w:ascii="Century Gothic" w:hAnsi="Century Gothic"/>
          <w:sz w:val="24"/>
          <w:szCs w:val="24"/>
          <w:lang w:val="en-GB"/>
        </w:rPr>
      </w:pPr>
    </w:p>
    <w:p w14:paraId="4ECA0868" w14:textId="4E5B6989" w:rsidR="001C1729" w:rsidRPr="008302DE" w:rsidRDefault="001C1729" w:rsidP="000A5D01">
      <w:pPr>
        <w:pStyle w:val="ListParagraph"/>
        <w:numPr>
          <w:ilvl w:val="0"/>
          <w:numId w:val="1"/>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The </w:t>
      </w:r>
      <w:r w:rsidR="00FE36BE" w:rsidRPr="008302DE">
        <w:rPr>
          <w:rFonts w:ascii="Century Gothic" w:hAnsi="Century Gothic"/>
          <w:sz w:val="24"/>
          <w:szCs w:val="24"/>
          <w:lang w:val="en-GB"/>
        </w:rPr>
        <w:t>following facts</w:t>
      </w:r>
      <w:r w:rsidR="00E06CBD" w:rsidRPr="008302DE">
        <w:rPr>
          <w:rFonts w:ascii="Century Gothic" w:hAnsi="Century Gothic"/>
          <w:sz w:val="24"/>
          <w:szCs w:val="24"/>
          <w:lang w:val="en-GB"/>
        </w:rPr>
        <w:t xml:space="preserve"> appear from the judgment</w:t>
      </w:r>
      <w:r w:rsidR="00A40B3E">
        <w:rPr>
          <w:rFonts w:ascii="Century Gothic" w:hAnsi="Century Gothic"/>
          <w:sz w:val="24"/>
          <w:szCs w:val="24"/>
          <w:lang w:val="en-GB"/>
        </w:rPr>
        <w:t xml:space="preserve"> of Van der Westhuizen J</w:t>
      </w:r>
      <w:r w:rsidR="00FE36BE" w:rsidRPr="008302DE">
        <w:rPr>
          <w:rFonts w:ascii="Century Gothic" w:hAnsi="Century Gothic"/>
          <w:sz w:val="24"/>
          <w:szCs w:val="24"/>
          <w:lang w:val="en-GB"/>
        </w:rPr>
        <w:t>:</w:t>
      </w:r>
    </w:p>
    <w:p w14:paraId="1F652CE6" w14:textId="77777777" w:rsidR="00C76436" w:rsidRPr="008302DE" w:rsidRDefault="00C76436" w:rsidP="00C76436">
      <w:pPr>
        <w:pStyle w:val="ListParagraph"/>
        <w:spacing w:line="480" w:lineRule="auto"/>
        <w:jc w:val="both"/>
        <w:rPr>
          <w:rFonts w:ascii="Century Gothic" w:hAnsi="Century Gothic"/>
          <w:sz w:val="24"/>
          <w:szCs w:val="24"/>
          <w:lang w:val="en-GB"/>
        </w:rPr>
      </w:pPr>
    </w:p>
    <w:p w14:paraId="6DCAC18C" w14:textId="3286B478" w:rsidR="00A40B3E" w:rsidRDefault="00B5654E"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New GX approached the COT, presenting to it a proposal for the establishment of a </w:t>
      </w:r>
      <w:r w:rsidR="00016B87">
        <w:rPr>
          <w:rFonts w:ascii="Century Gothic" w:hAnsi="Century Gothic"/>
          <w:sz w:val="24"/>
          <w:szCs w:val="24"/>
          <w:lang w:val="en-GB"/>
        </w:rPr>
        <w:t>transfer station service</w:t>
      </w:r>
      <w:r w:rsidR="00A40B3E">
        <w:rPr>
          <w:rFonts w:ascii="Century Gothic" w:hAnsi="Century Gothic"/>
          <w:sz w:val="24"/>
          <w:szCs w:val="24"/>
          <w:lang w:val="en-GB"/>
        </w:rPr>
        <w:t>.</w:t>
      </w:r>
    </w:p>
    <w:p w14:paraId="64EAB479" w14:textId="77777777" w:rsidR="00A40B3E" w:rsidRDefault="00A40B3E" w:rsidP="00A40B3E">
      <w:pPr>
        <w:pStyle w:val="ListParagraph"/>
        <w:spacing w:line="480" w:lineRule="auto"/>
        <w:ind w:left="1440"/>
        <w:jc w:val="both"/>
        <w:rPr>
          <w:rFonts w:ascii="Century Gothic" w:hAnsi="Century Gothic"/>
          <w:sz w:val="24"/>
          <w:szCs w:val="24"/>
          <w:lang w:val="en-GB"/>
        </w:rPr>
      </w:pPr>
    </w:p>
    <w:p w14:paraId="71114718" w14:textId="6338F2B3" w:rsidR="001C1729" w:rsidRPr="008302DE" w:rsidRDefault="00D9141B"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New GX and the COT </w:t>
      </w:r>
      <w:r w:rsidR="00016B87">
        <w:rPr>
          <w:rFonts w:ascii="Century Gothic" w:hAnsi="Century Gothic"/>
          <w:sz w:val="24"/>
          <w:szCs w:val="24"/>
          <w:lang w:val="en-GB"/>
        </w:rPr>
        <w:t xml:space="preserve">subsequently </w:t>
      </w:r>
      <w:r w:rsidRPr="008302DE">
        <w:rPr>
          <w:rFonts w:ascii="Century Gothic" w:hAnsi="Century Gothic"/>
          <w:sz w:val="24"/>
          <w:szCs w:val="24"/>
          <w:lang w:val="en-GB"/>
        </w:rPr>
        <w:t xml:space="preserve">concluded a notarial lease agreement in respect of property </w:t>
      </w:r>
      <w:r w:rsidR="00C16838" w:rsidRPr="008302DE">
        <w:rPr>
          <w:rFonts w:ascii="Century Gothic" w:hAnsi="Century Gothic"/>
          <w:sz w:val="24"/>
          <w:szCs w:val="24"/>
          <w:lang w:val="en-GB"/>
        </w:rPr>
        <w:t>adjoining</w:t>
      </w:r>
      <w:r w:rsidRPr="008302DE">
        <w:rPr>
          <w:rFonts w:ascii="Century Gothic" w:hAnsi="Century Gothic"/>
          <w:sz w:val="24"/>
          <w:szCs w:val="24"/>
          <w:lang w:val="en-GB"/>
        </w:rPr>
        <w:t xml:space="preserve"> the site where the </w:t>
      </w:r>
      <w:r w:rsidR="00016B87">
        <w:rPr>
          <w:rFonts w:ascii="Century Gothic" w:hAnsi="Century Gothic"/>
          <w:sz w:val="24"/>
          <w:szCs w:val="24"/>
          <w:lang w:val="en-GB"/>
        </w:rPr>
        <w:t>transfer station service</w:t>
      </w:r>
      <w:r w:rsidRPr="008302DE">
        <w:rPr>
          <w:rFonts w:ascii="Century Gothic" w:hAnsi="Century Gothic"/>
          <w:sz w:val="24"/>
          <w:szCs w:val="24"/>
          <w:lang w:val="en-GB"/>
        </w:rPr>
        <w:t xml:space="preserve"> </w:t>
      </w:r>
      <w:r w:rsidR="00C60871" w:rsidRPr="008302DE">
        <w:rPr>
          <w:rFonts w:ascii="Century Gothic" w:hAnsi="Century Gothic"/>
          <w:sz w:val="24"/>
          <w:szCs w:val="24"/>
          <w:lang w:val="en-GB"/>
        </w:rPr>
        <w:t>proposed by New GX</w:t>
      </w:r>
      <w:r w:rsidRPr="008302DE">
        <w:rPr>
          <w:rFonts w:ascii="Century Gothic" w:hAnsi="Century Gothic"/>
          <w:sz w:val="24"/>
          <w:szCs w:val="24"/>
          <w:lang w:val="en-GB"/>
        </w:rPr>
        <w:t xml:space="preserve"> was to be erected</w:t>
      </w:r>
      <w:r w:rsidR="00C60871" w:rsidRPr="008302DE">
        <w:rPr>
          <w:rFonts w:ascii="Century Gothic" w:hAnsi="Century Gothic"/>
          <w:sz w:val="24"/>
          <w:szCs w:val="24"/>
          <w:lang w:val="en-GB"/>
        </w:rPr>
        <w:t>.</w:t>
      </w:r>
    </w:p>
    <w:p w14:paraId="228AB13C" w14:textId="77777777" w:rsidR="00101311" w:rsidRPr="008302DE" w:rsidRDefault="00101311" w:rsidP="00101311">
      <w:pPr>
        <w:rPr>
          <w:rFonts w:ascii="Century Gothic" w:hAnsi="Century Gothic"/>
          <w:sz w:val="24"/>
          <w:szCs w:val="24"/>
          <w:lang w:val="en-GB"/>
        </w:rPr>
      </w:pPr>
    </w:p>
    <w:p w14:paraId="0C17F829" w14:textId="1BFA3F9F" w:rsidR="001C1729" w:rsidRPr="008302DE" w:rsidRDefault="00C60871"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lastRenderedPageBreak/>
        <w:t xml:space="preserve">The notarial lease agreement made provision for </w:t>
      </w:r>
      <w:r w:rsidR="003D09A0">
        <w:rPr>
          <w:rFonts w:ascii="Century Gothic" w:hAnsi="Century Gothic"/>
          <w:sz w:val="24"/>
          <w:szCs w:val="24"/>
          <w:lang w:val="en-GB"/>
        </w:rPr>
        <w:t xml:space="preserve">the </w:t>
      </w:r>
      <w:r w:rsidRPr="008302DE">
        <w:rPr>
          <w:rFonts w:ascii="Century Gothic" w:hAnsi="Century Gothic"/>
          <w:sz w:val="24"/>
          <w:szCs w:val="24"/>
          <w:lang w:val="en-GB"/>
        </w:rPr>
        <w:t xml:space="preserve">recycling of recyclable waste from specifically identified regions and that non-recyclable waste may </w:t>
      </w:r>
      <w:r w:rsidR="001C1729" w:rsidRPr="008302DE">
        <w:rPr>
          <w:rFonts w:ascii="Century Gothic" w:hAnsi="Century Gothic"/>
          <w:sz w:val="24"/>
          <w:szCs w:val="24"/>
          <w:lang w:val="en-GB"/>
        </w:rPr>
        <w:t xml:space="preserve">be </w:t>
      </w:r>
      <w:r w:rsidRPr="008302DE">
        <w:rPr>
          <w:rFonts w:ascii="Century Gothic" w:hAnsi="Century Gothic"/>
          <w:sz w:val="24"/>
          <w:szCs w:val="24"/>
          <w:lang w:val="en-GB"/>
        </w:rPr>
        <w:t>disposed of in a particular manner</w:t>
      </w:r>
      <w:r w:rsidR="00E219AB">
        <w:rPr>
          <w:rFonts w:ascii="Century Gothic" w:hAnsi="Century Gothic"/>
          <w:sz w:val="24"/>
          <w:szCs w:val="24"/>
          <w:lang w:val="en-GB"/>
        </w:rPr>
        <w:t xml:space="preserve">, the particulars of which are not relevant to this judgment. </w:t>
      </w:r>
    </w:p>
    <w:p w14:paraId="0E97FE9C" w14:textId="77777777" w:rsidR="001C1729" w:rsidRPr="008302DE" w:rsidRDefault="001C1729" w:rsidP="001C1729">
      <w:pPr>
        <w:pStyle w:val="ListParagraph"/>
        <w:rPr>
          <w:rFonts w:ascii="Century Gothic" w:hAnsi="Century Gothic"/>
          <w:sz w:val="24"/>
          <w:szCs w:val="24"/>
          <w:lang w:val="en-GB"/>
        </w:rPr>
      </w:pPr>
    </w:p>
    <w:p w14:paraId="7561132F" w14:textId="77777777" w:rsidR="00101311" w:rsidRPr="008302DE" w:rsidRDefault="00101311" w:rsidP="001C1729">
      <w:pPr>
        <w:pStyle w:val="ListParagraph"/>
        <w:rPr>
          <w:rFonts w:ascii="Century Gothic" w:hAnsi="Century Gothic"/>
          <w:sz w:val="24"/>
          <w:szCs w:val="24"/>
          <w:lang w:val="en-GB"/>
        </w:rPr>
      </w:pPr>
    </w:p>
    <w:p w14:paraId="42D42408" w14:textId="1C6D63F5" w:rsidR="00C60871" w:rsidRPr="008302DE" w:rsidRDefault="00C60871"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In addition, it was agreed that </w:t>
      </w:r>
      <w:r w:rsidR="001C1729" w:rsidRPr="008302DE">
        <w:rPr>
          <w:rFonts w:ascii="Century Gothic" w:hAnsi="Century Gothic"/>
          <w:sz w:val="24"/>
          <w:szCs w:val="24"/>
          <w:lang w:val="en-GB"/>
        </w:rPr>
        <w:t xml:space="preserve">New GX would upgrade </w:t>
      </w:r>
      <w:r w:rsidR="00C16838" w:rsidRPr="008302DE">
        <w:rPr>
          <w:rFonts w:ascii="Century Gothic" w:hAnsi="Century Gothic"/>
          <w:sz w:val="24"/>
          <w:szCs w:val="24"/>
          <w:lang w:val="en-GB"/>
        </w:rPr>
        <w:t>an</w:t>
      </w:r>
      <w:r w:rsidR="001C1729" w:rsidRPr="008302DE">
        <w:rPr>
          <w:rFonts w:ascii="Century Gothic" w:hAnsi="Century Gothic"/>
          <w:sz w:val="24"/>
          <w:szCs w:val="24"/>
          <w:lang w:val="en-GB"/>
        </w:rPr>
        <w:t xml:space="preserve"> existing recycling facility to a Multi-Purpose Waste Recycling Facility, at its own cost</w:t>
      </w:r>
      <w:r w:rsidR="000A0377">
        <w:rPr>
          <w:rFonts w:ascii="Century Gothic" w:hAnsi="Century Gothic"/>
          <w:sz w:val="24"/>
          <w:szCs w:val="24"/>
          <w:lang w:val="en-GB"/>
        </w:rPr>
        <w:t>,</w:t>
      </w:r>
      <w:r w:rsidR="00957E50">
        <w:rPr>
          <w:rFonts w:ascii="Century Gothic" w:hAnsi="Century Gothic"/>
          <w:sz w:val="24"/>
          <w:szCs w:val="24"/>
          <w:lang w:val="en-GB"/>
        </w:rPr>
        <w:t xml:space="preserve"> in</w:t>
      </w:r>
      <w:r w:rsidR="001C1729" w:rsidRPr="008302DE">
        <w:rPr>
          <w:rFonts w:ascii="Century Gothic" w:hAnsi="Century Gothic"/>
          <w:sz w:val="24"/>
          <w:szCs w:val="24"/>
          <w:lang w:val="en-GB"/>
        </w:rPr>
        <w:t xml:space="preserve"> three phases. </w:t>
      </w:r>
    </w:p>
    <w:p w14:paraId="661626D9" w14:textId="77777777" w:rsidR="001C1729" w:rsidRPr="008302DE" w:rsidRDefault="001C1729" w:rsidP="001C1729">
      <w:pPr>
        <w:pStyle w:val="ListParagraph"/>
        <w:rPr>
          <w:rFonts w:ascii="Century Gothic" w:hAnsi="Century Gothic"/>
          <w:sz w:val="24"/>
          <w:szCs w:val="24"/>
          <w:lang w:val="en-GB"/>
        </w:rPr>
      </w:pPr>
    </w:p>
    <w:p w14:paraId="6ACD904C" w14:textId="77777777" w:rsidR="00101311" w:rsidRPr="008302DE" w:rsidRDefault="00101311" w:rsidP="001C1729">
      <w:pPr>
        <w:pStyle w:val="ListParagraph"/>
        <w:rPr>
          <w:rFonts w:ascii="Century Gothic" w:hAnsi="Century Gothic"/>
          <w:sz w:val="24"/>
          <w:szCs w:val="24"/>
          <w:lang w:val="en-GB"/>
        </w:rPr>
      </w:pPr>
    </w:p>
    <w:p w14:paraId="6B0CD361" w14:textId="08490A6F" w:rsidR="001C1729" w:rsidRPr="008302DE" w:rsidRDefault="001C1729"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After conclusion of the notarial lease agreement, and on 19 November 2015, a report was tabled before </w:t>
      </w:r>
      <w:r w:rsidR="00D84F57" w:rsidRPr="008302DE">
        <w:rPr>
          <w:rFonts w:ascii="Century Gothic" w:hAnsi="Century Gothic"/>
          <w:sz w:val="24"/>
          <w:szCs w:val="24"/>
          <w:lang w:val="en-GB"/>
        </w:rPr>
        <w:t>COT’s</w:t>
      </w:r>
      <w:r w:rsidRPr="008302DE">
        <w:rPr>
          <w:rFonts w:ascii="Century Gothic" w:hAnsi="Century Gothic"/>
          <w:sz w:val="24"/>
          <w:szCs w:val="24"/>
          <w:lang w:val="en-GB"/>
        </w:rPr>
        <w:t xml:space="preserve"> Executive Acquisition Committee</w:t>
      </w:r>
      <w:r w:rsidR="00C16838" w:rsidRPr="008302DE">
        <w:rPr>
          <w:rFonts w:ascii="Century Gothic" w:hAnsi="Century Gothic"/>
          <w:sz w:val="24"/>
          <w:szCs w:val="24"/>
          <w:lang w:val="en-GB"/>
        </w:rPr>
        <w:t xml:space="preserve"> (referred to herein as ‘</w:t>
      </w:r>
      <w:r w:rsidR="00C16838" w:rsidRPr="008302DE">
        <w:rPr>
          <w:rFonts w:ascii="Century Gothic" w:hAnsi="Century Gothic"/>
          <w:b/>
          <w:bCs/>
          <w:i/>
          <w:iCs/>
          <w:sz w:val="24"/>
          <w:szCs w:val="24"/>
          <w:lang w:val="en-GB"/>
        </w:rPr>
        <w:t>the EAC</w:t>
      </w:r>
      <w:r w:rsidR="00C16838" w:rsidRPr="008302DE">
        <w:rPr>
          <w:rFonts w:ascii="Century Gothic" w:hAnsi="Century Gothic"/>
          <w:sz w:val="24"/>
          <w:szCs w:val="24"/>
          <w:lang w:val="en-GB"/>
        </w:rPr>
        <w:t>’)</w:t>
      </w:r>
      <w:r w:rsidR="001B5C5C">
        <w:rPr>
          <w:rFonts w:ascii="Century Gothic" w:hAnsi="Century Gothic"/>
          <w:sz w:val="24"/>
          <w:szCs w:val="24"/>
          <w:lang w:val="en-GB"/>
        </w:rPr>
        <w:t>. T</w:t>
      </w:r>
      <w:r w:rsidRPr="008302DE">
        <w:rPr>
          <w:rFonts w:ascii="Century Gothic" w:hAnsi="Century Gothic"/>
          <w:sz w:val="24"/>
          <w:szCs w:val="24"/>
          <w:lang w:val="en-GB"/>
        </w:rPr>
        <w:t xml:space="preserve">he purpose of </w:t>
      </w:r>
      <w:r w:rsidR="001B5C5C">
        <w:rPr>
          <w:rFonts w:ascii="Century Gothic" w:hAnsi="Century Gothic"/>
          <w:sz w:val="24"/>
          <w:szCs w:val="24"/>
          <w:lang w:val="en-GB"/>
        </w:rPr>
        <w:t>the report</w:t>
      </w:r>
      <w:r w:rsidRPr="008302DE">
        <w:rPr>
          <w:rFonts w:ascii="Century Gothic" w:hAnsi="Century Gothic"/>
          <w:sz w:val="24"/>
          <w:szCs w:val="24"/>
          <w:lang w:val="en-GB"/>
        </w:rPr>
        <w:t xml:space="preserve"> was to propose </w:t>
      </w:r>
      <w:r w:rsidR="001B5C5C">
        <w:rPr>
          <w:rFonts w:ascii="Century Gothic" w:hAnsi="Century Gothic"/>
          <w:sz w:val="24"/>
          <w:szCs w:val="24"/>
          <w:lang w:val="en-GB"/>
        </w:rPr>
        <w:t>that the COT</w:t>
      </w:r>
      <w:r w:rsidRPr="008302DE">
        <w:rPr>
          <w:rFonts w:ascii="Century Gothic" w:hAnsi="Century Gothic"/>
          <w:sz w:val="24"/>
          <w:szCs w:val="24"/>
          <w:lang w:val="en-GB"/>
        </w:rPr>
        <w:t xml:space="preserve"> procure a waste processing facility from New GX</w:t>
      </w:r>
      <w:r w:rsidR="00D84F57" w:rsidRPr="008302DE">
        <w:rPr>
          <w:rFonts w:ascii="Century Gothic" w:hAnsi="Century Gothic"/>
          <w:sz w:val="24"/>
          <w:szCs w:val="24"/>
          <w:lang w:val="en-GB"/>
        </w:rPr>
        <w:t xml:space="preserve"> in respect of non-recyclable waste. </w:t>
      </w:r>
    </w:p>
    <w:p w14:paraId="21C163CD" w14:textId="77777777" w:rsidR="00101311" w:rsidRPr="008302DE" w:rsidRDefault="00101311" w:rsidP="00101311">
      <w:pPr>
        <w:pStyle w:val="ListParagraph"/>
        <w:spacing w:line="480" w:lineRule="auto"/>
        <w:jc w:val="both"/>
        <w:rPr>
          <w:rFonts w:ascii="Century Gothic" w:hAnsi="Century Gothic"/>
          <w:sz w:val="24"/>
          <w:szCs w:val="24"/>
          <w:lang w:val="en-GB"/>
        </w:rPr>
      </w:pPr>
    </w:p>
    <w:p w14:paraId="6366EEFD" w14:textId="77777777" w:rsidR="00101311" w:rsidRPr="008302DE" w:rsidRDefault="00101311" w:rsidP="001013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New GX made the proposal to the COT as it was aware of the impending closure of a landfill site used by the COT. </w:t>
      </w:r>
    </w:p>
    <w:p w14:paraId="2F8BA711" w14:textId="77777777" w:rsidR="00101311" w:rsidRPr="008302DE" w:rsidRDefault="00101311" w:rsidP="00101311">
      <w:pPr>
        <w:pStyle w:val="ListParagraph"/>
        <w:rPr>
          <w:rFonts w:ascii="Century Gothic" w:hAnsi="Century Gothic"/>
          <w:sz w:val="24"/>
          <w:szCs w:val="24"/>
          <w:lang w:val="en-GB"/>
        </w:rPr>
      </w:pPr>
    </w:p>
    <w:p w14:paraId="437999D2" w14:textId="77777777" w:rsidR="00101311" w:rsidRPr="008302DE" w:rsidRDefault="00101311" w:rsidP="00101311">
      <w:pPr>
        <w:pStyle w:val="ListParagraph"/>
        <w:rPr>
          <w:rFonts w:ascii="Century Gothic" w:hAnsi="Century Gothic"/>
          <w:sz w:val="24"/>
          <w:szCs w:val="24"/>
          <w:lang w:val="en-GB"/>
        </w:rPr>
      </w:pPr>
    </w:p>
    <w:p w14:paraId="57195B9B" w14:textId="1F284708" w:rsidR="00EC49B9" w:rsidRDefault="00101311" w:rsidP="001013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w:t>
      </w:r>
      <w:bookmarkStart w:id="1" w:name="_Hlk143423754"/>
      <w:r w:rsidR="004260D2" w:rsidRPr="008302DE">
        <w:rPr>
          <w:rFonts w:ascii="Century Gothic" w:hAnsi="Century Gothic"/>
          <w:sz w:val="24"/>
          <w:szCs w:val="24"/>
          <w:lang w:val="en-GB"/>
        </w:rPr>
        <w:t>EAC</w:t>
      </w:r>
      <w:r w:rsidRPr="008302DE">
        <w:rPr>
          <w:rFonts w:ascii="Century Gothic" w:hAnsi="Century Gothic"/>
          <w:sz w:val="24"/>
          <w:szCs w:val="24"/>
          <w:lang w:val="en-GB"/>
        </w:rPr>
        <w:t xml:space="preserve"> </w:t>
      </w:r>
      <w:bookmarkEnd w:id="1"/>
      <w:r w:rsidRPr="008302DE">
        <w:rPr>
          <w:rFonts w:ascii="Century Gothic" w:hAnsi="Century Gothic"/>
          <w:sz w:val="24"/>
          <w:szCs w:val="24"/>
          <w:lang w:val="en-GB"/>
        </w:rPr>
        <w:t>resolved</w:t>
      </w:r>
      <w:r w:rsidR="00EC49B9">
        <w:rPr>
          <w:rFonts w:ascii="Century Gothic" w:hAnsi="Century Gothic"/>
          <w:sz w:val="24"/>
          <w:szCs w:val="24"/>
          <w:lang w:val="en-GB"/>
        </w:rPr>
        <w:t>:</w:t>
      </w:r>
    </w:p>
    <w:p w14:paraId="14CD3F66" w14:textId="5F9CDB29" w:rsidR="00EC49B9" w:rsidRDefault="00EC49B9" w:rsidP="00EC49B9">
      <w:pPr>
        <w:pStyle w:val="ListParagraph"/>
        <w:numPr>
          <w:ilvl w:val="2"/>
          <w:numId w:val="1"/>
        </w:numPr>
        <w:spacing w:line="480" w:lineRule="auto"/>
        <w:ind w:left="2268" w:hanging="850"/>
        <w:jc w:val="both"/>
        <w:rPr>
          <w:rFonts w:ascii="Century Gothic" w:hAnsi="Century Gothic"/>
          <w:sz w:val="24"/>
          <w:szCs w:val="24"/>
          <w:lang w:val="en-GB"/>
        </w:rPr>
      </w:pPr>
      <w:r>
        <w:rPr>
          <w:rFonts w:ascii="Century Gothic" w:hAnsi="Century Gothic"/>
          <w:sz w:val="24"/>
          <w:szCs w:val="24"/>
          <w:lang w:val="en-GB"/>
        </w:rPr>
        <w:t>To allow a</w:t>
      </w:r>
      <w:r w:rsidR="00101311" w:rsidRPr="008302DE">
        <w:rPr>
          <w:rFonts w:ascii="Century Gothic" w:hAnsi="Century Gothic"/>
          <w:sz w:val="24"/>
          <w:szCs w:val="24"/>
          <w:lang w:val="en-GB"/>
        </w:rPr>
        <w:t xml:space="preserve"> deviation from the normal procurement processes</w:t>
      </w:r>
      <w:r>
        <w:rPr>
          <w:rFonts w:ascii="Century Gothic" w:hAnsi="Century Gothic"/>
          <w:sz w:val="24"/>
          <w:szCs w:val="24"/>
          <w:lang w:val="en-GB"/>
        </w:rPr>
        <w:t xml:space="preserve"> and </w:t>
      </w:r>
      <w:r w:rsidR="00101311" w:rsidRPr="00EC49B9">
        <w:rPr>
          <w:rFonts w:ascii="Century Gothic" w:hAnsi="Century Gothic"/>
          <w:sz w:val="24"/>
          <w:szCs w:val="24"/>
          <w:lang w:val="en-GB"/>
        </w:rPr>
        <w:t xml:space="preserve">to authorise the </w:t>
      </w:r>
      <w:r w:rsidR="00077730" w:rsidRPr="00EC49B9">
        <w:rPr>
          <w:rFonts w:ascii="Century Gothic" w:hAnsi="Century Gothic"/>
          <w:sz w:val="24"/>
          <w:szCs w:val="24"/>
          <w:lang w:val="en-GB"/>
        </w:rPr>
        <w:t>Municipal</w:t>
      </w:r>
      <w:r w:rsidR="00101311" w:rsidRPr="00EC49B9">
        <w:rPr>
          <w:rFonts w:ascii="Century Gothic" w:hAnsi="Century Gothic"/>
          <w:sz w:val="24"/>
          <w:szCs w:val="24"/>
          <w:lang w:val="en-GB"/>
        </w:rPr>
        <w:t xml:space="preserve"> Manager accordingly</w:t>
      </w:r>
      <w:r>
        <w:rPr>
          <w:rFonts w:ascii="Century Gothic" w:hAnsi="Century Gothic"/>
          <w:sz w:val="24"/>
          <w:szCs w:val="24"/>
          <w:lang w:val="en-GB"/>
        </w:rPr>
        <w:t>;</w:t>
      </w:r>
    </w:p>
    <w:p w14:paraId="5DF68944" w14:textId="7F23112C" w:rsidR="00EC49B9" w:rsidRDefault="00EC49B9" w:rsidP="00EC49B9">
      <w:pPr>
        <w:pStyle w:val="ListParagraph"/>
        <w:numPr>
          <w:ilvl w:val="2"/>
          <w:numId w:val="1"/>
        </w:numPr>
        <w:spacing w:line="480" w:lineRule="auto"/>
        <w:ind w:left="2268" w:hanging="850"/>
        <w:jc w:val="both"/>
        <w:rPr>
          <w:rFonts w:ascii="Century Gothic" w:hAnsi="Century Gothic"/>
          <w:sz w:val="24"/>
          <w:szCs w:val="24"/>
          <w:lang w:val="en-GB"/>
        </w:rPr>
      </w:pPr>
      <w:r>
        <w:rPr>
          <w:rFonts w:ascii="Century Gothic" w:hAnsi="Century Gothic"/>
          <w:sz w:val="24"/>
          <w:szCs w:val="24"/>
          <w:lang w:val="en-GB"/>
        </w:rPr>
        <w:lastRenderedPageBreak/>
        <w:t xml:space="preserve">To </w:t>
      </w:r>
      <w:r w:rsidR="00101311" w:rsidRPr="00EC49B9">
        <w:rPr>
          <w:rFonts w:ascii="Century Gothic" w:hAnsi="Century Gothic"/>
          <w:sz w:val="24"/>
          <w:szCs w:val="24"/>
          <w:lang w:val="en-GB"/>
        </w:rPr>
        <w:t>appoint New GX to provide the transfer service station for two specifically identified areas</w:t>
      </w:r>
      <w:r>
        <w:rPr>
          <w:rFonts w:ascii="Century Gothic" w:hAnsi="Century Gothic"/>
          <w:sz w:val="24"/>
          <w:szCs w:val="24"/>
          <w:lang w:val="en-GB"/>
        </w:rPr>
        <w:t>;</w:t>
      </w:r>
    </w:p>
    <w:p w14:paraId="1A5FD141" w14:textId="77777777" w:rsidR="00EC49B9" w:rsidRDefault="00EC49B9" w:rsidP="00EC49B9">
      <w:pPr>
        <w:pStyle w:val="ListParagraph"/>
        <w:numPr>
          <w:ilvl w:val="2"/>
          <w:numId w:val="1"/>
        </w:numPr>
        <w:spacing w:line="480" w:lineRule="auto"/>
        <w:ind w:left="2268" w:hanging="850"/>
        <w:jc w:val="both"/>
        <w:rPr>
          <w:rFonts w:ascii="Century Gothic" w:hAnsi="Century Gothic"/>
          <w:sz w:val="24"/>
          <w:szCs w:val="24"/>
          <w:lang w:val="en-GB"/>
        </w:rPr>
      </w:pPr>
      <w:r>
        <w:rPr>
          <w:rFonts w:ascii="Century Gothic" w:hAnsi="Century Gothic"/>
          <w:sz w:val="24"/>
          <w:szCs w:val="24"/>
          <w:lang w:val="en-GB"/>
        </w:rPr>
        <w:t xml:space="preserve">That </w:t>
      </w:r>
      <w:r w:rsidR="00101311" w:rsidRPr="00EC49B9">
        <w:rPr>
          <w:rFonts w:ascii="Century Gothic" w:hAnsi="Century Gothic"/>
          <w:sz w:val="24"/>
          <w:szCs w:val="24"/>
          <w:lang w:val="en-GB"/>
        </w:rPr>
        <w:t>New G</w:t>
      </w:r>
      <w:r w:rsidR="0049292F" w:rsidRPr="00EC49B9">
        <w:rPr>
          <w:rFonts w:ascii="Century Gothic" w:hAnsi="Century Gothic"/>
          <w:sz w:val="24"/>
          <w:szCs w:val="24"/>
          <w:lang w:val="en-GB"/>
        </w:rPr>
        <w:t>X</w:t>
      </w:r>
      <w:r w:rsidR="00101311" w:rsidRPr="00EC49B9">
        <w:rPr>
          <w:rFonts w:ascii="Century Gothic" w:hAnsi="Century Gothic"/>
          <w:sz w:val="24"/>
          <w:szCs w:val="24"/>
          <w:lang w:val="en-GB"/>
        </w:rPr>
        <w:t>’s appointment was to be effective from the date of commercial operation until March 2030</w:t>
      </w:r>
      <w:r w:rsidR="00D95CE6" w:rsidRPr="00EC49B9">
        <w:rPr>
          <w:rFonts w:ascii="Century Gothic" w:hAnsi="Century Gothic"/>
          <w:sz w:val="24"/>
          <w:szCs w:val="24"/>
          <w:lang w:val="en-GB"/>
        </w:rPr>
        <w:t xml:space="preserve"> </w:t>
      </w:r>
      <w:r>
        <w:rPr>
          <w:rFonts w:ascii="Century Gothic" w:hAnsi="Century Gothic"/>
          <w:sz w:val="24"/>
          <w:szCs w:val="24"/>
          <w:lang w:val="en-GB"/>
        </w:rPr>
        <w:t xml:space="preserve">; </w:t>
      </w:r>
      <w:r w:rsidR="00D95CE6" w:rsidRPr="00EC49B9">
        <w:rPr>
          <w:rFonts w:ascii="Century Gothic" w:hAnsi="Century Gothic"/>
          <w:sz w:val="24"/>
          <w:szCs w:val="24"/>
          <w:lang w:val="en-GB"/>
        </w:rPr>
        <w:t xml:space="preserve">and </w:t>
      </w:r>
    </w:p>
    <w:p w14:paraId="65D8218A" w14:textId="2A68544D" w:rsidR="00101311" w:rsidRPr="00EC49B9" w:rsidRDefault="00EC49B9" w:rsidP="00EC49B9">
      <w:pPr>
        <w:pStyle w:val="ListParagraph"/>
        <w:numPr>
          <w:ilvl w:val="2"/>
          <w:numId w:val="1"/>
        </w:numPr>
        <w:spacing w:line="480" w:lineRule="auto"/>
        <w:ind w:left="2268" w:hanging="850"/>
        <w:jc w:val="both"/>
        <w:rPr>
          <w:rFonts w:ascii="Century Gothic" w:hAnsi="Century Gothic"/>
          <w:sz w:val="24"/>
          <w:szCs w:val="24"/>
          <w:lang w:val="en-GB"/>
        </w:rPr>
      </w:pPr>
      <w:r>
        <w:rPr>
          <w:rFonts w:ascii="Century Gothic" w:hAnsi="Century Gothic"/>
          <w:sz w:val="24"/>
          <w:szCs w:val="24"/>
          <w:lang w:val="en-GB"/>
        </w:rPr>
        <w:t>T</w:t>
      </w:r>
      <w:r w:rsidR="00D95CE6" w:rsidRPr="00EC49B9">
        <w:rPr>
          <w:rFonts w:ascii="Century Gothic" w:hAnsi="Century Gothic"/>
          <w:sz w:val="24"/>
          <w:szCs w:val="24"/>
          <w:lang w:val="en-GB"/>
        </w:rPr>
        <w:t>hat New G</w:t>
      </w:r>
      <w:r w:rsidR="0049292F" w:rsidRPr="00EC49B9">
        <w:rPr>
          <w:rFonts w:ascii="Century Gothic" w:hAnsi="Century Gothic"/>
          <w:sz w:val="24"/>
          <w:szCs w:val="24"/>
          <w:lang w:val="en-GB"/>
        </w:rPr>
        <w:t>X</w:t>
      </w:r>
      <w:r w:rsidR="00D95CE6" w:rsidRPr="00EC49B9">
        <w:rPr>
          <w:rFonts w:ascii="Century Gothic" w:hAnsi="Century Gothic"/>
          <w:sz w:val="24"/>
          <w:szCs w:val="24"/>
          <w:lang w:val="en-GB"/>
        </w:rPr>
        <w:t>’s appointment be linked to the lease period agreed to in terms of the notarial lease agreement.</w:t>
      </w:r>
    </w:p>
    <w:p w14:paraId="65B88FC7" w14:textId="77777777" w:rsidR="00D95CE6" w:rsidRPr="008302DE" w:rsidRDefault="00D95CE6" w:rsidP="00D95CE6">
      <w:pPr>
        <w:pStyle w:val="ListParagraph"/>
        <w:spacing w:line="480" w:lineRule="auto"/>
        <w:ind w:left="1440"/>
        <w:jc w:val="both"/>
        <w:rPr>
          <w:rFonts w:ascii="Century Gothic" w:hAnsi="Century Gothic"/>
          <w:sz w:val="24"/>
          <w:szCs w:val="24"/>
          <w:lang w:val="en-GB"/>
        </w:rPr>
      </w:pPr>
    </w:p>
    <w:p w14:paraId="23662C62" w14:textId="51E2D199" w:rsidR="00101311" w:rsidRPr="008302DE" w:rsidRDefault="001E5A32"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Although the above</w:t>
      </w:r>
      <w:r w:rsidR="000B25D1" w:rsidRPr="008302DE">
        <w:rPr>
          <w:rFonts w:ascii="Century Gothic" w:hAnsi="Century Gothic"/>
          <w:sz w:val="24"/>
          <w:szCs w:val="24"/>
          <w:lang w:val="en-GB"/>
        </w:rPr>
        <w:t>mentioned</w:t>
      </w:r>
      <w:r w:rsidRPr="008302DE">
        <w:rPr>
          <w:rFonts w:ascii="Century Gothic" w:hAnsi="Century Gothic"/>
          <w:sz w:val="24"/>
          <w:szCs w:val="24"/>
          <w:lang w:val="en-GB"/>
        </w:rPr>
        <w:t xml:space="preserve"> resolution was amended by a further resolution</w:t>
      </w:r>
      <w:r w:rsidR="00FE36BE" w:rsidRPr="008302DE">
        <w:rPr>
          <w:rFonts w:ascii="Century Gothic" w:hAnsi="Century Gothic"/>
          <w:sz w:val="24"/>
          <w:szCs w:val="24"/>
          <w:lang w:val="en-GB"/>
        </w:rPr>
        <w:t xml:space="preserve"> of the </w:t>
      </w:r>
      <w:r w:rsidR="006722E7">
        <w:rPr>
          <w:rFonts w:ascii="Century Gothic" w:hAnsi="Century Gothic"/>
          <w:sz w:val="24"/>
          <w:szCs w:val="24"/>
          <w:lang w:val="en-GB"/>
        </w:rPr>
        <w:t>EA</w:t>
      </w:r>
      <w:r w:rsidR="00FE36BE" w:rsidRPr="008302DE">
        <w:rPr>
          <w:rFonts w:ascii="Century Gothic" w:hAnsi="Century Gothic"/>
          <w:sz w:val="24"/>
          <w:szCs w:val="24"/>
          <w:lang w:val="en-GB"/>
        </w:rPr>
        <w:t>C</w:t>
      </w:r>
      <w:r w:rsidRPr="008302DE">
        <w:rPr>
          <w:rFonts w:ascii="Century Gothic" w:hAnsi="Century Gothic"/>
          <w:sz w:val="24"/>
          <w:szCs w:val="24"/>
          <w:lang w:val="en-GB"/>
        </w:rPr>
        <w:t xml:space="preserve"> dated 23 June 2016, New GX’s appointment remained </w:t>
      </w:r>
      <w:r w:rsidR="00FE36BE" w:rsidRPr="008302DE">
        <w:rPr>
          <w:rFonts w:ascii="Century Gothic" w:hAnsi="Century Gothic"/>
          <w:sz w:val="24"/>
          <w:szCs w:val="24"/>
          <w:lang w:val="en-GB"/>
        </w:rPr>
        <w:t xml:space="preserve">authorised </w:t>
      </w:r>
      <w:r w:rsidRPr="008302DE">
        <w:rPr>
          <w:rFonts w:ascii="Century Gothic" w:hAnsi="Century Gothic"/>
          <w:sz w:val="24"/>
          <w:szCs w:val="24"/>
          <w:lang w:val="en-GB"/>
        </w:rPr>
        <w:t xml:space="preserve">in respect of non-recyclable waste only. </w:t>
      </w:r>
    </w:p>
    <w:p w14:paraId="00E0CAAB" w14:textId="77777777" w:rsidR="001E5A32" w:rsidRPr="008302DE" w:rsidRDefault="001E5A32" w:rsidP="001E5A32">
      <w:pPr>
        <w:pStyle w:val="ListParagraph"/>
        <w:rPr>
          <w:rFonts w:ascii="Century Gothic" w:hAnsi="Century Gothic"/>
          <w:sz w:val="24"/>
          <w:szCs w:val="24"/>
          <w:lang w:val="en-GB"/>
        </w:rPr>
      </w:pPr>
    </w:p>
    <w:p w14:paraId="58C6D24C" w14:textId="77777777" w:rsidR="000B0C6B" w:rsidRPr="008302DE" w:rsidRDefault="000B0C6B" w:rsidP="001E5A32">
      <w:pPr>
        <w:pStyle w:val="ListParagraph"/>
        <w:rPr>
          <w:rFonts w:ascii="Century Gothic" w:hAnsi="Century Gothic"/>
          <w:sz w:val="24"/>
          <w:szCs w:val="24"/>
          <w:lang w:val="en-GB"/>
        </w:rPr>
      </w:pPr>
    </w:p>
    <w:p w14:paraId="494BED70" w14:textId="0AAC716F" w:rsidR="001E5A32" w:rsidRPr="008302DE" w:rsidRDefault="001E5A32"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Pursuant to the</w:t>
      </w:r>
      <w:r w:rsidR="00103B8D">
        <w:rPr>
          <w:rFonts w:ascii="Century Gothic" w:hAnsi="Century Gothic"/>
          <w:sz w:val="24"/>
          <w:szCs w:val="24"/>
          <w:lang w:val="en-GB"/>
        </w:rPr>
        <w:t xml:space="preserve"> </w:t>
      </w:r>
      <w:r w:rsidRPr="008302DE">
        <w:rPr>
          <w:rFonts w:ascii="Century Gothic" w:hAnsi="Century Gothic"/>
          <w:sz w:val="24"/>
          <w:szCs w:val="24"/>
          <w:lang w:val="en-GB"/>
        </w:rPr>
        <w:t>resolution by the</w:t>
      </w:r>
      <w:r w:rsidR="000B25D1" w:rsidRPr="008302DE">
        <w:rPr>
          <w:rFonts w:ascii="Century Gothic" w:hAnsi="Century Gothic"/>
          <w:sz w:val="24"/>
          <w:szCs w:val="24"/>
          <w:lang w:val="en-GB"/>
        </w:rPr>
        <w:t xml:space="preserve"> EAC</w:t>
      </w:r>
      <w:r w:rsidR="00103B8D">
        <w:rPr>
          <w:rFonts w:ascii="Century Gothic" w:hAnsi="Century Gothic"/>
          <w:sz w:val="24"/>
          <w:szCs w:val="24"/>
          <w:lang w:val="en-GB"/>
        </w:rPr>
        <w:t xml:space="preserve"> dated 23 June 2016</w:t>
      </w:r>
      <w:r w:rsidRPr="008302DE">
        <w:rPr>
          <w:rFonts w:ascii="Century Gothic" w:hAnsi="Century Gothic"/>
          <w:sz w:val="24"/>
          <w:szCs w:val="24"/>
          <w:lang w:val="en-GB"/>
        </w:rPr>
        <w:t xml:space="preserve">, an amended letter of appointment was issued to New GX and, during August 2016, a service agreement was entered into between New GX and the COT. </w:t>
      </w:r>
    </w:p>
    <w:p w14:paraId="70214FCC" w14:textId="77777777" w:rsidR="00D64C78" w:rsidRPr="008302DE" w:rsidRDefault="00D64C78" w:rsidP="00D64C78">
      <w:pPr>
        <w:pStyle w:val="ListParagraph"/>
        <w:rPr>
          <w:rFonts w:ascii="Century Gothic" w:hAnsi="Century Gothic"/>
          <w:sz w:val="24"/>
          <w:szCs w:val="24"/>
          <w:lang w:val="en-GB"/>
        </w:rPr>
      </w:pPr>
    </w:p>
    <w:p w14:paraId="381C0D12" w14:textId="77777777" w:rsidR="000B0C6B" w:rsidRPr="008302DE" w:rsidRDefault="000B0C6B" w:rsidP="00D64C78">
      <w:pPr>
        <w:pStyle w:val="ListParagraph"/>
        <w:rPr>
          <w:rFonts w:ascii="Century Gothic" w:hAnsi="Century Gothic"/>
          <w:sz w:val="24"/>
          <w:szCs w:val="24"/>
          <w:lang w:val="en-GB"/>
        </w:rPr>
      </w:pPr>
    </w:p>
    <w:p w14:paraId="02EA4337" w14:textId="41CA0302" w:rsidR="00D64C78" w:rsidRPr="008302DE" w:rsidRDefault="00D64C78"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In terms of the service agreement New GX was to provide the COT with waste processing services in respect of all recyclable and non-recyclable waste, contrary to the amended resolution of the </w:t>
      </w:r>
      <w:r w:rsidR="00F31ED7">
        <w:rPr>
          <w:rFonts w:ascii="Century Gothic" w:hAnsi="Century Gothic"/>
          <w:sz w:val="24"/>
          <w:szCs w:val="24"/>
          <w:lang w:val="en-GB"/>
        </w:rPr>
        <w:t>EAC</w:t>
      </w:r>
      <w:r w:rsidRPr="008302DE">
        <w:rPr>
          <w:rFonts w:ascii="Century Gothic" w:hAnsi="Century Gothic"/>
          <w:sz w:val="24"/>
          <w:szCs w:val="24"/>
          <w:lang w:val="en-GB"/>
        </w:rPr>
        <w:t xml:space="preserve"> dated 23 June 2016.</w:t>
      </w:r>
    </w:p>
    <w:p w14:paraId="096DD92C" w14:textId="77777777" w:rsidR="00D64C78" w:rsidRPr="008302DE" w:rsidRDefault="00D64C78" w:rsidP="00D64C78">
      <w:pPr>
        <w:pStyle w:val="ListParagraph"/>
        <w:rPr>
          <w:rFonts w:ascii="Century Gothic" w:hAnsi="Century Gothic"/>
          <w:sz w:val="24"/>
          <w:szCs w:val="24"/>
          <w:lang w:val="en-GB"/>
        </w:rPr>
      </w:pPr>
    </w:p>
    <w:p w14:paraId="510511F0" w14:textId="77777777" w:rsidR="000B25D1" w:rsidRPr="008302DE" w:rsidRDefault="000B25D1" w:rsidP="00D64C78">
      <w:pPr>
        <w:pStyle w:val="ListParagraph"/>
        <w:rPr>
          <w:rFonts w:ascii="Century Gothic" w:hAnsi="Century Gothic"/>
          <w:sz w:val="24"/>
          <w:szCs w:val="24"/>
          <w:lang w:val="en-GB"/>
        </w:rPr>
      </w:pPr>
    </w:p>
    <w:p w14:paraId="43435703" w14:textId="125E477D" w:rsidR="00D64C78" w:rsidRPr="008302DE" w:rsidRDefault="00D64C78"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lastRenderedPageBreak/>
        <w:t>Th</w:t>
      </w:r>
      <w:r w:rsidR="005D43DA">
        <w:rPr>
          <w:rFonts w:ascii="Century Gothic" w:hAnsi="Century Gothic"/>
          <w:sz w:val="24"/>
          <w:szCs w:val="24"/>
          <w:lang w:val="en-GB"/>
        </w:rPr>
        <w:t>e</w:t>
      </w:r>
      <w:r w:rsidRPr="008302DE">
        <w:rPr>
          <w:rFonts w:ascii="Century Gothic" w:hAnsi="Century Gothic"/>
          <w:sz w:val="24"/>
          <w:szCs w:val="24"/>
          <w:lang w:val="en-GB"/>
        </w:rPr>
        <w:t xml:space="preserve"> service agreement also provided for New GX to be paid fees</w:t>
      </w:r>
      <w:r w:rsidR="00593673" w:rsidRPr="008302DE">
        <w:rPr>
          <w:rFonts w:ascii="Century Gothic" w:hAnsi="Century Gothic"/>
          <w:sz w:val="24"/>
          <w:szCs w:val="24"/>
          <w:lang w:val="en-GB"/>
        </w:rPr>
        <w:t>, to be calculated in a specific manner</w:t>
      </w:r>
      <w:r w:rsidR="000B25D1" w:rsidRPr="008302DE">
        <w:rPr>
          <w:rFonts w:ascii="Century Gothic" w:hAnsi="Century Gothic"/>
          <w:sz w:val="24"/>
          <w:szCs w:val="24"/>
          <w:lang w:val="en-GB"/>
        </w:rPr>
        <w:t>,</w:t>
      </w:r>
      <w:r w:rsidR="00593673" w:rsidRPr="008302DE">
        <w:rPr>
          <w:rFonts w:ascii="Century Gothic" w:hAnsi="Century Gothic"/>
          <w:sz w:val="24"/>
          <w:szCs w:val="24"/>
          <w:lang w:val="en-GB"/>
        </w:rPr>
        <w:t xml:space="preserve"> and other provisions in respect of tonnage and rates in respect of recyclable waste.</w:t>
      </w:r>
    </w:p>
    <w:p w14:paraId="4EE0975F" w14:textId="77777777" w:rsidR="00593673" w:rsidRPr="008302DE" w:rsidRDefault="00593673" w:rsidP="00593673">
      <w:pPr>
        <w:pStyle w:val="ListParagraph"/>
        <w:rPr>
          <w:rFonts w:ascii="Century Gothic" w:hAnsi="Century Gothic"/>
          <w:sz w:val="24"/>
          <w:szCs w:val="24"/>
          <w:lang w:val="en-GB"/>
        </w:rPr>
      </w:pPr>
    </w:p>
    <w:p w14:paraId="327C4AB1" w14:textId="77777777" w:rsidR="000B0C6B" w:rsidRPr="008302DE" w:rsidRDefault="000B0C6B" w:rsidP="00593673">
      <w:pPr>
        <w:pStyle w:val="ListParagraph"/>
        <w:rPr>
          <w:rFonts w:ascii="Century Gothic" w:hAnsi="Century Gothic"/>
          <w:sz w:val="24"/>
          <w:szCs w:val="24"/>
          <w:lang w:val="en-GB"/>
        </w:rPr>
      </w:pPr>
    </w:p>
    <w:p w14:paraId="1763131A" w14:textId="29FF43C9" w:rsidR="00593673" w:rsidRPr="008302DE" w:rsidRDefault="00D04911"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service agreement was drafted by New GX’s attorney upon the instruction of New GX. </w:t>
      </w:r>
    </w:p>
    <w:p w14:paraId="190E51B8" w14:textId="77777777" w:rsidR="00D04911" w:rsidRPr="008302DE" w:rsidRDefault="00D04911" w:rsidP="00D04911">
      <w:pPr>
        <w:pStyle w:val="ListParagraph"/>
        <w:spacing w:line="480" w:lineRule="auto"/>
        <w:ind w:left="1440"/>
        <w:jc w:val="both"/>
        <w:rPr>
          <w:rFonts w:ascii="Century Gothic" w:hAnsi="Century Gothic"/>
          <w:sz w:val="24"/>
          <w:szCs w:val="24"/>
          <w:lang w:val="en-GB"/>
        </w:rPr>
      </w:pPr>
    </w:p>
    <w:p w14:paraId="75541F43" w14:textId="37C2D2D4" w:rsidR="00D04911" w:rsidRPr="008302DE" w:rsidRDefault="00D04911"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COT did not deliver the agreed tonnage of recyclable waste as specified in the service agreement and New GX proceeded </w:t>
      </w:r>
      <w:r w:rsidR="009103CB">
        <w:rPr>
          <w:rFonts w:ascii="Century Gothic" w:hAnsi="Century Gothic"/>
          <w:sz w:val="24"/>
          <w:szCs w:val="24"/>
          <w:lang w:val="en-GB"/>
        </w:rPr>
        <w:t xml:space="preserve">to </w:t>
      </w:r>
      <w:r w:rsidRPr="008302DE">
        <w:rPr>
          <w:rFonts w:ascii="Century Gothic" w:hAnsi="Century Gothic"/>
          <w:sz w:val="24"/>
          <w:szCs w:val="24"/>
          <w:lang w:val="en-GB"/>
        </w:rPr>
        <w:t xml:space="preserve">cancel the service agreement. It did so on 1 March 2019. </w:t>
      </w:r>
    </w:p>
    <w:p w14:paraId="374034F7" w14:textId="77777777" w:rsidR="00D04911" w:rsidRPr="008302DE" w:rsidRDefault="00D04911" w:rsidP="00D04911">
      <w:pPr>
        <w:pStyle w:val="ListParagraph"/>
        <w:rPr>
          <w:rFonts w:ascii="Century Gothic" w:hAnsi="Century Gothic"/>
          <w:sz w:val="24"/>
          <w:szCs w:val="24"/>
          <w:lang w:val="en-GB"/>
        </w:rPr>
      </w:pPr>
    </w:p>
    <w:p w14:paraId="14EFF077" w14:textId="77777777" w:rsidR="00D04911" w:rsidRPr="008302DE" w:rsidRDefault="00D04911" w:rsidP="00D04911">
      <w:pPr>
        <w:pStyle w:val="ListParagraph"/>
        <w:rPr>
          <w:rFonts w:ascii="Century Gothic" w:hAnsi="Century Gothic"/>
          <w:sz w:val="24"/>
          <w:szCs w:val="24"/>
          <w:lang w:val="en-GB"/>
        </w:rPr>
      </w:pPr>
    </w:p>
    <w:p w14:paraId="4251E110" w14:textId="62AB624E" w:rsidR="00D04911" w:rsidRPr="008302DE" w:rsidRDefault="00D04911"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 Subsequent to</w:t>
      </w:r>
      <w:r w:rsidR="00601EAE">
        <w:rPr>
          <w:rFonts w:ascii="Century Gothic" w:hAnsi="Century Gothic"/>
          <w:sz w:val="24"/>
          <w:szCs w:val="24"/>
          <w:lang w:val="en-GB"/>
        </w:rPr>
        <w:t xml:space="preserve"> the</w:t>
      </w:r>
      <w:r w:rsidRPr="008302DE">
        <w:rPr>
          <w:rFonts w:ascii="Century Gothic" w:hAnsi="Century Gothic"/>
          <w:sz w:val="24"/>
          <w:szCs w:val="24"/>
          <w:lang w:val="en-GB"/>
        </w:rPr>
        <w:t xml:space="preserve"> cancellation of the service agreement, New GX commenced arbitration proceedings, claiming damages from the COT</w:t>
      </w:r>
      <w:r w:rsidR="00BD10AB" w:rsidRPr="008302DE">
        <w:rPr>
          <w:rFonts w:ascii="Century Gothic" w:hAnsi="Century Gothic"/>
          <w:sz w:val="24"/>
          <w:szCs w:val="24"/>
          <w:lang w:val="en-GB"/>
        </w:rPr>
        <w:t xml:space="preserve"> in terms of the </w:t>
      </w:r>
      <w:r w:rsidR="005560FD">
        <w:rPr>
          <w:rFonts w:ascii="Century Gothic" w:hAnsi="Century Gothic"/>
          <w:sz w:val="24"/>
          <w:szCs w:val="24"/>
          <w:lang w:val="en-GB"/>
        </w:rPr>
        <w:t>cancelled service</w:t>
      </w:r>
      <w:r w:rsidR="00BD10AB" w:rsidRPr="008302DE">
        <w:rPr>
          <w:rFonts w:ascii="Century Gothic" w:hAnsi="Century Gothic"/>
          <w:sz w:val="24"/>
          <w:szCs w:val="24"/>
          <w:lang w:val="en-GB"/>
        </w:rPr>
        <w:t xml:space="preserve"> agreement</w:t>
      </w:r>
      <w:r w:rsidRPr="008302DE">
        <w:rPr>
          <w:rFonts w:ascii="Century Gothic" w:hAnsi="Century Gothic"/>
          <w:sz w:val="24"/>
          <w:szCs w:val="24"/>
          <w:lang w:val="en-GB"/>
        </w:rPr>
        <w:t xml:space="preserve">. It was during the arbitration proceedings that the COT challenged the legality of the actions taken by the </w:t>
      </w:r>
      <w:r w:rsidR="00456BF2">
        <w:rPr>
          <w:rFonts w:ascii="Century Gothic" w:hAnsi="Century Gothic"/>
          <w:sz w:val="24"/>
          <w:szCs w:val="24"/>
          <w:lang w:val="en-GB"/>
        </w:rPr>
        <w:t>Municipal</w:t>
      </w:r>
      <w:r w:rsidRPr="008302DE">
        <w:rPr>
          <w:rFonts w:ascii="Century Gothic" w:hAnsi="Century Gothic"/>
          <w:sz w:val="24"/>
          <w:szCs w:val="24"/>
          <w:lang w:val="en-GB"/>
        </w:rPr>
        <w:t xml:space="preserve"> Manager</w:t>
      </w:r>
      <w:r w:rsidR="0078048F" w:rsidRPr="008302DE">
        <w:rPr>
          <w:rFonts w:ascii="Century Gothic" w:hAnsi="Century Gothic"/>
          <w:sz w:val="24"/>
          <w:szCs w:val="24"/>
          <w:lang w:val="en-GB"/>
        </w:rPr>
        <w:t xml:space="preserve"> </w:t>
      </w:r>
      <w:r w:rsidR="002450D2">
        <w:rPr>
          <w:rFonts w:ascii="Century Gothic" w:hAnsi="Century Gothic"/>
          <w:sz w:val="24"/>
          <w:szCs w:val="24"/>
          <w:lang w:val="en-GB"/>
        </w:rPr>
        <w:t xml:space="preserve">on the basis </w:t>
      </w:r>
      <w:r w:rsidR="0078048F" w:rsidRPr="008302DE">
        <w:rPr>
          <w:rFonts w:ascii="Century Gothic" w:hAnsi="Century Gothic"/>
          <w:sz w:val="24"/>
          <w:szCs w:val="24"/>
          <w:lang w:val="en-GB"/>
        </w:rPr>
        <w:t xml:space="preserve">that these actions were not authorised in terms of the resolutions of the </w:t>
      </w:r>
      <w:r w:rsidR="0052465D" w:rsidRPr="008302DE">
        <w:rPr>
          <w:rFonts w:ascii="Century Gothic" w:hAnsi="Century Gothic"/>
          <w:sz w:val="24"/>
          <w:szCs w:val="24"/>
          <w:lang w:val="en-GB"/>
        </w:rPr>
        <w:t>EAC.</w:t>
      </w:r>
    </w:p>
    <w:p w14:paraId="17E6029C" w14:textId="77777777" w:rsidR="005F66AA" w:rsidRPr="008302DE" w:rsidRDefault="005F66AA" w:rsidP="005F66AA">
      <w:pPr>
        <w:pStyle w:val="ListParagraph"/>
        <w:spacing w:line="480" w:lineRule="auto"/>
        <w:ind w:left="1440"/>
        <w:jc w:val="both"/>
        <w:rPr>
          <w:rFonts w:ascii="Century Gothic" w:hAnsi="Century Gothic"/>
          <w:sz w:val="24"/>
          <w:szCs w:val="24"/>
          <w:lang w:val="en-GB"/>
        </w:rPr>
      </w:pPr>
    </w:p>
    <w:p w14:paraId="0EB7F1B7" w14:textId="4055FDA3" w:rsidR="005F66AA" w:rsidRPr="008302DE" w:rsidRDefault="005F66AA" w:rsidP="001C1729">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In </w:t>
      </w:r>
      <w:r w:rsidR="00556405">
        <w:rPr>
          <w:rFonts w:ascii="Century Gothic" w:hAnsi="Century Gothic"/>
          <w:sz w:val="24"/>
          <w:szCs w:val="24"/>
          <w:lang w:val="en-GB"/>
        </w:rPr>
        <w:t>light</w:t>
      </w:r>
      <w:r w:rsidRPr="008302DE">
        <w:rPr>
          <w:rFonts w:ascii="Century Gothic" w:hAnsi="Century Gothic"/>
          <w:sz w:val="24"/>
          <w:szCs w:val="24"/>
          <w:lang w:val="en-GB"/>
        </w:rPr>
        <w:t xml:space="preserve"> of the fact that the legality of the </w:t>
      </w:r>
      <w:r w:rsidR="00F6112D">
        <w:rPr>
          <w:rFonts w:ascii="Century Gothic" w:hAnsi="Century Gothic"/>
          <w:sz w:val="24"/>
          <w:szCs w:val="24"/>
          <w:lang w:val="en-GB"/>
        </w:rPr>
        <w:t>Municipal</w:t>
      </w:r>
      <w:r w:rsidRPr="008302DE">
        <w:rPr>
          <w:rFonts w:ascii="Century Gothic" w:hAnsi="Century Gothic"/>
          <w:sz w:val="24"/>
          <w:szCs w:val="24"/>
          <w:lang w:val="en-GB"/>
        </w:rPr>
        <w:t xml:space="preserve"> Manager’s actions w</w:t>
      </w:r>
      <w:r w:rsidR="007B61A4">
        <w:rPr>
          <w:rFonts w:ascii="Century Gothic" w:hAnsi="Century Gothic"/>
          <w:sz w:val="24"/>
          <w:szCs w:val="24"/>
          <w:lang w:val="en-GB"/>
        </w:rPr>
        <w:t xml:space="preserve">ere </w:t>
      </w:r>
      <w:r w:rsidRPr="008302DE">
        <w:rPr>
          <w:rFonts w:ascii="Century Gothic" w:hAnsi="Century Gothic"/>
          <w:sz w:val="24"/>
          <w:szCs w:val="24"/>
          <w:lang w:val="en-GB"/>
        </w:rPr>
        <w:t>challenged, it was agreed between New GX and the COT that the arbitration proceedings be stayed pending a review application to be brought by the COT.</w:t>
      </w:r>
    </w:p>
    <w:p w14:paraId="68DDCA06" w14:textId="77777777" w:rsidR="005F66AA" w:rsidRPr="008302DE" w:rsidRDefault="005F66AA" w:rsidP="005F66AA">
      <w:pPr>
        <w:pStyle w:val="ListParagraph"/>
        <w:rPr>
          <w:rFonts w:ascii="Century Gothic" w:hAnsi="Century Gothic"/>
          <w:sz w:val="24"/>
          <w:szCs w:val="24"/>
          <w:lang w:val="en-GB"/>
        </w:rPr>
      </w:pPr>
    </w:p>
    <w:p w14:paraId="4DD32BF2" w14:textId="77777777" w:rsidR="005F66AA" w:rsidRPr="008302DE" w:rsidRDefault="005F66AA" w:rsidP="005F66AA">
      <w:pPr>
        <w:pStyle w:val="ListParagraph"/>
        <w:rPr>
          <w:rFonts w:ascii="Century Gothic" w:hAnsi="Century Gothic"/>
          <w:sz w:val="24"/>
          <w:szCs w:val="24"/>
          <w:lang w:val="en-GB"/>
        </w:rPr>
      </w:pPr>
    </w:p>
    <w:p w14:paraId="1538D8E4" w14:textId="22B74D22" w:rsidR="0052465D" w:rsidRDefault="005F66AA" w:rsidP="00E26E76">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The review application was argued before Van der Westhuizen J</w:t>
      </w:r>
      <w:r w:rsidR="00B40013">
        <w:rPr>
          <w:rFonts w:ascii="Century Gothic" w:hAnsi="Century Gothic"/>
          <w:sz w:val="24"/>
          <w:szCs w:val="24"/>
          <w:lang w:val="en-GB"/>
        </w:rPr>
        <w:t xml:space="preserve"> </w:t>
      </w:r>
      <w:r w:rsidR="00AE3139">
        <w:rPr>
          <w:rFonts w:ascii="Century Gothic" w:hAnsi="Century Gothic"/>
          <w:sz w:val="24"/>
          <w:szCs w:val="24"/>
          <w:lang w:val="en-GB"/>
        </w:rPr>
        <w:t>and</w:t>
      </w:r>
      <w:r w:rsidR="00B40013">
        <w:rPr>
          <w:rFonts w:ascii="Century Gothic" w:hAnsi="Century Gothic"/>
          <w:sz w:val="24"/>
          <w:szCs w:val="24"/>
          <w:lang w:val="en-GB"/>
        </w:rPr>
        <w:t xml:space="preserve"> </w:t>
      </w:r>
      <w:r w:rsidR="00AE3139">
        <w:rPr>
          <w:rFonts w:ascii="Century Gothic" w:hAnsi="Century Gothic"/>
          <w:sz w:val="24"/>
          <w:szCs w:val="24"/>
          <w:lang w:val="en-GB"/>
        </w:rPr>
        <w:t xml:space="preserve">on </w:t>
      </w:r>
      <w:r w:rsidR="00B40013">
        <w:rPr>
          <w:rFonts w:ascii="Century Gothic" w:hAnsi="Century Gothic"/>
          <w:sz w:val="24"/>
          <w:szCs w:val="24"/>
          <w:lang w:val="en-GB"/>
        </w:rPr>
        <w:t>21 June 2021</w:t>
      </w:r>
      <w:r w:rsidR="00AE3139">
        <w:rPr>
          <w:rFonts w:ascii="Century Gothic" w:hAnsi="Century Gothic"/>
          <w:sz w:val="24"/>
          <w:szCs w:val="24"/>
          <w:lang w:val="en-GB"/>
        </w:rPr>
        <w:t xml:space="preserve"> Van der Westhuizen J handed down the order </w:t>
      </w:r>
      <w:r w:rsidR="00B40013" w:rsidRPr="00AE3139">
        <w:rPr>
          <w:rFonts w:ascii="Century Gothic" w:hAnsi="Century Gothic"/>
          <w:sz w:val="24"/>
          <w:szCs w:val="24"/>
          <w:lang w:val="en-GB"/>
        </w:rPr>
        <w:t xml:space="preserve">New GX </w:t>
      </w:r>
      <w:r w:rsidR="00AE3139">
        <w:rPr>
          <w:rFonts w:ascii="Century Gothic" w:hAnsi="Century Gothic"/>
          <w:sz w:val="24"/>
          <w:szCs w:val="24"/>
          <w:lang w:val="en-GB"/>
        </w:rPr>
        <w:t xml:space="preserve">now </w:t>
      </w:r>
      <w:r w:rsidR="00B40013" w:rsidRPr="00AE3139">
        <w:rPr>
          <w:rFonts w:ascii="Century Gothic" w:hAnsi="Century Gothic"/>
          <w:sz w:val="24"/>
          <w:szCs w:val="24"/>
          <w:lang w:val="en-GB"/>
        </w:rPr>
        <w:t xml:space="preserve">seeks to vary. </w:t>
      </w:r>
    </w:p>
    <w:p w14:paraId="10EEFCE4" w14:textId="77777777" w:rsidR="000A5D01" w:rsidRPr="002F5AAF" w:rsidRDefault="000A5D01" w:rsidP="000A5D01">
      <w:pPr>
        <w:pStyle w:val="ListParagraph"/>
        <w:spacing w:line="480" w:lineRule="auto"/>
        <w:ind w:left="1430"/>
        <w:jc w:val="both"/>
        <w:rPr>
          <w:rFonts w:ascii="Century Gothic" w:hAnsi="Century Gothic"/>
          <w:sz w:val="24"/>
          <w:szCs w:val="24"/>
          <w:lang w:val="en-GB"/>
        </w:rPr>
      </w:pPr>
    </w:p>
    <w:p w14:paraId="702CCC60" w14:textId="3312AE6A" w:rsidR="00E26E76" w:rsidRDefault="00E26E76" w:rsidP="00E26E76">
      <w:pPr>
        <w:spacing w:line="480" w:lineRule="auto"/>
        <w:jc w:val="both"/>
        <w:rPr>
          <w:rFonts w:ascii="Century Gothic" w:hAnsi="Century Gothic"/>
          <w:b/>
          <w:bCs/>
          <w:sz w:val="24"/>
          <w:szCs w:val="24"/>
          <w:lang w:val="en-GB"/>
        </w:rPr>
      </w:pPr>
      <w:r w:rsidRPr="008302DE">
        <w:rPr>
          <w:rFonts w:ascii="Century Gothic" w:hAnsi="Century Gothic"/>
          <w:b/>
          <w:bCs/>
          <w:sz w:val="24"/>
          <w:szCs w:val="24"/>
          <w:lang w:val="en-GB"/>
        </w:rPr>
        <w:t>Judgment and order of Van der Westhuizen J</w:t>
      </w:r>
    </w:p>
    <w:p w14:paraId="6E651412" w14:textId="77777777" w:rsidR="00AE3139" w:rsidRPr="00AE3139" w:rsidRDefault="00AE3139" w:rsidP="00E26E76">
      <w:pPr>
        <w:spacing w:line="480" w:lineRule="auto"/>
        <w:jc w:val="both"/>
        <w:rPr>
          <w:rFonts w:ascii="Century Gothic" w:hAnsi="Century Gothic"/>
          <w:b/>
          <w:bCs/>
          <w:sz w:val="24"/>
          <w:szCs w:val="24"/>
          <w:lang w:val="en-GB"/>
        </w:rPr>
      </w:pPr>
    </w:p>
    <w:p w14:paraId="175BD92F" w14:textId="6D16C400" w:rsidR="00A46611" w:rsidRPr="008302DE" w:rsidRDefault="00BD10AB" w:rsidP="004331A5">
      <w:pPr>
        <w:pStyle w:val="ListParagraph"/>
        <w:numPr>
          <w:ilvl w:val="0"/>
          <w:numId w:val="1"/>
        </w:numPr>
        <w:spacing w:line="480" w:lineRule="auto"/>
        <w:ind w:hanging="644"/>
        <w:jc w:val="both"/>
        <w:rPr>
          <w:rFonts w:ascii="Century Gothic" w:hAnsi="Century Gothic"/>
          <w:sz w:val="24"/>
          <w:szCs w:val="24"/>
          <w:lang w:val="en-GB"/>
        </w:rPr>
      </w:pPr>
      <w:r w:rsidRPr="008302DE">
        <w:rPr>
          <w:rFonts w:ascii="Century Gothic" w:hAnsi="Century Gothic"/>
          <w:sz w:val="24"/>
          <w:szCs w:val="24"/>
          <w:lang w:val="en-GB"/>
        </w:rPr>
        <w:t>In the judgment</w:t>
      </w:r>
      <w:r w:rsidR="002F5AAF">
        <w:rPr>
          <w:rFonts w:ascii="Century Gothic" w:hAnsi="Century Gothic"/>
          <w:sz w:val="24"/>
          <w:szCs w:val="24"/>
          <w:lang w:val="en-GB"/>
        </w:rPr>
        <w:t>,</w:t>
      </w:r>
      <w:r w:rsidRPr="008302DE">
        <w:rPr>
          <w:rFonts w:ascii="Century Gothic" w:hAnsi="Century Gothic"/>
          <w:sz w:val="24"/>
          <w:szCs w:val="24"/>
          <w:lang w:val="en-GB"/>
        </w:rPr>
        <w:t xml:space="preserve"> the court records the following arguments raised by both New GX and the COT regarding the order to be granted, as well as its findings in respect thereof:</w:t>
      </w:r>
    </w:p>
    <w:p w14:paraId="6E13828A" w14:textId="77777777" w:rsidR="00A46611" w:rsidRPr="008302DE" w:rsidRDefault="00A46611" w:rsidP="00A46611">
      <w:pPr>
        <w:pStyle w:val="ListParagraph"/>
        <w:spacing w:line="480" w:lineRule="auto"/>
        <w:jc w:val="both"/>
        <w:rPr>
          <w:rFonts w:ascii="Century Gothic" w:hAnsi="Century Gothic"/>
          <w:sz w:val="24"/>
          <w:szCs w:val="24"/>
          <w:lang w:val="en-GB"/>
        </w:rPr>
      </w:pPr>
    </w:p>
    <w:p w14:paraId="29377456" w14:textId="62F9749B" w:rsidR="00A46611" w:rsidRPr="008302DE" w:rsidRDefault="00A46611"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New GX recorded itself to be </w:t>
      </w:r>
      <w:r w:rsidR="002F5AAF">
        <w:rPr>
          <w:rFonts w:ascii="Century Gothic" w:hAnsi="Century Gothic"/>
          <w:sz w:val="24"/>
          <w:szCs w:val="24"/>
          <w:lang w:val="en-GB"/>
        </w:rPr>
        <w:t>the</w:t>
      </w:r>
      <w:r w:rsidRPr="008302DE">
        <w:rPr>
          <w:rFonts w:ascii="Century Gothic" w:hAnsi="Century Gothic"/>
          <w:sz w:val="24"/>
          <w:szCs w:val="24"/>
          <w:lang w:val="en-GB"/>
        </w:rPr>
        <w:t xml:space="preserve"> sole provider for a transfer station service of the nature required by the COT, and that this induced the COT to deviate from normal procurement processes. </w:t>
      </w:r>
    </w:p>
    <w:p w14:paraId="4B851ECA" w14:textId="77777777" w:rsidR="00680703" w:rsidRPr="008302DE" w:rsidRDefault="00680703" w:rsidP="00680703">
      <w:pPr>
        <w:pStyle w:val="ListParagraph"/>
        <w:spacing w:line="480" w:lineRule="auto"/>
        <w:ind w:left="1440"/>
        <w:jc w:val="both"/>
        <w:rPr>
          <w:rFonts w:ascii="Century Gothic" w:hAnsi="Century Gothic"/>
          <w:sz w:val="24"/>
          <w:szCs w:val="24"/>
          <w:lang w:val="en-GB"/>
        </w:rPr>
      </w:pPr>
    </w:p>
    <w:p w14:paraId="069DB2C3" w14:textId="77777777" w:rsidR="00AD44FF" w:rsidRDefault="004B44C9"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impugned service agreement included an unauthorised extension of the services to be provided by New GX. </w:t>
      </w:r>
    </w:p>
    <w:p w14:paraId="6ADFA7FF" w14:textId="77777777" w:rsidR="00AD44FF" w:rsidRDefault="00AD44FF" w:rsidP="00AD44FF">
      <w:pPr>
        <w:pStyle w:val="ListParagraph"/>
        <w:rPr>
          <w:rFonts w:ascii="Century Gothic" w:hAnsi="Century Gothic"/>
          <w:sz w:val="24"/>
          <w:szCs w:val="24"/>
          <w:lang w:val="en-GB"/>
        </w:rPr>
      </w:pPr>
    </w:p>
    <w:p w14:paraId="026A70B9" w14:textId="77777777" w:rsidR="00AD44FF" w:rsidRPr="00AD44FF" w:rsidRDefault="00AD44FF" w:rsidP="00AD44FF">
      <w:pPr>
        <w:pStyle w:val="ListParagraph"/>
        <w:rPr>
          <w:rFonts w:ascii="Century Gothic" w:hAnsi="Century Gothic"/>
          <w:sz w:val="24"/>
          <w:szCs w:val="24"/>
          <w:lang w:val="en-GB"/>
        </w:rPr>
      </w:pPr>
    </w:p>
    <w:p w14:paraId="187FF381" w14:textId="1569CA02" w:rsidR="00680703" w:rsidRPr="00DE7091" w:rsidRDefault="004B44C9" w:rsidP="00DE709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unauthorised extension of services and other </w:t>
      </w:r>
      <w:r w:rsidR="008F16FF" w:rsidRPr="008302DE">
        <w:rPr>
          <w:rFonts w:ascii="Century Gothic" w:hAnsi="Century Gothic"/>
          <w:sz w:val="24"/>
          <w:szCs w:val="24"/>
          <w:lang w:val="en-GB"/>
        </w:rPr>
        <w:t>onerous conditions</w:t>
      </w:r>
      <w:r w:rsidRPr="008302DE">
        <w:rPr>
          <w:rFonts w:ascii="Century Gothic" w:hAnsi="Century Gothic"/>
          <w:sz w:val="24"/>
          <w:szCs w:val="24"/>
          <w:lang w:val="en-GB"/>
        </w:rPr>
        <w:t xml:space="preserve"> relating to the provision of</w:t>
      </w:r>
      <w:r w:rsidR="00592F92">
        <w:rPr>
          <w:rFonts w:ascii="Century Gothic" w:hAnsi="Century Gothic"/>
          <w:sz w:val="24"/>
          <w:szCs w:val="24"/>
          <w:lang w:val="en-GB"/>
        </w:rPr>
        <w:t xml:space="preserve"> a specified</w:t>
      </w:r>
      <w:r w:rsidRPr="008302DE">
        <w:rPr>
          <w:rFonts w:ascii="Century Gothic" w:hAnsi="Century Gothic"/>
          <w:sz w:val="24"/>
          <w:szCs w:val="24"/>
          <w:lang w:val="en-GB"/>
        </w:rPr>
        <w:t xml:space="preserve"> tonnage </w:t>
      </w:r>
      <w:r w:rsidR="00592F92">
        <w:rPr>
          <w:rFonts w:ascii="Century Gothic" w:hAnsi="Century Gothic"/>
          <w:sz w:val="24"/>
          <w:szCs w:val="24"/>
          <w:lang w:val="en-GB"/>
        </w:rPr>
        <w:t xml:space="preserve">of waste </w:t>
      </w:r>
      <w:r w:rsidRPr="008302DE">
        <w:rPr>
          <w:rFonts w:ascii="Century Gothic" w:hAnsi="Century Gothic"/>
          <w:sz w:val="24"/>
          <w:szCs w:val="24"/>
          <w:lang w:val="en-GB"/>
        </w:rPr>
        <w:t xml:space="preserve">to be supplied to New GX by the COT were included in the service agreement by New GX’s attorneys, upon the instruction of New GX. </w:t>
      </w:r>
    </w:p>
    <w:p w14:paraId="33478AFD" w14:textId="77777777" w:rsidR="00797E1B" w:rsidRPr="008302DE" w:rsidRDefault="00797E1B" w:rsidP="00797E1B">
      <w:pPr>
        <w:pStyle w:val="ListParagraph"/>
        <w:rPr>
          <w:rFonts w:ascii="Century Gothic" w:hAnsi="Century Gothic"/>
          <w:sz w:val="24"/>
          <w:szCs w:val="24"/>
          <w:lang w:val="en-GB"/>
        </w:rPr>
      </w:pPr>
    </w:p>
    <w:p w14:paraId="106F8904" w14:textId="242BFC2C" w:rsidR="004B44C9" w:rsidRPr="008302DE" w:rsidRDefault="004B44C9"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New GX and the COT were at odds as to the remedy to be afforded to the parties. Public interest is fundamental to determining what remedy would be just and equitable. </w:t>
      </w:r>
    </w:p>
    <w:p w14:paraId="15CC0EA6" w14:textId="77777777" w:rsidR="00680703" w:rsidRPr="008302DE" w:rsidRDefault="00680703" w:rsidP="00680703">
      <w:pPr>
        <w:pStyle w:val="ListParagraph"/>
        <w:spacing w:line="480" w:lineRule="auto"/>
        <w:ind w:left="1440"/>
        <w:jc w:val="both"/>
        <w:rPr>
          <w:rFonts w:ascii="Century Gothic" w:hAnsi="Century Gothic"/>
          <w:sz w:val="24"/>
          <w:szCs w:val="24"/>
          <w:lang w:val="en-GB"/>
        </w:rPr>
      </w:pPr>
    </w:p>
    <w:p w14:paraId="5C80238A" w14:textId="77777777" w:rsidR="00A05DF2" w:rsidRPr="008302DE" w:rsidRDefault="00A05DF2" w:rsidP="00A05DF2">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New GX contended that it was obliged to obtain financing to enable it to establish the transfer station service and that in doing so, it incurred considerable debt. It could not recoup a profit of approximately R 94 million from the COT because the COT did not supply it with the agreed tonnage of waste and that this resulted in the cancellation of the service agreement. </w:t>
      </w:r>
    </w:p>
    <w:p w14:paraId="56F00380" w14:textId="77777777" w:rsidR="00A05DF2" w:rsidRPr="008302DE" w:rsidRDefault="00A05DF2" w:rsidP="00A05DF2">
      <w:pPr>
        <w:pStyle w:val="ListParagraph"/>
        <w:rPr>
          <w:rFonts w:ascii="Century Gothic" w:hAnsi="Century Gothic"/>
          <w:sz w:val="24"/>
          <w:szCs w:val="24"/>
          <w:lang w:val="en-GB"/>
        </w:rPr>
      </w:pPr>
    </w:p>
    <w:p w14:paraId="5E31F96C" w14:textId="77777777" w:rsidR="00A05DF2" w:rsidRPr="008302DE" w:rsidRDefault="00A05DF2" w:rsidP="00A05DF2">
      <w:pPr>
        <w:pStyle w:val="ListParagraph"/>
        <w:rPr>
          <w:rFonts w:ascii="Century Gothic" w:hAnsi="Century Gothic"/>
          <w:sz w:val="24"/>
          <w:szCs w:val="24"/>
          <w:lang w:val="en-GB"/>
        </w:rPr>
      </w:pPr>
    </w:p>
    <w:p w14:paraId="1CE4AFEE" w14:textId="44F25F8C" w:rsidR="004C04BC" w:rsidRPr="008302DE" w:rsidRDefault="00A46611"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New GX argued that the review application ought to be dismissed and in the alternative, it argued for an order to be granted in line with the order granted in </w:t>
      </w:r>
      <w:r w:rsidRPr="008302DE">
        <w:rPr>
          <w:rFonts w:ascii="Century Gothic" w:hAnsi="Century Gothic"/>
          <w:i/>
          <w:iCs/>
          <w:sz w:val="24"/>
          <w:szCs w:val="24"/>
          <w:lang w:val="en-GB"/>
        </w:rPr>
        <w:t>Gijima</w:t>
      </w:r>
      <w:r w:rsidR="001B240D">
        <w:rPr>
          <w:rStyle w:val="FootnoteReference"/>
          <w:rFonts w:ascii="Century Gothic" w:hAnsi="Century Gothic"/>
          <w:i/>
          <w:iCs/>
          <w:sz w:val="24"/>
          <w:szCs w:val="24"/>
          <w:lang w:val="en-GB"/>
        </w:rPr>
        <w:footnoteReference w:id="1"/>
      </w:r>
      <w:r w:rsidRPr="008302DE">
        <w:rPr>
          <w:rFonts w:ascii="Century Gothic" w:hAnsi="Century Gothic"/>
          <w:sz w:val="24"/>
          <w:szCs w:val="24"/>
          <w:lang w:val="en-GB"/>
        </w:rPr>
        <w:t xml:space="preserve">. </w:t>
      </w:r>
      <w:r w:rsidR="004B44C9" w:rsidRPr="008302DE">
        <w:rPr>
          <w:rFonts w:ascii="Century Gothic" w:hAnsi="Century Gothic"/>
          <w:sz w:val="24"/>
          <w:szCs w:val="24"/>
          <w:lang w:val="en-GB"/>
        </w:rPr>
        <w:t xml:space="preserve">Such an order being one that would not divest New GX of </w:t>
      </w:r>
      <w:r w:rsidR="004C04BC" w:rsidRPr="008302DE">
        <w:rPr>
          <w:rFonts w:ascii="Century Gothic" w:hAnsi="Century Gothic"/>
          <w:sz w:val="24"/>
          <w:szCs w:val="24"/>
          <w:lang w:val="en-GB"/>
        </w:rPr>
        <w:t>the</w:t>
      </w:r>
      <w:r w:rsidR="004B44C9" w:rsidRPr="008302DE">
        <w:rPr>
          <w:rFonts w:ascii="Century Gothic" w:hAnsi="Century Gothic"/>
          <w:sz w:val="24"/>
          <w:szCs w:val="24"/>
          <w:lang w:val="en-GB"/>
        </w:rPr>
        <w:t xml:space="preserve"> rights which it</w:t>
      </w:r>
      <w:r w:rsidR="004C04BC" w:rsidRPr="008302DE">
        <w:rPr>
          <w:rFonts w:ascii="Century Gothic" w:hAnsi="Century Gothic"/>
          <w:sz w:val="24"/>
          <w:szCs w:val="24"/>
          <w:lang w:val="en-GB"/>
        </w:rPr>
        <w:t xml:space="preserve"> may be entitled to under the service agreement, but for the declaration of constitutional invalidity. </w:t>
      </w:r>
    </w:p>
    <w:p w14:paraId="155301A8" w14:textId="77777777" w:rsidR="00680703" w:rsidRPr="008302DE" w:rsidRDefault="00680703" w:rsidP="00680703">
      <w:pPr>
        <w:pStyle w:val="ListParagraph"/>
        <w:rPr>
          <w:rFonts w:ascii="Century Gothic" w:hAnsi="Century Gothic"/>
          <w:sz w:val="24"/>
          <w:szCs w:val="24"/>
          <w:lang w:val="en-GB"/>
        </w:rPr>
      </w:pPr>
    </w:p>
    <w:p w14:paraId="67B55189" w14:textId="77777777" w:rsidR="00A05DF2" w:rsidRPr="008302DE" w:rsidRDefault="00A05DF2" w:rsidP="00680703">
      <w:pPr>
        <w:pStyle w:val="ListParagraph"/>
        <w:rPr>
          <w:rFonts w:ascii="Century Gothic" w:hAnsi="Century Gothic"/>
          <w:sz w:val="24"/>
          <w:szCs w:val="24"/>
          <w:lang w:val="en-GB"/>
        </w:rPr>
      </w:pPr>
    </w:p>
    <w:p w14:paraId="68F8EC59" w14:textId="1280C3C4" w:rsidR="004C04BC" w:rsidRPr="008302DE" w:rsidRDefault="00A46611"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COT argued that </w:t>
      </w:r>
      <w:r w:rsidR="004C04BC" w:rsidRPr="008302DE">
        <w:rPr>
          <w:rFonts w:ascii="Century Gothic" w:hAnsi="Century Gothic"/>
          <w:sz w:val="24"/>
          <w:szCs w:val="24"/>
          <w:lang w:val="en-GB"/>
        </w:rPr>
        <w:t xml:space="preserve">the conduct of New GX differs from that of the respondents in </w:t>
      </w:r>
      <w:r w:rsidR="004C04BC" w:rsidRPr="008302DE">
        <w:rPr>
          <w:rFonts w:ascii="Century Gothic" w:hAnsi="Century Gothic"/>
          <w:i/>
          <w:iCs/>
          <w:sz w:val="24"/>
          <w:szCs w:val="24"/>
          <w:lang w:val="en-GB"/>
        </w:rPr>
        <w:t>Gijima</w:t>
      </w:r>
      <w:r w:rsidR="004C04BC" w:rsidRPr="008302DE">
        <w:rPr>
          <w:rFonts w:ascii="Century Gothic" w:hAnsi="Century Gothic"/>
          <w:sz w:val="24"/>
          <w:szCs w:val="24"/>
          <w:lang w:val="en-GB"/>
        </w:rPr>
        <w:t xml:space="preserve"> and </w:t>
      </w:r>
      <w:r w:rsidR="004C04BC" w:rsidRPr="008302DE">
        <w:rPr>
          <w:rFonts w:ascii="Century Gothic" w:hAnsi="Century Gothic"/>
          <w:i/>
          <w:iCs/>
          <w:sz w:val="24"/>
          <w:szCs w:val="24"/>
          <w:lang w:val="en-GB"/>
        </w:rPr>
        <w:t>Asl</w:t>
      </w:r>
      <w:r w:rsidR="00F43C7D">
        <w:rPr>
          <w:rFonts w:ascii="Century Gothic" w:hAnsi="Century Gothic"/>
          <w:i/>
          <w:iCs/>
          <w:sz w:val="24"/>
          <w:szCs w:val="24"/>
          <w:lang w:val="en-GB"/>
        </w:rPr>
        <w:t>a</w:t>
      </w:r>
      <w:r w:rsidR="004C04BC" w:rsidRPr="008302DE">
        <w:rPr>
          <w:rFonts w:ascii="Century Gothic" w:hAnsi="Century Gothic"/>
          <w:i/>
          <w:iCs/>
          <w:sz w:val="24"/>
          <w:szCs w:val="24"/>
          <w:lang w:val="en-GB"/>
        </w:rPr>
        <w:t xml:space="preserve"> Construction</w:t>
      </w:r>
      <w:r w:rsidR="00650382">
        <w:rPr>
          <w:rStyle w:val="FootnoteReference"/>
          <w:rFonts w:ascii="Century Gothic" w:hAnsi="Century Gothic"/>
          <w:i/>
          <w:iCs/>
          <w:sz w:val="24"/>
          <w:szCs w:val="24"/>
          <w:lang w:val="en-GB"/>
        </w:rPr>
        <w:footnoteReference w:id="2"/>
      </w:r>
      <w:r w:rsidR="004C04BC" w:rsidRPr="008302DE">
        <w:rPr>
          <w:rFonts w:ascii="Century Gothic" w:hAnsi="Century Gothic"/>
          <w:sz w:val="24"/>
          <w:szCs w:val="24"/>
          <w:lang w:val="en-GB"/>
        </w:rPr>
        <w:t xml:space="preserve"> in that:</w:t>
      </w:r>
    </w:p>
    <w:p w14:paraId="0EADD880" w14:textId="77777777" w:rsidR="00797E1B" w:rsidRPr="008302DE" w:rsidRDefault="00797E1B" w:rsidP="00797E1B">
      <w:pPr>
        <w:pStyle w:val="ListParagraph"/>
        <w:rPr>
          <w:rFonts w:ascii="Century Gothic" w:hAnsi="Century Gothic"/>
          <w:sz w:val="24"/>
          <w:szCs w:val="24"/>
          <w:lang w:val="en-GB"/>
        </w:rPr>
      </w:pPr>
    </w:p>
    <w:p w14:paraId="09508244" w14:textId="6B7D0D28" w:rsidR="004C04BC" w:rsidRPr="008302DE" w:rsidRDefault="00DB0498" w:rsidP="004C04BC">
      <w:pPr>
        <w:pStyle w:val="ListParagraph"/>
        <w:numPr>
          <w:ilvl w:val="2"/>
          <w:numId w:val="1"/>
        </w:numPr>
        <w:spacing w:line="480" w:lineRule="auto"/>
        <w:ind w:left="2268" w:hanging="850"/>
        <w:jc w:val="both"/>
        <w:rPr>
          <w:rFonts w:ascii="Century Gothic" w:hAnsi="Century Gothic"/>
          <w:sz w:val="24"/>
          <w:szCs w:val="24"/>
          <w:lang w:val="en-GB"/>
        </w:rPr>
      </w:pPr>
      <w:r>
        <w:rPr>
          <w:rFonts w:ascii="Century Gothic" w:hAnsi="Century Gothic"/>
          <w:sz w:val="24"/>
          <w:szCs w:val="24"/>
          <w:lang w:val="en-GB"/>
        </w:rPr>
        <w:lastRenderedPageBreak/>
        <w:t>T</w:t>
      </w:r>
      <w:r w:rsidR="004C04BC" w:rsidRPr="008302DE">
        <w:rPr>
          <w:rFonts w:ascii="Century Gothic" w:hAnsi="Century Gothic"/>
          <w:sz w:val="24"/>
          <w:szCs w:val="24"/>
          <w:lang w:val="en-GB"/>
        </w:rPr>
        <w:t xml:space="preserve">he respondents in those matters performed its duties in terms of the agreements sought to be impugned whereas New GX had not. At the time the transfer station </w:t>
      </w:r>
      <w:r>
        <w:rPr>
          <w:rFonts w:ascii="Century Gothic" w:hAnsi="Century Gothic"/>
          <w:sz w:val="24"/>
          <w:szCs w:val="24"/>
          <w:lang w:val="en-GB"/>
        </w:rPr>
        <w:t xml:space="preserve">service </w:t>
      </w:r>
      <w:r w:rsidR="004C04BC" w:rsidRPr="008302DE">
        <w:rPr>
          <w:rFonts w:ascii="Century Gothic" w:hAnsi="Century Gothic"/>
          <w:sz w:val="24"/>
          <w:szCs w:val="24"/>
          <w:lang w:val="en-GB"/>
        </w:rPr>
        <w:t>had not been established;</w:t>
      </w:r>
    </w:p>
    <w:p w14:paraId="02B20CF7" w14:textId="77777777" w:rsidR="004C04BC" w:rsidRDefault="004C04BC" w:rsidP="004C04BC">
      <w:pPr>
        <w:pStyle w:val="ListParagraph"/>
        <w:numPr>
          <w:ilvl w:val="2"/>
          <w:numId w:val="1"/>
        </w:numPr>
        <w:spacing w:line="480" w:lineRule="auto"/>
        <w:ind w:left="2268" w:hanging="850"/>
        <w:jc w:val="both"/>
        <w:rPr>
          <w:rFonts w:ascii="Century Gothic" w:hAnsi="Century Gothic"/>
          <w:sz w:val="24"/>
          <w:szCs w:val="24"/>
          <w:lang w:val="en-GB"/>
        </w:rPr>
      </w:pPr>
      <w:r w:rsidRPr="008302DE">
        <w:rPr>
          <w:rFonts w:ascii="Century Gothic" w:hAnsi="Century Gothic"/>
          <w:sz w:val="24"/>
          <w:szCs w:val="24"/>
          <w:lang w:val="en-GB"/>
        </w:rPr>
        <w:t>The agreements sought to be impugned had not been cancelled by the respondents prior to the review applications. New GX had cancelled the service agreement due to an alleged breach of the terms thereof;</w:t>
      </w:r>
    </w:p>
    <w:p w14:paraId="22AA9302" w14:textId="39981EF1" w:rsidR="004C04BC" w:rsidRPr="008302DE" w:rsidRDefault="004C04BC" w:rsidP="004C04BC">
      <w:pPr>
        <w:pStyle w:val="ListParagraph"/>
        <w:numPr>
          <w:ilvl w:val="2"/>
          <w:numId w:val="1"/>
        </w:numPr>
        <w:spacing w:line="480" w:lineRule="auto"/>
        <w:ind w:left="2268" w:hanging="850"/>
        <w:jc w:val="both"/>
        <w:rPr>
          <w:rFonts w:ascii="Century Gothic" w:hAnsi="Century Gothic"/>
          <w:sz w:val="24"/>
          <w:szCs w:val="24"/>
          <w:lang w:val="en-GB"/>
        </w:rPr>
      </w:pPr>
      <w:r w:rsidRPr="008302DE">
        <w:rPr>
          <w:rFonts w:ascii="Century Gothic" w:hAnsi="Century Gothic"/>
          <w:sz w:val="24"/>
          <w:szCs w:val="24"/>
          <w:lang w:val="en-GB"/>
        </w:rPr>
        <w:t>Only New GX would benefit if the order sought by it were to be granted as New GX had not completed nor established the transfer station service.</w:t>
      </w:r>
    </w:p>
    <w:p w14:paraId="030DF753" w14:textId="77777777" w:rsidR="004C04BC" w:rsidRPr="008302DE" w:rsidRDefault="004C04BC" w:rsidP="004C04BC">
      <w:pPr>
        <w:pStyle w:val="ListParagraph"/>
        <w:spacing w:line="480" w:lineRule="auto"/>
        <w:ind w:left="2268"/>
        <w:jc w:val="both"/>
        <w:rPr>
          <w:rFonts w:ascii="Century Gothic" w:hAnsi="Century Gothic"/>
          <w:sz w:val="24"/>
          <w:szCs w:val="24"/>
          <w:lang w:val="en-GB"/>
        </w:rPr>
      </w:pPr>
    </w:p>
    <w:p w14:paraId="03C2DF03" w14:textId="1D59CC98" w:rsidR="00A46611" w:rsidRPr="008302DE" w:rsidRDefault="008F16FF"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remedial order sought by New GX is not in the public interest as it will result in the Tax and Rate Payers of the COT to pay </w:t>
      </w:r>
      <w:r w:rsidR="00BF0434">
        <w:rPr>
          <w:rFonts w:ascii="Century Gothic" w:hAnsi="Century Gothic"/>
          <w:sz w:val="24"/>
          <w:szCs w:val="24"/>
          <w:lang w:val="en-GB"/>
        </w:rPr>
        <w:t xml:space="preserve">approximately </w:t>
      </w:r>
      <w:r w:rsidRPr="008302DE">
        <w:rPr>
          <w:rFonts w:ascii="Century Gothic" w:hAnsi="Century Gothic"/>
          <w:sz w:val="24"/>
          <w:szCs w:val="24"/>
          <w:lang w:val="en-GB"/>
        </w:rPr>
        <w:t>R 94 million for anticipated profits had the service agreement run its course.</w:t>
      </w:r>
    </w:p>
    <w:p w14:paraId="56FDB2F7" w14:textId="77777777" w:rsidR="008F16FF" w:rsidRPr="008302DE" w:rsidRDefault="008F16FF" w:rsidP="008F16FF">
      <w:pPr>
        <w:pStyle w:val="ListParagraph"/>
        <w:spacing w:line="480" w:lineRule="auto"/>
        <w:ind w:left="1440"/>
        <w:jc w:val="both"/>
        <w:rPr>
          <w:rFonts w:ascii="Century Gothic" w:hAnsi="Century Gothic"/>
          <w:sz w:val="24"/>
          <w:szCs w:val="24"/>
          <w:lang w:val="en-GB"/>
        </w:rPr>
      </w:pPr>
    </w:p>
    <w:p w14:paraId="3B3B6A45" w14:textId="026C1DBE" w:rsidR="008F16FF" w:rsidRPr="008302DE" w:rsidRDefault="008F16FF"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respondents in </w:t>
      </w:r>
      <w:r w:rsidRPr="00BF0434">
        <w:rPr>
          <w:rFonts w:ascii="Century Gothic" w:hAnsi="Century Gothic"/>
          <w:i/>
          <w:iCs/>
          <w:sz w:val="24"/>
          <w:szCs w:val="24"/>
          <w:lang w:val="en-GB"/>
        </w:rPr>
        <w:t>Gijima</w:t>
      </w:r>
      <w:r w:rsidRPr="008302DE">
        <w:rPr>
          <w:rFonts w:ascii="Century Gothic" w:hAnsi="Century Gothic"/>
          <w:sz w:val="24"/>
          <w:szCs w:val="24"/>
          <w:lang w:val="en-GB"/>
        </w:rPr>
        <w:t xml:space="preserve"> and </w:t>
      </w:r>
      <w:r w:rsidRPr="00BF0434">
        <w:rPr>
          <w:rFonts w:ascii="Century Gothic" w:hAnsi="Century Gothic"/>
          <w:i/>
          <w:iCs/>
          <w:sz w:val="24"/>
          <w:szCs w:val="24"/>
          <w:lang w:val="en-GB"/>
        </w:rPr>
        <w:t>A</w:t>
      </w:r>
      <w:r w:rsidR="00BF0434" w:rsidRPr="00BF0434">
        <w:rPr>
          <w:rFonts w:ascii="Century Gothic" w:hAnsi="Century Gothic"/>
          <w:i/>
          <w:iCs/>
          <w:sz w:val="24"/>
          <w:szCs w:val="24"/>
          <w:lang w:val="en-GB"/>
        </w:rPr>
        <w:t>sla</w:t>
      </w:r>
      <w:r w:rsidR="00CC209F">
        <w:rPr>
          <w:rFonts w:ascii="Century Gothic" w:hAnsi="Century Gothic"/>
          <w:i/>
          <w:iCs/>
          <w:sz w:val="24"/>
          <w:szCs w:val="24"/>
          <w:lang w:val="en-GB"/>
        </w:rPr>
        <w:t xml:space="preserve"> Construction</w:t>
      </w:r>
      <w:r w:rsidR="00BF0434">
        <w:rPr>
          <w:rFonts w:ascii="Century Gothic" w:hAnsi="Century Gothic"/>
          <w:sz w:val="24"/>
          <w:szCs w:val="24"/>
          <w:lang w:val="en-GB"/>
        </w:rPr>
        <w:t xml:space="preserve"> wer</w:t>
      </w:r>
      <w:r w:rsidRPr="008302DE">
        <w:rPr>
          <w:rFonts w:ascii="Century Gothic" w:hAnsi="Century Gothic"/>
          <w:sz w:val="24"/>
          <w:szCs w:val="24"/>
          <w:lang w:val="en-GB"/>
        </w:rPr>
        <w:t>e held to be free from fault, New GX is not free from blame as New GX was the author of the unsolicited proposals made to the COT in respect of the transfer station service and it was New GX who prepared the service agreement, including unauthorised provisions</w:t>
      </w:r>
      <w:r w:rsidR="00307EF4">
        <w:rPr>
          <w:rFonts w:ascii="Century Gothic" w:hAnsi="Century Gothic"/>
          <w:sz w:val="24"/>
          <w:szCs w:val="24"/>
          <w:lang w:val="en-GB"/>
        </w:rPr>
        <w:t xml:space="preserve"> therein.</w:t>
      </w:r>
      <w:r w:rsidRPr="008302DE">
        <w:rPr>
          <w:rFonts w:ascii="Century Gothic" w:hAnsi="Century Gothic"/>
          <w:sz w:val="24"/>
          <w:szCs w:val="24"/>
          <w:lang w:val="en-GB"/>
        </w:rPr>
        <w:t xml:space="preserve">  </w:t>
      </w:r>
    </w:p>
    <w:p w14:paraId="7D475DE7" w14:textId="77777777" w:rsidR="008F16FF" w:rsidRPr="008302DE" w:rsidRDefault="008F16FF" w:rsidP="008F16FF">
      <w:pPr>
        <w:pStyle w:val="ListParagraph"/>
        <w:rPr>
          <w:rFonts w:ascii="Century Gothic" w:hAnsi="Century Gothic"/>
          <w:sz w:val="24"/>
          <w:szCs w:val="24"/>
          <w:lang w:val="en-GB"/>
        </w:rPr>
      </w:pPr>
    </w:p>
    <w:p w14:paraId="3E55A13A" w14:textId="77777777" w:rsidR="00FD4B77" w:rsidRPr="008302DE" w:rsidRDefault="00FD4B77" w:rsidP="008F16FF">
      <w:pPr>
        <w:pStyle w:val="ListParagraph"/>
        <w:rPr>
          <w:rFonts w:ascii="Century Gothic" w:hAnsi="Century Gothic"/>
          <w:sz w:val="24"/>
          <w:szCs w:val="24"/>
          <w:lang w:val="en-GB"/>
        </w:rPr>
      </w:pPr>
    </w:p>
    <w:p w14:paraId="313299E9" w14:textId="7A6F3489" w:rsidR="008F16FF" w:rsidRPr="008302DE" w:rsidRDefault="008F16FF"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lastRenderedPageBreak/>
        <w:t>The unauthorised inclusions in relation to the tonnage</w:t>
      </w:r>
      <w:r w:rsidR="00DB0498">
        <w:rPr>
          <w:rFonts w:ascii="Century Gothic" w:hAnsi="Century Gothic"/>
          <w:sz w:val="24"/>
          <w:szCs w:val="24"/>
          <w:lang w:val="en-GB"/>
        </w:rPr>
        <w:t xml:space="preserve"> of waste</w:t>
      </w:r>
      <w:r w:rsidRPr="008302DE">
        <w:rPr>
          <w:rFonts w:ascii="Century Gothic" w:hAnsi="Century Gothic"/>
          <w:sz w:val="24"/>
          <w:szCs w:val="24"/>
          <w:lang w:val="en-GB"/>
        </w:rPr>
        <w:t xml:space="preserve"> to be supplied to New GX lies at the door of New GX and there is no indication that the inclusion thereof was feasible under the circumstances. </w:t>
      </w:r>
    </w:p>
    <w:p w14:paraId="2D0F9D67" w14:textId="77777777" w:rsidR="008F16FF" w:rsidRPr="008302DE" w:rsidRDefault="008F16FF" w:rsidP="008F16FF">
      <w:pPr>
        <w:pStyle w:val="ListParagraph"/>
        <w:rPr>
          <w:rFonts w:ascii="Century Gothic" w:hAnsi="Century Gothic"/>
          <w:sz w:val="24"/>
          <w:szCs w:val="24"/>
          <w:lang w:val="en-GB"/>
        </w:rPr>
      </w:pPr>
    </w:p>
    <w:p w14:paraId="697B0B23" w14:textId="77777777" w:rsidR="00FD4B77" w:rsidRPr="008302DE" w:rsidRDefault="00FD4B77" w:rsidP="008F16FF">
      <w:pPr>
        <w:pStyle w:val="ListParagraph"/>
        <w:rPr>
          <w:rFonts w:ascii="Century Gothic" w:hAnsi="Century Gothic"/>
          <w:sz w:val="24"/>
          <w:szCs w:val="24"/>
          <w:lang w:val="en-GB"/>
        </w:rPr>
      </w:pPr>
    </w:p>
    <w:p w14:paraId="327AD379" w14:textId="1BCB7C5F" w:rsidR="008F16FF" w:rsidRPr="008302DE" w:rsidRDefault="006B6862"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In the</w:t>
      </w:r>
      <w:r w:rsidR="008F16FF" w:rsidRPr="008302DE">
        <w:rPr>
          <w:rFonts w:ascii="Century Gothic" w:hAnsi="Century Gothic"/>
          <w:sz w:val="24"/>
          <w:szCs w:val="24"/>
          <w:lang w:val="en-GB"/>
        </w:rPr>
        <w:t xml:space="preserve"> public interest</w:t>
      </w:r>
      <w:r w:rsidRPr="008302DE">
        <w:rPr>
          <w:rFonts w:ascii="Century Gothic" w:hAnsi="Century Gothic"/>
          <w:sz w:val="24"/>
          <w:szCs w:val="24"/>
          <w:lang w:val="en-GB"/>
        </w:rPr>
        <w:t>, it would not be just and equitable</w:t>
      </w:r>
      <w:r w:rsidR="008F16FF" w:rsidRPr="008302DE">
        <w:rPr>
          <w:rFonts w:ascii="Century Gothic" w:hAnsi="Century Gothic"/>
          <w:sz w:val="24"/>
          <w:szCs w:val="24"/>
          <w:lang w:val="en-GB"/>
        </w:rPr>
        <w:t xml:space="preserve"> to hold the COT to </w:t>
      </w:r>
      <w:r w:rsidRPr="008302DE">
        <w:rPr>
          <w:rFonts w:ascii="Century Gothic" w:hAnsi="Century Gothic"/>
          <w:sz w:val="24"/>
          <w:szCs w:val="24"/>
          <w:lang w:val="en-GB"/>
        </w:rPr>
        <w:t>its</w:t>
      </w:r>
      <w:r w:rsidR="008F16FF" w:rsidRPr="008302DE">
        <w:rPr>
          <w:rFonts w:ascii="Century Gothic" w:hAnsi="Century Gothic"/>
          <w:sz w:val="24"/>
          <w:szCs w:val="24"/>
          <w:lang w:val="en-GB"/>
        </w:rPr>
        <w:t xml:space="preserve"> impugned </w:t>
      </w:r>
      <w:r w:rsidRPr="008302DE">
        <w:rPr>
          <w:rFonts w:ascii="Century Gothic" w:hAnsi="Century Gothic"/>
          <w:sz w:val="24"/>
          <w:szCs w:val="24"/>
          <w:lang w:val="en-GB"/>
        </w:rPr>
        <w:t>conduct.</w:t>
      </w:r>
    </w:p>
    <w:p w14:paraId="5C649128" w14:textId="77777777" w:rsidR="006B6862" w:rsidRDefault="006B6862" w:rsidP="006B6862">
      <w:pPr>
        <w:pStyle w:val="ListParagraph"/>
        <w:rPr>
          <w:rFonts w:ascii="Century Gothic" w:hAnsi="Century Gothic"/>
          <w:sz w:val="24"/>
          <w:szCs w:val="24"/>
          <w:lang w:val="en-GB"/>
        </w:rPr>
      </w:pPr>
    </w:p>
    <w:p w14:paraId="37DE1F6B" w14:textId="77777777" w:rsidR="005C6310" w:rsidRPr="008302DE" w:rsidRDefault="005C6310" w:rsidP="006B6862">
      <w:pPr>
        <w:pStyle w:val="ListParagraph"/>
        <w:rPr>
          <w:rFonts w:ascii="Century Gothic" w:hAnsi="Century Gothic"/>
          <w:sz w:val="24"/>
          <w:szCs w:val="24"/>
          <w:lang w:val="en-GB"/>
        </w:rPr>
      </w:pPr>
    </w:p>
    <w:p w14:paraId="0988B3C0" w14:textId="474890A6" w:rsidR="006B6862" w:rsidRPr="008302DE" w:rsidRDefault="006B6862" w:rsidP="00A46611">
      <w:pPr>
        <w:pStyle w:val="ListParagraph"/>
        <w:numPr>
          <w:ilvl w:val="1"/>
          <w:numId w:val="1"/>
        </w:numPr>
        <w:spacing w:line="480" w:lineRule="auto"/>
        <w:jc w:val="both"/>
        <w:rPr>
          <w:rFonts w:ascii="Century Gothic" w:hAnsi="Century Gothic"/>
          <w:sz w:val="24"/>
          <w:szCs w:val="24"/>
          <w:lang w:val="en-GB"/>
        </w:rPr>
      </w:pPr>
      <w:r w:rsidRPr="008302DE">
        <w:rPr>
          <w:rFonts w:ascii="Century Gothic" w:hAnsi="Century Gothic"/>
          <w:sz w:val="24"/>
          <w:szCs w:val="24"/>
          <w:lang w:val="en-GB"/>
        </w:rPr>
        <w:t>It was conceded by the COT that any rights which may have accrued to New GX prior to cancellation, and to which New GX may be entitled under the impugned agreement, save for rights to claim for loss of profit and claims for shortfalls pertaining to waste, be preserved.</w:t>
      </w:r>
    </w:p>
    <w:p w14:paraId="65F22511" w14:textId="77777777" w:rsidR="00A46611" w:rsidRPr="008302DE" w:rsidRDefault="00A46611" w:rsidP="00A46611">
      <w:pPr>
        <w:pStyle w:val="ListParagraph"/>
        <w:rPr>
          <w:rFonts w:ascii="Century Gothic" w:hAnsi="Century Gothic"/>
          <w:sz w:val="24"/>
          <w:szCs w:val="24"/>
          <w:lang w:val="en-GB"/>
        </w:rPr>
      </w:pPr>
    </w:p>
    <w:p w14:paraId="064C6FAB" w14:textId="29556B49" w:rsidR="00BD10AB" w:rsidRPr="008302DE" w:rsidRDefault="00BD10AB" w:rsidP="00A46611">
      <w:pPr>
        <w:pStyle w:val="ListParagraph"/>
        <w:spacing w:line="480" w:lineRule="auto"/>
        <w:jc w:val="both"/>
        <w:rPr>
          <w:rFonts w:ascii="Century Gothic" w:hAnsi="Century Gothic"/>
          <w:sz w:val="24"/>
          <w:szCs w:val="24"/>
          <w:lang w:val="en-GB"/>
        </w:rPr>
      </w:pPr>
    </w:p>
    <w:p w14:paraId="3687898E" w14:textId="2F52F5AE" w:rsidR="00A007BD" w:rsidRPr="008302DE" w:rsidRDefault="00FD4B77" w:rsidP="004331A5">
      <w:pPr>
        <w:pStyle w:val="ListParagraph"/>
        <w:numPr>
          <w:ilvl w:val="0"/>
          <w:numId w:val="1"/>
        </w:numPr>
        <w:spacing w:line="480" w:lineRule="auto"/>
        <w:ind w:hanging="644"/>
        <w:jc w:val="both"/>
        <w:rPr>
          <w:rFonts w:ascii="Century Gothic" w:hAnsi="Century Gothic"/>
          <w:sz w:val="24"/>
          <w:szCs w:val="24"/>
          <w:lang w:val="en-GB"/>
        </w:rPr>
      </w:pPr>
      <w:r w:rsidRPr="008302DE">
        <w:rPr>
          <w:rFonts w:ascii="Century Gothic" w:hAnsi="Century Gothic"/>
          <w:sz w:val="24"/>
          <w:szCs w:val="24"/>
          <w:lang w:val="en-GB"/>
        </w:rPr>
        <w:t>It is against this backdrop that t</w:t>
      </w:r>
      <w:r w:rsidR="00A007BD" w:rsidRPr="008302DE">
        <w:rPr>
          <w:rFonts w:ascii="Century Gothic" w:hAnsi="Century Gothic"/>
          <w:sz w:val="24"/>
          <w:szCs w:val="24"/>
          <w:lang w:val="en-GB"/>
        </w:rPr>
        <w:t xml:space="preserve">he </w:t>
      </w:r>
      <w:r w:rsidR="006B6862" w:rsidRPr="008302DE">
        <w:rPr>
          <w:rFonts w:ascii="Century Gothic" w:hAnsi="Century Gothic"/>
          <w:sz w:val="24"/>
          <w:szCs w:val="24"/>
          <w:lang w:val="en-GB"/>
        </w:rPr>
        <w:t xml:space="preserve">court </w:t>
      </w:r>
      <w:r w:rsidRPr="008302DE">
        <w:rPr>
          <w:rFonts w:ascii="Century Gothic" w:hAnsi="Century Gothic"/>
          <w:sz w:val="24"/>
          <w:szCs w:val="24"/>
          <w:lang w:val="en-GB"/>
        </w:rPr>
        <w:t>granted the order in the following terms:</w:t>
      </w:r>
    </w:p>
    <w:p w14:paraId="4072A251" w14:textId="77777777" w:rsidR="006B6862" w:rsidRPr="008302DE" w:rsidRDefault="006B6862" w:rsidP="006B6862">
      <w:pPr>
        <w:pStyle w:val="ListParagraph"/>
        <w:spacing w:line="480" w:lineRule="auto"/>
        <w:jc w:val="both"/>
        <w:rPr>
          <w:rFonts w:ascii="Century Gothic" w:hAnsi="Century Gothic"/>
          <w:sz w:val="24"/>
          <w:szCs w:val="24"/>
          <w:lang w:val="en-GB"/>
        </w:rPr>
      </w:pPr>
    </w:p>
    <w:p w14:paraId="27D2E737" w14:textId="621D296C" w:rsidR="00A007BD" w:rsidRPr="008302DE" w:rsidRDefault="00A007BD" w:rsidP="00A007BD">
      <w:pPr>
        <w:pStyle w:val="ListParagraph"/>
        <w:spacing w:line="480" w:lineRule="auto"/>
        <w:ind w:left="1440" w:hanging="720"/>
        <w:jc w:val="both"/>
        <w:rPr>
          <w:rFonts w:ascii="Century Gothic" w:hAnsi="Century Gothic"/>
          <w:i/>
          <w:iCs/>
          <w:sz w:val="24"/>
          <w:szCs w:val="24"/>
          <w:lang w:val="en-GB"/>
        </w:rPr>
      </w:pPr>
      <w:r w:rsidRPr="008302DE">
        <w:rPr>
          <w:rFonts w:ascii="Century Gothic" w:hAnsi="Century Gothic"/>
          <w:sz w:val="24"/>
          <w:szCs w:val="24"/>
          <w:lang w:val="en-GB"/>
        </w:rPr>
        <w:t>“</w:t>
      </w:r>
      <w:r w:rsidRPr="008302DE">
        <w:rPr>
          <w:rFonts w:ascii="Century Gothic" w:hAnsi="Century Gothic"/>
          <w:i/>
          <w:iCs/>
          <w:sz w:val="24"/>
          <w:szCs w:val="24"/>
          <w:lang w:val="en-GB"/>
        </w:rPr>
        <w:t>1.</w:t>
      </w:r>
      <w:r w:rsidRPr="008302DE">
        <w:rPr>
          <w:rFonts w:ascii="Century Gothic" w:hAnsi="Century Gothic"/>
          <w:i/>
          <w:iCs/>
          <w:sz w:val="24"/>
          <w:szCs w:val="24"/>
          <w:lang w:val="en-GB"/>
        </w:rPr>
        <w:tab/>
        <w:t xml:space="preserve">The decision taken by the first applicant’s Executive Acquisition Committee on 19 November 2015 and 26 June 2016 to </w:t>
      </w:r>
      <w:r w:rsidR="00C008F7" w:rsidRPr="008302DE">
        <w:rPr>
          <w:rFonts w:ascii="Century Gothic" w:hAnsi="Century Gothic"/>
          <w:i/>
          <w:iCs/>
          <w:sz w:val="24"/>
          <w:szCs w:val="24"/>
          <w:lang w:val="en-GB"/>
        </w:rPr>
        <w:t>i</w:t>
      </w:r>
      <w:r w:rsidRPr="008302DE">
        <w:rPr>
          <w:rFonts w:ascii="Century Gothic" w:hAnsi="Century Gothic"/>
          <w:i/>
          <w:iCs/>
          <w:sz w:val="24"/>
          <w:szCs w:val="24"/>
          <w:lang w:val="en-GB"/>
        </w:rPr>
        <w:t>nter alia resolve that the Municipal Manager dispense with the normal procurement processes, in terms of Regulation 36 of the Municipal Supply Chain Regulations, be declared constitutionally invalid and be set aside;</w:t>
      </w:r>
    </w:p>
    <w:p w14:paraId="2DA55879" w14:textId="2A69D848" w:rsidR="00A007BD" w:rsidRPr="008302DE" w:rsidRDefault="00A007BD" w:rsidP="00A007BD">
      <w:pPr>
        <w:spacing w:line="480" w:lineRule="auto"/>
        <w:ind w:left="1440" w:hanging="640"/>
        <w:jc w:val="both"/>
        <w:rPr>
          <w:rFonts w:ascii="Century Gothic" w:hAnsi="Century Gothic"/>
          <w:i/>
          <w:iCs/>
          <w:sz w:val="24"/>
          <w:szCs w:val="24"/>
          <w:lang w:val="en-GB"/>
        </w:rPr>
      </w:pPr>
      <w:r w:rsidRPr="008302DE">
        <w:rPr>
          <w:rFonts w:ascii="Century Gothic" w:hAnsi="Century Gothic"/>
          <w:i/>
          <w:iCs/>
          <w:sz w:val="24"/>
          <w:szCs w:val="24"/>
          <w:lang w:val="en-GB"/>
        </w:rPr>
        <w:lastRenderedPageBreak/>
        <w:t>2.</w:t>
      </w:r>
      <w:r w:rsidRPr="008302DE">
        <w:rPr>
          <w:rFonts w:ascii="Century Gothic" w:hAnsi="Century Gothic"/>
          <w:i/>
          <w:iCs/>
          <w:sz w:val="24"/>
          <w:szCs w:val="24"/>
          <w:lang w:val="en-GB"/>
        </w:rPr>
        <w:tab/>
        <w:t xml:space="preserve">The decision by the erstwhile Municipal Manager to dispense with the normal procurement processes, in terms of Regulation 36 of the Municipal Supply Chain Regulations, so that the respondent could be appointed by the first applicant to provide a transfer station service for Regions </w:t>
      </w:r>
      <w:r w:rsidR="00CB68FC" w:rsidRPr="008302DE">
        <w:rPr>
          <w:rFonts w:ascii="Century Gothic" w:hAnsi="Century Gothic"/>
          <w:i/>
          <w:iCs/>
          <w:sz w:val="24"/>
          <w:szCs w:val="24"/>
          <w:lang w:val="en-GB"/>
        </w:rPr>
        <w:t>3</w:t>
      </w:r>
      <w:r w:rsidRPr="008302DE">
        <w:rPr>
          <w:rFonts w:ascii="Century Gothic" w:hAnsi="Century Gothic"/>
          <w:i/>
          <w:iCs/>
          <w:sz w:val="24"/>
          <w:szCs w:val="24"/>
          <w:lang w:val="en-GB"/>
        </w:rPr>
        <w:t xml:space="preserve"> and </w:t>
      </w:r>
      <w:r w:rsidR="00CB68FC" w:rsidRPr="008302DE">
        <w:rPr>
          <w:rFonts w:ascii="Century Gothic" w:hAnsi="Century Gothic"/>
          <w:i/>
          <w:iCs/>
          <w:sz w:val="24"/>
          <w:szCs w:val="24"/>
          <w:lang w:val="en-GB"/>
        </w:rPr>
        <w:t>4</w:t>
      </w:r>
      <w:r w:rsidRPr="008302DE">
        <w:rPr>
          <w:rFonts w:ascii="Century Gothic" w:hAnsi="Century Gothic"/>
          <w:i/>
          <w:iCs/>
          <w:sz w:val="24"/>
          <w:szCs w:val="24"/>
          <w:lang w:val="en-GB"/>
        </w:rPr>
        <w:t>, be declared constitutionally invalid and be set aside;</w:t>
      </w:r>
    </w:p>
    <w:p w14:paraId="1553817B" w14:textId="69B34629" w:rsidR="00A007BD" w:rsidRPr="008302DE" w:rsidRDefault="00A007BD" w:rsidP="00A007BD">
      <w:pPr>
        <w:spacing w:line="480" w:lineRule="auto"/>
        <w:ind w:left="1440" w:hanging="640"/>
        <w:jc w:val="both"/>
        <w:rPr>
          <w:rFonts w:ascii="Century Gothic" w:hAnsi="Century Gothic"/>
          <w:i/>
          <w:iCs/>
          <w:sz w:val="24"/>
          <w:szCs w:val="24"/>
          <w:lang w:val="en-GB"/>
        </w:rPr>
      </w:pPr>
      <w:r w:rsidRPr="008302DE">
        <w:rPr>
          <w:rFonts w:ascii="Century Gothic" w:hAnsi="Century Gothic"/>
          <w:i/>
          <w:iCs/>
          <w:sz w:val="24"/>
          <w:szCs w:val="24"/>
          <w:lang w:val="en-GB"/>
        </w:rPr>
        <w:t>3.</w:t>
      </w:r>
      <w:r w:rsidRPr="008302DE">
        <w:rPr>
          <w:rFonts w:ascii="Century Gothic" w:hAnsi="Century Gothic"/>
          <w:i/>
          <w:iCs/>
          <w:sz w:val="24"/>
          <w:szCs w:val="24"/>
          <w:lang w:val="en-GB"/>
        </w:rPr>
        <w:tab/>
        <w:t>The three-year service agreement entered into on 10 August 2016 by the first applicant and the respondent,</w:t>
      </w:r>
      <w:r w:rsidR="00797E1B" w:rsidRPr="008302DE">
        <w:rPr>
          <w:rFonts w:ascii="Century Gothic" w:hAnsi="Century Gothic"/>
          <w:i/>
          <w:iCs/>
          <w:sz w:val="24"/>
          <w:szCs w:val="24"/>
          <w:lang w:val="en-GB"/>
        </w:rPr>
        <w:t xml:space="preserve"> for</w:t>
      </w:r>
      <w:r w:rsidRPr="008302DE">
        <w:rPr>
          <w:rFonts w:ascii="Century Gothic" w:hAnsi="Century Gothic"/>
          <w:i/>
          <w:iCs/>
          <w:sz w:val="24"/>
          <w:szCs w:val="24"/>
          <w:lang w:val="en-GB"/>
        </w:rPr>
        <w:t xml:space="preserve"> the rendering of waste processing services to the first applicant, in respect of recyclable and non</w:t>
      </w:r>
      <w:r w:rsidR="00797E1B" w:rsidRPr="008302DE">
        <w:rPr>
          <w:rFonts w:ascii="Century Gothic" w:hAnsi="Century Gothic"/>
          <w:i/>
          <w:iCs/>
          <w:sz w:val="24"/>
          <w:szCs w:val="24"/>
          <w:lang w:val="en-GB"/>
        </w:rPr>
        <w:t>-</w:t>
      </w:r>
      <w:r w:rsidRPr="008302DE">
        <w:rPr>
          <w:rFonts w:ascii="Century Gothic" w:hAnsi="Century Gothic"/>
          <w:i/>
          <w:iCs/>
          <w:sz w:val="24"/>
          <w:szCs w:val="24"/>
          <w:lang w:val="en-GB"/>
        </w:rPr>
        <w:t>recyclable waste, be declared constitutionally invalid;</w:t>
      </w:r>
    </w:p>
    <w:p w14:paraId="4CE6B62F" w14:textId="0526F615" w:rsidR="00A007BD" w:rsidRPr="008302DE" w:rsidRDefault="00A007BD" w:rsidP="00A007BD">
      <w:pPr>
        <w:spacing w:line="480" w:lineRule="auto"/>
        <w:ind w:left="1440" w:hanging="640"/>
        <w:jc w:val="both"/>
        <w:rPr>
          <w:rFonts w:ascii="Century Gothic" w:hAnsi="Century Gothic"/>
          <w:i/>
          <w:iCs/>
          <w:sz w:val="24"/>
          <w:szCs w:val="24"/>
          <w:lang w:val="en-GB"/>
        </w:rPr>
      </w:pPr>
      <w:r w:rsidRPr="008302DE">
        <w:rPr>
          <w:rFonts w:ascii="Century Gothic" w:hAnsi="Century Gothic"/>
          <w:i/>
          <w:iCs/>
          <w:sz w:val="24"/>
          <w:szCs w:val="24"/>
          <w:lang w:val="en-GB"/>
        </w:rPr>
        <w:t>4.</w:t>
      </w:r>
      <w:r w:rsidRPr="008302DE">
        <w:rPr>
          <w:rFonts w:ascii="Century Gothic" w:hAnsi="Century Gothic"/>
          <w:i/>
          <w:iCs/>
          <w:sz w:val="24"/>
          <w:szCs w:val="24"/>
          <w:lang w:val="en-GB"/>
        </w:rPr>
        <w:tab/>
      </w:r>
      <w:r w:rsidR="00797E1B" w:rsidRPr="008302DE">
        <w:rPr>
          <w:rFonts w:ascii="Century Gothic" w:hAnsi="Century Gothic"/>
          <w:i/>
          <w:iCs/>
          <w:sz w:val="24"/>
          <w:szCs w:val="24"/>
          <w:lang w:val="en-GB"/>
        </w:rPr>
        <w:t>It is d</w:t>
      </w:r>
      <w:r w:rsidRPr="008302DE">
        <w:rPr>
          <w:rFonts w:ascii="Century Gothic" w:hAnsi="Century Gothic"/>
          <w:i/>
          <w:iCs/>
          <w:sz w:val="24"/>
          <w:szCs w:val="24"/>
          <w:lang w:val="en-GB"/>
        </w:rPr>
        <w:t>eclared that any rights which may already have accrued prior to the cancellation of the service agreement and to which the respondent would be entitled under the impugned service agreement of 10 August 2016, save for any rights to any claim for loss of profit and claim for shortfalls pertaining to waste, be preserved;</w:t>
      </w:r>
    </w:p>
    <w:p w14:paraId="72891968" w14:textId="6F63054C" w:rsidR="00A007BD" w:rsidRPr="008302DE" w:rsidRDefault="00A007BD" w:rsidP="00A007BD">
      <w:pPr>
        <w:spacing w:line="480" w:lineRule="auto"/>
        <w:ind w:left="1440" w:hanging="640"/>
        <w:jc w:val="both"/>
        <w:rPr>
          <w:rFonts w:ascii="Century Gothic" w:hAnsi="Century Gothic"/>
          <w:sz w:val="24"/>
          <w:szCs w:val="24"/>
          <w:lang w:val="en-GB"/>
        </w:rPr>
      </w:pPr>
      <w:r w:rsidRPr="008302DE">
        <w:rPr>
          <w:rFonts w:ascii="Century Gothic" w:hAnsi="Century Gothic"/>
          <w:i/>
          <w:iCs/>
          <w:sz w:val="24"/>
          <w:szCs w:val="24"/>
          <w:lang w:val="en-GB"/>
        </w:rPr>
        <w:t>5.</w:t>
      </w:r>
      <w:r w:rsidRPr="008302DE">
        <w:rPr>
          <w:rFonts w:ascii="Century Gothic" w:hAnsi="Century Gothic"/>
          <w:i/>
          <w:iCs/>
          <w:sz w:val="24"/>
          <w:szCs w:val="24"/>
          <w:lang w:val="en-GB"/>
        </w:rPr>
        <w:tab/>
        <w:t>No order as to costs be made.”</w:t>
      </w:r>
      <w:r w:rsidRPr="008302DE">
        <w:rPr>
          <w:rFonts w:ascii="Century Gothic" w:hAnsi="Century Gothic"/>
          <w:sz w:val="24"/>
          <w:szCs w:val="24"/>
          <w:lang w:val="en-GB"/>
        </w:rPr>
        <w:tab/>
      </w:r>
    </w:p>
    <w:p w14:paraId="0F936FD8" w14:textId="77777777" w:rsidR="00EF7B35" w:rsidRPr="008302DE" w:rsidRDefault="00EF7B35" w:rsidP="00A007BD">
      <w:pPr>
        <w:spacing w:line="480" w:lineRule="auto"/>
        <w:ind w:left="1440" w:hanging="640"/>
        <w:jc w:val="both"/>
        <w:rPr>
          <w:rFonts w:ascii="Century Gothic" w:hAnsi="Century Gothic"/>
          <w:sz w:val="24"/>
          <w:szCs w:val="24"/>
          <w:lang w:val="en-GB"/>
        </w:rPr>
      </w:pPr>
    </w:p>
    <w:p w14:paraId="025B5F67" w14:textId="6BE42F89" w:rsidR="005F66AA" w:rsidRPr="008302DE" w:rsidRDefault="005F66AA" w:rsidP="00EF7B35">
      <w:pPr>
        <w:pStyle w:val="ListParagraph"/>
        <w:numPr>
          <w:ilvl w:val="0"/>
          <w:numId w:val="1"/>
        </w:numPr>
        <w:spacing w:line="480" w:lineRule="auto"/>
        <w:ind w:hanging="578"/>
        <w:jc w:val="both"/>
        <w:rPr>
          <w:rFonts w:ascii="Century Gothic" w:hAnsi="Century Gothic"/>
          <w:sz w:val="24"/>
          <w:szCs w:val="24"/>
          <w:lang w:val="en-GB"/>
        </w:rPr>
      </w:pPr>
      <w:r w:rsidRPr="008302DE">
        <w:rPr>
          <w:rFonts w:ascii="Century Gothic" w:hAnsi="Century Gothic"/>
          <w:sz w:val="24"/>
          <w:szCs w:val="24"/>
          <w:lang w:val="en-GB"/>
        </w:rPr>
        <w:t xml:space="preserve">After the judgment </w:t>
      </w:r>
      <w:r w:rsidR="00243A26" w:rsidRPr="008302DE">
        <w:rPr>
          <w:rFonts w:ascii="Century Gothic" w:hAnsi="Century Gothic"/>
          <w:sz w:val="24"/>
          <w:szCs w:val="24"/>
          <w:lang w:val="en-GB"/>
        </w:rPr>
        <w:t xml:space="preserve">and order </w:t>
      </w:r>
      <w:r w:rsidRPr="008302DE">
        <w:rPr>
          <w:rFonts w:ascii="Century Gothic" w:hAnsi="Century Gothic"/>
          <w:sz w:val="24"/>
          <w:szCs w:val="24"/>
          <w:lang w:val="en-GB"/>
        </w:rPr>
        <w:t>of Van der Westhuizen J was handed down, New GX amended its statement of clai</w:t>
      </w:r>
      <w:r w:rsidR="00243A26" w:rsidRPr="008302DE">
        <w:rPr>
          <w:rFonts w:ascii="Century Gothic" w:hAnsi="Century Gothic"/>
          <w:sz w:val="24"/>
          <w:szCs w:val="24"/>
          <w:lang w:val="en-GB"/>
        </w:rPr>
        <w:t>m</w:t>
      </w:r>
      <w:r w:rsidR="00BC6E16" w:rsidRPr="008302DE">
        <w:rPr>
          <w:rFonts w:ascii="Century Gothic" w:hAnsi="Century Gothic"/>
          <w:sz w:val="24"/>
          <w:szCs w:val="24"/>
          <w:lang w:val="en-GB"/>
        </w:rPr>
        <w:t xml:space="preserve"> in the arbitration proceedings</w:t>
      </w:r>
      <w:r w:rsidR="00243A26" w:rsidRPr="008302DE">
        <w:rPr>
          <w:rFonts w:ascii="Century Gothic" w:hAnsi="Century Gothic"/>
          <w:sz w:val="24"/>
          <w:szCs w:val="24"/>
          <w:lang w:val="en-GB"/>
        </w:rPr>
        <w:t xml:space="preserve">. The COT delivered an amended statement of defence, </w:t>
      </w:r>
      <w:r w:rsidR="00243A26" w:rsidRPr="008302DE">
        <w:rPr>
          <w:rFonts w:ascii="Century Gothic" w:hAnsi="Century Gothic"/>
          <w:sz w:val="24"/>
          <w:szCs w:val="24"/>
          <w:lang w:val="en-GB"/>
        </w:rPr>
        <w:lastRenderedPageBreak/>
        <w:t xml:space="preserve">asserting that the amounts claimed by New GX were in excess of that allowed by the scope of paragraph 4 of the order of Van der Westhuizen J.  </w:t>
      </w:r>
    </w:p>
    <w:p w14:paraId="46F07C6B" w14:textId="77777777" w:rsidR="00A007BD" w:rsidRPr="008302DE" w:rsidRDefault="00A007BD" w:rsidP="00A007BD">
      <w:pPr>
        <w:spacing w:line="480" w:lineRule="auto"/>
        <w:jc w:val="both"/>
        <w:rPr>
          <w:rFonts w:ascii="Century Gothic" w:hAnsi="Century Gothic"/>
          <w:sz w:val="24"/>
          <w:szCs w:val="24"/>
          <w:lang w:val="en-GB"/>
        </w:rPr>
      </w:pPr>
    </w:p>
    <w:p w14:paraId="02D3FE7B" w14:textId="48140587" w:rsidR="00D81C87" w:rsidRDefault="00243A26" w:rsidP="00D81C87">
      <w:pPr>
        <w:pStyle w:val="ListParagraph"/>
        <w:numPr>
          <w:ilvl w:val="0"/>
          <w:numId w:val="1"/>
        </w:numPr>
        <w:spacing w:line="480" w:lineRule="auto"/>
        <w:ind w:hanging="578"/>
        <w:jc w:val="both"/>
        <w:rPr>
          <w:rFonts w:ascii="Century Gothic" w:hAnsi="Century Gothic"/>
          <w:sz w:val="24"/>
          <w:szCs w:val="24"/>
          <w:lang w:val="en-GB"/>
        </w:rPr>
      </w:pPr>
      <w:r w:rsidRPr="008302DE">
        <w:rPr>
          <w:rFonts w:ascii="Century Gothic" w:hAnsi="Century Gothic"/>
          <w:sz w:val="24"/>
          <w:szCs w:val="24"/>
          <w:lang w:val="en-GB"/>
        </w:rPr>
        <w:t>In view of the nature of the dispute which arose from the parties</w:t>
      </w:r>
      <w:r w:rsidR="00EF7B35" w:rsidRPr="008302DE">
        <w:rPr>
          <w:rFonts w:ascii="Century Gothic" w:hAnsi="Century Gothic"/>
          <w:sz w:val="24"/>
          <w:szCs w:val="24"/>
          <w:lang w:val="en-GB"/>
        </w:rPr>
        <w:t>’</w:t>
      </w:r>
      <w:r w:rsidRPr="008302DE">
        <w:rPr>
          <w:rFonts w:ascii="Century Gothic" w:hAnsi="Century Gothic"/>
          <w:sz w:val="24"/>
          <w:szCs w:val="24"/>
          <w:lang w:val="en-GB"/>
        </w:rPr>
        <w:t xml:space="preserve"> amended statements, the COT applied to the arbitrator, the second respondent herein, for a ruling</w:t>
      </w:r>
      <w:r w:rsidR="00EF7B35" w:rsidRPr="008302DE">
        <w:rPr>
          <w:rFonts w:ascii="Century Gothic" w:hAnsi="Century Gothic"/>
          <w:sz w:val="24"/>
          <w:szCs w:val="24"/>
          <w:lang w:val="en-GB"/>
        </w:rPr>
        <w:t xml:space="preserve"> in terms of article 10.1.2 and/or 10.1.3 of the </w:t>
      </w:r>
      <w:r w:rsidR="003B1105" w:rsidRPr="008302DE">
        <w:rPr>
          <w:rFonts w:ascii="Century Gothic" w:hAnsi="Century Gothic"/>
          <w:sz w:val="24"/>
          <w:szCs w:val="24"/>
          <w:lang w:val="en-GB"/>
        </w:rPr>
        <w:t xml:space="preserve">Rules of the </w:t>
      </w:r>
      <w:r w:rsidR="00EF7B35" w:rsidRPr="008302DE">
        <w:rPr>
          <w:rFonts w:ascii="Century Gothic" w:hAnsi="Century Gothic"/>
          <w:sz w:val="24"/>
          <w:szCs w:val="24"/>
          <w:lang w:val="en-GB"/>
        </w:rPr>
        <w:t>Arbitration Foundation of South Africa (AFSA)</w:t>
      </w:r>
      <w:r w:rsidRPr="008302DE">
        <w:rPr>
          <w:rFonts w:ascii="Century Gothic" w:hAnsi="Century Gothic"/>
          <w:sz w:val="24"/>
          <w:szCs w:val="24"/>
          <w:lang w:val="en-GB"/>
        </w:rPr>
        <w:t>.</w:t>
      </w:r>
    </w:p>
    <w:p w14:paraId="198A331E" w14:textId="77777777" w:rsidR="00DA75A5" w:rsidRPr="00DA75A5" w:rsidRDefault="00DA75A5" w:rsidP="00DA75A5">
      <w:pPr>
        <w:pStyle w:val="ListParagraph"/>
        <w:rPr>
          <w:rFonts w:ascii="Century Gothic" w:hAnsi="Century Gothic"/>
          <w:sz w:val="24"/>
          <w:szCs w:val="24"/>
          <w:lang w:val="en-GB"/>
        </w:rPr>
      </w:pPr>
    </w:p>
    <w:p w14:paraId="1EB825AD" w14:textId="77777777" w:rsidR="00DA75A5" w:rsidRPr="008302DE" w:rsidRDefault="00DA75A5" w:rsidP="00DA75A5">
      <w:pPr>
        <w:pStyle w:val="ListParagraph"/>
        <w:spacing w:line="480" w:lineRule="auto"/>
        <w:jc w:val="both"/>
        <w:rPr>
          <w:rFonts w:ascii="Century Gothic" w:hAnsi="Century Gothic"/>
          <w:sz w:val="24"/>
          <w:szCs w:val="24"/>
          <w:lang w:val="en-GB"/>
        </w:rPr>
      </w:pPr>
    </w:p>
    <w:p w14:paraId="7F6CF1DD" w14:textId="50677FF8" w:rsidR="00D81C87" w:rsidRDefault="00D81C87" w:rsidP="00D81C87">
      <w:pPr>
        <w:spacing w:line="480" w:lineRule="auto"/>
        <w:jc w:val="both"/>
        <w:rPr>
          <w:rFonts w:ascii="Century Gothic" w:hAnsi="Century Gothic"/>
          <w:b/>
          <w:bCs/>
          <w:sz w:val="24"/>
          <w:szCs w:val="24"/>
          <w:lang w:val="en-GB"/>
        </w:rPr>
      </w:pPr>
      <w:r w:rsidRPr="008302DE">
        <w:rPr>
          <w:rFonts w:ascii="Century Gothic" w:hAnsi="Century Gothic"/>
          <w:b/>
          <w:bCs/>
          <w:sz w:val="24"/>
          <w:szCs w:val="24"/>
          <w:lang w:val="en-GB"/>
        </w:rPr>
        <w:t xml:space="preserve">Rulings sought by </w:t>
      </w:r>
      <w:r w:rsidR="00854830">
        <w:rPr>
          <w:rFonts w:ascii="Century Gothic" w:hAnsi="Century Gothic"/>
          <w:b/>
          <w:bCs/>
          <w:sz w:val="24"/>
          <w:szCs w:val="24"/>
          <w:lang w:val="en-GB"/>
        </w:rPr>
        <w:t xml:space="preserve">the </w:t>
      </w:r>
      <w:r w:rsidRPr="008302DE">
        <w:rPr>
          <w:rFonts w:ascii="Century Gothic" w:hAnsi="Century Gothic"/>
          <w:b/>
          <w:bCs/>
          <w:sz w:val="24"/>
          <w:szCs w:val="24"/>
          <w:lang w:val="en-GB"/>
        </w:rPr>
        <w:t>COT</w:t>
      </w:r>
    </w:p>
    <w:p w14:paraId="7B018871" w14:textId="77777777" w:rsidR="00DA75A5" w:rsidRPr="008302DE" w:rsidRDefault="00DA75A5" w:rsidP="00D81C87">
      <w:pPr>
        <w:spacing w:line="480" w:lineRule="auto"/>
        <w:jc w:val="both"/>
        <w:rPr>
          <w:rFonts w:ascii="Century Gothic" w:hAnsi="Century Gothic"/>
          <w:b/>
          <w:bCs/>
          <w:sz w:val="24"/>
          <w:szCs w:val="24"/>
          <w:lang w:val="en-GB"/>
        </w:rPr>
      </w:pPr>
    </w:p>
    <w:p w14:paraId="19974264" w14:textId="6C95898B" w:rsidR="00243A26" w:rsidRPr="008302DE" w:rsidRDefault="00243A26" w:rsidP="00D81C87">
      <w:pPr>
        <w:pStyle w:val="ListParagraph"/>
        <w:numPr>
          <w:ilvl w:val="0"/>
          <w:numId w:val="1"/>
        </w:numPr>
        <w:spacing w:line="480" w:lineRule="auto"/>
        <w:ind w:hanging="578"/>
        <w:jc w:val="both"/>
        <w:rPr>
          <w:rFonts w:ascii="Century Gothic" w:hAnsi="Century Gothic"/>
          <w:sz w:val="24"/>
          <w:szCs w:val="24"/>
          <w:lang w:val="en-GB"/>
        </w:rPr>
      </w:pPr>
      <w:r w:rsidRPr="008302DE">
        <w:rPr>
          <w:rFonts w:ascii="Century Gothic" w:hAnsi="Century Gothic"/>
          <w:sz w:val="24"/>
          <w:szCs w:val="24"/>
          <w:lang w:val="en-GB"/>
        </w:rPr>
        <w:t>The rulings sought by the COT were:</w:t>
      </w:r>
    </w:p>
    <w:p w14:paraId="4A21C52B" w14:textId="77777777" w:rsidR="00243A26" w:rsidRPr="008302DE" w:rsidRDefault="00243A26" w:rsidP="00243A26">
      <w:pPr>
        <w:pStyle w:val="ListParagraph"/>
        <w:rPr>
          <w:rFonts w:ascii="Century Gothic" w:hAnsi="Century Gothic"/>
          <w:sz w:val="24"/>
          <w:szCs w:val="24"/>
          <w:lang w:val="en-GB"/>
        </w:rPr>
      </w:pPr>
    </w:p>
    <w:p w14:paraId="61425E1F" w14:textId="3D74712C" w:rsidR="00243A26" w:rsidRPr="008302DE" w:rsidRDefault="00B23E47" w:rsidP="00B23E47">
      <w:pPr>
        <w:spacing w:line="480" w:lineRule="auto"/>
        <w:ind w:left="2160" w:hanging="720"/>
        <w:jc w:val="both"/>
        <w:rPr>
          <w:rFonts w:ascii="Century Gothic" w:hAnsi="Century Gothic"/>
          <w:i/>
          <w:iCs/>
          <w:sz w:val="24"/>
          <w:szCs w:val="24"/>
          <w:lang w:val="en-GB"/>
        </w:rPr>
      </w:pPr>
      <w:r w:rsidRPr="008302DE">
        <w:rPr>
          <w:rFonts w:ascii="Century Gothic" w:hAnsi="Century Gothic"/>
          <w:sz w:val="24"/>
          <w:szCs w:val="24"/>
          <w:lang w:val="en-GB"/>
        </w:rPr>
        <w:t>“</w:t>
      </w:r>
      <w:r w:rsidRPr="008302DE">
        <w:rPr>
          <w:rFonts w:ascii="Century Gothic" w:hAnsi="Century Gothic"/>
          <w:i/>
          <w:iCs/>
          <w:sz w:val="24"/>
          <w:szCs w:val="24"/>
          <w:lang w:val="en-GB"/>
        </w:rPr>
        <w:t>6.1.1</w:t>
      </w:r>
      <w:r w:rsidRPr="008302DE">
        <w:rPr>
          <w:rFonts w:ascii="Century Gothic" w:hAnsi="Century Gothic"/>
          <w:i/>
          <w:iCs/>
          <w:sz w:val="24"/>
          <w:szCs w:val="24"/>
          <w:lang w:val="en-GB"/>
        </w:rPr>
        <w:tab/>
      </w:r>
      <w:r w:rsidR="00880581" w:rsidRPr="008302DE">
        <w:rPr>
          <w:rFonts w:ascii="Century Gothic" w:hAnsi="Century Gothic"/>
          <w:i/>
          <w:iCs/>
          <w:sz w:val="24"/>
          <w:szCs w:val="24"/>
          <w:lang w:val="en-GB"/>
        </w:rPr>
        <w:t>Whether the judgment of Van der Westhuizen J has had the effect of nullifying the entire arbitration agreement, and a ruling on whether the remaining disputes arising from paragraph 4 of Van der Westhuizen J may be decided on arbitration (even by consent);</w:t>
      </w:r>
    </w:p>
    <w:p w14:paraId="1BC200BD" w14:textId="0C59A6A1" w:rsidR="00880581" w:rsidRPr="008302DE" w:rsidRDefault="00B23E47" w:rsidP="00B23E47">
      <w:pPr>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t>6.1.2</w:t>
      </w:r>
      <w:r w:rsidRPr="008302DE">
        <w:rPr>
          <w:rFonts w:ascii="Century Gothic" w:hAnsi="Century Gothic"/>
          <w:i/>
          <w:iCs/>
          <w:sz w:val="24"/>
          <w:szCs w:val="24"/>
          <w:lang w:val="en-GB"/>
        </w:rPr>
        <w:tab/>
      </w:r>
      <w:r w:rsidR="003447B5" w:rsidRPr="008302DE">
        <w:rPr>
          <w:rFonts w:ascii="Century Gothic" w:hAnsi="Century Gothic"/>
          <w:i/>
          <w:iCs/>
          <w:sz w:val="24"/>
          <w:szCs w:val="24"/>
          <w:lang w:val="en-GB"/>
        </w:rPr>
        <w:t>A</w:t>
      </w:r>
      <w:r w:rsidRPr="008302DE">
        <w:rPr>
          <w:rFonts w:ascii="Century Gothic" w:hAnsi="Century Gothic"/>
          <w:i/>
          <w:iCs/>
          <w:sz w:val="24"/>
          <w:szCs w:val="24"/>
          <w:lang w:val="en-GB"/>
        </w:rPr>
        <w:t xml:space="preserve"> ruling that only evidence relevant to accrued rights prior to cancellation may be adduced;</w:t>
      </w:r>
    </w:p>
    <w:p w14:paraId="2E25CC41" w14:textId="4526C0E8" w:rsidR="003447B5" w:rsidRPr="008302DE" w:rsidRDefault="00B23E47" w:rsidP="00B23E47">
      <w:pPr>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lastRenderedPageBreak/>
        <w:t>6.1.3</w:t>
      </w:r>
      <w:r w:rsidRPr="008302DE">
        <w:rPr>
          <w:rFonts w:ascii="Century Gothic" w:hAnsi="Century Gothic"/>
          <w:i/>
          <w:iCs/>
          <w:sz w:val="24"/>
          <w:szCs w:val="24"/>
          <w:lang w:val="en-GB"/>
        </w:rPr>
        <w:tab/>
      </w:r>
      <w:r w:rsidR="003447B5" w:rsidRPr="008302DE">
        <w:rPr>
          <w:rFonts w:ascii="Century Gothic" w:hAnsi="Century Gothic"/>
          <w:i/>
          <w:iCs/>
          <w:sz w:val="24"/>
          <w:szCs w:val="24"/>
          <w:lang w:val="en-GB"/>
        </w:rPr>
        <w:t>That, save for the first line item in “O” read with Schedule A, the claim as currently formulated by the claimant falls outside the ambit of j</w:t>
      </w:r>
      <w:r w:rsidR="004E6E32">
        <w:rPr>
          <w:rFonts w:ascii="Century Gothic" w:hAnsi="Century Gothic"/>
          <w:i/>
          <w:iCs/>
          <w:sz w:val="24"/>
          <w:szCs w:val="24"/>
          <w:lang w:val="en-GB"/>
        </w:rPr>
        <w:t>us</w:t>
      </w:r>
      <w:r w:rsidR="003447B5" w:rsidRPr="008302DE">
        <w:rPr>
          <w:rFonts w:ascii="Century Gothic" w:hAnsi="Century Gothic"/>
          <w:i/>
          <w:iCs/>
          <w:sz w:val="24"/>
          <w:szCs w:val="24"/>
          <w:lang w:val="en-GB"/>
        </w:rPr>
        <w:t>ticiab</w:t>
      </w:r>
      <w:r w:rsidR="004E6E32">
        <w:rPr>
          <w:rFonts w:ascii="Century Gothic" w:hAnsi="Century Gothic"/>
          <w:i/>
          <w:iCs/>
          <w:sz w:val="24"/>
          <w:szCs w:val="24"/>
          <w:lang w:val="en-GB"/>
        </w:rPr>
        <w:t>l</w:t>
      </w:r>
      <w:r w:rsidR="003447B5" w:rsidRPr="008302DE">
        <w:rPr>
          <w:rFonts w:ascii="Century Gothic" w:hAnsi="Century Gothic"/>
          <w:i/>
          <w:iCs/>
          <w:sz w:val="24"/>
          <w:szCs w:val="24"/>
          <w:lang w:val="en-GB"/>
        </w:rPr>
        <w:t>e disputes;</w:t>
      </w:r>
    </w:p>
    <w:p w14:paraId="44DE8A52" w14:textId="20330F5D" w:rsidR="00B23E47" w:rsidRPr="008302DE" w:rsidRDefault="003447B5" w:rsidP="00B23E47">
      <w:pPr>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t>6.1.4</w:t>
      </w:r>
      <w:r w:rsidRPr="008302DE">
        <w:rPr>
          <w:rFonts w:ascii="Century Gothic" w:hAnsi="Century Gothic"/>
          <w:i/>
          <w:iCs/>
          <w:sz w:val="24"/>
          <w:szCs w:val="24"/>
          <w:lang w:val="en-GB"/>
        </w:rPr>
        <w:tab/>
        <w:t>T</w:t>
      </w:r>
      <w:r w:rsidR="00B23E47" w:rsidRPr="008302DE">
        <w:rPr>
          <w:rFonts w:ascii="Century Gothic" w:hAnsi="Century Gothic"/>
          <w:i/>
          <w:iCs/>
          <w:sz w:val="24"/>
          <w:szCs w:val="24"/>
          <w:lang w:val="en-GB"/>
        </w:rPr>
        <w:t>hat, save for the first line item in “O” to the statement of claim, in which the heads of damages and line items of damages claimed, fall within the ambit of what remains ju</w:t>
      </w:r>
      <w:r w:rsidR="004E6E32">
        <w:rPr>
          <w:rFonts w:ascii="Century Gothic" w:hAnsi="Century Gothic"/>
          <w:i/>
          <w:iCs/>
          <w:sz w:val="24"/>
          <w:szCs w:val="24"/>
          <w:lang w:val="en-GB"/>
        </w:rPr>
        <w:t>stic</w:t>
      </w:r>
      <w:r w:rsidR="00B23E47" w:rsidRPr="008302DE">
        <w:rPr>
          <w:rFonts w:ascii="Century Gothic" w:hAnsi="Century Gothic"/>
          <w:i/>
          <w:iCs/>
          <w:sz w:val="24"/>
          <w:szCs w:val="24"/>
          <w:lang w:val="en-GB"/>
        </w:rPr>
        <w:t>iable and arbitrable.</w:t>
      </w:r>
    </w:p>
    <w:p w14:paraId="2B814C5C" w14:textId="0BCC35AE" w:rsidR="00834D99" w:rsidRPr="008302DE" w:rsidRDefault="00B23E47" w:rsidP="00D81C87">
      <w:pPr>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t>6.1.5</w:t>
      </w:r>
      <w:r w:rsidRPr="008302DE">
        <w:rPr>
          <w:rFonts w:ascii="Century Gothic" w:hAnsi="Century Gothic"/>
          <w:i/>
          <w:iCs/>
          <w:sz w:val="24"/>
          <w:szCs w:val="24"/>
          <w:lang w:val="en-GB"/>
        </w:rPr>
        <w:tab/>
      </w:r>
      <w:r w:rsidR="00E351FC" w:rsidRPr="008302DE">
        <w:rPr>
          <w:rFonts w:ascii="Century Gothic" w:hAnsi="Century Gothic"/>
          <w:i/>
          <w:iCs/>
          <w:sz w:val="24"/>
          <w:szCs w:val="24"/>
          <w:lang w:val="en-GB"/>
        </w:rPr>
        <w:t>C</w:t>
      </w:r>
      <w:r w:rsidRPr="008302DE">
        <w:rPr>
          <w:rFonts w:ascii="Century Gothic" w:hAnsi="Century Gothic"/>
          <w:i/>
          <w:iCs/>
          <w:sz w:val="24"/>
          <w:szCs w:val="24"/>
          <w:lang w:val="en-GB"/>
        </w:rPr>
        <w:t>osts, in the event of opposition, including the costs of two counsel.”</w:t>
      </w:r>
      <w:r w:rsidR="004A24E4" w:rsidRPr="008302DE">
        <w:rPr>
          <w:rFonts w:ascii="Century Gothic" w:hAnsi="Century Gothic"/>
          <w:i/>
          <w:iCs/>
          <w:sz w:val="24"/>
          <w:szCs w:val="24"/>
          <w:lang w:val="en-GB"/>
        </w:rPr>
        <w:t xml:space="preserve"> (sic)</w:t>
      </w:r>
    </w:p>
    <w:p w14:paraId="4474AEDC" w14:textId="77777777" w:rsidR="00D81C87" w:rsidRPr="008302DE" w:rsidRDefault="00D81C87" w:rsidP="00D81C87">
      <w:pPr>
        <w:spacing w:line="480" w:lineRule="auto"/>
        <w:ind w:left="2160" w:hanging="720"/>
        <w:jc w:val="both"/>
        <w:rPr>
          <w:rFonts w:ascii="Century Gothic" w:hAnsi="Century Gothic"/>
          <w:i/>
          <w:iCs/>
          <w:sz w:val="24"/>
          <w:szCs w:val="24"/>
          <w:lang w:val="en-GB"/>
        </w:rPr>
      </w:pPr>
    </w:p>
    <w:p w14:paraId="393AC327" w14:textId="243B61ED" w:rsidR="00834D99" w:rsidRPr="008302DE" w:rsidRDefault="008463E7" w:rsidP="00D81C87">
      <w:pPr>
        <w:pStyle w:val="ListParagraph"/>
        <w:numPr>
          <w:ilvl w:val="0"/>
          <w:numId w:val="1"/>
        </w:numPr>
        <w:spacing w:line="480" w:lineRule="auto"/>
        <w:ind w:hanging="578"/>
        <w:jc w:val="both"/>
        <w:rPr>
          <w:rFonts w:ascii="Century Gothic" w:hAnsi="Century Gothic"/>
          <w:sz w:val="24"/>
          <w:szCs w:val="24"/>
          <w:lang w:val="en-GB"/>
        </w:rPr>
      </w:pPr>
      <w:r w:rsidRPr="008302DE">
        <w:rPr>
          <w:rFonts w:ascii="Century Gothic" w:hAnsi="Century Gothic"/>
          <w:sz w:val="24"/>
          <w:szCs w:val="24"/>
          <w:lang w:val="en-GB"/>
        </w:rPr>
        <w:t xml:space="preserve">New GX opposed the </w:t>
      </w:r>
      <w:r w:rsidR="00D81C87" w:rsidRPr="008302DE">
        <w:rPr>
          <w:rFonts w:ascii="Century Gothic" w:hAnsi="Century Gothic"/>
          <w:sz w:val="24"/>
          <w:szCs w:val="24"/>
          <w:lang w:val="en-GB"/>
        </w:rPr>
        <w:t xml:space="preserve">rulings sought </w:t>
      </w:r>
      <w:r w:rsidRPr="008302DE">
        <w:rPr>
          <w:rFonts w:ascii="Century Gothic" w:hAnsi="Century Gothic"/>
          <w:sz w:val="24"/>
          <w:szCs w:val="24"/>
          <w:lang w:val="en-GB"/>
        </w:rPr>
        <w:t>by the COT, its grounds for opposition being:</w:t>
      </w:r>
    </w:p>
    <w:p w14:paraId="6FDD317B" w14:textId="5AF49696" w:rsidR="008463E7" w:rsidRPr="008302DE" w:rsidRDefault="008463E7" w:rsidP="008463E7">
      <w:pPr>
        <w:spacing w:line="480" w:lineRule="auto"/>
        <w:ind w:left="2160" w:hanging="720"/>
        <w:jc w:val="both"/>
        <w:rPr>
          <w:rFonts w:ascii="Century Gothic" w:hAnsi="Century Gothic"/>
          <w:i/>
          <w:iCs/>
          <w:sz w:val="24"/>
          <w:szCs w:val="24"/>
          <w:lang w:val="en-GB"/>
        </w:rPr>
      </w:pPr>
      <w:r w:rsidRPr="008302DE">
        <w:rPr>
          <w:rFonts w:ascii="Century Gothic" w:hAnsi="Century Gothic"/>
          <w:sz w:val="24"/>
          <w:szCs w:val="24"/>
          <w:lang w:val="en-GB"/>
        </w:rPr>
        <w:t xml:space="preserve">“3. </w:t>
      </w:r>
      <w:r w:rsidRPr="008302DE">
        <w:rPr>
          <w:rFonts w:ascii="Century Gothic" w:hAnsi="Century Gothic"/>
          <w:i/>
          <w:iCs/>
          <w:sz w:val="24"/>
          <w:szCs w:val="24"/>
          <w:lang w:val="en-GB"/>
        </w:rPr>
        <w:tab/>
        <w:t>The manifest purpose of the order is to preserve contractual rights of the claimant that may have accrued “prior to the cancellation of the service agreement”, which phrase is synonymous with “at the time of, or just before cancellation. The High Court did not set aside the service agreement.</w:t>
      </w:r>
    </w:p>
    <w:p w14:paraId="6A1CC97A" w14:textId="77777777" w:rsidR="008463E7" w:rsidRPr="008302DE" w:rsidRDefault="008463E7" w:rsidP="008463E7">
      <w:pPr>
        <w:pStyle w:val="ListParagraph"/>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t>4.</w:t>
      </w:r>
      <w:r w:rsidRPr="008302DE">
        <w:rPr>
          <w:rFonts w:ascii="Century Gothic" w:hAnsi="Century Gothic"/>
          <w:i/>
          <w:iCs/>
          <w:sz w:val="24"/>
          <w:szCs w:val="24"/>
          <w:lang w:val="en-GB"/>
        </w:rPr>
        <w:tab/>
        <w:t>The rider to the order is that the preservation of contractual rights does not include “rights to any claim for loss of profit and claim for shortfalls pertaining to waste”</w:t>
      </w:r>
    </w:p>
    <w:p w14:paraId="511D42B2" w14:textId="01490DB7" w:rsidR="008463E7" w:rsidRPr="008302DE" w:rsidRDefault="008463E7" w:rsidP="008463E7">
      <w:pPr>
        <w:pStyle w:val="ListParagraph"/>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t>5.</w:t>
      </w:r>
      <w:r w:rsidRPr="008302DE">
        <w:rPr>
          <w:rFonts w:ascii="Century Gothic" w:hAnsi="Century Gothic"/>
          <w:i/>
          <w:iCs/>
          <w:sz w:val="24"/>
          <w:szCs w:val="24"/>
          <w:lang w:val="en-GB"/>
        </w:rPr>
        <w:tab/>
        <w:t>The context in which the order was granted is set out in paragraph [46] of the judgment which records that “</w:t>
      </w:r>
      <w:r w:rsidR="0039299A" w:rsidRPr="008302DE">
        <w:rPr>
          <w:rFonts w:ascii="Century Gothic" w:hAnsi="Century Gothic"/>
          <w:i/>
          <w:iCs/>
          <w:sz w:val="24"/>
          <w:szCs w:val="24"/>
          <w:lang w:val="en-GB"/>
        </w:rPr>
        <w:t>I</w:t>
      </w:r>
      <w:r w:rsidRPr="008302DE">
        <w:rPr>
          <w:rFonts w:ascii="Century Gothic" w:hAnsi="Century Gothic"/>
          <w:i/>
          <w:iCs/>
          <w:sz w:val="24"/>
          <w:szCs w:val="24"/>
          <w:lang w:val="en-GB"/>
        </w:rPr>
        <w:t xml:space="preserve">t was </w:t>
      </w:r>
      <w:r w:rsidRPr="008302DE">
        <w:rPr>
          <w:rFonts w:ascii="Century Gothic" w:hAnsi="Century Gothic"/>
          <w:i/>
          <w:iCs/>
          <w:sz w:val="24"/>
          <w:szCs w:val="24"/>
          <w:lang w:val="en-GB"/>
        </w:rPr>
        <w:lastRenderedPageBreak/>
        <w:t xml:space="preserve">conceded </w:t>
      </w:r>
      <w:r w:rsidR="0039299A" w:rsidRPr="008302DE">
        <w:rPr>
          <w:rFonts w:ascii="Century Gothic" w:hAnsi="Century Gothic"/>
          <w:i/>
          <w:iCs/>
          <w:sz w:val="24"/>
          <w:szCs w:val="24"/>
          <w:lang w:val="en-GB"/>
        </w:rPr>
        <w:t xml:space="preserve">on behalf </w:t>
      </w:r>
      <w:r w:rsidRPr="008302DE">
        <w:rPr>
          <w:rFonts w:ascii="Century Gothic" w:hAnsi="Century Gothic"/>
          <w:i/>
          <w:iCs/>
          <w:sz w:val="24"/>
          <w:szCs w:val="24"/>
          <w:lang w:val="en-GB"/>
        </w:rPr>
        <w:t>of the applicants that any right which may have already accrued prior to the cancellation, to which the respondent would be entitled under the impugned service agreement of 10 August 2016, save for any rights to claim for loss of profit and claim</w:t>
      </w:r>
      <w:r w:rsidR="0039299A" w:rsidRPr="008302DE">
        <w:rPr>
          <w:rFonts w:ascii="Century Gothic" w:hAnsi="Century Gothic"/>
          <w:i/>
          <w:iCs/>
          <w:sz w:val="24"/>
          <w:szCs w:val="24"/>
          <w:lang w:val="en-GB"/>
        </w:rPr>
        <w:t>s</w:t>
      </w:r>
      <w:r w:rsidRPr="008302DE">
        <w:rPr>
          <w:rFonts w:ascii="Century Gothic" w:hAnsi="Century Gothic"/>
          <w:i/>
          <w:iCs/>
          <w:sz w:val="24"/>
          <w:szCs w:val="24"/>
          <w:lang w:val="en-GB"/>
        </w:rPr>
        <w:t xml:space="preserve"> for shortfalls pertaining to waste, be preserved. In that regard it would be just and equitable to hold so”.</w:t>
      </w:r>
    </w:p>
    <w:p w14:paraId="79F7A764" w14:textId="32496B55" w:rsidR="002A6D16" w:rsidRPr="008302DE" w:rsidRDefault="002A6D16" w:rsidP="008463E7">
      <w:pPr>
        <w:pStyle w:val="ListParagraph"/>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t>6.</w:t>
      </w:r>
      <w:r w:rsidR="00AB23B2" w:rsidRPr="008302DE">
        <w:rPr>
          <w:rFonts w:ascii="Century Gothic" w:hAnsi="Century Gothic"/>
          <w:i/>
          <w:iCs/>
          <w:sz w:val="24"/>
          <w:szCs w:val="24"/>
          <w:lang w:val="en-GB"/>
        </w:rPr>
        <w:tab/>
        <w:t>The concession referred to is contained in the following paragraphs of the heads of argument filed on behalf of the applicants in the High Court application:</w:t>
      </w:r>
    </w:p>
    <w:p w14:paraId="65633F10" w14:textId="629BAEE5" w:rsidR="00AB23B2" w:rsidRPr="008302DE" w:rsidRDefault="00AB23B2" w:rsidP="00BF793C">
      <w:pPr>
        <w:pStyle w:val="ListParagraph"/>
        <w:spacing w:line="480" w:lineRule="auto"/>
        <w:ind w:left="2880" w:hanging="720"/>
        <w:jc w:val="both"/>
        <w:rPr>
          <w:rFonts w:cstheme="minorHAnsi"/>
          <w:i/>
          <w:iCs/>
          <w:sz w:val="24"/>
          <w:szCs w:val="24"/>
          <w:lang w:val="en-GB"/>
        </w:rPr>
      </w:pPr>
      <w:r w:rsidRPr="008302DE">
        <w:rPr>
          <w:rFonts w:cstheme="minorHAnsi"/>
          <w:i/>
          <w:iCs/>
          <w:sz w:val="24"/>
          <w:szCs w:val="24"/>
          <w:lang w:val="en-GB"/>
        </w:rPr>
        <w:t>69.</w:t>
      </w:r>
      <w:r w:rsidRPr="008302DE">
        <w:rPr>
          <w:rFonts w:cstheme="minorHAnsi"/>
          <w:i/>
          <w:iCs/>
          <w:sz w:val="24"/>
          <w:szCs w:val="24"/>
          <w:lang w:val="en-GB"/>
        </w:rPr>
        <w:tab/>
        <w:t>We submit that it would be just and equitable if this court following the declaration of invalidity was to order that, the respondent be entitled to any rights which have already accrued and which it is entitled to under the service agreement save for rights to any claim for loss of profits and claims for shortfalls pertaining to waste, be preserved</w:t>
      </w:r>
    </w:p>
    <w:p w14:paraId="18B7C175" w14:textId="61BC895B" w:rsidR="00AB23B2" w:rsidRPr="008302DE" w:rsidRDefault="00AB23B2" w:rsidP="00AB23B2">
      <w:pPr>
        <w:pStyle w:val="ListParagraph"/>
        <w:spacing w:line="480" w:lineRule="auto"/>
        <w:ind w:left="2880" w:hanging="720"/>
        <w:jc w:val="both"/>
        <w:rPr>
          <w:rFonts w:cstheme="minorHAnsi"/>
          <w:i/>
          <w:iCs/>
          <w:sz w:val="24"/>
          <w:szCs w:val="24"/>
          <w:lang w:val="en-GB"/>
        </w:rPr>
      </w:pPr>
      <w:r w:rsidRPr="008302DE">
        <w:rPr>
          <w:rFonts w:cstheme="minorHAnsi"/>
          <w:i/>
          <w:iCs/>
          <w:sz w:val="24"/>
          <w:szCs w:val="24"/>
          <w:lang w:val="en-GB"/>
        </w:rPr>
        <w:t>70.</w:t>
      </w:r>
      <w:r w:rsidRPr="008302DE">
        <w:rPr>
          <w:rFonts w:cstheme="minorHAnsi"/>
          <w:i/>
          <w:iCs/>
          <w:sz w:val="24"/>
          <w:szCs w:val="24"/>
          <w:lang w:val="en-GB"/>
        </w:rPr>
        <w:tab/>
        <w:t>The just and equitable relief proposed above would enable the respondent at arbitration to claim for all its expenses pertaining to the construction of the transfer station as well as amounts for the works which it already performed. To that end the city would not stand to benefit unduly from the declaration of invalidity.”</w:t>
      </w:r>
    </w:p>
    <w:p w14:paraId="5EA53FF0" w14:textId="11F8CD17" w:rsidR="008463E7" w:rsidRPr="008302DE" w:rsidRDefault="008463E7" w:rsidP="008463E7">
      <w:pPr>
        <w:pStyle w:val="ListParagraph"/>
        <w:spacing w:line="480" w:lineRule="auto"/>
        <w:ind w:left="2160" w:hanging="720"/>
        <w:jc w:val="both"/>
        <w:rPr>
          <w:rFonts w:ascii="Century Gothic" w:hAnsi="Century Gothic"/>
          <w:i/>
          <w:iCs/>
          <w:sz w:val="24"/>
          <w:szCs w:val="24"/>
          <w:lang w:val="en-GB"/>
        </w:rPr>
      </w:pPr>
      <w:r w:rsidRPr="008302DE">
        <w:rPr>
          <w:rFonts w:ascii="Century Gothic" w:hAnsi="Century Gothic"/>
          <w:i/>
          <w:iCs/>
          <w:sz w:val="24"/>
          <w:szCs w:val="24"/>
          <w:lang w:val="en-GB"/>
        </w:rPr>
        <w:t>7.</w:t>
      </w:r>
      <w:r w:rsidRPr="008302DE">
        <w:rPr>
          <w:rFonts w:ascii="Century Gothic" w:hAnsi="Century Gothic"/>
          <w:i/>
          <w:iCs/>
          <w:sz w:val="24"/>
          <w:szCs w:val="24"/>
          <w:lang w:val="en-GB"/>
        </w:rPr>
        <w:tab/>
        <w:t xml:space="preserve">The High Court </w:t>
      </w:r>
      <w:r w:rsidR="002A6D16" w:rsidRPr="008302DE">
        <w:rPr>
          <w:rFonts w:ascii="Century Gothic" w:hAnsi="Century Gothic"/>
          <w:i/>
          <w:iCs/>
          <w:sz w:val="24"/>
          <w:szCs w:val="24"/>
          <w:lang w:val="en-GB"/>
        </w:rPr>
        <w:t>thus</w:t>
      </w:r>
      <w:r w:rsidRPr="008302DE">
        <w:rPr>
          <w:rFonts w:ascii="Century Gothic" w:hAnsi="Century Gothic"/>
          <w:i/>
          <w:iCs/>
          <w:sz w:val="24"/>
          <w:szCs w:val="24"/>
          <w:lang w:val="en-GB"/>
        </w:rPr>
        <w:t xml:space="preserve"> intended, in accordance with the defendant’s concession, to make a form of order along the lines of the one granted in State </w:t>
      </w:r>
      <w:r w:rsidR="00E269FB" w:rsidRPr="008302DE">
        <w:rPr>
          <w:rFonts w:ascii="Century Gothic" w:hAnsi="Century Gothic"/>
          <w:i/>
          <w:iCs/>
          <w:sz w:val="24"/>
          <w:szCs w:val="24"/>
          <w:lang w:val="en-GB"/>
        </w:rPr>
        <w:t>I</w:t>
      </w:r>
      <w:r w:rsidRPr="008302DE">
        <w:rPr>
          <w:rFonts w:ascii="Century Gothic" w:hAnsi="Century Gothic"/>
          <w:i/>
          <w:iCs/>
          <w:sz w:val="24"/>
          <w:szCs w:val="24"/>
          <w:lang w:val="en-GB"/>
        </w:rPr>
        <w:t xml:space="preserve">nformation </w:t>
      </w:r>
      <w:r w:rsidR="00E269FB" w:rsidRPr="008302DE">
        <w:rPr>
          <w:rFonts w:ascii="Century Gothic" w:hAnsi="Century Gothic"/>
          <w:i/>
          <w:iCs/>
          <w:sz w:val="24"/>
          <w:szCs w:val="24"/>
          <w:lang w:val="en-GB"/>
        </w:rPr>
        <w:t>T</w:t>
      </w:r>
      <w:r w:rsidRPr="008302DE">
        <w:rPr>
          <w:rFonts w:ascii="Century Gothic" w:hAnsi="Century Gothic"/>
          <w:i/>
          <w:iCs/>
          <w:sz w:val="24"/>
          <w:szCs w:val="24"/>
          <w:lang w:val="en-GB"/>
        </w:rPr>
        <w:t xml:space="preserve">echnology </w:t>
      </w:r>
      <w:r w:rsidR="00E269FB" w:rsidRPr="008302DE">
        <w:rPr>
          <w:rFonts w:ascii="Century Gothic" w:hAnsi="Century Gothic"/>
          <w:i/>
          <w:iCs/>
          <w:sz w:val="24"/>
          <w:szCs w:val="24"/>
          <w:lang w:val="en-GB"/>
        </w:rPr>
        <w:lastRenderedPageBreak/>
        <w:t>A</w:t>
      </w:r>
      <w:r w:rsidRPr="008302DE">
        <w:rPr>
          <w:rFonts w:ascii="Century Gothic" w:hAnsi="Century Gothic"/>
          <w:i/>
          <w:iCs/>
          <w:sz w:val="24"/>
          <w:szCs w:val="24"/>
          <w:lang w:val="en-GB"/>
        </w:rPr>
        <w:t>gency SOC v Gijima Holdings Ltd 2018 (2) SA 23 (CC), namely an order declaring the services contract invalid, but not setting it aside so as to preserve the accrued contractual rights to which the claimant might have been entitled. The question of the content and extent of the rights that had accrued to the claimant were intended to be determined, as in Gijima</w:t>
      </w:r>
      <w:r w:rsidR="00E269FB" w:rsidRPr="008302DE">
        <w:rPr>
          <w:rFonts w:ascii="Century Gothic" w:hAnsi="Century Gothic"/>
          <w:i/>
          <w:iCs/>
          <w:sz w:val="24"/>
          <w:szCs w:val="24"/>
          <w:lang w:val="en-GB"/>
        </w:rPr>
        <w:t xml:space="preserve"> in</w:t>
      </w:r>
      <w:r w:rsidRPr="008302DE">
        <w:rPr>
          <w:rFonts w:ascii="Century Gothic" w:hAnsi="Century Gothic"/>
          <w:i/>
          <w:iCs/>
          <w:sz w:val="24"/>
          <w:szCs w:val="24"/>
          <w:lang w:val="en-GB"/>
        </w:rPr>
        <w:t xml:space="preserve"> the pending arbitration proceedings.”</w:t>
      </w:r>
    </w:p>
    <w:p w14:paraId="6DBC15C3" w14:textId="77777777" w:rsidR="003B4202" w:rsidRPr="008302DE" w:rsidRDefault="003B4202" w:rsidP="003B4202">
      <w:pPr>
        <w:spacing w:line="480" w:lineRule="auto"/>
        <w:jc w:val="both"/>
        <w:rPr>
          <w:rFonts w:ascii="Century Gothic" w:hAnsi="Century Gothic"/>
          <w:i/>
          <w:iCs/>
          <w:sz w:val="24"/>
          <w:szCs w:val="24"/>
          <w:lang w:val="en-GB"/>
        </w:rPr>
      </w:pPr>
    </w:p>
    <w:p w14:paraId="340FD20D" w14:textId="3E9D9431" w:rsidR="003B4202" w:rsidRPr="008302DE" w:rsidRDefault="002278E9" w:rsidP="00D81C87">
      <w:pPr>
        <w:pStyle w:val="ListParagraph"/>
        <w:numPr>
          <w:ilvl w:val="0"/>
          <w:numId w:val="1"/>
        </w:numPr>
        <w:spacing w:line="480" w:lineRule="auto"/>
        <w:ind w:hanging="578"/>
        <w:jc w:val="both"/>
        <w:rPr>
          <w:rFonts w:ascii="Century Gothic" w:hAnsi="Century Gothic"/>
          <w:sz w:val="24"/>
          <w:szCs w:val="24"/>
          <w:lang w:val="en-GB"/>
        </w:rPr>
      </w:pPr>
      <w:r w:rsidRPr="008302DE">
        <w:rPr>
          <w:rFonts w:ascii="Century Gothic" w:hAnsi="Century Gothic"/>
          <w:sz w:val="24"/>
          <w:szCs w:val="24"/>
          <w:lang w:val="en-GB"/>
        </w:rPr>
        <w:t xml:space="preserve">On 12 May 2022 </w:t>
      </w:r>
      <w:r w:rsidR="002532FA" w:rsidRPr="008302DE">
        <w:rPr>
          <w:rFonts w:ascii="Century Gothic" w:hAnsi="Century Gothic"/>
          <w:sz w:val="24"/>
          <w:szCs w:val="24"/>
          <w:lang w:val="en-GB"/>
        </w:rPr>
        <w:t xml:space="preserve">the </w:t>
      </w:r>
      <w:r w:rsidRPr="008302DE">
        <w:rPr>
          <w:rFonts w:ascii="Century Gothic" w:hAnsi="Century Gothic"/>
          <w:sz w:val="24"/>
          <w:szCs w:val="24"/>
          <w:lang w:val="en-GB"/>
        </w:rPr>
        <w:t xml:space="preserve">second respondent provided a written ruling. New GX </w:t>
      </w:r>
      <w:r w:rsidR="005C586C">
        <w:rPr>
          <w:rFonts w:ascii="Century Gothic" w:hAnsi="Century Gothic"/>
          <w:sz w:val="24"/>
          <w:szCs w:val="24"/>
          <w:lang w:val="en-GB"/>
        </w:rPr>
        <w:t xml:space="preserve">being dissatisfied with the ruling </w:t>
      </w:r>
      <w:r w:rsidRPr="008302DE">
        <w:rPr>
          <w:rFonts w:ascii="Century Gothic" w:hAnsi="Century Gothic"/>
          <w:sz w:val="24"/>
          <w:szCs w:val="24"/>
          <w:lang w:val="en-GB"/>
        </w:rPr>
        <w:t xml:space="preserve">proceeded to launch the current application for declaratory relief and </w:t>
      </w:r>
      <w:r w:rsidR="003B1105" w:rsidRPr="008302DE">
        <w:rPr>
          <w:rFonts w:ascii="Century Gothic" w:hAnsi="Century Gothic"/>
          <w:sz w:val="24"/>
          <w:szCs w:val="24"/>
          <w:lang w:val="en-GB"/>
        </w:rPr>
        <w:t xml:space="preserve">an </w:t>
      </w:r>
      <w:r w:rsidRPr="008302DE">
        <w:rPr>
          <w:rFonts w:ascii="Century Gothic" w:hAnsi="Century Gothic"/>
          <w:sz w:val="24"/>
          <w:szCs w:val="24"/>
          <w:lang w:val="en-GB"/>
        </w:rPr>
        <w:t xml:space="preserve">order varying </w:t>
      </w:r>
      <w:r w:rsidR="003B1105" w:rsidRPr="008302DE">
        <w:rPr>
          <w:rFonts w:ascii="Century Gothic" w:hAnsi="Century Gothic"/>
          <w:sz w:val="24"/>
          <w:szCs w:val="24"/>
          <w:lang w:val="en-GB"/>
        </w:rPr>
        <w:t xml:space="preserve">the order </w:t>
      </w:r>
      <w:r w:rsidRPr="008302DE">
        <w:rPr>
          <w:rFonts w:ascii="Century Gothic" w:hAnsi="Century Gothic"/>
          <w:sz w:val="24"/>
          <w:szCs w:val="24"/>
          <w:lang w:val="en-GB"/>
        </w:rPr>
        <w:t>of Van der Westhuizen J.</w:t>
      </w:r>
    </w:p>
    <w:p w14:paraId="4FF61F65" w14:textId="77777777" w:rsidR="00982FAA" w:rsidRPr="008302DE" w:rsidRDefault="00982FAA" w:rsidP="009144A7">
      <w:pPr>
        <w:spacing w:line="480" w:lineRule="auto"/>
        <w:jc w:val="both"/>
        <w:rPr>
          <w:rFonts w:ascii="Century Gothic" w:hAnsi="Century Gothic"/>
          <w:sz w:val="24"/>
          <w:szCs w:val="24"/>
          <w:lang w:val="en-GB"/>
        </w:rPr>
      </w:pPr>
    </w:p>
    <w:p w14:paraId="494A7BCC" w14:textId="5E2E84E5" w:rsidR="00317FE8" w:rsidRPr="008302DE" w:rsidRDefault="00317FE8" w:rsidP="007A4E56">
      <w:pPr>
        <w:spacing w:line="480" w:lineRule="auto"/>
        <w:jc w:val="both"/>
        <w:rPr>
          <w:rFonts w:ascii="Century Gothic" w:hAnsi="Century Gothic"/>
          <w:b/>
          <w:bCs/>
          <w:sz w:val="24"/>
          <w:szCs w:val="24"/>
          <w:lang w:val="en-GB"/>
        </w:rPr>
      </w:pPr>
      <w:r w:rsidRPr="008302DE">
        <w:rPr>
          <w:rFonts w:ascii="Century Gothic" w:hAnsi="Century Gothic"/>
          <w:b/>
          <w:bCs/>
          <w:sz w:val="24"/>
          <w:szCs w:val="24"/>
          <w:lang w:val="en-GB"/>
        </w:rPr>
        <w:t>Principles applicable to Rule 42(1)(b) applications</w:t>
      </w:r>
    </w:p>
    <w:p w14:paraId="5CDB32C9" w14:textId="77777777" w:rsidR="00D57210" w:rsidRPr="008302DE" w:rsidRDefault="00D57210" w:rsidP="00F0118D">
      <w:pPr>
        <w:spacing w:line="480" w:lineRule="auto"/>
        <w:ind w:left="709" w:hanging="709"/>
        <w:jc w:val="both"/>
        <w:rPr>
          <w:rFonts w:ascii="Century Gothic" w:hAnsi="Century Gothic"/>
          <w:b/>
          <w:bCs/>
          <w:sz w:val="24"/>
          <w:szCs w:val="24"/>
          <w:lang w:val="en-GB"/>
        </w:rPr>
      </w:pPr>
    </w:p>
    <w:p w14:paraId="01F26295" w14:textId="71BB1481" w:rsidR="00F27FED" w:rsidRDefault="007A4E56" w:rsidP="00F0118D">
      <w:pPr>
        <w:spacing w:after="0" w:line="480" w:lineRule="auto"/>
        <w:ind w:left="709" w:hanging="709"/>
        <w:jc w:val="both"/>
        <w:rPr>
          <w:rFonts w:ascii="Century Gothic" w:eastAsia="Times New Roman" w:hAnsi="Century Gothic" w:cs="Times New Roman"/>
          <w:color w:val="000000"/>
          <w:kern w:val="0"/>
          <w:sz w:val="24"/>
          <w:szCs w:val="24"/>
          <w:lang w:val="en-GB" w:eastAsia="en-ZA"/>
          <w14:ligatures w14:val="none"/>
        </w:rPr>
      </w:pPr>
      <w:r w:rsidRPr="008302DE">
        <w:rPr>
          <w:rFonts w:ascii="Century Gothic" w:eastAsia="Times New Roman" w:hAnsi="Century Gothic" w:cs="Times New Roman"/>
          <w:color w:val="000000"/>
          <w:kern w:val="0"/>
          <w:sz w:val="24"/>
          <w:szCs w:val="24"/>
          <w:lang w:val="en-GB" w:eastAsia="en-ZA"/>
          <w14:ligatures w14:val="none"/>
        </w:rPr>
        <w:t>1</w:t>
      </w:r>
      <w:r w:rsidR="009B29E8">
        <w:rPr>
          <w:rFonts w:ascii="Century Gothic" w:eastAsia="Times New Roman" w:hAnsi="Century Gothic" w:cs="Times New Roman"/>
          <w:color w:val="000000"/>
          <w:kern w:val="0"/>
          <w:sz w:val="24"/>
          <w:szCs w:val="24"/>
          <w:lang w:val="en-GB" w:eastAsia="en-ZA"/>
          <w14:ligatures w14:val="none"/>
        </w:rPr>
        <w:t>1</w:t>
      </w:r>
      <w:r w:rsidRPr="008302DE">
        <w:rPr>
          <w:rFonts w:ascii="Century Gothic" w:eastAsia="Times New Roman" w:hAnsi="Century Gothic" w:cs="Times New Roman"/>
          <w:color w:val="000000"/>
          <w:kern w:val="0"/>
          <w:sz w:val="24"/>
          <w:szCs w:val="24"/>
          <w:lang w:val="en-GB" w:eastAsia="en-ZA"/>
          <w14:ligatures w14:val="none"/>
        </w:rPr>
        <w:t>.</w:t>
      </w:r>
      <w:r w:rsidRPr="008302DE">
        <w:rPr>
          <w:rFonts w:ascii="Century Gothic" w:eastAsia="Times New Roman" w:hAnsi="Century Gothic" w:cs="Times New Roman"/>
          <w:color w:val="000000"/>
          <w:kern w:val="0"/>
          <w:sz w:val="24"/>
          <w:szCs w:val="24"/>
          <w:lang w:val="en-GB" w:eastAsia="en-ZA"/>
          <w14:ligatures w14:val="none"/>
        </w:rPr>
        <w:tab/>
      </w:r>
      <w:r w:rsidR="00433422">
        <w:rPr>
          <w:rFonts w:ascii="Century Gothic" w:eastAsia="Times New Roman" w:hAnsi="Century Gothic" w:cs="Times New Roman"/>
          <w:color w:val="000000"/>
          <w:kern w:val="0"/>
          <w:sz w:val="24"/>
          <w:szCs w:val="24"/>
          <w:lang w:val="en-GB" w:eastAsia="en-ZA"/>
          <w14:ligatures w14:val="none"/>
        </w:rPr>
        <w:t>It is an established principle</w:t>
      </w:r>
      <w:r w:rsidR="00F27FED">
        <w:rPr>
          <w:rFonts w:ascii="Century Gothic" w:eastAsia="Times New Roman" w:hAnsi="Century Gothic" w:cs="Times New Roman"/>
          <w:color w:val="000000"/>
          <w:kern w:val="0"/>
          <w:sz w:val="24"/>
          <w:szCs w:val="24"/>
          <w:lang w:val="en-GB" w:eastAsia="en-ZA"/>
          <w14:ligatures w14:val="none"/>
        </w:rPr>
        <w:t xml:space="preserve"> </w:t>
      </w:r>
      <w:r w:rsidR="00433422">
        <w:rPr>
          <w:rFonts w:ascii="Century Gothic" w:eastAsia="Times New Roman" w:hAnsi="Century Gothic" w:cs="Times New Roman"/>
          <w:color w:val="000000"/>
          <w:kern w:val="0"/>
          <w:sz w:val="24"/>
          <w:szCs w:val="24"/>
          <w:lang w:val="en-GB" w:eastAsia="en-ZA"/>
          <w14:ligatures w14:val="none"/>
        </w:rPr>
        <w:t xml:space="preserve">that </w:t>
      </w:r>
      <w:r w:rsidR="00F27FED">
        <w:rPr>
          <w:rFonts w:ascii="Century Gothic" w:eastAsia="Times New Roman" w:hAnsi="Century Gothic" w:cs="Times New Roman"/>
          <w:color w:val="000000"/>
          <w:kern w:val="0"/>
          <w:sz w:val="24"/>
          <w:szCs w:val="24"/>
          <w:lang w:val="en-GB" w:eastAsia="en-ZA"/>
          <w14:ligatures w14:val="none"/>
        </w:rPr>
        <w:t xml:space="preserve">once a court has pronounced a final judgment or order it becomes </w:t>
      </w:r>
      <w:r w:rsidR="00F27FED" w:rsidRPr="00F27FED">
        <w:rPr>
          <w:rFonts w:ascii="Century Gothic" w:eastAsia="Times New Roman" w:hAnsi="Century Gothic" w:cs="Times New Roman"/>
          <w:i/>
          <w:iCs/>
          <w:color w:val="000000"/>
          <w:kern w:val="0"/>
          <w:sz w:val="24"/>
          <w:szCs w:val="24"/>
          <w:lang w:val="en-GB" w:eastAsia="en-ZA"/>
          <w14:ligatures w14:val="none"/>
        </w:rPr>
        <w:t>functus officio</w:t>
      </w:r>
      <w:r w:rsidR="00433422">
        <w:rPr>
          <w:rFonts w:ascii="Century Gothic" w:eastAsia="Times New Roman" w:hAnsi="Century Gothic" w:cs="Times New Roman"/>
          <w:i/>
          <w:iCs/>
          <w:color w:val="000000"/>
          <w:kern w:val="0"/>
          <w:sz w:val="24"/>
          <w:szCs w:val="24"/>
          <w:lang w:val="en-GB" w:eastAsia="en-ZA"/>
          <w14:ligatures w14:val="none"/>
        </w:rPr>
        <w:t>,</w:t>
      </w:r>
      <w:r w:rsidR="00F27FED">
        <w:rPr>
          <w:rFonts w:ascii="Century Gothic" w:eastAsia="Times New Roman" w:hAnsi="Century Gothic" w:cs="Times New Roman"/>
          <w:color w:val="000000"/>
          <w:kern w:val="0"/>
          <w:sz w:val="24"/>
          <w:szCs w:val="24"/>
          <w:lang w:val="en-GB" w:eastAsia="en-ZA"/>
          <w14:ligatures w14:val="none"/>
        </w:rPr>
        <w:t xml:space="preserve"> and it </w:t>
      </w:r>
      <w:r w:rsidR="00433422">
        <w:rPr>
          <w:rFonts w:ascii="Century Gothic" w:eastAsia="Times New Roman" w:hAnsi="Century Gothic" w:cs="Times New Roman"/>
          <w:color w:val="000000"/>
          <w:kern w:val="0"/>
          <w:sz w:val="24"/>
          <w:szCs w:val="24"/>
          <w:lang w:val="en-GB" w:eastAsia="en-ZA"/>
          <w14:ligatures w14:val="none"/>
        </w:rPr>
        <w:t xml:space="preserve">generally </w:t>
      </w:r>
      <w:r w:rsidR="00F27FED">
        <w:rPr>
          <w:rFonts w:ascii="Century Gothic" w:eastAsia="Times New Roman" w:hAnsi="Century Gothic" w:cs="Times New Roman"/>
          <w:color w:val="000000"/>
          <w:kern w:val="0"/>
          <w:sz w:val="24"/>
          <w:szCs w:val="24"/>
          <w:lang w:val="en-GB" w:eastAsia="en-ZA"/>
          <w14:ligatures w14:val="none"/>
        </w:rPr>
        <w:t xml:space="preserve">has no power to </w:t>
      </w:r>
      <w:r w:rsidR="00433422">
        <w:rPr>
          <w:rFonts w:ascii="Century Gothic" w:eastAsia="Times New Roman" w:hAnsi="Century Gothic" w:cs="Times New Roman"/>
          <w:color w:val="000000"/>
          <w:kern w:val="0"/>
          <w:sz w:val="24"/>
          <w:szCs w:val="24"/>
          <w:lang w:val="en-GB" w:eastAsia="en-ZA"/>
          <w14:ligatures w14:val="none"/>
        </w:rPr>
        <w:t>correct, rescind</w:t>
      </w:r>
      <w:r w:rsidR="00F27FED">
        <w:rPr>
          <w:rFonts w:ascii="Century Gothic" w:eastAsia="Times New Roman" w:hAnsi="Century Gothic" w:cs="Times New Roman"/>
          <w:color w:val="000000"/>
          <w:kern w:val="0"/>
          <w:sz w:val="24"/>
          <w:szCs w:val="24"/>
          <w:lang w:val="en-GB" w:eastAsia="en-ZA"/>
          <w14:ligatures w14:val="none"/>
        </w:rPr>
        <w:t xml:space="preserve"> or to alter </w:t>
      </w:r>
      <w:r w:rsidR="005E4C10">
        <w:rPr>
          <w:rFonts w:ascii="Century Gothic" w:eastAsia="Times New Roman" w:hAnsi="Century Gothic" w:cs="Times New Roman"/>
          <w:color w:val="000000"/>
          <w:kern w:val="0"/>
          <w:sz w:val="24"/>
          <w:szCs w:val="24"/>
          <w:lang w:val="en-GB" w:eastAsia="en-ZA"/>
          <w14:ligatures w14:val="none"/>
        </w:rPr>
        <w:t xml:space="preserve">its </w:t>
      </w:r>
      <w:r w:rsidR="006D4581">
        <w:rPr>
          <w:rFonts w:ascii="Century Gothic" w:eastAsia="Times New Roman" w:hAnsi="Century Gothic" w:cs="Times New Roman"/>
          <w:color w:val="000000"/>
          <w:kern w:val="0"/>
          <w:sz w:val="24"/>
          <w:szCs w:val="24"/>
          <w:lang w:val="en-GB" w:eastAsia="en-ZA"/>
          <w14:ligatures w14:val="none"/>
        </w:rPr>
        <w:t>order or judgment</w:t>
      </w:r>
      <w:r w:rsidR="005E4C10">
        <w:rPr>
          <w:rFonts w:ascii="Century Gothic" w:eastAsia="Times New Roman" w:hAnsi="Century Gothic" w:cs="Times New Roman"/>
          <w:color w:val="000000"/>
          <w:kern w:val="0"/>
          <w:sz w:val="24"/>
          <w:szCs w:val="24"/>
          <w:lang w:val="en-GB" w:eastAsia="en-ZA"/>
          <w14:ligatures w14:val="none"/>
        </w:rPr>
        <w:t>.</w:t>
      </w:r>
    </w:p>
    <w:p w14:paraId="07EDF16C" w14:textId="77777777" w:rsidR="00F27FED" w:rsidRDefault="00F27FED" w:rsidP="00F0118D">
      <w:pPr>
        <w:spacing w:after="0" w:line="480" w:lineRule="auto"/>
        <w:ind w:left="709" w:hanging="709"/>
        <w:jc w:val="both"/>
        <w:rPr>
          <w:rFonts w:ascii="Century Gothic" w:eastAsia="Times New Roman" w:hAnsi="Century Gothic" w:cs="Times New Roman"/>
          <w:color w:val="000000"/>
          <w:kern w:val="0"/>
          <w:sz w:val="24"/>
          <w:szCs w:val="24"/>
          <w:lang w:val="en-GB" w:eastAsia="en-ZA"/>
          <w14:ligatures w14:val="none"/>
        </w:rPr>
      </w:pPr>
    </w:p>
    <w:p w14:paraId="7CF283FF" w14:textId="3BDE2D5F" w:rsidR="00433422" w:rsidRDefault="00F27FED" w:rsidP="00752CB8">
      <w:pPr>
        <w:spacing w:after="0" w:line="480" w:lineRule="auto"/>
        <w:ind w:left="709" w:hanging="709"/>
        <w:jc w:val="both"/>
        <w:rPr>
          <w:rFonts w:ascii="Century Gothic" w:eastAsia="Times New Roman" w:hAnsi="Century Gothic" w:cs="Times New Roman"/>
          <w:color w:val="000000"/>
          <w:kern w:val="0"/>
          <w:sz w:val="24"/>
          <w:szCs w:val="24"/>
          <w:lang w:val="en-GB" w:eastAsia="en-ZA"/>
          <w14:ligatures w14:val="none"/>
        </w:rPr>
      </w:pPr>
      <w:r w:rsidRPr="00F27FED">
        <w:rPr>
          <w:rFonts w:ascii="Century Gothic" w:eastAsia="Times New Roman" w:hAnsi="Century Gothic" w:cs="Times New Roman"/>
          <w:color w:val="000000"/>
          <w:kern w:val="0"/>
          <w:sz w:val="24"/>
          <w:szCs w:val="24"/>
          <w:lang w:val="en-GB" w:eastAsia="en-ZA"/>
          <w14:ligatures w14:val="none"/>
        </w:rPr>
        <w:t>1</w:t>
      </w:r>
      <w:r w:rsidR="009B29E8">
        <w:rPr>
          <w:rFonts w:ascii="Century Gothic" w:eastAsia="Times New Roman" w:hAnsi="Century Gothic" w:cs="Times New Roman"/>
          <w:color w:val="000000"/>
          <w:kern w:val="0"/>
          <w:sz w:val="24"/>
          <w:szCs w:val="24"/>
          <w:lang w:val="en-GB" w:eastAsia="en-ZA"/>
          <w14:ligatures w14:val="none"/>
        </w:rPr>
        <w:t>2</w:t>
      </w:r>
      <w:r w:rsidRPr="00F27FED">
        <w:rPr>
          <w:rFonts w:ascii="Century Gothic" w:eastAsia="Times New Roman" w:hAnsi="Century Gothic" w:cs="Times New Roman"/>
          <w:color w:val="000000"/>
          <w:kern w:val="0"/>
          <w:sz w:val="24"/>
          <w:szCs w:val="24"/>
          <w:lang w:val="en-GB" w:eastAsia="en-ZA"/>
          <w14:ligatures w14:val="none"/>
        </w:rPr>
        <w:t>.</w:t>
      </w:r>
      <w:r>
        <w:rPr>
          <w:rFonts w:ascii="Century Gothic" w:eastAsia="Times New Roman" w:hAnsi="Century Gothic" w:cs="Times New Roman"/>
          <w:color w:val="000000"/>
          <w:kern w:val="0"/>
          <w:sz w:val="24"/>
          <w:szCs w:val="24"/>
          <w:lang w:val="en-GB" w:eastAsia="en-ZA"/>
          <w14:ligatures w14:val="none"/>
        </w:rPr>
        <w:tab/>
      </w:r>
      <w:r w:rsidR="00C0738E">
        <w:rPr>
          <w:rFonts w:ascii="Century Gothic" w:eastAsia="Times New Roman" w:hAnsi="Century Gothic" w:cs="Times New Roman"/>
          <w:color w:val="000000"/>
          <w:kern w:val="0"/>
          <w:sz w:val="24"/>
          <w:szCs w:val="24"/>
          <w:lang w:val="en-GB" w:eastAsia="en-ZA"/>
          <w14:ligatures w14:val="none"/>
        </w:rPr>
        <w:t>There are however exceptions to this general rule,</w:t>
      </w:r>
      <w:r w:rsidR="00433422">
        <w:rPr>
          <w:rFonts w:ascii="Century Gothic" w:eastAsia="Times New Roman" w:hAnsi="Century Gothic" w:cs="Times New Roman"/>
          <w:color w:val="000000"/>
          <w:kern w:val="0"/>
          <w:sz w:val="24"/>
          <w:szCs w:val="24"/>
          <w:lang w:val="en-GB" w:eastAsia="en-ZA"/>
          <w14:ligatures w14:val="none"/>
        </w:rPr>
        <w:t xml:space="preserve"> Rule 42(1)(b) of the Uniform Rules of Court </w:t>
      </w:r>
      <w:r w:rsidR="00C0738E">
        <w:rPr>
          <w:rFonts w:ascii="Century Gothic" w:eastAsia="Times New Roman" w:hAnsi="Century Gothic" w:cs="Times New Roman"/>
          <w:color w:val="000000"/>
          <w:kern w:val="0"/>
          <w:sz w:val="24"/>
          <w:szCs w:val="24"/>
          <w:lang w:val="en-GB" w:eastAsia="en-ZA"/>
          <w14:ligatures w14:val="none"/>
        </w:rPr>
        <w:t>being one such exception.</w:t>
      </w:r>
      <w:r w:rsidR="00433422">
        <w:rPr>
          <w:rFonts w:ascii="Century Gothic" w:eastAsia="Times New Roman" w:hAnsi="Century Gothic" w:cs="Times New Roman"/>
          <w:color w:val="000000"/>
          <w:kern w:val="0"/>
          <w:sz w:val="24"/>
          <w:szCs w:val="24"/>
          <w:lang w:val="en-GB" w:eastAsia="en-ZA"/>
          <w14:ligatures w14:val="none"/>
        </w:rPr>
        <w:t xml:space="preserve"> </w:t>
      </w:r>
    </w:p>
    <w:p w14:paraId="14911969" w14:textId="1D1EB12B" w:rsidR="00FF4609" w:rsidRPr="009B29E8" w:rsidRDefault="007A4E56" w:rsidP="009B29E8">
      <w:pPr>
        <w:pStyle w:val="ListParagraph"/>
        <w:numPr>
          <w:ilvl w:val="0"/>
          <w:numId w:val="5"/>
        </w:numPr>
        <w:spacing w:after="0" w:line="480" w:lineRule="auto"/>
        <w:ind w:hanging="720"/>
        <w:jc w:val="both"/>
        <w:rPr>
          <w:rFonts w:ascii="Century Gothic" w:eastAsia="Times New Roman" w:hAnsi="Century Gothic" w:cs="Times New Roman"/>
          <w:color w:val="000000"/>
          <w:kern w:val="0"/>
          <w:sz w:val="24"/>
          <w:szCs w:val="24"/>
          <w:lang w:val="en-GB" w:eastAsia="en-ZA"/>
          <w14:ligatures w14:val="none"/>
        </w:rPr>
      </w:pPr>
      <w:r w:rsidRPr="009B29E8">
        <w:rPr>
          <w:rFonts w:ascii="Century Gothic" w:eastAsia="Times New Roman" w:hAnsi="Century Gothic" w:cs="Times New Roman"/>
          <w:color w:val="000000"/>
          <w:kern w:val="0"/>
          <w:sz w:val="24"/>
          <w:szCs w:val="24"/>
          <w:lang w:val="en-GB" w:eastAsia="en-ZA"/>
          <w14:ligatures w14:val="none"/>
        </w:rPr>
        <w:lastRenderedPageBreak/>
        <w:t xml:space="preserve">New GX relies on the provisions of Rule 42(1)(b) which allows a court, upon application, to vary an order or judgment in which there is an ambiguity. </w:t>
      </w:r>
    </w:p>
    <w:p w14:paraId="180A084F" w14:textId="77777777" w:rsidR="00FF4609" w:rsidRDefault="00FF4609" w:rsidP="00F0118D">
      <w:pPr>
        <w:pStyle w:val="ListParagraph"/>
        <w:spacing w:after="0" w:line="480" w:lineRule="auto"/>
        <w:ind w:left="709" w:hanging="709"/>
        <w:jc w:val="both"/>
        <w:rPr>
          <w:rFonts w:ascii="Century Gothic" w:eastAsia="Times New Roman" w:hAnsi="Century Gothic" w:cs="Times New Roman"/>
          <w:color w:val="000000"/>
          <w:kern w:val="0"/>
          <w:sz w:val="24"/>
          <w:szCs w:val="24"/>
          <w:lang w:val="en-GB" w:eastAsia="en-ZA"/>
          <w14:ligatures w14:val="none"/>
        </w:rPr>
      </w:pPr>
    </w:p>
    <w:p w14:paraId="508D5785" w14:textId="416CC57C" w:rsidR="008A4DB7" w:rsidRDefault="008A4DB7" w:rsidP="009B29E8">
      <w:pPr>
        <w:pStyle w:val="ListParagraph"/>
        <w:numPr>
          <w:ilvl w:val="0"/>
          <w:numId w:val="5"/>
        </w:numPr>
        <w:spacing w:after="0" w:line="480" w:lineRule="auto"/>
        <w:ind w:hanging="720"/>
        <w:jc w:val="both"/>
        <w:rPr>
          <w:rFonts w:ascii="Century Gothic" w:eastAsia="Times New Roman" w:hAnsi="Century Gothic" w:cs="Times New Roman"/>
          <w:color w:val="000000"/>
          <w:kern w:val="0"/>
          <w:sz w:val="24"/>
          <w:szCs w:val="24"/>
          <w:lang w:val="en-GB" w:eastAsia="en-ZA"/>
          <w14:ligatures w14:val="none"/>
        </w:rPr>
      </w:pPr>
      <w:r w:rsidRPr="008A4DB7">
        <w:rPr>
          <w:rFonts w:ascii="Century Gothic" w:eastAsia="Times New Roman" w:hAnsi="Century Gothic" w:cs="Times New Roman"/>
          <w:color w:val="000000"/>
          <w:kern w:val="0"/>
          <w:sz w:val="24"/>
          <w:szCs w:val="24"/>
          <w:lang w:val="en-GB" w:eastAsia="en-ZA"/>
          <w14:ligatures w14:val="none"/>
        </w:rPr>
        <w:t>The court’s power to vary or alter its own order is limited because it is in the public interest</w:t>
      </w:r>
      <w:r>
        <w:rPr>
          <w:rFonts w:ascii="Century Gothic" w:eastAsia="Times New Roman" w:hAnsi="Century Gothic" w:cs="Times New Roman"/>
          <w:color w:val="000000"/>
          <w:kern w:val="0"/>
          <w:sz w:val="24"/>
          <w:szCs w:val="24"/>
          <w:lang w:val="en-GB" w:eastAsia="en-ZA"/>
          <w14:ligatures w14:val="none"/>
        </w:rPr>
        <w:t xml:space="preserve"> that</w:t>
      </w:r>
      <w:r w:rsidRPr="008A4DB7">
        <w:rPr>
          <w:rFonts w:ascii="Century Gothic" w:eastAsia="Times New Roman" w:hAnsi="Century Gothic" w:cs="Times New Roman"/>
          <w:color w:val="000000"/>
          <w:kern w:val="0"/>
          <w:sz w:val="24"/>
          <w:szCs w:val="24"/>
          <w:lang w:val="en-GB" w:eastAsia="en-ZA"/>
          <w14:ligatures w14:val="none"/>
        </w:rPr>
        <w:t xml:space="preserve"> litigation is brought to finality.</w:t>
      </w:r>
      <w:r w:rsidR="00255767">
        <w:rPr>
          <w:rStyle w:val="FootnoteReference"/>
          <w:rFonts w:ascii="Century Gothic" w:eastAsia="Times New Roman" w:hAnsi="Century Gothic" w:cs="Times New Roman"/>
          <w:color w:val="000000"/>
          <w:kern w:val="0"/>
          <w:sz w:val="24"/>
          <w:szCs w:val="24"/>
          <w:lang w:val="en-GB" w:eastAsia="en-ZA"/>
          <w14:ligatures w14:val="none"/>
        </w:rPr>
        <w:footnoteReference w:id="3"/>
      </w:r>
    </w:p>
    <w:p w14:paraId="59635DC2" w14:textId="77777777" w:rsidR="008A4DB7" w:rsidRDefault="008A4DB7" w:rsidP="008A4DB7">
      <w:pPr>
        <w:pStyle w:val="ListParagraph"/>
        <w:rPr>
          <w:rFonts w:ascii="Century Gothic" w:eastAsia="Times New Roman" w:hAnsi="Century Gothic" w:cs="Times New Roman"/>
          <w:color w:val="000000"/>
          <w:kern w:val="0"/>
          <w:sz w:val="24"/>
          <w:szCs w:val="24"/>
          <w:lang w:val="en-GB" w:eastAsia="en-ZA"/>
          <w14:ligatures w14:val="none"/>
        </w:rPr>
      </w:pPr>
    </w:p>
    <w:p w14:paraId="5B2F98BC" w14:textId="77777777" w:rsidR="008A4DB7" w:rsidRPr="008A4DB7" w:rsidRDefault="008A4DB7" w:rsidP="008A4DB7">
      <w:pPr>
        <w:pStyle w:val="ListParagraph"/>
        <w:rPr>
          <w:rFonts w:ascii="Century Gothic" w:eastAsia="Times New Roman" w:hAnsi="Century Gothic" w:cs="Times New Roman"/>
          <w:color w:val="000000"/>
          <w:kern w:val="0"/>
          <w:sz w:val="24"/>
          <w:szCs w:val="24"/>
          <w:lang w:val="en-GB" w:eastAsia="en-ZA"/>
          <w14:ligatures w14:val="none"/>
        </w:rPr>
      </w:pPr>
    </w:p>
    <w:p w14:paraId="4D5EBC67" w14:textId="15755011" w:rsidR="00E27BC5" w:rsidRPr="009B29E8" w:rsidRDefault="007A4E56" w:rsidP="009B29E8">
      <w:pPr>
        <w:pStyle w:val="ListParagraph"/>
        <w:numPr>
          <w:ilvl w:val="0"/>
          <w:numId w:val="5"/>
        </w:numPr>
        <w:spacing w:after="0" w:line="480" w:lineRule="auto"/>
        <w:ind w:hanging="720"/>
        <w:jc w:val="both"/>
        <w:rPr>
          <w:rFonts w:ascii="Century Gothic" w:eastAsia="Times New Roman" w:hAnsi="Century Gothic" w:cs="Times New Roman"/>
          <w:color w:val="000000"/>
          <w:kern w:val="0"/>
          <w:sz w:val="24"/>
          <w:szCs w:val="24"/>
          <w:lang w:val="en-GB" w:eastAsia="en-ZA"/>
          <w14:ligatures w14:val="none"/>
        </w:rPr>
      </w:pPr>
      <w:r w:rsidRPr="009B29E8">
        <w:rPr>
          <w:rFonts w:ascii="Century Gothic" w:eastAsia="Times New Roman" w:hAnsi="Century Gothic" w:cs="Times New Roman"/>
          <w:color w:val="000000"/>
          <w:kern w:val="0"/>
          <w:sz w:val="24"/>
          <w:szCs w:val="24"/>
          <w:lang w:val="en-GB" w:eastAsia="en-ZA"/>
          <w14:ligatures w14:val="none"/>
        </w:rPr>
        <w:t xml:space="preserve">The power to vary </w:t>
      </w:r>
      <w:r w:rsidR="00F608CA" w:rsidRPr="009B29E8">
        <w:rPr>
          <w:rFonts w:ascii="Century Gothic" w:eastAsia="Times New Roman" w:hAnsi="Century Gothic" w:cs="Times New Roman"/>
          <w:color w:val="000000"/>
          <w:kern w:val="0"/>
          <w:sz w:val="24"/>
          <w:szCs w:val="24"/>
          <w:lang w:val="en-GB" w:eastAsia="en-ZA"/>
          <w14:ligatures w14:val="none"/>
        </w:rPr>
        <w:t xml:space="preserve">an existing court order </w:t>
      </w:r>
      <w:r w:rsidRPr="009B29E8">
        <w:rPr>
          <w:rFonts w:ascii="Century Gothic" w:eastAsia="Times New Roman" w:hAnsi="Century Gothic" w:cs="Times New Roman"/>
          <w:color w:val="000000"/>
          <w:kern w:val="0"/>
          <w:sz w:val="24"/>
          <w:szCs w:val="24"/>
          <w:lang w:val="en-GB" w:eastAsia="en-ZA"/>
          <w14:ligatures w14:val="none"/>
        </w:rPr>
        <w:t>is limited to the extent of the ambiguity</w:t>
      </w:r>
      <w:r w:rsidR="00CF2DA1" w:rsidRPr="009B29E8">
        <w:rPr>
          <w:rFonts w:ascii="Century Gothic" w:eastAsia="Times New Roman" w:hAnsi="Century Gothic" w:cs="Times New Roman"/>
          <w:color w:val="000000"/>
          <w:kern w:val="0"/>
          <w:sz w:val="24"/>
          <w:szCs w:val="24"/>
          <w:lang w:val="en-GB" w:eastAsia="en-ZA"/>
          <w14:ligatures w14:val="none"/>
        </w:rPr>
        <w:t xml:space="preserve"> and a court may only amend an order if, on a proper interpretation thereof, the order does not give effect to the true intention thereof</w:t>
      </w:r>
      <w:r w:rsidR="003B1105" w:rsidRPr="009B29E8">
        <w:rPr>
          <w:rFonts w:ascii="Century Gothic" w:eastAsia="Times New Roman" w:hAnsi="Century Gothic" w:cs="Times New Roman"/>
          <w:color w:val="000000"/>
          <w:kern w:val="0"/>
          <w:sz w:val="24"/>
          <w:szCs w:val="24"/>
          <w:lang w:val="en-GB" w:eastAsia="en-ZA"/>
          <w14:ligatures w14:val="none"/>
        </w:rPr>
        <w:t>. A c</w:t>
      </w:r>
      <w:r w:rsidR="00CF2DA1" w:rsidRPr="009B29E8">
        <w:rPr>
          <w:rFonts w:ascii="Century Gothic" w:eastAsia="Times New Roman" w:hAnsi="Century Gothic" w:cs="Times New Roman"/>
          <w:color w:val="000000"/>
          <w:kern w:val="0"/>
          <w:sz w:val="24"/>
          <w:szCs w:val="24"/>
          <w:lang w:val="en-GB" w:eastAsia="en-ZA"/>
          <w14:ligatures w14:val="none"/>
        </w:rPr>
        <w:t xml:space="preserve">ourt may not alter </w:t>
      </w:r>
      <w:r w:rsidR="00F608CA" w:rsidRPr="009B29E8">
        <w:rPr>
          <w:rFonts w:ascii="Century Gothic" w:eastAsia="Times New Roman" w:hAnsi="Century Gothic" w:cs="Times New Roman"/>
          <w:color w:val="000000"/>
          <w:kern w:val="0"/>
          <w:sz w:val="24"/>
          <w:szCs w:val="24"/>
          <w:lang w:val="en-GB" w:eastAsia="en-ZA"/>
          <w14:ligatures w14:val="none"/>
        </w:rPr>
        <w:t>the import</w:t>
      </w:r>
      <w:r w:rsidR="00CF2DA1" w:rsidRPr="009B29E8">
        <w:rPr>
          <w:rFonts w:ascii="Century Gothic" w:eastAsia="Times New Roman" w:hAnsi="Century Gothic" w:cs="Times New Roman"/>
          <w:color w:val="000000"/>
          <w:kern w:val="0"/>
          <w:sz w:val="24"/>
          <w:szCs w:val="24"/>
          <w:lang w:val="en-GB" w:eastAsia="en-ZA"/>
          <w14:ligatures w14:val="none"/>
        </w:rPr>
        <w:t xml:space="preserve"> and substance of</w:t>
      </w:r>
      <w:r w:rsidR="00F608CA" w:rsidRPr="009B29E8">
        <w:rPr>
          <w:rFonts w:ascii="Century Gothic" w:eastAsia="Times New Roman" w:hAnsi="Century Gothic" w:cs="Times New Roman"/>
          <w:color w:val="000000"/>
          <w:kern w:val="0"/>
          <w:sz w:val="24"/>
          <w:szCs w:val="24"/>
          <w:lang w:val="en-GB" w:eastAsia="en-ZA"/>
          <w14:ligatures w14:val="none"/>
        </w:rPr>
        <w:t xml:space="preserve"> the order.</w:t>
      </w:r>
    </w:p>
    <w:p w14:paraId="4F597A7C" w14:textId="77777777" w:rsidR="00B271DA" w:rsidRDefault="00B271DA" w:rsidP="00F0118D">
      <w:pPr>
        <w:pStyle w:val="ListParagraph"/>
        <w:ind w:left="709" w:hanging="709"/>
        <w:rPr>
          <w:rFonts w:ascii="Century Gothic" w:eastAsia="Times New Roman" w:hAnsi="Century Gothic" w:cs="Times New Roman"/>
          <w:color w:val="000000"/>
          <w:kern w:val="0"/>
          <w:sz w:val="24"/>
          <w:szCs w:val="24"/>
          <w:lang w:val="en-GB" w:eastAsia="en-ZA"/>
          <w14:ligatures w14:val="none"/>
        </w:rPr>
      </w:pPr>
    </w:p>
    <w:p w14:paraId="33D198D2" w14:textId="77777777" w:rsidR="008A4DB7" w:rsidRPr="00B271DA" w:rsidRDefault="008A4DB7" w:rsidP="00F0118D">
      <w:pPr>
        <w:pStyle w:val="ListParagraph"/>
        <w:ind w:left="709" w:hanging="709"/>
        <w:rPr>
          <w:rFonts w:ascii="Century Gothic" w:eastAsia="Times New Roman" w:hAnsi="Century Gothic" w:cs="Times New Roman"/>
          <w:color w:val="000000"/>
          <w:kern w:val="0"/>
          <w:sz w:val="24"/>
          <w:szCs w:val="24"/>
          <w:lang w:val="en-GB" w:eastAsia="en-ZA"/>
          <w14:ligatures w14:val="none"/>
        </w:rPr>
      </w:pPr>
    </w:p>
    <w:p w14:paraId="003BB59B" w14:textId="78A77AE7" w:rsidR="00B602CE" w:rsidRPr="00B271DA" w:rsidRDefault="00CF2DA1" w:rsidP="009B29E8">
      <w:pPr>
        <w:pStyle w:val="ListParagraph"/>
        <w:numPr>
          <w:ilvl w:val="0"/>
          <w:numId w:val="5"/>
        </w:numPr>
        <w:spacing w:line="480" w:lineRule="auto"/>
        <w:ind w:left="709" w:hanging="709"/>
        <w:jc w:val="both"/>
        <w:rPr>
          <w:rFonts w:ascii="Century Gothic" w:hAnsi="Century Gothic"/>
          <w:sz w:val="24"/>
          <w:szCs w:val="24"/>
          <w:lang w:val="en-GB"/>
        </w:rPr>
      </w:pPr>
      <w:bookmarkStart w:id="2" w:name="0-0-0-55725"/>
      <w:bookmarkStart w:id="3" w:name="0-0-0-8487"/>
      <w:bookmarkEnd w:id="2"/>
      <w:bookmarkEnd w:id="3"/>
      <w:r w:rsidRPr="008302DE">
        <w:rPr>
          <w:rFonts w:ascii="Century Gothic" w:hAnsi="Century Gothic"/>
          <w:sz w:val="24"/>
          <w:szCs w:val="24"/>
          <w:lang w:val="en-GB"/>
        </w:rPr>
        <w:t xml:space="preserve">In adjudicating the present application, this Court is enjoined to interpret the judgement and order of Van der Westhuizen J in order to determine if the </w:t>
      </w:r>
      <w:r w:rsidR="00D876C2" w:rsidRPr="008302DE">
        <w:rPr>
          <w:rFonts w:ascii="Century Gothic" w:hAnsi="Century Gothic"/>
          <w:sz w:val="24"/>
          <w:szCs w:val="24"/>
          <w:lang w:val="en-GB"/>
        </w:rPr>
        <w:t>c</w:t>
      </w:r>
      <w:r w:rsidR="00D57210" w:rsidRPr="008302DE">
        <w:rPr>
          <w:rFonts w:ascii="Century Gothic" w:hAnsi="Century Gothic"/>
          <w:sz w:val="24"/>
          <w:szCs w:val="24"/>
          <w:lang w:val="en-GB"/>
        </w:rPr>
        <w:t xml:space="preserve">ourt </w:t>
      </w:r>
      <w:r w:rsidR="00D876C2" w:rsidRPr="008302DE">
        <w:rPr>
          <w:rFonts w:ascii="Century Gothic" w:hAnsi="Century Gothic"/>
          <w:sz w:val="24"/>
          <w:szCs w:val="24"/>
          <w:lang w:val="en-GB"/>
        </w:rPr>
        <w:t>o</w:t>
      </w:r>
      <w:r w:rsidRPr="008302DE">
        <w:rPr>
          <w:rFonts w:ascii="Century Gothic" w:hAnsi="Century Gothic"/>
          <w:sz w:val="24"/>
          <w:szCs w:val="24"/>
          <w:lang w:val="en-GB"/>
        </w:rPr>
        <w:t xml:space="preserve">rder in its current </w:t>
      </w:r>
      <w:r w:rsidR="00D57210" w:rsidRPr="008302DE">
        <w:rPr>
          <w:rFonts w:ascii="Century Gothic" w:hAnsi="Century Gothic"/>
          <w:sz w:val="24"/>
          <w:szCs w:val="24"/>
          <w:lang w:val="en-GB"/>
        </w:rPr>
        <w:t>form reflects</w:t>
      </w:r>
      <w:r w:rsidRPr="008302DE">
        <w:rPr>
          <w:rFonts w:ascii="Century Gothic" w:hAnsi="Century Gothic"/>
          <w:sz w:val="24"/>
          <w:szCs w:val="24"/>
          <w:lang w:val="en-GB"/>
        </w:rPr>
        <w:t xml:space="preserve"> the intention of Van der Westhuizen J</w:t>
      </w:r>
      <w:r w:rsidR="00D57210" w:rsidRPr="008302DE">
        <w:rPr>
          <w:rFonts w:ascii="Century Gothic" w:hAnsi="Century Gothic"/>
          <w:sz w:val="24"/>
          <w:szCs w:val="24"/>
          <w:lang w:val="en-GB"/>
        </w:rPr>
        <w:t xml:space="preserve"> and if not, whether the amendment of the </w:t>
      </w:r>
      <w:r w:rsidR="00D876C2" w:rsidRPr="008302DE">
        <w:rPr>
          <w:rFonts w:ascii="Century Gothic" w:hAnsi="Century Gothic"/>
          <w:sz w:val="24"/>
          <w:szCs w:val="24"/>
          <w:lang w:val="en-GB"/>
        </w:rPr>
        <w:t>o</w:t>
      </w:r>
      <w:r w:rsidR="00D57210" w:rsidRPr="008302DE">
        <w:rPr>
          <w:rFonts w:ascii="Century Gothic" w:hAnsi="Century Gothic"/>
          <w:sz w:val="24"/>
          <w:szCs w:val="24"/>
          <w:lang w:val="en-GB"/>
        </w:rPr>
        <w:t xml:space="preserve">rder as sought by New GX will have the effect of altering the import </w:t>
      </w:r>
      <w:r w:rsidR="00D876C2" w:rsidRPr="008302DE">
        <w:rPr>
          <w:rFonts w:ascii="Century Gothic" w:hAnsi="Century Gothic"/>
          <w:sz w:val="24"/>
          <w:szCs w:val="24"/>
          <w:lang w:val="en-GB"/>
        </w:rPr>
        <w:t>of the order.</w:t>
      </w:r>
    </w:p>
    <w:p w14:paraId="1A8F5EFA" w14:textId="77777777" w:rsidR="00476021" w:rsidRDefault="00476021" w:rsidP="00D57210">
      <w:pPr>
        <w:spacing w:line="480" w:lineRule="auto"/>
        <w:jc w:val="both"/>
        <w:rPr>
          <w:rFonts w:ascii="Century Gothic" w:hAnsi="Century Gothic"/>
          <w:b/>
          <w:bCs/>
          <w:sz w:val="24"/>
          <w:szCs w:val="24"/>
          <w:lang w:val="en-GB"/>
        </w:rPr>
      </w:pPr>
    </w:p>
    <w:p w14:paraId="2E4DCBA7" w14:textId="77777777" w:rsidR="00752CB8" w:rsidRDefault="00752CB8" w:rsidP="00D57210">
      <w:pPr>
        <w:spacing w:line="480" w:lineRule="auto"/>
        <w:jc w:val="both"/>
        <w:rPr>
          <w:rFonts w:ascii="Century Gothic" w:hAnsi="Century Gothic"/>
          <w:b/>
          <w:bCs/>
          <w:sz w:val="24"/>
          <w:szCs w:val="24"/>
          <w:lang w:val="en-GB"/>
        </w:rPr>
      </w:pPr>
    </w:p>
    <w:p w14:paraId="54BA3F8C" w14:textId="77777777" w:rsidR="00752CB8" w:rsidRDefault="00752CB8" w:rsidP="00D57210">
      <w:pPr>
        <w:spacing w:line="480" w:lineRule="auto"/>
        <w:jc w:val="both"/>
        <w:rPr>
          <w:rFonts w:ascii="Century Gothic" w:hAnsi="Century Gothic"/>
          <w:b/>
          <w:bCs/>
          <w:sz w:val="24"/>
          <w:szCs w:val="24"/>
          <w:lang w:val="en-GB"/>
        </w:rPr>
      </w:pPr>
    </w:p>
    <w:p w14:paraId="12AC3AB8" w14:textId="745559F7" w:rsidR="00752CB8" w:rsidRDefault="00D57210" w:rsidP="00D57210">
      <w:pPr>
        <w:spacing w:line="480" w:lineRule="auto"/>
        <w:jc w:val="both"/>
        <w:rPr>
          <w:rFonts w:ascii="Century Gothic" w:hAnsi="Century Gothic"/>
          <w:b/>
          <w:bCs/>
          <w:sz w:val="24"/>
          <w:szCs w:val="24"/>
          <w:lang w:val="en-GB"/>
        </w:rPr>
      </w:pPr>
      <w:r w:rsidRPr="008302DE">
        <w:rPr>
          <w:rFonts w:ascii="Century Gothic" w:hAnsi="Century Gothic"/>
          <w:b/>
          <w:bCs/>
          <w:sz w:val="24"/>
          <w:szCs w:val="24"/>
          <w:lang w:val="en-GB"/>
        </w:rPr>
        <w:lastRenderedPageBreak/>
        <w:t xml:space="preserve">Principles applicable to interpretation of judgments </w:t>
      </w:r>
    </w:p>
    <w:p w14:paraId="659CE9C2" w14:textId="77777777" w:rsidR="00752CB8" w:rsidRDefault="00752CB8" w:rsidP="00D57210">
      <w:pPr>
        <w:spacing w:line="480" w:lineRule="auto"/>
        <w:jc w:val="both"/>
        <w:rPr>
          <w:rFonts w:ascii="Century Gothic" w:hAnsi="Century Gothic"/>
          <w:b/>
          <w:bCs/>
          <w:sz w:val="24"/>
          <w:szCs w:val="24"/>
          <w:lang w:val="en-GB"/>
        </w:rPr>
      </w:pPr>
    </w:p>
    <w:p w14:paraId="662DA568" w14:textId="22C25579" w:rsidR="00544162" w:rsidRPr="008302DE" w:rsidRDefault="007A4C43"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The well-known</w:t>
      </w:r>
      <w:r w:rsidR="00544162" w:rsidRPr="008302DE">
        <w:rPr>
          <w:rFonts w:ascii="Century Gothic" w:hAnsi="Century Gothic"/>
          <w:sz w:val="24"/>
          <w:szCs w:val="24"/>
          <w:lang w:val="en-GB"/>
        </w:rPr>
        <w:t xml:space="preserve"> </w:t>
      </w:r>
      <w:r w:rsidR="00B3577F" w:rsidRPr="008302DE">
        <w:rPr>
          <w:rFonts w:ascii="Century Gothic" w:hAnsi="Century Gothic"/>
          <w:sz w:val="24"/>
          <w:szCs w:val="24"/>
          <w:lang w:val="en-GB"/>
        </w:rPr>
        <w:t xml:space="preserve">approach applicable to </w:t>
      </w:r>
      <w:r w:rsidR="00544162" w:rsidRPr="008302DE">
        <w:rPr>
          <w:rFonts w:ascii="Century Gothic" w:hAnsi="Century Gothic"/>
          <w:sz w:val="24"/>
          <w:szCs w:val="24"/>
          <w:lang w:val="en-GB"/>
        </w:rPr>
        <w:t>the interpretation of court orders</w:t>
      </w:r>
      <w:r w:rsidRPr="008302DE">
        <w:rPr>
          <w:rFonts w:ascii="Century Gothic" w:hAnsi="Century Gothic"/>
          <w:sz w:val="24"/>
          <w:szCs w:val="24"/>
          <w:lang w:val="en-GB"/>
        </w:rPr>
        <w:t xml:space="preserve"> is:</w:t>
      </w:r>
    </w:p>
    <w:p w14:paraId="002F7441" w14:textId="77777777" w:rsidR="00544162" w:rsidRPr="008302DE" w:rsidRDefault="00544162" w:rsidP="00F7152A">
      <w:pPr>
        <w:spacing w:line="480" w:lineRule="auto"/>
        <w:ind w:left="709"/>
        <w:jc w:val="both"/>
        <w:rPr>
          <w:rFonts w:ascii="Century Gothic" w:hAnsi="Century Gothic"/>
          <w:sz w:val="24"/>
          <w:szCs w:val="24"/>
          <w:lang w:val="en-GB"/>
        </w:rPr>
      </w:pPr>
    </w:p>
    <w:p w14:paraId="2B2A792B" w14:textId="6311682F" w:rsidR="00544162" w:rsidRPr="008302DE" w:rsidRDefault="00544162" w:rsidP="00F7152A">
      <w:pPr>
        <w:spacing w:line="480" w:lineRule="auto"/>
        <w:ind w:left="709"/>
        <w:jc w:val="both"/>
        <w:rPr>
          <w:rFonts w:ascii="Century Gothic" w:hAnsi="Century Gothic"/>
          <w:sz w:val="24"/>
          <w:szCs w:val="24"/>
          <w:lang w:val="en-GB"/>
        </w:rPr>
      </w:pPr>
      <w:r w:rsidRPr="008302DE">
        <w:rPr>
          <w:rFonts w:ascii="Century Gothic" w:hAnsi="Century Gothic"/>
          <w:sz w:val="24"/>
          <w:szCs w:val="24"/>
          <w:lang w:val="en-GB"/>
        </w:rPr>
        <w:t>“</w:t>
      </w:r>
      <w:r w:rsidRPr="008302DE">
        <w:rPr>
          <w:rFonts w:ascii="Century Gothic" w:hAnsi="Century Gothic"/>
          <w:i/>
          <w:iCs/>
          <w:sz w:val="24"/>
          <w:szCs w:val="24"/>
          <w:lang w:val="en-GB"/>
        </w:rPr>
        <w:t>The starting point is to determine 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r w:rsidRPr="008302DE">
        <w:rPr>
          <w:rFonts w:ascii="Century Gothic" w:hAnsi="Century Gothic"/>
          <w:sz w:val="24"/>
          <w:szCs w:val="24"/>
          <w:lang w:val="en-GB"/>
        </w:rPr>
        <w:t>.”</w:t>
      </w:r>
      <w:r w:rsidR="00B3577F" w:rsidRPr="008302DE">
        <w:rPr>
          <w:rStyle w:val="FootnoteReference"/>
          <w:rFonts w:ascii="Century Gothic" w:hAnsi="Century Gothic"/>
          <w:sz w:val="24"/>
          <w:szCs w:val="24"/>
          <w:lang w:val="en-GB"/>
        </w:rPr>
        <w:footnoteReference w:id="4"/>
      </w:r>
    </w:p>
    <w:p w14:paraId="7916F107" w14:textId="70C9D69F" w:rsidR="00544162" w:rsidRPr="008302DE" w:rsidRDefault="00544162" w:rsidP="00B3577F">
      <w:pPr>
        <w:spacing w:line="480" w:lineRule="auto"/>
        <w:ind w:left="709" w:hanging="567"/>
        <w:jc w:val="both"/>
        <w:rPr>
          <w:rFonts w:ascii="Century Gothic" w:hAnsi="Century Gothic"/>
          <w:sz w:val="24"/>
          <w:szCs w:val="24"/>
          <w:highlight w:val="yellow"/>
          <w:lang w:val="en-GB"/>
        </w:rPr>
      </w:pPr>
    </w:p>
    <w:p w14:paraId="33A809B9" w14:textId="6B89F594" w:rsidR="00F7152A" w:rsidRPr="008302DE" w:rsidRDefault="00F7152A"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The purpose of a court order is to grant affected parties’ effective relief.  The primary objective in interpreting the court order is therefore the determination of the purpose of the court order. This is established from the language used in the judgment and order, which language must be understood in the context of the </w:t>
      </w:r>
      <w:r w:rsidR="003B1105" w:rsidRPr="008302DE">
        <w:rPr>
          <w:rFonts w:ascii="Century Gothic" w:hAnsi="Century Gothic"/>
          <w:sz w:val="24"/>
          <w:szCs w:val="24"/>
          <w:lang w:val="en-GB"/>
        </w:rPr>
        <w:t>matter</w:t>
      </w:r>
      <w:r w:rsidRPr="008302DE">
        <w:rPr>
          <w:rFonts w:ascii="Century Gothic" w:hAnsi="Century Gothic"/>
          <w:sz w:val="24"/>
          <w:szCs w:val="24"/>
          <w:lang w:val="en-GB"/>
        </w:rPr>
        <w:t xml:space="preserve"> </w:t>
      </w:r>
      <w:r w:rsidR="003B1105" w:rsidRPr="008302DE">
        <w:rPr>
          <w:rFonts w:ascii="Century Gothic" w:hAnsi="Century Gothic"/>
          <w:sz w:val="24"/>
          <w:szCs w:val="24"/>
          <w:lang w:val="en-GB"/>
        </w:rPr>
        <w:t>in relation to which the order was granted</w:t>
      </w:r>
      <w:r w:rsidRPr="008302DE">
        <w:rPr>
          <w:rFonts w:ascii="Century Gothic" w:hAnsi="Century Gothic"/>
          <w:sz w:val="24"/>
          <w:szCs w:val="24"/>
          <w:lang w:val="en-GB"/>
        </w:rPr>
        <w:t xml:space="preserve"> and the legal context applicable thereto. </w:t>
      </w:r>
    </w:p>
    <w:p w14:paraId="1A5D6163" w14:textId="77777777" w:rsidR="00F7152A" w:rsidRPr="008302DE" w:rsidRDefault="00F7152A" w:rsidP="00AE4276">
      <w:pPr>
        <w:pStyle w:val="ListParagraph"/>
        <w:spacing w:line="480" w:lineRule="auto"/>
        <w:jc w:val="both"/>
        <w:rPr>
          <w:rFonts w:ascii="Century Gothic" w:hAnsi="Century Gothic"/>
          <w:sz w:val="24"/>
          <w:szCs w:val="24"/>
          <w:lang w:val="en-GB"/>
        </w:rPr>
      </w:pPr>
    </w:p>
    <w:p w14:paraId="05EE5CFC" w14:textId="01A39D7C" w:rsidR="00F77BF6" w:rsidRPr="008302DE" w:rsidRDefault="00F7152A"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lastRenderedPageBreak/>
        <w:t xml:space="preserve">The reasoning set out in a judgment provides an explanation for the order arrived at and provides it with meaning.  </w:t>
      </w:r>
    </w:p>
    <w:p w14:paraId="51AF8996" w14:textId="77777777" w:rsidR="00476021" w:rsidRDefault="00476021" w:rsidP="00476021">
      <w:pPr>
        <w:spacing w:line="480" w:lineRule="auto"/>
        <w:jc w:val="both"/>
        <w:rPr>
          <w:rFonts w:ascii="Century Gothic" w:hAnsi="Century Gothic"/>
          <w:b/>
          <w:bCs/>
          <w:sz w:val="24"/>
          <w:szCs w:val="24"/>
          <w:lang w:val="en-GB"/>
        </w:rPr>
      </w:pPr>
    </w:p>
    <w:p w14:paraId="7456ABDC" w14:textId="77777777" w:rsidR="00AD7A38" w:rsidRDefault="00476021" w:rsidP="00AD7A38">
      <w:pPr>
        <w:spacing w:line="480" w:lineRule="auto"/>
        <w:jc w:val="both"/>
        <w:rPr>
          <w:rFonts w:ascii="Century Gothic" w:hAnsi="Century Gothic"/>
          <w:b/>
          <w:bCs/>
          <w:sz w:val="24"/>
          <w:szCs w:val="24"/>
          <w:lang w:val="en-GB"/>
        </w:rPr>
      </w:pPr>
      <w:r w:rsidRPr="008302DE">
        <w:rPr>
          <w:rFonts w:ascii="Century Gothic" w:hAnsi="Century Gothic"/>
          <w:b/>
          <w:bCs/>
          <w:sz w:val="24"/>
          <w:szCs w:val="24"/>
          <w:lang w:val="en-GB"/>
        </w:rPr>
        <w:t>New GX’s arguments</w:t>
      </w:r>
    </w:p>
    <w:p w14:paraId="33705FF2" w14:textId="77777777" w:rsidR="00AD7A38" w:rsidRDefault="00AD7A38" w:rsidP="00AD7A38">
      <w:pPr>
        <w:spacing w:line="480" w:lineRule="auto"/>
        <w:jc w:val="both"/>
        <w:rPr>
          <w:rFonts w:ascii="Century Gothic" w:hAnsi="Century Gothic"/>
          <w:b/>
          <w:bCs/>
          <w:sz w:val="24"/>
          <w:szCs w:val="24"/>
          <w:lang w:val="en-GB"/>
        </w:rPr>
      </w:pPr>
    </w:p>
    <w:p w14:paraId="1199394B" w14:textId="6F00EF7D" w:rsidR="00241310" w:rsidRPr="005F40CB" w:rsidRDefault="00476021" w:rsidP="009B29E8">
      <w:pPr>
        <w:pStyle w:val="ListParagraph"/>
        <w:numPr>
          <w:ilvl w:val="0"/>
          <w:numId w:val="5"/>
        </w:numPr>
        <w:spacing w:line="480" w:lineRule="auto"/>
        <w:ind w:hanging="720"/>
        <w:jc w:val="both"/>
        <w:rPr>
          <w:rFonts w:ascii="Century Gothic" w:hAnsi="Century Gothic"/>
          <w:b/>
          <w:bCs/>
          <w:sz w:val="24"/>
          <w:szCs w:val="24"/>
          <w:lang w:val="en-GB"/>
        </w:rPr>
      </w:pPr>
      <w:r w:rsidRPr="00AD7A38">
        <w:rPr>
          <w:rFonts w:ascii="Century Gothic" w:hAnsi="Century Gothic"/>
          <w:sz w:val="24"/>
          <w:szCs w:val="24"/>
          <w:lang w:val="en-GB"/>
        </w:rPr>
        <w:t xml:space="preserve">New GX now asserts that the order it seeks is intended to remove an ambiguity in the court order and that the order </w:t>
      </w:r>
      <w:r w:rsidR="005F40CB">
        <w:rPr>
          <w:rFonts w:ascii="Century Gothic" w:hAnsi="Century Gothic"/>
          <w:sz w:val="24"/>
          <w:szCs w:val="24"/>
          <w:lang w:val="en-GB"/>
        </w:rPr>
        <w:t xml:space="preserve">of Van der Westhuizen J </w:t>
      </w:r>
      <w:r w:rsidRPr="00AD7A38">
        <w:rPr>
          <w:rFonts w:ascii="Century Gothic" w:hAnsi="Century Gothic"/>
          <w:sz w:val="24"/>
          <w:szCs w:val="24"/>
          <w:lang w:val="en-GB"/>
        </w:rPr>
        <w:t>does not reflect the true intention of the court. According to New GX, the ambiguity only came to its attention following receipt of the written ruling by the second respondent.</w:t>
      </w:r>
    </w:p>
    <w:p w14:paraId="225A5746" w14:textId="77777777" w:rsidR="005F40CB" w:rsidRPr="00241310" w:rsidRDefault="005F40CB" w:rsidP="005F40CB">
      <w:pPr>
        <w:pStyle w:val="ListParagraph"/>
        <w:spacing w:line="480" w:lineRule="auto"/>
        <w:jc w:val="both"/>
        <w:rPr>
          <w:rFonts w:ascii="Century Gothic" w:hAnsi="Century Gothic"/>
          <w:b/>
          <w:bCs/>
          <w:sz w:val="24"/>
          <w:szCs w:val="24"/>
          <w:lang w:val="en-GB"/>
        </w:rPr>
      </w:pPr>
    </w:p>
    <w:p w14:paraId="54088D45" w14:textId="75AB1D5B" w:rsidR="00241310" w:rsidRPr="00241310" w:rsidRDefault="00476021" w:rsidP="009B29E8">
      <w:pPr>
        <w:pStyle w:val="ListParagraph"/>
        <w:numPr>
          <w:ilvl w:val="0"/>
          <w:numId w:val="5"/>
        </w:numPr>
        <w:spacing w:line="480" w:lineRule="auto"/>
        <w:ind w:hanging="720"/>
        <w:jc w:val="both"/>
        <w:rPr>
          <w:rFonts w:ascii="Century Gothic" w:hAnsi="Century Gothic"/>
          <w:b/>
          <w:bCs/>
          <w:sz w:val="24"/>
          <w:szCs w:val="24"/>
          <w:lang w:val="en-GB"/>
        </w:rPr>
      </w:pPr>
      <w:r w:rsidRPr="00241310">
        <w:rPr>
          <w:rFonts w:ascii="Century Gothic" w:hAnsi="Century Gothic"/>
          <w:sz w:val="24"/>
          <w:szCs w:val="24"/>
          <w:lang w:val="en-GB"/>
        </w:rPr>
        <w:t>According to New GX, the interpretation of the arbitrator of the phrase ‘</w:t>
      </w:r>
      <w:r w:rsidRPr="00241310">
        <w:rPr>
          <w:rFonts w:ascii="Century Gothic" w:hAnsi="Century Gothic"/>
          <w:i/>
          <w:iCs/>
          <w:sz w:val="24"/>
          <w:szCs w:val="24"/>
          <w:lang w:val="en-GB"/>
        </w:rPr>
        <w:t>rights which may already have accrued prior to the cancellation of the service agreement, and to which the respondent would be entitled under the impugned service agreement</w:t>
      </w:r>
      <w:r w:rsidRPr="00241310">
        <w:rPr>
          <w:rFonts w:ascii="Century Gothic" w:hAnsi="Century Gothic"/>
          <w:sz w:val="24"/>
          <w:szCs w:val="24"/>
          <w:lang w:val="en-GB"/>
        </w:rPr>
        <w:t>” has the effect of excluding New GX’s right to claim compensation for the expenses it incurred</w:t>
      </w:r>
      <w:r w:rsidR="005F40CB">
        <w:rPr>
          <w:rFonts w:ascii="Century Gothic" w:hAnsi="Century Gothic"/>
          <w:sz w:val="24"/>
          <w:szCs w:val="24"/>
          <w:lang w:val="en-GB"/>
        </w:rPr>
        <w:t xml:space="preserve"> and the liability it assumed</w:t>
      </w:r>
      <w:r w:rsidRPr="00241310">
        <w:rPr>
          <w:rFonts w:ascii="Century Gothic" w:hAnsi="Century Gothic"/>
          <w:sz w:val="24"/>
          <w:szCs w:val="24"/>
          <w:lang w:val="en-GB"/>
        </w:rPr>
        <w:t xml:space="preserve"> in the performance of the impugned service agreement. </w:t>
      </w:r>
    </w:p>
    <w:p w14:paraId="6382C452" w14:textId="77777777" w:rsidR="00241310" w:rsidRPr="00241310" w:rsidRDefault="00241310" w:rsidP="00241310">
      <w:pPr>
        <w:pStyle w:val="ListParagraph"/>
        <w:spacing w:line="480" w:lineRule="auto"/>
        <w:jc w:val="both"/>
        <w:rPr>
          <w:rFonts w:ascii="Century Gothic" w:hAnsi="Century Gothic"/>
          <w:b/>
          <w:bCs/>
          <w:sz w:val="24"/>
          <w:szCs w:val="24"/>
          <w:lang w:val="en-GB"/>
        </w:rPr>
      </w:pPr>
    </w:p>
    <w:p w14:paraId="2CE11D64" w14:textId="77777777" w:rsidR="00241310" w:rsidRPr="00241310" w:rsidRDefault="00476021" w:rsidP="009B29E8">
      <w:pPr>
        <w:pStyle w:val="ListParagraph"/>
        <w:numPr>
          <w:ilvl w:val="0"/>
          <w:numId w:val="5"/>
        </w:numPr>
        <w:spacing w:line="480" w:lineRule="auto"/>
        <w:ind w:hanging="720"/>
        <w:jc w:val="both"/>
        <w:rPr>
          <w:rFonts w:ascii="Century Gothic" w:hAnsi="Century Gothic"/>
          <w:b/>
          <w:bCs/>
          <w:sz w:val="24"/>
          <w:szCs w:val="24"/>
          <w:lang w:val="en-GB"/>
        </w:rPr>
      </w:pPr>
      <w:r w:rsidRPr="00241310">
        <w:rPr>
          <w:rFonts w:ascii="Century Gothic" w:hAnsi="Century Gothic"/>
          <w:sz w:val="24"/>
          <w:szCs w:val="24"/>
          <w:lang w:val="en-GB"/>
        </w:rPr>
        <w:t xml:space="preserve">New GX contends that the purpose of the order of Van der Westhuizen J is to preserve its contractual rights, which, barring those expressly excluded, includes its right to claim compensation for the expenses it </w:t>
      </w:r>
      <w:r w:rsidRPr="00241310">
        <w:rPr>
          <w:rFonts w:ascii="Century Gothic" w:hAnsi="Century Gothic"/>
          <w:sz w:val="24"/>
          <w:szCs w:val="24"/>
          <w:lang w:val="en-GB"/>
        </w:rPr>
        <w:lastRenderedPageBreak/>
        <w:t xml:space="preserve">incurred and the debt it assumed in the performance of its duties in terms of the service agreement. </w:t>
      </w:r>
    </w:p>
    <w:p w14:paraId="53315341" w14:textId="77777777" w:rsidR="00241310" w:rsidRDefault="00241310" w:rsidP="00241310">
      <w:pPr>
        <w:pStyle w:val="ListParagraph"/>
        <w:rPr>
          <w:rFonts w:ascii="Century Gothic" w:hAnsi="Century Gothic"/>
          <w:sz w:val="24"/>
          <w:szCs w:val="24"/>
          <w:lang w:val="en-GB"/>
        </w:rPr>
      </w:pPr>
    </w:p>
    <w:p w14:paraId="34B19441" w14:textId="77777777" w:rsidR="00241310" w:rsidRPr="00241310" w:rsidRDefault="00241310" w:rsidP="00241310">
      <w:pPr>
        <w:pStyle w:val="ListParagraph"/>
        <w:rPr>
          <w:rFonts w:ascii="Century Gothic" w:hAnsi="Century Gothic"/>
          <w:sz w:val="24"/>
          <w:szCs w:val="24"/>
          <w:lang w:val="en-GB"/>
        </w:rPr>
      </w:pPr>
    </w:p>
    <w:p w14:paraId="7C762549" w14:textId="77777777" w:rsidR="00241310" w:rsidRPr="00241310" w:rsidRDefault="00476021" w:rsidP="009B29E8">
      <w:pPr>
        <w:pStyle w:val="ListParagraph"/>
        <w:numPr>
          <w:ilvl w:val="0"/>
          <w:numId w:val="5"/>
        </w:numPr>
        <w:spacing w:line="480" w:lineRule="auto"/>
        <w:ind w:hanging="720"/>
        <w:jc w:val="both"/>
        <w:rPr>
          <w:rFonts w:ascii="Century Gothic" w:hAnsi="Century Gothic"/>
          <w:b/>
          <w:bCs/>
          <w:sz w:val="24"/>
          <w:szCs w:val="24"/>
          <w:lang w:val="en-GB"/>
        </w:rPr>
      </w:pPr>
      <w:r w:rsidRPr="00241310">
        <w:rPr>
          <w:rFonts w:ascii="Century Gothic" w:hAnsi="Century Gothic"/>
          <w:sz w:val="24"/>
          <w:szCs w:val="24"/>
          <w:lang w:val="en-GB"/>
        </w:rPr>
        <w:t xml:space="preserve">According to New GX, the interpretation of the arbitrator as set out in the ruling therefore does not accord with the intention, reasoning and findings of Van der Westhuizen J. </w:t>
      </w:r>
    </w:p>
    <w:p w14:paraId="0F12D693" w14:textId="77777777" w:rsidR="00241310" w:rsidRPr="00241310" w:rsidRDefault="00241310" w:rsidP="00025224">
      <w:pPr>
        <w:pStyle w:val="ListParagraph"/>
        <w:spacing w:line="480" w:lineRule="auto"/>
        <w:ind w:hanging="720"/>
        <w:jc w:val="both"/>
        <w:rPr>
          <w:rFonts w:ascii="Century Gothic" w:hAnsi="Century Gothic"/>
          <w:b/>
          <w:bCs/>
          <w:sz w:val="24"/>
          <w:szCs w:val="24"/>
          <w:lang w:val="en-GB"/>
        </w:rPr>
      </w:pPr>
    </w:p>
    <w:p w14:paraId="5F334EFB" w14:textId="3CF41FD6" w:rsidR="00476021" w:rsidRPr="00241310" w:rsidRDefault="00476021" w:rsidP="009B29E8">
      <w:pPr>
        <w:pStyle w:val="ListParagraph"/>
        <w:numPr>
          <w:ilvl w:val="0"/>
          <w:numId w:val="5"/>
        </w:numPr>
        <w:spacing w:line="480" w:lineRule="auto"/>
        <w:ind w:hanging="720"/>
        <w:jc w:val="both"/>
        <w:rPr>
          <w:rFonts w:ascii="Century Gothic" w:hAnsi="Century Gothic"/>
          <w:b/>
          <w:bCs/>
          <w:sz w:val="24"/>
          <w:szCs w:val="24"/>
          <w:lang w:val="en-GB"/>
        </w:rPr>
      </w:pPr>
      <w:r w:rsidRPr="00241310">
        <w:rPr>
          <w:rFonts w:ascii="Century Gothic" w:hAnsi="Century Gothic"/>
          <w:sz w:val="24"/>
          <w:szCs w:val="24"/>
          <w:lang w:val="en-GB"/>
        </w:rPr>
        <w:t>The bases for New GX’s assertions are shortly that:</w:t>
      </w:r>
    </w:p>
    <w:p w14:paraId="4E69DB09" w14:textId="77777777" w:rsidR="00476021" w:rsidRPr="008302DE" w:rsidRDefault="00476021" w:rsidP="00476021">
      <w:pPr>
        <w:pStyle w:val="ListParagraph"/>
        <w:spacing w:line="480" w:lineRule="auto"/>
        <w:ind w:left="1440" w:hanging="731"/>
        <w:jc w:val="both"/>
        <w:rPr>
          <w:rFonts w:ascii="Century Gothic" w:hAnsi="Century Gothic"/>
          <w:sz w:val="24"/>
          <w:szCs w:val="24"/>
          <w:lang w:val="en-GB"/>
        </w:rPr>
      </w:pPr>
    </w:p>
    <w:p w14:paraId="4E04B8AB" w14:textId="480E9003" w:rsidR="00476021" w:rsidRPr="009B29E8" w:rsidRDefault="00476021" w:rsidP="009B29E8">
      <w:pPr>
        <w:pStyle w:val="ListParagraph"/>
        <w:numPr>
          <w:ilvl w:val="1"/>
          <w:numId w:val="6"/>
        </w:numPr>
        <w:spacing w:line="480" w:lineRule="auto"/>
        <w:jc w:val="both"/>
        <w:rPr>
          <w:rFonts w:ascii="Century Gothic" w:hAnsi="Century Gothic"/>
          <w:sz w:val="24"/>
          <w:szCs w:val="24"/>
          <w:lang w:val="en-GB"/>
        </w:rPr>
      </w:pPr>
      <w:r w:rsidRPr="009B29E8">
        <w:rPr>
          <w:rFonts w:ascii="Century Gothic" w:hAnsi="Century Gothic"/>
          <w:sz w:val="24"/>
          <w:szCs w:val="24"/>
          <w:lang w:val="en-GB"/>
        </w:rPr>
        <w:t xml:space="preserve">Despite the COT applying for declarations of invalidity in respect of the service agreement and the procurement decisions authorising the conclusion thereof, the service agreement was declared constitutionally invalid, but it was not set aside. </w:t>
      </w:r>
    </w:p>
    <w:p w14:paraId="262D4E24" w14:textId="77777777" w:rsidR="00476021" w:rsidRPr="008302DE" w:rsidRDefault="00476021" w:rsidP="009B29E8">
      <w:pPr>
        <w:pStyle w:val="ListParagraph"/>
        <w:spacing w:line="480" w:lineRule="auto"/>
        <w:ind w:left="1800" w:hanging="720"/>
        <w:jc w:val="both"/>
        <w:rPr>
          <w:rFonts w:ascii="Century Gothic" w:hAnsi="Century Gothic"/>
          <w:sz w:val="24"/>
          <w:szCs w:val="24"/>
          <w:lang w:val="en-GB"/>
        </w:rPr>
      </w:pPr>
    </w:p>
    <w:p w14:paraId="331B82A3" w14:textId="04C1ADBB" w:rsidR="00476021" w:rsidRPr="009B29E8" w:rsidRDefault="00476021" w:rsidP="009B29E8">
      <w:pPr>
        <w:pStyle w:val="ListParagraph"/>
        <w:numPr>
          <w:ilvl w:val="1"/>
          <w:numId w:val="6"/>
        </w:numPr>
        <w:spacing w:line="480" w:lineRule="auto"/>
        <w:jc w:val="both"/>
        <w:rPr>
          <w:rFonts w:ascii="Century Gothic" w:hAnsi="Century Gothic"/>
          <w:sz w:val="24"/>
          <w:szCs w:val="24"/>
          <w:lang w:val="en-GB"/>
        </w:rPr>
      </w:pPr>
      <w:bookmarkStart w:id="4" w:name="_Hlk143693392"/>
      <w:r w:rsidRPr="009B29E8">
        <w:rPr>
          <w:rFonts w:ascii="Century Gothic" w:hAnsi="Century Gothic"/>
          <w:sz w:val="24"/>
          <w:szCs w:val="24"/>
          <w:lang w:val="en-GB"/>
        </w:rPr>
        <w:t>During argument</w:t>
      </w:r>
      <w:r w:rsidR="00BB2323">
        <w:rPr>
          <w:rFonts w:ascii="Century Gothic" w:hAnsi="Century Gothic"/>
          <w:sz w:val="24"/>
          <w:szCs w:val="24"/>
          <w:lang w:val="en-GB"/>
        </w:rPr>
        <w:t xml:space="preserve"> of the review application</w:t>
      </w:r>
      <w:r w:rsidRPr="009B29E8">
        <w:rPr>
          <w:rFonts w:ascii="Century Gothic" w:hAnsi="Century Gothic"/>
          <w:sz w:val="24"/>
          <w:szCs w:val="24"/>
          <w:lang w:val="en-GB"/>
        </w:rPr>
        <w:t xml:space="preserve">, the COT contended for an order setting aside the service agreement in full, thereby depriving New GX of any claim. </w:t>
      </w:r>
    </w:p>
    <w:p w14:paraId="416F6C99" w14:textId="77777777" w:rsidR="00476021" w:rsidRDefault="00476021" w:rsidP="009B29E8">
      <w:pPr>
        <w:pStyle w:val="ListParagraph"/>
        <w:ind w:left="1800" w:hanging="720"/>
        <w:rPr>
          <w:rFonts w:ascii="Century Gothic" w:hAnsi="Century Gothic"/>
          <w:sz w:val="24"/>
          <w:szCs w:val="24"/>
          <w:lang w:val="en-GB"/>
        </w:rPr>
      </w:pPr>
    </w:p>
    <w:p w14:paraId="2DF47AFB" w14:textId="77777777" w:rsidR="00D43464" w:rsidRPr="00CA486D" w:rsidRDefault="00D43464" w:rsidP="009B29E8">
      <w:pPr>
        <w:pStyle w:val="ListParagraph"/>
        <w:ind w:left="1800" w:hanging="720"/>
        <w:rPr>
          <w:rFonts w:ascii="Century Gothic" w:hAnsi="Century Gothic"/>
          <w:sz w:val="24"/>
          <w:szCs w:val="24"/>
          <w:lang w:val="en-GB"/>
        </w:rPr>
      </w:pPr>
    </w:p>
    <w:p w14:paraId="6BE7FAFC" w14:textId="24F60B2C" w:rsidR="00815954" w:rsidRPr="00325536" w:rsidRDefault="00476021" w:rsidP="00325536">
      <w:pPr>
        <w:pStyle w:val="ListParagraph"/>
        <w:numPr>
          <w:ilvl w:val="1"/>
          <w:numId w:val="6"/>
        </w:numPr>
        <w:spacing w:line="480" w:lineRule="auto"/>
        <w:jc w:val="both"/>
        <w:rPr>
          <w:rFonts w:ascii="Century Gothic" w:hAnsi="Century Gothic"/>
          <w:sz w:val="24"/>
          <w:szCs w:val="24"/>
          <w:lang w:val="en-GB"/>
        </w:rPr>
      </w:pPr>
      <w:r w:rsidRPr="00E2521A">
        <w:rPr>
          <w:rFonts w:ascii="Century Gothic" w:hAnsi="Century Gothic"/>
          <w:sz w:val="24"/>
          <w:szCs w:val="24"/>
          <w:lang w:val="en-GB"/>
        </w:rPr>
        <w:t xml:space="preserve">New GX opposed the review application and the relief sought by the COT, but argued for an order to be granted along the lines of that granted by the Constitutional Court in </w:t>
      </w:r>
      <w:r w:rsidRPr="00E2521A">
        <w:rPr>
          <w:rFonts w:ascii="Century Gothic" w:hAnsi="Century Gothic"/>
          <w:i/>
          <w:iCs/>
          <w:sz w:val="24"/>
          <w:szCs w:val="24"/>
          <w:lang w:val="en-GB"/>
        </w:rPr>
        <w:t>Gijima</w:t>
      </w:r>
      <w:r w:rsidRPr="00E2521A">
        <w:rPr>
          <w:rFonts w:ascii="Century Gothic" w:hAnsi="Century Gothic"/>
          <w:sz w:val="24"/>
          <w:szCs w:val="24"/>
          <w:lang w:val="en-GB"/>
        </w:rPr>
        <w:t xml:space="preserve">, i.e. declaring the agreement invalid, but preserving the accrued contractual rights to which it might have been entitled. </w:t>
      </w:r>
    </w:p>
    <w:p w14:paraId="5083A177" w14:textId="4C4E1E29" w:rsidR="00476021" w:rsidRPr="00815954" w:rsidRDefault="00476021" w:rsidP="009B29E8">
      <w:pPr>
        <w:pStyle w:val="ListParagraph"/>
        <w:numPr>
          <w:ilvl w:val="1"/>
          <w:numId w:val="6"/>
        </w:numPr>
        <w:spacing w:line="480" w:lineRule="auto"/>
        <w:jc w:val="both"/>
        <w:rPr>
          <w:rFonts w:ascii="Century Gothic" w:hAnsi="Century Gothic"/>
          <w:sz w:val="24"/>
          <w:szCs w:val="24"/>
          <w:lang w:val="en-GB"/>
        </w:rPr>
      </w:pPr>
      <w:r w:rsidRPr="00815954">
        <w:rPr>
          <w:rFonts w:ascii="Century Gothic" w:hAnsi="Century Gothic"/>
          <w:sz w:val="24"/>
          <w:szCs w:val="24"/>
          <w:lang w:val="en-GB"/>
        </w:rPr>
        <w:lastRenderedPageBreak/>
        <w:t xml:space="preserve">The COT conceded that an order along the lines of that granted in </w:t>
      </w:r>
      <w:r w:rsidRPr="00815954">
        <w:rPr>
          <w:rFonts w:ascii="Century Gothic" w:hAnsi="Century Gothic"/>
          <w:i/>
          <w:iCs/>
          <w:sz w:val="24"/>
          <w:szCs w:val="24"/>
          <w:lang w:val="en-GB"/>
        </w:rPr>
        <w:t>Gijima</w:t>
      </w:r>
      <w:r w:rsidRPr="00815954">
        <w:rPr>
          <w:rFonts w:ascii="Century Gothic" w:hAnsi="Century Gothic"/>
          <w:sz w:val="24"/>
          <w:szCs w:val="24"/>
          <w:lang w:val="en-GB"/>
        </w:rPr>
        <w:t xml:space="preserve"> would be just and equitable, but only if accrued rights to claim for loss of profits and for compensation for shortfalls in the amount of waste delivered be excluded. This concession is recorded in paragraph 46 of the judgment.</w:t>
      </w:r>
    </w:p>
    <w:p w14:paraId="64D63D60" w14:textId="77777777" w:rsidR="00476021" w:rsidRPr="008302DE" w:rsidRDefault="00476021" w:rsidP="009B29E8">
      <w:pPr>
        <w:pStyle w:val="ListParagraph"/>
        <w:spacing w:line="480" w:lineRule="auto"/>
        <w:ind w:left="1800" w:hanging="720"/>
        <w:jc w:val="both"/>
        <w:rPr>
          <w:rFonts w:ascii="Century Gothic" w:hAnsi="Century Gothic"/>
          <w:sz w:val="24"/>
          <w:szCs w:val="24"/>
          <w:lang w:val="en-GB"/>
        </w:rPr>
      </w:pPr>
    </w:p>
    <w:p w14:paraId="09FD8257" w14:textId="77777777" w:rsidR="00476021" w:rsidRDefault="00476021" w:rsidP="009B29E8">
      <w:pPr>
        <w:pStyle w:val="ListParagraph"/>
        <w:numPr>
          <w:ilvl w:val="1"/>
          <w:numId w:val="6"/>
        </w:numPr>
        <w:spacing w:line="480" w:lineRule="auto"/>
        <w:jc w:val="both"/>
        <w:rPr>
          <w:rFonts w:ascii="Century Gothic" w:hAnsi="Century Gothic"/>
          <w:sz w:val="24"/>
          <w:szCs w:val="24"/>
          <w:lang w:val="en-GB"/>
        </w:rPr>
      </w:pPr>
      <w:r w:rsidRPr="008302DE">
        <w:rPr>
          <w:rFonts w:ascii="Century Gothic" w:hAnsi="Century Gothic"/>
          <w:sz w:val="24"/>
          <w:szCs w:val="24"/>
          <w:lang w:val="en-GB"/>
        </w:rPr>
        <w:t>Without further discussion, the order in its current form was granted. New GX argues, that in doing so, the purpose of the court order is to preserve New GX’s contractual rights, including its right to claim damages, excluding its right to claim for profits and or loss as a result of shortfalls</w:t>
      </w:r>
      <w:r>
        <w:rPr>
          <w:rFonts w:ascii="Century Gothic" w:hAnsi="Century Gothic"/>
          <w:sz w:val="24"/>
          <w:szCs w:val="24"/>
          <w:lang w:val="en-GB"/>
        </w:rPr>
        <w:t>.</w:t>
      </w:r>
      <w:bookmarkEnd w:id="4"/>
    </w:p>
    <w:p w14:paraId="0140FB4F" w14:textId="77777777" w:rsidR="00151F5D" w:rsidRPr="00217D05" w:rsidRDefault="00151F5D" w:rsidP="00217D05">
      <w:pPr>
        <w:spacing w:line="480" w:lineRule="auto"/>
        <w:jc w:val="both"/>
        <w:rPr>
          <w:rFonts w:ascii="Century Gothic" w:hAnsi="Century Gothic"/>
          <w:sz w:val="24"/>
          <w:szCs w:val="24"/>
          <w:lang w:val="en-GB"/>
        </w:rPr>
      </w:pPr>
    </w:p>
    <w:p w14:paraId="5295C774" w14:textId="3AA93251" w:rsidR="00F77BF6" w:rsidRPr="009B29E8" w:rsidRDefault="00F77BF6" w:rsidP="009B29E8">
      <w:pPr>
        <w:pStyle w:val="ListParagraph"/>
        <w:numPr>
          <w:ilvl w:val="0"/>
          <w:numId w:val="5"/>
        </w:numPr>
        <w:spacing w:line="480" w:lineRule="auto"/>
        <w:ind w:hanging="720"/>
        <w:jc w:val="both"/>
        <w:rPr>
          <w:rFonts w:ascii="Century Gothic" w:hAnsi="Century Gothic"/>
          <w:sz w:val="24"/>
          <w:szCs w:val="24"/>
          <w:lang w:val="en-GB"/>
        </w:rPr>
      </w:pPr>
      <w:r w:rsidRPr="009B29E8">
        <w:rPr>
          <w:rFonts w:ascii="Century Gothic" w:hAnsi="Century Gothic"/>
          <w:sz w:val="24"/>
          <w:szCs w:val="24"/>
          <w:lang w:val="en-GB"/>
        </w:rPr>
        <w:t xml:space="preserve">I do not agree with the contentions by New GX. </w:t>
      </w:r>
    </w:p>
    <w:p w14:paraId="7D335947" w14:textId="77777777" w:rsidR="00F77BF6" w:rsidRPr="008302DE" w:rsidRDefault="00F77BF6" w:rsidP="00025224">
      <w:pPr>
        <w:pStyle w:val="ListParagraph"/>
        <w:spacing w:line="480" w:lineRule="auto"/>
        <w:ind w:hanging="720"/>
        <w:jc w:val="both"/>
        <w:rPr>
          <w:rFonts w:ascii="Century Gothic" w:hAnsi="Century Gothic"/>
          <w:sz w:val="24"/>
          <w:szCs w:val="24"/>
          <w:lang w:val="en-GB"/>
        </w:rPr>
      </w:pPr>
    </w:p>
    <w:p w14:paraId="2007B45A" w14:textId="1DD87DBD" w:rsidR="00F77BF6" w:rsidRPr="008302DE" w:rsidRDefault="00F77BF6"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The effect of a declaration of constitutional invalidity, whether the agreement is set aside or not, is that the agreement declared</w:t>
      </w:r>
      <w:r w:rsidR="00815954">
        <w:rPr>
          <w:rFonts w:ascii="Century Gothic" w:hAnsi="Century Gothic"/>
          <w:sz w:val="24"/>
          <w:szCs w:val="24"/>
          <w:lang w:val="en-GB"/>
        </w:rPr>
        <w:t xml:space="preserve"> to be</w:t>
      </w:r>
      <w:r w:rsidRPr="008302DE">
        <w:rPr>
          <w:rFonts w:ascii="Century Gothic" w:hAnsi="Century Gothic"/>
          <w:sz w:val="24"/>
          <w:szCs w:val="24"/>
          <w:lang w:val="en-GB"/>
        </w:rPr>
        <w:t xml:space="preserve"> invalid </w:t>
      </w:r>
      <w:r w:rsidR="00815954">
        <w:rPr>
          <w:rFonts w:ascii="Century Gothic" w:hAnsi="Century Gothic"/>
          <w:sz w:val="24"/>
          <w:szCs w:val="24"/>
          <w:lang w:val="en-GB"/>
        </w:rPr>
        <w:t xml:space="preserve">is thus </w:t>
      </w:r>
      <w:r w:rsidRPr="008302DE">
        <w:rPr>
          <w:rFonts w:ascii="Century Gothic" w:hAnsi="Century Gothic"/>
          <w:sz w:val="24"/>
          <w:szCs w:val="24"/>
          <w:lang w:val="en-GB"/>
        </w:rPr>
        <w:t>invalid from its inception</w:t>
      </w:r>
      <w:r w:rsidR="00A47E94">
        <w:rPr>
          <w:rFonts w:ascii="Century Gothic" w:hAnsi="Century Gothic"/>
          <w:sz w:val="24"/>
          <w:szCs w:val="24"/>
          <w:lang w:val="en-GB"/>
        </w:rPr>
        <w:t xml:space="preserve">, </w:t>
      </w:r>
      <w:r w:rsidRPr="008302DE">
        <w:rPr>
          <w:rFonts w:ascii="Century Gothic" w:hAnsi="Century Gothic"/>
          <w:sz w:val="24"/>
          <w:szCs w:val="24"/>
          <w:lang w:val="en-GB"/>
        </w:rPr>
        <w:t>and has no legal effect.</w:t>
      </w:r>
      <w:r w:rsidR="00151F5D" w:rsidRPr="008302DE">
        <w:rPr>
          <w:rStyle w:val="FootnoteReference"/>
          <w:rFonts w:ascii="Century Gothic" w:hAnsi="Century Gothic"/>
          <w:sz w:val="24"/>
          <w:szCs w:val="24"/>
          <w:lang w:val="en-GB"/>
        </w:rPr>
        <w:footnoteReference w:id="5"/>
      </w:r>
      <w:r w:rsidRPr="008302DE">
        <w:rPr>
          <w:rFonts w:ascii="Century Gothic" w:hAnsi="Century Gothic"/>
          <w:sz w:val="24"/>
          <w:szCs w:val="24"/>
          <w:lang w:val="en-GB"/>
        </w:rPr>
        <w:t xml:space="preserve"> New GX would therefore only be entitled to rights specifically preserved by an order of court.</w:t>
      </w:r>
    </w:p>
    <w:p w14:paraId="1A3ABB45" w14:textId="77777777" w:rsidR="00F77BF6" w:rsidRPr="008302DE" w:rsidRDefault="00F77BF6" w:rsidP="00025224">
      <w:pPr>
        <w:pStyle w:val="ListParagraph"/>
        <w:ind w:hanging="720"/>
        <w:rPr>
          <w:rFonts w:ascii="Century Gothic" w:hAnsi="Century Gothic"/>
          <w:sz w:val="24"/>
          <w:szCs w:val="24"/>
          <w:lang w:val="en-GB"/>
        </w:rPr>
      </w:pPr>
    </w:p>
    <w:p w14:paraId="53D8ED7C" w14:textId="77777777" w:rsidR="00151F5D" w:rsidRPr="008302DE" w:rsidRDefault="00151F5D" w:rsidP="009B29E8">
      <w:pPr>
        <w:pStyle w:val="ListParagraph"/>
        <w:ind w:hanging="720"/>
        <w:rPr>
          <w:rFonts w:ascii="Century Gothic" w:hAnsi="Century Gothic"/>
          <w:sz w:val="24"/>
          <w:szCs w:val="24"/>
          <w:lang w:val="en-GB"/>
        </w:rPr>
      </w:pPr>
    </w:p>
    <w:p w14:paraId="11FFB7CC" w14:textId="53C87C68" w:rsidR="00F77BF6" w:rsidRPr="008302DE" w:rsidRDefault="00F77BF6"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The court </w:t>
      </w:r>
      <w:r w:rsidR="005A150C" w:rsidRPr="008302DE">
        <w:rPr>
          <w:rFonts w:ascii="Century Gothic" w:hAnsi="Century Gothic"/>
          <w:sz w:val="24"/>
          <w:szCs w:val="24"/>
          <w:lang w:val="en-GB"/>
        </w:rPr>
        <w:t xml:space="preserve">expressly </w:t>
      </w:r>
      <w:r w:rsidRPr="008302DE">
        <w:rPr>
          <w:rFonts w:ascii="Century Gothic" w:hAnsi="Century Gothic"/>
          <w:sz w:val="24"/>
          <w:szCs w:val="24"/>
          <w:lang w:val="en-GB"/>
        </w:rPr>
        <w:t xml:space="preserve">preserved rights which may already have accrued </w:t>
      </w:r>
      <w:r w:rsidR="00B16246" w:rsidRPr="008302DE">
        <w:rPr>
          <w:rFonts w:ascii="Century Gothic" w:hAnsi="Century Gothic"/>
          <w:sz w:val="24"/>
          <w:szCs w:val="24"/>
          <w:lang w:val="en-GB"/>
        </w:rPr>
        <w:t xml:space="preserve">to new GX </w:t>
      </w:r>
      <w:r w:rsidRPr="008302DE">
        <w:rPr>
          <w:rFonts w:ascii="Century Gothic" w:hAnsi="Century Gothic"/>
          <w:sz w:val="24"/>
          <w:szCs w:val="24"/>
          <w:lang w:val="en-GB"/>
        </w:rPr>
        <w:t>prior to the cancellation of the service agreement</w:t>
      </w:r>
      <w:r w:rsidR="00B16246" w:rsidRPr="008302DE">
        <w:rPr>
          <w:rFonts w:ascii="Century Gothic" w:hAnsi="Century Gothic"/>
          <w:sz w:val="24"/>
          <w:szCs w:val="24"/>
          <w:lang w:val="en-GB"/>
        </w:rPr>
        <w:t xml:space="preserve">, excluding </w:t>
      </w:r>
      <w:r w:rsidR="00B16246" w:rsidRPr="008302DE">
        <w:rPr>
          <w:rFonts w:ascii="Century Gothic" w:hAnsi="Century Gothic"/>
          <w:sz w:val="24"/>
          <w:szCs w:val="24"/>
          <w:lang w:val="en-GB"/>
        </w:rPr>
        <w:lastRenderedPageBreak/>
        <w:t>rights to claim for loss or profit and claims for shortfall</w:t>
      </w:r>
      <w:r w:rsidR="005A150C" w:rsidRPr="008302DE">
        <w:rPr>
          <w:rFonts w:ascii="Century Gothic" w:hAnsi="Century Gothic"/>
          <w:sz w:val="24"/>
          <w:szCs w:val="24"/>
          <w:lang w:val="en-GB"/>
        </w:rPr>
        <w:t>s</w:t>
      </w:r>
      <w:r w:rsidR="00B16246" w:rsidRPr="008302DE">
        <w:rPr>
          <w:rFonts w:ascii="Century Gothic" w:hAnsi="Century Gothic"/>
          <w:sz w:val="24"/>
          <w:szCs w:val="24"/>
          <w:lang w:val="en-GB"/>
        </w:rPr>
        <w:t xml:space="preserve"> pertaining to waste</w:t>
      </w:r>
      <w:r w:rsidR="001D12AC" w:rsidRPr="008302DE">
        <w:rPr>
          <w:rFonts w:ascii="Century Gothic" w:hAnsi="Century Gothic"/>
          <w:sz w:val="24"/>
          <w:szCs w:val="24"/>
          <w:lang w:val="en-GB"/>
        </w:rPr>
        <w:t>.</w:t>
      </w:r>
    </w:p>
    <w:p w14:paraId="3AB42625" w14:textId="77777777" w:rsidR="00B16246" w:rsidRDefault="00B16246" w:rsidP="009B29E8">
      <w:pPr>
        <w:pStyle w:val="ListParagraph"/>
        <w:ind w:hanging="720"/>
        <w:rPr>
          <w:rFonts w:ascii="Century Gothic" w:hAnsi="Century Gothic"/>
          <w:sz w:val="24"/>
          <w:szCs w:val="24"/>
          <w:lang w:val="en-GB"/>
        </w:rPr>
      </w:pPr>
    </w:p>
    <w:p w14:paraId="2D4C6E24" w14:textId="77777777" w:rsidR="006131BB" w:rsidRPr="008302DE" w:rsidRDefault="006131BB" w:rsidP="009B29E8">
      <w:pPr>
        <w:pStyle w:val="ListParagraph"/>
        <w:ind w:hanging="720"/>
        <w:rPr>
          <w:rFonts w:ascii="Century Gothic" w:hAnsi="Century Gothic"/>
          <w:sz w:val="24"/>
          <w:szCs w:val="24"/>
          <w:lang w:val="en-GB"/>
        </w:rPr>
      </w:pPr>
    </w:p>
    <w:p w14:paraId="0486994F" w14:textId="4CC5279D" w:rsidR="00B16246" w:rsidRPr="008302DE" w:rsidRDefault="00FE0880"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The court granted the order </w:t>
      </w:r>
      <w:r w:rsidR="006131BB">
        <w:rPr>
          <w:rFonts w:ascii="Century Gothic" w:hAnsi="Century Gothic"/>
          <w:sz w:val="24"/>
          <w:szCs w:val="24"/>
          <w:lang w:val="en-GB"/>
        </w:rPr>
        <w:t xml:space="preserve">after having </w:t>
      </w:r>
      <w:r w:rsidRPr="008302DE">
        <w:rPr>
          <w:rFonts w:ascii="Century Gothic" w:hAnsi="Century Gothic"/>
          <w:sz w:val="24"/>
          <w:szCs w:val="24"/>
          <w:lang w:val="en-GB"/>
        </w:rPr>
        <w:t>consider</w:t>
      </w:r>
      <w:r w:rsidR="006131BB">
        <w:rPr>
          <w:rFonts w:ascii="Century Gothic" w:hAnsi="Century Gothic"/>
          <w:sz w:val="24"/>
          <w:szCs w:val="24"/>
          <w:lang w:val="en-GB"/>
        </w:rPr>
        <w:t>ed</w:t>
      </w:r>
      <w:r w:rsidRPr="008302DE">
        <w:rPr>
          <w:rFonts w:ascii="Century Gothic" w:hAnsi="Century Gothic"/>
          <w:sz w:val="24"/>
          <w:szCs w:val="24"/>
          <w:lang w:val="en-GB"/>
        </w:rPr>
        <w:t xml:space="preserve"> the arguments advanced on behalf of both New GX and the COT. This</w:t>
      </w:r>
      <w:r w:rsidR="00B16246" w:rsidRPr="008302DE">
        <w:rPr>
          <w:rFonts w:ascii="Century Gothic" w:hAnsi="Century Gothic"/>
          <w:sz w:val="24"/>
          <w:szCs w:val="24"/>
          <w:lang w:val="en-GB"/>
        </w:rPr>
        <w:t xml:space="preserve"> appears from the judgment </w:t>
      </w:r>
      <w:r w:rsidRPr="008302DE">
        <w:rPr>
          <w:rFonts w:ascii="Century Gothic" w:hAnsi="Century Gothic"/>
          <w:sz w:val="24"/>
          <w:szCs w:val="24"/>
          <w:lang w:val="en-GB"/>
        </w:rPr>
        <w:t>itself,</w:t>
      </w:r>
      <w:r w:rsidR="00B16246" w:rsidRPr="008302DE">
        <w:rPr>
          <w:rFonts w:ascii="Century Gothic" w:hAnsi="Century Gothic"/>
          <w:sz w:val="24"/>
          <w:szCs w:val="24"/>
          <w:lang w:val="en-GB"/>
        </w:rPr>
        <w:t xml:space="preserve"> in particular paragraphs 33 to 38 </w:t>
      </w:r>
      <w:r w:rsidRPr="008302DE">
        <w:rPr>
          <w:rFonts w:ascii="Century Gothic" w:hAnsi="Century Gothic"/>
          <w:sz w:val="24"/>
          <w:szCs w:val="24"/>
          <w:lang w:val="en-GB"/>
        </w:rPr>
        <w:t xml:space="preserve">and 43 to 44 </w:t>
      </w:r>
      <w:r w:rsidR="00B16246" w:rsidRPr="008302DE">
        <w:rPr>
          <w:rFonts w:ascii="Century Gothic" w:hAnsi="Century Gothic"/>
          <w:sz w:val="24"/>
          <w:szCs w:val="24"/>
          <w:lang w:val="en-GB"/>
        </w:rPr>
        <w:t>thereof</w:t>
      </w:r>
      <w:r w:rsidRPr="008302DE">
        <w:rPr>
          <w:rFonts w:ascii="Century Gothic" w:hAnsi="Century Gothic"/>
          <w:sz w:val="24"/>
          <w:szCs w:val="24"/>
          <w:lang w:val="en-GB"/>
        </w:rPr>
        <w:t>.</w:t>
      </w:r>
      <w:r w:rsidR="007F3F87">
        <w:rPr>
          <w:rFonts w:ascii="Century Gothic" w:hAnsi="Century Gothic"/>
          <w:sz w:val="24"/>
          <w:szCs w:val="24"/>
          <w:lang w:val="en-GB"/>
        </w:rPr>
        <w:t xml:space="preserve"> </w:t>
      </w:r>
    </w:p>
    <w:p w14:paraId="3AADB2C3" w14:textId="77777777" w:rsidR="00B16246" w:rsidRPr="008302DE" w:rsidRDefault="00B16246" w:rsidP="009B29E8">
      <w:pPr>
        <w:pStyle w:val="ListParagraph"/>
        <w:ind w:hanging="720"/>
        <w:rPr>
          <w:rFonts w:ascii="Century Gothic" w:hAnsi="Century Gothic"/>
          <w:sz w:val="24"/>
          <w:szCs w:val="24"/>
          <w:lang w:val="en-GB"/>
        </w:rPr>
      </w:pPr>
    </w:p>
    <w:p w14:paraId="7BBA8202" w14:textId="77777777" w:rsidR="001D12AC" w:rsidRPr="008302DE" w:rsidRDefault="001D12AC" w:rsidP="009B29E8">
      <w:pPr>
        <w:pStyle w:val="ListParagraph"/>
        <w:ind w:hanging="720"/>
        <w:rPr>
          <w:rFonts w:ascii="Century Gothic" w:hAnsi="Century Gothic"/>
          <w:sz w:val="24"/>
          <w:szCs w:val="24"/>
          <w:lang w:val="en-GB"/>
        </w:rPr>
      </w:pPr>
    </w:p>
    <w:p w14:paraId="7FB0BF74" w14:textId="5B999B38" w:rsidR="00B16246" w:rsidRPr="008302DE" w:rsidRDefault="00B16246"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In the relevant paragraphs the court finds that the order sought by the New GX is not in the public interest as </w:t>
      </w:r>
      <w:r w:rsidR="001D12AC" w:rsidRPr="008302DE">
        <w:rPr>
          <w:rFonts w:ascii="Century Gothic" w:hAnsi="Century Gothic"/>
          <w:sz w:val="24"/>
          <w:szCs w:val="24"/>
          <w:lang w:val="en-GB"/>
        </w:rPr>
        <w:t>T</w:t>
      </w:r>
      <w:r w:rsidRPr="008302DE">
        <w:rPr>
          <w:rFonts w:ascii="Century Gothic" w:hAnsi="Century Gothic"/>
          <w:sz w:val="24"/>
          <w:szCs w:val="24"/>
          <w:lang w:val="en-GB"/>
        </w:rPr>
        <w:t xml:space="preserve">ax and </w:t>
      </w:r>
      <w:r w:rsidR="001D12AC" w:rsidRPr="008302DE">
        <w:rPr>
          <w:rFonts w:ascii="Century Gothic" w:hAnsi="Century Gothic"/>
          <w:sz w:val="24"/>
          <w:szCs w:val="24"/>
          <w:lang w:val="en-GB"/>
        </w:rPr>
        <w:t>R</w:t>
      </w:r>
      <w:r w:rsidRPr="008302DE">
        <w:rPr>
          <w:rFonts w:ascii="Century Gothic" w:hAnsi="Century Gothic"/>
          <w:sz w:val="24"/>
          <w:szCs w:val="24"/>
          <w:lang w:val="en-GB"/>
        </w:rPr>
        <w:t xml:space="preserve">atepayers within the jurisdiction of </w:t>
      </w:r>
      <w:r w:rsidR="001D12AC" w:rsidRPr="008302DE">
        <w:rPr>
          <w:rFonts w:ascii="Century Gothic" w:hAnsi="Century Gothic"/>
          <w:sz w:val="24"/>
          <w:szCs w:val="24"/>
          <w:lang w:val="en-GB"/>
        </w:rPr>
        <w:t xml:space="preserve">the </w:t>
      </w:r>
      <w:r w:rsidRPr="008302DE">
        <w:rPr>
          <w:rFonts w:ascii="Century Gothic" w:hAnsi="Century Gothic"/>
          <w:sz w:val="24"/>
          <w:szCs w:val="24"/>
          <w:lang w:val="en-GB"/>
        </w:rPr>
        <w:t xml:space="preserve">COT would have to pay just short of R 100 million for anticipated profits had the agreement been allowed to conclude by </w:t>
      </w:r>
      <w:r w:rsidR="001D12AC" w:rsidRPr="008302DE">
        <w:rPr>
          <w:rFonts w:ascii="Century Gothic" w:hAnsi="Century Gothic"/>
          <w:sz w:val="24"/>
          <w:szCs w:val="24"/>
          <w:lang w:val="en-GB"/>
        </w:rPr>
        <w:t>effluxion of</w:t>
      </w:r>
      <w:r w:rsidRPr="008302DE">
        <w:rPr>
          <w:rFonts w:ascii="Century Gothic" w:hAnsi="Century Gothic"/>
          <w:sz w:val="24"/>
          <w:szCs w:val="24"/>
          <w:lang w:val="en-GB"/>
        </w:rPr>
        <w:t xml:space="preserve"> time.</w:t>
      </w:r>
      <w:r w:rsidR="00FE0880" w:rsidRPr="008302DE">
        <w:rPr>
          <w:rFonts w:ascii="Century Gothic" w:hAnsi="Century Gothic"/>
          <w:sz w:val="24"/>
          <w:szCs w:val="24"/>
          <w:lang w:val="en-GB"/>
        </w:rPr>
        <w:t xml:space="preserve"> </w:t>
      </w:r>
    </w:p>
    <w:p w14:paraId="7CCF203B" w14:textId="77777777" w:rsidR="00FE0880" w:rsidRPr="008302DE" w:rsidRDefault="00FE0880" w:rsidP="009B29E8">
      <w:pPr>
        <w:pStyle w:val="ListParagraph"/>
        <w:ind w:hanging="720"/>
        <w:rPr>
          <w:rFonts w:ascii="Century Gothic" w:hAnsi="Century Gothic"/>
          <w:sz w:val="24"/>
          <w:szCs w:val="24"/>
          <w:lang w:val="en-GB"/>
        </w:rPr>
      </w:pPr>
    </w:p>
    <w:p w14:paraId="3F40F86A" w14:textId="77777777" w:rsidR="001D12AC" w:rsidRPr="008302DE" w:rsidRDefault="001D12AC" w:rsidP="009B29E8">
      <w:pPr>
        <w:pStyle w:val="ListParagraph"/>
        <w:ind w:hanging="720"/>
        <w:rPr>
          <w:rFonts w:ascii="Century Gothic" w:hAnsi="Century Gothic"/>
          <w:sz w:val="24"/>
          <w:szCs w:val="24"/>
          <w:lang w:val="en-GB"/>
        </w:rPr>
      </w:pPr>
    </w:p>
    <w:p w14:paraId="379F7EC5" w14:textId="3A526BC6" w:rsidR="00FE0880" w:rsidRPr="005C20CA" w:rsidRDefault="00FE0880" w:rsidP="009B29E8">
      <w:pPr>
        <w:pStyle w:val="ListParagraph"/>
        <w:numPr>
          <w:ilvl w:val="0"/>
          <w:numId w:val="5"/>
        </w:numPr>
        <w:spacing w:line="480" w:lineRule="auto"/>
        <w:ind w:hanging="720"/>
        <w:jc w:val="both"/>
        <w:rPr>
          <w:rFonts w:ascii="Century Gothic" w:hAnsi="Century Gothic"/>
          <w:sz w:val="24"/>
          <w:szCs w:val="24"/>
          <w:lang w:val="en-GB"/>
        </w:rPr>
      </w:pPr>
      <w:r w:rsidRPr="005C20CA">
        <w:rPr>
          <w:rFonts w:ascii="Century Gothic" w:hAnsi="Century Gothic"/>
          <w:sz w:val="24"/>
          <w:szCs w:val="24"/>
          <w:lang w:val="en-GB"/>
        </w:rPr>
        <w:t xml:space="preserve">The order </w:t>
      </w:r>
      <w:r w:rsidR="007B05B0">
        <w:rPr>
          <w:rFonts w:ascii="Century Gothic" w:hAnsi="Century Gothic"/>
          <w:sz w:val="24"/>
          <w:szCs w:val="24"/>
          <w:lang w:val="en-GB"/>
        </w:rPr>
        <w:t>contended for</w:t>
      </w:r>
      <w:r w:rsidRPr="005C20CA">
        <w:rPr>
          <w:rFonts w:ascii="Century Gothic" w:hAnsi="Century Gothic"/>
          <w:sz w:val="24"/>
          <w:szCs w:val="24"/>
          <w:lang w:val="en-GB"/>
        </w:rPr>
        <w:t xml:space="preserve"> by New GX being one that would not divest the respondent from its rights to which it, but for the declaration of constitutional invalidity, might have been entitled to.</w:t>
      </w:r>
    </w:p>
    <w:p w14:paraId="0EE08BEF" w14:textId="77777777" w:rsidR="00B16246" w:rsidRPr="008302DE" w:rsidRDefault="00B16246" w:rsidP="009B29E8">
      <w:pPr>
        <w:pStyle w:val="ListParagraph"/>
        <w:ind w:hanging="720"/>
        <w:rPr>
          <w:rFonts w:ascii="Century Gothic" w:hAnsi="Century Gothic"/>
          <w:sz w:val="24"/>
          <w:szCs w:val="24"/>
          <w:lang w:val="en-GB"/>
        </w:rPr>
      </w:pPr>
    </w:p>
    <w:p w14:paraId="1525AE78" w14:textId="77777777" w:rsidR="001D12AC" w:rsidRPr="008302DE" w:rsidRDefault="001D12AC" w:rsidP="009B29E8">
      <w:pPr>
        <w:pStyle w:val="ListParagraph"/>
        <w:ind w:hanging="720"/>
        <w:rPr>
          <w:rFonts w:ascii="Century Gothic" w:hAnsi="Century Gothic"/>
          <w:sz w:val="24"/>
          <w:szCs w:val="24"/>
          <w:lang w:val="en-GB"/>
        </w:rPr>
      </w:pPr>
    </w:p>
    <w:p w14:paraId="30502D24" w14:textId="470C07FC" w:rsidR="00B16246" w:rsidRPr="008302DE" w:rsidRDefault="00B16246"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The court also f</w:t>
      </w:r>
      <w:r w:rsidR="0043040F">
        <w:rPr>
          <w:rFonts w:ascii="Century Gothic" w:hAnsi="Century Gothic"/>
          <w:sz w:val="24"/>
          <w:szCs w:val="24"/>
          <w:lang w:val="en-GB"/>
        </w:rPr>
        <w:t>ound</w:t>
      </w:r>
      <w:r w:rsidRPr="008302DE">
        <w:rPr>
          <w:rFonts w:ascii="Century Gothic" w:hAnsi="Century Gothic"/>
          <w:sz w:val="24"/>
          <w:szCs w:val="24"/>
          <w:lang w:val="en-GB"/>
        </w:rPr>
        <w:t xml:space="preserve"> that New GX </w:t>
      </w:r>
      <w:r w:rsidR="0043040F">
        <w:rPr>
          <w:rFonts w:ascii="Century Gothic" w:hAnsi="Century Gothic"/>
          <w:sz w:val="24"/>
          <w:szCs w:val="24"/>
          <w:lang w:val="en-GB"/>
        </w:rPr>
        <w:t>was</w:t>
      </w:r>
      <w:r w:rsidRPr="008302DE">
        <w:rPr>
          <w:rFonts w:ascii="Century Gothic" w:hAnsi="Century Gothic"/>
          <w:sz w:val="24"/>
          <w:szCs w:val="24"/>
          <w:lang w:val="en-GB"/>
        </w:rPr>
        <w:t xml:space="preserve"> not free from blame, </w:t>
      </w:r>
      <w:r w:rsidR="00FE0880" w:rsidRPr="008302DE">
        <w:rPr>
          <w:rFonts w:ascii="Century Gothic" w:hAnsi="Century Gothic"/>
          <w:sz w:val="24"/>
          <w:szCs w:val="24"/>
          <w:lang w:val="en-GB"/>
        </w:rPr>
        <w:t xml:space="preserve">which distinguishes New GX from </w:t>
      </w:r>
      <w:r w:rsidRPr="008302DE">
        <w:rPr>
          <w:rFonts w:ascii="Century Gothic" w:hAnsi="Century Gothic"/>
          <w:sz w:val="24"/>
          <w:szCs w:val="24"/>
          <w:lang w:val="en-GB"/>
        </w:rPr>
        <w:t xml:space="preserve">the respondents in </w:t>
      </w:r>
      <w:r w:rsidRPr="008302DE">
        <w:rPr>
          <w:rFonts w:ascii="Century Gothic" w:hAnsi="Century Gothic"/>
          <w:i/>
          <w:iCs/>
          <w:sz w:val="24"/>
          <w:szCs w:val="24"/>
          <w:lang w:val="en-GB"/>
        </w:rPr>
        <w:t>Gijima</w:t>
      </w:r>
      <w:r w:rsidRPr="008302DE">
        <w:rPr>
          <w:rFonts w:ascii="Century Gothic" w:hAnsi="Century Gothic"/>
          <w:sz w:val="24"/>
          <w:szCs w:val="24"/>
          <w:lang w:val="en-GB"/>
        </w:rPr>
        <w:t xml:space="preserve"> and </w:t>
      </w:r>
      <w:r w:rsidRPr="008302DE">
        <w:rPr>
          <w:rFonts w:ascii="Century Gothic" w:hAnsi="Century Gothic"/>
          <w:i/>
          <w:iCs/>
          <w:sz w:val="24"/>
          <w:szCs w:val="24"/>
          <w:lang w:val="en-GB"/>
        </w:rPr>
        <w:t>A</w:t>
      </w:r>
      <w:r w:rsidR="003E6E0A" w:rsidRPr="008302DE">
        <w:rPr>
          <w:rFonts w:ascii="Century Gothic" w:hAnsi="Century Gothic"/>
          <w:i/>
          <w:iCs/>
          <w:sz w:val="24"/>
          <w:szCs w:val="24"/>
          <w:lang w:val="en-GB"/>
        </w:rPr>
        <w:t>sl</w:t>
      </w:r>
      <w:r w:rsidR="00F43C7D">
        <w:rPr>
          <w:rFonts w:ascii="Century Gothic" w:hAnsi="Century Gothic"/>
          <w:i/>
          <w:iCs/>
          <w:sz w:val="24"/>
          <w:szCs w:val="24"/>
          <w:lang w:val="en-GB"/>
        </w:rPr>
        <w:t>a</w:t>
      </w:r>
      <w:r w:rsidRPr="008302DE">
        <w:rPr>
          <w:rFonts w:ascii="Century Gothic" w:hAnsi="Century Gothic"/>
          <w:i/>
          <w:iCs/>
          <w:sz w:val="24"/>
          <w:szCs w:val="24"/>
          <w:lang w:val="en-GB"/>
        </w:rPr>
        <w:t xml:space="preserve"> Construction</w:t>
      </w:r>
      <w:r w:rsidR="001D12AC" w:rsidRPr="008302DE">
        <w:rPr>
          <w:rFonts w:ascii="Century Gothic" w:hAnsi="Century Gothic"/>
          <w:sz w:val="24"/>
          <w:szCs w:val="24"/>
          <w:lang w:val="en-GB"/>
        </w:rPr>
        <w:t xml:space="preserve">. </w:t>
      </w:r>
      <w:r w:rsidR="00A524FD" w:rsidRPr="008302DE">
        <w:rPr>
          <w:rFonts w:ascii="Century Gothic" w:hAnsi="Century Gothic"/>
          <w:sz w:val="24"/>
          <w:szCs w:val="24"/>
          <w:lang w:val="en-GB"/>
        </w:rPr>
        <w:t>The court state</w:t>
      </w:r>
      <w:r w:rsidR="0043040F">
        <w:rPr>
          <w:rFonts w:ascii="Century Gothic" w:hAnsi="Century Gothic"/>
          <w:sz w:val="24"/>
          <w:szCs w:val="24"/>
          <w:lang w:val="en-GB"/>
        </w:rPr>
        <w:t>s</w:t>
      </w:r>
      <w:r w:rsidR="00A524FD" w:rsidRPr="008302DE">
        <w:rPr>
          <w:rFonts w:ascii="Century Gothic" w:hAnsi="Century Gothic"/>
          <w:sz w:val="24"/>
          <w:szCs w:val="24"/>
          <w:lang w:val="en-GB"/>
        </w:rPr>
        <w:t xml:space="preserve"> that unauthorised inclusions in the </w:t>
      </w:r>
      <w:r w:rsidR="00FE0880" w:rsidRPr="008302DE">
        <w:rPr>
          <w:rFonts w:ascii="Century Gothic" w:hAnsi="Century Gothic"/>
          <w:sz w:val="24"/>
          <w:szCs w:val="24"/>
          <w:lang w:val="en-GB"/>
        </w:rPr>
        <w:t xml:space="preserve">impugned </w:t>
      </w:r>
      <w:r w:rsidR="00A524FD" w:rsidRPr="008302DE">
        <w:rPr>
          <w:rFonts w:ascii="Century Gothic" w:hAnsi="Century Gothic"/>
          <w:sz w:val="24"/>
          <w:szCs w:val="24"/>
          <w:lang w:val="en-GB"/>
        </w:rPr>
        <w:t>service agreement were included by New GX itself</w:t>
      </w:r>
      <w:r w:rsidR="00FE0880" w:rsidRPr="008302DE">
        <w:rPr>
          <w:rFonts w:ascii="Century Gothic" w:hAnsi="Century Gothic"/>
          <w:sz w:val="24"/>
          <w:szCs w:val="24"/>
          <w:lang w:val="en-GB"/>
        </w:rPr>
        <w:t xml:space="preserve">. </w:t>
      </w:r>
      <w:r w:rsidR="001D12AC" w:rsidRPr="008302DE">
        <w:rPr>
          <w:rFonts w:ascii="Century Gothic" w:hAnsi="Century Gothic"/>
          <w:sz w:val="24"/>
          <w:szCs w:val="24"/>
          <w:lang w:val="en-GB"/>
        </w:rPr>
        <w:t xml:space="preserve">These </w:t>
      </w:r>
      <w:r w:rsidR="001D12AC" w:rsidRPr="008302DE">
        <w:rPr>
          <w:rFonts w:ascii="Century Gothic" w:hAnsi="Century Gothic"/>
          <w:sz w:val="24"/>
          <w:szCs w:val="24"/>
          <w:lang w:val="en-GB"/>
        </w:rPr>
        <w:lastRenderedPageBreak/>
        <w:t xml:space="preserve">inclusions being provisions the COT could not comply with, resulting in the cancellation of the service agreement. </w:t>
      </w:r>
    </w:p>
    <w:p w14:paraId="63760C01" w14:textId="77777777" w:rsidR="003E6E0A" w:rsidRPr="008302DE" w:rsidRDefault="003E6E0A" w:rsidP="009B29E8">
      <w:pPr>
        <w:pStyle w:val="ListParagraph"/>
        <w:ind w:hanging="720"/>
        <w:rPr>
          <w:rFonts w:ascii="Century Gothic" w:hAnsi="Century Gothic"/>
          <w:sz w:val="24"/>
          <w:szCs w:val="24"/>
          <w:lang w:val="en-GB"/>
        </w:rPr>
      </w:pPr>
    </w:p>
    <w:p w14:paraId="44906ECD" w14:textId="77777777" w:rsidR="001D12AC" w:rsidRPr="008302DE" w:rsidRDefault="001D12AC" w:rsidP="009B29E8">
      <w:pPr>
        <w:pStyle w:val="ListParagraph"/>
        <w:ind w:hanging="720"/>
        <w:rPr>
          <w:rFonts w:ascii="Century Gothic" w:hAnsi="Century Gothic"/>
          <w:sz w:val="24"/>
          <w:szCs w:val="24"/>
          <w:lang w:val="en-GB"/>
        </w:rPr>
      </w:pPr>
    </w:p>
    <w:p w14:paraId="73B43584" w14:textId="04C2FDE4" w:rsidR="003E6E0A" w:rsidRPr="008302DE" w:rsidRDefault="00A524FD"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In addressing the preservation of accrued rights under the service agreement, the court recorded the COT’s concession as follows:</w:t>
      </w:r>
    </w:p>
    <w:p w14:paraId="4BFAD130" w14:textId="77777777" w:rsidR="00A524FD" w:rsidRPr="008302DE" w:rsidRDefault="00A524FD" w:rsidP="009B29E8">
      <w:pPr>
        <w:pStyle w:val="ListParagraph"/>
        <w:ind w:hanging="720"/>
        <w:rPr>
          <w:rFonts w:ascii="Century Gothic" w:hAnsi="Century Gothic"/>
          <w:sz w:val="24"/>
          <w:szCs w:val="24"/>
          <w:lang w:val="en-GB"/>
        </w:rPr>
      </w:pPr>
    </w:p>
    <w:p w14:paraId="12A8F32F" w14:textId="7FE5F7F6" w:rsidR="00F77BF6" w:rsidRDefault="00A524FD" w:rsidP="00F401E0">
      <w:pPr>
        <w:spacing w:line="480" w:lineRule="auto"/>
        <w:ind w:left="720"/>
        <w:jc w:val="both"/>
        <w:rPr>
          <w:rFonts w:ascii="Century Gothic" w:hAnsi="Century Gothic"/>
          <w:i/>
          <w:iCs/>
          <w:sz w:val="24"/>
          <w:szCs w:val="24"/>
          <w:lang w:val="en-GB"/>
        </w:rPr>
      </w:pPr>
      <w:r w:rsidRPr="008302DE">
        <w:rPr>
          <w:rFonts w:ascii="Century Gothic" w:hAnsi="Century Gothic"/>
          <w:i/>
          <w:iCs/>
          <w:sz w:val="24"/>
          <w:szCs w:val="24"/>
          <w:lang w:val="en-GB"/>
        </w:rPr>
        <w:t>“It was conceded on behalf of the applicants that any rights which may have already accrued prior to the cancellation and to which the respondent would be entitled under the impugned service agreement of 10 August 2016, save for any rights to any claim for loss of profit and claim for shortfall pertaining to waste, be preserved. In that regard it, it would be just and equitable to hold so.”</w:t>
      </w:r>
    </w:p>
    <w:p w14:paraId="66F8AF01" w14:textId="77777777" w:rsidR="00FC0554" w:rsidRPr="00F401E0" w:rsidRDefault="00FC0554" w:rsidP="00F401E0">
      <w:pPr>
        <w:spacing w:line="480" w:lineRule="auto"/>
        <w:ind w:left="720"/>
        <w:jc w:val="both"/>
        <w:rPr>
          <w:rFonts w:ascii="Century Gothic" w:hAnsi="Century Gothic"/>
          <w:i/>
          <w:iCs/>
          <w:sz w:val="24"/>
          <w:szCs w:val="24"/>
          <w:lang w:val="en-GB"/>
        </w:rPr>
      </w:pPr>
    </w:p>
    <w:p w14:paraId="51BB9106" w14:textId="2702E109" w:rsidR="00FE0880" w:rsidRPr="008302DE" w:rsidRDefault="00FE0880"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Th</w:t>
      </w:r>
      <w:r w:rsidR="0002446F">
        <w:rPr>
          <w:rFonts w:ascii="Century Gothic" w:hAnsi="Century Gothic"/>
          <w:sz w:val="24"/>
          <w:szCs w:val="24"/>
          <w:lang w:val="en-GB"/>
        </w:rPr>
        <w:t>e</w:t>
      </w:r>
      <w:r w:rsidRPr="008302DE">
        <w:rPr>
          <w:rFonts w:ascii="Century Gothic" w:hAnsi="Century Gothic"/>
          <w:sz w:val="24"/>
          <w:szCs w:val="24"/>
          <w:lang w:val="en-GB"/>
        </w:rPr>
        <w:t xml:space="preserve"> concession </w:t>
      </w:r>
      <w:r w:rsidR="0002446F">
        <w:rPr>
          <w:rFonts w:ascii="Century Gothic" w:hAnsi="Century Gothic"/>
          <w:sz w:val="24"/>
          <w:szCs w:val="24"/>
          <w:lang w:val="en-GB"/>
        </w:rPr>
        <w:t xml:space="preserve">recorded in the judgment </w:t>
      </w:r>
      <w:r w:rsidRPr="008302DE">
        <w:rPr>
          <w:rFonts w:ascii="Century Gothic" w:hAnsi="Century Gothic"/>
          <w:sz w:val="24"/>
          <w:szCs w:val="24"/>
          <w:lang w:val="en-GB"/>
        </w:rPr>
        <w:t>was made in respect of rights that had accrued prior to the date of cancellation</w:t>
      </w:r>
      <w:r w:rsidR="000973C8" w:rsidRPr="008302DE">
        <w:rPr>
          <w:rFonts w:ascii="Century Gothic" w:hAnsi="Century Gothic"/>
          <w:sz w:val="24"/>
          <w:szCs w:val="24"/>
          <w:lang w:val="en-GB"/>
        </w:rPr>
        <w:t xml:space="preserve"> only. </w:t>
      </w:r>
      <w:r w:rsidR="0002446F">
        <w:rPr>
          <w:rFonts w:ascii="Century Gothic" w:hAnsi="Century Gothic"/>
          <w:sz w:val="24"/>
          <w:szCs w:val="24"/>
          <w:lang w:val="en-GB"/>
        </w:rPr>
        <w:t xml:space="preserve">This </w:t>
      </w:r>
      <w:r w:rsidR="000973C8" w:rsidRPr="008302DE">
        <w:rPr>
          <w:rFonts w:ascii="Century Gothic" w:hAnsi="Century Gothic"/>
          <w:sz w:val="24"/>
          <w:szCs w:val="24"/>
          <w:lang w:val="en-GB"/>
        </w:rPr>
        <w:t>concession</w:t>
      </w:r>
      <w:r w:rsidR="0002446F">
        <w:rPr>
          <w:rFonts w:ascii="Century Gothic" w:hAnsi="Century Gothic"/>
          <w:sz w:val="24"/>
          <w:szCs w:val="24"/>
          <w:lang w:val="en-GB"/>
        </w:rPr>
        <w:t xml:space="preserve">, </w:t>
      </w:r>
      <w:r w:rsidR="000973C8" w:rsidRPr="008302DE">
        <w:rPr>
          <w:rFonts w:ascii="Century Gothic" w:hAnsi="Century Gothic"/>
          <w:sz w:val="24"/>
          <w:szCs w:val="24"/>
          <w:lang w:val="en-GB"/>
        </w:rPr>
        <w:t>recorded in the judgment</w:t>
      </w:r>
      <w:r w:rsidR="0002446F">
        <w:rPr>
          <w:rFonts w:ascii="Century Gothic" w:hAnsi="Century Gothic"/>
          <w:sz w:val="24"/>
          <w:szCs w:val="24"/>
          <w:lang w:val="en-GB"/>
        </w:rPr>
        <w:t>,</w:t>
      </w:r>
      <w:r w:rsidR="000973C8" w:rsidRPr="008302DE">
        <w:rPr>
          <w:rFonts w:ascii="Century Gothic" w:hAnsi="Century Gothic"/>
          <w:sz w:val="24"/>
          <w:szCs w:val="24"/>
          <w:lang w:val="en-GB"/>
        </w:rPr>
        <w:t xml:space="preserve"> is the contention</w:t>
      </w:r>
      <w:r w:rsidR="0002446F">
        <w:rPr>
          <w:rFonts w:ascii="Century Gothic" w:hAnsi="Century Gothic"/>
          <w:sz w:val="24"/>
          <w:szCs w:val="24"/>
          <w:lang w:val="en-GB"/>
        </w:rPr>
        <w:t xml:space="preserve"> and concession</w:t>
      </w:r>
      <w:r w:rsidR="000973C8" w:rsidRPr="008302DE">
        <w:rPr>
          <w:rFonts w:ascii="Century Gothic" w:hAnsi="Century Gothic"/>
          <w:sz w:val="24"/>
          <w:szCs w:val="24"/>
          <w:lang w:val="en-GB"/>
        </w:rPr>
        <w:t xml:space="preserve"> accepted by the court, and which it considered to be just and equitable </w:t>
      </w:r>
      <w:r w:rsidR="001B4319">
        <w:rPr>
          <w:rFonts w:ascii="Century Gothic" w:hAnsi="Century Gothic"/>
          <w:sz w:val="24"/>
          <w:szCs w:val="24"/>
          <w:lang w:val="en-GB"/>
        </w:rPr>
        <w:t>in</w:t>
      </w:r>
      <w:r w:rsidR="000973C8" w:rsidRPr="008302DE">
        <w:rPr>
          <w:rFonts w:ascii="Century Gothic" w:hAnsi="Century Gothic"/>
          <w:sz w:val="24"/>
          <w:szCs w:val="24"/>
          <w:lang w:val="en-GB"/>
        </w:rPr>
        <w:t xml:space="preserve"> the circumstances</w:t>
      </w:r>
      <w:r w:rsidR="001B4319">
        <w:rPr>
          <w:rFonts w:ascii="Century Gothic" w:hAnsi="Century Gothic"/>
          <w:sz w:val="24"/>
          <w:szCs w:val="24"/>
          <w:lang w:val="en-GB"/>
        </w:rPr>
        <w:t>.</w:t>
      </w:r>
    </w:p>
    <w:p w14:paraId="72F3FF3D" w14:textId="77777777" w:rsidR="000973C8" w:rsidRPr="008302DE" w:rsidRDefault="000973C8" w:rsidP="00025224">
      <w:pPr>
        <w:pStyle w:val="ListParagraph"/>
        <w:spacing w:line="480" w:lineRule="auto"/>
        <w:ind w:hanging="720"/>
        <w:jc w:val="both"/>
        <w:rPr>
          <w:rFonts w:ascii="Century Gothic" w:hAnsi="Century Gothic"/>
          <w:sz w:val="24"/>
          <w:szCs w:val="24"/>
          <w:lang w:val="en-GB"/>
        </w:rPr>
      </w:pPr>
    </w:p>
    <w:p w14:paraId="7874AC04" w14:textId="14BED9F0" w:rsidR="00CF043E" w:rsidRDefault="00813D02"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Interpreting the judgment and order of </w:t>
      </w:r>
      <w:r w:rsidR="000B6888">
        <w:rPr>
          <w:rFonts w:ascii="Century Gothic" w:hAnsi="Century Gothic"/>
          <w:sz w:val="24"/>
          <w:szCs w:val="24"/>
          <w:lang w:val="en-GB"/>
        </w:rPr>
        <w:t>V</w:t>
      </w:r>
      <w:r w:rsidRPr="008302DE">
        <w:rPr>
          <w:rFonts w:ascii="Century Gothic" w:hAnsi="Century Gothic"/>
          <w:sz w:val="24"/>
          <w:szCs w:val="24"/>
          <w:lang w:val="en-GB"/>
        </w:rPr>
        <w:t xml:space="preserve">an der Westhuizen J is an exercise </w:t>
      </w:r>
      <w:r w:rsidR="00FC1A15">
        <w:rPr>
          <w:rFonts w:ascii="Century Gothic" w:hAnsi="Century Gothic"/>
          <w:sz w:val="24"/>
          <w:szCs w:val="24"/>
          <w:lang w:val="en-GB"/>
        </w:rPr>
        <w:t xml:space="preserve">which was </w:t>
      </w:r>
      <w:r w:rsidRPr="008302DE">
        <w:rPr>
          <w:rFonts w:ascii="Century Gothic" w:hAnsi="Century Gothic"/>
          <w:sz w:val="24"/>
          <w:szCs w:val="24"/>
          <w:lang w:val="en-GB"/>
        </w:rPr>
        <w:t>already embarked on by the arbitrator. I have carefully considered the</w:t>
      </w:r>
      <w:r w:rsidR="001D12AC" w:rsidRPr="008302DE">
        <w:rPr>
          <w:rFonts w:ascii="Century Gothic" w:hAnsi="Century Gothic"/>
          <w:sz w:val="24"/>
          <w:szCs w:val="24"/>
          <w:lang w:val="en-GB"/>
        </w:rPr>
        <w:t xml:space="preserve"> judgment and order of Van der Westhuizen J and the</w:t>
      </w:r>
      <w:r w:rsidRPr="008302DE">
        <w:rPr>
          <w:rFonts w:ascii="Century Gothic" w:hAnsi="Century Gothic"/>
          <w:sz w:val="24"/>
          <w:szCs w:val="24"/>
          <w:lang w:val="en-GB"/>
        </w:rPr>
        <w:t xml:space="preserve"> written ruling of the arbitrator, being mindful of the submissions </w:t>
      </w:r>
      <w:r w:rsidRPr="008302DE">
        <w:rPr>
          <w:rFonts w:ascii="Century Gothic" w:hAnsi="Century Gothic"/>
          <w:sz w:val="24"/>
          <w:szCs w:val="24"/>
          <w:lang w:val="en-GB"/>
        </w:rPr>
        <w:lastRenderedPageBreak/>
        <w:t>made by New GX in respect thereof</w:t>
      </w:r>
      <w:r w:rsidR="00F401E0">
        <w:rPr>
          <w:rFonts w:ascii="Century Gothic" w:hAnsi="Century Gothic"/>
          <w:sz w:val="24"/>
          <w:szCs w:val="24"/>
          <w:lang w:val="en-GB"/>
        </w:rPr>
        <w:t xml:space="preserve"> and that set out above</w:t>
      </w:r>
      <w:r w:rsidRPr="008302DE">
        <w:rPr>
          <w:rFonts w:ascii="Century Gothic" w:hAnsi="Century Gothic"/>
          <w:sz w:val="24"/>
          <w:szCs w:val="24"/>
          <w:lang w:val="en-GB"/>
        </w:rPr>
        <w:t xml:space="preserve">. I align myself with the reasoning and findings set out </w:t>
      </w:r>
      <w:r w:rsidR="00EB1B6D" w:rsidRPr="008302DE">
        <w:rPr>
          <w:rFonts w:ascii="Century Gothic" w:hAnsi="Century Gothic"/>
          <w:sz w:val="24"/>
          <w:szCs w:val="24"/>
          <w:lang w:val="en-GB"/>
        </w:rPr>
        <w:t xml:space="preserve">in the ruling of the arbitrator, </w:t>
      </w:r>
      <w:r w:rsidRPr="008302DE">
        <w:rPr>
          <w:rFonts w:ascii="Century Gothic" w:hAnsi="Century Gothic"/>
          <w:sz w:val="24"/>
          <w:szCs w:val="24"/>
          <w:lang w:val="en-GB"/>
        </w:rPr>
        <w:t>and I see no reason to deviate therefrom.</w:t>
      </w:r>
    </w:p>
    <w:p w14:paraId="57BDB6D3" w14:textId="77777777" w:rsidR="0002446F" w:rsidRDefault="0002446F" w:rsidP="0002446F">
      <w:pPr>
        <w:pStyle w:val="ListParagraph"/>
        <w:rPr>
          <w:rFonts w:ascii="Century Gothic" w:hAnsi="Century Gothic"/>
          <w:sz w:val="24"/>
          <w:szCs w:val="24"/>
          <w:lang w:val="en-GB"/>
        </w:rPr>
      </w:pPr>
    </w:p>
    <w:p w14:paraId="65FB2D15" w14:textId="77777777" w:rsidR="0002446F" w:rsidRPr="0002446F" w:rsidRDefault="0002446F" w:rsidP="0002446F">
      <w:pPr>
        <w:pStyle w:val="ListParagraph"/>
        <w:rPr>
          <w:rFonts w:ascii="Century Gothic" w:hAnsi="Century Gothic"/>
          <w:sz w:val="24"/>
          <w:szCs w:val="24"/>
          <w:lang w:val="en-GB"/>
        </w:rPr>
      </w:pPr>
    </w:p>
    <w:p w14:paraId="0F564C3D" w14:textId="27500F02" w:rsidR="00EB1B6D" w:rsidRPr="008302DE" w:rsidRDefault="005107F1"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In my view, t</w:t>
      </w:r>
      <w:r w:rsidR="000973C8" w:rsidRPr="008302DE">
        <w:rPr>
          <w:rFonts w:ascii="Century Gothic" w:hAnsi="Century Gothic"/>
          <w:sz w:val="24"/>
          <w:szCs w:val="24"/>
          <w:lang w:val="en-GB"/>
        </w:rPr>
        <w:t xml:space="preserve">he relief sought by the applicant will have the effect of altering the import and substance of the order of </w:t>
      </w:r>
      <w:r w:rsidR="00FC1A15">
        <w:rPr>
          <w:rFonts w:ascii="Century Gothic" w:hAnsi="Century Gothic"/>
          <w:sz w:val="24"/>
          <w:szCs w:val="24"/>
          <w:lang w:val="en-GB"/>
        </w:rPr>
        <w:t>V</w:t>
      </w:r>
      <w:r w:rsidR="000973C8" w:rsidRPr="008302DE">
        <w:rPr>
          <w:rFonts w:ascii="Century Gothic" w:hAnsi="Century Gothic"/>
          <w:sz w:val="24"/>
          <w:szCs w:val="24"/>
          <w:lang w:val="en-GB"/>
        </w:rPr>
        <w:t xml:space="preserve">an der Westhuizen J. </w:t>
      </w:r>
    </w:p>
    <w:p w14:paraId="262F36A1" w14:textId="77777777" w:rsidR="00EB1B6D" w:rsidRPr="008302DE" w:rsidRDefault="00EB1B6D" w:rsidP="00025224">
      <w:pPr>
        <w:pStyle w:val="ListParagraph"/>
        <w:spacing w:line="480" w:lineRule="auto"/>
        <w:ind w:hanging="720"/>
        <w:jc w:val="both"/>
        <w:rPr>
          <w:rFonts w:ascii="Century Gothic" w:hAnsi="Century Gothic"/>
          <w:sz w:val="24"/>
          <w:szCs w:val="24"/>
          <w:lang w:val="en-GB"/>
        </w:rPr>
      </w:pPr>
    </w:p>
    <w:p w14:paraId="0A6156A0" w14:textId="5E5F6C62" w:rsidR="000973C8" w:rsidRPr="008302DE" w:rsidRDefault="000973C8"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 xml:space="preserve">The </w:t>
      </w:r>
      <w:r w:rsidR="00EB1B6D" w:rsidRPr="008302DE">
        <w:rPr>
          <w:rFonts w:ascii="Century Gothic" w:hAnsi="Century Gothic"/>
          <w:sz w:val="24"/>
          <w:szCs w:val="24"/>
          <w:lang w:val="en-GB"/>
        </w:rPr>
        <w:t xml:space="preserve">declaratory relief and the </w:t>
      </w:r>
      <w:r w:rsidRPr="008302DE">
        <w:rPr>
          <w:rFonts w:ascii="Century Gothic" w:hAnsi="Century Gothic"/>
          <w:sz w:val="24"/>
          <w:szCs w:val="24"/>
          <w:lang w:val="en-GB"/>
        </w:rPr>
        <w:t xml:space="preserve">amendment sought will </w:t>
      </w:r>
      <w:r w:rsidR="00EB1B6D" w:rsidRPr="008302DE">
        <w:rPr>
          <w:rFonts w:ascii="Century Gothic" w:hAnsi="Century Gothic"/>
          <w:sz w:val="24"/>
          <w:szCs w:val="24"/>
          <w:lang w:val="en-GB"/>
        </w:rPr>
        <w:t xml:space="preserve">broaden the scope of the order of Van der Westhuizen J as it will </w:t>
      </w:r>
      <w:r w:rsidRPr="008302DE">
        <w:rPr>
          <w:rFonts w:ascii="Century Gothic" w:hAnsi="Century Gothic"/>
          <w:sz w:val="24"/>
          <w:szCs w:val="24"/>
          <w:lang w:val="en-GB"/>
        </w:rPr>
        <w:t xml:space="preserve">allow </w:t>
      </w:r>
      <w:r w:rsidR="00EB1B6D" w:rsidRPr="008302DE">
        <w:rPr>
          <w:rFonts w:ascii="Century Gothic" w:hAnsi="Century Gothic"/>
          <w:sz w:val="24"/>
          <w:szCs w:val="24"/>
          <w:lang w:val="en-GB"/>
        </w:rPr>
        <w:t>New GX</w:t>
      </w:r>
      <w:r w:rsidRPr="008302DE">
        <w:rPr>
          <w:rFonts w:ascii="Century Gothic" w:hAnsi="Century Gothic"/>
          <w:sz w:val="24"/>
          <w:szCs w:val="24"/>
          <w:lang w:val="en-GB"/>
        </w:rPr>
        <w:t xml:space="preserve"> more rights than </w:t>
      </w:r>
      <w:r w:rsidR="005107F1" w:rsidRPr="008302DE">
        <w:rPr>
          <w:rFonts w:ascii="Century Gothic" w:hAnsi="Century Gothic"/>
          <w:sz w:val="24"/>
          <w:szCs w:val="24"/>
          <w:lang w:val="en-GB"/>
        </w:rPr>
        <w:t>Van der Westhuizen J</w:t>
      </w:r>
      <w:r w:rsidR="00600FD6">
        <w:rPr>
          <w:rFonts w:ascii="Century Gothic" w:hAnsi="Century Gothic"/>
          <w:sz w:val="24"/>
          <w:szCs w:val="24"/>
          <w:lang w:val="en-GB"/>
        </w:rPr>
        <w:t xml:space="preserve"> intended</w:t>
      </w:r>
      <w:r w:rsidRPr="008302DE">
        <w:rPr>
          <w:rFonts w:ascii="Century Gothic" w:hAnsi="Century Gothic"/>
          <w:sz w:val="24"/>
          <w:szCs w:val="24"/>
          <w:lang w:val="en-GB"/>
        </w:rPr>
        <w:t>. I therefore decline to grant the order sought</w:t>
      </w:r>
      <w:r w:rsidR="00EB1B6D" w:rsidRPr="008302DE">
        <w:rPr>
          <w:rFonts w:ascii="Century Gothic" w:hAnsi="Century Gothic"/>
          <w:sz w:val="24"/>
          <w:szCs w:val="24"/>
          <w:lang w:val="en-GB"/>
        </w:rPr>
        <w:t xml:space="preserve"> by New GX.</w:t>
      </w:r>
    </w:p>
    <w:p w14:paraId="32CA9192" w14:textId="77777777" w:rsidR="00EB1B6D" w:rsidRPr="008302DE" w:rsidRDefault="00EB1B6D" w:rsidP="00025224">
      <w:pPr>
        <w:pStyle w:val="ListParagraph"/>
        <w:ind w:hanging="720"/>
        <w:rPr>
          <w:rFonts w:ascii="Century Gothic" w:hAnsi="Century Gothic"/>
          <w:sz w:val="24"/>
          <w:szCs w:val="24"/>
          <w:lang w:val="en-GB"/>
        </w:rPr>
      </w:pPr>
    </w:p>
    <w:p w14:paraId="2725292D" w14:textId="77777777" w:rsidR="00944014" w:rsidRPr="008302DE" w:rsidRDefault="00944014" w:rsidP="00025224">
      <w:pPr>
        <w:pStyle w:val="ListParagraph"/>
        <w:ind w:hanging="720"/>
        <w:rPr>
          <w:rFonts w:ascii="Century Gothic" w:hAnsi="Century Gothic"/>
          <w:sz w:val="24"/>
          <w:szCs w:val="24"/>
          <w:lang w:val="en-GB"/>
        </w:rPr>
      </w:pPr>
    </w:p>
    <w:p w14:paraId="3CFC36AE" w14:textId="78BB995C" w:rsidR="00EB1B6D" w:rsidRPr="008302DE" w:rsidRDefault="00EB1B6D" w:rsidP="009B29E8">
      <w:pPr>
        <w:pStyle w:val="ListParagraph"/>
        <w:numPr>
          <w:ilvl w:val="0"/>
          <w:numId w:val="5"/>
        </w:numPr>
        <w:spacing w:line="480" w:lineRule="auto"/>
        <w:ind w:hanging="720"/>
        <w:jc w:val="both"/>
        <w:rPr>
          <w:rFonts w:ascii="Century Gothic" w:hAnsi="Century Gothic"/>
          <w:sz w:val="24"/>
          <w:szCs w:val="24"/>
          <w:lang w:val="en-GB"/>
        </w:rPr>
      </w:pPr>
      <w:r w:rsidRPr="008302DE">
        <w:rPr>
          <w:rFonts w:ascii="Century Gothic" w:hAnsi="Century Gothic"/>
          <w:sz w:val="24"/>
          <w:szCs w:val="24"/>
          <w:lang w:val="en-GB"/>
        </w:rPr>
        <w:t>I grant the following order:</w:t>
      </w:r>
    </w:p>
    <w:p w14:paraId="235319C9" w14:textId="77777777" w:rsidR="00EB1B6D" w:rsidRPr="008302DE" w:rsidRDefault="00EB1B6D" w:rsidP="00EB1B6D">
      <w:pPr>
        <w:pStyle w:val="ListParagraph"/>
        <w:rPr>
          <w:rFonts w:ascii="Century Gothic" w:hAnsi="Century Gothic"/>
          <w:sz w:val="24"/>
          <w:szCs w:val="24"/>
          <w:lang w:val="en-GB"/>
        </w:rPr>
      </w:pPr>
    </w:p>
    <w:p w14:paraId="56555963" w14:textId="65D06C52" w:rsidR="00EB1B6D" w:rsidRPr="008302DE" w:rsidRDefault="00EB1B6D" w:rsidP="00EB1B6D">
      <w:pPr>
        <w:pStyle w:val="ListParagraph"/>
        <w:numPr>
          <w:ilvl w:val="0"/>
          <w:numId w:val="2"/>
        </w:numPr>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The application is dismissed, with costs. </w:t>
      </w:r>
    </w:p>
    <w:p w14:paraId="5D7C5622" w14:textId="77777777" w:rsidR="00CF043E" w:rsidRPr="008302DE" w:rsidRDefault="00CF043E" w:rsidP="000973C8">
      <w:pPr>
        <w:pStyle w:val="ListParagraph"/>
        <w:spacing w:line="480" w:lineRule="auto"/>
        <w:jc w:val="both"/>
        <w:rPr>
          <w:rFonts w:ascii="Century Gothic" w:hAnsi="Century Gothic"/>
          <w:sz w:val="24"/>
          <w:szCs w:val="24"/>
          <w:lang w:val="en-GB"/>
        </w:rPr>
      </w:pPr>
    </w:p>
    <w:p w14:paraId="41B4EF5E" w14:textId="77777777" w:rsidR="00F40B3A" w:rsidRPr="008302DE" w:rsidRDefault="00F40B3A" w:rsidP="009B6231">
      <w:pPr>
        <w:pStyle w:val="ListParagraph"/>
        <w:spacing w:line="480" w:lineRule="auto"/>
        <w:jc w:val="both"/>
        <w:rPr>
          <w:rFonts w:ascii="Century Gothic" w:hAnsi="Century Gothic"/>
          <w:sz w:val="24"/>
          <w:szCs w:val="24"/>
          <w:lang w:val="en-GB"/>
        </w:rPr>
      </w:pPr>
    </w:p>
    <w:p w14:paraId="43475DCA" w14:textId="77777777" w:rsidR="00681E44" w:rsidRPr="008302DE" w:rsidRDefault="00681E44" w:rsidP="00681E44">
      <w:pPr>
        <w:pStyle w:val="ListParagraph"/>
        <w:spacing w:line="480" w:lineRule="auto"/>
        <w:jc w:val="both"/>
        <w:rPr>
          <w:rFonts w:ascii="Century Gothic" w:hAnsi="Century Gothic"/>
          <w:sz w:val="24"/>
          <w:szCs w:val="24"/>
          <w:lang w:val="en-GB"/>
        </w:rPr>
      </w:pPr>
    </w:p>
    <w:p w14:paraId="23E5D5F1" w14:textId="77777777" w:rsidR="00681E44" w:rsidRPr="008302DE" w:rsidRDefault="00681E44" w:rsidP="00681E44">
      <w:pPr>
        <w:pStyle w:val="ListParagraph"/>
        <w:spacing w:line="480" w:lineRule="auto"/>
        <w:jc w:val="right"/>
        <w:rPr>
          <w:rFonts w:ascii="Century Gothic" w:hAnsi="Century Gothic"/>
          <w:b/>
          <w:bCs/>
          <w:sz w:val="24"/>
          <w:szCs w:val="24"/>
          <w:lang w:val="en-GB"/>
        </w:rPr>
      </w:pPr>
      <w:r w:rsidRPr="008302DE">
        <w:rPr>
          <w:rFonts w:ascii="Century Gothic" w:hAnsi="Century Gothic"/>
          <w:b/>
          <w:bCs/>
          <w:sz w:val="24"/>
          <w:szCs w:val="24"/>
          <w:lang w:val="en-GB"/>
        </w:rPr>
        <w:t>Z MARX DU PLESSIS</w:t>
      </w:r>
    </w:p>
    <w:p w14:paraId="434D43EF" w14:textId="769B8C92" w:rsidR="00681E44" w:rsidRPr="008302DE" w:rsidRDefault="00681E44" w:rsidP="00681E44">
      <w:pPr>
        <w:pStyle w:val="ListParagraph"/>
        <w:spacing w:line="480" w:lineRule="auto"/>
        <w:jc w:val="right"/>
        <w:rPr>
          <w:rFonts w:ascii="Century Gothic" w:hAnsi="Century Gothic"/>
          <w:sz w:val="24"/>
          <w:szCs w:val="24"/>
          <w:lang w:val="en-GB"/>
        </w:rPr>
      </w:pPr>
      <w:r w:rsidRPr="008302DE">
        <w:rPr>
          <w:rFonts w:ascii="Century Gothic" w:hAnsi="Century Gothic"/>
          <w:sz w:val="24"/>
          <w:szCs w:val="24"/>
          <w:lang w:val="en-GB"/>
        </w:rPr>
        <w:t>Acting Judge of the High Court</w:t>
      </w:r>
    </w:p>
    <w:p w14:paraId="0634094F" w14:textId="609AA6DA" w:rsidR="00681E44" w:rsidRPr="008302DE" w:rsidRDefault="00681E44" w:rsidP="00681E44">
      <w:pPr>
        <w:pStyle w:val="ListParagraph"/>
        <w:spacing w:line="480" w:lineRule="auto"/>
        <w:jc w:val="right"/>
        <w:rPr>
          <w:rFonts w:ascii="Century Gothic" w:hAnsi="Century Gothic"/>
          <w:sz w:val="24"/>
          <w:szCs w:val="24"/>
          <w:lang w:val="en-GB"/>
        </w:rPr>
      </w:pPr>
      <w:r w:rsidRPr="008302DE">
        <w:rPr>
          <w:rFonts w:ascii="Century Gothic" w:hAnsi="Century Gothic"/>
          <w:sz w:val="24"/>
          <w:szCs w:val="24"/>
          <w:lang w:val="en-GB"/>
        </w:rPr>
        <w:t>Gauteng Division, Pretoria</w:t>
      </w:r>
    </w:p>
    <w:p w14:paraId="1555DB3E" w14:textId="77777777" w:rsidR="00681E44" w:rsidRPr="008302DE" w:rsidRDefault="00681E44" w:rsidP="00681E44">
      <w:pPr>
        <w:pStyle w:val="ListParagraph"/>
        <w:spacing w:line="480" w:lineRule="auto"/>
        <w:jc w:val="both"/>
        <w:rPr>
          <w:rFonts w:ascii="Century Gothic" w:hAnsi="Century Gothic"/>
          <w:sz w:val="24"/>
          <w:szCs w:val="24"/>
          <w:lang w:val="en-GB"/>
        </w:rPr>
      </w:pPr>
    </w:p>
    <w:p w14:paraId="19C88E33" w14:textId="49075E31" w:rsidR="00681E44" w:rsidRPr="008302DE" w:rsidRDefault="00681E44" w:rsidP="00681E44">
      <w:pPr>
        <w:pStyle w:val="ListParagraph"/>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Date of Hearing: </w:t>
      </w:r>
      <w:r w:rsidRPr="008302DE">
        <w:rPr>
          <w:rFonts w:ascii="Century Gothic" w:hAnsi="Century Gothic"/>
          <w:sz w:val="24"/>
          <w:szCs w:val="24"/>
          <w:lang w:val="en-GB"/>
        </w:rPr>
        <w:tab/>
      </w:r>
      <w:r w:rsidRPr="008302DE">
        <w:rPr>
          <w:rFonts w:ascii="Century Gothic" w:hAnsi="Century Gothic"/>
          <w:sz w:val="24"/>
          <w:szCs w:val="24"/>
          <w:lang w:val="en-GB"/>
        </w:rPr>
        <w:tab/>
      </w:r>
      <w:r w:rsidR="007F6796" w:rsidRPr="008302DE">
        <w:rPr>
          <w:rFonts w:ascii="Century Gothic" w:hAnsi="Century Gothic"/>
          <w:sz w:val="24"/>
          <w:szCs w:val="24"/>
          <w:lang w:val="en-GB"/>
        </w:rPr>
        <w:tab/>
      </w:r>
      <w:r w:rsidR="007F6796" w:rsidRPr="008302DE">
        <w:rPr>
          <w:rFonts w:ascii="Century Gothic" w:hAnsi="Century Gothic"/>
          <w:sz w:val="24"/>
          <w:szCs w:val="24"/>
          <w:lang w:val="en-GB"/>
        </w:rPr>
        <w:tab/>
      </w:r>
      <w:r w:rsidRPr="008302DE">
        <w:rPr>
          <w:rFonts w:ascii="Century Gothic" w:hAnsi="Century Gothic"/>
          <w:sz w:val="24"/>
          <w:szCs w:val="24"/>
          <w:lang w:val="en-GB"/>
        </w:rPr>
        <w:t>1</w:t>
      </w:r>
      <w:r w:rsidR="00BD10AB" w:rsidRPr="008302DE">
        <w:rPr>
          <w:rFonts w:ascii="Century Gothic" w:hAnsi="Century Gothic"/>
          <w:sz w:val="24"/>
          <w:szCs w:val="24"/>
          <w:lang w:val="en-GB"/>
        </w:rPr>
        <w:t>7</w:t>
      </w:r>
      <w:r w:rsidRPr="008302DE">
        <w:rPr>
          <w:rFonts w:ascii="Century Gothic" w:hAnsi="Century Gothic"/>
          <w:sz w:val="24"/>
          <w:szCs w:val="24"/>
          <w:lang w:val="en-GB"/>
        </w:rPr>
        <w:t xml:space="preserve"> May 2023</w:t>
      </w:r>
    </w:p>
    <w:p w14:paraId="3E04089A" w14:textId="77777777" w:rsidR="00681E44" w:rsidRPr="008302DE" w:rsidRDefault="00681E44" w:rsidP="00681E44">
      <w:pPr>
        <w:pStyle w:val="ListParagraph"/>
        <w:spacing w:line="480" w:lineRule="auto"/>
        <w:jc w:val="both"/>
        <w:rPr>
          <w:rFonts w:ascii="Century Gothic" w:hAnsi="Century Gothic"/>
          <w:sz w:val="24"/>
          <w:szCs w:val="24"/>
          <w:lang w:val="en-GB"/>
        </w:rPr>
      </w:pPr>
    </w:p>
    <w:p w14:paraId="3BCAE020" w14:textId="29760BD9" w:rsidR="00681E44" w:rsidRPr="008302DE" w:rsidRDefault="00681E44" w:rsidP="00681E44">
      <w:pPr>
        <w:pStyle w:val="ListParagraph"/>
        <w:spacing w:line="480" w:lineRule="auto"/>
        <w:jc w:val="both"/>
        <w:rPr>
          <w:rFonts w:ascii="Century Gothic" w:hAnsi="Century Gothic"/>
          <w:sz w:val="24"/>
          <w:szCs w:val="24"/>
          <w:lang w:val="en-GB"/>
        </w:rPr>
      </w:pPr>
      <w:r w:rsidRPr="008302DE">
        <w:rPr>
          <w:rFonts w:ascii="Century Gothic" w:hAnsi="Century Gothic"/>
          <w:sz w:val="24"/>
          <w:szCs w:val="24"/>
          <w:lang w:val="en-GB"/>
        </w:rPr>
        <w:lastRenderedPageBreak/>
        <w:t xml:space="preserve">Judgment delivered: </w:t>
      </w:r>
      <w:r w:rsidRPr="008302DE">
        <w:rPr>
          <w:rFonts w:ascii="Century Gothic" w:hAnsi="Century Gothic"/>
          <w:sz w:val="24"/>
          <w:szCs w:val="24"/>
          <w:lang w:val="en-GB"/>
        </w:rPr>
        <w:tab/>
      </w:r>
      <w:r w:rsidR="007F6796" w:rsidRPr="008302DE">
        <w:rPr>
          <w:rFonts w:ascii="Century Gothic" w:hAnsi="Century Gothic"/>
          <w:sz w:val="24"/>
          <w:szCs w:val="24"/>
          <w:lang w:val="en-GB"/>
        </w:rPr>
        <w:tab/>
      </w:r>
      <w:r w:rsidR="007F6796" w:rsidRPr="008302DE">
        <w:rPr>
          <w:rFonts w:ascii="Century Gothic" w:hAnsi="Century Gothic"/>
          <w:sz w:val="24"/>
          <w:szCs w:val="24"/>
          <w:lang w:val="en-GB"/>
        </w:rPr>
        <w:tab/>
      </w:r>
      <w:r w:rsidRPr="008302DE">
        <w:rPr>
          <w:rFonts w:ascii="Century Gothic" w:hAnsi="Century Gothic"/>
          <w:sz w:val="24"/>
          <w:szCs w:val="24"/>
          <w:lang w:val="en-GB"/>
        </w:rPr>
        <w:t>2</w:t>
      </w:r>
      <w:r w:rsidR="000D301E">
        <w:rPr>
          <w:rFonts w:ascii="Century Gothic" w:hAnsi="Century Gothic"/>
          <w:sz w:val="24"/>
          <w:szCs w:val="24"/>
          <w:lang w:val="en-GB"/>
        </w:rPr>
        <w:t>5</w:t>
      </w:r>
      <w:r w:rsidRPr="008302DE">
        <w:rPr>
          <w:rFonts w:ascii="Century Gothic" w:hAnsi="Century Gothic"/>
          <w:sz w:val="24"/>
          <w:szCs w:val="24"/>
          <w:lang w:val="en-GB"/>
        </w:rPr>
        <w:t xml:space="preserve"> August 2023</w:t>
      </w:r>
    </w:p>
    <w:p w14:paraId="7104FFD7" w14:textId="77777777" w:rsidR="00681E44" w:rsidRPr="008302DE" w:rsidRDefault="00681E44" w:rsidP="00681E44">
      <w:pPr>
        <w:pStyle w:val="ListParagraph"/>
        <w:spacing w:line="480" w:lineRule="auto"/>
        <w:jc w:val="both"/>
        <w:rPr>
          <w:rFonts w:ascii="Century Gothic" w:hAnsi="Century Gothic"/>
          <w:sz w:val="24"/>
          <w:szCs w:val="24"/>
          <w:lang w:val="en-GB"/>
        </w:rPr>
      </w:pPr>
    </w:p>
    <w:p w14:paraId="67D7E19A" w14:textId="77777777" w:rsidR="00681E44" w:rsidRPr="008302DE" w:rsidRDefault="00681E44" w:rsidP="00681E44">
      <w:pPr>
        <w:pStyle w:val="ListParagraph"/>
        <w:spacing w:line="480" w:lineRule="auto"/>
        <w:jc w:val="both"/>
        <w:rPr>
          <w:rFonts w:ascii="Century Gothic" w:hAnsi="Century Gothic"/>
          <w:sz w:val="24"/>
          <w:szCs w:val="24"/>
          <w:lang w:val="en-GB"/>
        </w:rPr>
      </w:pPr>
      <w:r w:rsidRPr="008302DE">
        <w:rPr>
          <w:rFonts w:ascii="Century Gothic" w:hAnsi="Century Gothic"/>
          <w:sz w:val="24"/>
          <w:szCs w:val="24"/>
          <w:lang w:val="en-GB"/>
        </w:rPr>
        <w:t>Appearances:</w:t>
      </w:r>
      <w:r w:rsidRPr="008302DE">
        <w:rPr>
          <w:rFonts w:ascii="Century Gothic" w:hAnsi="Century Gothic"/>
          <w:sz w:val="24"/>
          <w:szCs w:val="24"/>
          <w:lang w:val="en-GB"/>
        </w:rPr>
        <w:tab/>
      </w:r>
    </w:p>
    <w:p w14:paraId="5FF6AC95" w14:textId="77777777" w:rsidR="00681E44" w:rsidRPr="008302DE" w:rsidRDefault="00681E44" w:rsidP="00681E44">
      <w:pPr>
        <w:pStyle w:val="ListParagraph"/>
        <w:spacing w:line="480" w:lineRule="auto"/>
        <w:jc w:val="both"/>
        <w:rPr>
          <w:rFonts w:ascii="Century Gothic" w:hAnsi="Century Gothic"/>
          <w:sz w:val="24"/>
          <w:szCs w:val="24"/>
          <w:lang w:val="en-GB"/>
        </w:rPr>
      </w:pPr>
    </w:p>
    <w:p w14:paraId="1547AF97" w14:textId="4C40DE12" w:rsidR="00681E44" w:rsidRPr="008302DE" w:rsidRDefault="00681E44" w:rsidP="00681E44">
      <w:pPr>
        <w:pStyle w:val="ListParagraph"/>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Counsel for the </w:t>
      </w:r>
      <w:r w:rsidR="00BD10AB" w:rsidRPr="008302DE">
        <w:rPr>
          <w:rFonts w:ascii="Century Gothic" w:hAnsi="Century Gothic"/>
          <w:sz w:val="24"/>
          <w:szCs w:val="24"/>
          <w:lang w:val="en-GB"/>
        </w:rPr>
        <w:t>applicant</w:t>
      </w:r>
      <w:r w:rsidRPr="008302DE">
        <w:rPr>
          <w:rFonts w:ascii="Century Gothic" w:hAnsi="Century Gothic"/>
          <w:sz w:val="24"/>
          <w:szCs w:val="24"/>
          <w:lang w:val="en-GB"/>
        </w:rPr>
        <w:t>:</w:t>
      </w:r>
      <w:r w:rsidRPr="008302DE">
        <w:rPr>
          <w:rFonts w:ascii="Century Gothic" w:hAnsi="Century Gothic"/>
          <w:sz w:val="24"/>
          <w:szCs w:val="24"/>
          <w:lang w:val="en-GB"/>
        </w:rPr>
        <w:tab/>
      </w:r>
      <w:r w:rsidR="00BD10AB" w:rsidRPr="008302DE">
        <w:rPr>
          <w:rFonts w:ascii="Century Gothic" w:hAnsi="Century Gothic"/>
          <w:sz w:val="24"/>
          <w:szCs w:val="24"/>
          <w:lang w:val="en-GB"/>
        </w:rPr>
        <w:tab/>
        <w:t>I B Currie</w:t>
      </w:r>
    </w:p>
    <w:p w14:paraId="7A27F710" w14:textId="3B3E85D3" w:rsidR="00681E44" w:rsidRPr="008302DE" w:rsidRDefault="00681E44" w:rsidP="00681E44">
      <w:pPr>
        <w:pStyle w:val="ListParagraph"/>
        <w:spacing w:line="480" w:lineRule="auto"/>
        <w:jc w:val="both"/>
        <w:rPr>
          <w:rFonts w:ascii="Century Gothic" w:hAnsi="Century Gothic"/>
          <w:sz w:val="24"/>
          <w:szCs w:val="24"/>
          <w:lang w:val="en-GB"/>
        </w:rPr>
      </w:pPr>
      <w:r w:rsidRPr="008302DE">
        <w:rPr>
          <w:rFonts w:ascii="Century Gothic" w:hAnsi="Century Gothic"/>
          <w:sz w:val="24"/>
          <w:szCs w:val="24"/>
          <w:lang w:val="en-GB"/>
        </w:rPr>
        <w:t>Instructed by:</w:t>
      </w:r>
      <w:r w:rsidRPr="008302DE">
        <w:rPr>
          <w:rFonts w:ascii="Century Gothic" w:hAnsi="Century Gothic"/>
          <w:sz w:val="24"/>
          <w:szCs w:val="24"/>
          <w:lang w:val="en-GB"/>
        </w:rPr>
        <w:tab/>
      </w:r>
      <w:r w:rsidRPr="008302DE">
        <w:rPr>
          <w:rFonts w:ascii="Century Gothic" w:hAnsi="Century Gothic"/>
          <w:sz w:val="24"/>
          <w:szCs w:val="24"/>
          <w:lang w:val="en-GB"/>
        </w:rPr>
        <w:tab/>
      </w:r>
      <w:r w:rsidRPr="008302DE">
        <w:rPr>
          <w:rFonts w:ascii="Century Gothic" w:hAnsi="Century Gothic"/>
          <w:sz w:val="24"/>
          <w:szCs w:val="24"/>
          <w:lang w:val="en-GB"/>
        </w:rPr>
        <w:tab/>
      </w:r>
      <w:r w:rsidR="00BD10AB" w:rsidRPr="008302DE">
        <w:rPr>
          <w:rFonts w:ascii="Century Gothic" w:hAnsi="Century Gothic"/>
          <w:sz w:val="24"/>
          <w:szCs w:val="24"/>
          <w:lang w:val="en-GB"/>
        </w:rPr>
        <w:tab/>
        <w:t>Edward Nathan Sonnensbergs Inc</w:t>
      </w:r>
    </w:p>
    <w:p w14:paraId="6A3E1E64" w14:textId="77777777" w:rsidR="00681E44" w:rsidRPr="008302DE" w:rsidRDefault="00681E44" w:rsidP="00681E44">
      <w:pPr>
        <w:pStyle w:val="ListParagraph"/>
        <w:spacing w:line="480" w:lineRule="auto"/>
        <w:jc w:val="both"/>
        <w:rPr>
          <w:rFonts w:ascii="Century Gothic" w:hAnsi="Century Gothic"/>
          <w:sz w:val="24"/>
          <w:szCs w:val="24"/>
          <w:lang w:val="en-GB"/>
        </w:rPr>
      </w:pPr>
    </w:p>
    <w:p w14:paraId="6C20CCA6" w14:textId="0201F0E3" w:rsidR="00681E44" w:rsidRPr="008302DE" w:rsidRDefault="00681E44" w:rsidP="00681E44">
      <w:pPr>
        <w:pStyle w:val="ListParagraph"/>
        <w:spacing w:line="480" w:lineRule="auto"/>
        <w:jc w:val="both"/>
        <w:rPr>
          <w:rFonts w:ascii="Century Gothic" w:hAnsi="Century Gothic"/>
          <w:sz w:val="24"/>
          <w:szCs w:val="24"/>
          <w:lang w:val="en-GB"/>
        </w:rPr>
      </w:pPr>
      <w:r w:rsidRPr="008302DE">
        <w:rPr>
          <w:rFonts w:ascii="Century Gothic" w:hAnsi="Century Gothic"/>
          <w:sz w:val="24"/>
          <w:szCs w:val="24"/>
          <w:lang w:val="en-GB"/>
        </w:rPr>
        <w:t xml:space="preserve">Counsel for the </w:t>
      </w:r>
      <w:r w:rsidR="00BD10AB" w:rsidRPr="008302DE">
        <w:rPr>
          <w:rFonts w:ascii="Century Gothic" w:hAnsi="Century Gothic"/>
          <w:sz w:val="24"/>
          <w:szCs w:val="24"/>
          <w:lang w:val="en-GB"/>
        </w:rPr>
        <w:t>first respondent</w:t>
      </w:r>
      <w:r w:rsidRPr="008302DE">
        <w:rPr>
          <w:rFonts w:ascii="Century Gothic" w:hAnsi="Century Gothic"/>
          <w:sz w:val="24"/>
          <w:szCs w:val="24"/>
          <w:lang w:val="en-GB"/>
        </w:rPr>
        <w:t>:</w:t>
      </w:r>
      <w:r w:rsidRPr="008302DE">
        <w:rPr>
          <w:rFonts w:ascii="Century Gothic" w:hAnsi="Century Gothic"/>
          <w:sz w:val="24"/>
          <w:szCs w:val="24"/>
          <w:lang w:val="en-GB"/>
        </w:rPr>
        <w:tab/>
      </w:r>
      <w:r w:rsidR="00BD10AB" w:rsidRPr="008302DE">
        <w:rPr>
          <w:rFonts w:ascii="Century Gothic" w:hAnsi="Century Gothic"/>
          <w:sz w:val="24"/>
          <w:szCs w:val="24"/>
          <w:lang w:val="en-GB"/>
        </w:rPr>
        <w:t>E C Labuschagne SC</w:t>
      </w:r>
    </w:p>
    <w:p w14:paraId="02C98B98" w14:textId="716E9561" w:rsidR="007A4E56" w:rsidRPr="008302DE" w:rsidRDefault="00681E44" w:rsidP="00681E44">
      <w:pPr>
        <w:pStyle w:val="ListParagraph"/>
        <w:spacing w:line="480" w:lineRule="auto"/>
        <w:jc w:val="both"/>
        <w:rPr>
          <w:rFonts w:ascii="Century Gothic" w:hAnsi="Century Gothic"/>
          <w:sz w:val="24"/>
          <w:szCs w:val="24"/>
          <w:lang w:val="en-GB"/>
        </w:rPr>
      </w:pPr>
      <w:r w:rsidRPr="008302DE">
        <w:rPr>
          <w:rFonts w:ascii="Century Gothic" w:hAnsi="Century Gothic"/>
          <w:sz w:val="24"/>
          <w:szCs w:val="24"/>
          <w:lang w:val="en-GB"/>
        </w:rPr>
        <w:t>Instructed by:</w:t>
      </w:r>
      <w:r w:rsidRPr="008302DE">
        <w:rPr>
          <w:rFonts w:ascii="Century Gothic" w:hAnsi="Century Gothic"/>
          <w:sz w:val="24"/>
          <w:szCs w:val="24"/>
          <w:lang w:val="en-GB"/>
        </w:rPr>
        <w:tab/>
      </w:r>
      <w:r w:rsidRPr="008302DE">
        <w:rPr>
          <w:rFonts w:ascii="Century Gothic" w:hAnsi="Century Gothic"/>
          <w:sz w:val="24"/>
          <w:szCs w:val="24"/>
          <w:lang w:val="en-GB"/>
        </w:rPr>
        <w:tab/>
      </w:r>
      <w:r w:rsidRPr="008302DE">
        <w:rPr>
          <w:rFonts w:ascii="Century Gothic" w:hAnsi="Century Gothic"/>
          <w:sz w:val="24"/>
          <w:szCs w:val="24"/>
          <w:lang w:val="en-GB"/>
        </w:rPr>
        <w:tab/>
      </w:r>
      <w:r w:rsidR="00BD10AB" w:rsidRPr="008302DE">
        <w:rPr>
          <w:rFonts w:ascii="Century Gothic" w:hAnsi="Century Gothic"/>
          <w:sz w:val="24"/>
          <w:szCs w:val="24"/>
          <w:lang w:val="en-GB"/>
        </w:rPr>
        <w:tab/>
        <w:t>Diale Mogoshoa Attorneys</w:t>
      </w:r>
    </w:p>
    <w:sectPr w:rsidR="007A4E56" w:rsidRPr="008302DE" w:rsidSect="00A106A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6918B" w14:textId="77777777" w:rsidR="00621339" w:rsidRDefault="00621339" w:rsidP="007A4C43">
      <w:pPr>
        <w:spacing w:after="0" w:line="240" w:lineRule="auto"/>
      </w:pPr>
      <w:r>
        <w:separator/>
      </w:r>
    </w:p>
  </w:endnote>
  <w:endnote w:type="continuationSeparator" w:id="0">
    <w:p w14:paraId="6E5588B6" w14:textId="77777777" w:rsidR="00621339" w:rsidRDefault="00621339" w:rsidP="007A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E229" w14:textId="77777777" w:rsidR="00621339" w:rsidRDefault="00621339" w:rsidP="007A4C43">
      <w:pPr>
        <w:spacing w:after="0" w:line="240" w:lineRule="auto"/>
      </w:pPr>
      <w:r>
        <w:separator/>
      </w:r>
    </w:p>
  </w:footnote>
  <w:footnote w:type="continuationSeparator" w:id="0">
    <w:p w14:paraId="7F40F83D" w14:textId="77777777" w:rsidR="00621339" w:rsidRDefault="00621339" w:rsidP="007A4C43">
      <w:pPr>
        <w:spacing w:after="0" w:line="240" w:lineRule="auto"/>
      </w:pPr>
      <w:r>
        <w:continuationSeparator/>
      </w:r>
    </w:p>
  </w:footnote>
  <w:footnote w:id="1">
    <w:p w14:paraId="21485B5F" w14:textId="4A31E400" w:rsidR="001B240D" w:rsidRDefault="001B240D">
      <w:pPr>
        <w:pStyle w:val="FootnoteText"/>
      </w:pPr>
      <w:r>
        <w:rPr>
          <w:rStyle w:val="FootnoteReference"/>
        </w:rPr>
        <w:footnoteRef/>
      </w:r>
      <w:r>
        <w:t xml:space="preserve"> State Information Technology Agency SOC Limited v Gijima Holdings (Pty) Ltd 2018 (2) SA 23 (CC) </w:t>
      </w:r>
    </w:p>
  </w:footnote>
  <w:footnote w:id="2">
    <w:p w14:paraId="1E935EFC" w14:textId="761E3C5F" w:rsidR="00650382" w:rsidRDefault="00650382">
      <w:pPr>
        <w:pStyle w:val="FootnoteText"/>
      </w:pPr>
      <w:r>
        <w:rPr>
          <w:rStyle w:val="FootnoteReference"/>
        </w:rPr>
        <w:footnoteRef/>
      </w:r>
      <w:r>
        <w:t xml:space="preserve"> </w:t>
      </w:r>
      <w:r w:rsidRPr="00650382">
        <w:t>Buffalo City Metropolitan Municipality v Asla Construction (Pty) Limited (2019 (4) SA 331 (CC)</w:t>
      </w:r>
    </w:p>
  </w:footnote>
  <w:footnote w:id="3">
    <w:p w14:paraId="04E0EF1B" w14:textId="7C59F8E2" w:rsidR="00255767" w:rsidRDefault="00255767">
      <w:pPr>
        <w:pStyle w:val="FootnoteText"/>
      </w:pPr>
      <w:r>
        <w:rPr>
          <w:rStyle w:val="FootnoteReference"/>
        </w:rPr>
        <w:footnoteRef/>
      </w:r>
      <w:r>
        <w:t xml:space="preserve"> </w:t>
      </w:r>
      <w:r>
        <w:rPr>
          <w:rFonts w:ascii="Verdana" w:hAnsi="Verdana"/>
          <w:i/>
          <w:iCs/>
          <w:color w:val="000000"/>
          <w:sz w:val="16"/>
          <w:szCs w:val="16"/>
        </w:rPr>
        <w:t>Zuma v Secretary of the Judicial Commission of Inquiry into Allegations of State Capture, Corruption and Fraud in the Public Sector Including Organs of State</w:t>
      </w:r>
      <w:r>
        <w:rPr>
          <w:rFonts w:ascii="Verdana" w:hAnsi="Verdana"/>
          <w:color w:val="000000"/>
          <w:sz w:val="16"/>
          <w:szCs w:val="16"/>
        </w:rPr>
        <w:t> 2021 (11) BCLR 1263 (CC) at paragraph</w:t>
      </w:r>
      <w:r w:rsidR="00D74880">
        <w:rPr>
          <w:rFonts w:ascii="Verdana" w:hAnsi="Verdana"/>
          <w:color w:val="000000"/>
          <w:sz w:val="16"/>
          <w:szCs w:val="16"/>
        </w:rPr>
        <w:t xml:space="preserve"> </w:t>
      </w:r>
      <w:r>
        <w:rPr>
          <w:rFonts w:ascii="Verdana" w:hAnsi="Verdana"/>
          <w:color w:val="000000"/>
          <w:sz w:val="16"/>
          <w:szCs w:val="16"/>
        </w:rPr>
        <w:t>[97]</w:t>
      </w:r>
    </w:p>
  </w:footnote>
  <w:footnote w:id="4">
    <w:p w14:paraId="2DD6B588" w14:textId="2CDB146A" w:rsidR="00B3577F" w:rsidRDefault="00B3577F">
      <w:pPr>
        <w:pStyle w:val="FootnoteText"/>
      </w:pPr>
      <w:r>
        <w:rPr>
          <w:rStyle w:val="FootnoteReference"/>
        </w:rPr>
        <w:footnoteRef/>
      </w:r>
      <w:r>
        <w:t xml:space="preserve"> </w:t>
      </w:r>
      <w:r w:rsidRPr="00B3577F">
        <w:t>Finishing Touch 163 (Pty) Ltd v BHP Billiton Energy Coal South Africa Ltd and Others 2013 (2) SA 204 (SCA) (Finishing Touch 163) at para</w:t>
      </w:r>
      <w:r w:rsidR="00CB14A9">
        <w:t>graph</w:t>
      </w:r>
      <w:r w:rsidRPr="00B3577F">
        <w:t xml:space="preserve"> 13.</w:t>
      </w:r>
    </w:p>
  </w:footnote>
  <w:footnote w:id="5">
    <w:p w14:paraId="6DB64291" w14:textId="00122C7D" w:rsidR="00151F5D" w:rsidRDefault="00151F5D">
      <w:pPr>
        <w:pStyle w:val="FootnoteText"/>
      </w:pPr>
      <w:r>
        <w:rPr>
          <w:rStyle w:val="FootnoteReference"/>
        </w:rPr>
        <w:footnoteRef/>
      </w:r>
      <w:r>
        <w:t xml:space="preserve"> Merafong City Local Municipality v A</w:t>
      </w:r>
      <w:r w:rsidR="00D428FF">
        <w:t>n</w:t>
      </w:r>
      <w:r>
        <w:t>gloGold Ashanti Limited 2017 (2) SA 211 (CC) at par 134 -137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63418"/>
      <w:docPartObj>
        <w:docPartGallery w:val="Page Numbers (Top of Page)"/>
        <w:docPartUnique/>
      </w:docPartObj>
    </w:sdtPr>
    <w:sdtEndPr>
      <w:rPr>
        <w:noProof/>
      </w:rPr>
    </w:sdtEndPr>
    <w:sdtContent>
      <w:p w14:paraId="44946416" w14:textId="0DCDE865" w:rsidR="00A106A0" w:rsidRDefault="00A106A0">
        <w:pPr>
          <w:pStyle w:val="Header"/>
          <w:jc w:val="right"/>
        </w:pPr>
        <w:r>
          <w:fldChar w:fldCharType="begin"/>
        </w:r>
        <w:r>
          <w:instrText xml:space="preserve"> PAGE   \* MERGEFORMAT </w:instrText>
        </w:r>
        <w:r>
          <w:fldChar w:fldCharType="separate"/>
        </w:r>
        <w:r w:rsidR="005266A7">
          <w:rPr>
            <w:noProof/>
          </w:rPr>
          <w:t>3</w:t>
        </w:r>
        <w:r>
          <w:rPr>
            <w:noProof/>
          </w:rPr>
          <w:fldChar w:fldCharType="end"/>
        </w:r>
      </w:p>
    </w:sdtContent>
  </w:sdt>
  <w:p w14:paraId="0645D3EB" w14:textId="77777777" w:rsidR="00A106A0" w:rsidRDefault="00A10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E4"/>
    <w:multiLevelType w:val="hybridMultilevel"/>
    <w:tmpl w:val="9BD60430"/>
    <w:lvl w:ilvl="0" w:tplc="E5EE829C">
      <w:start w:val="13"/>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C74969"/>
    <w:multiLevelType w:val="multilevel"/>
    <w:tmpl w:val="1A688B7A"/>
    <w:lvl w:ilvl="0">
      <w:start w:val="23"/>
      <w:numFmt w:val="decimal"/>
      <w:lvlText w:val="%1"/>
      <w:lvlJc w:val="left"/>
      <w:pPr>
        <w:ind w:left="460" w:hanging="4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
    <w:nsid w:val="5DB94BD5"/>
    <w:multiLevelType w:val="multilevel"/>
    <w:tmpl w:val="D210416E"/>
    <w:lvl w:ilvl="0">
      <w:start w:val="18"/>
      <w:numFmt w:val="decimal"/>
      <w:lvlText w:val="%1."/>
      <w:lvlJc w:val="left"/>
      <w:pPr>
        <w:ind w:left="720" w:hanging="360"/>
      </w:pPr>
      <w:rPr>
        <w:rFonts w:hint="default"/>
        <w:b w:val="0"/>
        <w:bCs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3200" w:hanging="144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970" w:hanging="2160"/>
      </w:pPr>
      <w:rPr>
        <w:rFonts w:hint="default"/>
      </w:rPr>
    </w:lvl>
    <w:lvl w:ilvl="8">
      <w:start w:val="1"/>
      <w:numFmt w:val="decimal"/>
      <w:isLgl/>
      <w:lvlText w:val="%1.%2.%3.%4.%5.%6.%7.%8.%9"/>
      <w:lvlJc w:val="left"/>
      <w:pPr>
        <w:ind w:left="5320" w:hanging="2160"/>
      </w:pPr>
      <w:rPr>
        <w:rFonts w:hint="default"/>
      </w:rPr>
    </w:lvl>
  </w:abstractNum>
  <w:abstractNum w:abstractNumId="3">
    <w:nsid w:val="6B945479"/>
    <w:multiLevelType w:val="hybridMultilevel"/>
    <w:tmpl w:val="844AB518"/>
    <w:lvl w:ilvl="0" w:tplc="F604AD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F1A76EC"/>
    <w:multiLevelType w:val="multilevel"/>
    <w:tmpl w:val="A70871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7A876332"/>
    <w:multiLevelType w:val="multilevel"/>
    <w:tmpl w:val="A70871A8"/>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B75DC6-CB91-4650-8CFD-2EF77C6C2B43}"/>
    <w:docVar w:name="dgnword-eventsink" w:val="2541149251664"/>
  </w:docVars>
  <w:rsids>
    <w:rsidRoot w:val="005A4CE1"/>
    <w:rsid w:val="00016B87"/>
    <w:rsid w:val="0002446F"/>
    <w:rsid w:val="00025224"/>
    <w:rsid w:val="00077730"/>
    <w:rsid w:val="00080498"/>
    <w:rsid w:val="000948B2"/>
    <w:rsid w:val="000973C8"/>
    <w:rsid w:val="000A0377"/>
    <w:rsid w:val="000A1EF4"/>
    <w:rsid w:val="000A5D01"/>
    <w:rsid w:val="000B0C6B"/>
    <w:rsid w:val="000B25D1"/>
    <w:rsid w:val="000B6888"/>
    <w:rsid w:val="000D301E"/>
    <w:rsid w:val="000D36D4"/>
    <w:rsid w:val="000F1B77"/>
    <w:rsid w:val="00101311"/>
    <w:rsid w:val="00103B8D"/>
    <w:rsid w:val="00142EF0"/>
    <w:rsid w:val="00145180"/>
    <w:rsid w:val="00145BB7"/>
    <w:rsid w:val="00151F5D"/>
    <w:rsid w:val="001642E1"/>
    <w:rsid w:val="001B240D"/>
    <w:rsid w:val="001B4319"/>
    <w:rsid w:val="001B5C5C"/>
    <w:rsid w:val="001C1729"/>
    <w:rsid w:val="001C7A02"/>
    <w:rsid w:val="001D12AC"/>
    <w:rsid w:val="001E5A32"/>
    <w:rsid w:val="00200BF9"/>
    <w:rsid w:val="00217D05"/>
    <w:rsid w:val="002278E9"/>
    <w:rsid w:val="00241310"/>
    <w:rsid w:val="00243A26"/>
    <w:rsid w:val="002450D2"/>
    <w:rsid w:val="002532FA"/>
    <w:rsid w:val="00255767"/>
    <w:rsid w:val="0029197B"/>
    <w:rsid w:val="002A6D16"/>
    <w:rsid w:val="002C3ED5"/>
    <w:rsid w:val="002F5AAF"/>
    <w:rsid w:val="00307EF4"/>
    <w:rsid w:val="00317FE8"/>
    <w:rsid w:val="00325536"/>
    <w:rsid w:val="003447B5"/>
    <w:rsid w:val="0039299A"/>
    <w:rsid w:val="003B1105"/>
    <w:rsid w:val="003B4202"/>
    <w:rsid w:val="003D09A0"/>
    <w:rsid w:val="003D5ECB"/>
    <w:rsid w:val="003E4C7E"/>
    <w:rsid w:val="003E6E0A"/>
    <w:rsid w:val="004260D2"/>
    <w:rsid w:val="0043040F"/>
    <w:rsid w:val="004331A5"/>
    <w:rsid w:val="00433422"/>
    <w:rsid w:val="00433679"/>
    <w:rsid w:val="00454D16"/>
    <w:rsid w:val="00456BF2"/>
    <w:rsid w:val="00476021"/>
    <w:rsid w:val="0049292F"/>
    <w:rsid w:val="004A24E4"/>
    <w:rsid w:val="004B0CC0"/>
    <w:rsid w:val="004B2E79"/>
    <w:rsid w:val="004B44C9"/>
    <w:rsid w:val="004C04BC"/>
    <w:rsid w:val="004E5971"/>
    <w:rsid w:val="004E6E32"/>
    <w:rsid w:val="00503AB1"/>
    <w:rsid w:val="005107F1"/>
    <w:rsid w:val="0052465D"/>
    <w:rsid w:val="00525A5E"/>
    <w:rsid w:val="005266A7"/>
    <w:rsid w:val="00544162"/>
    <w:rsid w:val="00547989"/>
    <w:rsid w:val="005560FD"/>
    <w:rsid w:val="00556405"/>
    <w:rsid w:val="00592F92"/>
    <w:rsid w:val="00593673"/>
    <w:rsid w:val="005A150C"/>
    <w:rsid w:val="005A4CE1"/>
    <w:rsid w:val="005C20CA"/>
    <w:rsid w:val="005C586C"/>
    <w:rsid w:val="005C6310"/>
    <w:rsid w:val="005D43DA"/>
    <w:rsid w:val="005D6561"/>
    <w:rsid w:val="005E4C10"/>
    <w:rsid w:val="005F40CB"/>
    <w:rsid w:val="005F66AA"/>
    <w:rsid w:val="00600FD6"/>
    <w:rsid w:val="00601EAE"/>
    <w:rsid w:val="006131BB"/>
    <w:rsid w:val="00621339"/>
    <w:rsid w:val="00627FE4"/>
    <w:rsid w:val="00650382"/>
    <w:rsid w:val="006722E7"/>
    <w:rsid w:val="00680703"/>
    <w:rsid w:val="00681E44"/>
    <w:rsid w:val="006B6862"/>
    <w:rsid w:val="006D4581"/>
    <w:rsid w:val="00752CB8"/>
    <w:rsid w:val="00780298"/>
    <w:rsid w:val="0078048F"/>
    <w:rsid w:val="00797E1B"/>
    <w:rsid w:val="007A0C08"/>
    <w:rsid w:val="007A4206"/>
    <w:rsid w:val="007A4C43"/>
    <w:rsid w:val="007A4E56"/>
    <w:rsid w:val="007B05B0"/>
    <w:rsid w:val="007B61A4"/>
    <w:rsid w:val="007F3F87"/>
    <w:rsid w:val="007F6796"/>
    <w:rsid w:val="00813D02"/>
    <w:rsid w:val="00815954"/>
    <w:rsid w:val="008302DE"/>
    <w:rsid w:val="00834D99"/>
    <w:rsid w:val="0084383F"/>
    <w:rsid w:val="008463E7"/>
    <w:rsid w:val="00854830"/>
    <w:rsid w:val="00880581"/>
    <w:rsid w:val="00887DCB"/>
    <w:rsid w:val="00896652"/>
    <w:rsid w:val="008A4DB7"/>
    <w:rsid w:val="008F16FF"/>
    <w:rsid w:val="008F6BED"/>
    <w:rsid w:val="009103CB"/>
    <w:rsid w:val="009144A7"/>
    <w:rsid w:val="00944014"/>
    <w:rsid w:val="00957E50"/>
    <w:rsid w:val="00982FAA"/>
    <w:rsid w:val="009B29E8"/>
    <w:rsid w:val="009B60A5"/>
    <w:rsid w:val="009B6231"/>
    <w:rsid w:val="00A007BD"/>
    <w:rsid w:val="00A05DF2"/>
    <w:rsid w:val="00A106A0"/>
    <w:rsid w:val="00A40B3E"/>
    <w:rsid w:val="00A46611"/>
    <w:rsid w:val="00A47E94"/>
    <w:rsid w:val="00A524FD"/>
    <w:rsid w:val="00A61B33"/>
    <w:rsid w:val="00AB23B2"/>
    <w:rsid w:val="00AD0BA5"/>
    <w:rsid w:val="00AD44FF"/>
    <w:rsid w:val="00AD7A38"/>
    <w:rsid w:val="00AE3139"/>
    <w:rsid w:val="00AE4276"/>
    <w:rsid w:val="00AE5125"/>
    <w:rsid w:val="00B16246"/>
    <w:rsid w:val="00B23E47"/>
    <w:rsid w:val="00B271DA"/>
    <w:rsid w:val="00B3577F"/>
    <w:rsid w:val="00B40013"/>
    <w:rsid w:val="00B5654E"/>
    <w:rsid w:val="00B602CE"/>
    <w:rsid w:val="00BB0E57"/>
    <w:rsid w:val="00BB2323"/>
    <w:rsid w:val="00BC5828"/>
    <w:rsid w:val="00BC6E16"/>
    <w:rsid w:val="00BD10AB"/>
    <w:rsid w:val="00BF0434"/>
    <w:rsid w:val="00BF793C"/>
    <w:rsid w:val="00C008F7"/>
    <w:rsid w:val="00C05777"/>
    <w:rsid w:val="00C0738E"/>
    <w:rsid w:val="00C16838"/>
    <w:rsid w:val="00C33B2E"/>
    <w:rsid w:val="00C60871"/>
    <w:rsid w:val="00C6512C"/>
    <w:rsid w:val="00C76436"/>
    <w:rsid w:val="00CA486D"/>
    <w:rsid w:val="00CB14A9"/>
    <w:rsid w:val="00CB68FC"/>
    <w:rsid w:val="00CC209F"/>
    <w:rsid w:val="00CC471F"/>
    <w:rsid w:val="00CF043E"/>
    <w:rsid w:val="00CF2DA1"/>
    <w:rsid w:val="00D04911"/>
    <w:rsid w:val="00D428FF"/>
    <w:rsid w:val="00D43464"/>
    <w:rsid w:val="00D45A2E"/>
    <w:rsid w:val="00D57210"/>
    <w:rsid w:val="00D64C78"/>
    <w:rsid w:val="00D74880"/>
    <w:rsid w:val="00D81C87"/>
    <w:rsid w:val="00D84F57"/>
    <w:rsid w:val="00D876C2"/>
    <w:rsid w:val="00D9141B"/>
    <w:rsid w:val="00D95CE6"/>
    <w:rsid w:val="00DA75A5"/>
    <w:rsid w:val="00DB0498"/>
    <w:rsid w:val="00DC334C"/>
    <w:rsid w:val="00DC52CA"/>
    <w:rsid w:val="00DE24B5"/>
    <w:rsid w:val="00DE7091"/>
    <w:rsid w:val="00E06CBD"/>
    <w:rsid w:val="00E219AB"/>
    <w:rsid w:val="00E2521A"/>
    <w:rsid w:val="00E269FB"/>
    <w:rsid w:val="00E26E76"/>
    <w:rsid w:val="00E27BC5"/>
    <w:rsid w:val="00E351FC"/>
    <w:rsid w:val="00EB1B6D"/>
    <w:rsid w:val="00EC49B9"/>
    <w:rsid w:val="00EF7B35"/>
    <w:rsid w:val="00F0118D"/>
    <w:rsid w:val="00F27FED"/>
    <w:rsid w:val="00F31ED7"/>
    <w:rsid w:val="00F401E0"/>
    <w:rsid w:val="00F40B3A"/>
    <w:rsid w:val="00F43C7D"/>
    <w:rsid w:val="00F52AA9"/>
    <w:rsid w:val="00F608CA"/>
    <w:rsid w:val="00F6112D"/>
    <w:rsid w:val="00F7152A"/>
    <w:rsid w:val="00F77BF6"/>
    <w:rsid w:val="00FC0554"/>
    <w:rsid w:val="00FC1A15"/>
    <w:rsid w:val="00FC6516"/>
    <w:rsid w:val="00FD4B77"/>
    <w:rsid w:val="00FE0880"/>
    <w:rsid w:val="00FE36BE"/>
    <w:rsid w:val="00FF46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AEDA"/>
  <w15:chartTrackingRefBased/>
  <w15:docId w15:val="{356C8810-F441-4A4D-9C09-5384E506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E1"/>
    <w:pPr>
      <w:ind w:left="720"/>
      <w:contextualSpacing/>
    </w:pPr>
  </w:style>
  <w:style w:type="paragraph" w:styleId="FootnoteText">
    <w:name w:val="footnote text"/>
    <w:basedOn w:val="Normal"/>
    <w:link w:val="FootnoteTextChar"/>
    <w:uiPriority w:val="99"/>
    <w:semiHidden/>
    <w:unhideWhenUsed/>
    <w:rsid w:val="007A4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C43"/>
    <w:rPr>
      <w:sz w:val="20"/>
      <w:szCs w:val="20"/>
    </w:rPr>
  </w:style>
  <w:style w:type="character" w:styleId="FootnoteReference">
    <w:name w:val="footnote reference"/>
    <w:basedOn w:val="DefaultParagraphFont"/>
    <w:uiPriority w:val="99"/>
    <w:semiHidden/>
    <w:unhideWhenUsed/>
    <w:rsid w:val="007A4C43"/>
    <w:rPr>
      <w:vertAlign w:val="superscript"/>
    </w:rPr>
  </w:style>
  <w:style w:type="paragraph" w:styleId="BodyText">
    <w:name w:val="Body Text"/>
    <w:basedOn w:val="Normal"/>
    <w:link w:val="BodyTextChar"/>
    <w:uiPriority w:val="1"/>
    <w:qFormat/>
    <w:rsid w:val="00AD0BA5"/>
    <w:pPr>
      <w:widowControl w:val="0"/>
      <w:autoSpaceDE w:val="0"/>
      <w:autoSpaceDN w:val="0"/>
      <w:spacing w:after="0" w:line="240" w:lineRule="auto"/>
    </w:pPr>
    <w:rPr>
      <w:rFonts w:ascii="Arial" w:eastAsia="Times New Roman" w:hAnsi="Arial" w:cs="Times New Roman"/>
      <w:kern w:val="0"/>
      <w:sz w:val="26"/>
      <w:szCs w:val="26"/>
      <w:lang w:val="en-US"/>
      <w14:ligatures w14:val="none"/>
    </w:rPr>
  </w:style>
  <w:style w:type="character" w:customStyle="1" w:styleId="BodyTextChar">
    <w:name w:val="Body Text Char"/>
    <w:basedOn w:val="DefaultParagraphFont"/>
    <w:link w:val="BodyText"/>
    <w:uiPriority w:val="1"/>
    <w:rsid w:val="00AD0BA5"/>
    <w:rPr>
      <w:rFonts w:ascii="Arial" w:eastAsia="Times New Roman" w:hAnsi="Arial" w:cs="Times New Roman"/>
      <w:kern w:val="0"/>
      <w:sz w:val="26"/>
      <w:szCs w:val="26"/>
      <w:lang w:val="en-US"/>
      <w14:ligatures w14:val="none"/>
    </w:rPr>
  </w:style>
  <w:style w:type="paragraph" w:styleId="Header">
    <w:name w:val="header"/>
    <w:basedOn w:val="Normal"/>
    <w:link w:val="HeaderChar"/>
    <w:uiPriority w:val="99"/>
    <w:unhideWhenUsed/>
    <w:rsid w:val="00A10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A0"/>
  </w:style>
  <w:style w:type="paragraph" w:styleId="Footer">
    <w:name w:val="footer"/>
    <w:basedOn w:val="Normal"/>
    <w:link w:val="FooterChar"/>
    <w:uiPriority w:val="99"/>
    <w:unhideWhenUsed/>
    <w:rsid w:val="00A10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7572">
      <w:bodyDiv w:val="1"/>
      <w:marLeft w:val="0"/>
      <w:marRight w:val="0"/>
      <w:marTop w:val="0"/>
      <w:marBottom w:val="0"/>
      <w:divBdr>
        <w:top w:val="none" w:sz="0" w:space="0" w:color="auto"/>
        <w:left w:val="none" w:sz="0" w:space="0" w:color="auto"/>
        <w:bottom w:val="none" w:sz="0" w:space="0" w:color="auto"/>
        <w:right w:val="none" w:sz="0" w:space="0" w:color="auto"/>
      </w:divBdr>
    </w:div>
    <w:div w:id="778257728">
      <w:bodyDiv w:val="1"/>
      <w:marLeft w:val="0"/>
      <w:marRight w:val="0"/>
      <w:marTop w:val="0"/>
      <w:marBottom w:val="0"/>
      <w:divBdr>
        <w:top w:val="none" w:sz="0" w:space="0" w:color="auto"/>
        <w:left w:val="none" w:sz="0" w:space="0" w:color="auto"/>
        <w:bottom w:val="none" w:sz="0" w:space="0" w:color="auto"/>
        <w:right w:val="none" w:sz="0" w:space="0" w:color="auto"/>
      </w:divBdr>
      <w:divsChild>
        <w:div w:id="1069301616">
          <w:marLeft w:val="0"/>
          <w:marRight w:val="0"/>
          <w:marTop w:val="120"/>
          <w:marBottom w:val="0"/>
          <w:divBdr>
            <w:top w:val="none" w:sz="0" w:space="0" w:color="auto"/>
            <w:left w:val="none" w:sz="0" w:space="0" w:color="auto"/>
            <w:bottom w:val="none" w:sz="0" w:space="0" w:color="auto"/>
            <w:right w:val="none" w:sz="0" w:space="0" w:color="auto"/>
          </w:divBdr>
        </w:div>
        <w:div w:id="990137941">
          <w:marLeft w:val="0"/>
          <w:marRight w:val="0"/>
          <w:marTop w:val="120"/>
          <w:marBottom w:val="0"/>
          <w:divBdr>
            <w:top w:val="none" w:sz="0" w:space="0" w:color="auto"/>
            <w:left w:val="none" w:sz="0" w:space="0" w:color="auto"/>
            <w:bottom w:val="none" w:sz="0" w:space="0" w:color="auto"/>
            <w:right w:val="none" w:sz="0" w:space="0" w:color="auto"/>
          </w:divBdr>
        </w:div>
        <w:div w:id="865753417">
          <w:marLeft w:val="0"/>
          <w:marRight w:val="0"/>
          <w:marTop w:val="60"/>
          <w:marBottom w:val="0"/>
          <w:divBdr>
            <w:top w:val="none" w:sz="0" w:space="0" w:color="auto"/>
            <w:left w:val="none" w:sz="0" w:space="0" w:color="auto"/>
            <w:bottom w:val="none" w:sz="0" w:space="0" w:color="auto"/>
            <w:right w:val="none" w:sz="0" w:space="0" w:color="auto"/>
          </w:divBdr>
        </w:div>
        <w:div w:id="1864632932">
          <w:marLeft w:val="851"/>
          <w:marRight w:val="0"/>
          <w:marTop w:val="60"/>
          <w:marBottom w:val="0"/>
          <w:divBdr>
            <w:top w:val="none" w:sz="0" w:space="0" w:color="auto"/>
            <w:left w:val="none" w:sz="0" w:space="0" w:color="auto"/>
            <w:bottom w:val="none" w:sz="0" w:space="0" w:color="auto"/>
            <w:right w:val="none" w:sz="0" w:space="0" w:color="auto"/>
          </w:divBdr>
        </w:div>
        <w:div w:id="585577298">
          <w:marLeft w:val="0"/>
          <w:marRight w:val="0"/>
          <w:marTop w:val="20"/>
          <w:marBottom w:val="20"/>
          <w:divBdr>
            <w:top w:val="none" w:sz="0" w:space="0" w:color="auto"/>
            <w:left w:val="none" w:sz="0" w:space="0" w:color="auto"/>
            <w:bottom w:val="none" w:sz="0" w:space="0" w:color="auto"/>
            <w:right w:val="none" w:sz="0" w:space="0" w:color="auto"/>
          </w:divBdr>
        </w:div>
        <w:div w:id="1509563031">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229B-2728-4C48-BEB6-9B9FB9FA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Zenta Marx</dc:creator>
  <cp:keywords/>
  <dc:description/>
  <cp:lastModifiedBy>Mokone</cp:lastModifiedBy>
  <cp:revision>2</cp:revision>
  <cp:lastPrinted>2023-08-24T12:00:00Z</cp:lastPrinted>
  <dcterms:created xsi:type="dcterms:W3CDTF">2023-09-04T09:40:00Z</dcterms:created>
  <dcterms:modified xsi:type="dcterms:W3CDTF">2023-09-04T09:40:00Z</dcterms:modified>
</cp:coreProperties>
</file>