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706AF1"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706AF1">
        <w:rPr>
          <w:rFonts w:ascii="Arial" w:eastAsia="Times New Roman" w:hAnsi="Arial" w:cs="Arial"/>
          <w:sz w:val="28"/>
          <w:szCs w:val="28"/>
          <w:lang w:eastAsia="en-GB"/>
        </w:rPr>
        <w:t>REPUBLIC OF SOUTH AFRICA</w:t>
      </w:r>
    </w:p>
    <w:p w14:paraId="4436A0DF" w14:textId="77777777" w:rsidR="00ED2FC5" w:rsidRPr="00706AF1"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706AF1">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706AF1"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706AF1">
        <w:rPr>
          <w:rFonts w:ascii="Arial" w:eastAsia="Times New Roman" w:hAnsi="Arial" w:cs="Arial"/>
          <w:sz w:val="28"/>
          <w:szCs w:val="28"/>
          <w:lang w:eastAsia="en-GB"/>
        </w:rPr>
        <w:t>IN THE HIGH COURT OF SOUTH AFRICA</w:t>
      </w:r>
    </w:p>
    <w:p w14:paraId="1C5CCDC4" w14:textId="77777777" w:rsidR="00ED2FC5" w:rsidRPr="00706AF1"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706AF1">
        <w:rPr>
          <w:rFonts w:ascii="Arial" w:eastAsia="Times New Roman" w:hAnsi="Arial" w:cs="Arial"/>
          <w:sz w:val="28"/>
          <w:szCs w:val="28"/>
          <w:lang w:eastAsia="en-GB"/>
        </w:rPr>
        <w:t>GAUTENG DIVISION, PRETORIA</w:t>
      </w:r>
    </w:p>
    <w:p w14:paraId="2F4E9B91" w14:textId="5C9561A8" w:rsidR="00665539" w:rsidRPr="00706AF1" w:rsidRDefault="003F64B3" w:rsidP="00FC3DC3">
      <w:pPr>
        <w:spacing w:after="0" w:line="240" w:lineRule="auto"/>
        <w:ind w:left="661" w:hangingChars="236" w:hanging="661"/>
        <w:jc w:val="right"/>
        <w:rPr>
          <w:rFonts w:ascii="Arial" w:eastAsia="Times New Roman" w:hAnsi="Arial" w:cs="Arial"/>
          <w:sz w:val="28"/>
          <w:szCs w:val="28"/>
          <w:lang w:eastAsia="en-GB"/>
        </w:rPr>
      </w:pPr>
      <w:r w:rsidRPr="00706AF1">
        <w:rPr>
          <w:rFonts w:ascii="Arial" w:eastAsia="Times New Roman" w:hAnsi="Arial" w:cs="Arial"/>
          <w:sz w:val="28"/>
          <w:szCs w:val="28"/>
          <w:lang w:eastAsia="en-GB"/>
        </w:rPr>
        <w:t>CASE NO:</w:t>
      </w:r>
      <w:r w:rsidR="00DE3835" w:rsidRPr="00706AF1">
        <w:rPr>
          <w:rFonts w:ascii="Arial" w:eastAsia="Times New Roman" w:hAnsi="Arial" w:cs="Arial"/>
          <w:sz w:val="28"/>
          <w:szCs w:val="28"/>
          <w:lang w:eastAsia="en-GB"/>
        </w:rPr>
        <w:t xml:space="preserve"> </w:t>
      </w:r>
      <w:r w:rsidR="00D60BA7" w:rsidRPr="00706AF1">
        <w:rPr>
          <w:rFonts w:ascii="Arial" w:eastAsia="Times New Roman" w:hAnsi="Arial" w:cs="Arial"/>
          <w:sz w:val="28"/>
          <w:szCs w:val="28"/>
          <w:lang w:eastAsia="en-GB"/>
        </w:rPr>
        <w:t>28935/2021</w:t>
      </w:r>
    </w:p>
    <w:p w14:paraId="633CC936" w14:textId="5D66C20F" w:rsidR="002033C4" w:rsidRPr="00706AF1"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706AF1" w:rsidRDefault="003A6E81" w:rsidP="00C160A1">
      <w:pPr>
        <w:spacing w:before="120" w:after="120" w:line="360" w:lineRule="auto"/>
        <w:jc w:val="center"/>
        <w:rPr>
          <w:rFonts w:ascii="Arial" w:hAnsi="Arial" w:cs="Arial"/>
          <w:sz w:val="24"/>
          <w:szCs w:val="24"/>
        </w:rPr>
      </w:pPr>
      <w:r w:rsidRPr="00706AF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3068E75F" w:rsidR="00494B3B" w:rsidRDefault="00322852" w:rsidP="0032285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27638819" w:rsidR="00494B3B" w:rsidRDefault="00322852" w:rsidP="0032285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53636697" w:rsidR="00494B3B" w:rsidRDefault="00322852" w:rsidP="0032285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4C3B2095"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D60BA7">
                              <w:rPr>
                                <w:rFonts w:ascii="Century Gothic" w:hAnsi="Century Gothic"/>
                                <w:sz w:val="20"/>
                                <w:szCs w:val="20"/>
                              </w:rPr>
                              <w:t>28 August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3068E75F" w:rsidR="00494B3B" w:rsidRDefault="00322852" w:rsidP="0032285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27638819" w:rsidR="00494B3B" w:rsidRDefault="00322852" w:rsidP="0032285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53636697" w:rsidR="00494B3B" w:rsidRDefault="00322852" w:rsidP="00322852">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4C3B2095"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D60BA7">
                        <w:rPr>
                          <w:rFonts w:ascii="Century Gothic" w:hAnsi="Century Gothic"/>
                          <w:sz w:val="20"/>
                          <w:szCs w:val="20"/>
                        </w:rPr>
                        <w:t>28 August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706AF1"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706AF1"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706AF1"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706AF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Pr="00706AF1" w:rsidRDefault="009C6780" w:rsidP="009C6780">
      <w:pPr>
        <w:tabs>
          <w:tab w:val="left" w:pos="4917"/>
        </w:tabs>
        <w:spacing w:before="120" w:after="120" w:line="360" w:lineRule="auto"/>
        <w:rPr>
          <w:rFonts w:ascii="Arial" w:hAnsi="Arial" w:cs="Arial"/>
          <w:sz w:val="24"/>
          <w:szCs w:val="24"/>
        </w:rPr>
      </w:pPr>
      <w:r w:rsidRPr="00706AF1">
        <w:rPr>
          <w:rFonts w:ascii="Arial" w:hAnsi="Arial" w:cs="Arial"/>
          <w:sz w:val="24"/>
          <w:szCs w:val="24"/>
        </w:rPr>
        <w:t>In the matter between:</w:t>
      </w:r>
    </w:p>
    <w:p w14:paraId="750E0DC1" w14:textId="60385D45" w:rsidR="00CE3E3F" w:rsidRPr="00706AF1" w:rsidRDefault="00D60BA7" w:rsidP="009C6780">
      <w:pPr>
        <w:tabs>
          <w:tab w:val="left" w:pos="4917"/>
        </w:tabs>
        <w:spacing w:before="120" w:after="120" w:line="360" w:lineRule="auto"/>
        <w:rPr>
          <w:rFonts w:ascii="Arial" w:hAnsi="Arial" w:cs="Arial"/>
          <w:sz w:val="24"/>
          <w:szCs w:val="24"/>
        </w:rPr>
      </w:pPr>
      <w:r w:rsidRPr="00706AF1">
        <w:rPr>
          <w:rFonts w:ascii="Arial" w:hAnsi="Arial" w:cs="Arial"/>
          <w:sz w:val="24"/>
          <w:szCs w:val="24"/>
        </w:rPr>
        <w:t>EMIRA PROPERTY FUND LIMITED</w:t>
      </w:r>
      <w:r w:rsidRPr="00706AF1">
        <w:rPr>
          <w:rFonts w:ascii="Arial" w:hAnsi="Arial" w:cs="Arial"/>
          <w:sz w:val="24"/>
          <w:szCs w:val="24"/>
        </w:rPr>
        <w:tab/>
      </w:r>
      <w:r w:rsidRPr="00706AF1">
        <w:rPr>
          <w:rFonts w:ascii="Arial" w:hAnsi="Arial" w:cs="Arial"/>
          <w:sz w:val="24"/>
          <w:szCs w:val="24"/>
        </w:rPr>
        <w:tab/>
      </w:r>
      <w:r w:rsidRPr="00706AF1">
        <w:rPr>
          <w:rFonts w:ascii="Arial" w:hAnsi="Arial" w:cs="Arial"/>
          <w:sz w:val="24"/>
          <w:szCs w:val="24"/>
        </w:rPr>
        <w:tab/>
        <w:t xml:space="preserve">FIRST </w:t>
      </w:r>
      <w:r w:rsidR="0057492E" w:rsidRPr="00706AF1">
        <w:rPr>
          <w:rFonts w:ascii="Arial" w:hAnsi="Arial" w:cs="Arial"/>
          <w:sz w:val="24"/>
          <w:szCs w:val="24"/>
        </w:rPr>
        <w:t>APPLICANT</w:t>
      </w:r>
    </w:p>
    <w:p w14:paraId="70D99D1D" w14:textId="13C8FF8F" w:rsidR="00D60BA7" w:rsidRPr="00706AF1" w:rsidRDefault="00A207BF" w:rsidP="009C6780">
      <w:pPr>
        <w:tabs>
          <w:tab w:val="left" w:pos="4917"/>
        </w:tabs>
        <w:spacing w:before="120" w:after="120" w:line="360" w:lineRule="auto"/>
        <w:rPr>
          <w:rFonts w:ascii="Arial" w:hAnsi="Arial" w:cs="Arial"/>
          <w:sz w:val="24"/>
          <w:szCs w:val="24"/>
        </w:rPr>
      </w:pPr>
      <w:r w:rsidRPr="00706AF1">
        <w:rPr>
          <w:rFonts w:ascii="Arial" w:hAnsi="Arial" w:cs="Arial"/>
          <w:sz w:val="24"/>
          <w:szCs w:val="24"/>
        </w:rPr>
        <w:t>PILOT PERIDOT INVESTMENTS 1 (PTY) LTD</w:t>
      </w:r>
      <w:r w:rsidRPr="00706AF1">
        <w:rPr>
          <w:rFonts w:ascii="Arial" w:hAnsi="Arial" w:cs="Arial"/>
          <w:sz w:val="24"/>
          <w:szCs w:val="24"/>
        </w:rPr>
        <w:tab/>
      </w:r>
      <w:r w:rsidRPr="00706AF1">
        <w:rPr>
          <w:rFonts w:ascii="Arial" w:hAnsi="Arial" w:cs="Arial"/>
          <w:sz w:val="24"/>
          <w:szCs w:val="24"/>
        </w:rPr>
        <w:tab/>
        <w:t>SECOND APPLICANT</w:t>
      </w:r>
    </w:p>
    <w:p w14:paraId="65C2426F" w14:textId="5BC793C5" w:rsidR="00BD164A" w:rsidRPr="00706AF1" w:rsidRDefault="00BD164A" w:rsidP="009C6780">
      <w:pPr>
        <w:tabs>
          <w:tab w:val="left" w:pos="4917"/>
        </w:tabs>
        <w:spacing w:before="120" w:after="120" w:line="360" w:lineRule="auto"/>
        <w:rPr>
          <w:rFonts w:ascii="Arial" w:hAnsi="Arial" w:cs="Arial"/>
          <w:sz w:val="24"/>
          <w:szCs w:val="24"/>
        </w:rPr>
      </w:pPr>
      <w:r w:rsidRPr="00706AF1">
        <w:rPr>
          <w:rFonts w:ascii="Arial" w:hAnsi="Arial" w:cs="Arial"/>
          <w:sz w:val="24"/>
          <w:szCs w:val="24"/>
        </w:rPr>
        <w:t>and</w:t>
      </w:r>
    </w:p>
    <w:p w14:paraId="5ED81CF3" w14:textId="31B53342" w:rsidR="00BD164A" w:rsidRPr="00706AF1" w:rsidRDefault="00081A4B" w:rsidP="002B6500">
      <w:pPr>
        <w:tabs>
          <w:tab w:val="left" w:pos="4917"/>
        </w:tabs>
        <w:spacing w:before="120" w:after="0" w:line="240" w:lineRule="auto"/>
        <w:rPr>
          <w:rFonts w:ascii="Arial" w:hAnsi="Arial" w:cs="Arial"/>
          <w:sz w:val="24"/>
          <w:szCs w:val="24"/>
        </w:rPr>
      </w:pPr>
      <w:r w:rsidRPr="00706AF1">
        <w:rPr>
          <w:rFonts w:ascii="Arial" w:hAnsi="Arial" w:cs="Arial"/>
          <w:sz w:val="24"/>
          <w:szCs w:val="24"/>
        </w:rPr>
        <w:t>BRAMLOU PROJECTS SOLUTIONS (PTY) LTD</w:t>
      </w:r>
      <w:r w:rsidRPr="00706AF1">
        <w:rPr>
          <w:rFonts w:ascii="Arial" w:hAnsi="Arial" w:cs="Arial"/>
          <w:sz w:val="24"/>
          <w:szCs w:val="24"/>
        </w:rPr>
        <w:tab/>
        <w:t xml:space="preserve">FIRST </w:t>
      </w:r>
      <w:r w:rsidR="0057492E" w:rsidRPr="00706AF1">
        <w:rPr>
          <w:rFonts w:ascii="Arial" w:hAnsi="Arial" w:cs="Arial"/>
          <w:sz w:val="24"/>
          <w:szCs w:val="24"/>
        </w:rPr>
        <w:t>RESPONDENT</w:t>
      </w:r>
    </w:p>
    <w:p w14:paraId="2D299A72" w14:textId="130712ED" w:rsidR="00081A4B" w:rsidRPr="00706AF1" w:rsidRDefault="00081A4B" w:rsidP="002B6500">
      <w:pPr>
        <w:tabs>
          <w:tab w:val="left" w:pos="4917"/>
        </w:tabs>
        <w:spacing w:before="120" w:after="0" w:line="240" w:lineRule="auto"/>
        <w:rPr>
          <w:rFonts w:ascii="Arial" w:hAnsi="Arial" w:cs="Arial"/>
          <w:sz w:val="24"/>
          <w:szCs w:val="24"/>
        </w:rPr>
      </w:pPr>
      <w:r w:rsidRPr="00706AF1">
        <w:rPr>
          <w:rFonts w:ascii="Arial" w:hAnsi="Arial" w:cs="Arial"/>
          <w:sz w:val="24"/>
          <w:szCs w:val="24"/>
        </w:rPr>
        <w:t>WILLEM JOHANNES HENDRIK COETZEE</w:t>
      </w:r>
      <w:r w:rsidRPr="00706AF1">
        <w:rPr>
          <w:rFonts w:ascii="Arial" w:hAnsi="Arial" w:cs="Arial"/>
          <w:sz w:val="24"/>
          <w:szCs w:val="24"/>
        </w:rPr>
        <w:tab/>
      </w:r>
      <w:r w:rsidRPr="00706AF1">
        <w:rPr>
          <w:rFonts w:ascii="Arial" w:hAnsi="Arial" w:cs="Arial"/>
          <w:sz w:val="24"/>
          <w:szCs w:val="24"/>
        </w:rPr>
        <w:tab/>
      </w:r>
      <w:r w:rsidRPr="00706AF1">
        <w:rPr>
          <w:rFonts w:ascii="Arial" w:hAnsi="Arial" w:cs="Arial"/>
          <w:sz w:val="24"/>
          <w:szCs w:val="24"/>
        </w:rPr>
        <w:tab/>
        <w:t>SECOND RESPONDENT</w:t>
      </w:r>
    </w:p>
    <w:p w14:paraId="2FB0C331" w14:textId="2F9DE6CD" w:rsidR="00BB4887" w:rsidRPr="00706AF1" w:rsidRDefault="00CC1BD5" w:rsidP="009C6780">
      <w:pPr>
        <w:tabs>
          <w:tab w:val="left" w:pos="4917"/>
        </w:tabs>
        <w:spacing w:before="120" w:after="120" w:line="360" w:lineRule="auto"/>
        <w:rPr>
          <w:rFonts w:ascii="Arial" w:hAnsi="Arial" w:cs="Arial"/>
          <w:sz w:val="24"/>
          <w:szCs w:val="24"/>
        </w:rPr>
      </w:pPr>
      <w:r w:rsidRPr="00706AF1">
        <w:rPr>
          <w:rFonts w:ascii="Arial" w:hAnsi="Arial" w:cs="Arial"/>
          <w:sz w:val="24"/>
          <w:szCs w:val="24"/>
        </w:rPr>
        <w:t xml:space="preserve"> </w:t>
      </w:r>
    </w:p>
    <w:p w14:paraId="163B4780" w14:textId="34E7D4FF" w:rsidR="004F10C9" w:rsidRPr="00706AF1"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706AF1">
        <w:rPr>
          <w:rFonts w:ascii="Arial" w:hAnsi="Arial" w:cs="Arial"/>
          <w:sz w:val="24"/>
          <w:szCs w:val="24"/>
        </w:rPr>
        <w:t>JUDGMENT</w:t>
      </w:r>
    </w:p>
    <w:p w14:paraId="0D3F50F0" w14:textId="03B0F0BB" w:rsidR="00537115" w:rsidRPr="00706AF1" w:rsidRDefault="00D852E9" w:rsidP="00D852E9">
      <w:pPr>
        <w:pStyle w:val="ListParagraph"/>
        <w:tabs>
          <w:tab w:val="left" w:pos="4917"/>
        </w:tabs>
        <w:spacing w:before="120" w:after="120" w:line="360" w:lineRule="auto"/>
        <w:ind w:left="0"/>
        <w:jc w:val="both"/>
        <w:rPr>
          <w:rFonts w:ascii="Arial" w:hAnsi="Arial" w:cs="Arial"/>
          <w:sz w:val="24"/>
          <w:szCs w:val="24"/>
        </w:rPr>
      </w:pPr>
      <w:r w:rsidRPr="00706AF1">
        <w:rPr>
          <w:rFonts w:ascii="Arial" w:hAnsi="Arial" w:cs="Arial"/>
          <w:sz w:val="24"/>
          <w:szCs w:val="24"/>
        </w:rPr>
        <w:t>Van der Schyff J</w:t>
      </w:r>
      <w:r w:rsidR="00EA4756" w:rsidRPr="00706AF1">
        <w:rPr>
          <w:rFonts w:ascii="Arial" w:hAnsi="Arial" w:cs="Arial"/>
          <w:sz w:val="24"/>
          <w:szCs w:val="24"/>
        </w:rPr>
        <w:t xml:space="preserve"> </w:t>
      </w:r>
    </w:p>
    <w:p w14:paraId="360FE3CA" w14:textId="0A804D77" w:rsidR="004D2EE0" w:rsidRPr="00706AF1" w:rsidRDefault="004D2EE0" w:rsidP="00D852E9">
      <w:pPr>
        <w:pStyle w:val="ListParagraph"/>
        <w:tabs>
          <w:tab w:val="left" w:pos="4917"/>
        </w:tabs>
        <w:spacing w:before="120" w:after="120" w:line="360" w:lineRule="auto"/>
        <w:ind w:left="0"/>
        <w:jc w:val="both"/>
        <w:rPr>
          <w:rFonts w:ascii="Arial" w:hAnsi="Arial" w:cs="Arial"/>
          <w:sz w:val="24"/>
          <w:szCs w:val="24"/>
        </w:rPr>
      </w:pPr>
    </w:p>
    <w:p w14:paraId="34DF65F1" w14:textId="72F12A0A" w:rsidR="00AF2092" w:rsidRPr="00706AF1" w:rsidRDefault="00081A4B" w:rsidP="00D852E9">
      <w:pPr>
        <w:pStyle w:val="ListParagraph"/>
        <w:tabs>
          <w:tab w:val="left" w:pos="4917"/>
        </w:tabs>
        <w:spacing w:before="120" w:after="120" w:line="360" w:lineRule="auto"/>
        <w:ind w:left="0"/>
        <w:jc w:val="both"/>
        <w:rPr>
          <w:rFonts w:ascii="Arial" w:hAnsi="Arial" w:cs="Arial"/>
          <w:b/>
          <w:bCs/>
          <w:sz w:val="24"/>
          <w:szCs w:val="24"/>
        </w:rPr>
      </w:pPr>
      <w:r w:rsidRPr="00706AF1">
        <w:rPr>
          <w:rFonts w:ascii="Arial" w:hAnsi="Arial" w:cs="Arial"/>
          <w:b/>
          <w:bCs/>
          <w:sz w:val="24"/>
          <w:szCs w:val="24"/>
        </w:rPr>
        <w:t>Introduction</w:t>
      </w:r>
    </w:p>
    <w:p w14:paraId="3423490B" w14:textId="77777777" w:rsidR="00AF2092" w:rsidRPr="00706AF1" w:rsidRDefault="00AF2092" w:rsidP="00D852E9">
      <w:pPr>
        <w:pStyle w:val="ListParagraph"/>
        <w:tabs>
          <w:tab w:val="left" w:pos="4917"/>
        </w:tabs>
        <w:spacing w:before="120" w:after="120" w:line="360" w:lineRule="auto"/>
        <w:ind w:left="0"/>
        <w:jc w:val="both"/>
        <w:rPr>
          <w:rFonts w:ascii="Arial" w:hAnsi="Arial" w:cs="Arial"/>
          <w:b/>
          <w:bCs/>
          <w:sz w:val="24"/>
          <w:szCs w:val="24"/>
        </w:rPr>
      </w:pPr>
    </w:p>
    <w:p w14:paraId="577F6633" w14:textId="76A28208" w:rsidR="00CB18EE"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lastRenderedPageBreak/>
        <w:t>[1]</w:t>
      </w:r>
      <w:r w:rsidRPr="00706AF1">
        <w:rPr>
          <w:rFonts w:ascii="Arial" w:hAnsi="Arial" w:cs="Arial"/>
          <w:sz w:val="24"/>
          <w:szCs w:val="24"/>
          <w:lang w:val="en-US"/>
        </w:rPr>
        <w:tab/>
      </w:r>
      <w:r w:rsidR="00AF2092" w:rsidRPr="00322852">
        <w:rPr>
          <w:rFonts w:ascii="Arial" w:hAnsi="Arial" w:cs="Arial"/>
          <w:sz w:val="24"/>
          <w:szCs w:val="24"/>
          <w:lang w:val="en-US"/>
        </w:rPr>
        <w:t xml:space="preserve">This is an application for summary judgment. </w:t>
      </w:r>
      <w:r w:rsidR="00CB18EE" w:rsidRPr="00322852">
        <w:rPr>
          <w:rFonts w:ascii="Arial" w:hAnsi="Arial" w:cs="Arial"/>
          <w:sz w:val="24"/>
          <w:szCs w:val="24"/>
          <w:lang w:val="en-US"/>
        </w:rPr>
        <w:t>The parties are referred to as the plaintiffs and defendants.</w:t>
      </w:r>
    </w:p>
    <w:p w14:paraId="593F30AE" w14:textId="77777777" w:rsidR="00CB18EE" w:rsidRPr="00706AF1" w:rsidRDefault="00CB18EE" w:rsidP="00CB18EE">
      <w:pPr>
        <w:pStyle w:val="ListParagraph"/>
        <w:tabs>
          <w:tab w:val="left" w:pos="4917"/>
        </w:tabs>
        <w:spacing w:before="120" w:after="120" w:line="360" w:lineRule="auto"/>
        <w:jc w:val="both"/>
        <w:rPr>
          <w:rFonts w:ascii="Arial" w:hAnsi="Arial" w:cs="Arial"/>
          <w:sz w:val="24"/>
          <w:szCs w:val="24"/>
          <w:lang w:val="en-US"/>
        </w:rPr>
      </w:pPr>
    </w:p>
    <w:p w14:paraId="7C8C5534" w14:textId="5FE59333" w:rsidR="00A931CC"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[2]</w:t>
      </w:r>
      <w:r w:rsidRPr="00706AF1">
        <w:rPr>
          <w:rFonts w:ascii="Arial" w:hAnsi="Arial" w:cs="Arial"/>
          <w:sz w:val="24"/>
          <w:szCs w:val="24"/>
          <w:lang w:val="en-US"/>
        </w:rPr>
        <w:tab/>
      </w:r>
      <w:r w:rsidR="0050429B" w:rsidRPr="00322852">
        <w:rPr>
          <w:rFonts w:ascii="Arial" w:hAnsi="Arial" w:cs="Arial"/>
          <w:sz w:val="24"/>
          <w:szCs w:val="24"/>
          <w:lang w:val="en-US"/>
        </w:rPr>
        <w:t>The plaintiffs</w:t>
      </w:r>
      <w:r w:rsidR="000961C9" w:rsidRPr="00322852">
        <w:rPr>
          <w:rFonts w:ascii="Arial" w:hAnsi="Arial" w:cs="Arial"/>
          <w:sz w:val="24"/>
          <w:szCs w:val="24"/>
          <w:lang w:val="en-US"/>
        </w:rPr>
        <w:t>'</w:t>
      </w:r>
      <w:r w:rsidR="0050429B" w:rsidRPr="00322852">
        <w:rPr>
          <w:rFonts w:ascii="Arial" w:hAnsi="Arial" w:cs="Arial"/>
          <w:sz w:val="24"/>
          <w:szCs w:val="24"/>
          <w:lang w:val="en-US"/>
        </w:rPr>
        <w:t xml:space="preserve"> claim against the defendants is based on a standard lease agreement</w:t>
      </w:r>
      <w:r w:rsidR="00F526D5" w:rsidRPr="00322852">
        <w:rPr>
          <w:rFonts w:ascii="Arial" w:hAnsi="Arial" w:cs="Arial"/>
          <w:sz w:val="24"/>
          <w:szCs w:val="24"/>
          <w:lang w:val="en-US"/>
        </w:rPr>
        <w:t xml:space="preserve">. </w:t>
      </w:r>
      <w:r w:rsidR="00A30305" w:rsidRPr="00322852">
        <w:rPr>
          <w:rFonts w:ascii="Arial" w:hAnsi="Arial" w:cs="Arial"/>
          <w:sz w:val="24"/>
          <w:szCs w:val="24"/>
          <w:lang w:val="en-US"/>
        </w:rPr>
        <w:t xml:space="preserve">The </w:t>
      </w:r>
      <w:r w:rsidR="00CB18EE" w:rsidRPr="00322852">
        <w:rPr>
          <w:rFonts w:ascii="Arial" w:hAnsi="Arial" w:cs="Arial"/>
          <w:sz w:val="24"/>
          <w:szCs w:val="24"/>
          <w:lang w:val="en-US"/>
        </w:rPr>
        <w:t>defendant</w:t>
      </w:r>
      <w:r w:rsidR="00A30305" w:rsidRPr="00322852">
        <w:rPr>
          <w:rFonts w:ascii="Arial" w:hAnsi="Arial" w:cs="Arial"/>
          <w:sz w:val="24"/>
          <w:szCs w:val="24"/>
          <w:lang w:val="en-US"/>
        </w:rPr>
        <w:t>s</w:t>
      </w:r>
      <w:r w:rsidR="000961C9" w:rsidRPr="00322852">
        <w:rPr>
          <w:rFonts w:ascii="Arial" w:hAnsi="Arial" w:cs="Arial"/>
          <w:sz w:val="24"/>
          <w:szCs w:val="24"/>
          <w:lang w:val="en-US"/>
        </w:rPr>
        <w:t>'</w:t>
      </w:r>
      <w:r w:rsidR="00A30305" w:rsidRPr="00322852">
        <w:rPr>
          <w:rFonts w:ascii="Arial" w:hAnsi="Arial" w:cs="Arial"/>
          <w:sz w:val="24"/>
          <w:szCs w:val="24"/>
          <w:lang w:val="en-US"/>
        </w:rPr>
        <w:t xml:space="preserve"> affidavit</w:t>
      </w:r>
      <w:r w:rsidR="00EF6FBB" w:rsidRPr="00322852">
        <w:rPr>
          <w:rFonts w:ascii="Arial" w:hAnsi="Arial" w:cs="Arial"/>
          <w:sz w:val="24"/>
          <w:szCs w:val="24"/>
          <w:lang w:val="en-US"/>
        </w:rPr>
        <w:t xml:space="preserve"> resisting summary judgment was filed </w:t>
      </w:r>
      <w:r w:rsidR="00E32DD1" w:rsidRPr="00322852">
        <w:rPr>
          <w:rFonts w:ascii="Arial" w:hAnsi="Arial" w:cs="Arial"/>
          <w:sz w:val="24"/>
          <w:szCs w:val="24"/>
          <w:lang w:val="en-US"/>
        </w:rPr>
        <w:t xml:space="preserve">one day </w:t>
      </w:r>
      <w:r w:rsidR="00EF6FBB" w:rsidRPr="00322852">
        <w:rPr>
          <w:rFonts w:ascii="Arial" w:hAnsi="Arial" w:cs="Arial"/>
          <w:sz w:val="24"/>
          <w:szCs w:val="24"/>
          <w:lang w:val="en-US"/>
        </w:rPr>
        <w:t xml:space="preserve">late, and the second </w:t>
      </w:r>
      <w:r w:rsidR="00CB18EE" w:rsidRPr="00322852">
        <w:rPr>
          <w:rFonts w:ascii="Arial" w:hAnsi="Arial" w:cs="Arial"/>
          <w:sz w:val="24"/>
          <w:szCs w:val="24"/>
          <w:lang w:val="en-US"/>
        </w:rPr>
        <w:t>defendant</w:t>
      </w:r>
      <w:r w:rsidR="00EF6FBB" w:rsidRPr="00322852">
        <w:rPr>
          <w:rFonts w:ascii="Arial" w:hAnsi="Arial" w:cs="Arial"/>
          <w:sz w:val="24"/>
          <w:szCs w:val="24"/>
          <w:lang w:val="en-US"/>
        </w:rPr>
        <w:t xml:space="preserve"> seeks cond</w:t>
      </w:r>
      <w:r w:rsidR="00E32DD1" w:rsidRPr="00322852">
        <w:rPr>
          <w:rFonts w:ascii="Arial" w:hAnsi="Arial" w:cs="Arial"/>
          <w:sz w:val="24"/>
          <w:szCs w:val="24"/>
          <w:lang w:val="en-US"/>
        </w:rPr>
        <w:t>on</w:t>
      </w:r>
      <w:r w:rsidR="00EF6FBB" w:rsidRPr="00322852">
        <w:rPr>
          <w:rFonts w:ascii="Arial" w:hAnsi="Arial" w:cs="Arial"/>
          <w:sz w:val="24"/>
          <w:szCs w:val="24"/>
          <w:lang w:val="en-US"/>
        </w:rPr>
        <w:t>ation for this late filing.</w:t>
      </w:r>
      <w:r w:rsidR="00E32DD1" w:rsidRPr="00322852">
        <w:rPr>
          <w:rFonts w:ascii="Arial" w:hAnsi="Arial" w:cs="Arial"/>
          <w:sz w:val="24"/>
          <w:szCs w:val="24"/>
          <w:lang w:val="en-US"/>
        </w:rPr>
        <w:t xml:space="preserve"> The late filing stands to be condoned.</w:t>
      </w:r>
    </w:p>
    <w:p w14:paraId="142DF1BB" w14:textId="77777777" w:rsidR="00E32DD1" w:rsidRPr="00706AF1" w:rsidRDefault="00E32DD1" w:rsidP="00E32DD1">
      <w:pPr>
        <w:pStyle w:val="ListParagraph"/>
        <w:tabs>
          <w:tab w:val="left" w:pos="4917"/>
        </w:tabs>
        <w:spacing w:before="120" w:after="120" w:line="360" w:lineRule="auto"/>
        <w:jc w:val="both"/>
        <w:rPr>
          <w:rFonts w:ascii="Arial" w:hAnsi="Arial" w:cs="Arial"/>
          <w:sz w:val="24"/>
          <w:szCs w:val="24"/>
          <w:lang w:val="en-US"/>
        </w:rPr>
      </w:pPr>
    </w:p>
    <w:p w14:paraId="78ADFCEE" w14:textId="6F989667" w:rsidR="00E32DD1"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[3]</w:t>
      </w:r>
      <w:r w:rsidRPr="00706AF1">
        <w:rPr>
          <w:rFonts w:ascii="Arial" w:hAnsi="Arial" w:cs="Arial"/>
          <w:sz w:val="24"/>
          <w:szCs w:val="24"/>
          <w:lang w:val="en-US"/>
        </w:rPr>
        <w:tab/>
      </w:r>
      <w:r w:rsidR="00010850" w:rsidRPr="00322852">
        <w:rPr>
          <w:rFonts w:ascii="Arial" w:hAnsi="Arial" w:cs="Arial"/>
          <w:sz w:val="24"/>
          <w:szCs w:val="24"/>
          <w:lang w:val="en-US"/>
        </w:rPr>
        <w:t>Chesley Jonathan Moorcroft, a senior portfolio manager from Broll Property Group (Pty) Ltd, the plaintiffs' management agent, deposed the affidavit supporting the summary judgment application</w:t>
      </w:r>
      <w:r w:rsidR="00662BC2" w:rsidRPr="00322852">
        <w:rPr>
          <w:rFonts w:ascii="Arial" w:hAnsi="Arial" w:cs="Arial"/>
          <w:sz w:val="24"/>
          <w:szCs w:val="24"/>
          <w:lang w:val="en-US"/>
        </w:rPr>
        <w:t xml:space="preserve">. The plaintiffs submit that </w:t>
      </w:r>
      <w:r w:rsidR="00640788" w:rsidRPr="00322852">
        <w:rPr>
          <w:rFonts w:ascii="Arial" w:hAnsi="Arial" w:cs="Arial"/>
          <w:sz w:val="24"/>
          <w:szCs w:val="24"/>
          <w:lang w:val="en-US"/>
        </w:rPr>
        <w:t>Mr. Moorcr</w:t>
      </w:r>
      <w:r w:rsidR="00010850" w:rsidRPr="00322852">
        <w:rPr>
          <w:rFonts w:ascii="Arial" w:hAnsi="Arial" w:cs="Arial"/>
          <w:sz w:val="24"/>
          <w:szCs w:val="24"/>
          <w:lang w:val="en-US"/>
        </w:rPr>
        <w:t>o</w:t>
      </w:r>
      <w:r w:rsidR="00640788" w:rsidRPr="00322852">
        <w:rPr>
          <w:rFonts w:ascii="Arial" w:hAnsi="Arial" w:cs="Arial"/>
          <w:sz w:val="24"/>
          <w:szCs w:val="24"/>
          <w:lang w:val="en-US"/>
        </w:rPr>
        <w:t>ft</w:t>
      </w:r>
      <w:r w:rsidR="006E2AF5" w:rsidRPr="00322852">
        <w:rPr>
          <w:rFonts w:ascii="Arial" w:hAnsi="Arial" w:cs="Arial"/>
          <w:sz w:val="24"/>
          <w:szCs w:val="24"/>
          <w:lang w:val="en-US"/>
        </w:rPr>
        <w:t xml:space="preserve">, by virtue </w:t>
      </w:r>
      <w:r w:rsidR="00D96295" w:rsidRPr="00322852">
        <w:rPr>
          <w:rFonts w:ascii="Arial" w:hAnsi="Arial" w:cs="Arial"/>
          <w:sz w:val="24"/>
          <w:szCs w:val="24"/>
          <w:lang w:val="en-US"/>
        </w:rPr>
        <w:t>of</w:t>
      </w:r>
      <w:r w:rsidR="006E2AF5" w:rsidRPr="00322852">
        <w:rPr>
          <w:rFonts w:ascii="Arial" w:hAnsi="Arial" w:cs="Arial"/>
          <w:sz w:val="24"/>
          <w:szCs w:val="24"/>
          <w:lang w:val="en-US"/>
        </w:rPr>
        <w:t xml:space="preserve"> being the senior </w:t>
      </w:r>
      <w:r w:rsidR="00435FF8" w:rsidRPr="00322852">
        <w:rPr>
          <w:rFonts w:ascii="Arial" w:hAnsi="Arial" w:cs="Arial"/>
          <w:sz w:val="24"/>
          <w:szCs w:val="24"/>
          <w:lang w:val="en-US"/>
        </w:rPr>
        <w:t xml:space="preserve">portfolio manager of the Broll Property Group, has the </w:t>
      </w:r>
      <w:r w:rsidR="00B377C9" w:rsidRPr="00322852">
        <w:rPr>
          <w:rFonts w:ascii="Arial" w:hAnsi="Arial" w:cs="Arial"/>
          <w:sz w:val="24"/>
          <w:szCs w:val="24"/>
          <w:lang w:val="en-US"/>
        </w:rPr>
        <w:t>necessary personal knowledge</w:t>
      </w:r>
      <w:r w:rsidR="00435FF8" w:rsidRPr="00322852">
        <w:rPr>
          <w:rFonts w:ascii="Arial" w:hAnsi="Arial" w:cs="Arial"/>
          <w:sz w:val="24"/>
          <w:szCs w:val="24"/>
          <w:lang w:val="en-US"/>
        </w:rPr>
        <w:t xml:space="preserve">, </w:t>
      </w:r>
      <w:r w:rsidR="00E87DCF" w:rsidRPr="00322852">
        <w:rPr>
          <w:rFonts w:ascii="Arial" w:hAnsi="Arial" w:cs="Arial"/>
          <w:sz w:val="24"/>
          <w:szCs w:val="24"/>
          <w:lang w:val="en-US"/>
        </w:rPr>
        <w:t>after having regard to the records and the facts</w:t>
      </w:r>
      <w:r w:rsidR="00435FF8" w:rsidRPr="00322852">
        <w:rPr>
          <w:rFonts w:ascii="Arial" w:hAnsi="Arial" w:cs="Arial"/>
          <w:sz w:val="24"/>
          <w:szCs w:val="24"/>
          <w:lang w:val="en-US"/>
        </w:rPr>
        <w:t>,</w:t>
      </w:r>
      <w:r w:rsidR="00B377C9" w:rsidRPr="00322852">
        <w:rPr>
          <w:rFonts w:ascii="Arial" w:hAnsi="Arial" w:cs="Arial"/>
          <w:sz w:val="24"/>
          <w:szCs w:val="24"/>
          <w:lang w:val="en-US"/>
        </w:rPr>
        <w:t xml:space="preserve"> to confirm the causes of action and the amounts</w:t>
      </w:r>
      <w:r w:rsidR="004575BE" w:rsidRPr="00322852">
        <w:rPr>
          <w:rFonts w:ascii="Arial" w:hAnsi="Arial" w:cs="Arial"/>
          <w:sz w:val="24"/>
          <w:szCs w:val="24"/>
          <w:lang w:val="en-US"/>
        </w:rPr>
        <w:t xml:space="preserve"> s</w:t>
      </w:r>
      <w:r w:rsidR="00C47CC8" w:rsidRPr="00322852">
        <w:rPr>
          <w:rFonts w:ascii="Arial" w:hAnsi="Arial" w:cs="Arial"/>
          <w:sz w:val="24"/>
          <w:szCs w:val="24"/>
          <w:lang w:val="en-US"/>
        </w:rPr>
        <w:t>e</w:t>
      </w:r>
      <w:r w:rsidR="004575BE" w:rsidRPr="00322852">
        <w:rPr>
          <w:rFonts w:ascii="Arial" w:hAnsi="Arial" w:cs="Arial"/>
          <w:sz w:val="24"/>
          <w:szCs w:val="24"/>
          <w:lang w:val="en-US"/>
        </w:rPr>
        <w:t>t out in the summons with the particulars of claim</w:t>
      </w:r>
      <w:r w:rsidR="00E61A7F" w:rsidRPr="00322852">
        <w:rPr>
          <w:rFonts w:ascii="Arial" w:hAnsi="Arial" w:cs="Arial"/>
          <w:sz w:val="24"/>
          <w:szCs w:val="24"/>
          <w:lang w:val="en-US"/>
        </w:rPr>
        <w:t>.</w:t>
      </w:r>
      <w:r w:rsidR="00461C05" w:rsidRPr="00322852">
        <w:rPr>
          <w:rFonts w:ascii="Arial" w:hAnsi="Arial" w:cs="Arial"/>
          <w:sz w:val="24"/>
          <w:szCs w:val="24"/>
          <w:lang w:val="en-US"/>
        </w:rPr>
        <w:t xml:space="preserve"> Counsel referred to </w:t>
      </w:r>
      <w:r w:rsidR="00760291" w:rsidRPr="00322852">
        <w:rPr>
          <w:rFonts w:ascii="Arial" w:hAnsi="Arial" w:cs="Arial"/>
          <w:i/>
          <w:iCs/>
          <w:sz w:val="24"/>
          <w:szCs w:val="24"/>
          <w:lang w:val="en-US"/>
        </w:rPr>
        <w:t>R</w:t>
      </w:r>
      <w:r w:rsidR="00461C05" w:rsidRPr="00322852">
        <w:rPr>
          <w:rFonts w:ascii="Arial" w:hAnsi="Arial" w:cs="Arial"/>
          <w:i/>
          <w:iCs/>
          <w:sz w:val="24"/>
          <w:szCs w:val="24"/>
          <w:lang w:val="en-US"/>
        </w:rPr>
        <w:t>ees</w:t>
      </w:r>
      <w:r w:rsidR="00760291" w:rsidRPr="00322852">
        <w:rPr>
          <w:rFonts w:ascii="Arial" w:hAnsi="Arial" w:cs="Arial"/>
          <w:i/>
          <w:iCs/>
          <w:sz w:val="24"/>
          <w:szCs w:val="24"/>
          <w:lang w:val="en-US"/>
        </w:rPr>
        <w:t xml:space="preserve"> and Another v Investec Bank Ltd</w:t>
      </w:r>
      <w:r w:rsidR="00615C49" w:rsidRPr="00322852">
        <w:rPr>
          <w:rFonts w:ascii="Arial" w:hAnsi="Arial" w:cs="Arial"/>
          <w:i/>
          <w:iCs/>
          <w:sz w:val="24"/>
          <w:szCs w:val="24"/>
          <w:lang w:val="en-US"/>
        </w:rPr>
        <w:t>,</w:t>
      </w:r>
      <w:r w:rsidR="00760291" w:rsidRPr="00706AF1">
        <w:rPr>
          <w:rStyle w:val="FootnoteReference"/>
          <w:rFonts w:ascii="Arial" w:hAnsi="Arial" w:cs="Arial"/>
          <w:i/>
          <w:iCs/>
          <w:sz w:val="24"/>
          <w:szCs w:val="24"/>
          <w:lang w:val="en-US"/>
        </w:rPr>
        <w:footnoteReference w:id="1"/>
      </w:r>
      <w:r w:rsidR="00615C49" w:rsidRPr="00322852">
        <w:rPr>
          <w:rFonts w:ascii="Arial" w:hAnsi="Arial" w:cs="Arial"/>
          <w:i/>
          <w:iCs/>
          <w:sz w:val="24"/>
          <w:szCs w:val="24"/>
          <w:lang w:val="en-US"/>
        </w:rPr>
        <w:t xml:space="preserve"> </w:t>
      </w:r>
      <w:r w:rsidR="00615C49" w:rsidRPr="00322852">
        <w:rPr>
          <w:rFonts w:ascii="Arial" w:hAnsi="Arial" w:cs="Arial"/>
          <w:sz w:val="24"/>
          <w:szCs w:val="24"/>
          <w:lang w:val="en-US"/>
        </w:rPr>
        <w:t>where the Supreme Court of Appeal held that</w:t>
      </w:r>
      <w:r w:rsidR="007C7392" w:rsidRPr="00322852">
        <w:rPr>
          <w:rFonts w:ascii="Arial" w:hAnsi="Arial" w:cs="Arial"/>
          <w:sz w:val="24"/>
          <w:szCs w:val="24"/>
          <w:lang w:val="en-US"/>
        </w:rPr>
        <w:t xml:space="preserve"> where an applicant for summary judgment is a </w:t>
      </w:r>
      <w:r w:rsidR="001768A0" w:rsidRPr="00322852">
        <w:rPr>
          <w:rFonts w:ascii="Arial" w:hAnsi="Arial" w:cs="Arial"/>
          <w:sz w:val="24"/>
          <w:szCs w:val="24"/>
          <w:lang w:val="en-US"/>
        </w:rPr>
        <w:t>corporation,</w:t>
      </w:r>
      <w:r w:rsidR="007C7392" w:rsidRPr="00322852">
        <w:rPr>
          <w:rFonts w:ascii="Arial" w:hAnsi="Arial" w:cs="Arial"/>
          <w:sz w:val="24"/>
          <w:szCs w:val="24"/>
          <w:lang w:val="en-US"/>
        </w:rPr>
        <w:t xml:space="preserve"> the deponent to its affidavit need not have first</w:t>
      </w:r>
      <w:r w:rsidR="001768A0" w:rsidRPr="00322852">
        <w:rPr>
          <w:rFonts w:ascii="Arial" w:hAnsi="Arial" w:cs="Arial"/>
          <w:sz w:val="24"/>
          <w:szCs w:val="24"/>
          <w:lang w:val="en-US"/>
        </w:rPr>
        <w:t>-</w:t>
      </w:r>
      <w:r w:rsidR="007C7392" w:rsidRPr="00322852">
        <w:rPr>
          <w:rFonts w:ascii="Arial" w:hAnsi="Arial" w:cs="Arial"/>
          <w:sz w:val="24"/>
          <w:szCs w:val="24"/>
          <w:lang w:val="en-US"/>
        </w:rPr>
        <w:t>hand knowledge of every fact comprising its c</w:t>
      </w:r>
      <w:r w:rsidR="001768A0" w:rsidRPr="00322852">
        <w:rPr>
          <w:rFonts w:ascii="Arial" w:hAnsi="Arial" w:cs="Arial"/>
          <w:sz w:val="24"/>
          <w:szCs w:val="24"/>
          <w:lang w:val="en-US"/>
        </w:rPr>
        <w:t>au</w:t>
      </w:r>
      <w:r w:rsidR="007C7392" w:rsidRPr="00322852">
        <w:rPr>
          <w:rFonts w:ascii="Arial" w:hAnsi="Arial" w:cs="Arial"/>
          <w:sz w:val="24"/>
          <w:szCs w:val="24"/>
          <w:lang w:val="en-US"/>
        </w:rPr>
        <w:t>se of action.</w:t>
      </w:r>
      <w:r w:rsidR="003B0B5C" w:rsidRPr="00322852">
        <w:rPr>
          <w:rFonts w:ascii="Arial" w:hAnsi="Arial" w:cs="Arial"/>
          <w:sz w:val="24"/>
          <w:szCs w:val="24"/>
          <w:lang w:val="en-US"/>
        </w:rPr>
        <w:t xml:space="preserve"> The de</w:t>
      </w:r>
      <w:r w:rsidR="001768A0" w:rsidRPr="00322852">
        <w:rPr>
          <w:rFonts w:ascii="Arial" w:hAnsi="Arial" w:cs="Arial"/>
          <w:sz w:val="24"/>
          <w:szCs w:val="24"/>
          <w:lang w:val="en-US"/>
        </w:rPr>
        <w:t>ponent</w:t>
      </w:r>
      <w:r w:rsidR="003B0B5C" w:rsidRPr="00322852">
        <w:rPr>
          <w:rFonts w:ascii="Arial" w:hAnsi="Arial" w:cs="Arial"/>
          <w:sz w:val="24"/>
          <w:szCs w:val="24"/>
          <w:lang w:val="en-US"/>
        </w:rPr>
        <w:t xml:space="preserve"> can rely</w:t>
      </w:r>
      <w:r w:rsidR="001768A0" w:rsidRPr="00322852">
        <w:rPr>
          <w:rFonts w:ascii="Arial" w:hAnsi="Arial" w:cs="Arial"/>
          <w:sz w:val="24"/>
          <w:szCs w:val="24"/>
          <w:lang w:val="en-US"/>
        </w:rPr>
        <w:t>,</w:t>
      </w:r>
      <w:r w:rsidR="003B0B5C" w:rsidRPr="00322852">
        <w:rPr>
          <w:rFonts w:ascii="Arial" w:hAnsi="Arial" w:cs="Arial"/>
          <w:sz w:val="24"/>
          <w:szCs w:val="24"/>
          <w:lang w:val="en-US"/>
        </w:rPr>
        <w:t xml:space="preserve"> </w:t>
      </w:r>
      <w:r w:rsidR="001768A0" w:rsidRPr="00322852">
        <w:rPr>
          <w:rFonts w:ascii="Arial" w:hAnsi="Arial" w:cs="Arial"/>
          <w:sz w:val="24"/>
          <w:szCs w:val="24"/>
          <w:lang w:val="en-US"/>
        </w:rPr>
        <w:t>for</w:t>
      </w:r>
      <w:r w:rsidR="003B0B5C" w:rsidRPr="00322852">
        <w:rPr>
          <w:rFonts w:ascii="Arial" w:hAnsi="Arial" w:cs="Arial"/>
          <w:sz w:val="24"/>
          <w:szCs w:val="24"/>
          <w:lang w:val="en-US"/>
        </w:rPr>
        <w:t xml:space="preserve"> its knowledge</w:t>
      </w:r>
      <w:r w:rsidR="001768A0" w:rsidRPr="00322852">
        <w:rPr>
          <w:rFonts w:ascii="Arial" w:hAnsi="Arial" w:cs="Arial"/>
          <w:sz w:val="24"/>
          <w:szCs w:val="24"/>
          <w:lang w:val="en-US"/>
        </w:rPr>
        <w:t>,</w:t>
      </w:r>
      <w:r w:rsidR="003B0B5C" w:rsidRPr="00322852">
        <w:rPr>
          <w:rFonts w:ascii="Arial" w:hAnsi="Arial" w:cs="Arial"/>
          <w:sz w:val="24"/>
          <w:szCs w:val="24"/>
          <w:lang w:val="en-US"/>
        </w:rPr>
        <w:t xml:space="preserve"> on documents in the corporation</w:t>
      </w:r>
      <w:r w:rsidR="000961C9" w:rsidRPr="00322852">
        <w:rPr>
          <w:rFonts w:ascii="Arial" w:hAnsi="Arial" w:cs="Arial"/>
          <w:sz w:val="24"/>
          <w:szCs w:val="24"/>
          <w:lang w:val="en-US"/>
        </w:rPr>
        <w:t>'</w:t>
      </w:r>
      <w:r w:rsidR="003B0B5C" w:rsidRPr="00322852">
        <w:rPr>
          <w:rFonts w:ascii="Arial" w:hAnsi="Arial" w:cs="Arial"/>
          <w:sz w:val="24"/>
          <w:szCs w:val="24"/>
          <w:lang w:val="en-US"/>
        </w:rPr>
        <w:t>s possession.</w:t>
      </w:r>
    </w:p>
    <w:p w14:paraId="75430609" w14:textId="3B9D1978" w:rsidR="00A931CC" w:rsidRPr="00706AF1"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11D9CCBC" w14:textId="2086FB46" w:rsidR="00A931CC"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[4]</w:t>
      </w:r>
      <w:r w:rsidRPr="00706AF1">
        <w:rPr>
          <w:rFonts w:ascii="Arial" w:hAnsi="Arial" w:cs="Arial"/>
          <w:sz w:val="24"/>
          <w:szCs w:val="24"/>
          <w:lang w:val="en-US"/>
        </w:rPr>
        <w:tab/>
      </w:r>
      <w:r w:rsidR="003014DF" w:rsidRPr="00322852">
        <w:rPr>
          <w:rFonts w:ascii="Arial" w:hAnsi="Arial" w:cs="Arial"/>
          <w:i/>
          <w:iCs/>
          <w:sz w:val="24"/>
          <w:szCs w:val="24"/>
          <w:lang w:val="en-US"/>
        </w:rPr>
        <w:t>In casu</w:t>
      </w:r>
      <w:r w:rsidR="003014DF" w:rsidRPr="00322852">
        <w:rPr>
          <w:rFonts w:ascii="Arial" w:hAnsi="Arial" w:cs="Arial"/>
          <w:sz w:val="24"/>
          <w:szCs w:val="24"/>
          <w:lang w:val="en-US"/>
        </w:rPr>
        <w:t>, the deponent states that</w:t>
      </w:r>
      <w:r w:rsidR="006B7CF7" w:rsidRPr="00322852">
        <w:rPr>
          <w:rFonts w:ascii="Arial" w:hAnsi="Arial" w:cs="Arial"/>
          <w:sz w:val="24"/>
          <w:szCs w:val="24"/>
          <w:lang w:val="en-US"/>
        </w:rPr>
        <w:t xml:space="preserve"> </w:t>
      </w:r>
      <w:r w:rsidR="000F2CED" w:rsidRPr="00322852">
        <w:rPr>
          <w:rFonts w:ascii="Arial" w:hAnsi="Arial" w:cs="Arial"/>
          <w:sz w:val="24"/>
          <w:szCs w:val="24"/>
          <w:lang w:val="en-US"/>
        </w:rPr>
        <w:t xml:space="preserve">he has read the lease agreement and the accounting records and </w:t>
      </w:r>
      <w:r w:rsidR="00D96295" w:rsidRPr="00322852">
        <w:rPr>
          <w:rFonts w:ascii="Arial" w:hAnsi="Arial" w:cs="Arial"/>
          <w:sz w:val="24"/>
          <w:szCs w:val="24"/>
          <w:lang w:val="en-US"/>
        </w:rPr>
        <w:t>has</w:t>
      </w:r>
      <w:r w:rsidR="000F2CED" w:rsidRPr="00322852">
        <w:rPr>
          <w:rFonts w:ascii="Arial" w:hAnsi="Arial" w:cs="Arial"/>
          <w:sz w:val="24"/>
          <w:szCs w:val="24"/>
          <w:lang w:val="en-US"/>
        </w:rPr>
        <w:t xml:space="preserve"> personal knowledge of the defendants</w:t>
      </w:r>
      <w:r w:rsidR="000961C9" w:rsidRPr="00322852">
        <w:rPr>
          <w:rFonts w:ascii="Arial" w:hAnsi="Arial" w:cs="Arial"/>
          <w:sz w:val="24"/>
          <w:szCs w:val="24"/>
          <w:lang w:val="en-US"/>
        </w:rPr>
        <w:t>'</w:t>
      </w:r>
      <w:r w:rsidR="000F2CED" w:rsidRPr="00322852">
        <w:rPr>
          <w:rFonts w:ascii="Arial" w:hAnsi="Arial" w:cs="Arial"/>
          <w:sz w:val="24"/>
          <w:szCs w:val="24"/>
          <w:lang w:val="en-US"/>
        </w:rPr>
        <w:t xml:space="preserve"> billing accounts</w:t>
      </w:r>
      <w:r w:rsidR="000F7DD5" w:rsidRPr="00322852">
        <w:rPr>
          <w:rFonts w:ascii="Arial" w:hAnsi="Arial" w:cs="Arial"/>
          <w:sz w:val="24"/>
          <w:szCs w:val="24"/>
          <w:lang w:val="en-US"/>
        </w:rPr>
        <w:t xml:space="preserve">, as well as how the management of the property, </w:t>
      </w:r>
      <w:r w:rsidR="008D3E95" w:rsidRPr="00322852">
        <w:rPr>
          <w:rFonts w:ascii="Arial" w:hAnsi="Arial" w:cs="Arial"/>
          <w:sz w:val="24"/>
          <w:szCs w:val="24"/>
          <w:lang w:val="en-US"/>
        </w:rPr>
        <w:t>conclusion of the lease agreements</w:t>
      </w:r>
      <w:r w:rsidR="00D96295" w:rsidRPr="00322852">
        <w:rPr>
          <w:rFonts w:ascii="Arial" w:hAnsi="Arial" w:cs="Arial"/>
          <w:sz w:val="24"/>
          <w:szCs w:val="24"/>
          <w:lang w:val="en-US"/>
        </w:rPr>
        <w:t>,</w:t>
      </w:r>
      <w:r w:rsidR="008D3E95" w:rsidRPr="00322852">
        <w:rPr>
          <w:rFonts w:ascii="Arial" w:hAnsi="Arial" w:cs="Arial"/>
          <w:sz w:val="24"/>
          <w:szCs w:val="24"/>
          <w:lang w:val="en-US"/>
        </w:rPr>
        <w:t xml:space="preserve"> and billing of the plaintiff</w:t>
      </w:r>
      <w:r w:rsidR="000961C9" w:rsidRPr="00322852">
        <w:rPr>
          <w:rFonts w:ascii="Arial" w:hAnsi="Arial" w:cs="Arial"/>
          <w:sz w:val="24"/>
          <w:szCs w:val="24"/>
          <w:lang w:val="en-US"/>
        </w:rPr>
        <w:t>'</w:t>
      </w:r>
      <w:r w:rsidR="008D3E95" w:rsidRPr="00322852">
        <w:rPr>
          <w:rFonts w:ascii="Arial" w:hAnsi="Arial" w:cs="Arial"/>
          <w:sz w:val="24"/>
          <w:szCs w:val="24"/>
          <w:lang w:val="en-US"/>
        </w:rPr>
        <w:t>s tenants are executed.</w:t>
      </w:r>
    </w:p>
    <w:p w14:paraId="6BF6BBD3" w14:textId="14E6D77B" w:rsidR="00A931CC" w:rsidRPr="00706AF1"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50E84478" w14:textId="4F1CFB0B" w:rsidR="00A931CC"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[5]</w:t>
      </w:r>
      <w:r w:rsidRPr="00706AF1">
        <w:rPr>
          <w:rFonts w:ascii="Arial" w:hAnsi="Arial" w:cs="Arial"/>
          <w:sz w:val="24"/>
          <w:szCs w:val="24"/>
          <w:lang w:val="en-US"/>
        </w:rPr>
        <w:tab/>
      </w:r>
      <w:r w:rsidR="00451EDC" w:rsidRPr="00322852">
        <w:rPr>
          <w:rFonts w:ascii="Arial" w:hAnsi="Arial" w:cs="Arial"/>
          <w:sz w:val="24"/>
          <w:szCs w:val="24"/>
          <w:lang w:val="en-US"/>
        </w:rPr>
        <w:t>The plaintiff</w:t>
      </w:r>
      <w:r w:rsidR="00D96295" w:rsidRPr="00322852">
        <w:rPr>
          <w:rFonts w:ascii="Arial" w:hAnsi="Arial" w:cs="Arial"/>
          <w:sz w:val="24"/>
          <w:szCs w:val="24"/>
          <w:lang w:val="en-US"/>
        </w:rPr>
        <w:t>s</w:t>
      </w:r>
      <w:r w:rsidR="00451EDC" w:rsidRPr="00322852">
        <w:rPr>
          <w:rFonts w:ascii="Arial" w:hAnsi="Arial" w:cs="Arial"/>
          <w:sz w:val="24"/>
          <w:szCs w:val="24"/>
          <w:lang w:val="en-US"/>
        </w:rPr>
        <w:t xml:space="preserve"> state that </w:t>
      </w:r>
      <w:r w:rsidR="00F55892" w:rsidRPr="00322852">
        <w:rPr>
          <w:rFonts w:ascii="Arial" w:hAnsi="Arial" w:cs="Arial"/>
          <w:sz w:val="24"/>
          <w:szCs w:val="24"/>
          <w:lang w:val="en-US"/>
        </w:rPr>
        <w:t>a written</w:t>
      </w:r>
      <w:r w:rsidR="00451EDC" w:rsidRPr="00322852">
        <w:rPr>
          <w:rFonts w:ascii="Arial" w:hAnsi="Arial" w:cs="Arial"/>
          <w:sz w:val="24"/>
          <w:szCs w:val="24"/>
          <w:lang w:val="en-US"/>
        </w:rPr>
        <w:t xml:space="preserve"> lease agreement </w:t>
      </w:r>
      <w:r w:rsidR="00D96295" w:rsidRPr="00322852">
        <w:rPr>
          <w:rFonts w:ascii="Arial" w:hAnsi="Arial" w:cs="Arial"/>
          <w:sz w:val="24"/>
          <w:szCs w:val="24"/>
          <w:lang w:val="en-US"/>
        </w:rPr>
        <w:t xml:space="preserve">was concluded </w:t>
      </w:r>
      <w:r w:rsidR="00451EDC" w:rsidRPr="00322852">
        <w:rPr>
          <w:rFonts w:ascii="Arial" w:hAnsi="Arial" w:cs="Arial"/>
          <w:sz w:val="24"/>
          <w:szCs w:val="24"/>
          <w:lang w:val="en-US"/>
        </w:rPr>
        <w:t xml:space="preserve">with the first defendant, duly represented by the </w:t>
      </w:r>
      <w:r w:rsidR="00810F08" w:rsidRPr="00322852">
        <w:rPr>
          <w:rFonts w:ascii="Arial" w:hAnsi="Arial" w:cs="Arial"/>
          <w:sz w:val="24"/>
          <w:szCs w:val="24"/>
          <w:lang w:val="en-US"/>
        </w:rPr>
        <w:t>secon</w:t>
      </w:r>
      <w:r w:rsidR="00451EDC" w:rsidRPr="00322852">
        <w:rPr>
          <w:rFonts w:ascii="Arial" w:hAnsi="Arial" w:cs="Arial"/>
          <w:sz w:val="24"/>
          <w:szCs w:val="24"/>
          <w:lang w:val="en-US"/>
        </w:rPr>
        <w:t>d defendant.</w:t>
      </w:r>
      <w:r w:rsidR="00F55892" w:rsidRPr="00322852">
        <w:rPr>
          <w:rFonts w:ascii="Arial" w:hAnsi="Arial" w:cs="Arial"/>
          <w:sz w:val="24"/>
          <w:szCs w:val="24"/>
          <w:lang w:val="en-US"/>
        </w:rPr>
        <w:t xml:space="preserve"> The second defendant was authori</w:t>
      </w:r>
      <w:r w:rsidR="00810F08" w:rsidRPr="00322852">
        <w:rPr>
          <w:rFonts w:ascii="Arial" w:hAnsi="Arial" w:cs="Arial"/>
          <w:sz w:val="24"/>
          <w:szCs w:val="24"/>
          <w:lang w:val="en-US"/>
        </w:rPr>
        <w:t>s</w:t>
      </w:r>
      <w:r w:rsidR="00F55892" w:rsidRPr="00322852">
        <w:rPr>
          <w:rFonts w:ascii="Arial" w:hAnsi="Arial" w:cs="Arial"/>
          <w:sz w:val="24"/>
          <w:szCs w:val="24"/>
          <w:lang w:val="en-US"/>
        </w:rPr>
        <w:t>ed to sign the lease agreement by virtue of a resolution passed at a meeting of the first defendant</w:t>
      </w:r>
      <w:r w:rsidR="000961C9" w:rsidRPr="00322852">
        <w:rPr>
          <w:rFonts w:ascii="Arial" w:hAnsi="Arial" w:cs="Arial"/>
          <w:sz w:val="24"/>
          <w:szCs w:val="24"/>
          <w:lang w:val="en-US"/>
        </w:rPr>
        <w:t>'</w:t>
      </w:r>
      <w:r w:rsidR="00F55892" w:rsidRPr="00322852">
        <w:rPr>
          <w:rFonts w:ascii="Arial" w:hAnsi="Arial" w:cs="Arial"/>
          <w:sz w:val="24"/>
          <w:szCs w:val="24"/>
          <w:lang w:val="en-US"/>
        </w:rPr>
        <w:t>s board of directors.</w:t>
      </w:r>
      <w:r w:rsidR="00E86E39" w:rsidRPr="00322852">
        <w:rPr>
          <w:rFonts w:ascii="Arial" w:hAnsi="Arial" w:cs="Arial"/>
          <w:sz w:val="24"/>
          <w:szCs w:val="24"/>
          <w:lang w:val="en-US"/>
        </w:rPr>
        <w:t xml:space="preserve"> </w:t>
      </w:r>
      <w:r w:rsidR="007C53CE" w:rsidRPr="00322852">
        <w:rPr>
          <w:rFonts w:ascii="Arial" w:hAnsi="Arial" w:cs="Arial"/>
          <w:sz w:val="24"/>
          <w:szCs w:val="24"/>
          <w:lang w:val="en-US"/>
        </w:rPr>
        <w:t xml:space="preserve">The plaintiffs complied with all obligations </w:t>
      </w:r>
      <w:r w:rsidR="007C53CE" w:rsidRPr="00322852">
        <w:rPr>
          <w:rFonts w:ascii="Arial" w:hAnsi="Arial" w:cs="Arial"/>
          <w:sz w:val="24"/>
          <w:szCs w:val="24"/>
          <w:lang w:val="en-US"/>
        </w:rPr>
        <w:lastRenderedPageBreak/>
        <w:t>in terms of the agreement from the commencement of the lease.</w:t>
      </w:r>
      <w:r w:rsidR="000170B5" w:rsidRPr="00322852">
        <w:rPr>
          <w:rFonts w:ascii="Arial" w:hAnsi="Arial" w:cs="Arial"/>
          <w:sz w:val="24"/>
          <w:szCs w:val="24"/>
          <w:lang w:val="en-US"/>
        </w:rPr>
        <w:t xml:space="preserve"> During 2020</w:t>
      </w:r>
      <w:r w:rsidR="00881EF2" w:rsidRPr="00322852">
        <w:rPr>
          <w:rFonts w:ascii="Arial" w:hAnsi="Arial" w:cs="Arial"/>
          <w:sz w:val="24"/>
          <w:szCs w:val="24"/>
          <w:lang w:val="en-US"/>
        </w:rPr>
        <w:t>,</w:t>
      </w:r>
      <w:r w:rsidR="000170B5" w:rsidRPr="00322852">
        <w:rPr>
          <w:rFonts w:ascii="Arial" w:hAnsi="Arial" w:cs="Arial"/>
          <w:sz w:val="24"/>
          <w:szCs w:val="24"/>
          <w:lang w:val="en-US"/>
        </w:rPr>
        <w:t xml:space="preserve"> the plaintiff</w:t>
      </w:r>
      <w:r w:rsidR="00810F08" w:rsidRPr="00322852">
        <w:rPr>
          <w:rFonts w:ascii="Arial" w:hAnsi="Arial" w:cs="Arial"/>
          <w:sz w:val="24"/>
          <w:szCs w:val="24"/>
          <w:lang w:val="en-US"/>
        </w:rPr>
        <w:t>s</w:t>
      </w:r>
      <w:r w:rsidR="000170B5" w:rsidRPr="00322852">
        <w:rPr>
          <w:rFonts w:ascii="Arial" w:hAnsi="Arial" w:cs="Arial"/>
          <w:sz w:val="24"/>
          <w:szCs w:val="24"/>
          <w:lang w:val="en-US"/>
        </w:rPr>
        <w:t>, as a result of the economic shock from the COVID-19 pandemic, deferred payment of some of the charges levied in terms of the lease on the basis that the deferred amounts would be payable</w:t>
      </w:r>
      <w:r w:rsidR="00886E31" w:rsidRPr="00322852">
        <w:rPr>
          <w:rFonts w:ascii="Arial" w:hAnsi="Arial" w:cs="Arial"/>
          <w:sz w:val="24"/>
          <w:szCs w:val="24"/>
          <w:lang w:val="en-US"/>
        </w:rPr>
        <w:t xml:space="preserve"> at the </w:t>
      </w:r>
      <w:r w:rsidR="0011410B" w:rsidRPr="00322852">
        <w:rPr>
          <w:rFonts w:ascii="Arial" w:hAnsi="Arial" w:cs="Arial"/>
          <w:sz w:val="24"/>
          <w:szCs w:val="24"/>
          <w:lang w:val="en-US"/>
        </w:rPr>
        <w:t>plaintiffs'</w:t>
      </w:r>
      <w:r w:rsidR="00886E31" w:rsidRPr="00322852">
        <w:rPr>
          <w:rFonts w:ascii="Arial" w:hAnsi="Arial" w:cs="Arial"/>
          <w:sz w:val="24"/>
          <w:szCs w:val="24"/>
          <w:lang w:val="en-US"/>
        </w:rPr>
        <w:t xml:space="preserve"> discretion at </w:t>
      </w:r>
      <w:r w:rsidR="00A227CA" w:rsidRPr="00322852">
        <w:rPr>
          <w:rFonts w:ascii="Arial" w:hAnsi="Arial" w:cs="Arial"/>
          <w:sz w:val="24"/>
          <w:szCs w:val="24"/>
          <w:lang w:val="en-US"/>
        </w:rPr>
        <w:t>a</w:t>
      </w:r>
      <w:r w:rsidR="00886E31" w:rsidRPr="00322852">
        <w:rPr>
          <w:rFonts w:ascii="Arial" w:hAnsi="Arial" w:cs="Arial"/>
          <w:sz w:val="24"/>
          <w:szCs w:val="24"/>
          <w:lang w:val="en-US"/>
        </w:rPr>
        <w:t xml:space="preserve"> late</w:t>
      </w:r>
      <w:r w:rsidR="00A227CA" w:rsidRPr="00322852">
        <w:rPr>
          <w:rFonts w:ascii="Arial" w:hAnsi="Arial" w:cs="Arial"/>
          <w:sz w:val="24"/>
          <w:szCs w:val="24"/>
          <w:lang w:val="en-US"/>
        </w:rPr>
        <w:t>r</w:t>
      </w:r>
      <w:r w:rsidR="00886E31" w:rsidRPr="00322852">
        <w:rPr>
          <w:rFonts w:ascii="Arial" w:hAnsi="Arial" w:cs="Arial"/>
          <w:sz w:val="24"/>
          <w:szCs w:val="24"/>
          <w:lang w:val="en-US"/>
        </w:rPr>
        <w:t xml:space="preserve"> stage to be determined by the plaintiff</w:t>
      </w:r>
      <w:r w:rsidR="007C21D4" w:rsidRPr="00322852">
        <w:rPr>
          <w:rFonts w:ascii="Arial" w:hAnsi="Arial" w:cs="Arial"/>
          <w:sz w:val="24"/>
          <w:szCs w:val="24"/>
          <w:lang w:val="en-US"/>
        </w:rPr>
        <w:t>s</w:t>
      </w:r>
      <w:r w:rsidR="00886E31" w:rsidRPr="00322852">
        <w:rPr>
          <w:rFonts w:ascii="Arial" w:hAnsi="Arial" w:cs="Arial"/>
          <w:sz w:val="24"/>
          <w:szCs w:val="24"/>
          <w:lang w:val="en-US"/>
        </w:rPr>
        <w:t>. The amendment to the written terms of the lease was done unilaterally by the plaintiffs</w:t>
      </w:r>
      <w:r w:rsidR="007C21D4" w:rsidRPr="00322852">
        <w:rPr>
          <w:rFonts w:ascii="Arial" w:hAnsi="Arial" w:cs="Arial"/>
          <w:sz w:val="24"/>
          <w:szCs w:val="24"/>
          <w:lang w:val="en-US"/>
        </w:rPr>
        <w:t>. The plaintiffs deferred payments from November 2020 to June 2021, w</w:t>
      </w:r>
      <w:r w:rsidR="00A227CA" w:rsidRPr="00322852">
        <w:rPr>
          <w:rFonts w:ascii="Arial" w:hAnsi="Arial" w:cs="Arial"/>
          <w:sz w:val="24"/>
          <w:szCs w:val="24"/>
          <w:lang w:val="en-US"/>
        </w:rPr>
        <w:t>h</w:t>
      </w:r>
      <w:r w:rsidR="007C21D4" w:rsidRPr="00322852">
        <w:rPr>
          <w:rFonts w:ascii="Arial" w:hAnsi="Arial" w:cs="Arial"/>
          <w:sz w:val="24"/>
          <w:szCs w:val="24"/>
          <w:lang w:val="en-US"/>
        </w:rPr>
        <w:t>ereafter the plaintiffs reloaded the deferred amounts</w:t>
      </w:r>
      <w:r w:rsidR="00B033BC" w:rsidRPr="00322852">
        <w:rPr>
          <w:rFonts w:ascii="Arial" w:hAnsi="Arial" w:cs="Arial"/>
          <w:sz w:val="24"/>
          <w:szCs w:val="24"/>
          <w:lang w:val="en-US"/>
        </w:rPr>
        <w:t xml:space="preserve"> to the first </w:t>
      </w:r>
      <w:r w:rsidR="00033147" w:rsidRPr="00322852">
        <w:rPr>
          <w:rFonts w:ascii="Arial" w:hAnsi="Arial" w:cs="Arial"/>
          <w:sz w:val="24"/>
          <w:szCs w:val="24"/>
          <w:lang w:val="en-US"/>
        </w:rPr>
        <w:t>defendant's</w:t>
      </w:r>
      <w:r w:rsidR="00B033BC" w:rsidRPr="00322852">
        <w:rPr>
          <w:rFonts w:ascii="Arial" w:hAnsi="Arial" w:cs="Arial"/>
          <w:sz w:val="24"/>
          <w:szCs w:val="24"/>
          <w:lang w:val="en-US"/>
        </w:rPr>
        <w:t xml:space="preserve"> account on a monthly basis. The first defendant failed to comply with the terms of the agreement</w:t>
      </w:r>
      <w:r w:rsidR="003F301D" w:rsidRPr="00322852">
        <w:rPr>
          <w:rFonts w:ascii="Arial" w:hAnsi="Arial" w:cs="Arial"/>
          <w:sz w:val="24"/>
          <w:szCs w:val="24"/>
          <w:lang w:val="en-US"/>
        </w:rPr>
        <w:t xml:space="preserve"> by failing to maintain proper payments of rentals due and payable in terms of the agreement. The second defendant bound </w:t>
      </w:r>
      <w:r w:rsidR="00717C14" w:rsidRPr="00322852">
        <w:rPr>
          <w:rFonts w:ascii="Arial" w:hAnsi="Arial" w:cs="Arial"/>
          <w:sz w:val="24"/>
          <w:szCs w:val="24"/>
          <w:lang w:val="en-US"/>
        </w:rPr>
        <w:t xml:space="preserve">himself jointly and </w:t>
      </w:r>
      <w:r w:rsidR="00033147" w:rsidRPr="00322852">
        <w:rPr>
          <w:rFonts w:ascii="Arial" w:hAnsi="Arial" w:cs="Arial"/>
          <w:sz w:val="24"/>
          <w:szCs w:val="24"/>
          <w:lang w:val="en-US"/>
        </w:rPr>
        <w:t>severally</w:t>
      </w:r>
      <w:r w:rsidR="00717C14" w:rsidRPr="00322852">
        <w:rPr>
          <w:rFonts w:ascii="Arial" w:hAnsi="Arial" w:cs="Arial"/>
          <w:sz w:val="24"/>
          <w:szCs w:val="24"/>
          <w:lang w:val="en-US"/>
        </w:rPr>
        <w:t xml:space="preserve"> as</w:t>
      </w:r>
      <w:r w:rsidR="00C47CC8" w:rsidRPr="00322852">
        <w:rPr>
          <w:rFonts w:ascii="Arial" w:hAnsi="Arial" w:cs="Arial"/>
          <w:sz w:val="24"/>
          <w:szCs w:val="24"/>
          <w:lang w:val="en-US"/>
        </w:rPr>
        <w:t xml:space="preserve"> </w:t>
      </w:r>
      <w:r w:rsidR="00717C14" w:rsidRPr="00322852">
        <w:rPr>
          <w:rFonts w:ascii="Arial" w:hAnsi="Arial" w:cs="Arial"/>
          <w:sz w:val="24"/>
          <w:szCs w:val="24"/>
          <w:lang w:val="en-US"/>
        </w:rPr>
        <w:t>sure</w:t>
      </w:r>
      <w:r w:rsidR="00C47CC8" w:rsidRPr="00322852">
        <w:rPr>
          <w:rFonts w:ascii="Arial" w:hAnsi="Arial" w:cs="Arial"/>
          <w:sz w:val="24"/>
          <w:szCs w:val="24"/>
          <w:lang w:val="en-US"/>
        </w:rPr>
        <w:t>t</w:t>
      </w:r>
      <w:r w:rsidR="00717C14" w:rsidRPr="00322852">
        <w:rPr>
          <w:rFonts w:ascii="Arial" w:hAnsi="Arial" w:cs="Arial"/>
          <w:sz w:val="24"/>
          <w:szCs w:val="24"/>
          <w:lang w:val="en-US"/>
        </w:rPr>
        <w:t xml:space="preserve">y and </w:t>
      </w:r>
      <w:r w:rsidR="001D3196" w:rsidRPr="00322852">
        <w:rPr>
          <w:rFonts w:ascii="Arial" w:hAnsi="Arial" w:cs="Arial"/>
          <w:sz w:val="24"/>
          <w:szCs w:val="24"/>
          <w:lang w:val="en-US"/>
        </w:rPr>
        <w:t>c</w:t>
      </w:r>
      <w:r w:rsidR="00717C14" w:rsidRPr="00322852">
        <w:rPr>
          <w:rFonts w:ascii="Arial" w:hAnsi="Arial" w:cs="Arial"/>
          <w:sz w:val="24"/>
          <w:szCs w:val="24"/>
          <w:lang w:val="en-US"/>
        </w:rPr>
        <w:t>o</w:t>
      </w:r>
      <w:r w:rsidR="001D3196" w:rsidRPr="00322852">
        <w:rPr>
          <w:rFonts w:ascii="Arial" w:hAnsi="Arial" w:cs="Arial"/>
          <w:sz w:val="24"/>
          <w:szCs w:val="24"/>
          <w:lang w:val="en-US"/>
        </w:rPr>
        <w:t>-</w:t>
      </w:r>
      <w:r w:rsidR="00717C14" w:rsidRPr="00322852">
        <w:rPr>
          <w:rFonts w:ascii="Arial" w:hAnsi="Arial" w:cs="Arial"/>
          <w:sz w:val="24"/>
          <w:szCs w:val="24"/>
          <w:lang w:val="en-US"/>
        </w:rPr>
        <w:t xml:space="preserve">principal debtor in solidum to the plaintiffs for the </w:t>
      </w:r>
      <w:r w:rsidR="00C47CC8" w:rsidRPr="00322852">
        <w:rPr>
          <w:rFonts w:ascii="Arial" w:hAnsi="Arial" w:cs="Arial"/>
          <w:sz w:val="24"/>
          <w:szCs w:val="24"/>
          <w:lang w:val="en-US"/>
        </w:rPr>
        <w:t>due</w:t>
      </w:r>
      <w:r w:rsidR="00717C14" w:rsidRPr="00322852">
        <w:rPr>
          <w:rFonts w:ascii="Arial" w:hAnsi="Arial" w:cs="Arial"/>
          <w:sz w:val="24"/>
          <w:szCs w:val="24"/>
          <w:lang w:val="en-US"/>
        </w:rPr>
        <w:t xml:space="preserve"> fulfillment of the first defendants</w:t>
      </w:r>
      <w:r w:rsidR="000961C9" w:rsidRPr="00322852">
        <w:rPr>
          <w:rFonts w:ascii="Arial" w:hAnsi="Arial" w:cs="Arial"/>
          <w:sz w:val="24"/>
          <w:szCs w:val="24"/>
          <w:lang w:val="en-US"/>
        </w:rPr>
        <w:t>'</w:t>
      </w:r>
      <w:r w:rsidR="00717C14" w:rsidRPr="00322852">
        <w:rPr>
          <w:rFonts w:ascii="Arial" w:hAnsi="Arial" w:cs="Arial"/>
          <w:sz w:val="24"/>
          <w:szCs w:val="24"/>
          <w:lang w:val="en-US"/>
        </w:rPr>
        <w:t xml:space="preserve"> responsibilities </w:t>
      </w:r>
      <w:r w:rsidR="002A5A0B" w:rsidRPr="00322852">
        <w:rPr>
          <w:rFonts w:ascii="Arial" w:hAnsi="Arial" w:cs="Arial"/>
          <w:sz w:val="24"/>
          <w:szCs w:val="24"/>
          <w:lang w:val="en-US"/>
        </w:rPr>
        <w:t>regarding</w:t>
      </w:r>
      <w:r w:rsidR="00717C14" w:rsidRPr="00322852">
        <w:rPr>
          <w:rFonts w:ascii="Arial" w:hAnsi="Arial" w:cs="Arial"/>
          <w:sz w:val="24"/>
          <w:szCs w:val="24"/>
          <w:lang w:val="en-US"/>
        </w:rPr>
        <w:t xml:space="preserve"> the lease or any renewal thereof.</w:t>
      </w:r>
    </w:p>
    <w:p w14:paraId="7ADFEA9C" w14:textId="10C7BCD8" w:rsidR="001D3196" w:rsidRPr="00706AF1" w:rsidRDefault="001D3196" w:rsidP="001D3196">
      <w:pPr>
        <w:pStyle w:val="ListParagraph"/>
        <w:tabs>
          <w:tab w:val="left" w:pos="4917"/>
        </w:tabs>
        <w:spacing w:before="120" w:after="120" w:line="360" w:lineRule="auto"/>
        <w:jc w:val="both"/>
        <w:rPr>
          <w:rFonts w:ascii="Arial" w:hAnsi="Arial" w:cs="Arial"/>
          <w:sz w:val="24"/>
          <w:szCs w:val="24"/>
          <w:lang w:val="en-US"/>
        </w:rPr>
      </w:pPr>
    </w:p>
    <w:p w14:paraId="41C82B39" w14:textId="722EDECE" w:rsidR="001D3196"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[6]</w:t>
      </w:r>
      <w:r w:rsidRPr="00706AF1">
        <w:rPr>
          <w:rFonts w:ascii="Arial" w:hAnsi="Arial" w:cs="Arial"/>
          <w:sz w:val="24"/>
          <w:szCs w:val="24"/>
          <w:lang w:val="en-US"/>
        </w:rPr>
        <w:tab/>
      </w:r>
      <w:r w:rsidR="00C24F7C" w:rsidRPr="00322852">
        <w:rPr>
          <w:rFonts w:ascii="Arial" w:hAnsi="Arial" w:cs="Arial"/>
          <w:sz w:val="24"/>
          <w:szCs w:val="24"/>
          <w:lang w:val="en-US"/>
        </w:rPr>
        <w:t xml:space="preserve">The second defendant </w:t>
      </w:r>
      <w:r w:rsidR="00033147" w:rsidRPr="00322852">
        <w:rPr>
          <w:rFonts w:ascii="Arial" w:hAnsi="Arial" w:cs="Arial"/>
          <w:sz w:val="24"/>
          <w:szCs w:val="24"/>
          <w:lang w:val="en-US"/>
        </w:rPr>
        <w:t>denies</w:t>
      </w:r>
      <w:r w:rsidR="00C2790A" w:rsidRPr="00322852">
        <w:rPr>
          <w:rFonts w:ascii="Arial" w:hAnsi="Arial" w:cs="Arial"/>
          <w:sz w:val="24"/>
          <w:szCs w:val="24"/>
          <w:lang w:val="en-US"/>
        </w:rPr>
        <w:t xml:space="preserve"> binding himself as surety and co-principal debtor</w:t>
      </w:r>
      <w:r w:rsidR="00022EB8" w:rsidRPr="00322852">
        <w:rPr>
          <w:rFonts w:ascii="Arial" w:hAnsi="Arial" w:cs="Arial"/>
          <w:sz w:val="24"/>
          <w:szCs w:val="24"/>
          <w:lang w:val="en-US"/>
        </w:rPr>
        <w:t xml:space="preserve"> to the plaintiffs for the due fulfillment by the first defendant of all the terms of the lease agreement. </w:t>
      </w:r>
      <w:r w:rsidR="00E12623" w:rsidRPr="00322852">
        <w:rPr>
          <w:rFonts w:ascii="Arial" w:hAnsi="Arial" w:cs="Arial"/>
          <w:sz w:val="24"/>
          <w:szCs w:val="24"/>
          <w:lang w:val="en-US"/>
        </w:rPr>
        <w:t xml:space="preserve">The </w:t>
      </w:r>
      <w:r w:rsidR="00033147" w:rsidRPr="00322852">
        <w:rPr>
          <w:rFonts w:ascii="Arial" w:hAnsi="Arial" w:cs="Arial"/>
          <w:sz w:val="24"/>
          <w:szCs w:val="24"/>
          <w:lang w:val="en-US"/>
        </w:rPr>
        <w:t>defendants</w:t>
      </w:r>
      <w:r w:rsidR="00E12623" w:rsidRPr="00322852">
        <w:rPr>
          <w:rFonts w:ascii="Arial" w:hAnsi="Arial" w:cs="Arial"/>
          <w:sz w:val="24"/>
          <w:szCs w:val="24"/>
          <w:lang w:val="en-US"/>
        </w:rPr>
        <w:t xml:space="preserve"> deny that the plaintiffs have complied with all </w:t>
      </w:r>
      <w:r w:rsidR="00033147" w:rsidRPr="00322852">
        <w:rPr>
          <w:rFonts w:ascii="Arial" w:hAnsi="Arial" w:cs="Arial"/>
          <w:sz w:val="24"/>
          <w:szCs w:val="24"/>
          <w:lang w:val="en-US"/>
        </w:rPr>
        <w:t>obligations in terms of the lease agreement.</w:t>
      </w:r>
      <w:r w:rsidR="003D3AA3" w:rsidRPr="00322852">
        <w:rPr>
          <w:rFonts w:ascii="Arial" w:hAnsi="Arial" w:cs="Arial"/>
          <w:sz w:val="24"/>
          <w:szCs w:val="24"/>
          <w:lang w:val="en-US"/>
        </w:rPr>
        <w:t xml:space="preserve"> The first defendant pleads that:</w:t>
      </w:r>
    </w:p>
    <w:p w14:paraId="49A9EF2E" w14:textId="77777777" w:rsidR="003D3AA3" w:rsidRPr="00706AF1" w:rsidRDefault="003D3AA3" w:rsidP="003D3AA3">
      <w:pPr>
        <w:pStyle w:val="ListParagraph"/>
        <w:rPr>
          <w:rFonts w:ascii="Arial" w:hAnsi="Arial" w:cs="Arial"/>
          <w:sz w:val="24"/>
          <w:szCs w:val="24"/>
          <w:lang w:val="en-US"/>
        </w:rPr>
      </w:pPr>
    </w:p>
    <w:p w14:paraId="33F46FC6" w14:textId="2F668298" w:rsidR="00B4340B" w:rsidRPr="00706AF1" w:rsidRDefault="000961C9" w:rsidP="00BE5D1D">
      <w:pPr>
        <w:pStyle w:val="ListParagraph"/>
        <w:tabs>
          <w:tab w:val="left" w:pos="4917"/>
        </w:tabs>
        <w:spacing w:before="120" w:after="120" w:line="360" w:lineRule="auto"/>
        <w:ind w:left="1008" w:right="1008"/>
        <w:jc w:val="both"/>
        <w:rPr>
          <w:rFonts w:ascii="Arial" w:hAnsi="Arial" w:cs="Arial"/>
          <w:sz w:val="24"/>
          <w:szCs w:val="24"/>
          <w:lang w:val="en-US"/>
        </w:rPr>
      </w:pPr>
      <w:r w:rsidRPr="00706AF1">
        <w:rPr>
          <w:rFonts w:ascii="Arial" w:hAnsi="Arial" w:cs="Arial"/>
          <w:sz w:val="24"/>
          <w:szCs w:val="24"/>
          <w:lang w:val="en-US"/>
        </w:rPr>
        <w:t>'</w:t>
      </w:r>
      <w:r w:rsidR="00B4340B" w:rsidRPr="00706AF1">
        <w:rPr>
          <w:rFonts w:ascii="Arial" w:hAnsi="Arial" w:cs="Arial"/>
          <w:sz w:val="24"/>
          <w:szCs w:val="24"/>
          <w:lang w:val="en-US"/>
        </w:rPr>
        <w:t>S</w:t>
      </w:r>
      <w:r w:rsidR="00E724E8" w:rsidRPr="00706AF1">
        <w:rPr>
          <w:rFonts w:ascii="Arial" w:hAnsi="Arial" w:cs="Arial"/>
          <w:sz w:val="24"/>
          <w:szCs w:val="24"/>
          <w:lang w:val="en-US"/>
        </w:rPr>
        <w:t>i</w:t>
      </w:r>
      <w:r w:rsidR="00E648AA" w:rsidRPr="00706AF1">
        <w:rPr>
          <w:rFonts w:ascii="Arial" w:hAnsi="Arial" w:cs="Arial"/>
          <w:sz w:val="24"/>
          <w:szCs w:val="24"/>
          <w:lang w:val="en-US"/>
        </w:rPr>
        <w:t xml:space="preserve">nce the plaintiffs were unable to afford the first defendant beneficial occupation of the premises [during the Covid-19 pandemic] </w:t>
      </w:r>
      <w:r w:rsidR="00A158DD" w:rsidRPr="00706AF1">
        <w:rPr>
          <w:rFonts w:ascii="Arial" w:hAnsi="Arial" w:cs="Arial"/>
          <w:sz w:val="24"/>
          <w:szCs w:val="24"/>
          <w:lang w:val="en-US"/>
        </w:rPr>
        <w:t>and the fact that the first defendant was unable to occupy the premises and enjoy the benefits they</w:t>
      </w:r>
      <w:r w:rsidR="00CB0194" w:rsidRPr="00706AF1">
        <w:rPr>
          <w:rFonts w:ascii="Arial" w:hAnsi="Arial" w:cs="Arial"/>
          <w:sz w:val="24"/>
          <w:szCs w:val="24"/>
          <w:lang w:val="en-US"/>
        </w:rPr>
        <w:t xml:space="preserve"> we</w:t>
      </w:r>
      <w:r w:rsidR="00A158DD" w:rsidRPr="00706AF1">
        <w:rPr>
          <w:rFonts w:ascii="Arial" w:hAnsi="Arial" w:cs="Arial"/>
          <w:sz w:val="24"/>
          <w:szCs w:val="24"/>
          <w:lang w:val="en-US"/>
        </w:rPr>
        <w:t>re off</w:t>
      </w:r>
      <w:r w:rsidR="00C47CC8" w:rsidRPr="00706AF1">
        <w:rPr>
          <w:rFonts w:ascii="Arial" w:hAnsi="Arial" w:cs="Arial"/>
          <w:sz w:val="24"/>
          <w:szCs w:val="24"/>
          <w:lang w:val="en-US"/>
        </w:rPr>
        <w:t>ered</w:t>
      </w:r>
      <w:r w:rsidR="00A158DD" w:rsidRPr="00706AF1">
        <w:rPr>
          <w:rFonts w:ascii="Arial" w:hAnsi="Arial" w:cs="Arial"/>
          <w:sz w:val="24"/>
          <w:szCs w:val="24"/>
          <w:lang w:val="en-US"/>
        </w:rPr>
        <w:t xml:space="preserve"> during the h</w:t>
      </w:r>
      <w:r w:rsidR="00723576" w:rsidRPr="00706AF1">
        <w:rPr>
          <w:rFonts w:ascii="Arial" w:hAnsi="Arial" w:cs="Arial"/>
          <w:sz w:val="24"/>
          <w:szCs w:val="24"/>
          <w:lang w:val="en-US"/>
        </w:rPr>
        <w:t>ard</w:t>
      </w:r>
      <w:r w:rsidR="00A158DD" w:rsidRPr="00706AF1">
        <w:rPr>
          <w:rFonts w:ascii="Arial" w:hAnsi="Arial" w:cs="Arial"/>
          <w:sz w:val="24"/>
          <w:szCs w:val="24"/>
          <w:lang w:val="en-US"/>
        </w:rPr>
        <w:t xml:space="preserve"> lockdown</w:t>
      </w:r>
      <w:r w:rsidR="00723576" w:rsidRPr="00706AF1">
        <w:rPr>
          <w:rFonts w:ascii="Arial" w:hAnsi="Arial" w:cs="Arial"/>
          <w:sz w:val="24"/>
          <w:szCs w:val="24"/>
          <w:lang w:val="en-US"/>
        </w:rPr>
        <w:t>, a</w:t>
      </w:r>
      <w:r w:rsidR="00A158DD" w:rsidRPr="00706AF1">
        <w:rPr>
          <w:rFonts w:ascii="Arial" w:hAnsi="Arial" w:cs="Arial"/>
          <w:sz w:val="24"/>
          <w:szCs w:val="24"/>
          <w:lang w:val="en-US"/>
        </w:rPr>
        <w:t>nd level 4 lockdow</w:t>
      </w:r>
      <w:r w:rsidR="00643374" w:rsidRPr="00706AF1">
        <w:rPr>
          <w:rFonts w:ascii="Arial" w:hAnsi="Arial" w:cs="Arial"/>
          <w:sz w:val="24"/>
          <w:szCs w:val="24"/>
          <w:lang w:val="en-US"/>
        </w:rPr>
        <w:t>n</w:t>
      </w:r>
      <w:r w:rsidR="00A158DD" w:rsidRPr="00706AF1">
        <w:rPr>
          <w:rFonts w:ascii="Arial" w:hAnsi="Arial" w:cs="Arial"/>
          <w:sz w:val="24"/>
          <w:szCs w:val="24"/>
          <w:lang w:val="en-US"/>
        </w:rPr>
        <w:t>, the plaintiffs</w:t>
      </w:r>
      <w:r w:rsidRPr="00706AF1">
        <w:rPr>
          <w:rFonts w:ascii="Arial" w:hAnsi="Arial" w:cs="Arial"/>
          <w:sz w:val="24"/>
          <w:szCs w:val="24"/>
          <w:lang w:val="en-US"/>
        </w:rPr>
        <w:t>'</w:t>
      </w:r>
      <w:r w:rsidR="00A158DD" w:rsidRPr="00706AF1">
        <w:rPr>
          <w:rFonts w:ascii="Arial" w:hAnsi="Arial" w:cs="Arial"/>
          <w:sz w:val="24"/>
          <w:szCs w:val="24"/>
          <w:lang w:val="en-US"/>
        </w:rPr>
        <w:t xml:space="preserve"> performance of its obligation to afford the first defendant beneficial occupation was rendered impossible by the March 2020 regulations.</w:t>
      </w:r>
      <w:r w:rsidR="00FC1158" w:rsidRPr="00706AF1">
        <w:rPr>
          <w:rFonts w:ascii="Arial" w:hAnsi="Arial" w:cs="Arial"/>
          <w:sz w:val="24"/>
          <w:szCs w:val="24"/>
          <w:lang w:val="en-US"/>
        </w:rPr>
        <w:t xml:space="preserve"> </w:t>
      </w:r>
    </w:p>
    <w:p w14:paraId="1D6869A7" w14:textId="1C7447D5" w:rsidR="003D3AA3" w:rsidRPr="00706AF1" w:rsidRDefault="00FC1158" w:rsidP="00BE5D1D">
      <w:pPr>
        <w:pStyle w:val="ListParagraph"/>
        <w:tabs>
          <w:tab w:val="left" w:pos="4917"/>
        </w:tabs>
        <w:spacing w:before="120" w:after="120" w:line="360" w:lineRule="auto"/>
        <w:ind w:left="1008" w:right="1008"/>
        <w:jc w:val="both"/>
        <w:rPr>
          <w:rFonts w:ascii="Arial" w:hAnsi="Arial" w:cs="Arial"/>
          <w:sz w:val="24"/>
          <w:szCs w:val="24"/>
          <w:lang w:val="en-US"/>
        </w:rPr>
      </w:pPr>
      <w:r w:rsidRPr="00706AF1">
        <w:rPr>
          <w:rFonts w:ascii="Arial" w:hAnsi="Arial" w:cs="Arial"/>
          <w:sz w:val="24"/>
          <w:szCs w:val="24"/>
          <w:lang w:val="en-US"/>
        </w:rPr>
        <w:t xml:space="preserve">The first defendant is entitled to a rental remission in respect of the period of 27 March 2020 until 31 May 2020. </w:t>
      </w:r>
    </w:p>
    <w:p w14:paraId="5C02062F" w14:textId="19581EB1" w:rsidR="00B4340B" w:rsidRPr="00706AF1" w:rsidRDefault="00654EDD" w:rsidP="00BE5D1D">
      <w:pPr>
        <w:pStyle w:val="ListParagraph"/>
        <w:tabs>
          <w:tab w:val="left" w:pos="4917"/>
        </w:tabs>
        <w:spacing w:before="120" w:after="120" w:line="360" w:lineRule="auto"/>
        <w:ind w:left="1008" w:right="1008"/>
        <w:jc w:val="both"/>
        <w:rPr>
          <w:rFonts w:ascii="Arial" w:hAnsi="Arial" w:cs="Arial"/>
          <w:sz w:val="24"/>
          <w:szCs w:val="24"/>
          <w:lang w:val="en-US"/>
        </w:rPr>
      </w:pPr>
      <w:r w:rsidRPr="00706AF1">
        <w:rPr>
          <w:rFonts w:ascii="Arial" w:hAnsi="Arial" w:cs="Arial"/>
          <w:sz w:val="24"/>
          <w:szCs w:val="24"/>
          <w:lang w:val="en-US"/>
        </w:rPr>
        <w:t>As a result of the COVID-19 lockdown, the plaintiffs offered the first defendant at</w:t>
      </w:r>
      <w:r w:rsidR="004E6887">
        <w:rPr>
          <w:rFonts w:ascii="Arial" w:hAnsi="Arial" w:cs="Arial"/>
          <w:sz w:val="24"/>
          <w:szCs w:val="24"/>
          <w:lang w:val="en-US"/>
        </w:rPr>
        <w:t xml:space="preserve"> dis</w:t>
      </w:r>
      <w:r w:rsidRPr="00706AF1">
        <w:rPr>
          <w:rFonts w:ascii="Arial" w:hAnsi="Arial" w:cs="Arial"/>
          <w:sz w:val="24"/>
          <w:szCs w:val="24"/>
          <w:lang w:val="en-US"/>
        </w:rPr>
        <w:t>count of 50% on the rent and parking during the period of 27 March 2020 and June 2020. The a</w:t>
      </w:r>
      <w:r w:rsidR="00F00235" w:rsidRPr="00706AF1">
        <w:rPr>
          <w:rFonts w:ascii="Arial" w:hAnsi="Arial" w:cs="Arial"/>
          <w:sz w:val="24"/>
          <w:szCs w:val="24"/>
          <w:lang w:val="en-US"/>
        </w:rPr>
        <w:t>foresaid</w:t>
      </w:r>
      <w:r w:rsidRPr="00706AF1">
        <w:rPr>
          <w:rFonts w:ascii="Arial" w:hAnsi="Arial" w:cs="Arial"/>
          <w:sz w:val="24"/>
          <w:szCs w:val="24"/>
          <w:lang w:val="en-US"/>
        </w:rPr>
        <w:t xml:space="preserve"> discount was accepted</w:t>
      </w:r>
      <w:r w:rsidR="00F00235" w:rsidRPr="00706AF1">
        <w:rPr>
          <w:rFonts w:ascii="Arial" w:hAnsi="Arial" w:cs="Arial"/>
          <w:sz w:val="24"/>
          <w:szCs w:val="24"/>
          <w:lang w:val="en-US"/>
        </w:rPr>
        <w:t>.</w:t>
      </w:r>
      <w:r w:rsidR="00193C8B" w:rsidRPr="00706AF1">
        <w:rPr>
          <w:rFonts w:ascii="Arial" w:hAnsi="Arial" w:cs="Arial"/>
          <w:sz w:val="24"/>
          <w:szCs w:val="24"/>
          <w:lang w:val="en-US"/>
        </w:rPr>
        <w:t xml:space="preserve"> </w:t>
      </w:r>
      <w:r w:rsidR="00193C8B" w:rsidRPr="00706AF1">
        <w:rPr>
          <w:rFonts w:ascii="Arial" w:hAnsi="Arial" w:cs="Arial"/>
          <w:sz w:val="24"/>
          <w:szCs w:val="24"/>
          <w:lang w:val="en-US"/>
        </w:rPr>
        <w:lastRenderedPageBreak/>
        <w:t xml:space="preserve">The first defendant is consequently and in addition to the </w:t>
      </w:r>
      <w:r w:rsidR="00BE5D1D" w:rsidRPr="00706AF1">
        <w:rPr>
          <w:rFonts w:ascii="Arial" w:hAnsi="Arial" w:cs="Arial"/>
          <w:sz w:val="24"/>
          <w:szCs w:val="24"/>
          <w:lang w:val="en-US"/>
        </w:rPr>
        <w:t>aforesaid</w:t>
      </w:r>
      <w:r w:rsidR="00193C8B" w:rsidRPr="00706AF1">
        <w:rPr>
          <w:rFonts w:ascii="Arial" w:hAnsi="Arial" w:cs="Arial"/>
          <w:sz w:val="24"/>
          <w:szCs w:val="24"/>
          <w:lang w:val="en-US"/>
        </w:rPr>
        <w:t xml:space="preserve"> remission … </w:t>
      </w:r>
      <w:r w:rsidR="00E724E8" w:rsidRPr="00706AF1">
        <w:rPr>
          <w:rFonts w:ascii="Arial" w:hAnsi="Arial" w:cs="Arial"/>
          <w:sz w:val="24"/>
          <w:szCs w:val="24"/>
          <w:lang w:val="en-US"/>
        </w:rPr>
        <w:t>entitled to an additional discount…</w:t>
      </w:r>
    </w:p>
    <w:p w14:paraId="3B6EA9CD" w14:textId="3F0508C5" w:rsidR="001B4FB0" w:rsidRPr="00706AF1" w:rsidRDefault="004C63B7" w:rsidP="00BE5D1D">
      <w:pPr>
        <w:pStyle w:val="ListParagraph"/>
        <w:tabs>
          <w:tab w:val="left" w:pos="4917"/>
        </w:tabs>
        <w:spacing w:before="120" w:after="120" w:line="360" w:lineRule="auto"/>
        <w:ind w:left="1008" w:right="1008"/>
        <w:jc w:val="both"/>
        <w:rPr>
          <w:rFonts w:ascii="Arial" w:hAnsi="Arial" w:cs="Arial"/>
          <w:sz w:val="24"/>
          <w:szCs w:val="24"/>
          <w:lang w:val="en-US"/>
        </w:rPr>
      </w:pPr>
      <w:r w:rsidRPr="00706AF1">
        <w:rPr>
          <w:rFonts w:ascii="Arial" w:hAnsi="Arial" w:cs="Arial"/>
          <w:sz w:val="24"/>
          <w:szCs w:val="24"/>
          <w:lang w:val="en-US"/>
        </w:rPr>
        <w:t xml:space="preserve">The first defendant </w:t>
      </w:r>
      <w:r w:rsidR="00723576" w:rsidRPr="00706AF1">
        <w:rPr>
          <w:rFonts w:ascii="Arial" w:hAnsi="Arial" w:cs="Arial"/>
          <w:sz w:val="24"/>
          <w:szCs w:val="24"/>
          <w:lang w:val="en-US"/>
        </w:rPr>
        <w:t>canceled</w:t>
      </w:r>
      <w:r w:rsidRPr="00706AF1">
        <w:rPr>
          <w:rFonts w:ascii="Arial" w:hAnsi="Arial" w:cs="Arial"/>
          <w:sz w:val="24"/>
          <w:szCs w:val="24"/>
          <w:lang w:val="en-US"/>
        </w:rPr>
        <w:t xml:space="preserve"> the agreement and vacated the </w:t>
      </w:r>
      <w:r w:rsidR="00723576" w:rsidRPr="00706AF1">
        <w:rPr>
          <w:rFonts w:ascii="Arial" w:hAnsi="Arial" w:cs="Arial"/>
          <w:sz w:val="24"/>
          <w:szCs w:val="24"/>
          <w:lang w:val="en-US"/>
        </w:rPr>
        <w:t>leased</w:t>
      </w:r>
      <w:r w:rsidRPr="00706AF1">
        <w:rPr>
          <w:rFonts w:ascii="Arial" w:hAnsi="Arial" w:cs="Arial"/>
          <w:sz w:val="24"/>
          <w:szCs w:val="24"/>
          <w:lang w:val="en-US"/>
        </w:rPr>
        <w:t xml:space="preserve"> premises on or about 12 June 2021. The lea</w:t>
      </w:r>
      <w:r w:rsidR="00643374" w:rsidRPr="00706AF1">
        <w:rPr>
          <w:rFonts w:ascii="Arial" w:hAnsi="Arial" w:cs="Arial"/>
          <w:sz w:val="24"/>
          <w:szCs w:val="24"/>
          <w:lang w:val="en-US"/>
        </w:rPr>
        <w:t>sed</w:t>
      </w:r>
      <w:r w:rsidRPr="00706AF1">
        <w:rPr>
          <w:rFonts w:ascii="Arial" w:hAnsi="Arial" w:cs="Arial"/>
          <w:sz w:val="24"/>
          <w:szCs w:val="24"/>
          <w:lang w:val="en-US"/>
        </w:rPr>
        <w:t xml:space="preserve"> premise</w:t>
      </w:r>
      <w:r w:rsidR="00E45939" w:rsidRPr="00706AF1">
        <w:rPr>
          <w:rFonts w:ascii="Arial" w:hAnsi="Arial" w:cs="Arial"/>
          <w:sz w:val="24"/>
          <w:szCs w:val="24"/>
          <w:lang w:val="en-US"/>
        </w:rPr>
        <w:t>s</w:t>
      </w:r>
      <w:r w:rsidRPr="00706AF1">
        <w:rPr>
          <w:rFonts w:ascii="Arial" w:hAnsi="Arial" w:cs="Arial"/>
          <w:sz w:val="24"/>
          <w:szCs w:val="24"/>
          <w:lang w:val="en-US"/>
        </w:rPr>
        <w:t xml:space="preserve"> was </w:t>
      </w:r>
      <w:r w:rsidR="00E45939" w:rsidRPr="00706AF1">
        <w:rPr>
          <w:rFonts w:ascii="Arial" w:hAnsi="Arial" w:cs="Arial"/>
          <w:sz w:val="24"/>
          <w:szCs w:val="24"/>
          <w:lang w:val="en-US"/>
        </w:rPr>
        <w:t>(</w:t>
      </w:r>
      <w:r w:rsidR="00E45939" w:rsidRPr="00706AF1">
        <w:rPr>
          <w:rFonts w:ascii="Arial" w:hAnsi="Arial" w:cs="Arial"/>
          <w:i/>
          <w:iCs/>
          <w:sz w:val="24"/>
          <w:szCs w:val="24"/>
          <w:lang w:val="en-US"/>
        </w:rPr>
        <w:t xml:space="preserve">sic.) </w:t>
      </w:r>
      <w:r w:rsidRPr="00706AF1">
        <w:rPr>
          <w:rFonts w:ascii="Arial" w:hAnsi="Arial" w:cs="Arial"/>
          <w:sz w:val="24"/>
          <w:szCs w:val="24"/>
          <w:lang w:val="en-US"/>
        </w:rPr>
        <w:t>occupied since about July 2021 by new tenants. The plaintiffs are consequently not entitled to</w:t>
      </w:r>
      <w:r w:rsidR="00987E60" w:rsidRPr="00706AF1">
        <w:rPr>
          <w:rFonts w:ascii="Arial" w:hAnsi="Arial" w:cs="Arial"/>
          <w:sz w:val="24"/>
          <w:szCs w:val="24"/>
          <w:lang w:val="en-US"/>
        </w:rPr>
        <w:t xml:space="preserve"> claim rental and ancillary charges for the period of July 2021 until March 2022.</w:t>
      </w:r>
      <w:r w:rsidR="000961C9" w:rsidRPr="00706AF1">
        <w:rPr>
          <w:rFonts w:ascii="Arial" w:hAnsi="Arial" w:cs="Arial"/>
          <w:sz w:val="24"/>
          <w:szCs w:val="24"/>
          <w:lang w:val="en-US"/>
        </w:rPr>
        <w:t>'</w:t>
      </w:r>
    </w:p>
    <w:p w14:paraId="71033614" w14:textId="77777777" w:rsidR="00A931CC" w:rsidRPr="00706AF1" w:rsidRDefault="00A931CC" w:rsidP="00A931CC">
      <w:pPr>
        <w:pStyle w:val="ListParagraph"/>
        <w:rPr>
          <w:rFonts w:ascii="Arial" w:hAnsi="Arial" w:cs="Arial"/>
          <w:sz w:val="24"/>
          <w:szCs w:val="24"/>
          <w:lang w:val="en-US"/>
        </w:rPr>
      </w:pPr>
    </w:p>
    <w:p w14:paraId="70E26A95" w14:textId="7CA8F6DC" w:rsidR="00A931CC"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[7]</w:t>
      </w:r>
      <w:r w:rsidRPr="00706AF1">
        <w:rPr>
          <w:rFonts w:ascii="Arial" w:hAnsi="Arial" w:cs="Arial"/>
          <w:sz w:val="24"/>
          <w:szCs w:val="24"/>
          <w:lang w:val="en-US"/>
        </w:rPr>
        <w:tab/>
      </w:r>
      <w:r w:rsidR="005C39A9" w:rsidRPr="00322852">
        <w:rPr>
          <w:rFonts w:ascii="Arial" w:hAnsi="Arial" w:cs="Arial"/>
          <w:sz w:val="24"/>
          <w:szCs w:val="24"/>
          <w:lang w:val="en-US"/>
        </w:rPr>
        <w:t xml:space="preserve">The </w:t>
      </w:r>
      <w:r w:rsidR="00FA6E45" w:rsidRPr="00322852">
        <w:rPr>
          <w:rFonts w:ascii="Arial" w:hAnsi="Arial" w:cs="Arial"/>
          <w:sz w:val="24"/>
          <w:szCs w:val="24"/>
          <w:lang w:val="en-US"/>
        </w:rPr>
        <w:t>defendant</w:t>
      </w:r>
      <w:r w:rsidR="005C39A9" w:rsidRPr="00322852">
        <w:rPr>
          <w:rFonts w:ascii="Arial" w:hAnsi="Arial" w:cs="Arial"/>
          <w:sz w:val="24"/>
          <w:szCs w:val="24"/>
          <w:lang w:val="en-US"/>
        </w:rPr>
        <w:t>s instituted a counterclaim.</w:t>
      </w:r>
      <w:r w:rsidR="0062522A" w:rsidRPr="00322852">
        <w:rPr>
          <w:rFonts w:ascii="Arial" w:hAnsi="Arial" w:cs="Arial"/>
          <w:sz w:val="24"/>
          <w:szCs w:val="24"/>
          <w:lang w:val="en-US"/>
        </w:rPr>
        <w:t xml:space="preserve"> They contend that in terms of regulation 11B(4) of the March 2020 Covid-regulations, </w:t>
      </w:r>
      <w:r w:rsidR="00660904" w:rsidRPr="00322852">
        <w:rPr>
          <w:rFonts w:ascii="Arial" w:hAnsi="Arial" w:cs="Arial"/>
          <w:sz w:val="24"/>
          <w:szCs w:val="24"/>
          <w:lang w:val="en-US"/>
        </w:rPr>
        <w:t>landlords were obliged to close premises under their control, sa</w:t>
      </w:r>
      <w:r w:rsidR="00CE3BC0" w:rsidRPr="00322852">
        <w:rPr>
          <w:rFonts w:ascii="Arial" w:hAnsi="Arial" w:cs="Arial"/>
          <w:sz w:val="24"/>
          <w:szCs w:val="24"/>
          <w:lang w:val="en-US"/>
        </w:rPr>
        <w:t>v</w:t>
      </w:r>
      <w:r w:rsidR="00660904" w:rsidRPr="00322852">
        <w:rPr>
          <w:rFonts w:ascii="Arial" w:hAnsi="Arial" w:cs="Arial"/>
          <w:sz w:val="24"/>
          <w:szCs w:val="24"/>
          <w:lang w:val="en-US"/>
        </w:rPr>
        <w:t xml:space="preserve">e for essential goods and services. </w:t>
      </w:r>
      <w:r w:rsidR="00CE3BC0" w:rsidRPr="00322852">
        <w:rPr>
          <w:rFonts w:ascii="Arial" w:hAnsi="Arial" w:cs="Arial"/>
          <w:sz w:val="24"/>
          <w:szCs w:val="24"/>
          <w:lang w:val="en-US"/>
        </w:rPr>
        <w:t>Tenants</w:t>
      </w:r>
      <w:r w:rsidR="00660904" w:rsidRPr="00322852">
        <w:rPr>
          <w:rFonts w:ascii="Arial" w:hAnsi="Arial" w:cs="Arial"/>
          <w:sz w:val="24"/>
          <w:szCs w:val="24"/>
          <w:lang w:val="en-US"/>
        </w:rPr>
        <w:t xml:space="preserve"> were obliged to keep</w:t>
      </w:r>
      <w:r w:rsidR="00CE3BC0" w:rsidRPr="00322852">
        <w:rPr>
          <w:rFonts w:ascii="Arial" w:hAnsi="Arial" w:cs="Arial"/>
          <w:sz w:val="24"/>
          <w:szCs w:val="24"/>
          <w:lang w:val="en-US"/>
        </w:rPr>
        <w:t xml:space="preserve"> rental premises under their control closed. </w:t>
      </w:r>
      <w:r w:rsidR="006C0A7F" w:rsidRPr="00322852">
        <w:rPr>
          <w:rFonts w:ascii="Arial" w:hAnsi="Arial" w:cs="Arial"/>
          <w:sz w:val="24"/>
          <w:szCs w:val="24"/>
          <w:lang w:val="en-US"/>
        </w:rPr>
        <w:t xml:space="preserve">The </w:t>
      </w:r>
      <w:r w:rsidR="00674AC8" w:rsidRPr="00322852">
        <w:rPr>
          <w:rFonts w:ascii="Arial" w:hAnsi="Arial" w:cs="Arial"/>
          <w:sz w:val="24"/>
          <w:szCs w:val="24"/>
          <w:lang w:val="en-US"/>
        </w:rPr>
        <w:t>defendant</w:t>
      </w:r>
      <w:r w:rsidR="006C0A7F" w:rsidRPr="00322852">
        <w:rPr>
          <w:rFonts w:ascii="Arial" w:hAnsi="Arial" w:cs="Arial"/>
          <w:sz w:val="24"/>
          <w:szCs w:val="24"/>
          <w:lang w:val="en-US"/>
        </w:rPr>
        <w:t>s</w:t>
      </w:r>
      <w:r w:rsidR="006E128E" w:rsidRPr="00322852">
        <w:rPr>
          <w:rFonts w:ascii="Arial" w:hAnsi="Arial" w:cs="Arial"/>
          <w:sz w:val="24"/>
          <w:szCs w:val="24"/>
          <w:lang w:val="en-US"/>
        </w:rPr>
        <w:t xml:space="preserve"> claim </w:t>
      </w:r>
      <w:r w:rsidR="00A90B09" w:rsidRPr="00322852">
        <w:rPr>
          <w:rFonts w:ascii="Arial" w:hAnsi="Arial" w:cs="Arial"/>
          <w:sz w:val="24"/>
          <w:szCs w:val="24"/>
          <w:lang w:val="en-US"/>
        </w:rPr>
        <w:t xml:space="preserve">back </w:t>
      </w:r>
      <w:r w:rsidR="006E128E" w:rsidRPr="00322852">
        <w:rPr>
          <w:rFonts w:ascii="Arial" w:hAnsi="Arial" w:cs="Arial"/>
          <w:sz w:val="24"/>
          <w:szCs w:val="24"/>
          <w:lang w:val="en-US"/>
        </w:rPr>
        <w:t>the payments made to the plaintiffs in excess of the 50%</w:t>
      </w:r>
      <w:r w:rsidR="00F30BDD" w:rsidRPr="00322852">
        <w:rPr>
          <w:rFonts w:ascii="Arial" w:hAnsi="Arial" w:cs="Arial"/>
          <w:sz w:val="24"/>
          <w:szCs w:val="24"/>
          <w:lang w:val="en-US"/>
        </w:rPr>
        <w:t xml:space="preserve"> discount agreed to by the parties.</w:t>
      </w:r>
    </w:p>
    <w:p w14:paraId="33FF7B21" w14:textId="77777777" w:rsidR="0081069D" w:rsidRPr="00706AF1" w:rsidRDefault="0081069D" w:rsidP="0081069D">
      <w:pPr>
        <w:pStyle w:val="ListParagraph"/>
        <w:tabs>
          <w:tab w:val="left" w:pos="4917"/>
        </w:tabs>
        <w:spacing w:before="120" w:after="120" w:line="360" w:lineRule="auto"/>
        <w:jc w:val="both"/>
        <w:rPr>
          <w:rFonts w:ascii="Arial" w:hAnsi="Arial" w:cs="Arial"/>
          <w:sz w:val="24"/>
          <w:szCs w:val="24"/>
          <w:lang w:val="en-US"/>
        </w:rPr>
      </w:pPr>
    </w:p>
    <w:p w14:paraId="3DF7166E" w14:textId="7FCF5067" w:rsidR="0081069D"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[8]</w:t>
      </w:r>
      <w:r w:rsidRPr="00706AF1">
        <w:rPr>
          <w:rFonts w:ascii="Arial" w:hAnsi="Arial" w:cs="Arial"/>
          <w:sz w:val="24"/>
          <w:szCs w:val="24"/>
          <w:lang w:val="en-US"/>
        </w:rPr>
        <w:tab/>
      </w:r>
      <w:r w:rsidR="0081069D" w:rsidRPr="00322852">
        <w:rPr>
          <w:rFonts w:ascii="Arial" w:hAnsi="Arial" w:cs="Arial"/>
          <w:sz w:val="24"/>
          <w:szCs w:val="24"/>
          <w:lang w:val="en-US"/>
        </w:rPr>
        <w:t>The defendants aver that the amounts claimed by the plaintiffs are not liquidated nor based on a liquid document.</w:t>
      </w:r>
      <w:r w:rsidR="00F323CE" w:rsidRPr="00322852">
        <w:rPr>
          <w:rFonts w:ascii="Arial" w:hAnsi="Arial" w:cs="Arial"/>
          <w:sz w:val="24"/>
          <w:szCs w:val="24"/>
          <w:lang w:val="en-US"/>
        </w:rPr>
        <w:t xml:space="preserve"> For the reasons indicated below, I need not deal with this issue.</w:t>
      </w:r>
    </w:p>
    <w:p w14:paraId="0240AFA1" w14:textId="32DA322F" w:rsidR="006265F9" w:rsidRPr="00706AF1" w:rsidRDefault="006265F9" w:rsidP="0081069D">
      <w:pPr>
        <w:pStyle w:val="ListParagraph"/>
        <w:tabs>
          <w:tab w:val="left" w:pos="4917"/>
        </w:tabs>
        <w:spacing w:before="120" w:after="120" w:line="360" w:lineRule="auto"/>
        <w:jc w:val="both"/>
        <w:rPr>
          <w:rFonts w:ascii="Arial" w:hAnsi="Arial" w:cs="Arial"/>
          <w:sz w:val="24"/>
          <w:szCs w:val="24"/>
          <w:lang w:val="en-US"/>
        </w:rPr>
      </w:pPr>
    </w:p>
    <w:p w14:paraId="290B87E0" w14:textId="4F24C3A3" w:rsidR="0081069D" w:rsidRPr="00706AF1" w:rsidRDefault="0081069D" w:rsidP="0081069D">
      <w:pPr>
        <w:tabs>
          <w:tab w:val="left" w:pos="4917"/>
        </w:tabs>
        <w:spacing w:before="120" w:after="120" w:line="360" w:lineRule="auto"/>
        <w:jc w:val="both"/>
        <w:rPr>
          <w:rFonts w:ascii="Arial" w:hAnsi="Arial" w:cs="Arial"/>
          <w:b/>
          <w:bCs/>
          <w:sz w:val="24"/>
          <w:szCs w:val="24"/>
          <w:lang w:val="en-US"/>
        </w:rPr>
      </w:pPr>
      <w:r w:rsidRPr="00706AF1">
        <w:rPr>
          <w:rFonts w:ascii="Arial" w:hAnsi="Arial" w:cs="Arial"/>
          <w:b/>
          <w:bCs/>
          <w:sz w:val="24"/>
          <w:szCs w:val="24"/>
          <w:lang w:val="en-US"/>
        </w:rPr>
        <w:t>Discussion</w:t>
      </w:r>
    </w:p>
    <w:p w14:paraId="12BB0DD2" w14:textId="6D95D107" w:rsidR="00A931CC" w:rsidRPr="00706AF1" w:rsidRDefault="0081069D" w:rsidP="0081069D">
      <w:pPr>
        <w:rPr>
          <w:rFonts w:ascii="Arial" w:hAnsi="Arial" w:cs="Arial"/>
          <w:i/>
          <w:iCs/>
          <w:sz w:val="24"/>
          <w:szCs w:val="24"/>
          <w:lang w:val="en-US"/>
        </w:rPr>
      </w:pPr>
      <w:r w:rsidRPr="00706AF1">
        <w:rPr>
          <w:rFonts w:ascii="Arial" w:hAnsi="Arial" w:cs="Arial"/>
          <w:i/>
          <w:iCs/>
          <w:sz w:val="24"/>
          <w:szCs w:val="24"/>
          <w:lang w:val="en-US"/>
        </w:rPr>
        <w:t xml:space="preserve">Re: </w:t>
      </w:r>
      <w:r w:rsidR="00B15885" w:rsidRPr="00706AF1">
        <w:rPr>
          <w:rFonts w:ascii="Arial" w:hAnsi="Arial" w:cs="Arial"/>
          <w:i/>
          <w:iCs/>
          <w:sz w:val="24"/>
          <w:szCs w:val="24"/>
          <w:lang w:val="en-US"/>
        </w:rPr>
        <w:t>Deponent to the plaintiffs</w:t>
      </w:r>
      <w:r w:rsidR="000961C9" w:rsidRPr="00706AF1">
        <w:rPr>
          <w:rFonts w:ascii="Arial" w:hAnsi="Arial" w:cs="Arial"/>
          <w:i/>
          <w:iCs/>
          <w:sz w:val="24"/>
          <w:szCs w:val="24"/>
          <w:lang w:val="en-US"/>
        </w:rPr>
        <w:t>'</w:t>
      </w:r>
      <w:r w:rsidR="00B15885" w:rsidRPr="00706AF1">
        <w:rPr>
          <w:rFonts w:ascii="Arial" w:hAnsi="Arial" w:cs="Arial"/>
          <w:i/>
          <w:iCs/>
          <w:sz w:val="24"/>
          <w:szCs w:val="24"/>
          <w:lang w:val="en-US"/>
        </w:rPr>
        <w:t xml:space="preserve"> affidavit</w:t>
      </w:r>
    </w:p>
    <w:p w14:paraId="1B1A97D9" w14:textId="77777777" w:rsidR="00A931CC" w:rsidRPr="00706AF1" w:rsidRDefault="00A931CC" w:rsidP="00A931CC">
      <w:pPr>
        <w:pStyle w:val="ListParagraph"/>
        <w:rPr>
          <w:rFonts w:ascii="Arial" w:hAnsi="Arial" w:cs="Arial"/>
          <w:sz w:val="24"/>
          <w:szCs w:val="24"/>
          <w:lang w:val="en-US"/>
        </w:rPr>
      </w:pPr>
    </w:p>
    <w:p w14:paraId="55148598" w14:textId="3D8427D0" w:rsidR="00B15885"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[9]</w:t>
      </w:r>
      <w:r w:rsidRPr="00706AF1">
        <w:rPr>
          <w:rFonts w:ascii="Arial" w:hAnsi="Arial" w:cs="Arial"/>
          <w:sz w:val="24"/>
          <w:szCs w:val="24"/>
          <w:lang w:val="en-US"/>
        </w:rPr>
        <w:tab/>
      </w:r>
      <w:r w:rsidR="00B15885" w:rsidRPr="00322852">
        <w:rPr>
          <w:rFonts w:ascii="Arial" w:hAnsi="Arial" w:cs="Arial"/>
          <w:sz w:val="24"/>
          <w:szCs w:val="24"/>
          <w:lang w:val="en-US"/>
        </w:rPr>
        <w:t xml:space="preserve">The plaintiffs do not indicate in the particulars of claim who acted on </w:t>
      </w:r>
      <w:r w:rsidR="00B046B1" w:rsidRPr="00322852">
        <w:rPr>
          <w:rFonts w:ascii="Arial" w:hAnsi="Arial" w:cs="Arial"/>
          <w:sz w:val="24"/>
          <w:szCs w:val="24"/>
          <w:lang w:val="en-US"/>
        </w:rPr>
        <w:t>their</w:t>
      </w:r>
      <w:r w:rsidR="00B15885" w:rsidRPr="00322852">
        <w:rPr>
          <w:rFonts w:ascii="Arial" w:hAnsi="Arial" w:cs="Arial"/>
          <w:sz w:val="24"/>
          <w:szCs w:val="24"/>
          <w:lang w:val="en-US"/>
        </w:rPr>
        <w:t xml:space="preserve"> behalf when</w:t>
      </w:r>
      <w:r w:rsidR="00663453" w:rsidRPr="00322852">
        <w:rPr>
          <w:rFonts w:ascii="Arial" w:hAnsi="Arial" w:cs="Arial"/>
          <w:sz w:val="24"/>
          <w:szCs w:val="24"/>
          <w:lang w:val="en-US"/>
        </w:rPr>
        <w:t xml:space="preserve"> </w:t>
      </w:r>
      <w:r w:rsidR="00B15885" w:rsidRPr="00322852">
        <w:rPr>
          <w:rFonts w:ascii="Arial" w:hAnsi="Arial" w:cs="Arial"/>
          <w:sz w:val="24"/>
          <w:szCs w:val="24"/>
          <w:lang w:val="en-US"/>
        </w:rPr>
        <w:t xml:space="preserve">the written lease agreement </w:t>
      </w:r>
      <w:r w:rsidR="00B046B1" w:rsidRPr="00322852">
        <w:rPr>
          <w:rFonts w:ascii="Arial" w:hAnsi="Arial" w:cs="Arial"/>
          <w:sz w:val="24"/>
          <w:szCs w:val="24"/>
          <w:lang w:val="en-US"/>
        </w:rPr>
        <w:t xml:space="preserve">was unilaterally amended </w:t>
      </w:r>
      <w:r w:rsidR="00B15885" w:rsidRPr="00322852">
        <w:rPr>
          <w:rFonts w:ascii="Arial" w:hAnsi="Arial" w:cs="Arial"/>
          <w:sz w:val="24"/>
          <w:szCs w:val="24"/>
          <w:lang w:val="en-US"/>
        </w:rPr>
        <w:t xml:space="preserve">to provide for the deferment of payment. The plaintiffs did not </w:t>
      </w:r>
      <w:r w:rsidR="00663453" w:rsidRPr="00322852">
        <w:rPr>
          <w:rFonts w:ascii="Arial" w:hAnsi="Arial" w:cs="Arial"/>
          <w:sz w:val="24"/>
          <w:szCs w:val="24"/>
          <w:lang w:val="en-US"/>
        </w:rPr>
        <w:t>indicate</w:t>
      </w:r>
      <w:r w:rsidR="00B15885" w:rsidRPr="00322852">
        <w:rPr>
          <w:rFonts w:ascii="Arial" w:hAnsi="Arial" w:cs="Arial"/>
          <w:sz w:val="24"/>
          <w:szCs w:val="24"/>
          <w:lang w:val="en-US"/>
        </w:rPr>
        <w:t xml:space="preserve"> how this decision was communicated to the </w:t>
      </w:r>
      <w:r w:rsidR="00674AC8" w:rsidRPr="00322852">
        <w:rPr>
          <w:rFonts w:ascii="Arial" w:hAnsi="Arial" w:cs="Arial"/>
          <w:sz w:val="24"/>
          <w:szCs w:val="24"/>
          <w:lang w:val="en-US"/>
        </w:rPr>
        <w:t>defendant</w:t>
      </w:r>
      <w:r w:rsidR="00B15885" w:rsidRPr="00322852">
        <w:rPr>
          <w:rFonts w:ascii="Arial" w:hAnsi="Arial" w:cs="Arial"/>
          <w:sz w:val="24"/>
          <w:szCs w:val="24"/>
          <w:lang w:val="en-US"/>
        </w:rPr>
        <w:t xml:space="preserve">s. I agree with the </w:t>
      </w:r>
      <w:r w:rsidR="00C059DE" w:rsidRPr="00322852">
        <w:rPr>
          <w:rFonts w:ascii="Arial" w:hAnsi="Arial" w:cs="Arial"/>
          <w:sz w:val="24"/>
          <w:szCs w:val="24"/>
          <w:lang w:val="en-US"/>
        </w:rPr>
        <w:t>defendants</w:t>
      </w:r>
      <w:r w:rsidR="00B15885" w:rsidRPr="00322852">
        <w:rPr>
          <w:rFonts w:ascii="Arial" w:hAnsi="Arial" w:cs="Arial"/>
          <w:sz w:val="24"/>
          <w:szCs w:val="24"/>
          <w:lang w:val="en-US"/>
        </w:rPr>
        <w:t xml:space="preserve"> that </w:t>
      </w:r>
      <w:r w:rsidR="008F587A" w:rsidRPr="00322852">
        <w:rPr>
          <w:rFonts w:ascii="Arial" w:hAnsi="Arial" w:cs="Arial"/>
          <w:sz w:val="24"/>
          <w:szCs w:val="24"/>
          <w:lang w:val="en-US"/>
        </w:rPr>
        <w:t xml:space="preserve">sufficient and direct </w:t>
      </w:r>
      <w:r w:rsidR="00B15885" w:rsidRPr="00322852">
        <w:rPr>
          <w:rFonts w:ascii="Arial" w:hAnsi="Arial" w:cs="Arial"/>
          <w:sz w:val="24"/>
          <w:szCs w:val="24"/>
          <w:lang w:val="en-US"/>
        </w:rPr>
        <w:t xml:space="preserve">knowledge </w:t>
      </w:r>
      <w:r w:rsidR="008F587A" w:rsidRPr="00322852">
        <w:rPr>
          <w:rFonts w:ascii="Arial" w:hAnsi="Arial" w:cs="Arial"/>
          <w:sz w:val="24"/>
          <w:szCs w:val="24"/>
          <w:lang w:val="en-US"/>
        </w:rPr>
        <w:t xml:space="preserve">of the salient facts </w:t>
      </w:r>
      <w:r w:rsidR="00B15885" w:rsidRPr="00322852">
        <w:rPr>
          <w:rFonts w:ascii="Arial" w:hAnsi="Arial" w:cs="Arial"/>
          <w:sz w:val="24"/>
          <w:szCs w:val="24"/>
          <w:lang w:val="en-US"/>
        </w:rPr>
        <w:t>regarding the amendment of the written lease agreement cannot be ascribed to Mr. Moorcr</w:t>
      </w:r>
      <w:r w:rsidR="00842F21" w:rsidRPr="00322852">
        <w:rPr>
          <w:rFonts w:ascii="Arial" w:hAnsi="Arial" w:cs="Arial"/>
          <w:sz w:val="24"/>
          <w:szCs w:val="24"/>
          <w:lang w:val="en-US"/>
        </w:rPr>
        <w:t>o</w:t>
      </w:r>
      <w:r w:rsidR="00B15885" w:rsidRPr="00322852">
        <w:rPr>
          <w:rFonts w:ascii="Arial" w:hAnsi="Arial" w:cs="Arial"/>
          <w:sz w:val="24"/>
          <w:szCs w:val="24"/>
          <w:lang w:val="en-US"/>
        </w:rPr>
        <w:t>ft, the deponent to the plaintiffs</w:t>
      </w:r>
      <w:r w:rsidR="000961C9" w:rsidRPr="00322852">
        <w:rPr>
          <w:rFonts w:ascii="Arial" w:hAnsi="Arial" w:cs="Arial"/>
          <w:sz w:val="24"/>
          <w:szCs w:val="24"/>
          <w:lang w:val="en-US"/>
        </w:rPr>
        <w:t>'</w:t>
      </w:r>
      <w:r w:rsidR="00B15885" w:rsidRPr="00322852">
        <w:rPr>
          <w:rFonts w:ascii="Arial" w:hAnsi="Arial" w:cs="Arial"/>
          <w:sz w:val="24"/>
          <w:szCs w:val="24"/>
          <w:lang w:val="en-US"/>
        </w:rPr>
        <w:t xml:space="preserve"> affidavit in support of summary judgment, in the absence of him expressly stating that he was aware of the arrangement.</w:t>
      </w:r>
    </w:p>
    <w:p w14:paraId="4A2029C4" w14:textId="77777777" w:rsidR="00B15885" w:rsidRPr="00706AF1" w:rsidRDefault="00B15885" w:rsidP="00B15885">
      <w:pPr>
        <w:tabs>
          <w:tab w:val="left" w:pos="4917"/>
        </w:tabs>
        <w:spacing w:before="120" w:after="120" w:line="360" w:lineRule="auto"/>
        <w:jc w:val="both"/>
        <w:rPr>
          <w:rFonts w:ascii="Arial" w:hAnsi="Arial" w:cs="Arial"/>
          <w:sz w:val="24"/>
          <w:szCs w:val="24"/>
          <w:lang w:val="en-US"/>
        </w:rPr>
      </w:pPr>
    </w:p>
    <w:p w14:paraId="32D90A87" w14:textId="4958A4EF" w:rsidR="00A931CC" w:rsidRPr="00706AF1" w:rsidRDefault="00B15885" w:rsidP="00B15885">
      <w:pPr>
        <w:tabs>
          <w:tab w:val="left" w:pos="4917"/>
        </w:tabs>
        <w:spacing w:before="120" w:after="120" w:line="360" w:lineRule="auto"/>
        <w:jc w:val="both"/>
        <w:rPr>
          <w:rFonts w:ascii="Arial" w:hAnsi="Arial" w:cs="Arial"/>
          <w:sz w:val="24"/>
          <w:szCs w:val="24"/>
          <w:lang w:val="en-US"/>
        </w:rPr>
      </w:pPr>
      <w:r w:rsidRPr="00706AF1">
        <w:rPr>
          <w:rFonts w:ascii="Arial" w:hAnsi="Arial" w:cs="Arial"/>
          <w:i/>
          <w:iCs/>
          <w:sz w:val="24"/>
          <w:szCs w:val="24"/>
          <w:lang w:val="en-US"/>
        </w:rPr>
        <w:lastRenderedPageBreak/>
        <w:t>Re: Triable issue</w:t>
      </w:r>
      <w:r w:rsidR="001F4D35" w:rsidRPr="00706AF1">
        <w:rPr>
          <w:rFonts w:ascii="Arial" w:hAnsi="Arial" w:cs="Arial"/>
          <w:i/>
          <w:iCs/>
          <w:sz w:val="24"/>
          <w:szCs w:val="24"/>
          <w:lang w:val="en-US"/>
        </w:rPr>
        <w:t>s</w:t>
      </w:r>
    </w:p>
    <w:p w14:paraId="0B6215A1" w14:textId="77777777" w:rsidR="00A931CC" w:rsidRPr="00706AF1" w:rsidRDefault="00A931CC" w:rsidP="00A931CC">
      <w:pPr>
        <w:pStyle w:val="ListParagraph"/>
        <w:rPr>
          <w:rFonts w:ascii="Arial" w:hAnsi="Arial" w:cs="Arial"/>
          <w:sz w:val="24"/>
          <w:szCs w:val="24"/>
          <w:lang w:val="en-US"/>
        </w:rPr>
      </w:pPr>
    </w:p>
    <w:p w14:paraId="11A1C92B" w14:textId="6C1213CE" w:rsidR="000C1FED"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[10]</w:t>
      </w:r>
      <w:r w:rsidRPr="00706AF1">
        <w:rPr>
          <w:rFonts w:ascii="Arial" w:hAnsi="Arial" w:cs="Arial"/>
          <w:sz w:val="24"/>
          <w:szCs w:val="24"/>
          <w:lang w:val="en-US"/>
        </w:rPr>
        <w:tab/>
      </w:r>
      <w:r w:rsidR="000C1FED" w:rsidRPr="00322852">
        <w:rPr>
          <w:rFonts w:ascii="Arial" w:hAnsi="Arial" w:cs="Arial"/>
          <w:sz w:val="24"/>
          <w:szCs w:val="24"/>
          <w:lang w:val="en-US"/>
        </w:rPr>
        <w:t>The plaintiffs claim that payments in terms of the written lease agreement were unilaterally deferred, while the defendant</w:t>
      </w:r>
      <w:r w:rsidR="001F4D35" w:rsidRPr="00322852">
        <w:rPr>
          <w:rFonts w:ascii="Arial" w:hAnsi="Arial" w:cs="Arial"/>
          <w:sz w:val="24"/>
          <w:szCs w:val="24"/>
          <w:lang w:val="en-US"/>
        </w:rPr>
        <w:t>s claim that the first defendant was provided a 50% discount.</w:t>
      </w:r>
      <w:r w:rsidR="00EB7659" w:rsidRPr="00322852">
        <w:rPr>
          <w:rFonts w:ascii="Arial" w:hAnsi="Arial" w:cs="Arial"/>
          <w:sz w:val="24"/>
          <w:szCs w:val="24"/>
          <w:lang w:val="en-US"/>
        </w:rPr>
        <w:t xml:space="preserve"> I am alive thereto that the written lease agreement contains a non-variation clause, but the plaintiffs pleaded that </w:t>
      </w:r>
      <w:r w:rsidR="001F4D35" w:rsidRPr="00322852">
        <w:rPr>
          <w:rFonts w:ascii="Arial" w:hAnsi="Arial" w:cs="Arial"/>
          <w:sz w:val="24"/>
          <w:szCs w:val="24"/>
          <w:lang w:val="en-US"/>
        </w:rPr>
        <w:t xml:space="preserve"> </w:t>
      </w:r>
      <w:r w:rsidR="006C6737" w:rsidRPr="00322852">
        <w:rPr>
          <w:rFonts w:ascii="Arial" w:hAnsi="Arial" w:cs="Arial"/>
          <w:sz w:val="24"/>
          <w:szCs w:val="24"/>
          <w:lang w:val="en-US"/>
        </w:rPr>
        <w:t xml:space="preserve">an </w:t>
      </w:r>
      <w:r w:rsidR="000961C9" w:rsidRPr="00322852">
        <w:rPr>
          <w:rFonts w:ascii="Arial" w:hAnsi="Arial" w:cs="Arial"/>
          <w:sz w:val="24"/>
          <w:szCs w:val="24"/>
          <w:lang w:val="en-US"/>
        </w:rPr>
        <w:t>'</w:t>
      </w:r>
      <w:r w:rsidR="006C6737" w:rsidRPr="00322852">
        <w:rPr>
          <w:rFonts w:ascii="Arial" w:hAnsi="Arial" w:cs="Arial"/>
          <w:sz w:val="24"/>
          <w:szCs w:val="24"/>
          <w:lang w:val="en-US"/>
        </w:rPr>
        <w:t>amendment to the written terms of the lease was done unilaterally by the plaintiffs.</w:t>
      </w:r>
      <w:r w:rsidR="000961C9" w:rsidRPr="00322852">
        <w:rPr>
          <w:rFonts w:ascii="Arial" w:hAnsi="Arial" w:cs="Arial"/>
          <w:sz w:val="24"/>
          <w:szCs w:val="24"/>
          <w:lang w:val="en-US"/>
        </w:rPr>
        <w:t>'</w:t>
      </w:r>
      <w:r w:rsidR="006C6737" w:rsidRPr="00322852">
        <w:rPr>
          <w:rFonts w:ascii="Arial" w:hAnsi="Arial" w:cs="Arial"/>
          <w:sz w:val="24"/>
          <w:szCs w:val="24"/>
          <w:lang w:val="en-US"/>
        </w:rPr>
        <w:t xml:space="preserve"> </w:t>
      </w:r>
      <w:r w:rsidR="001F4D35" w:rsidRPr="00322852">
        <w:rPr>
          <w:rFonts w:ascii="Arial" w:hAnsi="Arial" w:cs="Arial"/>
          <w:sz w:val="24"/>
          <w:szCs w:val="24"/>
          <w:lang w:val="en-US"/>
        </w:rPr>
        <w:t>I am of the view that this aspect raises a triable issue.</w:t>
      </w:r>
    </w:p>
    <w:p w14:paraId="54F6C753" w14:textId="77777777" w:rsidR="006C6737" w:rsidRPr="00706AF1" w:rsidRDefault="006C6737" w:rsidP="006C6737">
      <w:pPr>
        <w:pStyle w:val="ListParagraph"/>
        <w:tabs>
          <w:tab w:val="left" w:pos="4917"/>
        </w:tabs>
        <w:spacing w:before="120" w:after="120" w:line="360" w:lineRule="auto"/>
        <w:jc w:val="both"/>
        <w:rPr>
          <w:rFonts w:ascii="Arial" w:hAnsi="Arial" w:cs="Arial"/>
          <w:sz w:val="24"/>
          <w:szCs w:val="24"/>
          <w:lang w:val="en-US"/>
        </w:rPr>
      </w:pPr>
    </w:p>
    <w:p w14:paraId="6EDF5E9D" w14:textId="5AE95B3C" w:rsidR="00A931CC"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[11]</w:t>
      </w:r>
      <w:r w:rsidRPr="00706AF1">
        <w:rPr>
          <w:rFonts w:ascii="Arial" w:hAnsi="Arial" w:cs="Arial"/>
          <w:sz w:val="24"/>
          <w:szCs w:val="24"/>
          <w:lang w:val="en-US"/>
        </w:rPr>
        <w:tab/>
      </w:r>
      <w:r w:rsidR="00B15885" w:rsidRPr="00322852">
        <w:rPr>
          <w:rFonts w:ascii="Arial" w:hAnsi="Arial" w:cs="Arial"/>
          <w:sz w:val="24"/>
          <w:szCs w:val="24"/>
          <w:lang w:val="en-US"/>
        </w:rPr>
        <w:t xml:space="preserve">The defendants </w:t>
      </w:r>
      <w:r w:rsidR="008A2F8F" w:rsidRPr="00322852">
        <w:rPr>
          <w:rFonts w:ascii="Arial" w:hAnsi="Arial" w:cs="Arial"/>
          <w:sz w:val="24"/>
          <w:szCs w:val="24"/>
          <w:lang w:val="en-US"/>
        </w:rPr>
        <w:t xml:space="preserve">referred to </w:t>
      </w:r>
      <w:r w:rsidR="008A2F8F" w:rsidRPr="00322852">
        <w:rPr>
          <w:rFonts w:ascii="Arial" w:hAnsi="Arial" w:cs="Arial"/>
          <w:i/>
          <w:iCs/>
          <w:sz w:val="24"/>
          <w:szCs w:val="24"/>
          <w:lang w:val="en-US"/>
        </w:rPr>
        <w:t>Butcher Shop and Grill CC v Trustees for the Time Being of the Bymyan Trust</w:t>
      </w:r>
      <w:r w:rsidR="000D696B" w:rsidRPr="00322852">
        <w:rPr>
          <w:rFonts w:ascii="Arial" w:hAnsi="Arial" w:cs="Arial"/>
          <w:i/>
          <w:iCs/>
          <w:sz w:val="24"/>
          <w:szCs w:val="24"/>
          <w:lang w:val="en-US"/>
        </w:rPr>
        <w:t>,</w:t>
      </w:r>
      <w:r w:rsidR="00DC7029" w:rsidRPr="00706AF1">
        <w:rPr>
          <w:rStyle w:val="FootnoteReference"/>
          <w:rFonts w:ascii="Arial" w:hAnsi="Arial" w:cs="Arial"/>
          <w:i/>
          <w:iCs/>
          <w:sz w:val="24"/>
          <w:szCs w:val="24"/>
          <w:lang w:val="en-US"/>
        </w:rPr>
        <w:footnoteReference w:id="2"/>
      </w:r>
      <w:r w:rsidR="000D696B" w:rsidRPr="00322852">
        <w:rPr>
          <w:rFonts w:ascii="Arial" w:hAnsi="Arial" w:cs="Arial"/>
          <w:sz w:val="24"/>
          <w:szCs w:val="24"/>
          <w:lang w:val="en-US"/>
        </w:rPr>
        <w:t xml:space="preserve"> where the Supreme Court of Appeal</w:t>
      </w:r>
      <w:r w:rsidR="00D80722" w:rsidRPr="00322852">
        <w:rPr>
          <w:rFonts w:ascii="Arial" w:hAnsi="Arial" w:cs="Arial"/>
          <w:sz w:val="24"/>
          <w:szCs w:val="24"/>
          <w:lang w:val="en-US"/>
        </w:rPr>
        <w:t xml:space="preserve"> reiterated that </w:t>
      </w:r>
      <w:r w:rsidR="00332FD7" w:rsidRPr="00322852">
        <w:rPr>
          <w:rFonts w:ascii="Arial" w:hAnsi="Arial" w:cs="Arial"/>
          <w:sz w:val="24"/>
          <w:szCs w:val="24"/>
          <w:lang w:val="en-US"/>
        </w:rPr>
        <w:t xml:space="preserve">unless the right to claim remission of rent in circumstances of </w:t>
      </w:r>
      <w:r w:rsidR="00332FD7" w:rsidRPr="00322852">
        <w:rPr>
          <w:rFonts w:ascii="Arial" w:hAnsi="Arial" w:cs="Arial"/>
          <w:i/>
          <w:iCs/>
          <w:sz w:val="24"/>
          <w:szCs w:val="24"/>
          <w:lang w:val="en-US"/>
        </w:rPr>
        <w:t>vis mayor</w:t>
      </w:r>
      <w:r w:rsidR="00332FD7" w:rsidRPr="00322852">
        <w:rPr>
          <w:rFonts w:ascii="Arial" w:hAnsi="Arial" w:cs="Arial"/>
          <w:sz w:val="24"/>
          <w:szCs w:val="24"/>
          <w:lang w:val="en-US"/>
        </w:rPr>
        <w:t xml:space="preserve"> is</w:t>
      </w:r>
      <w:r w:rsidR="00601CCA" w:rsidRPr="00322852">
        <w:rPr>
          <w:rFonts w:ascii="Arial" w:hAnsi="Arial" w:cs="Arial"/>
          <w:sz w:val="24"/>
          <w:szCs w:val="24"/>
          <w:lang w:val="en-US"/>
        </w:rPr>
        <w:t xml:space="preserve"> expressly</w:t>
      </w:r>
      <w:r w:rsidR="00A3266D" w:rsidRPr="00322852">
        <w:rPr>
          <w:rFonts w:ascii="Arial" w:hAnsi="Arial" w:cs="Arial"/>
          <w:sz w:val="24"/>
          <w:szCs w:val="24"/>
          <w:lang w:val="en-US"/>
        </w:rPr>
        <w:t xml:space="preserve"> limited or excluded in an agreement, </w:t>
      </w:r>
      <w:r w:rsidR="00360FC9" w:rsidRPr="00322852">
        <w:rPr>
          <w:rFonts w:ascii="Arial" w:hAnsi="Arial" w:cs="Arial"/>
          <w:sz w:val="24"/>
          <w:szCs w:val="24"/>
          <w:lang w:val="en-US"/>
        </w:rPr>
        <w:t>a lessee is entitled to remission of rent either wholly or in part.</w:t>
      </w:r>
    </w:p>
    <w:p w14:paraId="2502F50B" w14:textId="77777777" w:rsidR="00CC7EB6" w:rsidRPr="00706AF1" w:rsidRDefault="00CC7EB6" w:rsidP="00CC7EB6">
      <w:pPr>
        <w:pStyle w:val="ListParagraph"/>
        <w:tabs>
          <w:tab w:val="left" w:pos="4917"/>
        </w:tabs>
        <w:spacing w:before="120" w:after="120" w:line="360" w:lineRule="auto"/>
        <w:jc w:val="both"/>
        <w:rPr>
          <w:rFonts w:ascii="Arial" w:hAnsi="Arial" w:cs="Arial"/>
          <w:sz w:val="24"/>
          <w:szCs w:val="24"/>
          <w:lang w:val="en-US"/>
        </w:rPr>
      </w:pPr>
    </w:p>
    <w:p w14:paraId="462B209C" w14:textId="6937FFD1" w:rsidR="00CC7EB6"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[12]</w:t>
      </w:r>
      <w:r w:rsidRPr="00706AF1">
        <w:rPr>
          <w:rFonts w:ascii="Arial" w:hAnsi="Arial" w:cs="Arial"/>
          <w:sz w:val="24"/>
          <w:szCs w:val="24"/>
          <w:lang w:val="en-US"/>
        </w:rPr>
        <w:tab/>
      </w:r>
      <w:r w:rsidR="00CC7EB6" w:rsidRPr="00322852">
        <w:rPr>
          <w:rFonts w:ascii="Arial" w:hAnsi="Arial" w:cs="Arial"/>
          <w:sz w:val="24"/>
          <w:szCs w:val="24"/>
          <w:lang w:val="en-US"/>
        </w:rPr>
        <w:t xml:space="preserve">Clause </w:t>
      </w:r>
      <w:r w:rsidR="008F7D64" w:rsidRPr="00322852">
        <w:rPr>
          <w:rFonts w:ascii="Arial" w:hAnsi="Arial" w:cs="Arial"/>
          <w:sz w:val="24"/>
          <w:szCs w:val="24"/>
          <w:lang w:val="en-US"/>
        </w:rPr>
        <w:t>23.1 deals with remission of rent and provides as follows:</w:t>
      </w:r>
    </w:p>
    <w:p w14:paraId="7F9595B5" w14:textId="77777777" w:rsidR="008F7D64" w:rsidRPr="00706AF1" w:rsidRDefault="008F7D64" w:rsidP="008F7D64">
      <w:pPr>
        <w:pStyle w:val="ListParagraph"/>
        <w:rPr>
          <w:rFonts w:ascii="Arial" w:hAnsi="Arial" w:cs="Arial"/>
          <w:sz w:val="24"/>
          <w:szCs w:val="24"/>
          <w:lang w:val="en-US"/>
        </w:rPr>
      </w:pPr>
    </w:p>
    <w:p w14:paraId="3F7B7DCA" w14:textId="083CDEC8" w:rsidR="008F7D64" w:rsidRPr="00706AF1" w:rsidRDefault="000961C9" w:rsidP="00B63726">
      <w:pPr>
        <w:pStyle w:val="ListParagraph"/>
        <w:tabs>
          <w:tab w:val="left" w:pos="4917"/>
        </w:tabs>
        <w:spacing w:before="120" w:after="120" w:line="360" w:lineRule="auto"/>
        <w:ind w:left="1008" w:right="1008"/>
        <w:jc w:val="both"/>
        <w:rPr>
          <w:rFonts w:ascii="Arial" w:hAnsi="Arial" w:cs="Arial"/>
          <w:sz w:val="24"/>
          <w:szCs w:val="24"/>
          <w:lang w:val="en-US"/>
        </w:rPr>
      </w:pPr>
      <w:r w:rsidRPr="00706AF1">
        <w:rPr>
          <w:rFonts w:ascii="Arial" w:hAnsi="Arial" w:cs="Arial"/>
          <w:sz w:val="24"/>
          <w:szCs w:val="24"/>
          <w:lang w:val="en-US"/>
        </w:rPr>
        <w:t>'</w:t>
      </w:r>
      <w:r w:rsidR="003139B8" w:rsidRPr="00706AF1">
        <w:rPr>
          <w:rFonts w:ascii="Arial" w:hAnsi="Arial" w:cs="Arial"/>
          <w:sz w:val="24"/>
          <w:szCs w:val="24"/>
          <w:lang w:val="en-US"/>
        </w:rPr>
        <w:t>T</w:t>
      </w:r>
      <w:r w:rsidR="007041E9" w:rsidRPr="00706AF1">
        <w:rPr>
          <w:rFonts w:ascii="Arial" w:hAnsi="Arial" w:cs="Arial"/>
          <w:sz w:val="24"/>
          <w:szCs w:val="24"/>
          <w:lang w:val="en-US"/>
        </w:rPr>
        <w:t xml:space="preserve">he </w:t>
      </w:r>
      <w:r w:rsidR="003139B8" w:rsidRPr="00706AF1">
        <w:rPr>
          <w:rFonts w:ascii="Arial" w:hAnsi="Arial" w:cs="Arial"/>
          <w:sz w:val="24"/>
          <w:szCs w:val="24"/>
          <w:lang w:val="en-US"/>
        </w:rPr>
        <w:t>T</w:t>
      </w:r>
      <w:r w:rsidR="007041E9" w:rsidRPr="00706AF1">
        <w:rPr>
          <w:rFonts w:ascii="Arial" w:hAnsi="Arial" w:cs="Arial"/>
          <w:sz w:val="24"/>
          <w:szCs w:val="24"/>
          <w:lang w:val="en-US"/>
        </w:rPr>
        <w:t xml:space="preserve">enant shall have no claim or right of action of whatsoever nature against the </w:t>
      </w:r>
      <w:r w:rsidR="003139B8" w:rsidRPr="00706AF1">
        <w:rPr>
          <w:rFonts w:ascii="Arial" w:hAnsi="Arial" w:cs="Arial"/>
          <w:sz w:val="24"/>
          <w:szCs w:val="24"/>
          <w:lang w:val="en-US"/>
        </w:rPr>
        <w:t>L</w:t>
      </w:r>
      <w:r w:rsidR="007041E9" w:rsidRPr="00706AF1">
        <w:rPr>
          <w:rFonts w:ascii="Arial" w:hAnsi="Arial" w:cs="Arial"/>
          <w:sz w:val="24"/>
          <w:szCs w:val="24"/>
          <w:lang w:val="en-US"/>
        </w:rPr>
        <w:t xml:space="preserve">andlord for damages, loss or otherwise, nor shall it be entitled to withhold or defer payment of rent, nor shall the </w:t>
      </w:r>
      <w:r w:rsidR="003139B8" w:rsidRPr="00706AF1">
        <w:rPr>
          <w:rFonts w:ascii="Arial" w:hAnsi="Arial" w:cs="Arial"/>
          <w:sz w:val="24"/>
          <w:szCs w:val="24"/>
          <w:lang w:val="en-US"/>
        </w:rPr>
        <w:t>T</w:t>
      </w:r>
      <w:r w:rsidR="007041E9" w:rsidRPr="00706AF1">
        <w:rPr>
          <w:rFonts w:ascii="Arial" w:hAnsi="Arial" w:cs="Arial"/>
          <w:sz w:val="24"/>
          <w:szCs w:val="24"/>
          <w:lang w:val="en-US"/>
        </w:rPr>
        <w:t xml:space="preserve">enant be entitled to a remission of rent, by reason of an overflow of water supply or fire or any leakage or any electrical fault or by reason of the elements of the weather </w:t>
      </w:r>
      <w:r w:rsidR="002375CD" w:rsidRPr="00706AF1">
        <w:rPr>
          <w:rFonts w:ascii="Arial" w:hAnsi="Arial" w:cs="Arial"/>
          <w:sz w:val="24"/>
          <w:szCs w:val="24"/>
          <w:lang w:val="en-US"/>
        </w:rPr>
        <w:t>or</w:t>
      </w:r>
      <w:r w:rsidR="007041E9" w:rsidRPr="00706AF1">
        <w:rPr>
          <w:rFonts w:ascii="Arial" w:hAnsi="Arial" w:cs="Arial"/>
          <w:sz w:val="24"/>
          <w:szCs w:val="24"/>
          <w:lang w:val="en-US"/>
        </w:rPr>
        <w:t xml:space="preserve"> by reason of the </w:t>
      </w:r>
      <w:r w:rsidR="002375CD" w:rsidRPr="00706AF1">
        <w:rPr>
          <w:rFonts w:ascii="Arial" w:hAnsi="Arial" w:cs="Arial"/>
          <w:sz w:val="24"/>
          <w:szCs w:val="24"/>
          <w:lang w:val="en-US"/>
        </w:rPr>
        <w:t>Leased</w:t>
      </w:r>
      <w:r w:rsidR="007041E9" w:rsidRPr="00706AF1">
        <w:rPr>
          <w:rFonts w:ascii="Arial" w:hAnsi="Arial" w:cs="Arial"/>
          <w:sz w:val="24"/>
          <w:szCs w:val="24"/>
          <w:lang w:val="en-US"/>
        </w:rPr>
        <w:t xml:space="preserve"> </w:t>
      </w:r>
      <w:r w:rsidR="002375CD" w:rsidRPr="00706AF1">
        <w:rPr>
          <w:rFonts w:ascii="Arial" w:hAnsi="Arial" w:cs="Arial"/>
          <w:sz w:val="24"/>
          <w:szCs w:val="24"/>
          <w:lang w:val="en-US"/>
        </w:rPr>
        <w:t>P</w:t>
      </w:r>
      <w:r w:rsidR="007041E9" w:rsidRPr="00706AF1">
        <w:rPr>
          <w:rFonts w:ascii="Arial" w:hAnsi="Arial" w:cs="Arial"/>
          <w:sz w:val="24"/>
          <w:szCs w:val="24"/>
          <w:lang w:val="en-US"/>
        </w:rPr>
        <w:t xml:space="preserve">remises or any part of the </w:t>
      </w:r>
      <w:r w:rsidR="002375CD" w:rsidRPr="00706AF1">
        <w:rPr>
          <w:rFonts w:ascii="Arial" w:hAnsi="Arial" w:cs="Arial"/>
          <w:sz w:val="24"/>
          <w:szCs w:val="24"/>
          <w:lang w:val="en-US"/>
        </w:rPr>
        <w:t>B</w:t>
      </w:r>
      <w:r w:rsidR="007041E9" w:rsidRPr="00706AF1">
        <w:rPr>
          <w:rFonts w:ascii="Arial" w:hAnsi="Arial" w:cs="Arial"/>
          <w:sz w:val="24"/>
          <w:szCs w:val="24"/>
          <w:lang w:val="en-US"/>
        </w:rPr>
        <w:t xml:space="preserve">uilding or </w:t>
      </w:r>
      <w:r w:rsidR="002375CD" w:rsidRPr="00706AF1">
        <w:rPr>
          <w:rFonts w:ascii="Arial" w:hAnsi="Arial" w:cs="Arial"/>
          <w:sz w:val="24"/>
          <w:szCs w:val="24"/>
          <w:lang w:val="en-US"/>
        </w:rPr>
        <w:t>P</w:t>
      </w:r>
      <w:r w:rsidR="007041E9" w:rsidRPr="00706AF1">
        <w:rPr>
          <w:rFonts w:ascii="Arial" w:hAnsi="Arial" w:cs="Arial"/>
          <w:sz w:val="24"/>
          <w:szCs w:val="24"/>
          <w:lang w:val="en-US"/>
        </w:rPr>
        <w:t>roperty being in a</w:t>
      </w:r>
      <w:r w:rsidR="007C6F1A" w:rsidRPr="00706AF1">
        <w:rPr>
          <w:rFonts w:ascii="Arial" w:hAnsi="Arial" w:cs="Arial"/>
          <w:sz w:val="24"/>
          <w:szCs w:val="24"/>
          <w:lang w:val="en-US"/>
        </w:rPr>
        <w:t xml:space="preserve"> d</w:t>
      </w:r>
      <w:r w:rsidR="007041E9" w:rsidRPr="00706AF1">
        <w:rPr>
          <w:rFonts w:ascii="Arial" w:hAnsi="Arial" w:cs="Arial"/>
          <w:sz w:val="24"/>
          <w:szCs w:val="24"/>
          <w:lang w:val="en-US"/>
        </w:rPr>
        <w:t xml:space="preserve">efective condition or falling into despair or any particular repairs not being affected by the </w:t>
      </w:r>
      <w:r w:rsidR="007C6F1A" w:rsidRPr="00706AF1">
        <w:rPr>
          <w:rFonts w:ascii="Arial" w:hAnsi="Arial" w:cs="Arial"/>
          <w:sz w:val="24"/>
          <w:szCs w:val="24"/>
          <w:lang w:val="en-US"/>
        </w:rPr>
        <w:t>L</w:t>
      </w:r>
      <w:r w:rsidR="007041E9" w:rsidRPr="00706AF1">
        <w:rPr>
          <w:rFonts w:ascii="Arial" w:hAnsi="Arial" w:cs="Arial"/>
          <w:sz w:val="24"/>
          <w:szCs w:val="24"/>
          <w:lang w:val="en-US"/>
        </w:rPr>
        <w:t xml:space="preserve">andlord or by reason of their being any defect in the equipment of the </w:t>
      </w:r>
      <w:r w:rsidR="007C6F1A" w:rsidRPr="00706AF1">
        <w:rPr>
          <w:rFonts w:ascii="Arial" w:hAnsi="Arial" w:cs="Arial"/>
          <w:sz w:val="24"/>
          <w:szCs w:val="24"/>
          <w:lang w:val="en-US"/>
        </w:rPr>
        <w:t>L</w:t>
      </w:r>
      <w:r w:rsidR="007041E9" w:rsidRPr="00706AF1">
        <w:rPr>
          <w:rFonts w:ascii="Arial" w:hAnsi="Arial" w:cs="Arial"/>
          <w:sz w:val="24"/>
          <w:szCs w:val="24"/>
          <w:lang w:val="en-US"/>
        </w:rPr>
        <w:t>andlord</w:t>
      </w:r>
      <w:r w:rsidR="003139B8" w:rsidRPr="00706AF1">
        <w:rPr>
          <w:rFonts w:ascii="Arial" w:hAnsi="Arial" w:cs="Arial"/>
          <w:sz w:val="24"/>
          <w:szCs w:val="24"/>
          <w:lang w:val="en-US"/>
        </w:rPr>
        <w:t xml:space="preserve"> or as a result of any </w:t>
      </w:r>
      <w:r w:rsidR="003C3BAB" w:rsidRPr="00706AF1">
        <w:rPr>
          <w:rFonts w:ascii="Arial" w:hAnsi="Arial" w:cs="Arial"/>
          <w:sz w:val="24"/>
          <w:szCs w:val="24"/>
          <w:lang w:val="en-US"/>
        </w:rPr>
        <w:t xml:space="preserve">other </w:t>
      </w:r>
      <w:r w:rsidR="003139B8" w:rsidRPr="00706AF1">
        <w:rPr>
          <w:rFonts w:ascii="Arial" w:hAnsi="Arial" w:cs="Arial"/>
          <w:sz w:val="24"/>
          <w:szCs w:val="24"/>
          <w:lang w:val="en-US"/>
        </w:rPr>
        <w:t>cause whatsoever.</w:t>
      </w:r>
      <w:r w:rsidRPr="00706AF1">
        <w:rPr>
          <w:rFonts w:ascii="Arial" w:hAnsi="Arial" w:cs="Arial"/>
          <w:sz w:val="24"/>
          <w:szCs w:val="24"/>
          <w:lang w:val="en-US"/>
        </w:rPr>
        <w:t>'</w:t>
      </w:r>
    </w:p>
    <w:p w14:paraId="1573CF2D" w14:textId="77777777" w:rsidR="0081069D" w:rsidRPr="00706AF1" w:rsidRDefault="0081069D" w:rsidP="0081069D">
      <w:pPr>
        <w:pStyle w:val="ListParagraph"/>
        <w:rPr>
          <w:rFonts w:ascii="Arial" w:hAnsi="Arial" w:cs="Arial"/>
          <w:sz w:val="24"/>
          <w:szCs w:val="24"/>
          <w:lang w:val="en-US"/>
        </w:rPr>
      </w:pPr>
    </w:p>
    <w:p w14:paraId="2C716671" w14:textId="0A803339" w:rsidR="0081069D"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lastRenderedPageBreak/>
        <w:t>[13]</w:t>
      </w:r>
      <w:r w:rsidRPr="00706AF1">
        <w:rPr>
          <w:rFonts w:ascii="Arial" w:hAnsi="Arial" w:cs="Arial"/>
          <w:sz w:val="24"/>
          <w:szCs w:val="24"/>
          <w:lang w:val="en-US"/>
        </w:rPr>
        <w:tab/>
      </w:r>
      <w:r w:rsidR="00FB6F05" w:rsidRPr="00322852">
        <w:rPr>
          <w:rFonts w:ascii="Arial" w:hAnsi="Arial" w:cs="Arial"/>
          <w:sz w:val="24"/>
          <w:szCs w:val="24"/>
          <w:lang w:val="en-US"/>
        </w:rPr>
        <w:t xml:space="preserve">Clause 23.1 of the agreement needs to be interpreted in order to determine whether the consequences of the Covid-19 pandemic and the regulatory restriction on conducting business are included in the term </w:t>
      </w:r>
      <w:r w:rsidR="000961C9" w:rsidRPr="00322852">
        <w:rPr>
          <w:rFonts w:ascii="Arial" w:hAnsi="Arial" w:cs="Arial"/>
          <w:sz w:val="24"/>
          <w:szCs w:val="24"/>
          <w:lang w:val="en-US"/>
        </w:rPr>
        <w:t>'</w:t>
      </w:r>
      <w:r w:rsidR="003C3BAB" w:rsidRPr="00322852">
        <w:rPr>
          <w:rFonts w:ascii="Arial" w:hAnsi="Arial" w:cs="Arial"/>
          <w:sz w:val="24"/>
          <w:szCs w:val="24"/>
          <w:lang w:val="en-US"/>
        </w:rPr>
        <w:t>any other cause whatsoever</w:t>
      </w:r>
      <w:r w:rsidR="000961C9" w:rsidRPr="00322852">
        <w:rPr>
          <w:rFonts w:ascii="Arial" w:hAnsi="Arial" w:cs="Arial"/>
          <w:sz w:val="24"/>
          <w:szCs w:val="24"/>
          <w:lang w:val="en-US"/>
        </w:rPr>
        <w:t>'</w:t>
      </w:r>
      <w:r w:rsidR="003C3BAB" w:rsidRPr="00322852">
        <w:rPr>
          <w:rFonts w:ascii="Arial" w:hAnsi="Arial" w:cs="Arial"/>
          <w:sz w:val="24"/>
          <w:szCs w:val="24"/>
          <w:lang w:val="en-US"/>
        </w:rPr>
        <w:t>.</w:t>
      </w:r>
    </w:p>
    <w:p w14:paraId="5A2016A0" w14:textId="77777777" w:rsidR="0081069D" w:rsidRPr="00706AF1" w:rsidRDefault="0081069D" w:rsidP="0081069D">
      <w:pPr>
        <w:pStyle w:val="ListParagraph"/>
        <w:rPr>
          <w:rFonts w:ascii="Arial" w:hAnsi="Arial" w:cs="Arial"/>
          <w:sz w:val="24"/>
          <w:szCs w:val="24"/>
          <w:lang w:val="en-US"/>
        </w:rPr>
      </w:pPr>
    </w:p>
    <w:p w14:paraId="2D18D4A4" w14:textId="4DE876B9" w:rsidR="0081069D"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[14]</w:t>
      </w:r>
      <w:r w:rsidRPr="00706AF1">
        <w:rPr>
          <w:rFonts w:ascii="Arial" w:hAnsi="Arial" w:cs="Arial"/>
          <w:sz w:val="24"/>
          <w:szCs w:val="24"/>
          <w:lang w:val="en-US"/>
        </w:rPr>
        <w:tab/>
      </w:r>
      <w:r w:rsidR="002C3A2A" w:rsidRPr="00322852">
        <w:rPr>
          <w:rFonts w:ascii="Arial" w:hAnsi="Arial" w:cs="Arial"/>
          <w:sz w:val="24"/>
          <w:szCs w:val="24"/>
          <w:lang w:val="en-US"/>
        </w:rPr>
        <w:t xml:space="preserve">The Supreme Court of Appeal </w:t>
      </w:r>
      <w:r w:rsidR="00A01D16" w:rsidRPr="00322852">
        <w:rPr>
          <w:rFonts w:ascii="Arial" w:hAnsi="Arial" w:cs="Arial"/>
          <w:sz w:val="24"/>
          <w:szCs w:val="24"/>
          <w:lang w:val="en-US"/>
        </w:rPr>
        <w:t xml:space="preserve">explained in </w:t>
      </w:r>
      <w:r w:rsidR="00A01D16" w:rsidRPr="00322852">
        <w:rPr>
          <w:rFonts w:ascii="Arial" w:hAnsi="Arial" w:cs="Arial"/>
          <w:i/>
          <w:iCs/>
          <w:sz w:val="24"/>
          <w:szCs w:val="24"/>
          <w:lang w:val="en-US"/>
        </w:rPr>
        <w:t>Novartis v Maphil:</w:t>
      </w:r>
      <w:r w:rsidR="00A01D16" w:rsidRPr="00706AF1">
        <w:rPr>
          <w:rStyle w:val="FootnoteReference"/>
          <w:rFonts w:ascii="Arial" w:hAnsi="Arial" w:cs="Arial"/>
          <w:i/>
          <w:iCs/>
          <w:sz w:val="24"/>
          <w:szCs w:val="24"/>
          <w:lang w:val="en-US"/>
        </w:rPr>
        <w:footnoteReference w:id="3"/>
      </w:r>
    </w:p>
    <w:p w14:paraId="394EC730" w14:textId="77777777" w:rsidR="0081069D" w:rsidRPr="00706AF1" w:rsidRDefault="0081069D" w:rsidP="0081069D">
      <w:pPr>
        <w:pStyle w:val="ListParagraph"/>
        <w:rPr>
          <w:rFonts w:ascii="Arial" w:hAnsi="Arial" w:cs="Arial"/>
          <w:sz w:val="24"/>
          <w:szCs w:val="24"/>
          <w:lang w:val="en-US"/>
        </w:rPr>
      </w:pPr>
    </w:p>
    <w:p w14:paraId="3B622B8D" w14:textId="01FCDE5B" w:rsidR="00053D04" w:rsidRPr="00706AF1" w:rsidRDefault="000961C9" w:rsidP="00753DD7">
      <w:pPr>
        <w:pStyle w:val="NormalWeb"/>
        <w:shd w:val="clear" w:color="auto" w:fill="FFFFFF"/>
        <w:spacing w:before="120" w:beforeAutospacing="0" w:after="120" w:afterAutospacing="0" w:line="360" w:lineRule="auto"/>
        <w:ind w:left="851"/>
        <w:jc w:val="both"/>
        <w:rPr>
          <w:rFonts w:ascii="Arial" w:hAnsi="Arial" w:cs="Arial"/>
        </w:rPr>
      </w:pPr>
      <w:r w:rsidRPr="00706AF1">
        <w:rPr>
          <w:rFonts w:ascii="Arial" w:hAnsi="Arial" w:cs="Arial"/>
          <w:lang w:val="en-US"/>
        </w:rPr>
        <w:t>'</w:t>
      </w:r>
      <w:r w:rsidR="00053D04" w:rsidRPr="00706AF1">
        <w:rPr>
          <w:rFonts w:ascii="Arial" w:hAnsi="Arial" w:cs="Arial"/>
          <w:lang w:val="en-US"/>
        </w:rPr>
        <w:t xml:space="preserve">[27] </w:t>
      </w:r>
      <w:r w:rsidR="00053D04" w:rsidRPr="00706AF1">
        <w:rPr>
          <w:rFonts w:ascii="Arial" w:hAnsi="Arial" w:cs="Arial"/>
        </w:rPr>
        <w:t>I do not understand these judgments to mean that interpretation is a process that takes into account only the objective meaning of the words (if that is ascertainable), and does not have regard to the contract as a whole or the circumstances in which it was entered into. This court has consistently held, for many decades, that the interpretative process is one of ascertaining the intention of the parties – what they meant to achieve. And in doing that, the court must consider all the circumstances surrounding the contract to determine what their intention was in concluding it. KPMG, in the passage cited, explains that parole evidence is inadmissible to modify, vary or add to the written terms of the agreement, and that it is the role of the court, and not witnesses, to interpret a document. It adds, importantly, that there is no real distinction between background circumstances, and surrounding circumstances, and that a court should always consider the factual matrix in which the contract is concluded – the context – to determine the parties</w:t>
      </w:r>
      <w:r w:rsidRPr="00706AF1">
        <w:rPr>
          <w:rFonts w:ascii="Arial" w:hAnsi="Arial" w:cs="Arial"/>
        </w:rPr>
        <w:t>'</w:t>
      </w:r>
      <w:r w:rsidR="00053D04" w:rsidRPr="00706AF1">
        <w:rPr>
          <w:rFonts w:ascii="Arial" w:hAnsi="Arial" w:cs="Arial"/>
        </w:rPr>
        <w:t xml:space="preserve"> intention. </w:t>
      </w:r>
    </w:p>
    <w:p w14:paraId="2FC431C3" w14:textId="3A2D9E83" w:rsidR="00053D04" w:rsidRPr="00706AF1" w:rsidRDefault="00053D04" w:rsidP="00053D04">
      <w:pPr>
        <w:pStyle w:val="NormalWeb"/>
        <w:shd w:val="clear" w:color="auto" w:fill="FFFFFF"/>
        <w:spacing w:before="120" w:beforeAutospacing="0" w:after="120" w:afterAutospacing="0" w:line="360" w:lineRule="auto"/>
        <w:ind w:left="851"/>
        <w:jc w:val="both"/>
        <w:rPr>
          <w:rFonts w:ascii="Arial" w:hAnsi="Arial" w:cs="Arial"/>
        </w:rPr>
      </w:pPr>
      <w:r w:rsidRPr="00706AF1">
        <w:rPr>
          <w:rFonts w:ascii="Arial" w:hAnsi="Arial" w:cs="Arial"/>
        </w:rPr>
        <w:t xml:space="preserve">[28]   The passage cited from the judgment of Wallis JA in Endumeni summarizes the state of the law as it was in 2012. This court did not change the law, and it certainly did not introduce an objective approach in the sense argued by Norvatis, which was to have regard only to the words on the paper. That much was made clear in a subsequent judgment of Wallis JA in </w:t>
      </w:r>
      <w:r w:rsidRPr="00706AF1">
        <w:rPr>
          <w:rFonts w:ascii="Arial" w:hAnsi="Arial" w:cs="Arial"/>
          <w:i/>
          <w:iCs/>
        </w:rPr>
        <w:t>Bothma-Botha Transport (Edms) Bpk v S Bothma &amp; Seun Transport (Edms) Bpk</w:t>
      </w:r>
      <w:r w:rsidRPr="00706AF1">
        <w:rPr>
          <w:rFonts w:ascii="Arial" w:hAnsi="Arial" w:cs="Arial"/>
        </w:rPr>
        <w:t xml:space="preserve"> [2013] ZASCA 176; 2014 (2) SA 494 (SCA), paragraphs 10 to 12 and in </w:t>
      </w:r>
      <w:r w:rsidRPr="00706AF1">
        <w:rPr>
          <w:rFonts w:ascii="Arial" w:hAnsi="Arial" w:cs="Arial"/>
          <w:i/>
          <w:iCs/>
        </w:rPr>
        <w:t>North East Finance (Pty) Ltd v Standard Bank of South Africa Ltd</w:t>
      </w:r>
      <w:r w:rsidRPr="00706AF1">
        <w:rPr>
          <w:rFonts w:ascii="Arial" w:hAnsi="Arial" w:cs="Arial"/>
        </w:rPr>
        <w:t xml:space="preserve"> [2013] ZASCA 76; 2013 (5) SA 1 (SCA) paragraphs 24 and 25. A court must examine all the facts – the context – in order to determine </w:t>
      </w:r>
      <w:r w:rsidRPr="00706AF1">
        <w:rPr>
          <w:rFonts w:ascii="Arial" w:hAnsi="Arial" w:cs="Arial"/>
        </w:rPr>
        <w:lastRenderedPageBreak/>
        <w:t>what the parties intended. And it must do that whether or not the words of the contract are ambiguous or lack clarity. Words without context mean nothing. </w:t>
      </w:r>
    </w:p>
    <w:p w14:paraId="14B5DA70" w14:textId="62A88BD9" w:rsidR="00053D04" w:rsidRPr="00706AF1" w:rsidRDefault="00053D04" w:rsidP="00053D04">
      <w:pPr>
        <w:pStyle w:val="NormalWeb"/>
        <w:shd w:val="clear" w:color="auto" w:fill="FFFFFF"/>
        <w:spacing w:before="120" w:beforeAutospacing="0" w:after="120" w:afterAutospacing="0" w:line="360" w:lineRule="auto"/>
        <w:ind w:left="851"/>
        <w:jc w:val="both"/>
        <w:rPr>
          <w:rFonts w:ascii="Arial" w:hAnsi="Arial" w:cs="Arial"/>
        </w:rPr>
      </w:pPr>
      <w:r w:rsidRPr="00706AF1">
        <w:rPr>
          <w:rFonts w:ascii="Arial" w:hAnsi="Arial" w:cs="Arial"/>
        </w:rPr>
        <w:t xml:space="preserve">[29]   Referring to the earlier approach to interpretation adopted by this court in </w:t>
      </w:r>
      <w:r w:rsidRPr="00706AF1">
        <w:rPr>
          <w:rFonts w:ascii="Arial" w:hAnsi="Arial" w:cs="Arial"/>
          <w:i/>
          <w:iCs/>
        </w:rPr>
        <w:t>Coopers &amp; Lybrand &amp; others v Bryant</w:t>
      </w:r>
      <w:r w:rsidRPr="00706AF1">
        <w:rPr>
          <w:rFonts w:ascii="Arial" w:hAnsi="Arial" w:cs="Arial"/>
        </w:rPr>
        <w:t xml:space="preserve"> [1995] ZASCA 64; 1995 (3) SA 761 (A) at 768A-E, where Joubert JA had drawn a distinction between background and surrounding circumstances, and held that only where there is an ambiguity in the language, should a court look at surrounding circumstances, Wallis JA said (para 12 of </w:t>
      </w:r>
      <w:r w:rsidRPr="00706AF1">
        <w:rPr>
          <w:rFonts w:ascii="Arial" w:hAnsi="Arial" w:cs="Arial"/>
          <w:i/>
          <w:iCs/>
        </w:rPr>
        <w:t>Bothma-Botha</w:t>
      </w:r>
      <w:r w:rsidRPr="00706AF1">
        <w:rPr>
          <w:rFonts w:ascii="Arial" w:hAnsi="Arial" w:cs="Arial"/>
        </w:rPr>
        <w:t>):</w:t>
      </w:r>
    </w:p>
    <w:p w14:paraId="1F89B0F0" w14:textId="6E0DDD31" w:rsidR="00053D04" w:rsidRPr="00706AF1" w:rsidRDefault="000961C9" w:rsidP="00053D04">
      <w:pPr>
        <w:pStyle w:val="NormalWeb"/>
        <w:shd w:val="clear" w:color="auto" w:fill="FFFFFF"/>
        <w:spacing w:before="120" w:beforeAutospacing="0" w:after="120" w:afterAutospacing="0" w:line="360" w:lineRule="auto"/>
        <w:ind w:left="1559"/>
        <w:jc w:val="both"/>
        <w:rPr>
          <w:rFonts w:ascii="Arial" w:hAnsi="Arial" w:cs="Arial"/>
        </w:rPr>
      </w:pPr>
      <w:r w:rsidRPr="00706AF1">
        <w:rPr>
          <w:rFonts w:ascii="Arial" w:hAnsi="Arial" w:cs="Arial"/>
        </w:rPr>
        <w:t>'</w:t>
      </w:r>
      <w:r w:rsidR="00053D04" w:rsidRPr="00706AF1">
        <w:rPr>
          <w:rFonts w:ascii="Arial" w:hAnsi="Arial" w:cs="Arial"/>
        </w:rPr>
        <w:t xml:space="preserve">That summary is no longer consistent with the approach to interpretation now adopted by South African courts in relation to contracts or other documents, such as statutory instruments or patents. While the starting point remains the words of the document, which are the only relevant medium through which the parties have expressed their contractual intentions, the process of interpretation does not stop at a perceived literal meaning of those words, but considers them in the light of all relevant and admissible context, including the circumstances in which the document came into being. The former distinction between permissible background and surrounding circumstances, never very clear, has fallen away. Interpretation is no longer a process that occurs in stages but is </w:t>
      </w:r>
      <w:r w:rsidRPr="00706AF1">
        <w:rPr>
          <w:rFonts w:ascii="Arial" w:hAnsi="Arial" w:cs="Arial"/>
        </w:rPr>
        <w:t>"</w:t>
      </w:r>
      <w:r w:rsidR="00053D04" w:rsidRPr="00706AF1">
        <w:rPr>
          <w:rFonts w:ascii="Arial" w:hAnsi="Arial" w:cs="Arial"/>
        </w:rPr>
        <w:t>essentially one unitary exercise</w:t>
      </w:r>
      <w:r w:rsidRPr="00706AF1">
        <w:rPr>
          <w:rFonts w:ascii="Arial" w:hAnsi="Arial" w:cs="Arial"/>
        </w:rPr>
        <w:t>"</w:t>
      </w:r>
      <w:r w:rsidR="00053D04" w:rsidRPr="00706AF1">
        <w:rPr>
          <w:rFonts w:ascii="Arial" w:hAnsi="Arial" w:cs="Arial"/>
        </w:rPr>
        <w:t xml:space="preserve"> [a reference to a statement of Lord Clarke SCJ in </w:t>
      </w:r>
      <w:r w:rsidR="00053D04" w:rsidRPr="00706AF1">
        <w:rPr>
          <w:rFonts w:ascii="Arial" w:hAnsi="Arial" w:cs="Arial"/>
          <w:i/>
          <w:iCs/>
        </w:rPr>
        <w:t>Rainy Sky SA v Kookmin Bank </w:t>
      </w:r>
      <w:r w:rsidR="00053D04" w:rsidRPr="00706AF1">
        <w:rPr>
          <w:rFonts w:ascii="Arial" w:hAnsi="Arial" w:cs="Arial"/>
        </w:rPr>
        <w:t>[2011] UKSC 50, [2012] Lloyd</w:t>
      </w:r>
      <w:r w:rsidRPr="00706AF1">
        <w:rPr>
          <w:rFonts w:ascii="Arial" w:hAnsi="Arial" w:cs="Arial"/>
        </w:rPr>
        <w:t>'</w:t>
      </w:r>
      <w:r w:rsidR="00053D04" w:rsidRPr="00706AF1">
        <w:rPr>
          <w:rFonts w:ascii="Arial" w:hAnsi="Arial" w:cs="Arial"/>
        </w:rPr>
        <w:t>s Rep 34 (SC) para 21].</w:t>
      </w:r>
      <w:r w:rsidRPr="00706AF1">
        <w:rPr>
          <w:rFonts w:ascii="Arial" w:hAnsi="Arial" w:cs="Arial"/>
        </w:rPr>
        <w:t>'</w:t>
      </w:r>
    </w:p>
    <w:p w14:paraId="7AC6864B" w14:textId="77777777" w:rsidR="0081069D" w:rsidRPr="00706AF1" w:rsidRDefault="0081069D" w:rsidP="0081069D">
      <w:pPr>
        <w:pStyle w:val="ListParagraph"/>
        <w:rPr>
          <w:rFonts w:ascii="Arial" w:hAnsi="Arial" w:cs="Arial"/>
          <w:sz w:val="24"/>
          <w:szCs w:val="24"/>
          <w:lang w:val="en-US"/>
        </w:rPr>
      </w:pPr>
    </w:p>
    <w:p w14:paraId="4B663689" w14:textId="5BE45B90" w:rsidR="0081069D" w:rsidRPr="00322852" w:rsidRDefault="00322852" w:rsidP="00322852">
      <w:pPr>
        <w:tabs>
          <w:tab w:val="left" w:pos="4917"/>
        </w:tabs>
        <w:spacing w:before="120" w:after="120" w:line="360" w:lineRule="auto"/>
        <w:ind w:left="720" w:hanging="720"/>
        <w:jc w:val="both"/>
        <w:rPr>
          <w:rFonts w:ascii="Arial" w:hAnsi="Arial" w:cs="Arial"/>
          <w:sz w:val="24"/>
          <w:szCs w:val="24"/>
          <w:lang w:val="en-US"/>
        </w:rPr>
      </w:pPr>
      <w:r w:rsidRPr="00706AF1">
        <w:rPr>
          <w:rFonts w:ascii="Arial" w:hAnsi="Arial" w:cs="Arial"/>
          <w:sz w:val="24"/>
          <w:szCs w:val="24"/>
          <w:lang w:val="en-US"/>
        </w:rPr>
        <w:t>[1</w:t>
      </w:r>
      <w:bookmarkStart w:id="0" w:name="_GoBack"/>
      <w:bookmarkEnd w:id="0"/>
      <w:r w:rsidRPr="00706AF1">
        <w:rPr>
          <w:rFonts w:ascii="Arial" w:hAnsi="Arial" w:cs="Arial"/>
          <w:sz w:val="24"/>
          <w:szCs w:val="24"/>
          <w:lang w:val="en-US"/>
        </w:rPr>
        <w:t>5]</w:t>
      </w:r>
      <w:r w:rsidRPr="00706AF1">
        <w:rPr>
          <w:rFonts w:ascii="Arial" w:hAnsi="Arial" w:cs="Arial"/>
          <w:sz w:val="24"/>
          <w:szCs w:val="24"/>
          <w:lang w:val="en-US"/>
        </w:rPr>
        <w:tab/>
      </w:r>
      <w:r w:rsidR="00AB0F38" w:rsidRPr="00322852">
        <w:rPr>
          <w:rFonts w:ascii="Arial" w:hAnsi="Arial" w:cs="Arial"/>
          <w:sz w:val="24"/>
          <w:szCs w:val="24"/>
          <w:lang w:val="en-US"/>
        </w:rPr>
        <w:t>Admissible evidence of context may be led in a trial.</w:t>
      </w:r>
      <w:r w:rsidR="00AB0F38" w:rsidRPr="00706AF1">
        <w:rPr>
          <w:rStyle w:val="FootnoteReference"/>
          <w:rFonts w:ascii="Arial" w:hAnsi="Arial" w:cs="Arial"/>
          <w:sz w:val="24"/>
          <w:szCs w:val="24"/>
          <w:lang w:val="en-US"/>
        </w:rPr>
        <w:footnoteReference w:id="4"/>
      </w:r>
      <w:r w:rsidR="007530E2" w:rsidRPr="00322852">
        <w:rPr>
          <w:rFonts w:ascii="Arial" w:hAnsi="Arial" w:cs="Arial"/>
          <w:sz w:val="24"/>
          <w:szCs w:val="24"/>
          <w:lang w:val="en-US"/>
        </w:rPr>
        <w:t xml:space="preserve"> As a result, this application for summary judgment stands to be dismissed</w:t>
      </w:r>
      <w:r w:rsidR="00F10618" w:rsidRPr="00322852">
        <w:rPr>
          <w:rFonts w:ascii="Arial" w:hAnsi="Arial" w:cs="Arial"/>
          <w:sz w:val="24"/>
          <w:szCs w:val="24"/>
          <w:lang w:val="en-US"/>
        </w:rPr>
        <w:t xml:space="preserve"> for the trial court to determine </w:t>
      </w:r>
      <w:r w:rsidR="006F5DE7" w:rsidRPr="00322852">
        <w:rPr>
          <w:rFonts w:ascii="Arial" w:hAnsi="Arial" w:cs="Arial"/>
          <w:sz w:val="24"/>
          <w:szCs w:val="24"/>
          <w:lang w:val="en-US"/>
        </w:rPr>
        <w:t>the issues raised.</w:t>
      </w:r>
    </w:p>
    <w:p w14:paraId="3561E6DF" w14:textId="77777777" w:rsidR="0081069D" w:rsidRPr="00706AF1" w:rsidRDefault="0081069D" w:rsidP="0081069D">
      <w:pPr>
        <w:pStyle w:val="ListParagraph"/>
        <w:rPr>
          <w:rFonts w:ascii="Arial" w:hAnsi="Arial" w:cs="Arial"/>
          <w:sz w:val="24"/>
          <w:szCs w:val="24"/>
          <w:lang w:val="en-US"/>
        </w:rPr>
      </w:pPr>
    </w:p>
    <w:p w14:paraId="378E7CE8" w14:textId="77777777" w:rsidR="00CE3E3F" w:rsidRPr="00706AF1"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706AF1" w:rsidRDefault="00CF7942" w:rsidP="00377FDC">
      <w:pPr>
        <w:tabs>
          <w:tab w:val="left" w:pos="4917"/>
        </w:tabs>
        <w:spacing w:before="120" w:after="120" w:line="360" w:lineRule="auto"/>
        <w:jc w:val="both"/>
        <w:rPr>
          <w:rFonts w:ascii="Arial" w:hAnsi="Arial" w:cs="Arial"/>
          <w:b/>
          <w:sz w:val="24"/>
          <w:szCs w:val="24"/>
        </w:rPr>
      </w:pPr>
      <w:r w:rsidRPr="00706AF1">
        <w:rPr>
          <w:rFonts w:ascii="Arial" w:hAnsi="Arial" w:cs="Arial"/>
          <w:b/>
          <w:sz w:val="24"/>
          <w:szCs w:val="24"/>
        </w:rPr>
        <w:t>ORDER</w:t>
      </w:r>
    </w:p>
    <w:p w14:paraId="2A15CA90" w14:textId="12C66CA2" w:rsidR="00CF7942" w:rsidRPr="00706AF1" w:rsidRDefault="00CF7942" w:rsidP="00CF7942">
      <w:pPr>
        <w:tabs>
          <w:tab w:val="left" w:pos="4917"/>
        </w:tabs>
        <w:spacing w:before="120" w:after="120" w:line="360" w:lineRule="auto"/>
        <w:jc w:val="both"/>
        <w:rPr>
          <w:rFonts w:ascii="Arial" w:hAnsi="Arial" w:cs="Arial"/>
          <w:b/>
          <w:sz w:val="24"/>
          <w:szCs w:val="24"/>
        </w:rPr>
      </w:pPr>
      <w:r w:rsidRPr="00706AF1">
        <w:rPr>
          <w:rFonts w:ascii="Arial" w:hAnsi="Arial" w:cs="Arial"/>
          <w:b/>
          <w:sz w:val="24"/>
          <w:szCs w:val="24"/>
        </w:rPr>
        <w:t>In the result, the following order is granted:</w:t>
      </w:r>
    </w:p>
    <w:p w14:paraId="357630AE" w14:textId="4545419F" w:rsidR="00CB18EE" w:rsidRPr="00322852" w:rsidRDefault="00322852" w:rsidP="00322852">
      <w:pPr>
        <w:tabs>
          <w:tab w:val="left" w:pos="4917"/>
        </w:tabs>
        <w:spacing w:before="120" w:after="120" w:line="360" w:lineRule="auto"/>
        <w:ind w:left="720" w:hanging="360"/>
        <w:jc w:val="both"/>
        <w:rPr>
          <w:rFonts w:ascii="Arial" w:hAnsi="Arial" w:cs="Arial"/>
          <w:b/>
          <w:sz w:val="24"/>
          <w:szCs w:val="24"/>
        </w:rPr>
      </w:pPr>
      <w:r w:rsidRPr="00706AF1">
        <w:rPr>
          <w:rFonts w:ascii="Arial" w:hAnsi="Arial" w:cs="Arial"/>
          <w:b/>
          <w:sz w:val="24"/>
          <w:szCs w:val="24"/>
        </w:rPr>
        <w:lastRenderedPageBreak/>
        <w:t>1.</w:t>
      </w:r>
      <w:r w:rsidRPr="00706AF1">
        <w:rPr>
          <w:rFonts w:ascii="Arial" w:hAnsi="Arial" w:cs="Arial"/>
          <w:b/>
          <w:sz w:val="24"/>
          <w:szCs w:val="24"/>
        </w:rPr>
        <w:tab/>
      </w:r>
      <w:r w:rsidR="00CB18EE" w:rsidRPr="00322852">
        <w:rPr>
          <w:rFonts w:ascii="Arial" w:hAnsi="Arial" w:cs="Arial"/>
          <w:b/>
          <w:sz w:val="24"/>
          <w:szCs w:val="24"/>
        </w:rPr>
        <w:t>The late filing of the affidavit resisting summary judgment is condoned;</w:t>
      </w:r>
    </w:p>
    <w:p w14:paraId="19B65ADB" w14:textId="65B2A4D3" w:rsidR="009425D4" w:rsidRPr="00322852" w:rsidRDefault="00322852" w:rsidP="00322852">
      <w:pPr>
        <w:tabs>
          <w:tab w:val="left" w:pos="4917"/>
        </w:tabs>
        <w:spacing w:before="120" w:after="120" w:line="360" w:lineRule="auto"/>
        <w:ind w:left="720" w:hanging="360"/>
        <w:jc w:val="both"/>
        <w:rPr>
          <w:rFonts w:ascii="Arial" w:hAnsi="Arial" w:cs="Arial"/>
          <w:b/>
          <w:sz w:val="24"/>
          <w:szCs w:val="24"/>
        </w:rPr>
      </w:pPr>
      <w:r w:rsidRPr="00706AF1">
        <w:rPr>
          <w:rFonts w:ascii="Arial" w:hAnsi="Arial" w:cs="Arial"/>
          <w:b/>
          <w:sz w:val="24"/>
          <w:szCs w:val="24"/>
        </w:rPr>
        <w:t>2.</w:t>
      </w:r>
      <w:r w:rsidRPr="00706AF1">
        <w:rPr>
          <w:rFonts w:ascii="Arial" w:hAnsi="Arial" w:cs="Arial"/>
          <w:b/>
          <w:sz w:val="24"/>
          <w:szCs w:val="24"/>
        </w:rPr>
        <w:tab/>
      </w:r>
      <w:r w:rsidR="00C81DB4" w:rsidRPr="00322852">
        <w:rPr>
          <w:rFonts w:ascii="Arial" w:hAnsi="Arial" w:cs="Arial"/>
          <w:b/>
          <w:sz w:val="24"/>
          <w:szCs w:val="24"/>
        </w:rPr>
        <w:t>The application for summary judgment is dismissed</w:t>
      </w:r>
      <w:r w:rsidR="00DB29CF" w:rsidRPr="00322852">
        <w:rPr>
          <w:rFonts w:ascii="Arial" w:hAnsi="Arial" w:cs="Arial"/>
          <w:b/>
          <w:sz w:val="24"/>
          <w:szCs w:val="24"/>
        </w:rPr>
        <w:t>, and the defendants are</w:t>
      </w:r>
      <w:r w:rsidR="00CB18EE" w:rsidRPr="00322852">
        <w:rPr>
          <w:rFonts w:ascii="Arial" w:hAnsi="Arial" w:cs="Arial"/>
          <w:b/>
          <w:sz w:val="24"/>
          <w:szCs w:val="24"/>
        </w:rPr>
        <w:t xml:space="preserve"> granted leave to defend the action;</w:t>
      </w:r>
    </w:p>
    <w:p w14:paraId="772F2099" w14:textId="202DEA34" w:rsidR="00CB18EE" w:rsidRPr="00322852" w:rsidRDefault="00322852" w:rsidP="00322852">
      <w:pPr>
        <w:tabs>
          <w:tab w:val="left" w:pos="4917"/>
        </w:tabs>
        <w:spacing w:before="120" w:after="120" w:line="360" w:lineRule="auto"/>
        <w:ind w:left="720" w:hanging="360"/>
        <w:jc w:val="both"/>
        <w:rPr>
          <w:rFonts w:ascii="Arial" w:hAnsi="Arial" w:cs="Arial"/>
          <w:b/>
          <w:sz w:val="24"/>
          <w:szCs w:val="24"/>
        </w:rPr>
      </w:pPr>
      <w:r w:rsidRPr="00706AF1">
        <w:rPr>
          <w:rFonts w:ascii="Arial" w:hAnsi="Arial" w:cs="Arial"/>
          <w:b/>
          <w:sz w:val="24"/>
          <w:szCs w:val="24"/>
        </w:rPr>
        <w:t>3.</w:t>
      </w:r>
      <w:r w:rsidRPr="00706AF1">
        <w:rPr>
          <w:rFonts w:ascii="Arial" w:hAnsi="Arial" w:cs="Arial"/>
          <w:b/>
          <w:sz w:val="24"/>
          <w:szCs w:val="24"/>
        </w:rPr>
        <w:tab/>
      </w:r>
      <w:r w:rsidR="000718C8" w:rsidRPr="00322852">
        <w:rPr>
          <w:rFonts w:ascii="Arial" w:hAnsi="Arial" w:cs="Arial"/>
          <w:b/>
          <w:sz w:val="24"/>
          <w:szCs w:val="24"/>
        </w:rPr>
        <w:t>Costs are costs in the cause</w:t>
      </w:r>
      <w:r w:rsidR="00CB18EE" w:rsidRPr="00322852">
        <w:rPr>
          <w:rFonts w:ascii="Arial" w:hAnsi="Arial" w:cs="Arial"/>
          <w:b/>
          <w:sz w:val="24"/>
          <w:szCs w:val="24"/>
        </w:rPr>
        <w:t>.</w:t>
      </w:r>
    </w:p>
    <w:p w14:paraId="7E6BAF64" w14:textId="77777777" w:rsidR="00C81DB4" w:rsidRPr="00706AF1" w:rsidRDefault="00C81DB4" w:rsidP="00CB18EE">
      <w:pPr>
        <w:pStyle w:val="ListParagraph"/>
        <w:tabs>
          <w:tab w:val="left" w:pos="4917"/>
        </w:tabs>
        <w:spacing w:before="120" w:after="120" w:line="360" w:lineRule="auto"/>
        <w:jc w:val="both"/>
        <w:rPr>
          <w:rFonts w:ascii="Arial" w:hAnsi="Arial" w:cs="Arial"/>
          <w:b/>
          <w:sz w:val="24"/>
          <w:szCs w:val="24"/>
        </w:rPr>
      </w:pPr>
    </w:p>
    <w:p w14:paraId="7AA616A9" w14:textId="77777777" w:rsidR="002049D9" w:rsidRPr="00706AF1"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706AF1"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Pr="00706AF1" w:rsidRDefault="004F3075" w:rsidP="002F1742">
      <w:pPr>
        <w:pStyle w:val="ListParagraph"/>
        <w:tabs>
          <w:tab w:val="left" w:pos="4917"/>
        </w:tabs>
        <w:spacing w:before="120" w:after="120" w:line="240" w:lineRule="auto"/>
        <w:ind w:left="907"/>
        <w:jc w:val="right"/>
        <w:rPr>
          <w:rFonts w:ascii="Arial" w:hAnsi="Arial" w:cs="Arial"/>
          <w:sz w:val="24"/>
          <w:szCs w:val="24"/>
        </w:rPr>
      </w:pPr>
      <w:r w:rsidRPr="00706AF1">
        <w:rPr>
          <w:rFonts w:ascii="Arial" w:hAnsi="Arial" w:cs="Arial"/>
          <w:sz w:val="24"/>
          <w:szCs w:val="24"/>
        </w:rPr>
        <w:t>____________________________</w:t>
      </w:r>
    </w:p>
    <w:p w14:paraId="316A0066" w14:textId="1B565C01" w:rsidR="009C6441" w:rsidRPr="00706AF1" w:rsidRDefault="009C6441" w:rsidP="002F1742">
      <w:pPr>
        <w:pStyle w:val="ListParagraph"/>
        <w:tabs>
          <w:tab w:val="left" w:pos="4917"/>
        </w:tabs>
        <w:spacing w:before="120" w:after="120" w:line="240" w:lineRule="auto"/>
        <w:ind w:left="907"/>
        <w:jc w:val="right"/>
        <w:rPr>
          <w:rFonts w:ascii="Arial" w:hAnsi="Arial" w:cs="Arial"/>
          <w:sz w:val="24"/>
          <w:szCs w:val="24"/>
        </w:rPr>
      </w:pPr>
      <w:r w:rsidRPr="00706AF1">
        <w:rPr>
          <w:rFonts w:ascii="Arial" w:hAnsi="Arial" w:cs="Arial"/>
          <w:sz w:val="24"/>
          <w:szCs w:val="24"/>
        </w:rPr>
        <w:t>E van der Sc</w:t>
      </w:r>
      <w:r w:rsidR="00C85FE2" w:rsidRPr="00706AF1">
        <w:rPr>
          <w:rFonts w:ascii="Arial" w:hAnsi="Arial" w:cs="Arial"/>
          <w:sz w:val="24"/>
          <w:szCs w:val="24"/>
        </w:rPr>
        <w:t>hyff</w:t>
      </w:r>
    </w:p>
    <w:p w14:paraId="6661EF95" w14:textId="5606AFFD" w:rsidR="009C6441" w:rsidRPr="00706AF1" w:rsidRDefault="009C6441" w:rsidP="002F1742">
      <w:pPr>
        <w:tabs>
          <w:tab w:val="left" w:pos="4917"/>
        </w:tabs>
        <w:spacing w:before="120" w:after="120" w:line="240" w:lineRule="auto"/>
        <w:ind w:left="357"/>
        <w:jc w:val="right"/>
        <w:rPr>
          <w:rFonts w:ascii="Arial" w:hAnsi="Arial" w:cs="Arial"/>
          <w:sz w:val="24"/>
          <w:szCs w:val="24"/>
        </w:rPr>
      </w:pPr>
      <w:r w:rsidRPr="00706AF1">
        <w:rPr>
          <w:rFonts w:ascii="Arial" w:hAnsi="Arial" w:cs="Arial"/>
          <w:sz w:val="24"/>
          <w:szCs w:val="24"/>
        </w:rPr>
        <w:t>Judge of t</w:t>
      </w:r>
      <w:r w:rsidR="00B7783F" w:rsidRPr="00706AF1">
        <w:rPr>
          <w:rFonts w:ascii="Arial" w:hAnsi="Arial" w:cs="Arial"/>
          <w:sz w:val="24"/>
          <w:szCs w:val="24"/>
        </w:rPr>
        <w:t>he High Court</w:t>
      </w:r>
    </w:p>
    <w:p w14:paraId="7C3020C9" w14:textId="77777777" w:rsidR="00A42BDA" w:rsidRPr="00706AF1" w:rsidRDefault="00A42BDA" w:rsidP="003649CD">
      <w:pPr>
        <w:tabs>
          <w:tab w:val="left" w:pos="4917"/>
        </w:tabs>
        <w:spacing w:after="0" w:line="360" w:lineRule="auto"/>
        <w:ind w:left="357"/>
        <w:rPr>
          <w:rFonts w:ascii="Arial" w:hAnsi="Arial" w:cs="Arial"/>
          <w:sz w:val="24"/>
          <w:szCs w:val="24"/>
        </w:rPr>
      </w:pPr>
    </w:p>
    <w:p w14:paraId="33317977" w14:textId="7037A29A" w:rsidR="002B0D1E" w:rsidRPr="00706AF1" w:rsidRDefault="002B0D1E" w:rsidP="002B0D1E">
      <w:pPr>
        <w:tabs>
          <w:tab w:val="left" w:pos="4917"/>
        </w:tabs>
        <w:spacing w:after="0" w:line="360" w:lineRule="auto"/>
        <w:ind w:left="357"/>
        <w:jc w:val="both"/>
        <w:rPr>
          <w:rFonts w:ascii="Arial" w:hAnsi="Arial" w:cs="Arial"/>
          <w:sz w:val="24"/>
          <w:szCs w:val="24"/>
        </w:rPr>
      </w:pPr>
      <w:r w:rsidRPr="00706AF1">
        <w:rPr>
          <w:rFonts w:ascii="Arial" w:eastAsia="Arial Unicode MS" w:hAnsi="Arial" w:cs="Arial"/>
          <w:bCs/>
        </w:rPr>
        <w:t xml:space="preserve">Delivered:  This judgement is handed down electronically by uploading it to the electronic file of this matter on CaseLines. </w:t>
      </w:r>
      <w:r w:rsidR="00A36C6A" w:rsidRPr="00706AF1">
        <w:rPr>
          <w:rFonts w:ascii="Arial" w:eastAsia="Arial Unicode MS" w:hAnsi="Arial" w:cs="Arial"/>
          <w:bCs/>
        </w:rPr>
        <w:t>It will be emailed to the parties/their legal representatives as a courtesy gesture</w:t>
      </w:r>
      <w:r w:rsidR="00BD696A" w:rsidRPr="00706AF1">
        <w:rPr>
          <w:rFonts w:ascii="Arial" w:eastAsia="Arial Unicode MS" w:hAnsi="Arial" w:cs="Arial"/>
          <w:bCs/>
        </w:rPr>
        <w:t xml:space="preserve">. </w:t>
      </w:r>
    </w:p>
    <w:p w14:paraId="13B2B5F7" w14:textId="77777777" w:rsidR="00A42BDA" w:rsidRPr="00706AF1" w:rsidRDefault="00A42BDA" w:rsidP="003649CD">
      <w:pPr>
        <w:tabs>
          <w:tab w:val="left" w:pos="4917"/>
        </w:tabs>
        <w:spacing w:after="0" w:line="360" w:lineRule="auto"/>
        <w:ind w:left="357"/>
        <w:rPr>
          <w:rFonts w:ascii="Arial" w:hAnsi="Arial" w:cs="Arial"/>
          <w:sz w:val="24"/>
          <w:szCs w:val="24"/>
        </w:rPr>
      </w:pPr>
    </w:p>
    <w:p w14:paraId="7A195AD0" w14:textId="5FC82421" w:rsidR="00A931CC" w:rsidRPr="00706AF1" w:rsidRDefault="002C7989" w:rsidP="00CE3E3F">
      <w:pPr>
        <w:tabs>
          <w:tab w:val="left" w:pos="4917"/>
        </w:tabs>
        <w:spacing w:after="0" w:line="360" w:lineRule="auto"/>
        <w:ind w:left="357"/>
        <w:rPr>
          <w:rFonts w:ascii="Arial" w:hAnsi="Arial" w:cs="Arial"/>
          <w:sz w:val="24"/>
          <w:szCs w:val="24"/>
        </w:rPr>
      </w:pPr>
      <w:r w:rsidRPr="00706AF1">
        <w:rPr>
          <w:rFonts w:ascii="Arial" w:hAnsi="Arial" w:cs="Arial"/>
          <w:sz w:val="24"/>
          <w:szCs w:val="24"/>
        </w:rPr>
        <w:t>F</w:t>
      </w:r>
      <w:r w:rsidR="00E66A18" w:rsidRPr="00706AF1">
        <w:rPr>
          <w:rFonts w:ascii="Arial" w:hAnsi="Arial" w:cs="Arial"/>
          <w:sz w:val="24"/>
          <w:szCs w:val="24"/>
        </w:rPr>
        <w:t>o</w:t>
      </w:r>
      <w:r w:rsidR="00377FDC" w:rsidRPr="00706AF1">
        <w:rPr>
          <w:rFonts w:ascii="Arial" w:hAnsi="Arial" w:cs="Arial"/>
          <w:sz w:val="24"/>
          <w:szCs w:val="24"/>
        </w:rPr>
        <w:t>r the</w:t>
      </w:r>
      <w:r w:rsidR="002E4900" w:rsidRPr="00706AF1">
        <w:rPr>
          <w:rFonts w:ascii="Arial" w:hAnsi="Arial" w:cs="Arial"/>
          <w:sz w:val="24"/>
          <w:szCs w:val="24"/>
        </w:rPr>
        <w:t xml:space="preserve"> applicant</w:t>
      </w:r>
      <w:r w:rsidR="000718C8" w:rsidRPr="00706AF1">
        <w:rPr>
          <w:rFonts w:ascii="Arial" w:hAnsi="Arial" w:cs="Arial"/>
          <w:sz w:val="24"/>
          <w:szCs w:val="24"/>
        </w:rPr>
        <w:t>s/plaintiffs</w:t>
      </w:r>
      <w:r w:rsidR="003F1580" w:rsidRPr="00706AF1">
        <w:rPr>
          <w:rFonts w:ascii="Arial" w:hAnsi="Arial" w:cs="Arial"/>
          <w:sz w:val="24"/>
          <w:szCs w:val="24"/>
        </w:rPr>
        <w:t>:</w:t>
      </w:r>
      <w:r w:rsidR="00CD58DC" w:rsidRPr="00706AF1">
        <w:rPr>
          <w:rFonts w:ascii="Arial" w:hAnsi="Arial" w:cs="Arial"/>
          <w:sz w:val="24"/>
          <w:szCs w:val="24"/>
        </w:rPr>
        <w:tab/>
      </w:r>
      <w:r w:rsidR="00CD58DC" w:rsidRPr="00706AF1">
        <w:rPr>
          <w:rFonts w:ascii="Arial" w:hAnsi="Arial" w:cs="Arial"/>
          <w:sz w:val="24"/>
          <w:szCs w:val="24"/>
        </w:rPr>
        <w:tab/>
        <w:t>Adv. W. R. Du Preez</w:t>
      </w:r>
    </w:p>
    <w:p w14:paraId="554CB456" w14:textId="59E14537" w:rsidR="00E20004" w:rsidRPr="00706AF1" w:rsidRDefault="000718C8" w:rsidP="00CE3E3F">
      <w:pPr>
        <w:tabs>
          <w:tab w:val="left" w:pos="4917"/>
        </w:tabs>
        <w:spacing w:after="0" w:line="360" w:lineRule="auto"/>
        <w:ind w:left="357"/>
        <w:rPr>
          <w:rFonts w:ascii="Arial" w:hAnsi="Arial" w:cs="Arial"/>
          <w:sz w:val="24"/>
          <w:szCs w:val="24"/>
        </w:rPr>
      </w:pPr>
      <w:r w:rsidRPr="00706AF1">
        <w:rPr>
          <w:rFonts w:ascii="Arial" w:hAnsi="Arial" w:cs="Arial"/>
          <w:sz w:val="24"/>
          <w:szCs w:val="24"/>
        </w:rPr>
        <w:t>Instructed by:</w:t>
      </w:r>
      <w:r w:rsidR="00C04F84" w:rsidRPr="00706AF1">
        <w:rPr>
          <w:rFonts w:ascii="Arial" w:hAnsi="Arial" w:cs="Arial"/>
          <w:sz w:val="24"/>
          <w:szCs w:val="24"/>
        </w:rPr>
        <w:tab/>
        <w:t>GILDENHUYS MALATJI INC.</w:t>
      </w:r>
      <w:r w:rsidR="002E4900" w:rsidRPr="00706AF1">
        <w:rPr>
          <w:rFonts w:ascii="Arial" w:hAnsi="Arial" w:cs="Arial"/>
          <w:sz w:val="24"/>
          <w:szCs w:val="24"/>
        </w:rPr>
        <w:tab/>
      </w:r>
      <w:r w:rsidR="00E20004" w:rsidRPr="00706AF1">
        <w:rPr>
          <w:rFonts w:ascii="Arial" w:hAnsi="Arial" w:cs="Arial"/>
          <w:sz w:val="24"/>
          <w:szCs w:val="24"/>
        </w:rPr>
        <w:tab/>
      </w:r>
    </w:p>
    <w:p w14:paraId="44D1AFCD" w14:textId="6541F5EE" w:rsidR="00377FDC" w:rsidRPr="00706AF1" w:rsidRDefault="00B7783F" w:rsidP="00BE500B">
      <w:pPr>
        <w:tabs>
          <w:tab w:val="left" w:pos="4917"/>
        </w:tabs>
        <w:spacing w:after="0" w:line="360" w:lineRule="auto"/>
        <w:ind w:left="4917" w:hanging="4557"/>
        <w:rPr>
          <w:rFonts w:ascii="Arial" w:hAnsi="Arial" w:cs="Arial"/>
          <w:sz w:val="24"/>
          <w:szCs w:val="24"/>
        </w:rPr>
      </w:pPr>
      <w:r w:rsidRPr="00706AF1">
        <w:rPr>
          <w:rFonts w:ascii="Arial" w:hAnsi="Arial" w:cs="Arial"/>
          <w:sz w:val="24"/>
          <w:szCs w:val="24"/>
        </w:rPr>
        <w:t>F</w:t>
      </w:r>
      <w:r w:rsidR="00F9064E" w:rsidRPr="00706AF1">
        <w:rPr>
          <w:rFonts w:ascii="Arial" w:hAnsi="Arial" w:cs="Arial"/>
          <w:sz w:val="24"/>
          <w:szCs w:val="24"/>
        </w:rPr>
        <w:t>or</w:t>
      </w:r>
      <w:r w:rsidR="00BA1728" w:rsidRPr="00706AF1">
        <w:rPr>
          <w:rFonts w:ascii="Arial" w:hAnsi="Arial" w:cs="Arial"/>
          <w:sz w:val="24"/>
          <w:szCs w:val="24"/>
        </w:rPr>
        <w:t xml:space="preserve"> the</w:t>
      </w:r>
      <w:r w:rsidR="009A3DD5" w:rsidRPr="00706AF1">
        <w:rPr>
          <w:rFonts w:ascii="Arial" w:hAnsi="Arial" w:cs="Arial"/>
          <w:sz w:val="24"/>
          <w:szCs w:val="24"/>
        </w:rPr>
        <w:t xml:space="preserve"> </w:t>
      </w:r>
      <w:r w:rsidR="002E4900" w:rsidRPr="00706AF1">
        <w:rPr>
          <w:rFonts w:ascii="Arial" w:hAnsi="Arial" w:cs="Arial"/>
          <w:sz w:val="24"/>
          <w:szCs w:val="24"/>
        </w:rPr>
        <w:t>respondent</w:t>
      </w:r>
      <w:r w:rsidR="000718C8" w:rsidRPr="00706AF1">
        <w:rPr>
          <w:rFonts w:ascii="Arial" w:hAnsi="Arial" w:cs="Arial"/>
          <w:sz w:val="24"/>
          <w:szCs w:val="24"/>
        </w:rPr>
        <w:t>s/defendants</w:t>
      </w:r>
      <w:r w:rsidR="002E4900" w:rsidRPr="00706AF1">
        <w:rPr>
          <w:rFonts w:ascii="Arial" w:hAnsi="Arial" w:cs="Arial"/>
          <w:sz w:val="24"/>
          <w:szCs w:val="24"/>
        </w:rPr>
        <w:t>:</w:t>
      </w:r>
      <w:r w:rsidR="00CD58DC" w:rsidRPr="00706AF1">
        <w:rPr>
          <w:rFonts w:ascii="Arial" w:hAnsi="Arial" w:cs="Arial"/>
          <w:sz w:val="24"/>
          <w:szCs w:val="24"/>
        </w:rPr>
        <w:tab/>
        <w:t>Adv. K. Fitzroy</w:t>
      </w:r>
      <w:r w:rsidR="002E4900" w:rsidRPr="00706AF1">
        <w:rPr>
          <w:rFonts w:ascii="Arial" w:hAnsi="Arial" w:cs="Arial"/>
          <w:sz w:val="24"/>
          <w:szCs w:val="24"/>
        </w:rPr>
        <w:tab/>
      </w:r>
    </w:p>
    <w:p w14:paraId="67876EBF" w14:textId="3A03593D" w:rsidR="003649CD" w:rsidRPr="00706AF1" w:rsidRDefault="00F03EE2" w:rsidP="00B36472">
      <w:pPr>
        <w:tabs>
          <w:tab w:val="left" w:pos="4917"/>
        </w:tabs>
        <w:spacing w:after="0" w:line="360" w:lineRule="auto"/>
        <w:ind w:left="4917" w:hanging="4557"/>
        <w:rPr>
          <w:rFonts w:ascii="Arial" w:hAnsi="Arial" w:cs="Arial"/>
          <w:sz w:val="24"/>
          <w:szCs w:val="24"/>
        </w:rPr>
      </w:pPr>
      <w:r w:rsidRPr="00706AF1">
        <w:rPr>
          <w:rFonts w:ascii="Arial" w:hAnsi="Arial" w:cs="Arial"/>
          <w:sz w:val="24"/>
          <w:szCs w:val="24"/>
        </w:rPr>
        <w:t>Instructed by:</w:t>
      </w:r>
      <w:r w:rsidR="006367D6" w:rsidRPr="00706AF1">
        <w:rPr>
          <w:rFonts w:ascii="Arial" w:hAnsi="Arial" w:cs="Arial"/>
          <w:sz w:val="24"/>
          <w:szCs w:val="24"/>
        </w:rPr>
        <w:tab/>
        <w:t>JAPIE VAN ZYL ATTORNEYS</w:t>
      </w:r>
    </w:p>
    <w:p w14:paraId="60737477" w14:textId="643B1288" w:rsidR="004F3075" w:rsidRPr="00706AF1" w:rsidRDefault="00C46D9C" w:rsidP="003649CD">
      <w:pPr>
        <w:tabs>
          <w:tab w:val="left" w:pos="4917"/>
        </w:tabs>
        <w:spacing w:after="0" w:line="360" w:lineRule="auto"/>
        <w:ind w:left="360"/>
        <w:rPr>
          <w:rFonts w:ascii="Arial" w:hAnsi="Arial" w:cs="Arial"/>
          <w:sz w:val="24"/>
          <w:szCs w:val="24"/>
        </w:rPr>
      </w:pPr>
      <w:r w:rsidRPr="00706AF1">
        <w:rPr>
          <w:rFonts w:ascii="Arial" w:hAnsi="Arial" w:cs="Arial"/>
          <w:sz w:val="24"/>
          <w:szCs w:val="24"/>
        </w:rPr>
        <w:t>D</w:t>
      </w:r>
      <w:r w:rsidR="002F1742" w:rsidRPr="00706AF1">
        <w:rPr>
          <w:rFonts w:ascii="Arial" w:hAnsi="Arial" w:cs="Arial"/>
          <w:sz w:val="24"/>
          <w:szCs w:val="24"/>
        </w:rPr>
        <w:t>ate of the hearing:</w:t>
      </w:r>
      <w:r w:rsidR="00A02E86" w:rsidRPr="00706AF1">
        <w:rPr>
          <w:rFonts w:ascii="Arial" w:hAnsi="Arial" w:cs="Arial"/>
          <w:sz w:val="24"/>
          <w:szCs w:val="24"/>
        </w:rPr>
        <w:tab/>
      </w:r>
      <w:r w:rsidR="00CD58DC" w:rsidRPr="00706AF1">
        <w:rPr>
          <w:rFonts w:ascii="Arial" w:hAnsi="Arial" w:cs="Arial"/>
          <w:sz w:val="24"/>
          <w:szCs w:val="24"/>
        </w:rPr>
        <w:t>23 August 2023</w:t>
      </w:r>
      <w:r w:rsidR="00CE3E3F" w:rsidRPr="00706AF1">
        <w:rPr>
          <w:rFonts w:ascii="Arial" w:hAnsi="Arial" w:cs="Arial"/>
          <w:sz w:val="24"/>
          <w:szCs w:val="24"/>
        </w:rPr>
        <w:tab/>
      </w:r>
      <w:r w:rsidR="00CF7942" w:rsidRPr="00706AF1">
        <w:rPr>
          <w:rFonts w:ascii="Arial" w:hAnsi="Arial" w:cs="Arial"/>
          <w:sz w:val="24"/>
          <w:szCs w:val="24"/>
        </w:rPr>
        <w:tab/>
      </w:r>
      <w:r w:rsidR="00CF7942" w:rsidRPr="00706AF1">
        <w:rPr>
          <w:rFonts w:ascii="Arial" w:hAnsi="Arial" w:cs="Arial"/>
          <w:sz w:val="24"/>
          <w:szCs w:val="24"/>
        </w:rPr>
        <w:tab/>
      </w:r>
      <w:r w:rsidR="002F1742" w:rsidRPr="00706AF1">
        <w:rPr>
          <w:rFonts w:ascii="Arial" w:hAnsi="Arial" w:cs="Arial"/>
          <w:sz w:val="24"/>
          <w:szCs w:val="24"/>
        </w:rPr>
        <w:tab/>
      </w:r>
    </w:p>
    <w:p w14:paraId="7AD85C85" w14:textId="2124113A" w:rsidR="003649CD" w:rsidRDefault="00EA61D2" w:rsidP="003649CD">
      <w:pPr>
        <w:tabs>
          <w:tab w:val="left" w:pos="4917"/>
        </w:tabs>
        <w:spacing w:after="0" w:line="360" w:lineRule="auto"/>
        <w:ind w:left="360"/>
        <w:rPr>
          <w:rFonts w:ascii="Arial" w:hAnsi="Arial" w:cs="Arial"/>
          <w:sz w:val="24"/>
          <w:szCs w:val="24"/>
        </w:rPr>
      </w:pPr>
      <w:r w:rsidRPr="00706AF1">
        <w:rPr>
          <w:rFonts w:ascii="Arial" w:hAnsi="Arial" w:cs="Arial"/>
          <w:sz w:val="24"/>
          <w:szCs w:val="24"/>
        </w:rPr>
        <w:t>Da</w:t>
      </w:r>
      <w:r w:rsidR="004F3075" w:rsidRPr="00706AF1">
        <w:rPr>
          <w:rFonts w:ascii="Arial" w:hAnsi="Arial" w:cs="Arial"/>
          <w:sz w:val="24"/>
          <w:szCs w:val="24"/>
        </w:rPr>
        <w:t>te of judgment:</w:t>
      </w:r>
      <w:r w:rsidR="00BE029D" w:rsidRPr="00706AF1">
        <w:rPr>
          <w:rFonts w:ascii="Arial" w:hAnsi="Arial" w:cs="Arial"/>
          <w:sz w:val="24"/>
          <w:szCs w:val="24"/>
        </w:rPr>
        <w:tab/>
      </w:r>
      <w:r w:rsidR="00CD58DC" w:rsidRPr="00706AF1">
        <w:rPr>
          <w:rFonts w:ascii="Arial" w:hAnsi="Arial" w:cs="Arial"/>
          <w:sz w:val="24"/>
          <w:szCs w:val="24"/>
        </w:rPr>
        <w:t>28 August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FDBED" w14:textId="77777777" w:rsidR="006F4ECB" w:rsidRDefault="006F4ECB">
      <w:pPr>
        <w:spacing w:after="0" w:line="240" w:lineRule="auto"/>
      </w:pPr>
      <w:r>
        <w:separator/>
      </w:r>
    </w:p>
  </w:endnote>
  <w:endnote w:type="continuationSeparator" w:id="0">
    <w:p w14:paraId="4C8B2A9F" w14:textId="77777777" w:rsidR="006F4ECB" w:rsidRDefault="006F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548BA00D" w:rsidR="00494B3B" w:rsidRDefault="00494B3B">
        <w:pPr>
          <w:pStyle w:val="Footer"/>
          <w:jc w:val="center"/>
        </w:pPr>
        <w:r>
          <w:fldChar w:fldCharType="begin"/>
        </w:r>
        <w:r>
          <w:instrText xml:space="preserve"> PAGE   \* MERGEFORMAT </w:instrText>
        </w:r>
        <w:r>
          <w:fldChar w:fldCharType="separate"/>
        </w:r>
        <w:r w:rsidR="00322852">
          <w:rPr>
            <w:noProof/>
          </w:rPr>
          <w:t>8</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4BDFC" w14:textId="77777777" w:rsidR="006F4ECB" w:rsidRDefault="006F4ECB">
      <w:pPr>
        <w:spacing w:after="0" w:line="240" w:lineRule="auto"/>
      </w:pPr>
      <w:r>
        <w:separator/>
      </w:r>
    </w:p>
  </w:footnote>
  <w:footnote w:type="continuationSeparator" w:id="0">
    <w:p w14:paraId="2D4C89F2" w14:textId="77777777" w:rsidR="006F4ECB" w:rsidRDefault="006F4ECB">
      <w:pPr>
        <w:spacing w:after="0" w:line="240" w:lineRule="auto"/>
      </w:pPr>
      <w:r>
        <w:continuationSeparator/>
      </w:r>
    </w:p>
  </w:footnote>
  <w:footnote w:id="1">
    <w:p w14:paraId="349856A0" w14:textId="06DF56E2" w:rsidR="00760291" w:rsidRPr="00CB0194" w:rsidRDefault="00760291" w:rsidP="00CB0194">
      <w:pPr>
        <w:pStyle w:val="FootnoteText"/>
        <w:spacing w:after="120"/>
        <w:jc w:val="both"/>
        <w:rPr>
          <w:rFonts w:ascii="Arial" w:hAnsi="Arial" w:cs="Arial"/>
          <w:sz w:val="22"/>
          <w:szCs w:val="22"/>
          <w:lang w:val="en-GB"/>
        </w:rPr>
      </w:pPr>
      <w:r w:rsidRPr="00CB0194">
        <w:rPr>
          <w:rStyle w:val="FootnoteReference"/>
          <w:rFonts w:ascii="Arial" w:hAnsi="Arial" w:cs="Arial"/>
          <w:sz w:val="22"/>
          <w:szCs w:val="22"/>
        </w:rPr>
        <w:footnoteRef/>
      </w:r>
      <w:r w:rsidRPr="00CB0194">
        <w:rPr>
          <w:rFonts w:ascii="Arial" w:hAnsi="Arial" w:cs="Arial"/>
          <w:sz w:val="22"/>
          <w:szCs w:val="22"/>
        </w:rPr>
        <w:t xml:space="preserve"> </w:t>
      </w:r>
      <w:r w:rsidR="007B206F" w:rsidRPr="00CB0194">
        <w:rPr>
          <w:rFonts w:ascii="Arial" w:hAnsi="Arial" w:cs="Arial"/>
          <w:sz w:val="22"/>
          <w:szCs w:val="22"/>
          <w:lang w:val="en-GB"/>
        </w:rPr>
        <w:t>2014 (4) SA 220 (SCA)</w:t>
      </w:r>
    </w:p>
  </w:footnote>
  <w:footnote w:id="2">
    <w:p w14:paraId="6B92232B" w14:textId="330A601A" w:rsidR="00DC7029" w:rsidRPr="00CB0194" w:rsidRDefault="00DC7029" w:rsidP="00CB0194">
      <w:pPr>
        <w:pStyle w:val="FootnoteText"/>
        <w:spacing w:after="120"/>
        <w:jc w:val="both"/>
        <w:rPr>
          <w:rFonts w:ascii="Arial" w:hAnsi="Arial" w:cs="Arial"/>
          <w:sz w:val="22"/>
          <w:szCs w:val="22"/>
          <w:lang w:val="en-GB"/>
        </w:rPr>
      </w:pPr>
      <w:r w:rsidRPr="00CB0194">
        <w:rPr>
          <w:rStyle w:val="FootnoteReference"/>
          <w:rFonts w:ascii="Arial" w:hAnsi="Arial" w:cs="Arial"/>
          <w:sz w:val="22"/>
          <w:szCs w:val="22"/>
        </w:rPr>
        <w:footnoteRef/>
      </w:r>
      <w:r w:rsidRPr="00CB0194">
        <w:rPr>
          <w:rFonts w:ascii="Arial" w:hAnsi="Arial" w:cs="Arial"/>
          <w:sz w:val="22"/>
          <w:szCs w:val="22"/>
        </w:rPr>
        <w:t xml:space="preserve"> </w:t>
      </w:r>
      <w:r w:rsidR="000D696B" w:rsidRPr="00CB0194">
        <w:rPr>
          <w:rFonts w:ascii="Arial" w:hAnsi="Arial" w:cs="Arial"/>
          <w:sz w:val="22"/>
          <w:szCs w:val="22"/>
          <w:lang w:val="en-GB"/>
        </w:rPr>
        <w:t>2023 JDR 1219 (SCA)</w:t>
      </w:r>
      <w:r w:rsidR="00CC7EB6" w:rsidRPr="00CB0194">
        <w:rPr>
          <w:rFonts w:ascii="Arial" w:hAnsi="Arial" w:cs="Arial"/>
          <w:sz w:val="22"/>
          <w:szCs w:val="22"/>
          <w:lang w:val="en-GB"/>
        </w:rPr>
        <w:t xml:space="preserve"> at para [13].</w:t>
      </w:r>
    </w:p>
  </w:footnote>
  <w:footnote w:id="3">
    <w:p w14:paraId="22765509" w14:textId="7AAC7EE2" w:rsidR="00A01D16" w:rsidRPr="00CB0194" w:rsidRDefault="00A01D16" w:rsidP="00CB0194">
      <w:pPr>
        <w:pStyle w:val="FootnoteText"/>
        <w:spacing w:after="120"/>
        <w:jc w:val="both"/>
        <w:rPr>
          <w:rFonts w:ascii="Arial" w:hAnsi="Arial" w:cs="Arial"/>
          <w:sz w:val="22"/>
          <w:szCs w:val="22"/>
          <w:lang w:val="en-GB"/>
        </w:rPr>
      </w:pPr>
      <w:r w:rsidRPr="00CB0194">
        <w:rPr>
          <w:rStyle w:val="FootnoteReference"/>
          <w:rFonts w:ascii="Arial" w:hAnsi="Arial" w:cs="Arial"/>
          <w:sz w:val="22"/>
          <w:szCs w:val="22"/>
        </w:rPr>
        <w:footnoteRef/>
      </w:r>
      <w:r w:rsidRPr="00CB0194">
        <w:rPr>
          <w:rFonts w:ascii="Arial" w:hAnsi="Arial" w:cs="Arial"/>
          <w:sz w:val="22"/>
          <w:szCs w:val="22"/>
        </w:rPr>
        <w:t xml:space="preserve"> </w:t>
      </w:r>
      <w:r w:rsidRPr="00CB0194">
        <w:rPr>
          <w:rFonts w:ascii="Arial" w:hAnsi="Arial" w:cs="Arial"/>
          <w:sz w:val="22"/>
          <w:szCs w:val="22"/>
          <w:lang w:val="en-GB"/>
        </w:rPr>
        <w:t>[2015] ZASCA 111 at para</w:t>
      </w:r>
      <w:r w:rsidR="00CE1DC2" w:rsidRPr="00CB0194">
        <w:rPr>
          <w:rFonts w:ascii="Arial" w:hAnsi="Arial" w:cs="Arial"/>
          <w:sz w:val="22"/>
          <w:szCs w:val="22"/>
          <w:lang w:val="en-GB"/>
        </w:rPr>
        <w:t>s</w:t>
      </w:r>
      <w:r w:rsidRPr="00CB0194">
        <w:rPr>
          <w:rFonts w:ascii="Arial" w:hAnsi="Arial" w:cs="Arial"/>
          <w:sz w:val="22"/>
          <w:szCs w:val="22"/>
          <w:lang w:val="en-GB"/>
        </w:rPr>
        <w:t xml:space="preserve"> [27]</w:t>
      </w:r>
      <w:r w:rsidR="00CE1DC2" w:rsidRPr="00CB0194">
        <w:rPr>
          <w:rFonts w:ascii="Arial" w:hAnsi="Arial" w:cs="Arial"/>
          <w:sz w:val="22"/>
          <w:szCs w:val="22"/>
          <w:lang w:val="en-GB"/>
        </w:rPr>
        <w:t xml:space="preserve"> – [30].</w:t>
      </w:r>
    </w:p>
  </w:footnote>
  <w:footnote w:id="4">
    <w:p w14:paraId="06C4FE1E" w14:textId="45199B02" w:rsidR="00AB0F38" w:rsidRPr="00CB0194" w:rsidRDefault="00AB0F38" w:rsidP="00CB0194">
      <w:pPr>
        <w:pStyle w:val="FootnoteText"/>
        <w:spacing w:after="120"/>
        <w:jc w:val="both"/>
        <w:rPr>
          <w:rFonts w:ascii="Arial" w:hAnsi="Arial" w:cs="Arial"/>
          <w:sz w:val="22"/>
          <w:szCs w:val="22"/>
          <w:lang w:val="en-GB"/>
        </w:rPr>
      </w:pPr>
      <w:r w:rsidRPr="00CB0194">
        <w:rPr>
          <w:rStyle w:val="FootnoteReference"/>
          <w:rFonts w:ascii="Arial" w:hAnsi="Arial" w:cs="Arial"/>
          <w:sz w:val="22"/>
          <w:szCs w:val="22"/>
        </w:rPr>
        <w:footnoteRef/>
      </w:r>
      <w:r w:rsidRPr="00CB0194">
        <w:rPr>
          <w:rFonts w:ascii="Arial" w:hAnsi="Arial" w:cs="Arial"/>
          <w:sz w:val="22"/>
          <w:szCs w:val="22"/>
        </w:rPr>
        <w:t xml:space="preserve"> </w:t>
      </w:r>
      <w:r w:rsidR="00127D98" w:rsidRPr="00CB0194">
        <w:rPr>
          <w:rFonts w:ascii="Arial" w:hAnsi="Arial" w:cs="Arial"/>
          <w:i/>
          <w:iCs/>
          <w:sz w:val="22"/>
          <w:szCs w:val="22"/>
          <w:lang w:val="en-GB"/>
        </w:rPr>
        <w:t>Bothma &amp; Others v Bothma N.O. &amp; Another</w:t>
      </w:r>
      <w:r w:rsidR="00127D98" w:rsidRPr="00CB0194">
        <w:rPr>
          <w:rFonts w:ascii="Arial" w:hAnsi="Arial" w:cs="Arial"/>
          <w:sz w:val="22"/>
          <w:szCs w:val="22"/>
          <w:lang w:val="en-GB"/>
        </w:rPr>
        <w:t xml:space="preserve"> (</w:t>
      </w:r>
      <w:r w:rsidR="007530E2" w:rsidRPr="00CB0194">
        <w:rPr>
          <w:rFonts w:ascii="Arial" w:hAnsi="Arial" w:cs="Arial"/>
          <w:sz w:val="22"/>
          <w:szCs w:val="22"/>
          <w:lang w:val="en-GB"/>
        </w:rPr>
        <w:t>748/2019) [2021] ZASCA 46 (15 April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4F9C8414" w:rsidR="00494B3B" w:rsidRDefault="00494B3B">
        <w:pPr>
          <w:pStyle w:val="Header"/>
          <w:jc w:val="center"/>
        </w:pPr>
        <w:r>
          <w:fldChar w:fldCharType="begin"/>
        </w:r>
        <w:r>
          <w:instrText xml:space="preserve"> PAGE   \* MERGEFORMAT </w:instrText>
        </w:r>
        <w:r>
          <w:fldChar w:fldCharType="separate"/>
        </w:r>
        <w:r w:rsidR="00322852">
          <w:rPr>
            <w:noProof/>
          </w:rPr>
          <w:t>8</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5"/>
  </w:num>
  <w:num w:numId="4">
    <w:abstractNumId w:val="39"/>
  </w:num>
  <w:num w:numId="5">
    <w:abstractNumId w:val="4"/>
  </w:num>
  <w:num w:numId="6">
    <w:abstractNumId w:val="23"/>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2"/>
  </w:num>
  <w:num w:numId="12">
    <w:abstractNumId w:val="18"/>
  </w:num>
  <w:num w:numId="13">
    <w:abstractNumId w:val="16"/>
  </w:num>
  <w:num w:numId="14">
    <w:abstractNumId w:val="38"/>
  </w:num>
  <w:num w:numId="15">
    <w:abstractNumId w:val="34"/>
  </w:num>
  <w:num w:numId="16">
    <w:abstractNumId w:val="8"/>
  </w:num>
  <w:num w:numId="17">
    <w:abstractNumId w:val="36"/>
  </w:num>
  <w:num w:numId="18">
    <w:abstractNumId w:val="17"/>
  </w:num>
  <w:num w:numId="19">
    <w:abstractNumId w:val="10"/>
  </w:num>
  <w:num w:numId="20">
    <w:abstractNumId w:val="9"/>
  </w:num>
  <w:num w:numId="21">
    <w:abstractNumId w:val="5"/>
  </w:num>
  <w:num w:numId="22">
    <w:abstractNumId w:val="33"/>
  </w:num>
  <w:num w:numId="23">
    <w:abstractNumId w:val="24"/>
  </w:num>
  <w:num w:numId="24">
    <w:abstractNumId w:val="26"/>
  </w:num>
  <w:num w:numId="25">
    <w:abstractNumId w:val="44"/>
  </w:num>
  <w:num w:numId="26">
    <w:abstractNumId w:val="35"/>
  </w:num>
  <w:num w:numId="27">
    <w:abstractNumId w:val="41"/>
  </w:num>
  <w:num w:numId="28">
    <w:abstractNumId w:val="37"/>
  </w:num>
  <w:num w:numId="29">
    <w:abstractNumId w:val="21"/>
  </w:num>
  <w:num w:numId="30">
    <w:abstractNumId w:val="7"/>
  </w:num>
  <w:num w:numId="31">
    <w:abstractNumId w:val="32"/>
  </w:num>
  <w:num w:numId="32">
    <w:abstractNumId w:val="13"/>
  </w:num>
  <w:num w:numId="33">
    <w:abstractNumId w:val="15"/>
  </w:num>
  <w:num w:numId="34">
    <w:abstractNumId w:val="31"/>
  </w:num>
  <w:num w:numId="35">
    <w:abstractNumId w:val="22"/>
  </w:num>
  <w:num w:numId="36">
    <w:abstractNumId w:val="14"/>
  </w:num>
  <w:num w:numId="37">
    <w:abstractNumId w:val="40"/>
  </w:num>
  <w:num w:numId="38">
    <w:abstractNumId w:val="6"/>
  </w:num>
  <w:num w:numId="39">
    <w:abstractNumId w:val="1"/>
  </w:num>
  <w:num w:numId="40">
    <w:abstractNumId w:val="12"/>
  </w:num>
  <w:num w:numId="41">
    <w:abstractNumId w:val="2"/>
  </w:num>
  <w:num w:numId="42">
    <w:abstractNumId w:val="0"/>
  </w:num>
  <w:num w:numId="43">
    <w:abstractNumId w:val="30"/>
  </w:num>
  <w:num w:numId="44">
    <w:abstractNumId w:val="19"/>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8FAHRMZDs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0850"/>
    <w:rsid w:val="0001114D"/>
    <w:rsid w:val="00012309"/>
    <w:rsid w:val="00015828"/>
    <w:rsid w:val="000170B5"/>
    <w:rsid w:val="000171DB"/>
    <w:rsid w:val="000176C9"/>
    <w:rsid w:val="000203E2"/>
    <w:rsid w:val="00021ECC"/>
    <w:rsid w:val="00022328"/>
    <w:rsid w:val="00022EB8"/>
    <w:rsid w:val="000230BD"/>
    <w:rsid w:val="00023275"/>
    <w:rsid w:val="00023CAC"/>
    <w:rsid w:val="0002404E"/>
    <w:rsid w:val="00024E0F"/>
    <w:rsid w:val="00025126"/>
    <w:rsid w:val="000257A9"/>
    <w:rsid w:val="000274E7"/>
    <w:rsid w:val="00031143"/>
    <w:rsid w:val="000317A3"/>
    <w:rsid w:val="00032C78"/>
    <w:rsid w:val="00032FC2"/>
    <w:rsid w:val="00033147"/>
    <w:rsid w:val="00034E27"/>
    <w:rsid w:val="00035BF5"/>
    <w:rsid w:val="000367C1"/>
    <w:rsid w:val="00036DF7"/>
    <w:rsid w:val="00037CA8"/>
    <w:rsid w:val="000406C2"/>
    <w:rsid w:val="00041763"/>
    <w:rsid w:val="00041D2B"/>
    <w:rsid w:val="000422BC"/>
    <w:rsid w:val="000439E3"/>
    <w:rsid w:val="00046AC5"/>
    <w:rsid w:val="00051C95"/>
    <w:rsid w:val="00052C95"/>
    <w:rsid w:val="00053D04"/>
    <w:rsid w:val="00055BFD"/>
    <w:rsid w:val="00060196"/>
    <w:rsid w:val="00060B7B"/>
    <w:rsid w:val="00061538"/>
    <w:rsid w:val="00062130"/>
    <w:rsid w:val="00062922"/>
    <w:rsid w:val="00064763"/>
    <w:rsid w:val="000649D6"/>
    <w:rsid w:val="00065E8F"/>
    <w:rsid w:val="000664E5"/>
    <w:rsid w:val="000678F2"/>
    <w:rsid w:val="00070056"/>
    <w:rsid w:val="00070EB1"/>
    <w:rsid w:val="000718C8"/>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1A4B"/>
    <w:rsid w:val="00084058"/>
    <w:rsid w:val="00085CA1"/>
    <w:rsid w:val="00087A9C"/>
    <w:rsid w:val="00090049"/>
    <w:rsid w:val="00090328"/>
    <w:rsid w:val="0009046E"/>
    <w:rsid w:val="00091185"/>
    <w:rsid w:val="00091A89"/>
    <w:rsid w:val="00092153"/>
    <w:rsid w:val="0009232A"/>
    <w:rsid w:val="000935DC"/>
    <w:rsid w:val="00094B43"/>
    <w:rsid w:val="000961C9"/>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85E"/>
    <w:rsid w:val="000C0C3C"/>
    <w:rsid w:val="000C1968"/>
    <w:rsid w:val="000C1FED"/>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96B"/>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2CED"/>
    <w:rsid w:val="000F382D"/>
    <w:rsid w:val="000F40EC"/>
    <w:rsid w:val="000F4953"/>
    <w:rsid w:val="000F6898"/>
    <w:rsid w:val="000F6F37"/>
    <w:rsid w:val="000F7DD5"/>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410B"/>
    <w:rsid w:val="001167B4"/>
    <w:rsid w:val="001176BA"/>
    <w:rsid w:val="00117DDB"/>
    <w:rsid w:val="0012171D"/>
    <w:rsid w:val="00122D3B"/>
    <w:rsid w:val="00123AF6"/>
    <w:rsid w:val="00124734"/>
    <w:rsid w:val="00124C87"/>
    <w:rsid w:val="0012537E"/>
    <w:rsid w:val="00125917"/>
    <w:rsid w:val="00125A23"/>
    <w:rsid w:val="00125E7E"/>
    <w:rsid w:val="00126105"/>
    <w:rsid w:val="00126196"/>
    <w:rsid w:val="0012642B"/>
    <w:rsid w:val="001277ED"/>
    <w:rsid w:val="00127D98"/>
    <w:rsid w:val="00127F08"/>
    <w:rsid w:val="00127F3D"/>
    <w:rsid w:val="001301FE"/>
    <w:rsid w:val="0013431E"/>
    <w:rsid w:val="00134554"/>
    <w:rsid w:val="00134ABA"/>
    <w:rsid w:val="00134BC8"/>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8A0"/>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93C8B"/>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4FB0"/>
    <w:rsid w:val="001B5973"/>
    <w:rsid w:val="001B5C62"/>
    <w:rsid w:val="001B7AEF"/>
    <w:rsid w:val="001B7DDE"/>
    <w:rsid w:val="001C15CC"/>
    <w:rsid w:val="001C1F00"/>
    <w:rsid w:val="001C1F91"/>
    <w:rsid w:val="001C2169"/>
    <w:rsid w:val="001C38EE"/>
    <w:rsid w:val="001C3B6B"/>
    <w:rsid w:val="001C46D3"/>
    <w:rsid w:val="001C487B"/>
    <w:rsid w:val="001C6102"/>
    <w:rsid w:val="001C7831"/>
    <w:rsid w:val="001C79B2"/>
    <w:rsid w:val="001C7D68"/>
    <w:rsid w:val="001D0288"/>
    <w:rsid w:val="001D06F6"/>
    <w:rsid w:val="001D115E"/>
    <w:rsid w:val="001D2632"/>
    <w:rsid w:val="001D3196"/>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4D35"/>
    <w:rsid w:val="001F6A6D"/>
    <w:rsid w:val="001F7084"/>
    <w:rsid w:val="002010BD"/>
    <w:rsid w:val="00201ABE"/>
    <w:rsid w:val="002026A5"/>
    <w:rsid w:val="002033C4"/>
    <w:rsid w:val="00203E30"/>
    <w:rsid w:val="00203FC6"/>
    <w:rsid w:val="0020431B"/>
    <w:rsid w:val="002049D9"/>
    <w:rsid w:val="00205116"/>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692F"/>
    <w:rsid w:val="00227A67"/>
    <w:rsid w:val="00227A76"/>
    <w:rsid w:val="00230074"/>
    <w:rsid w:val="00232C6A"/>
    <w:rsid w:val="002330E1"/>
    <w:rsid w:val="0023401D"/>
    <w:rsid w:val="002341F3"/>
    <w:rsid w:val="00234C05"/>
    <w:rsid w:val="00234D25"/>
    <w:rsid w:val="00235FC0"/>
    <w:rsid w:val="00236A17"/>
    <w:rsid w:val="002375CD"/>
    <w:rsid w:val="00237E63"/>
    <w:rsid w:val="0024126D"/>
    <w:rsid w:val="00243553"/>
    <w:rsid w:val="00243BCF"/>
    <w:rsid w:val="00243C9C"/>
    <w:rsid w:val="0024566E"/>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5A0B"/>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3A2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5777"/>
    <w:rsid w:val="002F65EC"/>
    <w:rsid w:val="002F6924"/>
    <w:rsid w:val="002F742A"/>
    <w:rsid w:val="002F7CBE"/>
    <w:rsid w:val="003000A5"/>
    <w:rsid w:val="00300C0B"/>
    <w:rsid w:val="00300E24"/>
    <w:rsid w:val="0030111F"/>
    <w:rsid w:val="003014D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39B8"/>
    <w:rsid w:val="00314020"/>
    <w:rsid w:val="003145ED"/>
    <w:rsid w:val="00314C4D"/>
    <w:rsid w:val="003151F4"/>
    <w:rsid w:val="00315700"/>
    <w:rsid w:val="00315CC5"/>
    <w:rsid w:val="00317A0C"/>
    <w:rsid w:val="00320767"/>
    <w:rsid w:val="00320913"/>
    <w:rsid w:val="00321A4D"/>
    <w:rsid w:val="00321A60"/>
    <w:rsid w:val="00321F01"/>
    <w:rsid w:val="00321F8D"/>
    <w:rsid w:val="00322852"/>
    <w:rsid w:val="00322FD9"/>
    <w:rsid w:val="003230D2"/>
    <w:rsid w:val="00324460"/>
    <w:rsid w:val="0032526F"/>
    <w:rsid w:val="00325448"/>
    <w:rsid w:val="0032653D"/>
    <w:rsid w:val="00326F07"/>
    <w:rsid w:val="003275AC"/>
    <w:rsid w:val="0032784F"/>
    <w:rsid w:val="00327B5E"/>
    <w:rsid w:val="00330CC7"/>
    <w:rsid w:val="00332266"/>
    <w:rsid w:val="00332D2F"/>
    <w:rsid w:val="00332FD7"/>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544"/>
    <w:rsid w:val="00360800"/>
    <w:rsid w:val="00360FC9"/>
    <w:rsid w:val="00361ED6"/>
    <w:rsid w:val="00362299"/>
    <w:rsid w:val="00362621"/>
    <w:rsid w:val="00362FC5"/>
    <w:rsid w:val="0036388F"/>
    <w:rsid w:val="00363AE6"/>
    <w:rsid w:val="003645E0"/>
    <w:rsid w:val="003649CD"/>
    <w:rsid w:val="00365CCC"/>
    <w:rsid w:val="003664A7"/>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3FFE"/>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5C"/>
    <w:rsid w:val="003B0BB2"/>
    <w:rsid w:val="003B0C3A"/>
    <w:rsid w:val="003B12FE"/>
    <w:rsid w:val="003B1590"/>
    <w:rsid w:val="003B1E8D"/>
    <w:rsid w:val="003B2313"/>
    <w:rsid w:val="003B240B"/>
    <w:rsid w:val="003B27FF"/>
    <w:rsid w:val="003B2E9C"/>
    <w:rsid w:val="003B354E"/>
    <w:rsid w:val="003B45E2"/>
    <w:rsid w:val="003B5083"/>
    <w:rsid w:val="003B6352"/>
    <w:rsid w:val="003B746B"/>
    <w:rsid w:val="003C09DA"/>
    <w:rsid w:val="003C0A87"/>
    <w:rsid w:val="003C171B"/>
    <w:rsid w:val="003C2304"/>
    <w:rsid w:val="003C3BAB"/>
    <w:rsid w:val="003C3FEF"/>
    <w:rsid w:val="003C429F"/>
    <w:rsid w:val="003C59B2"/>
    <w:rsid w:val="003D0578"/>
    <w:rsid w:val="003D1021"/>
    <w:rsid w:val="003D1355"/>
    <w:rsid w:val="003D1EB3"/>
    <w:rsid w:val="003D29D4"/>
    <w:rsid w:val="003D32B7"/>
    <w:rsid w:val="003D3362"/>
    <w:rsid w:val="003D3AA3"/>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2A2"/>
    <w:rsid w:val="003E6969"/>
    <w:rsid w:val="003F0A9C"/>
    <w:rsid w:val="003F0D9F"/>
    <w:rsid w:val="003F131C"/>
    <w:rsid w:val="003F1580"/>
    <w:rsid w:val="003F1981"/>
    <w:rsid w:val="003F301D"/>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5FF8"/>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06BE"/>
    <w:rsid w:val="00451616"/>
    <w:rsid w:val="00451EDC"/>
    <w:rsid w:val="004529FD"/>
    <w:rsid w:val="00454447"/>
    <w:rsid w:val="00454D07"/>
    <w:rsid w:val="00454F45"/>
    <w:rsid w:val="004552AA"/>
    <w:rsid w:val="0045595B"/>
    <w:rsid w:val="004570ED"/>
    <w:rsid w:val="004575BE"/>
    <w:rsid w:val="004577F2"/>
    <w:rsid w:val="00457B10"/>
    <w:rsid w:val="00457B3B"/>
    <w:rsid w:val="00460056"/>
    <w:rsid w:val="00460613"/>
    <w:rsid w:val="00460832"/>
    <w:rsid w:val="00461C05"/>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63B7"/>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4B1"/>
    <w:rsid w:val="004E466B"/>
    <w:rsid w:val="004E5BDB"/>
    <w:rsid w:val="004E5FA3"/>
    <w:rsid w:val="004E6887"/>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29B"/>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391F"/>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39A9"/>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1CCA"/>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5C49"/>
    <w:rsid w:val="0061640A"/>
    <w:rsid w:val="006217FA"/>
    <w:rsid w:val="006225F0"/>
    <w:rsid w:val="00623AD0"/>
    <w:rsid w:val="00624CE5"/>
    <w:rsid w:val="0062522A"/>
    <w:rsid w:val="00625C02"/>
    <w:rsid w:val="006265F9"/>
    <w:rsid w:val="00626B84"/>
    <w:rsid w:val="00626ED8"/>
    <w:rsid w:val="00627F68"/>
    <w:rsid w:val="0063100D"/>
    <w:rsid w:val="006311CF"/>
    <w:rsid w:val="00632B82"/>
    <w:rsid w:val="00632E12"/>
    <w:rsid w:val="006342B7"/>
    <w:rsid w:val="006344D6"/>
    <w:rsid w:val="0063472B"/>
    <w:rsid w:val="00635860"/>
    <w:rsid w:val="006363FA"/>
    <w:rsid w:val="006367D6"/>
    <w:rsid w:val="0063705A"/>
    <w:rsid w:val="0063726F"/>
    <w:rsid w:val="00637C36"/>
    <w:rsid w:val="00640788"/>
    <w:rsid w:val="00641AA7"/>
    <w:rsid w:val="006422CB"/>
    <w:rsid w:val="00642520"/>
    <w:rsid w:val="00642699"/>
    <w:rsid w:val="006429BA"/>
    <w:rsid w:val="00643374"/>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4EDD"/>
    <w:rsid w:val="00655C9D"/>
    <w:rsid w:val="0065773B"/>
    <w:rsid w:val="00660904"/>
    <w:rsid w:val="00660DFA"/>
    <w:rsid w:val="00660F44"/>
    <w:rsid w:val="0066289A"/>
    <w:rsid w:val="00662BC2"/>
    <w:rsid w:val="00663453"/>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AC8"/>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B7CF7"/>
    <w:rsid w:val="006C0019"/>
    <w:rsid w:val="006C08A0"/>
    <w:rsid w:val="006C0A7F"/>
    <w:rsid w:val="006C1FCA"/>
    <w:rsid w:val="006C2C99"/>
    <w:rsid w:val="006C375E"/>
    <w:rsid w:val="006C3A88"/>
    <w:rsid w:val="006C6737"/>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28E"/>
    <w:rsid w:val="006E17F1"/>
    <w:rsid w:val="006E2AF5"/>
    <w:rsid w:val="006E4809"/>
    <w:rsid w:val="006E527B"/>
    <w:rsid w:val="006E5309"/>
    <w:rsid w:val="006E6BFD"/>
    <w:rsid w:val="006F00F9"/>
    <w:rsid w:val="006F0CEB"/>
    <w:rsid w:val="006F1589"/>
    <w:rsid w:val="006F2B58"/>
    <w:rsid w:val="006F2C01"/>
    <w:rsid w:val="006F2E9B"/>
    <w:rsid w:val="006F30C4"/>
    <w:rsid w:val="006F33DF"/>
    <w:rsid w:val="006F387A"/>
    <w:rsid w:val="006F4ECB"/>
    <w:rsid w:val="006F4F5E"/>
    <w:rsid w:val="006F5DE7"/>
    <w:rsid w:val="006F6072"/>
    <w:rsid w:val="006F64B3"/>
    <w:rsid w:val="006F7D2C"/>
    <w:rsid w:val="00700324"/>
    <w:rsid w:val="007009A3"/>
    <w:rsid w:val="007013B2"/>
    <w:rsid w:val="00701767"/>
    <w:rsid w:val="00702CD0"/>
    <w:rsid w:val="00703191"/>
    <w:rsid w:val="007041E9"/>
    <w:rsid w:val="007049C6"/>
    <w:rsid w:val="00704F9D"/>
    <w:rsid w:val="007055A8"/>
    <w:rsid w:val="007056C3"/>
    <w:rsid w:val="007059D5"/>
    <w:rsid w:val="00705B6D"/>
    <w:rsid w:val="007067D7"/>
    <w:rsid w:val="00706AF1"/>
    <w:rsid w:val="00710BD3"/>
    <w:rsid w:val="00711DA4"/>
    <w:rsid w:val="00711F83"/>
    <w:rsid w:val="0071300D"/>
    <w:rsid w:val="00713537"/>
    <w:rsid w:val="00713998"/>
    <w:rsid w:val="00713E3C"/>
    <w:rsid w:val="00715BF2"/>
    <w:rsid w:val="0071602B"/>
    <w:rsid w:val="00716377"/>
    <w:rsid w:val="00717B90"/>
    <w:rsid w:val="00717C14"/>
    <w:rsid w:val="00717E81"/>
    <w:rsid w:val="00720275"/>
    <w:rsid w:val="00720BDF"/>
    <w:rsid w:val="00721B8C"/>
    <w:rsid w:val="00721C66"/>
    <w:rsid w:val="00721ECE"/>
    <w:rsid w:val="007222BE"/>
    <w:rsid w:val="007231B7"/>
    <w:rsid w:val="00723576"/>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0E2"/>
    <w:rsid w:val="0075346A"/>
    <w:rsid w:val="00753DD7"/>
    <w:rsid w:val="00753FA6"/>
    <w:rsid w:val="00756057"/>
    <w:rsid w:val="00756202"/>
    <w:rsid w:val="0075638F"/>
    <w:rsid w:val="0076001D"/>
    <w:rsid w:val="00760291"/>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206F"/>
    <w:rsid w:val="007B3086"/>
    <w:rsid w:val="007B3888"/>
    <w:rsid w:val="007B43EC"/>
    <w:rsid w:val="007B4DB6"/>
    <w:rsid w:val="007B59D4"/>
    <w:rsid w:val="007B5A1C"/>
    <w:rsid w:val="007B5A90"/>
    <w:rsid w:val="007B705F"/>
    <w:rsid w:val="007B7149"/>
    <w:rsid w:val="007B7733"/>
    <w:rsid w:val="007B7E77"/>
    <w:rsid w:val="007C21D4"/>
    <w:rsid w:val="007C2260"/>
    <w:rsid w:val="007C26FB"/>
    <w:rsid w:val="007C356E"/>
    <w:rsid w:val="007C4C2B"/>
    <w:rsid w:val="007C53CE"/>
    <w:rsid w:val="007C5F71"/>
    <w:rsid w:val="007C6F1A"/>
    <w:rsid w:val="007C71AF"/>
    <w:rsid w:val="007C7392"/>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069D"/>
    <w:rsid w:val="00810F08"/>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2F21"/>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1EF2"/>
    <w:rsid w:val="00882512"/>
    <w:rsid w:val="00884DFF"/>
    <w:rsid w:val="00885AE1"/>
    <w:rsid w:val="0088618D"/>
    <w:rsid w:val="00886E31"/>
    <w:rsid w:val="00887C94"/>
    <w:rsid w:val="00887F9D"/>
    <w:rsid w:val="00890C2F"/>
    <w:rsid w:val="00891679"/>
    <w:rsid w:val="00893C7D"/>
    <w:rsid w:val="00893CD6"/>
    <w:rsid w:val="00893E0F"/>
    <w:rsid w:val="00894A2A"/>
    <w:rsid w:val="008963EC"/>
    <w:rsid w:val="008964A5"/>
    <w:rsid w:val="00896A99"/>
    <w:rsid w:val="0089731A"/>
    <w:rsid w:val="00897E82"/>
    <w:rsid w:val="008A01B6"/>
    <w:rsid w:val="008A0293"/>
    <w:rsid w:val="008A0432"/>
    <w:rsid w:val="008A0EDC"/>
    <w:rsid w:val="008A199C"/>
    <w:rsid w:val="008A233C"/>
    <w:rsid w:val="008A2F8F"/>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4FE"/>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3E95"/>
    <w:rsid w:val="008D5940"/>
    <w:rsid w:val="008D5FED"/>
    <w:rsid w:val="008D5FF3"/>
    <w:rsid w:val="008D6302"/>
    <w:rsid w:val="008D69E1"/>
    <w:rsid w:val="008D6C1E"/>
    <w:rsid w:val="008D7513"/>
    <w:rsid w:val="008E24EC"/>
    <w:rsid w:val="008E36B1"/>
    <w:rsid w:val="008E3DFC"/>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87A"/>
    <w:rsid w:val="008F5994"/>
    <w:rsid w:val="008F5D33"/>
    <w:rsid w:val="008F5D51"/>
    <w:rsid w:val="008F6055"/>
    <w:rsid w:val="008F7474"/>
    <w:rsid w:val="008F75E9"/>
    <w:rsid w:val="008F7A9B"/>
    <w:rsid w:val="008F7D64"/>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87E60"/>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1D16"/>
    <w:rsid w:val="00A02448"/>
    <w:rsid w:val="00A026EA"/>
    <w:rsid w:val="00A02E86"/>
    <w:rsid w:val="00A04A14"/>
    <w:rsid w:val="00A04F38"/>
    <w:rsid w:val="00A0535B"/>
    <w:rsid w:val="00A05C0C"/>
    <w:rsid w:val="00A06F8F"/>
    <w:rsid w:val="00A103C9"/>
    <w:rsid w:val="00A12C61"/>
    <w:rsid w:val="00A15373"/>
    <w:rsid w:val="00A156D4"/>
    <w:rsid w:val="00A158DD"/>
    <w:rsid w:val="00A16AFB"/>
    <w:rsid w:val="00A17BE4"/>
    <w:rsid w:val="00A207BF"/>
    <w:rsid w:val="00A2083F"/>
    <w:rsid w:val="00A2172C"/>
    <w:rsid w:val="00A2199D"/>
    <w:rsid w:val="00A21AD0"/>
    <w:rsid w:val="00A227CA"/>
    <w:rsid w:val="00A258C9"/>
    <w:rsid w:val="00A262CA"/>
    <w:rsid w:val="00A26ADF"/>
    <w:rsid w:val="00A27206"/>
    <w:rsid w:val="00A301D8"/>
    <w:rsid w:val="00A30305"/>
    <w:rsid w:val="00A30ACD"/>
    <w:rsid w:val="00A315F2"/>
    <w:rsid w:val="00A31D30"/>
    <w:rsid w:val="00A3266D"/>
    <w:rsid w:val="00A32731"/>
    <w:rsid w:val="00A3289F"/>
    <w:rsid w:val="00A32CD7"/>
    <w:rsid w:val="00A33FA1"/>
    <w:rsid w:val="00A3441D"/>
    <w:rsid w:val="00A355FB"/>
    <w:rsid w:val="00A35ADC"/>
    <w:rsid w:val="00A35D9C"/>
    <w:rsid w:val="00A36C6A"/>
    <w:rsid w:val="00A37B40"/>
    <w:rsid w:val="00A42BDA"/>
    <w:rsid w:val="00A4466D"/>
    <w:rsid w:val="00A4588D"/>
    <w:rsid w:val="00A4604E"/>
    <w:rsid w:val="00A51424"/>
    <w:rsid w:val="00A52163"/>
    <w:rsid w:val="00A524CA"/>
    <w:rsid w:val="00A526E7"/>
    <w:rsid w:val="00A53641"/>
    <w:rsid w:val="00A54BDB"/>
    <w:rsid w:val="00A55F42"/>
    <w:rsid w:val="00A5693C"/>
    <w:rsid w:val="00A56A48"/>
    <w:rsid w:val="00A57377"/>
    <w:rsid w:val="00A60C2B"/>
    <w:rsid w:val="00A617C5"/>
    <w:rsid w:val="00A6451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0B09"/>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0F3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092"/>
    <w:rsid w:val="00AF2539"/>
    <w:rsid w:val="00AF32B8"/>
    <w:rsid w:val="00AF3C01"/>
    <w:rsid w:val="00AF4075"/>
    <w:rsid w:val="00AF47BF"/>
    <w:rsid w:val="00AF5B05"/>
    <w:rsid w:val="00AF5BC0"/>
    <w:rsid w:val="00AF5DC3"/>
    <w:rsid w:val="00B0025E"/>
    <w:rsid w:val="00B01458"/>
    <w:rsid w:val="00B01887"/>
    <w:rsid w:val="00B0288D"/>
    <w:rsid w:val="00B033BC"/>
    <w:rsid w:val="00B046B1"/>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5885"/>
    <w:rsid w:val="00B16070"/>
    <w:rsid w:val="00B161A4"/>
    <w:rsid w:val="00B171DC"/>
    <w:rsid w:val="00B21417"/>
    <w:rsid w:val="00B22A5D"/>
    <w:rsid w:val="00B235C8"/>
    <w:rsid w:val="00B24099"/>
    <w:rsid w:val="00B2547F"/>
    <w:rsid w:val="00B27C52"/>
    <w:rsid w:val="00B31348"/>
    <w:rsid w:val="00B3155A"/>
    <w:rsid w:val="00B33C5F"/>
    <w:rsid w:val="00B34B68"/>
    <w:rsid w:val="00B3512B"/>
    <w:rsid w:val="00B3529A"/>
    <w:rsid w:val="00B358D0"/>
    <w:rsid w:val="00B362DD"/>
    <w:rsid w:val="00B36472"/>
    <w:rsid w:val="00B36C5E"/>
    <w:rsid w:val="00B377C9"/>
    <w:rsid w:val="00B40239"/>
    <w:rsid w:val="00B42176"/>
    <w:rsid w:val="00B4340B"/>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3726"/>
    <w:rsid w:val="00B64393"/>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007A"/>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5D1D"/>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450E"/>
    <w:rsid w:val="00BF6718"/>
    <w:rsid w:val="00BF6A7A"/>
    <w:rsid w:val="00BF734D"/>
    <w:rsid w:val="00BF759A"/>
    <w:rsid w:val="00C00FCE"/>
    <w:rsid w:val="00C01A49"/>
    <w:rsid w:val="00C01EEA"/>
    <w:rsid w:val="00C03B97"/>
    <w:rsid w:val="00C040AA"/>
    <w:rsid w:val="00C046C0"/>
    <w:rsid w:val="00C04C1E"/>
    <w:rsid w:val="00C04F84"/>
    <w:rsid w:val="00C059DE"/>
    <w:rsid w:val="00C06495"/>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4F7C"/>
    <w:rsid w:val="00C25BF3"/>
    <w:rsid w:val="00C26E8D"/>
    <w:rsid w:val="00C2790A"/>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47CC8"/>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00D"/>
    <w:rsid w:val="00C8048B"/>
    <w:rsid w:val="00C81DB4"/>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194"/>
    <w:rsid w:val="00CB036F"/>
    <w:rsid w:val="00CB18EE"/>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C7EB6"/>
    <w:rsid w:val="00CD0913"/>
    <w:rsid w:val="00CD1462"/>
    <w:rsid w:val="00CD25AA"/>
    <w:rsid w:val="00CD30A9"/>
    <w:rsid w:val="00CD3E0D"/>
    <w:rsid w:val="00CD3F07"/>
    <w:rsid w:val="00CD4002"/>
    <w:rsid w:val="00CD415D"/>
    <w:rsid w:val="00CD4949"/>
    <w:rsid w:val="00CD4DAE"/>
    <w:rsid w:val="00CD58DC"/>
    <w:rsid w:val="00CE1DC2"/>
    <w:rsid w:val="00CE3BC0"/>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22A8"/>
    <w:rsid w:val="00D131D3"/>
    <w:rsid w:val="00D14C23"/>
    <w:rsid w:val="00D14F23"/>
    <w:rsid w:val="00D15429"/>
    <w:rsid w:val="00D15FC0"/>
    <w:rsid w:val="00D16E5B"/>
    <w:rsid w:val="00D17A0F"/>
    <w:rsid w:val="00D17DE3"/>
    <w:rsid w:val="00D213CC"/>
    <w:rsid w:val="00D2210B"/>
    <w:rsid w:val="00D22485"/>
    <w:rsid w:val="00D23AC1"/>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0BA7"/>
    <w:rsid w:val="00D615C1"/>
    <w:rsid w:val="00D620E7"/>
    <w:rsid w:val="00D62A3A"/>
    <w:rsid w:val="00D63502"/>
    <w:rsid w:val="00D63996"/>
    <w:rsid w:val="00D63EA9"/>
    <w:rsid w:val="00D64CB4"/>
    <w:rsid w:val="00D64F92"/>
    <w:rsid w:val="00D64FA2"/>
    <w:rsid w:val="00D65D3B"/>
    <w:rsid w:val="00D66030"/>
    <w:rsid w:val="00D66E9E"/>
    <w:rsid w:val="00D67120"/>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2"/>
    <w:rsid w:val="00D8072C"/>
    <w:rsid w:val="00D808D8"/>
    <w:rsid w:val="00D831A4"/>
    <w:rsid w:val="00D836D9"/>
    <w:rsid w:val="00D83AD5"/>
    <w:rsid w:val="00D852E9"/>
    <w:rsid w:val="00D85BA4"/>
    <w:rsid w:val="00D85DC2"/>
    <w:rsid w:val="00D85FDB"/>
    <w:rsid w:val="00D8689E"/>
    <w:rsid w:val="00D872E6"/>
    <w:rsid w:val="00D87561"/>
    <w:rsid w:val="00D9092C"/>
    <w:rsid w:val="00D90F8C"/>
    <w:rsid w:val="00D93473"/>
    <w:rsid w:val="00D93AE7"/>
    <w:rsid w:val="00D943BA"/>
    <w:rsid w:val="00D94A64"/>
    <w:rsid w:val="00D957A8"/>
    <w:rsid w:val="00D9588B"/>
    <w:rsid w:val="00D95951"/>
    <w:rsid w:val="00D96295"/>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29CF"/>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029"/>
    <w:rsid w:val="00DC7126"/>
    <w:rsid w:val="00DC7645"/>
    <w:rsid w:val="00DD05AB"/>
    <w:rsid w:val="00DD0E7F"/>
    <w:rsid w:val="00DD184B"/>
    <w:rsid w:val="00DD3723"/>
    <w:rsid w:val="00DD37E3"/>
    <w:rsid w:val="00DD43AC"/>
    <w:rsid w:val="00DD4D99"/>
    <w:rsid w:val="00DD569C"/>
    <w:rsid w:val="00DD57F2"/>
    <w:rsid w:val="00DE0E16"/>
    <w:rsid w:val="00DE13BB"/>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23"/>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DD1"/>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39"/>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A7F"/>
    <w:rsid w:val="00E61D89"/>
    <w:rsid w:val="00E61DAF"/>
    <w:rsid w:val="00E61E3E"/>
    <w:rsid w:val="00E62893"/>
    <w:rsid w:val="00E62981"/>
    <w:rsid w:val="00E63807"/>
    <w:rsid w:val="00E63DC1"/>
    <w:rsid w:val="00E64268"/>
    <w:rsid w:val="00E648AA"/>
    <w:rsid w:val="00E651D5"/>
    <w:rsid w:val="00E65208"/>
    <w:rsid w:val="00E657E1"/>
    <w:rsid w:val="00E66488"/>
    <w:rsid w:val="00E665FF"/>
    <w:rsid w:val="00E66A18"/>
    <w:rsid w:val="00E67634"/>
    <w:rsid w:val="00E6798F"/>
    <w:rsid w:val="00E70255"/>
    <w:rsid w:val="00E70C46"/>
    <w:rsid w:val="00E720A1"/>
    <w:rsid w:val="00E724E8"/>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86E39"/>
    <w:rsid w:val="00E87DCF"/>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B7659"/>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D9"/>
    <w:rsid w:val="00EF2FE1"/>
    <w:rsid w:val="00EF3454"/>
    <w:rsid w:val="00EF38F3"/>
    <w:rsid w:val="00EF46B6"/>
    <w:rsid w:val="00EF51D1"/>
    <w:rsid w:val="00EF5FD5"/>
    <w:rsid w:val="00EF6FBB"/>
    <w:rsid w:val="00F0022D"/>
    <w:rsid w:val="00F00235"/>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18"/>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0BDD"/>
    <w:rsid w:val="00F3148C"/>
    <w:rsid w:val="00F323CE"/>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26D5"/>
    <w:rsid w:val="00F53370"/>
    <w:rsid w:val="00F541AB"/>
    <w:rsid w:val="00F54A41"/>
    <w:rsid w:val="00F54A76"/>
    <w:rsid w:val="00F54C3F"/>
    <w:rsid w:val="00F5518E"/>
    <w:rsid w:val="00F557A4"/>
    <w:rsid w:val="00F55892"/>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E4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B6F05"/>
    <w:rsid w:val="00FC0296"/>
    <w:rsid w:val="00FC02DA"/>
    <w:rsid w:val="00FC038E"/>
    <w:rsid w:val="00FC0391"/>
    <w:rsid w:val="00FC0667"/>
    <w:rsid w:val="00FC0E46"/>
    <w:rsid w:val="00FC1158"/>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5715532">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B70C-91F7-4831-850A-47CD2524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2023-08-28T07:30:00Z</cp:lastPrinted>
  <dcterms:created xsi:type="dcterms:W3CDTF">2023-09-04T10:52:00Z</dcterms:created>
  <dcterms:modified xsi:type="dcterms:W3CDTF">2023-09-04T10:58:00Z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