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0D" w:rsidRDefault="00456C0D" w:rsidP="005F6B71">
      <w:pPr>
        <w:spacing w:line="360" w:lineRule="auto"/>
        <w:rPr>
          <w:b/>
          <w:u w:val="none"/>
          <w:lang w:val="en-ZA"/>
        </w:rPr>
      </w:pPr>
    </w:p>
    <w:p w:rsidR="00456C0D" w:rsidRPr="00456C0D" w:rsidRDefault="00456C0D" w:rsidP="004A7840">
      <w:pPr>
        <w:spacing w:line="360" w:lineRule="auto"/>
        <w:ind w:left="2880" w:firstLine="720"/>
        <w:rPr>
          <w:rFonts w:eastAsiaTheme="minorHAnsi"/>
          <w:u w:val="none"/>
          <w:lang w:val="en-US" w:eastAsia="en-US"/>
        </w:rPr>
      </w:pPr>
      <w:r w:rsidRPr="00456C0D">
        <w:rPr>
          <w:rFonts w:eastAsiaTheme="minorHAnsi"/>
          <w:b/>
          <w:noProof/>
          <w:u w:val="none"/>
          <w:lang w:val="en-US" w:eastAsia="en-US"/>
        </w:rPr>
        <w:drawing>
          <wp:inline distT="0" distB="0" distL="0" distR="0" wp14:anchorId="2104AEB9" wp14:editId="4BAFB843">
            <wp:extent cx="1438275" cy="1438275"/>
            <wp:effectExtent l="0" t="0" r="0" b="0"/>
            <wp:docPr id="4" name="Picture 4"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tex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inline>
        </w:drawing>
      </w:r>
    </w:p>
    <w:p w:rsidR="00456C0D" w:rsidRPr="00456C0D" w:rsidRDefault="00456C0D" w:rsidP="004A7840">
      <w:pPr>
        <w:widowControl w:val="0"/>
        <w:tabs>
          <w:tab w:val="left" w:pos="737"/>
        </w:tabs>
        <w:kinsoku w:val="0"/>
        <w:overflowPunct w:val="0"/>
        <w:autoSpaceDE w:val="0"/>
        <w:autoSpaceDN w:val="0"/>
        <w:adjustRightInd w:val="0"/>
        <w:spacing w:line="360" w:lineRule="auto"/>
        <w:jc w:val="center"/>
        <w:rPr>
          <w:rFonts w:eastAsiaTheme="minorEastAsia"/>
          <w:b/>
          <w:bCs/>
          <w:color w:val="282A2B"/>
          <w:w w:val="105"/>
          <w:u w:val="none"/>
          <w:lang w:val="en-US" w:eastAsia="en-US"/>
        </w:rPr>
      </w:pPr>
      <w:r w:rsidRPr="00456C0D">
        <w:rPr>
          <w:rFonts w:eastAsiaTheme="minorEastAsia"/>
          <w:b/>
          <w:bCs/>
          <w:color w:val="282A2B"/>
          <w:w w:val="105"/>
          <w:u w:val="none"/>
          <w:lang w:val="en-US" w:eastAsia="en-US"/>
        </w:rPr>
        <w:t>IN THE HIGH COURT OF SOUTH AFRICA</w:t>
      </w:r>
    </w:p>
    <w:p w:rsidR="00456C0D" w:rsidRPr="00456C0D" w:rsidRDefault="00456C0D" w:rsidP="004A7840">
      <w:pPr>
        <w:widowControl w:val="0"/>
        <w:tabs>
          <w:tab w:val="left" w:pos="737"/>
        </w:tabs>
        <w:kinsoku w:val="0"/>
        <w:overflowPunct w:val="0"/>
        <w:autoSpaceDE w:val="0"/>
        <w:autoSpaceDN w:val="0"/>
        <w:adjustRightInd w:val="0"/>
        <w:spacing w:line="360" w:lineRule="auto"/>
        <w:jc w:val="center"/>
        <w:rPr>
          <w:rFonts w:eastAsiaTheme="minorEastAsia"/>
          <w:b/>
          <w:bCs/>
          <w:color w:val="282A2B"/>
          <w:w w:val="105"/>
          <w:u w:val="none"/>
          <w:lang w:val="en-US" w:eastAsia="en-US"/>
        </w:rPr>
      </w:pPr>
      <w:r w:rsidRPr="00456C0D">
        <w:rPr>
          <w:rFonts w:eastAsiaTheme="minorEastAsia"/>
          <w:b/>
          <w:bCs/>
          <w:color w:val="282A2B"/>
          <w:w w:val="105"/>
          <w:u w:val="none"/>
          <w:lang w:val="en-US" w:eastAsia="en-US"/>
        </w:rPr>
        <w:t>GAUTENG DIVISION, PRETORIA</w:t>
      </w:r>
    </w:p>
    <w:p w:rsidR="00AA25C3" w:rsidRDefault="00AA25C3" w:rsidP="00AA25C3">
      <w:pPr>
        <w:spacing w:line="360" w:lineRule="auto"/>
        <w:rPr>
          <w:b/>
          <w:u w:val="none"/>
          <w:lang w:val="en-ZA"/>
        </w:rPr>
      </w:pPr>
    </w:p>
    <w:p w:rsidR="00AA25C3" w:rsidRDefault="00AA25C3" w:rsidP="00AA25C3">
      <w:pPr>
        <w:spacing w:line="360" w:lineRule="auto"/>
        <w:jc w:val="right"/>
        <w:rPr>
          <w:b/>
          <w:u w:val="none"/>
          <w:lang w:val="en-ZA"/>
        </w:rPr>
      </w:pPr>
      <w:r>
        <w:rPr>
          <w:b/>
          <w:u w:val="none"/>
          <w:lang w:val="en-ZA"/>
        </w:rPr>
        <w:t xml:space="preserve">APPEAL CASE </w:t>
      </w:r>
      <w:r w:rsidR="00EE0C3F">
        <w:rPr>
          <w:b/>
          <w:u w:val="none"/>
          <w:lang w:val="en-ZA"/>
        </w:rPr>
        <w:t>NO: A</w:t>
      </w:r>
      <w:r>
        <w:rPr>
          <w:b/>
          <w:u w:val="none"/>
          <w:lang w:val="en-ZA"/>
        </w:rPr>
        <w:t>168/22</w:t>
      </w:r>
    </w:p>
    <w:p w:rsidR="00AA25C3" w:rsidRDefault="00A3049A" w:rsidP="00AA25C3">
      <w:pPr>
        <w:spacing w:line="360" w:lineRule="auto"/>
        <w:jc w:val="right"/>
        <w:rPr>
          <w:b/>
          <w:u w:val="none"/>
          <w:lang w:val="en-ZA"/>
        </w:rPr>
      </w:pPr>
      <w:r>
        <w:rPr>
          <w:b/>
          <w:u w:val="none"/>
          <w:lang w:val="en-ZA"/>
        </w:rPr>
        <w:t>REGIONAL COURT CASE NO:</w:t>
      </w:r>
      <w:r w:rsidR="004A7840">
        <w:rPr>
          <w:b/>
          <w:u w:val="none"/>
          <w:lang w:val="en-ZA"/>
        </w:rPr>
        <w:t xml:space="preserve"> </w:t>
      </w:r>
      <w:r>
        <w:rPr>
          <w:b/>
          <w:u w:val="none"/>
          <w:lang w:val="en-ZA"/>
        </w:rPr>
        <w:t>SH 356/2019</w:t>
      </w:r>
    </w:p>
    <w:p w:rsidR="00456C0D" w:rsidRDefault="00456C0D" w:rsidP="00456C0D">
      <w:pPr>
        <w:spacing w:line="360" w:lineRule="auto"/>
        <w:rPr>
          <w:b/>
          <w:u w:val="none"/>
          <w:lang w:val="en-ZA"/>
        </w:rPr>
      </w:pPr>
    </w:p>
    <w:p w:rsidR="00456C0D" w:rsidRDefault="00456C0D" w:rsidP="00456C0D">
      <w:pPr>
        <w:spacing w:line="360" w:lineRule="auto"/>
        <w:rPr>
          <w:b/>
          <w:u w:val="none"/>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tblGrid>
      <w:tr w:rsidR="00456C0D" w:rsidRPr="00456C0D" w:rsidTr="0061716F">
        <w:trPr>
          <w:trHeight w:val="1516"/>
        </w:trPr>
        <w:tc>
          <w:tcPr>
            <w:tcW w:w="4544" w:type="dxa"/>
            <w:tcBorders>
              <w:top w:val="single" w:sz="4" w:space="0" w:color="auto"/>
              <w:left w:val="single" w:sz="4" w:space="0" w:color="auto"/>
              <w:bottom w:val="single" w:sz="4" w:space="0" w:color="auto"/>
              <w:right w:val="single" w:sz="4" w:space="0" w:color="auto"/>
            </w:tcBorders>
            <w:hideMark/>
          </w:tcPr>
          <w:p w:rsidR="00456C0D" w:rsidRPr="00456C0D" w:rsidRDefault="00456C0D" w:rsidP="00456C0D">
            <w:pPr>
              <w:spacing w:after="160" w:line="360" w:lineRule="auto"/>
              <w:rPr>
                <w:rFonts w:eastAsia="Calibri"/>
                <w:noProof/>
                <w:sz w:val="18"/>
                <w:szCs w:val="18"/>
                <w:u w:val="none"/>
                <w:lang w:eastAsia="en-US"/>
              </w:rPr>
            </w:pPr>
            <w:r w:rsidRPr="00456C0D">
              <w:rPr>
                <w:rFonts w:eastAsia="Calibri"/>
                <w:noProof/>
                <w:sz w:val="18"/>
                <w:szCs w:val="18"/>
                <w:u w:val="none"/>
                <w:lang w:eastAsia="en-US"/>
              </w:rPr>
              <w:t>Delete whichever is not applicable</w:t>
            </w:r>
          </w:p>
          <w:p w:rsidR="00456C0D" w:rsidRPr="00456C0D" w:rsidRDefault="00456C0D" w:rsidP="00456C0D">
            <w:pPr>
              <w:spacing w:after="160" w:line="360" w:lineRule="auto"/>
              <w:rPr>
                <w:rFonts w:eastAsia="Calibri"/>
                <w:noProof/>
                <w:sz w:val="18"/>
                <w:szCs w:val="18"/>
                <w:u w:val="none"/>
                <w:lang w:eastAsia="en-US"/>
              </w:rPr>
            </w:pPr>
            <w:r w:rsidRPr="00456C0D">
              <w:rPr>
                <w:rFonts w:eastAsia="Calibri"/>
                <w:noProof/>
                <w:sz w:val="18"/>
                <w:szCs w:val="18"/>
                <w:u w:val="none"/>
                <w:lang w:eastAsia="en-US"/>
              </w:rPr>
              <w:t>(1)Reportable: No.</w:t>
            </w:r>
          </w:p>
          <w:p w:rsidR="00456C0D" w:rsidRPr="00456C0D" w:rsidRDefault="00456C0D" w:rsidP="00456C0D">
            <w:pPr>
              <w:spacing w:after="160" w:line="360" w:lineRule="auto"/>
              <w:rPr>
                <w:rFonts w:eastAsia="Calibri"/>
                <w:noProof/>
                <w:sz w:val="18"/>
                <w:szCs w:val="18"/>
                <w:u w:val="none"/>
                <w:lang w:eastAsia="en-US"/>
              </w:rPr>
            </w:pPr>
            <w:r w:rsidRPr="00456C0D">
              <w:rPr>
                <w:rFonts w:eastAsia="Calibri"/>
                <w:noProof/>
                <w:sz w:val="18"/>
                <w:szCs w:val="18"/>
                <w:u w:val="none"/>
                <w:lang w:eastAsia="en-US"/>
              </w:rPr>
              <w:t>(2) Of interest to other judges: No</w:t>
            </w:r>
          </w:p>
          <w:p w:rsidR="00456C0D" w:rsidRPr="00456C0D" w:rsidRDefault="00456C0D" w:rsidP="00456C0D">
            <w:pPr>
              <w:spacing w:after="160" w:line="360" w:lineRule="auto"/>
              <w:rPr>
                <w:rFonts w:eastAsia="Calibri"/>
                <w:noProof/>
                <w:sz w:val="18"/>
                <w:szCs w:val="18"/>
                <w:u w:val="none"/>
                <w:lang w:eastAsia="en-US"/>
              </w:rPr>
            </w:pPr>
            <w:r w:rsidRPr="00456C0D">
              <w:rPr>
                <w:rFonts w:eastAsia="Calibri"/>
                <w:noProof/>
                <w:sz w:val="18"/>
                <w:szCs w:val="18"/>
                <w:u w:val="none"/>
                <w:lang w:eastAsia="en-US"/>
              </w:rPr>
              <w:t>(3) Revised.</w:t>
            </w:r>
          </w:p>
          <w:p w:rsidR="00456C0D" w:rsidRPr="00456C0D" w:rsidRDefault="005F6B71" w:rsidP="00456C0D">
            <w:pPr>
              <w:rPr>
                <w:rFonts w:eastAsia="Calibri"/>
                <w:noProof/>
                <w:sz w:val="18"/>
                <w:szCs w:val="18"/>
                <w:u w:val="none"/>
                <w:lang w:eastAsia="en-US"/>
              </w:rPr>
            </w:pPr>
            <w:r>
              <w:rPr>
                <w:rFonts w:eastAsia="Calibri"/>
                <w:noProof/>
                <w:sz w:val="18"/>
                <w:szCs w:val="18"/>
                <w:u w:val="none"/>
                <w:lang w:eastAsia="en-US"/>
              </w:rPr>
              <w:t xml:space="preserve"> 27</w:t>
            </w:r>
            <w:r w:rsidR="004A7840">
              <w:rPr>
                <w:rFonts w:eastAsia="Calibri"/>
                <w:noProof/>
                <w:sz w:val="18"/>
                <w:szCs w:val="18"/>
                <w:u w:val="none"/>
                <w:lang w:eastAsia="en-US"/>
              </w:rPr>
              <w:t xml:space="preserve"> February 2023</w:t>
            </w:r>
            <w:r w:rsidR="00456C0D" w:rsidRPr="00456C0D">
              <w:rPr>
                <w:rFonts w:eastAsia="Calibri"/>
                <w:noProof/>
                <w:sz w:val="18"/>
                <w:szCs w:val="18"/>
                <w:u w:val="none"/>
                <w:lang w:eastAsia="en-US"/>
              </w:rPr>
              <w:t xml:space="preserve">                   _________________</w:t>
            </w:r>
          </w:p>
          <w:p w:rsidR="00456C0D" w:rsidRPr="00456C0D" w:rsidRDefault="00456C0D" w:rsidP="00456C0D">
            <w:pPr>
              <w:rPr>
                <w:rFonts w:eastAsia="Calibri"/>
                <w:b/>
                <w:noProof/>
                <w:u w:val="none"/>
                <w:lang w:eastAsia="en-US"/>
              </w:rPr>
            </w:pPr>
            <w:r w:rsidRPr="00456C0D">
              <w:rPr>
                <w:rFonts w:eastAsia="Calibri"/>
                <w:noProof/>
                <w:sz w:val="18"/>
                <w:szCs w:val="18"/>
                <w:u w:val="none"/>
                <w:lang w:eastAsia="en-US"/>
              </w:rPr>
              <w:t xml:space="preserve">   </w:t>
            </w:r>
            <w:r w:rsidR="004A7840">
              <w:rPr>
                <w:rFonts w:eastAsia="Calibri"/>
                <w:noProof/>
                <w:sz w:val="18"/>
                <w:szCs w:val="18"/>
                <w:u w:val="none"/>
                <w:lang w:eastAsia="en-US"/>
              </w:rPr>
              <w:t xml:space="preserve">   </w:t>
            </w:r>
            <w:r w:rsidRPr="00456C0D">
              <w:rPr>
                <w:rFonts w:eastAsia="Calibri"/>
                <w:noProof/>
                <w:sz w:val="18"/>
                <w:szCs w:val="18"/>
                <w:u w:val="none"/>
                <w:lang w:eastAsia="en-US"/>
              </w:rPr>
              <w:t>Date                                     Signature</w:t>
            </w:r>
            <w:r w:rsidRPr="00456C0D">
              <w:rPr>
                <w:rFonts w:eastAsia="Calibri"/>
                <w:b/>
                <w:noProof/>
                <w:u w:val="none"/>
                <w:lang w:eastAsia="en-US"/>
              </w:rPr>
              <w:t xml:space="preserve">  </w:t>
            </w:r>
          </w:p>
          <w:p w:rsidR="00456C0D" w:rsidRPr="00456C0D" w:rsidRDefault="00456C0D" w:rsidP="00456C0D">
            <w:pPr>
              <w:rPr>
                <w:rFonts w:eastAsia="Calibri"/>
                <w:b/>
                <w:noProof/>
                <w:u w:val="none"/>
                <w:lang w:eastAsia="en-US"/>
              </w:rPr>
            </w:pPr>
            <w:r w:rsidRPr="00456C0D">
              <w:rPr>
                <w:rFonts w:eastAsia="Calibri"/>
                <w:b/>
                <w:noProof/>
                <w:u w:val="none"/>
                <w:lang w:eastAsia="en-US"/>
              </w:rPr>
              <w:t xml:space="preserve">             </w:t>
            </w:r>
          </w:p>
        </w:tc>
      </w:tr>
    </w:tbl>
    <w:p w:rsidR="00AA25C3" w:rsidRPr="00AA25C3" w:rsidRDefault="00AA25C3" w:rsidP="00456C0D">
      <w:pPr>
        <w:spacing w:line="360" w:lineRule="auto"/>
        <w:rPr>
          <w:b/>
          <w:i/>
          <w:u w:val="none"/>
          <w:lang w:val="en-ZA"/>
        </w:rPr>
      </w:pPr>
    </w:p>
    <w:p w:rsidR="00AA25C3" w:rsidRPr="00456C0D" w:rsidRDefault="00AA25C3" w:rsidP="00AA25C3">
      <w:pPr>
        <w:spacing w:line="360" w:lineRule="auto"/>
        <w:rPr>
          <w:b/>
          <w:u w:val="none"/>
          <w:lang w:val="en-ZA"/>
        </w:rPr>
      </w:pPr>
      <w:r w:rsidRPr="00456C0D">
        <w:rPr>
          <w:b/>
          <w:u w:val="none"/>
          <w:lang w:val="en-ZA"/>
        </w:rPr>
        <w:t>In the matter between:</w:t>
      </w:r>
    </w:p>
    <w:p w:rsidR="00AA25C3" w:rsidRPr="00AA25C3" w:rsidRDefault="00AA25C3" w:rsidP="00AA25C3">
      <w:pPr>
        <w:spacing w:line="360" w:lineRule="auto"/>
        <w:rPr>
          <w:b/>
          <w:i/>
          <w:u w:val="none"/>
          <w:lang w:val="en-ZA"/>
        </w:rPr>
      </w:pPr>
    </w:p>
    <w:p w:rsidR="00AA25C3" w:rsidRDefault="00AA25C3" w:rsidP="00AA25C3">
      <w:pPr>
        <w:spacing w:line="360" w:lineRule="auto"/>
        <w:rPr>
          <w:b/>
          <w:u w:val="none"/>
        </w:rPr>
      </w:pPr>
      <w:r>
        <w:rPr>
          <w:b/>
          <w:u w:val="none"/>
        </w:rPr>
        <w:t xml:space="preserve">THABO </w:t>
      </w:r>
      <w:bookmarkStart w:id="0" w:name="_GoBack"/>
      <w:r>
        <w:rPr>
          <w:b/>
          <w:u w:val="none"/>
        </w:rPr>
        <w:t>MARULE</w:t>
      </w:r>
      <w:bookmarkEnd w:id="0"/>
      <w:r>
        <w:rPr>
          <w:b/>
          <w:u w:val="none"/>
        </w:rPr>
        <w:t xml:space="preserve">                                                                                   </w:t>
      </w:r>
      <w:r w:rsidR="005F6B71">
        <w:rPr>
          <w:b/>
          <w:u w:val="none"/>
        </w:rPr>
        <w:t xml:space="preserve">              </w:t>
      </w:r>
      <w:r w:rsidRPr="004A7840">
        <w:rPr>
          <w:u w:val="none"/>
        </w:rPr>
        <w:t xml:space="preserve">Appellant  </w:t>
      </w:r>
      <w:r>
        <w:rPr>
          <w:b/>
          <w:u w:val="none"/>
        </w:rPr>
        <w:t xml:space="preserve">                                                                                 </w:t>
      </w:r>
    </w:p>
    <w:p w:rsidR="00AA25C3" w:rsidRDefault="00AA25C3" w:rsidP="00AA25C3">
      <w:pPr>
        <w:spacing w:line="360" w:lineRule="auto"/>
        <w:rPr>
          <w:b/>
          <w:u w:val="none"/>
        </w:rPr>
      </w:pPr>
    </w:p>
    <w:p w:rsidR="00AA25C3" w:rsidRDefault="00AA25C3" w:rsidP="00AA25C3">
      <w:pPr>
        <w:spacing w:line="360" w:lineRule="auto"/>
        <w:rPr>
          <w:b/>
          <w:u w:val="none"/>
        </w:rPr>
      </w:pPr>
      <w:r>
        <w:rPr>
          <w:b/>
          <w:u w:val="none"/>
        </w:rPr>
        <w:t xml:space="preserve">And </w:t>
      </w:r>
    </w:p>
    <w:p w:rsidR="00AA25C3" w:rsidRDefault="00AA25C3" w:rsidP="00AA25C3">
      <w:pPr>
        <w:spacing w:line="360" w:lineRule="auto"/>
        <w:rPr>
          <w:b/>
          <w:u w:val="none"/>
        </w:rPr>
      </w:pPr>
    </w:p>
    <w:p w:rsidR="00212A9B" w:rsidRDefault="00AA25C3" w:rsidP="00AA25C3">
      <w:pPr>
        <w:spacing w:line="360" w:lineRule="auto"/>
        <w:rPr>
          <w:b/>
          <w:u w:val="none"/>
        </w:rPr>
      </w:pPr>
      <w:r>
        <w:rPr>
          <w:b/>
          <w:u w:val="none"/>
        </w:rPr>
        <w:t xml:space="preserve">THE STATE                                                                                           </w:t>
      </w:r>
      <w:r w:rsidR="005F6B71">
        <w:rPr>
          <w:b/>
          <w:u w:val="none"/>
        </w:rPr>
        <w:t xml:space="preserve">           </w:t>
      </w:r>
      <w:r w:rsidRPr="004A7840">
        <w:rPr>
          <w:u w:val="none"/>
        </w:rPr>
        <w:t>Respondent</w:t>
      </w:r>
    </w:p>
    <w:p w:rsidR="00212A9B" w:rsidRDefault="00212A9B" w:rsidP="00DE4A75">
      <w:pPr>
        <w:spacing w:line="276" w:lineRule="auto"/>
        <w:rPr>
          <w:b/>
          <w:u w:val="none"/>
        </w:rPr>
      </w:pPr>
      <w:r>
        <w:rPr>
          <w:b/>
          <w:u w:val="none"/>
        </w:rPr>
        <w:t>___________________________________________________________________</w:t>
      </w:r>
      <w:r w:rsidR="005F6B71">
        <w:rPr>
          <w:b/>
          <w:u w:val="none"/>
        </w:rPr>
        <w:t>___</w:t>
      </w:r>
    </w:p>
    <w:p w:rsidR="00DE4A75" w:rsidRDefault="00DE4A75" w:rsidP="00DE4A75">
      <w:pPr>
        <w:spacing w:line="276" w:lineRule="auto"/>
        <w:jc w:val="center"/>
        <w:rPr>
          <w:b/>
          <w:u w:val="none"/>
        </w:rPr>
      </w:pPr>
    </w:p>
    <w:p w:rsidR="00212A9B" w:rsidRDefault="000D4516" w:rsidP="00DE4A75">
      <w:pPr>
        <w:spacing w:line="276" w:lineRule="auto"/>
        <w:jc w:val="center"/>
        <w:rPr>
          <w:b/>
          <w:u w:val="none"/>
        </w:rPr>
      </w:pPr>
      <w:r>
        <w:rPr>
          <w:b/>
          <w:u w:val="none"/>
        </w:rPr>
        <w:t>APPEAL JUDGMENT</w:t>
      </w:r>
    </w:p>
    <w:p w:rsidR="00AA25C3" w:rsidRDefault="00212A9B" w:rsidP="00294A64">
      <w:pPr>
        <w:spacing w:line="276" w:lineRule="auto"/>
        <w:rPr>
          <w:b/>
          <w:u w:val="none"/>
        </w:rPr>
      </w:pPr>
      <w:r>
        <w:rPr>
          <w:b/>
          <w:u w:val="none"/>
        </w:rPr>
        <w:t>___________________________________________________________________</w:t>
      </w:r>
      <w:r w:rsidR="005F6B71">
        <w:rPr>
          <w:b/>
          <w:u w:val="none"/>
        </w:rPr>
        <w:t>___</w:t>
      </w:r>
    </w:p>
    <w:p w:rsidR="004A7840" w:rsidRDefault="004A7840" w:rsidP="00294A64">
      <w:pPr>
        <w:spacing w:line="276" w:lineRule="auto"/>
        <w:rPr>
          <w:b/>
          <w:u w:val="none"/>
        </w:rPr>
      </w:pPr>
      <w:r>
        <w:rPr>
          <w:b/>
          <w:u w:val="none"/>
        </w:rPr>
        <w:t>Mogotsi AJ (Munzhelele J concurring)</w:t>
      </w:r>
    </w:p>
    <w:p w:rsidR="00F321E1" w:rsidRDefault="002B03E9" w:rsidP="00AA25C3">
      <w:pPr>
        <w:spacing w:line="360" w:lineRule="auto"/>
        <w:rPr>
          <w:u w:val="none"/>
        </w:rPr>
      </w:pPr>
      <w:r w:rsidRPr="002B03E9">
        <w:rPr>
          <w:u w:val="none"/>
        </w:rPr>
        <w:lastRenderedPageBreak/>
        <w:t>[</w:t>
      </w:r>
      <w:r w:rsidR="00083CDF" w:rsidRPr="002B03E9">
        <w:rPr>
          <w:u w:val="none"/>
        </w:rPr>
        <w:t>1]</w:t>
      </w:r>
      <w:r w:rsidR="00083CDF">
        <w:rPr>
          <w:u w:val="none"/>
        </w:rPr>
        <w:t xml:space="preserve"> </w:t>
      </w:r>
      <w:r w:rsidR="00DE4A75">
        <w:rPr>
          <w:u w:val="none"/>
        </w:rPr>
        <w:tab/>
      </w:r>
      <w:r w:rsidR="00083CDF">
        <w:rPr>
          <w:u w:val="none"/>
        </w:rPr>
        <w:t>The</w:t>
      </w:r>
      <w:r w:rsidR="00D620A2">
        <w:rPr>
          <w:u w:val="none"/>
        </w:rPr>
        <w:t xml:space="preserve"> appellant</w:t>
      </w:r>
      <w:r w:rsidR="008062FD">
        <w:rPr>
          <w:u w:val="none"/>
        </w:rPr>
        <w:t xml:space="preserve"> </w:t>
      </w:r>
      <w:r w:rsidR="00F321E1">
        <w:rPr>
          <w:u w:val="none"/>
        </w:rPr>
        <w:t xml:space="preserve">is aggrieved by the conviction on a charge of rape read with </w:t>
      </w:r>
      <w:r w:rsidR="00F321E1" w:rsidRPr="008E320E">
        <w:rPr>
          <w:u w:val="none"/>
        </w:rPr>
        <w:t xml:space="preserve">section </w:t>
      </w:r>
      <w:r w:rsidR="00F321E1" w:rsidRPr="001B761E">
        <w:rPr>
          <w:u w:val="none"/>
        </w:rPr>
        <w:t>3</w:t>
      </w:r>
      <w:r w:rsidR="00327EC4" w:rsidRPr="001B761E">
        <w:rPr>
          <w:u w:val="none"/>
        </w:rPr>
        <w:t xml:space="preserve"> of the </w:t>
      </w:r>
      <w:r w:rsidR="00F321E1" w:rsidRPr="001B761E">
        <w:rPr>
          <w:u w:val="none"/>
        </w:rPr>
        <w:t xml:space="preserve">Sexual Offences and Related Matters </w:t>
      </w:r>
      <w:r w:rsidR="00C5688D" w:rsidRPr="001B761E">
        <w:rPr>
          <w:u w:val="none"/>
        </w:rPr>
        <w:t>Amendment</w:t>
      </w:r>
      <w:r w:rsidR="00F321E1" w:rsidRPr="001B761E">
        <w:rPr>
          <w:u w:val="none"/>
        </w:rPr>
        <w:t xml:space="preserve"> </w:t>
      </w:r>
      <w:r w:rsidR="00294A64" w:rsidRPr="001B761E">
        <w:rPr>
          <w:u w:val="none"/>
        </w:rPr>
        <w:t>Act</w:t>
      </w:r>
      <w:r w:rsidR="00294A64" w:rsidRPr="001B761E">
        <w:rPr>
          <w:rStyle w:val="FootnoteReference"/>
          <w:u w:val="none"/>
        </w:rPr>
        <w:footnoteReference w:id="1"/>
      </w:r>
      <w:r w:rsidR="00294A64" w:rsidRPr="001B761E">
        <w:rPr>
          <w:u w:val="none"/>
        </w:rPr>
        <w:t xml:space="preserve"> </w:t>
      </w:r>
      <w:r w:rsidR="00EE0C3F" w:rsidRPr="001B761E">
        <w:rPr>
          <w:u w:val="none"/>
        </w:rPr>
        <w:t>and a</w:t>
      </w:r>
      <w:r w:rsidR="00327EC4" w:rsidRPr="001B761E">
        <w:rPr>
          <w:u w:val="none"/>
        </w:rPr>
        <w:t xml:space="preserve"> </w:t>
      </w:r>
      <w:r w:rsidR="00775326" w:rsidRPr="001B761E">
        <w:rPr>
          <w:u w:val="none"/>
        </w:rPr>
        <w:t xml:space="preserve">subsequent </w:t>
      </w:r>
      <w:r w:rsidR="00EE0C3F" w:rsidRPr="001B761E">
        <w:rPr>
          <w:u w:val="none"/>
        </w:rPr>
        <w:t>sentence of</w:t>
      </w:r>
      <w:r w:rsidR="00F321E1" w:rsidRPr="001B761E">
        <w:rPr>
          <w:u w:val="none"/>
        </w:rPr>
        <w:t xml:space="preserve"> li</w:t>
      </w:r>
      <w:r w:rsidR="00327EC4" w:rsidRPr="001B761E">
        <w:rPr>
          <w:u w:val="none"/>
        </w:rPr>
        <w:t>fe imprisonment handed down by the</w:t>
      </w:r>
      <w:r w:rsidR="00A428C9" w:rsidRPr="001B761E">
        <w:rPr>
          <w:u w:val="none"/>
        </w:rPr>
        <w:t xml:space="preserve"> Benoni Regional court on </w:t>
      </w:r>
      <w:r w:rsidR="00F321E1" w:rsidRPr="001B761E">
        <w:rPr>
          <w:u w:val="none"/>
        </w:rPr>
        <w:t>09</w:t>
      </w:r>
      <w:r w:rsidR="00A428C9" w:rsidRPr="001B761E">
        <w:rPr>
          <w:u w:val="none"/>
        </w:rPr>
        <w:t xml:space="preserve"> October 2022</w:t>
      </w:r>
      <w:r w:rsidR="00F321E1" w:rsidRPr="001B761E">
        <w:rPr>
          <w:u w:val="none"/>
        </w:rPr>
        <w:t>.</w:t>
      </w:r>
      <w:r w:rsidR="0092741C" w:rsidRPr="001B761E">
        <w:rPr>
          <w:u w:val="none"/>
        </w:rPr>
        <w:t xml:space="preserve">The appellant </w:t>
      </w:r>
      <w:r w:rsidR="0092741C">
        <w:rPr>
          <w:u w:val="none"/>
        </w:rPr>
        <w:t>pl</w:t>
      </w:r>
      <w:r w:rsidR="00775326">
        <w:rPr>
          <w:u w:val="none"/>
        </w:rPr>
        <w:t>eaded not guilty and he was legally</w:t>
      </w:r>
      <w:r w:rsidR="0092741C">
        <w:rPr>
          <w:u w:val="none"/>
        </w:rPr>
        <w:t xml:space="preserve"> represented throughout the trial</w:t>
      </w:r>
      <w:r w:rsidR="00775326">
        <w:rPr>
          <w:u w:val="none"/>
        </w:rPr>
        <w:t>.</w:t>
      </w:r>
    </w:p>
    <w:p w:rsidR="00DE4A75" w:rsidRDefault="00DE4A75" w:rsidP="00AA25C3">
      <w:pPr>
        <w:spacing w:line="360" w:lineRule="auto"/>
        <w:rPr>
          <w:u w:val="none"/>
        </w:rPr>
      </w:pPr>
    </w:p>
    <w:p w:rsidR="006338C5" w:rsidRDefault="00304CFF" w:rsidP="00AA25C3">
      <w:pPr>
        <w:spacing w:line="360" w:lineRule="auto"/>
        <w:rPr>
          <w:u w:val="none"/>
        </w:rPr>
      </w:pPr>
      <w:r>
        <w:rPr>
          <w:u w:val="none"/>
        </w:rPr>
        <w:t>[2]</w:t>
      </w:r>
      <w:r w:rsidR="00083CDF">
        <w:rPr>
          <w:u w:val="none"/>
        </w:rPr>
        <w:t xml:space="preserve"> </w:t>
      </w:r>
      <w:r w:rsidR="00DE4A75">
        <w:rPr>
          <w:u w:val="none"/>
        </w:rPr>
        <w:tab/>
      </w:r>
      <w:r w:rsidR="00EB7B37">
        <w:rPr>
          <w:u w:val="none"/>
        </w:rPr>
        <w:t>The summary of the facts</w:t>
      </w:r>
      <w:r w:rsidR="006338C5">
        <w:rPr>
          <w:u w:val="none"/>
        </w:rPr>
        <w:t xml:space="preserve"> which gave rise to this appeal are</w:t>
      </w:r>
      <w:r w:rsidR="00EB7B37">
        <w:rPr>
          <w:u w:val="none"/>
        </w:rPr>
        <w:t xml:space="preserve"> </w:t>
      </w:r>
      <w:r w:rsidR="006338C5">
        <w:rPr>
          <w:u w:val="none"/>
        </w:rPr>
        <w:t xml:space="preserve">that the complainant and the appellant were staying </w:t>
      </w:r>
      <w:r w:rsidR="00C5688D">
        <w:rPr>
          <w:u w:val="none"/>
        </w:rPr>
        <w:t>together. Prior</w:t>
      </w:r>
      <w:r w:rsidR="00327EC4">
        <w:rPr>
          <w:u w:val="none"/>
        </w:rPr>
        <w:t xml:space="preserve"> to the day in question the appellant allegedly attempted on several occasions to penetrate the complainant’s anus with his penis.</w:t>
      </w:r>
      <w:r w:rsidR="006338C5">
        <w:rPr>
          <w:u w:val="none"/>
        </w:rPr>
        <w:t xml:space="preserve"> On</w:t>
      </w:r>
      <w:r w:rsidR="008E320E">
        <w:rPr>
          <w:u w:val="none"/>
        </w:rPr>
        <w:t xml:space="preserve"> 16</w:t>
      </w:r>
      <w:r w:rsidR="002849A3">
        <w:rPr>
          <w:u w:val="none"/>
        </w:rPr>
        <w:t xml:space="preserve"> July </w:t>
      </w:r>
      <w:r w:rsidR="00C5688D">
        <w:rPr>
          <w:u w:val="none"/>
        </w:rPr>
        <w:t>2019 at</w:t>
      </w:r>
      <w:r w:rsidR="002849A3">
        <w:rPr>
          <w:u w:val="none"/>
        </w:rPr>
        <w:t xml:space="preserve"> about 20h00</w:t>
      </w:r>
      <w:r w:rsidR="002A192B">
        <w:rPr>
          <w:u w:val="none"/>
        </w:rPr>
        <w:t xml:space="preserve"> -21h00</w:t>
      </w:r>
      <w:r w:rsidR="00C5688D">
        <w:rPr>
          <w:u w:val="none"/>
        </w:rPr>
        <w:t>pm, the</w:t>
      </w:r>
      <w:r w:rsidR="002849A3">
        <w:rPr>
          <w:u w:val="none"/>
        </w:rPr>
        <w:t xml:space="preserve"> complainant</w:t>
      </w:r>
      <w:r w:rsidR="006338C5">
        <w:rPr>
          <w:u w:val="none"/>
        </w:rPr>
        <w:t>’</w:t>
      </w:r>
      <w:r w:rsidR="002849A3">
        <w:rPr>
          <w:u w:val="none"/>
        </w:rPr>
        <w:t xml:space="preserve">s father took </w:t>
      </w:r>
      <w:r w:rsidR="001F7B57">
        <w:rPr>
          <w:u w:val="none"/>
        </w:rPr>
        <w:t xml:space="preserve">his friend </w:t>
      </w:r>
      <w:r w:rsidR="00083CDF">
        <w:rPr>
          <w:u w:val="none"/>
        </w:rPr>
        <w:t>halfway</w:t>
      </w:r>
      <w:r w:rsidR="004C6269">
        <w:rPr>
          <w:u w:val="none"/>
        </w:rPr>
        <w:t xml:space="preserve"> and returned at a distance of 300-350m</w:t>
      </w:r>
      <w:r w:rsidR="00083CDF">
        <w:rPr>
          <w:u w:val="none"/>
        </w:rPr>
        <w:t xml:space="preserve">. </w:t>
      </w:r>
      <w:r w:rsidR="00C5688D">
        <w:rPr>
          <w:u w:val="none"/>
        </w:rPr>
        <w:t>The appellant</w:t>
      </w:r>
      <w:r w:rsidR="001F7B57">
        <w:rPr>
          <w:u w:val="none"/>
        </w:rPr>
        <w:t xml:space="preserve"> and the minor </w:t>
      </w:r>
      <w:r w:rsidR="00C5688D">
        <w:rPr>
          <w:u w:val="none"/>
        </w:rPr>
        <w:t>child were</w:t>
      </w:r>
      <w:r w:rsidR="006338C5">
        <w:rPr>
          <w:u w:val="none"/>
        </w:rPr>
        <w:t xml:space="preserve"> left </w:t>
      </w:r>
      <w:r w:rsidR="00083CDF">
        <w:rPr>
          <w:u w:val="none"/>
        </w:rPr>
        <w:t>sleeping</w:t>
      </w:r>
      <w:r w:rsidR="00D620A2">
        <w:rPr>
          <w:u w:val="none"/>
        </w:rPr>
        <w:t xml:space="preserve"> in separate </w:t>
      </w:r>
      <w:r w:rsidR="00083CDF">
        <w:rPr>
          <w:u w:val="none"/>
        </w:rPr>
        <w:t>bedrooms. The</w:t>
      </w:r>
      <w:r w:rsidR="00D620A2">
        <w:rPr>
          <w:u w:val="none"/>
        </w:rPr>
        <w:t xml:space="preserve"> appellant took the boy to his </w:t>
      </w:r>
      <w:r w:rsidR="00083CDF">
        <w:rPr>
          <w:u w:val="none"/>
        </w:rPr>
        <w:t>bed. He</w:t>
      </w:r>
      <w:r w:rsidR="00D620A2">
        <w:rPr>
          <w:u w:val="none"/>
        </w:rPr>
        <w:t xml:space="preserve"> caused him to lie on his </w:t>
      </w:r>
      <w:r w:rsidR="00083CDF">
        <w:rPr>
          <w:u w:val="none"/>
        </w:rPr>
        <w:t>stomach, removed</w:t>
      </w:r>
      <w:r w:rsidR="008062FD">
        <w:rPr>
          <w:u w:val="none"/>
        </w:rPr>
        <w:t xml:space="preserve"> his pyjama </w:t>
      </w:r>
      <w:r w:rsidR="00C5688D">
        <w:rPr>
          <w:u w:val="none"/>
        </w:rPr>
        <w:t>trouser. He</w:t>
      </w:r>
      <w:r w:rsidR="00083CDF">
        <w:rPr>
          <w:u w:val="none"/>
        </w:rPr>
        <w:t xml:space="preserve"> put</w:t>
      </w:r>
      <w:r w:rsidR="008062FD">
        <w:rPr>
          <w:u w:val="none"/>
        </w:rPr>
        <w:t xml:space="preserve"> </w:t>
      </w:r>
      <w:r w:rsidR="00C5688D">
        <w:rPr>
          <w:u w:val="none"/>
        </w:rPr>
        <w:t>on a</w:t>
      </w:r>
      <w:r w:rsidR="00D620A2">
        <w:rPr>
          <w:u w:val="none"/>
        </w:rPr>
        <w:t xml:space="preserve"> condom</w:t>
      </w:r>
      <w:r w:rsidR="001F7B57">
        <w:rPr>
          <w:u w:val="none"/>
        </w:rPr>
        <w:t xml:space="preserve"> on his penis and penetrated the boy</w:t>
      </w:r>
      <w:r w:rsidR="00D620A2">
        <w:rPr>
          <w:u w:val="none"/>
        </w:rPr>
        <w:t xml:space="preserve"> on his </w:t>
      </w:r>
      <w:r w:rsidR="00083CDF">
        <w:rPr>
          <w:u w:val="none"/>
        </w:rPr>
        <w:t>anus. It</w:t>
      </w:r>
      <w:r w:rsidR="002849A3">
        <w:rPr>
          <w:u w:val="none"/>
        </w:rPr>
        <w:t xml:space="preserve"> was for the fir</w:t>
      </w:r>
      <w:r w:rsidR="001F7B57">
        <w:rPr>
          <w:u w:val="none"/>
        </w:rPr>
        <w:t>st time that the complainant was seeing</w:t>
      </w:r>
      <w:r w:rsidR="002849A3">
        <w:rPr>
          <w:u w:val="none"/>
        </w:rPr>
        <w:t xml:space="preserve"> a </w:t>
      </w:r>
      <w:r w:rsidR="00C5688D">
        <w:rPr>
          <w:u w:val="none"/>
        </w:rPr>
        <w:t>condom.</w:t>
      </w:r>
      <w:r w:rsidR="00083CDF">
        <w:rPr>
          <w:u w:val="none"/>
        </w:rPr>
        <w:t xml:space="preserve"> Upon</w:t>
      </w:r>
      <w:r w:rsidR="001F7B57">
        <w:rPr>
          <w:u w:val="none"/>
        </w:rPr>
        <w:t xml:space="preserve"> the retur</w:t>
      </w:r>
      <w:r w:rsidR="00083CDF">
        <w:rPr>
          <w:u w:val="none"/>
        </w:rPr>
        <w:t>n</w:t>
      </w:r>
      <w:r w:rsidR="008E320E">
        <w:rPr>
          <w:u w:val="none"/>
        </w:rPr>
        <w:t xml:space="preserve"> of the </w:t>
      </w:r>
      <w:r w:rsidR="00083CDF">
        <w:rPr>
          <w:u w:val="none"/>
        </w:rPr>
        <w:t>complainant’s</w:t>
      </w:r>
      <w:r w:rsidR="001F7B57">
        <w:rPr>
          <w:u w:val="none"/>
        </w:rPr>
        <w:t xml:space="preserve"> father, he found the boy</w:t>
      </w:r>
      <w:r w:rsidR="002A192B">
        <w:rPr>
          <w:u w:val="none"/>
        </w:rPr>
        <w:t xml:space="preserve"> standing</w:t>
      </w:r>
      <w:r w:rsidR="001F7B57">
        <w:rPr>
          <w:u w:val="none"/>
        </w:rPr>
        <w:t xml:space="preserve"> in the </w:t>
      </w:r>
      <w:r w:rsidR="00083CDF">
        <w:rPr>
          <w:u w:val="none"/>
        </w:rPr>
        <w:t>kitchen</w:t>
      </w:r>
      <w:r w:rsidR="002A192B">
        <w:rPr>
          <w:u w:val="none"/>
        </w:rPr>
        <w:t xml:space="preserve"> and crying</w:t>
      </w:r>
      <w:r w:rsidR="00083CDF">
        <w:rPr>
          <w:u w:val="none"/>
        </w:rPr>
        <w:t>. The</w:t>
      </w:r>
      <w:r w:rsidR="00327EC4">
        <w:rPr>
          <w:u w:val="none"/>
        </w:rPr>
        <w:t xml:space="preserve"> </w:t>
      </w:r>
      <w:r w:rsidR="00C5688D">
        <w:rPr>
          <w:u w:val="none"/>
        </w:rPr>
        <w:t>complainant</w:t>
      </w:r>
      <w:r w:rsidR="002A192B">
        <w:rPr>
          <w:u w:val="none"/>
        </w:rPr>
        <w:t xml:space="preserve"> made a report to the effect that the appellant used a condom to</w:t>
      </w:r>
      <w:r w:rsidR="001F7B57">
        <w:rPr>
          <w:u w:val="none"/>
        </w:rPr>
        <w:t xml:space="preserve"> </w:t>
      </w:r>
      <w:r w:rsidR="00083CDF">
        <w:rPr>
          <w:u w:val="none"/>
        </w:rPr>
        <w:t>rape</w:t>
      </w:r>
      <w:r w:rsidR="002A192B">
        <w:rPr>
          <w:u w:val="none"/>
        </w:rPr>
        <w:t xml:space="preserve"> him</w:t>
      </w:r>
      <w:r w:rsidR="00083CDF">
        <w:rPr>
          <w:u w:val="none"/>
        </w:rPr>
        <w:t>. The</w:t>
      </w:r>
      <w:r w:rsidR="00213215">
        <w:rPr>
          <w:u w:val="none"/>
        </w:rPr>
        <w:t xml:space="preserve"> father could not believe </w:t>
      </w:r>
      <w:r w:rsidR="00C5688D">
        <w:rPr>
          <w:u w:val="none"/>
        </w:rPr>
        <w:t>it. A</w:t>
      </w:r>
      <w:r w:rsidR="006338C5">
        <w:rPr>
          <w:u w:val="none"/>
        </w:rPr>
        <w:t xml:space="preserve"> report was </w:t>
      </w:r>
      <w:r w:rsidR="00327EC4">
        <w:rPr>
          <w:u w:val="none"/>
        </w:rPr>
        <w:t xml:space="preserve">also </w:t>
      </w:r>
      <w:r w:rsidR="006338C5">
        <w:rPr>
          <w:u w:val="none"/>
        </w:rPr>
        <w:t xml:space="preserve">made to the </w:t>
      </w:r>
      <w:r w:rsidR="00C5688D">
        <w:rPr>
          <w:u w:val="none"/>
        </w:rPr>
        <w:t>appellant’s</w:t>
      </w:r>
      <w:r w:rsidR="006338C5">
        <w:rPr>
          <w:u w:val="none"/>
        </w:rPr>
        <w:t xml:space="preserve"> </w:t>
      </w:r>
      <w:r w:rsidR="006F53BD">
        <w:rPr>
          <w:u w:val="none"/>
        </w:rPr>
        <w:t>mother</w:t>
      </w:r>
      <w:r w:rsidR="002A192B">
        <w:rPr>
          <w:u w:val="none"/>
        </w:rPr>
        <w:t xml:space="preserve"> the same night</w:t>
      </w:r>
      <w:r w:rsidR="00327EC4">
        <w:rPr>
          <w:u w:val="none"/>
        </w:rPr>
        <w:t>. T</w:t>
      </w:r>
      <w:r w:rsidR="006F53BD">
        <w:rPr>
          <w:u w:val="none"/>
        </w:rPr>
        <w:t>he</w:t>
      </w:r>
      <w:r w:rsidR="006338C5">
        <w:rPr>
          <w:u w:val="none"/>
        </w:rPr>
        <w:t xml:space="preserve"> complainant’s farther and the appellant</w:t>
      </w:r>
      <w:r w:rsidR="00327EC4">
        <w:rPr>
          <w:u w:val="none"/>
        </w:rPr>
        <w:t>’</w:t>
      </w:r>
      <w:r w:rsidR="006338C5">
        <w:rPr>
          <w:u w:val="none"/>
        </w:rPr>
        <w:t>s mother wanted to see the alleged condom.</w:t>
      </w:r>
      <w:r w:rsidR="00D04529">
        <w:rPr>
          <w:u w:val="none"/>
        </w:rPr>
        <w:t xml:space="preserve"> The</w:t>
      </w:r>
      <w:r w:rsidR="00C17F40">
        <w:rPr>
          <w:u w:val="none"/>
        </w:rPr>
        <w:t xml:space="preserve"> appellant was</w:t>
      </w:r>
      <w:r w:rsidR="00327EC4">
        <w:rPr>
          <w:u w:val="none"/>
        </w:rPr>
        <w:t xml:space="preserve"> at first,</w:t>
      </w:r>
      <w:r w:rsidR="00C17F40">
        <w:rPr>
          <w:u w:val="none"/>
        </w:rPr>
        <w:t xml:space="preserve"> hesitant to get out of the bed so that the child could show his father </w:t>
      </w:r>
      <w:r w:rsidR="00327EC4">
        <w:rPr>
          <w:u w:val="none"/>
        </w:rPr>
        <w:t xml:space="preserve">and the appellant’s mother </w:t>
      </w:r>
      <w:r w:rsidR="00C17F40">
        <w:rPr>
          <w:u w:val="none"/>
        </w:rPr>
        <w:t xml:space="preserve">a used condom thrown </w:t>
      </w:r>
      <w:r w:rsidR="00083CDF">
        <w:rPr>
          <w:u w:val="none"/>
        </w:rPr>
        <w:t>under</w:t>
      </w:r>
      <w:r w:rsidR="00327EC4">
        <w:rPr>
          <w:u w:val="none"/>
        </w:rPr>
        <w:t xml:space="preserve"> the bed after the sexual intercourse. </w:t>
      </w:r>
      <w:r w:rsidR="00083CDF">
        <w:rPr>
          <w:u w:val="none"/>
        </w:rPr>
        <w:t xml:space="preserve"> </w:t>
      </w:r>
    </w:p>
    <w:p w:rsidR="00DE4A75" w:rsidRDefault="00DE4A75" w:rsidP="00AA25C3">
      <w:pPr>
        <w:spacing w:line="360" w:lineRule="auto"/>
        <w:rPr>
          <w:u w:val="none"/>
        </w:rPr>
      </w:pPr>
    </w:p>
    <w:p w:rsidR="00AA25C3" w:rsidRDefault="006338C5" w:rsidP="00AA25C3">
      <w:pPr>
        <w:spacing w:line="360" w:lineRule="auto"/>
        <w:rPr>
          <w:u w:val="none"/>
        </w:rPr>
      </w:pPr>
      <w:r>
        <w:rPr>
          <w:u w:val="none"/>
        </w:rPr>
        <w:t>[</w:t>
      </w:r>
      <w:r w:rsidR="00C5688D">
        <w:rPr>
          <w:u w:val="none"/>
        </w:rPr>
        <w:t xml:space="preserve">3] </w:t>
      </w:r>
      <w:r w:rsidR="00DE4A75">
        <w:rPr>
          <w:u w:val="none"/>
        </w:rPr>
        <w:tab/>
      </w:r>
      <w:r w:rsidR="00C5688D">
        <w:rPr>
          <w:u w:val="none"/>
        </w:rPr>
        <w:t>The</w:t>
      </w:r>
      <w:r w:rsidR="001F7B57">
        <w:rPr>
          <w:u w:val="none"/>
        </w:rPr>
        <w:t xml:space="preserve"> complainant was taken to a clinic the following </w:t>
      </w:r>
      <w:r w:rsidR="00D04529">
        <w:rPr>
          <w:u w:val="none"/>
        </w:rPr>
        <w:t>day. A</w:t>
      </w:r>
      <w:r w:rsidR="00245D5C">
        <w:rPr>
          <w:u w:val="none"/>
        </w:rPr>
        <w:t xml:space="preserve"> professional nurse ex</w:t>
      </w:r>
      <w:r>
        <w:rPr>
          <w:u w:val="none"/>
        </w:rPr>
        <w:t>amined the complainant and observed</w:t>
      </w:r>
      <w:r w:rsidR="00CB50FF">
        <w:rPr>
          <w:u w:val="none"/>
        </w:rPr>
        <w:t xml:space="preserve"> “</w:t>
      </w:r>
      <w:r w:rsidR="00C5688D">
        <w:rPr>
          <w:u w:val="none"/>
        </w:rPr>
        <w:t>abrasions</w:t>
      </w:r>
      <w:r w:rsidR="00D04529">
        <w:rPr>
          <w:u w:val="none"/>
        </w:rPr>
        <w:t>, redness</w:t>
      </w:r>
      <w:r w:rsidR="00245D5C">
        <w:rPr>
          <w:u w:val="none"/>
        </w:rPr>
        <w:t xml:space="preserve"> bru</w:t>
      </w:r>
      <w:r w:rsidR="00213215">
        <w:rPr>
          <w:u w:val="none"/>
        </w:rPr>
        <w:t>i</w:t>
      </w:r>
      <w:r w:rsidR="00245D5C">
        <w:rPr>
          <w:u w:val="none"/>
        </w:rPr>
        <w:t xml:space="preserve">sing and tears around the </w:t>
      </w:r>
      <w:r w:rsidR="00C5688D">
        <w:rPr>
          <w:u w:val="none"/>
        </w:rPr>
        <w:t>orifice. The</w:t>
      </w:r>
      <w:r w:rsidR="00A133EF">
        <w:rPr>
          <w:u w:val="none"/>
        </w:rPr>
        <w:t xml:space="preserve"> conclusion </w:t>
      </w:r>
      <w:r w:rsidR="00245D5C">
        <w:rPr>
          <w:u w:val="none"/>
        </w:rPr>
        <w:t xml:space="preserve">was </w:t>
      </w:r>
      <w:r w:rsidR="00213215">
        <w:rPr>
          <w:u w:val="none"/>
        </w:rPr>
        <w:t xml:space="preserve">that the </w:t>
      </w:r>
      <w:r w:rsidR="00213215" w:rsidRPr="001B761E">
        <w:rPr>
          <w:u w:val="none"/>
        </w:rPr>
        <w:t>injuries</w:t>
      </w:r>
      <w:r w:rsidR="00A428C9" w:rsidRPr="001B761E">
        <w:rPr>
          <w:u w:val="none"/>
        </w:rPr>
        <w:t xml:space="preserve"> </w:t>
      </w:r>
      <w:r w:rsidR="00C5688D" w:rsidRPr="001B761E">
        <w:rPr>
          <w:u w:val="none"/>
        </w:rPr>
        <w:t>“</w:t>
      </w:r>
      <w:r w:rsidR="00A428C9" w:rsidRPr="001B761E">
        <w:rPr>
          <w:u w:val="none"/>
        </w:rPr>
        <w:t xml:space="preserve">were </w:t>
      </w:r>
      <w:r w:rsidR="00C5688D" w:rsidRPr="001B761E">
        <w:rPr>
          <w:u w:val="none"/>
        </w:rPr>
        <w:t>consistent</w:t>
      </w:r>
      <w:r w:rsidR="00213215" w:rsidRPr="001B761E">
        <w:rPr>
          <w:u w:val="none"/>
        </w:rPr>
        <w:t xml:space="preserve"> </w:t>
      </w:r>
      <w:r w:rsidR="00213215">
        <w:rPr>
          <w:u w:val="none"/>
        </w:rPr>
        <w:t>with the insertion of</w:t>
      </w:r>
      <w:r w:rsidR="00A133EF">
        <w:rPr>
          <w:u w:val="none"/>
        </w:rPr>
        <w:t xml:space="preserve"> a blunt object</w:t>
      </w:r>
      <w:r w:rsidR="00213215">
        <w:rPr>
          <w:u w:val="none"/>
        </w:rPr>
        <w:t xml:space="preserve"> in the anus</w:t>
      </w:r>
      <w:r w:rsidR="00CB50FF">
        <w:rPr>
          <w:u w:val="none"/>
        </w:rPr>
        <w:t>”</w:t>
      </w:r>
      <w:r w:rsidR="00213215">
        <w:rPr>
          <w:u w:val="none"/>
        </w:rPr>
        <w:t>. The</w:t>
      </w:r>
      <w:r w:rsidR="00245D5C">
        <w:rPr>
          <w:u w:val="none"/>
        </w:rPr>
        <w:t xml:space="preserve"> injuries</w:t>
      </w:r>
      <w:r w:rsidR="00CB50FF">
        <w:rPr>
          <w:u w:val="none"/>
        </w:rPr>
        <w:t xml:space="preserve"> </w:t>
      </w:r>
      <w:r w:rsidR="00C5688D">
        <w:rPr>
          <w:u w:val="none"/>
        </w:rPr>
        <w:t>“were</w:t>
      </w:r>
      <w:r w:rsidR="00245D5C">
        <w:rPr>
          <w:u w:val="none"/>
        </w:rPr>
        <w:t xml:space="preserve"> not due to any infection or consti</w:t>
      </w:r>
      <w:r w:rsidR="00213215">
        <w:rPr>
          <w:u w:val="none"/>
        </w:rPr>
        <w:t>pation</w:t>
      </w:r>
      <w:r w:rsidR="00CB50FF">
        <w:rPr>
          <w:u w:val="none"/>
        </w:rPr>
        <w:t>”</w:t>
      </w:r>
      <w:r w:rsidR="00213215">
        <w:rPr>
          <w:u w:val="none"/>
        </w:rPr>
        <w:t>.</w:t>
      </w:r>
      <w:r w:rsidR="00A3049A">
        <w:rPr>
          <w:u w:val="none"/>
        </w:rPr>
        <w:t xml:space="preserve"> </w:t>
      </w:r>
      <w:r w:rsidR="00CB50FF">
        <w:rPr>
          <w:u w:val="none"/>
        </w:rPr>
        <w:t>Having confirmed the report,</w:t>
      </w:r>
      <w:r w:rsidR="001E4038">
        <w:rPr>
          <w:u w:val="none"/>
        </w:rPr>
        <w:t xml:space="preserve"> </w:t>
      </w:r>
      <w:r w:rsidR="00213215">
        <w:rPr>
          <w:u w:val="none"/>
        </w:rPr>
        <w:t>the</w:t>
      </w:r>
      <w:r w:rsidR="001E4038">
        <w:rPr>
          <w:u w:val="none"/>
        </w:rPr>
        <w:t xml:space="preserve"> </w:t>
      </w:r>
      <w:r w:rsidR="007322BF">
        <w:rPr>
          <w:u w:val="none"/>
        </w:rPr>
        <w:t>complainants</w:t>
      </w:r>
      <w:r w:rsidR="00213215">
        <w:rPr>
          <w:u w:val="none"/>
        </w:rPr>
        <w:t xml:space="preserve"> farther took a used condom</w:t>
      </w:r>
      <w:r w:rsidR="001E4038">
        <w:rPr>
          <w:u w:val="none"/>
        </w:rPr>
        <w:t xml:space="preserve"> he</w:t>
      </w:r>
      <w:r w:rsidR="00213215">
        <w:rPr>
          <w:u w:val="none"/>
        </w:rPr>
        <w:t xml:space="preserve"> </w:t>
      </w:r>
      <w:r w:rsidR="00213215" w:rsidRPr="001B761E">
        <w:rPr>
          <w:u w:val="none"/>
        </w:rPr>
        <w:t xml:space="preserve">found underneath the appellants </w:t>
      </w:r>
      <w:r w:rsidR="00C5688D" w:rsidRPr="001B761E">
        <w:rPr>
          <w:u w:val="none"/>
        </w:rPr>
        <w:t>bed, put</w:t>
      </w:r>
      <w:r w:rsidR="00C17F40" w:rsidRPr="001B761E">
        <w:rPr>
          <w:u w:val="none"/>
        </w:rPr>
        <w:t xml:space="preserve"> it in a plastic bag together with </w:t>
      </w:r>
      <w:r w:rsidR="00213215" w:rsidRPr="001B761E">
        <w:rPr>
          <w:u w:val="none"/>
        </w:rPr>
        <w:t>the child</w:t>
      </w:r>
      <w:r w:rsidR="00C17F40" w:rsidRPr="001B761E">
        <w:rPr>
          <w:u w:val="none"/>
        </w:rPr>
        <w:t>’</w:t>
      </w:r>
      <w:r w:rsidR="00A428C9" w:rsidRPr="001B761E">
        <w:rPr>
          <w:u w:val="none"/>
        </w:rPr>
        <w:t>s</w:t>
      </w:r>
      <w:r w:rsidR="00213215" w:rsidRPr="001B761E">
        <w:rPr>
          <w:u w:val="none"/>
        </w:rPr>
        <w:t xml:space="preserve"> underwear </w:t>
      </w:r>
      <w:r w:rsidR="00213215">
        <w:rPr>
          <w:u w:val="none"/>
        </w:rPr>
        <w:t>and proceeded to the po</w:t>
      </w:r>
      <w:r w:rsidR="00CB50FF">
        <w:rPr>
          <w:u w:val="none"/>
        </w:rPr>
        <w:t>lice station where he laid a charge</w:t>
      </w:r>
      <w:r w:rsidR="00213215">
        <w:rPr>
          <w:u w:val="none"/>
        </w:rPr>
        <w:t>.</w:t>
      </w:r>
    </w:p>
    <w:p w:rsidR="00DE4A75" w:rsidRDefault="00DE4A75" w:rsidP="00AA25C3">
      <w:pPr>
        <w:spacing w:line="360" w:lineRule="auto"/>
        <w:rPr>
          <w:u w:val="none"/>
        </w:rPr>
      </w:pPr>
    </w:p>
    <w:p w:rsidR="001E4038" w:rsidRDefault="006F53BD" w:rsidP="00AA25C3">
      <w:pPr>
        <w:spacing w:line="360" w:lineRule="auto"/>
        <w:rPr>
          <w:u w:val="none"/>
        </w:rPr>
      </w:pPr>
      <w:r>
        <w:rPr>
          <w:u w:val="none"/>
        </w:rPr>
        <w:t>[</w:t>
      </w:r>
      <w:r w:rsidR="00C5688D">
        <w:rPr>
          <w:u w:val="none"/>
        </w:rPr>
        <w:t xml:space="preserve">4] </w:t>
      </w:r>
      <w:r w:rsidR="00DE4A75">
        <w:rPr>
          <w:u w:val="none"/>
        </w:rPr>
        <w:tab/>
      </w:r>
      <w:r w:rsidR="00C5688D">
        <w:rPr>
          <w:u w:val="none"/>
        </w:rPr>
        <w:t>The</w:t>
      </w:r>
      <w:r w:rsidR="00D04529">
        <w:rPr>
          <w:u w:val="none"/>
        </w:rPr>
        <w:t xml:space="preserve"> appellant</w:t>
      </w:r>
      <w:r w:rsidR="001E4038">
        <w:rPr>
          <w:u w:val="none"/>
        </w:rPr>
        <w:t xml:space="preserve"> is maintaining</w:t>
      </w:r>
      <w:r w:rsidR="00D04529">
        <w:rPr>
          <w:u w:val="none"/>
        </w:rPr>
        <w:t xml:space="preserve"> his </w:t>
      </w:r>
      <w:r w:rsidR="00C5688D">
        <w:rPr>
          <w:u w:val="none"/>
        </w:rPr>
        <w:t>innocence. His</w:t>
      </w:r>
      <w:r w:rsidR="00C17F40">
        <w:rPr>
          <w:u w:val="none"/>
        </w:rPr>
        <w:t xml:space="preserve"> version is that the complainants father </w:t>
      </w:r>
      <w:r w:rsidR="00C17F40" w:rsidRPr="001B761E">
        <w:rPr>
          <w:u w:val="none"/>
        </w:rPr>
        <w:t xml:space="preserve">is </w:t>
      </w:r>
      <w:r w:rsidR="00DE4A75" w:rsidRPr="001B761E">
        <w:rPr>
          <w:u w:val="none"/>
        </w:rPr>
        <w:t>falsely</w:t>
      </w:r>
      <w:r w:rsidR="00C17F40" w:rsidRPr="001B761E">
        <w:rPr>
          <w:u w:val="none"/>
        </w:rPr>
        <w:t xml:space="preserve"> </w:t>
      </w:r>
      <w:r w:rsidR="00C17F40">
        <w:rPr>
          <w:u w:val="none"/>
        </w:rPr>
        <w:t xml:space="preserve">implicating him. The reason being </w:t>
      </w:r>
      <w:r w:rsidR="00D04529">
        <w:rPr>
          <w:u w:val="none"/>
        </w:rPr>
        <w:t>that he</w:t>
      </w:r>
      <w:r w:rsidR="00C17F40">
        <w:rPr>
          <w:u w:val="none"/>
        </w:rPr>
        <w:t xml:space="preserve"> was asked to evict the </w:t>
      </w:r>
      <w:r w:rsidR="00A428C9">
        <w:rPr>
          <w:u w:val="none"/>
        </w:rPr>
        <w:lastRenderedPageBreak/>
        <w:t>complainants fa</w:t>
      </w:r>
      <w:r w:rsidR="00C17F40">
        <w:rPr>
          <w:u w:val="none"/>
        </w:rPr>
        <w:t xml:space="preserve">ther from the </w:t>
      </w:r>
      <w:r w:rsidR="00D04529">
        <w:rPr>
          <w:u w:val="none"/>
        </w:rPr>
        <w:t>house. He</w:t>
      </w:r>
      <w:r>
        <w:rPr>
          <w:u w:val="none"/>
        </w:rPr>
        <w:t xml:space="preserve"> said that he used the condom </w:t>
      </w:r>
      <w:r w:rsidR="00CB50FF">
        <w:rPr>
          <w:u w:val="none"/>
        </w:rPr>
        <w:t>in question,</w:t>
      </w:r>
      <w:r>
        <w:rPr>
          <w:u w:val="none"/>
        </w:rPr>
        <w:t xml:space="preserve"> in </w:t>
      </w:r>
      <w:r w:rsidR="00C17F40">
        <w:rPr>
          <w:u w:val="none"/>
        </w:rPr>
        <w:t xml:space="preserve">June when he had sexual intercourse with his </w:t>
      </w:r>
      <w:r w:rsidR="00C5688D">
        <w:rPr>
          <w:u w:val="none"/>
        </w:rPr>
        <w:t>girlfriend</w:t>
      </w:r>
      <w:r w:rsidR="00D04529">
        <w:rPr>
          <w:u w:val="none"/>
        </w:rPr>
        <w:t xml:space="preserve">. </w:t>
      </w:r>
    </w:p>
    <w:p w:rsidR="00DE4A75" w:rsidRDefault="00DE4A75" w:rsidP="00AA25C3">
      <w:pPr>
        <w:spacing w:line="360" w:lineRule="auto"/>
        <w:rPr>
          <w:u w:val="none"/>
        </w:rPr>
      </w:pPr>
    </w:p>
    <w:p w:rsidR="006F53BD" w:rsidRDefault="00BD28B6" w:rsidP="00AA25C3">
      <w:pPr>
        <w:spacing w:line="360" w:lineRule="auto"/>
        <w:rPr>
          <w:u w:val="none"/>
        </w:rPr>
      </w:pPr>
      <w:r w:rsidRPr="00BD28B6">
        <w:rPr>
          <w:u w:val="none"/>
        </w:rPr>
        <w:t>[</w:t>
      </w:r>
      <w:r w:rsidR="00C5688D">
        <w:rPr>
          <w:u w:val="none"/>
        </w:rPr>
        <w:t>5</w:t>
      </w:r>
      <w:r w:rsidR="00C5688D" w:rsidRPr="00BD28B6">
        <w:rPr>
          <w:u w:val="none"/>
        </w:rPr>
        <w:t>]</w:t>
      </w:r>
      <w:r w:rsidR="00C5688D">
        <w:rPr>
          <w:u w:val="none"/>
        </w:rPr>
        <w:t xml:space="preserve"> </w:t>
      </w:r>
      <w:r w:rsidR="00DE4A75">
        <w:rPr>
          <w:u w:val="none"/>
        </w:rPr>
        <w:tab/>
      </w:r>
      <w:r w:rsidR="00C5688D">
        <w:rPr>
          <w:u w:val="none"/>
        </w:rPr>
        <w:t>The</w:t>
      </w:r>
      <w:r w:rsidR="00AE2290">
        <w:rPr>
          <w:u w:val="none"/>
        </w:rPr>
        <w:t xml:space="preserve"> appellant believes </w:t>
      </w:r>
      <w:r w:rsidR="00C5688D">
        <w:rPr>
          <w:u w:val="none"/>
        </w:rPr>
        <w:t>that another</w:t>
      </w:r>
      <w:r w:rsidR="00AE2290">
        <w:rPr>
          <w:u w:val="none"/>
        </w:rPr>
        <w:t xml:space="preserve"> court will come to a different conclusion on the conviction because </w:t>
      </w:r>
      <w:r w:rsidR="00F7044D">
        <w:rPr>
          <w:u w:val="none"/>
        </w:rPr>
        <w:t xml:space="preserve">the </w:t>
      </w:r>
      <w:r w:rsidR="006646A9">
        <w:rPr>
          <w:u w:val="none"/>
        </w:rPr>
        <w:t xml:space="preserve">complainant did not know a condom before and it is improbable that he told his father about a </w:t>
      </w:r>
      <w:r w:rsidR="00C5688D">
        <w:rPr>
          <w:u w:val="none"/>
        </w:rPr>
        <w:t>condom. The</w:t>
      </w:r>
      <w:r w:rsidR="006646A9">
        <w:rPr>
          <w:u w:val="none"/>
        </w:rPr>
        <w:t xml:space="preserve"> compl</w:t>
      </w:r>
      <w:r w:rsidR="00A428C9">
        <w:rPr>
          <w:u w:val="none"/>
        </w:rPr>
        <w:t>ainant was influenced by his fa</w:t>
      </w:r>
      <w:r w:rsidR="006646A9">
        <w:rPr>
          <w:u w:val="none"/>
        </w:rPr>
        <w:t xml:space="preserve">ther to </w:t>
      </w:r>
      <w:r w:rsidR="00AE2290">
        <w:rPr>
          <w:u w:val="none"/>
        </w:rPr>
        <w:t xml:space="preserve">falsely implicate the </w:t>
      </w:r>
      <w:r w:rsidR="00C5688D">
        <w:rPr>
          <w:u w:val="none"/>
        </w:rPr>
        <w:t>appellant as</w:t>
      </w:r>
      <w:r w:rsidR="006646A9">
        <w:rPr>
          <w:u w:val="none"/>
        </w:rPr>
        <w:t xml:space="preserve"> the latter’s father wante</w:t>
      </w:r>
      <w:r w:rsidR="00A428C9">
        <w:rPr>
          <w:u w:val="none"/>
        </w:rPr>
        <w:t xml:space="preserve">d </w:t>
      </w:r>
      <w:r w:rsidR="00A428C9" w:rsidRPr="001B761E">
        <w:rPr>
          <w:u w:val="none"/>
        </w:rPr>
        <w:t>to sell the</w:t>
      </w:r>
      <w:r w:rsidR="0092741C" w:rsidRPr="001B761E">
        <w:rPr>
          <w:u w:val="none"/>
        </w:rPr>
        <w:t xml:space="preserve"> </w:t>
      </w:r>
      <w:r w:rsidR="00C5688D" w:rsidRPr="001B761E">
        <w:rPr>
          <w:u w:val="none"/>
        </w:rPr>
        <w:t>house</w:t>
      </w:r>
      <w:r w:rsidR="00C5688D">
        <w:rPr>
          <w:u w:val="none"/>
        </w:rPr>
        <w:t>. Meaning</w:t>
      </w:r>
      <w:r w:rsidR="00AE2290">
        <w:rPr>
          <w:u w:val="none"/>
        </w:rPr>
        <w:t xml:space="preserve"> the complainant and his father were to look for alternative </w:t>
      </w:r>
      <w:r w:rsidR="00C5688D">
        <w:rPr>
          <w:u w:val="none"/>
        </w:rPr>
        <w:t>accommodation. The</w:t>
      </w:r>
      <w:r w:rsidR="006646A9">
        <w:rPr>
          <w:u w:val="none"/>
        </w:rPr>
        <w:t xml:space="preserve"> appellant’s DNA was not found on the alleged </w:t>
      </w:r>
      <w:r w:rsidR="00C5688D">
        <w:rPr>
          <w:u w:val="none"/>
        </w:rPr>
        <w:t>condom. Considering</w:t>
      </w:r>
      <w:r w:rsidR="006646A9">
        <w:rPr>
          <w:u w:val="none"/>
        </w:rPr>
        <w:t xml:space="preserve"> the age on the </w:t>
      </w:r>
      <w:r w:rsidR="00C5688D">
        <w:rPr>
          <w:u w:val="none"/>
        </w:rPr>
        <w:t>appellant, the</w:t>
      </w:r>
      <w:r w:rsidR="006646A9">
        <w:rPr>
          <w:u w:val="none"/>
        </w:rPr>
        <w:t xml:space="preserve"> injuries found on the complainant are superficial</w:t>
      </w:r>
      <w:r w:rsidR="00F7044D">
        <w:rPr>
          <w:u w:val="none"/>
        </w:rPr>
        <w:t>.</w:t>
      </w:r>
      <w:r w:rsidR="006646A9">
        <w:rPr>
          <w:u w:val="none"/>
        </w:rPr>
        <w:t xml:space="preserve"> </w:t>
      </w:r>
    </w:p>
    <w:p w:rsidR="00DE4A75" w:rsidRDefault="00DE4A75" w:rsidP="00AA25C3">
      <w:pPr>
        <w:spacing w:line="360" w:lineRule="auto"/>
        <w:rPr>
          <w:u w:val="none"/>
        </w:rPr>
      </w:pPr>
    </w:p>
    <w:p w:rsidR="00BA20F6" w:rsidRDefault="00F424A3" w:rsidP="006F53BD">
      <w:pPr>
        <w:spacing w:line="360" w:lineRule="auto"/>
        <w:rPr>
          <w:u w:val="none"/>
        </w:rPr>
      </w:pPr>
      <w:r>
        <w:rPr>
          <w:u w:val="none"/>
        </w:rPr>
        <w:t>[</w:t>
      </w:r>
      <w:r w:rsidR="00C5688D">
        <w:rPr>
          <w:u w:val="none"/>
        </w:rPr>
        <w:t>6]</w:t>
      </w:r>
      <w:r w:rsidR="006F53BD">
        <w:rPr>
          <w:u w:val="none"/>
        </w:rPr>
        <w:t xml:space="preserve"> </w:t>
      </w:r>
      <w:r w:rsidR="00DE4A75">
        <w:rPr>
          <w:u w:val="none"/>
        </w:rPr>
        <w:tab/>
      </w:r>
      <w:r w:rsidR="002A2C8B">
        <w:rPr>
          <w:u w:val="none"/>
        </w:rPr>
        <w:t xml:space="preserve">It is trite that the </w:t>
      </w:r>
      <w:r w:rsidR="002A2C8B" w:rsidRPr="007322BF">
        <w:rPr>
          <w:i/>
          <w:u w:val="none"/>
        </w:rPr>
        <w:t>onus</w:t>
      </w:r>
      <w:r w:rsidR="002A2C8B">
        <w:rPr>
          <w:u w:val="none"/>
        </w:rPr>
        <w:t xml:space="preserve"> to proof</w:t>
      </w:r>
      <w:r w:rsidR="006F53BD">
        <w:rPr>
          <w:u w:val="none"/>
        </w:rPr>
        <w:t xml:space="preserve"> the guilt of the </w:t>
      </w:r>
      <w:r w:rsidR="00C5688D">
        <w:rPr>
          <w:u w:val="none"/>
        </w:rPr>
        <w:t>appellant beyond</w:t>
      </w:r>
      <w:r w:rsidR="006F53BD">
        <w:rPr>
          <w:u w:val="none"/>
        </w:rPr>
        <w:t xml:space="preserve"> a reasonable doubt </w:t>
      </w:r>
      <w:r w:rsidR="00E71597">
        <w:rPr>
          <w:u w:val="none"/>
        </w:rPr>
        <w:t>rest</w:t>
      </w:r>
      <w:r w:rsidR="00C5688D">
        <w:rPr>
          <w:u w:val="none"/>
        </w:rPr>
        <w:t xml:space="preserve"> on</w:t>
      </w:r>
      <w:r w:rsidR="006F53BD">
        <w:rPr>
          <w:u w:val="none"/>
        </w:rPr>
        <w:t xml:space="preserve"> the </w:t>
      </w:r>
      <w:r w:rsidR="00C5688D">
        <w:rPr>
          <w:u w:val="none"/>
        </w:rPr>
        <w:t>respondent. The</w:t>
      </w:r>
      <w:r w:rsidR="002A2C8B">
        <w:rPr>
          <w:u w:val="none"/>
        </w:rPr>
        <w:t xml:space="preserve"> decision either to convict or a</w:t>
      </w:r>
      <w:r w:rsidR="0092741C">
        <w:rPr>
          <w:u w:val="none"/>
        </w:rPr>
        <w:t>c</w:t>
      </w:r>
      <w:r w:rsidR="002A2C8B">
        <w:rPr>
          <w:u w:val="none"/>
        </w:rPr>
        <w:t xml:space="preserve">quit must be based on the totality of the </w:t>
      </w:r>
      <w:r w:rsidR="00BA20F6">
        <w:rPr>
          <w:u w:val="none"/>
        </w:rPr>
        <w:t>evidence. In</w:t>
      </w:r>
      <w:r w:rsidR="00E71597">
        <w:rPr>
          <w:u w:val="none"/>
        </w:rPr>
        <w:t xml:space="preserve"> </w:t>
      </w:r>
      <w:r w:rsidR="008E320E" w:rsidRPr="00BA20F6">
        <w:rPr>
          <w:i/>
          <w:u w:val="none"/>
        </w:rPr>
        <w:t>S v Van der</w:t>
      </w:r>
      <w:r w:rsidR="00294A64">
        <w:rPr>
          <w:i/>
          <w:u w:val="none"/>
        </w:rPr>
        <w:t xml:space="preserve"> Meyden</w:t>
      </w:r>
      <w:r w:rsidR="00294A64" w:rsidRPr="00294A64">
        <w:rPr>
          <w:rStyle w:val="FootnoteReference"/>
          <w:u w:val="none"/>
        </w:rPr>
        <w:footnoteReference w:id="2"/>
      </w:r>
      <w:r w:rsidR="00294A64">
        <w:rPr>
          <w:i/>
          <w:u w:val="none"/>
        </w:rPr>
        <w:t xml:space="preserve"> </w:t>
      </w:r>
      <w:r w:rsidR="00BA20F6">
        <w:rPr>
          <w:u w:val="none"/>
        </w:rPr>
        <w:t>the</w:t>
      </w:r>
      <w:r w:rsidR="003C7674">
        <w:rPr>
          <w:u w:val="none"/>
        </w:rPr>
        <w:t xml:space="preserve"> court said</w:t>
      </w:r>
      <w:r w:rsidR="00B45893">
        <w:rPr>
          <w:u w:val="none"/>
        </w:rPr>
        <w:t>:</w:t>
      </w:r>
    </w:p>
    <w:p w:rsidR="00840C4E" w:rsidRPr="00456C0D" w:rsidRDefault="00B45893" w:rsidP="00F424A3">
      <w:pPr>
        <w:spacing w:line="360" w:lineRule="auto"/>
        <w:ind w:left="720"/>
        <w:rPr>
          <w:sz w:val="22"/>
          <w:szCs w:val="22"/>
          <w:u w:val="none"/>
        </w:rPr>
      </w:pPr>
      <w:r w:rsidRPr="00456C0D">
        <w:rPr>
          <w:sz w:val="22"/>
          <w:szCs w:val="22"/>
          <w:u w:val="none"/>
        </w:rPr>
        <w:t>‘</w:t>
      </w:r>
      <w:r w:rsidR="00840C4E" w:rsidRPr="00456C0D">
        <w:rPr>
          <w:sz w:val="22"/>
          <w:szCs w:val="22"/>
          <w:u w:val="none"/>
        </w:rPr>
        <w:t xml:space="preserve">These are not separate and independent </w:t>
      </w:r>
      <w:r w:rsidR="00BA20F6" w:rsidRPr="00456C0D">
        <w:rPr>
          <w:sz w:val="22"/>
          <w:szCs w:val="22"/>
          <w:u w:val="none"/>
        </w:rPr>
        <w:t>tests, but</w:t>
      </w:r>
      <w:r w:rsidR="00840C4E" w:rsidRPr="00456C0D">
        <w:rPr>
          <w:sz w:val="22"/>
          <w:szCs w:val="22"/>
          <w:u w:val="none"/>
        </w:rPr>
        <w:t xml:space="preserve"> the expression of the same test when viewed </w:t>
      </w:r>
      <w:r w:rsidR="00BA20F6" w:rsidRPr="00456C0D">
        <w:rPr>
          <w:sz w:val="22"/>
          <w:szCs w:val="22"/>
          <w:u w:val="none"/>
        </w:rPr>
        <w:t>from opposite</w:t>
      </w:r>
      <w:r w:rsidR="00840C4E" w:rsidRPr="00456C0D">
        <w:rPr>
          <w:sz w:val="22"/>
          <w:szCs w:val="22"/>
          <w:u w:val="none"/>
        </w:rPr>
        <w:t xml:space="preserve"> </w:t>
      </w:r>
      <w:r w:rsidR="00BA20F6" w:rsidRPr="00456C0D">
        <w:rPr>
          <w:sz w:val="22"/>
          <w:szCs w:val="22"/>
          <w:u w:val="none"/>
        </w:rPr>
        <w:t>perspectives. In</w:t>
      </w:r>
      <w:r w:rsidR="00840C4E" w:rsidRPr="00456C0D">
        <w:rPr>
          <w:sz w:val="22"/>
          <w:szCs w:val="22"/>
          <w:u w:val="none"/>
        </w:rPr>
        <w:t xml:space="preserve"> order to </w:t>
      </w:r>
      <w:r w:rsidR="00BA20F6" w:rsidRPr="00456C0D">
        <w:rPr>
          <w:sz w:val="22"/>
          <w:szCs w:val="22"/>
          <w:u w:val="none"/>
        </w:rPr>
        <w:t>convict, the</w:t>
      </w:r>
      <w:r w:rsidR="00840C4E" w:rsidRPr="00456C0D">
        <w:rPr>
          <w:sz w:val="22"/>
          <w:szCs w:val="22"/>
          <w:u w:val="none"/>
        </w:rPr>
        <w:t xml:space="preserve"> evidence must establish the guilt of the accused beyond reasonable </w:t>
      </w:r>
      <w:r w:rsidR="00BA20F6" w:rsidRPr="00456C0D">
        <w:rPr>
          <w:sz w:val="22"/>
          <w:szCs w:val="22"/>
          <w:u w:val="none"/>
        </w:rPr>
        <w:t>doubt, which</w:t>
      </w:r>
      <w:r w:rsidR="00840C4E" w:rsidRPr="00456C0D">
        <w:rPr>
          <w:sz w:val="22"/>
          <w:szCs w:val="22"/>
          <w:u w:val="none"/>
        </w:rPr>
        <w:t xml:space="preserve"> </w:t>
      </w:r>
      <w:r w:rsidR="00BA20F6" w:rsidRPr="00456C0D">
        <w:rPr>
          <w:sz w:val="22"/>
          <w:szCs w:val="22"/>
          <w:u w:val="none"/>
        </w:rPr>
        <w:t>will be</w:t>
      </w:r>
      <w:r w:rsidR="00840C4E" w:rsidRPr="00456C0D">
        <w:rPr>
          <w:sz w:val="22"/>
          <w:szCs w:val="22"/>
          <w:u w:val="none"/>
        </w:rPr>
        <w:t xml:space="preserve"> so only if there is at the same </w:t>
      </w:r>
      <w:r w:rsidR="00BA20F6" w:rsidRPr="00456C0D">
        <w:rPr>
          <w:sz w:val="22"/>
          <w:szCs w:val="22"/>
          <w:u w:val="none"/>
        </w:rPr>
        <w:t>time no</w:t>
      </w:r>
      <w:r w:rsidR="00840C4E" w:rsidRPr="00456C0D">
        <w:rPr>
          <w:sz w:val="22"/>
          <w:szCs w:val="22"/>
          <w:u w:val="none"/>
        </w:rPr>
        <w:t xml:space="preserve"> reasonable </w:t>
      </w:r>
      <w:r w:rsidR="00BA20F6" w:rsidRPr="00456C0D">
        <w:rPr>
          <w:sz w:val="22"/>
          <w:szCs w:val="22"/>
          <w:u w:val="none"/>
        </w:rPr>
        <w:t>possibility that</w:t>
      </w:r>
      <w:r w:rsidR="00840C4E" w:rsidRPr="00456C0D">
        <w:rPr>
          <w:sz w:val="22"/>
          <w:szCs w:val="22"/>
          <w:u w:val="none"/>
        </w:rPr>
        <w:t xml:space="preserve"> an </w:t>
      </w:r>
      <w:r w:rsidR="00BA20F6" w:rsidRPr="00456C0D">
        <w:rPr>
          <w:sz w:val="22"/>
          <w:szCs w:val="22"/>
          <w:u w:val="none"/>
        </w:rPr>
        <w:t>innocent explanation</w:t>
      </w:r>
      <w:r w:rsidR="00840C4E" w:rsidRPr="00456C0D">
        <w:rPr>
          <w:sz w:val="22"/>
          <w:szCs w:val="22"/>
          <w:u w:val="none"/>
        </w:rPr>
        <w:t xml:space="preserve"> which has </w:t>
      </w:r>
      <w:r w:rsidR="00BA20F6" w:rsidRPr="00456C0D">
        <w:rPr>
          <w:sz w:val="22"/>
          <w:szCs w:val="22"/>
          <w:u w:val="none"/>
        </w:rPr>
        <w:t>been</w:t>
      </w:r>
      <w:r w:rsidR="00840C4E" w:rsidRPr="00456C0D">
        <w:rPr>
          <w:sz w:val="22"/>
          <w:szCs w:val="22"/>
          <w:u w:val="none"/>
        </w:rPr>
        <w:t xml:space="preserve"> put </w:t>
      </w:r>
      <w:r w:rsidR="00BA20F6" w:rsidRPr="00456C0D">
        <w:rPr>
          <w:sz w:val="22"/>
          <w:szCs w:val="22"/>
          <w:u w:val="none"/>
        </w:rPr>
        <w:t>forward might</w:t>
      </w:r>
      <w:r w:rsidR="00840C4E" w:rsidRPr="00456C0D">
        <w:rPr>
          <w:sz w:val="22"/>
          <w:szCs w:val="22"/>
          <w:u w:val="none"/>
        </w:rPr>
        <w:t xml:space="preserve"> be </w:t>
      </w:r>
      <w:r w:rsidR="00BA20F6" w:rsidRPr="00456C0D">
        <w:rPr>
          <w:sz w:val="22"/>
          <w:szCs w:val="22"/>
          <w:u w:val="none"/>
        </w:rPr>
        <w:t>true. The</w:t>
      </w:r>
      <w:r w:rsidR="00840C4E" w:rsidRPr="00456C0D">
        <w:rPr>
          <w:sz w:val="22"/>
          <w:szCs w:val="22"/>
          <w:u w:val="none"/>
        </w:rPr>
        <w:t xml:space="preserve"> </w:t>
      </w:r>
      <w:r w:rsidR="00BA20F6" w:rsidRPr="00456C0D">
        <w:rPr>
          <w:sz w:val="22"/>
          <w:szCs w:val="22"/>
          <w:u w:val="none"/>
        </w:rPr>
        <w:t>two are</w:t>
      </w:r>
      <w:r w:rsidR="00463D94" w:rsidRPr="00456C0D">
        <w:rPr>
          <w:sz w:val="22"/>
          <w:szCs w:val="22"/>
          <w:u w:val="none"/>
        </w:rPr>
        <w:t xml:space="preserve"> inseparable, each</w:t>
      </w:r>
      <w:r w:rsidR="00840C4E" w:rsidRPr="00456C0D">
        <w:rPr>
          <w:sz w:val="22"/>
          <w:szCs w:val="22"/>
          <w:u w:val="none"/>
        </w:rPr>
        <w:t xml:space="preserve"> being the </w:t>
      </w:r>
      <w:r w:rsidR="00463D94" w:rsidRPr="00456C0D">
        <w:rPr>
          <w:sz w:val="22"/>
          <w:szCs w:val="22"/>
          <w:u w:val="none"/>
        </w:rPr>
        <w:t>logical corollary</w:t>
      </w:r>
      <w:r w:rsidR="00840C4E" w:rsidRPr="00456C0D">
        <w:rPr>
          <w:sz w:val="22"/>
          <w:szCs w:val="22"/>
          <w:u w:val="none"/>
        </w:rPr>
        <w:t xml:space="preserve"> of the other.</w:t>
      </w:r>
    </w:p>
    <w:p w:rsidR="00840C4E" w:rsidRPr="00456C0D" w:rsidRDefault="00840C4E" w:rsidP="006F53BD">
      <w:pPr>
        <w:spacing w:line="360" w:lineRule="auto"/>
        <w:rPr>
          <w:sz w:val="22"/>
          <w:szCs w:val="22"/>
          <w:u w:val="none"/>
        </w:rPr>
      </w:pPr>
    </w:p>
    <w:p w:rsidR="00840C4E" w:rsidRPr="00456C0D" w:rsidRDefault="00840C4E" w:rsidP="00F424A3">
      <w:pPr>
        <w:spacing w:line="360" w:lineRule="auto"/>
        <w:ind w:left="720"/>
        <w:rPr>
          <w:sz w:val="22"/>
          <w:szCs w:val="22"/>
          <w:u w:val="none"/>
        </w:rPr>
      </w:pPr>
      <w:r w:rsidRPr="00456C0D">
        <w:rPr>
          <w:sz w:val="22"/>
          <w:szCs w:val="22"/>
          <w:u w:val="none"/>
        </w:rPr>
        <w:t xml:space="preserve">In whichever form the test is </w:t>
      </w:r>
      <w:r w:rsidR="0075436D" w:rsidRPr="00456C0D">
        <w:rPr>
          <w:sz w:val="22"/>
          <w:szCs w:val="22"/>
          <w:u w:val="none"/>
        </w:rPr>
        <w:t>expressed, it</w:t>
      </w:r>
      <w:r w:rsidRPr="00456C0D">
        <w:rPr>
          <w:sz w:val="22"/>
          <w:szCs w:val="22"/>
          <w:u w:val="none"/>
        </w:rPr>
        <w:t xml:space="preserve"> </w:t>
      </w:r>
      <w:r w:rsidR="0075436D" w:rsidRPr="00456C0D">
        <w:rPr>
          <w:sz w:val="22"/>
          <w:szCs w:val="22"/>
          <w:u w:val="none"/>
        </w:rPr>
        <w:t>must be</w:t>
      </w:r>
      <w:r w:rsidRPr="00456C0D">
        <w:rPr>
          <w:sz w:val="22"/>
          <w:szCs w:val="22"/>
          <w:u w:val="none"/>
        </w:rPr>
        <w:t xml:space="preserve"> </w:t>
      </w:r>
      <w:r w:rsidR="0075436D" w:rsidRPr="00456C0D">
        <w:rPr>
          <w:sz w:val="22"/>
          <w:szCs w:val="22"/>
          <w:u w:val="none"/>
        </w:rPr>
        <w:t>satisfied</w:t>
      </w:r>
      <w:r w:rsidRPr="00456C0D">
        <w:rPr>
          <w:sz w:val="22"/>
          <w:szCs w:val="22"/>
          <w:u w:val="none"/>
        </w:rPr>
        <w:t xml:space="preserve"> upon a consideration of all the </w:t>
      </w:r>
      <w:r w:rsidR="0075436D" w:rsidRPr="00456C0D">
        <w:rPr>
          <w:sz w:val="22"/>
          <w:szCs w:val="22"/>
          <w:u w:val="none"/>
        </w:rPr>
        <w:t>evidence. A</w:t>
      </w:r>
      <w:r w:rsidR="00BA20F6" w:rsidRPr="00456C0D">
        <w:rPr>
          <w:sz w:val="22"/>
          <w:szCs w:val="22"/>
          <w:u w:val="none"/>
        </w:rPr>
        <w:t xml:space="preserve"> court does </w:t>
      </w:r>
      <w:r w:rsidR="0075436D" w:rsidRPr="00456C0D">
        <w:rPr>
          <w:sz w:val="22"/>
          <w:szCs w:val="22"/>
          <w:u w:val="none"/>
        </w:rPr>
        <w:t xml:space="preserve">not look at the evidence implicating the accused in isolation in order to determine whether there is proof beyond reasonable </w:t>
      </w:r>
      <w:r w:rsidR="00463D94" w:rsidRPr="00456C0D">
        <w:rPr>
          <w:sz w:val="22"/>
          <w:szCs w:val="22"/>
          <w:u w:val="none"/>
        </w:rPr>
        <w:t>doubt, and</w:t>
      </w:r>
      <w:r w:rsidR="0075436D" w:rsidRPr="00456C0D">
        <w:rPr>
          <w:sz w:val="22"/>
          <w:szCs w:val="22"/>
          <w:u w:val="none"/>
        </w:rPr>
        <w:t xml:space="preserve"> so </w:t>
      </w:r>
      <w:r w:rsidR="00894CA3" w:rsidRPr="00456C0D">
        <w:rPr>
          <w:sz w:val="22"/>
          <w:szCs w:val="22"/>
          <w:u w:val="none"/>
        </w:rPr>
        <w:t>too does</w:t>
      </w:r>
      <w:r w:rsidR="0075436D" w:rsidRPr="00456C0D">
        <w:rPr>
          <w:sz w:val="22"/>
          <w:szCs w:val="22"/>
          <w:u w:val="none"/>
        </w:rPr>
        <w:t xml:space="preserve"> it not look at the exculpatory evidence in isolation in order to determine whether it is </w:t>
      </w:r>
      <w:r w:rsidR="00894CA3" w:rsidRPr="00456C0D">
        <w:rPr>
          <w:sz w:val="22"/>
          <w:szCs w:val="22"/>
          <w:u w:val="none"/>
        </w:rPr>
        <w:t>reasonably possible</w:t>
      </w:r>
      <w:r w:rsidR="0075436D" w:rsidRPr="00456C0D">
        <w:rPr>
          <w:sz w:val="22"/>
          <w:szCs w:val="22"/>
          <w:u w:val="none"/>
        </w:rPr>
        <w:t xml:space="preserve"> that it might be true.’</w:t>
      </w:r>
    </w:p>
    <w:p w:rsidR="00DE4A75" w:rsidRDefault="00DE4A75" w:rsidP="006F53BD">
      <w:pPr>
        <w:spacing w:line="360" w:lineRule="auto"/>
        <w:rPr>
          <w:u w:val="none"/>
        </w:rPr>
      </w:pPr>
    </w:p>
    <w:p w:rsidR="00894CA3" w:rsidRDefault="00463D94" w:rsidP="006F53BD">
      <w:pPr>
        <w:spacing w:line="360" w:lineRule="auto"/>
        <w:rPr>
          <w:u w:val="none"/>
        </w:rPr>
      </w:pPr>
      <w:r>
        <w:rPr>
          <w:u w:val="none"/>
        </w:rPr>
        <w:t xml:space="preserve">[7] </w:t>
      </w:r>
      <w:r w:rsidR="00DE4A75">
        <w:rPr>
          <w:u w:val="none"/>
        </w:rPr>
        <w:tab/>
      </w:r>
      <w:r>
        <w:rPr>
          <w:u w:val="none"/>
        </w:rPr>
        <w:t xml:space="preserve">The trail court has to evaluate the evidence in the light of the </w:t>
      </w:r>
      <w:r w:rsidR="00894CA3">
        <w:rPr>
          <w:u w:val="none"/>
        </w:rPr>
        <w:t>discrepancies, probabilities, possibilities</w:t>
      </w:r>
      <w:r w:rsidR="00F7044D">
        <w:rPr>
          <w:u w:val="none"/>
        </w:rPr>
        <w:t xml:space="preserve"> and the</w:t>
      </w:r>
      <w:r>
        <w:rPr>
          <w:u w:val="none"/>
        </w:rPr>
        <w:t xml:space="preserve"> law in order to arrive at the required </w:t>
      </w:r>
      <w:r w:rsidR="00894CA3">
        <w:rPr>
          <w:u w:val="none"/>
        </w:rPr>
        <w:t>standard. In</w:t>
      </w:r>
      <w:r w:rsidR="008E320E">
        <w:rPr>
          <w:i/>
          <w:u w:val="none"/>
        </w:rPr>
        <w:t xml:space="preserve"> </w:t>
      </w:r>
      <w:r w:rsidR="00294A64">
        <w:rPr>
          <w:i/>
          <w:u w:val="none"/>
        </w:rPr>
        <w:t>R v Difford</w:t>
      </w:r>
      <w:r w:rsidR="00294A64" w:rsidRPr="00294A64">
        <w:rPr>
          <w:rStyle w:val="FootnoteReference"/>
          <w:u w:val="none"/>
        </w:rPr>
        <w:footnoteReference w:id="3"/>
      </w:r>
      <w:r w:rsidR="00294A64">
        <w:rPr>
          <w:i/>
          <w:u w:val="none"/>
        </w:rPr>
        <w:t xml:space="preserve"> </w:t>
      </w:r>
      <w:r w:rsidR="00894CA3" w:rsidRPr="008C3422">
        <w:rPr>
          <w:u w:val="none"/>
        </w:rPr>
        <w:t>it</w:t>
      </w:r>
      <w:r w:rsidR="005F12C6">
        <w:rPr>
          <w:u w:val="none"/>
        </w:rPr>
        <w:t xml:space="preserve"> was explained how the </w:t>
      </w:r>
      <w:r w:rsidR="00894CA3">
        <w:rPr>
          <w:u w:val="none"/>
        </w:rPr>
        <w:t>court</w:t>
      </w:r>
      <w:r w:rsidR="005F12C6">
        <w:rPr>
          <w:u w:val="none"/>
        </w:rPr>
        <w:t xml:space="preserve"> should a</w:t>
      </w:r>
      <w:r w:rsidR="00F7044D">
        <w:rPr>
          <w:u w:val="none"/>
        </w:rPr>
        <w:t xml:space="preserve">pproach the evidence before it. </w:t>
      </w:r>
    </w:p>
    <w:p w:rsidR="000D4516" w:rsidRPr="00DE4A75" w:rsidRDefault="005F12C6" w:rsidP="00F424A3">
      <w:pPr>
        <w:spacing w:line="360" w:lineRule="auto"/>
        <w:ind w:left="720"/>
        <w:rPr>
          <w:sz w:val="22"/>
          <w:szCs w:val="22"/>
          <w:u w:val="none"/>
        </w:rPr>
      </w:pPr>
      <w:r w:rsidRPr="00DE4A75">
        <w:rPr>
          <w:sz w:val="22"/>
          <w:szCs w:val="22"/>
          <w:u w:val="none"/>
        </w:rPr>
        <w:t xml:space="preserve">‘No onus rests on the accused to convince the court of the truth of any explanation which he </w:t>
      </w:r>
      <w:r w:rsidR="00894CA3" w:rsidRPr="00DE4A75">
        <w:rPr>
          <w:sz w:val="22"/>
          <w:szCs w:val="22"/>
          <w:u w:val="none"/>
        </w:rPr>
        <w:t>gives. If</w:t>
      </w:r>
      <w:r w:rsidRPr="00DE4A75">
        <w:rPr>
          <w:sz w:val="22"/>
          <w:szCs w:val="22"/>
          <w:u w:val="none"/>
        </w:rPr>
        <w:t xml:space="preserve"> he gives any </w:t>
      </w:r>
      <w:r w:rsidR="00894CA3" w:rsidRPr="00DE4A75">
        <w:rPr>
          <w:sz w:val="22"/>
          <w:szCs w:val="22"/>
          <w:u w:val="none"/>
        </w:rPr>
        <w:t>explanation, even</w:t>
      </w:r>
      <w:r w:rsidRPr="00DE4A75">
        <w:rPr>
          <w:sz w:val="22"/>
          <w:szCs w:val="22"/>
          <w:u w:val="none"/>
        </w:rPr>
        <w:t xml:space="preserve"> if that explanation is </w:t>
      </w:r>
      <w:r w:rsidR="00894CA3" w:rsidRPr="00DE4A75">
        <w:rPr>
          <w:sz w:val="22"/>
          <w:szCs w:val="22"/>
          <w:u w:val="none"/>
        </w:rPr>
        <w:t>improbable, the</w:t>
      </w:r>
      <w:r w:rsidRPr="00DE4A75">
        <w:rPr>
          <w:sz w:val="22"/>
          <w:szCs w:val="22"/>
          <w:u w:val="none"/>
        </w:rPr>
        <w:t xml:space="preserve"> court is not </w:t>
      </w:r>
      <w:r w:rsidR="00894CA3" w:rsidRPr="00DE4A75">
        <w:rPr>
          <w:sz w:val="22"/>
          <w:szCs w:val="22"/>
          <w:u w:val="none"/>
        </w:rPr>
        <w:t>entitled to</w:t>
      </w:r>
      <w:r w:rsidRPr="00DE4A75">
        <w:rPr>
          <w:sz w:val="22"/>
          <w:szCs w:val="22"/>
          <w:u w:val="none"/>
        </w:rPr>
        <w:t xml:space="preserve"> convict unless it is </w:t>
      </w:r>
      <w:r w:rsidR="00894CA3" w:rsidRPr="00DE4A75">
        <w:rPr>
          <w:sz w:val="22"/>
          <w:szCs w:val="22"/>
          <w:u w:val="none"/>
        </w:rPr>
        <w:t>satisfied, not</w:t>
      </w:r>
      <w:r w:rsidRPr="00DE4A75">
        <w:rPr>
          <w:sz w:val="22"/>
          <w:szCs w:val="22"/>
          <w:u w:val="none"/>
        </w:rPr>
        <w:t xml:space="preserve"> only that the explanation is </w:t>
      </w:r>
      <w:r w:rsidR="00894CA3" w:rsidRPr="00DE4A75">
        <w:rPr>
          <w:sz w:val="22"/>
          <w:szCs w:val="22"/>
          <w:u w:val="none"/>
        </w:rPr>
        <w:t>improbable, but</w:t>
      </w:r>
      <w:r w:rsidRPr="00DE4A75">
        <w:rPr>
          <w:sz w:val="22"/>
          <w:szCs w:val="22"/>
          <w:u w:val="none"/>
        </w:rPr>
        <w:t xml:space="preserve"> </w:t>
      </w:r>
      <w:r w:rsidRPr="00DE4A75">
        <w:rPr>
          <w:sz w:val="22"/>
          <w:szCs w:val="22"/>
          <w:u w:val="none"/>
        </w:rPr>
        <w:lastRenderedPageBreak/>
        <w:t xml:space="preserve">that beyond reasonable doubt it is </w:t>
      </w:r>
      <w:r w:rsidR="00894CA3" w:rsidRPr="00DE4A75">
        <w:rPr>
          <w:sz w:val="22"/>
          <w:szCs w:val="22"/>
          <w:u w:val="none"/>
        </w:rPr>
        <w:t>false. If</w:t>
      </w:r>
      <w:r w:rsidRPr="00DE4A75">
        <w:rPr>
          <w:sz w:val="22"/>
          <w:szCs w:val="22"/>
          <w:u w:val="none"/>
        </w:rPr>
        <w:t xml:space="preserve"> there </w:t>
      </w:r>
      <w:r w:rsidR="00894CA3" w:rsidRPr="00DE4A75">
        <w:rPr>
          <w:sz w:val="22"/>
          <w:szCs w:val="22"/>
          <w:u w:val="none"/>
        </w:rPr>
        <w:t>is</w:t>
      </w:r>
      <w:r w:rsidRPr="00DE4A75">
        <w:rPr>
          <w:sz w:val="22"/>
          <w:szCs w:val="22"/>
          <w:u w:val="none"/>
        </w:rPr>
        <w:t xml:space="preserve"> any reasonable </w:t>
      </w:r>
      <w:r w:rsidR="00894CA3" w:rsidRPr="00DE4A75">
        <w:rPr>
          <w:sz w:val="22"/>
          <w:szCs w:val="22"/>
          <w:u w:val="none"/>
        </w:rPr>
        <w:t>possibility of</w:t>
      </w:r>
      <w:r w:rsidR="000D4516" w:rsidRPr="00DE4A75">
        <w:rPr>
          <w:sz w:val="22"/>
          <w:szCs w:val="22"/>
          <w:u w:val="none"/>
        </w:rPr>
        <w:t xml:space="preserve"> his explanation being </w:t>
      </w:r>
      <w:r w:rsidR="00894CA3" w:rsidRPr="00DE4A75">
        <w:rPr>
          <w:sz w:val="22"/>
          <w:szCs w:val="22"/>
          <w:u w:val="none"/>
        </w:rPr>
        <w:t>true, then</w:t>
      </w:r>
      <w:r w:rsidR="000D4516" w:rsidRPr="00DE4A75">
        <w:rPr>
          <w:sz w:val="22"/>
          <w:szCs w:val="22"/>
          <w:u w:val="none"/>
        </w:rPr>
        <w:t xml:space="preserve"> he is entitled to his acquittal.</w:t>
      </w:r>
    </w:p>
    <w:p w:rsidR="000D4516" w:rsidRPr="00DE4A75" w:rsidRDefault="000D4516" w:rsidP="006F53BD">
      <w:pPr>
        <w:spacing w:line="360" w:lineRule="auto"/>
        <w:rPr>
          <w:sz w:val="22"/>
          <w:szCs w:val="22"/>
          <w:u w:val="none"/>
        </w:rPr>
      </w:pPr>
    </w:p>
    <w:p w:rsidR="00EB3B07" w:rsidRPr="00DE4A75" w:rsidRDefault="000D4516" w:rsidP="00F424A3">
      <w:pPr>
        <w:spacing w:line="360" w:lineRule="auto"/>
        <w:ind w:left="720"/>
        <w:rPr>
          <w:sz w:val="22"/>
          <w:szCs w:val="22"/>
          <w:u w:val="none"/>
        </w:rPr>
      </w:pPr>
      <w:r w:rsidRPr="00DE4A75">
        <w:rPr>
          <w:sz w:val="22"/>
          <w:szCs w:val="22"/>
          <w:u w:val="none"/>
        </w:rPr>
        <w:t xml:space="preserve">The court does not have to believe that defence </w:t>
      </w:r>
      <w:r w:rsidR="00894CA3" w:rsidRPr="00DE4A75">
        <w:rPr>
          <w:sz w:val="22"/>
          <w:szCs w:val="22"/>
          <w:u w:val="none"/>
        </w:rPr>
        <w:t>story, still</w:t>
      </w:r>
      <w:r w:rsidRPr="00DE4A75">
        <w:rPr>
          <w:sz w:val="22"/>
          <w:szCs w:val="22"/>
          <w:u w:val="none"/>
        </w:rPr>
        <w:t xml:space="preserve"> less does it have to </w:t>
      </w:r>
      <w:r w:rsidR="00894CA3" w:rsidRPr="00DE4A75">
        <w:rPr>
          <w:sz w:val="22"/>
          <w:szCs w:val="22"/>
          <w:u w:val="none"/>
        </w:rPr>
        <w:t>believe it</w:t>
      </w:r>
      <w:r w:rsidRPr="00DE4A75">
        <w:rPr>
          <w:sz w:val="22"/>
          <w:szCs w:val="22"/>
          <w:u w:val="none"/>
        </w:rPr>
        <w:t xml:space="preserve"> in all its </w:t>
      </w:r>
      <w:r w:rsidR="00894CA3" w:rsidRPr="00DE4A75">
        <w:rPr>
          <w:sz w:val="22"/>
          <w:szCs w:val="22"/>
          <w:u w:val="none"/>
        </w:rPr>
        <w:t>details; it</w:t>
      </w:r>
      <w:r w:rsidRPr="00DE4A75">
        <w:rPr>
          <w:sz w:val="22"/>
          <w:szCs w:val="22"/>
          <w:u w:val="none"/>
        </w:rPr>
        <w:t xml:space="preserve"> is sufficient if it </w:t>
      </w:r>
      <w:r w:rsidR="00EB3B07" w:rsidRPr="00DE4A75">
        <w:rPr>
          <w:sz w:val="22"/>
          <w:szCs w:val="22"/>
          <w:u w:val="none"/>
        </w:rPr>
        <w:t>thinks that</w:t>
      </w:r>
      <w:r w:rsidRPr="00DE4A75">
        <w:rPr>
          <w:sz w:val="22"/>
          <w:szCs w:val="22"/>
          <w:u w:val="none"/>
        </w:rPr>
        <w:t xml:space="preserve"> there is a reasonable possibility that it may be </w:t>
      </w:r>
      <w:r w:rsidR="00894CA3" w:rsidRPr="00DE4A75">
        <w:rPr>
          <w:sz w:val="22"/>
          <w:szCs w:val="22"/>
          <w:u w:val="none"/>
        </w:rPr>
        <w:t>substantially</w:t>
      </w:r>
      <w:r w:rsidRPr="00DE4A75">
        <w:rPr>
          <w:sz w:val="22"/>
          <w:szCs w:val="22"/>
          <w:u w:val="none"/>
        </w:rPr>
        <w:t xml:space="preserve"> true.’</w:t>
      </w:r>
      <w:r w:rsidR="005F12C6" w:rsidRPr="00DE4A75">
        <w:rPr>
          <w:sz w:val="22"/>
          <w:szCs w:val="22"/>
          <w:u w:val="none"/>
        </w:rPr>
        <w:t xml:space="preserve"> </w:t>
      </w:r>
    </w:p>
    <w:p w:rsidR="00EB3B07" w:rsidRDefault="00EB3B07" w:rsidP="006F53BD">
      <w:pPr>
        <w:spacing w:line="360" w:lineRule="auto"/>
        <w:rPr>
          <w:u w:val="none"/>
        </w:rPr>
      </w:pPr>
    </w:p>
    <w:p w:rsidR="00EB3B07" w:rsidRPr="00456C0D" w:rsidRDefault="00FC0DA6" w:rsidP="006F53BD">
      <w:pPr>
        <w:spacing w:line="360" w:lineRule="auto"/>
        <w:rPr>
          <w:b/>
        </w:rPr>
      </w:pPr>
      <w:r w:rsidRPr="00456C0D">
        <w:rPr>
          <w:b/>
        </w:rPr>
        <w:t>Ad conviction</w:t>
      </w:r>
    </w:p>
    <w:p w:rsidR="00DE4A75" w:rsidRDefault="00DE4A75" w:rsidP="006F53BD">
      <w:pPr>
        <w:spacing w:line="360" w:lineRule="auto"/>
        <w:rPr>
          <w:u w:val="none"/>
        </w:rPr>
      </w:pPr>
    </w:p>
    <w:p w:rsidR="006F53BD" w:rsidRDefault="00507306" w:rsidP="00456C0D">
      <w:pPr>
        <w:spacing w:line="360" w:lineRule="auto"/>
        <w:rPr>
          <w:u w:val="none"/>
        </w:rPr>
      </w:pPr>
      <w:r>
        <w:rPr>
          <w:u w:val="none"/>
        </w:rPr>
        <w:t>[</w:t>
      </w:r>
      <w:r w:rsidR="00DF27C3">
        <w:rPr>
          <w:u w:val="none"/>
        </w:rPr>
        <w:t>8</w:t>
      </w:r>
      <w:r w:rsidR="00C5688D">
        <w:rPr>
          <w:u w:val="none"/>
        </w:rPr>
        <w:t xml:space="preserve">] </w:t>
      </w:r>
      <w:r w:rsidR="00456C0D">
        <w:rPr>
          <w:u w:val="none"/>
        </w:rPr>
        <w:tab/>
      </w:r>
      <w:r w:rsidR="00C5688D">
        <w:rPr>
          <w:u w:val="none"/>
        </w:rPr>
        <w:t>A</w:t>
      </w:r>
      <w:r w:rsidR="006F53BD">
        <w:rPr>
          <w:u w:val="none"/>
        </w:rPr>
        <w:t xml:space="preserve"> court of </w:t>
      </w:r>
      <w:r w:rsidR="00C5688D">
        <w:rPr>
          <w:u w:val="none"/>
        </w:rPr>
        <w:t>appeal will</w:t>
      </w:r>
      <w:r w:rsidR="006F53BD">
        <w:rPr>
          <w:u w:val="none"/>
        </w:rPr>
        <w:t xml:space="preserve"> </w:t>
      </w:r>
      <w:r w:rsidR="00C5688D">
        <w:rPr>
          <w:u w:val="none"/>
        </w:rPr>
        <w:t>be reluctant to</w:t>
      </w:r>
      <w:r w:rsidR="006F53BD">
        <w:rPr>
          <w:u w:val="none"/>
        </w:rPr>
        <w:t xml:space="preserve"> </w:t>
      </w:r>
      <w:r w:rsidR="00C5688D">
        <w:rPr>
          <w:u w:val="none"/>
        </w:rPr>
        <w:t>interfere with the</w:t>
      </w:r>
      <w:r w:rsidR="006F53BD">
        <w:rPr>
          <w:u w:val="none"/>
        </w:rPr>
        <w:t xml:space="preserve"> trial court’s </w:t>
      </w:r>
      <w:r w:rsidR="00C5688D">
        <w:rPr>
          <w:u w:val="none"/>
        </w:rPr>
        <w:t>evaluation of</w:t>
      </w:r>
      <w:r w:rsidR="006F53BD">
        <w:rPr>
          <w:u w:val="none"/>
        </w:rPr>
        <w:t xml:space="preserve"> oral evidence </w:t>
      </w:r>
      <w:r w:rsidR="00C5688D">
        <w:rPr>
          <w:u w:val="none"/>
        </w:rPr>
        <w:t>unless there</w:t>
      </w:r>
      <w:r w:rsidR="006F53BD">
        <w:rPr>
          <w:u w:val="none"/>
        </w:rPr>
        <w:t xml:space="preserve"> is a misdirection by the trial </w:t>
      </w:r>
      <w:r w:rsidR="00C5688D">
        <w:rPr>
          <w:u w:val="none"/>
        </w:rPr>
        <w:t>court. The</w:t>
      </w:r>
      <w:r w:rsidR="006F53BD">
        <w:rPr>
          <w:u w:val="none"/>
        </w:rPr>
        <w:t xml:space="preserve"> trial </w:t>
      </w:r>
      <w:r w:rsidR="00C5688D">
        <w:rPr>
          <w:u w:val="none"/>
        </w:rPr>
        <w:t>court has</w:t>
      </w:r>
      <w:r w:rsidR="006F53BD">
        <w:rPr>
          <w:u w:val="none"/>
        </w:rPr>
        <w:t xml:space="preserve"> the </w:t>
      </w:r>
      <w:r w:rsidR="00C5688D">
        <w:rPr>
          <w:u w:val="none"/>
        </w:rPr>
        <w:t>advantage of</w:t>
      </w:r>
      <w:r w:rsidR="006F53BD">
        <w:rPr>
          <w:u w:val="none"/>
        </w:rPr>
        <w:t xml:space="preserve"> seeing and hearing </w:t>
      </w:r>
      <w:r w:rsidR="00C5688D">
        <w:rPr>
          <w:u w:val="none"/>
        </w:rPr>
        <w:t xml:space="preserve">witnesses, which </w:t>
      </w:r>
      <w:r w:rsidR="006F53BD">
        <w:rPr>
          <w:u w:val="none"/>
        </w:rPr>
        <w:t>is not the case in the appellate</w:t>
      </w:r>
      <w:r w:rsidR="00456C0D">
        <w:rPr>
          <w:u w:val="none"/>
        </w:rPr>
        <w:t>.</w:t>
      </w:r>
    </w:p>
    <w:p w:rsidR="00456C0D" w:rsidRDefault="00456C0D" w:rsidP="00456C0D">
      <w:pPr>
        <w:spacing w:line="360" w:lineRule="auto"/>
        <w:rPr>
          <w:u w:val="none"/>
        </w:rPr>
      </w:pPr>
    </w:p>
    <w:p w:rsidR="00456C0D" w:rsidRPr="00456C0D" w:rsidRDefault="0027740C" w:rsidP="008E320E">
      <w:pPr>
        <w:spacing w:line="360" w:lineRule="auto"/>
        <w:rPr>
          <w:u w:val="none"/>
        </w:rPr>
      </w:pPr>
      <w:r>
        <w:rPr>
          <w:u w:val="none"/>
        </w:rPr>
        <w:t>[</w:t>
      </w:r>
      <w:r w:rsidR="00DF27C3">
        <w:rPr>
          <w:u w:val="none"/>
        </w:rPr>
        <w:t>9</w:t>
      </w:r>
      <w:r w:rsidR="00C5688D">
        <w:rPr>
          <w:u w:val="none"/>
        </w:rPr>
        <w:t>]</w:t>
      </w:r>
      <w:r w:rsidR="006F53BD">
        <w:rPr>
          <w:u w:val="none"/>
        </w:rPr>
        <w:t xml:space="preserve"> </w:t>
      </w:r>
      <w:r w:rsidR="004A7840">
        <w:rPr>
          <w:u w:val="none"/>
        </w:rPr>
        <w:tab/>
      </w:r>
      <w:r w:rsidR="006F53BD">
        <w:rPr>
          <w:u w:val="none"/>
        </w:rPr>
        <w:t>The complainant was a single</w:t>
      </w:r>
      <w:r w:rsidR="0092741C">
        <w:rPr>
          <w:u w:val="none"/>
        </w:rPr>
        <w:t xml:space="preserve"> child</w:t>
      </w:r>
      <w:r w:rsidR="006F53BD">
        <w:rPr>
          <w:u w:val="none"/>
        </w:rPr>
        <w:t xml:space="preserve"> </w:t>
      </w:r>
      <w:r w:rsidR="00C5688D">
        <w:rPr>
          <w:u w:val="none"/>
        </w:rPr>
        <w:t>witness</w:t>
      </w:r>
      <w:r w:rsidR="00964834">
        <w:rPr>
          <w:u w:val="none"/>
        </w:rPr>
        <w:t xml:space="preserve"> aged 7</w:t>
      </w:r>
      <w:r w:rsidR="00294A64">
        <w:rPr>
          <w:u w:val="none"/>
        </w:rPr>
        <w:t xml:space="preserve"> </w:t>
      </w:r>
      <w:r w:rsidR="00964834">
        <w:rPr>
          <w:u w:val="none"/>
        </w:rPr>
        <w:t xml:space="preserve">years at the time of </w:t>
      </w:r>
      <w:r w:rsidR="004C6269">
        <w:rPr>
          <w:u w:val="none"/>
        </w:rPr>
        <w:t>the incident</w:t>
      </w:r>
      <w:r w:rsidR="00964834">
        <w:rPr>
          <w:u w:val="none"/>
        </w:rPr>
        <w:t xml:space="preserve"> and 9 when he testified</w:t>
      </w:r>
      <w:r w:rsidR="00C5688D">
        <w:rPr>
          <w:u w:val="none"/>
        </w:rPr>
        <w:t>. The</w:t>
      </w:r>
      <w:r w:rsidR="0092741C">
        <w:rPr>
          <w:u w:val="none"/>
        </w:rPr>
        <w:t xml:space="preserve"> evidence of a </w:t>
      </w:r>
      <w:r w:rsidR="00C5688D">
        <w:rPr>
          <w:u w:val="none"/>
        </w:rPr>
        <w:t>child witness</w:t>
      </w:r>
      <w:r w:rsidR="0092741C">
        <w:rPr>
          <w:u w:val="none"/>
        </w:rPr>
        <w:t xml:space="preserve"> is not inherently </w:t>
      </w:r>
      <w:r w:rsidR="004C6269">
        <w:rPr>
          <w:u w:val="none"/>
        </w:rPr>
        <w:t>unreliable. The</w:t>
      </w:r>
      <w:r>
        <w:rPr>
          <w:u w:val="none"/>
        </w:rPr>
        <w:t xml:space="preserve"> article written by </w:t>
      </w:r>
      <w:r w:rsidR="00294A64">
        <w:rPr>
          <w:i/>
          <w:u w:val="none"/>
        </w:rPr>
        <w:t>Chetty N</w:t>
      </w:r>
      <w:r w:rsidR="00294A64" w:rsidRPr="00294A64">
        <w:rPr>
          <w:rStyle w:val="FootnoteReference"/>
          <w:u w:val="none"/>
        </w:rPr>
        <w:footnoteReference w:id="4"/>
      </w:r>
      <w:r w:rsidR="00294A64">
        <w:rPr>
          <w:i/>
          <w:u w:val="none"/>
        </w:rPr>
        <w:t xml:space="preserve"> </w:t>
      </w:r>
      <w:r w:rsidR="00294A64">
        <w:rPr>
          <w:u w:val="none"/>
        </w:rPr>
        <w:t xml:space="preserve">says </w:t>
      </w:r>
      <w:r>
        <w:rPr>
          <w:u w:val="none"/>
        </w:rPr>
        <w:t>i</w:t>
      </w:r>
      <w:r w:rsidR="00964834" w:rsidRPr="00775326">
        <w:rPr>
          <w:u w:val="none"/>
        </w:rPr>
        <w:t>n</w:t>
      </w:r>
      <w:r w:rsidR="00775326" w:rsidRPr="00775326">
        <w:rPr>
          <w:u w:val="none"/>
        </w:rPr>
        <w:t xml:space="preserve"> dea</w:t>
      </w:r>
      <w:r w:rsidR="00775326">
        <w:rPr>
          <w:u w:val="none"/>
        </w:rPr>
        <w:t xml:space="preserve">ling with such </w:t>
      </w:r>
      <w:r w:rsidR="00C5688D">
        <w:rPr>
          <w:u w:val="none"/>
        </w:rPr>
        <w:t>evidence, it</w:t>
      </w:r>
      <w:r w:rsidR="00775326">
        <w:rPr>
          <w:u w:val="none"/>
        </w:rPr>
        <w:t xml:space="preserve"> is required of the trial court to</w:t>
      </w:r>
      <w:r>
        <w:rPr>
          <w:u w:val="none"/>
        </w:rPr>
        <w:t>;</w:t>
      </w:r>
    </w:p>
    <w:p w:rsidR="00775326" w:rsidRPr="00F424A3" w:rsidRDefault="00C5688D" w:rsidP="00456C0D">
      <w:pPr>
        <w:pStyle w:val="ListParagraph"/>
        <w:numPr>
          <w:ilvl w:val="0"/>
          <w:numId w:val="1"/>
        </w:numPr>
        <w:spacing w:line="360" w:lineRule="auto"/>
        <w:rPr>
          <w:i/>
          <w:sz w:val="22"/>
          <w:szCs w:val="22"/>
          <w:u w:val="none"/>
        </w:rPr>
      </w:pPr>
      <w:r w:rsidRPr="00F424A3">
        <w:rPr>
          <w:i/>
          <w:sz w:val="22"/>
          <w:szCs w:val="22"/>
          <w:u w:val="none"/>
        </w:rPr>
        <w:t>[</w:t>
      </w:r>
      <w:r w:rsidR="00775326" w:rsidRPr="00F424A3">
        <w:rPr>
          <w:i/>
          <w:sz w:val="22"/>
          <w:szCs w:val="22"/>
          <w:u w:val="none"/>
        </w:rPr>
        <w:t xml:space="preserve">…] articulate the warning in the </w:t>
      </w:r>
      <w:r w:rsidRPr="00F424A3">
        <w:rPr>
          <w:i/>
          <w:sz w:val="22"/>
          <w:szCs w:val="22"/>
          <w:u w:val="none"/>
        </w:rPr>
        <w:t>judgment, and</w:t>
      </w:r>
      <w:r w:rsidR="00775326" w:rsidRPr="00F424A3">
        <w:rPr>
          <w:i/>
          <w:sz w:val="22"/>
          <w:szCs w:val="22"/>
          <w:u w:val="none"/>
        </w:rPr>
        <w:t xml:space="preserve"> also the reasons for the need for caution in general and with reference to the particular circumstances of the case</w:t>
      </w:r>
      <w:r w:rsidR="00F243E9" w:rsidRPr="00F424A3">
        <w:rPr>
          <w:i/>
          <w:sz w:val="22"/>
          <w:szCs w:val="22"/>
          <w:u w:val="none"/>
        </w:rPr>
        <w:t>;</w:t>
      </w:r>
    </w:p>
    <w:p w:rsidR="00456C0D" w:rsidRPr="00F424A3" w:rsidRDefault="00456C0D" w:rsidP="00456C0D">
      <w:pPr>
        <w:spacing w:line="360" w:lineRule="auto"/>
        <w:rPr>
          <w:i/>
          <w:sz w:val="22"/>
          <w:szCs w:val="22"/>
          <w:u w:val="none"/>
        </w:rPr>
      </w:pPr>
    </w:p>
    <w:p w:rsidR="00F243E9" w:rsidRPr="00F424A3" w:rsidRDefault="00C5688D" w:rsidP="00456C0D">
      <w:pPr>
        <w:pStyle w:val="ListParagraph"/>
        <w:numPr>
          <w:ilvl w:val="0"/>
          <w:numId w:val="1"/>
        </w:numPr>
        <w:spacing w:line="360" w:lineRule="auto"/>
        <w:rPr>
          <w:i/>
          <w:sz w:val="22"/>
          <w:szCs w:val="22"/>
          <w:u w:val="none"/>
        </w:rPr>
      </w:pPr>
      <w:r w:rsidRPr="00F424A3">
        <w:rPr>
          <w:i/>
          <w:sz w:val="22"/>
          <w:szCs w:val="22"/>
          <w:u w:val="none"/>
        </w:rPr>
        <w:t>[</w:t>
      </w:r>
      <w:r w:rsidR="00F243E9" w:rsidRPr="00F424A3">
        <w:rPr>
          <w:i/>
          <w:sz w:val="22"/>
          <w:szCs w:val="22"/>
          <w:u w:val="none"/>
        </w:rPr>
        <w:t>…] examine the evidence in order to satisfy itself that such evidence given by the witness is clear and substantially satisfactory in all material respects</w:t>
      </w:r>
    </w:p>
    <w:p w:rsidR="00456C0D" w:rsidRPr="00F424A3" w:rsidRDefault="00456C0D" w:rsidP="00456C0D">
      <w:pPr>
        <w:spacing w:line="360" w:lineRule="auto"/>
        <w:rPr>
          <w:i/>
          <w:sz w:val="22"/>
          <w:szCs w:val="22"/>
          <w:u w:val="none"/>
        </w:rPr>
      </w:pPr>
    </w:p>
    <w:p w:rsidR="00F243E9" w:rsidRPr="00F424A3" w:rsidRDefault="00F243E9" w:rsidP="00456C0D">
      <w:pPr>
        <w:pStyle w:val="ListParagraph"/>
        <w:numPr>
          <w:ilvl w:val="0"/>
          <w:numId w:val="1"/>
        </w:numPr>
        <w:spacing w:line="360" w:lineRule="auto"/>
        <w:rPr>
          <w:i/>
          <w:sz w:val="22"/>
          <w:szCs w:val="22"/>
          <w:u w:val="none"/>
        </w:rPr>
      </w:pPr>
      <w:r w:rsidRPr="00F424A3">
        <w:rPr>
          <w:i/>
          <w:sz w:val="22"/>
          <w:szCs w:val="22"/>
          <w:u w:val="none"/>
        </w:rPr>
        <w:t xml:space="preserve">although corroboration is not a prerequisite for a </w:t>
      </w:r>
      <w:r w:rsidR="00C5688D" w:rsidRPr="00F424A3">
        <w:rPr>
          <w:i/>
          <w:sz w:val="22"/>
          <w:szCs w:val="22"/>
          <w:u w:val="none"/>
        </w:rPr>
        <w:t>conviction, a</w:t>
      </w:r>
      <w:r w:rsidRPr="00F424A3">
        <w:rPr>
          <w:i/>
          <w:sz w:val="22"/>
          <w:szCs w:val="22"/>
          <w:u w:val="none"/>
        </w:rPr>
        <w:t xml:space="preserve"> court will </w:t>
      </w:r>
      <w:r w:rsidR="00C5688D" w:rsidRPr="00F424A3">
        <w:rPr>
          <w:i/>
          <w:sz w:val="22"/>
          <w:szCs w:val="22"/>
          <w:u w:val="none"/>
        </w:rPr>
        <w:t>sometimes, in appropriate</w:t>
      </w:r>
      <w:r w:rsidRPr="00F424A3">
        <w:rPr>
          <w:i/>
          <w:sz w:val="22"/>
          <w:szCs w:val="22"/>
          <w:u w:val="none"/>
        </w:rPr>
        <w:t xml:space="preserve"> circumstances, see corroboration which implicates the accused before it will convict beyond reasonable doubt;</w:t>
      </w:r>
    </w:p>
    <w:p w:rsidR="00456C0D" w:rsidRPr="00F424A3" w:rsidRDefault="00456C0D" w:rsidP="00456C0D">
      <w:pPr>
        <w:spacing w:line="360" w:lineRule="auto"/>
        <w:rPr>
          <w:i/>
          <w:sz w:val="22"/>
          <w:szCs w:val="22"/>
          <w:u w:val="none"/>
        </w:rPr>
      </w:pPr>
    </w:p>
    <w:p w:rsidR="00F243E9" w:rsidRPr="00F424A3" w:rsidRDefault="00F243E9" w:rsidP="00456C0D">
      <w:pPr>
        <w:spacing w:line="360" w:lineRule="auto"/>
        <w:ind w:left="720"/>
        <w:rPr>
          <w:i/>
          <w:sz w:val="22"/>
          <w:szCs w:val="22"/>
          <w:u w:val="none"/>
        </w:rPr>
      </w:pPr>
      <w:r w:rsidRPr="00F424A3">
        <w:rPr>
          <w:i/>
          <w:sz w:val="22"/>
          <w:szCs w:val="22"/>
          <w:u w:val="none"/>
        </w:rPr>
        <w:t xml:space="preserve">(d) failing </w:t>
      </w:r>
      <w:r w:rsidR="00C5688D" w:rsidRPr="00F424A3">
        <w:rPr>
          <w:i/>
          <w:sz w:val="22"/>
          <w:szCs w:val="22"/>
          <w:u w:val="none"/>
        </w:rPr>
        <w:t>corroboration, a</w:t>
      </w:r>
      <w:r w:rsidRPr="00F424A3">
        <w:rPr>
          <w:i/>
          <w:sz w:val="22"/>
          <w:szCs w:val="22"/>
          <w:u w:val="none"/>
        </w:rPr>
        <w:t xml:space="preserve"> court will look for some feature in the evidence which gives the implication by a single </w:t>
      </w:r>
      <w:r w:rsidR="00C5688D" w:rsidRPr="00F424A3">
        <w:rPr>
          <w:i/>
          <w:sz w:val="22"/>
          <w:szCs w:val="22"/>
          <w:u w:val="none"/>
        </w:rPr>
        <w:t>child witness</w:t>
      </w:r>
      <w:r w:rsidR="006607E2" w:rsidRPr="00F424A3">
        <w:rPr>
          <w:i/>
          <w:sz w:val="22"/>
          <w:szCs w:val="22"/>
          <w:u w:val="none"/>
        </w:rPr>
        <w:t xml:space="preserve"> enough hallmark of trustworthiness to </w:t>
      </w:r>
      <w:r w:rsidR="00C5688D" w:rsidRPr="00F424A3">
        <w:rPr>
          <w:i/>
          <w:sz w:val="22"/>
          <w:szCs w:val="22"/>
          <w:u w:val="none"/>
        </w:rPr>
        <w:t>reduce substantially</w:t>
      </w:r>
      <w:r w:rsidR="006607E2" w:rsidRPr="00F424A3">
        <w:rPr>
          <w:i/>
          <w:sz w:val="22"/>
          <w:szCs w:val="22"/>
          <w:u w:val="none"/>
        </w:rPr>
        <w:t xml:space="preserve"> the risk of a wrong upon her evidence.</w:t>
      </w:r>
    </w:p>
    <w:p w:rsidR="00456C0D" w:rsidRDefault="00456C0D" w:rsidP="00456C0D">
      <w:pPr>
        <w:spacing w:line="360" w:lineRule="auto"/>
        <w:ind w:firstLine="720"/>
        <w:rPr>
          <w:u w:val="none"/>
        </w:rPr>
      </w:pPr>
    </w:p>
    <w:p w:rsidR="00A559B6" w:rsidRDefault="006607E2" w:rsidP="00AA25C3">
      <w:pPr>
        <w:spacing w:line="360" w:lineRule="auto"/>
        <w:rPr>
          <w:u w:val="none"/>
        </w:rPr>
      </w:pPr>
      <w:r>
        <w:rPr>
          <w:u w:val="none"/>
        </w:rPr>
        <w:t>[</w:t>
      </w:r>
      <w:r w:rsidR="00456C0D">
        <w:rPr>
          <w:u w:val="none"/>
        </w:rPr>
        <w:t>10</w:t>
      </w:r>
      <w:r w:rsidR="0027740C">
        <w:rPr>
          <w:u w:val="none"/>
        </w:rPr>
        <w:t xml:space="preserve">] </w:t>
      </w:r>
      <w:r w:rsidR="00456C0D">
        <w:rPr>
          <w:u w:val="none"/>
        </w:rPr>
        <w:tab/>
      </w:r>
      <w:r w:rsidR="0027740C">
        <w:rPr>
          <w:u w:val="none"/>
        </w:rPr>
        <w:t>The</w:t>
      </w:r>
      <w:r>
        <w:rPr>
          <w:u w:val="none"/>
        </w:rPr>
        <w:t xml:space="preserve"> finding of a condom </w:t>
      </w:r>
      <w:r w:rsidRPr="001E4038">
        <w:rPr>
          <w:i/>
          <w:u w:val="none"/>
        </w:rPr>
        <w:t>albeit</w:t>
      </w:r>
      <w:r>
        <w:rPr>
          <w:u w:val="none"/>
        </w:rPr>
        <w:t xml:space="preserve"> not linked to the appellant</w:t>
      </w:r>
      <w:r w:rsidR="001477E4">
        <w:rPr>
          <w:u w:val="none"/>
        </w:rPr>
        <w:t xml:space="preserve"> through DNA,</w:t>
      </w:r>
      <w:r w:rsidR="00F424A3">
        <w:rPr>
          <w:u w:val="none"/>
        </w:rPr>
        <w:t xml:space="preserve"> </w:t>
      </w:r>
      <w:r w:rsidR="001477E4">
        <w:rPr>
          <w:u w:val="none"/>
        </w:rPr>
        <w:t xml:space="preserve">is a </w:t>
      </w:r>
      <w:r w:rsidR="004C6269">
        <w:rPr>
          <w:u w:val="none"/>
        </w:rPr>
        <w:t>piece</w:t>
      </w:r>
      <w:r w:rsidR="001477E4">
        <w:rPr>
          <w:u w:val="none"/>
        </w:rPr>
        <w:t xml:space="preserve"> of evidence which took the allegations a step </w:t>
      </w:r>
      <w:r w:rsidR="004C6269">
        <w:rPr>
          <w:u w:val="none"/>
        </w:rPr>
        <w:t>further. Even</w:t>
      </w:r>
      <w:r w:rsidR="001477E4">
        <w:rPr>
          <w:u w:val="none"/>
        </w:rPr>
        <w:t xml:space="preserve"> though the child may not have </w:t>
      </w:r>
      <w:r w:rsidR="001477E4">
        <w:rPr>
          <w:u w:val="none"/>
        </w:rPr>
        <w:lastRenderedPageBreak/>
        <w:t xml:space="preserve">known a condom </w:t>
      </w:r>
      <w:r w:rsidR="004C6269">
        <w:rPr>
          <w:u w:val="none"/>
        </w:rPr>
        <w:t>before, what</w:t>
      </w:r>
      <w:r w:rsidR="001477E4">
        <w:rPr>
          <w:u w:val="none"/>
        </w:rPr>
        <w:t xml:space="preserve"> was found was indeed a </w:t>
      </w:r>
      <w:r w:rsidR="004C6269">
        <w:rPr>
          <w:u w:val="none"/>
        </w:rPr>
        <w:t>condom. The</w:t>
      </w:r>
      <w:r w:rsidR="001477E4">
        <w:rPr>
          <w:u w:val="none"/>
        </w:rPr>
        <w:t xml:space="preserve"> conduct of the appellant who was reluctant to get out of his bed also became a further corrobo</w:t>
      </w:r>
      <w:r w:rsidR="004C6269">
        <w:rPr>
          <w:u w:val="none"/>
        </w:rPr>
        <w:t>ra</w:t>
      </w:r>
      <w:r w:rsidR="001477E4">
        <w:rPr>
          <w:u w:val="none"/>
        </w:rPr>
        <w:t>tion</w:t>
      </w:r>
      <w:r w:rsidR="001E4038">
        <w:rPr>
          <w:u w:val="none"/>
        </w:rPr>
        <w:t xml:space="preserve">. </w:t>
      </w:r>
      <w:r w:rsidR="001477E4">
        <w:rPr>
          <w:u w:val="none"/>
        </w:rPr>
        <w:t xml:space="preserve">While it is not expected of the appellant to assist the </w:t>
      </w:r>
      <w:r w:rsidR="00E70C09">
        <w:rPr>
          <w:u w:val="none"/>
        </w:rPr>
        <w:t>s</w:t>
      </w:r>
      <w:r w:rsidR="004C6269">
        <w:rPr>
          <w:u w:val="none"/>
        </w:rPr>
        <w:t>tate, it</w:t>
      </w:r>
      <w:r w:rsidR="001477E4">
        <w:rPr>
          <w:u w:val="none"/>
        </w:rPr>
        <w:t xml:space="preserve"> is noted that he</w:t>
      </w:r>
      <w:r w:rsidR="001E4038">
        <w:rPr>
          <w:u w:val="none"/>
        </w:rPr>
        <w:t xml:space="preserve"> could not give an explanation of how the child could have known about the existence of a used condom</w:t>
      </w:r>
      <w:r w:rsidR="001477E4">
        <w:rPr>
          <w:u w:val="none"/>
        </w:rPr>
        <w:t xml:space="preserve"> and its </w:t>
      </w:r>
      <w:r w:rsidR="004C6269">
        <w:rPr>
          <w:u w:val="none"/>
        </w:rPr>
        <w:t>location. The</w:t>
      </w:r>
      <w:r>
        <w:rPr>
          <w:u w:val="none"/>
        </w:rPr>
        <w:t xml:space="preserve"> behaviour of the appellant</w:t>
      </w:r>
      <w:r w:rsidR="00C5688D">
        <w:rPr>
          <w:u w:val="none"/>
        </w:rPr>
        <w:t xml:space="preserve"> when ask</w:t>
      </w:r>
      <w:r w:rsidR="001477E4">
        <w:rPr>
          <w:u w:val="none"/>
        </w:rPr>
        <w:t>ed</w:t>
      </w:r>
      <w:r w:rsidR="00C5688D">
        <w:rPr>
          <w:u w:val="none"/>
        </w:rPr>
        <w:t xml:space="preserve"> to make way so</w:t>
      </w:r>
      <w:r w:rsidR="00DA7B16">
        <w:rPr>
          <w:u w:val="none"/>
        </w:rPr>
        <w:t xml:space="preserve"> that</w:t>
      </w:r>
      <w:r w:rsidR="00C5688D">
        <w:rPr>
          <w:u w:val="none"/>
        </w:rPr>
        <w:t xml:space="preserve"> the witness</w:t>
      </w:r>
      <w:r w:rsidR="00DA7B16">
        <w:rPr>
          <w:u w:val="none"/>
        </w:rPr>
        <w:t>’</w:t>
      </w:r>
      <w:r w:rsidR="00E70C09">
        <w:rPr>
          <w:u w:val="none"/>
        </w:rPr>
        <w:t xml:space="preserve"> fa</w:t>
      </w:r>
      <w:r>
        <w:rPr>
          <w:u w:val="none"/>
        </w:rPr>
        <w:t xml:space="preserve">ther and the appellant’s mother could see the said condom </w:t>
      </w:r>
      <w:r w:rsidR="00C5688D">
        <w:rPr>
          <w:u w:val="none"/>
        </w:rPr>
        <w:t>cannot</w:t>
      </w:r>
      <w:r>
        <w:rPr>
          <w:u w:val="none"/>
        </w:rPr>
        <w:t xml:space="preserve"> be </w:t>
      </w:r>
      <w:r w:rsidR="00C5688D">
        <w:rPr>
          <w:u w:val="none"/>
        </w:rPr>
        <w:t>ignored. Corroboration</w:t>
      </w:r>
      <w:r>
        <w:rPr>
          <w:u w:val="none"/>
        </w:rPr>
        <w:t xml:space="preserve"> was also found in the form of injuries sustained exactly where the evidence of a </w:t>
      </w:r>
      <w:r w:rsidRPr="001B761E">
        <w:rPr>
          <w:u w:val="none"/>
        </w:rPr>
        <w:t>child</w:t>
      </w:r>
      <w:r w:rsidR="00E70C09" w:rsidRPr="001B761E">
        <w:rPr>
          <w:u w:val="none"/>
        </w:rPr>
        <w:t>’s</w:t>
      </w:r>
      <w:r w:rsidRPr="001B761E">
        <w:rPr>
          <w:u w:val="none"/>
        </w:rPr>
        <w:t xml:space="preserve"> alleged </w:t>
      </w:r>
      <w:r w:rsidR="004C6269">
        <w:rPr>
          <w:u w:val="none"/>
        </w:rPr>
        <w:t>penetration. The</w:t>
      </w:r>
      <w:r w:rsidR="00DA7B16">
        <w:rPr>
          <w:u w:val="none"/>
        </w:rPr>
        <w:t xml:space="preserve"> child as the only witness of what happened </w:t>
      </w:r>
      <w:r w:rsidR="004C6269">
        <w:rPr>
          <w:u w:val="none"/>
        </w:rPr>
        <w:t>before, did</w:t>
      </w:r>
      <w:r w:rsidR="00DA7B16">
        <w:rPr>
          <w:u w:val="none"/>
        </w:rPr>
        <w:t xml:space="preserve"> not </w:t>
      </w:r>
      <w:r w:rsidR="004C6269">
        <w:rPr>
          <w:u w:val="none"/>
        </w:rPr>
        <w:t>exaggerate</w:t>
      </w:r>
      <w:r w:rsidR="00DA7B16">
        <w:rPr>
          <w:u w:val="none"/>
        </w:rPr>
        <w:t xml:space="preserve"> or falsely implicate the appellant by saying there was </w:t>
      </w:r>
      <w:r w:rsidR="004C6269">
        <w:rPr>
          <w:u w:val="none"/>
        </w:rPr>
        <w:t>penetration. He</w:t>
      </w:r>
      <w:r w:rsidR="00F95E75">
        <w:rPr>
          <w:u w:val="none"/>
        </w:rPr>
        <w:t xml:space="preserve"> only</w:t>
      </w:r>
      <w:r w:rsidR="00DA7B16">
        <w:rPr>
          <w:u w:val="none"/>
        </w:rPr>
        <w:t xml:space="preserve"> talked of </w:t>
      </w:r>
      <w:r w:rsidR="00F95E75">
        <w:rPr>
          <w:u w:val="none"/>
        </w:rPr>
        <w:t xml:space="preserve">several </w:t>
      </w:r>
      <w:r w:rsidR="004C6269">
        <w:rPr>
          <w:u w:val="none"/>
        </w:rPr>
        <w:t>attempts. He</w:t>
      </w:r>
      <w:r w:rsidR="00DA7B16">
        <w:rPr>
          <w:u w:val="none"/>
        </w:rPr>
        <w:t xml:space="preserve"> was left sleeping but upon his father’s </w:t>
      </w:r>
      <w:r w:rsidR="004C6269">
        <w:rPr>
          <w:u w:val="none"/>
        </w:rPr>
        <w:t>return, he</w:t>
      </w:r>
      <w:r w:rsidR="00DA7B16">
        <w:rPr>
          <w:u w:val="none"/>
        </w:rPr>
        <w:t xml:space="preserve"> was crying in the </w:t>
      </w:r>
      <w:r w:rsidR="004C6269">
        <w:rPr>
          <w:u w:val="none"/>
        </w:rPr>
        <w:t>kitchen. There</w:t>
      </w:r>
      <w:r w:rsidR="00DA7B16">
        <w:rPr>
          <w:u w:val="none"/>
        </w:rPr>
        <w:t xml:space="preserve"> is no other evidence of why was he not sleeping.</w:t>
      </w:r>
      <w:r w:rsidR="00DA7B16" w:rsidRPr="00DA7B16">
        <w:rPr>
          <w:u w:val="none"/>
        </w:rPr>
        <w:t xml:space="preserve"> </w:t>
      </w:r>
    </w:p>
    <w:p w:rsidR="00DE4A75" w:rsidRDefault="00DE4A75" w:rsidP="00AA25C3">
      <w:pPr>
        <w:spacing w:line="360" w:lineRule="auto"/>
        <w:rPr>
          <w:u w:val="none"/>
        </w:rPr>
      </w:pPr>
    </w:p>
    <w:p w:rsidR="006607E2" w:rsidRDefault="00456C0D" w:rsidP="008E6D40">
      <w:pPr>
        <w:spacing w:line="360" w:lineRule="auto"/>
        <w:rPr>
          <w:u w:val="none"/>
        </w:rPr>
      </w:pPr>
      <w:r>
        <w:rPr>
          <w:u w:val="none"/>
        </w:rPr>
        <w:t>[11</w:t>
      </w:r>
      <w:r w:rsidR="00A559B6">
        <w:rPr>
          <w:u w:val="none"/>
        </w:rPr>
        <w:t>]</w:t>
      </w:r>
      <w:r w:rsidR="00A559B6" w:rsidRPr="00A559B6">
        <w:rPr>
          <w:u w:val="none"/>
        </w:rPr>
        <w:t xml:space="preserve"> </w:t>
      </w:r>
      <w:r w:rsidR="00DE4A75">
        <w:rPr>
          <w:u w:val="none"/>
        </w:rPr>
        <w:tab/>
      </w:r>
      <w:r w:rsidR="00A559B6">
        <w:rPr>
          <w:u w:val="none"/>
        </w:rPr>
        <w:t xml:space="preserve">The trial court could not find </w:t>
      </w:r>
      <w:r w:rsidR="00F424A3">
        <w:rPr>
          <w:u w:val="none"/>
        </w:rPr>
        <w:t>material contradictions in the s</w:t>
      </w:r>
      <w:r w:rsidR="00A559B6">
        <w:rPr>
          <w:u w:val="none"/>
        </w:rPr>
        <w:t xml:space="preserve">tate’s </w:t>
      </w:r>
      <w:r w:rsidR="00683AF4">
        <w:rPr>
          <w:u w:val="none"/>
        </w:rPr>
        <w:t>case. The</w:t>
      </w:r>
      <w:r w:rsidR="00A559B6">
        <w:rPr>
          <w:u w:val="none"/>
        </w:rPr>
        <w:t xml:space="preserve"> fresh injuries found in the anus of the victim and a used condom were found to be corroborating </w:t>
      </w:r>
      <w:r w:rsidR="00683AF4">
        <w:rPr>
          <w:u w:val="none"/>
        </w:rPr>
        <w:t>factors. The</w:t>
      </w:r>
      <w:r w:rsidR="00A559B6">
        <w:rPr>
          <w:u w:val="none"/>
        </w:rPr>
        <w:t xml:space="preserve"> </w:t>
      </w:r>
      <w:r w:rsidR="00683AF4">
        <w:rPr>
          <w:u w:val="none"/>
        </w:rPr>
        <w:t>appellant’s</w:t>
      </w:r>
      <w:r w:rsidR="00A559B6">
        <w:rPr>
          <w:u w:val="none"/>
        </w:rPr>
        <w:t xml:space="preserve"> bare denial was found not to be reasonably possibly true and it was rejected as it was found to be falls</w:t>
      </w:r>
      <w:r w:rsidR="008E6D40">
        <w:rPr>
          <w:u w:val="none"/>
        </w:rPr>
        <w:t>.</w:t>
      </w:r>
      <w:r w:rsidR="008E6D40" w:rsidRPr="008E6D40">
        <w:rPr>
          <w:u w:val="none"/>
        </w:rPr>
        <w:t xml:space="preserve"> </w:t>
      </w:r>
      <w:r w:rsidR="008E6D40">
        <w:rPr>
          <w:u w:val="none"/>
        </w:rPr>
        <w:t>The evidence of the child witness was just short and to the point. There are no inconsistencies or improbabilities. It cannot be faulted.</w:t>
      </w:r>
    </w:p>
    <w:p w:rsidR="00DE4A75" w:rsidRDefault="00DE4A75" w:rsidP="008E6D40">
      <w:pPr>
        <w:spacing w:line="360" w:lineRule="auto"/>
        <w:rPr>
          <w:u w:val="none"/>
        </w:rPr>
      </w:pPr>
    </w:p>
    <w:p w:rsidR="006607E2" w:rsidRDefault="006607E2" w:rsidP="00AA25C3">
      <w:pPr>
        <w:spacing w:line="360" w:lineRule="auto"/>
        <w:rPr>
          <w:u w:val="none"/>
        </w:rPr>
      </w:pPr>
      <w:r>
        <w:rPr>
          <w:u w:val="none"/>
        </w:rPr>
        <w:t>[</w:t>
      </w:r>
      <w:r w:rsidR="00456C0D">
        <w:rPr>
          <w:u w:val="none"/>
        </w:rPr>
        <w:t>12</w:t>
      </w:r>
      <w:r w:rsidR="00C5688D">
        <w:rPr>
          <w:u w:val="none"/>
        </w:rPr>
        <w:t xml:space="preserve">] </w:t>
      </w:r>
      <w:r w:rsidR="00DE4A75">
        <w:rPr>
          <w:u w:val="none"/>
        </w:rPr>
        <w:tab/>
      </w:r>
      <w:r w:rsidR="00A559B6">
        <w:rPr>
          <w:u w:val="none"/>
        </w:rPr>
        <w:t>A consideration of the totality of the evidence of the state is probably what caused the appellant</w:t>
      </w:r>
      <w:r w:rsidR="00E70C09">
        <w:rPr>
          <w:u w:val="none"/>
        </w:rPr>
        <w:t>’</w:t>
      </w:r>
      <w:r w:rsidR="00A559B6">
        <w:rPr>
          <w:u w:val="none"/>
        </w:rPr>
        <w:t xml:space="preserve">s counsel to </w:t>
      </w:r>
      <w:r w:rsidR="00683AF4">
        <w:rPr>
          <w:u w:val="none"/>
        </w:rPr>
        <w:t>concede. This</w:t>
      </w:r>
      <w:r w:rsidR="00FC0DA6">
        <w:rPr>
          <w:u w:val="none"/>
        </w:rPr>
        <w:t xml:space="preserve"> court is satisfied that the t</w:t>
      </w:r>
      <w:r w:rsidR="00E70C09">
        <w:rPr>
          <w:u w:val="none"/>
        </w:rPr>
        <w:t xml:space="preserve">rial court correctly </w:t>
      </w:r>
      <w:r w:rsidR="00E70C09" w:rsidRPr="001B761E">
        <w:rPr>
          <w:u w:val="none"/>
        </w:rPr>
        <w:t>found that the s</w:t>
      </w:r>
      <w:r w:rsidR="00FC0DA6" w:rsidRPr="001B761E">
        <w:rPr>
          <w:u w:val="none"/>
        </w:rPr>
        <w:t xml:space="preserve">tate </w:t>
      </w:r>
      <w:r w:rsidR="00FC0DA6">
        <w:rPr>
          <w:u w:val="none"/>
        </w:rPr>
        <w:t>had proved the guilt of the appellant beyond reasonable doubt.</w:t>
      </w:r>
    </w:p>
    <w:p w:rsidR="00DA7B16" w:rsidRDefault="00DA7B16" w:rsidP="00AA25C3">
      <w:pPr>
        <w:spacing w:line="360" w:lineRule="auto"/>
        <w:rPr>
          <w:u w:val="none"/>
        </w:rPr>
      </w:pPr>
    </w:p>
    <w:p w:rsidR="001573B2" w:rsidRPr="00F424A3" w:rsidRDefault="003B51E8" w:rsidP="00AA25C3">
      <w:pPr>
        <w:spacing w:line="360" w:lineRule="auto"/>
        <w:rPr>
          <w:b/>
          <w:i/>
        </w:rPr>
      </w:pPr>
      <w:r w:rsidRPr="00F424A3">
        <w:rPr>
          <w:b/>
          <w:i/>
        </w:rPr>
        <w:t>Ad sentence</w:t>
      </w:r>
    </w:p>
    <w:p w:rsidR="00DE4A75" w:rsidRDefault="00DE4A75" w:rsidP="00AA25C3">
      <w:pPr>
        <w:spacing w:line="360" w:lineRule="auto"/>
        <w:rPr>
          <w:i/>
        </w:rPr>
      </w:pPr>
    </w:p>
    <w:p w:rsidR="00130236" w:rsidRDefault="00005AC3" w:rsidP="00130236">
      <w:pPr>
        <w:spacing w:line="360" w:lineRule="auto"/>
        <w:rPr>
          <w:u w:val="none"/>
        </w:rPr>
      </w:pPr>
      <w:r>
        <w:rPr>
          <w:u w:val="none"/>
        </w:rPr>
        <w:t>[</w:t>
      </w:r>
      <w:r w:rsidR="00456C0D">
        <w:rPr>
          <w:u w:val="none"/>
        </w:rPr>
        <w:t>13</w:t>
      </w:r>
      <w:r w:rsidR="00683AF4">
        <w:rPr>
          <w:u w:val="none"/>
        </w:rPr>
        <w:t xml:space="preserve">] </w:t>
      </w:r>
      <w:r w:rsidR="00DE4A75">
        <w:rPr>
          <w:u w:val="none"/>
        </w:rPr>
        <w:tab/>
      </w:r>
      <w:r w:rsidR="00683AF4">
        <w:rPr>
          <w:u w:val="none"/>
        </w:rPr>
        <w:t>Considering</w:t>
      </w:r>
      <w:r w:rsidR="00130236">
        <w:rPr>
          <w:u w:val="none"/>
        </w:rPr>
        <w:t xml:space="preserve"> the sentencing principles outlined i</w:t>
      </w:r>
      <w:r w:rsidR="008C3422">
        <w:rPr>
          <w:u w:val="none"/>
        </w:rPr>
        <w:t xml:space="preserve">n </w:t>
      </w:r>
      <w:r w:rsidR="008C3422" w:rsidRPr="00BA20F6">
        <w:rPr>
          <w:i/>
          <w:u w:val="none"/>
        </w:rPr>
        <w:t>S v Zinn</w:t>
      </w:r>
      <w:r w:rsidR="00F424A3" w:rsidRPr="00F424A3">
        <w:rPr>
          <w:rStyle w:val="FootnoteReference"/>
          <w:u w:val="none"/>
        </w:rPr>
        <w:footnoteReference w:id="5"/>
      </w:r>
      <w:r w:rsidR="00F424A3" w:rsidRPr="00F424A3">
        <w:rPr>
          <w:u w:val="none"/>
        </w:rPr>
        <w:t>;</w:t>
      </w:r>
      <w:r w:rsidR="008C3422" w:rsidRPr="00F424A3">
        <w:rPr>
          <w:u w:val="none"/>
        </w:rPr>
        <w:t xml:space="preserve"> </w:t>
      </w:r>
    </w:p>
    <w:p w:rsidR="00130236" w:rsidRPr="00F424A3" w:rsidRDefault="00130236" w:rsidP="00F424A3">
      <w:pPr>
        <w:spacing w:line="360" w:lineRule="auto"/>
        <w:ind w:left="720"/>
        <w:rPr>
          <w:sz w:val="22"/>
          <w:szCs w:val="22"/>
          <w:u w:val="none"/>
        </w:rPr>
      </w:pPr>
      <w:r w:rsidRPr="00F424A3">
        <w:rPr>
          <w:sz w:val="22"/>
          <w:szCs w:val="22"/>
          <w:u w:val="none"/>
        </w:rPr>
        <w:t xml:space="preserve">A minimum sentence prescribed by law </w:t>
      </w:r>
      <w:r w:rsidR="00683AF4" w:rsidRPr="00F424A3">
        <w:rPr>
          <w:sz w:val="22"/>
          <w:szCs w:val="22"/>
          <w:u w:val="none"/>
        </w:rPr>
        <w:t>which, in</w:t>
      </w:r>
      <w:r w:rsidRPr="00F424A3">
        <w:rPr>
          <w:sz w:val="22"/>
          <w:szCs w:val="22"/>
          <w:u w:val="none"/>
        </w:rPr>
        <w:t xml:space="preserve"> the </w:t>
      </w:r>
      <w:r w:rsidR="00683AF4" w:rsidRPr="00F424A3">
        <w:rPr>
          <w:sz w:val="22"/>
          <w:szCs w:val="22"/>
          <w:u w:val="none"/>
        </w:rPr>
        <w:t>circumstances</w:t>
      </w:r>
      <w:r w:rsidRPr="00F424A3">
        <w:rPr>
          <w:sz w:val="22"/>
          <w:szCs w:val="22"/>
          <w:u w:val="none"/>
        </w:rPr>
        <w:t xml:space="preserve"> of a particular </w:t>
      </w:r>
      <w:r w:rsidR="00683AF4" w:rsidRPr="00F424A3">
        <w:rPr>
          <w:sz w:val="22"/>
          <w:szCs w:val="22"/>
          <w:u w:val="none"/>
        </w:rPr>
        <w:t>case, would</w:t>
      </w:r>
      <w:r w:rsidRPr="00F424A3">
        <w:rPr>
          <w:sz w:val="22"/>
          <w:szCs w:val="22"/>
          <w:u w:val="none"/>
        </w:rPr>
        <w:t xml:space="preserve"> be unjustly </w:t>
      </w:r>
      <w:r w:rsidR="00683AF4" w:rsidRPr="00F424A3">
        <w:rPr>
          <w:sz w:val="22"/>
          <w:szCs w:val="22"/>
          <w:u w:val="none"/>
        </w:rPr>
        <w:t>disproportionate to</w:t>
      </w:r>
      <w:r w:rsidRPr="00F424A3">
        <w:rPr>
          <w:sz w:val="22"/>
          <w:szCs w:val="22"/>
          <w:u w:val="none"/>
        </w:rPr>
        <w:t xml:space="preserve"> </w:t>
      </w:r>
      <w:r w:rsidR="00683AF4" w:rsidRPr="00F424A3">
        <w:rPr>
          <w:sz w:val="22"/>
          <w:szCs w:val="22"/>
          <w:u w:val="none"/>
        </w:rPr>
        <w:t xml:space="preserve">the </w:t>
      </w:r>
      <w:r w:rsidR="004C6269" w:rsidRPr="00F424A3">
        <w:rPr>
          <w:sz w:val="22"/>
          <w:szCs w:val="22"/>
          <w:u w:val="none"/>
        </w:rPr>
        <w:t>offence, the</w:t>
      </w:r>
      <w:r w:rsidRPr="00F424A3">
        <w:rPr>
          <w:sz w:val="22"/>
          <w:szCs w:val="22"/>
          <w:u w:val="none"/>
        </w:rPr>
        <w:t xml:space="preserve"> offender and the </w:t>
      </w:r>
      <w:r w:rsidR="00683AF4" w:rsidRPr="00F424A3">
        <w:rPr>
          <w:sz w:val="22"/>
          <w:szCs w:val="22"/>
          <w:u w:val="none"/>
        </w:rPr>
        <w:t>interest</w:t>
      </w:r>
      <w:r w:rsidRPr="00F424A3">
        <w:rPr>
          <w:sz w:val="22"/>
          <w:szCs w:val="22"/>
          <w:u w:val="none"/>
        </w:rPr>
        <w:t xml:space="preserve"> of </w:t>
      </w:r>
      <w:r w:rsidR="00683AF4" w:rsidRPr="00F424A3">
        <w:rPr>
          <w:sz w:val="22"/>
          <w:szCs w:val="22"/>
          <w:u w:val="none"/>
        </w:rPr>
        <w:t>society, would</w:t>
      </w:r>
      <w:r w:rsidRPr="00F424A3">
        <w:rPr>
          <w:sz w:val="22"/>
          <w:szCs w:val="22"/>
          <w:u w:val="none"/>
        </w:rPr>
        <w:t xml:space="preserve"> </w:t>
      </w:r>
      <w:r w:rsidR="004C6269" w:rsidRPr="00F424A3">
        <w:rPr>
          <w:sz w:val="22"/>
          <w:szCs w:val="22"/>
          <w:u w:val="none"/>
        </w:rPr>
        <w:t>justify the</w:t>
      </w:r>
      <w:r w:rsidRPr="00F424A3">
        <w:rPr>
          <w:sz w:val="22"/>
          <w:szCs w:val="22"/>
          <w:u w:val="none"/>
        </w:rPr>
        <w:t xml:space="preserve"> imposition of a lesser sentence than the one </w:t>
      </w:r>
      <w:r w:rsidR="004C6269" w:rsidRPr="00F424A3">
        <w:rPr>
          <w:sz w:val="22"/>
          <w:szCs w:val="22"/>
          <w:u w:val="none"/>
        </w:rPr>
        <w:t>prescribed by</w:t>
      </w:r>
      <w:r w:rsidRPr="00F424A3">
        <w:rPr>
          <w:sz w:val="22"/>
          <w:szCs w:val="22"/>
          <w:u w:val="none"/>
        </w:rPr>
        <w:t xml:space="preserve"> the </w:t>
      </w:r>
      <w:r w:rsidR="00F95E75" w:rsidRPr="00F424A3">
        <w:rPr>
          <w:sz w:val="22"/>
          <w:szCs w:val="22"/>
          <w:u w:val="none"/>
        </w:rPr>
        <w:t>law</w:t>
      </w:r>
      <w:r w:rsidR="00F95E75" w:rsidRPr="00F424A3">
        <w:rPr>
          <w:b/>
          <w:sz w:val="22"/>
          <w:szCs w:val="22"/>
          <w:u w:val="none"/>
        </w:rPr>
        <w:t xml:space="preserve">, </w:t>
      </w:r>
      <w:r w:rsidR="008C3422" w:rsidRPr="005F6B71">
        <w:rPr>
          <w:i/>
          <w:sz w:val="22"/>
          <w:szCs w:val="22"/>
          <w:u w:val="none"/>
        </w:rPr>
        <w:t>S v Malgas</w:t>
      </w:r>
      <w:r w:rsidR="005F6B71">
        <w:rPr>
          <w:rStyle w:val="FootnoteReference"/>
          <w:i/>
          <w:sz w:val="22"/>
          <w:szCs w:val="22"/>
          <w:u w:val="none"/>
        </w:rPr>
        <w:footnoteReference w:id="6"/>
      </w:r>
      <w:r w:rsidR="008C3422" w:rsidRPr="00F424A3">
        <w:rPr>
          <w:sz w:val="22"/>
          <w:szCs w:val="22"/>
          <w:u w:val="none"/>
        </w:rPr>
        <w:t>.</w:t>
      </w:r>
    </w:p>
    <w:p w:rsidR="00DE4A75" w:rsidRDefault="00DE4A75" w:rsidP="00130236">
      <w:pPr>
        <w:spacing w:line="360" w:lineRule="auto"/>
        <w:rPr>
          <w:u w:val="none"/>
        </w:rPr>
      </w:pPr>
    </w:p>
    <w:p w:rsidR="007B373A" w:rsidRDefault="00456C0D" w:rsidP="007B373A">
      <w:pPr>
        <w:spacing w:line="360" w:lineRule="auto"/>
        <w:rPr>
          <w:u w:val="none"/>
        </w:rPr>
      </w:pPr>
      <w:r>
        <w:rPr>
          <w:u w:val="none"/>
        </w:rPr>
        <w:lastRenderedPageBreak/>
        <w:t>[14</w:t>
      </w:r>
      <w:r w:rsidR="000B57C6">
        <w:rPr>
          <w:u w:val="none"/>
        </w:rPr>
        <w:t xml:space="preserve">] </w:t>
      </w:r>
      <w:r w:rsidR="00DE4A75">
        <w:rPr>
          <w:u w:val="none"/>
        </w:rPr>
        <w:tab/>
      </w:r>
      <w:r w:rsidR="000B57C6">
        <w:rPr>
          <w:u w:val="none"/>
        </w:rPr>
        <w:t>The</w:t>
      </w:r>
      <w:r w:rsidR="007B373A">
        <w:rPr>
          <w:u w:val="none"/>
        </w:rPr>
        <w:t xml:space="preserve"> </w:t>
      </w:r>
      <w:r w:rsidR="00683AF4">
        <w:rPr>
          <w:u w:val="none"/>
        </w:rPr>
        <w:t xml:space="preserve">court </w:t>
      </w:r>
      <w:r w:rsidR="00683AF4" w:rsidRPr="00683AF4">
        <w:rPr>
          <w:i/>
          <w:u w:val="none"/>
        </w:rPr>
        <w:t>a</w:t>
      </w:r>
      <w:r w:rsidR="00F424A3">
        <w:rPr>
          <w:i/>
          <w:u w:val="none"/>
        </w:rPr>
        <w:t xml:space="preserve"> </w:t>
      </w:r>
      <w:r w:rsidR="00683AF4" w:rsidRPr="00683AF4">
        <w:rPr>
          <w:i/>
          <w:u w:val="none"/>
        </w:rPr>
        <w:t>quo</w:t>
      </w:r>
      <w:r w:rsidR="00683AF4">
        <w:rPr>
          <w:u w:val="none"/>
        </w:rPr>
        <w:t xml:space="preserve"> imposed life</w:t>
      </w:r>
      <w:r w:rsidR="007B373A">
        <w:rPr>
          <w:u w:val="none"/>
        </w:rPr>
        <w:t xml:space="preserve"> imprisonment</w:t>
      </w:r>
      <w:r w:rsidR="00683AF4">
        <w:rPr>
          <w:u w:val="none"/>
        </w:rPr>
        <w:t xml:space="preserve"> after finding it suitable and proportionate to the crime the appellant was convicted of</w:t>
      </w:r>
      <w:r w:rsidR="007B373A">
        <w:rPr>
          <w:u w:val="none"/>
        </w:rPr>
        <w:t>.</w:t>
      </w:r>
      <w:r w:rsidR="007B373A" w:rsidRPr="007B373A">
        <w:rPr>
          <w:u w:val="none"/>
        </w:rPr>
        <w:t xml:space="preserve"> </w:t>
      </w:r>
      <w:r w:rsidR="007B373A">
        <w:rPr>
          <w:u w:val="none"/>
        </w:rPr>
        <w:t xml:space="preserve">He </w:t>
      </w:r>
      <w:r w:rsidR="004C6269">
        <w:rPr>
          <w:u w:val="none"/>
        </w:rPr>
        <w:t>argues that</w:t>
      </w:r>
      <w:r w:rsidR="007B373A">
        <w:rPr>
          <w:u w:val="none"/>
        </w:rPr>
        <w:t xml:space="preserve"> the sentence is shockingly disproportionate, to the crime, the offender and the interest of </w:t>
      </w:r>
      <w:r w:rsidR="000B57C6">
        <w:rPr>
          <w:u w:val="none"/>
        </w:rPr>
        <w:t>society. T</w:t>
      </w:r>
      <w:r w:rsidR="007B373A">
        <w:rPr>
          <w:u w:val="none"/>
        </w:rPr>
        <w:t>he trial court overemphasised the seriousness of the offence, failed to accord wei</w:t>
      </w:r>
      <w:r w:rsidR="00F95E75">
        <w:rPr>
          <w:u w:val="none"/>
        </w:rPr>
        <w:t xml:space="preserve">ght to </w:t>
      </w:r>
      <w:r w:rsidR="00DE4A75">
        <w:rPr>
          <w:u w:val="none"/>
        </w:rPr>
        <w:t>his</w:t>
      </w:r>
      <w:r w:rsidR="007B373A">
        <w:rPr>
          <w:u w:val="none"/>
        </w:rPr>
        <w:t xml:space="preserve"> youthfulness during the committal of the offence. The complainant did not sustain serious injuries. The appellant grew up in a violent and abusive environment and he lacked a guiding hand of a father. He spent 2 years and 4 four months in custody awaiting trial. The appellant is not a hardened criminal and there are prospects of rehabilitation. There is no evidence on the psychological impact that the offence had on the complainant and whether he will be able to overcome the ordeal with professional counselling. Also </w:t>
      </w:r>
      <w:r w:rsidR="004C6269">
        <w:rPr>
          <w:u w:val="none"/>
        </w:rPr>
        <w:t>that, the</w:t>
      </w:r>
      <w:r w:rsidR="007B373A">
        <w:rPr>
          <w:u w:val="none"/>
        </w:rPr>
        <w:t xml:space="preserve"> appellant has succeeded to show substantial and compelling reasons for the court to deviate from the prescribed minimum sentence.</w:t>
      </w:r>
    </w:p>
    <w:p w:rsidR="00DE4A75" w:rsidRDefault="00DE4A75" w:rsidP="007B373A">
      <w:pPr>
        <w:spacing w:line="360" w:lineRule="auto"/>
        <w:rPr>
          <w:u w:val="none"/>
        </w:rPr>
      </w:pPr>
    </w:p>
    <w:p w:rsidR="00F63267" w:rsidRPr="00F424A3" w:rsidRDefault="00456C0D" w:rsidP="00F63267">
      <w:pPr>
        <w:spacing w:line="360" w:lineRule="auto"/>
        <w:rPr>
          <w:i/>
          <w:u w:val="none"/>
        </w:rPr>
      </w:pPr>
      <w:r>
        <w:rPr>
          <w:u w:val="none"/>
        </w:rPr>
        <w:t>[15</w:t>
      </w:r>
      <w:r w:rsidR="007B373A">
        <w:rPr>
          <w:u w:val="none"/>
        </w:rPr>
        <w:t>]</w:t>
      </w:r>
      <w:r w:rsidR="00C5688D">
        <w:rPr>
          <w:u w:val="none"/>
        </w:rPr>
        <w:t xml:space="preserve"> </w:t>
      </w:r>
      <w:r w:rsidR="00DE4A75">
        <w:rPr>
          <w:u w:val="none"/>
        </w:rPr>
        <w:tab/>
      </w:r>
      <w:r w:rsidR="00F63267">
        <w:rPr>
          <w:u w:val="none"/>
        </w:rPr>
        <w:t xml:space="preserve">The approach to sentencing remains </w:t>
      </w:r>
      <w:r w:rsidR="009A7D4B">
        <w:rPr>
          <w:u w:val="none"/>
        </w:rPr>
        <w:t>as expressed</w:t>
      </w:r>
      <w:r w:rsidR="00F63267">
        <w:rPr>
          <w:u w:val="none"/>
        </w:rPr>
        <w:t xml:space="preserve"> in</w:t>
      </w:r>
      <w:r w:rsidR="00F424A3">
        <w:rPr>
          <w:i/>
          <w:u w:val="none"/>
        </w:rPr>
        <w:t xml:space="preserve"> Maleka v S</w:t>
      </w:r>
      <w:r w:rsidR="00F424A3" w:rsidRPr="00F424A3">
        <w:rPr>
          <w:rStyle w:val="FootnoteReference"/>
          <w:u w:val="none"/>
        </w:rPr>
        <w:footnoteReference w:id="7"/>
      </w:r>
      <w:r w:rsidR="00E70C09">
        <w:rPr>
          <w:i/>
          <w:u w:val="none"/>
        </w:rPr>
        <w:t xml:space="preserve"> </w:t>
      </w:r>
      <w:r w:rsidR="00F63267">
        <w:rPr>
          <w:u w:val="none"/>
        </w:rPr>
        <w:t>where the court said;</w:t>
      </w:r>
    </w:p>
    <w:p w:rsidR="00F63267" w:rsidRDefault="00F63267" w:rsidP="00F424A3">
      <w:pPr>
        <w:spacing w:line="360" w:lineRule="auto"/>
        <w:ind w:left="720"/>
        <w:rPr>
          <w:sz w:val="22"/>
          <w:szCs w:val="22"/>
          <w:u w:val="none"/>
        </w:rPr>
      </w:pPr>
      <w:r w:rsidRPr="00DE4A75">
        <w:rPr>
          <w:sz w:val="22"/>
          <w:szCs w:val="22"/>
          <w:u w:val="none"/>
        </w:rPr>
        <w:t xml:space="preserve">“[10] … the imposition sentence is pre-eminently a matter falling within the discretion of the trial court.” </w:t>
      </w:r>
    </w:p>
    <w:p w:rsidR="00DE4A75" w:rsidRPr="00DE4A75" w:rsidRDefault="00DE4A75" w:rsidP="00F63267">
      <w:pPr>
        <w:spacing w:line="360" w:lineRule="auto"/>
        <w:rPr>
          <w:sz w:val="22"/>
          <w:szCs w:val="22"/>
          <w:u w:val="none"/>
        </w:rPr>
      </w:pPr>
    </w:p>
    <w:p w:rsidR="009A7D4B" w:rsidRDefault="00F424A3" w:rsidP="00F63267">
      <w:pPr>
        <w:spacing w:line="360" w:lineRule="auto"/>
        <w:rPr>
          <w:u w:val="none"/>
        </w:rPr>
      </w:pPr>
      <w:r>
        <w:rPr>
          <w:u w:val="none"/>
        </w:rPr>
        <w:t xml:space="preserve">In </w:t>
      </w:r>
      <w:r w:rsidR="008C3422" w:rsidRPr="00F424A3">
        <w:rPr>
          <w:i/>
          <w:u w:val="none"/>
        </w:rPr>
        <w:t>S v Phillips</w:t>
      </w:r>
      <w:r w:rsidRPr="00F424A3">
        <w:rPr>
          <w:rStyle w:val="FootnoteReference"/>
          <w:u w:val="none"/>
        </w:rPr>
        <w:footnoteReference w:id="8"/>
      </w:r>
      <w:r w:rsidR="008C3422">
        <w:rPr>
          <w:u w:val="none"/>
        </w:rPr>
        <w:t xml:space="preserve"> </w:t>
      </w:r>
      <w:r w:rsidR="00F63267">
        <w:rPr>
          <w:u w:val="none"/>
        </w:rPr>
        <w:t>the court said</w:t>
      </w:r>
      <w:r w:rsidR="009A7D4B">
        <w:rPr>
          <w:u w:val="none"/>
        </w:rPr>
        <w:t>;</w:t>
      </w:r>
    </w:p>
    <w:p w:rsidR="00F63267" w:rsidRDefault="00F63267" w:rsidP="00F424A3">
      <w:pPr>
        <w:spacing w:line="360" w:lineRule="auto"/>
        <w:ind w:left="720"/>
        <w:rPr>
          <w:sz w:val="22"/>
          <w:szCs w:val="22"/>
          <w:u w:val="none"/>
        </w:rPr>
      </w:pPr>
      <w:r w:rsidRPr="00DE4A75">
        <w:rPr>
          <w:sz w:val="22"/>
          <w:szCs w:val="22"/>
          <w:u w:val="none"/>
        </w:rPr>
        <w:t>“It is trite that a court exercisin</w:t>
      </w:r>
      <w:r w:rsidR="00DE4A75">
        <w:rPr>
          <w:sz w:val="22"/>
          <w:szCs w:val="22"/>
          <w:u w:val="none"/>
        </w:rPr>
        <w:t>g appellate jurisdiction cannot</w:t>
      </w:r>
      <w:r w:rsidRPr="00DE4A75">
        <w:rPr>
          <w:sz w:val="22"/>
          <w:szCs w:val="22"/>
          <w:u w:val="none"/>
        </w:rPr>
        <w:t>,</w:t>
      </w:r>
      <w:r w:rsidR="00DE4A75">
        <w:rPr>
          <w:sz w:val="22"/>
          <w:szCs w:val="22"/>
          <w:u w:val="none"/>
        </w:rPr>
        <w:t xml:space="preserve"> </w:t>
      </w:r>
      <w:r w:rsidRPr="00DE4A75">
        <w:rPr>
          <w:sz w:val="22"/>
          <w:szCs w:val="22"/>
          <w:u w:val="none"/>
        </w:rPr>
        <w:t xml:space="preserve">in the absence of material </w:t>
      </w:r>
      <w:r w:rsidR="00DE4A75">
        <w:rPr>
          <w:sz w:val="22"/>
          <w:szCs w:val="22"/>
          <w:u w:val="none"/>
        </w:rPr>
        <w:t>misdirection by the trial court</w:t>
      </w:r>
      <w:r w:rsidRPr="00DE4A75">
        <w:rPr>
          <w:sz w:val="22"/>
          <w:szCs w:val="22"/>
          <w:u w:val="none"/>
        </w:rPr>
        <w:t>,</w:t>
      </w:r>
      <w:r w:rsidR="00DE4A75">
        <w:rPr>
          <w:sz w:val="22"/>
          <w:szCs w:val="22"/>
          <w:u w:val="none"/>
        </w:rPr>
        <w:t xml:space="preserve"> </w:t>
      </w:r>
      <w:r w:rsidRPr="00DE4A75">
        <w:rPr>
          <w:sz w:val="22"/>
          <w:szCs w:val="22"/>
          <w:u w:val="none"/>
        </w:rPr>
        <w:t>asses the app</w:t>
      </w:r>
      <w:r w:rsidR="00DE4A75">
        <w:rPr>
          <w:sz w:val="22"/>
          <w:szCs w:val="22"/>
          <w:u w:val="none"/>
        </w:rPr>
        <w:t>ropriateness of the sentence as</w:t>
      </w:r>
      <w:r w:rsidRPr="00DE4A75">
        <w:rPr>
          <w:sz w:val="22"/>
          <w:szCs w:val="22"/>
          <w:u w:val="none"/>
        </w:rPr>
        <w:t xml:space="preserve"> if it were a trial court and then alter the se</w:t>
      </w:r>
      <w:r w:rsidR="00456C0D">
        <w:rPr>
          <w:sz w:val="22"/>
          <w:szCs w:val="22"/>
          <w:u w:val="none"/>
        </w:rPr>
        <w:t>ntence arrived at by that court</w:t>
      </w:r>
      <w:r w:rsidRPr="00DE4A75">
        <w:rPr>
          <w:sz w:val="22"/>
          <w:szCs w:val="22"/>
          <w:u w:val="none"/>
        </w:rPr>
        <w:t>,</w:t>
      </w:r>
      <w:r w:rsidR="00456C0D">
        <w:rPr>
          <w:sz w:val="22"/>
          <w:szCs w:val="22"/>
          <w:u w:val="none"/>
        </w:rPr>
        <w:t xml:space="preserve"> </w:t>
      </w:r>
      <w:r w:rsidRPr="00DE4A75">
        <w:rPr>
          <w:sz w:val="22"/>
          <w:szCs w:val="22"/>
          <w:u w:val="none"/>
        </w:rPr>
        <w:t>simply because it disagrees with it.</w:t>
      </w:r>
      <w:r w:rsidR="00DE4A75">
        <w:rPr>
          <w:sz w:val="22"/>
          <w:szCs w:val="22"/>
          <w:u w:val="none"/>
        </w:rPr>
        <w:t xml:space="preserve"> </w:t>
      </w:r>
      <w:r w:rsidRPr="00DE4A75">
        <w:rPr>
          <w:sz w:val="22"/>
          <w:szCs w:val="22"/>
          <w:u w:val="none"/>
        </w:rPr>
        <w:t>To do so would be to usurp the sentencing discretion of th</w:t>
      </w:r>
      <w:r w:rsidR="00DE4A75">
        <w:rPr>
          <w:sz w:val="22"/>
          <w:szCs w:val="22"/>
          <w:u w:val="none"/>
        </w:rPr>
        <w:t>at court</w:t>
      </w:r>
      <w:r w:rsidRPr="00DE4A75">
        <w:rPr>
          <w:sz w:val="22"/>
          <w:szCs w:val="22"/>
          <w:u w:val="none"/>
        </w:rPr>
        <w:t>.</w:t>
      </w:r>
      <w:r w:rsidR="00DE4A75">
        <w:rPr>
          <w:sz w:val="22"/>
          <w:szCs w:val="22"/>
          <w:u w:val="none"/>
        </w:rPr>
        <w:t xml:space="preserve"> </w:t>
      </w:r>
      <w:r w:rsidRPr="00DE4A75">
        <w:rPr>
          <w:sz w:val="22"/>
          <w:szCs w:val="22"/>
          <w:u w:val="none"/>
        </w:rPr>
        <w:t>B</w:t>
      </w:r>
      <w:r w:rsidR="00DE4A75">
        <w:rPr>
          <w:sz w:val="22"/>
          <w:szCs w:val="22"/>
          <w:u w:val="none"/>
        </w:rPr>
        <w:t xml:space="preserve">ut where material misdirection </w:t>
      </w:r>
      <w:r w:rsidRPr="00DE4A75">
        <w:rPr>
          <w:sz w:val="22"/>
          <w:szCs w:val="22"/>
          <w:u w:val="none"/>
        </w:rPr>
        <w:t>has been d</w:t>
      </w:r>
      <w:r w:rsidR="00DE4A75">
        <w:rPr>
          <w:sz w:val="22"/>
          <w:szCs w:val="22"/>
          <w:u w:val="none"/>
        </w:rPr>
        <w:t>emonstrated, an appellate court is not only entitled, but is also duty bound</w:t>
      </w:r>
      <w:r w:rsidRPr="00DE4A75">
        <w:rPr>
          <w:sz w:val="22"/>
          <w:szCs w:val="22"/>
          <w:u w:val="none"/>
        </w:rPr>
        <w:t>,</w:t>
      </w:r>
      <w:r w:rsidR="00DE4A75">
        <w:rPr>
          <w:sz w:val="22"/>
          <w:szCs w:val="22"/>
          <w:u w:val="none"/>
        </w:rPr>
        <w:t xml:space="preserve"> </w:t>
      </w:r>
      <w:r w:rsidRPr="00DE4A75">
        <w:rPr>
          <w:sz w:val="22"/>
          <w:szCs w:val="22"/>
          <w:u w:val="none"/>
        </w:rPr>
        <w:t>to consider the question of sentence afresh to avoid an injustice.”</w:t>
      </w:r>
    </w:p>
    <w:p w:rsidR="00DE4A75" w:rsidRPr="00DE4A75" w:rsidRDefault="00DE4A75" w:rsidP="00F63267">
      <w:pPr>
        <w:spacing w:line="360" w:lineRule="auto"/>
        <w:rPr>
          <w:sz w:val="22"/>
          <w:szCs w:val="22"/>
          <w:u w:val="none"/>
        </w:rPr>
      </w:pPr>
    </w:p>
    <w:p w:rsidR="001573B2" w:rsidRDefault="000B57C6" w:rsidP="00AA25C3">
      <w:pPr>
        <w:spacing w:line="360" w:lineRule="auto"/>
        <w:rPr>
          <w:u w:val="none"/>
        </w:rPr>
      </w:pPr>
      <w:r>
        <w:rPr>
          <w:u w:val="none"/>
        </w:rPr>
        <w:t>[</w:t>
      </w:r>
      <w:r w:rsidR="00F424A3">
        <w:rPr>
          <w:u w:val="none"/>
        </w:rPr>
        <w:t>16</w:t>
      </w:r>
      <w:r w:rsidR="008E6D40">
        <w:rPr>
          <w:u w:val="none"/>
        </w:rPr>
        <w:t>]</w:t>
      </w:r>
      <w:r w:rsidR="00DE4A75">
        <w:rPr>
          <w:u w:val="none"/>
        </w:rPr>
        <w:tab/>
      </w:r>
      <w:r w:rsidR="008E6D40" w:rsidRPr="00F7044D">
        <w:rPr>
          <w:u w:val="none"/>
        </w:rPr>
        <w:t xml:space="preserve"> Therefore</w:t>
      </w:r>
      <w:r w:rsidR="00683AF4" w:rsidRPr="00F7044D">
        <w:rPr>
          <w:u w:val="none"/>
        </w:rPr>
        <w:t>,</w:t>
      </w:r>
      <w:r w:rsidR="007B373A">
        <w:rPr>
          <w:u w:val="none"/>
        </w:rPr>
        <w:t xml:space="preserve"> considering the </w:t>
      </w:r>
      <w:r w:rsidR="00683AF4">
        <w:rPr>
          <w:u w:val="none"/>
        </w:rPr>
        <w:t>law, the</w:t>
      </w:r>
      <w:r w:rsidR="007B373A">
        <w:rPr>
          <w:u w:val="none"/>
        </w:rPr>
        <w:t xml:space="preserve"> </w:t>
      </w:r>
      <w:r w:rsidR="00683AF4">
        <w:rPr>
          <w:u w:val="none"/>
        </w:rPr>
        <w:t>facts, the</w:t>
      </w:r>
      <w:r w:rsidR="007B373A">
        <w:rPr>
          <w:u w:val="none"/>
        </w:rPr>
        <w:t xml:space="preserve"> aim and objective of </w:t>
      </w:r>
      <w:r w:rsidR="00683AF4">
        <w:rPr>
          <w:u w:val="none"/>
        </w:rPr>
        <w:t>sentencing,</w:t>
      </w:r>
      <w:r w:rsidR="00F7044D">
        <w:rPr>
          <w:u w:val="none"/>
        </w:rPr>
        <w:t xml:space="preserve"> t</w:t>
      </w:r>
      <w:r w:rsidR="00C5688D">
        <w:rPr>
          <w:u w:val="none"/>
        </w:rPr>
        <w:t>he</w:t>
      </w:r>
      <w:r w:rsidR="001573B2">
        <w:rPr>
          <w:u w:val="none"/>
        </w:rPr>
        <w:t xml:space="preserve"> question is w</w:t>
      </w:r>
      <w:r w:rsidR="00507306">
        <w:rPr>
          <w:u w:val="none"/>
        </w:rPr>
        <w:t>hether the</w:t>
      </w:r>
      <w:r w:rsidR="009A7D4B">
        <w:rPr>
          <w:u w:val="none"/>
        </w:rPr>
        <w:t xml:space="preserve"> court </w:t>
      </w:r>
      <w:r w:rsidR="009A7D4B" w:rsidRPr="00683AF4">
        <w:rPr>
          <w:i/>
          <w:u w:val="none"/>
        </w:rPr>
        <w:t>a</w:t>
      </w:r>
      <w:r w:rsidR="008C3422">
        <w:rPr>
          <w:i/>
          <w:u w:val="none"/>
        </w:rPr>
        <w:t xml:space="preserve"> </w:t>
      </w:r>
      <w:r w:rsidR="009A7D4B" w:rsidRPr="00683AF4">
        <w:rPr>
          <w:i/>
          <w:u w:val="none"/>
        </w:rPr>
        <w:t>quo</w:t>
      </w:r>
      <w:r w:rsidR="00507306" w:rsidRPr="00683AF4">
        <w:rPr>
          <w:i/>
          <w:u w:val="none"/>
        </w:rPr>
        <w:t xml:space="preserve"> </w:t>
      </w:r>
      <w:r w:rsidR="00507306">
        <w:rPr>
          <w:u w:val="none"/>
        </w:rPr>
        <w:t>misdirected it</w:t>
      </w:r>
      <w:r w:rsidR="001573B2">
        <w:rPr>
          <w:u w:val="none"/>
        </w:rPr>
        <w:t>self by not finding substantial and compelling reasons which would have enabled him to deviate from imposing a prescribed sentence.</w:t>
      </w:r>
    </w:p>
    <w:p w:rsidR="00DE4A75" w:rsidRDefault="00DE4A75" w:rsidP="00AA25C3">
      <w:pPr>
        <w:spacing w:line="360" w:lineRule="auto"/>
        <w:rPr>
          <w:u w:val="none"/>
        </w:rPr>
      </w:pPr>
    </w:p>
    <w:p w:rsidR="00920218" w:rsidRDefault="00F424A3" w:rsidP="00AA25C3">
      <w:pPr>
        <w:spacing w:line="360" w:lineRule="auto"/>
        <w:rPr>
          <w:u w:val="none"/>
        </w:rPr>
      </w:pPr>
      <w:r>
        <w:rPr>
          <w:u w:val="none"/>
        </w:rPr>
        <w:lastRenderedPageBreak/>
        <w:t>[17</w:t>
      </w:r>
      <w:r w:rsidR="00005AC3" w:rsidRPr="001B761E">
        <w:rPr>
          <w:u w:val="none"/>
        </w:rPr>
        <w:t xml:space="preserve">] </w:t>
      </w:r>
      <w:r w:rsidR="00DE4A75" w:rsidRPr="001B761E">
        <w:rPr>
          <w:u w:val="none"/>
        </w:rPr>
        <w:tab/>
      </w:r>
      <w:r w:rsidR="00005AC3" w:rsidRPr="001B761E">
        <w:rPr>
          <w:u w:val="none"/>
        </w:rPr>
        <w:t xml:space="preserve">An offence </w:t>
      </w:r>
      <w:r w:rsidR="007A4277" w:rsidRPr="001B761E">
        <w:rPr>
          <w:u w:val="none"/>
        </w:rPr>
        <w:t xml:space="preserve">of </w:t>
      </w:r>
      <w:r w:rsidR="00005AC3" w:rsidRPr="001B761E">
        <w:rPr>
          <w:u w:val="none"/>
        </w:rPr>
        <w:t xml:space="preserve">rape by its very nature goes to the core of a </w:t>
      </w:r>
      <w:r w:rsidR="00C5688D" w:rsidRPr="001B761E">
        <w:rPr>
          <w:u w:val="none"/>
        </w:rPr>
        <w:t>victim’s</w:t>
      </w:r>
      <w:r w:rsidR="00005AC3" w:rsidRPr="001B761E">
        <w:rPr>
          <w:u w:val="none"/>
        </w:rPr>
        <w:t xml:space="preserve"> </w:t>
      </w:r>
      <w:r w:rsidR="00C5688D" w:rsidRPr="001B761E">
        <w:rPr>
          <w:u w:val="none"/>
        </w:rPr>
        <w:t>fundamental rights</w:t>
      </w:r>
      <w:r w:rsidR="00005AC3" w:rsidRPr="001B761E">
        <w:rPr>
          <w:u w:val="none"/>
        </w:rPr>
        <w:t xml:space="preserve"> to </w:t>
      </w:r>
      <w:r w:rsidR="00C5688D" w:rsidRPr="001B761E">
        <w:rPr>
          <w:u w:val="none"/>
        </w:rPr>
        <w:t>dignity, privacy, security</w:t>
      </w:r>
      <w:r w:rsidR="00005AC3" w:rsidRPr="001B761E">
        <w:rPr>
          <w:u w:val="none"/>
        </w:rPr>
        <w:t xml:space="preserve"> of a </w:t>
      </w:r>
      <w:r w:rsidR="00C5688D" w:rsidRPr="001B761E">
        <w:rPr>
          <w:u w:val="none"/>
        </w:rPr>
        <w:t>person. It</w:t>
      </w:r>
      <w:r w:rsidR="00005AC3" w:rsidRPr="001B761E">
        <w:rPr>
          <w:u w:val="none"/>
        </w:rPr>
        <w:t xml:space="preserve"> is </w:t>
      </w:r>
      <w:r w:rsidR="00C5688D" w:rsidRPr="001B761E">
        <w:rPr>
          <w:u w:val="none"/>
        </w:rPr>
        <w:t>dehumanising, invasive</w:t>
      </w:r>
      <w:r w:rsidR="00005AC3" w:rsidRPr="001B761E">
        <w:rPr>
          <w:u w:val="none"/>
        </w:rPr>
        <w:t xml:space="preserve"> and humiliating for the rape </w:t>
      </w:r>
      <w:r w:rsidR="00C5688D" w:rsidRPr="001B761E">
        <w:rPr>
          <w:u w:val="none"/>
        </w:rPr>
        <w:t>victim, within</w:t>
      </w:r>
      <w:r w:rsidR="00E4408F" w:rsidRPr="001B761E">
        <w:rPr>
          <w:u w:val="none"/>
        </w:rPr>
        <w:t xml:space="preserve"> a </w:t>
      </w:r>
      <w:r w:rsidR="00EE0C3F" w:rsidRPr="001B761E">
        <w:rPr>
          <w:u w:val="none"/>
        </w:rPr>
        <w:t>psychological</w:t>
      </w:r>
      <w:r w:rsidR="00E4408F" w:rsidRPr="001B761E">
        <w:rPr>
          <w:u w:val="none"/>
        </w:rPr>
        <w:t xml:space="preserve"> impact that will stay </w:t>
      </w:r>
      <w:r w:rsidR="00EE0C3F" w:rsidRPr="001B761E">
        <w:rPr>
          <w:u w:val="none"/>
        </w:rPr>
        <w:t>with the</w:t>
      </w:r>
      <w:r w:rsidR="00E4408F" w:rsidRPr="001B761E">
        <w:rPr>
          <w:u w:val="none"/>
        </w:rPr>
        <w:t xml:space="preserve"> victim for </w:t>
      </w:r>
      <w:r w:rsidR="00363F3E" w:rsidRPr="001B761E">
        <w:rPr>
          <w:u w:val="none"/>
        </w:rPr>
        <w:t xml:space="preserve">life, </w:t>
      </w:r>
      <w:r w:rsidRPr="001B761E">
        <w:rPr>
          <w:i/>
          <w:u w:val="none"/>
        </w:rPr>
        <w:t xml:space="preserve">S </w:t>
      </w:r>
      <w:r>
        <w:rPr>
          <w:i/>
          <w:u w:val="none"/>
        </w:rPr>
        <w:t>v Chapman</w:t>
      </w:r>
      <w:r w:rsidRPr="00F424A3">
        <w:rPr>
          <w:rStyle w:val="FootnoteReference"/>
          <w:u w:val="none"/>
        </w:rPr>
        <w:footnoteReference w:id="9"/>
      </w:r>
      <w:r w:rsidR="004A7840">
        <w:rPr>
          <w:u w:val="none"/>
        </w:rPr>
        <w:t xml:space="preserve">. </w:t>
      </w:r>
      <w:r w:rsidR="00EE0C3F" w:rsidRPr="00592320">
        <w:rPr>
          <w:u w:val="none"/>
        </w:rPr>
        <w:t>It</w:t>
      </w:r>
      <w:r w:rsidR="00E4408F" w:rsidRPr="00E4408F">
        <w:rPr>
          <w:u w:val="none"/>
        </w:rPr>
        <w:t xml:space="preserve"> has</w:t>
      </w:r>
      <w:r w:rsidR="00E4408F">
        <w:rPr>
          <w:b/>
          <w:u w:val="none"/>
        </w:rPr>
        <w:t xml:space="preserve"> </w:t>
      </w:r>
      <w:r w:rsidR="00E4408F" w:rsidRPr="00E4408F">
        <w:rPr>
          <w:u w:val="none"/>
        </w:rPr>
        <w:t>a</w:t>
      </w:r>
      <w:r w:rsidR="00E4408F">
        <w:rPr>
          <w:u w:val="none"/>
        </w:rPr>
        <w:t xml:space="preserve"> severe impact on </w:t>
      </w:r>
      <w:r w:rsidR="008312C3">
        <w:rPr>
          <w:u w:val="none"/>
        </w:rPr>
        <w:t xml:space="preserve">the mental health of the </w:t>
      </w:r>
      <w:r w:rsidR="00EE0C3F">
        <w:rPr>
          <w:u w:val="none"/>
        </w:rPr>
        <w:t>victim. It</w:t>
      </w:r>
      <w:r w:rsidR="008312C3">
        <w:rPr>
          <w:u w:val="none"/>
        </w:rPr>
        <w:t xml:space="preserve"> commonly results in depression </w:t>
      </w:r>
      <w:r w:rsidR="00EE0C3F">
        <w:rPr>
          <w:u w:val="none"/>
        </w:rPr>
        <w:t>and post</w:t>
      </w:r>
      <w:r w:rsidR="007322BF">
        <w:rPr>
          <w:u w:val="none"/>
        </w:rPr>
        <w:t>-</w:t>
      </w:r>
      <w:r w:rsidR="008312C3">
        <w:rPr>
          <w:u w:val="none"/>
        </w:rPr>
        <w:t xml:space="preserve">traumatic stress </w:t>
      </w:r>
      <w:r w:rsidR="00EE0C3F">
        <w:rPr>
          <w:u w:val="none"/>
        </w:rPr>
        <w:t>disorder, which</w:t>
      </w:r>
      <w:r w:rsidR="008312C3">
        <w:rPr>
          <w:u w:val="none"/>
        </w:rPr>
        <w:t xml:space="preserve"> will impact the child’s emotional well- being and her ability to </w:t>
      </w:r>
      <w:r w:rsidR="008756F1">
        <w:rPr>
          <w:u w:val="none"/>
        </w:rPr>
        <w:t xml:space="preserve">form various relationships, </w:t>
      </w:r>
      <w:r w:rsidR="005F6B71">
        <w:rPr>
          <w:i/>
          <w:u w:val="none"/>
        </w:rPr>
        <w:t>Buso v S</w:t>
      </w:r>
      <w:r w:rsidR="001B761E" w:rsidRPr="001B761E">
        <w:rPr>
          <w:rStyle w:val="FootnoteReference"/>
          <w:u w:val="none"/>
        </w:rPr>
        <w:footnoteReference w:id="10"/>
      </w:r>
      <w:r w:rsidR="001B761E">
        <w:rPr>
          <w:i/>
          <w:u w:val="none"/>
        </w:rPr>
        <w:t>.</w:t>
      </w:r>
      <w:r w:rsidR="00772710" w:rsidRPr="00772710">
        <w:rPr>
          <w:u w:val="none"/>
        </w:rPr>
        <w:t xml:space="preserve"> </w:t>
      </w:r>
    </w:p>
    <w:p w:rsidR="008C3422" w:rsidRPr="001948DE" w:rsidRDefault="008C3422" w:rsidP="00AA25C3">
      <w:pPr>
        <w:spacing w:line="360" w:lineRule="auto"/>
        <w:rPr>
          <w:b/>
          <w:u w:val="none"/>
        </w:rPr>
      </w:pPr>
    </w:p>
    <w:p w:rsidR="0068690A" w:rsidRDefault="00EB7B37" w:rsidP="00AA25C3">
      <w:pPr>
        <w:spacing w:line="360" w:lineRule="auto"/>
        <w:rPr>
          <w:u w:val="none"/>
        </w:rPr>
      </w:pPr>
      <w:r>
        <w:rPr>
          <w:u w:val="none"/>
        </w:rPr>
        <w:t>[</w:t>
      </w:r>
      <w:r w:rsidR="004A7840">
        <w:rPr>
          <w:u w:val="none"/>
        </w:rPr>
        <w:t>18</w:t>
      </w:r>
      <w:r w:rsidR="000B57C6">
        <w:rPr>
          <w:u w:val="none"/>
        </w:rPr>
        <w:t>]</w:t>
      </w:r>
      <w:r w:rsidR="007100F3">
        <w:rPr>
          <w:u w:val="none"/>
        </w:rPr>
        <w:t xml:space="preserve"> </w:t>
      </w:r>
      <w:r w:rsidR="00DE4A75">
        <w:rPr>
          <w:u w:val="none"/>
        </w:rPr>
        <w:tab/>
      </w:r>
      <w:r w:rsidR="00EE0C3F">
        <w:rPr>
          <w:u w:val="none"/>
        </w:rPr>
        <w:t>Heinous</w:t>
      </w:r>
      <w:r w:rsidR="00D04529">
        <w:rPr>
          <w:u w:val="none"/>
        </w:rPr>
        <w:t xml:space="preserve"> crimes</w:t>
      </w:r>
      <w:r w:rsidR="002172C8">
        <w:rPr>
          <w:u w:val="none"/>
        </w:rPr>
        <w:t xml:space="preserve"> </w:t>
      </w:r>
      <w:r w:rsidR="005F6B71" w:rsidRPr="00346097">
        <w:rPr>
          <w:i/>
          <w:u w:val="none"/>
        </w:rPr>
        <w:t>S v C</w:t>
      </w:r>
      <w:r w:rsidR="005F6B71">
        <w:rPr>
          <w:rStyle w:val="FootnoteReference"/>
          <w:u w:val="none"/>
        </w:rPr>
        <w:footnoteReference w:id="11"/>
      </w:r>
      <w:r w:rsidR="002172C8">
        <w:rPr>
          <w:u w:val="none"/>
        </w:rPr>
        <w:t>against children</w:t>
      </w:r>
      <w:r w:rsidR="00D04529">
        <w:rPr>
          <w:u w:val="none"/>
        </w:rPr>
        <w:t xml:space="preserve"> in South Africa continue </w:t>
      </w:r>
      <w:r w:rsidR="002172C8">
        <w:rPr>
          <w:u w:val="none"/>
        </w:rPr>
        <w:t xml:space="preserve">at a shocking </w:t>
      </w:r>
      <w:r w:rsidR="00683AF4">
        <w:rPr>
          <w:u w:val="none"/>
        </w:rPr>
        <w:t>rate. The</w:t>
      </w:r>
      <w:r w:rsidR="009E4149">
        <w:rPr>
          <w:u w:val="none"/>
        </w:rPr>
        <w:t xml:space="preserve"> government has introduced </w:t>
      </w:r>
      <w:r w:rsidR="00683AF4">
        <w:rPr>
          <w:u w:val="none"/>
        </w:rPr>
        <w:t>measurers</w:t>
      </w:r>
      <w:r w:rsidR="009E4149">
        <w:rPr>
          <w:u w:val="none"/>
        </w:rPr>
        <w:t xml:space="preserve"> to stem the </w:t>
      </w:r>
      <w:r w:rsidR="00683AF4">
        <w:rPr>
          <w:u w:val="none"/>
        </w:rPr>
        <w:t xml:space="preserve">tide. </w:t>
      </w:r>
      <w:r w:rsidR="001948DE">
        <w:rPr>
          <w:u w:val="none"/>
        </w:rPr>
        <w:t>V</w:t>
      </w:r>
      <w:r w:rsidR="00683AF4">
        <w:rPr>
          <w:u w:val="none"/>
        </w:rPr>
        <w:t>arious</w:t>
      </w:r>
      <w:r w:rsidR="00A1326B">
        <w:rPr>
          <w:u w:val="none"/>
        </w:rPr>
        <w:t xml:space="preserve"> forums and the </w:t>
      </w:r>
      <w:r w:rsidR="009E4149">
        <w:rPr>
          <w:u w:val="none"/>
        </w:rPr>
        <w:t>court</w:t>
      </w:r>
      <w:r w:rsidR="00A1326B">
        <w:rPr>
          <w:u w:val="none"/>
        </w:rPr>
        <w:t>s</w:t>
      </w:r>
      <w:r w:rsidR="009E4149">
        <w:rPr>
          <w:u w:val="none"/>
        </w:rPr>
        <w:t xml:space="preserve"> </w:t>
      </w:r>
      <w:r w:rsidR="00683AF4">
        <w:rPr>
          <w:u w:val="none"/>
        </w:rPr>
        <w:t>are also</w:t>
      </w:r>
      <w:r w:rsidR="00A1326B">
        <w:rPr>
          <w:u w:val="none"/>
        </w:rPr>
        <w:t xml:space="preserve"> </w:t>
      </w:r>
      <w:r w:rsidR="009E4149" w:rsidRPr="001B761E">
        <w:rPr>
          <w:u w:val="none"/>
        </w:rPr>
        <w:t>continuously</w:t>
      </w:r>
      <w:r w:rsidR="00A1326B" w:rsidRPr="001B761E">
        <w:rPr>
          <w:u w:val="none"/>
        </w:rPr>
        <w:t xml:space="preserve"> addressing this crisis of </w:t>
      </w:r>
      <w:r w:rsidR="00683AF4" w:rsidRPr="001B761E">
        <w:rPr>
          <w:u w:val="none"/>
        </w:rPr>
        <w:t>epidemic proportions</w:t>
      </w:r>
      <w:r w:rsidR="00A1326B" w:rsidRPr="001B761E">
        <w:rPr>
          <w:u w:val="none"/>
        </w:rPr>
        <w:t xml:space="preserve"> </w:t>
      </w:r>
      <w:r w:rsidR="00683AF4" w:rsidRPr="001B761E">
        <w:rPr>
          <w:u w:val="none"/>
        </w:rPr>
        <w:t>but the</w:t>
      </w:r>
      <w:r w:rsidR="00A1326B" w:rsidRPr="001B761E">
        <w:rPr>
          <w:u w:val="none"/>
        </w:rPr>
        <w:t xml:space="preserve"> sexual abuse of women and children </w:t>
      </w:r>
      <w:r w:rsidR="001B761E" w:rsidRPr="001B761E">
        <w:rPr>
          <w:u w:val="none"/>
        </w:rPr>
        <w:t>continues</w:t>
      </w:r>
      <w:r w:rsidR="00A1326B" w:rsidRPr="001B761E">
        <w:rPr>
          <w:u w:val="none"/>
        </w:rPr>
        <w:t xml:space="preserve"> </w:t>
      </w:r>
      <w:r w:rsidR="00A1326B">
        <w:rPr>
          <w:u w:val="none"/>
        </w:rPr>
        <w:t>at an alarming rate</w:t>
      </w:r>
      <w:r w:rsidR="001948DE">
        <w:rPr>
          <w:u w:val="none"/>
        </w:rPr>
        <w:t>.</w:t>
      </w:r>
    </w:p>
    <w:p w:rsidR="008C3422" w:rsidRDefault="008C3422" w:rsidP="00AA25C3">
      <w:pPr>
        <w:spacing w:line="360" w:lineRule="auto"/>
        <w:rPr>
          <w:u w:val="none"/>
        </w:rPr>
      </w:pPr>
    </w:p>
    <w:p w:rsidR="00EB7B37" w:rsidRDefault="000B57C6" w:rsidP="00AA25C3">
      <w:pPr>
        <w:spacing w:line="360" w:lineRule="auto"/>
        <w:rPr>
          <w:u w:val="none"/>
        </w:rPr>
      </w:pPr>
      <w:r>
        <w:rPr>
          <w:u w:val="none"/>
        </w:rPr>
        <w:t>[</w:t>
      </w:r>
      <w:r w:rsidR="004A7840">
        <w:rPr>
          <w:u w:val="none"/>
        </w:rPr>
        <w:t>19</w:t>
      </w:r>
      <w:r w:rsidR="00EE0C3F">
        <w:rPr>
          <w:u w:val="none"/>
        </w:rPr>
        <w:t xml:space="preserve">] </w:t>
      </w:r>
      <w:r w:rsidR="00592320">
        <w:rPr>
          <w:u w:val="none"/>
        </w:rPr>
        <w:tab/>
      </w:r>
      <w:r w:rsidR="00EE0C3F">
        <w:rPr>
          <w:u w:val="none"/>
        </w:rPr>
        <w:t>There</w:t>
      </w:r>
      <w:r w:rsidR="00D330A2">
        <w:rPr>
          <w:u w:val="none"/>
        </w:rPr>
        <w:t xml:space="preserve"> is a minimum sentence prescribed in respect of the offence of rape committed under these </w:t>
      </w:r>
      <w:r w:rsidR="00EE0C3F">
        <w:rPr>
          <w:u w:val="none"/>
        </w:rPr>
        <w:t>circumstances</w:t>
      </w:r>
      <w:r w:rsidR="00A1326B">
        <w:rPr>
          <w:u w:val="none"/>
        </w:rPr>
        <w:t>. The court made</w:t>
      </w:r>
      <w:r w:rsidR="00083CDF">
        <w:rPr>
          <w:u w:val="none"/>
        </w:rPr>
        <w:t xml:space="preserve"> a finding that there</w:t>
      </w:r>
      <w:r w:rsidR="00D330A2">
        <w:rPr>
          <w:u w:val="none"/>
        </w:rPr>
        <w:t xml:space="preserve"> </w:t>
      </w:r>
      <w:r w:rsidR="00EE0C3F">
        <w:rPr>
          <w:u w:val="none"/>
        </w:rPr>
        <w:t>exist</w:t>
      </w:r>
      <w:r w:rsidR="00D330A2">
        <w:rPr>
          <w:u w:val="none"/>
        </w:rPr>
        <w:t xml:space="preserve"> </w:t>
      </w:r>
      <w:r w:rsidR="00EE0C3F">
        <w:rPr>
          <w:u w:val="none"/>
        </w:rPr>
        <w:t>no substantial</w:t>
      </w:r>
      <w:r w:rsidR="00D330A2">
        <w:rPr>
          <w:u w:val="none"/>
        </w:rPr>
        <w:t xml:space="preserve"> and compelling circumstances proven in this case to depa</w:t>
      </w:r>
      <w:r w:rsidR="00DE4A75">
        <w:rPr>
          <w:u w:val="none"/>
        </w:rPr>
        <w:t>rt from the prescribed sentence.</w:t>
      </w:r>
    </w:p>
    <w:p w:rsidR="00DE4A75" w:rsidRDefault="00DE4A75" w:rsidP="00AA25C3">
      <w:pPr>
        <w:spacing w:line="360" w:lineRule="auto"/>
        <w:rPr>
          <w:u w:val="none"/>
        </w:rPr>
      </w:pPr>
    </w:p>
    <w:p w:rsidR="00A559B6" w:rsidRDefault="00740E95" w:rsidP="00AA25C3">
      <w:pPr>
        <w:spacing w:line="360" w:lineRule="auto"/>
        <w:rPr>
          <w:u w:val="none"/>
        </w:rPr>
      </w:pPr>
      <w:r>
        <w:rPr>
          <w:u w:val="none"/>
        </w:rPr>
        <w:t>[</w:t>
      </w:r>
      <w:r w:rsidR="004A7840">
        <w:rPr>
          <w:u w:val="none"/>
        </w:rPr>
        <w:t>20</w:t>
      </w:r>
      <w:r w:rsidR="00EB7B37" w:rsidRPr="00772710">
        <w:rPr>
          <w:u w:val="none"/>
        </w:rPr>
        <w:t>]</w:t>
      </w:r>
      <w:r w:rsidR="00EB7B37">
        <w:rPr>
          <w:u w:val="none"/>
        </w:rPr>
        <w:t xml:space="preserve"> </w:t>
      </w:r>
      <w:r w:rsidR="00DE4A75">
        <w:rPr>
          <w:u w:val="none"/>
        </w:rPr>
        <w:tab/>
      </w:r>
      <w:r w:rsidR="00EB7B37">
        <w:rPr>
          <w:u w:val="none"/>
        </w:rPr>
        <w:t xml:space="preserve">The complainant was only seven years old at the time of the alleged </w:t>
      </w:r>
      <w:r w:rsidR="00EE0C3F">
        <w:rPr>
          <w:u w:val="none"/>
        </w:rPr>
        <w:t xml:space="preserve">incident. </w:t>
      </w:r>
      <w:r w:rsidR="00A559B6">
        <w:rPr>
          <w:u w:val="none"/>
        </w:rPr>
        <w:t xml:space="preserve">The trial court found that </w:t>
      </w:r>
      <w:r w:rsidR="004C6269">
        <w:rPr>
          <w:u w:val="none"/>
        </w:rPr>
        <w:t>at “the</w:t>
      </w:r>
      <w:r w:rsidR="00A559B6">
        <w:rPr>
          <w:u w:val="none"/>
        </w:rPr>
        <w:t xml:space="preserve"> age of 21 </w:t>
      </w:r>
      <w:r w:rsidR="004C6269">
        <w:rPr>
          <w:u w:val="none"/>
        </w:rPr>
        <w:t>years, the</w:t>
      </w:r>
      <w:r w:rsidR="00A559B6">
        <w:rPr>
          <w:u w:val="none"/>
        </w:rPr>
        <w:t xml:space="preserve"> appellant was a young man who was still trying to find his place in the </w:t>
      </w:r>
      <w:r w:rsidR="004C6269">
        <w:rPr>
          <w:u w:val="none"/>
        </w:rPr>
        <w:t>society. “The</w:t>
      </w:r>
      <w:r w:rsidR="00A559B6">
        <w:rPr>
          <w:u w:val="none"/>
        </w:rPr>
        <w:t xml:space="preserve"> </w:t>
      </w:r>
      <w:r w:rsidR="004C6269">
        <w:rPr>
          <w:u w:val="none"/>
        </w:rPr>
        <w:t>pre-sentence</w:t>
      </w:r>
      <w:r w:rsidR="00A559B6">
        <w:rPr>
          <w:u w:val="none"/>
        </w:rPr>
        <w:t xml:space="preserve"> report showed that he was raised by both parents in </w:t>
      </w:r>
      <w:r w:rsidR="004C6269">
        <w:rPr>
          <w:u w:val="none"/>
        </w:rPr>
        <w:t>a caring</w:t>
      </w:r>
      <w:r w:rsidR="00A559B6">
        <w:rPr>
          <w:u w:val="none"/>
        </w:rPr>
        <w:t xml:space="preserve"> and happy family although the father was said to be abusive and the </w:t>
      </w:r>
      <w:r w:rsidR="00A559B6" w:rsidRPr="001B761E">
        <w:rPr>
          <w:u w:val="none"/>
        </w:rPr>
        <w:t xml:space="preserve">parents parted ways when the appellant was 12 years </w:t>
      </w:r>
      <w:r w:rsidR="004C6269" w:rsidRPr="001B761E">
        <w:rPr>
          <w:u w:val="none"/>
        </w:rPr>
        <w:t>old. He</w:t>
      </w:r>
      <w:r w:rsidR="00F461C2" w:rsidRPr="001B761E">
        <w:rPr>
          <w:u w:val="none"/>
        </w:rPr>
        <w:t xml:space="preserve"> passed grade 10 and was never permanently </w:t>
      </w:r>
      <w:r w:rsidR="004C6269" w:rsidRPr="001B761E">
        <w:rPr>
          <w:u w:val="none"/>
        </w:rPr>
        <w:t>employed. He</w:t>
      </w:r>
      <w:r w:rsidR="00F461C2" w:rsidRPr="001B761E">
        <w:rPr>
          <w:u w:val="none"/>
        </w:rPr>
        <w:t xml:space="preserve"> is </w:t>
      </w:r>
      <w:r w:rsidR="007A4277" w:rsidRPr="001B761E">
        <w:rPr>
          <w:u w:val="none"/>
        </w:rPr>
        <w:t xml:space="preserve">a </w:t>
      </w:r>
      <w:r w:rsidR="00F461C2" w:rsidRPr="001B761E">
        <w:rPr>
          <w:u w:val="none"/>
        </w:rPr>
        <w:t xml:space="preserve">first offender who was kept in custody </w:t>
      </w:r>
      <w:r w:rsidR="004C6269" w:rsidRPr="001B761E">
        <w:rPr>
          <w:u w:val="none"/>
        </w:rPr>
        <w:t>pending the</w:t>
      </w:r>
      <w:r w:rsidR="00F461C2" w:rsidRPr="001B761E">
        <w:rPr>
          <w:u w:val="none"/>
        </w:rPr>
        <w:t xml:space="preserve"> finalisation of his </w:t>
      </w:r>
      <w:r w:rsidR="009D08E8" w:rsidRPr="001B761E">
        <w:rPr>
          <w:u w:val="none"/>
        </w:rPr>
        <w:t>case. He</w:t>
      </w:r>
      <w:r w:rsidR="001948DE" w:rsidRPr="001B761E">
        <w:rPr>
          <w:u w:val="none"/>
        </w:rPr>
        <w:t xml:space="preserve"> does not have dependants. </w:t>
      </w:r>
      <w:r w:rsidR="007A4277" w:rsidRPr="001B761E">
        <w:rPr>
          <w:u w:val="none"/>
        </w:rPr>
        <w:t>The s</w:t>
      </w:r>
      <w:r w:rsidR="001948DE" w:rsidRPr="001B761E">
        <w:rPr>
          <w:u w:val="none"/>
        </w:rPr>
        <w:t xml:space="preserve">tate proved a previous conviction </w:t>
      </w:r>
      <w:r w:rsidR="007A4277" w:rsidRPr="001B761E">
        <w:rPr>
          <w:u w:val="none"/>
        </w:rPr>
        <w:t xml:space="preserve">of </w:t>
      </w:r>
      <w:r w:rsidR="001948DE" w:rsidRPr="001B761E">
        <w:rPr>
          <w:u w:val="none"/>
        </w:rPr>
        <w:t>unlawful possession of drugs on the 6</w:t>
      </w:r>
      <w:r w:rsidR="007A4277" w:rsidRPr="001B761E">
        <w:rPr>
          <w:u w:val="none"/>
        </w:rPr>
        <w:t xml:space="preserve"> February </w:t>
      </w:r>
      <w:r w:rsidR="001948DE" w:rsidRPr="001B761E">
        <w:rPr>
          <w:u w:val="none"/>
        </w:rPr>
        <w:t>2018 and the appellant was cautioned and discharged.</w:t>
      </w:r>
    </w:p>
    <w:p w:rsidR="00DE4A75" w:rsidRDefault="00DE4A75" w:rsidP="00AA25C3">
      <w:pPr>
        <w:spacing w:line="360" w:lineRule="auto"/>
        <w:rPr>
          <w:u w:val="none"/>
        </w:rPr>
      </w:pPr>
    </w:p>
    <w:p w:rsidR="00765B68" w:rsidRDefault="000B57C6" w:rsidP="009D08E8">
      <w:pPr>
        <w:spacing w:line="360" w:lineRule="auto"/>
        <w:rPr>
          <w:u w:val="none"/>
        </w:rPr>
      </w:pPr>
      <w:r>
        <w:rPr>
          <w:u w:val="none"/>
        </w:rPr>
        <w:t>[</w:t>
      </w:r>
      <w:r w:rsidR="004A7840">
        <w:rPr>
          <w:u w:val="none"/>
        </w:rPr>
        <w:t>21</w:t>
      </w:r>
      <w:r>
        <w:rPr>
          <w:u w:val="none"/>
        </w:rPr>
        <w:t xml:space="preserve">] </w:t>
      </w:r>
      <w:r w:rsidR="00DE4A75">
        <w:rPr>
          <w:u w:val="none"/>
        </w:rPr>
        <w:tab/>
      </w:r>
      <w:r>
        <w:rPr>
          <w:u w:val="none"/>
        </w:rPr>
        <w:t>There</w:t>
      </w:r>
      <w:r w:rsidR="00EB7B37">
        <w:rPr>
          <w:u w:val="none"/>
        </w:rPr>
        <w:t xml:space="preserve"> were previous</w:t>
      </w:r>
      <w:r w:rsidR="001948DE">
        <w:rPr>
          <w:u w:val="none"/>
        </w:rPr>
        <w:t xml:space="preserve"> several</w:t>
      </w:r>
      <w:r w:rsidR="00EB7B37">
        <w:rPr>
          <w:u w:val="none"/>
        </w:rPr>
        <w:t xml:space="preserve"> attempts by</w:t>
      </w:r>
      <w:r w:rsidR="00DC23B4">
        <w:rPr>
          <w:u w:val="none"/>
        </w:rPr>
        <w:t xml:space="preserve"> the appellant to penetrate the anus of the complainant with his </w:t>
      </w:r>
      <w:r>
        <w:rPr>
          <w:u w:val="none"/>
        </w:rPr>
        <w:t>penis. “</w:t>
      </w:r>
      <w:r w:rsidR="00DC23B4">
        <w:rPr>
          <w:u w:val="none"/>
        </w:rPr>
        <w:t>It happened frequently.”</w:t>
      </w:r>
      <w:r w:rsidR="00EE0C3F">
        <w:rPr>
          <w:u w:val="none"/>
        </w:rPr>
        <w:t xml:space="preserve"> Clearly</w:t>
      </w:r>
      <w:r w:rsidR="009A7D4B">
        <w:rPr>
          <w:u w:val="none"/>
        </w:rPr>
        <w:t xml:space="preserve"> </w:t>
      </w:r>
      <w:r w:rsidR="001948DE">
        <w:rPr>
          <w:u w:val="none"/>
        </w:rPr>
        <w:t>t</w:t>
      </w:r>
      <w:r w:rsidR="009A7D4B">
        <w:rPr>
          <w:u w:val="none"/>
        </w:rPr>
        <w:t>he</w:t>
      </w:r>
      <w:r w:rsidR="001948DE">
        <w:rPr>
          <w:u w:val="none"/>
        </w:rPr>
        <w:t xml:space="preserve"> complainant</w:t>
      </w:r>
      <w:r w:rsidR="009A7D4B">
        <w:rPr>
          <w:u w:val="none"/>
        </w:rPr>
        <w:t xml:space="preserve"> was</w:t>
      </w:r>
      <w:r w:rsidR="00EB7B37">
        <w:rPr>
          <w:u w:val="none"/>
        </w:rPr>
        <w:t xml:space="preserve"> suffering in </w:t>
      </w:r>
      <w:r w:rsidR="009D08E8">
        <w:rPr>
          <w:u w:val="none"/>
        </w:rPr>
        <w:t>silence. On</w:t>
      </w:r>
      <w:r w:rsidR="00765B68">
        <w:rPr>
          <w:u w:val="none"/>
        </w:rPr>
        <w:t xml:space="preserve"> the day in </w:t>
      </w:r>
      <w:r w:rsidR="004C6269">
        <w:rPr>
          <w:u w:val="none"/>
        </w:rPr>
        <w:t>question, the</w:t>
      </w:r>
      <w:r w:rsidR="00507306">
        <w:rPr>
          <w:u w:val="none"/>
        </w:rPr>
        <w:t xml:space="preserve"> complainant</w:t>
      </w:r>
      <w:r w:rsidR="00765B68">
        <w:rPr>
          <w:u w:val="none"/>
        </w:rPr>
        <w:t>’s</w:t>
      </w:r>
      <w:r w:rsidR="009A7D4B">
        <w:rPr>
          <w:u w:val="none"/>
        </w:rPr>
        <w:t xml:space="preserve"> father could not believe the </w:t>
      </w:r>
      <w:r w:rsidR="009A7D4B">
        <w:rPr>
          <w:u w:val="none"/>
        </w:rPr>
        <w:lastRenderedPageBreak/>
        <w:t xml:space="preserve">report </w:t>
      </w:r>
      <w:r w:rsidR="004C6269">
        <w:rPr>
          <w:u w:val="none"/>
        </w:rPr>
        <w:t>made. This</w:t>
      </w:r>
      <w:r w:rsidR="009A7D4B">
        <w:rPr>
          <w:u w:val="none"/>
        </w:rPr>
        <w:t xml:space="preserve"> is what </w:t>
      </w:r>
      <w:r w:rsidR="009D08E8">
        <w:rPr>
          <w:u w:val="none"/>
        </w:rPr>
        <w:t xml:space="preserve">sometimes causes </w:t>
      </w:r>
      <w:r w:rsidR="009A7D4B">
        <w:rPr>
          <w:u w:val="none"/>
        </w:rPr>
        <w:t>the victims</w:t>
      </w:r>
      <w:r w:rsidR="009D08E8">
        <w:rPr>
          <w:u w:val="none"/>
        </w:rPr>
        <w:t xml:space="preserve"> of sexual abuse</w:t>
      </w:r>
      <w:r w:rsidR="009A7D4B">
        <w:rPr>
          <w:u w:val="none"/>
        </w:rPr>
        <w:t xml:space="preserve"> to suffer in </w:t>
      </w:r>
      <w:r w:rsidR="00683AF4">
        <w:rPr>
          <w:u w:val="none"/>
        </w:rPr>
        <w:t xml:space="preserve">silence. </w:t>
      </w:r>
      <w:r w:rsidR="009D08E8">
        <w:rPr>
          <w:u w:val="none"/>
        </w:rPr>
        <w:t>On the other hand, fear</w:t>
      </w:r>
      <w:r w:rsidR="00765B68">
        <w:rPr>
          <w:u w:val="none"/>
        </w:rPr>
        <w:t xml:space="preserve"> of not being believed</w:t>
      </w:r>
      <w:r w:rsidR="009D08E8">
        <w:rPr>
          <w:u w:val="none"/>
        </w:rPr>
        <w:t xml:space="preserve"> has the effect of offenders believing that they may continue without consequences.</w:t>
      </w:r>
      <w:r w:rsidR="009A7D4B">
        <w:rPr>
          <w:u w:val="none"/>
        </w:rPr>
        <w:t xml:space="preserve"> </w:t>
      </w:r>
      <w:r w:rsidR="009D08E8">
        <w:rPr>
          <w:u w:val="none"/>
        </w:rPr>
        <w:t>The appellant was</w:t>
      </w:r>
      <w:r w:rsidR="00683AF4">
        <w:rPr>
          <w:u w:val="none"/>
        </w:rPr>
        <w:t xml:space="preserve"> aged</w:t>
      </w:r>
      <w:r w:rsidR="00C53C83">
        <w:rPr>
          <w:u w:val="none"/>
        </w:rPr>
        <w:t xml:space="preserve"> 21</w:t>
      </w:r>
      <w:r w:rsidR="009D08E8">
        <w:rPr>
          <w:u w:val="none"/>
        </w:rPr>
        <w:t xml:space="preserve"> years</w:t>
      </w:r>
      <w:r w:rsidR="00C53C83">
        <w:rPr>
          <w:u w:val="none"/>
        </w:rPr>
        <w:t xml:space="preserve"> at the time of the </w:t>
      </w:r>
      <w:r w:rsidR="00683AF4">
        <w:rPr>
          <w:u w:val="none"/>
        </w:rPr>
        <w:t>committal</w:t>
      </w:r>
      <w:r w:rsidR="00C53C83">
        <w:rPr>
          <w:u w:val="none"/>
        </w:rPr>
        <w:t xml:space="preserve"> of the </w:t>
      </w:r>
      <w:r w:rsidR="00683AF4">
        <w:rPr>
          <w:u w:val="none"/>
        </w:rPr>
        <w:t>offence. He</w:t>
      </w:r>
      <w:r w:rsidR="00C53C83">
        <w:rPr>
          <w:u w:val="none"/>
        </w:rPr>
        <w:t xml:space="preserve"> was </w:t>
      </w:r>
      <w:r w:rsidR="00765B68">
        <w:rPr>
          <w:u w:val="none"/>
        </w:rPr>
        <w:t xml:space="preserve">residing with the complainant </w:t>
      </w:r>
      <w:r w:rsidR="00C53C83">
        <w:rPr>
          <w:u w:val="none"/>
        </w:rPr>
        <w:t xml:space="preserve">and </w:t>
      </w:r>
      <w:r w:rsidR="00EE0C3F">
        <w:rPr>
          <w:u w:val="none"/>
        </w:rPr>
        <w:t>was</w:t>
      </w:r>
      <w:r w:rsidR="00EB7B37">
        <w:rPr>
          <w:u w:val="none"/>
        </w:rPr>
        <w:t xml:space="preserve"> </w:t>
      </w:r>
      <w:r w:rsidR="00507306">
        <w:rPr>
          <w:u w:val="none"/>
        </w:rPr>
        <w:t xml:space="preserve">supposed to be </w:t>
      </w:r>
      <w:r w:rsidR="00EE0C3F">
        <w:rPr>
          <w:u w:val="none"/>
        </w:rPr>
        <w:t>trusted. The</w:t>
      </w:r>
      <w:r w:rsidR="00EB7B37">
        <w:rPr>
          <w:u w:val="none"/>
        </w:rPr>
        <w:t xml:space="preserve"> appellant had time to reflect and stop what he was doing but he chose </w:t>
      </w:r>
      <w:r w:rsidR="00EB7B37" w:rsidRPr="001B761E">
        <w:rPr>
          <w:u w:val="none"/>
        </w:rPr>
        <w:t xml:space="preserve">not to </w:t>
      </w:r>
      <w:r w:rsidR="00ED2747" w:rsidRPr="001B761E">
        <w:rPr>
          <w:u w:val="none"/>
        </w:rPr>
        <w:t xml:space="preserve">do </w:t>
      </w:r>
      <w:r w:rsidR="009D08E8" w:rsidRPr="001B761E">
        <w:rPr>
          <w:u w:val="none"/>
        </w:rPr>
        <w:t>that. He</w:t>
      </w:r>
      <w:r w:rsidR="00C53C83" w:rsidRPr="001B761E">
        <w:rPr>
          <w:u w:val="none"/>
        </w:rPr>
        <w:t xml:space="preserve"> is not prepared to take </w:t>
      </w:r>
      <w:r w:rsidR="009D08E8" w:rsidRPr="001B761E">
        <w:rPr>
          <w:u w:val="none"/>
        </w:rPr>
        <w:t>responsibil</w:t>
      </w:r>
      <w:r w:rsidR="00683AF4" w:rsidRPr="001B761E">
        <w:rPr>
          <w:u w:val="none"/>
        </w:rPr>
        <w:t>ity</w:t>
      </w:r>
      <w:r w:rsidR="00C53C83" w:rsidRPr="001B761E">
        <w:rPr>
          <w:u w:val="none"/>
        </w:rPr>
        <w:t xml:space="preserve"> for his conduct</w:t>
      </w:r>
      <w:r w:rsidR="009D08E8" w:rsidRPr="001B761E">
        <w:rPr>
          <w:u w:val="none"/>
        </w:rPr>
        <w:t>. T</w:t>
      </w:r>
      <w:r w:rsidR="00F461C2" w:rsidRPr="001B761E">
        <w:rPr>
          <w:u w:val="none"/>
        </w:rPr>
        <w:t>he court considered</w:t>
      </w:r>
      <w:r w:rsidR="009D08E8" w:rsidRPr="001B761E">
        <w:rPr>
          <w:u w:val="none"/>
        </w:rPr>
        <w:t xml:space="preserve"> taking responsibility </w:t>
      </w:r>
      <w:r w:rsidR="009D08E8">
        <w:rPr>
          <w:u w:val="none"/>
        </w:rPr>
        <w:t>for one’s wrongful conduct as</w:t>
      </w:r>
      <w:r w:rsidR="00F461C2">
        <w:rPr>
          <w:u w:val="none"/>
        </w:rPr>
        <w:t xml:space="preserve"> a step towards </w:t>
      </w:r>
      <w:r w:rsidR="00683AF4">
        <w:rPr>
          <w:u w:val="none"/>
        </w:rPr>
        <w:t xml:space="preserve">rehabilitation. He </w:t>
      </w:r>
      <w:r w:rsidR="004C6269">
        <w:rPr>
          <w:u w:val="none"/>
        </w:rPr>
        <w:t>however was</w:t>
      </w:r>
      <w:r w:rsidR="00683AF4">
        <w:rPr>
          <w:u w:val="none"/>
        </w:rPr>
        <w:t xml:space="preserve"> found to be entitled to maintain his innocence.</w:t>
      </w:r>
    </w:p>
    <w:p w:rsidR="00DE4A75" w:rsidRDefault="00DE4A75" w:rsidP="009D08E8">
      <w:pPr>
        <w:spacing w:line="360" w:lineRule="auto"/>
        <w:rPr>
          <w:u w:val="none"/>
        </w:rPr>
      </w:pPr>
    </w:p>
    <w:p w:rsidR="008805D1" w:rsidRPr="004A7840" w:rsidRDefault="000B57C6" w:rsidP="00AA25C3">
      <w:pPr>
        <w:spacing w:line="360" w:lineRule="auto"/>
        <w:rPr>
          <w:b/>
          <w:u w:val="none"/>
        </w:rPr>
      </w:pPr>
      <w:r>
        <w:rPr>
          <w:u w:val="none"/>
        </w:rPr>
        <w:t>[2</w:t>
      </w:r>
      <w:r w:rsidR="004A7840">
        <w:rPr>
          <w:u w:val="none"/>
        </w:rPr>
        <w:t>2</w:t>
      </w:r>
      <w:r w:rsidR="008805D1">
        <w:rPr>
          <w:u w:val="none"/>
        </w:rPr>
        <w:t xml:space="preserve">] </w:t>
      </w:r>
      <w:r w:rsidR="00DE4A75">
        <w:rPr>
          <w:u w:val="none"/>
        </w:rPr>
        <w:tab/>
      </w:r>
      <w:r w:rsidR="008805D1">
        <w:rPr>
          <w:u w:val="none"/>
        </w:rPr>
        <w:t xml:space="preserve">In </w:t>
      </w:r>
      <w:r w:rsidR="004A7840">
        <w:rPr>
          <w:i/>
          <w:u w:val="none"/>
        </w:rPr>
        <w:t>S v Nkawu</w:t>
      </w:r>
      <w:r w:rsidR="004A7840" w:rsidRPr="004A7840">
        <w:rPr>
          <w:rStyle w:val="FootnoteReference"/>
          <w:u w:val="none"/>
        </w:rPr>
        <w:footnoteReference w:id="12"/>
      </w:r>
      <w:r w:rsidR="004A7840">
        <w:rPr>
          <w:i/>
          <w:u w:val="none"/>
        </w:rPr>
        <w:t xml:space="preserve"> </w:t>
      </w:r>
      <w:r w:rsidR="00683AF4">
        <w:rPr>
          <w:u w:val="none"/>
        </w:rPr>
        <w:t>the</w:t>
      </w:r>
      <w:r w:rsidR="008805D1">
        <w:rPr>
          <w:u w:val="none"/>
        </w:rPr>
        <w:t xml:space="preserve"> complainant had not suffered serious injuries as a result of the </w:t>
      </w:r>
      <w:r w:rsidR="00683AF4">
        <w:rPr>
          <w:u w:val="none"/>
        </w:rPr>
        <w:t>rape. In</w:t>
      </w:r>
      <w:r w:rsidR="008805D1">
        <w:rPr>
          <w:u w:val="none"/>
        </w:rPr>
        <w:t xml:space="preserve"> dealing with the issue of substantial and compelling reasons justifying a </w:t>
      </w:r>
      <w:r w:rsidR="00683AF4">
        <w:rPr>
          <w:u w:val="none"/>
        </w:rPr>
        <w:t>departure</w:t>
      </w:r>
      <w:r w:rsidR="008805D1">
        <w:rPr>
          <w:u w:val="none"/>
        </w:rPr>
        <w:t xml:space="preserve"> from the prescribed </w:t>
      </w:r>
      <w:r w:rsidR="00683AF4">
        <w:rPr>
          <w:u w:val="none"/>
        </w:rPr>
        <w:t>sentence, the</w:t>
      </w:r>
      <w:r w:rsidR="00924247">
        <w:rPr>
          <w:u w:val="none"/>
        </w:rPr>
        <w:t xml:space="preserve"> court had a look </w:t>
      </w:r>
      <w:r w:rsidR="004C6269">
        <w:rPr>
          <w:u w:val="none"/>
        </w:rPr>
        <w:t>at section</w:t>
      </w:r>
      <w:r w:rsidR="004A7840">
        <w:rPr>
          <w:u w:val="none"/>
        </w:rPr>
        <w:t xml:space="preserve"> 51</w:t>
      </w:r>
      <w:r w:rsidR="004A7840">
        <w:rPr>
          <w:rStyle w:val="FootnoteReference"/>
          <w:u w:val="none"/>
        </w:rPr>
        <w:footnoteReference w:id="13"/>
      </w:r>
      <w:r w:rsidR="004A7840">
        <w:rPr>
          <w:u w:val="none"/>
        </w:rPr>
        <w:t xml:space="preserve"> </w:t>
      </w:r>
      <w:r w:rsidR="00924247">
        <w:rPr>
          <w:u w:val="none"/>
        </w:rPr>
        <w:t xml:space="preserve">of the </w:t>
      </w:r>
      <w:r w:rsidR="00683AF4">
        <w:rPr>
          <w:u w:val="none"/>
        </w:rPr>
        <w:t>Criminal</w:t>
      </w:r>
      <w:r w:rsidR="004A7840">
        <w:rPr>
          <w:u w:val="none"/>
        </w:rPr>
        <w:t xml:space="preserve"> Law Amendment Act</w:t>
      </w:r>
      <w:r w:rsidR="004A7840">
        <w:rPr>
          <w:rStyle w:val="FootnoteReference"/>
          <w:u w:val="none"/>
        </w:rPr>
        <w:footnoteReference w:id="14"/>
      </w:r>
      <w:r w:rsidR="004C6269">
        <w:rPr>
          <w:u w:val="none"/>
        </w:rPr>
        <w:t>, the</w:t>
      </w:r>
      <w:r w:rsidR="00924247">
        <w:rPr>
          <w:u w:val="none"/>
        </w:rPr>
        <w:t xml:space="preserve"> section provides that when the court evaluates the evidence on sentence ‘an apparent lack of physical injury to the complainant’ shall not be rega</w:t>
      </w:r>
      <w:r w:rsidR="009E4149">
        <w:rPr>
          <w:u w:val="none"/>
        </w:rPr>
        <w:t>r</w:t>
      </w:r>
      <w:r w:rsidR="00924247">
        <w:rPr>
          <w:u w:val="none"/>
        </w:rPr>
        <w:t>ded</w:t>
      </w:r>
      <w:r w:rsidR="00BC37EE">
        <w:rPr>
          <w:u w:val="none"/>
        </w:rPr>
        <w:t xml:space="preserve"> as a substantial and compelling </w:t>
      </w:r>
      <w:r w:rsidR="00683AF4">
        <w:rPr>
          <w:u w:val="none"/>
        </w:rPr>
        <w:t>circumstances. The</w:t>
      </w:r>
      <w:r w:rsidR="00BC37EE">
        <w:rPr>
          <w:u w:val="none"/>
        </w:rPr>
        <w:t xml:space="preserve"> </w:t>
      </w:r>
      <w:r w:rsidR="00683AF4">
        <w:rPr>
          <w:u w:val="none"/>
        </w:rPr>
        <w:t>provision restricts the</w:t>
      </w:r>
      <w:r w:rsidR="00ED2747">
        <w:rPr>
          <w:u w:val="none"/>
        </w:rPr>
        <w:t xml:space="preserve"> discretion</w:t>
      </w:r>
      <w:r w:rsidR="00BC37EE">
        <w:rPr>
          <w:u w:val="none"/>
        </w:rPr>
        <w:t xml:space="preserve"> to deviate from a prescribed</w:t>
      </w:r>
      <w:r w:rsidR="00511B44">
        <w:rPr>
          <w:u w:val="none"/>
        </w:rPr>
        <w:t xml:space="preserve"> minimum</w:t>
      </w:r>
      <w:r w:rsidR="00BC37EE">
        <w:rPr>
          <w:u w:val="none"/>
        </w:rPr>
        <w:t xml:space="preserve"> sentence and that is meant to ensure a </w:t>
      </w:r>
      <w:r w:rsidR="00683AF4">
        <w:rPr>
          <w:u w:val="none"/>
        </w:rPr>
        <w:t>proportionality. So</w:t>
      </w:r>
      <w:r w:rsidR="00BC37EE">
        <w:rPr>
          <w:u w:val="none"/>
        </w:rPr>
        <w:t xml:space="preserve"> even if there are no serious and </w:t>
      </w:r>
      <w:r w:rsidR="00683AF4">
        <w:rPr>
          <w:u w:val="none"/>
        </w:rPr>
        <w:t>permanent</w:t>
      </w:r>
      <w:r w:rsidR="00BC37EE">
        <w:rPr>
          <w:u w:val="none"/>
        </w:rPr>
        <w:t xml:space="preserve"> </w:t>
      </w:r>
      <w:r w:rsidR="00683AF4">
        <w:rPr>
          <w:u w:val="none"/>
        </w:rPr>
        <w:t>injuries, the</w:t>
      </w:r>
      <w:r w:rsidR="00BC37EE">
        <w:rPr>
          <w:u w:val="none"/>
        </w:rPr>
        <w:t xml:space="preserve"> evidence must be considered</w:t>
      </w:r>
      <w:r w:rsidR="00C32EC8">
        <w:rPr>
          <w:u w:val="none"/>
        </w:rPr>
        <w:t xml:space="preserve"> </w:t>
      </w:r>
      <w:r w:rsidR="00511B44">
        <w:rPr>
          <w:u w:val="none"/>
        </w:rPr>
        <w:t>cumulatively. In</w:t>
      </w:r>
      <w:r w:rsidR="004A7840">
        <w:rPr>
          <w:u w:val="none"/>
        </w:rPr>
        <w:t xml:space="preserve"> </w:t>
      </w:r>
      <w:r w:rsidR="004A7840" w:rsidRPr="004A7840">
        <w:rPr>
          <w:i/>
          <w:u w:val="none"/>
        </w:rPr>
        <w:t>S v PB</w:t>
      </w:r>
      <w:r w:rsidR="004A7840">
        <w:rPr>
          <w:rStyle w:val="FootnoteReference"/>
          <w:u w:val="none"/>
        </w:rPr>
        <w:footnoteReference w:id="15"/>
      </w:r>
      <w:r w:rsidR="00511B44">
        <w:rPr>
          <w:u w:val="none"/>
        </w:rPr>
        <w:t>, the court stressed that a prescribed</w:t>
      </w:r>
      <w:r w:rsidR="00C32EC8">
        <w:rPr>
          <w:u w:val="none"/>
        </w:rPr>
        <w:t xml:space="preserve"> minimum </w:t>
      </w:r>
      <w:r w:rsidR="00511B44">
        <w:rPr>
          <w:u w:val="none"/>
        </w:rPr>
        <w:t>sentence can</w:t>
      </w:r>
      <w:r w:rsidR="00C32EC8">
        <w:rPr>
          <w:u w:val="none"/>
        </w:rPr>
        <w:t>not be departed from</w:t>
      </w:r>
      <w:r w:rsidR="00511B44">
        <w:rPr>
          <w:u w:val="none"/>
        </w:rPr>
        <w:t xml:space="preserve"> lightly or for flimsy reasons </w:t>
      </w:r>
      <w:r w:rsidR="00C32EC8">
        <w:rPr>
          <w:u w:val="none"/>
        </w:rPr>
        <w:t>a</w:t>
      </w:r>
      <w:r w:rsidR="00511B44">
        <w:rPr>
          <w:u w:val="none"/>
        </w:rPr>
        <w:t>n</w:t>
      </w:r>
      <w:r w:rsidR="00C32EC8">
        <w:rPr>
          <w:u w:val="none"/>
        </w:rPr>
        <w:t xml:space="preserve">d refused to </w:t>
      </w:r>
      <w:r w:rsidR="00511B44" w:rsidRPr="001B761E">
        <w:rPr>
          <w:u w:val="none"/>
        </w:rPr>
        <w:t>interfere with</w:t>
      </w:r>
      <w:r w:rsidR="00C32EC8" w:rsidRPr="001B761E">
        <w:rPr>
          <w:u w:val="none"/>
        </w:rPr>
        <w:t xml:space="preserve"> </w:t>
      </w:r>
      <w:r w:rsidR="00511B44" w:rsidRPr="001B761E">
        <w:rPr>
          <w:u w:val="none"/>
        </w:rPr>
        <w:t>a</w:t>
      </w:r>
      <w:r w:rsidR="00C32EC8" w:rsidRPr="001B761E">
        <w:rPr>
          <w:u w:val="none"/>
        </w:rPr>
        <w:t xml:space="preserve"> </w:t>
      </w:r>
      <w:r w:rsidR="00511B44" w:rsidRPr="001B761E">
        <w:rPr>
          <w:u w:val="none"/>
        </w:rPr>
        <w:t>prescribed sentence of</w:t>
      </w:r>
      <w:r w:rsidR="00C32EC8" w:rsidRPr="001B761E">
        <w:rPr>
          <w:u w:val="none"/>
        </w:rPr>
        <w:t xml:space="preserve"> life imprisonment </w:t>
      </w:r>
      <w:r w:rsidR="00511B44" w:rsidRPr="001B761E">
        <w:rPr>
          <w:u w:val="none"/>
        </w:rPr>
        <w:t>imposed on</w:t>
      </w:r>
      <w:r w:rsidR="00C32EC8" w:rsidRPr="001B761E">
        <w:rPr>
          <w:u w:val="none"/>
        </w:rPr>
        <w:t xml:space="preserve"> a father who raped his </w:t>
      </w:r>
      <w:r w:rsidR="00511B44" w:rsidRPr="001B761E">
        <w:rPr>
          <w:u w:val="none"/>
        </w:rPr>
        <w:t>12-year</w:t>
      </w:r>
      <w:r w:rsidR="00ED2747" w:rsidRPr="001B761E">
        <w:rPr>
          <w:u w:val="none"/>
        </w:rPr>
        <w:t xml:space="preserve"> old</w:t>
      </w:r>
      <w:r w:rsidR="00C32EC8" w:rsidRPr="001B761E">
        <w:rPr>
          <w:u w:val="none"/>
        </w:rPr>
        <w:t xml:space="preserve"> </w:t>
      </w:r>
      <w:r w:rsidR="00511B44" w:rsidRPr="001B761E">
        <w:rPr>
          <w:u w:val="none"/>
        </w:rPr>
        <w:t>daughter. W</w:t>
      </w:r>
      <w:r w:rsidR="00C32EC8" w:rsidRPr="001B761E">
        <w:rPr>
          <w:u w:val="none"/>
        </w:rPr>
        <w:t xml:space="preserve">hile </w:t>
      </w:r>
      <w:r w:rsidR="00C32EC8">
        <w:rPr>
          <w:u w:val="none"/>
        </w:rPr>
        <w:t>th</w:t>
      </w:r>
      <w:r w:rsidR="00511B44">
        <w:rPr>
          <w:u w:val="none"/>
        </w:rPr>
        <w:t>at serves as only a guideline,</w:t>
      </w:r>
      <w:r w:rsidR="00C32EC8">
        <w:rPr>
          <w:u w:val="none"/>
        </w:rPr>
        <w:t xml:space="preserve"> it emphasised the necessity to impose</w:t>
      </w:r>
      <w:r w:rsidR="004D4AE2">
        <w:rPr>
          <w:u w:val="none"/>
        </w:rPr>
        <w:t xml:space="preserve"> he</w:t>
      </w:r>
      <w:r w:rsidR="00511B44">
        <w:rPr>
          <w:u w:val="none"/>
        </w:rPr>
        <w:t>avy sentences in similar cases.</w:t>
      </w:r>
    </w:p>
    <w:p w:rsidR="00DE4A75" w:rsidRDefault="00DE4A75" w:rsidP="00AA25C3">
      <w:pPr>
        <w:spacing w:line="360" w:lineRule="auto"/>
        <w:rPr>
          <w:u w:val="none"/>
        </w:rPr>
      </w:pPr>
    </w:p>
    <w:p w:rsidR="00511B44" w:rsidRDefault="004A7840" w:rsidP="00AA25C3">
      <w:pPr>
        <w:spacing w:line="360" w:lineRule="auto"/>
        <w:rPr>
          <w:u w:val="none"/>
        </w:rPr>
      </w:pPr>
      <w:r>
        <w:rPr>
          <w:u w:val="none"/>
        </w:rPr>
        <w:t>[23</w:t>
      </w:r>
      <w:r w:rsidR="00765B68">
        <w:rPr>
          <w:u w:val="none"/>
        </w:rPr>
        <w:t>]</w:t>
      </w:r>
      <w:r w:rsidR="00DE4A75">
        <w:rPr>
          <w:u w:val="none"/>
        </w:rPr>
        <w:tab/>
      </w:r>
      <w:r w:rsidR="00EE0C3F">
        <w:rPr>
          <w:u w:val="none"/>
        </w:rPr>
        <w:t xml:space="preserve"> Sexual</w:t>
      </w:r>
      <w:r w:rsidR="00EB7B37">
        <w:rPr>
          <w:u w:val="none"/>
        </w:rPr>
        <w:t xml:space="preserve"> assault is by its nature a serious </w:t>
      </w:r>
      <w:r w:rsidR="00683AF4">
        <w:rPr>
          <w:u w:val="none"/>
        </w:rPr>
        <w:t>offence. According</w:t>
      </w:r>
      <w:r w:rsidR="00F461C2">
        <w:rPr>
          <w:u w:val="none"/>
        </w:rPr>
        <w:t xml:space="preserve"> to a victim impact </w:t>
      </w:r>
      <w:r w:rsidR="00683AF4">
        <w:rPr>
          <w:u w:val="none"/>
        </w:rPr>
        <w:t>report, the</w:t>
      </w:r>
      <w:r w:rsidR="00F461C2">
        <w:rPr>
          <w:u w:val="none"/>
        </w:rPr>
        <w:t xml:space="preserve"> complainant used dagga as form of a coping </w:t>
      </w:r>
      <w:r w:rsidR="004C6269">
        <w:rPr>
          <w:u w:val="none"/>
        </w:rPr>
        <w:t>mechanism</w:t>
      </w:r>
      <w:r w:rsidR="00511B44">
        <w:rPr>
          <w:u w:val="none"/>
        </w:rPr>
        <w:t>.</w:t>
      </w:r>
    </w:p>
    <w:p w:rsidR="00DE4A75" w:rsidRDefault="00DE4A75" w:rsidP="00AA25C3">
      <w:pPr>
        <w:spacing w:line="360" w:lineRule="auto"/>
        <w:rPr>
          <w:u w:val="none"/>
        </w:rPr>
      </w:pPr>
    </w:p>
    <w:p w:rsidR="00D330A2" w:rsidRDefault="004A7840" w:rsidP="00AA25C3">
      <w:pPr>
        <w:spacing w:line="360" w:lineRule="auto"/>
        <w:rPr>
          <w:u w:val="none"/>
        </w:rPr>
      </w:pPr>
      <w:r>
        <w:rPr>
          <w:u w:val="none"/>
        </w:rPr>
        <w:t>[24</w:t>
      </w:r>
      <w:r w:rsidR="00511B44">
        <w:rPr>
          <w:u w:val="none"/>
        </w:rPr>
        <w:t xml:space="preserve">] </w:t>
      </w:r>
      <w:r w:rsidR="00DE4A75">
        <w:rPr>
          <w:u w:val="none"/>
        </w:rPr>
        <w:tab/>
      </w:r>
      <w:r w:rsidR="00511B44">
        <w:rPr>
          <w:u w:val="none"/>
        </w:rPr>
        <w:t>Having considered the law and the evidence on record, i</w:t>
      </w:r>
      <w:r w:rsidR="00EE0C3F">
        <w:rPr>
          <w:u w:val="none"/>
        </w:rPr>
        <w:t>t</w:t>
      </w:r>
      <w:r w:rsidR="00EB7B37">
        <w:rPr>
          <w:u w:val="none"/>
        </w:rPr>
        <w:t xml:space="preserve"> is my </w:t>
      </w:r>
      <w:r w:rsidR="00EE0C3F">
        <w:rPr>
          <w:u w:val="none"/>
        </w:rPr>
        <w:t>well-considered</w:t>
      </w:r>
      <w:r w:rsidR="00EB7B37">
        <w:rPr>
          <w:u w:val="none"/>
        </w:rPr>
        <w:t xml:space="preserve"> view that aggravating circumstances outweigh mitigating circumstance</w:t>
      </w:r>
      <w:r w:rsidR="002A2C8B">
        <w:rPr>
          <w:u w:val="none"/>
        </w:rPr>
        <w:t>.</w:t>
      </w:r>
      <w:r w:rsidR="002A2C8B" w:rsidRPr="002A2C8B">
        <w:rPr>
          <w:u w:val="none"/>
        </w:rPr>
        <w:t xml:space="preserve"> </w:t>
      </w:r>
      <w:r w:rsidR="002A2C8B">
        <w:rPr>
          <w:u w:val="none"/>
        </w:rPr>
        <w:t>The appellant</w:t>
      </w:r>
      <w:r w:rsidR="00765B68">
        <w:rPr>
          <w:u w:val="none"/>
        </w:rPr>
        <w:t>’s</w:t>
      </w:r>
      <w:r w:rsidR="00740E95">
        <w:rPr>
          <w:u w:val="none"/>
        </w:rPr>
        <w:t xml:space="preserve"> counsel correctly conceded that given the evidence before </w:t>
      </w:r>
      <w:r w:rsidR="00EE0C3F">
        <w:rPr>
          <w:u w:val="none"/>
        </w:rPr>
        <w:t>court, the</w:t>
      </w:r>
      <w:r w:rsidR="00740E95">
        <w:rPr>
          <w:u w:val="none"/>
        </w:rPr>
        <w:t xml:space="preserve"> sentence imposed by the trial court </w:t>
      </w:r>
      <w:r w:rsidR="00EE0C3F">
        <w:rPr>
          <w:u w:val="none"/>
        </w:rPr>
        <w:t>cannot</w:t>
      </w:r>
      <w:r w:rsidR="00740E95">
        <w:rPr>
          <w:u w:val="none"/>
        </w:rPr>
        <w:t xml:space="preserve"> be </w:t>
      </w:r>
      <w:r w:rsidR="00EE0C3F">
        <w:rPr>
          <w:u w:val="none"/>
        </w:rPr>
        <w:t>faltered</w:t>
      </w:r>
      <w:r w:rsidR="00765B68">
        <w:rPr>
          <w:u w:val="none"/>
        </w:rPr>
        <w:t>.</w:t>
      </w:r>
    </w:p>
    <w:p w:rsidR="001B761E" w:rsidRPr="00ED2747" w:rsidRDefault="001B761E" w:rsidP="00AA25C3">
      <w:pPr>
        <w:spacing w:line="360" w:lineRule="auto"/>
        <w:rPr>
          <w:u w:val="none"/>
        </w:rPr>
      </w:pPr>
    </w:p>
    <w:p w:rsidR="00511B44" w:rsidRDefault="00281AEA" w:rsidP="00AA25C3">
      <w:pPr>
        <w:spacing w:line="360" w:lineRule="auto"/>
        <w:rPr>
          <w:b/>
        </w:rPr>
      </w:pPr>
      <w:r w:rsidRPr="00DE4A75">
        <w:rPr>
          <w:b/>
        </w:rPr>
        <w:t>Conclusion</w:t>
      </w:r>
    </w:p>
    <w:p w:rsidR="00DE4A75" w:rsidRPr="00DE4A75" w:rsidRDefault="00DE4A75" w:rsidP="00AA25C3">
      <w:pPr>
        <w:spacing w:line="360" w:lineRule="auto"/>
        <w:rPr>
          <w:b/>
        </w:rPr>
      </w:pPr>
    </w:p>
    <w:p w:rsidR="00EB7B37" w:rsidRDefault="004A7840" w:rsidP="00AA25C3">
      <w:pPr>
        <w:spacing w:line="360" w:lineRule="auto"/>
        <w:rPr>
          <w:u w:val="none"/>
        </w:rPr>
      </w:pPr>
      <w:r>
        <w:rPr>
          <w:u w:val="none"/>
        </w:rPr>
        <w:t>[25</w:t>
      </w:r>
      <w:r w:rsidR="00DE4A75">
        <w:rPr>
          <w:u w:val="none"/>
        </w:rPr>
        <w:t>]</w:t>
      </w:r>
      <w:r w:rsidR="00DE4A75">
        <w:rPr>
          <w:u w:val="none"/>
        </w:rPr>
        <w:tab/>
      </w:r>
      <w:r w:rsidR="00281AEA">
        <w:rPr>
          <w:u w:val="none"/>
        </w:rPr>
        <w:t xml:space="preserve">In the </w:t>
      </w:r>
      <w:r w:rsidR="00EE0C3F">
        <w:rPr>
          <w:u w:val="none"/>
        </w:rPr>
        <w:t>result, the</w:t>
      </w:r>
      <w:r w:rsidR="00281AEA">
        <w:rPr>
          <w:u w:val="none"/>
        </w:rPr>
        <w:t xml:space="preserve"> appeal </w:t>
      </w:r>
      <w:r w:rsidR="002F1D92">
        <w:rPr>
          <w:u w:val="none"/>
        </w:rPr>
        <w:t>against both</w:t>
      </w:r>
      <w:r w:rsidR="000B57C6">
        <w:rPr>
          <w:u w:val="none"/>
        </w:rPr>
        <w:t xml:space="preserve"> the </w:t>
      </w:r>
      <w:r w:rsidR="00281AEA">
        <w:rPr>
          <w:u w:val="none"/>
        </w:rPr>
        <w:t>conviction and sentence is dismissed</w:t>
      </w:r>
      <w:r w:rsidR="00DE4A75" w:rsidRPr="00DE4A75">
        <w:rPr>
          <w:u w:val="none"/>
        </w:rPr>
        <w:t>.</w:t>
      </w:r>
    </w:p>
    <w:p w:rsidR="008C3422" w:rsidRDefault="008C3422" w:rsidP="00AA25C3">
      <w:pPr>
        <w:spacing w:line="360" w:lineRule="auto"/>
        <w:rPr>
          <w:u w:val="none"/>
        </w:rPr>
      </w:pPr>
    </w:p>
    <w:p w:rsidR="004A7840" w:rsidRDefault="004A7840" w:rsidP="00AA25C3">
      <w:pPr>
        <w:spacing w:line="360" w:lineRule="auto"/>
        <w:rPr>
          <w:i/>
        </w:rPr>
      </w:pPr>
    </w:p>
    <w:p w:rsidR="008C3422" w:rsidRPr="00DE4A75" w:rsidRDefault="008C3422" w:rsidP="00AA25C3">
      <w:pPr>
        <w:spacing w:line="360" w:lineRule="auto"/>
        <w:rPr>
          <w:i/>
        </w:rPr>
      </w:pPr>
    </w:p>
    <w:p w:rsidR="00DE4A75" w:rsidRDefault="004A7840" w:rsidP="00DE4A75">
      <w:pPr>
        <w:spacing w:line="360" w:lineRule="auto"/>
        <w:ind w:left="4320" w:firstLine="720"/>
        <w:rPr>
          <w:u w:val="none"/>
        </w:rPr>
      </w:pPr>
      <w:r>
        <w:rPr>
          <w:u w:val="none"/>
        </w:rPr>
        <w:t xml:space="preserve">         </w:t>
      </w:r>
      <w:r w:rsidR="00346097">
        <w:rPr>
          <w:u w:val="none"/>
        </w:rPr>
        <w:t xml:space="preserve">   </w:t>
      </w:r>
      <w:r>
        <w:rPr>
          <w:u w:val="none"/>
        </w:rPr>
        <w:t xml:space="preserve"> </w:t>
      </w:r>
      <w:r w:rsidR="00373AF5">
        <w:rPr>
          <w:u w:val="none"/>
        </w:rPr>
        <w:t>____________________</w:t>
      </w:r>
    </w:p>
    <w:p w:rsidR="00DE4A75" w:rsidRPr="00B90CB7" w:rsidRDefault="004A7840" w:rsidP="00DE4A75">
      <w:pPr>
        <w:spacing w:line="360" w:lineRule="auto"/>
        <w:ind w:left="4320" w:firstLine="720"/>
        <w:rPr>
          <w:b/>
          <w:u w:val="none"/>
        </w:rPr>
      </w:pPr>
      <w:r>
        <w:rPr>
          <w:u w:val="none"/>
        </w:rPr>
        <w:t xml:space="preserve">          </w:t>
      </w:r>
      <w:r w:rsidR="00346097">
        <w:rPr>
          <w:u w:val="none"/>
        </w:rPr>
        <w:t xml:space="preserve">   </w:t>
      </w:r>
      <w:r w:rsidR="00373AF5" w:rsidRPr="00B90CB7">
        <w:rPr>
          <w:b/>
          <w:u w:val="none"/>
        </w:rPr>
        <w:t>D.</w:t>
      </w:r>
      <w:r w:rsidR="00EE0C3F" w:rsidRPr="00B90CB7">
        <w:rPr>
          <w:b/>
          <w:u w:val="none"/>
        </w:rPr>
        <w:t>D. Mogotsi</w:t>
      </w:r>
      <w:r w:rsidR="00373AF5" w:rsidRPr="00B90CB7">
        <w:rPr>
          <w:b/>
          <w:u w:val="none"/>
        </w:rPr>
        <w:t xml:space="preserve"> </w:t>
      </w:r>
    </w:p>
    <w:p w:rsidR="00373AF5" w:rsidRDefault="004A7840" w:rsidP="00DE4A75">
      <w:pPr>
        <w:spacing w:line="360" w:lineRule="auto"/>
        <w:ind w:left="5040"/>
        <w:rPr>
          <w:u w:val="none"/>
        </w:rPr>
      </w:pPr>
      <w:r>
        <w:rPr>
          <w:u w:val="none"/>
        </w:rPr>
        <w:t xml:space="preserve">         </w:t>
      </w:r>
      <w:r w:rsidR="00346097">
        <w:rPr>
          <w:u w:val="none"/>
        </w:rPr>
        <w:t xml:space="preserve">   </w:t>
      </w:r>
      <w:r>
        <w:rPr>
          <w:u w:val="none"/>
        </w:rPr>
        <w:t xml:space="preserve"> </w:t>
      </w:r>
      <w:r w:rsidR="00373AF5">
        <w:rPr>
          <w:u w:val="none"/>
        </w:rPr>
        <w:t>A</w:t>
      </w:r>
      <w:r w:rsidR="00DE4A75">
        <w:rPr>
          <w:u w:val="none"/>
        </w:rPr>
        <w:t xml:space="preserve">cting </w:t>
      </w:r>
      <w:r w:rsidR="00373AF5">
        <w:rPr>
          <w:u w:val="none"/>
        </w:rPr>
        <w:t>J</w:t>
      </w:r>
      <w:r w:rsidR="00DE4A75">
        <w:rPr>
          <w:u w:val="none"/>
        </w:rPr>
        <w:t>udge of the High Court</w:t>
      </w:r>
      <w:r w:rsidR="00373AF5">
        <w:rPr>
          <w:u w:val="none"/>
        </w:rPr>
        <w:t xml:space="preserve"> </w:t>
      </w:r>
    </w:p>
    <w:p w:rsidR="00373AF5" w:rsidRDefault="00373AF5" w:rsidP="004A7840">
      <w:pPr>
        <w:spacing w:line="360" w:lineRule="auto"/>
        <w:rPr>
          <w:u w:val="none"/>
        </w:rPr>
      </w:pPr>
    </w:p>
    <w:p w:rsidR="00373AF5" w:rsidRDefault="00373AF5" w:rsidP="00373AF5">
      <w:pPr>
        <w:spacing w:line="360" w:lineRule="auto"/>
        <w:jc w:val="center"/>
        <w:rPr>
          <w:u w:val="none"/>
        </w:rPr>
      </w:pPr>
    </w:p>
    <w:p w:rsidR="00373AF5" w:rsidRDefault="00EE0C3F" w:rsidP="00AA25C3">
      <w:pPr>
        <w:spacing w:line="360" w:lineRule="auto"/>
        <w:rPr>
          <w:u w:val="none"/>
        </w:rPr>
      </w:pPr>
      <w:r>
        <w:rPr>
          <w:u w:val="none"/>
        </w:rPr>
        <w:t>I agree</w:t>
      </w:r>
      <w:r w:rsidR="00005AC3">
        <w:rPr>
          <w:u w:val="none"/>
        </w:rPr>
        <w:t>, and it is so ordered.</w:t>
      </w:r>
    </w:p>
    <w:p w:rsidR="0058409E" w:rsidRDefault="0058409E" w:rsidP="00AA25C3">
      <w:pPr>
        <w:spacing w:line="360" w:lineRule="auto"/>
        <w:rPr>
          <w:u w:val="none"/>
        </w:rPr>
      </w:pPr>
    </w:p>
    <w:p w:rsidR="00E24B02" w:rsidRDefault="00E24B02" w:rsidP="00AA25C3">
      <w:pPr>
        <w:spacing w:line="360" w:lineRule="auto"/>
        <w:rPr>
          <w:u w:val="none"/>
        </w:rPr>
      </w:pPr>
    </w:p>
    <w:p w:rsidR="00373AF5" w:rsidRDefault="00373AF5" w:rsidP="00DE4A75">
      <w:pPr>
        <w:spacing w:line="360" w:lineRule="auto"/>
        <w:ind w:left="5040" w:firstLine="720"/>
        <w:jc w:val="center"/>
        <w:rPr>
          <w:u w:val="none"/>
        </w:rPr>
      </w:pPr>
      <w:r>
        <w:rPr>
          <w:u w:val="none"/>
        </w:rPr>
        <w:t>______________________</w:t>
      </w:r>
    </w:p>
    <w:p w:rsidR="00DE4A75" w:rsidRDefault="00DE4A75" w:rsidP="00DE4A75">
      <w:pPr>
        <w:spacing w:line="360" w:lineRule="auto"/>
        <w:ind w:left="4320"/>
        <w:jc w:val="center"/>
        <w:rPr>
          <w:u w:val="none"/>
        </w:rPr>
      </w:pPr>
      <w:r>
        <w:rPr>
          <w:u w:val="none"/>
        </w:rPr>
        <w:t xml:space="preserve">  </w:t>
      </w:r>
      <w:r w:rsidRPr="00DE4A75">
        <w:rPr>
          <w:b/>
          <w:u w:val="none"/>
        </w:rPr>
        <w:t xml:space="preserve">M </w:t>
      </w:r>
      <w:r w:rsidR="00373AF5" w:rsidRPr="00DE4A75">
        <w:rPr>
          <w:b/>
          <w:u w:val="none"/>
        </w:rPr>
        <w:t>Munzhelele</w:t>
      </w:r>
      <w:r w:rsidR="00373AF5">
        <w:rPr>
          <w:u w:val="none"/>
        </w:rPr>
        <w:t xml:space="preserve"> </w:t>
      </w:r>
    </w:p>
    <w:p w:rsidR="007F60A9" w:rsidRDefault="00346097" w:rsidP="00346097">
      <w:pPr>
        <w:spacing w:line="360" w:lineRule="auto"/>
        <w:ind w:left="5040" w:firstLine="720"/>
        <w:rPr>
          <w:u w:val="none"/>
        </w:rPr>
      </w:pPr>
      <w:r>
        <w:rPr>
          <w:u w:val="none"/>
        </w:rPr>
        <w:t xml:space="preserve">      </w:t>
      </w:r>
      <w:r w:rsidR="00373AF5">
        <w:rPr>
          <w:u w:val="none"/>
        </w:rPr>
        <w:t>J</w:t>
      </w:r>
      <w:r w:rsidR="00DE4A75">
        <w:rPr>
          <w:u w:val="none"/>
        </w:rPr>
        <w:t>udge of the High Court</w:t>
      </w:r>
    </w:p>
    <w:p w:rsidR="00346097" w:rsidRDefault="00346097" w:rsidP="00346097">
      <w:pPr>
        <w:spacing w:line="360" w:lineRule="auto"/>
        <w:ind w:left="5040" w:firstLine="720"/>
        <w:rPr>
          <w:u w:val="none"/>
        </w:rPr>
      </w:pPr>
    </w:p>
    <w:p w:rsidR="00DE4A75" w:rsidRDefault="00DE4A75" w:rsidP="00AA25C3">
      <w:pPr>
        <w:spacing w:line="360" w:lineRule="auto"/>
        <w:rPr>
          <w:u w:val="none"/>
        </w:rPr>
      </w:pPr>
      <w:r>
        <w:rPr>
          <w:u w:val="none"/>
        </w:rPr>
        <w:t>Heard On: 17 January 2023</w:t>
      </w:r>
    </w:p>
    <w:p w:rsidR="00DE4A75" w:rsidRDefault="00DE4A75" w:rsidP="00AA25C3">
      <w:pPr>
        <w:spacing w:line="360" w:lineRule="auto"/>
        <w:rPr>
          <w:u w:val="none"/>
        </w:rPr>
      </w:pPr>
      <w:r>
        <w:rPr>
          <w:u w:val="none"/>
        </w:rPr>
        <w:t>Judgment Delivered On:</w:t>
      </w:r>
      <w:r w:rsidR="00346097">
        <w:rPr>
          <w:u w:val="none"/>
        </w:rPr>
        <w:t xml:space="preserve"> 27</w:t>
      </w:r>
      <w:r>
        <w:rPr>
          <w:u w:val="none"/>
        </w:rPr>
        <w:t xml:space="preserve"> February 2023</w:t>
      </w:r>
    </w:p>
    <w:p w:rsidR="00373AF5" w:rsidRDefault="00373AF5" w:rsidP="00AA25C3">
      <w:pPr>
        <w:spacing w:line="360" w:lineRule="auto"/>
        <w:rPr>
          <w:u w:val="none"/>
        </w:rPr>
      </w:pPr>
    </w:p>
    <w:p w:rsidR="00EE0C3F" w:rsidRDefault="00DE4A75" w:rsidP="00AA25C3">
      <w:pPr>
        <w:spacing w:line="360" w:lineRule="auto"/>
      </w:pPr>
      <w:r w:rsidRPr="00DE4A75">
        <w:t>APPEARANCES</w:t>
      </w:r>
      <w:r>
        <w:t>:</w:t>
      </w:r>
    </w:p>
    <w:p w:rsidR="00304CFF" w:rsidRDefault="00304CFF" w:rsidP="00AA25C3">
      <w:pPr>
        <w:spacing w:line="360" w:lineRule="auto"/>
        <w:rPr>
          <w:u w:val="none"/>
        </w:rPr>
      </w:pPr>
      <w:r>
        <w:rPr>
          <w:u w:val="none"/>
        </w:rPr>
        <w:t xml:space="preserve">For </w:t>
      </w:r>
      <w:r w:rsidR="00EE0C3F">
        <w:rPr>
          <w:u w:val="none"/>
        </w:rPr>
        <w:t xml:space="preserve">the </w:t>
      </w:r>
      <w:r w:rsidR="00DE4A75">
        <w:rPr>
          <w:u w:val="none"/>
        </w:rPr>
        <w:t>A</w:t>
      </w:r>
      <w:r w:rsidR="00FE620C">
        <w:rPr>
          <w:u w:val="none"/>
        </w:rPr>
        <w:t>ppellant:</w:t>
      </w:r>
      <w:r w:rsidR="00373AF5">
        <w:rPr>
          <w:u w:val="none"/>
        </w:rPr>
        <w:t xml:space="preserve"> Adv. J.</w:t>
      </w:r>
      <w:r w:rsidR="008E320E">
        <w:rPr>
          <w:u w:val="none"/>
        </w:rPr>
        <w:t>L</w:t>
      </w:r>
      <w:r w:rsidR="00EE0C3F">
        <w:rPr>
          <w:u w:val="none"/>
        </w:rPr>
        <w:t xml:space="preserve"> Kgokane</w:t>
      </w:r>
    </w:p>
    <w:p w:rsidR="008E320E" w:rsidRDefault="008E320E" w:rsidP="00AA25C3">
      <w:pPr>
        <w:spacing w:line="360" w:lineRule="auto"/>
        <w:rPr>
          <w:u w:val="none"/>
        </w:rPr>
      </w:pPr>
      <w:r>
        <w:rPr>
          <w:u w:val="none"/>
        </w:rPr>
        <w:t>Instructed by:</w:t>
      </w:r>
      <w:r w:rsidR="00ED2747">
        <w:rPr>
          <w:u w:val="none"/>
        </w:rPr>
        <w:t xml:space="preserve"> Legal Aid South Africa</w:t>
      </w:r>
    </w:p>
    <w:p w:rsidR="008E320E" w:rsidRDefault="008E320E" w:rsidP="00AA25C3">
      <w:pPr>
        <w:spacing w:line="360" w:lineRule="auto"/>
        <w:rPr>
          <w:u w:val="none"/>
        </w:rPr>
      </w:pPr>
    </w:p>
    <w:p w:rsidR="00304CFF" w:rsidRDefault="00304CFF" w:rsidP="00AA25C3">
      <w:pPr>
        <w:spacing w:line="360" w:lineRule="auto"/>
        <w:rPr>
          <w:u w:val="none"/>
        </w:rPr>
      </w:pPr>
      <w:r>
        <w:rPr>
          <w:u w:val="none"/>
        </w:rPr>
        <w:t xml:space="preserve">For the </w:t>
      </w:r>
      <w:r w:rsidR="00FE620C">
        <w:rPr>
          <w:u w:val="none"/>
        </w:rPr>
        <w:t>Respondent:</w:t>
      </w:r>
      <w:r>
        <w:rPr>
          <w:u w:val="none"/>
        </w:rPr>
        <w:t xml:space="preserve"> </w:t>
      </w:r>
      <w:r w:rsidR="00EE0C3F">
        <w:rPr>
          <w:u w:val="none"/>
        </w:rPr>
        <w:t xml:space="preserve">Adv. </w:t>
      </w:r>
      <w:r w:rsidR="008E320E">
        <w:rPr>
          <w:u w:val="none"/>
        </w:rPr>
        <w:t xml:space="preserve">J </w:t>
      </w:r>
      <w:r w:rsidR="00EE0C3F">
        <w:rPr>
          <w:u w:val="none"/>
        </w:rPr>
        <w:t>Cronje</w:t>
      </w:r>
    </w:p>
    <w:p w:rsidR="008E320E" w:rsidRPr="002B03E9" w:rsidRDefault="00ED2747" w:rsidP="00AA25C3">
      <w:pPr>
        <w:spacing w:line="360" w:lineRule="auto"/>
        <w:rPr>
          <w:u w:val="none"/>
        </w:rPr>
      </w:pPr>
      <w:r>
        <w:rPr>
          <w:u w:val="none"/>
        </w:rPr>
        <w:t>Instructed by: T</w:t>
      </w:r>
      <w:r w:rsidR="008E320E">
        <w:rPr>
          <w:u w:val="none"/>
        </w:rPr>
        <w:t>h</w:t>
      </w:r>
      <w:r>
        <w:rPr>
          <w:u w:val="none"/>
        </w:rPr>
        <w:t>e Director of Public Prosecutions</w:t>
      </w:r>
    </w:p>
    <w:p w:rsidR="007E75FF" w:rsidRDefault="007E75FF"/>
    <w:p w:rsidR="00124D12" w:rsidRDefault="00124D12"/>
    <w:p w:rsidR="00FE5E6C" w:rsidRDefault="00FE5E6C" w:rsidP="007F60A9">
      <w:pPr>
        <w:rPr>
          <w:u w:val="none"/>
        </w:rPr>
      </w:pPr>
    </w:p>
    <w:p w:rsidR="00FE5E6C" w:rsidRPr="00130236" w:rsidRDefault="00FE5E6C" w:rsidP="007F60A9">
      <w:pPr>
        <w:rPr>
          <w:u w:val="none"/>
        </w:rPr>
      </w:pPr>
    </w:p>
    <w:p w:rsidR="00FE5E6C" w:rsidRPr="00BA20F6" w:rsidRDefault="00FE5E6C">
      <w:pPr>
        <w:rPr>
          <w:i/>
          <w:u w:val="none"/>
        </w:rPr>
      </w:pPr>
    </w:p>
    <w:p w:rsidR="00124D12" w:rsidRDefault="00124D12">
      <w:pPr>
        <w:rPr>
          <w:i/>
          <w:u w:val="none"/>
        </w:rPr>
      </w:pPr>
    </w:p>
    <w:p w:rsidR="00FE5E6C" w:rsidRDefault="00FE5E6C" w:rsidP="009260C8">
      <w:pPr>
        <w:rPr>
          <w:i/>
          <w:u w:val="none"/>
        </w:rPr>
      </w:pPr>
    </w:p>
    <w:p w:rsidR="00D646EE" w:rsidRDefault="00D646EE" w:rsidP="00D646EE">
      <w:pPr>
        <w:rPr>
          <w:u w:val="none"/>
        </w:rPr>
      </w:pPr>
    </w:p>
    <w:sectPr w:rsidR="00D646EE" w:rsidSect="008E320E">
      <w:footerReference w:type="default" r:id="rId9"/>
      <w:pgSz w:w="11906" w:h="16838"/>
      <w:pgMar w:top="1440" w:right="991" w:bottom="1440" w:left="1440" w:header="708" w:footer="708" w:gutter="0"/>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71" w:rsidRDefault="00A60B71" w:rsidP="00124D12">
      <w:r>
        <w:separator/>
      </w:r>
    </w:p>
  </w:endnote>
  <w:endnote w:type="continuationSeparator" w:id="0">
    <w:p w:rsidR="00A60B71" w:rsidRDefault="00A60B71" w:rsidP="0012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13213"/>
      <w:docPartObj>
        <w:docPartGallery w:val="Page Numbers (Bottom of Page)"/>
        <w:docPartUnique/>
      </w:docPartObj>
    </w:sdtPr>
    <w:sdtEndPr>
      <w:rPr>
        <w:noProof/>
      </w:rPr>
    </w:sdtEndPr>
    <w:sdtContent>
      <w:p w:rsidR="004862A4" w:rsidRDefault="004862A4">
        <w:pPr>
          <w:pStyle w:val="Footer"/>
          <w:jc w:val="right"/>
        </w:pPr>
        <w:r>
          <w:fldChar w:fldCharType="begin"/>
        </w:r>
        <w:r>
          <w:instrText xml:space="preserve"> PAGE   \* MERGEFORMAT </w:instrText>
        </w:r>
        <w:r>
          <w:fldChar w:fldCharType="separate"/>
        </w:r>
        <w:r w:rsidR="002A55D6">
          <w:rPr>
            <w:noProof/>
          </w:rPr>
          <w:t>2</w:t>
        </w:r>
        <w:r>
          <w:rPr>
            <w:noProof/>
          </w:rPr>
          <w:fldChar w:fldCharType="end"/>
        </w:r>
      </w:p>
    </w:sdtContent>
  </w:sdt>
  <w:p w:rsidR="004862A4" w:rsidRDefault="0048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71" w:rsidRDefault="00A60B71" w:rsidP="00124D12">
      <w:r>
        <w:separator/>
      </w:r>
    </w:p>
  </w:footnote>
  <w:footnote w:type="continuationSeparator" w:id="0">
    <w:p w:rsidR="00A60B71" w:rsidRDefault="00A60B71" w:rsidP="00124D12">
      <w:r>
        <w:continuationSeparator/>
      </w:r>
    </w:p>
  </w:footnote>
  <w:footnote w:id="1">
    <w:p w:rsidR="00294A64" w:rsidRDefault="00294A64" w:rsidP="00294A64">
      <w:pPr>
        <w:pStyle w:val="FootnoteText"/>
      </w:pPr>
      <w:r w:rsidRPr="00294A64">
        <w:rPr>
          <w:rStyle w:val="FootnoteReference"/>
          <w:u w:val="none"/>
        </w:rPr>
        <w:footnoteRef/>
      </w:r>
      <w:r w:rsidRPr="00294A64">
        <w:rPr>
          <w:u w:val="none"/>
        </w:rPr>
        <w:t xml:space="preserve"> </w:t>
      </w:r>
      <w:r w:rsidRPr="008E320E">
        <w:rPr>
          <w:u w:val="none"/>
        </w:rPr>
        <w:t>32 of 2007</w:t>
      </w:r>
    </w:p>
  </w:footnote>
  <w:footnote w:id="2">
    <w:p w:rsidR="00294A64" w:rsidRDefault="00294A64" w:rsidP="00294A64">
      <w:pPr>
        <w:pStyle w:val="FootnoteText"/>
      </w:pPr>
      <w:r w:rsidRPr="00294A64">
        <w:rPr>
          <w:rStyle w:val="FootnoteReference"/>
          <w:u w:val="none"/>
        </w:rPr>
        <w:footnoteRef/>
      </w:r>
      <w:r w:rsidRPr="00294A64">
        <w:rPr>
          <w:u w:val="none"/>
        </w:rPr>
        <w:t xml:space="preserve"> 1999 (1) SACR 447(W) at 448 F-I</w:t>
      </w:r>
      <w:r w:rsidRPr="00294A64">
        <w:rPr>
          <w:b/>
          <w:u w:val="none"/>
        </w:rPr>
        <w:t>,</w:t>
      </w:r>
    </w:p>
  </w:footnote>
  <w:footnote w:id="3">
    <w:p w:rsidR="00294A64" w:rsidRDefault="00294A64" w:rsidP="00294A64">
      <w:pPr>
        <w:pStyle w:val="FootnoteText"/>
      </w:pPr>
      <w:r w:rsidRPr="00294A64">
        <w:rPr>
          <w:rStyle w:val="FootnoteReference"/>
          <w:u w:val="none"/>
        </w:rPr>
        <w:footnoteRef/>
      </w:r>
      <w:r w:rsidRPr="00294A64">
        <w:rPr>
          <w:u w:val="none"/>
        </w:rPr>
        <w:t xml:space="preserve"> </w:t>
      </w:r>
      <w:r>
        <w:rPr>
          <w:u w:val="none"/>
        </w:rPr>
        <w:t xml:space="preserve">1937 AD 370 at 373 and </w:t>
      </w:r>
      <w:r w:rsidRPr="00294A64">
        <w:rPr>
          <w:i/>
          <w:u w:val="none"/>
        </w:rPr>
        <w:t>R v M</w:t>
      </w:r>
      <w:r w:rsidRPr="00294A64">
        <w:rPr>
          <w:u w:val="none"/>
        </w:rPr>
        <w:t xml:space="preserve">   </w:t>
      </w:r>
      <w:r>
        <w:rPr>
          <w:u w:val="none"/>
        </w:rPr>
        <w:t>1946 AD 1023 at 1027</w:t>
      </w:r>
    </w:p>
  </w:footnote>
  <w:footnote w:id="4">
    <w:p w:rsidR="00294A64" w:rsidRPr="00294A64" w:rsidRDefault="00294A64" w:rsidP="00294A64">
      <w:pPr>
        <w:rPr>
          <w:i/>
          <w:sz w:val="20"/>
          <w:szCs w:val="20"/>
          <w:u w:val="none"/>
        </w:rPr>
      </w:pPr>
      <w:r w:rsidRPr="00F424A3">
        <w:rPr>
          <w:rStyle w:val="FootnoteReference"/>
          <w:sz w:val="20"/>
          <w:szCs w:val="20"/>
          <w:u w:val="none"/>
        </w:rPr>
        <w:footnoteRef/>
      </w:r>
      <w:r w:rsidRPr="00F424A3">
        <w:rPr>
          <w:sz w:val="20"/>
          <w:szCs w:val="20"/>
          <w:u w:val="none"/>
        </w:rPr>
        <w:t xml:space="preserve"> </w:t>
      </w:r>
      <w:r w:rsidRPr="00BA20F6">
        <w:rPr>
          <w:i/>
          <w:u w:val="none"/>
        </w:rPr>
        <w:t>“</w:t>
      </w:r>
      <w:r w:rsidRPr="00294A64">
        <w:rPr>
          <w:i/>
          <w:sz w:val="20"/>
          <w:szCs w:val="20"/>
          <w:u w:val="none"/>
        </w:rPr>
        <w:t>Testimonies of child –rape victims in South African courts “2006 (47)</w:t>
      </w:r>
    </w:p>
    <w:p w:rsidR="00294A64" w:rsidRDefault="00294A64" w:rsidP="00294A64">
      <w:pPr>
        <w:pStyle w:val="FootnoteText"/>
      </w:pPr>
      <w:r w:rsidRPr="00294A64">
        <w:rPr>
          <w:i/>
          <w:u w:val="none"/>
        </w:rPr>
        <w:t xml:space="preserve"> </w:t>
      </w:r>
      <w:r>
        <w:rPr>
          <w:i/>
          <w:u w:val="none"/>
        </w:rPr>
        <w:t xml:space="preserve">   </w:t>
      </w:r>
      <w:r w:rsidRPr="00294A64">
        <w:rPr>
          <w:i/>
          <w:u w:val="none"/>
        </w:rPr>
        <w:t>Codicillus 25)</w:t>
      </w:r>
    </w:p>
  </w:footnote>
  <w:footnote w:id="5">
    <w:p w:rsidR="00F424A3" w:rsidRDefault="00F424A3">
      <w:pPr>
        <w:pStyle w:val="FootnoteText"/>
      </w:pPr>
      <w:r w:rsidRPr="00F424A3">
        <w:rPr>
          <w:rStyle w:val="FootnoteReference"/>
          <w:u w:val="none"/>
        </w:rPr>
        <w:footnoteRef/>
      </w:r>
      <w:r w:rsidRPr="00F424A3">
        <w:rPr>
          <w:u w:val="none"/>
        </w:rPr>
        <w:t xml:space="preserve"> 1969 (2) SA 537 (A)</w:t>
      </w:r>
    </w:p>
  </w:footnote>
  <w:footnote w:id="6">
    <w:p w:rsidR="005F6B71" w:rsidRDefault="005F6B71">
      <w:pPr>
        <w:pStyle w:val="FootnoteText"/>
      </w:pPr>
      <w:r w:rsidRPr="005F6B71">
        <w:rPr>
          <w:rStyle w:val="FootnoteReference"/>
          <w:u w:val="none"/>
        </w:rPr>
        <w:footnoteRef/>
      </w:r>
      <w:r w:rsidRPr="005F6B71">
        <w:rPr>
          <w:u w:val="none"/>
        </w:rPr>
        <w:t xml:space="preserve"> 2001 (2) SA 1222 (SCA),2001 (1) SACR 469 (SCA) [2001] 3 ALL SA 220 (SCA)</w:t>
      </w:r>
    </w:p>
  </w:footnote>
  <w:footnote w:id="7">
    <w:p w:rsidR="00F424A3" w:rsidRDefault="00F424A3">
      <w:pPr>
        <w:pStyle w:val="FootnoteText"/>
      </w:pPr>
      <w:r w:rsidRPr="00F424A3">
        <w:rPr>
          <w:rStyle w:val="FootnoteReference"/>
          <w:u w:val="none"/>
        </w:rPr>
        <w:footnoteRef/>
      </w:r>
      <w:r w:rsidRPr="00F424A3">
        <w:rPr>
          <w:u w:val="none"/>
        </w:rPr>
        <w:t xml:space="preserve"> </w:t>
      </w:r>
      <w:r>
        <w:rPr>
          <w:i/>
          <w:u w:val="none"/>
        </w:rPr>
        <w:t xml:space="preserve">(1209/2017) </w:t>
      </w:r>
      <w:r w:rsidRPr="00BA20F6">
        <w:rPr>
          <w:i/>
          <w:u w:val="none"/>
        </w:rPr>
        <w:t>ZASCA 114 (18 September 2018 at para 10)</w:t>
      </w:r>
    </w:p>
  </w:footnote>
  <w:footnote w:id="8">
    <w:p w:rsidR="00F424A3" w:rsidRPr="00F424A3" w:rsidRDefault="00F424A3">
      <w:pPr>
        <w:pStyle w:val="FootnoteText"/>
        <w:rPr>
          <w:u w:val="none"/>
        </w:rPr>
      </w:pPr>
      <w:r w:rsidRPr="00F424A3">
        <w:rPr>
          <w:rStyle w:val="FootnoteReference"/>
          <w:u w:val="none"/>
        </w:rPr>
        <w:footnoteRef/>
      </w:r>
      <w:r w:rsidRPr="00F424A3">
        <w:rPr>
          <w:u w:val="none"/>
        </w:rPr>
        <w:t xml:space="preserve"> 2017 (1) SACR 373 (SCA) at para .5</w:t>
      </w:r>
    </w:p>
  </w:footnote>
  <w:footnote w:id="9">
    <w:p w:rsidR="00F424A3" w:rsidRPr="00F424A3" w:rsidRDefault="00F424A3">
      <w:pPr>
        <w:pStyle w:val="FootnoteText"/>
        <w:rPr>
          <w:u w:val="none"/>
        </w:rPr>
      </w:pPr>
      <w:r w:rsidRPr="00F424A3">
        <w:rPr>
          <w:rStyle w:val="FootnoteReference"/>
          <w:u w:val="none"/>
        </w:rPr>
        <w:footnoteRef/>
      </w:r>
      <w:r w:rsidRPr="00F424A3">
        <w:rPr>
          <w:u w:val="none"/>
        </w:rPr>
        <w:t xml:space="preserve"> 1997 (3) SA 341 (SCA) at 344J-345 A;</w:t>
      </w:r>
      <w:r w:rsidRPr="00F424A3">
        <w:rPr>
          <w:i/>
          <w:u w:val="none"/>
        </w:rPr>
        <w:t xml:space="preserve"> Section 12 (1) (c) and (e) of the RSA Constitution Act 108 of 1996</w:t>
      </w:r>
      <w:r w:rsidRPr="00F424A3">
        <w:rPr>
          <w:u w:val="none"/>
        </w:rPr>
        <w:t xml:space="preserve">[10] MDT v S </w:t>
      </w:r>
    </w:p>
  </w:footnote>
  <w:footnote w:id="10">
    <w:p w:rsidR="001B761E" w:rsidRPr="001B761E" w:rsidRDefault="001B761E" w:rsidP="001B761E">
      <w:pPr>
        <w:pStyle w:val="FootnoteText"/>
        <w:rPr>
          <w:u w:val="none"/>
        </w:rPr>
      </w:pPr>
      <w:r w:rsidRPr="001B761E">
        <w:rPr>
          <w:rStyle w:val="FootnoteReference"/>
          <w:u w:val="none"/>
        </w:rPr>
        <w:footnoteRef/>
      </w:r>
      <w:r w:rsidR="005F6B71">
        <w:rPr>
          <w:u w:val="none"/>
        </w:rPr>
        <w:t xml:space="preserve"> (A 256/2021) [2022] ZAGPPHC 404 (17 June 2022) para. [49]</w:t>
      </w:r>
    </w:p>
  </w:footnote>
  <w:footnote w:id="11">
    <w:p w:rsidR="005F6B71" w:rsidRPr="00346097" w:rsidRDefault="005F6B71">
      <w:pPr>
        <w:pStyle w:val="FootnoteText"/>
        <w:rPr>
          <w:u w:val="none"/>
        </w:rPr>
      </w:pPr>
      <w:r w:rsidRPr="00346097">
        <w:rPr>
          <w:rStyle w:val="FootnoteReference"/>
          <w:u w:val="none"/>
        </w:rPr>
        <w:footnoteRef/>
      </w:r>
      <w:r w:rsidRPr="00346097">
        <w:rPr>
          <w:u w:val="none"/>
        </w:rPr>
        <w:t xml:space="preserve"> 1996 (2) SACR 181 (C)</w:t>
      </w:r>
      <w:r w:rsidR="00346097" w:rsidRPr="00346097">
        <w:rPr>
          <w:u w:val="none"/>
        </w:rPr>
        <w:t xml:space="preserve"> 186 D-F</w:t>
      </w:r>
    </w:p>
  </w:footnote>
  <w:footnote w:id="12">
    <w:p w:rsidR="004A7840" w:rsidRPr="004A7840" w:rsidRDefault="004A7840" w:rsidP="004A7840">
      <w:pPr>
        <w:pStyle w:val="FootnoteText"/>
        <w:rPr>
          <w:u w:val="none"/>
        </w:rPr>
      </w:pPr>
      <w:r w:rsidRPr="004A7840">
        <w:rPr>
          <w:rStyle w:val="FootnoteReference"/>
          <w:u w:val="none"/>
        </w:rPr>
        <w:footnoteRef/>
      </w:r>
      <w:r w:rsidRPr="004A7840">
        <w:rPr>
          <w:u w:val="none"/>
        </w:rPr>
        <w:t xml:space="preserve"> 2009 (2) SACR 407 (ECG)</w:t>
      </w:r>
    </w:p>
  </w:footnote>
  <w:footnote w:id="13">
    <w:p w:rsidR="004A7840" w:rsidRPr="004A7840" w:rsidRDefault="004A7840" w:rsidP="004A7840">
      <w:pPr>
        <w:pStyle w:val="FootnoteText"/>
        <w:rPr>
          <w:u w:val="none"/>
        </w:rPr>
      </w:pPr>
      <w:r w:rsidRPr="004A7840">
        <w:rPr>
          <w:rStyle w:val="FootnoteReference"/>
          <w:u w:val="none"/>
        </w:rPr>
        <w:footnoteRef/>
      </w:r>
      <w:r w:rsidRPr="004A7840">
        <w:rPr>
          <w:u w:val="none"/>
        </w:rPr>
        <w:t xml:space="preserve"> (3) (Aa)(ii) CLAA Section 51 (3) (Aa)(ii) of the Criminal Law Amendment Act,105 of 1997</w:t>
      </w:r>
    </w:p>
  </w:footnote>
  <w:footnote w:id="14">
    <w:p w:rsidR="004A7840" w:rsidRPr="004A7840" w:rsidRDefault="004A7840">
      <w:pPr>
        <w:pStyle w:val="FootnoteText"/>
        <w:rPr>
          <w:u w:val="none"/>
        </w:rPr>
      </w:pPr>
      <w:r w:rsidRPr="004A7840">
        <w:rPr>
          <w:rStyle w:val="FootnoteReference"/>
          <w:u w:val="none"/>
        </w:rPr>
        <w:footnoteRef/>
      </w:r>
      <w:r w:rsidRPr="004A7840">
        <w:rPr>
          <w:u w:val="none"/>
        </w:rPr>
        <w:t xml:space="preserve"> 105 of 1997</w:t>
      </w:r>
    </w:p>
  </w:footnote>
  <w:footnote w:id="15">
    <w:p w:rsidR="004A7840" w:rsidRDefault="004A7840">
      <w:pPr>
        <w:pStyle w:val="FootnoteText"/>
      </w:pPr>
      <w:r w:rsidRPr="004A7840">
        <w:rPr>
          <w:rStyle w:val="FootnoteReference"/>
          <w:u w:val="none"/>
        </w:rPr>
        <w:footnoteRef/>
      </w:r>
      <w:r w:rsidRPr="004A7840">
        <w:rPr>
          <w:u w:val="none"/>
        </w:rPr>
        <w:t xml:space="preserve"> </w:t>
      </w:r>
      <w:r>
        <w:rPr>
          <w:u w:val="none"/>
        </w:rPr>
        <w:t>2013 (2) SACR 533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0E8"/>
    <w:multiLevelType w:val="hybridMultilevel"/>
    <w:tmpl w:val="E2D004BC"/>
    <w:lvl w:ilvl="0" w:tplc="B4E8BF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C3"/>
    <w:rsid w:val="00005AC3"/>
    <w:rsid w:val="000163F9"/>
    <w:rsid w:val="00033EC7"/>
    <w:rsid w:val="00083CDF"/>
    <w:rsid w:val="000B57C6"/>
    <w:rsid w:val="000C22FF"/>
    <w:rsid w:val="000D3F60"/>
    <w:rsid w:val="000D4516"/>
    <w:rsid w:val="00106F7D"/>
    <w:rsid w:val="00124D12"/>
    <w:rsid w:val="00130236"/>
    <w:rsid w:val="00137583"/>
    <w:rsid w:val="001477E4"/>
    <w:rsid w:val="001573B2"/>
    <w:rsid w:val="0016239D"/>
    <w:rsid w:val="0018356A"/>
    <w:rsid w:val="001948DE"/>
    <w:rsid w:val="001A79F7"/>
    <w:rsid w:val="001B0333"/>
    <w:rsid w:val="001B761E"/>
    <w:rsid w:val="001E4038"/>
    <w:rsid w:val="001F7B57"/>
    <w:rsid w:val="00212A9B"/>
    <w:rsid w:val="00213215"/>
    <w:rsid w:val="002172C8"/>
    <w:rsid w:val="00245D5C"/>
    <w:rsid w:val="00252FB1"/>
    <w:rsid w:val="0027740C"/>
    <w:rsid w:val="00281AEA"/>
    <w:rsid w:val="002849A3"/>
    <w:rsid w:val="00294A64"/>
    <w:rsid w:val="002A192B"/>
    <w:rsid w:val="002A2C8B"/>
    <w:rsid w:val="002A55D6"/>
    <w:rsid w:val="002B03E9"/>
    <w:rsid w:val="002C0AC4"/>
    <w:rsid w:val="002F1D92"/>
    <w:rsid w:val="00304CFF"/>
    <w:rsid w:val="00327EC4"/>
    <w:rsid w:val="00346097"/>
    <w:rsid w:val="00363F3E"/>
    <w:rsid w:val="00373AF5"/>
    <w:rsid w:val="003B51E8"/>
    <w:rsid w:val="003C7674"/>
    <w:rsid w:val="00445D19"/>
    <w:rsid w:val="00456C0D"/>
    <w:rsid w:val="00463D94"/>
    <w:rsid w:val="004862A4"/>
    <w:rsid w:val="004A7840"/>
    <w:rsid w:val="004C6269"/>
    <w:rsid w:val="004D4AE2"/>
    <w:rsid w:val="004F5005"/>
    <w:rsid w:val="004F5391"/>
    <w:rsid w:val="00507306"/>
    <w:rsid w:val="00511B44"/>
    <w:rsid w:val="005316EC"/>
    <w:rsid w:val="005731C9"/>
    <w:rsid w:val="0058296C"/>
    <w:rsid w:val="0058409E"/>
    <w:rsid w:val="00592320"/>
    <w:rsid w:val="005D60C7"/>
    <w:rsid w:val="005F12C6"/>
    <w:rsid w:val="005F6B71"/>
    <w:rsid w:val="006338C5"/>
    <w:rsid w:val="00642996"/>
    <w:rsid w:val="006607E2"/>
    <w:rsid w:val="00663374"/>
    <w:rsid w:val="006646A9"/>
    <w:rsid w:val="00665A12"/>
    <w:rsid w:val="00683AF4"/>
    <w:rsid w:val="0068690A"/>
    <w:rsid w:val="006F53BD"/>
    <w:rsid w:val="007100F3"/>
    <w:rsid w:val="00717304"/>
    <w:rsid w:val="007322BF"/>
    <w:rsid w:val="00740E95"/>
    <w:rsid w:val="0075436D"/>
    <w:rsid w:val="00765B68"/>
    <w:rsid w:val="00772710"/>
    <w:rsid w:val="00775326"/>
    <w:rsid w:val="007A4277"/>
    <w:rsid w:val="007B373A"/>
    <w:rsid w:val="007E75FF"/>
    <w:rsid w:val="007F60A9"/>
    <w:rsid w:val="008062FD"/>
    <w:rsid w:val="008312C3"/>
    <w:rsid w:val="00837D0D"/>
    <w:rsid w:val="00840C4E"/>
    <w:rsid w:val="008617AC"/>
    <w:rsid w:val="008756F1"/>
    <w:rsid w:val="008805D1"/>
    <w:rsid w:val="00894CA3"/>
    <w:rsid w:val="008C3422"/>
    <w:rsid w:val="008E320E"/>
    <w:rsid w:val="008E6D40"/>
    <w:rsid w:val="00920218"/>
    <w:rsid w:val="00924247"/>
    <w:rsid w:val="009260C8"/>
    <w:rsid w:val="0092741C"/>
    <w:rsid w:val="00964834"/>
    <w:rsid w:val="0097750B"/>
    <w:rsid w:val="009A7D4B"/>
    <w:rsid w:val="009D08E8"/>
    <w:rsid w:val="009E4149"/>
    <w:rsid w:val="00A1326B"/>
    <w:rsid w:val="00A133EF"/>
    <w:rsid w:val="00A3049A"/>
    <w:rsid w:val="00A428C9"/>
    <w:rsid w:val="00A42C99"/>
    <w:rsid w:val="00A559B6"/>
    <w:rsid w:val="00A60B71"/>
    <w:rsid w:val="00A912CD"/>
    <w:rsid w:val="00AA25C3"/>
    <w:rsid w:val="00AA7964"/>
    <w:rsid w:val="00AB4D90"/>
    <w:rsid w:val="00AE2290"/>
    <w:rsid w:val="00AF74B7"/>
    <w:rsid w:val="00B45893"/>
    <w:rsid w:val="00B5519C"/>
    <w:rsid w:val="00B90CB7"/>
    <w:rsid w:val="00BA20F6"/>
    <w:rsid w:val="00BC37EE"/>
    <w:rsid w:val="00BD28B6"/>
    <w:rsid w:val="00C17F40"/>
    <w:rsid w:val="00C32EC8"/>
    <w:rsid w:val="00C53C83"/>
    <w:rsid w:val="00C5688D"/>
    <w:rsid w:val="00CA64FE"/>
    <w:rsid w:val="00CB50FF"/>
    <w:rsid w:val="00D04529"/>
    <w:rsid w:val="00D330A2"/>
    <w:rsid w:val="00D57D6D"/>
    <w:rsid w:val="00D620A2"/>
    <w:rsid w:val="00D646EE"/>
    <w:rsid w:val="00DA233D"/>
    <w:rsid w:val="00DA7B16"/>
    <w:rsid w:val="00DB6328"/>
    <w:rsid w:val="00DC23B4"/>
    <w:rsid w:val="00DD4E8F"/>
    <w:rsid w:val="00DE4A75"/>
    <w:rsid w:val="00DF27A7"/>
    <w:rsid w:val="00DF27C3"/>
    <w:rsid w:val="00E24B02"/>
    <w:rsid w:val="00E4408F"/>
    <w:rsid w:val="00E70C09"/>
    <w:rsid w:val="00E71597"/>
    <w:rsid w:val="00EB3B07"/>
    <w:rsid w:val="00EB7B37"/>
    <w:rsid w:val="00ED2747"/>
    <w:rsid w:val="00EE0C3F"/>
    <w:rsid w:val="00F243E9"/>
    <w:rsid w:val="00F3130C"/>
    <w:rsid w:val="00F321E1"/>
    <w:rsid w:val="00F352C6"/>
    <w:rsid w:val="00F424A3"/>
    <w:rsid w:val="00F461C2"/>
    <w:rsid w:val="00F63267"/>
    <w:rsid w:val="00F7044D"/>
    <w:rsid w:val="00F95E75"/>
    <w:rsid w:val="00FC0DA6"/>
    <w:rsid w:val="00FC283F"/>
    <w:rsid w:val="00FE5E6C"/>
    <w:rsid w:val="00FE62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72A58-64F8-4C5A-B875-8DFFA36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C3"/>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12"/>
    <w:pPr>
      <w:tabs>
        <w:tab w:val="center" w:pos="4513"/>
        <w:tab w:val="right" w:pos="9026"/>
      </w:tabs>
    </w:pPr>
  </w:style>
  <w:style w:type="character" w:customStyle="1" w:styleId="HeaderChar">
    <w:name w:val="Header Char"/>
    <w:basedOn w:val="DefaultParagraphFont"/>
    <w:link w:val="Header"/>
    <w:uiPriority w:val="99"/>
    <w:rsid w:val="00124D12"/>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124D12"/>
    <w:pPr>
      <w:tabs>
        <w:tab w:val="center" w:pos="4513"/>
        <w:tab w:val="right" w:pos="9026"/>
      </w:tabs>
    </w:pPr>
  </w:style>
  <w:style w:type="character" w:customStyle="1" w:styleId="FooterChar">
    <w:name w:val="Footer Char"/>
    <w:basedOn w:val="DefaultParagraphFont"/>
    <w:link w:val="Footer"/>
    <w:uiPriority w:val="99"/>
    <w:rsid w:val="00124D12"/>
    <w:rPr>
      <w:rFonts w:ascii="Arial" w:eastAsia="Times New Roman" w:hAnsi="Arial" w:cs="Arial"/>
      <w:sz w:val="24"/>
      <w:szCs w:val="24"/>
      <w:u w:val="single"/>
      <w:lang w:val="en-GB" w:eastAsia="en-GB"/>
    </w:rPr>
  </w:style>
  <w:style w:type="paragraph" w:styleId="ListParagraph">
    <w:name w:val="List Paragraph"/>
    <w:basedOn w:val="Normal"/>
    <w:uiPriority w:val="34"/>
    <w:qFormat/>
    <w:rsid w:val="00456C0D"/>
    <w:pPr>
      <w:ind w:left="720"/>
      <w:contextualSpacing/>
    </w:pPr>
  </w:style>
  <w:style w:type="paragraph" w:styleId="FootnoteText">
    <w:name w:val="footnote text"/>
    <w:basedOn w:val="Normal"/>
    <w:link w:val="FootnoteTextChar"/>
    <w:uiPriority w:val="99"/>
    <w:semiHidden/>
    <w:unhideWhenUsed/>
    <w:rsid w:val="00592320"/>
    <w:rPr>
      <w:sz w:val="20"/>
      <w:szCs w:val="20"/>
    </w:rPr>
  </w:style>
  <w:style w:type="character" w:customStyle="1" w:styleId="FootnoteTextChar">
    <w:name w:val="Footnote Text Char"/>
    <w:basedOn w:val="DefaultParagraphFont"/>
    <w:link w:val="FootnoteText"/>
    <w:uiPriority w:val="99"/>
    <w:semiHidden/>
    <w:rsid w:val="00592320"/>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592320"/>
    <w:rPr>
      <w:vertAlign w:val="superscript"/>
    </w:rPr>
  </w:style>
  <w:style w:type="paragraph" w:styleId="EndnoteText">
    <w:name w:val="endnote text"/>
    <w:basedOn w:val="Normal"/>
    <w:link w:val="EndnoteTextChar"/>
    <w:uiPriority w:val="99"/>
    <w:semiHidden/>
    <w:unhideWhenUsed/>
    <w:rsid w:val="00592320"/>
    <w:rPr>
      <w:sz w:val="20"/>
      <w:szCs w:val="20"/>
    </w:rPr>
  </w:style>
  <w:style w:type="character" w:customStyle="1" w:styleId="EndnoteTextChar">
    <w:name w:val="Endnote Text Char"/>
    <w:basedOn w:val="DefaultParagraphFont"/>
    <w:link w:val="EndnoteText"/>
    <w:uiPriority w:val="99"/>
    <w:semiHidden/>
    <w:rsid w:val="00592320"/>
    <w:rPr>
      <w:rFonts w:ascii="Arial" w:eastAsia="Times New Roman" w:hAnsi="Arial" w:cs="Arial"/>
      <w:sz w:val="20"/>
      <w:szCs w:val="20"/>
      <w:u w:val="single"/>
      <w:lang w:val="en-GB" w:eastAsia="en-GB"/>
    </w:rPr>
  </w:style>
  <w:style w:type="character" w:styleId="EndnoteReference">
    <w:name w:val="endnote reference"/>
    <w:basedOn w:val="DefaultParagraphFont"/>
    <w:uiPriority w:val="99"/>
    <w:semiHidden/>
    <w:unhideWhenUsed/>
    <w:rsid w:val="00592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7449">
      <w:bodyDiv w:val="1"/>
      <w:marLeft w:val="0"/>
      <w:marRight w:val="0"/>
      <w:marTop w:val="0"/>
      <w:marBottom w:val="0"/>
      <w:divBdr>
        <w:top w:val="none" w:sz="0" w:space="0" w:color="auto"/>
        <w:left w:val="none" w:sz="0" w:space="0" w:color="auto"/>
        <w:bottom w:val="none" w:sz="0" w:space="0" w:color="auto"/>
        <w:right w:val="none" w:sz="0" w:space="0" w:color="auto"/>
      </w:divBdr>
    </w:div>
    <w:div w:id="192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BBFC-B80F-4280-ADB6-5DB6A862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Mogotsi</dc:creator>
  <cp:keywords/>
  <dc:description/>
  <cp:lastModifiedBy>Mokone</cp:lastModifiedBy>
  <cp:revision>2</cp:revision>
  <dcterms:created xsi:type="dcterms:W3CDTF">2023-03-07T07:18:00Z</dcterms:created>
  <dcterms:modified xsi:type="dcterms:W3CDTF">2023-03-07T07:18:00Z</dcterms:modified>
</cp:coreProperties>
</file>