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350B431D" w14:textId="731C38D0" w:rsidR="00C519B2" w:rsidRPr="00C02B93" w:rsidRDefault="00B50E11" w:rsidP="00C02B93">
      <w:pPr>
        <w:pStyle w:val="Body"/>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7564B942" w14:textId="77777777" w:rsidTr="00C02B93">
        <w:trPr>
          <w:trHeight w:val="2205"/>
        </w:trPr>
        <w:tc>
          <w:tcPr>
            <w:tcW w:w="3998"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0B1A767F"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C02B9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0A55B1">
              <w:rPr>
                <w:rFonts w:ascii="Arial Unicode MS" w:eastAsia="Arial Unicode MS" w:hAnsi="Arial Unicode MS" w:cs="Arial Unicode MS"/>
                <w:strike/>
                <w:sz w:val="16"/>
                <w:szCs w:val="16"/>
              </w:rPr>
              <w:t>YES/</w:t>
            </w:r>
            <w:r w:rsidRPr="000A55B1">
              <w:rPr>
                <w:rFonts w:ascii="Arial Unicode MS" w:eastAsia="Arial Unicode MS" w:hAnsi="Arial Unicode MS" w:cs="Arial Unicode MS"/>
                <w:b/>
                <w:bCs/>
                <w:sz w:val="16"/>
                <w:szCs w:val="16"/>
              </w:rPr>
              <w:t>NO</w:t>
            </w:r>
          </w:p>
          <w:p w14:paraId="528A128C" w14:textId="4C01693D"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C02B9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C02B93">
              <w:rPr>
                <w:rFonts w:ascii="Arial Unicode MS" w:eastAsia="Arial Unicode MS" w:hAnsi="Arial Unicode MS" w:cs="Arial Unicode MS"/>
                <w:sz w:val="16"/>
                <w:szCs w:val="16"/>
              </w:rPr>
              <w:t xml:space="preserve"> </w:t>
            </w:r>
            <w:r w:rsidRPr="000A55B1">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0A55B1">
              <w:rPr>
                <w:rFonts w:ascii="Arial Unicode MS" w:eastAsia="Arial Unicode MS" w:hAnsi="Arial Unicode MS" w:cs="Arial Unicode MS"/>
                <w:b/>
                <w:bCs/>
                <w:sz w:val="16"/>
                <w:szCs w:val="16"/>
              </w:rPr>
              <w:t>NO</w:t>
            </w:r>
          </w:p>
          <w:p w14:paraId="15F66332" w14:textId="1FDA12F6"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C02B9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0A55B1">
              <w:rPr>
                <w:rFonts w:ascii="Arial Unicode MS" w:eastAsia="Arial Unicode MS" w:hAnsi="Arial Unicode MS" w:cs="Arial Unicode MS"/>
                <w:sz w:val="16"/>
                <w:szCs w:val="16"/>
              </w:rPr>
              <w:t xml:space="preserve"> </w:t>
            </w:r>
            <w:r w:rsidR="000A55B1" w:rsidRPr="000A55B1">
              <w:rPr>
                <w:rFonts w:ascii="Arial Unicode MS" w:eastAsia="Arial Unicode MS" w:hAnsi="Arial Unicode MS" w:cs="Arial Unicode MS"/>
                <w:b/>
                <w:bCs/>
                <w:sz w:val="16"/>
                <w:szCs w:val="16"/>
              </w:rPr>
              <w:t>NO</w:t>
            </w:r>
          </w:p>
          <w:p w14:paraId="284842F1" w14:textId="6D2F185B"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4164F3">
              <w:rPr>
                <w:rFonts w:ascii="Arial Unicode MS" w:eastAsia="Arial Unicode MS" w:hAnsi="Arial Unicode MS" w:cs="Arial Unicode MS"/>
                <w:sz w:val="16"/>
                <w:szCs w:val="16"/>
              </w:rPr>
              <w:tab/>
            </w:r>
            <w:r w:rsidR="000A55B1" w:rsidRPr="000A55B1">
              <w:rPr>
                <w:rFonts w:ascii="Arial Unicode MS" w:eastAsia="Arial Unicode MS" w:hAnsi="Arial Unicode MS" w:cs="Arial Unicode MS"/>
                <w:b/>
                <w:bCs/>
                <w:sz w:val="16"/>
                <w:szCs w:val="16"/>
              </w:rPr>
              <w:t xml:space="preserve">29 </w:t>
            </w:r>
            <w:r w:rsidR="00AC7ECE" w:rsidRPr="000A55B1">
              <w:rPr>
                <w:rFonts w:ascii="Arial" w:eastAsia="Arial Unicode MS" w:hAnsi="Arial" w:cs="Arial"/>
                <w:b/>
                <w:bCs/>
                <w:sz w:val="16"/>
                <w:szCs w:val="16"/>
              </w:rPr>
              <w:t>A</w:t>
            </w:r>
            <w:r w:rsidR="00AC7ECE" w:rsidRPr="00AC7ECE">
              <w:rPr>
                <w:rFonts w:ascii="Arial" w:eastAsia="Arial Unicode MS" w:hAnsi="Arial" w:cs="Arial"/>
                <w:b/>
                <w:bCs/>
                <w:sz w:val="16"/>
                <w:szCs w:val="16"/>
              </w:rPr>
              <w:t>ugust 2019</w:t>
            </w:r>
            <w:r>
              <w:rPr>
                <w:rFonts w:ascii="Arial Unicode MS" w:eastAsia="Arial Unicode MS" w:hAnsi="Arial Unicode MS" w:cs="Arial Unicode MS"/>
                <w:sz w:val="16"/>
                <w:szCs w:val="16"/>
              </w:rPr>
              <w:br/>
            </w:r>
          </w:p>
          <w:p w14:paraId="773CDFDB" w14:textId="42C65B09"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Pr="004164F3">
              <w:rPr>
                <w:rFonts w:ascii="Arial Unicode MS" w:eastAsia="Arial Unicode MS" w:hAnsi="Arial Unicode MS" w:cs="Arial Unicode MS"/>
                <w:sz w:val="16"/>
                <w:szCs w:val="16"/>
              </w:rPr>
              <w:tab/>
              <w:t>.……………………</w:t>
            </w:r>
          </w:p>
        </w:tc>
      </w:tr>
    </w:tbl>
    <w:p w14:paraId="46E43E32" w14:textId="304E3BBF" w:rsidR="00B50E11" w:rsidRPr="0031449E" w:rsidRDefault="00B50E11" w:rsidP="00B50E11">
      <w:pPr>
        <w:pStyle w:val="Body"/>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4234BC">
        <w:rPr>
          <w:rFonts w:cs="Arial"/>
          <w:b/>
          <w:bCs/>
          <w:sz w:val="24"/>
          <w:szCs w:val="24"/>
        </w:rPr>
        <w:t>32290/2020</w:t>
      </w:r>
    </w:p>
    <w:tbl>
      <w:tblPr>
        <w:tblStyle w:val="TableGrid"/>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00"/>
        <w:gridCol w:w="64"/>
      </w:tblGrid>
      <w:tr w:rsidR="00B50E11" w:rsidRPr="0031449E" w14:paraId="22698168" w14:textId="77777777" w:rsidTr="000E551C">
        <w:trPr>
          <w:gridAfter w:val="1"/>
          <w:wAfter w:w="64" w:type="dxa"/>
        </w:trPr>
        <w:tc>
          <w:tcPr>
            <w:tcW w:w="5529" w:type="dxa"/>
          </w:tcPr>
          <w:p w14:paraId="3D32D802" w14:textId="77777777" w:rsidR="00B50E11" w:rsidRPr="0031449E" w:rsidRDefault="00B50E11" w:rsidP="00775C17">
            <w:pPr>
              <w:pStyle w:val="Body"/>
              <w:jc w:val="both"/>
              <w:rPr>
                <w:rFonts w:cs="Arial"/>
                <w:sz w:val="24"/>
                <w:szCs w:val="24"/>
              </w:rPr>
            </w:pPr>
            <w:r w:rsidRPr="0031449E">
              <w:rPr>
                <w:rFonts w:cs="Arial"/>
                <w:sz w:val="24"/>
                <w:szCs w:val="24"/>
              </w:rPr>
              <w:t>In the matter between:</w:t>
            </w:r>
          </w:p>
        </w:tc>
        <w:tc>
          <w:tcPr>
            <w:tcW w:w="4100" w:type="dxa"/>
          </w:tcPr>
          <w:p w14:paraId="6295A861" w14:textId="77777777" w:rsidR="00B50E11" w:rsidRPr="0031449E" w:rsidRDefault="00B50E11"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sz w:val="24"/>
                <w:szCs w:val="24"/>
              </w:rPr>
            </w:pPr>
          </w:p>
        </w:tc>
      </w:tr>
      <w:tr w:rsidR="00B50E11" w:rsidRPr="0031449E" w14:paraId="4638A8A4" w14:textId="77777777" w:rsidTr="000E551C">
        <w:trPr>
          <w:gridAfter w:val="1"/>
          <w:wAfter w:w="64" w:type="dxa"/>
          <w:trHeight w:val="1045"/>
        </w:trPr>
        <w:tc>
          <w:tcPr>
            <w:tcW w:w="5529" w:type="dxa"/>
          </w:tcPr>
          <w:p w14:paraId="44964966" w14:textId="77777777" w:rsidR="00B50E11" w:rsidRDefault="00B50E11"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rPr>
            </w:pPr>
          </w:p>
          <w:p w14:paraId="548AA6FE" w14:textId="11FF20EF" w:rsidR="00B50E11" w:rsidRPr="0031449E" w:rsidRDefault="004234BC"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24"/>
                <w:szCs w:val="24"/>
              </w:rPr>
            </w:pPr>
            <w:r>
              <w:rPr>
                <w:rFonts w:cs="Arial"/>
                <w:b/>
                <w:bCs/>
                <w:sz w:val="24"/>
                <w:szCs w:val="24"/>
              </w:rPr>
              <w:t>HAMSA CONSULTING ENGINEERS (PTY) LTD</w:t>
            </w:r>
          </w:p>
        </w:tc>
        <w:tc>
          <w:tcPr>
            <w:tcW w:w="4100" w:type="dxa"/>
          </w:tcPr>
          <w:p w14:paraId="66354F6A" w14:textId="77777777" w:rsidR="00B50E11" w:rsidRDefault="00B50E11"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p w14:paraId="263479FD" w14:textId="7480EEBE" w:rsidR="00B50E11" w:rsidRPr="0031449E" w:rsidRDefault="008D34A8"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PLAINTIFF</w:t>
            </w:r>
          </w:p>
        </w:tc>
      </w:tr>
      <w:tr w:rsidR="00B50E11" w:rsidRPr="0031449E" w14:paraId="2DE3831D" w14:textId="77777777" w:rsidTr="000E551C">
        <w:trPr>
          <w:gridAfter w:val="1"/>
          <w:wAfter w:w="64" w:type="dxa"/>
        </w:trPr>
        <w:tc>
          <w:tcPr>
            <w:tcW w:w="5529" w:type="dxa"/>
          </w:tcPr>
          <w:p w14:paraId="06AA6B3B" w14:textId="7CD9CC68" w:rsidR="00B50E11" w:rsidRPr="00F43C52" w:rsidRDefault="00B50E11" w:rsidP="00775C17">
            <w:pPr>
              <w:pStyle w:val="Body"/>
              <w:jc w:val="both"/>
              <w:rPr>
                <w:rFonts w:cs="Arial"/>
                <w:b/>
                <w:sz w:val="24"/>
                <w:szCs w:val="24"/>
              </w:rPr>
            </w:pPr>
          </w:p>
          <w:p w14:paraId="52E06D21" w14:textId="65F278A7" w:rsidR="00B50E11" w:rsidRPr="0031449E" w:rsidRDefault="00416EA1" w:rsidP="00775C17">
            <w:pPr>
              <w:pStyle w:val="Body"/>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100" w:type="dxa"/>
          </w:tcPr>
          <w:p w14:paraId="06C77BC2" w14:textId="032FD205" w:rsidR="00B50E11" w:rsidRPr="0031449E" w:rsidRDefault="00B50E11" w:rsidP="00F43C5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tc>
      </w:tr>
      <w:tr w:rsidR="00B50E11" w:rsidRPr="0031449E" w14:paraId="4829D036" w14:textId="77777777" w:rsidTr="000E551C">
        <w:trPr>
          <w:gridAfter w:val="1"/>
          <w:wAfter w:w="64" w:type="dxa"/>
        </w:trPr>
        <w:tc>
          <w:tcPr>
            <w:tcW w:w="5529" w:type="dxa"/>
          </w:tcPr>
          <w:p w14:paraId="0C29CDE0" w14:textId="77777777" w:rsidR="00B50E11" w:rsidRDefault="00B50E11"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1F3E7A41" w14:textId="77777777" w:rsidR="00F0106C" w:rsidRDefault="004234BC" w:rsidP="00B50E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 xml:space="preserve">SIGODI MARAH MARTIN </w:t>
            </w:r>
          </w:p>
          <w:p w14:paraId="3ACBB1CA" w14:textId="2CBE653C" w:rsidR="00B50E11" w:rsidRPr="0031449E" w:rsidRDefault="004234BC" w:rsidP="00B50E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sz w:val="24"/>
                <w:szCs w:val="24"/>
              </w:rPr>
            </w:pPr>
            <w:r>
              <w:rPr>
                <w:rFonts w:cs="Arial"/>
                <w:b/>
                <w:bCs/>
                <w:sz w:val="24"/>
                <w:szCs w:val="24"/>
                <w:lang w:val="de-DE"/>
              </w:rPr>
              <w:t>MANAGEMENT SUPPORT (PTY) LTD</w:t>
            </w:r>
          </w:p>
        </w:tc>
        <w:tc>
          <w:tcPr>
            <w:tcW w:w="4100" w:type="dxa"/>
          </w:tcPr>
          <w:p w14:paraId="33705AB1" w14:textId="77777777" w:rsidR="00B50E11" w:rsidRDefault="00B50E11"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45444161" w:rsidR="00B50E11" w:rsidRPr="0031449E" w:rsidRDefault="008D34A8"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DEFENDANT</w:t>
            </w:r>
          </w:p>
        </w:tc>
      </w:tr>
      <w:tr w:rsidR="000E551C" w:rsidRPr="00217B1F" w14:paraId="4AE3C551" w14:textId="77777777" w:rsidTr="000E551C">
        <w:trPr>
          <w:trHeight w:val="1045"/>
        </w:trPr>
        <w:tc>
          <w:tcPr>
            <w:tcW w:w="9693" w:type="dxa"/>
            <w:gridSpan w:val="3"/>
          </w:tcPr>
          <w:p w14:paraId="3630155C" w14:textId="77777777" w:rsidR="000E551C" w:rsidRPr="00217B1F" w:rsidRDefault="000E551C"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0E551C" w14:paraId="1FA810E9" w14:textId="77777777" w:rsidTr="00775C17">
              <w:tc>
                <w:tcPr>
                  <w:tcW w:w="1734" w:type="dxa"/>
                </w:tcPr>
                <w:p w14:paraId="6DB04D2D" w14:textId="77777777" w:rsidR="000E551C" w:rsidRPr="00364832" w:rsidRDefault="000E551C" w:rsidP="008F3CC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Coram:</w:t>
                  </w:r>
                  <w:r w:rsidRPr="00364832">
                    <w:rPr>
                      <w:rFonts w:ascii="Times" w:eastAsia="Times New Roman" w:hAnsi="Times" w:cs="Arial"/>
                      <w:i/>
                      <w:iCs/>
                      <w:sz w:val="24"/>
                      <w:szCs w:val="24"/>
                      <w:lang w:val="en-ZA"/>
                    </w:rPr>
                    <w:t>          </w:t>
                  </w:r>
                </w:p>
              </w:tc>
              <w:tc>
                <w:tcPr>
                  <w:tcW w:w="7513" w:type="dxa"/>
                </w:tcPr>
                <w:p w14:paraId="1F8DA0A0" w14:textId="77777777" w:rsidR="000E551C" w:rsidRPr="00217B1F" w:rsidRDefault="000E551C" w:rsidP="008F3CCE">
                  <w:pPr>
                    <w:tabs>
                      <w:tab w:val="left" w:pos="1417"/>
                    </w:tabs>
                    <w:spacing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1757D58C" w14:textId="77777777" w:rsidR="000E551C" w:rsidRDefault="000E551C" w:rsidP="008F3CC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0E551C" w14:paraId="47A618BC" w14:textId="77777777" w:rsidTr="00775C17">
              <w:tc>
                <w:tcPr>
                  <w:tcW w:w="1734" w:type="dxa"/>
                </w:tcPr>
                <w:p w14:paraId="0D9D8534" w14:textId="77777777" w:rsidR="000E551C" w:rsidRPr="00364832" w:rsidRDefault="000E551C" w:rsidP="008F3CC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Heard on</w:t>
                  </w:r>
                  <w:r w:rsidRPr="00364832">
                    <w:rPr>
                      <w:rFonts w:ascii="Times" w:eastAsia="Times New Roman" w:hAnsi="Times" w:cs="Arial"/>
                      <w:i/>
                      <w:iCs/>
                      <w:sz w:val="24"/>
                      <w:szCs w:val="24"/>
                      <w:lang w:val="en-ZA"/>
                    </w:rPr>
                    <w:t>:      </w:t>
                  </w:r>
                </w:p>
              </w:tc>
              <w:tc>
                <w:tcPr>
                  <w:tcW w:w="7513" w:type="dxa"/>
                </w:tcPr>
                <w:p w14:paraId="6F0BC519" w14:textId="01D09CA2" w:rsidR="000E551C" w:rsidRPr="00217B1F" w:rsidRDefault="00F23F8A" w:rsidP="008F3CCE">
                  <w:pPr>
                    <w:spacing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 xml:space="preserve"> 1</w:t>
                  </w:r>
                  <w:r w:rsidRPr="00F23F8A">
                    <w:rPr>
                      <w:rFonts w:ascii="Arial" w:eastAsia="Times New Roman" w:hAnsi="Arial" w:cs="Arial"/>
                      <w:color w:val="000000"/>
                      <w:sz w:val="24"/>
                      <w:szCs w:val="24"/>
                      <w:vertAlign w:val="superscript"/>
                      <w:lang w:val="en-ZA"/>
                    </w:rPr>
                    <w:t>st</w:t>
                  </w:r>
                  <w:r>
                    <w:rPr>
                      <w:rFonts w:ascii="Arial" w:eastAsia="Times New Roman" w:hAnsi="Arial" w:cs="Arial"/>
                      <w:color w:val="000000"/>
                      <w:sz w:val="24"/>
                      <w:szCs w:val="24"/>
                      <w:lang w:val="en-ZA"/>
                    </w:rPr>
                    <w:t xml:space="preserve">  &amp; 2</w:t>
                  </w:r>
                  <w:r w:rsidRPr="00F23F8A">
                    <w:rPr>
                      <w:rFonts w:ascii="Arial" w:eastAsia="Times New Roman" w:hAnsi="Arial" w:cs="Arial"/>
                      <w:color w:val="000000"/>
                      <w:sz w:val="24"/>
                      <w:szCs w:val="24"/>
                      <w:vertAlign w:val="superscript"/>
                      <w:lang w:val="en-ZA"/>
                    </w:rPr>
                    <w:t>nd</w:t>
                  </w:r>
                  <w:r>
                    <w:rPr>
                      <w:rFonts w:ascii="Arial" w:eastAsia="Times New Roman" w:hAnsi="Arial" w:cs="Arial"/>
                      <w:color w:val="000000"/>
                      <w:sz w:val="24"/>
                      <w:szCs w:val="24"/>
                      <w:lang w:val="en-ZA"/>
                    </w:rPr>
                    <w:t xml:space="preserve">  August </w:t>
                  </w:r>
                  <w:r w:rsidR="000E551C" w:rsidRPr="00217B1F">
                    <w:rPr>
                      <w:rFonts w:ascii="Arial" w:eastAsia="Times New Roman" w:hAnsi="Arial" w:cs="Arial"/>
                      <w:color w:val="000000"/>
                      <w:sz w:val="24"/>
                      <w:szCs w:val="24"/>
                      <w:lang w:val="en-ZA"/>
                    </w:rPr>
                    <w:t>202</w:t>
                  </w:r>
                  <w:r>
                    <w:rPr>
                      <w:rFonts w:ascii="Arial" w:eastAsia="Times New Roman" w:hAnsi="Arial" w:cs="Arial"/>
                      <w:color w:val="000000"/>
                      <w:sz w:val="24"/>
                      <w:szCs w:val="24"/>
                      <w:lang w:val="en-ZA"/>
                    </w:rPr>
                    <w:t>3</w:t>
                  </w:r>
                  <w:r w:rsidR="000E551C" w:rsidRPr="00217B1F">
                    <w:rPr>
                      <w:rFonts w:ascii="Arial" w:eastAsia="Times New Roman" w:hAnsi="Arial" w:cs="Arial"/>
                      <w:color w:val="000000"/>
                      <w:sz w:val="24"/>
                      <w:szCs w:val="24"/>
                      <w:lang w:val="en-ZA"/>
                    </w:rPr>
                    <w:t xml:space="preserve"> </w:t>
                  </w:r>
                </w:p>
                <w:p w14:paraId="31954C8A" w14:textId="77777777" w:rsidR="000E551C" w:rsidRDefault="000E551C" w:rsidP="008F3CC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0E551C" w14:paraId="68D2AAA2" w14:textId="77777777" w:rsidTr="00775C17">
              <w:tc>
                <w:tcPr>
                  <w:tcW w:w="1734" w:type="dxa"/>
                </w:tcPr>
                <w:p w14:paraId="4A0FAC87" w14:textId="77777777" w:rsidR="000E551C" w:rsidRPr="00364832" w:rsidRDefault="000E551C"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lastRenderedPageBreak/>
                    <w:t xml:space="preserve">Delivered:   </w:t>
                  </w:r>
                </w:p>
              </w:tc>
              <w:tc>
                <w:tcPr>
                  <w:tcW w:w="7513" w:type="dxa"/>
                </w:tcPr>
                <w:p w14:paraId="565A94C7" w14:textId="79A2EF24" w:rsidR="000E551C" w:rsidRPr="00217B1F" w:rsidRDefault="000A55B1" w:rsidP="00775C17">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29</w:t>
                  </w:r>
                  <w:r w:rsidR="000E551C" w:rsidRPr="00217B1F">
                    <w:rPr>
                      <w:rFonts w:ascii="Arial" w:eastAsia="Times New Roman" w:hAnsi="Arial" w:cs="Arial"/>
                      <w:color w:val="000000"/>
                      <w:sz w:val="24"/>
                      <w:szCs w:val="24"/>
                      <w:lang w:val="en-ZA"/>
                    </w:rPr>
                    <w:t xml:space="preserve"> </w:t>
                  </w:r>
                  <w:r w:rsidR="00AC7ECE">
                    <w:rPr>
                      <w:rFonts w:ascii="Arial" w:eastAsia="Times New Roman" w:hAnsi="Arial" w:cs="Arial"/>
                      <w:color w:val="000000"/>
                      <w:sz w:val="24"/>
                      <w:szCs w:val="24"/>
                      <w:lang w:val="en-ZA"/>
                    </w:rPr>
                    <w:t xml:space="preserve">August </w:t>
                  </w:r>
                  <w:r w:rsidR="000E551C" w:rsidRPr="00217B1F">
                    <w:rPr>
                      <w:rFonts w:ascii="Arial" w:eastAsia="Times New Roman" w:hAnsi="Arial" w:cs="Arial"/>
                      <w:color w:val="000000"/>
                      <w:sz w:val="24"/>
                      <w:szCs w:val="24"/>
                      <w:lang w:val="en-ZA"/>
                    </w:rPr>
                    <w:t>202</w:t>
                  </w:r>
                  <w:r w:rsidR="00AC7ECE">
                    <w:rPr>
                      <w:rFonts w:ascii="Arial" w:eastAsia="Times New Roman" w:hAnsi="Arial" w:cs="Arial"/>
                      <w:color w:val="000000"/>
                      <w:sz w:val="24"/>
                      <w:szCs w:val="24"/>
                      <w:lang w:val="en-ZA"/>
                    </w:rPr>
                    <w:t>3</w:t>
                  </w:r>
                  <w:r w:rsidR="000E551C">
                    <w:rPr>
                      <w:rFonts w:ascii="Arial" w:eastAsia="Times New Roman" w:hAnsi="Arial" w:cs="Arial"/>
                      <w:color w:val="000000"/>
                      <w:sz w:val="24"/>
                      <w:szCs w:val="24"/>
                      <w:lang w:val="en-ZA"/>
                    </w:rPr>
                    <w:t xml:space="preserve"> - T</w:t>
                  </w:r>
                  <w:r w:rsidR="000E551C" w:rsidRPr="00217B1F">
                    <w:rPr>
                      <w:rFonts w:ascii="Arial" w:eastAsia="Times New Roman" w:hAnsi="Arial" w:cs="Arial"/>
                      <w:color w:val="000000"/>
                      <w:sz w:val="24"/>
                      <w:szCs w:val="24"/>
                      <w:lang w:val="en-ZA"/>
                    </w:rPr>
                    <w:t>his judgment was handed down electronically by</w:t>
                  </w:r>
                  <w:r w:rsidR="000E551C">
                    <w:rPr>
                      <w:rFonts w:ascii="Arial" w:eastAsia="Times New Roman" w:hAnsi="Arial" w:cs="Arial"/>
                      <w:color w:val="000000"/>
                      <w:sz w:val="24"/>
                      <w:szCs w:val="24"/>
                      <w:lang w:val="en-ZA"/>
                    </w:rPr>
                    <w:t xml:space="preserve"> </w:t>
                  </w:r>
                  <w:r w:rsidR="000E551C" w:rsidRPr="00217B1F">
                    <w:rPr>
                      <w:rFonts w:ascii="Arial" w:eastAsia="Times New Roman" w:hAnsi="Arial" w:cs="Arial"/>
                      <w:color w:val="000000"/>
                      <w:sz w:val="24"/>
                      <w:szCs w:val="24"/>
                      <w:lang w:val="en-ZA"/>
                    </w:rPr>
                    <w:t>circulation to the</w:t>
                  </w:r>
                  <w:r w:rsidR="000E551C">
                    <w:rPr>
                      <w:rFonts w:ascii="Arial" w:eastAsia="Times New Roman" w:hAnsi="Arial" w:cs="Arial"/>
                      <w:color w:val="000000"/>
                      <w:sz w:val="24"/>
                      <w:szCs w:val="24"/>
                      <w:lang w:val="en-ZA"/>
                    </w:rPr>
                    <w:t xml:space="preserve"> </w:t>
                  </w:r>
                  <w:r w:rsidR="000E551C" w:rsidRPr="00217B1F">
                    <w:rPr>
                      <w:rFonts w:ascii="Arial" w:eastAsia="Times New Roman" w:hAnsi="Arial" w:cs="Arial"/>
                      <w:color w:val="000000"/>
                      <w:sz w:val="24"/>
                      <w:szCs w:val="24"/>
                      <w:lang w:val="en-ZA"/>
                    </w:rPr>
                    <w:t>parties' representatives by email, by being uploaded to the </w:t>
                  </w:r>
                  <w:r w:rsidR="000E551C" w:rsidRPr="00217B1F">
                    <w:rPr>
                      <w:rFonts w:ascii="Arial" w:eastAsia="Times New Roman" w:hAnsi="Arial" w:cs="Arial"/>
                      <w:i/>
                      <w:iCs/>
                      <w:color w:val="000000"/>
                      <w:sz w:val="24"/>
                      <w:szCs w:val="24"/>
                      <w:lang w:val="en-ZA"/>
                    </w:rPr>
                    <w:t>CaseLines</w:t>
                  </w:r>
                  <w:r w:rsidR="000E551C" w:rsidRPr="00217B1F">
                    <w:rPr>
                      <w:rFonts w:ascii="Arial" w:eastAsia="Times New Roman" w:hAnsi="Arial" w:cs="Arial"/>
                      <w:color w:val="000000"/>
                      <w:sz w:val="24"/>
                      <w:szCs w:val="24"/>
                      <w:lang w:val="en-ZA"/>
                    </w:rPr>
                    <w:t> system of the GD and by release to SAFLII. The date and time for hand-down is deemed to be 1</w:t>
                  </w:r>
                  <w:r w:rsidR="000E551C">
                    <w:rPr>
                      <w:rFonts w:ascii="Arial" w:eastAsia="Times New Roman" w:hAnsi="Arial" w:cs="Arial"/>
                      <w:color w:val="000000"/>
                      <w:sz w:val="24"/>
                      <w:szCs w:val="24"/>
                      <w:lang w:val="en-ZA"/>
                    </w:rPr>
                    <w:t>0</w:t>
                  </w:r>
                  <w:r w:rsidR="000E551C"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29</w:t>
                  </w:r>
                  <w:r w:rsidR="000E551C">
                    <w:rPr>
                      <w:rFonts w:ascii="Arial" w:eastAsia="Times New Roman" w:hAnsi="Arial" w:cs="Arial"/>
                      <w:color w:val="000000"/>
                      <w:sz w:val="24"/>
                      <w:szCs w:val="24"/>
                      <w:lang w:val="en-ZA"/>
                    </w:rPr>
                    <w:t xml:space="preserve"> </w:t>
                  </w:r>
                  <w:r w:rsidR="00AC7ECE">
                    <w:rPr>
                      <w:rFonts w:ascii="Arial" w:eastAsia="Times New Roman" w:hAnsi="Arial" w:cs="Arial"/>
                      <w:color w:val="000000"/>
                      <w:sz w:val="24"/>
                      <w:szCs w:val="24"/>
                      <w:lang w:val="en-ZA"/>
                    </w:rPr>
                    <w:t xml:space="preserve">August </w:t>
                  </w:r>
                  <w:r w:rsidR="000E551C" w:rsidRPr="00217B1F">
                    <w:rPr>
                      <w:rFonts w:ascii="Arial" w:eastAsia="Times New Roman" w:hAnsi="Arial" w:cs="Arial"/>
                      <w:color w:val="000000"/>
                      <w:sz w:val="24"/>
                      <w:szCs w:val="24"/>
                      <w:lang w:val="en-ZA"/>
                    </w:rPr>
                    <w:t>202</w:t>
                  </w:r>
                  <w:r w:rsidR="00AC7ECE">
                    <w:rPr>
                      <w:rFonts w:ascii="Arial" w:eastAsia="Times New Roman" w:hAnsi="Arial" w:cs="Arial"/>
                      <w:color w:val="000000"/>
                      <w:sz w:val="24"/>
                      <w:szCs w:val="24"/>
                      <w:lang w:val="en-ZA"/>
                    </w:rPr>
                    <w:t>3</w:t>
                  </w:r>
                  <w:r w:rsidR="000E551C" w:rsidRPr="00217B1F">
                    <w:rPr>
                      <w:rFonts w:ascii="Arial" w:eastAsia="Times New Roman" w:hAnsi="Arial" w:cs="Arial"/>
                      <w:color w:val="000000"/>
                      <w:sz w:val="24"/>
                      <w:szCs w:val="24"/>
                      <w:lang w:val="en-ZA"/>
                    </w:rPr>
                    <w:t>.</w:t>
                  </w:r>
                </w:p>
                <w:p w14:paraId="6C0A790C" w14:textId="77777777" w:rsidR="000E551C" w:rsidRDefault="000E551C"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0E551C" w14:paraId="50420F42" w14:textId="77777777" w:rsidTr="00775C17">
              <w:tc>
                <w:tcPr>
                  <w:tcW w:w="1734" w:type="dxa"/>
                </w:tcPr>
                <w:p w14:paraId="74E8EAA1" w14:textId="77777777" w:rsidR="000E551C" w:rsidRPr="00364832" w:rsidRDefault="000E551C"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Summary:      </w:t>
                  </w:r>
                </w:p>
              </w:tc>
              <w:tc>
                <w:tcPr>
                  <w:tcW w:w="7513" w:type="dxa"/>
                </w:tcPr>
                <w:p w14:paraId="267E2444" w14:textId="5026EEE9" w:rsidR="000E551C" w:rsidRPr="002518C4" w:rsidRDefault="00C02B93"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r>
                    <w:rPr>
                      <w:rFonts w:cs="Arial"/>
                      <w:sz w:val="24"/>
                      <w:szCs w:val="24"/>
                    </w:rPr>
                    <w:t xml:space="preserve">Claim for payment of balance of agreed price for engineering services rendered – defence that scope of work insufficiently set out in agreement or pleaded - agreement negotiated between parties who understood the scope of the work to be done – conduct of parties establishing that they were </w:t>
                  </w:r>
                  <w:r w:rsidRPr="00C02B93">
                    <w:rPr>
                      <w:rFonts w:cs="Arial"/>
                      <w:i/>
                      <w:iCs/>
                      <w:sz w:val="24"/>
                      <w:szCs w:val="24"/>
                    </w:rPr>
                    <w:t>ad idem</w:t>
                  </w:r>
                  <w:r>
                    <w:rPr>
                      <w:rFonts w:cs="Arial"/>
                      <w:sz w:val="24"/>
                      <w:szCs w:val="24"/>
                    </w:rPr>
                    <w:t xml:space="preserve"> as to what was to be done and what was to be paid for it. </w:t>
                  </w:r>
                </w:p>
              </w:tc>
            </w:tr>
          </w:tbl>
          <w:p w14:paraId="1150268E" w14:textId="77777777" w:rsidR="000E551C" w:rsidRPr="00217B1F" w:rsidRDefault="000E551C"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0E551C" w:rsidRPr="005D79B5" w14:paraId="7D7B11B7" w14:textId="77777777" w:rsidTr="000E551C">
        <w:tc>
          <w:tcPr>
            <w:tcW w:w="9693" w:type="dxa"/>
            <w:gridSpan w:val="3"/>
          </w:tcPr>
          <w:p w14:paraId="174D8BE8" w14:textId="77777777" w:rsidR="000E551C" w:rsidRPr="00217B1F" w:rsidRDefault="000E551C" w:rsidP="008F3CCE">
            <w:pPr>
              <w:spacing w:after="120" w:line="360" w:lineRule="atLeast"/>
              <w:jc w:val="both"/>
              <w:rPr>
                <w:rFonts w:ascii="Arial" w:eastAsia="Times New Roman" w:hAnsi="Arial" w:cs="Arial"/>
                <w:color w:val="000000"/>
                <w:sz w:val="24"/>
                <w:szCs w:val="24"/>
              </w:rPr>
            </w:pPr>
            <w:r w:rsidRPr="00217B1F">
              <w:rPr>
                <w:rFonts w:ascii="Arial" w:eastAsia="Times New Roman" w:hAnsi="Arial" w:cs="Arial"/>
                <w:b/>
                <w:bCs/>
                <w:color w:val="000000"/>
                <w:sz w:val="24"/>
                <w:szCs w:val="24"/>
                <w:lang w:val="en-ZA"/>
              </w:rPr>
              <w:lastRenderedPageBreak/>
              <w:t> </w:t>
            </w:r>
          </w:p>
          <w:p w14:paraId="14FCFEC7" w14:textId="77777777" w:rsidR="000E551C" w:rsidRPr="00217B1F" w:rsidRDefault="000E551C" w:rsidP="00775C17">
            <w:pPr>
              <w:pStyle w:val="LegalTramLines"/>
              <w:pBdr>
                <w:top w:val="single" w:sz="12" w:space="18" w:color="auto"/>
                <w:bottom w:val="single" w:sz="12" w:space="18" w:color="auto"/>
              </w:pBdr>
              <w:spacing w:after="240"/>
              <w:rPr>
                <w:rFonts w:ascii="Arial" w:hAnsi="Arial" w:cs="Arial"/>
                <w:sz w:val="24"/>
                <w:szCs w:val="24"/>
              </w:rPr>
            </w:pPr>
            <w:r w:rsidRPr="00217B1F">
              <w:rPr>
                <w:rFonts w:ascii="Arial" w:hAnsi="Arial" w:cs="Arial"/>
                <w:sz w:val="24"/>
                <w:szCs w:val="24"/>
              </w:rPr>
              <w:t>ORDER</w:t>
            </w:r>
          </w:p>
          <w:p w14:paraId="48C6D44F" w14:textId="77777777" w:rsidR="000E551C" w:rsidRPr="005D79B5" w:rsidRDefault="000E551C" w:rsidP="00775C17">
            <w:pPr>
              <w:pStyle w:val="LegalMAINHEADING"/>
              <w:spacing w:before="0" w:after="120" w:line="360" w:lineRule="auto"/>
              <w:rPr>
                <w:rFonts w:cs="Arial"/>
                <w:b w:val="0"/>
                <w:caps w:val="0"/>
                <w:sz w:val="24"/>
                <w:szCs w:val="24"/>
                <w:lang w:eastAsia="en-US"/>
              </w:rPr>
            </w:pPr>
            <w:r w:rsidRPr="005D79B5">
              <w:rPr>
                <w:rFonts w:cs="Arial"/>
                <w:caps w:val="0"/>
                <w:sz w:val="24"/>
                <w:szCs w:val="24"/>
                <w:lang w:eastAsia="en-US"/>
              </w:rPr>
              <w:t>It is Ordered</w:t>
            </w:r>
            <w:r w:rsidRPr="005D79B5">
              <w:rPr>
                <w:rFonts w:cs="Arial"/>
                <w:b w:val="0"/>
                <w:caps w:val="0"/>
                <w:sz w:val="24"/>
                <w:szCs w:val="24"/>
                <w:lang w:eastAsia="en-US"/>
              </w:rPr>
              <w:t>:</w:t>
            </w:r>
          </w:p>
          <w:p w14:paraId="0ECBC780" w14:textId="77777777" w:rsidR="000E551C" w:rsidRPr="005D79B5" w:rsidRDefault="000E551C" w:rsidP="00775C17">
            <w:pPr>
              <w:rPr>
                <w:sz w:val="24"/>
                <w:szCs w:val="24"/>
                <w:lang w:val="en-GB"/>
              </w:rPr>
            </w:pPr>
          </w:p>
          <w:p w14:paraId="0AC6915A" w14:textId="0E97CBB4" w:rsidR="00D55187" w:rsidRDefault="00D55187" w:rsidP="00D55187">
            <w:pPr>
              <w:pStyle w:val="Body"/>
              <w:spacing w:line="360" w:lineRule="auto"/>
              <w:ind w:left="601" w:hanging="601"/>
              <w:jc w:val="both"/>
              <w:rPr>
                <w:rFonts w:eastAsia="Calibri" w:cs="Arial"/>
                <w:sz w:val="24"/>
                <w:szCs w:val="24"/>
                <w:lang w:eastAsia="en-ZA"/>
              </w:rPr>
            </w:pPr>
            <w:bookmarkStart w:id="0" w:name="_Hlk102030155"/>
            <w:r>
              <w:rPr>
                <w:rFonts w:eastAsia="Calibri" w:cs="Arial"/>
                <w:sz w:val="24"/>
                <w:szCs w:val="24"/>
                <w:lang w:eastAsia="en-ZA"/>
              </w:rPr>
              <w:t>[1]</w:t>
            </w:r>
            <w:r>
              <w:rPr>
                <w:rFonts w:eastAsia="Calibri" w:cs="Arial"/>
                <w:sz w:val="24"/>
                <w:szCs w:val="24"/>
                <w:lang w:eastAsia="en-ZA"/>
              </w:rPr>
              <w:tab/>
              <w:t>The defendant is ordered to pay the plaintiff the sum of R4 118 75</w:t>
            </w:r>
            <w:r w:rsidR="00CC5BEF">
              <w:rPr>
                <w:rFonts w:eastAsia="Calibri" w:cs="Arial"/>
                <w:sz w:val="24"/>
                <w:szCs w:val="24"/>
                <w:lang w:eastAsia="en-ZA"/>
              </w:rPr>
              <w:t>6</w:t>
            </w:r>
            <w:r>
              <w:rPr>
                <w:rFonts w:eastAsia="Calibri" w:cs="Arial"/>
                <w:sz w:val="24"/>
                <w:szCs w:val="24"/>
                <w:lang w:eastAsia="en-ZA"/>
              </w:rPr>
              <w:t>,</w:t>
            </w:r>
            <w:r w:rsidR="00CC5BEF">
              <w:rPr>
                <w:rFonts w:eastAsia="Calibri" w:cs="Arial"/>
                <w:sz w:val="24"/>
                <w:szCs w:val="24"/>
                <w:lang w:eastAsia="en-ZA"/>
              </w:rPr>
              <w:t>5</w:t>
            </w:r>
            <w:r>
              <w:rPr>
                <w:rFonts w:eastAsia="Calibri" w:cs="Arial"/>
                <w:sz w:val="24"/>
                <w:szCs w:val="24"/>
                <w:lang w:eastAsia="en-ZA"/>
              </w:rPr>
              <w:t>2.</w:t>
            </w:r>
          </w:p>
          <w:p w14:paraId="7EC2DD64" w14:textId="77777777" w:rsidR="00D55187" w:rsidRDefault="00D55187" w:rsidP="00D55187">
            <w:pPr>
              <w:pStyle w:val="Body"/>
              <w:spacing w:line="360" w:lineRule="auto"/>
              <w:ind w:left="601" w:hanging="601"/>
              <w:jc w:val="both"/>
              <w:rPr>
                <w:rFonts w:eastAsia="Calibri" w:cs="Arial"/>
                <w:sz w:val="24"/>
                <w:szCs w:val="24"/>
                <w:lang w:eastAsia="en-ZA"/>
              </w:rPr>
            </w:pPr>
          </w:p>
          <w:p w14:paraId="14B45245" w14:textId="17DFAE21" w:rsidR="00D55187" w:rsidRDefault="00D55187" w:rsidP="00D55187">
            <w:pPr>
              <w:pStyle w:val="Body"/>
              <w:spacing w:line="360" w:lineRule="auto"/>
              <w:ind w:left="601" w:hanging="601"/>
              <w:jc w:val="both"/>
              <w:rPr>
                <w:rFonts w:eastAsia="Calibri" w:cs="Arial"/>
                <w:sz w:val="24"/>
                <w:szCs w:val="24"/>
                <w:lang w:eastAsia="en-ZA"/>
              </w:rPr>
            </w:pPr>
            <w:r>
              <w:rPr>
                <w:rFonts w:eastAsia="Calibri" w:cs="Arial"/>
                <w:sz w:val="24"/>
                <w:szCs w:val="24"/>
                <w:lang w:eastAsia="en-ZA"/>
              </w:rPr>
              <w:t>[2]</w:t>
            </w:r>
            <w:r>
              <w:rPr>
                <w:rFonts w:eastAsia="Calibri" w:cs="Arial"/>
                <w:sz w:val="24"/>
                <w:szCs w:val="24"/>
                <w:lang w:eastAsia="en-ZA"/>
              </w:rPr>
              <w:tab/>
              <w:t>The defendant is ordered to pay to the plaintiff interest on the sum of R4 118 75</w:t>
            </w:r>
            <w:r w:rsidR="00CC5BEF">
              <w:rPr>
                <w:rFonts w:eastAsia="Calibri" w:cs="Arial"/>
                <w:sz w:val="24"/>
                <w:szCs w:val="24"/>
                <w:lang w:eastAsia="en-ZA"/>
              </w:rPr>
              <w:t>6</w:t>
            </w:r>
            <w:r>
              <w:rPr>
                <w:rFonts w:eastAsia="Calibri" w:cs="Arial"/>
                <w:sz w:val="24"/>
                <w:szCs w:val="24"/>
                <w:lang w:eastAsia="en-ZA"/>
              </w:rPr>
              <w:t>,</w:t>
            </w:r>
            <w:r w:rsidR="00CC5BEF">
              <w:rPr>
                <w:rFonts w:eastAsia="Calibri" w:cs="Arial"/>
                <w:sz w:val="24"/>
                <w:szCs w:val="24"/>
                <w:lang w:eastAsia="en-ZA"/>
              </w:rPr>
              <w:t>5</w:t>
            </w:r>
            <w:r>
              <w:rPr>
                <w:rFonts w:eastAsia="Calibri" w:cs="Arial"/>
                <w:sz w:val="24"/>
                <w:szCs w:val="24"/>
                <w:lang w:eastAsia="en-ZA"/>
              </w:rPr>
              <w:t xml:space="preserve">2 a </w:t>
            </w:r>
            <w:r w:rsidRPr="00903303">
              <w:rPr>
                <w:rFonts w:eastAsia="Calibri" w:cs="Arial"/>
                <w:i/>
                <w:iCs/>
                <w:sz w:val="24"/>
                <w:szCs w:val="24"/>
                <w:lang w:eastAsia="en-ZA"/>
              </w:rPr>
              <w:t>tempore mora</w:t>
            </w:r>
            <w:r>
              <w:rPr>
                <w:rFonts w:eastAsia="Calibri" w:cs="Arial"/>
                <w:i/>
                <w:iCs/>
                <w:sz w:val="24"/>
                <w:szCs w:val="24"/>
                <w:lang w:eastAsia="en-ZA"/>
              </w:rPr>
              <w:t>e</w:t>
            </w:r>
            <w:r>
              <w:rPr>
                <w:rFonts w:eastAsia="Calibri" w:cs="Arial"/>
                <w:sz w:val="24"/>
                <w:szCs w:val="24"/>
                <w:lang w:eastAsia="en-ZA"/>
              </w:rPr>
              <w:t xml:space="preserve"> at the rate of 8,75% per annum. </w:t>
            </w:r>
          </w:p>
          <w:p w14:paraId="64C4EE2A" w14:textId="77777777" w:rsidR="00D55187" w:rsidRDefault="00D55187" w:rsidP="00D55187">
            <w:pPr>
              <w:pStyle w:val="Body"/>
              <w:spacing w:line="360" w:lineRule="auto"/>
              <w:ind w:left="601" w:hanging="601"/>
              <w:jc w:val="both"/>
              <w:rPr>
                <w:rFonts w:eastAsia="Calibri" w:cs="Arial"/>
                <w:sz w:val="24"/>
                <w:szCs w:val="24"/>
                <w:lang w:eastAsia="en-ZA"/>
              </w:rPr>
            </w:pPr>
          </w:p>
          <w:p w14:paraId="4D5CD598" w14:textId="4E72E8FA" w:rsidR="000E551C" w:rsidRPr="00FB421B" w:rsidRDefault="00D55187" w:rsidP="00FB421B">
            <w:pPr>
              <w:pStyle w:val="Body"/>
              <w:spacing w:line="360" w:lineRule="auto"/>
              <w:ind w:left="601" w:hanging="601"/>
              <w:jc w:val="both"/>
              <w:rPr>
                <w:rFonts w:eastAsia="Calibri" w:cs="Arial"/>
                <w:sz w:val="24"/>
                <w:szCs w:val="24"/>
                <w:lang w:eastAsia="en-ZA"/>
              </w:rPr>
            </w:pPr>
            <w:r>
              <w:rPr>
                <w:rFonts w:eastAsia="Calibri" w:cs="Arial"/>
                <w:sz w:val="24"/>
                <w:szCs w:val="24"/>
                <w:lang w:eastAsia="en-ZA"/>
              </w:rPr>
              <w:t>[3]</w:t>
            </w:r>
            <w:r>
              <w:rPr>
                <w:rFonts w:eastAsia="Calibri" w:cs="Arial"/>
                <w:sz w:val="24"/>
                <w:szCs w:val="24"/>
                <w:lang w:eastAsia="en-ZA"/>
              </w:rPr>
              <w:tab/>
              <w:t>The defendant is ordered to pay the costs of suit on the scale as between party and party.</w:t>
            </w:r>
            <w:bookmarkEnd w:id="0"/>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775C17">
        <w:tc>
          <w:tcPr>
            <w:tcW w:w="9350" w:type="dxa"/>
          </w:tcPr>
          <w:p w14:paraId="3A5115EF" w14:textId="77777777" w:rsidR="00650745" w:rsidRDefault="00650745"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27341B" w:rsidRDefault="00B50E11" w:rsidP="00775C1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27341B">
              <w:rPr>
                <w:rFonts w:eastAsia="Tahoma" w:cs="Arial"/>
                <w:b/>
                <w:bCs/>
                <w:sz w:val="32"/>
                <w:szCs w:val="24"/>
                <w:lang w:val="de-DE"/>
              </w:rPr>
              <w:t>JUDGMENT</w:t>
            </w:r>
          </w:p>
        </w:tc>
      </w:tr>
    </w:tbl>
    <w:p w14:paraId="397DE03A" w14:textId="77777777" w:rsidR="00C519B2" w:rsidRDefault="00C519B2" w:rsidP="00D55187">
      <w:pPr>
        <w:pStyle w:val="Body"/>
        <w:spacing w:line="360" w:lineRule="auto"/>
        <w:jc w:val="both"/>
        <w:rPr>
          <w:b/>
          <w:sz w:val="22"/>
          <w:szCs w:val="22"/>
        </w:rPr>
      </w:pPr>
    </w:p>
    <w:p w14:paraId="31AD95DF" w14:textId="5C2B1A5D" w:rsidR="00B50E11" w:rsidRPr="00AC7ECE" w:rsidRDefault="00B50E11" w:rsidP="00D55187">
      <w:pPr>
        <w:pStyle w:val="Body"/>
        <w:spacing w:line="360" w:lineRule="auto"/>
        <w:jc w:val="both"/>
        <w:rPr>
          <w:b/>
          <w:sz w:val="24"/>
          <w:szCs w:val="24"/>
          <w:u w:val="single"/>
        </w:rPr>
      </w:pPr>
      <w:r w:rsidRPr="00AC7ECE">
        <w:rPr>
          <w:b/>
          <w:sz w:val="24"/>
          <w:szCs w:val="24"/>
          <w:u w:val="single"/>
        </w:rPr>
        <w:t>MILLAR</w:t>
      </w:r>
      <w:r w:rsidR="001E4A15" w:rsidRPr="00AC7ECE">
        <w:rPr>
          <w:b/>
          <w:sz w:val="24"/>
          <w:szCs w:val="24"/>
          <w:u w:val="single"/>
        </w:rPr>
        <w:t xml:space="preserve"> </w:t>
      </w:r>
      <w:r w:rsidRPr="00AC7ECE">
        <w:rPr>
          <w:b/>
          <w:sz w:val="24"/>
          <w:szCs w:val="24"/>
          <w:u w:val="single"/>
        </w:rPr>
        <w:t xml:space="preserve"> J</w:t>
      </w:r>
    </w:p>
    <w:p w14:paraId="0706012E" w14:textId="77777777" w:rsidR="00363165" w:rsidRPr="00AC7ECE" w:rsidRDefault="00363165" w:rsidP="00D55187">
      <w:pPr>
        <w:pStyle w:val="Body"/>
        <w:tabs>
          <w:tab w:val="center" w:pos="851"/>
          <w:tab w:val="center" w:pos="1701"/>
          <w:tab w:val="center" w:pos="2552"/>
        </w:tabs>
        <w:spacing w:line="360" w:lineRule="auto"/>
        <w:jc w:val="both"/>
        <w:rPr>
          <w:rFonts w:cs="Arial"/>
          <w:b/>
          <w:sz w:val="24"/>
          <w:szCs w:val="24"/>
          <w:u w:val="single"/>
        </w:rPr>
      </w:pPr>
    </w:p>
    <w:p w14:paraId="4E0C36E3" w14:textId="394E7707" w:rsidR="003D7A03" w:rsidRDefault="004D2B3A" w:rsidP="004D2B3A">
      <w:pPr>
        <w:pStyle w:val="Body"/>
        <w:spacing w:line="360" w:lineRule="auto"/>
        <w:ind w:left="851" w:hanging="851"/>
        <w:jc w:val="both"/>
        <w:rPr>
          <w:rFonts w:cs="Arial"/>
          <w:sz w:val="24"/>
          <w:szCs w:val="24"/>
        </w:rPr>
      </w:pPr>
      <w:r>
        <w:rPr>
          <w:rFonts w:cs="Arial"/>
          <w:sz w:val="24"/>
          <w:szCs w:val="24"/>
        </w:rPr>
        <w:t>[1]</w:t>
      </w:r>
      <w:r>
        <w:rPr>
          <w:rFonts w:cs="Arial"/>
          <w:sz w:val="24"/>
          <w:szCs w:val="24"/>
        </w:rPr>
        <w:tab/>
      </w:r>
      <w:r w:rsidR="003D7A03" w:rsidRPr="002B5EAC">
        <w:rPr>
          <w:rFonts w:cs="Arial"/>
          <w:sz w:val="24"/>
          <w:szCs w:val="24"/>
        </w:rPr>
        <w:t>This is a case in which the plaintiff, a firm of consulting engineers (HAMSA) sued the defendant</w:t>
      </w:r>
      <w:r w:rsidR="000A55B1">
        <w:rPr>
          <w:rFonts w:cs="Arial"/>
          <w:sz w:val="24"/>
          <w:szCs w:val="24"/>
        </w:rPr>
        <w:t xml:space="preserve"> </w:t>
      </w:r>
      <w:r w:rsidR="003D7A03" w:rsidRPr="002B5EAC">
        <w:rPr>
          <w:rFonts w:cs="Arial"/>
          <w:sz w:val="24"/>
          <w:szCs w:val="24"/>
        </w:rPr>
        <w:t>(SMM)</w:t>
      </w:r>
      <w:r w:rsidR="000A55B1">
        <w:rPr>
          <w:rFonts w:cs="Arial"/>
          <w:sz w:val="24"/>
          <w:szCs w:val="24"/>
        </w:rPr>
        <w:t>,</w:t>
      </w:r>
      <w:r w:rsidR="003D7A03" w:rsidRPr="002B5EAC">
        <w:rPr>
          <w:rFonts w:cs="Arial"/>
          <w:sz w:val="24"/>
          <w:szCs w:val="24"/>
        </w:rPr>
        <w:t xml:space="preserve"> for the </w:t>
      </w:r>
      <w:r w:rsidR="000A55B1">
        <w:rPr>
          <w:rFonts w:cs="Arial"/>
          <w:sz w:val="24"/>
          <w:szCs w:val="24"/>
        </w:rPr>
        <w:t xml:space="preserve">outstanding </w:t>
      </w:r>
      <w:r w:rsidR="003D7A03" w:rsidRPr="002B5EAC">
        <w:rPr>
          <w:rFonts w:cs="Arial"/>
          <w:sz w:val="24"/>
          <w:szCs w:val="24"/>
        </w:rPr>
        <w:t xml:space="preserve">balance </w:t>
      </w:r>
      <w:r w:rsidR="000A55B1">
        <w:rPr>
          <w:rFonts w:cs="Arial"/>
          <w:sz w:val="24"/>
          <w:szCs w:val="24"/>
        </w:rPr>
        <w:t>for</w:t>
      </w:r>
      <w:r w:rsidR="003D7A03" w:rsidRPr="002B5EAC">
        <w:rPr>
          <w:rFonts w:cs="Arial"/>
          <w:sz w:val="24"/>
          <w:szCs w:val="24"/>
        </w:rPr>
        <w:t xml:space="preserve"> services rendered. SMM </w:t>
      </w:r>
      <w:r w:rsidR="000A55B1">
        <w:rPr>
          <w:rFonts w:cs="Arial"/>
          <w:sz w:val="24"/>
          <w:szCs w:val="24"/>
        </w:rPr>
        <w:t>was</w:t>
      </w:r>
      <w:r w:rsidR="003D7A03" w:rsidRPr="002B5EAC">
        <w:rPr>
          <w:rFonts w:cs="Arial"/>
          <w:sz w:val="24"/>
          <w:szCs w:val="24"/>
        </w:rPr>
        <w:t xml:space="preserve"> appointed as a sub-contractor by LTE who was the successful tenderer for works to </w:t>
      </w:r>
      <w:r w:rsidR="00217EF3" w:rsidRPr="002B5EAC">
        <w:rPr>
          <w:rFonts w:cs="Arial"/>
          <w:sz w:val="24"/>
          <w:szCs w:val="24"/>
        </w:rPr>
        <w:t>be done</w:t>
      </w:r>
      <w:r w:rsidR="003D7A03" w:rsidRPr="002B5EAC">
        <w:rPr>
          <w:rFonts w:cs="Arial"/>
          <w:sz w:val="24"/>
          <w:szCs w:val="24"/>
        </w:rPr>
        <w:t xml:space="preserve"> for the Kwa-Zulu Provincial Government. SMM had</w:t>
      </w:r>
      <w:r w:rsidR="000A55B1">
        <w:rPr>
          <w:rFonts w:cs="Arial"/>
          <w:sz w:val="24"/>
          <w:szCs w:val="24"/>
        </w:rPr>
        <w:t xml:space="preserve"> </w:t>
      </w:r>
      <w:r w:rsidR="00CC5BEF">
        <w:rPr>
          <w:rFonts w:cs="Arial"/>
          <w:sz w:val="24"/>
          <w:szCs w:val="24"/>
        </w:rPr>
        <w:t>then,</w:t>
      </w:r>
      <w:r w:rsidR="003D7A03" w:rsidRPr="002B5EAC">
        <w:rPr>
          <w:rFonts w:cs="Arial"/>
          <w:sz w:val="24"/>
          <w:szCs w:val="24"/>
        </w:rPr>
        <w:t xml:space="preserve"> it was asserted, </w:t>
      </w:r>
      <w:r w:rsidR="002B5EAC" w:rsidRPr="002B5EAC">
        <w:rPr>
          <w:rFonts w:cs="Arial"/>
          <w:sz w:val="24"/>
          <w:szCs w:val="24"/>
        </w:rPr>
        <w:t xml:space="preserve">sub </w:t>
      </w:r>
      <w:r w:rsidR="003D7A03" w:rsidRPr="002B5EAC">
        <w:rPr>
          <w:rFonts w:cs="Arial"/>
          <w:sz w:val="24"/>
          <w:szCs w:val="24"/>
        </w:rPr>
        <w:t xml:space="preserve">contracted HAMSA to do </w:t>
      </w:r>
      <w:r w:rsidR="002B5EAC" w:rsidRPr="002B5EAC">
        <w:rPr>
          <w:rFonts w:cs="Arial"/>
          <w:sz w:val="24"/>
          <w:szCs w:val="24"/>
        </w:rPr>
        <w:t xml:space="preserve">certain of </w:t>
      </w:r>
      <w:r w:rsidR="003D7A03" w:rsidRPr="002B5EAC">
        <w:rPr>
          <w:rFonts w:cs="Arial"/>
          <w:sz w:val="24"/>
          <w:szCs w:val="24"/>
        </w:rPr>
        <w:t>the works</w:t>
      </w:r>
      <w:r w:rsidR="002B5EAC" w:rsidRPr="002B5EAC">
        <w:rPr>
          <w:rFonts w:cs="Arial"/>
          <w:sz w:val="24"/>
          <w:szCs w:val="24"/>
        </w:rPr>
        <w:t>.</w:t>
      </w:r>
      <w:r w:rsidR="003D7A03" w:rsidRPr="002B5EAC">
        <w:rPr>
          <w:rFonts w:cs="Arial"/>
          <w:sz w:val="24"/>
          <w:szCs w:val="24"/>
        </w:rPr>
        <w:t xml:space="preserve"> </w:t>
      </w:r>
    </w:p>
    <w:p w14:paraId="6F276411" w14:textId="77777777" w:rsidR="002B5EAC" w:rsidRPr="002B5EAC" w:rsidRDefault="002B5EAC" w:rsidP="00D55187">
      <w:pPr>
        <w:pStyle w:val="Body"/>
        <w:spacing w:line="360" w:lineRule="auto"/>
        <w:ind w:left="851"/>
        <w:jc w:val="both"/>
        <w:rPr>
          <w:rFonts w:cs="Arial"/>
          <w:sz w:val="24"/>
          <w:szCs w:val="24"/>
        </w:rPr>
      </w:pPr>
    </w:p>
    <w:p w14:paraId="7FF41FE4" w14:textId="675EC23C" w:rsidR="003D7A03" w:rsidRPr="00AC7ECE" w:rsidRDefault="004D2B3A" w:rsidP="004D2B3A">
      <w:pPr>
        <w:pStyle w:val="Body"/>
        <w:spacing w:line="360" w:lineRule="auto"/>
        <w:ind w:left="851" w:hanging="851"/>
        <w:jc w:val="both"/>
        <w:rPr>
          <w:rFonts w:cs="Arial"/>
          <w:sz w:val="24"/>
          <w:szCs w:val="24"/>
        </w:rPr>
      </w:pPr>
      <w:r w:rsidRPr="00AC7ECE">
        <w:rPr>
          <w:rFonts w:cs="Arial"/>
          <w:sz w:val="24"/>
          <w:szCs w:val="24"/>
        </w:rPr>
        <w:t>[2</w:t>
      </w:r>
      <w:bookmarkStart w:id="1" w:name="_GoBack"/>
      <w:bookmarkEnd w:id="1"/>
      <w:r w:rsidRPr="00AC7ECE">
        <w:rPr>
          <w:rFonts w:cs="Arial"/>
          <w:sz w:val="24"/>
          <w:szCs w:val="24"/>
        </w:rPr>
        <w:t>]</w:t>
      </w:r>
      <w:r w:rsidRPr="00AC7ECE">
        <w:rPr>
          <w:rFonts w:cs="Arial"/>
          <w:sz w:val="24"/>
          <w:szCs w:val="24"/>
        </w:rPr>
        <w:tab/>
      </w:r>
      <w:r w:rsidR="003D7A03" w:rsidRPr="00AC7ECE">
        <w:rPr>
          <w:rFonts w:cs="Arial"/>
          <w:sz w:val="24"/>
          <w:szCs w:val="24"/>
        </w:rPr>
        <w:t>The circumstances under which SMM engaged with HAMSA, the agreement between them and their respective subsequent conduct</w:t>
      </w:r>
      <w:r w:rsidR="00016BC8" w:rsidRPr="00AC7ECE">
        <w:rPr>
          <w:rFonts w:cs="Arial"/>
          <w:sz w:val="24"/>
          <w:szCs w:val="24"/>
        </w:rPr>
        <w:t xml:space="preserve"> provide the backdrop against which this matter was contested.</w:t>
      </w:r>
    </w:p>
    <w:p w14:paraId="220AC3E3" w14:textId="77777777" w:rsidR="00016BC8" w:rsidRPr="00AC7ECE" w:rsidRDefault="00016BC8" w:rsidP="00D55187">
      <w:pPr>
        <w:pStyle w:val="ListParagraph"/>
        <w:spacing w:line="360" w:lineRule="auto"/>
        <w:rPr>
          <w:rFonts w:cs="Arial"/>
        </w:rPr>
      </w:pPr>
    </w:p>
    <w:p w14:paraId="7B26FED2" w14:textId="4363D13C" w:rsidR="00016BC8" w:rsidRPr="00AC7ECE" w:rsidRDefault="004D2B3A" w:rsidP="004D2B3A">
      <w:pPr>
        <w:pStyle w:val="Body"/>
        <w:spacing w:line="360" w:lineRule="auto"/>
        <w:ind w:left="851" w:hanging="851"/>
        <w:jc w:val="both"/>
        <w:rPr>
          <w:rFonts w:cs="Arial"/>
          <w:sz w:val="24"/>
          <w:szCs w:val="24"/>
        </w:rPr>
      </w:pPr>
      <w:r w:rsidRPr="00AC7ECE">
        <w:rPr>
          <w:rFonts w:cs="Arial"/>
          <w:sz w:val="24"/>
          <w:szCs w:val="24"/>
        </w:rPr>
        <w:t>[3]</w:t>
      </w:r>
      <w:r w:rsidRPr="00AC7ECE">
        <w:rPr>
          <w:rFonts w:cs="Arial"/>
          <w:sz w:val="24"/>
          <w:szCs w:val="24"/>
        </w:rPr>
        <w:tab/>
      </w:r>
      <w:r w:rsidR="00016BC8" w:rsidRPr="00AC7ECE">
        <w:rPr>
          <w:rFonts w:cs="Arial"/>
          <w:sz w:val="24"/>
          <w:szCs w:val="24"/>
        </w:rPr>
        <w:t>It was the case for HAMSA that a contract had been concluded between it and SMM, it had performed and SMM had partially performed by making certain payments. SMM’s case was that there was never any contract between the parties and for that reason it was under no obligation to HAMSA to pay it anything.</w:t>
      </w:r>
    </w:p>
    <w:p w14:paraId="1E452682" w14:textId="77777777" w:rsidR="00016BC8" w:rsidRDefault="00016BC8" w:rsidP="00D55187">
      <w:pPr>
        <w:pStyle w:val="ListParagraph"/>
        <w:spacing w:line="360" w:lineRule="auto"/>
        <w:rPr>
          <w:rFonts w:cs="Arial"/>
          <w:sz w:val="22"/>
          <w:szCs w:val="22"/>
        </w:rPr>
      </w:pPr>
    </w:p>
    <w:p w14:paraId="5F781EDE" w14:textId="712F6C8A" w:rsidR="00016BC8" w:rsidRPr="00AC7ECE" w:rsidRDefault="004D2B3A" w:rsidP="004D2B3A">
      <w:pPr>
        <w:pStyle w:val="Body"/>
        <w:spacing w:line="360" w:lineRule="auto"/>
        <w:ind w:left="851" w:hanging="851"/>
        <w:jc w:val="both"/>
        <w:rPr>
          <w:rFonts w:cs="Arial"/>
          <w:sz w:val="24"/>
          <w:szCs w:val="24"/>
        </w:rPr>
      </w:pPr>
      <w:r w:rsidRPr="00AC7ECE">
        <w:rPr>
          <w:rFonts w:cs="Arial"/>
          <w:sz w:val="24"/>
          <w:szCs w:val="24"/>
        </w:rPr>
        <w:t>[4]</w:t>
      </w:r>
      <w:r w:rsidRPr="00AC7ECE">
        <w:rPr>
          <w:rFonts w:cs="Arial"/>
          <w:sz w:val="24"/>
          <w:szCs w:val="24"/>
        </w:rPr>
        <w:tab/>
      </w:r>
      <w:r w:rsidR="00016BC8" w:rsidRPr="00AC7ECE">
        <w:rPr>
          <w:rFonts w:cs="Arial"/>
          <w:sz w:val="24"/>
          <w:szCs w:val="24"/>
        </w:rPr>
        <w:t xml:space="preserve">On 18 April 2019, Mr. Andrew Pillay who represented SMM attended at the offices of HAMSA in Umhlanga, Durban. There he met with Mr. Vinodh Munessar for </w:t>
      </w:r>
      <w:r w:rsidR="00E10FD1" w:rsidRPr="00AC7ECE">
        <w:rPr>
          <w:rFonts w:cs="Arial"/>
          <w:sz w:val="24"/>
          <w:szCs w:val="24"/>
        </w:rPr>
        <w:t>HAMSA,</w:t>
      </w:r>
      <w:r w:rsidR="00016BC8" w:rsidRPr="00AC7ECE">
        <w:rPr>
          <w:rFonts w:cs="Arial"/>
          <w:sz w:val="24"/>
          <w:szCs w:val="24"/>
        </w:rPr>
        <w:t xml:space="preserve"> and they concluded an agreement. I pause to mention at this juncture that I refer to what was concluded as an “agreement” because that is what they cast it as. Whether it was in its terms a binding contract</w:t>
      </w:r>
      <w:r w:rsidR="00E10FD1" w:rsidRPr="00AC7ECE">
        <w:rPr>
          <w:rFonts w:cs="Arial"/>
          <w:sz w:val="24"/>
          <w:szCs w:val="24"/>
        </w:rPr>
        <w:t xml:space="preserve"> is the crux of the case to be decided.</w:t>
      </w:r>
      <w:r w:rsidR="00016BC8" w:rsidRPr="00AC7ECE">
        <w:rPr>
          <w:rFonts w:cs="Arial"/>
          <w:sz w:val="24"/>
          <w:szCs w:val="24"/>
        </w:rPr>
        <w:t xml:space="preserve"> </w:t>
      </w:r>
    </w:p>
    <w:p w14:paraId="7A3FD38F" w14:textId="77777777" w:rsidR="00E10FD1" w:rsidRPr="00AC7ECE" w:rsidRDefault="00E10FD1" w:rsidP="00D55187">
      <w:pPr>
        <w:pStyle w:val="ListParagraph"/>
        <w:spacing w:line="360" w:lineRule="auto"/>
        <w:rPr>
          <w:rFonts w:cs="Arial"/>
        </w:rPr>
      </w:pPr>
    </w:p>
    <w:p w14:paraId="5FF16D3F" w14:textId="08E9174C" w:rsidR="00E10FD1" w:rsidRPr="00AC7ECE" w:rsidRDefault="004D2B3A" w:rsidP="004D2B3A">
      <w:pPr>
        <w:pStyle w:val="Body"/>
        <w:spacing w:line="360" w:lineRule="auto"/>
        <w:ind w:left="851" w:hanging="851"/>
        <w:jc w:val="both"/>
        <w:rPr>
          <w:rFonts w:cs="Arial"/>
          <w:sz w:val="24"/>
          <w:szCs w:val="24"/>
        </w:rPr>
      </w:pPr>
      <w:r w:rsidRPr="00AC7ECE">
        <w:rPr>
          <w:rFonts w:cs="Arial"/>
          <w:sz w:val="24"/>
          <w:szCs w:val="24"/>
        </w:rPr>
        <w:t>[5]</w:t>
      </w:r>
      <w:r w:rsidRPr="00AC7ECE">
        <w:rPr>
          <w:rFonts w:cs="Arial"/>
          <w:sz w:val="24"/>
          <w:szCs w:val="24"/>
        </w:rPr>
        <w:tab/>
      </w:r>
      <w:r w:rsidR="00E10FD1" w:rsidRPr="00AC7ECE">
        <w:rPr>
          <w:rFonts w:cs="Arial"/>
          <w:sz w:val="24"/>
          <w:szCs w:val="24"/>
        </w:rPr>
        <w:t>The agreement was reduced to writing</w:t>
      </w:r>
      <w:r w:rsidR="002B5EAC">
        <w:rPr>
          <w:rFonts w:cs="Arial"/>
          <w:sz w:val="24"/>
          <w:szCs w:val="24"/>
        </w:rPr>
        <w:t xml:space="preserve"> by SMM</w:t>
      </w:r>
      <w:r w:rsidR="00E10FD1" w:rsidRPr="00AC7ECE">
        <w:rPr>
          <w:rFonts w:cs="Arial"/>
          <w:sz w:val="24"/>
          <w:szCs w:val="24"/>
        </w:rPr>
        <w:t xml:space="preserve"> and provided</w:t>
      </w:r>
      <w:r w:rsidR="00377365" w:rsidRPr="00AC7ECE">
        <w:rPr>
          <w:rFonts w:cs="Arial"/>
          <w:sz w:val="24"/>
          <w:szCs w:val="24"/>
        </w:rPr>
        <w:t xml:space="preserve"> for the appointment of HAMSA as a sub-contractor to SMM. The appointment which was accepted in writing the same day provided </w:t>
      </w:r>
      <w:r w:rsidR="00377365" w:rsidRPr="00CC5BEF">
        <w:rPr>
          <w:rFonts w:cs="Arial"/>
          <w:i/>
          <w:iCs/>
          <w:sz w:val="24"/>
          <w:szCs w:val="24"/>
        </w:rPr>
        <w:t>inter alia</w:t>
      </w:r>
      <w:r w:rsidR="00377365" w:rsidRPr="00AC7ECE">
        <w:rPr>
          <w:rFonts w:cs="Arial"/>
          <w:sz w:val="24"/>
          <w:szCs w:val="24"/>
        </w:rPr>
        <w:t xml:space="preserve"> that</w:t>
      </w:r>
      <w:r w:rsidR="00E10FD1" w:rsidRPr="00AC7ECE">
        <w:rPr>
          <w:rFonts w:cs="Arial"/>
          <w:sz w:val="24"/>
          <w:szCs w:val="24"/>
        </w:rPr>
        <w:t>:</w:t>
      </w:r>
    </w:p>
    <w:p w14:paraId="75DED3C1" w14:textId="77777777" w:rsidR="00E10FD1" w:rsidRDefault="00E10FD1" w:rsidP="00D55187">
      <w:pPr>
        <w:pStyle w:val="ListParagraph"/>
        <w:spacing w:line="360" w:lineRule="auto"/>
        <w:rPr>
          <w:rFonts w:cs="Arial"/>
          <w:sz w:val="22"/>
          <w:szCs w:val="22"/>
        </w:rPr>
      </w:pPr>
    </w:p>
    <w:p w14:paraId="54442DEB" w14:textId="77777777" w:rsidR="00460E06" w:rsidRPr="00573A7D" w:rsidRDefault="00E10FD1" w:rsidP="00D55187">
      <w:pPr>
        <w:spacing w:after="237" w:line="360" w:lineRule="auto"/>
        <w:ind w:left="1418"/>
        <w:jc w:val="both"/>
        <w:rPr>
          <w:rFonts w:ascii="Arial" w:eastAsia="Calibri" w:hAnsi="Arial" w:cs="Arial"/>
          <w:i/>
          <w:iCs/>
          <w:color w:val="000000"/>
          <w:sz w:val="22"/>
          <w:szCs w:val="22"/>
          <w:lang w:eastAsia="en-ZA"/>
        </w:rPr>
      </w:pPr>
      <w:r>
        <w:rPr>
          <w:rFonts w:cs="Arial"/>
          <w:sz w:val="22"/>
          <w:szCs w:val="22"/>
        </w:rPr>
        <w:t>“</w:t>
      </w:r>
      <w:r w:rsidR="00460E06" w:rsidRPr="00573A7D">
        <w:rPr>
          <w:rFonts w:ascii="Arial" w:eastAsia="Calibri" w:hAnsi="Arial" w:cs="Arial"/>
          <w:i/>
          <w:iCs/>
          <w:color w:val="000000"/>
          <w:sz w:val="22"/>
          <w:szCs w:val="22"/>
          <w:lang w:eastAsia="en-ZA"/>
        </w:rPr>
        <w:t xml:space="preserve">Sigodi Marah Martin Management Support Development and Engineering Consultants (SMMMS) has been appointed by the LTE CONSULTING ENGINEERS to conduct a condition assessment of 10 KZN Districts Water and </w:t>
      </w:r>
      <w:r w:rsidR="00460E06" w:rsidRPr="00573A7D">
        <w:rPr>
          <w:rFonts w:ascii="Arial" w:eastAsia="Calibri" w:hAnsi="Arial" w:cs="Arial"/>
          <w:i/>
          <w:iCs/>
          <w:color w:val="000000"/>
          <w:sz w:val="22"/>
          <w:szCs w:val="22"/>
          <w:lang w:eastAsia="en-ZA"/>
        </w:rPr>
        <w:lastRenderedPageBreak/>
        <w:t>Sanitation Infrastructure and 24 KZN Local Municipalities Licensed Electrical Distributors Infrastructure.</w:t>
      </w:r>
    </w:p>
    <w:p w14:paraId="45515F5A" w14:textId="19E21AE2" w:rsidR="00DC2F2D" w:rsidRDefault="00460E06" w:rsidP="00D55187">
      <w:pPr>
        <w:spacing w:after="203" w:line="360" w:lineRule="auto"/>
        <w:ind w:left="1418"/>
        <w:jc w:val="both"/>
        <w:rPr>
          <w:rFonts w:ascii="Arial" w:eastAsia="Calibri" w:hAnsi="Arial" w:cs="Arial"/>
          <w:i/>
          <w:iCs/>
          <w:color w:val="000000"/>
          <w:sz w:val="22"/>
          <w:szCs w:val="22"/>
          <w:lang w:eastAsia="en-ZA"/>
        </w:rPr>
      </w:pPr>
      <w:r w:rsidRPr="00573A7D">
        <w:rPr>
          <w:rFonts w:ascii="Arial" w:eastAsia="Calibri" w:hAnsi="Arial" w:cs="Arial"/>
          <w:i/>
          <w:iCs/>
          <w:color w:val="000000"/>
          <w:sz w:val="22"/>
          <w:szCs w:val="22"/>
          <w:lang w:eastAsia="en-ZA"/>
        </w:rPr>
        <w:t>As pa</w:t>
      </w:r>
      <w:r>
        <w:rPr>
          <w:rFonts w:ascii="Arial" w:eastAsia="Calibri" w:hAnsi="Arial" w:cs="Arial"/>
          <w:i/>
          <w:iCs/>
          <w:color w:val="000000"/>
          <w:sz w:val="22"/>
          <w:szCs w:val="22"/>
          <w:lang w:eastAsia="en-ZA"/>
        </w:rPr>
        <w:t>rt</w:t>
      </w:r>
      <w:r w:rsidRPr="00573A7D">
        <w:rPr>
          <w:rFonts w:ascii="Arial" w:eastAsia="Calibri" w:hAnsi="Arial" w:cs="Arial"/>
          <w:i/>
          <w:iCs/>
          <w:color w:val="000000"/>
          <w:sz w:val="22"/>
          <w:szCs w:val="22"/>
          <w:lang w:eastAsia="en-ZA"/>
        </w:rPr>
        <w:t xml:space="preserve"> of the scope this project, we are pleased to inform you that Hamsa Consulting Engineers (Pty) Ltd is hereby appointed for the provision of the above services as a sub-contractor to SMMMS based on the agreed price of </w:t>
      </w:r>
      <w:r w:rsidR="00377365" w:rsidRPr="00377365">
        <w:rPr>
          <w:rFonts w:ascii="Arial" w:eastAsia="Calibri" w:hAnsi="Arial" w:cs="Arial"/>
          <w:b/>
          <w:bCs/>
          <w:i/>
          <w:iCs/>
          <w:color w:val="000000"/>
          <w:sz w:val="22"/>
          <w:szCs w:val="22"/>
          <w:lang w:eastAsia="en-ZA"/>
        </w:rPr>
        <w:t>R</w:t>
      </w:r>
      <w:r w:rsidR="00D55187">
        <w:rPr>
          <w:rFonts w:ascii="Arial" w:eastAsia="Calibri" w:hAnsi="Arial" w:cs="Arial"/>
          <w:b/>
          <w:bCs/>
          <w:i/>
          <w:iCs/>
          <w:color w:val="000000"/>
          <w:sz w:val="22"/>
          <w:szCs w:val="22"/>
          <w:lang w:eastAsia="en-ZA"/>
        </w:rPr>
        <w:t xml:space="preserve"> </w:t>
      </w:r>
      <w:r w:rsidR="00377365" w:rsidRPr="00377365">
        <w:rPr>
          <w:rFonts w:ascii="Arial" w:eastAsia="Calibri" w:hAnsi="Arial" w:cs="Arial"/>
          <w:b/>
          <w:bCs/>
          <w:i/>
          <w:iCs/>
          <w:color w:val="000000"/>
          <w:sz w:val="22"/>
          <w:szCs w:val="22"/>
          <w:lang w:eastAsia="en-ZA"/>
        </w:rPr>
        <w:t>8 500 000,00</w:t>
      </w:r>
      <w:r w:rsidR="00D55187">
        <w:rPr>
          <w:rFonts w:ascii="Arial" w:eastAsia="Calibri" w:hAnsi="Arial" w:cs="Arial"/>
          <w:b/>
          <w:bCs/>
          <w:i/>
          <w:iCs/>
          <w:color w:val="000000"/>
          <w:sz w:val="22"/>
          <w:szCs w:val="22"/>
          <w:lang w:eastAsia="en-ZA"/>
        </w:rPr>
        <w:t xml:space="preserve"> </w:t>
      </w:r>
      <w:r w:rsidRPr="00573A7D">
        <w:rPr>
          <w:rFonts w:ascii="Arial" w:eastAsia="Calibri" w:hAnsi="Arial" w:cs="Arial"/>
          <w:i/>
          <w:iCs/>
          <w:color w:val="000000"/>
          <w:sz w:val="22"/>
          <w:szCs w:val="22"/>
          <w:lang w:eastAsia="en-ZA"/>
        </w:rPr>
        <w:t>(Incl. VAT) and inclusive of disbursements for the condition assessment of electrical infrastructure in 10 KZN District Municipalities Water and Sanitation Infrastructure and 24 Local Municipalities Licensed Electrical Distributors Infrastructure. The municipalities are highlighted below</w:t>
      </w:r>
      <w:r w:rsidR="00377365">
        <w:rPr>
          <w:rFonts w:ascii="Arial" w:eastAsia="Calibri" w:hAnsi="Arial" w:cs="Arial"/>
          <w:i/>
          <w:iCs/>
          <w:color w:val="000000"/>
          <w:sz w:val="22"/>
          <w:szCs w:val="22"/>
          <w:lang w:eastAsia="en-ZA"/>
        </w:rPr>
        <w:t xml:space="preserve"> ……</w:t>
      </w:r>
      <w:r w:rsidR="00B97AC0">
        <w:rPr>
          <w:rFonts w:ascii="Arial" w:eastAsia="Calibri" w:hAnsi="Arial" w:cs="Arial"/>
          <w:i/>
          <w:iCs/>
          <w:color w:val="000000"/>
          <w:sz w:val="22"/>
          <w:szCs w:val="22"/>
          <w:lang w:eastAsia="en-ZA"/>
        </w:rPr>
        <w:t>”</w:t>
      </w:r>
    </w:p>
    <w:p w14:paraId="739EE560" w14:textId="77777777" w:rsidR="00366E2C" w:rsidRPr="00366E2C" w:rsidRDefault="00366E2C" w:rsidP="00D55187">
      <w:pPr>
        <w:spacing w:before="100" w:beforeAutospacing="1" w:line="360" w:lineRule="auto"/>
        <w:ind w:left="1418"/>
        <w:jc w:val="both"/>
        <w:rPr>
          <w:rFonts w:ascii="Arial" w:eastAsia="Calibri" w:hAnsi="Arial" w:cs="Arial"/>
          <w:i/>
          <w:iCs/>
          <w:color w:val="000000"/>
          <w:sz w:val="22"/>
          <w:szCs w:val="22"/>
          <w:lang w:eastAsia="en-ZA"/>
        </w:rPr>
      </w:pPr>
    </w:p>
    <w:p w14:paraId="606B689C" w14:textId="5E97812D" w:rsidR="00460E06" w:rsidRDefault="00460E06" w:rsidP="00D55187">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[6]</w:t>
      </w:r>
      <w:r>
        <w:rPr>
          <w:rFonts w:eastAsia="Calibri" w:cs="Arial"/>
          <w:sz w:val="24"/>
          <w:szCs w:val="24"/>
          <w:lang w:eastAsia="en-ZA"/>
        </w:rPr>
        <w:tab/>
      </w:r>
      <w:r w:rsidR="00DC2F2D">
        <w:rPr>
          <w:rFonts w:eastAsia="Calibri" w:cs="Arial"/>
          <w:sz w:val="24"/>
          <w:szCs w:val="24"/>
          <w:lang w:eastAsia="en-ZA"/>
        </w:rPr>
        <w:t xml:space="preserve">The agreement went on to list the 10 district municipalities at which the electrical </w:t>
      </w:r>
      <w:r w:rsidR="00C37270">
        <w:rPr>
          <w:rFonts w:eastAsia="Calibri" w:cs="Arial"/>
          <w:sz w:val="24"/>
          <w:szCs w:val="24"/>
          <w:lang w:eastAsia="en-ZA"/>
        </w:rPr>
        <w:t>component</w:t>
      </w:r>
      <w:r w:rsidR="00DC2F2D">
        <w:rPr>
          <w:rFonts w:eastAsia="Calibri" w:cs="Arial"/>
          <w:sz w:val="24"/>
          <w:szCs w:val="24"/>
          <w:lang w:eastAsia="en-ZA"/>
        </w:rPr>
        <w:t xml:space="preserve"> of the water and sanitation infrastructure were to be condition assessed and also the </w:t>
      </w:r>
      <w:r w:rsidR="00C37270">
        <w:rPr>
          <w:rFonts w:eastAsia="Calibri" w:cs="Arial"/>
          <w:sz w:val="24"/>
          <w:szCs w:val="24"/>
          <w:lang w:eastAsia="en-ZA"/>
        </w:rPr>
        <w:t xml:space="preserve">electrical infrastructure of the </w:t>
      </w:r>
      <w:r w:rsidR="00DC2F2D">
        <w:rPr>
          <w:rFonts w:eastAsia="Calibri" w:cs="Arial"/>
          <w:sz w:val="24"/>
          <w:szCs w:val="24"/>
          <w:lang w:eastAsia="en-ZA"/>
        </w:rPr>
        <w:t xml:space="preserve">24 local municipalities which were licensed electrical distributors. In total 34 separate locations were identified for </w:t>
      </w:r>
      <w:r w:rsidR="00C37270">
        <w:rPr>
          <w:rFonts w:eastAsia="Calibri" w:cs="Arial"/>
          <w:sz w:val="24"/>
          <w:szCs w:val="24"/>
          <w:lang w:eastAsia="en-ZA"/>
        </w:rPr>
        <w:t xml:space="preserve">condition </w:t>
      </w:r>
      <w:r w:rsidR="00DC2F2D">
        <w:rPr>
          <w:rFonts w:eastAsia="Calibri" w:cs="Arial"/>
          <w:sz w:val="24"/>
          <w:szCs w:val="24"/>
          <w:lang w:eastAsia="en-ZA"/>
        </w:rPr>
        <w:t>assessment.</w:t>
      </w:r>
    </w:p>
    <w:p w14:paraId="64DCAC15" w14:textId="77777777" w:rsidR="00DC2F2D" w:rsidRDefault="00DC2F2D" w:rsidP="00D55187">
      <w:pPr>
        <w:pStyle w:val="Body"/>
        <w:spacing w:line="360" w:lineRule="auto"/>
        <w:ind w:left="851" w:hanging="851"/>
        <w:jc w:val="both"/>
        <w:rPr>
          <w:rFonts w:eastAsia="Calibri" w:cs="Arial"/>
          <w:sz w:val="24"/>
          <w:szCs w:val="24"/>
          <w:lang w:eastAsia="en-ZA"/>
        </w:rPr>
      </w:pPr>
    </w:p>
    <w:p w14:paraId="39E9EFDF" w14:textId="159D5DAC" w:rsidR="00AC7ECE" w:rsidRDefault="00460E06" w:rsidP="00D55187">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[7]</w:t>
      </w:r>
      <w:r>
        <w:rPr>
          <w:rFonts w:eastAsia="Calibri" w:cs="Arial"/>
          <w:sz w:val="24"/>
          <w:szCs w:val="24"/>
          <w:lang w:eastAsia="en-ZA"/>
        </w:rPr>
        <w:tab/>
      </w:r>
      <w:r w:rsidR="00DC2F2D">
        <w:rPr>
          <w:rFonts w:eastAsia="Calibri" w:cs="Arial"/>
          <w:sz w:val="24"/>
          <w:szCs w:val="24"/>
          <w:lang w:eastAsia="en-ZA"/>
        </w:rPr>
        <w:t>The agreement concluded with the following:</w:t>
      </w:r>
    </w:p>
    <w:p w14:paraId="511F4103" w14:textId="77777777" w:rsidR="00D55187" w:rsidRPr="00D55187" w:rsidRDefault="00D55187" w:rsidP="00D55187">
      <w:pPr>
        <w:pStyle w:val="Body"/>
        <w:spacing w:line="360" w:lineRule="auto"/>
        <w:ind w:left="851" w:hanging="851"/>
        <w:jc w:val="both"/>
        <w:rPr>
          <w:rFonts w:eastAsia="Calibri" w:cs="Arial"/>
          <w:sz w:val="24"/>
          <w:szCs w:val="24"/>
          <w:lang w:eastAsia="en-ZA"/>
        </w:rPr>
      </w:pPr>
    </w:p>
    <w:p w14:paraId="7D570F34" w14:textId="77777777" w:rsidR="00FB421B" w:rsidRDefault="00DC2F2D" w:rsidP="00D55187">
      <w:pPr>
        <w:spacing w:after="183" w:line="360" w:lineRule="auto"/>
        <w:ind w:left="1418"/>
        <w:jc w:val="both"/>
        <w:rPr>
          <w:rFonts w:ascii="Arial" w:eastAsia="Calibri" w:hAnsi="Arial" w:cs="Arial"/>
          <w:i/>
          <w:iCs/>
          <w:color w:val="000000"/>
          <w:sz w:val="22"/>
          <w:szCs w:val="22"/>
          <w:lang w:eastAsia="en-ZA"/>
        </w:rPr>
      </w:pPr>
      <w:r w:rsidRPr="00AC7ECE">
        <w:rPr>
          <w:rFonts w:ascii="Arial" w:eastAsia="Calibri" w:hAnsi="Arial" w:cs="Arial"/>
          <w:sz w:val="22"/>
          <w:szCs w:val="22"/>
          <w:lang w:eastAsia="en-ZA"/>
        </w:rPr>
        <w:t>“</w:t>
      </w:r>
      <w:r w:rsidRPr="00AC7ECE">
        <w:rPr>
          <w:rFonts w:ascii="Arial" w:eastAsia="Calibri" w:hAnsi="Arial" w:cs="Arial"/>
          <w:i/>
          <w:iCs/>
          <w:color w:val="000000"/>
          <w:sz w:val="22"/>
          <w:szCs w:val="22"/>
          <w:lang w:eastAsia="en-ZA"/>
        </w:rPr>
        <w:t>Kindly note that is as per</w:t>
      </w:r>
      <w:r w:rsidR="00FB421B">
        <w:rPr>
          <w:rFonts w:ascii="Arial" w:eastAsia="Calibri" w:hAnsi="Arial" w:cs="Arial"/>
          <w:i/>
          <w:iCs/>
          <w:color w:val="000000"/>
          <w:sz w:val="22"/>
          <w:szCs w:val="22"/>
          <w:lang w:eastAsia="en-ZA"/>
        </w:rPr>
        <w:t xml:space="preserve"> </w:t>
      </w:r>
      <w:r w:rsidRPr="00AC7ECE">
        <w:rPr>
          <w:rFonts w:ascii="Arial" w:eastAsia="Calibri" w:hAnsi="Arial" w:cs="Arial"/>
          <w:i/>
          <w:iCs/>
          <w:color w:val="000000"/>
          <w:sz w:val="22"/>
          <w:szCs w:val="22"/>
          <w:lang w:eastAsia="en-ZA"/>
        </w:rPr>
        <w:t>agreement reached at your offices on 18</w:t>
      </w:r>
      <w:r w:rsidRPr="00AC7ECE">
        <w:rPr>
          <w:rFonts w:ascii="Arial" w:eastAsia="Calibri" w:hAnsi="Arial" w:cs="Arial"/>
          <w:i/>
          <w:iCs/>
          <w:color w:val="000000"/>
          <w:sz w:val="22"/>
          <w:szCs w:val="22"/>
          <w:vertAlign w:val="superscript"/>
          <w:lang w:eastAsia="en-ZA"/>
        </w:rPr>
        <w:t xml:space="preserve">th </w:t>
      </w:r>
      <w:r w:rsidRPr="00AC7ECE">
        <w:rPr>
          <w:rFonts w:ascii="Arial" w:eastAsia="Calibri" w:hAnsi="Arial" w:cs="Arial"/>
          <w:i/>
          <w:iCs/>
          <w:color w:val="000000"/>
          <w:sz w:val="22"/>
          <w:szCs w:val="22"/>
          <w:lang w:eastAsia="en-ZA"/>
        </w:rPr>
        <w:t>April 2019.</w:t>
      </w:r>
      <w:r w:rsidR="00AC7ECE" w:rsidRPr="00AC7ECE">
        <w:rPr>
          <w:rFonts w:ascii="Arial" w:eastAsia="Calibri" w:hAnsi="Arial" w:cs="Arial"/>
          <w:i/>
          <w:iCs/>
          <w:color w:val="000000"/>
          <w:sz w:val="22"/>
          <w:szCs w:val="22"/>
          <w:lang w:eastAsia="en-ZA"/>
        </w:rPr>
        <w:t xml:space="preserve">  </w:t>
      </w:r>
    </w:p>
    <w:p w14:paraId="2EC65F08" w14:textId="69946798" w:rsidR="00DC2F2D" w:rsidRPr="00AC7ECE" w:rsidRDefault="00DC2F2D" w:rsidP="00D55187">
      <w:pPr>
        <w:spacing w:after="183" w:line="360" w:lineRule="auto"/>
        <w:ind w:left="1418"/>
        <w:jc w:val="both"/>
        <w:rPr>
          <w:rFonts w:ascii="Arial" w:eastAsia="Calibri" w:hAnsi="Arial" w:cs="Arial"/>
          <w:i/>
          <w:iCs/>
          <w:color w:val="000000"/>
          <w:sz w:val="22"/>
          <w:szCs w:val="22"/>
          <w:lang w:eastAsia="en-ZA"/>
        </w:rPr>
      </w:pPr>
      <w:r w:rsidRPr="00AC7ECE">
        <w:rPr>
          <w:rFonts w:ascii="Arial" w:eastAsia="Calibri" w:hAnsi="Arial" w:cs="Arial"/>
          <w:i/>
          <w:iCs/>
          <w:sz w:val="22"/>
          <w:szCs w:val="22"/>
          <w:lang w:eastAsia="en-ZA"/>
        </w:rPr>
        <w:t>A sub-consultant agreement will follow in due course.”</w:t>
      </w:r>
    </w:p>
    <w:p w14:paraId="15F50951" w14:textId="77777777" w:rsidR="00DC2F2D" w:rsidRPr="00DC2F2D" w:rsidRDefault="00DC2F2D" w:rsidP="00D55187">
      <w:pPr>
        <w:pStyle w:val="Body"/>
        <w:spacing w:line="360" w:lineRule="auto"/>
        <w:ind w:left="851"/>
        <w:jc w:val="both"/>
        <w:rPr>
          <w:rFonts w:eastAsia="Calibri" w:cs="Arial"/>
          <w:sz w:val="22"/>
          <w:szCs w:val="22"/>
          <w:lang w:eastAsia="en-ZA"/>
        </w:rPr>
      </w:pPr>
    </w:p>
    <w:p w14:paraId="171CA3BE" w14:textId="0D93C83C" w:rsidR="009E3320" w:rsidRDefault="00DC2F2D" w:rsidP="00D55187">
      <w:pPr>
        <w:pStyle w:val="Body"/>
        <w:spacing w:line="360" w:lineRule="auto"/>
        <w:ind w:left="851" w:hanging="851"/>
        <w:jc w:val="both"/>
        <w:rPr>
          <w:rFonts w:eastAsia="Calibri" w:cs="Arial"/>
          <w:sz w:val="24"/>
          <w:szCs w:val="24"/>
          <w:lang w:eastAsia="en-ZA"/>
        </w:rPr>
      </w:pPr>
      <w:r w:rsidRPr="00DC2F2D">
        <w:rPr>
          <w:rFonts w:eastAsia="Calibri" w:cs="Arial"/>
          <w:sz w:val="24"/>
          <w:szCs w:val="24"/>
          <w:lang w:eastAsia="en-ZA"/>
        </w:rPr>
        <w:t>[8]</w:t>
      </w:r>
      <w:r>
        <w:rPr>
          <w:rFonts w:eastAsia="Calibri" w:cs="Arial"/>
          <w:sz w:val="24"/>
          <w:szCs w:val="24"/>
          <w:lang w:eastAsia="en-ZA"/>
        </w:rPr>
        <w:tab/>
        <w:t>It was common cause that no “sub-consultant agreement” was ever entered into.</w:t>
      </w:r>
    </w:p>
    <w:p w14:paraId="60FBE549" w14:textId="77777777" w:rsidR="0091494D" w:rsidRDefault="0091494D" w:rsidP="00D55187">
      <w:pPr>
        <w:pStyle w:val="Body"/>
        <w:spacing w:line="360" w:lineRule="auto"/>
        <w:ind w:left="851" w:hanging="851"/>
        <w:jc w:val="both"/>
        <w:rPr>
          <w:rFonts w:eastAsia="Calibri" w:cs="Arial"/>
          <w:sz w:val="24"/>
          <w:szCs w:val="24"/>
          <w:lang w:eastAsia="en-ZA"/>
        </w:rPr>
      </w:pPr>
    </w:p>
    <w:p w14:paraId="5C5D4558" w14:textId="59A2B818" w:rsidR="0062225C" w:rsidRDefault="0091494D" w:rsidP="00D55187">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w:t>
      </w:r>
      <w:r w:rsidR="00A07A53">
        <w:rPr>
          <w:rFonts w:eastAsia="Calibri" w:cs="Arial"/>
          <w:sz w:val="24"/>
          <w:szCs w:val="24"/>
          <w:lang w:eastAsia="en-ZA"/>
        </w:rPr>
        <w:t>9</w:t>
      </w:r>
      <w:r>
        <w:rPr>
          <w:rFonts w:eastAsia="Calibri" w:cs="Arial"/>
          <w:sz w:val="24"/>
          <w:szCs w:val="24"/>
          <w:lang w:eastAsia="en-ZA"/>
        </w:rPr>
        <w:t>]</w:t>
      </w:r>
      <w:r>
        <w:rPr>
          <w:rFonts w:eastAsia="Calibri" w:cs="Arial"/>
          <w:sz w:val="24"/>
          <w:szCs w:val="24"/>
          <w:lang w:eastAsia="en-ZA"/>
        </w:rPr>
        <w:tab/>
        <w:t xml:space="preserve">It was </w:t>
      </w:r>
      <w:r w:rsidR="00A07A53">
        <w:rPr>
          <w:rFonts w:eastAsia="Calibri" w:cs="Arial"/>
          <w:sz w:val="24"/>
          <w:szCs w:val="24"/>
          <w:lang w:eastAsia="en-ZA"/>
        </w:rPr>
        <w:t xml:space="preserve">the case for </w:t>
      </w:r>
      <w:r>
        <w:rPr>
          <w:rFonts w:eastAsia="Calibri" w:cs="Arial"/>
          <w:sz w:val="24"/>
          <w:szCs w:val="24"/>
          <w:lang w:eastAsia="en-ZA"/>
        </w:rPr>
        <w:t>SMM that there was in fact no agreement. This was premised on the co</w:t>
      </w:r>
      <w:r w:rsidR="0062225C">
        <w:rPr>
          <w:rFonts w:eastAsia="Calibri" w:cs="Arial"/>
          <w:sz w:val="24"/>
          <w:szCs w:val="24"/>
          <w:lang w:eastAsia="en-ZA"/>
        </w:rPr>
        <w:t>ntention</w:t>
      </w:r>
      <w:r>
        <w:rPr>
          <w:rFonts w:eastAsia="Calibri" w:cs="Arial"/>
          <w:sz w:val="24"/>
          <w:szCs w:val="24"/>
          <w:lang w:eastAsia="en-ZA"/>
        </w:rPr>
        <w:t xml:space="preserve"> that “condition assessment” had not been particularized in e</w:t>
      </w:r>
      <w:r w:rsidR="00CC5BEF">
        <w:rPr>
          <w:rFonts w:eastAsia="Calibri" w:cs="Arial"/>
          <w:sz w:val="24"/>
          <w:szCs w:val="24"/>
          <w:lang w:eastAsia="en-ZA"/>
        </w:rPr>
        <w:t>i</w:t>
      </w:r>
      <w:r>
        <w:rPr>
          <w:rFonts w:eastAsia="Calibri" w:cs="Arial"/>
          <w:sz w:val="24"/>
          <w:szCs w:val="24"/>
          <w:lang w:eastAsia="en-ZA"/>
        </w:rPr>
        <w:t xml:space="preserve">ther the agreement or in the pleadings. </w:t>
      </w:r>
    </w:p>
    <w:p w14:paraId="30C69EF9" w14:textId="77777777" w:rsidR="0062225C" w:rsidRDefault="0062225C" w:rsidP="00D55187">
      <w:pPr>
        <w:pStyle w:val="Body"/>
        <w:spacing w:line="360" w:lineRule="auto"/>
        <w:jc w:val="both"/>
        <w:rPr>
          <w:rFonts w:eastAsia="Calibri" w:cs="Arial"/>
          <w:sz w:val="24"/>
          <w:szCs w:val="24"/>
          <w:lang w:eastAsia="en-ZA"/>
        </w:rPr>
      </w:pPr>
    </w:p>
    <w:p w14:paraId="58BED18F" w14:textId="1D03FFB5" w:rsidR="0062225C" w:rsidRDefault="0062225C" w:rsidP="00D55187">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[1</w:t>
      </w:r>
      <w:r w:rsidR="00543D67">
        <w:rPr>
          <w:rFonts w:eastAsia="Calibri" w:cs="Arial"/>
          <w:sz w:val="24"/>
          <w:szCs w:val="24"/>
          <w:lang w:eastAsia="en-ZA"/>
        </w:rPr>
        <w:t>0</w:t>
      </w:r>
      <w:r>
        <w:rPr>
          <w:rFonts w:eastAsia="Calibri" w:cs="Arial"/>
          <w:sz w:val="24"/>
          <w:szCs w:val="24"/>
          <w:lang w:eastAsia="en-ZA"/>
        </w:rPr>
        <w:t>]</w:t>
      </w:r>
      <w:r>
        <w:rPr>
          <w:rFonts w:eastAsia="Calibri" w:cs="Arial"/>
          <w:sz w:val="24"/>
          <w:szCs w:val="24"/>
          <w:lang w:eastAsia="en-ZA"/>
        </w:rPr>
        <w:tab/>
      </w:r>
      <w:r w:rsidR="0091494D">
        <w:rPr>
          <w:rFonts w:eastAsia="Calibri" w:cs="Arial"/>
          <w:sz w:val="24"/>
          <w:szCs w:val="24"/>
          <w:lang w:eastAsia="en-ZA"/>
        </w:rPr>
        <w:t>The argument was that in the absence of a proper description of the scope of the works to be undertaken by HAMSA</w:t>
      </w:r>
      <w:r w:rsidR="00CC5BEF">
        <w:rPr>
          <w:rFonts w:eastAsia="Calibri" w:cs="Arial"/>
          <w:sz w:val="24"/>
          <w:szCs w:val="24"/>
          <w:lang w:eastAsia="en-ZA"/>
        </w:rPr>
        <w:t xml:space="preserve">, </w:t>
      </w:r>
      <w:r w:rsidR="0091494D">
        <w:rPr>
          <w:rFonts w:eastAsia="Calibri" w:cs="Arial"/>
          <w:sz w:val="24"/>
          <w:szCs w:val="24"/>
          <w:lang w:eastAsia="en-ZA"/>
        </w:rPr>
        <w:t>SMM was not in a position to know whether HAMSA had complied with the terms of the agreement</w:t>
      </w:r>
      <w:r>
        <w:rPr>
          <w:rFonts w:eastAsia="Calibri" w:cs="Arial"/>
          <w:sz w:val="24"/>
          <w:szCs w:val="24"/>
          <w:lang w:eastAsia="en-ZA"/>
        </w:rPr>
        <w:t xml:space="preserve"> entitling it to claim </w:t>
      </w:r>
      <w:r>
        <w:rPr>
          <w:rFonts w:eastAsia="Calibri" w:cs="Arial"/>
          <w:sz w:val="24"/>
          <w:szCs w:val="24"/>
          <w:lang w:eastAsia="en-ZA"/>
        </w:rPr>
        <w:lastRenderedPageBreak/>
        <w:t>payment</w:t>
      </w:r>
      <w:r w:rsidR="00C37270">
        <w:rPr>
          <w:rFonts w:eastAsia="Calibri" w:cs="Arial"/>
          <w:sz w:val="24"/>
          <w:szCs w:val="24"/>
          <w:lang w:eastAsia="en-ZA"/>
        </w:rPr>
        <w:t xml:space="preserve"> and </w:t>
      </w:r>
      <w:r>
        <w:rPr>
          <w:rFonts w:eastAsia="Calibri" w:cs="Arial"/>
          <w:sz w:val="24"/>
          <w:szCs w:val="24"/>
          <w:lang w:eastAsia="en-ZA"/>
        </w:rPr>
        <w:t xml:space="preserve">what </w:t>
      </w:r>
      <w:r w:rsidR="0091494D">
        <w:rPr>
          <w:rFonts w:eastAsia="Calibri" w:cs="Arial"/>
          <w:sz w:val="24"/>
          <w:szCs w:val="24"/>
          <w:lang w:eastAsia="en-ZA"/>
        </w:rPr>
        <w:t>the terms for effecting payment were</w:t>
      </w:r>
      <w:r>
        <w:rPr>
          <w:rFonts w:eastAsia="Calibri" w:cs="Arial"/>
          <w:sz w:val="24"/>
          <w:szCs w:val="24"/>
          <w:lang w:eastAsia="en-ZA"/>
        </w:rPr>
        <w:t xml:space="preserve">. Furthermore, </w:t>
      </w:r>
      <w:r w:rsidR="00C37270">
        <w:rPr>
          <w:rFonts w:eastAsia="Calibri" w:cs="Arial"/>
          <w:sz w:val="24"/>
          <w:szCs w:val="24"/>
          <w:lang w:eastAsia="en-ZA"/>
        </w:rPr>
        <w:t>even if there was an agreement, it was vague.</w:t>
      </w:r>
    </w:p>
    <w:p w14:paraId="6712DE11" w14:textId="59DE0EA3" w:rsidR="00980B24" w:rsidRDefault="00980B24" w:rsidP="00D55187">
      <w:pPr>
        <w:pStyle w:val="Body"/>
        <w:spacing w:line="360" w:lineRule="auto"/>
        <w:ind w:left="851" w:hanging="851"/>
        <w:jc w:val="both"/>
        <w:rPr>
          <w:rFonts w:eastAsia="Calibri" w:cs="Arial"/>
          <w:sz w:val="24"/>
          <w:szCs w:val="24"/>
          <w:lang w:eastAsia="en-ZA"/>
        </w:rPr>
      </w:pPr>
    </w:p>
    <w:p w14:paraId="36E46299" w14:textId="440EC004" w:rsidR="00980B24" w:rsidRDefault="00980B24" w:rsidP="00D55187">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[1</w:t>
      </w:r>
      <w:r w:rsidR="00543D67">
        <w:rPr>
          <w:rFonts w:eastAsia="Calibri" w:cs="Arial"/>
          <w:sz w:val="24"/>
          <w:szCs w:val="24"/>
          <w:lang w:eastAsia="en-ZA"/>
        </w:rPr>
        <w:t>1</w:t>
      </w:r>
      <w:r>
        <w:rPr>
          <w:rFonts w:eastAsia="Calibri" w:cs="Arial"/>
          <w:sz w:val="24"/>
          <w:szCs w:val="24"/>
          <w:lang w:eastAsia="en-ZA"/>
        </w:rPr>
        <w:t>]</w:t>
      </w:r>
      <w:r>
        <w:rPr>
          <w:rFonts w:eastAsia="Calibri" w:cs="Arial"/>
          <w:sz w:val="24"/>
          <w:szCs w:val="24"/>
          <w:lang w:eastAsia="en-ZA"/>
        </w:rPr>
        <w:tab/>
      </w:r>
      <w:r w:rsidR="007E071C">
        <w:rPr>
          <w:rFonts w:eastAsia="Calibri" w:cs="Arial"/>
          <w:sz w:val="24"/>
          <w:szCs w:val="24"/>
          <w:lang w:eastAsia="en-ZA"/>
        </w:rPr>
        <w:t xml:space="preserve">It was </w:t>
      </w:r>
      <w:r w:rsidR="00775C17">
        <w:rPr>
          <w:rFonts w:eastAsia="Calibri" w:cs="Arial"/>
          <w:sz w:val="24"/>
          <w:szCs w:val="24"/>
          <w:lang w:eastAsia="en-ZA"/>
        </w:rPr>
        <w:t xml:space="preserve">also </w:t>
      </w:r>
      <w:r w:rsidR="007E071C">
        <w:rPr>
          <w:rFonts w:eastAsia="Calibri" w:cs="Arial"/>
          <w:sz w:val="24"/>
          <w:szCs w:val="24"/>
          <w:lang w:eastAsia="en-ZA"/>
        </w:rPr>
        <w:t>argued that the agreement was a synallagmatic one – it did not contain reciprocal obligations but was in its terms a bilateral agreement in which each simply undertook obligations to the other.</w:t>
      </w:r>
    </w:p>
    <w:p w14:paraId="0A2B3C5A" w14:textId="77777777" w:rsidR="0062225C" w:rsidRDefault="0062225C" w:rsidP="00D55187">
      <w:pPr>
        <w:pStyle w:val="Body"/>
        <w:spacing w:line="360" w:lineRule="auto"/>
        <w:ind w:left="851" w:hanging="851"/>
        <w:jc w:val="both"/>
        <w:rPr>
          <w:rFonts w:eastAsia="Calibri" w:cs="Arial"/>
          <w:sz w:val="24"/>
          <w:szCs w:val="24"/>
          <w:lang w:eastAsia="en-ZA"/>
        </w:rPr>
      </w:pPr>
    </w:p>
    <w:p w14:paraId="4CF0C226" w14:textId="4AB56717" w:rsidR="00D74842" w:rsidRDefault="0062225C" w:rsidP="00D55187">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[12]</w:t>
      </w:r>
      <w:r>
        <w:rPr>
          <w:rFonts w:eastAsia="Calibri" w:cs="Arial"/>
          <w:sz w:val="24"/>
          <w:szCs w:val="24"/>
          <w:lang w:eastAsia="en-ZA"/>
        </w:rPr>
        <w:tab/>
        <w:t xml:space="preserve">SMM </w:t>
      </w:r>
      <w:r w:rsidR="00C37270">
        <w:rPr>
          <w:rFonts w:eastAsia="Calibri" w:cs="Arial"/>
          <w:sz w:val="24"/>
          <w:szCs w:val="24"/>
          <w:lang w:eastAsia="en-ZA"/>
        </w:rPr>
        <w:t>argued</w:t>
      </w:r>
      <w:r>
        <w:rPr>
          <w:rFonts w:eastAsia="Calibri" w:cs="Arial"/>
          <w:sz w:val="24"/>
          <w:szCs w:val="24"/>
          <w:lang w:eastAsia="en-ZA"/>
        </w:rPr>
        <w:t xml:space="preserve"> that the agreement was, properly construed, nothing more than an agreement to agree and for that reason it could not be considered to be a binding agreement – </w:t>
      </w:r>
      <w:r w:rsidR="006D10FA">
        <w:rPr>
          <w:rFonts w:eastAsia="Calibri" w:cs="Arial"/>
          <w:sz w:val="24"/>
          <w:szCs w:val="24"/>
          <w:lang w:eastAsia="en-ZA"/>
        </w:rPr>
        <w:t>there being</w:t>
      </w:r>
      <w:r w:rsidR="006E40E9">
        <w:rPr>
          <w:rFonts w:eastAsia="Calibri" w:cs="Arial"/>
          <w:sz w:val="24"/>
          <w:szCs w:val="24"/>
          <w:lang w:eastAsia="en-ZA"/>
        </w:rPr>
        <w:t xml:space="preserve"> no</w:t>
      </w:r>
      <w:r>
        <w:rPr>
          <w:rFonts w:eastAsia="Calibri" w:cs="Arial"/>
          <w:sz w:val="24"/>
          <w:szCs w:val="24"/>
          <w:lang w:eastAsia="en-ZA"/>
        </w:rPr>
        <w:t xml:space="preserve"> deadlock breaking mechanism in the agreement.</w:t>
      </w:r>
      <w:r w:rsidR="00651EC4">
        <w:rPr>
          <w:rFonts w:eastAsia="Calibri" w:cs="Arial"/>
          <w:sz w:val="24"/>
          <w:szCs w:val="24"/>
          <w:lang w:eastAsia="en-ZA"/>
        </w:rPr>
        <w:t xml:space="preserve"> </w:t>
      </w:r>
      <w:r>
        <w:rPr>
          <w:rFonts w:eastAsia="Calibri" w:cs="Arial"/>
          <w:sz w:val="24"/>
          <w:szCs w:val="24"/>
          <w:lang w:eastAsia="en-ZA"/>
        </w:rPr>
        <w:t xml:space="preserve">I was referred to </w:t>
      </w:r>
      <w:r w:rsidRPr="0062225C">
        <w:rPr>
          <w:rFonts w:eastAsia="Calibri" w:cs="Arial"/>
          <w:i/>
          <w:iCs/>
          <w:sz w:val="24"/>
          <w:szCs w:val="24"/>
          <w:lang w:eastAsia="en-ZA"/>
        </w:rPr>
        <w:t>Shepherd Real Estate Investments (Pty) Ltd v Roux Le Roux Motors CC</w:t>
      </w:r>
      <w:r>
        <w:rPr>
          <w:rStyle w:val="FootnoteReference"/>
          <w:rFonts w:eastAsia="Calibri" w:cs="Arial"/>
          <w:sz w:val="24"/>
          <w:szCs w:val="24"/>
          <w:lang w:eastAsia="en-ZA"/>
        </w:rPr>
        <w:footnoteReference w:id="1"/>
      </w:r>
      <w:r w:rsidR="00651EC4">
        <w:rPr>
          <w:rFonts w:eastAsia="Calibri" w:cs="Arial"/>
          <w:sz w:val="24"/>
          <w:szCs w:val="24"/>
          <w:lang w:eastAsia="en-ZA"/>
        </w:rPr>
        <w:t xml:space="preserve">, </w:t>
      </w:r>
      <w:r w:rsidRPr="00D23AD7">
        <w:rPr>
          <w:rFonts w:eastAsia="Calibri" w:cs="Arial"/>
          <w:i/>
          <w:iCs/>
          <w:sz w:val="24"/>
          <w:szCs w:val="24"/>
          <w:lang w:eastAsia="en-ZA"/>
        </w:rPr>
        <w:t>Southernport Developments (Pty) Ltd</w:t>
      </w:r>
      <w:r w:rsidR="00D23AD7" w:rsidRPr="00D23AD7">
        <w:rPr>
          <w:rFonts w:eastAsia="Calibri" w:cs="Arial"/>
          <w:i/>
          <w:iCs/>
          <w:sz w:val="24"/>
          <w:szCs w:val="24"/>
          <w:lang w:eastAsia="en-ZA"/>
        </w:rPr>
        <w:t xml:space="preserve"> v Transnet Ltd</w:t>
      </w:r>
      <w:r w:rsidR="00D23AD7">
        <w:rPr>
          <w:rStyle w:val="FootnoteReference"/>
          <w:rFonts w:eastAsia="Calibri" w:cs="Arial"/>
          <w:sz w:val="24"/>
          <w:szCs w:val="24"/>
          <w:lang w:eastAsia="en-ZA"/>
        </w:rPr>
        <w:footnoteReference w:id="2"/>
      </w:r>
      <w:r w:rsidR="00651EC4">
        <w:rPr>
          <w:rFonts w:eastAsia="Calibri" w:cs="Arial"/>
          <w:sz w:val="24"/>
          <w:szCs w:val="24"/>
          <w:lang w:eastAsia="en-ZA"/>
        </w:rPr>
        <w:t xml:space="preserve"> and </w:t>
      </w:r>
      <w:r w:rsidR="00D23AD7" w:rsidRPr="00D23AD7">
        <w:rPr>
          <w:rFonts w:eastAsia="Calibri" w:cs="Arial"/>
          <w:i/>
          <w:iCs/>
          <w:sz w:val="24"/>
          <w:szCs w:val="24"/>
          <w:lang w:eastAsia="en-ZA"/>
        </w:rPr>
        <w:t>Makate v Vodacom Ltd</w:t>
      </w:r>
      <w:r w:rsidR="00D23AD7">
        <w:rPr>
          <w:rStyle w:val="FootnoteReference"/>
          <w:rFonts w:eastAsia="Calibri" w:cs="Arial"/>
          <w:sz w:val="24"/>
          <w:szCs w:val="24"/>
          <w:lang w:eastAsia="en-ZA"/>
        </w:rPr>
        <w:footnoteReference w:id="3"/>
      </w:r>
      <w:r w:rsidR="00651EC4">
        <w:rPr>
          <w:rFonts w:eastAsia="Calibri" w:cs="Arial"/>
          <w:sz w:val="24"/>
          <w:szCs w:val="24"/>
          <w:lang w:eastAsia="en-ZA"/>
        </w:rPr>
        <w:t xml:space="preserve"> as authority for this proposition.</w:t>
      </w:r>
    </w:p>
    <w:p w14:paraId="1B0EE459" w14:textId="77777777" w:rsidR="00651EC4" w:rsidRDefault="00651EC4" w:rsidP="00D55187">
      <w:pPr>
        <w:pStyle w:val="Body"/>
        <w:spacing w:line="360" w:lineRule="auto"/>
        <w:ind w:left="851" w:hanging="851"/>
        <w:jc w:val="both"/>
        <w:rPr>
          <w:rFonts w:eastAsia="Calibri" w:cs="Arial"/>
          <w:sz w:val="24"/>
          <w:szCs w:val="24"/>
          <w:lang w:eastAsia="en-ZA"/>
        </w:rPr>
      </w:pPr>
    </w:p>
    <w:p w14:paraId="08D6E9C4" w14:textId="77777777" w:rsidR="006D10FA" w:rsidRDefault="00651EC4" w:rsidP="00D55187">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[13]</w:t>
      </w:r>
      <w:r>
        <w:rPr>
          <w:rFonts w:eastAsia="Calibri" w:cs="Arial"/>
          <w:sz w:val="24"/>
          <w:szCs w:val="24"/>
          <w:lang w:eastAsia="en-ZA"/>
        </w:rPr>
        <w:tab/>
        <w:t xml:space="preserve">SMM’s argument in this regard was predicated upon the last line in the agreement in which it was stated </w:t>
      </w:r>
      <w:r w:rsidRPr="00651EC4">
        <w:rPr>
          <w:rFonts w:eastAsia="Calibri" w:cs="Arial"/>
          <w:i/>
          <w:iCs/>
          <w:sz w:val="24"/>
          <w:szCs w:val="24"/>
          <w:lang w:eastAsia="en-ZA"/>
        </w:rPr>
        <w:t>“a sub consultant agreement will follow in due course</w:t>
      </w:r>
      <w:r>
        <w:rPr>
          <w:rFonts w:eastAsia="Calibri" w:cs="Arial"/>
          <w:sz w:val="24"/>
          <w:szCs w:val="24"/>
          <w:lang w:eastAsia="en-ZA"/>
        </w:rPr>
        <w:t>”</w:t>
      </w:r>
      <w:r w:rsidR="006D10FA">
        <w:rPr>
          <w:rFonts w:eastAsia="Calibri" w:cs="Arial"/>
          <w:sz w:val="24"/>
          <w:szCs w:val="24"/>
          <w:lang w:eastAsia="en-ZA"/>
        </w:rPr>
        <w:t>. From this, the inference to be drawn was that what had been agreed was not binding and that the further sub consultant, which was never concluded, would have contained the further material terms which would have made the agreement binding.</w:t>
      </w:r>
    </w:p>
    <w:p w14:paraId="2A9B1759" w14:textId="77777777" w:rsidR="006D10FA" w:rsidRDefault="006D10FA" w:rsidP="00D55187">
      <w:pPr>
        <w:pStyle w:val="Body"/>
        <w:spacing w:line="360" w:lineRule="auto"/>
        <w:ind w:left="851" w:hanging="851"/>
        <w:jc w:val="both"/>
        <w:rPr>
          <w:rFonts w:eastAsia="Calibri" w:cs="Arial"/>
          <w:sz w:val="24"/>
          <w:szCs w:val="24"/>
          <w:lang w:eastAsia="en-ZA"/>
        </w:rPr>
      </w:pPr>
    </w:p>
    <w:p w14:paraId="2E6E6CA9" w14:textId="2566C24E" w:rsidR="00651EC4" w:rsidRDefault="006D10FA" w:rsidP="00D55187">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[14]</w:t>
      </w:r>
      <w:r>
        <w:rPr>
          <w:rFonts w:eastAsia="Calibri" w:cs="Arial"/>
          <w:sz w:val="24"/>
          <w:szCs w:val="24"/>
          <w:lang w:eastAsia="en-ZA"/>
        </w:rPr>
        <w:tab/>
      </w:r>
      <w:r w:rsidR="00651EC4">
        <w:rPr>
          <w:rFonts w:eastAsia="Calibri" w:cs="Arial"/>
          <w:sz w:val="24"/>
          <w:szCs w:val="24"/>
          <w:lang w:eastAsia="en-ZA"/>
        </w:rPr>
        <w:t>Having regard to the agreement as a whole, it seems that this clause was not the proverbial “agreement to agree” that SMM contended for but rather a statement of intent on the part of SMM.</w:t>
      </w:r>
      <w:r w:rsidR="00216278">
        <w:rPr>
          <w:rFonts w:eastAsia="Calibri" w:cs="Arial"/>
          <w:sz w:val="24"/>
          <w:szCs w:val="24"/>
          <w:lang w:eastAsia="en-ZA"/>
        </w:rPr>
        <w:t xml:space="preserve"> This intent never manifested and what is left is what preceded the statement of intent, which was in its express terms, the agreement </w:t>
      </w:r>
      <w:r w:rsidR="00216278">
        <w:rPr>
          <w:rFonts w:eastAsia="Calibri" w:cs="Arial"/>
          <w:sz w:val="24"/>
          <w:szCs w:val="24"/>
          <w:lang w:eastAsia="en-ZA"/>
        </w:rPr>
        <w:lastRenderedPageBreak/>
        <w:t>between the parties. On this basis, the authorities to which I was referred are distinguishable on the facts from this case.</w:t>
      </w:r>
    </w:p>
    <w:p w14:paraId="6BA5BC6F" w14:textId="77777777" w:rsidR="002B5EAC" w:rsidRDefault="002B5EAC" w:rsidP="00D55187">
      <w:pPr>
        <w:pStyle w:val="Body"/>
        <w:spacing w:line="360" w:lineRule="auto"/>
        <w:ind w:left="851" w:hanging="851"/>
        <w:jc w:val="both"/>
        <w:rPr>
          <w:rFonts w:eastAsia="Calibri" w:cs="Arial"/>
          <w:sz w:val="24"/>
          <w:szCs w:val="24"/>
          <w:lang w:eastAsia="en-ZA"/>
        </w:rPr>
      </w:pPr>
    </w:p>
    <w:p w14:paraId="0DCCFECC" w14:textId="19B950C9" w:rsidR="002B5EAC" w:rsidRDefault="002B5EAC" w:rsidP="00D55187">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[1</w:t>
      </w:r>
      <w:r w:rsidR="00543D67">
        <w:rPr>
          <w:rFonts w:eastAsia="Calibri" w:cs="Arial"/>
          <w:sz w:val="24"/>
          <w:szCs w:val="24"/>
          <w:lang w:eastAsia="en-ZA"/>
        </w:rPr>
        <w:t>5</w:t>
      </w:r>
      <w:r>
        <w:rPr>
          <w:rFonts w:eastAsia="Calibri" w:cs="Arial"/>
          <w:sz w:val="24"/>
          <w:szCs w:val="24"/>
          <w:lang w:eastAsia="en-ZA"/>
        </w:rPr>
        <w:t>]</w:t>
      </w:r>
      <w:r>
        <w:rPr>
          <w:rFonts w:eastAsia="Calibri" w:cs="Arial"/>
          <w:sz w:val="24"/>
          <w:szCs w:val="24"/>
          <w:lang w:eastAsia="en-ZA"/>
        </w:rPr>
        <w:tab/>
        <w:t xml:space="preserve">In any event, </w:t>
      </w:r>
      <w:r w:rsidR="005F3E31">
        <w:rPr>
          <w:rFonts w:eastAsia="Calibri" w:cs="Arial"/>
          <w:sz w:val="24"/>
          <w:szCs w:val="24"/>
          <w:lang w:eastAsia="en-ZA"/>
        </w:rPr>
        <w:t xml:space="preserve">it was the case for HAMSA that </w:t>
      </w:r>
      <w:r>
        <w:rPr>
          <w:rFonts w:eastAsia="Calibri" w:cs="Arial"/>
          <w:sz w:val="24"/>
          <w:szCs w:val="24"/>
          <w:lang w:eastAsia="en-ZA"/>
        </w:rPr>
        <w:t>there was no ‘deadlock’ to be broken. The dispute concern</w:t>
      </w:r>
      <w:r w:rsidR="005F3E31">
        <w:rPr>
          <w:rFonts w:eastAsia="Calibri" w:cs="Arial"/>
          <w:sz w:val="24"/>
          <w:szCs w:val="24"/>
          <w:lang w:eastAsia="en-ZA"/>
        </w:rPr>
        <w:t>ed</w:t>
      </w:r>
      <w:r>
        <w:rPr>
          <w:rFonts w:eastAsia="Calibri" w:cs="Arial"/>
          <w:sz w:val="24"/>
          <w:szCs w:val="24"/>
          <w:lang w:eastAsia="en-ZA"/>
        </w:rPr>
        <w:t xml:space="preserve"> the failure of SMM to honour </w:t>
      </w:r>
      <w:r w:rsidR="006D10FA">
        <w:rPr>
          <w:rFonts w:eastAsia="Calibri" w:cs="Arial"/>
          <w:sz w:val="24"/>
          <w:szCs w:val="24"/>
          <w:lang w:eastAsia="en-ZA"/>
        </w:rPr>
        <w:t>a</w:t>
      </w:r>
      <w:r>
        <w:rPr>
          <w:rFonts w:eastAsia="Calibri" w:cs="Arial"/>
          <w:sz w:val="24"/>
          <w:szCs w:val="24"/>
          <w:lang w:eastAsia="en-ZA"/>
        </w:rPr>
        <w:t xml:space="preserve"> part of the agreement by paying the </w:t>
      </w:r>
      <w:r w:rsidR="006D10FA">
        <w:rPr>
          <w:rFonts w:eastAsia="Calibri" w:cs="Arial"/>
          <w:sz w:val="24"/>
          <w:szCs w:val="24"/>
          <w:lang w:eastAsia="en-ZA"/>
        </w:rPr>
        <w:t xml:space="preserve">outstanding </w:t>
      </w:r>
      <w:r>
        <w:rPr>
          <w:rFonts w:eastAsia="Calibri" w:cs="Arial"/>
          <w:sz w:val="24"/>
          <w:szCs w:val="24"/>
          <w:lang w:eastAsia="en-ZA"/>
        </w:rPr>
        <w:t>balance of the agreed price – after there had already been full performance by HAMSA.</w:t>
      </w:r>
    </w:p>
    <w:p w14:paraId="7DFB618E" w14:textId="77777777" w:rsidR="007309B4" w:rsidRDefault="007309B4" w:rsidP="00D55187">
      <w:pPr>
        <w:pStyle w:val="Body"/>
        <w:spacing w:line="360" w:lineRule="auto"/>
        <w:ind w:left="851" w:hanging="851"/>
        <w:jc w:val="both"/>
        <w:rPr>
          <w:rFonts w:eastAsia="Calibri" w:cs="Arial"/>
          <w:sz w:val="24"/>
          <w:szCs w:val="24"/>
          <w:lang w:eastAsia="en-ZA"/>
        </w:rPr>
      </w:pPr>
    </w:p>
    <w:p w14:paraId="221B146D" w14:textId="3283E4B1" w:rsidR="00217EF3"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[16]</w:t>
      </w:r>
      <w:r>
        <w:rPr>
          <w:rFonts w:eastAsia="Calibri" w:cs="Arial"/>
          <w:sz w:val="24"/>
          <w:szCs w:val="24"/>
          <w:lang w:eastAsia="en-ZA"/>
        </w:rPr>
        <w:tab/>
      </w:r>
      <w:r w:rsidR="0091494D">
        <w:rPr>
          <w:rFonts w:eastAsia="Calibri" w:cs="Arial"/>
          <w:sz w:val="24"/>
          <w:szCs w:val="24"/>
          <w:lang w:eastAsia="en-ZA"/>
        </w:rPr>
        <w:t>HAMSA called the evidence of two witnesses – Mr. Vinodh Munessar</w:t>
      </w:r>
      <w:r w:rsidR="0074530F">
        <w:rPr>
          <w:rFonts w:eastAsia="Calibri" w:cs="Arial"/>
          <w:sz w:val="24"/>
          <w:szCs w:val="24"/>
          <w:lang w:eastAsia="en-ZA"/>
        </w:rPr>
        <w:t xml:space="preserve"> (Mr. Munessar)</w:t>
      </w:r>
      <w:r w:rsidR="0091494D">
        <w:rPr>
          <w:rFonts w:eastAsia="Calibri" w:cs="Arial"/>
          <w:sz w:val="24"/>
          <w:szCs w:val="24"/>
          <w:lang w:eastAsia="en-ZA"/>
        </w:rPr>
        <w:t xml:space="preserve"> and Mr. Sunil Chun</w:t>
      </w:r>
      <w:r w:rsidR="0074530F">
        <w:rPr>
          <w:rFonts w:eastAsia="Calibri" w:cs="Arial"/>
          <w:sz w:val="24"/>
          <w:szCs w:val="24"/>
          <w:lang w:eastAsia="en-ZA"/>
        </w:rPr>
        <w:t>d</w:t>
      </w:r>
      <w:r w:rsidR="0091494D">
        <w:rPr>
          <w:rFonts w:eastAsia="Calibri" w:cs="Arial"/>
          <w:sz w:val="24"/>
          <w:szCs w:val="24"/>
          <w:lang w:eastAsia="en-ZA"/>
        </w:rPr>
        <w:t>rikpersad</w:t>
      </w:r>
      <w:r w:rsidR="0074530F">
        <w:rPr>
          <w:rFonts w:eastAsia="Calibri" w:cs="Arial"/>
          <w:sz w:val="24"/>
          <w:szCs w:val="24"/>
          <w:lang w:eastAsia="en-ZA"/>
        </w:rPr>
        <w:t xml:space="preserve"> (Mr. Chundrikpersad)</w:t>
      </w:r>
      <w:r w:rsidR="0091494D">
        <w:rPr>
          <w:rFonts w:eastAsia="Calibri" w:cs="Arial"/>
          <w:sz w:val="24"/>
          <w:szCs w:val="24"/>
          <w:lang w:eastAsia="en-ZA"/>
        </w:rPr>
        <w:t>.</w:t>
      </w:r>
    </w:p>
    <w:p w14:paraId="7A5985A0" w14:textId="77777777" w:rsidR="00217EF3" w:rsidRDefault="00217EF3" w:rsidP="00D55187">
      <w:pPr>
        <w:pStyle w:val="Body"/>
        <w:spacing w:line="360" w:lineRule="auto"/>
        <w:ind w:left="720"/>
        <w:jc w:val="both"/>
        <w:rPr>
          <w:rFonts w:eastAsia="Calibri" w:cs="Arial"/>
          <w:sz w:val="24"/>
          <w:szCs w:val="24"/>
          <w:lang w:eastAsia="en-ZA"/>
        </w:rPr>
      </w:pPr>
    </w:p>
    <w:p w14:paraId="03AA7A93" w14:textId="07ADD2FD" w:rsidR="00217EF3"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[17]</w:t>
      </w:r>
      <w:r>
        <w:rPr>
          <w:rFonts w:eastAsia="Calibri" w:cs="Arial"/>
          <w:sz w:val="24"/>
          <w:szCs w:val="24"/>
          <w:lang w:eastAsia="en-ZA"/>
        </w:rPr>
        <w:tab/>
      </w:r>
      <w:r w:rsidR="0074530F" w:rsidRPr="00217EF3">
        <w:rPr>
          <w:rFonts w:eastAsia="Calibri" w:cs="Arial"/>
          <w:sz w:val="24"/>
          <w:szCs w:val="24"/>
          <w:lang w:eastAsia="en-ZA"/>
        </w:rPr>
        <w:t xml:space="preserve">Mr. Munessar testified that </w:t>
      </w:r>
      <w:r w:rsidR="00EF1BD1" w:rsidRPr="00217EF3">
        <w:rPr>
          <w:rFonts w:eastAsia="Calibri" w:cs="Arial"/>
          <w:sz w:val="24"/>
          <w:szCs w:val="24"/>
          <w:lang w:eastAsia="en-ZA"/>
        </w:rPr>
        <w:t>he is an electrical engineer and one of the directors of HAMSA.  He has worked as an engineer for 23 years, 21 of those with HAMSA.  He confirmed the agreement entered into between HAMSA and SMM and that he had signed i</w:t>
      </w:r>
      <w:r w:rsidR="005F3E31">
        <w:rPr>
          <w:rFonts w:eastAsia="Calibri" w:cs="Arial"/>
          <w:sz w:val="24"/>
          <w:szCs w:val="24"/>
          <w:lang w:eastAsia="en-ZA"/>
        </w:rPr>
        <w:t>t</w:t>
      </w:r>
      <w:r w:rsidR="00EF1BD1" w:rsidRPr="00217EF3">
        <w:rPr>
          <w:rFonts w:eastAsia="Calibri" w:cs="Arial"/>
          <w:sz w:val="24"/>
          <w:szCs w:val="24"/>
          <w:lang w:eastAsia="en-ZA"/>
        </w:rPr>
        <w:t xml:space="preserve"> on behalf of HAMSA and that Mr. Andrew Pillay</w:t>
      </w:r>
      <w:r w:rsidR="005F3E31">
        <w:rPr>
          <w:rFonts w:eastAsia="Calibri" w:cs="Arial"/>
          <w:sz w:val="24"/>
          <w:szCs w:val="24"/>
          <w:lang w:eastAsia="en-ZA"/>
        </w:rPr>
        <w:t xml:space="preserve"> (Mr. Pillay)</w:t>
      </w:r>
      <w:r w:rsidR="00EF1BD1" w:rsidRPr="00217EF3">
        <w:rPr>
          <w:rFonts w:eastAsia="Calibri" w:cs="Arial"/>
          <w:sz w:val="24"/>
          <w:szCs w:val="24"/>
          <w:lang w:eastAsia="en-ZA"/>
        </w:rPr>
        <w:t xml:space="preserve"> had signed on behalf of SMM.  </w:t>
      </w:r>
      <w:r w:rsidR="00274C57" w:rsidRPr="00217EF3">
        <w:rPr>
          <w:rFonts w:eastAsia="Calibri" w:cs="Arial"/>
          <w:sz w:val="24"/>
          <w:szCs w:val="24"/>
          <w:lang w:eastAsia="en-ZA"/>
        </w:rPr>
        <w:t>He testified that he was aware that SMM had been sub-contracted by LTE to carry out electrical infrastructure condition assessments.  He confirmed that the written agreement had been negotiated by himself and Mr. Pillay.  He also testified that although the agreement reflected that a sub-contract agreement would follow in due course, no such agreement had ever eventuated.</w:t>
      </w:r>
    </w:p>
    <w:p w14:paraId="3E2D1712" w14:textId="77777777" w:rsidR="00217EF3" w:rsidRDefault="00217EF3" w:rsidP="00D55187">
      <w:pPr>
        <w:pStyle w:val="ListParagraph"/>
        <w:spacing w:line="360" w:lineRule="auto"/>
        <w:rPr>
          <w:rFonts w:eastAsia="Calibri" w:cs="Arial"/>
          <w:lang w:eastAsia="en-ZA"/>
        </w:rPr>
      </w:pPr>
    </w:p>
    <w:p w14:paraId="33613F90" w14:textId="6C9E158E" w:rsidR="00217EF3" w:rsidRPr="004816B0" w:rsidRDefault="004D2B3A" w:rsidP="004D2B3A">
      <w:pPr>
        <w:pStyle w:val="Body"/>
        <w:spacing w:line="360" w:lineRule="auto"/>
        <w:ind w:left="851" w:hanging="851"/>
        <w:jc w:val="both"/>
        <w:rPr>
          <w:rFonts w:eastAsia="Calibri" w:cs="Arial"/>
          <w:sz w:val="24"/>
          <w:szCs w:val="24"/>
          <w:lang w:eastAsia="en-ZA"/>
        </w:rPr>
      </w:pPr>
      <w:r w:rsidRPr="004816B0">
        <w:rPr>
          <w:rFonts w:eastAsia="Calibri" w:cs="Arial"/>
          <w:sz w:val="24"/>
          <w:szCs w:val="24"/>
          <w:lang w:eastAsia="en-ZA"/>
        </w:rPr>
        <w:t>[18]</w:t>
      </w:r>
      <w:r w:rsidRPr="004816B0">
        <w:rPr>
          <w:rFonts w:eastAsia="Calibri" w:cs="Arial"/>
          <w:sz w:val="24"/>
          <w:szCs w:val="24"/>
          <w:lang w:eastAsia="en-ZA"/>
        </w:rPr>
        <w:tab/>
      </w:r>
      <w:r w:rsidR="00274C57" w:rsidRPr="00217EF3">
        <w:rPr>
          <w:rFonts w:eastAsia="Calibri" w:cs="Arial"/>
          <w:sz w:val="24"/>
          <w:szCs w:val="24"/>
          <w:lang w:eastAsia="en-ZA"/>
        </w:rPr>
        <w:t>H</w:t>
      </w:r>
      <w:r w:rsidR="005F3E31">
        <w:rPr>
          <w:rFonts w:eastAsia="Calibri" w:cs="Arial"/>
          <w:sz w:val="24"/>
          <w:szCs w:val="24"/>
          <w:lang w:eastAsia="en-ZA"/>
        </w:rPr>
        <w:t xml:space="preserve">is evidence was </w:t>
      </w:r>
      <w:r w:rsidR="00274C57" w:rsidRPr="00217EF3">
        <w:rPr>
          <w:rFonts w:eastAsia="Calibri" w:cs="Arial"/>
          <w:sz w:val="24"/>
          <w:szCs w:val="24"/>
          <w:lang w:eastAsia="en-ZA"/>
        </w:rPr>
        <w:t xml:space="preserve">that meetings had been held between himself and Mr. Pillay at which </w:t>
      </w:r>
      <w:r w:rsidR="005F3E31">
        <w:rPr>
          <w:rFonts w:eastAsia="Calibri" w:cs="Arial"/>
          <w:sz w:val="24"/>
          <w:szCs w:val="24"/>
          <w:lang w:eastAsia="en-ZA"/>
        </w:rPr>
        <w:t xml:space="preserve">what </w:t>
      </w:r>
      <w:r w:rsidR="00274C57" w:rsidRPr="00217EF3">
        <w:rPr>
          <w:rFonts w:eastAsia="Calibri" w:cs="Arial"/>
          <w:sz w:val="24"/>
          <w:szCs w:val="24"/>
          <w:lang w:eastAsia="en-ZA"/>
        </w:rPr>
        <w:t>was required of HAMSA had been discussed as well as how HAMSA would execute the</w:t>
      </w:r>
      <w:r w:rsidR="00706D9C" w:rsidRPr="00217EF3">
        <w:rPr>
          <w:rFonts w:eastAsia="Calibri" w:cs="Arial"/>
          <w:sz w:val="24"/>
          <w:szCs w:val="24"/>
          <w:lang w:eastAsia="en-ZA"/>
        </w:rPr>
        <w:t xml:space="preserve"> work.  All the work requested had been done save in respect of one particular municipality which was under administration and where HAMSA had been prevented from carrying out any work.  Notwithstanding the quoted price for all 34 condition assessments, HAMSA was only seeking payment for the 33 that had actually been done.</w:t>
      </w:r>
      <w:r w:rsidR="00F3173B" w:rsidRPr="00217EF3">
        <w:rPr>
          <w:rFonts w:eastAsia="Calibri" w:cs="Arial"/>
          <w:sz w:val="24"/>
          <w:szCs w:val="24"/>
          <w:lang w:eastAsia="en-ZA"/>
        </w:rPr>
        <w:t xml:space="preserve">  In this regard, the particular invoice for that municipality incorrectly reflected a charge for the work having been done and this </w:t>
      </w:r>
      <w:r w:rsidR="005F3E31">
        <w:rPr>
          <w:rFonts w:eastAsia="Calibri" w:cs="Arial"/>
          <w:sz w:val="24"/>
          <w:szCs w:val="24"/>
          <w:lang w:eastAsia="en-ZA"/>
        </w:rPr>
        <w:t>was to be adjusted.</w:t>
      </w:r>
    </w:p>
    <w:p w14:paraId="32E16E81" w14:textId="1572B533" w:rsidR="00217EF3" w:rsidRPr="005F3E31" w:rsidRDefault="004D2B3A" w:rsidP="004D2B3A">
      <w:pPr>
        <w:pStyle w:val="Body"/>
        <w:spacing w:line="360" w:lineRule="auto"/>
        <w:ind w:left="851" w:hanging="851"/>
        <w:jc w:val="both"/>
        <w:rPr>
          <w:rFonts w:eastAsia="Calibri" w:cs="Arial"/>
          <w:sz w:val="24"/>
          <w:szCs w:val="24"/>
          <w:lang w:eastAsia="en-ZA"/>
        </w:rPr>
      </w:pPr>
      <w:r w:rsidRPr="005F3E31">
        <w:rPr>
          <w:rFonts w:eastAsia="Calibri" w:cs="Arial"/>
          <w:sz w:val="24"/>
          <w:szCs w:val="24"/>
          <w:lang w:eastAsia="en-ZA"/>
        </w:rPr>
        <w:lastRenderedPageBreak/>
        <w:t>[19]</w:t>
      </w:r>
      <w:r w:rsidRPr="005F3E31">
        <w:rPr>
          <w:rFonts w:eastAsia="Calibri" w:cs="Arial"/>
          <w:sz w:val="24"/>
          <w:szCs w:val="24"/>
          <w:lang w:eastAsia="en-ZA"/>
        </w:rPr>
        <w:tab/>
      </w:r>
      <w:r w:rsidR="00F3173B" w:rsidRPr="00217EF3">
        <w:rPr>
          <w:rFonts w:eastAsia="Calibri" w:cs="Arial"/>
          <w:sz w:val="24"/>
          <w:szCs w:val="24"/>
          <w:lang w:eastAsia="en-ZA"/>
        </w:rPr>
        <w:t xml:space="preserve">HAMSA was well aware of what the “condition assessments” entailed and no other particularity was needed in the agreement.  Mr. </w:t>
      </w:r>
      <w:r w:rsidR="00217EF3">
        <w:rPr>
          <w:rFonts w:eastAsia="Calibri" w:cs="Arial"/>
          <w:sz w:val="24"/>
          <w:szCs w:val="24"/>
          <w:lang w:eastAsia="en-ZA"/>
        </w:rPr>
        <w:t>Munessar</w:t>
      </w:r>
      <w:r w:rsidR="00F3173B" w:rsidRPr="00217EF3">
        <w:rPr>
          <w:rFonts w:eastAsia="Calibri" w:cs="Arial"/>
          <w:sz w:val="24"/>
          <w:szCs w:val="24"/>
          <w:lang w:eastAsia="en-ZA"/>
        </w:rPr>
        <w:t xml:space="preserve"> explained that since the parties that had negotiated the agreement were engineers, what was entailed was well understood and was in fact what had been done by HAMSA.</w:t>
      </w:r>
      <w:r w:rsidR="005F3E31">
        <w:rPr>
          <w:rFonts w:eastAsia="Calibri" w:cs="Arial"/>
          <w:sz w:val="24"/>
          <w:szCs w:val="24"/>
          <w:lang w:eastAsia="en-ZA"/>
        </w:rPr>
        <w:t xml:space="preserve"> T</w:t>
      </w:r>
      <w:r w:rsidR="00F3173B" w:rsidRPr="005F3E31">
        <w:rPr>
          <w:rFonts w:eastAsia="Calibri" w:cs="Arial"/>
          <w:sz w:val="24"/>
          <w:szCs w:val="24"/>
          <w:lang w:eastAsia="en-ZA"/>
        </w:rPr>
        <w:t xml:space="preserve">he work had </w:t>
      </w:r>
      <w:r w:rsidR="00581A22" w:rsidRPr="005F3E31">
        <w:rPr>
          <w:rFonts w:eastAsia="Calibri" w:cs="Arial"/>
          <w:sz w:val="24"/>
          <w:szCs w:val="24"/>
          <w:lang w:eastAsia="en-ZA"/>
        </w:rPr>
        <w:t>commenced,</w:t>
      </w:r>
      <w:r w:rsidR="00F3173B" w:rsidRPr="005F3E31">
        <w:rPr>
          <w:rFonts w:eastAsia="Calibri" w:cs="Arial"/>
          <w:sz w:val="24"/>
          <w:szCs w:val="24"/>
          <w:lang w:eastAsia="en-ZA"/>
        </w:rPr>
        <w:t xml:space="preserve"> and invoices </w:t>
      </w:r>
      <w:r w:rsidR="005F3E31">
        <w:rPr>
          <w:rFonts w:eastAsia="Calibri" w:cs="Arial"/>
          <w:sz w:val="24"/>
          <w:szCs w:val="24"/>
          <w:lang w:eastAsia="en-ZA"/>
        </w:rPr>
        <w:t>were</w:t>
      </w:r>
      <w:r w:rsidR="00F3173B" w:rsidRPr="005F3E31">
        <w:rPr>
          <w:rFonts w:eastAsia="Calibri" w:cs="Arial"/>
          <w:sz w:val="24"/>
          <w:szCs w:val="24"/>
          <w:lang w:eastAsia="en-ZA"/>
        </w:rPr>
        <w:t xml:space="preserve"> submitted to SMM. </w:t>
      </w:r>
      <w:r w:rsidR="00581A22">
        <w:rPr>
          <w:rFonts w:eastAsia="Calibri" w:cs="Arial"/>
          <w:sz w:val="24"/>
          <w:szCs w:val="24"/>
          <w:lang w:eastAsia="en-ZA"/>
        </w:rPr>
        <w:t xml:space="preserve"> Payments were received in July 2019 in the sum of R1 200 000,00.</w:t>
      </w:r>
      <w:r w:rsidR="00F3173B" w:rsidRPr="005F3E31">
        <w:rPr>
          <w:rFonts w:eastAsia="Calibri" w:cs="Arial"/>
          <w:sz w:val="24"/>
          <w:szCs w:val="24"/>
          <w:lang w:eastAsia="en-ZA"/>
        </w:rPr>
        <w:t xml:space="preserve"> </w:t>
      </w:r>
      <w:r w:rsidR="00581A22">
        <w:rPr>
          <w:rFonts w:eastAsia="Calibri" w:cs="Arial"/>
          <w:sz w:val="24"/>
          <w:szCs w:val="24"/>
          <w:lang w:eastAsia="en-ZA"/>
        </w:rPr>
        <w:t>B</w:t>
      </w:r>
      <w:r w:rsidR="00F3173B" w:rsidRPr="005F3E31">
        <w:rPr>
          <w:rFonts w:eastAsia="Calibri" w:cs="Arial"/>
          <w:sz w:val="24"/>
          <w:szCs w:val="24"/>
          <w:lang w:eastAsia="en-ZA"/>
        </w:rPr>
        <w:t>etween July and December 2019, work had been held back because of non-payment but payments had subsequently been made in October and November 2019.</w:t>
      </w:r>
    </w:p>
    <w:p w14:paraId="0D5920A9" w14:textId="77777777" w:rsidR="00217EF3" w:rsidRDefault="00217EF3" w:rsidP="00D55187">
      <w:pPr>
        <w:pStyle w:val="ListParagraph"/>
        <w:spacing w:line="360" w:lineRule="auto"/>
        <w:rPr>
          <w:rFonts w:eastAsia="Calibri" w:cs="Arial"/>
          <w:lang w:eastAsia="en-ZA"/>
        </w:rPr>
      </w:pPr>
    </w:p>
    <w:p w14:paraId="4D676A83" w14:textId="0525C7E8" w:rsidR="00581A22"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[20]</w:t>
      </w:r>
      <w:r>
        <w:rPr>
          <w:rFonts w:eastAsia="Calibri" w:cs="Arial"/>
          <w:sz w:val="24"/>
          <w:szCs w:val="24"/>
          <w:lang w:eastAsia="en-ZA"/>
        </w:rPr>
        <w:tab/>
      </w:r>
      <w:r w:rsidR="00F3173B" w:rsidRPr="00217EF3">
        <w:rPr>
          <w:rFonts w:eastAsia="Calibri" w:cs="Arial"/>
          <w:sz w:val="24"/>
          <w:szCs w:val="24"/>
          <w:lang w:eastAsia="en-ZA"/>
        </w:rPr>
        <w:t>The</w:t>
      </w:r>
      <w:r w:rsidR="00204EF7" w:rsidRPr="00217EF3">
        <w:rPr>
          <w:rFonts w:eastAsia="Calibri" w:cs="Arial"/>
          <w:sz w:val="24"/>
          <w:szCs w:val="24"/>
          <w:lang w:eastAsia="en-ZA"/>
        </w:rPr>
        <w:t xml:space="preserve"> difficulty with receiving payments from SMM had been raised with them and had resulted in a payment schedule signed by Mr. Lansana Marah</w:t>
      </w:r>
      <w:r w:rsidR="00983939" w:rsidRPr="00217EF3">
        <w:rPr>
          <w:rFonts w:eastAsia="Calibri" w:cs="Arial"/>
          <w:sz w:val="24"/>
          <w:szCs w:val="24"/>
          <w:lang w:eastAsia="en-ZA"/>
        </w:rPr>
        <w:t xml:space="preserve">, a director of SMM being sent to HAMSA on 27 September 2019.  This was because there was no agreement that HAMSA would wait for payment of its invoices.  </w:t>
      </w:r>
    </w:p>
    <w:p w14:paraId="136DF3C4" w14:textId="77777777" w:rsidR="00581A22" w:rsidRDefault="00581A22" w:rsidP="00D55187">
      <w:pPr>
        <w:pStyle w:val="ListParagraph"/>
        <w:spacing w:line="360" w:lineRule="auto"/>
        <w:rPr>
          <w:rFonts w:eastAsia="Calibri" w:cs="Arial"/>
          <w:lang w:eastAsia="en-ZA"/>
        </w:rPr>
      </w:pPr>
    </w:p>
    <w:p w14:paraId="2DBDC6FC" w14:textId="17A3E21A" w:rsidR="00217EF3"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[21]</w:t>
      </w:r>
      <w:r>
        <w:rPr>
          <w:rFonts w:eastAsia="Calibri" w:cs="Arial"/>
          <w:sz w:val="24"/>
          <w:szCs w:val="24"/>
          <w:lang w:eastAsia="en-ZA"/>
        </w:rPr>
        <w:tab/>
      </w:r>
      <w:r w:rsidR="00983939" w:rsidRPr="00217EF3">
        <w:rPr>
          <w:rFonts w:eastAsia="Calibri" w:cs="Arial"/>
          <w:sz w:val="24"/>
          <w:szCs w:val="24"/>
          <w:lang w:eastAsia="en-ZA"/>
        </w:rPr>
        <w:t>The payment schedule resulted in</w:t>
      </w:r>
      <w:r w:rsidR="00581A22">
        <w:rPr>
          <w:rFonts w:eastAsia="Calibri" w:cs="Arial"/>
          <w:sz w:val="24"/>
          <w:szCs w:val="24"/>
          <w:lang w:eastAsia="en-ZA"/>
        </w:rPr>
        <w:t xml:space="preserve"> further </w:t>
      </w:r>
      <w:r w:rsidR="00983939" w:rsidRPr="00217EF3">
        <w:rPr>
          <w:rFonts w:eastAsia="Calibri" w:cs="Arial"/>
          <w:sz w:val="24"/>
          <w:szCs w:val="24"/>
          <w:lang w:eastAsia="en-ZA"/>
        </w:rPr>
        <w:t>payments of R300 000.00 in October 2019 and R1 million in November 2019.  A further payment of R300 000.00 was made in January 2020.</w:t>
      </w:r>
      <w:r w:rsidR="002204BE" w:rsidRPr="00217EF3">
        <w:rPr>
          <w:rFonts w:eastAsia="Calibri" w:cs="Arial"/>
          <w:sz w:val="24"/>
          <w:szCs w:val="24"/>
          <w:lang w:eastAsia="en-ZA"/>
        </w:rPr>
        <w:t xml:space="preserve">  In April 2020, HAMSA had instructed its attorneys to send a letter in terms of section 345 of the Companies Act</w:t>
      </w:r>
      <w:r w:rsidR="006F4618">
        <w:rPr>
          <w:rStyle w:val="FootnoteReference"/>
          <w:rFonts w:eastAsia="Calibri" w:cs="Arial"/>
          <w:sz w:val="24"/>
          <w:szCs w:val="24"/>
          <w:lang w:eastAsia="en-ZA"/>
        </w:rPr>
        <w:footnoteReference w:id="4"/>
      </w:r>
      <w:r w:rsidR="002204BE" w:rsidRPr="00217EF3">
        <w:rPr>
          <w:rFonts w:eastAsia="Calibri" w:cs="Arial"/>
          <w:sz w:val="24"/>
          <w:szCs w:val="24"/>
          <w:lang w:eastAsia="en-ZA"/>
        </w:rPr>
        <w:t xml:space="preserve">  to SMM and in response to this, a further payment of R1 million was received.  Throughout his dealings with SMM, they had never disputed </w:t>
      </w:r>
      <w:r w:rsidR="006F4618">
        <w:rPr>
          <w:rFonts w:eastAsia="Calibri" w:cs="Arial"/>
          <w:sz w:val="24"/>
          <w:szCs w:val="24"/>
          <w:lang w:eastAsia="en-ZA"/>
        </w:rPr>
        <w:t>that the work was done or that payment was due or for that matter, the amount to be paid.</w:t>
      </w:r>
    </w:p>
    <w:p w14:paraId="64877EDF" w14:textId="77777777" w:rsidR="00217EF3" w:rsidRDefault="00217EF3" w:rsidP="00D55187">
      <w:pPr>
        <w:pStyle w:val="ListParagraph"/>
        <w:spacing w:line="360" w:lineRule="auto"/>
        <w:rPr>
          <w:rFonts w:eastAsia="Calibri" w:cs="Arial"/>
          <w:lang w:eastAsia="en-ZA"/>
        </w:rPr>
      </w:pPr>
    </w:p>
    <w:p w14:paraId="3FEC2D17" w14:textId="3568FC4D" w:rsidR="006F4618"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[22]</w:t>
      </w:r>
      <w:r>
        <w:rPr>
          <w:rFonts w:eastAsia="Calibri" w:cs="Arial"/>
          <w:sz w:val="24"/>
          <w:szCs w:val="24"/>
          <w:lang w:eastAsia="en-ZA"/>
        </w:rPr>
        <w:tab/>
      </w:r>
      <w:r w:rsidR="002204BE" w:rsidRPr="00217EF3">
        <w:rPr>
          <w:rFonts w:eastAsia="Calibri" w:cs="Arial"/>
          <w:sz w:val="24"/>
          <w:szCs w:val="24"/>
          <w:lang w:eastAsia="en-ZA"/>
        </w:rPr>
        <w:t>He also testified that when the work had been completed, he had informed both Mr. Pillay as well as LTE and that confirmation had been received from LTE that they were satisfied that the work had been completed.  All the relevant documents required by LTE had been sent to them electronically</w:t>
      </w:r>
      <w:r w:rsidR="00231D29" w:rsidRPr="00217EF3">
        <w:rPr>
          <w:rFonts w:eastAsia="Calibri" w:cs="Arial"/>
          <w:sz w:val="24"/>
          <w:szCs w:val="24"/>
          <w:lang w:eastAsia="en-ZA"/>
        </w:rPr>
        <w:t>.</w:t>
      </w:r>
      <w:r w:rsidR="00B4381A">
        <w:rPr>
          <w:rStyle w:val="FootnoteReference"/>
          <w:rFonts w:eastAsia="Calibri" w:cs="Arial"/>
          <w:sz w:val="24"/>
          <w:szCs w:val="24"/>
          <w:lang w:eastAsia="en-ZA"/>
        </w:rPr>
        <w:footnoteReference w:id="5"/>
      </w:r>
      <w:r w:rsidR="006F4618">
        <w:rPr>
          <w:rFonts w:eastAsia="Calibri" w:cs="Arial"/>
          <w:sz w:val="24"/>
          <w:szCs w:val="24"/>
          <w:lang w:eastAsia="en-ZA"/>
        </w:rPr>
        <w:t xml:space="preserve"> On this aspect his evidence was corroborated by Mr. Chundrikpersad.</w:t>
      </w:r>
    </w:p>
    <w:p w14:paraId="628A9DED" w14:textId="77777777" w:rsidR="006F4618" w:rsidRDefault="006F4618" w:rsidP="00D55187">
      <w:pPr>
        <w:pStyle w:val="ListParagraph"/>
        <w:spacing w:line="360" w:lineRule="auto"/>
        <w:rPr>
          <w:rFonts w:eastAsia="Calibri" w:cs="Arial"/>
          <w:lang w:eastAsia="en-ZA"/>
        </w:rPr>
      </w:pPr>
    </w:p>
    <w:p w14:paraId="6972CE0C" w14:textId="258333DA" w:rsidR="00217EF3"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lastRenderedPageBreak/>
        <w:t>[23]</w:t>
      </w:r>
      <w:r>
        <w:rPr>
          <w:rFonts w:eastAsia="Calibri" w:cs="Arial"/>
          <w:sz w:val="24"/>
          <w:szCs w:val="24"/>
          <w:lang w:eastAsia="en-ZA"/>
        </w:rPr>
        <w:tab/>
      </w:r>
      <w:r w:rsidR="00231D29" w:rsidRPr="00217EF3">
        <w:rPr>
          <w:rFonts w:eastAsia="Calibri" w:cs="Arial"/>
          <w:sz w:val="24"/>
          <w:szCs w:val="24"/>
          <w:lang w:eastAsia="en-ZA"/>
        </w:rPr>
        <w:t>His evidence was that of the R8.5 million that had been quoted,</w:t>
      </w:r>
      <w:r w:rsidR="00875B86">
        <w:rPr>
          <w:rFonts w:eastAsia="Calibri" w:cs="Arial"/>
          <w:sz w:val="24"/>
          <w:szCs w:val="24"/>
          <w:lang w:eastAsia="en-ZA"/>
        </w:rPr>
        <w:t xml:space="preserve"> taking into account the R3,8 million paid,</w:t>
      </w:r>
      <w:r w:rsidR="00231D29" w:rsidRPr="00217EF3">
        <w:rPr>
          <w:rFonts w:eastAsia="Calibri" w:cs="Arial"/>
          <w:sz w:val="24"/>
          <w:szCs w:val="24"/>
          <w:lang w:eastAsia="en-ZA"/>
        </w:rPr>
        <w:t xml:space="preserve"> the outstanding balance </w:t>
      </w:r>
      <w:r w:rsidR="00875B86">
        <w:rPr>
          <w:rFonts w:eastAsia="Calibri" w:cs="Arial"/>
          <w:sz w:val="24"/>
          <w:szCs w:val="24"/>
          <w:lang w:eastAsia="en-ZA"/>
        </w:rPr>
        <w:t xml:space="preserve">was R 4 345 834,51. Deducting </w:t>
      </w:r>
      <w:r w:rsidR="00231D29" w:rsidRPr="00217EF3">
        <w:rPr>
          <w:rFonts w:eastAsia="Calibri" w:cs="Arial"/>
          <w:sz w:val="24"/>
          <w:szCs w:val="24"/>
          <w:lang w:eastAsia="en-ZA"/>
        </w:rPr>
        <w:t>the adjustment for the municipality where they had been unable to do the work</w:t>
      </w:r>
      <w:r w:rsidR="00875B86">
        <w:rPr>
          <w:rFonts w:eastAsia="Calibri" w:cs="Arial"/>
          <w:sz w:val="24"/>
          <w:szCs w:val="24"/>
          <w:lang w:eastAsia="en-ZA"/>
        </w:rPr>
        <w:t xml:space="preserve"> in the amount of R227 077,99 left an amount of R4 118 75</w:t>
      </w:r>
      <w:r w:rsidR="00CC5BEF">
        <w:rPr>
          <w:rFonts w:eastAsia="Calibri" w:cs="Arial"/>
          <w:sz w:val="24"/>
          <w:szCs w:val="24"/>
          <w:lang w:eastAsia="en-ZA"/>
        </w:rPr>
        <w:t>6</w:t>
      </w:r>
      <w:r w:rsidR="00875B86">
        <w:rPr>
          <w:rFonts w:eastAsia="Calibri" w:cs="Arial"/>
          <w:sz w:val="24"/>
          <w:szCs w:val="24"/>
          <w:lang w:eastAsia="en-ZA"/>
        </w:rPr>
        <w:t>,</w:t>
      </w:r>
      <w:r w:rsidR="00CC5BEF">
        <w:rPr>
          <w:rFonts w:eastAsia="Calibri" w:cs="Arial"/>
          <w:sz w:val="24"/>
          <w:szCs w:val="24"/>
          <w:lang w:eastAsia="en-ZA"/>
        </w:rPr>
        <w:t>5</w:t>
      </w:r>
      <w:r w:rsidR="00875B86">
        <w:rPr>
          <w:rFonts w:eastAsia="Calibri" w:cs="Arial"/>
          <w:sz w:val="24"/>
          <w:szCs w:val="24"/>
          <w:lang w:eastAsia="en-ZA"/>
        </w:rPr>
        <w:t>2 for which judgment is sought.</w:t>
      </w:r>
    </w:p>
    <w:p w14:paraId="745780C4" w14:textId="77777777" w:rsidR="00217EF3" w:rsidRDefault="00217EF3" w:rsidP="00D55187">
      <w:pPr>
        <w:pStyle w:val="ListParagraph"/>
        <w:spacing w:line="360" w:lineRule="auto"/>
        <w:rPr>
          <w:rFonts w:eastAsia="Calibri" w:cs="Arial"/>
          <w:lang w:eastAsia="en-ZA"/>
        </w:rPr>
      </w:pPr>
    </w:p>
    <w:p w14:paraId="535EC7C1" w14:textId="650FAD96" w:rsidR="00217EF3"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[24]</w:t>
      </w:r>
      <w:r>
        <w:rPr>
          <w:rFonts w:eastAsia="Calibri" w:cs="Arial"/>
          <w:sz w:val="24"/>
          <w:szCs w:val="24"/>
          <w:lang w:eastAsia="en-ZA"/>
        </w:rPr>
        <w:tab/>
      </w:r>
      <w:r w:rsidR="00083697" w:rsidRPr="00217EF3">
        <w:rPr>
          <w:rFonts w:eastAsia="Calibri" w:cs="Arial"/>
          <w:sz w:val="24"/>
          <w:szCs w:val="24"/>
          <w:lang w:eastAsia="en-ZA"/>
        </w:rPr>
        <w:t xml:space="preserve">It was put to </w:t>
      </w:r>
      <w:r w:rsidR="00875B86">
        <w:rPr>
          <w:rFonts w:eastAsia="Calibri" w:cs="Arial"/>
          <w:sz w:val="24"/>
          <w:szCs w:val="24"/>
          <w:lang w:eastAsia="en-ZA"/>
        </w:rPr>
        <w:t>Mr</w:t>
      </w:r>
      <w:r w:rsidR="00C01714">
        <w:rPr>
          <w:rFonts w:eastAsia="Calibri" w:cs="Arial"/>
          <w:sz w:val="24"/>
          <w:szCs w:val="24"/>
          <w:lang w:eastAsia="en-ZA"/>
        </w:rPr>
        <w:t>.</w:t>
      </w:r>
      <w:r w:rsidR="00875B86">
        <w:rPr>
          <w:rFonts w:eastAsia="Calibri" w:cs="Arial"/>
          <w:sz w:val="24"/>
          <w:szCs w:val="24"/>
          <w:lang w:eastAsia="en-ZA"/>
        </w:rPr>
        <w:t xml:space="preserve"> Mune</w:t>
      </w:r>
      <w:r w:rsidR="00C01714">
        <w:rPr>
          <w:rFonts w:eastAsia="Calibri" w:cs="Arial"/>
          <w:sz w:val="24"/>
          <w:szCs w:val="24"/>
          <w:lang w:eastAsia="en-ZA"/>
        </w:rPr>
        <w:t>ssar</w:t>
      </w:r>
      <w:r w:rsidR="00083697" w:rsidRPr="00217EF3">
        <w:rPr>
          <w:rFonts w:eastAsia="Calibri" w:cs="Arial"/>
          <w:sz w:val="24"/>
          <w:szCs w:val="24"/>
          <w:lang w:eastAsia="en-ZA"/>
        </w:rPr>
        <w:t xml:space="preserve"> in cross examination that the agreement did not specify what the “</w:t>
      </w:r>
      <w:r w:rsidR="00083697" w:rsidRPr="00C01714">
        <w:rPr>
          <w:rFonts w:eastAsia="Calibri" w:cs="Arial"/>
          <w:i/>
          <w:iCs/>
          <w:sz w:val="24"/>
          <w:szCs w:val="24"/>
          <w:lang w:eastAsia="en-ZA"/>
        </w:rPr>
        <w:t>condition assessments</w:t>
      </w:r>
      <w:r w:rsidR="00083697" w:rsidRPr="00217EF3">
        <w:rPr>
          <w:rFonts w:eastAsia="Calibri" w:cs="Arial"/>
          <w:sz w:val="24"/>
          <w:szCs w:val="24"/>
          <w:lang w:eastAsia="en-ZA"/>
        </w:rPr>
        <w:t>” entailed and he explained that it was an engineering term and that engineers knew what it meant.  He fairly conceded that the agreement did not specify when the works would be complete or how payment would be made.  Furthermore, he conceded that the agreement did not refer to interim payments or specify w</w:t>
      </w:r>
      <w:r w:rsidR="00C01714">
        <w:rPr>
          <w:rFonts w:eastAsia="Calibri" w:cs="Arial"/>
          <w:sz w:val="24"/>
          <w:szCs w:val="24"/>
          <w:lang w:eastAsia="en-ZA"/>
        </w:rPr>
        <w:t>hen</w:t>
      </w:r>
      <w:r w:rsidR="00083697" w:rsidRPr="00217EF3">
        <w:rPr>
          <w:rFonts w:eastAsia="Calibri" w:cs="Arial"/>
          <w:sz w:val="24"/>
          <w:szCs w:val="24"/>
          <w:lang w:eastAsia="en-ZA"/>
        </w:rPr>
        <w:t xml:space="preserve"> HAMSA would in fact be entitled to payment.</w:t>
      </w:r>
    </w:p>
    <w:p w14:paraId="762215E5" w14:textId="77777777" w:rsidR="00217EF3" w:rsidRDefault="00217EF3" w:rsidP="00D55187">
      <w:pPr>
        <w:pStyle w:val="ListParagraph"/>
        <w:spacing w:line="360" w:lineRule="auto"/>
        <w:rPr>
          <w:rFonts w:eastAsia="Calibri" w:cs="Arial"/>
          <w:lang w:eastAsia="en-ZA"/>
        </w:rPr>
      </w:pPr>
    </w:p>
    <w:p w14:paraId="59A80372" w14:textId="397BFFC3" w:rsidR="00217EF3"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[25]</w:t>
      </w:r>
      <w:r>
        <w:rPr>
          <w:rFonts w:eastAsia="Calibri" w:cs="Arial"/>
          <w:sz w:val="24"/>
          <w:szCs w:val="24"/>
          <w:lang w:eastAsia="en-ZA"/>
        </w:rPr>
        <w:tab/>
      </w:r>
      <w:r w:rsidR="0074530F" w:rsidRPr="00217EF3">
        <w:rPr>
          <w:rFonts w:eastAsia="Calibri" w:cs="Arial"/>
          <w:sz w:val="24"/>
          <w:szCs w:val="24"/>
          <w:lang w:eastAsia="en-ZA"/>
        </w:rPr>
        <w:t xml:space="preserve">Mr. Chundrikpersad testified that </w:t>
      </w:r>
      <w:r w:rsidR="00083697" w:rsidRPr="00217EF3">
        <w:rPr>
          <w:rFonts w:eastAsia="Calibri" w:cs="Arial"/>
          <w:sz w:val="24"/>
          <w:szCs w:val="24"/>
          <w:lang w:eastAsia="en-ZA"/>
        </w:rPr>
        <w:t xml:space="preserve">he is the payment </w:t>
      </w:r>
      <w:r w:rsidR="00C01714" w:rsidRPr="00217EF3">
        <w:rPr>
          <w:rFonts w:eastAsia="Calibri" w:cs="Arial"/>
          <w:sz w:val="24"/>
          <w:szCs w:val="24"/>
          <w:lang w:eastAsia="en-ZA"/>
        </w:rPr>
        <w:t>coordinator</w:t>
      </w:r>
      <w:r w:rsidR="00083697" w:rsidRPr="00217EF3">
        <w:rPr>
          <w:rFonts w:eastAsia="Calibri" w:cs="Arial"/>
          <w:sz w:val="24"/>
          <w:szCs w:val="24"/>
          <w:lang w:eastAsia="en-ZA"/>
        </w:rPr>
        <w:t xml:space="preserve"> employed at HAMSA.  His evidence was that he oversaw the payments of all invoices and followed these up until the project was completed.  He has been with HAMSA for 13 years.  He attended a number of prior meetings with SMM to discuss the implementation plan of the agreement, prior to the signature of the agreement.</w:t>
      </w:r>
      <w:r w:rsidR="00FC5716" w:rsidRPr="00217EF3">
        <w:rPr>
          <w:rFonts w:eastAsia="Calibri" w:cs="Arial"/>
          <w:sz w:val="24"/>
          <w:szCs w:val="24"/>
          <w:lang w:eastAsia="en-ZA"/>
        </w:rPr>
        <w:t xml:space="preserve"> </w:t>
      </w:r>
    </w:p>
    <w:p w14:paraId="1D9913AB" w14:textId="77777777" w:rsidR="00217EF3" w:rsidRDefault="00217EF3" w:rsidP="00D55187">
      <w:pPr>
        <w:pStyle w:val="ListParagraph"/>
        <w:spacing w:line="360" w:lineRule="auto"/>
        <w:rPr>
          <w:rFonts w:eastAsia="Calibri" w:cs="Arial"/>
          <w:lang w:eastAsia="en-ZA"/>
        </w:rPr>
      </w:pPr>
    </w:p>
    <w:p w14:paraId="713D460F" w14:textId="6C8806DB" w:rsidR="00217EF3"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[26]</w:t>
      </w:r>
      <w:r>
        <w:rPr>
          <w:rFonts w:eastAsia="Calibri" w:cs="Arial"/>
          <w:sz w:val="24"/>
          <w:szCs w:val="24"/>
          <w:lang w:eastAsia="en-ZA"/>
        </w:rPr>
        <w:tab/>
      </w:r>
      <w:r w:rsidR="00996ED3" w:rsidRPr="00217EF3">
        <w:rPr>
          <w:rFonts w:eastAsia="Calibri" w:cs="Arial"/>
          <w:sz w:val="24"/>
          <w:szCs w:val="24"/>
          <w:lang w:eastAsia="en-ZA"/>
        </w:rPr>
        <w:t xml:space="preserve">He confirmed the evidence of Mr. </w:t>
      </w:r>
      <w:r w:rsidR="007309B4">
        <w:rPr>
          <w:rFonts w:eastAsia="Calibri" w:cs="Arial"/>
          <w:sz w:val="24"/>
          <w:szCs w:val="24"/>
          <w:lang w:eastAsia="en-ZA"/>
        </w:rPr>
        <w:t>Munessar</w:t>
      </w:r>
      <w:r w:rsidR="00996ED3" w:rsidRPr="00217EF3">
        <w:rPr>
          <w:rFonts w:eastAsia="Calibri" w:cs="Arial"/>
          <w:sz w:val="24"/>
          <w:szCs w:val="24"/>
          <w:lang w:eastAsia="en-ZA"/>
        </w:rPr>
        <w:t xml:space="preserve"> that an email had been sent to LTE confirming the completion of the work and that all the relevant documents had been sent electronically.  His evidence was that LTE had acknowledged that the work was completed.</w:t>
      </w:r>
    </w:p>
    <w:p w14:paraId="56B59347" w14:textId="77777777" w:rsidR="00217EF3" w:rsidRDefault="00217EF3" w:rsidP="00D55187">
      <w:pPr>
        <w:pStyle w:val="ListParagraph"/>
        <w:spacing w:line="360" w:lineRule="auto"/>
        <w:rPr>
          <w:rFonts w:eastAsia="Calibri" w:cs="Arial"/>
          <w:lang w:eastAsia="en-ZA"/>
        </w:rPr>
      </w:pPr>
    </w:p>
    <w:p w14:paraId="2B26952E" w14:textId="79FFFC89" w:rsidR="00C01714"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[27]</w:t>
      </w:r>
      <w:r>
        <w:rPr>
          <w:rFonts w:eastAsia="Calibri" w:cs="Arial"/>
          <w:sz w:val="24"/>
          <w:szCs w:val="24"/>
          <w:lang w:eastAsia="en-ZA"/>
        </w:rPr>
        <w:tab/>
      </w:r>
      <w:r w:rsidR="00E85199" w:rsidRPr="00217EF3">
        <w:rPr>
          <w:rFonts w:eastAsia="Calibri" w:cs="Arial"/>
          <w:sz w:val="24"/>
          <w:szCs w:val="24"/>
          <w:lang w:eastAsia="en-ZA"/>
        </w:rPr>
        <w:t xml:space="preserve">Mr. </w:t>
      </w:r>
      <w:r w:rsidR="007309B4">
        <w:rPr>
          <w:rFonts w:eastAsia="Calibri" w:cs="Arial"/>
          <w:sz w:val="24"/>
          <w:szCs w:val="24"/>
          <w:lang w:eastAsia="en-ZA"/>
        </w:rPr>
        <w:t>Munessar</w:t>
      </w:r>
      <w:r w:rsidR="003602DC">
        <w:rPr>
          <w:rFonts w:eastAsia="Calibri" w:cs="Arial"/>
          <w:sz w:val="24"/>
          <w:szCs w:val="24"/>
          <w:lang w:eastAsia="en-ZA"/>
        </w:rPr>
        <w:t>’s evidence</w:t>
      </w:r>
      <w:r w:rsidR="00E85199" w:rsidRPr="00217EF3">
        <w:rPr>
          <w:rFonts w:eastAsia="Calibri" w:cs="Arial"/>
          <w:sz w:val="24"/>
          <w:szCs w:val="24"/>
          <w:lang w:eastAsia="en-ZA"/>
        </w:rPr>
        <w:t xml:space="preserve"> was not disturbed in cross examination</w:t>
      </w:r>
      <w:r w:rsidR="003602DC">
        <w:rPr>
          <w:rFonts w:eastAsia="Calibri" w:cs="Arial"/>
          <w:sz w:val="24"/>
          <w:szCs w:val="24"/>
          <w:lang w:eastAsia="en-ZA"/>
        </w:rPr>
        <w:t xml:space="preserve"> and </w:t>
      </w:r>
      <w:r w:rsidR="003602DC" w:rsidRPr="00217EF3">
        <w:rPr>
          <w:rFonts w:eastAsia="Calibri" w:cs="Arial"/>
          <w:sz w:val="24"/>
          <w:szCs w:val="24"/>
          <w:lang w:eastAsia="en-ZA"/>
        </w:rPr>
        <w:t>Mr.</w:t>
      </w:r>
      <w:r w:rsidR="00E85199" w:rsidRPr="00217EF3">
        <w:rPr>
          <w:rFonts w:eastAsia="Calibri" w:cs="Arial"/>
          <w:sz w:val="24"/>
          <w:szCs w:val="24"/>
          <w:lang w:eastAsia="en-ZA"/>
        </w:rPr>
        <w:t xml:space="preserve"> Chun</w:t>
      </w:r>
      <w:r w:rsidR="007309B4">
        <w:rPr>
          <w:rFonts w:eastAsia="Calibri" w:cs="Arial"/>
          <w:sz w:val="24"/>
          <w:szCs w:val="24"/>
          <w:lang w:eastAsia="en-ZA"/>
        </w:rPr>
        <w:t>drikpersad w</w:t>
      </w:r>
      <w:r w:rsidR="00E85199" w:rsidRPr="00217EF3">
        <w:rPr>
          <w:rFonts w:eastAsia="Calibri" w:cs="Arial"/>
          <w:sz w:val="24"/>
          <w:szCs w:val="24"/>
          <w:lang w:eastAsia="en-ZA"/>
        </w:rPr>
        <w:t>as not crossed examined.</w:t>
      </w:r>
      <w:r w:rsidR="0074530F">
        <w:rPr>
          <w:rStyle w:val="FootnoteReference"/>
          <w:rFonts w:eastAsia="Calibri" w:cs="Arial"/>
          <w:sz w:val="24"/>
          <w:szCs w:val="24"/>
          <w:lang w:eastAsia="en-ZA"/>
        </w:rPr>
        <w:footnoteReference w:id="6"/>
      </w:r>
      <w:r w:rsidR="0074530F" w:rsidRPr="00217EF3">
        <w:rPr>
          <w:rFonts w:eastAsia="Calibri" w:cs="Arial"/>
          <w:sz w:val="24"/>
          <w:szCs w:val="24"/>
          <w:lang w:eastAsia="en-ZA"/>
        </w:rPr>
        <w:t xml:space="preserve"> </w:t>
      </w:r>
      <w:r w:rsidR="00E85199" w:rsidRPr="00217EF3">
        <w:rPr>
          <w:rFonts w:eastAsia="Calibri" w:cs="Arial"/>
          <w:sz w:val="24"/>
          <w:szCs w:val="24"/>
          <w:lang w:eastAsia="en-ZA"/>
        </w:rPr>
        <w:t xml:space="preserve">  Both </w:t>
      </w:r>
      <w:r w:rsidR="0074530F" w:rsidRPr="00217EF3">
        <w:rPr>
          <w:rFonts w:eastAsia="Calibri" w:cs="Arial"/>
          <w:sz w:val="24"/>
          <w:szCs w:val="24"/>
          <w:lang w:eastAsia="en-ZA"/>
        </w:rPr>
        <w:t xml:space="preserve">their evidence stands unchallenged. Both were in my view impressive witnesses who testified in a forthright manner and </w:t>
      </w:r>
      <w:r w:rsidR="00C01714">
        <w:rPr>
          <w:rFonts w:eastAsia="Calibri" w:cs="Arial"/>
          <w:sz w:val="24"/>
          <w:szCs w:val="24"/>
          <w:lang w:eastAsia="en-ZA"/>
        </w:rPr>
        <w:t xml:space="preserve">Mr. Munessar in particular </w:t>
      </w:r>
      <w:r w:rsidR="0074530F" w:rsidRPr="00217EF3">
        <w:rPr>
          <w:rFonts w:eastAsia="Calibri" w:cs="Arial"/>
          <w:sz w:val="24"/>
          <w:szCs w:val="24"/>
          <w:lang w:eastAsia="en-ZA"/>
        </w:rPr>
        <w:t xml:space="preserve">made concessions in favour of </w:t>
      </w:r>
      <w:r w:rsidR="0074530F" w:rsidRPr="00217EF3">
        <w:rPr>
          <w:rFonts w:eastAsia="Calibri" w:cs="Arial"/>
          <w:sz w:val="24"/>
          <w:szCs w:val="24"/>
          <w:lang w:eastAsia="en-ZA"/>
        </w:rPr>
        <w:lastRenderedPageBreak/>
        <w:t xml:space="preserve">SMM when there was no reason for </w:t>
      </w:r>
      <w:r w:rsidR="00C01714">
        <w:rPr>
          <w:rFonts w:eastAsia="Calibri" w:cs="Arial"/>
          <w:sz w:val="24"/>
          <w:szCs w:val="24"/>
          <w:lang w:eastAsia="en-ZA"/>
        </w:rPr>
        <w:t>him</w:t>
      </w:r>
      <w:r w:rsidR="0074530F" w:rsidRPr="00217EF3">
        <w:rPr>
          <w:rFonts w:eastAsia="Calibri" w:cs="Arial"/>
          <w:sz w:val="24"/>
          <w:szCs w:val="24"/>
          <w:lang w:eastAsia="en-ZA"/>
        </w:rPr>
        <w:t xml:space="preserve"> to do so.</w:t>
      </w:r>
      <w:r w:rsidR="00C01714">
        <w:rPr>
          <w:rFonts w:eastAsia="Calibri" w:cs="Arial"/>
          <w:sz w:val="24"/>
          <w:szCs w:val="24"/>
          <w:lang w:eastAsia="en-ZA"/>
        </w:rPr>
        <w:t xml:space="preserve"> </w:t>
      </w:r>
      <w:r w:rsidR="0074530F" w:rsidRPr="00C01714">
        <w:rPr>
          <w:rFonts w:eastAsia="Calibri" w:cs="Arial"/>
          <w:sz w:val="24"/>
          <w:szCs w:val="24"/>
          <w:lang w:eastAsia="en-ZA"/>
        </w:rPr>
        <w:t>It bears, in my view, testament to</w:t>
      </w:r>
      <w:r w:rsidR="00CC5BEF">
        <w:rPr>
          <w:rFonts w:eastAsia="Calibri" w:cs="Arial"/>
          <w:sz w:val="24"/>
          <w:szCs w:val="24"/>
          <w:lang w:eastAsia="en-ZA"/>
        </w:rPr>
        <w:t>,</w:t>
      </w:r>
      <w:r w:rsidR="00C01714" w:rsidRPr="00C01714">
        <w:rPr>
          <w:rFonts w:eastAsia="Calibri" w:cs="Arial"/>
          <w:sz w:val="24"/>
          <w:szCs w:val="24"/>
          <w:lang w:eastAsia="en-ZA"/>
        </w:rPr>
        <w:t xml:space="preserve"> in particular his</w:t>
      </w:r>
      <w:r w:rsidR="0074530F" w:rsidRPr="00C01714">
        <w:rPr>
          <w:rFonts w:eastAsia="Calibri" w:cs="Arial"/>
          <w:sz w:val="24"/>
          <w:szCs w:val="24"/>
          <w:lang w:eastAsia="en-ZA"/>
        </w:rPr>
        <w:t xml:space="preserve"> truthfulness and I have no hesitation in accepting </w:t>
      </w:r>
      <w:r w:rsidR="00C01714" w:rsidRPr="00C01714">
        <w:rPr>
          <w:rFonts w:eastAsia="Calibri" w:cs="Arial"/>
          <w:sz w:val="24"/>
          <w:szCs w:val="24"/>
          <w:lang w:eastAsia="en-ZA"/>
        </w:rPr>
        <w:t>his</w:t>
      </w:r>
      <w:r w:rsidR="0074530F" w:rsidRPr="00C01714">
        <w:rPr>
          <w:rFonts w:eastAsia="Calibri" w:cs="Arial"/>
          <w:sz w:val="24"/>
          <w:szCs w:val="24"/>
          <w:lang w:eastAsia="en-ZA"/>
        </w:rPr>
        <w:t xml:space="preserve"> evidence. </w:t>
      </w:r>
    </w:p>
    <w:p w14:paraId="0235E1A7" w14:textId="77777777" w:rsidR="00C01714" w:rsidRDefault="00C01714" w:rsidP="00D55187">
      <w:pPr>
        <w:pStyle w:val="ListParagraph"/>
        <w:spacing w:line="360" w:lineRule="auto"/>
        <w:rPr>
          <w:rFonts w:eastAsia="Calibri" w:cs="Arial"/>
          <w:lang w:eastAsia="en-ZA"/>
        </w:rPr>
      </w:pPr>
    </w:p>
    <w:p w14:paraId="4231C34A" w14:textId="3B279EB3" w:rsidR="0097197F"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[28]</w:t>
      </w:r>
      <w:r>
        <w:rPr>
          <w:rFonts w:eastAsia="Calibri" w:cs="Arial"/>
          <w:sz w:val="24"/>
          <w:szCs w:val="24"/>
          <w:lang w:eastAsia="en-ZA"/>
        </w:rPr>
        <w:tab/>
      </w:r>
      <w:r w:rsidR="0097197F">
        <w:rPr>
          <w:rFonts w:eastAsia="Calibri" w:cs="Arial"/>
          <w:sz w:val="24"/>
          <w:szCs w:val="24"/>
          <w:lang w:eastAsia="en-ZA"/>
        </w:rPr>
        <w:t>SMM chose to confine its engagement in the case to “within the four corners of the pleaded case”.  For this reason, neither Mr. Munessar nor Mr. Chundrikpersad were cross examined on anything outside these parameters.  In the circumstances, SMM failed to engage at all with the evidence of Mr. Munessar that the parties knew and understood what was required for purposes of what was required for the “condition assessments.”</w:t>
      </w:r>
    </w:p>
    <w:p w14:paraId="6F484AEE" w14:textId="77777777" w:rsidR="0097197F" w:rsidRDefault="0097197F" w:rsidP="00D55187">
      <w:pPr>
        <w:pStyle w:val="ListParagraph"/>
        <w:spacing w:line="360" w:lineRule="auto"/>
        <w:rPr>
          <w:rFonts w:eastAsia="Calibri" w:cs="Arial"/>
          <w:lang w:eastAsia="en-ZA"/>
        </w:rPr>
      </w:pPr>
    </w:p>
    <w:p w14:paraId="098931CD" w14:textId="38F5721D" w:rsidR="0097197F"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[29]</w:t>
      </w:r>
      <w:r>
        <w:rPr>
          <w:rFonts w:eastAsia="Calibri" w:cs="Arial"/>
          <w:sz w:val="24"/>
          <w:szCs w:val="24"/>
          <w:lang w:eastAsia="en-ZA"/>
        </w:rPr>
        <w:tab/>
      </w:r>
      <w:r w:rsidR="00157AEE">
        <w:rPr>
          <w:rFonts w:eastAsia="Calibri" w:cs="Arial"/>
          <w:sz w:val="24"/>
          <w:szCs w:val="24"/>
          <w:lang w:eastAsia="en-ZA"/>
        </w:rPr>
        <w:t xml:space="preserve">SMM, in adopting this course of action, relied upon </w:t>
      </w:r>
      <w:r w:rsidR="00157AEE" w:rsidRPr="00E35688">
        <w:rPr>
          <w:rFonts w:eastAsia="Calibri" w:cs="Arial"/>
          <w:i/>
          <w:iCs/>
          <w:sz w:val="24"/>
          <w:szCs w:val="24"/>
          <w:lang w:eastAsia="en-ZA"/>
        </w:rPr>
        <w:t>Minister of Safety and Security v Slabbert</w:t>
      </w:r>
      <w:r w:rsidR="00157AEE">
        <w:rPr>
          <w:rStyle w:val="FootnoteReference"/>
          <w:rFonts w:eastAsia="Calibri" w:cs="Arial"/>
          <w:sz w:val="24"/>
          <w:szCs w:val="24"/>
          <w:lang w:eastAsia="en-ZA"/>
        </w:rPr>
        <w:footnoteReference w:id="7"/>
      </w:r>
      <w:r w:rsidR="00157AEE">
        <w:rPr>
          <w:rFonts w:eastAsia="Calibri" w:cs="Arial"/>
          <w:sz w:val="24"/>
          <w:szCs w:val="24"/>
          <w:lang w:eastAsia="en-ZA"/>
        </w:rPr>
        <w:t xml:space="preserve"> in which it was held:</w:t>
      </w:r>
    </w:p>
    <w:p w14:paraId="32FE6FDF" w14:textId="77777777" w:rsidR="00157AEE" w:rsidRDefault="00157AEE" w:rsidP="00D55187">
      <w:pPr>
        <w:pStyle w:val="ListParagraph"/>
        <w:spacing w:line="360" w:lineRule="auto"/>
        <w:rPr>
          <w:rFonts w:eastAsia="Calibri" w:cs="Arial"/>
          <w:lang w:eastAsia="en-ZA"/>
        </w:rPr>
      </w:pPr>
    </w:p>
    <w:p w14:paraId="5A0CAAB9" w14:textId="1821018C" w:rsidR="00157AEE" w:rsidRPr="00DA02A6" w:rsidRDefault="00157AEE" w:rsidP="00D55187">
      <w:pPr>
        <w:pStyle w:val="Body"/>
        <w:spacing w:line="360" w:lineRule="auto"/>
        <w:ind w:left="1418"/>
        <w:jc w:val="both"/>
        <w:rPr>
          <w:rFonts w:eastAsia="Calibri" w:cs="Arial"/>
          <w:i/>
          <w:iCs/>
          <w:sz w:val="22"/>
          <w:szCs w:val="22"/>
          <w:lang w:eastAsia="en-ZA"/>
        </w:rPr>
      </w:pPr>
      <w:r w:rsidRPr="00DA02A6">
        <w:rPr>
          <w:rFonts w:eastAsia="Calibri" w:cs="Arial"/>
          <w:i/>
          <w:iCs/>
          <w:sz w:val="22"/>
          <w:szCs w:val="22"/>
          <w:lang w:eastAsia="en-ZA"/>
        </w:rPr>
        <w:t>“</w:t>
      </w:r>
      <w:r w:rsidR="00DA02A6" w:rsidRPr="00DA02A6">
        <w:rPr>
          <w:rFonts w:eastAsia="Calibri" w:cs="Arial"/>
          <w:i/>
          <w:iCs/>
          <w:sz w:val="22"/>
          <w:szCs w:val="22"/>
          <w:lang w:eastAsia="en-ZA"/>
        </w:rPr>
        <w:t>[11]</w:t>
      </w:r>
      <w:r w:rsidR="00DA02A6" w:rsidRPr="00DA02A6">
        <w:rPr>
          <w:rFonts w:eastAsia="Calibri" w:cs="Arial"/>
          <w:i/>
          <w:iCs/>
          <w:sz w:val="22"/>
          <w:szCs w:val="22"/>
          <w:lang w:eastAsia="en-ZA"/>
        </w:rPr>
        <w:tab/>
        <w:t xml:space="preserve">The purpose of the pleadings is to define the issues for the other party and the court.  </w:t>
      </w:r>
      <w:r w:rsidR="00DA02A6" w:rsidRPr="0018598D">
        <w:rPr>
          <w:rFonts w:eastAsia="Calibri" w:cs="Arial"/>
          <w:i/>
          <w:iCs/>
          <w:sz w:val="22"/>
          <w:szCs w:val="22"/>
          <w:lang w:eastAsia="en-ZA"/>
        </w:rPr>
        <w:t>A party has a duty to allege in the pleadings the material facts upon which it relies.  It is impermissible for a plaintiff to plead a particular case and to seek to establish a different case at the trial.  It is equally not permissible for the trial court</w:t>
      </w:r>
      <w:r w:rsidR="00DA02A6" w:rsidRPr="00DA02A6">
        <w:rPr>
          <w:rFonts w:eastAsia="Calibri" w:cs="Arial"/>
          <w:i/>
          <w:iCs/>
          <w:sz w:val="22"/>
          <w:szCs w:val="22"/>
          <w:lang w:eastAsia="en-ZA"/>
        </w:rPr>
        <w:t xml:space="preserve"> to have recourse to issues falling outside the pleadings when deciding a case.</w:t>
      </w:r>
      <w:r w:rsidRPr="00DA02A6">
        <w:rPr>
          <w:rFonts w:eastAsia="Calibri" w:cs="Arial"/>
          <w:i/>
          <w:iCs/>
          <w:sz w:val="22"/>
          <w:szCs w:val="22"/>
          <w:lang w:eastAsia="en-ZA"/>
        </w:rPr>
        <w:t>”</w:t>
      </w:r>
    </w:p>
    <w:p w14:paraId="45452722" w14:textId="08FB23F0" w:rsidR="00DA02A6" w:rsidRPr="00DA02A6" w:rsidRDefault="00DA02A6" w:rsidP="00D55187">
      <w:pPr>
        <w:pStyle w:val="Body"/>
        <w:spacing w:line="360" w:lineRule="auto"/>
        <w:ind w:left="1418"/>
        <w:jc w:val="both"/>
        <w:rPr>
          <w:rFonts w:eastAsia="Calibri" w:cs="Arial"/>
          <w:i/>
          <w:iCs/>
          <w:sz w:val="22"/>
          <w:szCs w:val="22"/>
          <w:lang w:eastAsia="en-ZA"/>
        </w:rPr>
      </w:pPr>
    </w:p>
    <w:p w14:paraId="259E66D6" w14:textId="520580BE" w:rsidR="00DA02A6" w:rsidRPr="00DA02A6" w:rsidRDefault="00DA02A6" w:rsidP="00D55187">
      <w:pPr>
        <w:pStyle w:val="Body"/>
        <w:spacing w:line="360" w:lineRule="auto"/>
        <w:ind w:left="1418"/>
        <w:jc w:val="both"/>
        <w:rPr>
          <w:rFonts w:eastAsia="Calibri" w:cs="Arial"/>
          <w:i/>
          <w:iCs/>
          <w:sz w:val="22"/>
          <w:szCs w:val="22"/>
          <w:lang w:eastAsia="en-ZA"/>
        </w:rPr>
      </w:pPr>
      <w:r w:rsidRPr="00DA02A6">
        <w:rPr>
          <w:rFonts w:eastAsia="Calibri" w:cs="Arial"/>
          <w:i/>
          <w:iCs/>
          <w:sz w:val="22"/>
          <w:szCs w:val="22"/>
          <w:lang w:eastAsia="en-ZA"/>
        </w:rPr>
        <w:t>[12]</w:t>
      </w:r>
      <w:r w:rsidRPr="00DA02A6">
        <w:rPr>
          <w:rFonts w:eastAsia="Calibri" w:cs="Arial"/>
          <w:i/>
          <w:iCs/>
          <w:sz w:val="22"/>
          <w:szCs w:val="22"/>
          <w:lang w:eastAsia="en-ZA"/>
        </w:rPr>
        <w:tab/>
        <w:t xml:space="preserve">There are, however, circumstances in which a party may be allowed to rely on an issue which was not covered by the pleadings.  </w:t>
      </w:r>
      <w:r w:rsidRPr="0018598D">
        <w:rPr>
          <w:rFonts w:eastAsia="Calibri" w:cs="Arial"/>
          <w:i/>
          <w:iCs/>
          <w:sz w:val="22"/>
          <w:szCs w:val="22"/>
          <w:lang w:eastAsia="en-ZA"/>
        </w:rPr>
        <w:t>This occurs where the issue in question has been canvassed fully by both sides at the trial.</w:t>
      </w:r>
      <w:r w:rsidRPr="00DA02A6">
        <w:rPr>
          <w:rFonts w:eastAsia="Calibri" w:cs="Arial"/>
          <w:i/>
          <w:iCs/>
          <w:sz w:val="22"/>
          <w:szCs w:val="22"/>
          <w:lang w:eastAsia="en-ZA"/>
        </w:rPr>
        <w:t xml:space="preserve"> In South British Insurance Co Ltd v Unicorn Shipping Lines (Pty) Ltd, this court said:</w:t>
      </w:r>
    </w:p>
    <w:p w14:paraId="3828E140" w14:textId="13562121" w:rsidR="00DA02A6" w:rsidRPr="00DA02A6" w:rsidRDefault="00DA02A6" w:rsidP="00D55187">
      <w:pPr>
        <w:pStyle w:val="Body"/>
        <w:spacing w:line="360" w:lineRule="auto"/>
        <w:ind w:left="1418"/>
        <w:jc w:val="both"/>
        <w:rPr>
          <w:rFonts w:eastAsia="Calibri" w:cs="Arial"/>
          <w:i/>
          <w:iCs/>
          <w:sz w:val="22"/>
          <w:szCs w:val="22"/>
          <w:lang w:eastAsia="en-ZA"/>
        </w:rPr>
      </w:pPr>
    </w:p>
    <w:p w14:paraId="6A41B066" w14:textId="06F9F1C3" w:rsidR="00DA02A6" w:rsidRPr="0018598D" w:rsidRDefault="00DA02A6" w:rsidP="00D55187">
      <w:pPr>
        <w:pStyle w:val="Body"/>
        <w:spacing w:line="360" w:lineRule="auto"/>
        <w:ind w:left="1418"/>
        <w:jc w:val="both"/>
        <w:rPr>
          <w:rFonts w:eastAsia="Calibri" w:cs="Arial"/>
          <w:i/>
          <w:iCs/>
          <w:sz w:val="22"/>
          <w:szCs w:val="22"/>
          <w:lang w:eastAsia="en-ZA"/>
        </w:rPr>
      </w:pPr>
      <w:r w:rsidRPr="0018598D">
        <w:rPr>
          <w:rFonts w:eastAsia="Calibri" w:cs="Arial"/>
          <w:i/>
          <w:iCs/>
          <w:sz w:val="22"/>
          <w:szCs w:val="22"/>
          <w:lang w:eastAsia="en-ZA"/>
        </w:rPr>
        <w:t>“However, the absence of such an averment in the pleadings would not necessarily be fatal if the point was fully canvassed in evidence.  This means fully canvassed by both sides in the sense that the Court was expected to pronounce upon it as an issue.”</w:t>
      </w:r>
    </w:p>
    <w:p w14:paraId="0A1DBE22" w14:textId="77777777" w:rsidR="0097197F" w:rsidRDefault="0097197F" w:rsidP="00D55187">
      <w:pPr>
        <w:pStyle w:val="ListParagraph"/>
        <w:spacing w:line="360" w:lineRule="auto"/>
        <w:rPr>
          <w:rFonts w:eastAsia="Calibri" w:cs="Arial"/>
          <w:lang w:eastAsia="en-ZA"/>
        </w:rPr>
      </w:pPr>
    </w:p>
    <w:p w14:paraId="4C63B63B" w14:textId="2D83EBAF" w:rsidR="000F1A63"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lastRenderedPageBreak/>
        <w:t>[30]</w:t>
      </w:r>
      <w:r>
        <w:rPr>
          <w:rFonts w:eastAsia="Calibri" w:cs="Arial"/>
          <w:sz w:val="24"/>
          <w:szCs w:val="24"/>
          <w:lang w:eastAsia="en-ZA"/>
        </w:rPr>
        <w:tab/>
      </w:r>
      <w:r w:rsidR="009B3ED4">
        <w:rPr>
          <w:rFonts w:eastAsia="Calibri" w:cs="Arial"/>
          <w:sz w:val="24"/>
          <w:szCs w:val="24"/>
          <w:lang w:eastAsia="en-ZA"/>
        </w:rPr>
        <w:t xml:space="preserve">Counsel for SMM placed on record on more than one occasion, the reason for failing to cross examine was so as to ensure that it could not be argued that the issue of what was meant by “condition assessments” had been canvassed at the trial.  </w:t>
      </w:r>
    </w:p>
    <w:p w14:paraId="0B4ACF2F" w14:textId="77777777" w:rsidR="00D55187" w:rsidRDefault="00D55187" w:rsidP="00D55187">
      <w:pPr>
        <w:pStyle w:val="Body"/>
        <w:spacing w:line="360" w:lineRule="auto"/>
        <w:ind w:left="851"/>
        <w:jc w:val="both"/>
        <w:rPr>
          <w:rFonts w:eastAsia="Calibri" w:cs="Arial"/>
          <w:sz w:val="24"/>
          <w:szCs w:val="24"/>
          <w:lang w:eastAsia="en-ZA"/>
        </w:rPr>
      </w:pPr>
    </w:p>
    <w:p w14:paraId="5EE4372E" w14:textId="19675DBD" w:rsidR="00217EF3" w:rsidRPr="007719B6" w:rsidRDefault="004D2B3A" w:rsidP="004D2B3A">
      <w:pPr>
        <w:pStyle w:val="Body"/>
        <w:spacing w:line="360" w:lineRule="auto"/>
        <w:ind w:left="851" w:hanging="851"/>
        <w:jc w:val="both"/>
        <w:rPr>
          <w:rFonts w:eastAsia="Calibri" w:cs="Arial"/>
          <w:sz w:val="24"/>
          <w:szCs w:val="24"/>
          <w:lang w:eastAsia="en-ZA"/>
        </w:rPr>
      </w:pPr>
      <w:r w:rsidRPr="007719B6">
        <w:rPr>
          <w:rFonts w:eastAsia="Calibri" w:cs="Arial"/>
          <w:sz w:val="24"/>
          <w:szCs w:val="24"/>
          <w:lang w:eastAsia="en-ZA"/>
        </w:rPr>
        <w:t>[31]</w:t>
      </w:r>
      <w:r w:rsidRPr="007719B6">
        <w:rPr>
          <w:rFonts w:eastAsia="Calibri" w:cs="Arial"/>
          <w:sz w:val="24"/>
          <w:szCs w:val="24"/>
          <w:lang w:eastAsia="en-ZA"/>
        </w:rPr>
        <w:tab/>
      </w:r>
      <w:r w:rsidR="00E85199" w:rsidRPr="00C01714">
        <w:rPr>
          <w:rFonts w:eastAsia="Calibri" w:cs="Arial"/>
          <w:sz w:val="24"/>
          <w:szCs w:val="24"/>
          <w:lang w:eastAsia="en-ZA"/>
        </w:rPr>
        <w:t>T</w:t>
      </w:r>
      <w:r w:rsidR="0074530F" w:rsidRPr="00C01714">
        <w:rPr>
          <w:rFonts w:eastAsia="Calibri" w:cs="Arial"/>
          <w:sz w:val="24"/>
          <w:szCs w:val="24"/>
          <w:lang w:eastAsia="en-ZA"/>
        </w:rPr>
        <w:t>he</w:t>
      </w:r>
      <w:r w:rsidR="00C01714">
        <w:rPr>
          <w:rFonts w:eastAsia="Calibri" w:cs="Arial"/>
          <w:sz w:val="24"/>
          <w:szCs w:val="24"/>
          <w:lang w:eastAsia="en-ZA"/>
        </w:rPr>
        <w:t xml:space="preserve"> evidence led on behalf of HAMSA</w:t>
      </w:r>
      <w:r w:rsidR="0074530F" w:rsidRPr="00C01714">
        <w:rPr>
          <w:rFonts w:eastAsia="Calibri" w:cs="Arial"/>
          <w:sz w:val="24"/>
          <w:szCs w:val="24"/>
          <w:lang w:eastAsia="en-ZA"/>
        </w:rPr>
        <w:t xml:space="preserve"> was consistent with the agreement</w:t>
      </w:r>
      <w:r w:rsidR="00AC7ECE" w:rsidRPr="00C01714">
        <w:rPr>
          <w:rFonts w:eastAsia="Calibri" w:cs="Arial"/>
          <w:sz w:val="24"/>
          <w:szCs w:val="24"/>
          <w:lang w:eastAsia="en-ZA"/>
        </w:rPr>
        <w:t xml:space="preserve"> </w:t>
      </w:r>
      <w:r w:rsidR="0074530F" w:rsidRPr="00C01714">
        <w:rPr>
          <w:rFonts w:eastAsia="Calibri" w:cs="Arial"/>
          <w:sz w:val="24"/>
          <w:szCs w:val="24"/>
          <w:lang w:eastAsia="en-ZA"/>
        </w:rPr>
        <w:t xml:space="preserve">and the documents </w:t>
      </w:r>
      <w:r w:rsidR="00AC7ECE" w:rsidRPr="00C01714">
        <w:rPr>
          <w:rFonts w:eastAsia="Calibri" w:cs="Arial"/>
          <w:sz w:val="24"/>
          <w:szCs w:val="24"/>
          <w:lang w:eastAsia="en-ZA"/>
        </w:rPr>
        <w:t xml:space="preserve">referred to by them in evidence relating to the </w:t>
      </w:r>
      <w:r w:rsidR="0074530F" w:rsidRPr="00C01714">
        <w:rPr>
          <w:rFonts w:eastAsia="Calibri" w:cs="Arial"/>
          <w:sz w:val="24"/>
          <w:szCs w:val="24"/>
          <w:lang w:eastAsia="en-ZA"/>
        </w:rPr>
        <w:t>engagements between HAMSA and SMM subsequent to 18 April 2019.</w:t>
      </w:r>
      <w:r w:rsidR="007719B6">
        <w:rPr>
          <w:rFonts w:eastAsia="Calibri" w:cs="Arial"/>
          <w:sz w:val="24"/>
          <w:szCs w:val="24"/>
          <w:lang w:eastAsia="en-ZA"/>
        </w:rPr>
        <w:t xml:space="preserve"> </w:t>
      </w:r>
      <w:r w:rsidR="0074530F" w:rsidRPr="007719B6">
        <w:rPr>
          <w:rFonts w:eastAsia="Calibri" w:cs="Arial"/>
          <w:sz w:val="24"/>
          <w:szCs w:val="24"/>
          <w:lang w:eastAsia="en-ZA"/>
        </w:rPr>
        <w:t xml:space="preserve">SMM called no witnesses and closed its case. Accordingly, the evidence of the witnesses </w:t>
      </w:r>
      <w:r w:rsidR="00AC7ECE" w:rsidRPr="007719B6">
        <w:rPr>
          <w:rFonts w:eastAsia="Calibri" w:cs="Arial"/>
          <w:sz w:val="24"/>
          <w:szCs w:val="24"/>
          <w:lang w:eastAsia="en-ZA"/>
        </w:rPr>
        <w:t xml:space="preserve">for HAMSA </w:t>
      </w:r>
      <w:r w:rsidR="0074530F" w:rsidRPr="007719B6">
        <w:rPr>
          <w:rFonts w:eastAsia="Calibri" w:cs="Arial"/>
          <w:sz w:val="24"/>
          <w:szCs w:val="24"/>
          <w:lang w:eastAsia="en-ZA"/>
        </w:rPr>
        <w:t>stands uncontradicted</w:t>
      </w:r>
      <w:r w:rsidR="001E178E" w:rsidRPr="007719B6">
        <w:rPr>
          <w:rFonts w:eastAsia="Calibri" w:cs="Arial"/>
          <w:sz w:val="24"/>
          <w:szCs w:val="24"/>
          <w:lang w:eastAsia="en-ZA"/>
        </w:rPr>
        <w:t>.</w:t>
      </w:r>
    </w:p>
    <w:p w14:paraId="7425CCA7" w14:textId="77777777" w:rsidR="00217EF3" w:rsidRDefault="00217EF3" w:rsidP="00D55187">
      <w:pPr>
        <w:pStyle w:val="ListParagraph"/>
        <w:spacing w:line="360" w:lineRule="auto"/>
        <w:rPr>
          <w:rFonts w:eastAsia="Calibri" w:cs="Arial"/>
          <w:lang w:eastAsia="en-ZA"/>
        </w:rPr>
      </w:pPr>
    </w:p>
    <w:p w14:paraId="03DCBC01" w14:textId="0A091495" w:rsidR="00E1166F"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[32]</w:t>
      </w:r>
      <w:r>
        <w:rPr>
          <w:rFonts w:eastAsia="Calibri" w:cs="Arial"/>
          <w:sz w:val="24"/>
          <w:szCs w:val="24"/>
          <w:lang w:eastAsia="en-ZA"/>
        </w:rPr>
        <w:tab/>
      </w:r>
      <w:r w:rsidR="00E1166F">
        <w:rPr>
          <w:rFonts w:eastAsia="Calibri" w:cs="Arial"/>
          <w:sz w:val="24"/>
          <w:szCs w:val="24"/>
          <w:lang w:eastAsia="en-ZA"/>
        </w:rPr>
        <w:t>What is not in issue between the parties is that the agreement was signed on 19 April 2019, that HAMSA invoiced SMM for work done and that SMM made payments to HAMSA in the sum of R3</w:t>
      </w:r>
      <w:r w:rsidR="00502058">
        <w:rPr>
          <w:rFonts w:eastAsia="Calibri" w:cs="Arial"/>
          <w:sz w:val="24"/>
          <w:szCs w:val="24"/>
          <w:lang w:eastAsia="en-ZA"/>
        </w:rPr>
        <w:t>.8 million</w:t>
      </w:r>
      <w:r w:rsidR="00E1166F">
        <w:rPr>
          <w:rFonts w:eastAsia="Calibri" w:cs="Arial"/>
          <w:sz w:val="24"/>
          <w:szCs w:val="24"/>
          <w:lang w:eastAsia="en-ZA"/>
        </w:rPr>
        <w:t xml:space="preserve">.  Furthermore, over the </w:t>
      </w:r>
      <w:r w:rsidR="00502058">
        <w:rPr>
          <w:rFonts w:eastAsia="Calibri" w:cs="Arial"/>
          <w:sz w:val="24"/>
          <w:szCs w:val="24"/>
          <w:lang w:eastAsia="en-ZA"/>
        </w:rPr>
        <w:t>12-month</w:t>
      </w:r>
      <w:r w:rsidR="00E1166F">
        <w:rPr>
          <w:rFonts w:eastAsia="Calibri" w:cs="Arial"/>
          <w:sz w:val="24"/>
          <w:szCs w:val="24"/>
          <w:lang w:eastAsia="en-ZA"/>
        </w:rPr>
        <w:t xml:space="preserve"> period between the signature of the agreement and the last payment in the sum of R1 million, there is nothing before the court to indicate that the fact that HAMSA had done the work or that SMM was liable to HAMSA was ever placed in issue</w:t>
      </w:r>
      <w:r w:rsidR="00775C17">
        <w:rPr>
          <w:rFonts w:eastAsia="Calibri" w:cs="Arial"/>
          <w:sz w:val="24"/>
          <w:szCs w:val="24"/>
          <w:lang w:eastAsia="en-ZA"/>
        </w:rPr>
        <w:t>, before the amendment of SMM’s plea and the trial – long after HAMSA’s performance had been complete</w:t>
      </w:r>
      <w:r w:rsidR="00E1166F">
        <w:rPr>
          <w:rFonts w:eastAsia="Calibri" w:cs="Arial"/>
          <w:sz w:val="24"/>
          <w:szCs w:val="24"/>
          <w:lang w:eastAsia="en-ZA"/>
        </w:rPr>
        <w:t>.  The evidence led at the trial which corroborated the documents that had been exchanged between the parties established that the work that HAMSA had been contracted to complete had been completed to the satisfaction of LTE</w:t>
      </w:r>
      <w:r w:rsidR="00502058">
        <w:rPr>
          <w:rFonts w:eastAsia="Calibri" w:cs="Arial"/>
          <w:sz w:val="24"/>
          <w:szCs w:val="24"/>
          <w:lang w:eastAsia="en-ZA"/>
        </w:rPr>
        <w:t>.</w:t>
      </w:r>
    </w:p>
    <w:p w14:paraId="462528B0" w14:textId="77777777" w:rsidR="00E1166F" w:rsidRDefault="00E1166F" w:rsidP="00D55187">
      <w:pPr>
        <w:pStyle w:val="ListParagraph"/>
        <w:spacing w:line="360" w:lineRule="auto"/>
        <w:rPr>
          <w:rFonts w:eastAsia="Calibri" w:cs="Arial"/>
          <w:lang w:eastAsia="en-ZA"/>
        </w:rPr>
      </w:pPr>
    </w:p>
    <w:p w14:paraId="68288FBE" w14:textId="708DC69B" w:rsidR="0009208E"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[33]</w:t>
      </w:r>
      <w:r>
        <w:rPr>
          <w:rFonts w:eastAsia="Calibri" w:cs="Arial"/>
          <w:sz w:val="24"/>
          <w:szCs w:val="24"/>
          <w:lang w:eastAsia="en-ZA"/>
        </w:rPr>
        <w:tab/>
      </w:r>
      <w:r w:rsidR="00502058">
        <w:rPr>
          <w:rFonts w:eastAsia="Calibri" w:cs="Arial"/>
          <w:sz w:val="24"/>
          <w:szCs w:val="24"/>
          <w:lang w:eastAsia="en-ZA"/>
        </w:rPr>
        <w:t xml:space="preserve">HAMSA characterized the defences raised, which are somewhat technical in nature as indicative of SMM “not wanting to fully pay for services completely rendered.” </w:t>
      </w:r>
      <w:r w:rsidR="007E071C">
        <w:rPr>
          <w:rFonts w:eastAsia="Calibri" w:cs="Arial"/>
          <w:sz w:val="24"/>
          <w:szCs w:val="24"/>
          <w:lang w:eastAsia="en-ZA"/>
        </w:rPr>
        <w:t xml:space="preserve">  </w:t>
      </w:r>
    </w:p>
    <w:p w14:paraId="771F5DD6" w14:textId="77777777" w:rsidR="0009208E" w:rsidRDefault="0009208E" w:rsidP="00D55187">
      <w:pPr>
        <w:pStyle w:val="ListParagraph"/>
        <w:spacing w:line="360" w:lineRule="auto"/>
        <w:rPr>
          <w:rFonts w:eastAsia="Calibri" w:cs="Arial"/>
          <w:lang w:eastAsia="en-ZA"/>
        </w:rPr>
      </w:pPr>
    </w:p>
    <w:p w14:paraId="3CDDED8E" w14:textId="0834E6FA" w:rsidR="0009208E"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[34]</w:t>
      </w:r>
      <w:r>
        <w:rPr>
          <w:rFonts w:eastAsia="Calibri" w:cs="Arial"/>
          <w:sz w:val="24"/>
          <w:szCs w:val="24"/>
          <w:lang w:eastAsia="en-ZA"/>
        </w:rPr>
        <w:tab/>
      </w:r>
      <w:r w:rsidR="001E5D87">
        <w:rPr>
          <w:rFonts w:eastAsia="Calibri" w:cs="Arial"/>
          <w:sz w:val="24"/>
          <w:szCs w:val="24"/>
          <w:lang w:eastAsia="en-ZA"/>
        </w:rPr>
        <w:t xml:space="preserve">In </w:t>
      </w:r>
      <w:r w:rsidR="001E5D87" w:rsidRPr="00431265">
        <w:rPr>
          <w:rFonts w:eastAsia="Calibri" w:cs="Arial"/>
          <w:i/>
          <w:iCs/>
          <w:sz w:val="24"/>
          <w:szCs w:val="24"/>
          <w:lang w:eastAsia="en-ZA"/>
        </w:rPr>
        <w:t>ABSA Bank v Swanepoel N.O</w:t>
      </w:r>
      <w:r w:rsidR="00CC5BEF">
        <w:rPr>
          <w:rFonts w:eastAsia="Calibri" w:cs="Arial"/>
          <w:i/>
          <w:iCs/>
          <w:sz w:val="24"/>
          <w:szCs w:val="24"/>
          <w:lang w:eastAsia="en-ZA"/>
        </w:rPr>
        <w:t>.</w:t>
      </w:r>
      <w:r w:rsidR="001E5D87">
        <w:rPr>
          <w:rStyle w:val="FootnoteReference"/>
          <w:rFonts w:eastAsia="Calibri" w:cs="Arial"/>
          <w:sz w:val="24"/>
          <w:szCs w:val="24"/>
          <w:lang w:eastAsia="en-ZA"/>
        </w:rPr>
        <w:footnoteReference w:id="8"/>
      </w:r>
      <w:r w:rsidR="001E5D87">
        <w:rPr>
          <w:rFonts w:eastAsia="Calibri" w:cs="Arial"/>
          <w:sz w:val="24"/>
          <w:szCs w:val="24"/>
          <w:lang w:eastAsia="en-ZA"/>
        </w:rPr>
        <w:t>, it was held that:</w:t>
      </w:r>
    </w:p>
    <w:p w14:paraId="365C72D4" w14:textId="77777777" w:rsidR="001E5D87" w:rsidRDefault="001E5D87" w:rsidP="00D55187">
      <w:pPr>
        <w:pStyle w:val="ListParagraph"/>
        <w:spacing w:line="360" w:lineRule="auto"/>
        <w:rPr>
          <w:rFonts w:eastAsia="Calibri" w:cs="Arial"/>
          <w:lang w:eastAsia="en-ZA"/>
        </w:rPr>
      </w:pPr>
    </w:p>
    <w:p w14:paraId="1E1F6B19" w14:textId="322DFA2D" w:rsidR="001E5D87" w:rsidRPr="00760AC8" w:rsidRDefault="001E5D87" w:rsidP="00D55187">
      <w:pPr>
        <w:pStyle w:val="Body"/>
        <w:spacing w:line="360" w:lineRule="auto"/>
        <w:ind w:left="2268" w:hanging="850"/>
        <w:jc w:val="both"/>
        <w:rPr>
          <w:rFonts w:eastAsia="Calibri" w:cs="Arial"/>
          <w:i/>
          <w:iCs/>
          <w:sz w:val="22"/>
          <w:szCs w:val="22"/>
          <w:lang w:eastAsia="en-ZA"/>
        </w:rPr>
      </w:pPr>
      <w:r w:rsidRPr="00760AC8">
        <w:rPr>
          <w:rFonts w:eastAsia="Calibri" w:cs="Arial"/>
          <w:i/>
          <w:iCs/>
          <w:sz w:val="22"/>
          <w:szCs w:val="22"/>
          <w:lang w:eastAsia="en-ZA"/>
        </w:rPr>
        <w:lastRenderedPageBreak/>
        <w:t>“</w:t>
      </w:r>
      <w:r w:rsidR="00D219E3" w:rsidRPr="00760AC8">
        <w:rPr>
          <w:rFonts w:eastAsia="Calibri" w:cs="Arial"/>
          <w:i/>
          <w:iCs/>
          <w:sz w:val="22"/>
          <w:szCs w:val="22"/>
          <w:lang w:eastAsia="en-ZA"/>
        </w:rPr>
        <w:t>[6]</w:t>
      </w:r>
      <w:r w:rsidR="00D219E3" w:rsidRPr="00760AC8">
        <w:rPr>
          <w:rFonts w:eastAsia="Calibri" w:cs="Arial"/>
          <w:i/>
          <w:iCs/>
          <w:sz w:val="22"/>
          <w:szCs w:val="22"/>
          <w:lang w:eastAsia="en-ZA"/>
        </w:rPr>
        <w:tab/>
        <w:t xml:space="preserve">At its simplest, a contract is an enforceable promise to do or not to do something.  But when parties record an agreement in writing, they often add provisions that do not embody such promises.  A contract may have a preamble.  It may contain </w:t>
      </w:r>
      <w:r w:rsidR="00760AC8" w:rsidRPr="00760AC8">
        <w:rPr>
          <w:rFonts w:eastAsia="Calibri" w:cs="Arial"/>
          <w:i/>
          <w:iCs/>
          <w:sz w:val="22"/>
          <w:szCs w:val="22"/>
          <w:lang w:eastAsia="en-ZA"/>
        </w:rPr>
        <w:t>‘</w:t>
      </w:r>
      <w:r w:rsidR="00D219E3" w:rsidRPr="00760AC8">
        <w:rPr>
          <w:rFonts w:eastAsia="Calibri" w:cs="Arial"/>
          <w:i/>
          <w:iCs/>
          <w:sz w:val="22"/>
          <w:szCs w:val="22"/>
          <w:lang w:eastAsia="en-ZA"/>
        </w:rPr>
        <w:t>recordals</w:t>
      </w:r>
      <w:r w:rsidR="00760AC8" w:rsidRPr="00760AC8">
        <w:rPr>
          <w:rFonts w:eastAsia="Calibri" w:cs="Arial"/>
          <w:i/>
          <w:iCs/>
          <w:sz w:val="22"/>
          <w:szCs w:val="22"/>
          <w:lang w:eastAsia="en-ZA"/>
        </w:rPr>
        <w:t>’</w:t>
      </w:r>
      <w:r w:rsidR="00D219E3" w:rsidRPr="00760AC8">
        <w:rPr>
          <w:rFonts w:eastAsia="Calibri" w:cs="Arial"/>
          <w:i/>
          <w:iCs/>
          <w:sz w:val="22"/>
          <w:szCs w:val="22"/>
          <w:lang w:eastAsia="en-ZA"/>
        </w:rPr>
        <w:t xml:space="preserve"> and </w:t>
      </w:r>
      <w:r w:rsidR="00760AC8" w:rsidRPr="00760AC8">
        <w:rPr>
          <w:rFonts w:eastAsia="Calibri" w:cs="Arial"/>
          <w:i/>
          <w:iCs/>
          <w:sz w:val="22"/>
          <w:szCs w:val="22"/>
          <w:lang w:eastAsia="en-ZA"/>
        </w:rPr>
        <w:t>‘</w:t>
      </w:r>
      <w:r w:rsidR="00D219E3" w:rsidRPr="00760AC8">
        <w:rPr>
          <w:rFonts w:eastAsia="Calibri" w:cs="Arial"/>
          <w:i/>
          <w:iCs/>
          <w:sz w:val="22"/>
          <w:szCs w:val="22"/>
          <w:lang w:eastAsia="en-ZA"/>
        </w:rPr>
        <w:t>recitals</w:t>
      </w:r>
      <w:r w:rsidR="00760AC8" w:rsidRPr="00760AC8">
        <w:rPr>
          <w:rFonts w:eastAsia="Calibri" w:cs="Arial"/>
          <w:i/>
          <w:iCs/>
          <w:sz w:val="22"/>
          <w:szCs w:val="22"/>
          <w:lang w:eastAsia="en-ZA"/>
        </w:rPr>
        <w:t>’</w:t>
      </w:r>
      <w:r w:rsidR="00D219E3" w:rsidRPr="00760AC8">
        <w:rPr>
          <w:rFonts w:eastAsia="Calibri" w:cs="Arial"/>
          <w:i/>
          <w:iCs/>
          <w:sz w:val="22"/>
          <w:szCs w:val="22"/>
          <w:lang w:eastAsia="en-ZA"/>
        </w:rPr>
        <w:t>.  It may document prior events,</w:t>
      </w:r>
      <w:r w:rsidR="005736F2">
        <w:rPr>
          <w:rFonts w:eastAsia="Calibri" w:cs="Arial"/>
          <w:i/>
          <w:iCs/>
          <w:sz w:val="22"/>
          <w:szCs w:val="22"/>
          <w:lang w:eastAsia="en-ZA"/>
        </w:rPr>
        <w:t xml:space="preserve"> </w:t>
      </w:r>
      <w:r w:rsidR="00D219E3" w:rsidRPr="00760AC8">
        <w:rPr>
          <w:rFonts w:eastAsia="Calibri" w:cs="Arial"/>
          <w:i/>
          <w:iCs/>
          <w:sz w:val="22"/>
          <w:szCs w:val="22"/>
          <w:lang w:eastAsia="en-ZA"/>
        </w:rPr>
        <w:t xml:space="preserve">or record the parties future intentions.  It may contain clarificatory or explanatory statements.  The parties may place on record matters that bear on the interpretation of what they have undertaken.  It is therefore wrong to approach a written contract as though every provision is intended to create contractual obligations. </w:t>
      </w:r>
      <w:r w:rsidRPr="00760AC8">
        <w:rPr>
          <w:rFonts w:eastAsia="Calibri" w:cs="Arial"/>
          <w:i/>
          <w:iCs/>
          <w:sz w:val="22"/>
          <w:szCs w:val="22"/>
          <w:lang w:eastAsia="en-ZA"/>
        </w:rPr>
        <w:t>”</w:t>
      </w:r>
    </w:p>
    <w:p w14:paraId="39AFEB19" w14:textId="2CDAE0C5" w:rsidR="00D219E3" w:rsidRDefault="00D219E3" w:rsidP="00D55187">
      <w:pPr>
        <w:pStyle w:val="Body"/>
        <w:spacing w:line="360" w:lineRule="auto"/>
        <w:ind w:left="1440"/>
        <w:jc w:val="both"/>
        <w:rPr>
          <w:rFonts w:eastAsia="Calibri" w:cs="Arial"/>
          <w:sz w:val="24"/>
          <w:szCs w:val="24"/>
          <w:lang w:eastAsia="en-ZA"/>
        </w:rPr>
      </w:pPr>
    </w:p>
    <w:p w14:paraId="63EDB25E" w14:textId="3020DA36" w:rsidR="00D219E3" w:rsidRDefault="00D219E3" w:rsidP="00D55187">
      <w:pPr>
        <w:pStyle w:val="Body"/>
        <w:spacing w:line="360" w:lineRule="auto"/>
        <w:ind w:left="1440"/>
        <w:jc w:val="both"/>
        <w:rPr>
          <w:rFonts w:eastAsia="Calibri" w:cs="Arial"/>
          <w:sz w:val="24"/>
          <w:szCs w:val="24"/>
          <w:lang w:eastAsia="en-ZA"/>
        </w:rPr>
      </w:pPr>
      <w:r>
        <w:rPr>
          <w:rFonts w:eastAsia="Calibri" w:cs="Arial"/>
          <w:sz w:val="24"/>
          <w:szCs w:val="24"/>
          <w:lang w:eastAsia="en-ZA"/>
        </w:rPr>
        <w:t>And</w:t>
      </w:r>
    </w:p>
    <w:p w14:paraId="44350EA4" w14:textId="77600435" w:rsidR="00D219E3" w:rsidRDefault="00D219E3" w:rsidP="00D55187">
      <w:pPr>
        <w:pStyle w:val="Body"/>
        <w:spacing w:line="360" w:lineRule="auto"/>
        <w:ind w:left="1440"/>
        <w:jc w:val="both"/>
        <w:rPr>
          <w:rFonts w:eastAsia="Calibri" w:cs="Arial"/>
          <w:sz w:val="24"/>
          <w:szCs w:val="24"/>
          <w:lang w:eastAsia="en-ZA"/>
        </w:rPr>
      </w:pPr>
    </w:p>
    <w:p w14:paraId="398E671B" w14:textId="1B360633" w:rsidR="00D219E3" w:rsidRPr="00760AC8" w:rsidRDefault="00760AC8" w:rsidP="00D55187">
      <w:pPr>
        <w:pStyle w:val="Body"/>
        <w:spacing w:line="360" w:lineRule="auto"/>
        <w:ind w:left="2268" w:hanging="850"/>
        <w:jc w:val="both"/>
        <w:rPr>
          <w:rFonts w:eastAsia="Calibri" w:cs="Arial"/>
          <w:i/>
          <w:iCs/>
          <w:sz w:val="22"/>
          <w:szCs w:val="22"/>
          <w:lang w:eastAsia="en-ZA"/>
        </w:rPr>
      </w:pPr>
      <w:r w:rsidRPr="00760AC8">
        <w:rPr>
          <w:rFonts w:eastAsia="Calibri" w:cs="Arial"/>
          <w:i/>
          <w:iCs/>
          <w:sz w:val="22"/>
          <w:szCs w:val="22"/>
          <w:lang w:eastAsia="en-ZA"/>
        </w:rPr>
        <w:t>“[7]</w:t>
      </w:r>
      <w:r w:rsidRPr="00760AC8">
        <w:rPr>
          <w:rFonts w:eastAsia="Calibri" w:cs="Arial"/>
          <w:i/>
          <w:iCs/>
          <w:sz w:val="22"/>
          <w:szCs w:val="22"/>
          <w:lang w:eastAsia="en-ZA"/>
        </w:rPr>
        <w:tab/>
        <w:t>. . . but the question whether a contractual provision has operational content is fundamental to the ambit of the obligations the parties undertake, and it precedes the application of rules designed to establish the proper interpretation of their undertakings.  Only once it is determined that a provision was intended to have contractual effect will the Court try to interpret it so as to give it business efficacy.  If it was not so intended, those rules of interpretation do not come into play.  No ‘business meaning’ can be conjured out of a clause that was not intended to have contractual effect at all.”</w:t>
      </w:r>
    </w:p>
    <w:p w14:paraId="28EF418B" w14:textId="77777777" w:rsidR="0009208E" w:rsidRDefault="0009208E" w:rsidP="00D55187">
      <w:pPr>
        <w:pStyle w:val="ListParagraph"/>
        <w:spacing w:line="360" w:lineRule="auto"/>
        <w:rPr>
          <w:rFonts w:eastAsia="Calibri" w:cs="Arial"/>
          <w:lang w:eastAsia="en-ZA"/>
        </w:rPr>
      </w:pPr>
    </w:p>
    <w:p w14:paraId="383FBA12" w14:textId="50B34397" w:rsidR="001E5D87"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[35]</w:t>
      </w:r>
      <w:r>
        <w:rPr>
          <w:rFonts w:eastAsia="Calibri" w:cs="Arial"/>
          <w:sz w:val="24"/>
          <w:szCs w:val="24"/>
          <w:lang w:eastAsia="en-ZA"/>
        </w:rPr>
        <w:tab/>
      </w:r>
      <w:r w:rsidR="001E5D87">
        <w:rPr>
          <w:rFonts w:eastAsia="Calibri" w:cs="Arial"/>
          <w:sz w:val="24"/>
          <w:szCs w:val="24"/>
          <w:lang w:eastAsia="en-ZA"/>
        </w:rPr>
        <w:t xml:space="preserve">In </w:t>
      </w:r>
      <w:r w:rsidR="001E5D87" w:rsidRPr="00431265">
        <w:rPr>
          <w:rFonts w:eastAsia="Calibri" w:cs="Arial"/>
          <w:i/>
          <w:iCs/>
          <w:sz w:val="24"/>
          <w:szCs w:val="24"/>
          <w:lang w:eastAsia="en-ZA"/>
        </w:rPr>
        <w:t>BK Tooling (Edms) Bpk v Scope Precision Engineering (Edms) Bpk</w:t>
      </w:r>
      <w:r w:rsidR="001E5D87">
        <w:rPr>
          <w:rStyle w:val="FootnoteReference"/>
          <w:rFonts w:eastAsia="Calibri" w:cs="Arial"/>
          <w:sz w:val="24"/>
          <w:szCs w:val="24"/>
          <w:lang w:eastAsia="en-ZA"/>
        </w:rPr>
        <w:footnoteReference w:id="9"/>
      </w:r>
      <w:r w:rsidR="001E5D87">
        <w:rPr>
          <w:rFonts w:eastAsia="Calibri" w:cs="Arial"/>
          <w:sz w:val="24"/>
          <w:szCs w:val="24"/>
          <w:lang w:eastAsia="en-ZA"/>
        </w:rPr>
        <w:t xml:space="preserve"> it was held:</w:t>
      </w:r>
    </w:p>
    <w:p w14:paraId="7FFCF509" w14:textId="265157A0" w:rsidR="001E5D87" w:rsidRDefault="001E5D87" w:rsidP="00D55187">
      <w:pPr>
        <w:pStyle w:val="Body"/>
        <w:spacing w:line="360" w:lineRule="auto"/>
        <w:ind w:left="851"/>
        <w:jc w:val="both"/>
        <w:rPr>
          <w:rFonts w:eastAsia="Calibri" w:cs="Arial"/>
          <w:sz w:val="24"/>
          <w:szCs w:val="24"/>
          <w:lang w:eastAsia="en-ZA"/>
        </w:rPr>
      </w:pPr>
    </w:p>
    <w:p w14:paraId="199B6A9F" w14:textId="3EC525DD" w:rsidR="001E5D87" w:rsidRDefault="00340F39" w:rsidP="00D55187">
      <w:pPr>
        <w:pStyle w:val="Body"/>
        <w:spacing w:line="360" w:lineRule="auto"/>
        <w:ind w:left="1418"/>
        <w:jc w:val="both"/>
        <w:rPr>
          <w:rFonts w:eastAsia="Calibri" w:cs="Arial"/>
          <w:i/>
          <w:iCs/>
          <w:sz w:val="22"/>
          <w:szCs w:val="22"/>
          <w:lang w:eastAsia="en-ZA"/>
        </w:rPr>
      </w:pPr>
      <w:r w:rsidRPr="00340F39">
        <w:rPr>
          <w:rFonts w:eastAsia="Calibri" w:cs="Arial"/>
          <w:i/>
          <w:iCs/>
          <w:sz w:val="22"/>
          <w:szCs w:val="22"/>
          <w:lang w:eastAsia="en-ZA"/>
        </w:rPr>
        <w:t>“It would be useful for a few aspects of the principle of reciprocity and its application by means o</w:t>
      </w:r>
      <w:r w:rsidR="00EA4068">
        <w:rPr>
          <w:rFonts w:eastAsia="Calibri" w:cs="Arial"/>
          <w:i/>
          <w:iCs/>
          <w:sz w:val="22"/>
          <w:szCs w:val="22"/>
          <w:lang w:eastAsia="en-ZA"/>
        </w:rPr>
        <w:t>f</w:t>
      </w:r>
      <w:r w:rsidRPr="00340F39">
        <w:rPr>
          <w:rFonts w:eastAsia="Calibri" w:cs="Arial"/>
          <w:i/>
          <w:iCs/>
          <w:sz w:val="22"/>
          <w:szCs w:val="22"/>
          <w:lang w:eastAsia="en-ZA"/>
        </w:rPr>
        <w:t xml:space="preserve"> the exceptio non adimpleti contractus to be mentioned:</w:t>
      </w:r>
    </w:p>
    <w:p w14:paraId="50689CEF" w14:textId="77777777" w:rsidR="00340F39" w:rsidRPr="00340F39" w:rsidRDefault="00340F39" w:rsidP="00D55187">
      <w:pPr>
        <w:pStyle w:val="Body"/>
        <w:spacing w:line="360" w:lineRule="auto"/>
        <w:ind w:left="1418"/>
        <w:jc w:val="both"/>
        <w:rPr>
          <w:rFonts w:eastAsia="Calibri" w:cs="Arial"/>
          <w:i/>
          <w:iCs/>
          <w:sz w:val="22"/>
          <w:szCs w:val="22"/>
          <w:lang w:eastAsia="en-ZA"/>
        </w:rPr>
      </w:pPr>
    </w:p>
    <w:p w14:paraId="0E0B11CC" w14:textId="2EB0D39F" w:rsidR="00340F39" w:rsidRDefault="004D2B3A" w:rsidP="004D2B3A">
      <w:pPr>
        <w:pStyle w:val="Body"/>
        <w:spacing w:line="360" w:lineRule="auto"/>
        <w:ind w:left="1985" w:hanging="567"/>
        <w:jc w:val="both"/>
        <w:rPr>
          <w:rFonts w:eastAsia="Calibri" w:cs="Arial"/>
          <w:i/>
          <w:iCs/>
          <w:sz w:val="22"/>
          <w:szCs w:val="22"/>
          <w:lang w:eastAsia="en-ZA"/>
        </w:rPr>
      </w:pPr>
      <w:r>
        <w:rPr>
          <w:rFonts w:eastAsia="Calibri" w:cs="Arial"/>
          <w:i/>
          <w:iCs/>
          <w:sz w:val="22"/>
          <w:szCs w:val="22"/>
          <w:lang w:eastAsia="en-ZA"/>
        </w:rPr>
        <w:t>1.</w:t>
      </w:r>
      <w:r>
        <w:rPr>
          <w:rFonts w:eastAsia="Calibri" w:cs="Arial"/>
          <w:i/>
          <w:iCs/>
          <w:sz w:val="22"/>
          <w:szCs w:val="22"/>
          <w:lang w:eastAsia="en-ZA"/>
        </w:rPr>
        <w:tab/>
      </w:r>
      <w:r w:rsidR="00340F39" w:rsidRPr="00340F39">
        <w:rPr>
          <w:rFonts w:eastAsia="Calibri" w:cs="Arial"/>
          <w:i/>
          <w:iCs/>
          <w:sz w:val="22"/>
          <w:szCs w:val="22"/>
          <w:lang w:eastAsia="en-ZA"/>
        </w:rPr>
        <w:t xml:space="preserve">In contracts wherein reciprocal obligations are created it is basically a matter of interpretation whether the obligations are so closely linked that the principle of reciprocity applies.  If, however, no other intention appears, the </w:t>
      </w:r>
      <w:r w:rsidR="00340F39" w:rsidRPr="00340F39">
        <w:rPr>
          <w:rFonts w:eastAsia="Calibri" w:cs="Arial"/>
          <w:i/>
          <w:iCs/>
          <w:sz w:val="22"/>
          <w:szCs w:val="22"/>
          <w:lang w:eastAsia="en-ZA"/>
        </w:rPr>
        <w:lastRenderedPageBreak/>
        <w:t xml:space="preserve">principle applies by operation of law to certain well known contracts, such as, eg, the contract of sale and </w:t>
      </w:r>
      <w:r w:rsidR="00340F39" w:rsidRPr="00340F39">
        <w:rPr>
          <w:rFonts w:eastAsia="Calibri" w:cs="Arial"/>
          <w:i/>
          <w:iCs/>
          <w:sz w:val="22"/>
          <w:szCs w:val="22"/>
          <w:u w:val="single"/>
          <w:lang w:eastAsia="en-ZA"/>
        </w:rPr>
        <w:t>locatio conductio operis</w:t>
      </w:r>
      <w:r w:rsidR="00340F39" w:rsidRPr="00340F39">
        <w:rPr>
          <w:rFonts w:eastAsia="Calibri" w:cs="Arial"/>
          <w:i/>
          <w:iCs/>
          <w:sz w:val="22"/>
          <w:szCs w:val="22"/>
          <w:lang w:eastAsia="en-ZA"/>
        </w:rPr>
        <w:t>.</w:t>
      </w:r>
      <w:r w:rsidR="005736F2">
        <w:rPr>
          <w:rFonts w:eastAsia="Calibri" w:cs="Arial"/>
          <w:i/>
          <w:iCs/>
          <w:sz w:val="22"/>
          <w:szCs w:val="22"/>
          <w:lang w:eastAsia="en-ZA"/>
        </w:rPr>
        <w:t xml:space="preserve"> </w:t>
      </w:r>
    </w:p>
    <w:p w14:paraId="76222C24" w14:textId="77777777" w:rsidR="00340F39" w:rsidRPr="00340F39" w:rsidRDefault="00340F39" w:rsidP="00D55187">
      <w:pPr>
        <w:pStyle w:val="Body"/>
        <w:spacing w:line="360" w:lineRule="auto"/>
        <w:ind w:left="1985" w:hanging="567"/>
        <w:jc w:val="both"/>
        <w:rPr>
          <w:rFonts w:eastAsia="Calibri" w:cs="Arial"/>
          <w:i/>
          <w:iCs/>
          <w:sz w:val="22"/>
          <w:szCs w:val="22"/>
          <w:lang w:eastAsia="en-ZA"/>
        </w:rPr>
      </w:pPr>
    </w:p>
    <w:p w14:paraId="1AC073C7" w14:textId="0602A642" w:rsidR="00340F39" w:rsidRPr="00340F39" w:rsidRDefault="004D2B3A" w:rsidP="004D2B3A">
      <w:pPr>
        <w:pStyle w:val="Body"/>
        <w:spacing w:line="360" w:lineRule="auto"/>
        <w:ind w:left="1985" w:hanging="567"/>
        <w:jc w:val="both"/>
        <w:rPr>
          <w:rFonts w:eastAsia="Calibri" w:cs="Arial"/>
          <w:i/>
          <w:iCs/>
          <w:sz w:val="22"/>
          <w:szCs w:val="22"/>
          <w:lang w:eastAsia="en-ZA"/>
        </w:rPr>
      </w:pPr>
      <w:r w:rsidRPr="00340F39">
        <w:rPr>
          <w:rFonts w:eastAsia="Calibri" w:cs="Arial"/>
          <w:i/>
          <w:iCs/>
          <w:sz w:val="22"/>
          <w:szCs w:val="22"/>
          <w:lang w:eastAsia="en-ZA"/>
        </w:rPr>
        <w:t>2.</w:t>
      </w:r>
      <w:r w:rsidRPr="00340F39">
        <w:rPr>
          <w:rFonts w:eastAsia="Calibri" w:cs="Arial"/>
          <w:i/>
          <w:iCs/>
          <w:sz w:val="22"/>
          <w:szCs w:val="22"/>
          <w:lang w:eastAsia="en-ZA"/>
        </w:rPr>
        <w:tab/>
      </w:r>
      <w:r w:rsidR="00340F39" w:rsidRPr="00340F39">
        <w:rPr>
          <w:rFonts w:eastAsia="Calibri" w:cs="Arial"/>
          <w:i/>
          <w:iCs/>
          <w:sz w:val="22"/>
          <w:szCs w:val="22"/>
          <w:lang w:eastAsia="en-ZA"/>
        </w:rPr>
        <w:t>The sequence of performance and counter-performance also depends upon the contractual provisions.  If, however, another intention does not appear, the contractor, in locatio conductio operis for example, must first perform</w:t>
      </w:r>
      <w:r w:rsidR="00FB421B">
        <w:rPr>
          <w:rFonts w:eastAsia="Calibri" w:cs="Arial"/>
          <w:i/>
          <w:iCs/>
          <w:sz w:val="22"/>
          <w:szCs w:val="22"/>
          <w:lang w:eastAsia="en-ZA"/>
        </w:rPr>
        <w:t>.</w:t>
      </w:r>
      <w:r w:rsidR="00340F39" w:rsidRPr="00340F39">
        <w:rPr>
          <w:rFonts w:eastAsia="Calibri" w:cs="Arial"/>
          <w:i/>
          <w:iCs/>
          <w:sz w:val="22"/>
          <w:szCs w:val="22"/>
          <w:lang w:eastAsia="en-ZA"/>
        </w:rPr>
        <w:t xml:space="preserve">” </w:t>
      </w:r>
      <w:r w:rsidR="005736F2">
        <w:rPr>
          <w:rFonts w:eastAsia="Calibri" w:cs="Arial"/>
          <w:i/>
          <w:iCs/>
          <w:sz w:val="22"/>
          <w:szCs w:val="22"/>
          <w:lang w:eastAsia="en-ZA"/>
        </w:rPr>
        <w:t>(my underlining)</w:t>
      </w:r>
    </w:p>
    <w:p w14:paraId="7D6B76FA" w14:textId="77777777" w:rsidR="00340F39" w:rsidRDefault="00340F39" w:rsidP="00D55187">
      <w:pPr>
        <w:pStyle w:val="Body"/>
        <w:spacing w:line="360" w:lineRule="auto"/>
        <w:ind w:left="1211"/>
        <w:jc w:val="both"/>
        <w:rPr>
          <w:rFonts w:eastAsia="Calibri" w:cs="Arial"/>
          <w:sz w:val="24"/>
          <w:szCs w:val="24"/>
          <w:lang w:eastAsia="en-ZA"/>
        </w:rPr>
      </w:pPr>
    </w:p>
    <w:p w14:paraId="508A81CC" w14:textId="5DBBBB05" w:rsidR="00217EF3"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[36]</w:t>
      </w:r>
      <w:r>
        <w:rPr>
          <w:rFonts w:eastAsia="Calibri" w:cs="Arial"/>
          <w:sz w:val="24"/>
          <w:szCs w:val="24"/>
          <w:lang w:eastAsia="en-ZA"/>
        </w:rPr>
        <w:tab/>
      </w:r>
      <w:r w:rsidR="007E071C">
        <w:rPr>
          <w:rFonts w:eastAsia="Calibri" w:cs="Arial"/>
          <w:sz w:val="24"/>
          <w:szCs w:val="24"/>
          <w:lang w:eastAsia="en-ZA"/>
        </w:rPr>
        <w:t xml:space="preserve">In the present matter, the terms of the agreement properly construed </w:t>
      </w:r>
      <w:r w:rsidR="00431265">
        <w:rPr>
          <w:rFonts w:eastAsia="Calibri" w:cs="Arial"/>
          <w:sz w:val="24"/>
          <w:szCs w:val="24"/>
          <w:lang w:eastAsia="en-ZA"/>
        </w:rPr>
        <w:t xml:space="preserve">constitute a </w:t>
      </w:r>
      <w:r w:rsidR="00431265" w:rsidRPr="00431265">
        <w:rPr>
          <w:rFonts w:eastAsia="Calibri" w:cs="Arial"/>
          <w:i/>
          <w:iCs/>
          <w:sz w:val="24"/>
          <w:szCs w:val="24"/>
          <w:lang w:eastAsia="en-ZA"/>
        </w:rPr>
        <w:t>locatio conductio operis</w:t>
      </w:r>
      <w:r w:rsidR="00263A4E">
        <w:rPr>
          <w:rStyle w:val="FootnoteReference"/>
          <w:rFonts w:eastAsia="Calibri" w:cs="Arial"/>
          <w:i/>
          <w:iCs/>
          <w:sz w:val="24"/>
          <w:szCs w:val="24"/>
          <w:lang w:eastAsia="en-ZA"/>
        </w:rPr>
        <w:footnoteReference w:id="10"/>
      </w:r>
      <w:r w:rsidR="00431265">
        <w:rPr>
          <w:rFonts w:eastAsia="Calibri" w:cs="Arial"/>
          <w:sz w:val="24"/>
          <w:szCs w:val="24"/>
          <w:lang w:eastAsia="en-ZA"/>
        </w:rPr>
        <w:t>.  T</w:t>
      </w:r>
      <w:r w:rsidR="007E071C">
        <w:rPr>
          <w:rFonts w:eastAsia="Calibri" w:cs="Arial"/>
          <w:sz w:val="24"/>
          <w:szCs w:val="24"/>
          <w:lang w:eastAsia="en-ZA"/>
        </w:rPr>
        <w:t xml:space="preserve">he conduct of the parties </w:t>
      </w:r>
      <w:r w:rsidR="00775C17">
        <w:rPr>
          <w:rFonts w:eastAsia="Calibri" w:cs="Arial"/>
          <w:sz w:val="24"/>
          <w:szCs w:val="24"/>
          <w:lang w:eastAsia="en-ZA"/>
        </w:rPr>
        <w:t>makes</w:t>
      </w:r>
      <w:r w:rsidR="007E071C">
        <w:rPr>
          <w:rFonts w:eastAsia="Calibri" w:cs="Arial"/>
          <w:sz w:val="24"/>
          <w:szCs w:val="24"/>
          <w:lang w:eastAsia="en-ZA"/>
        </w:rPr>
        <w:t xml:space="preserve"> plain that the parties understood that the agreement</w:t>
      </w:r>
      <w:r w:rsidR="0009208E">
        <w:rPr>
          <w:rFonts w:eastAsia="Calibri" w:cs="Arial"/>
          <w:sz w:val="24"/>
          <w:szCs w:val="24"/>
          <w:lang w:eastAsia="en-ZA"/>
        </w:rPr>
        <w:t xml:space="preserve"> was not synallagmatic but was in fact one which created reciprocal obligations between the parties – HAMSA would render services to the client of SMM</w:t>
      </w:r>
      <w:r w:rsidR="006936E8">
        <w:rPr>
          <w:rFonts w:eastAsia="Calibri" w:cs="Arial"/>
          <w:sz w:val="24"/>
          <w:szCs w:val="24"/>
          <w:lang w:eastAsia="en-ZA"/>
        </w:rPr>
        <w:t xml:space="preserve">, LTE, </w:t>
      </w:r>
      <w:r w:rsidR="0009208E">
        <w:rPr>
          <w:rFonts w:eastAsia="Calibri" w:cs="Arial"/>
          <w:sz w:val="24"/>
          <w:szCs w:val="24"/>
          <w:lang w:eastAsia="en-ZA"/>
        </w:rPr>
        <w:t>and SMM would pay HAMSA for those services.</w:t>
      </w:r>
    </w:p>
    <w:p w14:paraId="290FD52B" w14:textId="77777777" w:rsidR="007E071C" w:rsidRPr="00FA6892" w:rsidRDefault="007E071C" w:rsidP="00FA6892">
      <w:pPr>
        <w:spacing w:line="360" w:lineRule="auto"/>
        <w:rPr>
          <w:rFonts w:cs="Arial"/>
          <w:i/>
          <w:iCs/>
        </w:rPr>
      </w:pPr>
    </w:p>
    <w:p w14:paraId="21B0E1C7" w14:textId="57C28D83" w:rsidR="00217EF3" w:rsidRPr="00942688" w:rsidRDefault="004D2B3A" w:rsidP="004D2B3A">
      <w:pPr>
        <w:pStyle w:val="Body"/>
        <w:spacing w:line="360" w:lineRule="auto"/>
        <w:ind w:left="851" w:hanging="851"/>
        <w:jc w:val="both"/>
        <w:rPr>
          <w:rFonts w:eastAsia="Calibri" w:cs="Arial"/>
          <w:sz w:val="24"/>
          <w:szCs w:val="24"/>
          <w:lang w:eastAsia="en-ZA"/>
        </w:rPr>
      </w:pPr>
      <w:r w:rsidRPr="00942688">
        <w:rPr>
          <w:rFonts w:eastAsia="Calibri" w:cs="Arial"/>
          <w:sz w:val="24"/>
          <w:szCs w:val="24"/>
          <w:lang w:eastAsia="en-ZA"/>
        </w:rPr>
        <w:t>[37]</w:t>
      </w:r>
      <w:r w:rsidRPr="00942688">
        <w:rPr>
          <w:rFonts w:eastAsia="Calibri" w:cs="Arial"/>
          <w:sz w:val="24"/>
          <w:szCs w:val="24"/>
          <w:lang w:eastAsia="en-ZA"/>
        </w:rPr>
        <w:tab/>
      </w:r>
      <w:r w:rsidR="00CA24E0" w:rsidRPr="00942688">
        <w:rPr>
          <w:rFonts w:eastAsia="Calibri" w:cs="Arial"/>
          <w:sz w:val="24"/>
          <w:szCs w:val="24"/>
          <w:lang w:eastAsia="en-ZA"/>
        </w:rPr>
        <w:t xml:space="preserve">In </w:t>
      </w:r>
      <w:r w:rsidR="00CA24E0" w:rsidRPr="00942688">
        <w:rPr>
          <w:i/>
          <w:iCs/>
          <w:sz w:val="24"/>
          <w:szCs w:val="24"/>
        </w:rPr>
        <w:t>Comwezi Security Services (Pty) Ltd and Another v Cape Empowerment Trust Ltd</w:t>
      </w:r>
      <w:r w:rsidR="00CA24E0" w:rsidRPr="00942688">
        <w:rPr>
          <w:rStyle w:val="FootnoteReference"/>
          <w:sz w:val="24"/>
          <w:szCs w:val="24"/>
        </w:rPr>
        <w:footnoteReference w:id="11"/>
      </w:r>
      <w:r w:rsidR="00CA24E0" w:rsidRPr="00942688">
        <w:rPr>
          <w:sz w:val="24"/>
          <w:szCs w:val="24"/>
        </w:rPr>
        <w:t xml:space="preserve"> it was held:</w:t>
      </w:r>
    </w:p>
    <w:p w14:paraId="19F3A265" w14:textId="77777777" w:rsidR="00B00DE5" w:rsidRDefault="00B00DE5" w:rsidP="00D55187">
      <w:pPr>
        <w:pStyle w:val="ListParagraph"/>
        <w:spacing w:line="360" w:lineRule="auto"/>
        <w:rPr>
          <w:rFonts w:eastAsia="Calibri" w:cs="Arial"/>
          <w:lang w:eastAsia="en-ZA"/>
        </w:rPr>
      </w:pPr>
    </w:p>
    <w:p w14:paraId="59ACF91D" w14:textId="18DEFCBB" w:rsidR="00217EF3" w:rsidRDefault="00B00DE5" w:rsidP="00FB421B">
      <w:pPr>
        <w:pStyle w:val="Body"/>
        <w:spacing w:line="360" w:lineRule="auto"/>
        <w:ind w:left="1418"/>
        <w:jc w:val="both"/>
        <w:rPr>
          <w:rFonts w:eastAsia="Calibri" w:cs="Arial"/>
          <w:i/>
          <w:iCs/>
          <w:sz w:val="22"/>
          <w:szCs w:val="22"/>
          <w:lang w:eastAsia="en-ZA"/>
        </w:rPr>
      </w:pPr>
      <w:r w:rsidRPr="00B00DE5">
        <w:rPr>
          <w:rFonts w:eastAsia="Calibri" w:cs="Arial"/>
          <w:i/>
          <w:iCs/>
          <w:sz w:val="22"/>
          <w:szCs w:val="22"/>
          <w:lang w:eastAsia="en-ZA"/>
        </w:rPr>
        <w:t>“In the past, where ther</w:t>
      </w:r>
      <w:r>
        <w:rPr>
          <w:rFonts w:eastAsia="Calibri" w:cs="Arial"/>
          <w:i/>
          <w:iCs/>
          <w:sz w:val="22"/>
          <w:szCs w:val="22"/>
          <w:lang w:eastAsia="en-ZA"/>
        </w:rPr>
        <w:t>e</w:t>
      </w:r>
      <w:r w:rsidRPr="00B00DE5">
        <w:rPr>
          <w:rFonts w:eastAsia="Calibri" w:cs="Arial"/>
          <w:i/>
          <w:iCs/>
          <w:sz w:val="22"/>
          <w:szCs w:val="22"/>
          <w:lang w:eastAsia="en-ZA"/>
        </w:rPr>
        <w:t xml:space="preserve"> was perceived ambiguity in a contract, the court</w:t>
      </w:r>
      <w:r w:rsidR="007F2088">
        <w:rPr>
          <w:rFonts w:eastAsia="Calibri" w:cs="Arial"/>
          <w:i/>
          <w:iCs/>
          <w:sz w:val="22"/>
          <w:szCs w:val="22"/>
          <w:lang w:eastAsia="en-ZA"/>
        </w:rPr>
        <w:t>s</w:t>
      </w:r>
      <w:r w:rsidRPr="00B00DE5">
        <w:rPr>
          <w:rFonts w:eastAsia="Calibri" w:cs="Arial"/>
          <w:i/>
          <w:iCs/>
          <w:sz w:val="22"/>
          <w:szCs w:val="22"/>
          <w:lang w:eastAsia="en-ZA"/>
        </w:rPr>
        <w:t xml:space="preserve"> held that the subsequent conduct of the parties in implementing their agreement was a factor that could be taken into account in preferring one interpretation to another.  Now that regard is had to all relevant context, irrespective of whether there is a perceived ambiguity, there is no reason not to look at the conduct of the parties in implementing the agreement.  Where it is clear that they have both taken the same approach to its implementation, and hence the meaning of the prevision in dispute, their conduct provides clear evidence of how reasonable business people situated as they were and knowing what they knew, would construe the disputed provision.  It is therefore relevant to an objective determination of the meaning of the words </w:t>
      </w:r>
      <w:r w:rsidRPr="00B00DE5">
        <w:rPr>
          <w:rFonts w:eastAsia="Calibri" w:cs="Arial"/>
          <w:i/>
          <w:iCs/>
          <w:sz w:val="22"/>
          <w:szCs w:val="22"/>
          <w:lang w:eastAsia="en-ZA"/>
        </w:rPr>
        <w:lastRenderedPageBreak/>
        <w:t>they have sued and the selection of the appropriate meaning from among those postulated by the parties.”</w:t>
      </w:r>
    </w:p>
    <w:p w14:paraId="3D92548C" w14:textId="77777777" w:rsidR="00FB421B" w:rsidRPr="00FB421B" w:rsidRDefault="00FB421B" w:rsidP="00FB421B">
      <w:pPr>
        <w:pStyle w:val="Body"/>
        <w:spacing w:line="360" w:lineRule="auto"/>
        <w:ind w:left="1418"/>
        <w:jc w:val="both"/>
        <w:rPr>
          <w:rFonts w:eastAsia="Calibri" w:cs="Arial"/>
          <w:i/>
          <w:iCs/>
          <w:sz w:val="22"/>
          <w:szCs w:val="22"/>
          <w:lang w:eastAsia="en-ZA"/>
        </w:rPr>
      </w:pPr>
    </w:p>
    <w:p w14:paraId="330CA21D" w14:textId="6D1EF5A4" w:rsidR="00421ABB" w:rsidRDefault="004D2B3A" w:rsidP="004D2B3A">
      <w:pPr>
        <w:pStyle w:val="Body"/>
        <w:spacing w:line="360" w:lineRule="auto"/>
        <w:ind w:left="851" w:hanging="851"/>
        <w:jc w:val="both"/>
        <w:rPr>
          <w:rFonts w:eastAsia="Calibri" w:cs="Arial"/>
          <w:i/>
          <w:iCs/>
          <w:sz w:val="22"/>
          <w:szCs w:val="22"/>
          <w:lang w:eastAsia="en-ZA"/>
        </w:rPr>
      </w:pPr>
      <w:r>
        <w:rPr>
          <w:rFonts w:eastAsia="Calibri" w:cs="Arial"/>
          <w:sz w:val="24"/>
          <w:szCs w:val="24"/>
          <w:lang w:eastAsia="en-ZA"/>
        </w:rPr>
        <w:t>[38]</w:t>
      </w:r>
      <w:r>
        <w:rPr>
          <w:rFonts w:eastAsia="Calibri" w:cs="Arial"/>
          <w:sz w:val="24"/>
          <w:szCs w:val="24"/>
          <w:lang w:eastAsia="en-ZA"/>
        </w:rPr>
        <w:tab/>
      </w:r>
      <w:r w:rsidR="00421ABB" w:rsidRPr="00421ABB">
        <w:rPr>
          <w:rFonts w:eastAsia="Calibri" w:cs="Arial"/>
          <w:i/>
          <w:iCs/>
          <w:sz w:val="22"/>
          <w:szCs w:val="22"/>
          <w:lang w:eastAsia="en-ZA"/>
        </w:rPr>
        <w:t>“Businessmen often record the most important agreements in crude and summary fashion; modes of expression sufficient and clear to them in the cour</w:t>
      </w:r>
      <w:r w:rsidR="00421ABB">
        <w:rPr>
          <w:rFonts w:eastAsia="Calibri" w:cs="Arial"/>
          <w:i/>
          <w:iCs/>
          <w:sz w:val="22"/>
          <w:szCs w:val="22"/>
          <w:lang w:eastAsia="en-ZA"/>
        </w:rPr>
        <w:t>s</w:t>
      </w:r>
      <w:r w:rsidR="00421ABB" w:rsidRPr="00421ABB">
        <w:rPr>
          <w:rFonts w:eastAsia="Calibri" w:cs="Arial"/>
          <w:i/>
          <w:iCs/>
          <w:sz w:val="22"/>
          <w:szCs w:val="22"/>
          <w:lang w:eastAsia="en-ZA"/>
        </w:rPr>
        <w:t>e of their business may appear to those unfamiliar with the business far from complete or precise.  It is accordingly the duty of the Court to construe such documents fairly and broadly, without being too astute or subtle in finding defects.”</w:t>
      </w:r>
      <w:r w:rsidR="00FA6892">
        <w:rPr>
          <w:rFonts w:eastAsia="Calibri" w:cs="Arial"/>
          <w:i/>
          <w:iCs/>
          <w:sz w:val="22"/>
          <w:szCs w:val="22"/>
          <w:lang w:eastAsia="en-ZA"/>
        </w:rPr>
        <w:t xml:space="preserve"> </w:t>
      </w:r>
      <w:r w:rsidR="00421ABB" w:rsidRPr="00421ABB">
        <w:rPr>
          <w:rStyle w:val="FootnoteReference"/>
          <w:rFonts w:eastAsia="Calibri" w:cs="Arial"/>
          <w:i/>
          <w:iCs/>
          <w:sz w:val="22"/>
          <w:szCs w:val="22"/>
          <w:lang w:eastAsia="en-ZA"/>
        </w:rPr>
        <w:footnoteReference w:id="12"/>
      </w:r>
    </w:p>
    <w:p w14:paraId="64FF9722" w14:textId="77777777" w:rsidR="00FA6892" w:rsidRPr="00421ABB" w:rsidRDefault="00FA6892" w:rsidP="00FA6892">
      <w:pPr>
        <w:pStyle w:val="Body"/>
        <w:spacing w:line="360" w:lineRule="auto"/>
        <w:ind w:left="851"/>
        <w:jc w:val="both"/>
        <w:rPr>
          <w:rFonts w:eastAsia="Calibri" w:cs="Arial"/>
          <w:i/>
          <w:iCs/>
          <w:sz w:val="22"/>
          <w:szCs w:val="22"/>
          <w:lang w:eastAsia="en-ZA"/>
        </w:rPr>
      </w:pPr>
    </w:p>
    <w:p w14:paraId="54DD2752" w14:textId="0D5ABD5B" w:rsidR="00CB2F3D"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[39]</w:t>
      </w:r>
      <w:r>
        <w:rPr>
          <w:rFonts w:eastAsia="Calibri" w:cs="Arial"/>
          <w:sz w:val="24"/>
          <w:szCs w:val="24"/>
          <w:lang w:eastAsia="en-ZA"/>
        </w:rPr>
        <w:tab/>
      </w:r>
      <w:r w:rsidR="00EA4068" w:rsidRPr="00A779B7">
        <w:rPr>
          <w:rFonts w:eastAsia="Calibri" w:cs="Arial"/>
          <w:sz w:val="24"/>
          <w:szCs w:val="24"/>
          <w:lang w:eastAsia="en-ZA"/>
        </w:rPr>
        <w:t>In the present matter, I find that the agreement signed between the parties on 1</w:t>
      </w:r>
      <w:r w:rsidR="005736F2">
        <w:rPr>
          <w:rFonts w:eastAsia="Calibri" w:cs="Arial"/>
          <w:sz w:val="24"/>
          <w:szCs w:val="24"/>
          <w:lang w:eastAsia="en-ZA"/>
        </w:rPr>
        <w:t>8</w:t>
      </w:r>
      <w:r w:rsidR="00EA4068" w:rsidRPr="00A779B7">
        <w:rPr>
          <w:rFonts w:eastAsia="Calibri" w:cs="Arial"/>
          <w:sz w:val="24"/>
          <w:szCs w:val="24"/>
          <w:lang w:eastAsia="en-ZA"/>
        </w:rPr>
        <w:t xml:space="preserve"> April 2019 was a binding agreement with reciprocal obligations</w:t>
      </w:r>
      <w:r w:rsidR="00A779B7">
        <w:rPr>
          <w:rFonts w:eastAsia="Calibri" w:cs="Arial"/>
          <w:sz w:val="24"/>
          <w:szCs w:val="24"/>
          <w:lang w:eastAsia="en-ZA"/>
        </w:rPr>
        <w:t xml:space="preserve">.  </w:t>
      </w:r>
      <w:r w:rsidR="00CB2F3D">
        <w:rPr>
          <w:rFonts w:eastAsia="Calibri" w:cs="Arial"/>
          <w:sz w:val="24"/>
          <w:szCs w:val="24"/>
          <w:lang w:eastAsia="en-ZA"/>
        </w:rPr>
        <w:t xml:space="preserve">Insofar as SMM argued that the agreement was void for vagueness, I was referred to </w:t>
      </w:r>
      <w:r w:rsidR="00CB2F3D" w:rsidRPr="00CB2F3D">
        <w:rPr>
          <w:rFonts w:eastAsia="Calibri" w:cs="Arial"/>
          <w:i/>
          <w:iCs/>
          <w:sz w:val="24"/>
          <w:szCs w:val="24"/>
          <w:lang w:eastAsia="en-ZA"/>
        </w:rPr>
        <w:t>Levenstein v Levenstein</w:t>
      </w:r>
      <w:r w:rsidR="00CB2F3D">
        <w:rPr>
          <w:rStyle w:val="FootnoteReference"/>
          <w:rFonts w:eastAsia="Calibri" w:cs="Arial"/>
          <w:i/>
          <w:iCs/>
          <w:sz w:val="24"/>
          <w:szCs w:val="24"/>
          <w:lang w:eastAsia="en-ZA"/>
        </w:rPr>
        <w:footnoteReference w:id="13"/>
      </w:r>
      <w:r w:rsidR="00482FD9">
        <w:rPr>
          <w:rFonts w:eastAsia="Calibri" w:cs="Arial"/>
          <w:i/>
          <w:iCs/>
          <w:sz w:val="24"/>
          <w:szCs w:val="24"/>
          <w:lang w:eastAsia="en-ZA"/>
        </w:rPr>
        <w:t xml:space="preserve"> </w:t>
      </w:r>
      <w:r w:rsidR="00482FD9">
        <w:rPr>
          <w:rFonts w:eastAsia="Calibri" w:cs="Arial"/>
          <w:sz w:val="24"/>
          <w:szCs w:val="24"/>
          <w:lang w:eastAsia="en-ZA"/>
        </w:rPr>
        <w:t xml:space="preserve">in which the court set out the four situations in which contracts could be so classified.  </w:t>
      </w:r>
      <w:r w:rsidR="00F62CBB">
        <w:rPr>
          <w:rFonts w:eastAsia="Calibri" w:cs="Arial"/>
          <w:sz w:val="24"/>
          <w:szCs w:val="24"/>
          <w:lang w:eastAsia="en-ZA"/>
        </w:rPr>
        <w:t>The first and fourth are not relevant to the present matter.  It was argued that the second “</w:t>
      </w:r>
      <w:r w:rsidR="00F62CBB">
        <w:rPr>
          <w:rFonts w:eastAsia="Calibri" w:cs="Arial"/>
          <w:i/>
          <w:iCs/>
          <w:sz w:val="22"/>
          <w:szCs w:val="22"/>
          <w:lang w:eastAsia="en-ZA"/>
        </w:rPr>
        <w:t xml:space="preserve">where the vague and uncertain language justifies the implication that the parties were never ad idem” </w:t>
      </w:r>
      <w:r w:rsidR="00F62CBB">
        <w:rPr>
          <w:rFonts w:eastAsia="Calibri" w:cs="Arial"/>
          <w:sz w:val="24"/>
          <w:szCs w:val="24"/>
          <w:lang w:eastAsia="en-ZA"/>
        </w:rPr>
        <w:t xml:space="preserve">and the third </w:t>
      </w:r>
      <w:r w:rsidR="00F62CBB">
        <w:rPr>
          <w:rFonts w:eastAsia="Calibri" w:cs="Arial"/>
          <w:i/>
          <w:iCs/>
          <w:sz w:val="22"/>
          <w:szCs w:val="22"/>
          <w:lang w:eastAsia="en-ZA"/>
        </w:rPr>
        <w:t>“where there is no concluded contract as in the case of ‘continuing negotiations’ broken off in medio”</w:t>
      </w:r>
      <w:r w:rsidR="00F62CBB">
        <w:rPr>
          <w:rFonts w:eastAsia="Calibri" w:cs="Arial"/>
          <w:sz w:val="24"/>
          <w:szCs w:val="24"/>
          <w:lang w:eastAsia="en-ZA"/>
        </w:rPr>
        <w:t xml:space="preserve"> </w:t>
      </w:r>
      <w:r w:rsidR="00482FD9">
        <w:rPr>
          <w:rFonts w:eastAsia="Calibri" w:cs="Arial"/>
          <w:sz w:val="24"/>
          <w:szCs w:val="24"/>
          <w:lang w:eastAsia="en-ZA"/>
        </w:rPr>
        <w:t xml:space="preserve"> </w:t>
      </w:r>
      <w:r w:rsidR="00F62CBB">
        <w:rPr>
          <w:rFonts w:eastAsia="Calibri" w:cs="Arial"/>
          <w:sz w:val="24"/>
          <w:szCs w:val="24"/>
          <w:lang w:eastAsia="en-ZA"/>
        </w:rPr>
        <w:t>should find application in this matter.</w:t>
      </w:r>
    </w:p>
    <w:p w14:paraId="0C88CF00" w14:textId="77777777" w:rsidR="00F62CBB" w:rsidRDefault="00F62CBB" w:rsidP="00F62CBB">
      <w:pPr>
        <w:pStyle w:val="ListParagraph"/>
        <w:rPr>
          <w:rFonts w:eastAsia="Calibri" w:cs="Arial"/>
          <w:lang w:eastAsia="en-ZA"/>
        </w:rPr>
      </w:pPr>
    </w:p>
    <w:p w14:paraId="16BDDB0A" w14:textId="19AD162C" w:rsidR="00F62CBB"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[40]</w:t>
      </w:r>
      <w:r>
        <w:rPr>
          <w:rFonts w:eastAsia="Calibri" w:cs="Arial"/>
          <w:sz w:val="24"/>
          <w:szCs w:val="24"/>
          <w:lang w:eastAsia="en-ZA"/>
        </w:rPr>
        <w:tab/>
      </w:r>
      <w:r w:rsidR="00E6571C">
        <w:rPr>
          <w:rFonts w:eastAsia="Calibri" w:cs="Arial"/>
          <w:sz w:val="24"/>
          <w:szCs w:val="24"/>
          <w:lang w:eastAsia="en-ZA"/>
        </w:rPr>
        <w:t xml:space="preserve">The evidence establishes that the language used in the agreement was clear and unequivocal as between the parties.  The completion of the work by HAMSA and the partial payment as and when it was called for by SMM lead to the ineluctable inference, as a matter of common sense, that the parties knew what they had contracted for.  It follows that they were </w:t>
      </w:r>
      <w:r w:rsidR="00E6571C" w:rsidRPr="00E6571C">
        <w:rPr>
          <w:rFonts w:eastAsia="Calibri" w:cs="Arial"/>
          <w:i/>
          <w:iCs/>
          <w:sz w:val="24"/>
          <w:szCs w:val="24"/>
          <w:lang w:eastAsia="en-ZA"/>
        </w:rPr>
        <w:t>ad idem</w:t>
      </w:r>
      <w:r w:rsidR="00E6571C">
        <w:rPr>
          <w:rFonts w:eastAsia="Calibri" w:cs="Arial"/>
          <w:sz w:val="24"/>
          <w:szCs w:val="24"/>
          <w:lang w:eastAsia="en-ZA"/>
        </w:rPr>
        <w:t xml:space="preserve">.  I have already dealt with the issue of sub consultant agreement – it too is of no moment in the present matter </w:t>
      </w:r>
      <w:r w:rsidR="00C02B93">
        <w:rPr>
          <w:rFonts w:eastAsia="Calibri" w:cs="Arial"/>
          <w:sz w:val="24"/>
          <w:szCs w:val="24"/>
          <w:lang w:eastAsia="en-ZA"/>
        </w:rPr>
        <w:t>for the reasons that I have stated.</w:t>
      </w:r>
    </w:p>
    <w:p w14:paraId="433A49C2" w14:textId="77777777" w:rsidR="00CB2F3D" w:rsidRDefault="00CB2F3D" w:rsidP="00CB2F3D">
      <w:pPr>
        <w:pStyle w:val="ListParagraph"/>
        <w:rPr>
          <w:rFonts w:eastAsia="Calibri" w:cs="Arial"/>
          <w:lang w:eastAsia="en-ZA"/>
        </w:rPr>
      </w:pPr>
    </w:p>
    <w:p w14:paraId="546C4C03" w14:textId="059E0186" w:rsidR="00217EF3" w:rsidRPr="00A779B7" w:rsidRDefault="004D2B3A" w:rsidP="004D2B3A">
      <w:pPr>
        <w:pStyle w:val="Body"/>
        <w:spacing w:line="360" w:lineRule="auto"/>
        <w:ind w:left="851" w:hanging="851"/>
        <w:jc w:val="both"/>
        <w:rPr>
          <w:rFonts w:eastAsia="Calibri" w:cs="Arial"/>
          <w:sz w:val="24"/>
          <w:szCs w:val="24"/>
          <w:lang w:eastAsia="en-ZA"/>
        </w:rPr>
      </w:pPr>
      <w:r w:rsidRPr="00A779B7">
        <w:rPr>
          <w:rFonts w:eastAsia="Calibri" w:cs="Arial"/>
          <w:sz w:val="24"/>
          <w:szCs w:val="24"/>
          <w:lang w:eastAsia="en-ZA"/>
        </w:rPr>
        <w:lastRenderedPageBreak/>
        <w:t>[41]</w:t>
      </w:r>
      <w:r w:rsidRPr="00A779B7">
        <w:rPr>
          <w:rFonts w:eastAsia="Calibri" w:cs="Arial"/>
          <w:sz w:val="24"/>
          <w:szCs w:val="24"/>
          <w:lang w:eastAsia="en-ZA"/>
        </w:rPr>
        <w:tab/>
      </w:r>
      <w:r w:rsidR="005645FF" w:rsidRPr="00A779B7">
        <w:rPr>
          <w:rFonts w:eastAsia="Calibri" w:cs="Arial"/>
          <w:sz w:val="24"/>
          <w:szCs w:val="24"/>
          <w:lang w:eastAsia="en-ZA"/>
        </w:rPr>
        <w:t>The only point of dispute is that SMM failed to make full payment of what was agreed.</w:t>
      </w:r>
    </w:p>
    <w:p w14:paraId="338AD522" w14:textId="77777777" w:rsidR="00217EF3" w:rsidRDefault="00217EF3" w:rsidP="00D55187">
      <w:pPr>
        <w:pStyle w:val="ListParagraph"/>
        <w:spacing w:line="360" w:lineRule="auto"/>
        <w:rPr>
          <w:rFonts w:eastAsia="Calibri" w:cs="Arial"/>
          <w:lang w:eastAsia="en-ZA"/>
        </w:rPr>
      </w:pPr>
    </w:p>
    <w:p w14:paraId="35309857" w14:textId="16318A94" w:rsidR="00D13FA4"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[42]</w:t>
      </w:r>
      <w:r>
        <w:rPr>
          <w:rFonts w:eastAsia="Calibri" w:cs="Arial"/>
          <w:sz w:val="24"/>
          <w:szCs w:val="24"/>
          <w:lang w:eastAsia="en-ZA"/>
        </w:rPr>
        <w:tab/>
      </w:r>
      <w:r w:rsidR="00D13FA4">
        <w:rPr>
          <w:rFonts w:eastAsia="Calibri" w:cs="Arial"/>
          <w:sz w:val="24"/>
          <w:szCs w:val="24"/>
          <w:lang w:eastAsia="en-ZA"/>
        </w:rPr>
        <w:t>For the reasons that I have set out above, I find that SMM is liable to HAMSA for the balance due to it under the agreement.</w:t>
      </w:r>
    </w:p>
    <w:p w14:paraId="245108DD" w14:textId="77777777" w:rsidR="00D13FA4" w:rsidRDefault="00D13FA4" w:rsidP="00D55187">
      <w:pPr>
        <w:pStyle w:val="ListParagraph"/>
        <w:spacing w:line="360" w:lineRule="auto"/>
        <w:rPr>
          <w:rFonts w:eastAsia="Calibri" w:cs="Arial"/>
          <w:lang w:eastAsia="en-ZA"/>
        </w:rPr>
      </w:pPr>
    </w:p>
    <w:p w14:paraId="64ABF2B4" w14:textId="20026035" w:rsidR="00217EF3"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[43]</w:t>
      </w:r>
      <w:r>
        <w:rPr>
          <w:rFonts w:eastAsia="Calibri" w:cs="Arial"/>
          <w:sz w:val="24"/>
          <w:szCs w:val="24"/>
          <w:lang w:eastAsia="en-ZA"/>
        </w:rPr>
        <w:tab/>
      </w:r>
      <w:r w:rsidR="00D13FA4">
        <w:rPr>
          <w:rFonts w:eastAsia="Calibri" w:cs="Arial"/>
          <w:sz w:val="24"/>
          <w:szCs w:val="24"/>
          <w:lang w:eastAsia="en-ZA"/>
        </w:rPr>
        <w:t xml:space="preserve">In regard to costs, it was argued on behalf of HAMSA that a punitive order for costs should be made.  This was predicated on what was argued as being </w:t>
      </w:r>
      <w:r w:rsidR="00903303">
        <w:rPr>
          <w:rFonts w:eastAsia="Calibri" w:cs="Arial"/>
          <w:sz w:val="24"/>
          <w:szCs w:val="24"/>
          <w:lang w:eastAsia="en-ZA"/>
        </w:rPr>
        <w:t xml:space="preserve">dilatory conduct on the part of SMM insofar as having the matter brought before the court for hearing was concerned.  On </w:t>
      </w:r>
      <w:r w:rsidR="00D13FA4">
        <w:rPr>
          <w:rFonts w:eastAsia="Calibri" w:cs="Arial"/>
          <w:sz w:val="24"/>
          <w:szCs w:val="24"/>
          <w:lang w:eastAsia="en-ZA"/>
        </w:rPr>
        <w:t>consideration of the matter of a whole, I am not persuaded that a punitive order for costs is appropriate.  In the circumstances I intend to make the costs order that I do</w:t>
      </w:r>
      <w:r w:rsidR="00217EF3">
        <w:rPr>
          <w:rFonts w:eastAsia="Calibri" w:cs="Arial"/>
          <w:sz w:val="24"/>
          <w:szCs w:val="24"/>
          <w:lang w:eastAsia="en-ZA"/>
        </w:rPr>
        <w:t>.</w:t>
      </w:r>
    </w:p>
    <w:p w14:paraId="484EB7A7" w14:textId="77777777" w:rsidR="00217EF3" w:rsidRDefault="00217EF3" w:rsidP="00D55187">
      <w:pPr>
        <w:pStyle w:val="ListParagraph"/>
        <w:spacing w:line="360" w:lineRule="auto"/>
        <w:rPr>
          <w:rFonts w:eastAsia="Calibri" w:cs="Arial"/>
          <w:lang w:eastAsia="en-ZA"/>
        </w:rPr>
      </w:pPr>
    </w:p>
    <w:p w14:paraId="5BA3C90F" w14:textId="7F2DEDA2" w:rsidR="00903303" w:rsidRDefault="004D2B3A" w:rsidP="004D2B3A">
      <w:pPr>
        <w:pStyle w:val="Body"/>
        <w:spacing w:line="360" w:lineRule="auto"/>
        <w:ind w:left="851" w:hanging="851"/>
        <w:jc w:val="both"/>
        <w:rPr>
          <w:rFonts w:eastAsia="Calibri" w:cs="Arial"/>
          <w:sz w:val="24"/>
          <w:szCs w:val="24"/>
          <w:lang w:eastAsia="en-ZA"/>
        </w:rPr>
      </w:pPr>
      <w:r>
        <w:rPr>
          <w:rFonts w:eastAsia="Calibri" w:cs="Arial"/>
          <w:sz w:val="24"/>
          <w:szCs w:val="24"/>
          <w:lang w:eastAsia="en-ZA"/>
        </w:rPr>
        <w:t>[44]</w:t>
      </w:r>
      <w:r>
        <w:rPr>
          <w:rFonts w:eastAsia="Calibri" w:cs="Arial"/>
          <w:sz w:val="24"/>
          <w:szCs w:val="24"/>
          <w:lang w:eastAsia="en-ZA"/>
        </w:rPr>
        <w:tab/>
      </w:r>
      <w:r w:rsidR="00903303">
        <w:rPr>
          <w:rFonts w:eastAsia="Calibri" w:cs="Arial"/>
          <w:sz w:val="24"/>
          <w:szCs w:val="24"/>
          <w:lang w:eastAsia="en-ZA"/>
        </w:rPr>
        <w:t>In the circumstances, I make the following order:</w:t>
      </w:r>
    </w:p>
    <w:p w14:paraId="3565396A" w14:textId="77777777" w:rsidR="00903303" w:rsidRDefault="00903303" w:rsidP="00D55187">
      <w:pPr>
        <w:pStyle w:val="ListParagraph"/>
        <w:spacing w:line="360" w:lineRule="auto"/>
        <w:rPr>
          <w:rFonts w:eastAsia="Calibri" w:cs="Arial"/>
          <w:lang w:eastAsia="en-ZA"/>
        </w:rPr>
      </w:pPr>
    </w:p>
    <w:p w14:paraId="54C7969F" w14:textId="74FF4624" w:rsidR="00903303" w:rsidRDefault="00903303" w:rsidP="00FB421B">
      <w:pPr>
        <w:pStyle w:val="Body"/>
        <w:spacing w:line="360" w:lineRule="auto"/>
        <w:ind w:left="1843" w:hanging="992"/>
        <w:jc w:val="both"/>
        <w:rPr>
          <w:rFonts w:eastAsia="Calibri" w:cs="Arial"/>
          <w:sz w:val="24"/>
          <w:szCs w:val="24"/>
          <w:lang w:eastAsia="en-ZA"/>
        </w:rPr>
      </w:pPr>
      <w:r>
        <w:rPr>
          <w:rFonts w:eastAsia="Calibri" w:cs="Arial"/>
          <w:sz w:val="24"/>
          <w:szCs w:val="24"/>
          <w:lang w:eastAsia="en-ZA"/>
        </w:rPr>
        <w:t>[4</w:t>
      </w:r>
      <w:r w:rsidR="00FB421B">
        <w:rPr>
          <w:rFonts w:eastAsia="Calibri" w:cs="Arial"/>
          <w:sz w:val="24"/>
          <w:szCs w:val="24"/>
          <w:lang w:eastAsia="en-ZA"/>
        </w:rPr>
        <w:t>4</w:t>
      </w:r>
      <w:r>
        <w:rPr>
          <w:rFonts w:eastAsia="Calibri" w:cs="Arial"/>
          <w:sz w:val="24"/>
          <w:szCs w:val="24"/>
          <w:lang w:eastAsia="en-ZA"/>
        </w:rPr>
        <w:t>.1]</w:t>
      </w:r>
      <w:r>
        <w:rPr>
          <w:rFonts w:eastAsia="Calibri" w:cs="Arial"/>
          <w:sz w:val="24"/>
          <w:szCs w:val="24"/>
          <w:lang w:eastAsia="en-ZA"/>
        </w:rPr>
        <w:tab/>
        <w:t>The defendant is ordered to pay the plaintiff the sum of R4 118 757,02.</w:t>
      </w:r>
    </w:p>
    <w:p w14:paraId="2BA0A5DE" w14:textId="77777777" w:rsidR="00D55187" w:rsidRDefault="00D55187" w:rsidP="00FB421B">
      <w:pPr>
        <w:pStyle w:val="Body"/>
        <w:spacing w:line="360" w:lineRule="auto"/>
        <w:ind w:left="1843" w:hanging="992"/>
        <w:jc w:val="both"/>
        <w:rPr>
          <w:rFonts w:eastAsia="Calibri" w:cs="Arial"/>
          <w:sz w:val="24"/>
          <w:szCs w:val="24"/>
          <w:lang w:eastAsia="en-ZA"/>
        </w:rPr>
      </w:pPr>
    </w:p>
    <w:p w14:paraId="1BABF60D" w14:textId="363701A1" w:rsidR="00903303" w:rsidRDefault="00903303" w:rsidP="00FB421B">
      <w:pPr>
        <w:pStyle w:val="Body"/>
        <w:spacing w:line="360" w:lineRule="auto"/>
        <w:ind w:left="1843" w:hanging="992"/>
        <w:jc w:val="both"/>
        <w:rPr>
          <w:rFonts w:eastAsia="Calibri" w:cs="Arial"/>
          <w:sz w:val="24"/>
          <w:szCs w:val="24"/>
          <w:lang w:eastAsia="en-ZA"/>
        </w:rPr>
      </w:pPr>
      <w:r>
        <w:rPr>
          <w:rFonts w:eastAsia="Calibri" w:cs="Arial"/>
          <w:sz w:val="24"/>
          <w:szCs w:val="24"/>
          <w:lang w:eastAsia="en-ZA"/>
        </w:rPr>
        <w:t>[4</w:t>
      </w:r>
      <w:r w:rsidR="00FB421B">
        <w:rPr>
          <w:rFonts w:eastAsia="Calibri" w:cs="Arial"/>
          <w:sz w:val="24"/>
          <w:szCs w:val="24"/>
          <w:lang w:eastAsia="en-ZA"/>
        </w:rPr>
        <w:t>4</w:t>
      </w:r>
      <w:r>
        <w:rPr>
          <w:rFonts w:eastAsia="Calibri" w:cs="Arial"/>
          <w:sz w:val="24"/>
          <w:szCs w:val="24"/>
          <w:lang w:eastAsia="en-ZA"/>
        </w:rPr>
        <w:t>.2]</w:t>
      </w:r>
      <w:r>
        <w:rPr>
          <w:rFonts w:eastAsia="Calibri" w:cs="Arial"/>
          <w:sz w:val="24"/>
          <w:szCs w:val="24"/>
          <w:lang w:eastAsia="en-ZA"/>
        </w:rPr>
        <w:tab/>
        <w:t xml:space="preserve">The defendant is ordered to pay to the plaintiff interest on the sum of R4 118 757,02 a </w:t>
      </w:r>
      <w:r w:rsidRPr="00903303">
        <w:rPr>
          <w:rFonts w:eastAsia="Calibri" w:cs="Arial"/>
          <w:i/>
          <w:iCs/>
          <w:sz w:val="24"/>
          <w:szCs w:val="24"/>
          <w:lang w:eastAsia="en-ZA"/>
        </w:rPr>
        <w:t>tempore mora</w:t>
      </w:r>
      <w:r w:rsidR="00366E2C">
        <w:rPr>
          <w:rFonts w:eastAsia="Calibri" w:cs="Arial"/>
          <w:i/>
          <w:iCs/>
          <w:sz w:val="24"/>
          <w:szCs w:val="24"/>
          <w:lang w:eastAsia="en-ZA"/>
        </w:rPr>
        <w:t>e</w:t>
      </w:r>
      <w:r w:rsidR="00366E2C">
        <w:rPr>
          <w:rFonts w:eastAsia="Calibri" w:cs="Arial"/>
          <w:sz w:val="24"/>
          <w:szCs w:val="24"/>
          <w:lang w:eastAsia="en-ZA"/>
        </w:rPr>
        <w:t xml:space="preserve"> at the rate of 8,75% per annum.</w:t>
      </w:r>
      <w:r>
        <w:rPr>
          <w:rFonts w:eastAsia="Calibri" w:cs="Arial"/>
          <w:sz w:val="24"/>
          <w:szCs w:val="24"/>
          <w:lang w:eastAsia="en-ZA"/>
        </w:rPr>
        <w:t xml:space="preserve"> </w:t>
      </w:r>
    </w:p>
    <w:p w14:paraId="476CB56C" w14:textId="77777777" w:rsidR="00D55187" w:rsidRDefault="00D55187" w:rsidP="00FB421B">
      <w:pPr>
        <w:pStyle w:val="Body"/>
        <w:spacing w:line="360" w:lineRule="auto"/>
        <w:ind w:left="1843" w:hanging="992"/>
        <w:jc w:val="both"/>
        <w:rPr>
          <w:rFonts w:eastAsia="Calibri" w:cs="Arial"/>
          <w:sz w:val="24"/>
          <w:szCs w:val="24"/>
          <w:lang w:eastAsia="en-ZA"/>
        </w:rPr>
      </w:pPr>
    </w:p>
    <w:p w14:paraId="09CF3051" w14:textId="26F55C4F" w:rsidR="0048191C" w:rsidRPr="00FB421B" w:rsidRDefault="00903303" w:rsidP="00FB421B">
      <w:pPr>
        <w:pStyle w:val="Body"/>
        <w:spacing w:line="360" w:lineRule="auto"/>
        <w:ind w:left="1843" w:hanging="992"/>
        <w:jc w:val="both"/>
        <w:rPr>
          <w:rFonts w:eastAsia="Calibri" w:cs="Arial"/>
          <w:sz w:val="24"/>
          <w:szCs w:val="24"/>
          <w:lang w:eastAsia="en-ZA"/>
        </w:rPr>
      </w:pPr>
      <w:r>
        <w:rPr>
          <w:rFonts w:eastAsia="Calibri" w:cs="Arial"/>
          <w:sz w:val="24"/>
          <w:szCs w:val="24"/>
          <w:lang w:eastAsia="en-ZA"/>
        </w:rPr>
        <w:t>[4</w:t>
      </w:r>
      <w:r w:rsidR="00FB421B">
        <w:rPr>
          <w:rFonts w:eastAsia="Calibri" w:cs="Arial"/>
          <w:sz w:val="24"/>
          <w:szCs w:val="24"/>
          <w:lang w:eastAsia="en-ZA"/>
        </w:rPr>
        <w:t>4</w:t>
      </w:r>
      <w:r>
        <w:rPr>
          <w:rFonts w:eastAsia="Calibri" w:cs="Arial"/>
          <w:sz w:val="24"/>
          <w:szCs w:val="24"/>
          <w:lang w:eastAsia="en-ZA"/>
        </w:rPr>
        <w:t>.3]</w:t>
      </w:r>
      <w:r>
        <w:rPr>
          <w:rFonts w:eastAsia="Calibri" w:cs="Arial"/>
          <w:sz w:val="24"/>
          <w:szCs w:val="24"/>
          <w:lang w:eastAsia="en-ZA"/>
        </w:rPr>
        <w:tab/>
        <w:t>The defendant is ordered to pay the costs of suit on the scale as between party and part</w:t>
      </w:r>
      <w:r w:rsidR="0097197F">
        <w:rPr>
          <w:rFonts w:eastAsia="Calibri" w:cs="Arial"/>
          <w:sz w:val="24"/>
          <w:szCs w:val="24"/>
          <w:lang w:eastAsia="en-ZA"/>
        </w:rPr>
        <w:t>y</w:t>
      </w:r>
      <w:r>
        <w:rPr>
          <w:rFonts w:eastAsia="Calibri" w:cs="Arial"/>
          <w:sz w:val="24"/>
          <w:szCs w:val="24"/>
          <w:lang w:eastAsia="en-ZA"/>
        </w:rPr>
        <w:t>.</w:t>
      </w:r>
    </w:p>
    <w:p w14:paraId="12D6AE87" w14:textId="77777777" w:rsidR="00416EA1" w:rsidRDefault="00416EA1" w:rsidP="00413603">
      <w:pPr>
        <w:pStyle w:val="Body"/>
        <w:ind w:left="720"/>
        <w:jc w:val="right"/>
        <w:rPr>
          <w:rFonts w:cs="Arial"/>
          <w:b/>
          <w:bCs/>
          <w:sz w:val="24"/>
          <w:szCs w:val="24"/>
        </w:rPr>
      </w:pPr>
    </w:p>
    <w:p w14:paraId="67B4416D" w14:textId="4061A00B" w:rsidR="001D6C62" w:rsidRPr="004A2A70" w:rsidRDefault="00101D88" w:rsidP="004A2A70">
      <w:pPr>
        <w:pStyle w:val="Body"/>
        <w:ind w:left="720"/>
        <w:jc w:val="right"/>
        <w:rPr>
          <w:rFonts w:cs="Arial"/>
          <w:sz w:val="24"/>
          <w:szCs w:val="24"/>
        </w:rPr>
      </w:pPr>
      <w:r w:rsidRPr="00413603">
        <w:rPr>
          <w:rFonts w:cs="Arial"/>
          <w:b/>
          <w:bCs/>
          <w:sz w:val="24"/>
          <w:szCs w:val="24"/>
        </w:rPr>
        <w:t>_____________________________</w:t>
      </w:r>
    </w:p>
    <w:p w14:paraId="7C493B1F" w14:textId="65ACEF1C" w:rsidR="00101D88" w:rsidRPr="00242E76" w:rsidRDefault="00101D88" w:rsidP="00416EA1">
      <w:pPr>
        <w:pStyle w:val="BodyA"/>
        <w:ind w:left="7920"/>
        <w:jc w:val="right"/>
        <w:rPr>
          <w:rFonts w:ascii="Arial" w:hAnsi="Arial" w:cs="Arial"/>
          <w:b/>
          <w:bCs/>
        </w:rPr>
      </w:pPr>
      <w:r w:rsidRPr="00242E76">
        <w:rPr>
          <w:rFonts w:ascii="Arial" w:hAnsi="Arial" w:cs="Arial"/>
          <w:b/>
          <w:bCs/>
        </w:rPr>
        <w:t>A MILLAR</w:t>
      </w:r>
    </w:p>
    <w:p w14:paraId="206E179D" w14:textId="12C0B530" w:rsidR="00101D88" w:rsidRPr="00242E76" w:rsidRDefault="00101D88" w:rsidP="00416EA1">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416EA1">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08693D">
      <w:pPr>
        <w:pStyle w:val="BodyA"/>
        <w:ind w:left="720"/>
        <w:jc w:val="right"/>
        <w:rPr>
          <w:rFonts w:ascii="Arial" w:eastAsia="Tahoma" w:hAnsi="Arial" w:cs="Arial"/>
          <w:b/>
          <w:bCs/>
        </w:rPr>
      </w:pPr>
    </w:p>
    <w:p w14:paraId="4A2A3FBF" w14:textId="51DC6B83" w:rsidR="00E55848" w:rsidRDefault="00E55848" w:rsidP="006630FB">
      <w:pPr>
        <w:spacing w:line="480" w:lineRule="auto"/>
        <w:ind w:left="567" w:hanging="567"/>
        <w:jc w:val="both"/>
        <w:rPr>
          <w:rFonts w:ascii="Arial" w:hAnsi="Arial" w:cs="Arial"/>
        </w:rPr>
      </w:pPr>
    </w:p>
    <w:p w14:paraId="6370866B" w14:textId="77777777" w:rsidR="00416EA1" w:rsidRDefault="00416EA1" w:rsidP="00385391">
      <w:pPr>
        <w:spacing w:line="480" w:lineRule="auto"/>
        <w:ind w:left="567" w:hanging="567"/>
        <w:jc w:val="both"/>
        <w:rPr>
          <w:rFonts w:ascii="Arial" w:hAnsi="Arial" w:cs="Arial"/>
        </w:rPr>
      </w:pPr>
    </w:p>
    <w:p w14:paraId="5ACDA854" w14:textId="4C9CEF48" w:rsidR="002040D5" w:rsidRPr="00242E76" w:rsidRDefault="00412E0C" w:rsidP="00385391">
      <w:pPr>
        <w:spacing w:line="48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F0106C">
        <w:rPr>
          <w:rFonts w:ascii="Arial" w:hAnsi="Arial" w:cs="Arial"/>
          <w:sz w:val="22"/>
          <w:szCs w:val="22"/>
        </w:rPr>
        <w:t>1</w:t>
      </w:r>
      <w:r w:rsidR="00F0106C" w:rsidRPr="00F0106C">
        <w:rPr>
          <w:rFonts w:ascii="Arial" w:hAnsi="Arial" w:cs="Arial"/>
          <w:sz w:val="22"/>
          <w:szCs w:val="22"/>
          <w:vertAlign w:val="superscript"/>
        </w:rPr>
        <w:t>ST</w:t>
      </w:r>
      <w:r w:rsidR="00F0106C">
        <w:rPr>
          <w:rFonts w:ascii="Arial" w:hAnsi="Arial" w:cs="Arial"/>
          <w:sz w:val="22"/>
          <w:szCs w:val="22"/>
        </w:rPr>
        <w:t xml:space="preserve"> </w:t>
      </w:r>
      <w:r w:rsidR="00F23F8A">
        <w:rPr>
          <w:rFonts w:ascii="Arial" w:hAnsi="Arial" w:cs="Arial"/>
          <w:sz w:val="22"/>
          <w:szCs w:val="22"/>
        </w:rPr>
        <w:t xml:space="preserve">&amp; </w:t>
      </w:r>
      <w:r w:rsidR="00F0106C">
        <w:rPr>
          <w:rFonts w:ascii="Arial" w:hAnsi="Arial" w:cs="Arial"/>
          <w:sz w:val="22"/>
          <w:szCs w:val="22"/>
        </w:rPr>
        <w:t>2</w:t>
      </w:r>
      <w:r w:rsidR="00F0106C" w:rsidRPr="00F0106C">
        <w:rPr>
          <w:rFonts w:ascii="Arial" w:hAnsi="Arial" w:cs="Arial"/>
          <w:sz w:val="22"/>
          <w:szCs w:val="22"/>
          <w:vertAlign w:val="superscript"/>
        </w:rPr>
        <w:t>ND</w:t>
      </w:r>
      <w:r w:rsidR="00F0106C">
        <w:rPr>
          <w:rFonts w:ascii="Arial" w:hAnsi="Arial" w:cs="Arial"/>
          <w:sz w:val="22"/>
          <w:szCs w:val="22"/>
        </w:rPr>
        <w:t xml:space="preserve"> AUGUST</w:t>
      </w:r>
      <w:r w:rsidR="008D34A8">
        <w:rPr>
          <w:rFonts w:ascii="Arial" w:hAnsi="Arial" w:cs="Arial"/>
          <w:sz w:val="22"/>
          <w:szCs w:val="22"/>
        </w:rPr>
        <w:t xml:space="preserve"> 20</w:t>
      </w:r>
      <w:r w:rsidR="000E551C">
        <w:rPr>
          <w:rFonts w:ascii="Arial" w:hAnsi="Arial" w:cs="Arial"/>
          <w:sz w:val="22"/>
          <w:szCs w:val="22"/>
        </w:rPr>
        <w:t>23</w:t>
      </w:r>
    </w:p>
    <w:p w14:paraId="7E6457D4" w14:textId="0E90FA69" w:rsidR="002040D5" w:rsidRPr="00242E76" w:rsidRDefault="006630FB" w:rsidP="00385391">
      <w:pPr>
        <w:spacing w:line="480" w:lineRule="auto"/>
        <w:ind w:left="567" w:hanging="567"/>
        <w:jc w:val="both"/>
        <w:rPr>
          <w:rFonts w:ascii="Arial" w:hAnsi="Arial" w:cs="Arial"/>
          <w:sz w:val="22"/>
          <w:szCs w:val="22"/>
        </w:rPr>
      </w:pPr>
      <w:r w:rsidRPr="00242E76">
        <w:rPr>
          <w:rFonts w:ascii="Arial" w:hAnsi="Arial" w:cs="Arial"/>
          <w:sz w:val="22"/>
          <w:szCs w:val="22"/>
        </w:rPr>
        <w:lastRenderedPageBreak/>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7719B6">
        <w:rPr>
          <w:rFonts w:ascii="Arial" w:hAnsi="Arial" w:cs="Arial"/>
          <w:sz w:val="22"/>
          <w:szCs w:val="22"/>
        </w:rPr>
        <w:t>29</w:t>
      </w:r>
      <w:r w:rsidR="00412E0C" w:rsidRPr="00242E76">
        <w:rPr>
          <w:rFonts w:ascii="Arial" w:hAnsi="Arial" w:cs="Arial"/>
          <w:sz w:val="22"/>
          <w:szCs w:val="22"/>
        </w:rPr>
        <w:t xml:space="preserve"> </w:t>
      </w:r>
      <w:r w:rsidR="00F0106C">
        <w:rPr>
          <w:rFonts w:ascii="Arial" w:hAnsi="Arial" w:cs="Arial"/>
          <w:sz w:val="22"/>
          <w:szCs w:val="22"/>
        </w:rPr>
        <w:t xml:space="preserve">AUGUST </w:t>
      </w:r>
      <w:r w:rsidR="00412E0C" w:rsidRPr="00242E76">
        <w:rPr>
          <w:rFonts w:ascii="Arial" w:hAnsi="Arial" w:cs="Arial"/>
          <w:sz w:val="22"/>
          <w:szCs w:val="22"/>
        </w:rPr>
        <w:t>20</w:t>
      </w:r>
      <w:r w:rsidR="000E551C">
        <w:rPr>
          <w:rFonts w:ascii="Arial" w:hAnsi="Arial" w:cs="Arial"/>
          <w:sz w:val="22"/>
          <w:szCs w:val="22"/>
        </w:rPr>
        <w:t>23</w:t>
      </w:r>
    </w:p>
    <w:p w14:paraId="70B75637" w14:textId="77777777" w:rsidR="006710DC" w:rsidRDefault="006710DC" w:rsidP="006630FB">
      <w:pPr>
        <w:spacing w:line="480" w:lineRule="auto"/>
        <w:ind w:left="567" w:hanging="567"/>
        <w:jc w:val="both"/>
        <w:rPr>
          <w:rFonts w:ascii="Arial" w:hAnsi="Arial" w:cs="Arial"/>
          <w:sz w:val="22"/>
          <w:szCs w:val="22"/>
        </w:rPr>
      </w:pPr>
    </w:p>
    <w:p w14:paraId="02474508" w14:textId="65BC0A65" w:rsidR="006630FB" w:rsidRPr="00242E76" w:rsidRDefault="006630FB" w:rsidP="006630FB">
      <w:pPr>
        <w:spacing w:line="48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E07B1">
        <w:rPr>
          <w:rFonts w:ascii="Arial" w:hAnsi="Arial" w:cs="Arial"/>
          <w:sz w:val="22"/>
          <w:szCs w:val="22"/>
        </w:rPr>
        <w:t>PLAINTIFF</w:t>
      </w:r>
      <w:r w:rsidR="00412E0C" w:rsidRPr="00242E76">
        <w:rPr>
          <w:rFonts w:ascii="Arial" w:hAnsi="Arial" w:cs="Arial"/>
          <w:sz w:val="22"/>
          <w:szCs w:val="22"/>
        </w:rPr>
        <w:t>:</w:t>
      </w:r>
      <w:r w:rsidR="00242E76">
        <w:rPr>
          <w:rFonts w:ascii="Arial" w:hAnsi="Arial" w:cs="Arial"/>
          <w:sz w:val="22"/>
          <w:szCs w:val="22"/>
        </w:rPr>
        <w:tab/>
      </w:r>
      <w:r w:rsidR="00412E0C" w:rsidRPr="00242E76">
        <w:rPr>
          <w:rFonts w:ascii="Arial" w:hAnsi="Arial" w:cs="Arial"/>
          <w:sz w:val="22"/>
          <w:szCs w:val="22"/>
        </w:rPr>
        <w:tab/>
        <w:t>ADV</w:t>
      </w:r>
      <w:r w:rsidR="004234BC">
        <w:rPr>
          <w:rFonts w:ascii="Arial" w:hAnsi="Arial" w:cs="Arial"/>
          <w:sz w:val="22"/>
          <w:szCs w:val="22"/>
        </w:rPr>
        <w:t>. M</w:t>
      </w:r>
      <w:r w:rsidR="00D55C5C">
        <w:rPr>
          <w:rFonts w:ascii="Arial" w:hAnsi="Arial" w:cs="Arial"/>
          <w:sz w:val="22"/>
          <w:szCs w:val="22"/>
        </w:rPr>
        <w:t xml:space="preserve"> </w:t>
      </w:r>
      <w:r w:rsidR="004234BC">
        <w:rPr>
          <w:rFonts w:ascii="Arial" w:hAnsi="Arial" w:cs="Arial"/>
          <w:sz w:val="22"/>
          <w:szCs w:val="22"/>
        </w:rPr>
        <w:t>Z SULEMAN</w:t>
      </w:r>
    </w:p>
    <w:p w14:paraId="6434C520" w14:textId="28554F37" w:rsidR="006630FB"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F0106C">
        <w:rPr>
          <w:rFonts w:ascii="Arial" w:hAnsi="Arial" w:cs="Arial"/>
          <w:sz w:val="22"/>
          <w:szCs w:val="22"/>
        </w:rPr>
        <w:t>LARSON FALCONER HASSAN PARSEE INC</w:t>
      </w:r>
    </w:p>
    <w:p w14:paraId="7383FC0C" w14:textId="5620588C" w:rsidR="000E6633" w:rsidRPr="00242E76" w:rsidRDefault="000E6633" w:rsidP="00E50554">
      <w:pPr>
        <w:spacing w:line="48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F0106C">
        <w:rPr>
          <w:rFonts w:ascii="Arial" w:hAnsi="Arial" w:cs="Arial"/>
          <w:sz w:val="22"/>
          <w:szCs w:val="22"/>
        </w:rPr>
        <w:t>22/H361/036</w:t>
      </w:r>
    </w:p>
    <w:p w14:paraId="4502317A" w14:textId="77777777" w:rsidR="000E6633" w:rsidRPr="00242E76" w:rsidRDefault="000E6633" w:rsidP="006630FB">
      <w:pPr>
        <w:spacing w:line="480" w:lineRule="auto"/>
        <w:ind w:left="567" w:hanging="567"/>
        <w:jc w:val="both"/>
        <w:rPr>
          <w:rFonts w:ascii="Arial" w:hAnsi="Arial" w:cs="Arial"/>
          <w:sz w:val="22"/>
          <w:szCs w:val="22"/>
        </w:rPr>
      </w:pPr>
    </w:p>
    <w:p w14:paraId="577B443F" w14:textId="79E7A4F9" w:rsidR="006630FB" w:rsidRPr="00242E76" w:rsidRDefault="002A6A3F" w:rsidP="006630FB">
      <w:pPr>
        <w:spacing w:line="480" w:lineRule="auto"/>
        <w:ind w:left="567" w:hanging="567"/>
        <w:jc w:val="both"/>
        <w:rPr>
          <w:rFonts w:ascii="Arial" w:hAnsi="Arial" w:cs="Arial"/>
          <w:sz w:val="22"/>
          <w:szCs w:val="22"/>
        </w:rPr>
      </w:pPr>
      <w:r w:rsidRPr="00242E76">
        <w:rPr>
          <w:rFonts w:ascii="Arial" w:hAnsi="Arial" w:cs="Arial"/>
          <w:sz w:val="22"/>
          <w:szCs w:val="22"/>
        </w:rPr>
        <w:t xml:space="preserve">COUNSEL FOR THE </w:t>
      </w:r>
      <w:r w:rsidR="000E07B1">
        <w:rPr>
          <w:rFonts w:ascii="Arial" w:hAnsi="Arial" w:cs="Arial"/>
          <w:sz w:val="22"/>
          <w:szCs w:val="22"/>
        </w:rPr>
        <w:t>DEFENDANT</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b/>
        <w:t>ADV</w:t>
      </w:r>
      <w:r w:rsidR="004234BC">
        <w:rPr>
          <w:rFonts w:ascii="Arial" w:hAnsi="Arial" w:cs="Arial"/>
          <w:sz w:val="22"/>
          <w:szCs w:val="22"/>
        </w:rPr>
        <w:t>. A</w:t>
      </w:r>
      <w:r w:rsidR="00D55C5C">
        <w:rPr>
          <w:rFonts w:ascii="Arial" w:hAnsi="Arial" w:cs="Arial"/>
          <w:sz w:val="22"/>
          <w:szCs w:val="22"/>
        </w:rPr>
        <w:t xml:space="preserve"> </w:t>
      </w:r>
      <w:r w:rsidR="004234BC">
        <w:rPr>
          <w:rFonts w:ascii="Arial" w:hAnsi="Arial" w:cs="Arial"/>
          <w:sz w:val="22"/>
          <w:szCs w:val="22"/>
        </w:rPr>
        <w:t>B ROSSOUW SC</w:t>
      </w:r>
    </w:p>
    <w:p w14:paraId="6EEF6A02" w14:textId="1ACB6146" w:rsidR="008465D6"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F0106C">
        <w:rPr>
          <w:rFonts w:ascii="Arial" w:hAnsi="Arial" w:cs="Arial"/>
          <w:sz w:val="22"/>
          <w:szCs w:val="22"/>
        </w:rPr>
        <w:t>CARI DU TOIT INC ATTORNEYS</w:t>
      </w:r>
    </w:p>
    <w:p w14:paraId="0030EF17" w14:textId="294377CF" w:rsidR="000E6633" w:rsidRDefault="000E6633" w:rsidP="00E50554">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F0106C">
        <w:rPr>
          <w:rFonts w:ascii="Arial" w:hAnsi="Arial" w:cs="Arial"/>
          <w:sz w:val="22"/>
          <w:szCs w:val="22"/>
        </w:rPr>
        <w:t>C DU TOIT/SIG1/0064</w:t>
      </w:r>
    </w:p>
    <w:p w14:paraId="748D69AA" w14:textId="77777777" w:rsidR="00A56BC1" w:rsidRPr="00CB6F8A" w:rsidRDefault="00A56BC1" w:rsidP="00CB6F8A">
      <w:pPr>
        <w:spacing w:line="480" w:lineRule="auto"/>
        <w:jc w:val="both"/>
        <w:rPr>
          <w:rFonts w:ascii="Arial" w:hAnsi="Arial"/>
          <w:sz w:val="22"/>
          <w:szCs w:val="22"/>
        </w:rPr>
      </w:pPr>
    </w:p>
    <w:sectPr w:rsidR="00A56BC1" w:rsidRPr="00CB6F8A" w:rsidSect="00775C17">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4F946" w14:textId="77777777" w:rsidR="00EE1DF4" w:rsidRDefault="00EE1DF4" w:rsidP="008C18AE">
      <w:r>
        <w:separator/>
      </w:r>
    </w:p>
  </w:endnote>
  <w:endnote w:type="continuationSeparator" w:id="0">
    <w:p w14:paraId="343ED1E1" w14:textId="77777777" w:rsidR="00EE1DF4" w:rsidRDefault="00EE1DF4"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91156" w14:textId="77777777" w:rsidR="00EE1DF4" w:rsidRDefault="00EE1DF4" w:rsidP="008C18AE">
      <w:r>
        <w:separator/>
      </w:r>
    </w:p>
  </w:footnote>
  <w:footnote w:type="continuationSeparator" w:id="0">
    <w:p w14:paraId="00540D05" w14:textId="77777777" w:rsidR="00EE1DF4" w:rsidRDefault="00EE1DF4" w:rsidP="008C18AE">
      <w:r>
        <w:continuationSeparator/>
      </w:r>
    </w:p>
  </w:footnote>
  <w:footnote w:id="1">
    <w:p w14:paraId="66DBF8C2" w14:textId="29128BF6" w:rsidR="00775C17" w:rsidRPr="00D23AD7" w:rsidRDefault="00775C17" w:rsidP="00AC7ECE">
      <w:pPr>
        <w:pStyle w:val="FootnoteText"/>
        <w:ind w:left="284" w:hanging="284"/>
        <w:jc w:val="both"/>
        <w:rPr>
          <w:rFonts w:ascii="Arial" w:hAnsi="Arial" w:cs="Arial"/>
          <w:sz w:val="20"/>
          <w:szCs w:val="20"/>
        </w:rPr>
      </w:pPr>
      <w:r w:rsidRPr="00D23AD7">
        <w:rPr>
          <w:rStyle w:val="FootnoteReference"/>
          <w:rFonts w:ascii="Arial" w:hAnsi="Arial" w:cs="Arial"/>
          <w:sz w:val="20"/>
          <w:szCs w:val="20"/>
        </w:rPr>
        <w:footnoteRef/>
      </w:r>
      <w:r w:rsidRPr="00D23AD7">
        <w:rPr>
          <w:rFonts w:ascii="Arial" w:hAnsi="Arial" w:cs="Arial"/>
          <w:sz w:val="20"/>
          <w:szCs w:val="20"/>
        </w:rPr>
        <w:t xml:space="preserve"> </w:t>
      </w:r>
      <w:r>
        <w:rPr>
          <w:rFonts w:ascii="Arial" w:hAnsi="Arial" w:cs="Arial"/>
          <w:sz w:val="20"/>
          <w:szCs w:val="20"/>
        </w:rPr>
        <w:tab/>
        <w:t xml:space="preserve">2020 (2) SA 419 (SCA) at para [1] – the clause in issue in this matter provided </w:t>
      </w:r>
      <w:r w:rsidRPr="00CC5BEF">
        <w:rPr>
          <w:rFonts w:ascii="Arial" w:hAnsi="Arial" w:cs="Arial"/>
          <w:i/>
          <w:iCs/>
          <w:sz w:val="20"/>
          <w:szCs w:val="20"/>
        </w:rPr>
        <w:t>“</w:t>
      </w:r>
      <w:r w:rsidRPr="00216278">
        <w:rPr>
          <w:rFonts w:ascii="Arial" w:hAnsi="Arial" w:cs="Arial"/>
          <w:i/>
          <w:iCs/>
          <w:sz w:val="20"/>
          <w:szCs w:val="20"/>
        </w:rPr>
        <w:t>that the rental and costs shall be mutually agreed</w:t>
      </w:r>
      <w:r>
        <w:rPr>
          <w:rFonts w:ascii="Arial" w:hAnsi="Arial" w:cs="Arial"/>
          <w:sz w:val="20"/>
          <w:szCs w:val="20"/>
        </w:rPr>
        <w:t>”. No such provision was agreed in the present matter.</w:t>
      </w:r>
    </w:p>
  </w:footnote>
  <w:footnote w:id="2">
    <w:p w14:paraId="1D44DB2E" w14:textId="7B26ABB0" w:rsidR="00775C17" w:rsidRPr="00D23AD7" w:rsidRDefault="00775C17" w:rsidP="00AC7ECE">
      <w:pPr>
        <w:pStyle w:val="FootnoteText"/>
        <w:ind w:left="284" w:hanging="284"/>
        <w:jc w:val="both"/>
        <w:rPr>
          <w:rFonts w:ascii="Arial" w:hAnsi="Arial" w:cs="Arial"/>
          <w:sz w:val="20"/>
          <w:szCs w:val="20"/>
        </w:rPr>
      </w:pPr>
      <w:r w:rsidRPr="00D23AD7">
        <w:rPr>
          <w:rStyle w:val="FootnoteReference"/>
          <w:rFonts w:ascii="Arial" w:hAnsi="Arial" w:cs="Arial"/>
          <w:sz w:val="20"/>
          <w:szCs w:val="20"/>
        </w:rPr>
        <w:footnoteRef/>
      </w:r>
      <w:r w:rsidRPr="00D23AD7">
        <w:rPr>
          <w:rFonts w:ascii="Arial" w:hAnsi="Arial" w:cs="Arial"/>
          <w:sz w:val="20"/>
          <w:szCs w:val="20"/>
        </w:rPr>
        <w:t xml:space="preserve"> </w:t>
      </w:r>
      <w:r>
        <w:rPr>
          <w:rFonts w:ascii="Arial" w:hAnsi="Arial" w:cs="Arial"/>
          <w:sz w:val="20"/>
          <w:szCs w:val="20"/>
        </w:rPr>
        <w:tab/>
      </w:r>
      <w:r w:rsidRPr="00D23AD7">
        <w:rPr>
          <w:rFonts w:ascii="Arial" w:hAnsi="Arial" w:cs="Arial"/>
          <w:sz w:val="20"/>
          <w:szCs w:val="20"/>
        </w:rPr>
        <w:t>2005 (2) SA 202 (SCA)</w:t>
      </w:r>
      <w:r>
        <w:rPr>
          <w:rFonts w:ascii="Arial" w:hAnsi="Arial" w:cs="Arial"/>
          <w:sz w:val="20"/>
          <w:szCs w:val="20"/>
        </w:rPr>
        <w:t xml:space="preserve"> at para [17] where it was held “</w:t>
      </w:r>
      <w:r w:rsidRPr="0013627A">
        <w:rPr>
          <w:rFonts w:ascii="Arial" w:hAnsi="Arial" w:cs="Arial"/>
          <w:i/>
          <w:iCs/>
          <w:sz w:val="20"/>
          <w:szCs w:val="20"/>
        </w:rPr>
        <w:t>For what elevates this agreement to a legally enforceable one and distinguishes it from an agreement to agree is the dispute resolution mechanism to which the parties have bound themselves</w:t>
      </w:r>
      <w:r>
        <w:rPr>
          <w:rFonts w:ascii="Arial" w:hAnsi="Arial" w:cs="Arial"/>
          <w:sz w:val="20"/>
          <w:szCs w:val="20"/>
        </w:rPr>
        <w:t>.” No such provision was agreed in the present matter.</w:t>
      </w:r>
    </w:p>
  </w:footnote>
  <w:footnote w:id="3">
    <w:p w14:paraId="7C724543" w14:textId="55927AB6" w:rsidR="00775C17" w:rsidRDefault="00775C17" w:rsidP="00AC7ECE">
      <w:pPr>
        <w:pStyle w:val="FootnoteText"/>
        <w:ind w:left="284" w:hanging="284"/>
        <w:jc w:val="both"/>
      </w:pPr>
      <w:r w:rsidRPr="00D23AD7">
        <w:rPr>
          <w:rStyle w:val="FootnoteReference"/>
          <w:rFonts w:ascii="Arial" w:hAnsi="Arial" w:cs="Arial"/>
          <w:sz w:val="20"/>
          <w:szCs w:val="20"/>
        </w:rPr>
        <w:footnoteRef/>
      </w:r>
      <w:r w:rsidRPr="00D23AD7">
        <w:rPr>
          <w:rFonts w:ascii="Arial" w:hAnsi="Arial" w:cs="Arial"/>
          <w:sz w:val="20"/>
          <w:szCs w:val="20"/>
        </w:rPr>
        <w:t xml:space="preserve"> </w:t>
      </w:r>
      <w:r>
        <w:rPr>
          <w:rFonts w:ascii="Arial" w:hAnsi="Arial" w:cs="Arial"/>
          <w:sz w:val="20"/>
          <w:szCs w:val="20"/>
        </w:rPr>
        <w:tab/>
      </w:r>
      <w:r w:rsidRPr="00D23AD7">
        <w:rPr>
          <w:rFonts w:ascii="Arial" w:hAnsi="Arial" w:cs="Arial"/>
          <w:sz w:val="20"/>
          <w:szCs w:val="20"/>
        </w:rPr>
        <w:t>2016 (4) SA 121 (CC)</w:t>
      </w:r>
      <w:r>
        <w:rPr>
          <w:rFonts w:ascii="Arial" w:hAnsi="Arial" w:cs="Arial"/>
          <w:sz w:val="20"/>
          <w:szCs w:val="20"/>
        </w:rPr>
        <w:t xml:space="preserve"> at para [97]. Distinguishable from the present case as there the agreement was to negotiate in good faith. In the present case the agreement had been reached and reduced to writing.</w:t>
      </w:r>
    </w:p>
  </w:footnote>
  <w:footnote w:id="4">
    <w:p w14:paraId="549A7682" w14:textId="2C32FCDE" w:rsidR="00775C17" w:rsidRPr="00D55187" w:rsidRDefault="00775C17" w:rsidP="00D55187">
      <w:pPr>
        <w:pStyle w:val="FootnoteText"/>
        <w:ind w:left="284" w:hanging="284"/>
        <w:rPr>
          <w:rFonts w:ascii="Arial" w:hAnsi="Arial" w:cs="Arial"/>
          <w:sz w:val="20"/>
          <w:szCs w:val="20"/>
        </w:rPr>
      </w:pPr>
      <w:r w:rsidRPr="00D55187">
        <w:rPr>
          <w:rStyle w:val="FootnoteReference"/>
          <w:rFonts w:ascii="Arial" w:hAnsi="Arial" w:cs="Arial"/>
          <w:sz w:val="20"/>
          <w:szCs w:val="20"/>
        </w:rPr>
        <w:footnoteRef/>
      </w:r>
      <w:r w:rsidRPr="00D55187">
        <w:rPr>
          <w:rFonts w:ascii="Arial" w:hAnsi="Arial" w:cs="Arial"/>
          <w:sz w:val="20"/>
          <w:szCs w:val="20"/>
        </w:rPr>
        <w:t xml:space="preserve"> </w:t>
      </w:r>
      <w:r>
        <w:rPr>
          <w:rFonts w:ascii="Arial" w:hAnsi="Arial" w:cs="Arial"/>
          <w:sz w:val="20"/>
          <w:szCs w:val="20"/>
        </w:rPr>
        <w:tab/>
      </w:r>
      <w:r w:rsidRPr="00D55187">
        <w:rPr>
          <w:rFonts w:ascii="Arial" w:hAnsi="Arial" w:cs="Arial"/>
          <w:sz w:val="20"/>
          <w:szCs w:val="20"/>
        </w:rPr>
        <w:t>61 of 1973.</w:t>
      </w:r>
    </w:p>
  </w:footnote>
  <w:footnote w:id="5">
    <w:p w14:paraId="665FB98D" w14:textId="6275B6DD" w:rsidR="00775C17" w:rsidRPr="00B4381A" w:rsidRDefault="00775C17" w:rsidP="00083697">
      <w:pPr>
        <w:pStyle w:val="FootnoteText"/>
        <w:ind w:left="284" w:hanging="284"/>
        <w:jc w:val="both"/>
        <w:rPr>
          <w:rFonts w:ascii="Arial" w:hAnsi="Arial" w:cs="Arial"/>
          <w:sz w:val="20"/>
          <w:szCs w:val="20"/>
        </w:rPr>
      </w:pPr>
      <w:r w:rsidRPr="00B4381A">
        <w:rPr>
          <w:rStyle w:val="FootnoteReference"/>
          <w:rFonts w:ascii="Arial" w:hAnsi="Arial" w:cs="Arial"/>
          <w:sz w:val="20"/>
          <w:szCs w:val="20"/>
        </w:rPr>
        <w:footnoteRef/>
      </w:r>
      <w:r w:rsidRPr="00B4381A">
        <w:rPr>
          <w:rFonts w:ascii="Arial" w:hAnsi="Arial" w:cs="Arial"/>
          <w:sz w:val="20"/>
          <w:szCs w:val="20"/>
        </w:rPr>
        <w:t xml:space="preserve"> </w:t>
      </w:r>
      <w:r>
        <w:rPr>
          <w:rFonts w:ascii="Arial" w:hAnsi="Arial" w:cs="Arial"/>
          <w:sz w:val="20"/>
          <w:szCs w:val="20"/>
        </w:rPr>
        <w:tab/>
      </w:r>
      <w:r w:rsidRPr="00B4381A">
        <w:rPr>
          <w:rFonts w:ascii="Arial" w:hAnsi="Arial" w:cs="Arial"/>
          <w:sz w:val="20"/>
          <w:szCs w:val="20"/>
        </w:rPr>
        <w:t xml:space="preserve">The documents were too large to </w:t>
      </w:r>
      <w:r>
        <w:rPr>
          <w:rFonts w:ascii="Arial" w:hAnsi="Arial" w:cs="Arial"/>
          <w:sz w:val="20"/>
          <w:szCs w:val="20"/>
        </w:rPr>
        <w:t xml:space="preserve">send by </w:t>
      </w:r>
      <w:r w:rsidRPr="00B4381A">
        <w:rPr>
          <w:rFonts w:ascii="Arial" w:hAnsi="Arial" w:cs="Arial"/>
          <w:sz w:val="20"/>
          <w:szCs w:val="20"/>
        </w:rPr>
        <w:t>email, so they had been sent by WE-Transfer which had then generated a download receipt for HAMSA once they had been downloaded by LTE.</w:t>
      </w:r>
    </w:p>
  </w:footnote>
  <w:footnote w:id="6">
    <w:p w14:paraId="184BE9C1" w14:textId="39040EEA" w:rsidR="00775C17" w:rsidRPr="0074530F" w:rsidRDefault="00775C17" w:rsidP="00217EF3">
      <w:pPr>
        <w:pStyle w:val="FootnoteText"/>
        <w:ind w:left="284" w:hanging="284"/>
        <w:jc w:val="both"/>
        <w:rPr>
          <w:rFonts w:ascii="Arial" w:hAnsi="Arial" w:cs="Arial"/>
          <w:b/>
          <w:bCs/>
          <w:sz w:val="20"/>
          <w:szCs w:val="20"/>
        </w:rPr>
      </w:pPr>
      <w:r w:rsidRPr="00D219E3">
        <w:rPr>
          <w:rStyle w:val="FootnoteReference"/>
          <w:rFonts w:ascii="Arial" w:hAnsi="Arial" w:cs="Arial"/>
          <w:sz w:val="20"/>
          <w:szCs w:val="20"/>
        </w:rPr>
        <w:footnoteRef/>
      </w:r>
      <w:r w:rsidRPr="0074530F">
        <w:rPr>
          <w:rFonts w:ascii="Arial" w:hAnsi="Arial" w:cs="Arial"/>
          <w:b/>
          <w:bCs/>
          <w:sz w:val="20"/>
          <w:szCs w:val="20"/>
        </w:rPr>
        <w:t xml:space="preserve"> </w:t>
      </w:r>
      <w:r>
        <w:rPr>
          <w:rFonts w:ascii="Arial" w:hAnsi="Arial" w:cs="Arial"/>
          <w:b/>
          <w:bCs/>
          <w:sz w:val="20"/>
          <w:szCs w:val="20"/>
        </w:rPr>
        <w:tab/>
      </w:r>
      <w:r w:rsidRPr="00D219E3">
        <w:rPr>
          <w:rFonts w:ascii="Arial" w:hAnsi="Arial" w:cs="Arial"/>
          <w:i/>
          <w:iCs/>
          <w:sz w:val="20"/>
          <w:szCs w:val="20"/>
        </w:rPr>
        <w:t>President of the Republic of South Africa and Others v South African Rugby Football Union and Others</w:t>
      </w:r>
      <w:r w:rsidRPr="00D219E3">
        <w:rPr>
          <w:rFonts w:ascii="Arial" w:hAnsi="Arial" w:cs="Arial"/>
          <w:sz w:val="20"/>
          <w:szCs w:val="20"/>
        </w:rPr>
        <w:t xml:space="preserve"> 2000 (1) SA 1 (CC) at para [61].</w:t>
      </w:r>
    </w:p>
  </w:footnote>
  <w:footnote w:id="7">
    <w:p w14:paraId="67EB1D0D" w14:textId="3B1B9522" w:rsidR="00775C17" w:rsidRPr="00D55187" w:rsidRDefault="00775C17" w:rsidP="00D55187">
      <w:pPr>
        <w:pStyle w:val="FootnoteText"/>
        <w:ind w:left="284" w:hanging="284"/>
        <w:rPr>
          <w:rFonts w:ascii="Arial" w:hAnsi="Arial" w:cs="Arial"/>
          <w:sz w:val="20"/>
          <w:szCs w:val="20"/>
        </w:rPr>
      </w:pPr>
      <w:r w:rsidRPr="00D55187">
        <w:rPr>
          <w:rStyle w:val="FootnoteReference"/>
          <w:rFonts w:ascii="Arial" w:hAnsi="Arial" w:cs="Arial"/>
          <w:sz w:val="20"/>
          <w:szCs w:val="20"/>
        </w:rPr>
        <w:footnoteRef/>
      </w:r>
      <w:r w:rsidRPr="00D55187">
        <w:rPr>
          <w:rFonts w:ascii="Arial" w:hAnsi="Arial" w:cs="Arial"/>
          <w:sz w:val="20"/>
          <w:szCs w:val="20"/>
        </w:rPr>
        <w:t xml:space="preserve"> </w:t>
      </w:r>
      <w:r>
        <w:rPr>
          <w:rFonts w:ascii="Arial" w:hAnsi="Arial" w:cs="Arial"/>
          <w:sz w:val="20"/>
          <w:szCs w:val="20"/>
        </w:rPr>
        <w:tab/>
      </w:r>
      <w:r w:rsidRPr="00D55187">
        <w:rPr>
          <w:rFonts w:ascii="Arial" w:hAnsi="Arial" w:cs="Arial"/>
          <w:sz w:val="20"/>
          <w:szCs w:val="20"/>
        </w:rPr>
        <w:t>2009 JDR 1218 (SCA) at paras [11] – [12].</w:t>
      </w:r>
    </w:p>
  </w:footnote>
  <w:footnote w:id="8">
    <w:p w14:paraId="7247F9AC" w14:textId="2D022EC0" w:rsidR="00775C17" w:rsidRPr="00760AC8" w:rsidRDefault="00775C17" w:rsidP="00EA4068">
      <w:pPr>
        <w:pStyle w:val="FootnoteText"/>
        <w:ind w:left="284" w:hanging="284"/>
        <w:jc w:val="both"/>
        <w:rPr>
          <w:rFonts w:ascii="Arial" w:hAnsi="Arial" w:cs="Arial"/>
          <w:sz w:val="20"/>
          <w:szCs w:val="20"/>
        </w:rPr>
      </w:pPr>
      <w:r w:rsidRPr="00760AC8">
        <w:rPr>
          <w:rStyle w:val="FootnoteReference"/>
          <w:rFonts w:ascii="Arial" w:hAnsi="Arial" w:cs="Arial"/>
          <w:sz w:val="20"/>
          <w:szCs w:val="20"/>
        </w:rPr>
        <w:footnoteRef/>
      </w:r>
      <w:r w:rsidRPr="00760AC8">
        <w:rPr>
          <w:rFonts w:ascii="Arial" w:hAnsi="Arial" w:cs="Arial"/>
          <w:sz w:val="20"/>
          <w:szCs w:val="20"/>
        </w:rPr>
        <w:t xml:space="preserve"> </w:t>
      </w:r>
      <w:r w:rsidRPr="00760AC8">
        <w:rPr>
          <w:rFonts w:ascii="Arial" w:hAnsi="Arial" w:cs="Arial"/>
          <w:sz w:val="20"/>
          <w:szCs w:val="20"/>
        </w:rPr>
        <w:tab/>
        <w:t>2004 (6) SA 178 (SCA) at paras [6] &amp; [7].</w:t>
      </w:r>
    </w:p>
  </w:footnote>
  <w:footnote w:id="9">
    <w:p w14:paraId="68128B67" w14:textId="06D8DC3B" w:rsidR="00775C17" w:rsidRPr="009A20FD" w:rsidRDefault="00775C17" w:rsidP="00EA4068">
      <w:pPr>
        <w:pStyle w:val="FootnoteText"/>
        <w:ind w:left="284" w:hanging="284"/>
        <w:jc w:val="both"/>
      </w:pPr>
      <w:r w:rsidRPr="009A20FD">
        <w:rPr>
          <w:rStyle w:val="FootnoteReference"/>
          <w:rFonts w:ascii="Arial" w:hAnsi="Arial" w:cs="Arial"/>
          <w:sz w:val="20"/>
          <w:szCs w:val="20"/>
        </w:rPr>
        <w:footnoteRef/>
      </w:r>
      <w:r w:rsidRPr="009A20FD">
        <w:rPr>
          <w:rFonts w:ascii="Arial" w:hAnsi="Arial" w:cs="Arial"/>
          <w:sz w:val="20"/>
          <w:szCs w:val="20"/>
        </w:rPr>
        <w:t xml:space="preserve"> </w:t>
      </w:r>
      <w:r w:rsidRPr="009A20FD">
        <w:rPr>
          <w:rFonts w:ascii="Arial" w:hAnsi="Arial" w:cs="Arial"/>
          <w:sz w:val="20"/>
          <w:szCs w:val="20"/>
        </w:rPr>
        <w:tab/>
        <w:t xml:space="preserve">1979 (1) SA 391 (A) at the headnote. </w:t>
      </w:r>
    </w:p>
  </w:footnote>
  <w:footnote w:id="10">
    <w:p w14:paraId="30694575" w14:textId="22CEA04E" w:rsidR="00263A4E" w:rsidRPr="00263A4E" w:rsidRDefault="00263A4E" w:rsidP="00263A4E">
      <w:pPr>
        <w:pStyle w:val="FootnoteText"/>
        <w:ind w:left="284" w:hanging="284"/>
        <w:jc w:val="both"/>
        <w:rPr>
          <w:rFonts w:ascii="Arial" w:hAnsi="Arial" w:cs="Arial"/>
          <w:sz w:val="20"/>
          <w:szCs w:val="20"/>
        </w:rPr>
      </w:pPr>
      <w:r w:rsidRPr="00263A4E">
        <w:rPr>
          <w:rStyle w:val="FootnoteReference"/>
          <w:rFonts w:ascii="Arial" w:hAnsi="Arial" w:cs="Arial"/>
          <w:sz w:val="20"/>
          <w:szCs w:val="20"/>
        </w:rPr>
        <w:footnoteRef/>
      </w:r>
      <w:r w:rsidRPr="00263A4E">
        <w:rPr>
          <w:rFonts w:ascii="Arial" w:hAnsi="Arial" w:cs="Arial"/>
          <w:sz w:val="20"/>
          <w:szCs w:val="20"/>
        </w:rPr>
        <w:t xml:space="preserve"> </w:t>
      </w:r>
      <w:r>
        <w:rPr>
          <w:rFonts w:ascii="Arial" w:hAnsi="Arial" w:cs="Arial"/>
          <w:sz w:val="20"/>
          <w:szCs w:val="20"/>
        </w:rPr>
        <w:tab/>
      </w:r>
      <w:r w:rsidRPr="00263A4E">
        <w:rPr>
          <w:rFonts w:ascii="Arial" w:hAnsi="Arial" w:cs="Arial"/>
          <w:sz w:val="20"/>
          <w:szCs w:val="20"/>
        </w:rPr>
        <w:t>A contract where services are rendered in exchange for remuneration.</w:t>
      </w:r>
    </w:p>
  </w:footnote>
  <w:footnote w:id="11">
    <w:p w14:paraId="2952B443" w14:textId="1BD6714C" w:rsidR="00775C17" w:rsidRPr="00B00DE5" w:rsidRDefault="00775C17" w:rsidP="00B00DE5">
      <w:pPr>
        <w:pStyle w:val="FootnoteText"/>
        <w:ind w:left="284" w:hanging="284"/>
        <w:jc w:val="both"/>
        <w:rPr>
          <w:rFonts w:ascii="Arial" w:hAnsi="Arial" w:cs="Arial"/>
          <w:i/>
          <w:iCs/>
          <w:sz w:val="20"/>
          <w:szCs w:val="20"/>
        </w:rPr>
      </w:pPr>
      <w:r w:rsidRPr="00263A4E">
        <w:rPr>
          <w:rStyle w:val="FootnoteReference"/>
          <w:rFonts w:ascii="Arial" w:hAnsi="Arial" w:cs="Arial"/>
          <w:sz w:val="20"/>
          <w:szCs w:val="20"/>
        </w:rPr>
        <w:footnoteRef/>
      </w:r>
      <w:r w:rsidRPr="00B00DE5">
        <w:rPr>
          <w:rFonts w:ascii="Arial" w:hAnsi="Arial" w:cs="Arial"/>
          <w:i/>
          <w:iCs/>
          <w:sz w:val="20"/>
          <w:szCs w:val="20"/>
        </w:rPr>
        <w:t xml:space="preserve"> </w:t>
      </w:r>
      <w:r>
        <w:rPr>
          <w:rFonts w:ascii="Arial" w:hAnsi="Arial" w:cs="Arial"/>
          <w:i/>
          <w:iCs/>
          <w:sz w:val="20"/>
          <w:szCs w:val="20"/>
        </w:rPr>
        <w:tab/>
      </w:r>
      <w:r w:rsidRPr="005736F2">
        <w:rPr>
          <w:rFonts w:ascii="Arial" w:hAnsi="Arial" w:cs="Arial"/>
          <w:sz w:val="20"/>
          <w:szCs w:val="20"/>
        </w:rPr>
        <w:t>2012 JDR 1734 (SCA) at para [15].</w:t>
      </w:r>
      <w:r w:rsidRPr="00B00DE5">
        <w:rPr>
          <w:rFonts w:ascii="Arial" w:hAnsi="Arial" w:cs="Arial"/>
          <w:i/>
          <w:iCs/>
          <w:sz w:val="20"/>
          <w:szCs w:val="20"/>
        </w:rPr>
        <w:t xml:space="preserve">  </w:t>
      </w:r>
      <w:r w:rsidRPr="005736F2">
        <w:rPr>
          <w:rFonts w:ascii="Arial" w:hAnsi="Arial" w:cs="Arial"/>
          <w:sz w:val="20"/>
          <w:szCs w:val="20"/>
        </w:rPr>
        <w:t>See also</w:t>
      </w:r>
      <w:r w:rsidRPr="00B00DE5">
        <w:rPr>
          <w:rFonts w:ascii="Arial" w:hAnsi="Arial" w:cs="Arial"/>
          <w:i/>
          <w:iCs/>
          <w:sz w:val="20"/>
          <w:szCs w:val="20"/>
        </w:rPr>
        <w:t xml:space="preserve"> Capitec Bank Holdings Ltd and Another v Coral Lagoon Investments 194 (Pty) Ltd and Others </w:t>
      </w:r>
      <w:r w:rsidRPr="005736F2">
        <w:rPr>
          <w:rFonts w:ascii="Arial" w:hAnsi="Arial" w:cs="Arial"/>
          <w:sz w:val="20"/>
          <w:szCs w:val="20"/>
        </w:rPr>
        <w:t>2022 (1) SA 100 (SCA) at para [46] and in particular</w:t>
      </w:r>
      <w:r w:rsidRPr="00B00DE5">
        <w:rPr>
          <w:rFonts w:ascii="Arial" w:hAnsi="Arial" w:cs="Arial"/>
          <w:i/>
          <w:iCs/>
          <w:sz w:val="20"/>
          <w:szCs w:val="20"/>
        </w:rPr>
        <w:t xml:space="preserve"> “words without context mean nothing, and context is everything.</w:t>
      </w:r>
      <w:r>
        <w:rPr>
          <w:rFonts w:ascii="Arial" w:hAnsi="Arial" w:cs="Arial"/>
          <w:i/>
          <w:iCs/>
          <w:sz w:val="20"/>
          <w:szCs w:val="20"/>
        </w:rPr>
        <w:t xml:space="preserve">  It has given a wide remit to the admission of extrinsic evidence as to context and purpose so as to interpret the meaning of a contract.</w:t>
      </w:r>
      <w:r w:rsidRPr="00B00DE5">
        <w:rPr>
          <w:rFonts w:ascii="Arial" w:hAnsi="Arial" w:cs="Arial"/>
          <w:i/>
          <w:iCs/>
          <w:sz w:val="20"/>
          <w:szCs w:val="20"/>
        </w:rPr>
        <w:t>”</w:t>
      </w:r>
    </w:p>
  </w:footnote>
  <w:footnote w:id="12">
    <w:p w14:paraId="443A5153" w14:textId="77777777" w:rsidR="00775C17" w:rsidRPr="006936E8" w:rsidRDefault="00775C17" w:rsidP="00421ABB">
      <w:pPr>
        <w:pStyle w:val="FootnoteText"/>
        <w:ind w:left="284" w:hanging="284"/>
        <w:jc w:val="both"/>
        <w:rPr>
          <w:rFonts w:ascii="Arial" w:hAnsi="Arial" w:cs="Arial"/>
          <w:sz w:val="20"/>
          <w:szCs w:val="20"/>
        </w:rPr>
      </w:pPr>
      <w:r w:rsidRPr="006936E8">
        <w:rPr>
          <w:rStyle w:val="FootnoteReference"/>
          <w:rFonts w:ascii="Arial" w:hAnsi="Arial" w:cs="Arial"/>
          <w:sz w:val="20"/>
          <w:szCs w:val="20"/>
        </w:rPr>
        <w:footnoteRef/>
      </w:r>
      <w:r w:rsidRPr="006936E8">
        <w:rPr>
          <w:rFonts w:ascii="Arial" w:hAnsi="Arial" w:cs="Arial"/>
          <w:sz w:val="20"/>
          <w:szCs w:val="20"/>
        </w:rPr>
        <w:t xml:space="preserve"> </w:t>
      </w:r>
      <w:r>
        <w:rPr>
          <w:rFonts w:ascii="Arial" w:hAnsi="Arial" w:cs="Arial"/>
          <w:sz w:val="20"/>
          <w:szCs w:val="20"/>
        </w:rPr>
        <w:tab/>
      </w:r>
      <w:r w:rsidRPr="006936E8">
        <w:rPr>
          <w:rFonts w:ascii="Arial" w:hAnsi="Arial" w:cs="Arial"/>
          <w:i/>
          <w:iCs/>
          <w:sz w:val="20"/>
          <w:szCs w:val="20"/>
        </w:rPr>
        <w:t>Hillas &amp; Co Ltd v Arcos Ltd</w:t>
      </w:r>
      <w:r w:rsidRPr="006936E8">
        <w:rPr>
          <w:rFonts w:ascii="Arial" w:hAnsi="Arial" w:cs="Arial"/>
          <w:sz w:val="20"/>
          <w:szCs w:val="20"/>
        </w:rPr>
        <w:t xml:space="preserve"> (1932) 147 LT 503 (HL) at 514. See also </w:t>
      </w:r>
      <w:r w:rsidRPr="006936E8">
        <w:rPr>
          <w:rFonts w:ascii="Arial" w:hAnsi="Arial" w:cs="Arial"/>
          <w:i/>
          <w:iCs/>
          <w:sz w:val="20"/>
          <w:szCs w:val="20"/>
        </w:rPr>
        <w:t>Natal Joint Municipal Pension Fund v Endumeni Municipality</w:t>
      </w:r>
      <w:r w:rsidRPr="006936E8">
        <w:rPr>
          <w:rFonts w:ascii="Arial" w:hAnsi="Arial" w:cs="Arial"/>
          <w:sz w:val="20"/>
          <w:szCs w:val="20"/>
        </w:rPr>
        <w:t xml:space="preserve"> 2012 (4) SA 593 (SCA) – “</w:t>
      </w:r>
      <w:r w:rsidRPr="006936E8">
        <w:rPr>
          <w:rFonts w:ascii="Arial" w:hAnsi="Arial" w:cs="Arial"/>
          <w:i/>
          <w:iCs/>
          <w:sz w:val="20"/>
          <w:szCs w:val="20"/>
        </w:rPr>
        <w:t xml:space="preserve">Whatever the nature of the document, consideration must be given to the language used in the light of the ordinary rules of grammar and syntax; the context in which the provision appears; the apparent purpose to which it is directed; </w:t>
      </w:r>
      <w:r w:rsidRPr="006936E8">
        <w:rPr>
          <w:rFonts w:ascii="Arial" w:hAnsi="Arial" w:cs="Arial"/>
          <w:i/>
          <w:iCs/>
          <w:sz w:val="20"/>
          <w:szCs w:val="20"/>
          <w:u w:val="single"/>
        </w:rPr>
        <w:t xml:space="preserve">and the material known to those responsible for its production.” </w:t>
      </w:r>
      <w:r w:rsidRPr="006936E8">
        <w:rPr>
          <w:rFonts w:ascii="Arial" w:hAnsi="Arial" w:cs="Arial"/>
          <w:sz w:val="20"/>
          <w:szCs w:val="20"/>
        </w:rPr>
        <w:t>(my underlining).</w:t>
      </w:r>
    </w:p>
  </w:footnote>
  <w:footnote w:id="13">
    <w:p w14:paraId="62AACAA6" w14:textId="27292F73" w:rsidR="00CB2F3D" w:rsidRPr="00CB2F3D" w:rsidRDefault="00CB2F3D" w:rsidP="00CB2F3D">
      <w:pPr>
        <w:pStyle w:val="FootnoteText"/>
        <w:ind w:left="284" w:hanging="284"/>
        <w:rPr>
          <w:rFonts w:ascii="Arial" w:hAnsi="Arial" w:cs="Arial"/>
          <w:sz w:val="20"/>
          <w:szCs w:val="20"/>
        </w:rPr>
      </w:pPr>
      <w:r w:rsidRPr="00CB2F3D">
        <w:rPr>
          <w:rStyle w:val="FootnoteReference"/>
          <w:rFonts w:ascii="Arial" w:hAnsi="Arial" w:cs="Arial"/>
          <w:sz w:val="20"/>
          <w:szCs w:val="20"/>
        </w:rPr>
        <w:footnoteRef/>
      </w:r>
      <w:r w:rsidRPr="00CB2F3D">
        <w:rPr>
          <w:rFonts w:ascii="Arial" w:hAnsi="Arial" w:cs="Arial"/>
          <w:sz w:val="20"/>
          <w:szCs w:val="20"/>
        </w:rPr>
        <w:t xml:space="preserve"> </w:t>
      </w:r>
      <w:r>
        <w:rPr>
          <w:rFonts w:ascii="Arial" w:hAnsi="Arial" w:cs="Arial"/>
          <w:sz w:val="20"/>
          <w:szCs w:val="20"/>
        </w:rPr>
        <w:tab/>
      </w:r>
      <w:r w:rsidRPr="00CB2F3D">
        <w:rPr>
          <w:rFonts w:ascii="Arial" w:hAnsi="Arial" w:cs="Arial"/>
          <w:sz w:val="20"/>
          <w:szCs w:val="20"/>
        </w:rPr>
        <w:t>1955 (3) SA 615 (SR) at 619.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775C17" w:rsidRDefault="00775C17" w:rsidP="00775C1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775C17" w:rsidRDefault="00775C17"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775C17" w:rsidRDefault="00775C17" w:rsidP="00775C1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B3A">
      <w:rPr>
        <w:rStyle w:val="PageNumber"/>
        <w:noProof/>
      </w:rPr>
      <w:t>3</w:t>
    </w:r>
    <w:r>
      <w:rPr>
        <w:rStyle w:val="PageNumber"/>
      </w:rPr>
      <w:fldChar w:fldCharType="end"/>
    </w:r>
  </w:p>
  <w:p w14:paraId="7E704A95" w14:textId="77777777" w:rsidR="00775C17" w:rsidRDefault="00775C17"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9B0F09"/>
    <w:multiLevelType w:val="multilevel"/>
    <w:tmpl w:val="1DF6BCBC"/>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3">
    <w:nsid w:val="0C70577A"/>
    <w:multiLevelType w:val="hybridMultilevel"/>
    <w:tmpl w:val="40B27FA2"/>
    <w:lvl w:ilvl="0" w:tplc="0E88F7D6">
      <w:start w:val="13"/>
      <w:numFmt w:val="decimal"/>
      <w:lvlText w:val="%1."/>
      <w:lvlJc w:val="left"/>
      <w:pPr>
        <w:ind w:left="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E6BE18">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A4EE66">
      <w:start w:val="1"/>
      <w:numFmt w:val="lowerRoman"/>
      <w:lvlText w:val="%3"/>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58F106">
      <w:start w:val="1"/>
      <w:numFmt w:val="decimal"/>
      <w:lvlText w:val="%4"/>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A06946">
      <w:start w:val="1"/>
      <w:numFmt w:val="lowerLetter"/>
      <w:lvlText w:val="%5"/>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AF96A">
      <w:start w:val="1"/>
      <w:numFmt w:val="lowerRoman"/>
      <w:lvlText w:val="%6"/>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1CCCD4">
      <w:start w:val="1"/>
      <w:numFmt w:val="decimal"/>
      <w:lvlText w:val="%7"/>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2C6D00">
      <w:start w:val="1"/>
      <w:numFmt w:val="lowerLetter"/>
      <w:lvlText w:val="%8"/>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1453B0">
      <w:start w:val="1"/>
      <w:numFmt w:val="lowerRoman"/>
      <w:lvlText w:val="%9"/>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nsid w:val="16946F87"/>
    <w:multiLevelType w:val="hybridMultilevel"/>
    <w:tmpl w:val="CF42BE50"/>
    <w:lvl w:ilvl="0" w:tplc="5FA229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92B2048"/>
    <w:multiLevelType w:val="hybridMultilevel"/>
    <w:tmpl w:val="4860F24A"/>
    <w:lvl w:ilvl="0" w:tplc="979EF4B2">
      <w:start w:val="2"/>
      <w:numFmt w:val="decimal"/>
      <w:lvlText w:val="%1."/>
      <w:lvlJc w:val="left"/>
      <w:pPr>
        <w:ind w:left="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B061556">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6C6E946">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0B2BBE0">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1422688">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410D70A">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53690FE">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59A2016">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F2E32DE">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nsid w:val="353B6149"/>
    <w:multiLevelType w:val="hybridMultilevel"/>
    <w:tmpl w:val="79504E90"/>
    <w:lvl w:ilvl="0" w:tplc="2E76C5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8D342ED"/>
    <w:multiLevelType w:val="hybridMultilevel"/>
    <w:tmpl w:val="88ACC69C"/>
    <w:lvl w:ilvl="0" w:tplc="C26ACF0E">
      <w:start w:val="8"/>
      <w:numFmt w:val="decimal"/>
      <w:lvlText w:val="%1."/>
      <w:lvlJc w:val="left"/>
      <w:pPr>
        <w:ind w:left="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3A9E42">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72BFB2">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06C17E">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C2EE06">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C68D16">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827550">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AEEDB8">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B891E8">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15D3F4F"/>
    <w:multiLevelType w:val="hybridMultilevel"/>
    <w:tmpl w:val="F50A1922"/>
    <w:lvl w:ilvl="0" w:tplc="9D08C12E">
      <w:start w:val="22"/>
      <w:numFmt w:val="decimal"/>
      <w:lvlText w:val="%1."/>
      <w:lvlJc w:val="left"/>
      <w:pPr>
        <w:ind w:left="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C6FD28">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8073E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2A6FC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86B1B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EA7EFE">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9082F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CF330">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FEE2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C1A1EF9"/>
    <w:multiLevelType w:val="hybridMultilevel"/>
    <w:tmpl w:val="F86E3D82"/>
    <w:lvl w:ilvl="0" w:tplc="23E6A206">
      <w:start w:val="3"/>
      <w:numFmt w:val="decimal"/>
      <w:lvlText w:val="%1."/>
      <w:lvlJc w:val="left"/>
      <w:pPr>
        <w:ind w:left="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FE6A28">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144106">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E4A5B8">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DEE222">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5E020E">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704A9A">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4015C8">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E67448">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71A93AA0"/>
    <w:multiLevelType w:val="hybridMultilevel"/>
    <w:tmpl w:val="F572DF54"/>
    <w:lvl w:ilvl="0" w:tplc="045463A4">
      <w:start w:val="1"/>
      <w:numFmt w:val="decimal"/>
      <w:lvlText w:val="%1."/>
      <w:lvlJc w:val="left"/>
      <w:pPr>
        <w:ind w:left="721" w:hanging="700"/>
      </w:pPr>
      <w:rPr>
        <w:rFonts w:hint="default"/>
      </w:rPr>
    </w:lvl>
    <w:lvl w:ilvl="1" w:tplc="1C090019" w:tentative="1">
      <w:start w:val="1"/>
      <w:numFmt w:val="lowerLetter"/>
      <w:lvlText w:val="%2."/>
      <w:lvlJc w:val="left"/>
      <w:pPr>
        <w:ind w:left="1101" w:hanging="360"/>
      </w:pPr>
    </w:lvl>
    <w:lvl w:ilvl="2" w:tplc="1C09001B" w:tentative="1">
      <w:start w:val="1"/>
      <w:numFmt w:val="lowerRoman"/>
      <w:lvlText w:val="%3."/>
      <w:lvlJc w:val="right"/>
      <w:pPr>
        <w:ind w:left="1821" w:hanging="180"/>
      </w:pPr>
    </w:lvl>
    <w:lvl w:ilvl="3" w:tplc="1C09000F" w:tentative="1">
      <w:start w:val="1"/>
      <w:numFmt w:val="decimal"/>
      <w:lvlText w:val="%4."/>
      <w:lvlJc w:val="left"/>
      <w:pPr>
        <w:ind w:left="2541" w:hanging="360"/>
      </w:pPr>
    </w:lvl>
    <w:lvl w:ilvl="4" w:tplc="1C090019" w:tentative="1">
      <w:start w:val="1"/>
      <w:numFmt w:val="lowerLetter"/>
      <w:lvlText w:val="%5."/>
      <w:lvlJc w:val="left"/>
      <w:pPr>
        <w:ind w:left="3261" w:hanging="360"/>
      </w:pPr>
    </w:lvl>
    <w:lvl w:ilvl="5" w:tplc="1C09001B" w:tentative="1">
      <w:start w:val="1"/>
      <w:numFmt w:val="lowerRoman"/>
      <w:lvlText w:val="%6."/>
      <w:lvlJc w:val="right"/>
      <w:pPr>
        <w:ind w:left="3981" w:hanging="180"/>
      </w:pPr>
    </w:lvl>
    <w:lvl w:ilvl="6" w:tplc="1C09000F" w:tentative="1">
      <w:start w:val="1"/>
      <w:numFmt w:val="decimal"/>
      <w:lvlText w:val="%7."/>
      <w:lvlJc w:val="left"/>
      <w:pPr>
        <w:ind w:left="4701" w:hanging="360"/>
      </w:pPr>
    </w:lvl>
    <w:lvl w:ilvl="7" w:tplc="1C090019" w:tentative="1">
      <w:start w:val="1"/>
      <w:numFmt w:val="lowerLetter"/>
      <w:lvlText w:val="%8."/>
      <w:lvlJc w:val="left"/>
      <w:pPr>
        <w:ind w:left="5421" w:hanging="360"/>
      </w:pPr>
    </w:lvl>
    <w:lvl w:ilvl="8" w:tplc="1C09001B" w:tentative="1">
      <w:start w:val="1"/>
      <w:numFmt w:val="lowerRoman"/>
      <w:lvlText w:val="%9."/>
      <w:lvlJc w:val="right"/>
      <w:pPr>
        <w:ind w:left="6141" w:hanging="180"/>
      </w:pPr>
    </w:lvl>
  </w:abstractNum>
  <w:abstractNum w:abstractNumId="18">
    <w:nsid w:val="740D69EE"/>
    <w:multiLevelType w:val="hybridMultilevel"/>
    <w:tmpl w:val="1A14BC90"/>
    <w:lvl w:ilvl="0" w:tplc="67FEED02">
      <w:start w:val="18"/>
      <w:numFmt w:val="decimal"/>
      <w:lvlText w:val="%1."/>
      <w:lvlJc w:val="left"/>
      <w:pPr>
        <w:ind w:left="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36199A">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2EC322">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AC7D24">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58055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BF0E">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64703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E6428A">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B4182A">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7A667130"/>
    <w:multiLevelType w:val="hybridMultilevel"/>
    <w:tmpl w:val="C87E0350"/>
    <w:lvl w:ilvl="0" w:tplc="8EFA7E3E">
      <w:start w:val="16"/>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F7EF0"/>
    <w:multiLevelType w:val="multilevel"/>
    <w:tmpl w:val="EAC40F36"/>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1"/>
  </w:num>
  <w:num w:numId="5">
    <w:abstractNumId w:val="5"/>
  </w:num>
  <w:num w:numId="6">
    <w:abstractNumId w:val="15"/>
  </w:num>
  <w:num w:numId="7">
    <w:abstractNumId w:val="21"/>
  </w:num>
  <w:num w:numId="8">
    <w:abstractNumId w:val="20"/>
  </w:num>
  <w:num w:numId="9">
    <w:abstractNumId w:val="4"/>
  </w:num>
  <w:num w:numId="10">
    <w:abstractNumId w:val="7"/>
  </w:num>
  <w:num w:numId="11">
    <w:abstractNumId w:val="10"/>
  </w:num>
  <w:num w:numId="12">
    <w:abstractNumId w:val="2"/>
  </w:num>
  <w:num w:numId="13">
    <w:abstractNumId w:val="9"/>
  </w:num>
  <w:num w:numId="14">
    <w:abstractNumId w:val="16"/>
  </w:num>
  <w:num w:numId="15">
    <w:abstractNumId w:val="12"/>
  </w:num>
  <w:num w:numId="16">
    <w:abstractNumId w:val="3"/>
  </w:num>
  <w:num w:numId="17">
    <w:abstractNumId w:val="18"/>
  </w:num>
  <w:num w:numId="18">
    <w:abstractNumId w:val="13"/>
  </w:num>
  <w:num w:numId="19">
    <w:abstractNumId w:val="17"/>
  </w:num>
  <w:num w:numId="20">
    <w:abstractNumId w:val="6"/>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16BC8"/>
    <w:rsid w:val="0002295E"/>
    <w:rsid w:val="00022E29"/>
    <w:rsid w:val="000255CC"/>
    <w:rsid w:val="00030EDB"/>
    <w:rsid w:val="00050078"/>
    <w:rsid w:val="00052547"/>
    <w:rsid w:val="000578D1"/>
    <w:rsid w:val="00062CEF"/>
    <w:rsid w:val="0006302B"/>
    <w:rsid w:val="00070EA4"/>
    <w:rsid w:val="000730BB"/>
    <w:rsid w:val="00083697"/>
    <w:rsid w:val="00084086"/>
    <w:rsid w:val="0008544C"/>
    <w:rsid w:val="00085E25"/>
    <w:rsid w:val="0008693D"/>
    <w:rsid w:val="0009208E"/>
    <w:rsid w:val="000964D1"/>
    <w:rsid w:val="000971DB"/>
    <w:rsid w:val="000A26D7"/>
    <w:rsid w:val="000A5272"/>
    <w:rsid w:val="000A55B1"/>
    <w:rsid w:val="000C091F"/>
    <w:rsid w:val="000C1577"/>
    <w:rsid w:val="000C1D16"/>
    <w:rsid w:val="000C4554"/>
    <w:rsid w:val="000D0136"/>
    <w:rsid w:val="000E07B1"/>
    <w:rsid w:val="000E5109"/>
    <w:rsid w:val="000E551C"/>
    <w:rsid w:val="000E5543"/>
    <w:rsid w:val="000E5FB9"/>
    <w:rsid w:val="000E6633"/>
    <w:rsid w:val="000F1A1F"/>
    <w:rsid w:val="000F1A63"/>
    <w:rsid w:val="00101D88"/>
    <w:rsid w:val="001021EE"/>
    <w:rsid w:val="00103EC1"/>
    <w:rsid w:val="00105871"/>
    <w:rsid w:val="00114724"/>
    <w:rsid w:val="00121456"/>
    <w:rsid w:val="0013492F"/>
    <w:rsid w:val="0013627A"/>
    <w:rsid w:val="00144EA8"/>
    <w:rsid w:val="00151F35"/>
    <w:rsid w:val="00155668"/>
    <w:rsid w:val="00157AEE"/>
    <w:rsid w:val="0016046F"/>
    <w:rsid w:val="00161F55"/>
    <w:rsid w:val="00163683"/>
    <w:rsid w:val="001721F5"/>
    <w:rsid w:val="0017465D"/>
    <w:rsid w:val="0018598D"/>
    <w:rsid w:val="00194AFD"/>
    <w:rsid w:val="00194BAE"/>
    <w:rsid w:val="001A21CD"/>
    <w:rsid w:val="001A3EF0"/>
    <w:rsid w:val="001A7F86"/>
    <w:rsid w:val="001B288A"/>
    <w:rsid w:val="001B487B"/>
    <w:rsid w:val="001B5E33"/>
    <w:rsid w:val="001D6C62"/>
    <w:rsid w:val="001D6F4F"/>
    <w:rsid w:val="001E178E"/>
    <w:rsid w:val="001E4A15"/>
    <w:rsid w:val="001E5D87"/>
    <w:rsid w:val="001E6710"/>
    <w:rsid w:val="001F450A"/>
    <w:rsid w:val="001F4AE5"/>
    <w:rsid w:val="002003EF"/>
    <w:rsid w:val="00201A93"/>
    <w:rsid w:val="002040D5"/>
    <w:rsid w:val="00204EF7"/>
    <w:rsid w:val="00205098"/>
    <w:rsid w:val="0020751F"/>
    <w:rsid w:val="0021216F"/>
    <w:rsid w:val="002129F5"/>
    <w:rsid w:val="00216278"/>
    <w:rsid w:val="00217EF3"/>
    <w:rsid w:val="002204BE"/>
    <w:rsid w:val="00231D29"/>
    <w:rsid w:val="00232BFD"/>
    <w:rsid w:val="00232EA0"/>
    <w:rsid w:val="002332DE"/>
    <w:rsid w:val="00235638"/>
    <w:rsid w:val="00242E76"/>
    <w:rsid w:val="00244901"/>
    <w:rsid w:val="00254146"/>
    <w:rsid w:val="00255485"/>
    <w:rsid w:val="00263A4E"/>
    <w:rsid w:val="00264079"/>
    <w:rsid w:val="00265336"/>
    <w:rsid w:val="00267036"/>
    <w:rsid w:val="00274C57"/>
    <w:rsid w:val="00280528"/>
    <w:rsid w:val="00281CA0"/>
    <w:rsid w:val="00283B34"/>
    <w:rsid w:val="00287E6E"/>
    <w:rsid w:val="002914E5"/>
    <w:rsid w:val="0029767F"/>
    <w:rsid w:val="002A51AF"/>
    <w:rsid w:val="002A53F8"/>
    <w:rsid w:val="002A6A3F"/>
    <w:rsid w:val="002B0A35"/>
    <w:rsid w:val="002B4437"/>
    <w:rsid w:val="002B5EAC"/>
    <w:rsid w:val="002B69B1"/>
    <w:rsid w:val="002C413A"/>
    <w:rsid w:val="002C4D4E"/>
    <w:rsid w:val="002C7527"/>
    <w:rsid w:val="002D6A2A"/>
    <w:rsid w:val="002D6BF0"/>
    <w:rsid w:val="002E1F21"/>
    <w:rsid w:val="00307191"/>
    <w:rsid w:val="00313396"/>
    <w:rsid w:val="003155D7"/>
    <w:rsid w:val="00316515"/>
    <w:rsid w:val="00322298"/>
    <w:rsid w:val="00323F5E"/>
    <w:rsid w:val="00333325"/>
    <w:rsid w:val="003348C6"/>
    <w:rsid w:val="00334F20"/>
    <w:rsid w:val="00335D42"/>
    <w:rsid w:val="00340F39"/>
    <w:rsid w:val="00342015"/>
    <w:rsid w:val="003602DC"/>
    <w:rsid w:val="00360697"/>
    <w:rsid w:val="00363165"/>
    <w:rsid w:val="00366E2C"/>
    <w:rsid w:val="00371BE5"/>
    <w:rsid w:val="00375DC6"/>
    <w:rsid w:val="00377365"/>
    <w:rsid w:val="00385391"/>
    <w:rsid w:val="00385FBC"/>
    <w:rsid w:val="003A14B0"/>
    <w:rsid w:val="003A20FB"/>
    <w:rsid w:val="003A3574"/>
    <w:rsid w:val="003A5BC8"/>
    <w:rsid w:val="003B6C23"/>
    <w:rsid w:val="003C415E"/>
    <w:rsid w:val="003C432D"/>
    <w:rsid w:val="003D7A03"/>
    <w:rsid w:val="003E6BDA"/>
    <w:rsid w:val="003F2B86"/>
    <w:rsid w:val="003F37AE"/>
    <w:rsid w:val="003F46D7"/>
    <w:rsid w:val="00406F88"/>
    <w:rsid w:val="00412E0C"/>
    <w:rsid w:val="00413603"/>
    <w:rsid w:val="00413E2B"/>
    <w:rsid w:val="00416EA1"/>
    <w:rsid w:val="00417BE7"/>
    <w:rsid w:val="0042184A"/>
    <w:rsid w:val="00421ABB"/>
    <w:rsid w:val="004234BC"/>
    <w:rsid w:val="004247F2"/>
    <w:rsid w:val="00425F53"/>
    <w:rsid w:val="00431265"/>
    <w:rsid w:val="00432B66"/>
    <w:rsid w:val="00440D4B"/>
    <w:rsid w:val="0044117D"/>
    <w:rsid w:val="0044361B"/>
    <w:rsid w:val="00443ADE"/>
    <w:rsid w:val="0045149D"/>
    <w:rsid w:val="00452A4C"/>
    <w:rsid w:val="00454072"/>
    <w:rsid w:val="004569F8"/>
    <w:rsid w:val="00460E06"/>
    <w:rsid w:val="00460F1A"/>
    <w:rsid w:val="00461E12"/>
    <w:rsid w:val="00475569"/>
    <w:rsid w:val="00475A8E"/>
    <w:rsid w:val="004816B0"/>
    <w:rsid w:val="0048191C"/>
    <w:rsid w:val="00482966"/>
    <w:rsid w:val="00482FD9"/>
    <w:rsid w:val="004854D5"/>
    <w:rsid w:val="0049074E"/>
    <w:rsid w:val="0049313B"/>
    <w:rsid w:val="004A2A70"/>
    <w:rsid w:val="004A4E90"/>
    <w:rsid w:val="004C6A1E"/>
    <w:rsid w:val="004D2B3A"/>
    <w:rsid w:val="004D3845"/>
    <w:rsid w:val="004E581A"/>
    <w:rsid w:val="004F0167"/>
    <w:rsid w:val="00500DA0"/>
    <w:rsid w:val="00502058"/>
    <w:rsid w:val="005069D9"/>
    <w:rsid w:val="00514611"/>
    <w:rsid w:val="0051651C"/>
    <w:rsid w:val="00540198"/>
    <w:rsid w:val="00543D67"/>
    <w:rsid w:val="00547AC7"/>
    <w:rsid w:val="00551B4C"/>
    <w:rsid w:val="0055431B"/>
    <w:rsid w:val="005560EF"/>
    <w:rsid w:val="005645FF"/>
    <w:rsid w:val="0057074A"/>
    <w:rsid w:val="005720E9"/>
    <w:rsid w:val="005736F2"/>
    <w:rsid w:val="00581A22"/>
    <w:rsid w:val="00582C4D"/>
    <w:rsid w:val="00587548"/>
    <w:rsid w:val="00587BF3"/>
    <w:rsid w:val="00595099"/>
    <w:rsid w:val="005A2F73"/>
    <w:rsid w:val="005B0DB3"/>
    <w:rsid w:val="005B118D"/>
    <w:rsid w:val="005B6266"/>
    <w:rsid w:val="005B75C1"/>
    <w:rsid w:val="005C4F0D"/>
    <w:rsid w:val="005D3007"/>
    <w:rsid w:val="005D4790"/>
    <w:rsid w:val="005E2259"/>
    <w:rsid w:val="005E230C"/>
    <w:rsid w:val="005E448E"/>
    <w:rsid w:val="005F3E31"/>
    <w:rsid w:val="005F49B3"/>
    <w:rsid w:val="005F653D"/>
    <w:rsid w:val="006036F8"/>
    <w:rsid w:val="00605316"/>
    <w:rsid w:val="006077A9"/>
    <w:rsid w:val="00613E4D"/>
    <w:rsid w:val="00615A0C"/>
    <w:rsid w:val="006216B4"/>
    <w:rsid w:val="0062225C"/>
    <w:rsid w:val="006256AA"/>
    <w:rsid w:val="006430C0"/>
    <w:rsid w:val="00644BB3"/>
    <w:rsid w:val="00646138"/>
    <w:rsid w:val="00650745"/>
    <w:rsid w:val="00651B9B"/>
    <w:rsid w:val="00651EC4"/>
    <w:rsid w:val="00653433"/>
    <w:rsid w:val="00655236"/>
    <w:rsid w:val="006630FB"/>
    <w:rsid w:val="006710DC"/>
    <w:rsid w:val="00675035"/>
    <w:rsid w:val="00676987"/>
    <w:rsid w:val="00677BC9"/>
    <w:rsid w:val="00683071"/>
    <w:rsid w:val="00686AFF"/>
    <w:rsid w:val="006936E8"/>
    <w:rsid w:val="00695533"/>
    <w:rsid w:val="006A1AA8"/>
    <w:rsid w:val="006A37E3"/>
    <w:rsid w:val="006A6DDB"/>
    <w:rsid w:val="006A770C"/>
    <w:rsid w:val="006B0014"/>
    <w:rsid w:val="006B3D1D"/>
    <w:rsid w:val="006B67ED"/>
    <w:rsid w:val="006C705A"/>
    <w:rsid w:val="006D10FA"/>
    <w:rsid w:val="006E40E9"/>
    <w:rsid w:val="006E4415"/>
    <w:rsid w:val="006E462C"/>
    <w:rsid w:val="006F2787"/>
    <w:rsid w:val="006F40B5"/>
    <w:rsid w:val="006F4618"/>
    <w:rsid w:val="00706D9C"/>
    <w:rsid w:val="00707C51"/>
    <w:rsid w:val="00713A5D"/>
    <w:rsid w:val="00720FEF"/>
    <w:rsid w:val="007218AF"/>
    <w:rsid w:val="0072221F"/>
    <w:rsid w:val="007240E6"/>
    <w:rsid w:val="007309B4"/>
    <w:rsid w:val="0073212D"/>
    <w:rsid w:val="00733746"/>
    <w:rsid w:val="00737291"/>
    <w:rsid w:val="00742BAE"/>
    <w:rsid w:val="0074530F"/>
    <w:rsid w:val="00750CC1"/>
    <w:rsid w:val="00753AD4"/>
    <w:rsid w:val="00755484"/>
    <w:rsid w:val="00760AC8"/>
    <w:rsid w:val="00763002"/>
    <w:rsid w:val="007679D5"/>
    <w:rsid w:val="007719B6"/>
    <w:rsid w:val="00771E0F"/>
    <w:rsid w:val="007728D2"/>
    <w:rsid w:val="00775C17"/>
    <w:rsid w:val="00777893"/>
    <w:rsid w:val="00785866"/>
    <w:rsid w:val="007875AE"/>
    <w:rsid w:val="0078777C"/>
    <w:rsid w:val="007970E1"/>
    <w:rsid w:val="007A288E"/>
    <w:rsid w:val="007A53BB"/>
    <w:rsid w:val="007B2C1E"/>
    <w:rsid w:val="007B46F6"/>
    <w:rsid w:val="007B63CD"/>
    <w:rsid w:val="007C373C"/>
    <w:rsid w:val="007C5063"/>
    <w:rsid w:val="007C7D36"/>
    <w:rsid w:val="007D17B5"/>
    <w:rsid w:val="007D24A3"/>
    <w:rsid w:val="007E071C"/>
    <w:rsid w:val="007E14BF"/>
    <w:rsid w:val="007E1FD2"/>
    <w:rsid w:val="007E7B98"/>
    <w:rsid w:val="007F0BBF"/>
    <w:rsid w:val="007F2088"/>
    <w:rsid w:val="0080634A"/>
    <w:rsid w:val="00806DFA"/>
    <w:rsid w:val="00821962"/>
    <w:rsid w:val="00822511"/>
    <w:rsid w:val="008312B9"/>
    <w:rsid w:val="0083215B"/>
    <w:rsid w:val="0083710F"/>
    <w:rsid w:val="00837200"/>
    <w:rsid w:val="00840547"/>
    <w:rsid w:val="008465D6"/>
    <w:rsid w:val="00860899"/>
    <w:rsid w:val="00866025"/>
    <w:rsid w:val="00875B86"/>
    <w:rsid w:val="0088233C"/>
    <w:rsid w:val="008A3877"/>
    <w:rsid w:val="008A703C"/>
    <w:rsid w:val="008B1B71"/>
    <w:rsid w:val="008B2182"/>
    <w:rsid w:val="008C18AE"/>
    <w:rsid w:val="008C3603"/>
    <w:rsid w:val="008C45A5"/>
    <w:rsid w:val="008D34A8"/>
    <w:rsid w:val="008D4FD5"/>
    <w:rsid w:val="008E4705"/>
    <w:rsid w:val="008E5BBF"/>
    <w:rsid w:val="008F2EA2"/>
    <w:rsid w:val="008F3CCE"/>
    <w:rsid w:val="009007B6"/>
    <w:rsid w:val="00901159"/>
    <w:rsid w:val="009026AA"/>
    <w:rsid w:val="00903303"/>
    <w:rsid w:val="00911000"/>
    <w:rsid w:val="00911F9D"/>
    <w:rsid w:val="0091494D"/>
    <w:rsid w:val="009155B3"/>
    <w:rsid w:val="00916812"/>
    <w:rsid w:val="009227A6"/>
    <w:rsid w:val="00923678"/>
    <w:rsid w:val="0093492C"/>
    <w:rsid w:val="00936440"/>
    <w:rsid w:val="0093762E"/>
    <w:rsid w:val="00940B57"/>
    <w:rsid w:val="00941562"/>
    <w:rsid w:val="00942688"/>
    <w:rsid w:val="00944BDE"/>
    <w:rsid w:val="0094618C"/>
    <w:rsid w:val="0095576C"/>
    <w:rsid w:val="0097197F"/>
    <w:rsid w:val="009732B6"/>
    <w:rsid w:val="00974554"/>
    <w:rsid w:val="00976D15"/>
    <w:rsid w:val="00977E1A"/>
    <w:rsid w:val="00980B24"/>
    <w:rsid w:val="009838D5"/>
    <w:rsid w:val="00983939"/>
    <w:rsid w:val="00987290"/>
    <w:rsid w:val="009950C9"/>
    <w:rsid w:val="00996ED3"/>
    <w:rsid w:val="009A20FD"/>
    <w:rsid w:val="009A269B"/>
    <w:rsid w:val="009A33C1"/>
    <w:rsid w:val="009A79F1"/>
    <w:rsid w:val="009B099B"/>
    <w:rsid w:val="009B2BC9"/>
    <w:rsid w:val="009B36AA"/>
    <w:rsid w:val="009B3ED4"/>
    <w:rsid w:val="009B4C31"/>
    <w:rsid w:val="009D57DB"/>
    <w:rsid w:val="009E1EF1"/>
    <w:rsid w:val="009E3320"/>
    <w:rsid w:val="009F22F0"/>
    <w:rsid w:val="009F43A4"/>
    <w:rsid w:val="009F5E83"/>
    <w:rsid w:val="00A01777"/>
    <w:rsid w:val="00A06E43"/>
    <w:rsid w:val="00A07432"/>
    <w:rsid w:val="00A07A53"/>
    <w:rsid w:val="00A12932"/>
    <w:rsid w:val="00A13793"/>
    <w:rsid w:val="00A156AE"/>
    <w:rsid w:val="00A15E04"/>
    <w:rsid w:val="00A165EA"/>
    <w:rsid w:val="00A24B93"/>
    <w:rsid w:val="00A337E6"/>
    <w:rsid w:val="00A3600A"/>
    <w:rsid w:val="00A43F9C"/>
    <w:rsid w:val="00A4634B"/>
    <w:rsid w:val="00A54C36"/>
    <w:rsid w:val="00A56BC1"/>
    <w:rsid w:val="00A600CF"/>
    <w:rsid w:val="00A62353"/>
    <w:rsid w:val="00A63F51"/>
    <w:rsid w:val="00A75EF4"/>
    <w:rsid w:val="00A779B7"/>
    <w:rsid w:val="00A9010C"/>
    <w:rsid w:val="00A901C5"/>
    <w:rsid w:val="00AA663B"/>
    <w:rsid w:val="00AB1510"/>
    <w:rsid w:val="00AB2DE7"/>
    <w:rsid w:val="00AB4CA7"/>
    <w:rsid w:val="00AB636E"/>
    <w:rsid w:val="00AB6798"/>
    <w:rsid w:val="00AC7ECE"/>
    <w:rsid w:val="00AD49F8"/>
    <w:rsid w:val="00AE1E5D"/>
    <w:rsid w:val="00AE2605"/>
    <w:rsid w:val="00AE4E9C"/>
    <w:rsid w:val="00AF163E"/>
    <w:rsid w:val="00AF1688"/>
    <w:rsid w:val="00AF3194"/>
    <w:rsid w:val="00AF78AF"/>
    <w:rsid w:val="00B00DE5"/>
    <w:rsid w:val="00B11DEB"/>
    <w:rsid w:val="00B120C9"/>
    <w:rsid w:val="00B20170"/>
    <w:rsid w:val="00B21489"/>
    <w:rsid w:val="00B22495"/>
    <w:rsid w:val="00B244B7"/>
    <w:rsid w:val="00B3097A"/>
    <w:rsid w:val="00B3106B"/>
    <w:rsid w:val="00B404D0"/>
    <w:rsid w:val="00B4381A"/>
    <w:rsid w:val="00B44F10"/>
    <w:rsid w:val="00B50E11"/>
    <w:rsid w:val="00B64D36"/>
    <w:rsid w:val="00B67DCA"/>
    <w:rsid w:val="00B70181"/>
    <w:rsid w:val="00B8347D"/>
    <w:rsid w:val="00B83690"/>
    <w:rsid w:val="00B862D2"/>
    <w:rsid w:val="00B908DF"/>
    <w:rsid w:val="00B92A41"/>
    <w:rsid w:val="00B9551D"/>
    <w:rsid w:val="00B95693"/>
    <w:rsid w:val="00B95E84"/>
    <w:rsid w:val="00B97AC0"/>
    <w:rsid w:val="00BA1F62"/>
    <w:rsid w:val="00BB3F9A"/>
    <w:rsid w:val="00BD2454"/>
    <w:rsid w:val="00BF09B4"/>
    <w:rsid w:val="00C01714"/>
    <w:rsid w:val="00C02B93"/>
    <w:rsid w:val="00C04C43"/>
    <w:rsid w:val="00C11D38"/>
    <w:rsid w:val="00C33AAD"/>
    <w:rsid w:val="00C37270"/>
    <w:rsid w:val="00C4185B"/>
    <w:rsid w:val="00C45291"/>
    <w:rsid w:val="00C519B2"/>
    <w:rsid w:val="00C52737"/>
    <w:rsid w:val="00C53B19"/>
    <w:rsid w:val="00C5727B"/>
    <w:rsid w:val="00C63FFA"/>
    <w:rsid w:val="00C64B6A"/>
    <w:rsid w:val="00C72A6C"/>
    <w:rsid w:val="00C7361A"/>
    <w:rsid w:val="00C7460D"/>
    <w:rsid w:val="00C9262D"/>
    <w:rsid w:val="00CA20E9"/>
    <w:rsid w:val="00CA24E0"/>
    <w:rsid w:val="00CA6C2A"/>
    <w:rsid w:val="00CB2381"/>
    <w:rsid w:val="00CB2439"/>
    <w:rsid w:val="00CB2F3D"/>
    <w:rsid w:val="00CB6F8A"/>
    <w:rsid w:val="00CC3AB3"/>
    <w:rsid w:val="00CC5BEF"/>
    <w:rsid w:val="00CD1BDD"/>
    <w:rsid w:val="00CE09E5"/>
    <w:rsid w:val="00CE0CC7"/>
    <w:rsid w:val="00CE30E0"/>
    <w:rsid w:val="00CE3BED"/>
    <w:rsid w:val="00CF05BE"/>
    <w:rsid w:val="00CF7D86"/>
    <w:rsid w:val="00CF7D99"/>
    <w:rsid w:val="00D00B2E"/>
    <w:rsid w:val="00D026E5"/>
    <w:rsid w:val="00D0642F"/>
    <w:rsid w:val="00D13FA4"/>
    <w:rsid w:val="00D16320"/>
    <w:rsid w:val="00D2145B"/>
    <w:rsid w:val="00D219E3"/>
    <w:rsid w:val="00D23AB6"/>
    <w:rsid w:val="00D23AD7"/>
    <w:rsid w:val="00D2698D"/>
    <w:rsid w:val="00D31928"/>
    <w:rsid w:val="00D344C1"/>
    <w:rsid w:val="00D42B06"/>
    <w:rsid w:val="00D523A1"/>
    <w:rsid w:val="00D526DF"/>
    <w:rsid w:val="00D55187"/>
    <w:rsid w:val="00D55C5C"/>
    <w:rsid w:val="00D61362"/>
    <w:rsid w:val="00D74842"/>
    <w:rsid w:val="00D91BA3"/>
    <w:rsid w:val="00DA02A6"/>
    <w:rsid w:val="00DA44A9"/>
    <w:rsid w:val="00DB19FF"/>
    <w:rsid w:val="00DC0738"/>
    <w:rsid w:val="00DC2F2D"/>
    <w:rsid w:val="00DD0D2F"/>
    <w:rsid w:val="00DD4D3D"/>
    <w:rsid w:val="00DE0282"/>
    <w:rsid w:val="00DE1587"/>
    <w:rsid w:val="00DE39D7"/>
    <w:rsid w:val="00DF0D64"/>
    <w:rsid w:val="00DF1032"/>
    <w:rsid w:val="00DF4D83"/>
    <w:rsid w:val="00E01835"/>
    <w:rsid w:val="00E02EAF"/>
    <w:rsid w:val="00E03204"/>
    <w:rsid w:val="00E03B46"/>
    <w:rsid w:val="00E067A2"/>
    <w:rsid w:val="00E077DF"/>
    <w:rsid w:val="00E07A72"/>
    <w:rsid w:val="00E07AE9"/>
    <w:rsid w:val="00E10FD1"/>
    <w:rsid w:val="00E1166F"/>
    <w:rsid w:val="00E15BCC"/>
    <w:rsid w:val="00E171CB"/>
    <w:rsid w:val="00E3052B"/>
    <w:rsid w:val="00E31629"/>
    <w:rsid w:val="00E34364"/>
    <w:rsid w:val="00E35688"/>
    <w:rsid w:val="00E43F8E"/>
    <w:rsid w:val="00E45186"/>
    <w:rsid w:val="00E50554"/>
    <w:rsid w:val="00E507F0"/>
    <w:rsid w:val="00E51144"/>
    <w:rsid w:val="00E55848"/>
    <w:rsid w:val="00E63F2E"/>
    <w:rsid w:val="00E6571C"/>
    <w:rsid w:val="00E65FD4"/>
    <w:rsid w:val="00E7210A"/>
    <w:rsid w:val="00E72A79"/>
    <w:rsid w:val="00E802B6"/>
    <w:rsid w:val="00E82E00"/>
    <w:rsid w:val="00E8500B"/>
    <w:rsid w:val="00E85199"/>
    <w:rsid w:val="00E8695C"/>
    <w:rsid w:val="00E86AD4"/>
    <w:rsid w:val="00E904E4"/>
    <w:rsid w:val="00E932B5"/>
    <w:rsid w:val="00E94C86"/>
    <w:rsid w:val="00E95904"/>
    <w:rsid w:val="00E972D3"/>
    <w:rsid w:val="00EA4068"/>
    <w:rsid w:val="00EB239A"/>
    <w:rsid w:val="00EC7C52"/>
    <w:rsid w:val="00ED011F"/>
    <w:rsid w:val="00ED23AA"/>
    <w:rsid w:val="00ED58E4"/>
    <w:rsid w:val="00ED68B8"/>
    <w:rsid w:val="00EE0738"/>
    <w:rsid w:val="00EE0DBB"/>
    <w:rsid w:val="00EE1DF4"/>
    <w:rsid w:val="00EE7699"/>
    <w:rsid w:val="00EE7C9E"/>
    <w:rsid w:val="00EF0C48"/>
    <w:rsid w:val="00EF1BD1"/>
    <w:rsid w:val="00EF46E6"/>
    <w:rsid w:val="00EF5F44"/>
    <w:rsid w:val="00EF626F"/>
    <w:rsid w:val="00F00B18"/>
    <w:rsid w:val="00F0106C"/>
    <w:rsid w:val="00F12440"/>
    <w:rsid w:val="00F142DB"/>
    <w:rsid w:val="00F16056"/>
    <w:rsid w:val="00F21520"/>
    <w:rsid w:val="00F23F8A"/>
    <w:rsid w:val="00F25D67"/>
    <w:rsid w:val="00F26354"/>
    <w:rsid w:val="00F3173B"/>
    <w:rsid w:val="00F3578B"/>
    <w:rsid w:val="00F43A15"/>
    <w:rsid w:val="00F43C52"/>
    <w:rsid w:val="00F44185"/>
    <w:rsid w:val="00F471C4"/>
    <w:rsid w:val="00F53553"/>
    <w:rsid w:val="00F5420B"/>
    <w:rsid w:val="00F56324"/>
    <w:rsid w:val="00F57032"/>
    <w:rsid w:val="00F62CBB"/>
    <w:rsid w:val="00F63187"/>
    <w:rsid w:val="00F71C68"/>
    <w:rsid w:val="00F85632"/>
    <w:rsid w:val="00F87163"/>
    <w:rsid w:val="00F90936"/>
    <w:rsid w:val="00F93BA4"/>
    <w:rsid w:val="00F95B0D"/>
    <w:rsid w:val="00F96145"/>
    <w:rsid w:val="00F97E13"/>
    <w:rsid w:val="00FA6892"/>
    <w:rsid w:val="00FB421B"/>
    <w:rsid w:val="00FC01F2"/>
    <w:rsid w:val="00FC0385"/>
    <w:rsid w:val="00FC5716"/>
    <w:rsid w:val="00FC76E7"/>
    <w:rsid w:val="00FD07EE"/>
    <w:rsid w:val="00FD36CE"/>
    <w:rsid w:val="00FD48A0"/>
    <w:rsid w:val="00FD5134"/>
    <w:rsid w:val="00FE07D3"/>
    <w:rsid w:val="00FE53D2"/>
    <w:rsid w:val="00FF07BC"/>
    <w:rsid w:val="00FF1218"/>
    <w:rsid w:val="00FF59DF"/>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0E551C"/>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0E551C"/>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F97D64-C7DD-499E-8AF2-CEA93626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3</cp:revision>
  <cp:lastPrinted>2023-08-26T13:34:00Z</cp:lastPrinted>
  <dcterms:created xsi:type="dcterms:W3CDTF">2023-09-05T07:16:00Z</dcterms:created>
  <dcterms:modified xsi:type="dcterms:W3CDTF">2023-09-05T07:17:00Z</dcterms:modified>
</cp:coreProperties>
</file>