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178B" w14:textId="5E8765B9" w:rsidR="00E8213B" w:rsidRDefault="00225600" w:rsidP="00225600">
      <w:pPr>
        <w:tabs>
          <w:tab w:val="left" w:pos="3946"/>
        </w:tabs>
      </w:pPr>
      <w:r>
        <w:tab/>
      </w:r>
    </w:p>
    <w:p w14:paraId="0A46ED9E" w14:textId="77777777" w:rsidR="00631C1F" w:rsidRDefault="00631C1F" w:rsidP="00631C1F">
      <w:pPr>
        <w:spacing w:line="360" w:lineRule="auto"/>
        <w:jc w:val="center"/>
        <w:rPr>
          <w:rFonts w:ascii="Arial" w:hAnsi="Arial" w:cs="Arial"/>
          <w:b/>
        </w:rPr>
      </w:pPr>
      <w:r>
        <w:rPr>
          <w:noProof/>
          <w:lang w:eastAsia="en-ZA"/>
        </w:rPr>
        <w:drawing>
          <wp:inline distT="0" distB="0" distL="0" distR="0" wp14:anchorId="1D8FB105" wp14:editId="2C86DA38">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5E1669C3" w14:textId="77777777" w:rsidR="00631C1F" w:rsidRPr="00A411C2" w:rsidRDefault="00631C1F" w:rsidP="00CE076A">
      <w:pPr>
        <w:spacing w:line="240" w:lineRule="auto"/>
        <w:jc w:val="center"/>
        <w:rPr>
          <w:rFonts w:ascii="Arial" w:hAnsi="Arial" w:cs="Arial"/>
          <w:b/>
          <w:sz w:val="24"/>
          <w:szCs w:val="24"/>
        </w:rPr>
      </w:pPr>
      <w:r w:rsidRPr="00A411C2">
        <w:rPr>
          <w:rFonts w:ascii="Arial" w:hAnsi="Arial" w:cs="Arial"/>
          <w:b/>
          <w:sz w:val="24"/>
          <w:szCs w:val="24"/>
        </w:rPr>
        <w:t>IN THE HIGH COURT OF SOUTH AFRICA</w:t>
      </w:r>
    </w:p>
    <w:p w14:paraId="1CE453DB" w14:textId="77777777" w:rsidR="00631C1F" w:rsidRPr="00A411C2" w:rsidRDefault="00631C1F" w:rsidP="00CE076A">
      <w:pPr>
        <w:spacing w:line="240" w:lineRule="auto"/>
        <w:jc w:val="center"/>
        <w:rPr>
          <w:rFonts w:ascii="Arial" w:hAnsi="Arial" w:cs="Arial"/>
          <w:b/>
          <w:sz w:val="24"/>
          <w:szCs w:val="24"/>
        </w:rPr>
      </w:pPr>
      <w:r w:rsidRPr="00A411C2">
        <w:rPr>
          <w:rFonts w:ascii="Arial" w:hAnsi="Arial" w:cs="Arial"/>
          <w:b/>
          <w:sz w:val="24"/>
          <w:szCs w:val="24"/>
        </w:rPr>
        <w:t>GAUTENG DIVISION, PRETORIA</w:t>
      </w:r>
    </w:p>
    <w:p w14:paraId="7E71AF41" w14:textId="77777777" w:rsidR="00631C1F" w:rsidRDefault="00631C1F" w:rsidP="00631C1F">
      <w:pPr>
        <w:spacing w:line="360" w:lineRule="auto"/>
        <w:jc w:val="center"/>
        <w:rPr>
          <w:rFonts w:ascii="Arial" w:hAnsi="Arial" w:cs="Arial"/>
          <w:b/>
        </w:rPr>
      </w:pPr>
    </w:p>
    <w:p w14:paraId="6A5D4161" w14:textId="77777777" w:rsidR="00631C1F" w:rsidRPr="00AF7474" w:rsidRDefault="00631C1F" w:rsidP="00631C1F">
      <w:pPr>
        <w:spacing w:line="360" w:lineRule="auto"/>
        <w:jc w:val="right"/>
        <w:rPr>
          <w:color w:val="000000" w:themeColor="text1"/>
        </w:rPr>
      </w:pPr>
      <w:r w:rsidRPr="00AF7474">
        <w:rPr>
          <w:rFonts w:ascii="Arial" w:hAnsi="Arial" w:cs="Arial"/>
          <w:noProof/>
          <w:color w:val="000000" w:themeColor="text1"/>
          <w:lang w:eastAsia="en-ZA"/>
        </w:rPr>
        <mc:AlternateContent>
          <mc:Choice Requires="wps">
            <w:drawing>
              <wp:anchor distT="0" distB="0" distL="114300" distR="114300" simplePos="0" relativeHeight="251659264" behindDoc="0" locked="0" layoutInCell="1" allowOverlap="1" wp14:anchorId="4C6E622C" wp14:editId="41B904EE">
                <wp:simplePos x="0" y="0"/>
                <wp:positionH relativeFrom="column">
                  <wp:posOffset>-133350</wp:posOffset>
                </wp:positionH>
                <wp:positionV relativeFrom="paragraph">
                  <wp:posOffset>166272</wp:posOffset>
                </wp:positionV>
                <wp:extent cx="3657600" cy="1430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30655"/>
                        </a:xfrm>
                        <a:prstGeom prst="rect">
                          <a:avLst/>
                        </a:prstGeom>
                        <a:solidFill>
                          <a:srgbClr val="FFFFFF"/>
                        </a:solidFill>
                        <a:ln w="9525">
                          <a:solidFill>
                            <a:srgbClr val="000000"/>
                          </a:solidFill>
                          <a:miter lim="800000"/>
                          <a:headEnd/>
                          <a:tailEnd/>
                        </a:ln>
                      </wps:spPr>
                      <wps:txbx>
                        <w:txbxContent>
                          <w:p w14:paraId="39C40076" w14:textId="1CB9A76C" w:rsidR="00CE076A" w:rsidRPr="0052701D" w:rsidRDefault="0052701D" w:rsidP="0052701D">
                            <w:pPr>
                              <w:tabs>
                                <w:tab w:val="left" w:pos="900"/>
                              </w:tabs>
                              <w:spacing w:after="0" w:line="240" w:lineRule="auto"/>
                              <w:ind w:left="900" w:hanging="720"/>
                              <w:rPr>
                                <w:rFonts w:ascii="Century Gothic" w:hAnsi="Century Gothic"/>
                              </w:rPr>
                            </w:pPr>
                            <w:r w:rsidRPr="00FB0B83">
                              <w:rPr>
                                <w:rFonts w:ascii="Century Gothic" w:hAnsi="Century Gothic"/>
                              </w:rPr>
                              <w:t>(1)</w:t>
                            </w:r>
                            <w:r w:rsidRPr="00FB0B83">
                              <w:rPr>
                                <w:rFonts w:ascii="Century Gothic" w:hAnsi="Century Gothic"/>
                              </w:rPr>
                              <w:tab/>
                            </w:r>
                            <w:r w:rsidR="00CE076A" w:rsidRPr="0052701D">
                              <w:rPr>
                                <w:rFonts w:ascii="Century Gothic" w:hAnsi="Century Gothic"/>
                              </w:rPr>
                              <w:t>REPORTABLE: Yes</w:t>
                            </w:r>
                          </w:p>
                          <w:p w14:paraId="2F5285EF" w14:textId="63D3080E" w:rsidR="00CE076A" w:rsidRPr="0038792A" w:rsidRDefault="0052701D" w:rsidP="0052701D">
                            <w:pPr>
                              <w:tabs>
                                <w:tab w:val="left" w:pos="900"/>
                              </w:tabs>
                              <w:spacing w:after="0" w:line="240" w:lineRule="auto"/>
                              <w:ind w:left="900" w:hanging="720"/>
                              <w:rPr>
                                <w:rFonts w:ascii="Century Gothic" w:hAnsi="Century Gothic"/>
                              </w:rPr>
                            </w:pPr>
                            <w:r w:rsidRPr="0038792A">
                              <w:rPr>
                                <w:rFonts w:ascii="Century Gothic" w:hAnsi="Century Gothic"/>
                              </w:rPr>
                              <w:t>(2)</w:t>
                            </w:r>
                            <w:r w:rsidRPr="0038792A">
                              <w:rPr>
                                <w:rFonts w:ascii="Century Gothic" w:hAnsi="Century Gothic"/>
                              </w:rPr>
                              <w:tab/>
                            </w:r>
                            <w:r w:rsidR="00CE076A" w:rsidRPr="0038792A">
                              <w:rPr>
                                <w:rFonts w:ascii="Century Gothic" w:hAnsi="Century Gothic"/>
                              </w:rPr>
                              <w:t xml:space="preserve">OF </w:t>
                            </w:r>
                            <w:r w:rsidR="00CE076A">
                              <w:rPr>
                                <w:rFonts w:ascii="Century Gothic" w:hAnsi="Century Gothic"/>
                              </w:rPr>
                              <w:t>INTEREST TO OTHER JUDGES: Yes</w:t>
                            </w:r>
                          </w:p>
                          <w:p w14:paraId="046D3609" w14:textId="1694C194" w:rsidR="00CE076A" w:rsidRPr="00FB0B83" w:rsidRDefault="0052701D" w:rsidP="0052701D">
                            <w:pPr>
                              <w:tabs>
                                <w:tab w:val="left" w:pos="900"/>
                              </w:tabs>
                              <w:spacing w:after="0" w:line="240" w:lineRule="auto"/>
                              <w:ind w:left="900" w:hanging="720"/>
                              <w:rPr>
                                <w:rFonts w:ascii="Century Gothic" w:hAnsi="Century Gothic"/>
                              </w:rPr>
                            </w:pPr>
                            <w:r w:rsidRPr="00FB0B83">
                              <w:rPr>
                                <w:rFonts w:ascii="Century Gothic" w:hAnsi="Century Gothic"/>
                              </w:rPr>
                              <w:t>(3)</w:t>
                            </w:r>
                            <w:r w:rsidRPr="00FB0B83">
                              <w:rPr>
                                <w:rFonts w:ascii="Century Gothic" w:hAnsi="Century Gothic"/>
                              </w:rPr>
                              <w:tab/>
                            </w:r>
                            <w:r w:rsidR="00CE076A" w:rsidRPr="0038792A">
                              <w:rPr>
                                <w:rFonts w:ascii="Century Gothic" w:hAnsi="Century Gothic"/>
                              </w:rPr>
                              <w:t xml:space="preserve">REVISED: </w:t>
                            </w:r>
                          </w:p>
                          <w:p w14:paraId="75E24B5C" w14:textId="0BF5EEE6" w:rsidR="00FB0B83" w:rsidRDefault="00FB0B83" w:rsidP="00FB0B83">
                            <w:pPr>
                              <w:spacing w:after="0" w:line="240" w:lineRule="auto"/>
                              <w:ind w:left="180"/>
                              <w:rPr>
                                <w:rFonts w:ascii="Century Gothic" w:hAnsi="Century Gothic"/>
                              </w:rPr>
                            </w:pPr>
                          </w:p>
                          <w:p w14:paraId="74DA94AA" w14:textId="65ABCF2B" w:rsidR="00FB0B83" w:rsidRDefault="00FB0B83" w:rsidP="00FB0B83">
                            <w:pPr>
                              <w:spacing w:after="0" w:line="240" w:lineRule="auto"/>
                              <w:ind w:left="180"/>
                              <w:rPr>
                                <w:rFonts w:ascii="Century Gothic" w:hAnsi="Century Gothic"/>
                              </w:rPr>
                            </w:pPr>
                          </w:p>
                          <w:p w14:paraId="0B37A3B4" w14:textId="77777777" w:rsidR="00FB0B83" w:rsidRDefault="00FB0B83" w:rsidP="00FB0B83">
                            <w:pPr>
                              <w:spacing w:after="0" w:line="240" w:lineRule="auto"/>
                              <w:ind w:left="180"/>
                              <w:rPr>
                                <w:rFonts w:ascii="Century Gothic" w:hAnsi="Century Gothic"/>
                              </w:rPr>
                            </w:pPr>
                          </w:p>
                          <w:p w14:paraId="17633014" w14:textId="2804518D" w:rsidR="00FB0B83" w:rsidRPr="00FB0B83" w:rsidRDefault="00FB0B83" w:rsidP="00FB0B83">
                            <w:pPr>
                              <w:spacing w:after="0" w:line="360" w:lineRule="auto"/>
                              <w:ind w:left="180"/>
                              <w:rPr>
                                <w:rFonts w:ascii="Century Gothic" w:hAnsi="Century Gothic"/>
                                <w:b/>
                                <w:u w:val="dotted"/>
                              </w:rPr>
                            </w:pPr>
                            <w:r>
                              <w:rPr>
                                <w:rFonts w:ascii="Century Gothic" w:hAnsi="Century Gothic"/>
                                <w:b/>
                                <w:u w:val="dotted"/>
                              </w:rPr>
                              <w:t xml:space="preserve"> 12 January 2024</w:t>
                            </w:r>
                            <w:r w:rsidRPr="00FB0B83">
                              <w:rPr>
                                <w:rFonts w:ascii="Century Gothic" w:hAnsi="Century Gothic"/>
                                <w:b/>
                                <w:u w:val="dotted"/>
                              </w:rPr>
                              <w:t xml:space="preserve">  </w:t>
                            </w:r>
                            <w:r w:rsidRPr="00FB0B83">
                              <w:rPr>
                                <w:rFonts w:ascii="Century Gothic" w:hAnsi="Century Gothic"/>
                                <w:b/>
                                <w:color w:val="FFFFFF" w:themeColor="background1"/>
                                <w:u w:val="dotted"/>
                              </w:rPr>
                              <w:t xml:space="preserve">                       </w:t>
                            </w:r>
                            <w:r>
                              <w:rPr>
                                <w:rFonts w:ascii="Century Gothic" w:hAnsi="Century Gothic"/>
                                <w:b/>
                                <w:u w:val="dotted"/>
                              </w:rPr>
                              <w:t>………………………….</w:t>
                            </w:r>
                          </w:p>
                          <w:p w14:paraId="6B979CD0" w14:textId="77777777" w:rsidR="00CE076A" w:rsidRPr="0038792A" w:rsidRDefault="00CE076A" w:rsidP="00631C1F">
                            <w:pPr>
                              <w:ind w:left="180"/>
                              <w:rPr>
                                <w:rFonts w:ascii="Century Gothic" w:hAnsi="Century Gothic"/>
                              </w:rPr>
                            </w:pP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SIGNATURE</w:t>
                            </w:r>
                          </w:p>
                          <w:p w14:paraId="3267C52F" w14:textId="77777777" w:rsidR="00CE076A" w:rsidRPr="0038792A" w:rsidRDefault="00CE076A" w:rsidP="00631C1F">
                            <w:pPr>
                              <w:rPr>
                                <w:rFonts w:ascii="Century Gothic" w:hAnsi="Century Gothic"/>
                              </w:rPr>
                            </w:pPr>
                          </w:p>
                          <w:p w14:paraId="52046C06" w14:textId="77777777" w:rsidR="00CE076A" w:rsidRDefault="00CE076A" w:rsidP="00631C1F">
                            <w:pPr>
                              <w:rPr>
                                <w:rFonts w:ascii="Century Gothic" w:hAnsi="Century Gothic"/>
                                <w:sz w:val="28"/>
                                <w:szCs w:val="28"/>
                              </w:rPr>
                            </w:pPr>
                          </w:p>
                          <w:p w14:paraId="0EB0F4C1" w14:textId="77777777" w:rsidR="00CE076A" w:rsidRDefault="00CE076A" w:rsidP="00631C1F">
                            <w:pPr>
                              <w:rPr>
                                <w:rFonts w:ascii="Century Gothic" w:hAnsi="Century Gothic"/>
                                <w:sz w:val="28"/>
                                <w:szCs w:val="28"/>
                              </w:rPr>
                            </w:pPr>
                          </w:p>
                          <w:p w14:paraId="35AA4A09" w14:textId="77777777" w:rsidR="00CE076A" w:rsidRDefault="00CE076A" w:rsidP="00631C1F">
                            <w:pPr>
                              <w:rPr>
                                <w:rFonts w:ascii="Century Gothic" w:hAnsi="Century Gothic"/>
                                <w:sz w:val="28"/>
                                <w:szCs w:val="28"/>
                              </w:rPr>
                            </w:pPr>
                            <w:r>
                              <w:rPr>
                                <w:rFonts w:ascii="Century Gothic" w:hAnsi="Century Gothic"/>
                                <w:sz w:val="28"/>
                                <w:szCs w:val="28"/>
                              </w:rPr>
                              <w:t>____________________        ____________________</w:t>
                            </w:r>
                          </w:p>
                          <w:p w14:paraId="60E6FE67" w14:textId="77777777" w:rsidR="00CE076A" w:rsidRDefault="00CE076A" w:rsidP="00631C1F">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8BAAC08" w14:textId="77777777" w:rsidR="00CE076A" w:rsidRDefault="00CE076A" w:rsidP="00631C1F">
                            <w:pPr>
                              <w:rPr>
                                <w:rFonts w:ascii="Century Gothic" w:hAnsi="Century Gothic"/>
                                <w:sz w:val="28"/>
                                <w:szCs w:val="28"/>
                              </w:rPr>
                            </w:pPr>
                          </w:p>
                          <w:p w14:paraId="4C6676FD" w14:textId="77777777" w:rsidR="00CE076A" w:rsidRDefault="00CE076A" w:rsidP="00631C1F">
                            <w:pPr>
                              <w:rPr>
                                <w:rFonts w:ascii="Century Gothic" w:hAnsi="Century Gothic"/>
                                <w:sz w:val="28"/>
                                <w:szCs w:val="28"/>
                              </w:rPr>
                            </w:pPr>
                          </w:p>
                          <w:p w14:paraId="11EF97B6" w14:textId="77777777" w:rsidR="00CE076A" w:rsidRDefault="00CE076A" w:rsidP="00631C1F">
                            <w:pPr>
                              <w:rPr>
                                <w:rFonts w:ascii="Century Gothic" w:hAnsi="Century Gothic"/>
                                <w:sz w:val="28"/>
                                <w:szCs w:val="28"/>
                              </w:rPr>
                            </w:pPr>
                          </w:p>
                          <w:p w14:paraId="2F9BE5C1" w14:textId="77777777" w:rsidR="00CE076A" w:rsidRPr="009533D5" w:rsidRDefault="00CE076A" w:rsidP="00631C1F">
                            <w:pPr>
                              <w:rPr>
                                <w:rFonts w:ascii="Century Gothic" w:hAnsi="Century Gothic"/>
                                <w:sz w:val="28"/>
                                <w:szCs w:val="28"/>
                              </w:rPr>
                            </w:pPr>
                          </w:p>
                          <w:p w14:paraId="0AC9DF47" w14:textId="77777777" w:rsidR="00CE076A" w:rsidRDefault="00CE076A" w:rsidP="00631C1F">
                            <w:pPr>
                              <w:rPr>
                                <w:rFonts w:ascii="Century Gothic" w:hAnsi="Century Gothic"/>
                                <w:b/>
                                <w:sz w:val="18"/>
                                <w:szCs w:val="18"/>
                              </w:rPr>
                            </w:pPr>
                          </w:p>
                          <w:p w14:paraId="7D87692D" w14:textId="77777777" w:rsidR="00CE076A" w:rsidRDefault="00CE076A" w:rsidP="00631C1F">
                            <w:pPr>
                              <w:rPr>
                                <w:rFonts w:ascii="Century Gothic" w:hAnsi="Century Gothic"/>
                                <w:b/>
                                <w:sz w:val="18"/>
                                <w:szCs w:val="18"/>
                              </w:rPr>
                            </w:pPr>
                          </w:p>
                          <w:p w14:paraId="4EDAE100" w14:textId="77777777" w:rsidR="00CE076A" w:rsidRDefault="00CE076A" w:rsidP="00631C1F">
                            <w:pPr>
                              <w:rPr>
                                <w:rFonts w:ascii="Century Gothic" w:hAnsi="Century Gothic"/>
                                <w:b/>
                                <w:sz w:val="18"/>
                                <w:szCs w:val="18"/>
                              </w:rPr>
                            </w:pPr>
                          </w:p>
                          <w:p w14:paraId="3DF6AE5E" w14:textId="77777777" w:rsidR="00CE076A" w:rsidRPr="00B93709" w:rsidRDefault="00CE076A" w:rsidP="00631C1F">
                            <w:pPr>
                              <w:rPr>
                                <w:rFonts w:ascii="Century Gothic" w:hAnsi="Century Gothic"/>
                                <w:b/>
                                <w:sz w:val="18"/>
                                <w:szCs w:val="18"/>
                              </w:rPr>
                            </w:pPr>
                          </w:p>
                          <w:p w14:paraId="3B8C1F2B" w14:textId="77777777" w:rsidR="00CE076A" w:rsidRPr="00B93709" w:rsidRDefault="00CE076A" w:rsidP="00631C1F">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E622C" id="_x0000_t202" coordsize="21600,21600" o:spt="202" path="m,l,21600r21600,l21600,xe">
                <v:stroke joinstyle="miter"/>
                <v:path gradientshapeok="t" o:connecttype="rect"/>
              </v:shapetype>
              <v:shape id="Text Box 2" o:spid="_x0000_s1026" type="#_x0000_t202" style="position:absolute;left:0;text-align:left;margin-left:-10.5pt;margin-top:13.1pt;width:4in;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r5FwIAACwEAAAOAAAAZHJzL2Uyb0RvYy54bWysU9tu2zAMfR+wfxD0vthJk7Q14hRdugwD&#10;ugvQ7QMUWY6FyaJGKbG7rx8lu2l2exmmB0EUqUPy8Gh107eGHRV6Dbbk00nOmbISKm33Jf/yefvq&#10;ijMfhK2EAatK/qg8v1m/fLHqXKFm0ICpFDICsb7oXMmbEFyRZV42qhV+Ak5ZctaArQhk4j6rUHSE&#10;3ppslufLrAOsHIJU3tPt3eDk64Rf10qGj3XtVWCm5FRbSDumfRf3bL0SxR6Fa7QcyxD/UEUrtKWk&#10;J6g7EQQ7oP4NqtUSwUMdJhLaDOpaS5V6oG6m+S/dPDTCqdQLkePdiSb//2Dlh+OD+4Qs9K+hpwGm&#10;Jry7B/nVMwubRti9ukWErlGiosTTSFnWOV+MTyPVvvARZNe9h4qGLA4BElBfYxtZoT4ZodMAHk+k&#10;qz4wSZcXy8XlMieXJN90fpEvF4uUQxRPzx368FZBy+Kh5EhTTfDieO9DLEcUTyExmwejq602Jhm4&#10;320MsqMgBWzTGtF/CjOWdSW/XswWAwN/hcjT+hNEqwNJ2ei25FenIFFE3t7YKgktCG2GM5Vs7Ehk&#10;5G5gMfS7ngIjoTuoHolShEGy9MXo0AB+56wjuZbcfzsIVJyZd5bGcj2dz6O+kzFfXM7IwHPP7twj&#10;rCSokgfOhuMmDH/i4FDvG8o0CMHCLY2y1onk56rGukmSifvx+0TNn9sp6vmTr38AAAD//wMAUEsD&#10;BBQABgAIAAAAIQCuo2Re4AAAAAoBAAAPAAAAZHJzL2Rvd25yZXYueG1sTI/NTsMwEITvSLyDtUhc&#10;UOsk4FBCnAohgegNCoKrG2+TCP8E203D27Oc4Lizo5lv6vVsDZswxME7CfkyA4au9XpwnYS314fF&#10;ClhMymllvEMJ3xhh3Zye1KrS/uhecNqmjlGIi5WS0Kc0VpzHtker4tKP6Oi398GqRGfouA7qSOHW&#10;8CLLSm7V4KihVyPe99h+bg9WwurqafqIm8vn97bcm5t0cT09fgUpz8/mu1tgCef0Z4ZffEKHhph2&#10;/uB0ZEbCoshpS5JQlAUwMgghSNiRIHIBvKn5/wnNDwAAAP//AwBQSwECLQAUAAYACAAAACEAtoM4&#10;kv4AAADhAQAAEwAAAAAAAAAAAAAAAAAAAAAAW0NvbnRlbnRfVHlwZXNdLnhtbFBLAQItABQABgAI&#10;AAAAIQA4/SH/1gAAAJQBAAALAAAAAAAAAAAAAAAAAC8BAABfcmVscy8ucmVsc1BLAQItABQABgAI&#10;AAAAIQAqZIr5FwIAACwEAAAOAAAAAAAAAAAAAAAAAC4CAABkcnMvZTJvRG9jLnhtbFBLAQItABQA&#10;BgAIAAAAIQCuo2Re4AAAAAoBAAAPAAAAAAAAAAAAAAAAAHEEAABkcnMvZG93bnJldi54bWxQSwUG&#10;AAAAAAQABADzAAAAfgUAAAAA&#10;">
                <v:textbox>
                  <w:txbxContent>
                    <w:p w14:paraId="39C40076" w14:textId="1CB9A76C" w:rsidR="00CE076A" w:rsidRPr="0052701D" w:rsidRDefault="0052701D" w:rsidP="0052701D">
                      <w:pPr>
                        <w:tabs>
                          <w:tab w:val="left" w:pos="900"/>
                        </w:tabs>
                        <w:spacing w:after="0" w:line="240" w:lineRule="auto"/>
                        <w:ind w:left="900" w:hanging="720"/>
                        <w:rPr>
                          <w:rFonts w:ascii="Century Gothic" w:hAnsi="Century Gothic"/>
                        </w:rPr>
                      </w:pPr>
                      <w:r w:rsidRPr="00FB0B83">
                        <w:rPr>
                          <w:rFonts w:ascii="Century Gothic" w:hAnsi="Century Gothic"/>
                        </w:rPr>
                        <w:t>(1)</w:t>
                      </w:r>
                      <w:r w:rsidRPr="00FB0B83">
                        <w:rPr>
                          <w:rFonts w:ascii="Century Gothic" w:hAnsi="Century Gothic"/>
                        </w:rPr>
                        <w:tab/>
                      </w:r>
                      <w:r w:rsidR="00CE076A" w:rsidRPr="0052701D">
                        <w:rPr>
                          <w:rFonts w:ascii="Century Gothic" w:hAnsi="Century Gothic"/>
                        </w:rPr>
                        <w:t>REPORTABLE: Yes</w:t>
                      </w:r>
                    </w:p>
                    <w:p w14:paraId="2F5285EF" w14:textId="63D3080E" w:rsidR="00CE076A" w:rsidRPr="0038792A" w:rsidRDefault="0052701D" w:rsidP="0052701D">
                      <w:pPr>
                        <w:tabs>
                          <w:tab w:val="left" w:pos="900"/>
                        </w:tabs>
                        <w:spacing w:after="0" w:line="240" w:lineRule="auto"/>
                        <w:ind w:left="900" w:hanging="720"/>
                        <w:rPr>
                          <w:rFonts w:ascii="Century Gothic" w:hAnsi="Century Gothic"/>
                        </w:rPr>
                      </w:pPr>
                      <w:r w:rsidRPr="0038792A">
                        <w:rPr>
                          <w:rFonts w:ascii="Century Gothic" w:hAnsi="Century Gothic"/>
                        </w:rPr>
                        <w:t>(2)</w:t>
                      </w:r>
                      <w:r w:rsidRPr="0038792A">
                        <w:rPr>
                          <w:rFonts w:ascii="Century Gothic" w:hAnsi="Century Gothic"/>
                        </w:rPr>
                        <w:tab/>
                      </w:r>
                      <w:r w:rsidR="00CE076A" w:rsidRPr="0038792A">
                        <w:rPr>
                          <w:rFonts w:ascii="Century Gothic" w:hAnsi="Century Gothic"/>
                        </w:rPr>
                        <w:t xml:space="preserve">OF </w:t>
                      </w:r>
                      <w:r w:rsidR="00CE076A">
                        <w:rPr>
                          <w:rFonts w:ascii="Century Gothic" w:hAnsi="Century Gothic"/>
                        </w:rPr>
                        <w:t>INTEREST TO OTHER JUDGES: Yes</w:t>
                      </w:r>
                    </w:p>
                    <w:p w14:paraId="046D3609" w14:textId="1694C194" w:rsidR="00CE076A" w:rsidRPr="00FB0B83" w:rsidRDefault="0052701D" w:rsidP="0052701D">
                      <w:pPr>
                        <w:tabs>
                          <w:tab w:val="left" w:pos="900"/>
                        </w:tabs>
                        <w:spacing w:after="0" w:line="240" w:lineRule="auto"/>
                        <w:ind w:left="900" w:hanging="720"/>
                        <w:rPr>
                          <w:rFonts w:ascii="Century Gothic" w:hAnsi="Century Gothic"/>
                        </w:rPr>
                      </w:pPr>
                      <w:r w:rsidRPr="00FB0B83">
                        <w:rPr>
                          <w:rFonts w:ascii="Century Gothic" w:hAnsi="Century Gothic"/>
                        </w:rPr>
                        <w:t>(3)</w:t>
                      </w:r>
                      <w:r w:rsidRPr="00FB0B83">
                        <w:rPr>
                          <w:rFonts w:ascii="Century Gothic" w:hAnsi="Century Gothic"/>
                        </w:rPr>
                        <w:tab/>
                      </w:r>
                      <w:r w:rsidR="00CE076A" w:rsidRPr="0038792A">
                        <w:rPr>
                          <w:rFonts w:ascii="Century Gothic" w:hAnsi="Century Gothic"/>
                        </w:rPr>
                        <w:t xml:space="preserve">REVISED: </w:t>
                      </w:r>
                    </w:p>
                    <w:p w14:paraId="75E24B5C" w14:textId="0BF5EEE6" w:rsidR="00FB0B83" w:rsidRDefault="00FB0B83" w:rsidP="00FB0B83">
                      <w:pPr>
                        <w:spacing w:after="0" w:line="240" w:lineRule="auto"/>
                        <w:ind w:left="180"/>
                        <w:rPr>
                          <w:rFonts w:ascii="Century Gothic" w:hAnsi="Century Gothic"/>
                        </w:rPr>
                      </w:pPr>
                    </w:p>
                    <w:p w14:paraId="74DA94AA" w14:textId="65ABCF2B" w:rsidR="00FB0B83" w:rsidRDefault="00FB0B83" w:rsidP="00FB0B83">
                      <w:pPr>
                        <w:spacing w:after="0" w:line="240" w:lineRule="auto"/>
                        <w:ind w:left="180"/>
                        <w:rPr>
                          <w:rFonts w:ascii="Century Gothic" w:hAnsi="Century Gothic"/>
                        </w:rPr>
                      </w:pPr>
                    </w:p>
                    <w:p w14:paraId="0B37A3B4" w14:textId="77777777" w:rsidR="00FB0B83" w:rsidRDefault="00FB0B83" w:rsidP="00FB0B83">
                      <w:pPr>
                        <w:spacing w:after="0" w:line="240" w:lineRule="auto"/>
                        <w:ind w:left="180"/>
                        <w:rPr>
                          <w:rFonts w:ascii="Century Gothic" w:hAnsi="Century Gothic"/>
                        </w:rPr>
                      </w:pPr>
                    </w:p>
                    <w:p w14:paraId="17633014" w14:textId="2804518D" w:rsidR="00FB0B83" w:rsidRPr="00FB0B83" w:rsidRDefault="00FB0B83" w:rsidP="00FB0B83">
                      <w:pPr>
                        <w:spacing w:after="0" w:line="360" w:lineRule="auto"/>
                        <w:ind w:left="180"/>
                        <w:rPr>
                          <w:rFonts w:ascii="Century Gothic" w:hAnsi="Century Gothic"/>
                          <w:b/>
                          <w:u w:val="dotted"/>
                        </w:rPr>
                      </w:pPr>
                      <w:r>
                        <w:rPr>
                          <w:rFonts w:ascii="Century Gothic" w:hAnsi="Century Gothic"/>
                          <w:b/>
                          <w:u w:val="dotted"/>
                        </w:rPr>
                        <w:t xml:space="preserve"> 12 January 2024</w:t>
                      </w:r>
                      <w:r w:rsidRPr="00FB0B83">
                        <w:rPr>
                          <w:rFonts w:ascii="Century Gothic" w:hAnsi="Century Gothic"/>
                          <w:b/>
                          <w:u w:val="dotted"/>
                        </w:rPr>
                        <w:t xml:space="preserve">  </w:t>
                      </w:r>
                      <w:r w:rsidRPr="00FB0B83">
                        <w:rPr>
                          <w:rFonts w:ascii="Century Gothic" w:hAnsi="Century Gothic"/>
                          <w:b/>
                          <w:color w:val="FFFFFF" w:themeColor="background1"/>
                          <w:u w:val="dotted"/>
                        </w:rPr>
                        <w:t xml:space="preserve">                       </w:t>
                      </w:r>
                      <w:r>
                        <w:rPr>
                          <w:rFonts w:ascii="Century Gothic" w:hAnsi="Century Gothic"/>
                          <w:b/>
                          <w:u w:val="dotted"/>
                        </w:rPr>
                        <w:t>………………………….</w:t>
                      </w:r>
                    </w:p>
                    <w:p w14:paraId="6B979CD0" w14:textId="77777777" w:rsidR="00CE076A" w:rsidRPr="0038792A" w:rsidRDefault="00CE076A" w:rsidP="00631C1F">
                      <w:pPr>
                        <w:ind w:left="180"/>
                        <w:rPr>
                          <w:rFonts w:ascii="Century Gothic" w:hAnsi="Century Gothic"/>
                        </w:rPr>
                      </w:pP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SIGNATURE</w:t>
                      </w:r>
                    </w:p>
                    <w:p w14:paraId="3267C52F" w14:textId="77777777" w:rsidR="00CE076A" w:rsidRPr="0038792A" w:rsidRDefault="00CE076A" w:rsidP="00631C1F">
                      <w:pPr>
                        <w:rPr>
                          <w:rFonts w:ascii="Century Gothic" w:hAnsi="Century Gothic"/>
                        </w:rPr>
                      </w:pPr>
                    </w:p>
                    <w:p w14:paraId="52046C06" w14:textId="77777777" w:rsidR="00CE076A" w:rsidRDefault="00CE076A" w:rsidP="00631C1F">
                      <w:pPr>
                        <w:rPr>
                          <w:rFonts w:ascii="Century Gothic" w:hAnsi="Century Gothic"/>
                          <w:sz w:val="28"/>
                          <w:szCs w:val="28"/>
                        </w:rPr>
                      </w:pPr>
                    </w:p>
                    <w:p w14:paraId="0EB0F4C1" w14:textId="77777777" w:rsidR="00CE076A" w:rsidRDefault="00CE076A" w:rsidP="00631C1F">
                      <w:pPr>
                        <w:rPr>
                          <w:rFonts w:ascii="Century Gothic" w:hAnsi="Century Gothic"/>
                          <w:sz w:val="28"/>
                          <w:szCs w:val="28"/>
                        </w:rPr>
                      </w:pPr>
                    </w:p>
                    <w:p w14:paraId="35AA4A09" w14:textId="77777777" w:rsidR="00CE076A" w:rsidRDefault="00CE076A" w:rsidP="00631C1F">
                      <w:pPr>
                        <w:rPr>
                          <w:rFonts w:ascii="Century Gothic" w:hAnsi="Century Gothic"/>
                          <w:sz w:val="28"/>
                          <w:szCs w:val="28"/>
                        </w:rPr>
                      </w:pPr>
                      <w:r>
                        <w:rPr>
                          <w:rFonts w:ascii="Century Gothic" w:hAnsi="Century Gothic"/>
                          <w:sz w:val="28"/>
                          <w:szCs w:val="28"/>
                        </w:rPr>
                        <w:t>____________________        ____________________</w:t>
                      </w:r>
                    </w:p>
                    <w:p w14:paraId="60E6FE67" w14:textId="77777777" w:rsidR="00CE076A" w:rsidRDefault="00CE076A" w:rsidP="00631C1F">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8BAAC08" w14:textId="77777777" w:rsidR="00CE076A" w:rsidRDefault="00CE076A" w:rsidP="00631C1F">
                      <w:pPr>
                        <w:rPr>
                          <w:rFonts w:ascii="Century Gothic" w:hAnsi="Century Gothic"/>
                          <w:sz w:val="28"/>
                          <w:szCs w:val="28"/>
                        </w:rPr>
                      </w:pPr>
                    </w:p>
                    <w:p w14:paraId="4C6676FD" w14:textId="77777777" w:rsidR="00CE076A" w:rsidRDefault="00CE076A" w:rsidP="00631C1F">
                      <w:pPr>
                        <w:rPr>
                          <w:rFonts w:ascii="Century Gothic" w:hAnsi="Century Gothic"/>
                          <w:sz w:val="28"/>
                          <w:szCs w:val="28"/>
                        </w:rPr>
                      </w:pPr>
                    </w:p>
                    <w:p w14:paraId="11EF97B6" w14:textId="77777777" w:rsidR="00CE076A" w:rsidRDefault="00CE076A" w:rsidP="00631C1F">
                      <w:pPr>
                        <w:rPr>
                          <w:rFonts w:ascii="Century Gothic" w:hAnsi="Century Gothic"/>
                          <w:sz w:val="28"/>
                          <w:szCs w:val="28"/>
                        </w:rPr>
                      </w:pPr>
                    </w:p>
                    <w:p w14:paraId="2F9BE5C1" w14:textId="77777777" w:rsidR="00CE076A" w:rsidRPr="009533D5" w:rsidRDefault="00CE076A" w:rsidP="00631C1F">
                      <w:pPr>
                        <w:rPr>
                          <w:rFonts w:ascii="Century Gothic" w:hAnsi="Century Gothic"/>
                          <w:sz w:val="28"/>
                          <w:szCs w:val="28"/>
                        </w:rPr>
                      </w:pPr>
                    </w:p>
                    <w:p w14:paraId="0AC9DF47" w14:textId="77777777" w:rsidR="00CE076A" w:rsidRDefault="00CE076A" w:rsidP="00631C1F">
                      <w:pPr>
                        <w:rPr>
                          <w:rFonts w:ascii="Century Gothic" w:hAnsi="Century Gothic"/>
                          <w:b/>
                          <w:sz w:val="18"/>
                          <w:szCs w:val="18"/>
                        </w:rPr>
                      </w:pPr>
                    </w:p>
                    <w:p w14:paraId="7D87692D" w14:textId="77777777" w:rsidR="00CE076A" w:rsidRDefault="00CE076A" w:rsidP="00631C1F">
                      <w:pPr>
                        <w:rPr>
                          <w:rFonts w:ascii="Century Gothic" w:hAnsi="Century Gothic"/>
                          <w:b/>
                          <w:sz w:val="18"/>
                          <w:szCs w:val="18"/>
                        </w:rPr>
                      </w:pPr>
                    </w:p>
                    <w:p w14:paraId="4EDAE100" w14:textId="77777777" w:rsidR="00CE076A" w:rsidRDefault="00CE076A" w:rsidP="00631C1F">
                      <w:pPr>
                        <w:rPr>
                          <w:rFonts w:ascii="Century Gothic" w:hAnsi="Century Gothic"/>
                          <w:b/>
                          <w:sz w:val="18"/>
                          <w:szCs w:val="18"/>
                        </w:rPr>
                      </w:pPr>
                    </w:p>
                    <w:p w14:paraId="3DF6AE5E" w14:textId="77777777" w:rsidR="00CE076A" w:rsidRPr="00B93709" w:rsidRDefault="00CE076A" w:rsidP="00631C1F">
                      <w:pPr>
                        <w:rPr>
                          <w:rFonts w:ascii="Century Gothic" w:hAnsi="Century Gothic"/>
                          <w:b/>
                          <w:sz w:val="18"/>
                          <w:szCs w:val="18"/>
                        </w:rPr>
                      </w:pPr>
                    </w:p>
                    <w:p w14:paraId="3B8C1F2B" w14:textId="77777777" w:rsidR="00CE076A" w:rsidRPr="00B93709" w:rsidRDefault="00CE076A" w:rsidP="00631C1F">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16A20E51" w14:textId="77777777" w:rsidR="00631C1F" w:rsidRPr="00AF7474" w:rsidRDefault="00631C1F" w:rsidP="00631C1F">
      <w:pPr>
        <w:spacing w:line="360" w:lineRule="auto"/>
        <w:rPr>
          <w:rFonts w:ascii="Arial" w:hAnsi="Arial" w:cs="Arial"/>
          <w:color w:val="000000" w:themeColor="text1"/>
        </w:rPr>
      </w:pPr>
    </w:p>
    <w:p w14:paraId="620BF85D" w14:textId="77777777" w:rsidR="00631C1F" w:rsidRPr="00AF7474" w:rsidRDefault="00631C1F" w:rsidP="00631C1F">
      <w:pPr>
        <w:spacing w:line="360" w:lineRule="auto"/>
        <w:rPr>
          <w:rFonts w:ascii="Arial" w:hAnsi="Arial" w:cs="Arial"/>
          <w:color w:val="000000" w:themeColor="text1"/>
        </w:rPr>
      </w:pPr>
    </w:p>
    <w:p w14:paraId="0043F7CF" w14:textId="77777777" w:rsidR="00631C1F" w:rsidRPr="00AF7474" w:rsidRDefault="00631C1F" w:rsidP="00631C1F">
      <w:pPr>
        <w:spacing w:line="360" w:lineRule="auto"/>
        <w:jc w:val="right"/>
        <w:rPr>
          <w:rFonts w:ascii="Arial" w:hAnsi="Arial" w:cs="Arial"/>
          <w:color w:val="000000" w:themeColor="text1"/>
        </w:rPr>
      </w:pPr>
    </w:p>
    <w:p w14:paraId="4A866284" w14:textId="77777777" w:rsidR="00631C1F" w:rsidRPr="00AF7474" w:rsidRDefault="00631C1F" w:rsidP="00631C1F">
      <w:pPr>
        <w:spacing w:line="360" w:lineRule="auto"/>
        <w:rPr>
          <w:rFonts w:ascii="Arial" w:hAnsi="Arial" w:cs="Arial"/>
          <w:color w:val="000000" w:themeColor="text1"/>
        </w:rPr>
      </w:pPr>
    </w:p>
    <w:p w14:paraId="207E4324" w14:textId="77777777" w:rsidR="00631C1F" w:rsidRDefault="00631C1F" w:rsidP="00631C1F">
      <w:pPr>
        <w:rPr>
          <w:rFonts w:ascii="Arial" w:hAnsi="Arial" w:cs="Arial"/>
          <w:b/>
          <w:lang w:val="en-GB"/>
        </w:rPr>
      </w:pPr>
    </w:p>
    <w:p w14:paraId="26E26E22" w14:textId="77777777" w:rsidR="009621F1" w:rsidRPr="009621F1" w:rsidRDefault="009621F1" w:rsidP="004534EF">
      <w:pPr>
        <w:pStyle w:val="Title"/>
        <w:pBdr>
          <w:top w:val="single" w:sz="12" w:space="8" w:color="D55816" w:themeColor="accent2"/>
        </w:pBdr>
        <w:spacing w:line="480" w:lineRule="auto"/>
        <w:rPr>
          <w:rFonts w:ascii="Arial" w:hAnsi="Arial" w:cs="Arial"/>
          <w:color w:val="000000" w:themeColor="text1"/>
          <w:sz w:val="24"/>
        </w:rPr>
      </w:pPr>
    </w:p>
    <w:p w14:paraId="57A7CEB7" w14:textId="77777777" w:rsidR="009621F1" w:rsidRPr="009621F1" w:rsidRDefault="009621F1" w:rsidP="004534EF">
      <w:pPr>
        <w:pStyle w:val="Title"/>
        <w:pBdr>
          <w:top w:val="single" w:sz="12" w:space="8" w:color="D55816" w:themeColor="accent2"/>
        </w:pBdr>
        <w:tabs>
          <w:tab w:val="left" w:pos="7560"/>
        </w:tabs>
        <w:rPr>
          <w:rFonts w:ascii="Arial" w:hAnsi="Arial" w:cs="Arial"/>
          <w:color w:val="000000" w:themeColor="text1"/>
          <w:sz w:val="24"/>
        </w:rPr>
      </w:pPr>
      <w:r w:rsidRPr="009621F1">
        <w:rPr>
          <w:rFonts w:ascii="Arial" w:hAnsi="Arial" w:cs="Arial"/>
          <w:color w:val="000000" w:themeColor="text1"/>
          <w:sz w:val="24"/>
        </w:rPr>
        <w:t>Appeal Case No: A150/22</w:t>
      </w:r>
    </w:p>
    <w:p w14:paraId="5BB21D71" w14:textId="77777777" w:rsidR="009621F1" w:rsidRPr="009621F1" w:rsidRDefault="009621F1" w:rsidP="004534EF">
      <w:pPr>
        <w:pStyle w:val="Title"/>
        <w:pBdr>
          <w:top w:val="single" w:sz="12" w:space="8" w:color="D55816" w:themeColor="accent2"/>
        </w:pBdr>
        <w:tabs>
          <w:tab w:val="left" w:pos="7560"/>
        </w:tabs>
        <w:rPr>
          <w:rFonts w:ascii="Arial" w:hAnsi="Arial" w:cs="Arial"/>
          <w:color w:val="000000" w:themeColor="text1"/>
          <w:sz w:val="24"/>
        </w:rPr>
      </w:pPr>
      <w:r w:rsidRPr="009621F1">
        <w:rPr>
          <w:rFonts w:ascii="Arial" w:hAnsi="Arial" w:cs="Arial"/>
          <w:color w:val="000000" w:themeColor="text1"/>
          <w:sz w:val="24"/>
        </w:rPr>
        <w:t>Court</w:t>
      </w:r>
      <w:r w:rsidRPr="009621F1">
        <w:rPr>
          <w:rFonts w:ascii="Arial" w:hAnsi="Arial" w:cs="Arial"/>
          <w:i/>
          <w:color w:val="000000" w:themeColor="text1"/>
          <w:sz w:val="24"/>
        </w:rPr>
        <w:t xml:space="preserve"> A Quo</w:t>
      </w:r>
      <w:r w:rsidRPr="009621F1">
        <w:rPr>
          <w:rFonts w:ascii="Arial" w:hAnsi="Arial" w:cs="Arial"/>
          <w:color w:val="000000" w:themeColor="text1"/>
          <w:sz w:val="24"/>
        </w:rPr>
        <w:t xml:space="preserve"> Case Number: 794621/2018</w:t>
      </w:r>
    </w:p>
    <w:p w14:paraId="5B206585" w14:textId="1D1EFA91" w:rsidR="009621F1" w:rsidRPr="009621F1" w:rsidRDefault="009621F1" w:rsidP="00CE076A">
      <w:pPr>
        <w:spacing w:before="40" w:line="240" w:lineRule="auto"/>
        <w:rPr>
          <w:rFonts w:ascii="Arial" w:eastAsia="Calibri" w:hAnsi="Arial" w:cs="Arial"/>
          <w:color w:val="000000" w:themeColor="text1"/>
          <w:sz w:val="24"/>
          <w:szCs w:val="24"/>
        </w:rPr>
      </w:pPr>
    </w:p>
    <w:p w14:paraId="04E3879F" w14:textId="487F5D4C" w:rsidR="009621F1" w:rsidRPr="009621F1" w:rsidRDefault="009621F1" w:rsidP="00CE076A">
      <w:pPr>
        <w:pStyle w:val="Default"/>
        <w:rPr>
          <w:color w:val="000000" w:themeColor="text1"/>
        </w:rPr>
      </w:pPr>
      <w:r w:rsidRPr="009621F1">
        <w:rPr>
          <w:color w:val="000000" w:themeColor="text1"/>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260"/>
      </w:tblGrid>
      <w:tr w:rsidR="009621F1" w:rsidRPr="009621F1" w14:paraId="032DA4DB" w14:textId="77777777" w:rsidTr="00933E01">
        <w:tc>
          <w:tcPr>
            <w:tcW w:w="5529" w:type="dxa"/>
          </w:tcPr>
          <w:p w14:paraId="27D68C3F" w14:textId="77777777" w:rsidR="009621F1" w:rsidRPr="009621F1" w:rsidRDefault="009621F1" w:rsidP="007E4D7D">
            <w:pPr>
              <w:pStyle w:val="Myown"/>
              <w:widowControl w:val="0"/>
              <w:tabs>
                <w:tab w:val="clear" w:pos="709"/>
                <w:tab w:val="right" w:pos="7371"/>
              </w:tabs>
              <w:spacing w:before="0" w:after="0" w:line="240" w:lineRule="auto"/>
              <w:ind w:left="0" w:firstLine="0"/>
              <w:rPr>
                <w:rFonts w:ascii="Arial" w:hAnsi="Arial" w:cs="Arial"/>
                <w:b/>
                <w:color w:val="000000" w:themeColor="text1"/>
              </w:rPr>
            </w:pPr>
          </w:p>
          <w:p w14:paraId="6CCF0A2D" w14:textId="4F5F86E5" w:rsidR="009621F1" w:rsidRPr="009621F1" w:rsidRDefault="009621F1" w:rsidP="007E4D7D">
            <w:pPr>
              <w:pStyle w:val="Default"/>
              <w:rPr>
                <w:b/>
                <w:bCs/>
                <w:color w:val="000000" w:themeColor="text1"/>
              </w:rPr>
            </w:pPr>
            <w:r w:rsidRPr="009621F1">
              <w:rPr>
                <w:b/>
              </w:rPr>
              <w:t>LOMBARDY DEVELOPMENT (PTY) LIMITED</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5DC65084" w14:textId="77777777" w:rsidR="009621F1" w:rsidRPr="009621F1" w:rsidRDefault="009621F1" w:rsidP="007E4D7D">
            <w:pPr>
              <w:pStyle w:val="Default"/>
              <w:jc w:val="right"/>
              <w:rPr>
                <w:color w:val="000000" w:themeColor="text1"/>
              </w:rPr>
            </w:pPr>
          </w:p>
          <w:p w14:paraId="1C0BAEA6" w14:textId="77777777" w:rsidR="009621F1" w:rsidRDefault="009621F1" w:rsidP="007E4D7D">
            <w:pPr>
              <w:pStyle w:val="Default"/>
              <w:jc w:val="right"/>
            </w:pPr>
            <w:r w:rsidRPr="009621F1">
              <w:t>First App</w:t>
            </w:r>
            <w:r w:rsidR="00933E01">
              <w:t>ellant</w:t>
            </w:r>
          </w:p>
          <w:p w14:paraId="0737CFDA" w14:textId="77777777" w:rsidR="00933E01" w:rsidRPr="009621F1" w:rsidRDefault="00933E01" w:rsidP="007E4D7D">
            <w:pPr>
              <w:pStyle w:val="Default"/>
              <w:jc w:val="right"/>
              <w:rPr>
                <w:b/>
                <w:bCs/>
                <w:color w:val="000000" w:themeColor="text1"/>
              </w:rPr>
            </w:pPr>
          </w:p>
        </w:tc>
      </w:tr>
      <w:tr w:rsidR="009621F1" w:rsidRPr="009621F1" w14:paraId="6CF3BEDC" w14:textId="77777777" w:rsidTr="00933E01">
        <w:tc>
          <w:tcPr>
            <w:tcW w:w="5529" w:type="dxa"/>
          </w:tcPr>
          <w:p w14:paraId="091A240D" w14:textId="77777777" w:rsidR="009621F1" w:rsidRPr="009621F1" w:rsidRDefault="009621F1" w:rsidP="007E4D7D">
            <w:pPr>
              <w:pStyle w:val="Default"/>
              <w:rPr>
                <w:b/>
                <w:bCs/>
                <w:color w:val="000000" w:themeColor="text1"/>
              </w:rPr>
            </w:pPr>
          </w:p>
        </w:tc>
        <w:tc>
          <w:tcPr>
            <w:tcW w:w="3260" w:type="dxa"/>
          </w:tcPr>
          <w:p w14:paraId="4AE5CCEF" w14:textId="77777777" w:rsidR="009621F1" w:rsidRPr="009621F1" w:rsidRDefault="009621F1" w:rsidP="007E4D7D">
            <w:pPr>
              <w:pStyle w:val="Default"/>
              <w:rPr>
                <w:b/>
                <w:bCs/>
                <w:color w:val="000000" w:themeColor="text1"/>
                <w:highlight w:val="yellow"/>
              </w:rPr>
            </w:pPr>
          </w:p>
        </w:tc>
      </w:tr>
      <w:tr w:rsidR="009621F1" w:rsidRPr="009621F1" w14:paraId="1BAC81E6" w14:textId="77777777" w:rsidTr="00933E01">
        <w:tc>
          <w:tcPr>
            <w:tcW w:w="5529" w:type="dxa"/>
          </w:tcPr>
          <w:p w14:paraId="5DEDEADE" w14:textId="50F07201" w:rsidR="009621F1" w:rsidRPr="009621F1" w:rsidRDefault="009621F1" w:rsidP="007E4D7D">
            <w:pPr>
              <w:pStyle w:val="Default"/>
              <w:rPr>
                <w:b/>
                <w:bCs/>
                <w:color w:val="000000" w:themeColor="text1"/>
              </w:rPr>
            </w:pPr>
            <w:r w:rsidRPr="009621F1">
              <w:rPr>
                <w:b/>
              </w:rPr>
              <w:t>KARIN GELDENHUYS</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0B5824B0" w14:textId="77777777" w:rsidR="009621F1" w:rsidRDefault="00933E01" w:rsidP="007E4D7D">
            <w:pPr>
              <w:pStyle w:val="Default"/>
              <w:jc w:val="right"/>
            </w:pPr>
            <w:r>
              <w:t>Second Appellant</w:t>
            </w:r>
          </w:p>
          <w:p w14:paraId="4F8425D7" w14:textId="77777777" w:rsidR="00933E01" w:rsidRPr="00933E01" w:rsidRDefault="00933E01" w:rsidP="007E4D7D">
            <w:pPr>
              <w:pStyle w:val="Default"/>
              <w:rPr>
                <w:b/>
                <w:bCs/>
                <w:i/>
                <w:color w:val="000000" w:themeColor="text1"/>
              </w:rPr>
            </w:pPr>
          </w:p>
        </w:tc>
      </w:tr>
      <w:tr w:rsidR="009621F1" w:rsidRPr="009621F1" w14:paraId="2EA7EFB8" w14:textId="77777777" w:rsidTr="00933E01">
        <w:tc>
          <w:tcPr>
            <w:tcW w:w="5529" w:type="dxa"/>
          </w:tcPr>
          <w:p w14:paraId="44001166" w14:textId="77777777" w:rsidR="009621F1" w:rsidRPr="009621F1" w:rsidRDefault="009621F1" w:rsidP="007E4D7D">
            <w:pPr>
              <w:pStyle w:val="Default"/>
              <w:rPr>
                <w:b/>
              </w:rPr>
            </w:pPr>
          </w:p>
          <w:p w14:paraId="51A83C69" w14:textId="7C6D96CD" w:rsidR="009621F1" w:rsidRPr="009621F1" w:rsidRDefault="009621F1" w:rsidP="007E4D7D">
            <w:pPr>
              <w:pStyle w:val="Default"/>
              <w:rPr>
                <w:b/>
                <w:bCs/>
                <w:color w:val="000000" w:themeColor="text1"/>
              </w:rPr>
            </w:pPr>
            <w:r w:rsidRPr="009621F1">
              <w:rPr>
                <w:b/>
              </w:rPr>
              <w:t>JOHANNES FREDERIK GELDENHUYS</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3E22777D" w14:textId="77777777" w:rsidR="009621F1" w:rsidRPr="009621F1" w:rsidRDefault="009621F1" w:rsidP="007E4D7D">
            <w:pPr>
              <w:pStyle w:val="Default"/>
              <w:jc w:val="right"/>
            </w:pPr>
          </w:p>
          <w:p w14:paraId="4B4ECD1A" w14:textId="77777777" w:rsidR="009621F1" w:rsidRDefault="00933E01" w:rsidP="007E4D7D">
            <w:pPr>
              <w:pStyle w:val="Default"/>
              <w:jc w:val="right"/>
            </w:pPr>
            <w:r>
              <w:t>Third Appellant</w:t>
            </w:r>
          </w:p>
          <w:p w14:paraId="291F3E5B" w14:textId="77777777" w:rsidR="00933E01" w:rsidRPr="009621F1" w:rsidRDefault="00933E01" w:rsidP="007E4D7D">
            <w:pPr>
              <w:pStyle w:val="Default"/>
              <w:jc w:val="right"/>
              <w:rPr>
                <w:b/>
                <w:bCs/>
                <w:color w:val="000000" w:themeColor="text1"/>
              </w:rPr>
            </w:pPr>
          </w:p>
        </w:tc>
      </w:tr>
      <w:tr w:rsidR="009621F1" w:rsidRPr="009621F1" w14:paraId="575F0DC6" w14:textId="77777777" w:rsidTr="00933E01">
        <w:tc>
          <w:tcPr>
            <w:tcW w:w="5529" w:type="dxa"/>
          </w:tcPr>
          <w:p w14:paraId="7BA42455" w14:textId="77777777" w:rsidR="009621F1" w:rsidRPr="009621F1" w:rsidRDefault="009621F1" w:rsidP="007E4D7D">
            <w:pPr>
              <w:pStyle w:val="Default"/>
              <w:rPr>
                <w:b/>
              </w:rPr>
            </w:pPr>
          </w:p>
          <w:p w14:paraId="6312BD73" w14:textId="7880BADB" w:rsidR="009621F1" w:rsidRPr="009621F1" w:rsidRDefault="009621F1" w:rsidP="007E4D7D">
            <w:pPr>
              <w:pStyle w:val="Default"/>
              <w:rPr>
                <w:b/>
                <w:bCs/>
                <w:color w:val="000000" w:themeColor="text1"/>
              </w:rPr>
            </w:pPr>
            <w:r w:rsidRPr="009621F1">
              <w:rPr>
                <w:b/>
              </w:rPr>
              <w:t>CECILIA LOOTS</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60FAC642" w14:textId="77777777" w:rsidR="009621F1" w:rsidRPr="009621F1" w:rsidRDefault="009621F1" w:rsidP="007E4D7D">
            <w:pPr>
              <w:pStyle w:val="Default"/>
              <w:jc w:val="right"/>
            </w:pPr>
          </w:p>
          <w:p w14:paraId="0F94B7E2" w14:textId="77777777" w:rsidR="009621F1" w:rsidRPr="009621F1" w:rsidRDefault="009621F1" w:rsidP="007E4D7D">
            <w:pPr>
              <w:pStyle w:val="Default"/>
              <w:jc w:val="right"/>
              <w:rPr>
                <w:b/>
                <w:bCs/>
                <w:color w:val="000000" w:themeColor="text1"/>
              </w:rPr>
            </w:pPr>
            <w:r w:rsidRPr="009621F1">
              <w:t>Fourth App</w:t>
            </w:r>
            <w:r w:rsidR="00933E01">
              <w:t>ellant</w:t>
            </w:r>
          </w:p>
        </w:tc>
      </w:tr>
      <w:tr w:rsidR="009621F1" w:rsidRPr="009621F1" w14:paraId="22D9E26B" w14:textId="77777777" w:rsidTr="00933E01">
        <w:tc>
          <w:tcPr>
            <w:tcW w:w="5529" w:type="dxa"/>
          </w:tcPr>
          <w:p w14:paraId="74A0595E" w14:textId="77777777" w:rsidR="009621F1" w:rsidRPr="009621F1" w:rsidRDefault="009621F1" w:rsidP="007E4D7D">
            <w:pPr>
              <w:pStyle w:val="Default"/>
              <w:rPr>
                <w:b/>
              </w:rPr>
            </w:pPr>
          </w:p>
          <w:p w14:paraId="46914F54" w14:textId="303C8F6C" w:rsidR="009621F1" w:rsidRPr="009621F1" w:rsidRDefault="009621F1" w:rsidP="007E4D7D">
            <w:pPr>
              <w:pStyle w:val="Default"/>
              <w:rPr>
                <w:b/>
                <w:bCs/>
                <w:color w:val="000000" w:themeColor="text1"/>
              </w:rPr>
            </w:pPr>
            <w:r w:rsidRPr="009621F1">
              <w:rPr>
                <w:b/>
              </w:rPr>
              <w:t xml:space="preserve">LISA HOPKINSON </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4F9D1DCF" w14:textId="77777777" w:rsidR="009621F1" w:rsidRPr="009621F1" w:rsidRDefault="009621F1" w:rsidP="007E4D7D">
            <w:pPr>
              <w:pStyle w:val="Default"/>
              <w:jc w:val="center"/>
            </w:pPr>
          </w:p>
          <w:p w14:paraId="598D754D" w14:textId="77777777" w:rsidR="009621F1" w:rsidRPr="009621F1" w:rsidRDefault="00933E01" w:rsidP="007E4D7D">
            <w:pPr>
              <w:pStyle w:val="Default"/>
              <w:jc w:val="right"/>
              <w:rPr>
                <w:b/>
                <w:bCs/>
                <w:color w:val="000000" w:themeColor="text1"/>
              </w:rPr>
            </w:pPr>
            <w:r>
              <w:t>Fifth Appellant</w:t>
            </w:r>
          </w:p>
        </w:tc>
      </w:tr>
      <w:tr w:rsidR="009621F1" w:rsidRPr="009621F1" w14:paraId="6DB52C8F" w14:textId="77777777" w:rsidTr="00933E01">
        <w:tc>
          <w:tcPr>
            <w:tcW w:w="5529" w:type="dxa"/>
          </w:tcPr>
          <w:p w14:paraId="1BCFD560" w14:textId="77777777" w:rsidR="009621F1" w:rsidRPr="009621F1" w:rsidRDefault="009621F1" w:rsidP="007E4D7D">
            <w:pPr>
              <w:pStyle w:val="Default"/>
              <w:rPr>
                <w:b/>
              </w:rPr>
            </w:pPr>
          </w:p>
          <w:p w14:paraId="0F3987B0" w14:textId="0AC92E4D" w:rsidR="009621F1" w:rsidRPr="009621F1" w:rsidRDefault="009621F1" w:rsidP="007E4D7D">
            <w:pPr>
              <w:pStyle w:val="Default"/>
              <w:rPr>
                <w:b/>
                <w:bCs/>
                <w:color w:val="000000" w:themeColor="text1"/>
              </w:rPr>
            </w:pPr>
            <w:r w:rsidRPr="009621F1">
              <w:rPr>
                <w:b/>
              </w:rPr>
              <w:t>LYN CHER CALLE</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2D172D2D" w14:textId="77777777" w:rsidR="009621F1" w:rsidRPr="009621F1" w:rsidRDefault="009621F1" w:rsidP="007E4D7D">
            <w:pPr>
              <w:pStyle w:val="Default"/>
              <w:jc w:val="right"/>
            </w:pPr>
          </w:p>
          <w:p w14:paraId="6D2CE0B3" w14:textId="77777777" w:rsidR="009621F1" w:rsidRPr="009621F1" w:rsidRDefault="00933E01" w:rsidP="007E4D7D">
            <w:pPr>
              <w:pStyle w:val="Default"/>
              <w:jc w:val="right"/>
              <w:rPr>
                <w:b/>
                <w:bCs/>
                <w:color w:val="000000" w:themeColor="text1"/>
              </w:rPr>
            </w:pPr>
            <w:r>
              <w:t>Sixth Appellant</w:t>
            </w:r>
          </w:p>
        </w:tc>
      </w:tr>
      <w:tr w:rsidR="009621F1" w:rsidRPr="009621F1" w14:paraId="31D672E5" w14:textId="77777777" w:rsidTr="00933E01">
        <w:tc>
          <w:tcPr>
            <w:tcW w:w="5529" w:type="dxa"/>
          </w:tcPr>
          <w:p w14:paraId="5A7B5BC4" w14:textId="77777777" w:rsidR="009621F1" w:rsidRPr="009621F1" w:rsidRDefault="009621F1" w:rsidP="007E4D7D">
            <w:pPr>
              <w:pStyle w:val="Default"/>
              <w:rPr>
                <w:b/>
              </w:rPr>
            </w:pPr>
          </w:p>
          <w:p w14:paraId="497C44BF" w14:textId="5D8C0CF2" w:rsidR="009621F1" w:rsidRPr="009621F1" w:rsidRDefault="009621F1" w:rsidP="007E4D7D">
            <w:pPr>
              <w:pStyle w:val="Default"/>
              <w:rPr>
                <w:b/>
                <w:bCs/>
                <w:color w:val="000000" w:themeColor="text1"/>
              </w:rPr>
            </w:pPr>
            <w:r w:rsidRPr="009621F1">
              <w:rPr>
                <w:b/>
              </w:rPr>
              <w:t>EMILY MATHILDA BEZUIDENHOUT</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3F66255C" w14:textId="77777777" w:rsidR="009621F1" w:rsidRPr="009621F1" w:rsidRDefault="009621F1" w:rsidP="007E4D7D">
            <w:pPr>
              <w:pStyle w:val="Default"/>
              <w:jc w:val="right"/>
            </w:pPr>
          </w:p>
          <w:p w14:paraId="4CB40952" w14:textId="77777777" w:rsidR="009621F1" w:rsidRPr="009621F1" w:rsidRDefault="00933E01" w:rsidP="007E4D7D">
            <w:pPr>
              <w:pStyle w:val="Default"/>
              <w:jc w:val="right"/>
              <w:rPr>
                <w:b/>
                <w:bCs/>
                <w:color w:val="000000" w:themeColor="text1"/>
              </w:rPr>
            </w:pPr>
            <w:r>
              <w:t>Seventh Appellant</w:t>
            </w:r>
          </w:p>
        </w:tc>
      </w:tr>
      <w:tr w:rsidR="009621F1" w:rsidRPr="009621F1" w14:paraId="32DBBC1C" w14:textId="77777777" w:rsidTr="00933E01">
        <w:tc>
          <w:tcPr>
            <w:tcW w:w="5529" w:type="dxa"/>
          </w:tcPr>
          <w:p w14:paraId="0B028872" w14:textId="77777777" w:rsidR="009621F1" w:rsidRPr="00933E01" w:rsidRDefault="009621F1" w:rsidP="007E4D7D">
            <w:pPr>
              <w:pStyle w:val="Default"/>
              <w:rPr>
                <w:b/>
              </w:rPr>
            </w:pPr>
          </w:p>
          <w:p w14:paraId="7B393B4D" w14:textId="167C009C" w:rsidR="009621F1" w:rsidRPr="00933E01" w:rsidRDefault="00933E01" w:rsidP="007E4D7D">
            <w:pPr>
              <w:pStyle w:val="Default"/>
              <w:rPr>
                <w:b/>
                <w:bCs/>
                <w:color w:val="000000" w:themeColor="text1"/>
              </w:rPr>
            </w:pPr>
            <w:r w:rsidRPr="00933E01">
              <w:rPr>
                <w:b/>
              </w:rPr>
              <w:t>NICOLAAS MATHILDA BEZUIDENHOUT</w:t>
            </w:r>
            <w:r w:rsidR="009621F1" w:rsidRPr="00933E01">
              <w:rPr>
                <w:b/>
              </w:rPr>
              <w:fldChar w:fldCharType="begin"/>
            </w:r>
            <w:r w:rsidR="009621F1" w:rsidRPr="00933E01">
              <w:instrText xml:space="preserve"> SEQ CHAPTER \h \r 1</w:instrText>
            </w:r>
            <w:r w:rsidR="009621F1" w:rsidRPr="00933E01">
              <w:rPr>
                <w:b/>
              </w:rPr>
              <w:fldChar w:fldCharType="end"/>
            </w:r>
            <w:r w:rsidR="009621F1" w:rsidRPr="00933E01">
              <w:tab/>
            </w:r>
          </w:p>
        </w:tc>
        <w:tc>
          <w:tcPr>
            <w:tcW w:w="3260" w:type="dxa"/>
          </w:tcPr>
          <w:p w14:paraId="5DA4FA86" w14:textId="77777777" w:rsidR="009621F1" w:rsidRPr="00933E01" w:rsidRDefault="009621F1" w:rsidP="007E4D7D">
            <w:pPr>
              <w:pStyle w:val="Default"/>
              <w:jc w:val="right"/>
            </w:pPr>
          </w:p>
          <w:p w14:paraId="1D2BC2C5" w14:textId="77777777" w:rsidR="009621F1" w:rsidRPr="00933E01" w:rsidRDefault="00933E01" w:rsidP="007E4D7D">
            <w:pPr>
              <w:pStyle w:val="Default"/>
              <w:jc w:val="right"/>
              <w:rPr>
                <w:b/>
                <w:bCs/>
                <w:color w:val="000000" w:themeColor="text1"/>
              </w:rPr>
            </w:pPr>
            <w:r>
              <w:t>Eighth Appellant</w:t>
            </w:r>
          </w:p>
        </w:tc>
      </w:tr>
      <w:tr w:rsidR="009621F1" w:rsidRPr="009621F1" w14:paraId="7F0C69DD" w14:textId="77777777" w:rsidTr="00933E01">
        <w:tc>
          <w:tcPr>
            <w:tcW w:w="5529" w:type="dxa"/>
          </w:tcPr>
          <w:p w14:paraId="32CC4F05" w14:textId="77777777" w:rsidR="009621F1" w:rsidRPr="00933E01" w:rsidRDefault="009621F1" w:rsidP="007E4D7D">
            <w:pPr>
              <w:pStyle w:val="Default"/>
              <w:rPr>
                <w:b/>
              </w:rPr>
            </w:pPr>
          </w:p>
          <w:p w14:paraId="63004C47" w14:textId="0747F30C" w:rsidR="009621F1" w:rsidRPr="00933E01" w:rsidRDefault="00933E01" w:rsidP="007E4D7D">
            <w:pPr>
              <w:pStyle w:val="Default"/>
              <w:rPr>
                <w:b/>
                <w:bCs/>
                <w:color w:val="000000" w:themeColor="text1"/>
              </w:rPr>
            </w:pPr>
            <w:r w:rsidRPr="00933E01">
              <w:rPr>
                <w:b/>
              </w:rPr>
              <w:t>LIZA HAMMAN</w:t>
            </w:r>
            <w:r w:rsidR="009621F1" w:rsidRPr="00933E01">
              <w:rPr>
                <w:b/>
              </w:rPr>
              <w:fldChar w:fldCharType="begin"/>
            </w:r>
            <w:r w:rsidR="009621F1" w:rsidRPr="00933E01">
              <w:instrText xml:space="preserve"> SEQ CHAPTER \h \r 1</w:instrText>
            </w:r>
            <w:r w:rsidR="009621F1" w:rsidRPr="00933E01">
              <w:rPr>
                <w:b/>
              </w:rPr>
              <w:fldChar w:fldCharType="end"/>
            </w:r>
            <w:r w:rsidR="009621F1" w:rsidRPr="00933E01">
              <w:tab/>
            </w:r>
          </w:p>
        </w:tc>
        <w:tc>
          <w:tcPr>
            <w:tcW w:w="3260" w:type="dxa"/>
          </w:tcPr>
          <w:p w14:paraId="1D7B3B5A" w14:textId="77777777" w:rsidR="009621F1" w:rsidRPr="00933E01" w:rsidRDefault="009621F1" w:rsidP="007E4D7D">
            <w:pPr>
              <w:pStyle w:val="Default"/>
              <w:jc w:val="right"/>
            </w:pPr>
          </w:p>
          <w:p w14:paraId="1BA0B354" w14:textId="77777777" w:rsidR="009621F1" w:rsidRPr="00933E01" w:rsidRDefault="00933E01" w:rsidP="007E4D7D">
            <w:pPr>
              <w:pStyle w:val="Default"/>
              <w:jc w:val="right"/>
              <w:rPr>
                <w:b/>
                <w:bCs/>
                <w:color w:val="000000" w:themeColor="text1"/>
              </w:rPr>
            </w:pPr>
            <w:r>
              <w:t>Ninth Appellant</w:t>
            </w:r>
          </w:p>
        </w:tc>
      </w:tr>
      <w:tr w:rsidR="009621F1" w:rsidRPr="009621F1" w14:paraId="7D18DD7E" w14:textId="77777777" w:rsidTr="00933E01">
        <w:tc>
          <w:tcPr>
            <w:tcW w:w="5529" w:type="dxa"/>
          </w:tcPr>
          <w:p w14:paraId="1A464703" w14:textId="77777777" w:rsidR="009621F1" w:rsidRPr="00933E01" w:rsidRDefault="009621F1" w:rsidP="007E4D7D">
            <w:pPr>
              <w:pStyle w:val="Default"/>
              <w:rPr>
                <w:b/>
              </w:rPr>
            </w:pPr>
          </w:p>
          <w:p w14:paraId="151EFE28" w14:textId="3946D061" w:rsidR="009621F1" w:rsidRPr="00933E01" w:rsidRDefault="00933E01" w:rsidP="007E4D7D">
            <w:pPr>
              <w:pStyle w:val="Default"/>
              <w:rPr>
                <w:b/>
                <w:bCs/>
                <w:color w:val="000000" w:themeColor="text1"/>
              </w:rPr>
            </w:pPr>
            <w:r w:rsidRPr="00933E01">
              <w:rPr>
                <w:b/>
              </w:rPr>
              <w:t>HUGH ARUNDEL VAN DER WESTHUIZEN</w:t>
            </w:r>
            <w:r w:rsidR="009621F1" w:rsidRPr="00933E01">
              <w:rPr>
                <w:b/>
              </w:rPr>
              <w:fldChar w:fldCharType="begin"/>
            </w:r>
            <w:r w:rsidR="009621F1" w:rsidRPr="00933E01">
              <w:instrText xml:space="preserve"> SEQ CHAPTER \h \r 1</w:instrText>
            </w:r>
            <w:r w:rsidR="009621F1" w:rsidRPr="00933E01">
              <w:rPr>
                <w:b/>
              </w:rPr>
              <w:fldChar w:fldCharType="end"/>
            </w:r>
            <w:r w:rsidR="009621F1" w:rsidRPr="00933E01">
              <w:tab/>
            </w:r>
          </w:p>
        </w:tc>
        <w:tc>
          <w:tcPr>
            <w:tcW w:w="3260" w:type="dxa"/>
          </w:tcPr>
          <w:p w14:paraId="6109039F" w14:textId="77777777" w:rsidR="009621F1" w:rsidRPr="00933E01" w:rsidRDefault="009621F1" w:rsidP="007E4D7D">
            <w:pPr>
              <w:pStyle w:val="Default"/>
              <w:jc w:val="right"/>
            </w:pPr>
          </w:p>
          <w:p w14:paraId="31DCC25B" w14:textId="77777777" w:rsidR="009621F1" w:rsidRPr="00933E01" w:rsidRDefault="009621F1" w:rsidP="007E4D7D">
            <w:pPr>
              <w:pStyle w:val="Default"/>
              <w:jc w:val="right"/>
              <w:rPr>
                <w:b/>
                <w:bCs/>
                <w:color w:val="000000" w:themeColor="text1"/>
              </w:rPr>
            </w:pPr>
            <w:r w:rsidRPr="00933E01">
              <w:t xml:space="preserve">Tenth </w:t>
            </w:r>
            <w:r w:rsidR="00933E01">
              <w:t>Appellant</w:t>
            </w:r>
          </w:p>
        </w:tc>
      </w:tr>
      <w:tr w:rsidR="009621F1" w:rsidRPr="009621F1" w14:paraId="5CFF26DA" w14:textId="77777777" w:rsidTr="00933E01">
        <w:tc>
          <w:tcPr>
            <w:tcW w:w="5529" w:type="dxa"/>
          </w:tcPr>
          <w:p w14:paraId="3DF63312" w14:textId="77777777" w:rsidR="009621F1" w:rsidRPr="00933E01" w:rsidRDefault="009621F1" w:rsidP="007E4D7D">
            <w:pPr>
              <w:pStyle w:val="Default"/>
              <w:rPr>
                <w:b/>
              </w:rPr>
            </w:pPr>
          </w:p>
          <w:p w14:paraId="2911FC9A" w14:textId="75A18F24" w:rsidR="009621F1" w:rsidRPr="00933E01" w:rsidRDefault="009621F1" w:rsidP="007E4D7D">
            <w:pPr>
              <w:pStyle w:val="Default"/>
              <w:rPr>
                <w:b/>
                <w:bCs/>
                <w:color w:val="000000" w:themeColor="text1"/>
              </w:rPr>
            </w:pPr>
            <w:r w:rsidRPr="00933E01">
              <w:rPr>
                <w:b/>
              </w:rPr>
              <w:t xml:space="preserve">JOHAN SIEBERT VAN ONSELEN </w:t>
            </w:r>
            <w:r w:rsidRPr="00933E01">
              <w:rPr>
                <w:b/>
              </w:rPr>
              <w:fldChar w:fldCharType="begin"/>
            </w:r>
            <w:r w:rsidRPr="00933E01">
              <w:instrText xml:space="preserve"> SEQ CHAPTER \h \r 1</w:instrText>
            </w:r>
            <w:r w:rsidRPr="00933E01">
              <w:rPr>
                <w:b/>
              </w:rPr>
              <w:fldChar w:fldCharType="end"/>
            </w:r>
            <w:r w:rsidRPr="00933E01">
              <w:tab/>
            </w:r>
          </w:p>
        </w:tc>
        <w:tc>
          <w:tcPr>
            <w:tcW w:w="3260" w:type="dxa"/>
          </w:tcPr>
          <w:p w14:paraId="3214693A" w14:textId="77777777" w:rsidR="009621F1" w:rsidRPr="00933E01" w:rsidRDefault="009621F1" w:rsidP="007E4D7D">
            <w:pPr>
              <w:pStyle w:val="Default"/>
              <w:jc w:val="right"/>
            </w:pPr>
          </w:p>
          <w:p w14:paraId="5415A246" w14:textId="77777777" w:rsidR="009621F1" w:rsidRPr="00933E01" w:rsidRDefault="00933E01" w:rsidP="007E4D7D">
            <w:pPr>
              <w:pStyle w:val="Default"/>
              <w:jc w:val="right"/>
              <w:rPr>
                <w:b/>
                <w:bCs/>
                <w:color w:val="000000" w:themeColor="text1"/>
              </w:rPr>
            </w:pPr>
            <w:r>
              <w:t>Eleventh Appellant</w:t>
            </w:r>
          </w:p>
        </w:tc>
      </w:tr>
      <w:tr w:rsidR="009621F1" w:rsidRPr="009621F1" w14:paraId="102DC9C3" w14:textId="77777777" w:rsidTr="00933E01">
        <w:tc>
          <w:tcPr>
            <w:tcW w:w="5529" w:type="dxa"/>
          </w:tcPr>
          <w:p w14:paraId="438267B7" w14:textId="77777777" w:rsidR="009621F1" w:rsidRPr="009621F1" w:rsidRDefault="009621F1" w:rsidP="007E4D7D">
            <w:pPr>
              <w:pStyle w:val="Default"/>
              <w:rPr>
                <w:b/>
              </w:rPr>
            </w:pPr>
          </w:p>
          <w:p w14:paraId="7CD1AE3E" w14:textId="7D64A897" w:rsidR="009621F1" w:rsidRPr="009621F1" w:rsidRDefault="009621F1" w:rsidP="007E4D7D">
            <w:pPr>
              <w:pStyle w:val="Default"/>
              <w:rPr>
                <w:b/>
                <w:bCs/>
                <w:color w:val="000000" w:themeColor="text1"/>
              </w:rPr>
            </w:pPr>
            <w:r w:rsidRPr="009621F1">
              <w:rPr>
                <w:b/>
              </w:rPr>
              <w:t xml:space="preserve">MARION GRASSINI </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13168DC4" w14:textId="77777777" w:rsidR="009621F1" w:rsidRPr="009621F1" w:rsidRDefault="009621F1" w:rsidP="007E4D7D">
            <w:pPr>
              <w:pStyle w:val="Default"/>
              <w:jc w:val="right"/>
            </w:pPr>
          </w:p>
          <w:p w14:paraId="63495AD0" w14:textId="77777777" w:rsidR="009621F1" w:rsidRPr="009621F1" w:rsidRDefault="00933E01" w:rsidP="007E4D7D">
            <w:pPr>
              <w:pStyle w:val="Default"/>
              <w:jc w:val="right"/>
              <w:rPr>
                <w:b/>
                <w:bCs/>
                <w:color w:val="000000" w:themeColor="text1"/>
              </w:rPr>
            </w:pPr>
            <w:r>
              <w:t>Twelfth Appellant</w:t>
            </w:r>
          </w:p>
        </w:tc>
      </w:tr>
      <w:tr w:rsidR="009621F1" w:rsidRPr="009621F1" w14:paraId="033E6B71" w14:textId="77777777" w:rsidTr="00933E01">
        <w:tc>
          <w:tcPr>
            <w:tcW w:w="5529" w:type="dxa"/>
          </w:tcPr>
          <w:p w14:paraId="47A1FC68" w14:textId="77777777" w:rsidR="009621F1" w:rsidRPr="009621F1" w:rsidRDefault="009621F1" w:rsidP="007E4D7D">
            <w:pPr>
              <w:pStyle w:val="Default"/>
              <w:rPr>
                <w:b/>
              </w:rPr>
            </w:pPr>
          </w:p>
          <w:p w14:paraId="2C5CEEF5" w14:textId="5F047E9A" w:rsidR="009621F1" w:rsidRPr="009621F1" w:rsidRDefault="009621F1" w:rsidP="007E4D7D">
            <w:pPr>
              <w:pStyle w:val="Default"/>
              <w:rPr>
                <w:b/>
                <w:bCs/>
                <w:color w:val="000000" w:themeColor="text1"/>
              </w:rPr>
            </w:pPr>
            <w:r w:rsidRPr="009621F1">
              <w:rPr>
                <w:b/>
              </w:rPr>
              <w:t>CARLOS ARTURO GRASSINI</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04480A4B" w14:textId="77777777" w:rsidR="009621F1" w:rsidRPr="009621F1" w:rsidRDefault="009621F1" w:rsidP="007E4D7D">
            <w:pPr>
              <w:pStyle w:val="Default"/>
              <w:jc w:val="right"/>
            </w:pPr>
          </w:p>
          <w:p w14:paraId="5ABF9831" w14:textId="77777777" w:rsidR="009621F1" w:rsidRPr="009621F1" w:rsidRDefault="00933E01" w:rsidP="007E4D7D">
            <w:pPr>
              <w:pStyle w:val="Default"/>
              <w:jc w:val="right"/>
              <w:rPr>
                <w:b/>
                <w:bCs/>
                <w:color w:val="000000" w:themeColor="text1"/>
              </w:rPr>
            </w:pPr>
            <w:r>
              <w:t>Thirteenth Appellant</w:t>
            </w:r>
          </w:p>
        </w:tc>
      </w:tr>
      <w:tr w:rsidR="009621F1" w:rsidRPr="009621F1" w14:paraId="1F6D92D6" w14:textId="77777777" w:rsidTr="00933E01">
        <w:tc>
          <w:tcPr>
            <w:tcW w:w="5529" w:type="dxa"/>
          </w:tcPr>
          <w:p w14:paraId="0CAC8726" w14:textId="77777777" w:rsidR="009621F1" w:rsidRPr="009621F1" w:rsidRDefault="009621F1" w:rsidP="007E4D7D">
            <w:pPr>
              <w:pStyle w:val="Default"/>
              <w:rPr>
                <w:b/>
              </w:rPr>
            </w:pPr>
          </w:p>
          <w:p w14:paraId="51C98004" w14:textId="3DEF69C8" w:rsidR="009621F1" w:rsidRPr="009621F1" w:rsidRDefault="009621F1" w:rsidP="007E4D7D">
            <w:pPr>
              <w:pStyle w:val="Default"/>
              <w:rPr>
                <w:b/>
                <w:bCs/>
                <w:color w:val="000000" w:themeColor="text1"/>
              </w:rPr>
            </w:pPr>
            <w:r w:rsidRPr="009621F1">
              <w:rPr>
                <w:b/>
              </w:rPr>
              <w:t>MARCOS ARTURO GRASSINI</w:t>
            </w:r>
            <w:r w:rsidRPr="009621F1">
              <w:rPr>
                <w:b/>
              </w:rPr>
              <w:fldChar w:fldCharType="begin"/>
            </w:r>
            <w:r w:rsidRPr="009621F1">
              <w:instrText xml:space="preserve"> SEQ CHAPTER \h \r 1</w:instrText>
            </w:r>
            <w:r w:rsidRPr="009621F1">
              <w:rPr>
                <w:b/>
              </w:rPr>
              <w:fldChar w:fldCharType="end"/>
            </w:r>
            <w:r w:rsidRPr="009621F1">
              <w:tab/>
            </w:r>
          </w:p>
        </w:tc>
        <w:tc>
          <w:tcPr>
            <w:tcW w:w="3260" w:type="dxa"/>
          </w:tcPr>
          <w:p w14:paraId="3A4107AA" w14:textId="77777777" w:rsidR="009621F1" w:rsidRPr="009621F1" w:rsidRDefault="009621F1" w:rsidP="007E4D7D">
            <w:pPr>
              <w:pStyle w:val="Default"/>
              <w:jc w:val="right"/>
            </w:pPr>
          </w:p>
          <w:p w14:paraId="6BCFD6BA" w14:textId="77777777" w:rsidR="009621F1" w:rsidRPr="009621F1" w:rsidRDefault="00933E01" w:rsidP="007E4D7D">
            <w:pPr>
              <w:pStyle w:val="Default"/>
              <w:jc w:val="right"/>
              <w:rPr>
                <w:b/>
                <w:bCs/>
                <w:color w:val="000000" w:themeColor="text1"/>
              </w:rPr>
            </w:pPr>
            <w:r>
              <w:t>Fourteenth Appellant</w:t>
            </w:r>
          </w:p>
        </w:tc>
      </w:tr>
      <w:tr w:rsidR="009621F1" w:rsidRPr="009621F1" w14:paraId="242CBCAE" w14:textId="77777777" w:rsidTr="00933E01">
        <w:tc>
          <w:tcPr>
            <w:tcW w:w="5529" w:type="dxa"/>
          </w:tcPr>
          <w:p w14:paraId="49A6D98F" w14:textId="77777777" w:rsidR="009621F1" w:rsidRPr="009621F1" w:rsidRDefault="009621F1" w:rsidP="007E4D7D">
            <w:pPr>
              <w:pStyle w:val="Default"/>
              <w:rPr>
                <w:b/>
                <w:bCs/>
                <w:color w:val="000000" w:themeColor="text1"/>
              </w:rPr>
            </w:pPr>
          </w:p>
          <w:p w14:paraId="20F5172C" w14:textId="77777777" w:rsidR="009621F1" w:rsidRPr="009621F1" w:rsidRDefault="009621F1" w:rsidP="007E4D7D">
            <w:pPr>
              <w:pStyle w:val="Default"/>
              <w:rPr>
                <w:b/>
                <w:bCs/>
                <w:color w:val="000000" w:themeColor="text1"/>
              </w:rPr>
            </w:pPr>
          </w:p>
          <w:p w14:paraId="7586ACC0" w14:textId="77777777" w:rsidR="009621F1" w:rsidRPr="009621F1" w:rsidRDefault="009621F1" w:rsidP="007E4D7D">
            <w:pPr>
              <w:pStyle w:val="Default"/>
              <w:rPr>
                <w:b/>
                <w:bCs/>
                <w:color w:val="000000" w:themeColor="text1"/>
              </w:rPr>
            </w:pPr>
          </w:p>
          <w:p w14:paraId="4A9E43AD" w14:textId="77777777" w:rsidR="009621F1" w:rsidRPr="009621F1" w:rsidRDefault="009621F1" w:rsidP="007E4D7D">
            <w:pPr>
              <w:pStyle w:val="Default"/>
              <w:rPr>
                <w:b/>
                <w:bCs/>
                <w:color w:val="000000" w:themeColor="text1"/>
              </w:rPr>
            </w:pPr>
          </w:p>
        </w:tc>
        <w:tc>
          <w:tcPr>
            <w:tcW w:w="3260" w:type="dxa"/>
          </w:tcPr>
          <w:p w14:paraId="34971C7D" w14:textId="77777777" w:rsidR="009621F1" w:rsidRPr="009621F1" w:rsidRDefault="009621F1" w:rsidP="007E4D7D">
            <w:pPr>
              <w:pStyle w:val="Default"/>
              <w:rPr>
                <w:b/>
                <w:bCs/>
                <w:color w:val="000000" w:themeColor="text1"/>
                <w:highlight w:val="yellow"/>
              </w:rPr>
            </w:pPr>
          </w:p>
        </w:tc>
      </w:tr>
      <w:tr w:rsidR="009621F1" w:rsidRPr="009621F1" w14:paraId="0097E57C" w14:textId="77777777" w:rsidTr="00933E01">
        <w:tc>
          <w:tcPr>
            <w:tcW w:w="5529" w:type="dxa"/>
          </w:tcPr>
          <w:p w14:paraId="634F2DCF" w14:textId="77777777" w:rsidR="009621F1" w:rsidRPr="009621F1" w:rsidRDefault="009621F1" w:rsidP="007E4D7D">
            <w:pPr>
              <w:pStyle w:val="Default"/>
              <w:rPr>
                <w:color w:val="000000" w:themeColor="text1"/>
              </w:rPr>
            </w:pPr>
            <w:r w:rsidRPr="009621F1">
              <w:rPr>
                <w:color w:val="000000" w:themeColor="text1"/>
              </w:rPr>
              <w:t xml:space="preserve">and </w:t>
            </w:r>
          </w:p>
        </w:tc>
        <w:tc>
          <w:tcPr>
            <w:tcW w:w="3260" w:type="dxa"/>
          </w:tcPr>
          <w:p w14:paraId="6F9D4CCA" w14:textId="77777777" w:rsidR="009621F1" w:rsidRPr="009621F1" w:rsidRDefault="009621F1" w:rsidP="007E4D7D">
            <w:pPr>
              <w:pStyle w:val="Default"/>
              <w:jc w:val="right"/>
              <w:rPr>
                <w:b/>
                <w:bCs/>
                <w:color w:val="000000" w:themeColor="text1"/>
                <w:highlight w:val="yellow"/>
              </w:rPr>
            </w:pPr>
          </w:p>
        </w:tc>
      </w:tr>
      <w:tr w:rsidR="009621F1" w:rsidRPr="009621F1" w14:paraId="11CA936E" w14:textId="77777777" w:rsidTr="00933E01">
        <w:tc>
          <w:tcPr>
            <w:tcW w:w="5529" w:type="dxa"/>
          </w:tcPr>
          <w:p w14:paraId="5E4B8283" w14:textId="77777777" w:rsidR="009621F1" w:rsidRPr="009621F1" w:rsidRDefault="009621F1" w:rsidP="007E4D7D">
            <w:pPr>
              <w:pStyle w:val="Default"/>
              <w:rPr>
                <w:color w:val="000000" w:themeColor="text1"/>
              </w:rPr>
            </w:pPr>
          </w:p>
        </w:tc>
        <w:tc>
          <w:tcPr>
            <w:tcW w:w="3260" w:type="dxa"/>
          </w:tcPr>
          <w:p w14:paraId="11DACBD6" w14:textId="77777777" w:rsidR="009621F1" w:rsidRPr="009621F1" w:rsidRDefault="009621F1" w:rsidP="007E4D7D">
            <w:pPr>
              <w:pStyle w:val="Default"/>
              <w:jc w:val="right"/>
              <w:rPr>
                <w:b/>
                <w:bCs/>
                <w:color w:val="000000" w:themeColor="text1"/>
                <w:highlight w:val="yellow"/>
              </w:rPr>
            </w:pPr>
          </w:p>
        </w:tc>
      </w:tr>
      <w:tr w:rsidR="009621F1" w:rsidRPr="009621F1" w14:paraId="0E18965C" w14:textId="77777777" w:rsidTr="00933E01">
        <w:tc>
          <w:tcPr>
            <w:tcW w:w="5529" w:type="dxa"/>
          </w:tcPr>
          <w:p w14:paraId="2386AFC4" w14:textId="77777777" w:rsidR="009621F1" w:rsidRPr="009621F1" w:rsidRDefault="009621F1" w:rsidP="007E4D7D">
            <w:pPr>
              <w:rPr>
                <w:rFonts w:ascii="Arial" w:hAnsi="Arial" w:cs="Arial"/>
                <w:b/>
                <w:sz w:val="24"/>
                <w:szCs w:val="24"/>
              </w:rPr>
            </w:pPr>
            <w:r w:rsidRPr="009621F1">
              <w:rPr>
                <w:rFonts w:ascii="Arial" w:hAnsi="Arial" w:cs="Arial"/>
                <w:b/>
                <w:sz w:val="24"/>
                <w:szCs w:val="24"/>
              </w:rPr>
              <w:t>CITY OF TSHWANE METROPOLITAN</w:t>
            </w:r>
          </w:p>
          <w:p w14:paraId="0111ACA7" w14:textId="77777777" w:rsidR="009621F1" w:rsidRPr="009621F1" w:rsidRDefault="009621F1" w:rsidP="007E4D7D">
            <w:pPr>
              <w:rPr>
                <w:rFonts w:ascii="Arial" w:hAnsi="Arial" w:cs="Arial"/>
                <w:b/>
                <w:color w:val="000000" w:themeColor="text1"/>
                <w:sz w:val="24"/>
                <w:szCs w:val="24"/>
              </w:rPr>
            </w:pPr>
            <w:r w:rsidRPr="009621F1">
              <w:rPr>
                <w:rFonts w:ascii="Arial" w:hAnsi="Arial" w:cs="Arial"/>
                <w:b/>
                <w:sz w:val="24"/>
                <w:szCs w:val="24"/>
              </w:rPr>
              <w:t>MUNICIPALITY</w:t>
            </w:r>
          </w:p>
        </w:tc>
        <w:tc>
          <w:tcPr>
            <w:tcW w:w="3260" w:type="dxa"/>
          </w:tcPr>
          <w:p w14:paraId="1E1929DC" w14:textId="77777777" w:rsidR="009621F1" w:rsidRPr="009621F1" w:rsidRDefault="009621F1" w:rsidP="007E4D7D">
            <w:pPr>
              <w:pStyle w:val="Default"/>
              <w:jc w:val="right"/>
            </w:pPr>
          </w:p>
          <w:p w14:paraId="46679053" w14:textId="77777777" w:rsidR="009621F1" w:rsidRPr="009621F1" w:rsidRDefault="009621F1" w:rsidP="007E4D7D">
            <w:pPr>
              <w:pStyle w:val="Default"/>
              <w:jc w:val="right"/>
              <w:rPr>
                <w:color w:val="000000" w:themeColor="text1"/>
                <w:highlight w:val="yellow"/>
              </w:rPr>
            </w:pPr>
            <w:r w:rsidRPr="009621F1">
              <w:t>First Respondent</w:t>
            </w:r>
          </w:p>
        </w:tc>
      </w:tr>
      <w:tr w:rsidR="009621F1" w:rsidRPr="009621F1" w14:paraId="007EB0AD" w14:textId="77777777" w:rsidTr="00933E01">
        <w:tc>
          <w:tcPr>
            <w:tcW w:w="5529" w:type="dxa"/>
          </w:tcPr>
          <w:p w14:paraId="604D0D41" w14:textId="77777777" w:rsidR="009621F1" w:rsidRPr="009621F1" w:rsidRDefault="009621F1" w:rsidP="007E4D7D">
            <w:pPr>
              <w:pStyle w:val="Default"/>
              <w:rPr>
                <w:b/>
                <w:bCs/>
                <w:color w:val="000000" w:themeColor="text1"/>
                <w:highlight w:val="yellow"/>
              </w:rPr>
            </w:pPr>
          </w:p>
        </w:tc>
        <w:tc>
          <w:tcPr>
            <w:tcW w:w="3260" w:type="dxa"/>
          </w:tcPr>
          <w:p w14:paraId="07025B8C" w14:textId="77777777" w:rsidR="009621F1" w:rsidRPr="009621F1" w:rsidRDefault="009621F1" w:rsidP="007E4D7D">
            <w:pPr>
              <w:pStyle w:val="Default"/>
              <w:jc w:val="right"/>
              <w:rPr>
                <w:color w:val="000000" w:themeColor="text1"/>
                <w:highlight w:val="yellow"/>
              </w:rPr>
            </w:pPr>
          </w:p>
        </w:tc>
      </w:tr>
      <w:tr w:rsidR="009621F1" w:rsidRPr="009621F1" w14:paraId="3FEB0875" w14:textId="77777777" w:rsidTr="00933E01">
        <w:tc>
          <w:tcPr>
            <w:tcW w:w="5529" w:type="dxa"/>
          </w:tcPr>
          <w:p w14:paraId="174C93C6" w14:textId="77777777" w:rsidR="009621F1" w:rsidRPr="009621F1" w:rsidRDefault="009621F1" w:rsidP="007E4D7D">
            <w:pPr>
              <w:rPr>
                <w:rFonts w:ascii="Arial" w:hAnsi="Arial" w:cs="Arial"/>
                <w:b/>
                <w:sz w:val="24"/>
                <w:szCs w:val="24"/>
              </w:rPr>
            </w:pPr>
            <w:r w:rsidRPr="009621F1">
              <w:rPr>
                <w:rFonts w:ascii="Arial" w:hAnsi="Arial" w:cs="Arial"/>
                <w:b/>
                <w:sz w:val="24"/>
                <w:szCs w:val="24"/>
              </w:rPr>
              <w:t>MUNICIPALITY MANAGER OF TSHWANE</w:t>
            </w:r>
          </w:p>
          <w:p w14:paraId="6FCDCBE0" w14:textId="77777777" w:rsidR="009621F1" w:rsidRPr="009621F1" w:rsidRDefault="009621F1" w:rsidP="007E4D7D">
            <w:pPr>
              <w:rPr>
                <w:rFonts w:ascii="Arial" w:hAnsi="Arial" w:cs="Arial"/>
                <w:b/>
                <w:color w:val="000000" w:themeColor="text1"/>
                <w:sz w:val="24"/>
                <w:szCs w:val="24"/>
              </w:rPr>
            </w:pPr>
            <w:r w:rsidRPr="009621F1">
              <w:rPr>
                <w:rFonts w:ascii="Arial" w:hAnsi="Arial" w:cs="Arial"/>
                <w:b/>
                <w:sz w:val="24"/>
                <w:szCs w:val="24"/>
              </w:rPr>
              <w:t>METROPOLITAN MUNICIPALITY</w:t>
            </w:r>
          </w:p>
        </w:tc>
        <w:tc>
          <w:tcPr>
            <w:tcW w:w="3260" w:type="dxa"/>
          </w:tcPr>
          <w:p w14:paraId="45133784" w14:textId="77777777" w:rsidR="009621F1" w:rsidRPr="009621F1" w:rsidRDefault="009621F1" w:rsidP="007E4D7D">
            <w:pPr>
              <w:pStyle w:val="Default"/>
              <w:jc w:val="right"/>
              <w:rPr>
                <w:lang w:eastAsia="en-GB"/>
              </w:rPr>
            </w:pPr>
          </w:p>
          <w:p w14:paraId="0D458AD0" w14:textId="77777777" w:rsidR="009621F1" w:rsidRPr="009621F1" w:rsidRDefault="009621F1" w:rsidP="007E4D7D">
            <w:pPr>
              <w:pStyle w:val="Default"/>
              <w:jc w:val="right"/>
              <w:rPr>
                <w:color w:val="000000" w:themeColor="text1"/>
              </w:rPr>
            </w:pPr>
            <w:r w:rsidRPr="009621F1">
              <w:rPr>
                <w:lang w:eastAsia="en-GB"/>
              </w:rPr>
              <w:t>Second Respondent</w:t>
            </w:r>
          </w:p>
        </w:tc>
      </w:tr>
      <w:tr w:rsidR="009621F1" w:rsidRPr="009621F1" w14:paraId="485514DF" w14:textId="77777777" w:rsidTr="00933E01">
        <w:tc>
          <w:tcPr>
            <w:tcW w:w="5529" w:type="dxa"/>
          </w:tcPr>
          <w:p w14:paraId="36B04181" w14:textId="77777777" w:rsidR="009621F1" w:rsidRPr="009621F1" w:rsidRDefault="009621F1" w:rsidP="007E4D7D">
            <w:pPr>
              <w:pStyle w:val="Default"/>
              <w:rPr>
                <w:b/>
                <w:bCs/>
                <w:color w:val="000000" w:themeColor="text1"/>
                <w:highlight w:val="yellow"/>
              </w:rPr>
            </w:pPr>
          </w:p>
        </w:tc>
        <w:tc>
          <w:tcPr>
            <w:tcW w:w="3260" w:type="dxa"/>
          </w:tcPr>
          <w:p w14:paraId="22CDB2E7" w14:textId="77777777" w:rsidR="009621F1" w:rsidRPr="009621F1" w:rsidRDefault="009621F1" w:rsidP="007E4D7D">
            <w:pPr>
              <w:pStyle w:val="Default"/>
              <w:jc w:val="right"/>
              <w:rPr>
                <w:color w:val="000000" w:themeColor="text1"/>
              </w:rPr>
            </w:pPr>
          </w:p>
        </w:tc>
      </w:tr>
    </w:tbl>
    <w:p w14:paraId="030E7766" w14:textId="402D7A30" w:rsidR="009621F1" w:rsidRDefault="009621F1" w:rsidP="007E4D7D">
      <w:pPr>
        <w:pBdr>
          <w:bottom w:val="single" w:sz="12" w:space="1" w:color="auto"/>
        </w:pBdr>
        <w:spacing w:line="240" w:lineRule="auto"/>
        <w:rPr>
          <w:rFonts w:ascii="Arial" w:hAnsi="Arial" w:cs="Arial"/>
          <w:b/>
          <w:color w:val="000000" w:themeColor="text1"/>
        </w:rPr>
      </w:pPr>
    </w:p>
    <w:p w14:paraId="2BB54C0B" w14:textId="54AED8D0" w:rsidR="004534EF" w:rsidRDefault="004534EF" w:rsidP="007E4D7D">
      <w:pPr>
        <w:pBdr>
          <w:bottom w:val="single" w:sz="12" w:space="1" w:color="auto"/>
        </w:pBdr>
        <w:spacing w:line="240" w:lineRule="auto"/>
        <w:rPr>
          <w:rFonts w:ascii="Arial" w:hAnsi="Arial" w:cs="Arial"/>
          <w:b/>
          <w:color w:val="000000" w:themeColor="text1"/>
        </w:rPr>
      </w:pPr>
    </w:p>
    <w:p w14:paraId="216556C3" w14:textId="510AC026" w:rsidR="00C7022B" w:rsidRPr="00C7022B" w:rsidRDefault="00C7022B" w:rsidP="00C7022B">
      <w:pPr>
        <w:pBdr>
          <w:bottom w:val="single" w:sz="12" w:space="1" w:color="auto"/>
        </w:pBdr>
        <w:spacing w:line="360" w:lineRule="auto"/>
        <w:rPr>
          <w:rFonts w:ascii="Arial" w:hAnsi="Arial" w:cs="Arial"/>
          <w:color w:val="000000" w:themeColor="text1"/>
          <w:sz w:val="24"/>
          <w:szCs w:val="24"/>
        </w:rPr>
      </w:pPr>
      <w:r w:rsidRPr="00C7022B">
        <w:rPr>
          <w:rFonts w:ascii="Arial" w:hAnsi="Arial" w:cs="Arial"/>
          <w:b/>
          <w:i/>
          <w:color w:val="000000" w:themeColor="text1"/>
          <w:sz w:val="24"/>
          <w:szCs w:val="24"/>
        </w:rPr>
        <w:t>Summary</w:t>
      </w:r>
      <w:r w:rsidRPr="00C7022B">
        <w:rPr>
          <w:rFonts w:ascii="Arial" w:hAnsi="Arial" w:cs="Arial"/>
          <w:color w:val="000000" w:themeColor="text1"/>
          <w:sz w:val="24"/>
          <w:szCs w:val="24"/>
        </w:rPr>
        <w:t xml:space="preserve">:  Proceedings to enforce court order – retrospective recategorisation of properties for purposes of Local Government:  Municipal Property Rates Act 6 of 2004 in breach of court order – declaratory relief granted - Municipality’s failure meaningfully to engage with appellants in the face of a </w:t>
      </w:r>
      <w:r w:rsidRPr="00C7022B">
        <w:rPr>
          <w:rFonts w:ascii="Arial" w:hAnsi="Arial" w:cs="Arial"/>
          <w:i/>
          <w:color w:val="000000" w:themeColor="text1"/>
          <w:sz w:val="24"/>
          <w:szCs w:val="24"/>
        </w:rPr>
        <w:t xml:space="preserve">bona fide </w:t>
      </w:r>
      <w:r w:rsidRPr="00C7022B">
        <w:rPr>
          <w:rFonts w:ascii="Arial" w:hAnsi="Arial" w:cs="Arial"/>
          <w:color w:val="000000" w:themeColor="text1"/>
          <w:sz w:val="24"/>
          <w:szCs w:val="24"/>
        </w:rPr>
        <w:t>dispute about whether the Municipality</w:t>
      </w:r>
      <w:r w:rsidR="00A24EBF">
        <w:rPr>
          <w:rFonts w:ascii="Arial" w:hAnsi="Arial" w:cs="Arial"/>
          <w:color w:val="000000" w:themeColor="text1"/>
          <w:sz w:val="24"/>
          <w:szCs w:val="24"/>
        </w:rPr>
        <w:t xml:space="preserve"> had correctly complied with</w:t>
      </w:r>
      <w:r w:rsidRPr="00C7022B">
        <w:rPr>
          <w:rFonts w:ascii="Arial" w:hAnsi="Arial" w:cs="Arial"/>
          <w:color w:val="000000" w:themeColor="text1"/>
          <w:sz w:val="24"/>
          <w:szCs w:val="24"/>
        </w:rPr>
        <w:t xml:space="preserve"> order to credit accounts</w:t>
      </w:r>
      <w:r w:rsidR="00A24EBF">
        <w:rPr>
          <w:rFonts w:ascii="Arial" w:hAnsi="Arial" w:cs="Arial"/>
          <w:color w:val="000000" w:themeColor="text1"/>
          <w:sz w:val="24"/>
          <w:szCs w:val="24"/>
        </w:rPr>
        <w:t>,</w:t>
      </w:r>
      <w:r w:rsidRPr="00C7022B">
        <w:rPr>
          <w:rFonts w:ascii="Arial" w:hAnsi="Arial" w:cs="Arial"/>
          <w:color w:val="000000" w:themeColor="text1"/>
          <w:sz w:val="24"/>
          <w:szCs w:val="24"/>
        </w:rPr>
        <w:t xml:space="preserve"> in breach of duty to adhere to and take all steps necessary to give effect to the court order – section 172(1)(b) of the Constitution – relief akin to statement and debatement of account granted. </w:t>
      </w:r>
    </w:p>
    <w:p w14:paraId="68F1FECB" w14:textId="3FEBC9E9" w:rsidR="004534EF" w:rsidRDefault="00C7022B" w:rsidP="00C7022B">
      <w:pPr>
        <w:pBdr>
          <w:bottom w:val="single" w:sz="12" w:space="1" w:color="auto"/>
        </w:pBdr>
        <w:spacing w:line="360" w:lineRule="auto"/>
        <w:rPr>
          <w:rFonts w:ascii="Arial" w:hAnsi="Arial" w:cs="Arial"/>
          <w:b/>
          <w:color w:val="000000" w:themeColor="text1"/>
          <w:sz w:val="24"/>
          <w:szCs w:val="24"/>
        </w:rPr>
      </w:pPr>
      <w:r w:rsidRPr="00C7022B">
        <w:rPr>
          <w:rFonts w:ascii="Arial" w:hAnsi="Arial" w:cs="Arial"/>
          <w:color w:val="000000" w:themeColor="text1"/>
          <w:sz w:val="24"/>
          <w:szCs w:val="24"/>
        </w:rPr>
        <w:t xml:space="preserve">The Appellants appealed against a decision of this Court dismissing an application to declare the respondents in breach of their obligations to adhere to and take all necessary steps to give effect to orders granted in review proceedings in 2016 and to </w:t>
      </w:r>
      <w:r w:rsidRPr="00C7022B">
        <w:rPr>
          <w:rFonts w:ascii="Arial" w:hAnsi="Arial" w:cs="Arial"/>
          <w:color w:val="000000" w:themeColor="text1"/>
          <w:sz w:val="24"/>
          <w:szCs w:val="24"/>
        </w:rPr>
        <w:lastRenderedPageBreak/>
        <w:t xml:space="preserve">seek relief for contempt of court.  In the review proceedings, the Court set aside two valuation rolls, a 2012 special valuation roll (SVR) and a 2013 general valuation roll (GVR) pursuant to which the first respondent recategorised the appellants’ properties from residential to vacant resulting in significantly increased rates. It was common cause that the effect of the review orders was to require the respondents to credit the land-owners’ accounts to reflect the residential rate for the period of the 2012 SVR.  The 2013 GVR was remitted to the first respondent.  On an interpretation of the review orders, the Appeal Court held that after the 2013 GVR period had lapsed it was no longer open to the first respondent to recategorise the appellants’ properties as vacant.   The Appeal Court considered four issues and upheld the appeal.  Firstly, it held that the court </w:t>
      </w:r>
      <w:r w:rsidRPr="00C7022B">
        <w:rPr>
          <w:rFonts w:ascii="Arial" w:hAnsi="Arial" w:cs="Arial"/>
          <w:i/>
          <w:color w:val="000000" w:themeColor="text1"/>
          <w:sz w:val="24"/>
          <w:szCs w:val="24"/>
        </w:rPr>
        <w:t>a quo</w:t>
      </w:r>
      <w:r w:rsidRPr="00C7022B">
        <w:rPr>
          <w:rFonts w:ascii="Arial" w:hAnsi="Arial" w:cs="Arial"/>
          <w:color w:val="000000" w:themeColor="text1"/>
          <w:sz w:val="24"/>
          <w:szCs w:val="24"/>
        </w:rPr>
        <w:t xml:space="preserve"> erred when it concluded that the application was moot when the appellants abandoned the contempt of court relief because the compliance relief still presented a live controversy.  Secondly, the Appeal Court held that the court </w:t>
      </w:r>
      <w:r w:rsidRPr="00C7022B">
        <w:rPr>
          <w:rFonts w:ascii="Arial" w:hAnsi="Arial" w:cs="Arial"/>
          <w:i/>
          <w:color w:val="000000" w:themeColor="text1"/>
          <w:sz w:val="24"/>
          <w:szCs w:val="24"/>
        </w:rPr>
        <w:t xml:space="preserve">a quo </w:t>
      </w:r>
      <w:r w:rsidRPr="00C7022B">
        <w:rPr>
          <w:rFonts w:ascii="Arial" w:hAnsi="Arial" w:cs="Arial"/>
          <w:color w:val="000000" w:themeColor="text1"/>
          <w:sz w:val="24"/>
          <w:szCs w:val="24"/>
        </w:rPr>
        <w:t xml:space="preserve">had erred in concluding that the appellants had impermissibly sought to make their case out in reply.  Thirdly, the Appeal Court found that the first respondent was in breach of its constitution obligations to adhere to and take all steps necessary to give effect to the review orders both in respect of the 2012 SVR period and in respect of the 2013 GVR period.  In respect of the 2013 GVR period, the first respondent had retrospectively recategorised the appellants’ properties as vacant after the institution of proceedings in breach of the review orders by enacting a new extraordinary valuation roll (EVR).  In respect of the 2012 SVR period, the first respondent had failed meaningfully to engage with the appellants in the face of a </w:t>
      </w:r>
      <w:r w:rsidRPr="00C7022B">
        <w:rPr>
          <w:rFonts w:ascii="Arial" w:hAnsi="Arial" w:cs="Arial"/>
          <w:i/>
          <w:color w:val="000000" w:themeColor="text1"/>
          <w:sz w:val="24"/>
          <w:szCs w:val="24"/>
        </w:rPr>
        <w:t xml:space="preserve">bona fide </w:t>
      </w:r>
      <w:r w:rsidRPr="00C7022B">
        <w:rPr>
          <w:rFonts w:ascii="Arial" w:hAnsi="Arial" w:cs="Arial"/>
          <w:color w:val="000000" w:themeColor="text1"/>
          <w:sz w:val="24"/>
          <w:szCs w:val="24"/>
        </w:rPr>
        <w:t xml:space="preserve">dispute about whether the City had complied with the review orders and had thereby failed to all steps necessary to give effect thereto.  The fourth issue concerned what relief should be granted pursuant to section 172(1)(b) of the Constitution.  The court granted declaratory relief in respect of the 2013 GVR period in circumstances, </w:t>
      </w:r>
      <w:r w:rsidRPr="00C7022B">
        <w:rPr>
          <w:rFonts w:ascii="Arial" w:hAnsi="Arial" w:cs="Arial"/>
          <w:i/>
          <w:color w:val="000000" w:themeColor="text1"/>
          <w:sz w:val="24"/>
          <w:szCs w:val="24"/>
        </w:rPr>
        <w:t xml:space="preserve">inter alia </w:t>
      </w:r>
      <w:r w:rsidRPr="00C7022B">
        <w:rPr>
          <w:rFonts w:ascii="Arial" w:hAnsi="Arial" w:cs="Arial"/>
          <w:color w:val="000000" w:themeColor="text1"/>
          <w:sz w:val="24"/>
          <w:szCs w:val="24"/>
        </w:rPr>
        <w:t xml:space="preserve">where there are pending review proceedings impugning the EVR.  In respect of the 2012 SVR period, it granted relief akin to an order for a statement and debatement of account. </w:t>
      </w:r>
    </w:p>
    <w:p w14:paraId="53ADC30A" w14:textId="77777777" w:rsidR="00C7022B" w:rsidRDefault="00C7022B" w:rsidP="00C7022B">
      <w:pPr>
        <w:pBdr>
          <w:bottom w:val="single" w:sz="12" w:space="1" w:color="auto"/>
        </w:pBdr>
        <w:spacing w:line="360" w:lineRule="auto"/>
        <w:rPr>
          <w:rFonts w:ascii="Arial" w:hAnsi="Arial" w:cs="Arial"/>
          <w:b/>
          <w:color w:val="000000" w:themeColor="text1"/>
        </w:rPr>
      </w:pPr>
    </w:p>
    <w:p w14:paraId="5D072300" w14:textId="77777777" w:rsidR="009621F1" w:rsidRPr="008A13F1" w:rsidRDefault="009621F1" w:rsidP="007E4D7D">
      <w:pPr>
        <w:spacing w:before="240" w:after="0" w:line="240" w:lineRule="auto"/>
        <w:rPr>
          <w:rFonts w:ascii="Arial" w:hAnsi="Arial" w:cs="Arial"/>
          <w:b/>
          <w:color w:val="000000" w:themeColor="text1"/>
        </w:rPr>
      </w:pPr>
    </w:p>
    <w:p w14:paraId="75D69183" w14:textId="6325C9B2" w:rsidR="009621F1" w:rsidRDefault="00C7022B" w:rsidP="007E4D7D">
      <w:pPr>
        <w:pBdr>
          <w:bottom w:val="single" w:sz="12" w:space="1" w:color="auto"/>
        </w:pBd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ORDER</w:t>
      </w:r>
    </w:p>
    <w:p w14:paraId="3BB7934C" w14:textId="77777777" w:rsidR="00C7022B" w:rsidRDefault="00C7022B" w:rsidP="007E4D7D">
      <w:pPr>
        <w:pBdr>
          <w:bottom w:val="single" w:sz="12" w:space="1" w:color="auto"/>
        </w:pBdr>
        <w:spacing w:line="240" w:lineRule="auto"/>
        <w:jc w:val="center"/>
        <w:rPr>
          <w:rFonts w:ascii="Arial" w:hAnsi="Arial" w:cs="Arial"/>
          <w:b/>
          <w:color w:val="000000" w:themeColor="text1"/>
          <w:sz w:val="24"/>
          <w:szCs w:val="24"/>
        </w:rPr>
      </w:pPr>
    </w:p>
    <w:p w14:paraId="3F6C6735" w14:textId="08B83DD1" w:rsidR="00C7022B" w:rsidRPr="00A411C2" w:rsidRDefault="0052701D" w:rsidP="0052701D">
      <w:pPr>
        <w:pStyle w:val="1"/>
        <w:numPr>
          <w:ilvl w:val="0"/>
          <w:numId w:val="0"/>
        </w:numPr>
        <w:spacing w:line="360" w:lineRule="auto"/>
        <w:ind w:left="360" w:hanging="360"/>
      </w:pPr>
      <w:r w:rsidRPr="00A411C2">
        <w:rPr>
          <w:color w:val="auto"/>
          <w:szCs w:val="24"/>
        </w:rPr>
        <w:lastRenderedPageBreak/>
        <w:t>1.</w:t>
      </w:r>
      <w:r w:rsidRPr="00A411C2">
        <w:rPr>
          <w:color w:val="auto"/>
          <w:szCs w:val="24"/>
        </w:rPr>
        <w:tab/>
      </w:r>
      <w:r w:rsidR="00C7022B">
        <w:t xml:space="preserve">The </w:t>
      </w:r>
      <w:r w:rsidR="00C7022B" w:rsidRPr="00A411C2">
        <w:t>appeal is upheld.</w:t>
      </w:r>
    </w:p>
    <w:p w14:paraId="3CC02888" w14:textId="0BAD0C29" w:rsidR="00C7022B" w:rsidRPr="00A411C2" w:rsidRDefault="0052701D" w:rsidP="0052701D">
      <w:pPr>
        <w:pStyle w:val="1"/>
        <w:numPr>
          <w:ilvl w:val="0"/>
          <w:numId w:val="0"/>
        </w:numPr>
        <w:spacing w:line="360" w:lineRule="auto"/>
        <w:ind w:left="360" w:hanging="360"/>
      </w:pPr>
      <w:r w:rsidRPr="00A411C2">
        <w:rPr>
          <w:color w:val="auto"/>
          <w:szCs w:val="24"/>
        </w:rPr>
        <w:t>2.</w:t>
      </w:r>
      <w:r w:rsidRPr="00A411C2">
        <w:rPr>
          <w:color w:val="auto"/>
          <w:szCs w:val="24"/>
        </w:rPr>
        <w:tab/>
      </w:r>
      <w:r w:rsidR="00C7022B" w:rsidRPr="00A411C2">
        <w:t xml:space="preserve">The order granted by Tsatsi AJ is set aside and replaced with an order in the terms set out </w:t>
      </w:r>
      <w:r w:rsidR="00A24EBF">
        <w:t>below</w:t>
      </w:r>
      <w:r w:rsidR="00C7022B">
        <w:t>.</w:t>
      </w:r>
    </w:p>
    <w:p w14:paraId="32DFBFCD" w14:textId="58713FE5" w:rsidR="00C7022B" w:rsidRDefault="0052701D" w:rsidP="0052701D">
      <w:pPr>
        <w:pStyle w:val="1"/>
        <w:numPr>
          <w:ilvl w:val="0"/>
          <w:numId w:val="0"/>
        </w:numPr>
        <w:spacing w:line="360" w:lineRule="auto"/>
        <w:ind w:left="792" w:hanging="432"/>
      </w:pPr>
      <w:r>
        <w:t>2.1.</w:t>
      </w:r>
      <w:r>
        <w:tab/>
      </w:r>
      <w:r w:rsidR="00C7022B">
        <w:t xml:space="preserve">In relation to the first respondent’s adoption of the 2013 Extraordinary Valuation Roll, it is declared that the first </w:t>
      </w:r>
      <w:r w:rsidR="00A24EBF">
        <w:t>respondent is in breach of the constitutional obligation</w:t>
      </w:r>
      <w:r w:rsidR="00C7022B">
        <w:t xml:space="preserve"> to adhere to and take all necessary steps to give effect to the court order handed down by Tuchten J on 31 May 2016 under case number 40019/2013, confirmed by the Supreme Court of Appeal on 31 May 2018 under case number 724/2017.</w:t>
      </w:r>
    </w:p>
    <w:p w14:paraId="4CCDDF82" w14:textId="3340CFD0" w:rsidR="00C7022B" w:rsidRDefault="0052701D" w:rsidP="0052701D">
      <w:pPr>
        <w:pStyle w:val="1"/>
        <w:numPr>
          <w:ilvl w:val="0"/>
          <w:numId w:val="0"/>
        </w:numPr>
        <w:spacing w:line="360" w:lineRule="auto"/>
        <w:ind w:left="792" w:hanging="432"/>
      </w:pPr>
      <w:r>
        <w:t>2.2.</w:t>
      </w:r>
      <w:r>
        <w:tab/>
      </w:r>
      <w:r w:rsidR="00C7022B">
        <w:t>In relation to the first respondent’s passing of credits on the applicant’s accounts for the period of the 2012 Special Valuation Roll:</w:t>
      </w:r>
    </w:p>
    <w:p w14:paraId="1104555F" w14:textId="25290F68" w:rsidR="00C7022B" w:rsidRDefault="0052701D" w:rsidP="0052701D">
      <w:pPr>
        <w:pStyle w:val="2"/>
        <w:numPr>
          <w:ilvl w:val="0"/>
          <w:numId w:val="0"/>
        </w:numPr>
        <w:spacing w:line="360" w:lineRule="auto"/>
        <w:ind w:left="1224" w:hanging="504"/>
      </w:pPr>
      <w:r>
        <w:t>2.2.1.</w:t>
      </w:r>
      <w:r>
        <w:tab/>
      </w:r>
      <w:r w:rsidR="00C7022B">
        <w:t>The first respondent is ordered to furnish each of the applicants with a written account in terms of section 27(1) of the Local Government: Municipal Property Rates Act 6 of 2004, which written account must specify the amount due for rates payable; the date on or before which the amount is payable; how the amount was calculated; the market value of the property; and any other relevant information required to understand the basis upon which the amount payable was calculated.</w:t>
      </w:r>
    </w:p>
    <w:p w14:paraId="6E4BDA80" w14:textId="1D6ACC37" w:rsidR="00C7022B" w:rsidRPr="004263BF" w:rsidRDefault="0052701D" w:rsidP="0052701D">
      <w:pPr>
        <w:pStyle w:val="2"/>
        <w:numPr>
          <w:ilvl w:val="0"/>
          <w:numId w:val="0"/>
        </w:numPr>
        <w:spacing w:line="360" w:lineRule="auto"/>
        <w:ind w:left="1224" w:hanging="504"/>
      </w:pPr>
      <w:r w:rsidRPr="004263BF">
        <w:t>2.2.2.</w:t>
      </w:r>
      <w:r w:rsidRPr="004263BF">
        <w:tab/>
      </w:r>
      <w:r w:rsidR="00C7022B">
        <w:t xml:space="preserve">The accounts must be provided to each of </w:t>
      </w:r>
      <w:r w:rsidR="00C7022B" w:rsidRPr="00D21BA7">
        <w:rPr>
          <w:rFonts w:cs="Arial"/>
          <w:color w:val="313131"/>
          <w:szCs w:val="24"/>
        </w:rPr>
        <w:t>the applicants within 30 days of this order.</w:t>
      </w:r>
    </w:p>
    <w:p w14:paraId="6F0A5B28" w14:textId="3BC205F1" w:rsidR="00C7022B" w:rsidRDefault="0052701D" w:rsidP="0052701D">
      <w:pPr>
        <w:pStyle w:val="2"/>
        <w:numPr>
          <w:ilvl w:val="0"/>
          <w:numId w:val="0"/>
        </w:numPr>
        <w:spacing w:line="360" w:lineRule="auto"/>
        <w:ind w:left="1224" w:hanging="504"/>
      </w:pPr>
      <w:r>
        <w:t>2.2.3.</w:t>
      </w:r>
      <w:r>
        <w:tab/>
      </w:r>
      <w:r w:rsidR="00C7022B">
        <w:t>The first respondent is directed to debate the adequacy of the accounts with the applicants within one month from the date on which it is rendered.</w:t>
      </w:r>
    </w:p>
    <w:p w14:paraId="7B57F4B4" w14:textId="5F863C3E" w:rsidR="00C7022B" w:rsidRDefault="0052701D" w:rsidP="0052701D">
      <w:pPr>
        <w:pStyle w:val="2"/>
        <w:numPr>
          <w:ilvl w:val="0"/>
          <w:numId w:val="0"/>
        </w:numPr>
        <w:spacing w:line="360" w:lineRule="auto"/>
        <w:ind w:left="1224" w:hanging="504"/>
      </w:pPr>
      <w:r>
        <w:t>2.2.4.</w:t>
      </w:r>
      <w:r>
        <w:tab/>
      </w:r>
      <w:r w:rsidR="00C7022B">
        <w:t>The debatement of account referred to above may take place before a judge of the Gauteng Division of the High Court alternatively an arbitrator appointed by agreement between the applicants and the respondents.</w:t>
      </w:r>
    </w:p>
    <w:p w14:paraId="7853A23C" w14:textId="755BD84F" w:rsidR="00C7022B" w:rsidRDefault="0052701D" w:rsidP="0052701D">
      <w:pPr>
        <w:pStyle w:val="2"/>
        <w:numPr>
          <w:ilvl w:val="0"/>
          <w:numId w:val="0"/>
        </w:numPr>
        <w:spacing w:line="360" w:lineRule="auto"/>
        <w:ind w:left="792" w:hanging="432"/>
      </w:pPr>
      <w:r>
        <w:t>2.3.</w:t>
      </w:r>
      <w:r>
        <w:tab/>
      </w:r>
      <w:r w:rsidR="00C7022B">
        <w:t>The applicants are authorised to re-enrol the matter for further relief on supplemented papers.</w:t>
      </w:r>
    </w:p>
    <w:p w14:paraId="3B83D9F3" w14:textId="47B13C1C" w:rsidR="00C7022B" w:rsidRDefault="0052701D" w:rsidP="0052701D">
      <w:pPr>
        <w:pStyle w:val="2"/>
        <w:numPr>
          <w:ilvl w:val="0"/>
          <w:numId w:val="0"/>
        </w:numPr>
        <w:spacing w:line="360" w:lineRule="auto"/>
        <w:ind w:left="792" w:hanging="432"/>
      </w:pPr>
      <w:r>
        <w:lastRenderedPageBreak/>
        <w:t>2.4.</w:t>
      </w:r>
      <w:r>
        <w:tab/>
      </w:r>
      <w:r w:rsidR="00C7022B">
        <w:t>The costs of the application are to be paid by the first respondent.</w:t>
      </w:r>
    </w:p>
    <w:p w14:paraId="4C4D0662" w14:textId="654FF685" w:rsidR="00C7022B" w:rsidRDefault="0052701D" w:rsidP="0052701D">
      <w:pPr>
        <w:pStyle w:val="2"/>
        <w:numPr>
          <w:ilvl w:val="0"/>
          <w:numId w:val="0"/>
        </w:numPr>
        <w:spacing w:line="360" w:lineRule="auto"/>
        <w:ind w:left="360" w:hanging="360"/>
      </w:pPr>
      <w:r>
        <w:rPr>
          <w:color w:val="auto"/>
          <w:szCs w:val="24"/>
        </w:rPr>
        <w:t>3.</w:t>
      </w:r>
      <w:r>
        <w:rPr>
          <w:color w:val="auto"/>
          <w:szCs w:val="24"/>
        </w:rPr>
        <w:tab/>
      </w:r>
      <w:r w:rsidR="00C7022B">
        <w:t>The costs of the appeal are to be paid by the first respondent.</w:t>
      </w:r>
    </w:p>
    <w:p w14:paraId="41FAC5E7" w14:textId="77777777" w:rsidR="00C7022B" w:rsidRDefault="00C7022B" w:rsidP="00C7022B">
      <w:pPr>
        <w:spacing w:line="360" w:lineRule="auto"/>
        <w:rPr>
          <w:rFonts w:ascii="Arial" w:hAnsi="Arial" w:cs="Arial"/>
          <w:b/>
          <w:sz w:val="24"/>
          <w:szCs w:val="24"/>
        </w:rPr>
      </w:pPr>
    </w:p>
    <w:p w14:paraId="545BA262" w14:textId="1ED784C9" w:rsidR="00941445" w:rsidRDefault="00941445" w:rsidP="00C7022B">
      <w:pPr>
        <w:spacing w:line="240" w:lineRule="auto"/>
        <w:jc w:val="left"/>
        <w:rPr>
          <w:rFonts w:ascii="Arial" w:hAnsi="Arial" w:cs="Arial"/>
          <w:bCs/>
          <w:color w:val="000000" w:themeColor="text1"/>
          <w:sz w:val="24"/>
          <w:szCs w:val="24"/>
        </w:rPr>
      </w:pPr>
    </w:p>
    <w:p w14:paraId="4D0DCA8A" w14:textId="00D6A7D8" w:rsidR="00C7022B" w:rsidRDefault="00C7022B" w:rsidP="007E4D7D">
      <w:pPr>
        <w:spacing w:line="240" w:lineRule="auto"/>
        <w:jc w:val="center"/>
        <w:rPr>
          <w:rFonts w:ascii="Arial" w:hAnsi="Arial" w:cs="Arial"/>
          <w:bCs/>
          <w:color w:val="000000" w:themeColor="text1"/>
          <w:sz w:val="24"/>
          <w:szCs w:val="24"/>
        </w:rPr>
      </w:pPr>
    </w:p>
    <w:p w14:paraId="45F1B141" w14:textId="2115DFE9" w:rsidR="00C7022B" w:rsidRDefault="00C7022B" w:rsidP="007E4D7D">
      <w:pPr>
        <w:spacing w:line="240" w:lineRule="auto"/>
        <w:jc w:val="center"/>
        <w:rPr>
          <w:rFonts w:ascii="Arial" w:hAnsi="Arial" w:cs="Arial"/>
          <w:bCs/>
          <w:color w:val="000000" w:themeColor="text1"/>
          <w:sz w:val="24"/>
          <w:szCs w:val="24"/>
        </w:rPr>
      </w:pPr>
    </w:p>
    <w:p w14:paraId="5F3BAB16" w14:textId="77777777" w:rsidR="00C7022B" w:rsidRPr="009621F1" w:rsidRDefault="00C7022B" w:rsidP="007E4D7D">
      <w:pPr>
        <w:spacing w:line="240" w:lineRule="auto"/>
        <w:jc w:val="center"/>
        <w:rPr>
          <w:rFonts w:ascii="Arial" w:hAnsi="Arial" w:cs="Arial"/>
          <w:bCs/>
          <w:color w:val="000000" w:themeColor="text1"/>
          <w:sz w:val="24"/>
          <w:szCs w:val="24"/>
        </w:rPr>
      </w:pPr>
    </w:p>
    <w:p w14:paraId="43994F9E" w14:textId="0436E45F" w:rsidR="005F5DB2" w:rsidRDefault="005F5DB2" w:rsidP="007E4D7D">
      <w:pPr>
        <w:pBdr>
          <w:top w:val="single" w:sz="12" w:space="1" w:color="auto"/>
          <w:bottom w:val="single" w:sz="12" w:space="1" w:color="auto"/>
        </w:pBdr>
        <w:spacing w:line="240" w:lineRule="auto"/>
        <w:rPr>
          <w:rFonts w:ascii="Arial" w:hAnsi="Arial" w:cs="Arial"/>
          <w:sz w:val="24"/>
          <w:szCs w:val="24"/>
        </w:rPr>
      </w:pPr>
    </w:p>
    <w:p w14:paraId="48E3C0EA" w14:textId="7952162F" w:rsidR="00C7022B" w:rsidRPr="00C7022B" w:rsidRDefault="00C7022B" w:rsidP="00C7022B">
      <w:pPr>
        <w:pBdr>
          <w:top w:val="single" w:sz="12" w:space="1" w:color="auto"/>
          <w:bottom w:val="single" w:sz="12" w:space="1" w:color="auto"/>
        </w:pBdr>
        <w:spacing w:line="240" w:lineRule="auto"/>
        <w:jc w:val="center"/>
        <w:rPr>
          <w:rFonts w:ascii="Arial" w:hAnsi="Arial" w:cs="Arial"/>
          <w:b/>
          <w:sz w:val="24"/>
          <w:szCs w:val="24"/>
        </w:rPr>
      </w:pPr>
      <w:r w:rsidRPr="00C7022B">
        <w:rPr>
          <w:rFonts w:ascii="Arial" w:hAnsi="Arial" w:cs="Arial"/>
          <w:b/>
          <w:sz w:val="24"/>
          <w:szCs w:val="24"/>
        </w:rPr>
        <w:t>JUDGMENT</w:t>
      </w:r>
    </w:p>
    <w:p w14:paraId="1D667E84" w14:textId="77777777" w:rsidR="00C7022B" w:rsidRDefault="00C7022B" w:rsidP="007E4D7D">
      <w:pPr>
        <w:pBdr>
          <w:top w:val="single" w:sz="12" w:space="1" w:color="auto"/>
          <w:bottom w:val="single" w:sz="12" w:space="1" w:color="auto"/>
        </w:pBdr>
        <w:spacing w:line="240" w:lineRule="auto"/>
        <w:rPr>
          <w:rFonts w:ascii="Arial" w:hAnsi="Arial" w:cs="Arial"/>
          <w:sz w:val="24"/>
          <w:szCs w:val="24"/>
        </w:rPr>
      </w:pPr>
    </w:p>
    <w:p w14:paraId="741CE6D6" w14:textId="33D24438" w:rsidR="00C7022B" w:rsidRDefault="00C7022B">
      <w:pPr>
        <w:rPr>
          <w:rFonts w:ascii="Arial" w:hAnsi="Arial" w:cs="Arial"/>
          <w:b/>
          <w:sz w:val="24"/>
          <w:szCs w:val="24"/>
        </w:rPr>
      </w:pPr>
    </w:p>
    <w:p w14:paraId="6B903225" w14:textId="2BAEBF16" w:rsidR="002B30FD" w:rsidRDefault="002B30FD">
      <w:pPr>
        <w:rPr>
          <w:rFonts w:ascii="Arial" w:hAnsi="Arial" w:cs="Arial"/>
          <w:b/>
          <w:sz w:val="24"/>
          <w:szCs w:val="24"/>
        </w:rPr>
      </w:pPr>
      <w:r w:rsidRPr="002B30FD">
        <w:rPr>
          <w:rFonts w:ascii="Arial" w:hAnsi="Arial" w:cs="Arial"/>
          <w:b/>
          <w:sz w:val="24"/>
          <w:szCs w:val="24"/>
        </w:rPr>
        <w:t>COWEN J</w:t>
      </w:r>
      <w:r w:rsidR="00933E01">
        <w:rPr>
          <w:rFonts w:ascii="Arial" w:hAnsi="Arial" w:cs="Arial"/>
          <w:b/>
          <w:sz w:val="24"/>
          <w:szCs w:val="24"/>
        </w:rPr>
        <w:t xml:space="preserve"> </w:t>
      </w:r>
      <w:r w:rsidR="00941445">
        <w:rPr>
          <w:rFonts w:ascii="Arial" w:hAnsi="Arial" w:cs="Arial"/>
          <w:b/>
          <w:sz w:val="24"/>
          <w:szCs w:val="24"/>
        </w:rPr>
        <w:t>(Molopa</w:t>
      </w:r>
      <w:r w:rsidR="00CE7CB4">
        <w:rPr>
          <w:rFonts w:ascii="Arial" w:hAnsi="Arial" w:cs="Arial"/>
          <w:b/>
          <w:sz w:val="24"/>
          <w:szCs w:val="24"/>
        </w:rPr>
        <w:t>-Sethosa</w:t>
      </w:r>
      <w:r w:rsidR="00941445">
        <w:rPr>
          <w:rFonts w:ascii="Arial" w:hAnsi="Arial" w:cs="Arial"/>
          <w:b/>
          <w:sz w:val="24"/>
          <w:szCs w:val="24"/>
        </w:rPr>
        <w:t xml:space="preserve"> J and Mkhabela AJ concurring)</w:t>
      </w:r>
    </w:p>
    <w:p w14:paraId="15E095CD" w14:textId="77777777" w:rsidR="002B30FD" w:rsidRDefault="002B30FD" w:rsidP="00CE076A">
      <w:pPr>
        <w:spacing w:line="240" w:lineRule="auto"/>
        <w:rPr>
          <w:rFonts w:ascii="Arial" w:hAnsi="Arial" w:cs="Arial"/>
          <w:b/>
          <w:sz w:val="24"/>
          <w:szCs w:val="24"/>
        </w:rPr>
      </w:pPr>
    </w:p>
    <w:p w14:paraId="63DFA3BA" w14:textId="77777777" w:rsidR="009621F1" w:rsidRDefault="004325C1" w:rsidP="00CE076A">
      <w:pPr>
        <w:spacing w:line="360" w:lineRule="auto"/>
        <w:rPr>
          <w:rFonts w:ascii="Arial" w:hAnsi="Arial" w:cs="Arial"/>
          <w:b/>
          <w:sz w:val="24"/>
          <w:szCs w:val="24"/>
        </w:rPr>
      </w:pPr>
      <w:r>
        <w:rPr>
          <w:rFonts w:ascii="Arial" w:hAnsi="Arial" w:cs="Arial"/>
          <w:b/>
          <w:sz w:val="24"/>
          <w:szCs w:val="24"/>
        </w:rPr>
        <w:t>Introduction</w:t>
      </w:r>
    </w:p>
    <w:p w14:paraId="1598F0A3" w14:textId="77777777" w:rsidR="00720868" w:rsidRPr="00720868" w:rsidRDefault="00720868" w:rsidP="00CE076A">
      <w:pPr>
        <w:spacing w:line="240" w:lineRule="auto"/>
        <w:rPr>
          <w:rFonts w:ascii="Arial" w:hAnsi="Arial" w:cs="Arial"/>
          <w:b/>
          <w:sz w:val="24"/>
          <w:szCs w:val="24"/>
        </w:rPr>
      </w:pPr>
    </w:p>
    <w:p w14:paraId="27545D6E" w14:textId="2D7B1135" w:rsidR="004C3B00" w:rsidRPr="0052701D" w:rsidRDefault="0052701D" w:rsidP="0052701D">
      <w:pPr>
        <w:spacing w:line="360" w:lineRule="auto"/>
        <w:ind w:left="360" w:hanging="360"/>
        <w:rPr>
          <w:rFonts w:ascii="Arial" w:hAnsi="Arial" w:cs="Arial"/>
          <w:sz w:val="24"/>
          <w:szCs w:val="24"/>
        </w:rPr>
      </w:pPr>
      <w:r>
        <w:rPr>
          <w:rFonts w:ascii="Arial" w:hAnsi="Arial" w:cs="Arial"/>
          <w:sz w:val="24"/>
          <w:szCs w:val="24"/>
        </w:rPr>
        <w:t>1.</w:t>
      </w:r>
      <w:r>
        <w:rPr>
          <w:rFonts w:ascii="Arial" w:hAnsi="Arial" w:cs="Arial"/>
          <w:sz w:val="24"/>
          <w:szCs w:val="24"/>
        </w:rPr>
        <w:tab/>
      </w:r>
      <w:r w:rsidR="00547EED" w:rsidRPr="0052701D">
        <w:rPr>
          <w:rFonts w:ascii="Arial" w:hAnsi="Arial" w:cs="Arial"/>
          <w:sz w:val="24"/>
          <w:szCs w:val="24"/>
        </w:rPr>
        <w:t>This appeal</w:t>
      </w:r>
      <w:r w:rsidR="00E31347" w:rsidRPr="0052701D">
        <w:rPr>
          <w:rFonts w:ascii="Arial" w:hAnsi="Arial" w:cs="Arial"/>
          <w:sz w:val="24"/>
          <w:szCs w:val="24"/>
        </w:rPr>
        <w:t xml:space="preserve"> brings into focus the </w:t>
      </w:r>
      <w:r w:rsidR="006F4F73" w:rsidRPr="0052701D">
        <w:rPr>
          <w:rFonts w:ascii="Arial" w:hAnsi="Arial" w:cs="Arial"/>
          <w:sz w:val="24"/>
          <w:szCs w:val="24"/>
        </w:rPr>
        <w:t>scope</w:t>
      </w:r>
      <w:r w:rsidR="009621F1" w:rsidRPr="0052701D">
        <w:rPr>
          <w:rFonts w:ascii="Arial" w:hAnsi="Arial" w:cs="Arial"/>
          <w:sz w:val="24"/>
          <w:szCs w:val="24"/>
        </w:rPr>
        <w:t xml:space="preserve"> and contours</w:t>
      </w:r>
      <w:r w:rsidR="00A411C2" w:rsidRPr="0052701D">
        <w:rPr>
          <w:rFonts w:ascii="Arial" w:hAnsi="Arial" w:cs="Arial"/>
          <w:sz w:val="24"/>
          <w:szCs w:val="24"/>
        </w:rPr>
        <w:t xml:space="preserve"> of a c</w:t>
      </w:r>
      <w:r w:rsidR="004C3B00" w:rsidRPr="0052701D">
        <w:rPr>
          <w:rFonts w:ascii="Arial" w:hAnsi="Arial" w:cs="Arial"/>
          <w:sz w:val="24"/>
          <w:szCs w:val="24"/>
        </w:rPr>
        <w:t>ourt’s power</w:t>
      </w:r>
      <w:r w:rsidR="006F4F73" w:rsidRPr="0052701D">
        <w:rPr>
          <w:rFonts w:ascii="Arial" w:hAnsi="Arial" w:cs="Arial"/>
          <w:sz w:val="24"/>
          <w:szCs w:val="24"/>
        </w:rPr>
        <w:t xml:space="preserve"> to grant </w:t>
      </w:r>
      <w:r w:rsidR="00F70353" w:rsidRPr="0052701D">
        <w:rPr>
          <w:rFonts w:ascii="Arial" w:hAnsi="Arial" w:cs="Arial"/>
          <w:sz w:val="24"/>
          <w:szCs w:val="24"/>
        </w:rPr>
        <w:t xml:space="preserve">effective </w:t>
      </w:r>
      <w:r w:rsidR="006F4F73" w:rsidRPr="0052701D">
        <w:rPr>
          <w:rFonts w:ascii="Arial" w:hAnsi="Arial" w:cs="Arial"/>
          <w:sz w:val="24"/>
          <w:szCs w:val="24"/>
        </w:rPr>
        <w:t xml:space="preserve">relief </w:t>
      </w:r>
      <w:r w:rsidR="00E31347" w:rsidRPr="0052701D">
        <w:rPr>
          <w:rFonts w:ascii="Arial" w:hAnsi="Arial" w:cs="Arial"/>
          <w:sz w:val="24"/>
          <w:szCs w:val="24"/>
        </w:rPr>
        <w:t>when a state functionary fail</w:t>
      </w:r>
      <w:r w:rsidR="002E254E" w:rsidRPr="0052701D">
        <w:rPr>
          <w:rFonts w:ascii="Arial" w:hAnsi="Arial" w:cs="Arial"/>
          <w:sz w:val="24"/>
          <w:szCs w:val="24"/>
        </w:rPr>
        <w:t>s to comply</w:t>
      </w:r>
      <w:r w:rsidR="00720868" w:rsidRPr="0052701D">
        <w:rPr>
          <w:rFonts w:ascii="Arial" w:hAnsi="Arial" w:cs="Arial"/>
          <w:sz w:val="24"/>
          <w:szCs w:val="24"/>
        </w:rPr>
        <w:t xml:space="preserve"> or to comply </w:t>
      </w:r>
      <w:r w:rsidR="00547EED" w:rsidRPr="0052701D">
        <w:rPr>
          <w:rFonts w:ascii="Arial" w:hAnsi="Arial" w:cs="Arial"/>
          <w:sz w:val="24"/>
          <w:szCs w:val="24"/>
        </w:rPr>
        <w:t>fully</w:t>
      </w:r>
      <w:r w:rsidR="00720868" w:rsidRPr="0052701D">
        <w:rPr>
          <w:rFonts w:ascii="Arial" w:hAnsi="Arial" w:cs="Arial"/>
          <w:sz w:val="24"/>
          <w:szCs w:val="24"/>
        </w:rPr>
        <w:t xml:space="preserve"> or correctly</w:t>
      </w:r>
      <w:r w:rsidR="002E254E" w:rsidRPr="0052701D">
        <w:rPr>
          <w:rFonts w:ascii="Arial" w:hAnsi="Arial" w:cs="Arial"/>
          <w:sz w:val="24"/>
          <w:szCs w:val="24"/>
        </w:rPr>
        <w:t xml:space="preserve"> </w:t>
      </w:r>
      <w:r w:rsidR="00A411C2" w:rsidRPr="0052701D">
        <w:rPr>
          <w:rFonts w:ascii="Arial" w:hAnsi="Arial" w:cs="Arial"/>
          <w:sz w:val="24"/>
          <w:szCs w:val="24"/>
        </w:rPr>
        <w:t>with a c</w:t>
      </w:r>
      <w:r w:rsidR="002E254E" w:rsidRPr="0052701D">
        <w:rPr>
          <w:rFonts w:ascii="Arial" w:hAnsi="Arial" w:cs="Arial"/>
          <w:sz w:val="24"/>
          <w:szCs w:val="24"/>
        </w:rPr>
        <w:t>ourt order. The issues arise in context of a dispute between land-owners</w:t>
      </w:r>
      <w:r w:rsidR="00CB0D98" w:rsidRPr="0052701D">
        <w:rPr>
          <w:rFonts w:ascii="Arial" w:hAnsi="Arial" w:cs="Arial"/>
          <w:sz w:val="24"/>
          <w:szCs w:val="24"/>
        </w:rPr>
        <w:t xml:space="preserve"> in a development called Lombardy Estate and the </w:t>
      </w:r>
      <w:r w:rsidR="009621F1" w:rsidRPr="0052701D">
        <w:rPr>
          <w:rFonts w:ascii="Arial" w:hAnsi="Arial" w:cs="Arial"/>
          <w:sz w:val="24"/>
          <w:szCs w:val="24"/>
        </w:rPr>
        <w:t xml:space="preserve">City of </w:t>
      </w:r>
      <w:r w:rsidR="00CB0D98" w:rsidRPr="0052701D">
        <w:rPr>
          <w:rFonts w:ascii="Arial" w:hAnsi="Arial" w:cs="Arial"/>
          <w:sz w:val="24"/>
          <w:szCs w:val="24"/>
        </w:rPr>
        <w:t xml:space="preserve">Tshwane </w:t>
      </w:r>
      <w:r w:rsidR="009621F1" w:rsidRPr="0052701D">
        <w:rPr>
          <w:rFonts w:ascii="Arial" w:hAnsi="Arial" w:cs="Arial"/>
          <w:sz w:val="24"/>
          <w:szCs w:val="24"/>
        </w:rPr>
        <w:t xml:space="preserve">Metropolitan </w:t>
      </w:r>
      <w:r w:rsidR="00CB0D98" w:rsidRPr="0052701D">
        <w:rPr>
          <w:rFonts w:ascii="Arial" w:hAnsi="Arial" w:cs="Arial"/>
          <w:sz w:val="24"/>
          <w:szCs w:val="24"/>
        </w:rPr>
        <w:t>Municipality</w:t>
      </w:r>
      <w:r w:rsidR="002E254E" w:rsidRPr="0052701D">
        <w:rPr>
          <w:rFonts w:ascii="Arial" w:hAnsi="Arial" w:cs="Arial"/>
          <w:sz w:val="24"/>
          <w:szCs w:val="24"/>
        </w:rPr>
        <w:t xml:space="preserve"> </w:t>
      </w:r>
      <w:r w:rsidR="00720868" w:rsidRPr="0052701D">
        <w:rPr>
          <w:rFonts w:ascii="Arial" w:hAnsi="Arial" w:cs="Arial"/>
          <w:sz w:val="24"/>
          <w:szCs w:val="24"/>
        </w:rPr>
        <w:t>(the City)</w:t>
      </w:r>
      <w:r w:rsidR="007E4D7D" w:rsidRPr="0052701D">
        <w:rPr>
          <w:rFonts w:ascii="Arial" w:hAnsi="Arial" w:cs="Arial"/>
          <w:sz w:val="24"/>
          <w:szCs w:val="24"/>
        </w:rPr>
        <w:t>,</w:t>
      </w:r>
      <w:r w:rsidR="00720868" w:rsidRPr="0052701D">
        <w:rPr>
          <w:rFonts w:ascii="Arial" w:hAnsi="Arial" w:cs="Arial"/>
          <w:sz w:val="24"/>
          <w:szCs w:val="24"/>
        </w:rPr>
        <w:t xml:space="preserve"> </w:t>
      </w:r>
      <w:r w:rsidR="002E254E" w:rsidRPr="0052701D">
        <w:rPr>
          <w:rFonts w:ascii="Arial" w:hAnsi="Arial" w:cs="Arial"/>
          <w:sz w:val="24"/>
          <w:szCs w:val="24"/>
        </w:rPr>
        <w:t>about the lawful basis upon which the</w:t>
      </w:r>
      <w:r w:rsidR="003D0E46" w:rsidRPr="0052701D">
        <w:rPr>
          <w:rFonts w:ascii="Arial" w:hAnsi="Arial" w:cs="Arial"/>
          <w:sz w:val="24"/>
          <w:szCs w:val="24"/>
        </w:rPr>
        <w:t xml:space="preserve"> City</w:t>
      </w:r>
      <w:r w:rsidR="002E254E" w:rsidRPr="0052701D">
        <w:rPr>
          <w:rFonts w:ascii="Arial" w:hAnsi="Arial" w:cs="Arial"/>
          <w:sz w:val="24"/>
          <w:szCs w:val="24"/>
        </w:rPr>
        <w:t xml:space="preserve"> may levy their rates.</w:t>
      </w:r>
    </w:p>
    <w:p w14:paraId="6A9111FC" w14:textId="77777777" w:rsidR="004C3B00" w:rsidRDefault="004C3B00" w:rsidP="00CE076A">
      <w:pPr>
        <w:pStyle w:val="ListParagraph"/>
        <w:spacing w:line="360" w:lineRule="auto"/>
        <w:ind w:left="360"/>
        <w:rPr>
          <w:rFonts w:ascii="Arial" w:hAnsi="Arial" w:cs="Arial"/>
          <w:sz w:val="24"/>
          <w:szCs w:val="24"/>
        </w:rPr>
      </w:pPr>
    </w:p>
    <w:p w14:paraId="5A6BE642" w14:textId="1B57681D" w:rsidR="00CD4F49" w:rsidRPr="0052701D" w:rsidRDefault="0052701D" w:rsidP="0052701D">
      <w:pPr>
        <w:spacing w:line="360" w:lineRule="auto"/>
        <w:ind w:left="360" w:hanging="360"/>
        <w:rPr>
          <w:rFonts w:ascii="Arial" w:hAnsi="Arial" w:cs="Arial"/>
          <w:sz w:val="24"/>
          <w:szCs w:val="24"/>
        </w:rPr>
      </w:pPr>
      <w:r w:rsidRPr="002E254E">
        <w:rPr>
          <w:rFonts w:ascii="Arial" w:hAnsi="Arial" w:cs="Arial"/>
          <w:sz w:val="24"/>
          <w:szCs w:val="24"/>
        </w:rPr>
        <w:t>2.</w:t>
      </w:r>
      <w:r w:rsidRPr="002E254E">
        <w:rPr>
          <w:rFonts w:ascii="Arial" w:hAnsi="Arial" w:cs="Arial"/>
          <w:sz w:val="24"/>
          <w:szCs w:val="24"/>
        </w:rPr>
        <w:tab/>
      </w:r>
      <w:r w:rsidR="004C3B00" w:rsidRPr="0052701D">
        <w:rPr>
          <w:rFonts w:ascii="Arial" w:hAnsi="Arial" w:cs="Arial"/>
          <w:sz w:val="24"/>
          <w:szCs w:val="24"/>
        </w:rPr>
        <w:t>In short, the land-owners are attempting to enforce orders of this Court granted</w:t>
      </w:r>
      <w:r w:rsidR="00904024" w:rsidRPr="0052701D">
        <w:rPr>
          <w:rFonts w:ascii="Arial" w:hAnsi="Arial" w:cs="Arial"/>
          <w:sz w:val="24"/>
          <w:szCs w:val="24"/>
        </w:rPr>
        <w:t xml:space="preserve"> by Tuchten J</w:t>
      </w:r>
      <w:r w:rsidR="004C3B00" w:rsidRPr="0052701D">
        <w:rPr>
          <w:rFonts w:ascii="Arial" w:hAnsi="Arial" w:cs="Arial"/>
          <w:sz w:val="24"/>
          <w:szCs w:val="24"/>
        </w:rPr>
        <w:t xml:space="preserve"> in</w:t>
      </w:r>
      <w:r w:rsidR="00270519" w:rsidRPr="0052701D">
        <w:rPr>
          <w:rFonts w:ascii="Arial" w:hAnsi="Arial" w:cs="Arial"/>
          <w:sz w:val="24"/>
          <w:szCs w:val="24"/>
        </w:rPr>
        <w:t xml:space="preserve"> review proceedings in</w:t>
      </w:r>
      <w:r w:rsidR="004C3B00" w:rsidRPr="0052701D">
        <w:rPr>
          <w:rFonts w:ascii="Arial" w:hAnsi="Arial" w:cs="Arial"/>
          <w:sz w:val="24"/>
          <w:szCs w:val="24"/>
        </w:rPr>
        <w:t xml:space="preserve"> 2016, some seven years ago. </w:t>
      </w:r>
      <w:r w:rsidR="00904024" w:rsidRPr="0052701D">
        <w:rPr>
          <w:rFonts w:ascii="Arial" w:hAnsi="Arial" w:cs="Arial"/>
          <w:sz w:val="24"/>
          <w:szCs w:val="24"/>
        </w:rPr>
        <w:t>To do so, t</w:t>
      </w:r>
      <w:r w:rsidR="002E254E" w:rsidRPr="0052701D">
        <w:rPr>
          <w:rFonts w:ascii="Arial" w:hAnsi="Arial" w:cs="Arial"/>
          <w:sz w:val="24"/>
          <w:szCs w:val="24"/>
        </w:rPr>
        <w:t>he land-owner</w:t>
      </w:r>
      <w:r w:rsidR="00CB0D98" w:rsidRPr="0052701D">
        <w:rPr>
          <w:rFonts w:ascii="Arial" w:hAnsi="Arial" w:cs="Arial"/>
          <w:sz w:val="24"/>
          <w:szCs w:val="24"/>
        </w:rPr>
        <w:t>s</w:t>
      </w:r>
      <w:r w:rsidR="00A411C2" w:rsidRPr="0052701D">
        <w:rPr>
          <w:rFonts w:ascii="Arial" w:hAnsi="Arial" w:cs="Arial"/>
          <w:sz w:val="24"/>
          <w:szCs w:val="24"/>
        </w:rPr>
        <w:t xml:space="preserve"> instituted contempt of c</w:t>
      </w:r>
      <w:r w:rsidR="00904024" w:rsidRPr="0052701D">
        <w:rPr>
          <w:rFonts w:ascii="Arial" w:hAnsi="Arial" w:cs="Arial"/>
          <w:sz w:val="24"/>
          <w:szCs w:val="24"/>
        </w:rPr>
        <w:t xml:space="preserve">ourt and compliance proceedings, which were heard and dismissed on </w:t>
      </w:r>
      <w:r w:rsidR="00E31347" w:rsidRPr="0052701D">
        <w:rPr>
          <w:rFonts w:ascii="Arial" w:hAnsi="Arial" w:cs="Arial"/>
          <w:sz w:val="24"/>
          <w:szCs w:val="24"/>
        </w:rPr>
        <w:t xml:space="preserve">6 August 2021 </w:t>
      </w:r>
      <w:r w:rsidR="00904024" w:rsidRPr="0052701D">
        <w:rPr>
          <w:rFonts w:ascii="Arial" w:hAnsi="Arial" w:cs="Arial"/>
          <w:sz w:val="24"/>
          <w:szCs w:val="24"/>
        </w:rPr>
        <w:t xml:space="preserve">by Tsatsi AJ. </w:t>
      </w:r>
      <w:r w:rsidR="00F255A5" w:rsidRPr="0052701D">
        <w:rPr>
          <w:rFonts w:ascii="Arial" w:hAnsi="Arial" w:cs="Arial"/>
          <w:sz w:val="24"/>
          <w:szCs w:val="24"/>
        </w:rPr>
        <w:t>With leave of the SCA, t</w:t>
      </w:r>
      <w:r w:rsidR="00904024" w:rsidRPr="0052701D">
        <w:rPr>
          <w:rFonts w:ascii="Arial" w:hAnsi="Arial" w:cs="Arial"/>
          <w:sz w:val="24"/>
          <w:szCs w:val="24"/>
        </w:rPr>
        <w:t xml:space="preserve">he appellants now appeal </w:t>
      </w:r>
      <w:r w:rsidR="00270519" w:rsidRPr="0052701D">
        <w:rPr>
          <w:rFonts w:ascii="Arial" w:hAnsi="Arial" w:cs="Arial"/>
          <w:sz w:val="24"/>
          <w:szCs w:val="24"/>
        </w:rPr>
        <w:t>that</w:t>
      </w:r>
      <w:r w:rsidR="00F255A5" w:rsidRPr="0052701D">
        <w:rPr>
          <w:rFonts w:ascii="Arial" w:hAnsi="Arial" w:cs="Arial"/>
          <w:sz w:val="24"/>
          <w:szCs w:val="24"/>
        </w:rPr>
        <w:t xml:space="preserve"> dismissal </w:t>
      </w:r>
      <w:r w:rsidR="00904024" w:rsidRPr="0052701D">
        <w:rPr>
          <w:rFonts w:ascii="Arial" w:hAnsi="Arial" w:cs="Arial"/>
          <w:sz w:val="24"/>
          <w:szCs w:val="24"/>
        </w:rPr>
        <w:t xml:space="preserve">before </w:t>
      </w:r>
      <w:r w:rsidR="006263EB" w:rsidRPr="0052701D">
        <w:rPr>
          <w:rFonts w:ascii="Arial" w:hAnsi="Arial" w:cs="Arial"/>
          <w:sz w:val="24"/>
          <w:szCs w:val="24"/>
        </w:rPr>
        <w:t>this Court</w:t>
      </w:r>
      <w:r w:rsidR="00E31347" w:rsidRPr="0052701D">
        <w:rPr>
          <w:rFonts w:ascii="Arial" w:hAnsi="Arial" w:cs="Arial"/>
          <w:sz w:val="24"/>
          <w:szCs w:val="24"/>
        </w:rPr>
        <w:t>.</w:t>
      </w:r>
      <w:r w:rsidR="00E31347">
        <w:rPr>
          <w:rStyle w:val="FootnoteReference"/>
          <w:rFonts w:ascii="Arial" w:hAnsi="Arial" w:cs="Arial"/>
          <w:sz w:val="24"/>
          <w:szCs w:val="24"/>
        </w:rPr>
        <w:footnoteReference w:id="1"/>
      </w:r>
    </w:p>
    <w:p w14:paraId="786D5986" w14:textId="77777777" w:rsidR="002E254E" w:rsidRDefault="002E254E" w:rsidP="00CE076A">
      <w:pPr>
        <w:pStyle w:val="ListParagraph"/>
        <w:spacing w:line="360" w:lineRule="auto"/>
        <w:ind w:left="360"/>
        <w:rPr>
          <w:rFonts w:ascii="Arial" w:hAnsi="Arial" w:cs="Arial"/>
          <w:sz w:val="24"/>
          <w:szCs w:val="24"/>
        </w:rPr>
      </w:pPr>
    </w:p>
    <w:p w14:paraId="1E491C7B" w14:textId="21D3D74B" w:rsidR="007E4D7D" w:rsidRPr="0052701D" w:rsidRDefault="0052701D" w:rsidP="0052701D">
      <w:pPr>
        <w:spacing w:line="360" w:lineRule="auto"/>
        <w:ind w:left="360" w:hanging="360"/>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C36311" w:rsidRPr="0052701D">
        <w:rPr>
          <w:rFonts w:ascii="Arial" w:hAnsi="Arial" w:cs="Arial"/>
          <w:sz w:val="24"/>
          <w:szCs w:val="24"/>
        </w:rPr>
        <w:t xml:space="preserve">The appellants are </w:t>
      </w:r>
      <w:r w:rsidR="00312B68" w:rsidRPr="0052701D">
        <w:rPr>
          <w:rFonts w:ascii="Arial" w:hAnsi="Arial" w:cs="Arial"/>
          <w:sz w:val="24"/>
          <w:szCs w:val="24"/>
        </w:rPr>
        <w:t xml:space="preserve">fourteen </w:t>
      </w:r>
      <w:r w:rsidR="00C36311" w:rsidRPr="0052701D">
        <w:rPr>
          <w:rFonts w:ascii="Arial" w:hAnsi="Arial" w:cs="Arial"/>
          <w:sz w:val="24"/>
          <w:szCs w:val="24"/>
        </w:rPr>
        <w:t>property owners</w:t>
      </w:r>
      <w:r w:rsidR="004325C1" w:rsidRPr="0052701D">
        <w:rPr>
          <w:rFonts w:ascii="Arial" w:hAnsi="Arial" w:cs="Arial"/>
          <w:sz w:val="24"/>
          <w:szCs w:val="24"/>
        </w:rPr>
        <w:t xml:space="preserve"> in a development called Lombardy Estate</w:t>
      </w:r>
      <w:r w:rsidR="00C36311" w:rsidRPr="0052701D">
        <w:rPr>
          <w:rFonts w:ascii="Arial" w:hAnsi="Arial" w:cs="Arial"/>
          <w:sz w:val="24"/>
          <w:szCs w:val="24"/>
        </w:rPr>
        <w:t xml:space="preserve"> within the jurisdiction of the City</w:t>
      </w:r>
      <w:r w:rsidR="00312B68" w:rsidRPr="0052701D">
        <w:rPr>
          <w:rFonts w:ascii="Arial" w:hAnsi="Arial" w:cs="Arial"/>
          <w:sz w:val="24"/>
          <w:szCs w:val="24"/>
        </w:rPr>
        <w:t>.</w:t>
      </w:r>
      <w:r w:rsidR="007E4D7D" w:rsidRPr="0052701D">
        <w:rPr>
          <w:rFonts w:ascii="Arial" w:hAnsi="Arial" w:cs="Arial"/>
          <w:sz w:val="24"/>
          <w:szCs w:val="24"/>
        </w:rPr>
        <w:t xml:space="preserve"> </w:t>
      </w:r>
      <w:r w:rsidR="00933E01" w:rsidRPr="0052701D">
        <w:rPr>
          <w:rFonts w:ascii="Arial" w:hAnsi="Arial" w:cs="Arial"/>
          <w:sz w:val="24"/>
          <w:szCs w:val="24"/>
        </w:rPr>
        <w:t>The first appellant is Lombardy Development (Pty) Ltd</w:t>
      </w:r>
      <w:r w:rsidR="00720868" w:rsidRPr="0052701D">
        <w:rPr>
          <w:rFonts w:ascii="Arial" w:hAnsi="Arial" w:cs="Arial"/>
          <w:sz w:val="24"/>
          <w:szCs w:val="24"/>
        </w:rPr>
        <w:t xml:space="preserve"> (Lombardy)</w:t>
      </w:r>
      <w:r w:rsidR="00933E01" w:rsidRPr="0052701D">
        <w:rPr>
          <w:rFonts w:ascii="Arial" w:hAnsi="Arial" w:cs="Arial"/>
          <w:sz w:val="24"/>
          <w:szCs w:val="24"/>
        </w:rPr>
        <w:t>, the developer</w:t>
      </w:r>
      <w:r w:rsidR="003D0E46" w:rsidRPr="0052701D">
        <w:rPr>
          <w:rFonts w:ascii="Arial" w:hAnsi="Arial" w:cs="Arial"/>
          <w:sz w:val="24"/>
          <w:szCs w:val="24"/>
        </w:rPr>
        <w:t>,</w:t>
      </w:r>
      <w:r w:rsidR="00933E01" w:rsidRPr="0052701D">
        <w:rPr>
          <w:rFonts w:ascii="Arial" w:hAnsi="Arial" w:cs="Arial"/>
          <w:sz w:val="24"/>
          <w:szCs w:val="24"/>
        </w:rPr>
        <w:t xml:space="preserve"> and at relevant times, the owner of </w:t>
      </w:r>
      <w:r w:rsidR="00720868" w:rsidRPr="0052701D">
        <w:rPr>
          <w:rFonts w:ascii="Arial" w:hAnsi="Arial" w:cs="Arial"/>
          <w:sz w:val="24"/>
          <w:szCs w:val="24"/>
        </w:rPr>
        <w:t>many</w:t>
      </w:r>
      <w:r w:rsidR="00933E01" w:rsidRPr="0052701D">
        <w:rPr>
          <w:rFonts w:ascii="Arial" w:hAnsi="Arial" w:cs="Arial"/>
          <w:sz w:val="24"/>
          <w:szCs w:val="24"/>
        </w:rPr>
        <w:t xml:space="preserve"> of the properties affected by this appeal. The remaining appellants are or were property owners in Lombardy Estate. </w:t>
      </w:r>
      <w:r w:rsidR="00312B68" w:rsidRPr="0052701D">
        <w:rPr>
          <w:rFonts w:ascii="Arial" w:hAnsi="Arial" w:cs="Arial"/>
          <w:sz w:val="24"/>
          <w:szCs w:val="24"/>
        </w:rPr>
        <w:t xml:space="preserve">The City is the first respondent and the </w:t>
      </w:r>
      <w:r w:rsidR="00C36311" w:rsidRPr="0052701D">
        <w:rPr>
          <w:rFonts w:ascii="Arial" w:hAnsi="Arial" w:cs="Arial"/>
          <w:sz w:val="24"/>
          <w:szCs w:val="24"/>
        </w:rPr>
        <w:t xml:space="preserve">second respondent is the City’s Municipal Manager. </w:t>
      </w:r>
      <w:r w:rsidR="00CD4F49" w:rsidRPr="0052701D">
        <w:rPr>
          <w:rFonts w:ascii="Arial" w:hAnsi="Arial" w:cs="Arial"/>
          <w:sz w:val="24"/>
          <w:szCs w:val="24"/>
        </w:rPr>
        <w:t>In 2013,</w:t>
      </w:r>
      <w:r w:rsidR="00270519" w:rsidRPr="0052701D">
        <w:rPr>
          <w:rFonts w:ascii="Arial" w:hAnsi="Arial" w:cs="Arial"/>
          <w:sz w:val="24"/>
          <w:szCs w:val="24"/>
        </w:rPr>
        <w:t xml:space="preserve"> the City took a decision to re</w:t>
      </w:r>
      <w:r w:rsidR="00CD4F49" w:rsidRPr="0052701D">
        <w:rPr>
          <w:rFonts w:ascii="Arial" w:hAnsi="Arial" w:cs="Arial"/>
          <w:sz w:val="24"/>
          <w:szCs w:val="24"/>
        </w:rPr>
        <w:t>categorise the appellants’ properties as ‘vacant’ pursuant to a 2012 Special Valuation Roll</w:t>
      </w:r>
      <w:r w:rsidR="002E254E" w:rsidRPr="0052701D">
        <w:rPr>
          <w:rFonts w:ascii="Arial" w:hAnsi="Arial" w:cs="Arial"/>
          <w:sz w:val="24"/>
          <w:szCs w:val="24"/>
        </w:rPr>
        <w:t xml:space="preserve"> (the 2012 SVR)</w:t>
      </w:r>
      <w:r w:rsidR="00CD4F49" w:rsidRPr="0052701D">
        <w:rPr>
          <w:rFonts w:ascii="Arial" w:hAnsi="Arial" w:cs="Arial"/>
          <w:sz w:val="24"/>
          <w:szCs w:val="24"/>
        </w:rPr>
        <w:t xml:space="preserve"> and a 2013 General Valuation Roll</w:t>
      </w:r>
      <w:r w:rsidR="002E254E" w:rsidRPr="0052701D">
        <w:rPr>
          <w:rFonts w:ascii="Arial" w:hAnsi="Arial" w:cs="Arial"/>
          <w:sz w:val="24"/>
          <w:szCs w:val="24"/>
        </w:rPr>
        <w:t xml:space="preserve"> (the 2013 GVR)</w:t>
      </w:r>
      <w:r w:rsidR="00CD4F49" w:rsidRPr="0052701D">
        <w:rPr>
          <w:rFonts w:ascii="Arial" w:hAnsi="Arial" w:cs="Arial"/>
          <w:sz w:val="24"/>
          <w:szCs w:val="24"/>
        </w:rPr>
        <w:t>. In consequence, the City invoiced the appellants for significantly increased rates.</w:t>
      </w:r>
    </w:p>
    <w:p w14:paraId="0EE3130B" w14:textId="77777777" w:rsidR="00CD4F49" w:rsidRPr="00CE076A" w:rsidRDefault="00CD4F49" w:rsidP="00CE076A">
      <w:pPr>
        <w:pStyle w:val="ListParagraph"/>
        <w:spacing w:line="360" w:lineRule="auto"/>
        <w:ind w:left="360"/>
        <w:rPr>
          <w:rFonts w:ascii="Arial" w:hAnsi="Arial" w:cs="Arial"/>
          <w:sz w:val="24"/>
          <w:szCs w:val="24"/>
        </w:rPr>
      </w:pPr>
    </w:p>
    <w:p w14:paraId="26E5502D" w14:textId="3ABFDFCC" w:rsidR="00B51897" w:rsidRPr="0052701D" w:rsidRDefault="0052701D" w:rsidP="0052701D">
      <w:pPr>
        <w:spacing w:line="360" w:lineRule="auto"/>
        <w:ind w:left="360" w:hanging="360"/>
        <w:rPr>
          <w:rFonts w:ascii="Arial" w:hAnsi="Arial" w:cs="Arial"/>
          <w:sz w:val="24"/>
          <w:szCs w:val="24"/>
        </w:rPr>
      </w:pPr>
      <w:r>
        <w:rPr>
          <w:rFonts w:ascii="Arial" w:hAnsi="Arial" w:cs="Arial"/>
          <w:sz w:val="24"/>
          <w:szCs w:val="24"/>
        </w:rPr>
        <w:t>4.</w:t>
      </w:r>
      <w:r>
        <w:rPr>
          <w:rFonts w:ascii="Arial" w:hAnsi="Arial" w:cs="Arial"/>
          <w:sz w:val="24"/>
          <w:szCs w:val="24"/>
        </w:rPr>
        <w:tab/>
      </w:r>
      <w:r w:rsidR="00CD4F49" w:rsidRPr="0052701D">
        <w:rPr>
          <w:rFonts w:ascii="Arial" w:hAnsi="Arial" w:cs="Arial"/>
          <w:sz w:val="24"/>
          <w:szCs w:val="24"/>
        </w:rPr>
        <w:t>The appellants thereafter instituted review proceedings</w:t>
      </w:r>
      <w:r w:rsidR="00941445" w:rsidRPr="0052701D">
        <w:rPr>
          <w:rFonts w:ascii="Arial" w:hAnsi="Arial" w:cs="Arial"/>
          <w:sz w:val="24"/>
          <w:szCs w:val="24"/>
        </w:rPr>
        <w:t xml:space="preserve"> in this Court</w:t>
      </w:r>
      <w:r w:rsidR="00CD4F49" w:rsidRPr="0052701D">
        <w:rPr>
          <w:rFonts w:ascii="Arial" w:hAnsi="Arial" w:cs="Arial"/>
          <w:sz w:val="24"/>
          <w:szCs w:val="24"/>
        </w:rPr>
        <w:t xml:space="preserve">, which were successful </w:t>
      </w:r>
      <w:r w:rsidR="00312B68" w:rsidRPr="0052701D">
        <w:rPr>
          <w:rFonts w:ascii="Arial" w:hAnsi="Arial" w:cs="Arial"/>
          <w:sz w:val="24"/>
          <w:szCs w:val="24"/>
        </w:rPr>
        <w:t>before Tuchten</w:t>
      </w:r>
      <w:r w:rsidR="002E254E" w:rsidRPr="0052701D">
        <w:rPr>
          <w:rFonts w:ascii="Arial" w:hAnsi="Arial" w:cs="Arial"/>
          <w:sz w:val="24"/>
          <w:szCs w:val="24"/>
        </w:rPr>
        <w:t xml:space="preserve"> J.</w:t>
      </w:r>
      <w:r w:rsidR="00CD4F49">
        <w:rPr>
          <w:rStyle w:val="FootnoteReference"/>
          <w:rFonts w:ascii="Arial" w:hAnsi="Arial" w:cs="Arial"/>
          <w:sz w:val="24"/>
          <w:szCs w:val="24"/>
        </w:rPr>
        <w:footnoteReference w:id="2"/>
      </w:r>
      <w:r w:rsidR="00CD4F49" w:rsidRPr="0052701D">
        <w:rPr>
          <w:rFonts w:ascii="Arial" w:hAnsi="Arial" w:cs="Arial"/>
          <w:sz w:val="24"/>
          <w:szCs w:val="24"/>
        </w:rPr>
        <w:t xml:space="preserve"> </w:t>
      </w:r>
      <w:r w:rsidR="002E254E" w:rsidRPr="0052701D">
        <w:rPr>
          <w:rFonts w:ascii="Arial" w:hAnsi="Arial" w:cs="Arial"/>
          <w:sz w:val="24"/>
          <w:szCs w:val="24"/>
        </w:rPr>
        <w:t>Tuchten J’s</w:t>
      </w:r>
      <w:r w:rsidR="00CD4F49" w:rsidRPr="0052701D">
        <w:rPr>
          <w:rFonts w:ascii="Arial" w:hAnsi="Arial" w:cs="Arial"/>
          <w:sz w:val="24"/>
          <w:szCs w:val="24"/>
        </w:rPr>
        <w:t xml:space="preserve"> decision was upheld on appeal before the SCA.</w:t>
      </w:r>
      <w:r w:rsidR="00CD4F49">
        <w:rPr>
          <w:rStyle w:val="FootnoteReference"/>
          <w:rFonts w:ascii="Arial" w:hAnsi="Arial" w:cs="Arial"/>
          <w:sz w:val="24"/>
          <w:szCs w:val="24"/>
        </w:rPr>
        <w:footnoteReference w:id="3"/>
      </w:r>
      <w:r w:rsidR="00CD4F49" w:rsidRPr="0052701D">
        <w:rPr>
          <w:rFonts w:ascii="Arial" w:hAnsi="Arial" w:cs="Arial"/>
          <w:sz w:val="24"/>
          <w:szCs w:val="24"/>
        </w:rPr>
        <w:t xml:space="preserve"> I</w:t>
      </w:r>
      <w:r w:rsidR="00941445" w:rsidRPr="0052701D">
        <w:rPr>
          <w:rFonts w:ascii="Arial" w:hAnsi="Arial" w:cs="Arial"/>
          <w:sz w:val="24"/>
          <w:szCs w:val="24"/>
        </w:rPr>
        <w:t xml:space="preserve"> refer to </w:t>
      </w:r>
      <w:r w:rsidR="002E254E" w:rsidRPr="0052701D">
        <w:rPr>
          <w:rFonts w:ascii="Arial" w:hAnsi="Arial" w:cs="Arial"/>
          <w:sz w:val="24"/>
          <w:szCs w:val="24"/>
        </w:rPr>
        <w:t>Tuchten J’s order</w:t>
      </w:r>
      <w:r w:rsidR="009621F1" w:rsidRPr="0052701D">
        <w:rPr>
          <w:rFonts w:ascii="Arial" w:hAnsi="Arial" w:cs="Arial"/>
          <w:sz w:val="24"/>
          <w:szCs w:val="24"/>
        </w:rPr>
        <w:t>s</w:t>
      </w:r>
      <w:r w:rsidR="00941445" w:rsidRPr="0052701D">
        <w:rPr>
          <w:rFonts w:ascii="Arial" w:hAnsi="Arial" w:cs="Arial"/>
          <w:sz w:val="24"/>
          <w:szCs w:val="24"/>
        </w:rPr>
        <w:t>, as upheld,</w:t>
      </w:r>
      <w:r w:rsidR="002E254E" w:rsidRPr="0052701D">
        <w:rPr>
          <w:rFonts w:ascii="Arial" w:hAnsi="Arial" w:cs="Arial"/>
          <w:sz w:val="24"/>
          <w:szCs w:val="24"/>
        </w:rPr>
        <w:t xml:space="preserve"> as the </w:t>
      </w:r>
      <w:r w:rsidR="00CD4F49" w:rsidRPr="0052701D">
        <w:rPr>
          <w:rFonts w:ascii="Arial" w:hAnsi="Arial" w:cs="Arial"/>
          <w:sz w:val="24"/>
          <w:szCs w:val="24"/>
        </w:rPr>
        <w:t>review orders. The</w:t>
      </w:r>
      <w:r w:rsidR="009621F1" w:rsidRPr="0052701D">
        <w:rPr>
          <w:rFonts w:ascii="Arial" w:hAnsi="Arial" w:cs="Arial"/>
          <w:sz w:val="24"/>
          <w:szCs w:val="24"/>
        </w:rPr>
        <w:t xml:space="preserve"> review orders set aside the re</w:t>
      </w:r>
      <w:r w:rsidR="00CD4F49" w:rsidRPr="0052701D">
        <w:rPr>
          <w:rFonts w:ascii="Arial" w:hAnsi="Arial" w:cs="Arial"/>
          <w:sz w:val="24"/>
          <w:szCs w:val="24"/>
        </w:rPr>
        <w:t>categorisation decisions and directed that until the appellan</w:t>
      </w:r>
      <w:r w:rsidR="009621F1" w:rsidRPr="0052701D">
        <w:rPr>
          <w:rFonts w:ascii="Arial" w:hAnsi="Arial" w:cs="Arial"/>
          <w:sz w:val="24"/>
          <w:szCs w:val="24"/>
        </w:rPr>
        <w:t>ts’ properties were lawfully re</w:t>
      </w:r>
      <w:r w:rsidR="00CD4F49" w:rsidRPr="0052701D">
        <w:rPr>
          <w:rFonts w:ascii="Arial" w:hAnsi="Arial" w:cs="Arial"/>
          <w:sz w:val="24"/>
          <w:szCs w:val="24"/>
        </w:rPr>
        <w:t>categorised, the appellants were to pay municipal rates calculated at the r</w:t>
      </w:r>
      <w:r w:rsidR="009621F1" w:rsidRPr="0052701D">
        <w:rPr>
          <w:rFonts w:ascii="Arial" w:hAnsi="Arial" w:cs="Arial"/>
          <w:sz w:val="24"/>
          <w:szCs w:val="24"/>
        </w:rPr>
        <w:t>esidential tariff. The review</w:t>
      </w:r>
      <w:r w:rsidR="00CD4F49" w:rsidRPr="0052701D">
        <w:rPr>
          <w:rFonts w:ascii="Arial" w:hAnsi="Arial" w:cs="Arial"/>
          <w:sz w:val="24"/>
          <w:szCs w:val="24"/>
        </w:rPr>
        <w:t xml:space="preserve"> orders also remitted the 2013 </w:t>
      </w:r>
      <w:r w:rsidR="002E254E" w:rsidRPr="0052701D">
        <w:rPr>
          <w:rFonts w:ascii="Arial" w:hAnsi="Arial" w:cs="Arial"/>
          <w:sz w:val="24"/>
          <w:szCs w:val="24"/>
        </w:rPr>
        <w:t>GVR</w:t>
      </w:r>
      <w:r w:rsidR="00CD4F49" w:rsidRPr="0052701D">
        <w:rPr>
          <w:rFonts w:ascii="Arial" w:hAnsi="Arial" w:cs="Arial"/>
          <w:sz w:val="24"/>
          <w:szCs w:val="24"/>
        </w:rPr>
        <w:t xml:space="preserve"> to the City to reconsider the appropriate tariff. The 2012 </w:t>
      </w:r>
      <w:r w:rsidR="002E254E" w:rsidRPr="0052701D">
        <w:rPr>
          <w:rFonts w:ascii="Arial" w:hAnsi="Arial" w:cs="Arial"/>
          <w:sz w:val="24"/>
          <w:szCs w:val="24"/>
        </w:rPr>
        <w:t>SVR</w:t>
      </w:r>
      <w:r w:rsidR="00CD4F49" w:rsidRPr="0052701D">
        <w:rPr>
          <w:rFonts w:ascii="Arial" w:hAnsi="Arial" w:cs="Arial"/>
          <w:sz w:val="24"/>
          <w:szCs w:val="24"/>
        </w:rPr>
        <w:t xml:space="preserve"> was not remi</w:t>
      </w:r>
      <w:r w:rsidR="00D21650" w:rsidRPr="0052701D">
        <w:rPr>
          <w:rFonts w:ascii="Arial" w:hAnsi="Arial" w:cs="Arial"/>
          <w:sz w:val="24"/>
          <w:szCs w:val="24"/>
        </w:rPr>
        <w:t>tted because its effective term</w:t>
      </w:r>
      <w:r w:rsidR="00CD4F49" w:rsidRPr="0052701D">
        <w:rPr>
          <w:rFonts w:ascii="Arial" w:hAnsi="Arial" w:cs="Arial"/>
          <w:sz w:val="24"/>
          <w:szCs w:val="24"/>
        </w:rPr>
        <w:t xml:space="preserve"> had lapsed.</w:t>
      </w:r>
    </w:p>
    <w:p w14:paraId="10F0A9BF" w14:textId="77777777" w:rsidR="00E31347" w:rsidRPr="00CE076A" w:rsidRDefault="00E31347" w:rsidP="00CE076A">
      <w:pPr>
        <w:pStyle w:val="ListParagraph"/>
        <w:spacing w:line="360" w:lineRule="auto"/>
        <w:ind w:left="360"/>
        <w:rPr>
          <w:rFonts w:ascii="Arial" w:hAnsi="Arial" w:cs="Arial"/>
          <w:sz w:val="24"/>
          <w:szCs w:val="24"/>
        </w:rPr>
      </w:pPr>
    </w:p>
    <w:p w14:paraId="6444A518" w14:textId="28AB7FBD" w:rsidR="002F113A" w:rsidRPr="0052701D" w:rsidRDefault="0052701D" w:rsidP="0052701D">
      <w:pPr>
        <w:spacing w:line="360" w:lineRule="auto"/>
        <w:ind w:left="360" w:hanging="360"/>
        <w:rPr>
          <w:rFonts w:ascii="Arial" w:hAnsi="Arial" w:cs="Arial"/>
          <w:sz w:val="24"/>
          <w:szCs w:val="24"/>
        </w:rPr>
      </w:pPr>
      <w:r>
        <w:rPr>
          <w:rFonts w:ascii="Arial" w:hAnsi="Arial" w:cs="Arial"/>
          <w:sz w:val="24"/>
          <w:szCs w:val="24"/>
        </w:rPr>
        <w:t>5.</w:t>
      </w:r>
      <w:r>
        <w:rPr>
          <w:rFonts w:ascii="Arial" w:hAnsi="Arial" w:cs="Arial"/>
          <w:sz w:val="24"/>
          <w:szCs w:val="24"/>
        </w:rPr>
        <w:tab/>
      </w:r>
      <w:r w:rsidR="006263EB" w:rsidRPr="0052701D">
        <w:rPr>
          <w:rFonts w:ascii="Arial" w:hAnsi="Arial" w:cs="Arial"/>
          <w:sz w:val="24"/>
          <w:szCs w:val="24"/>
        </w:rPr>
        <w:t>Although the appellants commenced proceedings b</w:t>
      </w:r>
      <w:r w:rsidR="00D21650" w:rsidRPr="0052701D">
        <w:rPr>
          <w:rFonts w:ascii="Arial" w:hAnsi="Arial" w:cs="Arial"/>
          <w:sz w:val="24"/>
          <w:szCs w:val="24"/>
        </w:rPr>
        <w:t xml:space="preserve">efore </w:t>
      </w:r>
      <w:r w:rsidR="00E31347" w:rsidRPr="0052701D">
        <w:rPr>
          <w:rFonts w:ascii="Arial" w:hAnsi="Arial" w:cs="Arial"/>
          <w:sz w:val="24"/>
          <w:szCs w:val="24"/>
        </w:rPr>
        <w:t>Tsatsi AJ</w:t>
      </w:r>
      <w:r w:rsidR="006263EB" w:rsidRPr="0052701D">
        <w:rPr>
          <w:rFonts w:ascii="Arial" w:hAnsi="Arial" w:cs="Arial"/>
          <w:sz w:val="24"/>
          <w:szCs w:val="24"/>
        </w:rPr>
        <w:t xml:space="preserve"> seeking relief grounded in the civil contempt process</w:t>
      </w:r>
      <w:r w:rsidR="00E31347" w:rsidRPr="0052701D">
        <w:rPr>
          <w:rFonts w:ascii="Arial" w:hAnsi="Arial" w:cs="Arial"/>
          <w:sz w:val="24"/>
          <w:szCs w:val="24"/>
        </w:rPr>
        <w:t>, the</w:t>
      </w:r>
      <w:r w:rsidR="006263EB" w:rsidRPr="0052701D">
        <w:rPr>
          <w:rFonts w:ascii="Arial" w:hAnsi="Arial" w:cs="Arial"/>
          <w:sz w:val="24"/>
          <w:szCs w:val="24"/>
        </w:rPr>
        <w:t>y</w:t>
      </w:r>
      <w:r w:rsidR="00CE076A" w:rsidRPr="0052701D">
        <w:rPr>
          <w:rFonts w:ascii="Arial" w:hAnsi="Arial" w:cs="Arial"/>
          <w:sz w:val="24"/>
          <w:szCs w:val="24"/>
        </w:rPr>
        <w:t xml:space="preserve"> </w:t>
      </w:r>
      <w:r w:rsidR="00D21650" w:rsidRPr="0052701D">
        <w:rPr>
          <w:rFonts w:ascii="Arial" w:hAnsi="Arial" w:cs="Arial"/>
          <w:sz w:val="24"/>
          <w:szCs w:val="24"/>
        </w:rPr>
        <w:t>ultimately</w:t>
      </w:r>
      <w:r w:rsidR="00B51897" w:rsidRPr="0052701D">
        <w:rPr>
          <w:rFonts w:ascii="Arial" w:hAnsi="Arial" w:cs="Arial"/>
          <w:sz w:val="24"/>
          <w:szCs w:val="24"/>
        </w:rPr>
        <w:t xml:space="preserve"> </w:t>
      </w:r>
      <w:r w:rsidR="00D21650" w:rsidRPr="0052701D">
        <w:rPr>
          <w:rFonts w:ascii="Arial" w:hAnsi="Arial" w:cs="Arial"/>
          <w:sz w:val="24"/>
          <w:szCs w:val="24"/>
        </w:rPr>
        <w:t>sought</w:t>
      </w:r>
      <w:r w:rsidR="006263EB" w:rsidRPr="0052701D">
        <w:rPr>
          <w:rFonts w:ascii="Arial" w:hAnsi="Arial" w:cs="Arial"/>
          <w:sz w:val="24"/>
          <w:szCs w:val="24"/>
        </w:rPr>
        <w:t xml:space="preserve"> more</w:t>
      </w:r>
      <w:r w:rsidR="00D21650" w:rsidRPr="0052701D">
        <w:rPr>
          <w:rFonts w:ascii="Arial" w:hAnsi="Arial" w:cs="Arial"/>
          <w:sz w:val="24"/>
          <w:szCs w:val="24"/>
        </w:rPr>
        <w:t xml:space="preserve"> limited</w:t>
      </w:r>
      <w:r w:rsidR="00270519" w:rsidRPr="0052701D">
        <w:rPr>
          <w:rFonts w:ascii="Arial" w:hAnsi="Arial" w:cs="Arial"/>
          <w:sz w:val="24"/>
          <w:szCs w:val="24"/>
        </w:rPr>
        <w:t xml:space="preserve"> and amended</w:t>
      </w:r>
      <w:r w:rsidR="00D21650" w:rsidRPr="0052701D">
        <w:rPr>
          <w:rFonts w:ascii="Arial" w:hAnsi="Arial" w:cs="Arial"/>
          <w:sz w:val="24"/>
          <w:szCs w:val="24"/>
        </w:rPr>
        <w:t xml:space="preserve"> relief. </w:t>
      </w:r>
      <w:r w:rsidR="00933E01" w:rsidRPr="0052701D">
        <w:rPr>
          <w:rFonts w:ascii="Arial" w:hAnsi="Arial" w:cs="Arial"/>
          <w:sz w:val="24"/>
          <w:szCs w:val="24"/>
        </w:rPr>
        <w:t>The relief ultimately sought was first</w:t>
      </w:r>
      <w:r w:rsidR="00D74BFF" w:rsidRPr="0052701D">
        <w:rPr>
          <w:rFonts w:ascii="Arial" w:hAnsi="Arial" w:cs="Arial"/>
          <w:sz w:val="24"/>
          <w:szCs w:val="24"/>
        </w:rPr>
        <w:t>ly</w:t>
      </w:r>
      <w:r w:rsidR="00933E01" w:rsidRPr="0052701D">
        <w:rPr>
          <w:rFonts w:ascii="Arial" w:hAnsi="Arial" w:cs="Arial"/>
          <w:sz w:val="24"/>
          <w:szCs w:val="24"/>
        </w:rPr>
        <w:t xml:space="preserve">, </w:t>
      </w:r>
      <w:r w:rsidR="00F818A9" w:rsidRPr="0052701D">
        <w:rPr>
          <w:rFonts w:ascii="Arial" w:hAnsi="Arial" w:cs="Arial"/>
          <w:sz w:val="24"/>
          <w:szCs w:val="24"/>
        </w:rPr>
        <w:t>a declarator</w:t>
      </w:r>
      <w:r w:rsidR="00CE076A" w:rsidRPr="0052701D">
        <w:rPr>
          <w:rFonts w:ascii="Arial" w:hAnsi="Arial" w:cs="Arial"/>
          <w:sz w:val="24"/>
          <w:szCs w:val="24"/>
        </w:rPr>
        <w:t>y order</w:t>
      </w:r>
      <w:r w:rsidR="00E31347" w:rsidRPr="0052701D">
        <w:rPr>
          <w:rFonts w:ascii="Arial" w:hAnsi="Arial" w:cs="Arial"/>
          <w:sz w:val="24"/>
          <w:szCs w:val="24"/>
        </w:rPr>
        <w:t xml:space="preserve"> that the City is in breach of its constitutional obligations to </w:t>
      </w:r>
      <w:r w:rsidR="00CE076A" w:rsidRPr="0052701D">
        <w:rPr>
          <w:rFonts w:ascii="Arial" w:hAnsi="Arial" w:cs="Arial"/>
          <w:sz w:val="24"/>
          <w:szCs w:val="24"/>
        </w:rPr>
        <w:t xml:space="preserve">adhere to and </w:t>
      </w:r>
      <w:r w:rsidR="00E31347" w:rsidRPr="0052701D">
        <w:rPr>
          <w:rFonts w:ascii="Arial" w:hAnsi="Arial" w:cs="Arial"/>
          <w:sz w:val="24"/>
          <w:szCs w:val="24"/>
        </w:rPr>
        <w:t xml:space="preserve">take all necessary steps to give effect to </w:t>
      </w:r>
      <w:r w:rsidR="00F818A9" w:rsidRPr="0052701D">
        <w:rPr>
          <w:rFonts w:ascii="Arial" w:hAnsi="Arial" w:cs="Arial"/>
          <w:sz w:val="24"/>
          <w:szCs w:val="24"/>
        </w:rPr>
        <w:t>the review orders</w:t>
      </w:r>
      <w:r w:rsidR="006263EB" w:rsidRPr="0052701D">
        <w:rPr>
          <w:rFonts w:ascii="Arial" w:hAnsi="Arial" w:cs="Arial"/>
          <w:sz w:val="24"/>
          <w:szCs w:val="24"/>
        </w:rPr>
        <w:t xml:space="preserve">. Secondly, they sought </w:t>
      </w:r>
      <w:r w:rsidR="00E31347" w:rsidRPr="0052701D">
        <w:rPr>
          <w:rFonts w:ascii="Arial" w:hAnsi="Arial" w:cs="Arial"/>
          <w:sz w:val="24"/>
          <w:szCs w:val="24"/>
        </w:rPr>
        <w:t>a</w:t>
      </w:r>
      <w:r w:rsidR="006263EB" w:rsidRPr="0052701D">
        <w:rPr>
          <w:rFonts w:ascii="Arial" w:hAnsi="Arial" w:cs="Arial"/>
          <w:sz w:val="24"/>
          <w:szCs w:val="24"/>
        </w:rPr>
        <w:t>n order directing</w:t>
      </w:r>
      <w:r w:rsidR="00E31347" w:rsidRPr="0052701D">
        <w:rPr>
          <w:rFonts w:ascii="Arial" w:hAnsi="Arial" w:cs="Arial"/>
          <w:sz w:val="24"/>
          <w:szCs w:val="24"/>
        </w:rPr>
        <w:t xml:space="preserve"> the City</w:t>
      </w:r>
      <w:r w:rsidR="00720868" w:rsidRPr="0052701D">
        <w:rPr>
          <w:rFonts w:ascii="Arial" w:hAnsi="Arial" w:cs="Arial"/>
          <w:sz w:val="24"/>
          <w:szCs w:val="24"/>
        </w:rPr>
        <w:t xml:space="preserve"> to</w:t>
      </w:r>
      <w:r w:rsidR="00E31347" w:rsidRPr="0052701D">
        <w:rPr>
          <w:rFonts w:ascii="Arial" w:hAnsi="Arial" w:cs="Arial"/>
          <w:sz w:val="24"/>
          <w:szCs w:val="24"/>
        </w:rPr>
        <w:t xml:space="preserve"> take such steps within 30 days of the order and then report to the Court on those steps. </w:t>
      </w:r>
      <w:r w:rsidR="006263EB" w:rsidRPr="0052701D">
        <w:rPr>
          <w:rFonts w:ascii="Arial" w:hAnsi="Arial" w:cs="Arial"/>
          <w:sz w:val="24"/>
          <w:szCs w:val="24"/>
        </w:rPr>
        <w:t xml:space="preserve">Thirdly, </w:t>
      </w:r>
      <w:r w:rsidR="00270519" w:rsidRPr="0052701D">
        <w:rPr>
          <w:rFonts w:ascii="Arial" w:hAnsi="Arial" w:cs="Arial"/>
          <w:sz w:val="24"/>
          <w:szCs w:val="24"/>
        </w:rPr>
        <w:t xml:space="preserve">and by way of an amendment to the notice of motion, </w:t>
      </w:r>
      <w:r w:rsidR="006263EB" w:rsidRPr="0052701D">
        <w:rPr>
          <w:rFonts w:ascii="Arial" w:hAnsi="Arial" w:cs="Arial"/>
          <w:sz w:val="24"/>
          <w:szCs w:val="24"/>
        </w:rPr>
        <w:t>t</w:t>
      </w:r>
      <w:r w:rsidR="00E31347" w:rsidRPr="0052701D">
        <w:rPr>
          <w:rFonts w:ascii="Arial" w:hAnsi="Arial" w:cs="Arial"/>
          <w:sz w:val="24"/>
          <w:szCs w:val="24"/>
        </w:rPr>
        <w:t>he</w:t>
      </w:r>
      <w:r w:rsidR="006263EB" w:rsidRPr="0052701D">
        <w:rPr>
          <w:rFonts w:ascii="Arial" w:hAnsi="Arial" w:cs="Arial"/>
          <w:sz w:val="24"/>
          <w:szCs w:val="24"/>
        </w:rPr>
        <w:t xml:space="preserve"> appellants</w:t>
      </w:r>
      <w:r w:rsidR="00E31347" w:rsidRPr="0052701D">
        <w:rPr>
          <w:rFonts w:ascii="Arial" w:hAnsi="Arial" w:cs="Arial"/>
          <w:sz w:val="24"/>
          <w:szCs w:val="24"/>
        </w:rPr>
        <w:t xml:space="preserve"> also ask</w:t>
      </w:r>
      <w:r w:rsidR="00933E01" w:rsidRPr="0052701D">
        <w:rPr>
          <w:rFonts w:ascii="Arial" w:hAnsi="Arial" w:cs="Arial"/>
          <w:sz w:val="24"/>
          <w:szCs w:val="24"/>
        </w:rPr>
        <w:t>ed</w:t>
      </w:r>
      <w:r w:rsidR="00E31347" w:rsidRPr="0052701D">
        <w:rPr>
          <w:rFonts w:ascii="Arial" w:hAnsi="Arial" w:cs="Arial"/>
          <w:sz w:val="24"/>
          <w:szCs w:val="24"/>
        </w:rPr>
        <w:t xml:space="preserve"> that the City be directed to furnish them with written accounts and debate the adequacy of those accounts. T</w:t>
      </w:r>
      <w:r w:rsidR="00F255A5" w:rsidRPr="0052701D">
        <w:rPr>
          <w:rFonts w:ascii="Arial" w:hAnsi="Arial" w:cs="Arial"/>
          <w:sz w:val="24"/>
          <w:szCs w:val="24"/>
        </w:rPr>
        <w:t xml:space="preserve">he Court </w:t>
      </w:r>
      <w:r w:rsidR="00F255A5" w:rsidRPr="0052701D">
        <w:rPr>
          <w:rFonts w:ascii="Arial" w:hAnsi="Arial" w:cs="Arial"/>
          <w:i/>
          <w:sz w:val="24"/>
          <w:szCs w:val="24"/>
        </w:rPr>
        <w:t>a quo</w:t>
      </w:r>
      <w:r w:rsidR="00F255A5" w:rsidRPr="0052701D">
        <w:rPr>
          <w:rFonts w:ascii="Arial" w:hAnsi="Arial" w:cs="Arial"/>
          <w:sz w:val="24"/>
          <w:szCs w:val="24"/>
        </w:rPr>
        <w:t xml:space="preserve"> </w:t>
      </w:r>
      <w:r w:rsidR="00E31347" w:rsidRPr="0052701D">
        <w:rPr>
          <w:rFonts w:ascii="Arial" w:hAnsi="Arial" w:cs="Arial"/>
          <w:sz w:val="24"/>
          <w:szCs w:val="24"/>
        </w:rPr>
        <w:t>dismissed the application</w:t>
      </w:r>
      <w:r w:rsidR="006263EB" w:rsidRPr="0052701D">
        <w:rPr>
          <w:rFonts w:ascii="Arial" w:hAnsi="Arial" w:cs="Arial"/>
          <w:sz w:val="24"/>
          <w:szCs w:val="24"/>
        </w:rPr>
        <w:t>.</w:t>
      </w:r>
    </w:p>
    <w:p w14:paraId="2E24734B" w14:textId="77777777" w:rsidR="00E31347" w:rsidRPr="00CE076A" w:rsidRDefault="00E31347" w:rsidP="00CE076A">
      <w:pPr>
        <w:pStyle w:val="ListParagraph"/>
        <w:spacing w:line="360" w:lineRule="auto"/>
        <w:ind w:left="360"/>
        <w:rPr>
          <w:rFonts w:ascii="Arial" w:hAnsi="Arial" w:cs="Arial"/>
          <w:sz w:val="24"/>
          <w:szCs w:val="24"/>
        </w:rPr>
      </w:pPr>
    </w:p>
    <w:p w14:paraId="458A4B38" w14:textId="1873EF5E" w:rsidR="002F113A" w:rsidRPr="0052701D" w:rsidRDefault="0052701D" w:rsidP="0052701D">
      <w:pPr>
        <w:spacing w:line="360" w:lineRule="auto"/>
        <w:ind w:left="360" w:hanging="360"/>
        <w:rPr>
          <w:rFonts w:ascii="Arial" w:hAnsi="Arial" w:cs="Arial"/>
          <w:sz w:val="24"/>
          <w:szCs w:val="24"/>
        </w:rPr>
      </w:pPr>
      <w:r>
        <w:rPr>
          <w:rFonts w:ascii="Arial" w:hAnsi="Arial" w:cs="Arial"/>
          <w:sz w:val="24"/>
          <w:szCs w:val="24"/>
        </w:rPr>
        <w:t>6.</w:t>
      </w:r>
      <w:r>
        <w:rPr>
          <w:rFonts w:ascii="Arial" w:hAnsi="Arial" w:cs="Arial"/>
          <w:sz w:val="24"/>
          <w:szCs w:val="24"/>
        </w:rPr>
        <w:tab/>
      </w:r>
      <w:r w:rsidR="00E31347" w:rsidRPr="0052701D">
        <w:rPr>
          <w:rFonts w:ascii="Arial" w:hAnsi="Arial" w:cs="Arial"/>
          <w:sz w:val="24"/>
          <w:szCs w:val="24"/>
        </w:rPr>
        <w:t>The following issues arise for decision on appeal:</w:t>
      </w:r>
    </w:p>
    <w:p w14:paraId="72E8AFE4" w14:textId="77777777" w:rsidR="00E31347" w:rsidRPr="00CE076A" w:rsidRDefault="00E31347" w:rsidP="00CE076A">
      <w:pPr>
        <w:pStyle w:val="ListParagraph"/>
        <w:spacing w:line="360" w:lineRule="auto"/>
        <w:ind w:left="360"/>
        <w:rPr>
          <w:rFonts w:ascii="Arial" w:hAnsi="Arial" w:cs="Arial"/>
          <w:sz w:val="24"/>
          <w:szCs w:val="24"/>
        </w:rPr>
      </w:pPr>
    </w:p>
    <w:p w14:paraId="63B0B38A" w14:textId="53638DD9" w:rsidR="00E31347" w:rsidRPr="0052701D" w:rsidRDefault="0052701D" w:rsidP="0052701D">
      <w:pPr>
        <w:spacing w:line="360" w:lineRule="auto"/>
        <w:ind w:left="792" w:hanging="432"/>
        <w:rPr>
          <w:rFonts w:ascii="Arial" w:hAnsi="Arial" w:cs="Arial"/>
          <w:sz w:val="24"/>
          <w:szCs w:val="24"/>
        </w:rPr>
      </w:pPr>
      <w:r>
        <w:rPr>
          <w:rFonts w:ascii="Arial" w:hAnsi="Arial" w:cs="Arial"/>
          <w:sz w:val="24"/>
          <w:szCs w:val="24"/>
        </w:rPr>
        <w:t>6.1.</w:t>
      </w:r>
      <w:r>
        <w:rPr>
          <w:rFonts w:ascii="Arial" w:hAnsi="Arial" w:cs="Arial"/>
          <w:sz w:val="24"/>
          <w:szCs w:val="24"/>
        </w:rPr>
        <w:tab/>
      </w:r>
      <w:r w:rsidR="00E31347" w:rsidRPr="0052701D">
        <w:rPr>
          <w:rFonts w:ascii="Arial" w:hAnsi="Arial" w:cs="Arial"/>
          <w:sz w:val="24"/>
          <w:szCs w:val="24"/>
        </w:rPr>
        <w:t xml:space="preserve">Whether the Court </w:t>
      </w:r>
      <w:r w:rsidR="00E31347" w:rsidRPr="0052701D">
        <w:rPr>
          <w:rFonts w:ascii="Arial" w:hAnsi="Arial" w:cs="Arial"/>
          <w:i/>
          <w:sz w:val="24"/>
          <w:szCs w:val="24"/>
        </w:rPr>
        <w:t xml:space="preserve">a quo </w:t>
      </w:r>
      <w:r w:rsidR="00E31347" w:rsidRPr="0052701D">
        <w:rPr>
          <w:rFonts w:ascii="Arial" w:hAnsi="Arial" w:cs="Arial"/>
          <w:sz w:val="24"/>
          <w:szCs w:val="24"/>
        </w:rPr>
        <w:t xml:space="preserve">was correct in </w:t>
      </w:r>
      <w:r w:rsidR="00F255A5" w:rsidRPr="0052701D">
        <w:rPr>
          <w:rFonts w:ascii="Arial" w:hAnsi="Arial" w:cs="Arial"/>
          <w:sz w:val="24"/>
          <w:szCs w:val="24"/>
        </w:rPr>
        <w:t xml:space="preserve">finding that the application was </w:t>
      </w:r>
      <w:r w:rsidR="00E31347" w:rsidRPr="0052701D">
        <w:rPr>
          <w:rFonts w:ascii="Arial" w:hAnsi="Arial" w:cs="Arial"/>
          <w:sz w:val="24"/>
          <w:szCs w:val="24"/>
        </w:rPr>
        <w:t>moot;</w:t>
      </w:r>
    </w:p>
    <w:p w14:paraId="0CE49CC3" w14:textId="405E4E15" w:rsidR="00E31347" w:rsidRPr="0052701D" w:rsidRDefault="0052701D" w:rsidP="0052701D">
      <w:pPr>
        <w:spacing w:line="360" w:lineRule="auto"/>
        <w:ind w:left="792" w:hanging="432"/>
        <w:rPr>
          <w:rFonts w:ascii="Arial" w:hAnsi="Arial" w:cs="Arial"/>
          <w:sz w:val="24"/>
          <w:szCs w:val="24"/>
        </w:rPr>
      </w:pPr>
      <w:r>
        <w:rPr>
          <w:rFonts w:ascii="Arial" w:hAnsi="Arial" w:cs="Arial"/>
          <w:sz w:val="24"/>
          <w:szCs w:val="24"/>
        </w:rPr>
        <w:t>6.2.</w:t>
      </w:r>
      <w:r>
        <w:rPr>
          <w:rFonts w:ascii="Arial" w:hAnsi="Arial" w:cs="Arial"/>
          <w:sz w:val="24"/>
          <w:szCs w:val="24"/>
        </w:rPr>
        <w:tab/>
      </w:r>
      <w:r w:rsidR="00E31347" w:rsidRPr="0052701D">
        <w:rPr>
          <w:rFonts w:ascii="Arial" w:hAnsi="Arial" w:cs="Arial"/>
          <w:sz w:val="24"/>
          <w:szCs w:val="24"/>
        </w:rPr>
        <w:t xml:space="preserve">Whether the Court </w:t>
      </w:r>
      <w:r w:rsidR="00E31347" w:rsidRPr="0052701D">
        <w:rPr>
          <w:rFonts w:ascii="Arial" w:hAnsi="Arial" w:cs="Arial"/>
          <w:i/>
          <w:sz w:val="24"/>
          <w:szCs w:val="24"/>
        </w:rPr>
        <w:t xml:space="preserve">a quo </w:t>
      </w:r>
      <w:r w:rsidR="00E31347" w:rsidRPr="0052701D">
        <w:rPr>
          <w:rFonts w:ascii="Arial" w:hAnsi="Arial" w:cs="Arial"/>
          <w:sz w:val="24"/>
          <w:szCs w:val="24"/>
        </w:rPr>
        <w:t>was correct in finding that the appellants had impermissibly</w:t>
      </w:r>
      <w:r w:rsidR="00F255A5" w:rsidRPr="0052701D">
        <w:rPr>
          <w:rFonts w:ascii="Arial" w:hAnsi="Arial" w:cs="Arial"/>
          <w:sz w:val="24"/>
          <w:szCs w:val="24"/>
        </w:rPr>
        <w:t xml:space="preserve"> introduced a new case</w:t>
      </w:r>
      <w:r w:rsidR="00225600" w:rsidRPr="0052701D">
        <w:rPr>
          <w:rFonts w:ascii="Arial" w:hAnsi="Arial" w:cs="Arial"/>
          <w:sz w:val="24"/>
          <w:szCs w:val="24"/>
        </w:rPr>
        <w:t xml:space="preserve"> and</w:t>
      </w:r>
      <w:r w:rsidR="002F113A" w:rsidRPr="0052701D">
        <w:rPr>
          <w:rFonts w:ascii="Arial" w:hAnsi="Arial" w:cs="Arial"/>
          <w:sz w:val="24"/>
          <w:szCs w:val="24"/>
        </w:rPr>
        <w:t xml:space="preserve"> </w:t>
      </w:r>
      <w:r w:rsidR="00225600" w:rsidRPr="0052701D">
        <w:rPr>
          <w:rFonts w:ascii="Arial" w:hAnsi="Arial" w:cs="Arial"/>
          <w:sz w:val="24"/>
          <w:szCs w:val="24"/>
        </w:rPr>
        <w:t>new matter</w:t>
      </w:r>
      <w:r w:rsidR="00F255A5" w:rsidRPr="0052701D">
        <w:rPr>
          <w:rFonts w:ascii="Arial" w:hAnsi="Arial" w:cs="Arial"/>
          <w:sz w:val="24"/>
          <w:szCs w:val="24"/>
        </w:rPr>
        <w:t xml:space="preserve"> in reply;</w:t>
      </w:r>
    </w:p>
    <w:p w14:paraId="395EA055" w14:textId="0499DD0D" w:rsidR="00E31347" w:rsidRPr="0052701D" w:rsidRDefault="0052701D" w:rsidP="0052701D">
      <w:pPr>
        <w:spacing w:line="360" w:lineRule="auto"/>
        <w:ind w:left="792" w:hanging="432"/>
        <w:rPr>
          <w:rFonts w:ascii="Arial" w:hAnsi="Arial" w:cs="Arial"/>
          <w:sz w:val="24"/>
          <w:szCs w:val="24"/>
        </w:rPr>
      </w:pPr>
      <w:r w:rsidRPr="00A411C2">
        <w:rPr>
          <w:rFonts w:ascii="Arial" w:hAnsi="Arial" w:cs="Arial"/>
          <w:sz w:val="24"/>
          <w:szCs w:val="24"/>
        </w:rPr>
        <w:t>6.3.</w:t>
      </w:r>
      <w:r w:rsidRPr="00A411C2">
        <w:rPr>
          <w:rFonts w:ascii="Arial" w:hAnsi="Arial" w:cs="Arial"/>
          <w:sz w:val="24"/>
          <w:szCs w:val="24"/>
        </w:rPr>
        <w:tab/>
      </w:r>
      <w:r w:rsidR="00E31347" w:rsidRPr="0052701D">
        <w:rPr>
          <w:rFonts w:ascii="Arial" w:hAnsi="Arial" w:cs="Arial"/>
          <w:sz w:val="24"/>
          <w:szCs w:val="24"/>
        </w:rPr>
        <w:t>Whether the City is in breach of its constitutional obligations to respect and adhere to Court orders and to take all necessary steps</w:t>
      </w:r>
      <w:r w:rsidR="00F255A5" w:rsidRPr="0052701D">
        <w:rPr>
          <w:rFonts w:ascii="Arial" w:hAnsi="Arial" w:cs="Arial"/>
          <w:sz w:val="24"/>
          <w:szCs w:val="24"/>
        </w:rPr>
        <w:t xml:space="preserve"> to give effect to those orders;</w:t>
      </w:r>
    </w:p>
    <w:p w14:paraId="086B33C7" w14:textId="7A838EC6" w:rsidR="00F818A9" w:rsidRPr="0052701D" w:rsidRDefault="0052701D" w:rsidP="0052701D">
      <w:pPr>
        <w:spacing w:line="360" w:lineRule="auto"/>
        <w:ind w:left="792" w:hanging="432"/>
        <w:rPr>
          <w:rFonts w:ascii="Arial" w:hAnsi="Arial" w:cs="Arial"/>
          <w:sz w:val="24"/>
          <w:szCs w:val="24"/>
        </w:rPr>
      </w:pPr>
      <w:r>
        <w:rPr>
          <w:rFonts w:ascii="Arial" w:hAnsi="Arial" w:cs="Arial"/>
          <w:sz w:val="24"/>
          <w:szCs w:val="24"/>
        </w:rPr>
        <w:t>6.4.</w:t>
      </w:r>
      <w:r>
        <w:rPr>
          <w:rFonts w:ascii="Arial" w:hAnsi="Arial" w:cs="Arial"/>
          <w:sz w:val="24"/>
          <w:szCs w:val="24"/>
        </w:rPr>
        <w:tab/>
      </w:r>
      <w:r w:rsidR="00225600" w:rsidRPr="0052701D">
        <w:rPr>
          <w:rFonts w:ascii="Arial" w:hAnsi="Arial" w:cs="Arial"/>
          <w:sz w:val="24"/>
          <w:szCs w:val="24"/>
        </w:rPr>
        <w:t>If so, what remedy is appropriate and the application of section 172(1)(b) of the Constitution, including whether a</w:t>
      </w:r>
      <w:r w:rsidR="00E31347" w:rsidRPr="0052701D">
        <w:rPr>
          <w:rFonts w:ascii="Arial" w:hAnsi="Arial" w:cs="Arial"/>
          <w:sz w:val="24"/>
          <w:szCs w:val="24"/>
        </w:rPr>
        <w:t xml:space="preserve"> remedy requiring the City to provide a written statement of account to each appellant, and to debate the adequacy of those accounts, is appropriate in the circumstances</w:t>
      </w:r>
      <w:r w:rsidR="00F0457D" w:rsidRPr="0052701D">
        <w:rPr>
          <w:rFonts w:ascii="Arial" w:hAnsi="Arial" w:cs="Arial"/>
          <w:sz w:val="24"/>
          <w:szCs w:val="24"/>
        </w:rPr>
        <w:t>;</w:t>
      </w:r>
    </w:p>
    <w:p w14:paraId="13AE02E2" w14:textId="59F87C15" w:rsidR="007247F0" w:rsidRPr="0052701D" w:rsidRDefault="0052701D" w:rsidP="0052701D">
      <w:pPr>
        <w:spacing w:line="360" w:lineRule="auto"/>
        <w:ind w:left="792" w:hanging="432"/>
        <w:rPr>
          <w:rFonts w:ascii="Arial" w:hAnsi="Arial" w:cs="Arial"/>
          <w:sz w:val="24"/>
          <w:szCs w:val="24"/>
        </w:rPr>
      </w:pPr>
      <w:r w:rsidRPr="000F2A3F">
        <w:rPr>
          <w:rFonts w:ascii="Arial" w:hAnsi="Arial" w:cs="Arial"/>
          <w:sz w:val="24"/>
          <w:szCs w:val="24"/>
        </w:rPr>
        <w:t>6.5.</w:t>
      </w:r>
      <w:r w:rsidRPr="000F2A3F">
        <w:rPr>
          <w:rFonts w:ascii="Arial" w:hAnsi="Arial" w:cs="Arial"/>
          <w:sz w:val="24"/>
          <w:szCs w:val="24"/>
        </w:rPr>
        <w:tab/>
      </w:r>
      <w:r w:rsidR="00F818A9" w:rsidRPr="0052701D">
        <w:rPr>
          <w:rFonts w:ascii="Arial" w:hAnsi="Arial" w:cs="Arial"/>
          <w:sz w:val="24"/>
          <w:szCs w:val="24"/>
        </w:rPr>
        <w:t>Whether any of the relief</w:t>
      </w:r>
      <w:r w:rsidR="00F0457D" w:rsidRPr="0052701D">
        <w:rPr>
          <w:rFonts w:ascii="Arial" w:hAnsi="Arial" w:cs="Arial"/>
          <w:sz w:val="24"/>
          <w:szCs w:val="24"/>
        </w:rPr>
        <w:t xml:space="preserve"> sought</w:t>
      </w:r>
      <w:r w:rsidR="00F818A9" w:rsidRPr="0052701D">
        <w:rPr>
          <w:rFonts w:ascii="Arial" w:hAnsi="Arial" w:cs="Arial"/>
          <w:sz w:val="24"/>
          <w:szCs w:val="24"/>
        </w:rPr>
        <w:t xml:space="preserve"> is precluded because of factual disputes on the affidavits and the rules governing motion proceedings.</w:t>
      </w:r>
    </w:p>
    <w:p w14:paraId="15B14450" w14:textId="77777777" w:rsidR="00395C43" w:rsidRDefault="00395C43" w:rsidP="00CE076A">
      <w:pPr>
        <w:spacing w:line="240" w:lineRule="auto"/>
        <w:rPr>
          <w:rFonts w:ascii="Arial" w:hAnsi="Arial" w:cs="Arial"/>
          <w:b/>
          <w:sz w:val="24"/>
          <w:szCs w:val="24"/>
        </w:rPr>
      </w:pPr>
    </w:p>
    <w:p w14:paraId="4C966AFB" w14:textId="38E93E05" w:rsidR="009D643C" w:rsidRPr="00395C43" w:rsidRDefault="00395C43" w:rsidP="00CE076A">
      <w:pPr>
        <w:spacing w:line="360" w:lineRule="auto"/>
        <w:rPr>
          <w:rFonts w:ascii="Arial" w:hAnsi="Arial" w:cs="Arial"/>
          <w:b/>
          <w:sz w:val="24"/>
          <w:szCs w:val="24"/>
        </w:rPr>
      </w:pPr>
      <w:r>
        <w:rPr>
          <w:rFonts w:ascii="Arial" w:hAnsi="Arial" w:cs="Arial"/>
          <w:b/>
          <w:sz w:val="24"/>
          <w:szCs w:val="24"/>
        </w:rPr>
        <w:t>Background facts and the review proceedings</w:t>
      </w:r>
    </w:p>
    <w:p w14:paraId="19D4BA0B" w14:textId="1AED6CDA" w:rsidR="00C537C2" w:rsidRPr="0052701D" w:rsidRDefault="0052701D" w:rsidP="0052701D">
      <w:pPr>
        <w:spacing w:line="360" w:lineRule="auto"/>
        <w:ind w:left="360" w:hanging="360"/>
        <w:rPr>
          <w:rFonts w:ascii="Arial" w:hAnsi="Arial" w:cs="Arial"/>
          <w:sz w:val="24"/>
          <w:szCs w:val="24"/>
        </w:rPr>
      </w:pPr>
      <w:r>
        <w:rPr>
          <w:rFonts w:ascii="Arial" w:hAnsi="Arial" w:cs="Arial"/>
          <w:sz w:val="24"/>
          <w:szCs w:val="24"/>
        </w:rPr>
        <w:t>7.</w:t>
      </w:r>
      <w:r>
        <w:rPr>
          <w:rFonts w:ascii="Arial" w:hAnsi="Arial" w:cs="Arial"/>
          <w:sz w:val="24"/>
          <w:szCs w:val="24"/>
        </w:rPr>
        <w:tab/>
      </w:r>
      <w:r w:rsidR="00312B68" w:rsidRPr="0052701D">
        <w:rPr>
          <w:rFonts w:ascii="Arial" w:hAnsi="Arial" w:cs="Arial"/>
          <w:sz w:val="24"/>
          <w:szCs w:val="24"/>
        </w:rPr>
        <w:t>The events start with the disestablishment in July 2011 of the Kungwini Municipality and its incorporation into the City. In its valuation system, the Kungwini Municipality categori</w:t>
      </w:r>
      <w:r w:rsidR="00270519" w:rsidRPr="0052701D">
        <w:rPr>
          <w:rFonts w:ascii="Arial" w:hAnsi="Arial" w:cs="Arial"/>
          <w:sz w:val="24"/>
          <w:szCs w:val="24"/>
        </w:rPr>
        <w:t>sed</w:t>
      </w:r>
      <w:r w:rsidR="00312B68" w:rsidRPr="0052701D">
        <w:rPr>
          <w:rFonts w:ascii="Arial" w:hAnsi="Arial" w:cs="Arial"/>
          <w:sz w:val="24"/>
          <w:szCs w:val="24"/>
        </w:rPr>
        <w:t xml:space="preserve"> the appellant</w:t>
      </w:r>
      <w:r w:rsidR="00270519" w:rsidRPr="0052701D">
        <w:rPr>
          <w:rFonts w:ascii="Arial" w:hAnsi="Arial" w:cs="Arial"/>
          <w:sz w:val="24"/>
          <w:szCs w:val="24"/>
        </w:rPr>
        <w:t>s’</w:t>
      </w:r>
      <w:r w:rsidR="00312B68" w:rsidRPr="0052701D">
        <w:rPr>
          <w:rFonts w:ascii="Arial" w:hAnsi="Arial" w:cs="Arial"/>
          <w:sz w:val="24"/>
          <w:szCs w:val="24"/>
        </w:rPr>
        <w:t xml:space="preserve"> </w:t>
      </w:r>
      <w:r w:rsidR="00624917" w:rsidRPr="0052701D">
        <w:rPr>
          <w:rFonts w:ascii="Arial" w:hAnsi="Arial" w:cs="Arial"/>
          <w:sz w:val="24"/>
          <w:szCs w:val="24"/>
        </w:rPr>
        <w:t xml:space="preserve">vacant </w:t>
      </w:r>
      <w:r w:rsidR="00312B68" w:rsidRPr="0052701D">
        <w:rPr>
          <w:rFonts w:ascii="Arial" w:hAnsi="Arial" w:cs="Arial"/>
          <w:sz w:val="24"/>
          <w:szCs w:val="24"/>
        </w:rPr>
        <w:t>properties</w:t>
      </w:r>
      <w:r w:rsidR="00624917" w:rsidRPr="0052701D">
        <w:rPr>
          <w:rFonts w:ascii="Arial" w:hAnsi="Arial" w:cs="Arial"/>
          <w:sz w:val="24"/>
          <w:szCs w:val="24"/>
        </w:rPr>
        <w:t xml:space="preserve"> as r</w:t>
      </w:r>
      <w:r w:rsidR="00312B68" w:rsidRPr="0052701D">
        <w:rPr>
          <w:rFonts w:ascii="Arial" w:hAnsi="Arial" w:cs="Arial"/>
          <w:sz w:val="24"/>
          <w:szCs w:val="24"/>
        </w:rPr>
        <w:t>esidential.</w:t>
      </w:r>
      <w:r w:rsidR="001E13FF">
        <w:rPr>
          <w:rStyle w:val="FootnoteReference"/>
          <w:rFonts w:ascii="Arial" w:hAnsi="Arial" w:cs="Arial"/>
          <w:sz w:val="24"/>
          <w:szCs w:val="24"/>
        </w:rPr>
        <w:footnoteReference w:id="4"/>
      </w:r>
      <w:r w:rsidR="00312B68" w:rsidRPr="0052701D">
        <w:rPr>
          <w:rFonts w:ascii="Arial" w:hAnsi="Arial" w:cs="Arial"/>
          <w:sz w:val="24"/>
          <w:szCs w:val="24"/>
        </w:rPr>
        <w:t xml:space="preserve"> In July 2012, the City adopted a supplementary valuation roll, the 2012 SVR</w:t>
      </w:r>
      <w:r w:rsidR="00270519" w:rsidRPr="0052701D">
        <w:rPr>
          <w:rFonts w:ascii="Arial" w:hAnsi="Arial" w:cs="Arial"/>
          <w:sz w:val="24"/>
          <w:szCs w:val="24"/>
        </w:rPr>
        <w:t>. The 2012 SVR purported to re</w:t>
      </w:r>
      <w:r w:rsidR="00312B68" w:rsidRPr="0052701D">
        <w:rPr>
          <w:rFonts w:ascii="Arial" w:hAnsi="Arial" w:cs="Arial"/>
          <w:sz w:val="24"/>
          <w:szCs w:val="24"/>
        </w:rPr>
        <w:t>categorise properties in the former Kungwini Municipality as vacant land for the purposes of municipal rates. In 2013, the 2012 SVR was replaced by a general valuation roll, the 2013 GVR</w:t>
      </w:r>
      <w:r w:rsidR="000F14B2" w:rsidRPr="0052701D">
        <w:rPr>
          <w:rFonts w:ascii="Arial" w:hAnsi="Arial" w:cs="Arial"/>
          <w:sz w:val="24"/>
          <w:szCs w:val="24"/>
        </w:rPr>
        <w:t>,</w:t>
      </w:r>
      <w:r w:rsidR="00312B68" w:rsidRPr="0052701D">
        <w:rPr>
          <w:rFonts w:ascii="Arial" w:hAnsi="Arial" w:cs="Arial"/>
          <w:sz w:val="24"/>
          <w:szCs w:val="24"/>
        </w:rPr>
        <w:t xml:space="preserve"> which also categorised the appellants’ properties as vacant on the basis of the 2012 SVR. As a result</w:t>
      </w:r>
      <w:r w:rsidR="00624917" w:rsidRPr="0052701D">
        <w:rPr>
          <w:rFonts w:ascii="Arial" w:hAnsi="Arial" w:cs="Arial"/>
          <w:sz w:val="24"/>
          <w:szCs w:val="24"/>
        </w:rPr>
        <w:t xml:space="preserve"> of the re</w:t>
      </w:r>
      <w:r w:rsidR="00312B68" w:rsidRPr="0052701D">
        <w:rPr>
          <w:rFonts w:ascii="Arial" w:hAnsi="Arial" w:cs="Arial"/>
          <w:sz w:val="24"/>
          <w:szCs w:val="24"/>
        </w:rPr>
        <w:t>categorisation of the appellants’ properties from residential to vacant, the City charged the appellants</w:t>
      </w:r>
      <w:r w:rsidR="00C537C2" w:rsidRPr="0052701D">
        <w:rPr>
          <w:rFonts w:ascii="Arial" w:hAnsi="Arial" w:cs="Arial"/>
          <w:sz w:val="24"/>
          <w:szCs w:val="24"/>
        </w:rPr>
        <w:t>’</w:t>
      </w:r>
      <w:r w:rsidR="00312B68" w:rsidRPr="0052701D">
        <w:rPr>
          <w:rFonts w:ascii="Arial" w:hAnsi="Arial" w:cs="Arial"/>
          <w:sz w:val="24"/>
          <w:szCs w:val="24"/>
        </w:rPr>
        <w:t xml:space="preserve"> rates at a tariff several hundred percent higher than what they had previously been charged. For example, the seventh and eighth appellants had paid R853 per month</w:t>
      </w:r>
      <w:r w:rsidR="00DC3C32" w:rsidRPr="0052701D">
        <w:rPr>
          <w:rFonts w:ascii="Arial" w:hAnsi="Arial" w:cs="Arial"/>
          <w:sz w:val="24"/>
          <w:szCs w:val="24"/>
        </w:rPr>
        <w:t xml:space="preserve"> prior to the recategorisation</w:t>
      </w:r>
      <w:r w:rsidR="00312B68" w:rsidRPr="0052701D">
        <w:rPr>
          <w:rFonts w:ascii="Arial" w:hAnsi="Arial" w:cs="Arial"/>
          <w:sz w:val="24"/>
          <w:szCs w:val="24"/>
        </w:rPr>
        <w:t>, but under the City’s system were charged R6000 per month and arrears of R66</w:t>
      </w:r>
      <w:r w:rsidR="009D643C" w:rsidRPr="0052701D">
        <w:rPr>
          <w:rFonts w:ascii="Arial" w:hAnsi="Arial" w:cs="Arial"/>
          <w:sz w:val="24"/>
          <w:szCs w:val="24"/>
        </w:rPr>
        <w:t> </w:t>
      </w:r>
      <w:r w:rsidR="00312B68" w:rsidRPr="0052701D">
        <w:rPr>
          <w:rFonts w:ascii="Arial" w:hAnsi="Arial" w:cs="Arial"/>
          <w:sz w:val="24"/>
          <w:szCs w:val="24"/>
        </w:rPr>
        <w:t>000.</w:t>
      </w:r>
      <w:r w:rsidR="004325C1">
        <w:rPr>
          <w:rStyle w:val="FootnoteReference"/>
          <w:rFonts w:ascii="Arial" w:hAnsi="Arial" w:cs="Arial"/>
          <w:sz w:val="24"/>
          <w:szCs w:val="24"/>
        </w:rPr>
        <w:footnoteReference w:id="5"/>
      </w:r>
      <w:r w:rsidR="004325C1" w:rsidRPr="0052701D">
        <w:rPr>
          <w:rFonts w:ascii="Arial" w:hAnsi="Arial" w:cs="Arial"/>
          <w:sz w:val="24"/>
          <w:szCs w:val="24"/>
        </w:rPr>
        <w:t xml:space="preserve"> There is no dispute that these increased</w:t>
      </w:r>
      <w:r w:rsidR="00624917" w:rsidRPr="0052701D">
        <w:rPr>
          <w:rFonts w:ascii="Arial" w:hAnsi="Arial" w:cs="Arial"/>
          <w:sz w:val="24"/>
          <w:szCs w:val="24"/>
        </w:rPr>
        <w:t xml:space="preserve"> rates</w:t>
      </w:r>
      <w:r w:rsidR="004325C1" w:rsidRPr="0052701D">
        <w:rPr>
          <w:rFonts w:ascii="Arial" w:hAnsi="Arial" w:cs="Arial"/>
          <w:sz w:val="24"/>
          <w:szCs w:val="24"/>
        </w:rPr>
        <w:t xml:space="preserve"> are unaffordable for some of the appellants and </w:t>
      </w:r>
      <w:r w:rsidR="00624917" w:rsidRPr="0052701D">
        <w:rPr>
          <w:rFonts w:ascii="Arial" w:hAnsi="Arial" w:cs="Arial"/>
          <w:sz w:val="24"/>
          <w:szCs w:val="24"/>
        </w:rPr>
        <w:t xml:space="preserve">that </w:t>
      </w:r>
      <w:r w:rsidR="004325C1" w:rsidRPr="0052701D">
        <w:rPr>
          <w:rFonts w:ascii="Arial" w:hAnsi="Arial" w:cs="Arial"/>
          <w:sz w:val="24"/>
          <w:szCs w:val="24"/>
        </w:rPr>
        <w:t>they depressed the market.</w:t>
      </w:r>
    </w:p>
    <w:p w14:paraId="40C0F1D3" w14:textId="77777777" w:rsidR="009D643C" w:rsidRPr="00CE076A" w:rsidRDefault="009D643C" w:rsidP="00CE076A">
      <w:pPr>
        <w:pStyle w:val="ListParagraph"/>
        <w:spacing w:line="360" w:lineRule="auto"/>
        <w:ind w:left="360"/>
        <w:rPr>
          <w:rFonts w:ascii="Arial" w:hAnsi="Arial" w:cs="Arial"/>
          <w:sz w:val="24"/>
          <w:szCs w:val="24"/>
        </w:rPr>
      </w:pPr>
    </w:p>
    <w:p w14:paraId="07BB02F4" w14:textId="763EDDD1" w:rsidR="00434818" w:rsidRPr="0052701D" w:rsidRDefault="0052701D" w:rsidP="0052701D">
      <w:pPr>
        <w:spacing w:line="360" w:lineRule="auto"/>
        <w:ind w:left="360" w:hanging="360"/>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624917" w:rsidRPr="0052701D">
        <w:rPr>
          <w:rFonts w:ascii="Arial" w:hAnsi="Arial" w:cs="Arial"/>
          <w:sz w:val="24"/>
          <w:szCs w:val="24"/>
        </w:rPr>
        <w:t xml:space="preserve">On 31 May 2016, </w:t>
      </w:r>
      <w:r w:rsidR="009D643C" w:rsidRPr="0052701D">
        <w:rPr>
          <w:rFonts w:ascii="Arial" w:hAnsi="Arial" w:cs="Arial"/>
          <w:sz w:val="24"/>
          <w:szCs w:val="24"/>
        </w:rPr>
        <w:t xml:space="preserve">Tuchten </w:t>
      </w:r>
      <w:r w:rsidR="00624917" w:rsidRPr="0052701D">
        <w:rPr>
          <w:rFonts w:ascii="Arial" w:hAnsi="Arial" w:cs="Arial"/>
          <w:sz w:val="24"/>
          <w:szCs w:val="24"/>
        </w:rPr>
        <w:t xml:space="preserve">J </w:t>
      </w:r>
      <w:r w:rsidR="009D643C" w:rsidRPr="0052701D">
        <w:rPr>
          <w:rFonts w:ascii="Arial" w:hAnsi="Arial" w:cs="Arial"/>
          <w:sz w:val="24"/>
          <w:szCs w:val="24"/>
        </w:rPr>
        <w:t xml:space="preserve">reviewed and </w:t>
      </w:r>
      <w:r w:rsidR="00CF3D3D" w:rsidRPr="0052701D">
        <w:rPr>
          <w:rFonts w:ascii="Arial" w:hAnsi="Arial" w:cs="Arial"/>
          <w:sz w:val="24"/>
          <w:szCs w:val="24"/>
        </w:rPr>
        <w:t xml:space="preserve">set </w:t>
      </w:r>
      <w:r w:rsidR="009D643C" w:rsidRPr="0052701D">
        <w:rPr>
          <w:rFonts w:ascii="Arial" w:hAnsi="Arial" w:cs="Arial"/>
          <w:sz w:val="24"/>
          <w:szCs w:val="24"/>
        </w:rPr>
        <w:t>aside the 2012 SVR and the 2013 GVR to the extent that they categorised the appellants’ properties as vacant and directed the appellants to pay municipal rates at the tariff applicable immediately prior to the 2012 SVR (the residential tariff) until the applicable rate is changed in accordance with the law.</w:t>
      </w:r>
      <w:r w:rsidR="007247F0">
        <w:rPr>
          <w:rStyle w:val="FootnoteReference"/>
          <w:rFonts w:ascii="Arial" w:hAnsi="Arial" w:cs="Arial"/>
          <w:sz w:val="24"/>
          <w:szCs w:val="24"/>
        </w:rPr>
        <w:footnoteReference w:id="6"/>
      </w:r>
      <w:r w:rsidR="00624917" w:rsidRPr="0052701D">
        <w:rPr>
          <w:rFonts w:ascii="Arial" w:hAnsi="Arial" w:cs="Arial"/>
          <w:sz w:val="24"/>
          <w:szCs w:val="24"/>
        </w:rPr>
        <w:t xml:space="preserve"> </w:t>
      </w:r>
      <w:r w:rsidR="007247F0" w:rsidRPr="0052701D">
        <w:rPr>
          <w:rFonts w:ascii="Arial" w:hAnsi="Arial" w:cs="Arial"/>
          <w:sz w:val="24"/>
          <w:szCs w:val="24"/>
        </w:rPr>
        <w:t xml:space="preserve">Tuchten </w:t>
      </w:r>
      <w:r w:rsidR="00624917" w:rsidRPr="0052701D">
        <w:rPr>
          <w:rFonts w:ascii="Arial" w:hAnsi="Arial" w:cs="Arial"/>
          <w:sz w:val="24"/>
          <w:szCs w:val="24"/>
        </w:rPr>
        <w:t xml:space="preserve">J </w:t>
      </w:r>
      <w:r w:rsidR="007247F0" w:rsidRPr="0052701D">
        <w:rPr>
          <w:rFonts w:ascii="Arial" w:hAnsi="Arial" w:cs="Arial"/>
          <w:sz w:val="24"/>
          <w:szCs w:val="24"/>
        </w:rPr>
        <w:t>reviewed and set aside the 2012 SVR on the basis that the City had failed to comply with the notice requirements prescribed by the Local Government: Munic</w:t>
      </w:r>
      <w:r w:rsidR="004534EF" w:rsidRPr="0052701D">
        <w:rPr>
          <w:rFonts w:ascii="Arial" w:hAnsi="Arial" w:cs="Arial"/>
          <w:sz w:val="24"/>
          <w:szCs w:val="24"/>
        </w:rPr>
        <w:t>ipal Property Rates Act 6 of 200</w:t>
      </w:r>
      <w:r w:rsidR="007247F0" w:rsidRPr="0052701D">
        <w:rPr>
          <w:rFonts w:ascii="Arial" w:hAnsi="Arial" w:cs="Arial"/>
          <w:sz w:val="24"/>
          <w:szCs w:val="24"/>
        </w:rPr>
        <w:t>4 (the Rates Act).</w:t>
      </w:r>
      <w:r w:rsidR="002C3566">
        <w:rPr>
          <w:rStyle w:val="FootnoteReference"/>
          <w:rFonts w:ascii="Arial" w:hAnsi="Arial" w:cs="Arial"/>
          <w:sz w:val="24"/>
          <w:szCs w:val="24"/>
        </w:rPr>
        <w:footnoteReference w:id="7"/>
      </w:r>
      <w:r w:rsidR="00624917" w:rsidRPr="0052701D">
        <w:rPr>
          <w:rFonts w:ascii="Arial" w:hAnsi="Arial" w:cs="Arial"/>
          <w:sz w:val="24"/>
          <w:szCs w:val="24"/>
        </w:rPr>
        <w:t xml:space="preserve"> </w:t>
      </w:r>
      <w:r w:rsidR="007247F0" w:rsidRPr="0052701D">
        <w:rPr>
          <w:rFonts w:ascii="Arial" w:hAnsi="Arial" w:cs="Arial"/>
          <w:sz w:val="24"/>
          <w:szCs w:val="24"/>
        </w:rPr>
        <w:t>Tuchten</w:t>
      </w:r>
      <w:r w:rsidR="00624917" w:rsidRPr="0052701D">
        <w:rPr>
          <w:rFonts w:ascii="Arial" w:hAnsi="Arial" w:cs="Arial"/>
          <w:sz w:val="24"/>
          <w:szCs w:val="24"/>
        </w:rPr>
        <w:t xml:space="preserve"> J</w:t>
      </w:r>
      <w:r w:rsidR="007247F0" w:rsidRPr="0052701D">
        <w:rPr>
          <w:rFonts w:ascii="Arial" w:hAnsi="Arial" w:cs="Arial"/>
          <w:sz w:val="24"/>
          <w:szCs w:val="24"/>
        </w:rPr>
        <w:t xml:space="preserve"> reviewed and set aside the 2013 GVR on the basis that it relied on the 2012 SVR.</w:t>
      </w:r>
      <w:r w:rsidR="006F5B97">
        <w:rPr>
          <w:rStyle w:val="FootnoteReference"/>
          <w:rFonts w:ascii="Arial" w:hAnsi="Arial" w:cs="Arial"/>
          <w:sz w:val="24"/>
          <w:szCs w:val="24"/>
        </w:rPr>
        <w:footnoteReference w:id="8"/>
      </w:r>
      <w:r w:rsidR="004325C1" w:rsidRPr="0052701D">
        <w:rPr>
          <w:rFonts w:ascii="Arial" w:hAnsi="Arial" w:cs="Arial"/>
          <w:sz w:val="24"/>
          <w:szCs w:val="24"/>
        </w:rPr>
        <w:t xml:space="preserve"> </w:t>
      </w:r>
      <w:r w:rsidR="006F5B97" w:rsidRPr="0052701D">
        <w:rPr>
          <w:rFonts w:ascii="Arial" w:hAnsi="Arial" w:cs="Arial"/>
          <w:sz w:val="24"/>
          <w:szCs w:val="24"/>
        </w:rPr>
        <w:t>He remitted the 2013 GVR to the City for the process to be commenced afresh. He did not do so in relation to the 201</w:t>
      </w:r>
      <w:r w:rsidR="00624917" w:rsidRPr="0052701D">
        <w:rPr>
          <w:rFonts w:ascii="Arial" w:hAnsi="Arial" w:cs="Arial"/>
          <w:sz w:val="24"/>
          <w:szCs w:val="24"/>
        </w:rPr>
        <w:t>2 SVR because it had,</w:t>
      </w:r>
      <w:r w:rsidR="006F5B97" w:rsidRPr="0052701D">
        <w:rPr>
          <w:rFonts w:ascii="Arial" w:hAnsi="Arial" w:cs="Arial"/>
          <w:sz w:val="24"/>
          <w:szCs w:val="24"/>
        </w:rPr>
        <w:t xml:space="preserve"> by effluxion of time</w:t>
      </w:r>
      <w:r w:rsidR="00624917" w:rsidRPr="0052701D">
        <w:rPr>
          <w:rFonts w:ascii="Arial" w:hAnsi="Arial" w:cs="Arial"/>
          <w:sz w:val="24"/>
          <w:szCs w:val="24"/>
        </w:rPr>
        <w:t>,</w:t>
      </w:r>
      <w:r w:rsidR="006F5B97" w:rsidRPr="0052701D">
        <w:rPr>
          <w:rFonts w:ascii="Arial" w:hAnsi="Arial" w:cs="Arial"/>
          <w:sz w:val="24"/>
          <w:szCs w:val="24"/>
        </w:rPr>
        <w:t xml:space="preserve"> run its course. In circumstances where Tuchten</w:t>
      </w:r>
      <w:r w:rsidR="00624917" w:rsidRPr="0052701D">
        <w:rPr>
          <w:rFonts w:ascii="Arial" w:hAnsi="Arial" w:cs="Arial"/>
          <w:sz w:val="24"/>
          <w:szCs w:val="24"/>
        </w:rPr>
        <w:t xml:space="preserve"> J</w:t>
      </w:r>
      <w:r w:rsidR="006F5B97" w:rsidRPr="0052701D">
        <w:rPr>
          <w:rFonts w:ascii="Arial" w:hAnsi="Arial" w:cs="Arial"/>
          <w:sz w:val="24"/>
          <w:szCs w:val="24"/>
        </w:rPr>
        <w:t xml:space="preserve"> had held that the City has no power</w:t>
      </w:r>
      <w:r w:rsidR="00434818" w:rsidRPr="0052701D">
        <w:rPr>
          <w:rFonts w:ascii="Arial" w:hAnsi="Arial" w:cs="Arial"/>
          <w:sz w:val="24"/>
          <w:szCs w:val="24"/>
        </w:rPr>
        <w:t>,</w:t>
      </w:r>
      <w:r w:rsidR="006F5B97" w:rsidRPr="0052701D">
        <w:rPr>
          <w:rFonts w:ascii="Arial" w:hAnsi="Arial" w:cs="Arial"/>
          <w:sz w:val="24"/>
          <w:szCs w:val="24"/>
        </w:rPr>
        <w:t xml:space="preserve"> retrospectively</w:t>
      </w:r>
      <w:r w:rsidR="00434818" w:rsidRPr="0052701D">
        <w:rPr>
          <w:rFonts w:ascii="Arial" w:hAnsi="Arial" w:cs="Arial"/>
          <w:sz w:val="24"/>
          <w:szCs w:val="24"/>
        </w:rPr>
        <w:t>,</w:t>
      </w:r>
      <w:r w:rsidR="006F5B97" w:rsidRPr="0052701D">
        <w:rPr>
          <w:rFonts w:ascii="Arial" w:hAnsi="Arial" w:cs="Arial"/>
          <w:sz w:val="24"/>
          <w:szCs w:val="24"/>
        </w:rPr>
        <w:t xml:space="preserve"> to impose rates, no purpose would be served by a remittal to allow that process to be rerun.</w:t>
      </w:r>
      <w:r w:rsidR="006F5B97">
        <w:rPr>
          <w:rStyle w:val="FootnoteReference"/>
          <w:rFonts w:ascii="Arial" w:hAnsi="Arial" w:cs="Arial"/>
          <w:sz w:val="24"/>
          <w:szCs w:val="24"/>
        </w:rPr>
        <w:footnoteReference w:id="9"/>
      </w:r>
    </w:p>
    <w:p w14:paraId="29D84319" w14:textId="77777777" w:rsidR="009D643C" w:rsidRPr="00CE076A" w:rsidRDefault="009D643C" w:rsidP="00CE076A">
      <w:pPr>
        <w:pStyle w:val="ListParagraph"/>
        <w:spacing w:line="360" w:lineRule="auto"/>
        <w:ind w:left="360"/>
        <w:rPr>
          <w:rFonts w:ascii="Arial" w:hAnsi="Arial" w:cs="Arial"/>
          <w:sz w:val="24"/>
          <w:szCs w:val="24"/>
        </w:rPr>
      </w:pPr>
    </w:p>
    <w:p w14:paraId="3C13F356" w14:textId="08D0B8C5" w:rsidR="00434818" w:rsidRPr="0052701D" w:rsidRDefault="0052701D" w:rsidP="0052701D">
      <w:pPr>
        <w:spacing w:line="360" w:lineRule="auto"/>
        <w:ind w:left="360" w:hanging="360"/>
        <w:rPr>
          <w:rFonts w:ascii="Arial" w:hAnsi="Arial" w:cs="Arial"/>
          <w:sz w:val="24"/>
          <w:szCs w:val="24"/>
        </w:rPr>
      </w:pPr>
      <w:r>
        <w:rPr>
          <w:rFonts w:ascii="Arial" w:hAnsi="Arial" w:cs="Arial"/>
          <w:sz w:val="24"/>
          <w:szCs w:val="24"/>
        </w:rPr>
        <w:t>9.</w:t>
      </w:r>
      <w:r>
        <w:rPr>
          <w:rFonts w:ascii="Arial" w:hAnsi="Arial" w:cs="Arial"/>
          <w:sz w:val="24"/>
          <w:szCs w:val="24"/>
        </w:rPr>
        <w:tab/>
      </w:r>
      <w:r w:rsidR="009D643C" w:rsidRPr="0052701D">
        <w:rPr>
          <w:rFonts w:ascii="Arial" w:hAnsi="Arial" w:cs="Arial"/>
          <w:sz w:val="24"/>
          <w:szCs w:val="24"/>
        </w:rPr>
        <w:t>The respondents then appealed the orders granted by Tuchten</w:t>
      </w:r>
      <w:r w:rsidR="00624917" w:rsidRPr="0052701D">
        <w:rPr>
          <w:rFonts w:ascii="Arial" w:hAnsi="Arial" w:cs="Arial"/>
          <w:sz w:val="24"/>
          <w:szCs w:val="24"/>
        </w:rPr>
        <w:t xml:space="preserve"> J</w:t>
      </w:r>
      <w:r w:rsidR="009D643C" w:rsidRPr="0052701D">
        <w:rPr>
          <w:rFonts w:ascii="Arial" w:hAnsi="Arial" w:cs="Arial"/>
          <w:sz w:val="24"/>
          <w:szCs w:val="24"/>
        </w:rPr>
        <w:t>. On 31 May 2018, the SCA unanimously confirmed Tuchten</w:t>
      </w:r>
      <w:r w:rsidR="00624917" w:rsidRPr="0052701D">
        <w:rPr>
          <w:rFonts w:ascii="Arial" w:hAnsi="Arial" w:cs="Arial"/>
          <w:sz w:val="24"/>
          <w:szCs w:val="24"/>
        </w:rPr>
        <w:t xml:space="preserve"> J</w:t>
      </w:r>
      <w:r w:rsidR="009D643C" w:rsidRPr="0052701D">
        <w:rPr>
          <w:rFonts w:ascii="Arial" w:hAnsi="Arial" w:cs="Arial"/>
          <w:sz w:val="24"/>
          <w:szCs w:val="24"/>
        </w:rPr>
        <w:t>’s orders.</w:t>
      </w:r>
      <w:r w:rsidR="009D643C">
        <w:rPr>
          <w:rStyle w:val="FootnoteReference"/>
          <w:rFonts w:ascii="Arial" w:hAnsi="Arial" w:cs="Arial"/>
          <w:sz w:val="24"/>
          <w:szCs w:val="24"/>
        </w:rPr>
        <w:footnoteReference w:id="10"/>
      </w:r>
      <w:r w:rsidR="009D643C" w:rsidRPr="0052701D">
        <w:rPr>
          <w:rFonts w:ascii="Arial" w:hAnsi="Arial" w:cs="Arial"/>
          <w:sz w:val="24"/>
          <w:szCs w:val="24"/>
        </w:rPr>
        <w:t xml:space="preserve"> </w:t>
      </w:r>
      <w:r w:rsidR="00BD008F" w:rsidRPr="0052701D">
        <w:rPr>
          <w:rFonts w:ascii="Arial" w:hAnsi="Arial" w:cs="Arial"/>
          <w:sz w:val="24"/>
          <w:szCs w:val="24"/>
        </w:rPr>
        <w:t xml:space="preserve">In the judgment, Ponnan JA </w:t>
      </w:r>
      <w:r w:rsidR="00BD008F" w:rsidRPr="0052701D">
        <w:rPr>
          <w:rFonts w:ascii="Arial" w:hAnsi="Arial" w:cs="Arial"/>
          <w:sz w:val="24"/>
          <w:szCs w:val="24"/>
        </w:rPr>
        <w:lastRenderedPageBreak/>
        <w:t>confirmed the finding that the 2012 SVG was invalid due to non-compliance with the notice requirements of the Rates Act</w:t>
      </w:r>
      <w:r w:rsidR="000F2A3F" w:rsidRPr="0052701D">
        <w:rPr>
          <w:rFonts w:ascii="Arial" w:hAnsi="Arial" w:cs="Arial"/>
          <w:sz w:val="24"/>
          <w:szCs w:val="24"/>
        </w:rPr>
        <w:t>.</w:t>
      </w:r>
      <w:r w:rsidR="00434818" w:rsidRPr="0052701D">
        <w:rPr>
          <w:rFonts w:ascii="Arial" w:hAnsi="Arial" w:cs="Arial"/>
          <w:sz w:val="24"/>
          <w:szCs w:val="24"/>
        </w:rPr>
        <w:t xml:space="preserve"> </w:t>
      </w:r>
      <w:r w:rsidR="000F2A3F" w:rsidRPr="0052701D">
        <w:rPr>
          <w:rFonts w:ascii="Arial" w:hAnsi="Arial" w:cs="Arial"/>
          <w:sz w:val="24"/>
          <w:szCs w:val="24"/>
        </w:rPr>
        <w:t xml:space="preserve">On the purpose of the notice requirements, the SCA held: </w:t>
      </w:r>
      <w:r w:rsidR="00434818" w:rsidRPr="0052701D">
        <w:rPr>
          <w:rFonts w:ascii="Arial" w:hAnsi="Arial" w:cs="Arial"/>
          <w:sz w:val="24"/>
          <w:szCs w:val="24"/>
        </w:rPr>
        <w:t>“</w:t>
      </w:r>
      <w:r w:rsidR="000F2A3F" w:rsidRPr="0052701D">
        <w:rPr>
          <w:rFonts w:ascii="Arial" w:hAnsi="Arial" w:cs="Arial"/>
          <w:sz w:val="24"/>
          <w:szCs w:val="24"/>
        </w:rPr>
        <w:t>They are intended to ensure that the persons directly and individually affected by the changes to the valuation roll are given reasonable notice of the changes and an opportunity to respond to them by exercising the right of objection provided for in [the Rates Act].</w:t>
      </w:r>
      <w:r w:rsidR="00434818" w:rsidRPr="0052701D">
        <w:rPr>
          <w:rFonts w:ascii="Arial" w:hAnsi="Arial" w:cs="Arial"/>
          <w:sz w:val="24"/>
          <w:szCs w:val="24"/>
        </w:rPr>
        <w:t>”</w:t>
      </w:r>
      <w:r w:rsidR="000F2A3F">
        <w:rPr>
          <w:rStyle w:val="FootnoteReference"/>
          <w:rFonts w:ascii="Arial" w:hAnsi="Arial" w:cs="Arial"/>
          <w:sz w:val="24"/>
          <w:szCs w:val="24"/>
        </w:rPr>
        <w:footnoteReference w:id="11"/>
      </w:r>
      <w:r w:rsidR="000F2A3F" w:rsidRPr="0052701D">
        <w:rPr>
          <w:rFonts w:ascii="Arial" w:hAnsi="Arial" w:cs="Arial"/>
          <w:sz w:val="24"/>
          <w:szCs w:val="24"/>
        </w:rPr>
        <w:t xml:space="preserve"> The SCA affirmed the reasoning of Tuchten</w:t>
      </w:r>
      <w:r w:rsidR="00624917" w:rsidRPr="0052701D">
        <w:rPr>
          <w:rFonts w:ascii="Arial" w:hAnsi="Arial" w:cs="Arial"/>
          <w:sz w:val="24"/>
          <w:szCs w:val="24"/>
        </w:rPr>
        <w:t xml:space="preserve"> J</w:t>
      </w:r>
      <w:r w:rsidR="000F2A3F" w:rsidRPr="0052701D">
        <w:rPr>
          <w:rFonts w:ascii="Arial" w:hAnsi="Arial" w:cs="Arial"/>
          <w:sz w:val="24"/>
          <w:szCs w:val="24"/>
        </w:rPr>
        <w:t xml:space="preserve"> regarding the invalidity of the 2013 GVR.</w:t>
      </w:r>
      <w:r w:rsidR="000F2A3F">
        <w:rPr>
          <w:rStyle w:val="FootnoteReference"/>
          <w:rFonts w:ascii="Arial" w:hAnsi="Arial" w:cs="Arial"/>
          <w:sz w:val="24"/>
          <w:szCs w:val="24"/>
        </w:rPr>
        <w:footnoteReference w:id="12"/>
      </w:r>
      <w:r w:rsidR="000F2A3F" w:rsidRPr="0052701D">
        <w:rPr>
          <w:rFonts w:ascii="Arial" w:hAnsi="Arial" w:cs="Arial"/>
          <w:sz w:val="24"/>
          <w:szCs w:val="24"/>
        </w:rPr>
        <w:t xml:space="preserve"> </w:t>
      </w:r>
      <w:r w:rsidR="00553FE2" w:rsidRPr="0052701D">
        <w:rPr>
          <w:rFonts w:ascii="Arial" w:hAnsi="Arial" w:cs="Arial"/>
          <w:sz w:val="24"/>
          <w:szCs w:val="24"/>
        </w:rPr>
        <w:t>Importantly, b</w:t>
      </w:r>
      <w:r w:rsidR="009D643C" w:rsidRPr="0052701D">
        <w:rPr>
          <w:rFonts w:ascii="Arial" w:hAnsi="Arial" w:cs="Arial"/>
          <w:sz w:val="24"/>
          <w:szCs w:val="24"/>
        </w:rPr>
        <w:t>y the time that the SCA handed down its judgment</w:t>
      </w:r>
      <w:r w:rsidR="00395C43" w:rsidRPr="0052701D">
        <w:rPr>
          <w:rFonts w:ascii="Arial" w:hAnsi="Arial" w:cs="Arial"/>
          <w:sz w:val="24"/>
          <w:szCs w:val="24"/>
        </w:rPr>
        <w:t xml:space="preserve"> on 31 May 2018</w:t>
      </w:r>
      <w:r w:rsidR="009D643C" w:rsidRPr="0052701D">
        <w:rPr>
          <w:rFonts w:ascii="Arial" w:hAnsi="Arial" w:cs="Arial"/>
          <w:sz w:val="24"/>
          <w:szCs w:val="24"/>
        </w:rPr>
        <w:t>, the 2013 GVR had lapsed due to the effluxion of time.</w:t>
      </w:r>
    </w:p>
    <w:p w14:paraId="64DD8701" w14:textId="77777777" w:rsidR="00DD434F" w:rsidRPr="00CE076A" w:rsidRDefault="00DD434F" w:rsidP="00CE076A">
      <w:pPr>
        <w:pStyle w:val="ListParagraph"/>
        <w:spacing w:line="360" w:lineRule="auto"/>
        <w:ind w:left="360"/>
        <w:rPr>
          <w:rFonts w:ascii="Arial" w:hAnsi="Arial" w:cs="Arial"/>
          <w:sz w:val="24"/>
          <w:szCs w:val="24"/>
        </w:rPr>
      </w:pPr>
    </w:p>
    <w:p w14:paraId="0E5F5820" w14:textId="5A7CE16A" w:rsidR="00434818" w:rsidRPr="0052701D" w:rsidRDefault="0052701D" w:rsidP="0052701D">
      <w:pPr>
        <w:spacing w:line="360" w:lineRule="auto"/>
        <w:ind w:left="360" w:hanging="360"/>
        <w:rPr>
          <w:rFonts w:ascii="Arial" w:hAnsi="Arial" w:cs="Arial"/>
          <w:sz w:val="24"/>
          <w:szCs w:val="24"/>
        </w:rPr>
      </w:pPr>
      <w:r>
        <w:rPr>
          <w:rFonts w:ascii="Arial" w:hAnsi="Arial" w:cs="Arial"/>
          <w:sz w:val="24"/>
          <w:szCs w:val="24"/>
        </w:rPr>
        <w:t>10.</w:t>
      </w:r>
      <w:r>
        <w:rPr>
          <w:rFonts w:ascii="Arial" w:hAnsi="Arial" w:cs="Arial"/>
          <w:sz w:val="24"/>
          <w:szCs w:val="24"/>
        </w:rPr>
        <w:tab/>
      </w:r>
      <w:r w:rsidR="00DD434F" w:rsidRPr="0052701D">
        <w:rPr>
          <w:rFonts w:ascii="Arial" w:hAnsi="Arial" w:cs="Arial"/>
          <w:sz w:val="24"/>
          <w:szCs w:val="24"/>
        </w:rPr>
        <w:t xml:space="preserve">The application was brought in circumstances where, the appellants contended, the City had done nothing to implement the </w:t>
      </w:r>
      <w:r w:rsidR="00553FE2" w:rsidRPr="0052701D">
        <w:rPr>
          <w:rFonts w:ascii="Arial" w:hAnsi="Arial" w:cs="Arial"/>
          <w:sz w:val="24"/>
          <w:szCs w:val="24"/>
        </w:rPr>
        <w:t>review orders</w:t>
      </w:r>
      <w:r w:rsidR="00DD434F" w:rsidRPr="0052701D">
        <w:rPr>
          <w:rFonts w:ascii="Arial" w:hAnsi="Arial" w:cs="Arial"/>
          <w:sz w:val="24"/>
          <w:szCs w:val="24"/>
        </w:rPr>
        <w:t>. In this regard:</w:t>
      </w:r>
    </w:p>
    <w:p w14:paraId="56A3A1D3" w14:textId="77777777" w:rsidR="00DD434F" w:rsidRPr="00CE076A" w:rsidRDefault="00DD434F" w:rsidP="00CE076A">
      <w:pPr>
        <w:pStyle w:val="ListParagraph"/>
        <w:spacing w:line="360" w:lineRule="auto"/>
        <w:ind w:left="360"/>
        <w:rPr>
          <w:rFonts w:ascii="Arial" w:hAnsi="Arial" w:cs="Arial"/>
          <w:sz w:val="24"/>
          <w:szCs w:val="24"/>
        </w:rPr>
      </w:pPr>
    </w:p>
    <w:p w14:paraId="5E840CF1" w14:textId="45696933" w:rsidR="00DD434F"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10.1.</w:t>
      </w:r>
      <w:r>
        <w:rPr>
          <w:rFonts w:ascii="Arial" w:hAnsi="Arial" w:cs="Arial"/>
          <w:sz w:val="24"/>
          <w:szCs w:val="24"/>
        </w:rPr>
        <w:tab/>
      </w:r>
      <w:r w:rsidR="00DD434F" w:rsidRPr="0052701D">
        <w:rPr>
          <w:rFonts w:ascii="Arial" w:hAnsi="Arial" w:cs="Arial"/>
          <w:sz w:val="24"/>
          <w:szCs w:val="24"/>
        </w:rPr>
        <w:t>On 15 June 2018, the appellants</w:t>
      </w:r>
      <w:r w:rsidR="00624917" w:rsidRPr="0052701D">
        <w:rPr>
          <w:rFonts w:ascii="Arial" w:hAnsi="Arial" w:cs="Arial"/>
          <w:sz w:val="24"/>
          <w:szCs w:val="24"/>
        </w:rPr>
        <w:t>’ attorneys</w:t>
      </w:r>
      <w:r w:rsidR="00395C43" w:rsidRPr="0052701D">
        <w:rPr>
          <w:rFonts w:ascii="Arial" w:hAnsi="Arial" w:cs="Arial"/>
          <w:sz w:val="24"/>
          <w:szCs w:val="24"/>
        </w:rPr>
        <w:t>, Adams and Adams,</w:t>
      </w:r>
      <w:r w:rsidR="00DD434F" w:rsidRPr="0052701D">
        <w:rPr>
          <w:rFonts w:ascii="Arial" w:hAnsi="Arial" w:cs="Arial"/>
          <w:sz w:val="24"/>
          <w:szCs w:val="24"/>
        </w:rPr>
        <w:t xml:space="preserve"> wrote to the City</w:t>
      </w:r>
      <w:r w:rsidR="00624917" w:rsidRPr="0052701D">
        <w:rPr>
          <w:rFonts w:ascii="Arial" w:hAnsi="Arial" w:cs="Arial"/>
          <w:sz w:val="24"/>
          <w:szCs w:val="24"/>
        </w:rPr>
        <w:t>’s attorneys</w:t>
      </w:r>
      <w:r w:rsidR="00395C43" w:rsidRPr="0052701D">
        <w:rPr>
          <w:rFonts w:ascii="Arial" w:hAnsi="Arial" w:cs="Arial"/>
          <w:sz w:val="24"/>
          <w:szCs w:val="24"/>
        </w:rPr>
        <w:t>, Ndobela &amp; Lamola Inc,</w:t>
      </w:r>
      <w:r w:rsidR="000F14B2" w:rsidRPr="0052701D">
        <w:rPr>
          <w:rFonts w:ascii="Arial" w:hAnsi="Arial" w:cs="Arial"/>
          <w:sz w:val="24"/>
          <w:szCs w:val="24"/>
        </w:rPr>
        <w:t xml:space="preserve"> to demand that the City </w:t>
      </w:r>
      <w:r w:rsidR="00DD434F" w:rsidRPr="0052701D">
        <w:rPr>
          <w:rFonts w:ascii="Arial" w:hAnsi="Arial" w:cs="Arial"/>
          <w:sz w:val="24"/>
          <w:szCs w:val="24"/>
        </w:rPr>
        <w:t>implement the necessary adjustments.</w:t>
      </w:r>
      <w:r w:rsidR="00624917" w:rsidRPr="0052701D">
        <w:rPr>
          <w:rFonts w:ascii="Arial" w:hAnsi="Arial" w:cs="Arial"/>
          <w:sz w:val="24"/>
          <w:szCs w:val="24"/>
        </w:rPr>
        <w:t xml:space="preserve"> They supplied two lists of individuals they represent. </w:t>
      </w:r>
      <w:r w:rsidR="00DD434F" w:rsidRPr="0052701D">
        <w:rPr>
          <w:rFonts w:ascii="Arial" w:hAnsi="Arial" w:cs="Arial"/>
          <w:sz w:val="24"/>
          <w:szCs w:val="24"/>
        </w:rPr>
        <w:t>There was no response.</w:t>
      </w:r>
    </w:p>
    <w:p w14:paraId="0AF16BF8" w14:textId="46FD36B8" w:rsidR="00DD434F"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10.2.</w:t>
      </w:r>
      <w:r>
        <w:rPr>
          <w:rFonts w:ascii="Arial" w:hAnsi="Arial" w:cs="Arial"/>
          <w:sz w:val="24"/>
          <w:szCs w:val="24"/>
        </w:rPr>
        <w:tab/>
      </w:r>
      <w:r w:rsidR="00DD434F" w:rsidRPr="0052701D">
        <w:rPr>
          <w:rFonts w:ascii="Arial" w:hAnsi="Arial" w:cs="Arial"/>
          <w:sz w:val="24"/>
          <w:szCs w:val="24"/>
        </w:rPr>
        <w:t>On 9 July 2018, the appellants</w:t>
      </w:r>
      <w:r w:rsidR="002B4FA0" w:rsidRPr="0052701D">
        <w:rPr>
          <w:rFonts w:ascii="Arial" w:hAnsi="Arial" w:cs="Arial"/>
          <w:sz w:val="24"/>
          <w:szCs w:val="24"/>
        </w:rPr>
        <w:t>’ attorneys</w:t>
      </w:r>
      <w:r w:rsidR="00DD434F" w:rsidRPr="0052701D">
        <w:rPr>
          <w:rFonts w:ascii="Arial" w:hAnsi="Arial" w:cs="Arial"/>
          <w:sz w:val="24"/>
          <w:szCs w:val="24"/>
        </w:rPr>
        <w:t xml:space="preserve"> again wrote to the City</w:t>
      </w:r>
      <w:r w:rsidR="002B4FA0" w:rsidRPr="0052701D">
        <w:rPr>
          <w:rFonts w:ascii="Arial" w:hAnsi="Arial" w:cs="Arial"/>
          <w:sz w:val="24"/>
          <w:szCs w:val="24"/>
        </w:rPr>
        <w:t>’s attorneys</w:t>
      </w:r>
      <w:r w:rsidR="00DD434F" w:rsidRPr="0052701D">
        <w:rPr>
          <w:rFonts w:ascii="Arial" w:hAnsi="Arial" w:cs="Arial"/>
          <w:sz w:val="24"/>
          <w:szCs w:val="24"/>
        </w:rPr>
        <w:t xml:space="preserve"> demanding rectification of the unlawful imposition of rates. Again</w:t>
      </w:r>
      <w:r w:rsidR="001E59E2" w:rsidRPr="0052701D">
        <w:rPr>
          <w:rFonts w:ascii="Arial" w:hAnsi="Arial" w:cs="Arial"/>
          <w:sz w:val="24"/>
          <w:szCs w:val="24"/>
        </w:rPr>
        <w:t>,</w:t>
      </w:r>
      <w:r w:rsidR="00DD434F" w:rsidRPr="0052701D">
        <w:rPr>
          <w:rFonts w:ascii="Arial" w:hAnsi="Arial" w:cs="Arial"/>
          <w:sz w:val="24"/>
          <w:szCs w:val="24"/>
        </w:rPr>
        <w:t xml:space="preserve"> there was no response.</w:t>
      </w:r>
    </w:p>
    <w:p w14:paraId="6AC7CA94" w14:textId="5FA650FB" w:rsidR="00DD434F"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10.3.</w:t>
      </w:r>
      <w:r>
        <w:rPr>
          <w:rFonts w:ascii="Arial" w:hAnsi="Arial" w:cs="Arial"/>
          <w:sz w:val="24"/>
          <w:szCs w:val="24"/>
        </w:rPr>
        <w:tab/>
      </w:r>
      <w:r w:rsidR="00DD434F" w:rsidRPr="0052701D">
        <w:rPr>
          <w:rFonts w:ascii="Arial" w:hAnsi="Arial" w:cs="Arial"/>
          <w:sz w:val="24"/>
          <w:szCs w:val="24"/>
        </w:rPr>
        <w:t>On 7 August 2018, the appellants</w:t>
      </w:r>
      <w:r w:rsidR="002B4FA0" w:rsidRPr="0052701D">
        <w:rPr>
          <w:rFonts w:ascii="Arial" w:hAnsi="Arial" w:cs="Arial"/>
          <w:sz w:val="24"/>
          <w:szCs w:val="24"/>
        </w:rPr>
        <w:t xml:space="preserve">’ attorneys </w:t>
      </w:r>
      <w:r w:rsidR="00395C43" w:rsidRPr="0052701D">
        <w:rPr>
          <w:rFonts w:ascii="Arial" w:hAnsi="Arial" w:cs="Arial"/>
          <w:sz w:val="24"/>
          <w:szCs w:val="24"/>
        </w:rPr>
        <w:t xml:space="preserve">yet </w:t>
      </w:r>
      <w:r w:rsidR="002B4FA0" w:rsidRPr="0052701D">
        <w:rPr>
          <w:rFonts w:ascii="Arial" w:hAnsi="Arial" w:cs="Arial"/>
          <w:sz w:val="24"/>
          <w:szCs w:val="24"/>
        </w:rPr>
        <w:t>again</w:t>
      </w:r>
      <w:r w:rsidR="00DD434F" w:rsidRPr="0052701D">
        <w:rPr>
          <w:rFonts w:ascii="Arial" w:hAnsi="Arial" w:cs="Arial"/>
          <w:sz w:val="24"/>
          <w:szCs w:val="24"/>
        </w:rPr>
        <w:t xml:space="preserve"> wrote to the City</w:t>
      </w:r>
      <w:r w:rsidR="00E449BB" w:rsidRPr="0052701D">
        <w:rPr>
          <w:rFonts w:ascii="Arial" w:hAnsi="Arial" w:cs="Arial"/>
          <w:sz w:val="24"/>
          <w:szCs w:val="24"/>
        </w:rPr>
        <w:t>’s attorneys</w:t>
      </w:r>
      <w:r w:rsidR="00DD434F" w:rsidRPr="0052701D">
        <w:rPr>
          <w:rFonts w:ascii="Arial" w:hAnsi="Arial" w:cs="Arial"/>
          <w:sz w:val="24"/>
          <w:szCs w:val="24"/>
        </w:rPr>
        <w:t xml:space="preserve"> demanding compliance.</w:t>
      </w:r>
      <w:r w:rsidR="001E59E2" w:rsidRPr="0052701D">
        <w:rPr>
          <w:rFonts w:ascii="Arial" w:hAnsi="Arial" w:cs="Arial"/>
          <w:sz w:val="24"/>
          <w:szCs w:val="24"/>
        </w:rPr>
        <w:t xml:space="preserve"> </w:t>
      </w:r>
      <w:r w:rsidR="00DD434F" w:rsidRPr="0052701D">
        <w:rPr>
          <w:rFonts w:ascii="Arial" w:hAnsi="Arial" w:cs="Arial"/>
          <w:sz w:val="24"/>
          <w:szCs w:val="24"/>
        </w:rPr>
        <w:t>In the letter, the appellants n</w:t>
      </w:r>
      <w:r w:rsidR="00395C43" w:rsidRPr="0052701D">
        <w:rPr>
          <w:rFonts w:ascii="Arial" w:hAnsi="Arial" w:cs="Arial"/>
          <w:sz w:val="24"/>
          <w:szCs w:val="24"/>
        </w:rPr>
        <w:t>oted a discussion between</w:t>
      </w:r>
      <w:r w:rsidR="002B4FA0" w:rsidRPr="0052701D">
        <w:rPr>
          <w:rFonts w:ascii="Arial" w:hAnsi="Arial" w:cs="Arial"/>
          <w:sz w:val="24"/>
          <w:szCs w:val="24"/>
        </w:rPr>
        <w:t xml:space="preserve"> their attorney</w:t>
      </w:r>
      <w:r w:rsidR="00395C43" w:rsidRPr="0052701D">
        <w:rPr>
          <w:rFonts w:ascii="Arial" w:hAnsi="Arial" w:cs="Arial"/>
          <w:sz w:val="24"/>
          <w:szCs w:val="24"/>
        </w:rPr>
        <w:t>, Mr Molver,</w:t>
      </w:r>
      <w:r w:rsidR="002B4FA0" w:rsidRPr="0052701D">
        <w:rPr>
          <w:rFonts w:ascii="Arial" w:hAnsi="Arial" w:cs="Arial"/>
          <w:sz w:val="24"/>
          <w:szCs w:val="24"/>
        </w:rPr>
        <w:t xml:space="preserve"> and</w:t>
      </w:r>
      <w:r w:rsidR="00DD434F" w:rsidRPr="0052701D">
        <w:rPr>
          <w:rFonts w:ascii="Arial" w:hAnsi="Arial" w:cs="Arial"/>
          <w:sz w:val="24"/>
          <w:szCs w:val="24"/>
        </w:rPr>
        <w:t xml:space="preserve"> a </w:t>
      </w:r>
      <w:r w:rsidR="002B4FA0" w:rsidRPr="0052701D">
        <w:rPr>
          <w:rFonts w:ascii="Arial" w:hAnsi="Arial" w:cs="Arial"/>
          <w:sz w:val="24"/>
          <w:szCs w:val="24"/>
        </w:rPr>
        <w:t xml:space="preserve">legal </w:t>
      </w:r>
      <w:r w:rsidR="00395C43" w:rsidRPr="0052701D">
        <w:rPr>
          <w:rFonts w:ascii="Arial" w:hAnsi="Arial" w:cs="Arial"/>
          <w:sz w:val="24"/>
          <w:szCs w:val="24"/>
        </w:rPr>
        <w:t xml:space="preserve">representative of the City, </w:t>
      </w:r>
      <w:r w:rsidR="00DD434F" w:rsidRPr="0052701D">
        <w:rPr>
          <w:rFonts w:ascii="Arial" w:hAnsi="Arial" w:cs="Arial"/>
          <w:sz w:val="24"/>
          <w:szCs w:val="24"/>
        </w:rPr>
        <w:t>Mr Mathebula, who conveyed that the City accepts that it must give effect to the previous orders and rectify the accounts</w:t>
      </w:r>
      <w:r w:rsidR="002B4FA0" w:rsidRPr="0052701D">
        <w:rPr>
          <w:rFonts w:ascii="Arial" w:hAnsi="Arial" w:cs="Arial"/>
          <w:sz w:val="24"/>
          <w:szCs w:val="24"/>
        </w:rPr>
        <w:t xml:space="preserve"> of both the applicants and other affected property owners and that he would revert shortly with the proposed way forward</w:t>
      </w:r>
      <w:r w:rsidR="00DD434F" w:rsidRPr="0052701D">
        <w:rPr>
          <w:rFonts w:ascii="Arial" w:hAnsi="Arial" w:cs="Arial"/>
          <w:sz w:val="24"/>
          <w:szCs w:val="24"/>
        </w:rPr>
        <w:t>.</w:t>
      </w:r>
    </w:p>
    <w:p w14:paraId="0DB38688" w14:textId="4B341373" w:rsidR="00DD434F"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10.4.</w:t>
      </w:r>
      <w:r>
        <w:rPr>
          <w:rFonts w:ascii="Arial" w:hAnsi="Arial" w:cs="Arial"/>
          <w:sz w:val="24"/>
          <w:szCs w:val="24"/>
        </w:rPr>
        <w:tab/>
      </w:r>
      <w:r w:rsidR="00DD434F" w:rsidRPr="0052701D">
        <w:rPr>
          <w:rFonts w:ascii="Arial" w:hAnsi="Arial" w:cs="Arial"/>
          <w:sz w:val="24"/>
          <w:szCs w:val="24"/>
        </w:rPr>
        <w:t>On 10 August 2018, the City</w:t>
      </w:r>
      <w:r w:rsidR="00E449BB" w:rsidRPr="0052701D">
        <w:rPr>
          <w:rFonts w:ascii="Arial" w:hAnsi="Arial" w:cs="Arial"/>
          <w:sz w:val="24"/>
          <w:szCs w:val="24"/>
        </w:rPr>
        <w:t>’s attorneys</w:t>
      </w:r>
      <w:r w:rsidR="00DD434F" w:rsidRPr="0052701D">
        <w:rPr>
          <w:rFonts w:ascii="Arial" w:hAnsi="Arial" w:cs="Arial"/>
          <w:sz w:val="24"/>
          <w:szCs w:val="24"/>
        </w:rPr>
        <w:t xml:space="preserve"> responded</w:t>
      </w:r>
      <w:r w:rsidR="00E449BB" w:rsidRPr="0052701D">
        <w:rPr>
          <w:rFonts w:ascii="Arial" w:hAnsi="Arial" w:cs="Arial"/>
          <w:sz w:val="24"/>
          <w:szCs w:val="24"/>
        </w:rPr>
        <w:t xml:space="preserve"> confirming the City’s</w:t>
      </w:r>
      <w:r w:rsidR="002B4FA0" w:rsidRPr="0052701D">
        <w:rPr>
          <w:rFonts w:ascii="Arial" w:hAnsi="Arial" w:cs="Arial"/>
          <w:sz w:val="24"/>
          <w:szCs w:val="24"/>
        </w:rPr>
        <w:t xml:space="preserve"> intention to comply with the review orders and </w:t>
      </w:r>
      <w:r w:rsidR="00DD434F" w:rsidRPr="0052701D">
        <w:rPr>
          <w:rFonts w:ascii="Arial" w:hAnsi="Arial" w:cs="Arial"/>
          <w:sz w:val="24"/>
          <w:szCs w:val="24"/>
        </w:rPr>
        <w:t xml:space="preserve">undertaking to correct the </w:t>
      </w:r>
      <w:r w:rsidR="002B4FA0" w:rsidRPr="0052701D">
        <w:rPr>
          <w:rFonts w:ascii="Arial" w:hAnsi="Arial" w:cs="Arial"/>
          <w:sz w:val="24"/>
          <w:szCs w:val="24"/>
        </w:rPr>
        <w:t>appellants’ accounts</w:t>
      </w:r>
      <w:r w:rsidR="00DD434F" w:rsidRPr="0052701D">
        <w:rPr>
          <w:rFonts w:ascii="Arial" w:hAnsi="Arial" w:cs="Arial"/>
          <w:sz w:val="24"/>
          <w:szCs w:val="24"/>
        </w:rPr>
        <w:t>.</w:t>
      </w:r>
      <w:r w:rsidR="002B4FA0" w:rsidRPr="0052701D">
        <w:rPr>
          <w:rFonts w:ascii="Arial" w:hAnsi="Arial" w:cs="Arial"/>
          <w:sz w:val="24"/>
          <w:szCs w:val="24"/>
        </w:rPr>
        <w:t xml:space="preserve"> The City indicated that it did not consider itself to be obliged to correct any other affected property owner’s account.</w:t>
      </w:r>
      <w:r w:rsidR="00DD434F" w:rsidRPr="0052701D">
        <w:rPr>
          <w:rFonts w:ascii="Arial" w:hAnsi="Arial" w:cs="Arial"/>
          <w:sz w:val="24"/>
          <w:szCs w:val="24"/>
        </w:rPr>
        <w:t xml:space="preserve"> The letter </w:t>
      </w:r>
      <w:r w:rsidR="00DD434F" w:rsidRPr="0052701D">
        <w:rPr>
          <w:rFonts w:ascii="Arial" w:hAnsi="Arial" w:cs="Arial"/>
          <w:sz w:val="24"/>
          <w:szCs w:val="24"/>
        </w:rPr>
        <w:lastRenderedPageBreak/>
        <w:t>specified that the City would rectify the imposition of rates on the appell</w:t>
      </w:r>
      <w:r w:rsidR="00E449BB" w:rsidRPr="0052701D">
        <w:rPr>
          <w:rFonts w:ascii="Arial" w:hAnsi="Arial" w:cs="Arial"/>
          <w:sz w:val="24"/>
          <w:szCs w:val="24"/>
        </w:rPr>
        <w:t xml:space="preserve">ants’ properties in respect of rates imposed in terms of the 2012 </w:t>
      </w:r>
      <w:r w:rsidR="00CE076A" w:rsidRPr="0052701D">
        <w:rPr>
          <w:rFonts w:ascii="Arial" w:hAnsi="Arial" w:cs="Arial"/>
          <w:sz w:val="24"/>
          <w:szCs w:val="24"/>
        </w:rPr>
        <w:t>S</w:t>
      </w:r>
      <w:r w:rsidR="00E449BB" w:rsidRPr="0052701D">
        <w:rPr>
          <w:rFonts w:ascii="Arial" w:hAnsi="Arial" w:cs="Arial"/>
          <w:sz w:val="24"/>
          <w:szCs w:val="24"/>
        </w:rPr>
        <w:t>VR and the 2013 GVR</w:t>
      </w:r>
      <w:r w:rsidR="002B4FA0" w:rsidRPr="0052701D">
        <w:rPr>
          <w:rFonts w:ascii="Arial" w:hAnsi="Arial" w:cs="Arial"/>
          <w:sz w:val="24"/>
          <w:szCs w:val="24"/>
        </w:rPr>
        <w:t xml:space="preserve">. </w:t>
      </w:r>
      <w:r w:rsidR="00E449BB" w:rsidRPr="0052701D">
        <w:rPr>
          <w:rFonts w:ascii="Arial" w:hAnsi="Arial" w:cs="Arial"/>
          <w:sz w:val="24"/>
          <w:szCs w:val="24"/>
        </w:rPr>
        <w:t>The appellants were informed that the City intended to amend the 2013 GVR and asserted its entitlement to levy rates in accordance with a duly amended roll.</w:t>
      </w:r>
      <w:r w:rsidR="002B4FA0" w:rsidRPr="0052701D">
        <w:rPr>
          <w:rFonts w:ascii="Arial" w:hAnsi="Arial" w:cs="Arial"/>
          <w:sz w:val="24"/>
          <w:szCs w:val="24"/>
        </w:rPr>
        <w:t xml:space="preserve"> </w:t>
      </w:r>
      <w:r w:rsidR="00DD434F" w:rsidRPr="0052701D">
        <w:rPr>
          <w:rFonts w:ascii="Arial" w:hAnsi="Arial" w:cs="Arial"/>
          <w:sz w:val="24"/>
          <w:szCs w:val="24"/>
        </w:rPr>
        <w:t xml:space="preserve">The letter also confirmed that </w:t>
      </w:r>
      <w:r w:rsidR="00E449BB" w:rsidRPr="0052701D">
        <w:rPr>
          <w:rFonts w:ascii="Arial" w:hAnsi="Arial" w:cs="Arial"/>
          <w:sz w:val="24"/>
          <w:szCs w:val="24"/>
        </w:rPr>
        <w:t>in the meantime</w:t>
      </w:r>
      <w:r w:rsidR="001E59E2" w:rsidRPr="0052701D">
        <w:rPr>
          <w:rFonts w:ascii="Arial" w:hAnsi="Arial" w:cs="Arial"/>
          <w:sz w:val="24"/>
          <w:szCs w:val="24"/>
        </w:rPr>
        <w:t>,</w:t>
      </w:r>
      <w:r w:rsidR="00DD434F" w:rsidRPr="0052701D">
        <w:rPr>
          <w:rFonts w:ascii="Arial" w:hAnsi="Arial" w:cs="Arial"/>
          <w:sz w:val="24"/>
          <w:szCs w:val="24"/>
        </w:rPr>
        <w:t xml:space="preserve"> the appellants would pay rates applicable to their properties prior to the operation of the 2012 GVR and for the entire duration of the 2013 GVR. </w:t>
      </w:r>
    </w:p>
    <w:p w14:paraId="3B3CBF23" w14:textId="32A92983" w:rsidR="00FB227A"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10.5.</w:t>
      </w:r>
      <w:r>
        <w:rPr>
          <w:rFonts w:ascii="Arial" w:hAnsi="Arial" w:cs="Arial"/>
          <w:sz w:val="24"/>
          <w:szCs w:val="24"/>
        </w:rPr>
        <w:tab/>
      </w:r>
      <w:r w:rsidR="00E449BB" w:rsidRPr="0052701D">
        <w:rPr>
          <w:rFonts w:ascii="Arial" w:hAnsi="Arial" w:cs="Arial"/>
          <w:sz w:val="24"/>
          <w:szCs w:val="24"/>
        </w:rPr>
        <w:t>On 27 August 2018, the appellants’ attorney</w:t>
      </w:r>
      <w:r w:rsidR="00395C43" w:rsidRPr="0052701D">
        <w:rPr>
          <w:rFonts w:ascii="Arial" w:hAnsi="Arial" w:cs="Arial"/>
          <w:sz w:val="24"/>
          <w:szCs w:val="24"/>
        </w:rPr>
        <w:t>s wrote to the City’s a</w:t>
      </w:r>
      <w:r w:rsidR="00E449BB" w:rsidRPr="0052701D">
        <w:rPr>
          <w:rFonts w:ascii="Arial" w:hAnsi="Arial" w:cs="Arial"/>
          <w:sz w:val="24"/>
          <w:szCs w:val="24"/>
        </w:rPr>
        <w:t>ttorneys focusing on the appellants’ position and requesting how and when the accounts would be rectified. A proposal was made in that regard including as regards interest</w:t>
      </w:r>
      <w:r w:rsidR="001D52F2" w:rsidRPr="0052701D">
        <w:rPr>
          <w:rFonts w:ascii="Arial" w:hAnsi="Arial" w:cs="Arial"/>
          <w:sz w:val="24"/>
          <w:szCs w:val="24"/>
        </w:rPr>
        <w:t>. A request was made to furnish calculations prior to effecting any adjustments.</w:t>
      </w:r>
    </w:p>
    <w:p w14:paraId="247D703E" w14:textId="07B09523" w:rsidR="001D52F2"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10.6.</w:t>
      </w:r>
      <w:r>
        <w:rPr>
          <w:rFonts w:ascii="Arial" w:hAnsi="Arial" w:cs="Arial"/>
          <w:sz w:val="24"/>
          <w:szCs w:val="24"/>
        </w:rPr>
        <w:tab/>
      </w:r>
      <w:r w:rsidR="001D52F2" w:rsidRPr="0052701D">
        <w:rPr>
          <w:rFonts w:ascii="Arial" w:hAnsi="Arial" w:cs="Arial"/>
          <w:sz w:val="24"/>
          <w:szCs w:val="24"/>
        </w:rPr>
        <w:t>On 31 August 2018, the City’s attorneys responded. The letter refers to the fact that the City is overburdened with administrative challenges, which impeded the attorney’s ability to provide a detailed response. The letter again confirmed the City’s intention to give effect to the judgment in respect of the appellants’ properties. It was confirmed that this would entail crediting the appellants’ accounts and reversing interest charged. The City requested a list of accounts in the names of the appellants to assist the process</w:t>
      </w:r>
      <w:r w:rsidR="00CC4AE3" w:rsidRPr="0052701D">
        <w:rPr>
          <w:rFonts w:ascii="Arial" w:hAnsi="Arial" w:cs="Arial"/>
          <w:sz w:val="24"/>
          <w:szCs w:val="24"/>
        </w:rPr>
        <w:t>, and declined the request to provide calculations prior to effecting adjustments citing increased administrative burden and delay in compliance as reasons</w:t>
      </w:r>
      <w:r w:rsidR="001D52F2" w:rsidRPr="0052701D">
        <w:rPr>
          <w:rFonts w:ascii="Arial" w:hAnsi="Arial" w:cs="Arial"/>
          <w:sz w:val="24"/>
          <w:szCs w:val="24"/>
        </w:rPr>
        <w:t>. The attorneys again drew attention to the City’s intention to amend the 2013 GV</w:t>
      </w:r>
      <w:r w:rsidR="00CE076A" w:rsidRPr="0052701D">
        <w:rPr>
          <w:rFonts w:ascii="Arial" w:hAnsi="Arial" w:cs="Arial"/>
          <w:sz w:val="24"/>
          <w:szCs w:val="24"/>
        </w:rPr>
        <w:t>R.</w:t>
      </w:r>
    </w:p>
    <w:p w14:paraId="7B47BBC8" w14:textId="39799735" w:rsidR="00CC4AE3"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10.7.</w:t>
      </w:r>
      <w:r>
        <w:rPr>
          <w:rFonts w:ascii="Arial" w:hAnsi="Arial" w:cs="Arial"/>
          <w:sz w:val="24"/>
          <w:szCs w:val="24"/>
        </w:rPr>
        <w:tab/>
      </w:r>
      <w:r w:rsidR="00DD434F" w:rsidRPr="0052701D">
        <w:rPr>
          <w:rFonts w:ascii="Arial" w:hAnsi="Arial" w:cs="Arial"/>
          <w:sz w:val="24"/>
          <w:szCs w:val="24"/>
        </w:rPr>
        <w:t>On 7 September 2018, the appellants</w:t>
      </w:r>
      <w:r w:rsidR="00CC4AE3" w:rsidRPr="0052701D">
        <w:rPr>
          <w:rFonts w:ascii="Arial" w:hAnsi="Arial" w:cs="Arial"/>
          <w:sz w:val="24"/>
          <w:szCs w:val="24"/>
        </w:rPr>
        <w:t>’ attorneys</w:t>
      </w:r>
      <w:r w:rsidR="00DD434F" w:rsidRPr="0052701D">
        <w:rPr>
          <w:rFonts w:ascii="Arial" w:hAnsi="Arial" w:cs="Arial"/>
          <w:sz w:val="24"/>
          <w:szCs w:val="24"/>
        </w:rPr>
        <w:t xml:space="preserve"> wrote to the City noting the lapse of time since the SCA decision and demanding confirmation of the adjustments by 14 September 2018.</w:t>
      </w:r>
      <w:r w:rsidR="00CC4AE3" w:rsidRPr="0052701D">
        <w:rPr>
          <w:rFonts w:ascii="Arial" w:hAnsi="Arial" w:cs="Arial"/>
          <w:sz w:val="24"/>
          <w:szCs w:val="24"/>
        </w:rPr>
        <w:t xml:space="preserve"> The attorneys took issue with the City’s claims that the delays and the refusal to provide calculations were justified by administrative burdens.</w:t>
      </w:r>
      <w:r w:rsidR="00DD434F" w:rsidRPr="0052701D">
        <w:rPr>
          <w:rFonts w:ascii="Arial" w:hAnsi="Arial" w:cs="Arial"/>
          <w:sz w:val="24"/>
          <w:szCs w:val="24"/>
        </w:rPr>
        <w:t xml:space="preserve"> </w:t>
      </w:r>
      <w:r w:rsidR="00E420AD" w:rsidRPr="0052701D">
        <w:rPr>
          <w:rFonts w:ascii="Arial" w:hAnsi="Arial" w:cs="Arial"/>
          <w:sz w:val="24"/>
          <w:szCs w:val="24"/>
        </w:rPr>
        <w:t>There was no response.</w:t>
      </w:r>
    </w:p>
    <w:p w14:paraId="09FBEFE1" w14:textId="59692D23" w:rsidR="00E420AD"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10.8.</w:t>
      </w:r>
      <w:r>
        <w:rPr>
          <w:rFonts w:ascii="Arial" w:hAnsi="Arial" w:cs="Arial"/>
          <w:sz w:val="24"/>
          <w:szCs w:val="24"/>
        </w:rPr>
        <w:tab/>
      </w:r>
      <w:r w:rsidR="00E420AD" w:rsidRPr="0052701D">
        <w:rPr>
          <w:rFonts w:ascii="Arial" w:hAnsi="Arial" w:cs="Arial"/>
          <w:sz w:val="24"/>
          <w:szCs w:val="24"/>
        </w:rPr>
        <w:t xml:space="preserve">On 27 September 2018, the </w:t>
      </w:r>
      <w:r w:rsidR="00DD434F" w:rsidRPr="0052701D">
        <w:rPr>
          <w:rFonts w:ascii="Arial" w:hAnsi="Arial" w:cs="Arial"/>
          <w:sz w:val="24"/>
          <w:szCs w:val="24"/>
        </w:rPr>
        <w:t>appellants</w:t>
      </w:r>
      <w:r w:rsidR="00E420AD" w:rsidRPr="0052701D">
        <w:rPr>
          <w:rFonts w:ascii="Arial" w:hAnsi="Arial" w:cs="Arial"/>
          <w:sz w:val="24"/>
          <w:szCs w:val="24"/>
        </w:rPr>
        <w:t>’ attorneys</w:t>
      </w:r>
      <w:r w:rsidR="00DD434F" w:rsidRPr="0052701D">
        <w:rPr>
          <w:rFonts w:ascii="Arial" w:hAnsi="Arial" w:cs="Arial"/>
          <w:sz w:val="24"/>
          <w:szCs w:val="24"/>
        </w:rPr>
        <w:t xml:space="preserve"> provided the City with a </w:t>
      </w:r>
      <w:r w:rsidR="00E420AD" w:rsidRPr="0052701D">
        <w:rPr>
          <w:rFonts w:ascii="Arial" w:hAnsi="Arial" w:cs="Arial"/>
          <w:sz w:val="24"/>
          <w:szCs w:val="24"/>
        </w:rPr>
        <w:t xml:space="preserve">final opportunity to comply with the </w:t>
      </w:r>
      <w:r w:rsidR="00553FE2" w:rsidRPr="0052701D">
        <w:rPr>
          <w:rFonts w:ascii="Arial" w:hAnsi="Arial" w:cs="Arial"/>
          <w:sz w:val="24"/>
          <w:szCs w:val="24"/>
        </w:rPr>
        <w:t xml:space="preserve">review </w:t>
      </w:r>
      <w:r w:rsidR="00E420AD" w:rsidRPr="0052701D">
        <w:rPr>
          <w:rFonts w:ascii="Arial" w:hAnsi="Arial" w:cs="Arial"/>
          <w:sz w:val="24"/>
          <w:szCs w:val="24"/>
        </w:rPr>
        <w:t>order</w:t>
      </w:r>
      <w:r w:rsidR="00553FE2" w:rsidRPr="0052701D">
        <w:rPr>
          <w:rFonts w:ascii="Arial" w:hAnsi="Arial" w:cs="Arial"/>
          <w:sz w:val="24"/>
          <w:szCs w:val="24"/>
        </w:rPr>
        <w:t>s</w:t>
      </w:r>
      <w:r w:rsidR="00E420AD" w:rsidRPr="0052701D">
        <w:rPr>
          <w:rFonts w:ascii="Arial" w:hAnsi="Arial" w:cs="Arial"/>
          <w:sz w:val="24"/>
          <w:szCs w:val="24"/>
        </w:rPr>
        <w:t xml:space="preserve"> by 5 October 2018. </w:t>
      </w:r>
      <w:r w:rsidR="00DD434F" w:rsidRPr="0052701D">
        <w:rPr>
          <w:rFonts w:ascii="Arial" w:hAnsi="Arial" w:cs="Arial"/>
          <w:sz w:val="24"/>
          <w:szCs w:val="24"/>
        </w:rPr>
        <w:t xml:space="preserve">The City remained non-responsive. </w:t>
      </w:r>
    </w:p>
    <w:p w14:paraId="212E46E8" w14:textId="565632B4" w:rsidR="002D7353" w:rsidRPr="0052701D" w:rsidRDefault="0052701D" w:rsidP="0052701D">
      <w:pPr>
        <w:spacing w:line="360" w:lineRule="auto"/>
        <w:ind w:left="1134" w:hanging="774"/>
        <w:rPr>
          <w:rFonts w:ascii="Arial" w:hAnsi="Arial" w:cs="Arial"/>
          <w:sz w:val="24"/>
          <w:szCs w:val="24"/>
        </w:rPr>
      </w:pPr>
      <w:r>
        <w:rPr>
          <w:rFonts w:ascii="Arial" w:hAnsi="Arial" w:cs="Arial"/>
          <w:sz w:val="24"/>
          <w:szCs w:val="24"/>
        </w:rPr>
        <w:t>10.9.</w:t>
      </w:r>
      <w:r>
        <w:rPr>
          <w:rFonts w:ascii="Arial" w:hAnsi="Arial" w:cs="Arial"/>
          <w:sz w:val="24"/>
          <w:szCs w:val="24"/>
        </w:rPr>
        <w:tab/>
      </w:r>
      <w:r w:rsidR="00DD434F" w:rsidRPr="0052701D">
        <w:rPr>
          <w:rFonts w:ascii="Arial" w:hAnsi="Arial" w:cs="Arial"/>
          <w:sz w:val="24"/>
          <w:szCs w:val="24"/>
        </w:rPr>
        <w:t>On 11 October 2018, the appellants</w:t>
      </w:r>
      <w:r w:rsidR="00E420AD" w:rsidRPr="0052701D">
        <w:rPr>
          <w:rFonts w:ascii="Arial" w:hAnsi="Arial" w:cs="Arial"/>
          <w:sz w:val="24"/>
          <w:szCs w:val="24"/>
        </w:rPr>
        <w:t>’ attorneys</w:t>
      </w:r>
      <w:r w:rsidR="00DD434F" w:rsidRPr="0052701D">
        <w:rPr>
          <w:rFonts w:ascii="Arial" w:hAnsi="Arial" w:cs="Arial"/>
          <w:sz w:val="24"/>
          <w:szCs w:val="24"/>
        </w:rPr>
        <w:t xml:space="preserve"> informed the City that </w:t>
      </w:r>
      <w:r w:rsidR="002D7353" w:rsidRPr="0052701D">
        <w:rPr>
          <w:rFonts w:ascii="Arial" w:hAnsi="Arial" w:cs="Arial"/>
          <w:sz w:val="24"/>
          <w:szCs w:val="24"/>
        </w:rPr>
        <w:t xml:space="preserve">they would institute </w:t>
      </w:r>
      <w:r w:rsidR="00E420AD" w:rsidRPr="0052701D">
        <w:rPr>
          <w:rFonts w:ascii="Arial" w:hAnsi="Arial" w:cs="Arial"/>
          <w:sz w:val="24"/>
          <w:szCs w:val="24"/>
        </w:rPr>
        <w:t>contempt proceedings</w:t>
      </w:r>
      <w:r w:rsidR="002D7353" w:rsidRPr="0052701D">
        <w:rPr>
          <w:rFonts w:ascii="Arial" w:hAnsi="Arial" w:cs="Arial"/>
          <w:sz w:val="24"/>
          <w:szCs w:val="24"/>
        </w:rPr>
        <w:t>.</w:t>
      </w:r>
    </w:p>
    <w:p w14:paraId="076306A7" w14:textId="70111807" w:rsidR="004E6348" w:rsidRPr="0052701D" w:rsidRDefault="0052701D" w:rsidP="0052701D">
      <w:pPr>
        <w:spacing w:line="360" w:lineRule="auto"/>
        <w:ind w:left="1134" w:hanging="774"/>
        <w:rPr>
          <w:rFonts w:ascii="Arial" w:hAnsi="Arial" w:cs="Arial"/>
          <w:sz w:val="24"/>
          <w:szCs w:val="24"/>
        </w:rPr>
      </w:pPr>
      <w:r>
        <w:rPr>
          <w:rFonts w:ascii="Arial" w:hAnsi="Arial" w:cs="Arial"/>
          <w:sz w:val="24"/>
          <w:szCs w:val="24"/>
        </w:rPr>
        <w:lastRenderedPageBreak/>
        <w:t>10.10.</w:t>
      </w:r>
      <w:r>
        <w:rPr>
          <w:rFonts w:ascii="Arial" w:hAnsi="Arial" w:cs="Arial"/>
          <w:sz w:val="24"/>
          <w:szCs w:val="24"/>
        </w:rPr>
        <w:tab/>
      </w:r>
      <w:r w:rsidR="002D7353" w:rsidRPr="0052701D">
        <w:rPr>
          <w:rFonts w:ascii="Arial" w:hAnsi="Arial" w:cs="Arial"/>
          <w:sz w:val="24"/>
          <w:szCs w:val="24"/>
        </w:rPr>
        <w:t xml:space="preserve">On 24 October 2018, the City issued a press release advising that it is taking </w:t>
      </w:r>
      <w:r w:rsidR="003A6630" w:rsidRPr="0052701D">
        <w:rPr>
          <w:rFonts w:ascii="Arial" w:hAnsi="Arial" w:cs="Arial"/>
          <w:sz w:val="24"/>
          <w:szCs w:val="24"/>
        </w:rPr>
        <w:t>“</w:t>
      </w:r>
      <w:r w:rsidR="002D7353" w:rsidRPr="0052701D">
        <w:rPr>
          <w:rFonts w:ascii="Arial" w:hAnsi="Arial" w:cs="Arial"/>
          <w:sz w:val="24"/>
          <w:szCs w:val="24"/>
        </w:rPr>
        <w:t>all preparatory steps to implement [the review orders]</w:t>
      </w:r>
      <w:r w:rsidR="003A6630" w:rsidRPr="0052701D">
        <w:rPr>
          <w:rFonts w:ascii="Arial" w:hAnsi="Arial" w:cs="Arial"/>
          <w:sz w:val="24"/>
          <w:szCs w:val="24"/>
        </w:rPr>
        <w:t>”</w:t>
      </w:r>
      <w:r w:rsidR="004E6348" w:rsidRPr="0052701D">
        <w:rPr>
          <w:rFonts w:ascii="Arial" w:hAnsi="Arial" w:cs="Arial"/>
          <w:sz w:val="24"/>
          <w:szCs w:val="24"/>
        </w:rPr>
        <w:t xml:space="preserve">. Specifically, it was advised that the accounts of the appellants would be credited (referred to as a process requiring intricate calculations which was at an advanced stage) and the City would issue an extraordinary valuation roll by end </w:t>
      </w:r>
      <w:r w:rsidR="003A6630" w:rsidRPr="0052701D">
        <w:rPr>
          <w:rFonts w:ascii="Arial" w:hAnsi="Arial" w:cs="Arial"/>
          <w:sz w:val="24"/>
          <w:szCs w:val="24"/>
        </w:rPr>
        <w:t xml:space="preserve">of </w:t>
      </w:r>
      <w:r w:rsidR="004E6348" w:rsidRPr="0052701D">
        <w:rPr>
          <w:rFonts w:ascii="Arial" w:hAnsi="Arial" w:cs="Arial"/>
          <w:sz w:val="24"/>
          <w:szCs w:val="24"/>
        </w:rPr>
        <w:t xml:space="preserve">November 2018 reclassifying properties as vacant as from the date of the 2013 </w:t>
      </w:r>
      <w:r w:rsidR="003A6630" w:rsidRPr="0052701D">
        <w:rPr>
          <w:rFonts w:ascii="Arial" w:hAnsi="Arial" w:cs="Arial"/>
          <w:sz w:val="24"/>
          <w:szCs w:val="24"/>
        </w:rPr>
        <w:t>G</w:t>
      </w:r>
      <w:r w:rsidR="004E6348" w:rsidRPr="0052701D">
        <w:rPr>
          <w:rFonts w:ascii="Arial" w:hAnsi="Arial" w:cs="Arial"/>
          <w:sz w:val="24"/>
          <w:szCs w:val="24"/>
        </w:rPr>
        <w:t>VR.</w:t>
      </w:r>
    </w:p>
    <w:p w14:paraId="6A6CEF77" w14:textId="77777777" w:rsidR="00553FE2" w:rsidRDefault="00553FE2" w:rsidP="00CE076A">
      <w:pPr>
        <w:pStyle w:val="ListParagraph"/>
        <w:spacing w:line="360" w:lineRule="auto"/>
        <w:ind w:left="1134"/>
        <w:rPr>
          <w:rFonts w:ascii="Arial" w:hAnsi="Arial" w:cs="Arial"/>
          <w:sz w:val="24"/>
          <w:szCs w:val="24"/>
        </w:rPr>
      </w:pPr>
    </w:p>
    <w:p w14:paraId="7D02FC5F" w14:textId="285A7CE9" w:rsidR="00DD434F" w:rsidRPr="0052701D" w:rsidRDefault="0052701D" w:rsidP="0052701D">
      <w:pPr>
        <w:spacing w:line="360" w:lineRule="auto"/>
        <w:ind w:left="360" w:hanging="360"/>
        <w:rPr>
          <w:rFonts w:ascii="Arial" w:hAnsi="Arial" w:cs="Arial"/>
          <w:sz w:val="24"/>
          <w:szCs w:val="24"/>
        </w:rPr>
      </w:pPr>
      <w:r w:rsidRPr="004E6348">
        <w:rPr>
          <w:rFonts w:ascii="Arial" w:hAnsi="Arial" w:cs="Arial"/>
          <w:sz w:val="24"/>
          <w:szCs w:val="24"/>
        </w:rPr>
        <w:t>11.</w:t>
      </w:r>
      <w:r w:rsidRPr="004E6348">
        <w:rPr>
          <w:rFonts w:ascii="Arial" w:hAnsi="Arial" w:cs="Arial"/>
          <w:sz w:val="24"/>
          <w:szCs w:val="24"/>
        </w:rPr>
        <w:tab/>
      </w:r>
      <w:r w:rsidR="004E6348" w:rsidRPr="0052701D">
        <w:rPr>
          <w:rFonts w:ascii="Arial" w:hAnsi="Arial" w:cs="Arial"/>
          <w:sz w:val="24"/>
          <w:szCs w:val="24"/>
        </w:rPr>
        <w:t>On 31 October 2018, the appellants instituted contempt proceedings.</w:t>
      </w:r>
    </w:p>
    <w:p w14:paraId="7698C231" w14:textId="77777777" w:rsidR="00DB73A7" w:rsidRDefault="00DB73A7" w:rsidP="00CE076A">
      <w:pPr>
        <w:spacing w:line="240" w:lineRule="auto"/>
        <w:rPr>
          <w:rFonts w:ascii="Arial" w:hAnsi="Arial" w:cs="Arial"/>
          <w:sz w:val="24"/>
          <w:szCs w:val="24"/>
        </w:rPr>
      </w:pPr>
    </w:p>
    <w:p w14:paraId="5D5ED167" w14:textId="77777777" w:rsidR="00834813" w:rsidRPr="00834813" w:rsidRDefault="00834813" w:rsidP="00CE076A">
      <w:pPr>
        <w:spacing w:line="360" w:lineRule="auto"/>
        <w:rPr>
          <w:rFonts w:ascii="Arial" w:hAnsi="Arial" w:cs="Arial"/>
          <w:b/>
          <w:sz w:val="24"/>
          <w:szCs w:val="24"/>
        </w:rPr>
      </w:pPr>
      <w:r w:rsidRPr="00834813">
        <w:rPr>
          <w:rFonts w:ascii="Arial" w:hAnsi="Arial" w:cs="Arial"/>
          <w:b/>
          <w:sz w:val="24"/>
          <w:szCs w:val="24"/>
        </w:rPr>
        <w:t>The proceedings before Tsatsi AJ</w:t>
      </w:r>
    </w:p>
    <w:p w14:paraId="19944326" w14:textId="6BAD25D8" w:rsidR="00834813" w:rsidRPr="0052701D" w:rsidRDefault="0052701D" w:rsidP="0052701D">
      <w:pPr>
        <w:spacing w:line="360" w:lineRule="auto"/>
        <w:ind w:left="360" w:hanging="360"/>
        <w:rPr>
          <w:rFonts w:ascii="Arial" w:hAnsi="Arial" w:cs="Arial"/>
          <w:sz w:val="24"/>
          <w:szCs w:val="24"/>
        </w:rPr>
      </w:pPr>
      <w:r>
        <w:rPr>
          <w:rFonts w:ascii="Arial" w:hAnsi="Arial" w:cs="Arial"/>
          <w:sz w:val="24"/>
          <w:szCs w:val="24"/>
        </w:rPr>
        <w:t>12.</w:t>
      </w:r>
      <w:r>
        <w:rPr>
          <w:rFonts w:ascii="Arial" w:hAnsi="Arial" w:cs="Arial"/>
          <w:sz w:val="24"/>
          <w:szCs w:val="24"/>
        </w:rPr>
        <w:tab/>
      </w:r>
      <w:r w:rsidR="004E6348" w:rsidRPr="0052701D">
        <w:rPr>
          <w:rFonts w:ascii="Arial" w:hAnsi="Arial" w:cs="Arial"/>
          <w:sz w:val="24"/>
          <w:szCs w:val="24"/>
        </w:rPr>
        <w:t>I</w:t>
      </w:r>
      <w:r w:rsidR="00DB73A7" w:rsidRPr="0052701D">
        <w:rPr>
          <w:rFonts w:ascii="Arial" w:hAnsi="Arial" w:cs="Arial"/>
          <w:sz w:val="24"/>
          <w:szCs w:val="24"/>
        </w:rPr>
        <w:t>n</w:t>
      </w:r>
      <w:r w:rsidR="004E6348" w:rsidRPr="0052701D">
        <w:rPr>
          <w:rFonts w:ascii="Arial" w:hAnsi="Arial" w:cs="Arial"/>
          <w:sz w:val="24"/>
          <w:szCs w:val="24"/>
        </w:rPr>
        <w:t xml:space="preserve"> the founding affidavit, </w:t>
      </w:r>
      <w:r w:rsidR="006B6C30" w:rsidRPr="0052701D">
        <w:rPr>
          <w:rFonts w:ascii="Arial" w:hAnsi="Arial" w:cs="Arial"/>
          <w:sz w:val="24"/>
          <w:szCs w:val="24"/>
        </w:rPr>
        <w:t>deposed to by Mr Walid Nasser</w:t>
      </w:r>
      <w:r w:rsidR="000516E8" w:rsidRPr="0052701D">
        <w:rPr>
          <w:rFonts w:ascii="Arial" w:hAnsi="Arial" w:cs="Arial"/>
          <w:sz w:val="24"/>
          <w:szCs w:val="24"/>
        </w:rPr>
        <w:t>,</w:t>
      </w:r>
      <w:r w:rsidR="006B6C30" w:rsidRPr="0052701D">
        <w:rPr>
          <w:rFonts w:ascii="Arial" w:hAnsi="Arial" w:cs="Arial"/>
          <w:sz w:val="24"/>
          <w:szCs w:val="24"/>
        </w:rPr>
        <w:t xml:space="preserve"> </w:t>
      </w:r>
      <w:r w:rsidR="004E6348" w:rsidRPr="0052701D">
        <w:rPr>
          <w:rFonts w:ascii="Arial" w:hAnsi="Arial" w:cs="Arial"/>
          <w:sz w:val="24"/>
          <w:szCs w:val="24"/>
        </w:rPr>
        <w:t>the appellants emphasised that the City was notified of the SCA’s order on 15 June 2018</w:t>
      </w:r>
      <w:r w:rsidR="000516E8" w:rsidRPr="0052701D">
        <w:rPr>
          <w:rFonts w:ascii="Arial" w:hAnsi="Arial" w:cs="Arial"/>
          <w:sz w:val="24"/>
          <w:szCs w:val="24"/>
        </w:rPr>
        <w:t>,</w:t>
      </w:r>
      <w:r w:rsidR="004E6348" w:rsidRPr="0052701D">
        <w:rPr>
          <w:rFonts w:ascii="Arial" w:hAnsi="Arial" w:cs="Arial"/>
          <w:sz w:val="24"/>
          <w:szCs w:val="24"/>
        </w:rPr>
        <w:t xml:space="preserve"> but despite acknowledging its obligation to give effect to </w:t>
      </w:r>
      <w:r w:rsidR="00553FE2" w:rsidRPr="0052701D">
        <w:rPr>
          <w:rFonts w:ascii="Arial" w:hAnsi="Arial" w:cs="Arial"/>
          <w:sz w:val="24"/>
          <w:szCs w:val="24"/>
        </w:rPr>
        <w:t>the review orders</w:t>
      </w:r>
      <w:r w:rsidR="000516E8" w:rsidRPr="0052701D">
        <w:rPr>
          <w:rFonts w:ascii="Arial" w:hAnsi="Arial" w:cs="Arial"/>
          <w:sz w:val="24"/>
          <w:szCs w:val="24"/>
        </w:rPr>
        <w:t>,</w:t>
      </w:r>
      <w:r w:rsidR="004E6348" w:rsidRPr="0052701D">
        <w:rPr>
          <w:rFonts w:ascii="Arial" w:hAnsi="Arial" w:cs="Arial"/>
          <w:sz w:val="24"/>
          <w:szCs w:val="24"/>
        </w:rPr>
        <w:t xml:space="preserve"> had still failed to do so despite repeated demands. </w:t>
      </w:r>
      <w:r w:rsidR="008F5F6F" w:rsidRPr="0052701D">
        <w:rPr>
          <w:rFonts w:ascii="Arial" w:hAnsi="Arial" w:cs="Arial"/>
          <w:sz w:val="24"/>
          <w:szCs w:val="24"/>
        </w:rPr>
        <w:t>I</w:t>
      </w:r>
      <w:r w:rsidR="004E6348" w:rsidRPr="0052701D">
        <w:rPr>
          <w:rFonts w:ascii="Arial" w:hAnsi="Arial" w:cs="Arial"/>
          <w:sz w:val="24"/>
          <w:szCs w:val="24"/>
        </w:rPr>
        <w:t>n the correspondence referred to above, and from the outset</w:t>
      </w:r>
      <w:r w:rsidR="00834813" w:rsidRPr="0052701D">
        <w:rPr>
          <w:rFonts w:ascii="Arial" w:hAnsi="Arial" w:cs="Arial"/>
          <w:sz w:val="24"/>
          <w:szCs w:val="24"/>
        </w:rPr>
        <w:t>,</w:t>
      </w:r>
      <w:r w:rsidR="004E6348" w:rsidRPr="0052701D">
        <w:rPr>
          <w:rFonts w:ascii="Arial" w:hAnsi="Arial" w:cs="Arial"/>
          <w:sz w:val="24"/>
          <w:szCs w:val="24"/>
        </w:rPr>
        <w:t xml:space="preserve"> the appellants had indicated that they would approach </w:t>
      </w:r>
      <w:r w:rsidR="00553FE2" w:rsidRPr="0052701D">
        <w:rPr>
          <w:rFonts w:ascii="Arial" w:hAnsi="Arial" w:cs="Arial"/>
          <w:sz w:val="24"/>
          <w:szCs w:val="24"/>
        </w:rPr>
        <w:t>the</w:t>
      </w:r>
      <w:r w:rsidR="004E6348" w:rsidRPr="0052701D">
        <w:rPr>
          <w:rFonts w:ascii="Arial" w:hAnsi="Arial" w:cs="Arial"/>
          <w:sz w:val="24"/>
          <w:szCs w:val="24"/>
        </w:rPr>
        <w:t xml:space="preserve"> Court for relief if there was non-compliance. </w:t>
      </w:r>
      <w:r w:rsidR="00834813" w:rsidRPr="0052701D">
        <w:rPr>
          <w:rFonts w:ascii="Arial" w:hAnsi="Arial" w:cs="Arial"/>
          <w:sz w:val="24"/>
          <w:szCs w:val="24"/>
        </w:rPr>
        <w:t>By the time the proceedings were instituted, some five months had lapsed since the SCA’s decision</w:t>
      </w:r>
      <w:r w:rsidR="00553FE2" w:rsidRPr="0052701D">
        <w:rPr>
          <w:rFonts w:ascii="Arial" w:hAnsi="Arial" w:cs="Arial"/>
          <w:sz w:val="24"/>
          <w:szCs w:val="24"/>
        </w:rPr>
        <w:t>,</w:t>
      </w:r>
      <w:r w:rsidR="00834813" w:rsidRPr="0052701D">
        <w:rPr>
          <w:rFonts w:ascii="Arial" w:hAnsi="Arial" w:cs="Arial"/>
          <w:sz w:val="24"/>
          <w:szCs w:val="24"/>
        </w:rPr>
        <w:t xml:space="preserve"> yet the review orders had not been complied with.</w:t>
      </w:r>
    </w:p>
    <w:p w14:paraId="67E0BD67" w14:textId="77777777" w:rsidR="00834813" w:rsidRDefault="00834813" w:rsidP="00CE076A">
      <w:pPr>
        <w:pStyle w:val="ListParagraph"/>
        <w:spacing w:line="360" w:lineRule="auto"/>
        <w:ind w:left="360"/>
        <w:rPr>
          <w:rFonts w:ascii="Arial" w:hAnsi="Arial" w:cs="Arial"/>
          <w:sz w:val="24"/>
          <w:szCs w:val="24"/>
        </w:rPr>
      </w:pPr>
    </w:p>
    <w:p w14:paraId="2821BDC4" w14:textId="47A7AC54" w:rsidR="00D22950" w:rsidRPr="0052701D" w:rsidRDefault="0052701D" w:rsidP="0052701D">
      <w:pPr>
        <w:spacing w:line="360" w:lineRule="auto"/>
        <w:ind w:left="360" w:hanging="360"/>
        <w:rPr>
          <w:rFonts w:ascii="Arial" w:hAnsi="Arial" w:cs="Arial"/>
          <w:sz w:val="24"/>
          <w:szCs w:val="24"/>
        </w:rPr>
      </w:pPr>
      <w:r w:rsidRPr="00CE076A">
        <w:rPr>
          <w:rFonts w:ascii="Arial" w:hAnsi="Arial" w:cs="Arial"/>
          <w:sz w:val="24"/>
          <w:szCs w:val="24"/>
        </w:rPr>
        <w:t>13.</w:t>
      </w:r>
      <w:r w:rsidRPr="00CE076A">
        <w:rPr>
          <w:rFonts w:ascii="Arial" w:hAnsi="Arial" w:cs="Arial"/>
          <w:sz w:val="24"/>
          <w:szCs w:val="24"/>
        </w:rPr>
        <w:tab/>
      </w:r>
      <w:r w:rsidR="00C46DB1" w:rsidRPr="0052701D">
        <w:rPr>
          <w:rFonts w:ascii="Arial" w:hAnsi="Arial" w:cs="Arial"/>
          <w:sz w:val="24"/>
          <w:szCs w:val="24"/>
        </w:rPr>
        <w:t>The notice of motion at that</w:t>
      </w:r>
      <w:r w:rsidR="00834813" w:rsidRPr="0052701D">
        <w:rPr>
          <w:rFonts w:ascii="Arial" w:hAnsi="Arial" w:cs="Arial"/>
          <w:sz w:val="24"/>
          <w:szCs w:val="24"/>
        </w:rPr>
        <w:t xml:space="preserve"> stage included the following substantive relief:</w:t>
      </w:r>
    </w:p>
    <w:p w14:paraId="3179DC0D" w14:textId="78B36988" w:rsidR="00834813" w:rsidRPr="0052701D" w:rsidRDefault="0052701D" w:rsidP="0052701D">
      <w:pPr>
        <w:spacing w:line="360" w:lineRule="auto"/>
        <w:ind w:left="1418" w:hanging="1058"/>
        <w:rPr>
          <w:rFonts w:ascii="Arial" w:hAnsi="Arial" w:cs="Arial"/>
          <w:sz w:val="24"/>
          <w:szCs w:val="24"/>
        </w:rPr>
      </w:pPr>
      <w:r w:rsidRPr="00CE076A">
        <w:rPr>
          <w:rFonts w:ascii="Arial" w:hAnsi="Arial" w:cs="Arial"/>
          <w:sz w:val="24"/>
          <w:szCs w:val="24"/>
        </w:rPr>
        <w:t>13.1.</w:t>
      </w:r>
      <w:r w:rsidRPr="00CE076A">
        <w:rPr>
          <w:rFonts w:ascii="Arial" w:hAnsi="Arial" w:cs="Arial"/>
          <w:sz w:val="24"/>
          <w:szCs w:val="24"/>
        </w:rPr>
        <w:tab/>
      </w:r>
      <w:r w:rsidR="00834813" w:rsidRPr="0052701D">
        <w:rPr>
          <w:rFonts w:ascii="Arial" w:hAnsi="Arial" w:cs="Arial"/>
          <w:sz w:val="24"/>
          <w:szCs w:val="24"/>
        </w:rPr>
        <w:t>An order declaring the respondents to be in contempt of the review orders</w:t>
      </w:r>
      <w:r w:rsidR="000516E8" w:rsidRPr="0052701D">
        <w:rPr>
          <w:rFonts w:ascii="Arial" w:hAnsi="Arial" w:cs="Arial"/>
          <w:sz w:val="24"/>
          <w:szCs w:val="24"/>
        </w:rPr>
        <w:t>.</w:t>
      </w:r>
      <w:r w:rsidR="007D6438" w:rsidRPr="0052701D">
        <w:rPr>
          <w:rFonts w:ascii="Arial" w:hAnsi="Arial" w:cs="Arial"/>
          <w:sz w:val="24"/>
          <w:szCs w:val="24"/>
        </w:rPr>
        <w:t xml:space="preserve"> </w:t>
      </w:r>
      <w:r w:rsidR="00D22950" w:rsidRPr="0052701D">
        <w:rPr>
          <w:rFonts w:ascii="Arial" w:hAnsi="Arial" w:cs="Arial"/>
          <w:sz w:val="24"/>
          <w:szCs w:val="24"/>
        </w:rPr>
        <w:t>(Prayer 1)</w:t>
      </w:r>
    </w:p>
    <w:p w14:paraId="2AFB9C04" w14:textId="1DB10690" w:rsidR="00D22950" w:rsidRPr="0052701D" w:rsidRDefault="0052701D" w:rsidP="0052701D">
      <w:pPr>
        <w:spacing w:line="360" w:lineRule="auto"/>
        <w:ind w:left="1418" w:hanging="1058"/>
        <w:rPr>
          <w:rFonts w:ascii="Arial" w:hAnsi="Arial" w:cs="Arial"/>
          <w:sz w:val="24"/>
          <w:szCs w:val="24"/>
        </w:rPr>
      </w:pPr>
      <w:r w:rsidRPr="00CE076A">
        <w:rPr>
          <w:rFonts w:ascii="Arial" w:hAnsi="Arial" w:cs="Arial"/>
          <w:sz w:val="24"/>
          <w:szCs w:val="24"/>
        </w:rPr>
        <w:t>13.2.</w:t>
      </w:r>
      <w:r w:rsidRPr="00CE076A">
        <w:rPr>
          <w:rFonts w:ascii="Arial" w:hAnsi="Arial" w:cs="Arial"/>
          <w:sz w:val="24"/>
          <w:szCs w:val="24"/>
        </w:rPr>
        <w:tab/>
      </w:r>
      <w:r w:rsidR="00834813" w:rsidRPr="0052701D">
        <w:rPr>
          <w:rFonts w:ascii="Arial" w:hAnsi="Arial" w:cs="Arial"/>
          <w:sz w:val="24"/>
          <w:szCs w:val="24"/>
        </w:rPr>
        <w:t>An order committing the second respondent to imprisonment for 90 days suspended to allow the respondents to purge their non-compliance</w:t>
      </w:r>
      <w:r w:rsidR="000516E8" w:rsidRPr="0052701D">
        <w:rPr>
          <w:rFonts w:ascii="Arial" w:hAnsi="Arial" w:cs="Arial"/>
          <w:sz w:val="24"/>
          <w:szCs w:val="24"/>
        </w:rPr>
        <w:t>.</w:t>
      </w:r>
      <w:r w:rsidR="00D22950" w:rsidRPr="0052701D">
        <w:rPr>
          <w:rFonts w:ascii="Arial" w:hAnsi="Arial" w:cs="Arial"/>
          <w:sz w:val="24"/>
          <w:szCs w:val="24"/>
        </w:rPr>
        <w:t xml:space="preserve"> (Prayer 2)</w:t>
      </w:r>
      <w:r w:rsidR="00834813" w:rsidRPr="0052701D">
        <w:rPr>
          <w:rFonts w:ascii="Arial" w:hAnsi="Arial" w:cs="Arial"/>
          <w:sz w:val="24"/>
          <w:szCs w:val="24"/>
        </w:rPr>
        <w:t xml:space="preserve"> </w:t>
      </w:r>
    </w:p>
    <w:p w14:paraId="119D0F43" w14:textId="08BF3A90" w:rsidR="00834813" w:rsidRPr="0052701D" w:rsidRDefault="0052701D" w:rsidP="0052701D">
      <w:pPr>
        <w:spacing w:line="360" w:lineRule="auto"/>
        <w:ind w:left="1418" w:hanging="1058"/>
        <w:rPr>
          <w:rFonts w:ascii="Arial" w:hAnsi="Arial" w:cs="Arial"/>
          <w:sz w:val="24"/>
          <w:szCs w:val="24"/>
        </w:rPr>
      </w:pPr>
      <w:r w:rsidRPr="00CE076A">
        <w:rPr>
          <w:rFonts w:ascii="Arial" w:hAnsi="Arial" w:cs="Arial"/>
          <w:sz w:val="24"/>
          <w:szCs w:val="24"/>
        </w:rPr>
        <w:t>13.3.</w:t>
      </w:r>
      <w:r w:rsidRPr="00CE076A">
        <w:rPr>
          <w:rFonts w:ascii="Arial" w:hAnsi="Arial" w:cs="Arial"/>
          <w:sz w:val="24"/>
          <w:szCs w:val="24"/>
        </w:rPr>
        <w:tab/>
      </w:r>
      <w:r w:rsidR="00834813" w:rsidRPr="0052701D">
        <w:rPr>
          <w:rFonts w:ascii="Arial" w:hAnsi="Arial" w:cs="Arial"/>
          <w:sz w:val="24"/>
          <w:szCs w:val="24"/>
        </w:rPr>
        <w:t>Alternatively:</w:t>
      </w:r>
    </w:p>
    <w:p w14:paraId="515F2D98" w14:textId="5657B9D8" w:rsidR="004E6348" w:rsidRPr="0052701D" w:rsidRDefault="0052701D" w:rsidP="0052701D">
      <w:pPr>
        <w:spacing w:line="360" w:lineRule="auto"/>
        <w:ind w:left="2268" w:hanging="1354"/>
        <w:rPr>
          <w:rFonts w:ascii="Arial" w:hAnsi="Arial" w:cs="Arial"/>
          <w:sz w:val="24"/>
          <w:szCs w:val="24"/>
        </w:rPr>
      </w:pPr>
      <w:r w:rsidRPr="00CE076A">
        <w:rPr>
          <w:rFonts w:ascii="Arial" w:hAnsi="Arial" w:cs="Arial"/>
          <w:sz w:val="24"/>
          <w:szCs w:val="24"/>
        </w:rPr>
        <w:t>13.3.1.</w:t>
      </w:r>
      <w:r w:rsidRPr="00CE076A">
        <w:rPr>
          <w:rFonts w:ascii="Arial" w:hAnsi="Arial" w:cs="Arial"/>
          <w:sz w:val="24"/>
          <w:szCs w:val="24"/>
        </w:rPr>
        <w:tab/>
      </w:r>
      <w:r w:rsidR="00834813" w:rsidRPr="0052701D">
        <w:rPr>
          <w:rFonts w:ascii="Arial" w:hAnsi="Arial" w:cs="Arial"/>
          <w:sz w:val="24"/>
          <w:szCs w:val="24"/>
        </w:rPr>
        <w:t>A declaration that the respondents are in breach of their constitutional obligations to adhere to and take all necessary steps to give effect to the review orders;</w:t>
      </w:r>
    </w:p>
    <w:p w14:paraId="4B64F929" w14:textId="13769199" w:rsidR="00D22950" w:rsidRPr="0052701D" w:rsidRDefault="0052701D" w:rsidP="0052701D">
      <w:pPr>
        <w:spacing w:line="360" w:lineRule="auto"/>
        <w:ind w:left="2268" w:hanging="1354"/>
        <w:rPr>
          <w:rFonts w:ascii="Arial" w:hAnsi="Arial" w:cs="Arial"/>
          <w:sz w:val="24"/>
          <w:szCs w:val="24"/>
        </w:rPr>
      </w:pPr>
      <w:r w:rsidRPr="00CE076A">
        <w:rPr>
          <w:rFonts w:ascii="Arial" w:hAnsi="Arial" w:cs="Arial"/>
          <w:sz w:val="24"/>
          <w:szCs w:val="24"/>
        </w:rPr>
        <w:lastRenderedPageBreak/>
        <w:t>13.3.2.</w:t>
      </w:r>
      <w:r w:rsidRPr="00CE076A">
        <w:rPr>
          <w:rFonts w:ascii="Arial" w:hAnsi="Arial" w:cs="Arial"/>
          <w:sz w:val="24"/>
          <w:szCs w:val="24"/>
        </w:rPr>
        <w:tab/>
      </w:r>
      <w:r w:rsidR="00834813" w:rsidRPr="0052701D">
        <w:rPr>
          <w:rFonts w:ascii="Arial" w:hAnsi="Arial" w:cs="Arial"/>
          <w:sz w:val="24"/>
          <w:szCs w:val="24"/>
        </w:rPr>
        <w:t>The second respondent is directed</w:t>
      </w:r>
      <w:r w:rsidR="007D6438" w:rsidRPr="0052701D">
        <w:rPr>
          <w:rFonts w:ascii="Arial" w:hAnsi="Arial" w:cs="Arial"/>
          <w:sz w:val="24"/>
          <w:szCs w:val="24"/>
        </w:rPr>
        <w:t>,</w:t>
      </w:r>
      <w:r w:rsidR="00834813" w:rsidRPr="0052701D">
        <w:rPr>
          <w:rFonts w:ascii="Arial" w:hAnsi="Arial" w:cs="Arial"/>
          <w:sz w:val="24"/>
          <w:szCs w:val="24"/>
        </w:rPr>
        <w:t xml:space="preserve"> within 30 days</w:t>
      </w:r>
      <w:r w:rsidR="007D6438" w:rsidRPr="0052701D">
        <w:rPr>
          <w:rFonts w:ascii="Arial" w:hAnsi="Arial" w:cs="Arial"/>
          <w:sz w:val="24"/>
          <w:szCs w:val="24"/>
        </w:rPr>
        <w:t>,</w:t>
      </w:r>
      <w:r w:rsidR="00834813" w:rsidRPr="0052701D">
        <w:rPr>
          <w:rFonts w:ascii="Arial" w:hAnsi="Arial" w:cs="Arial"/>
          <w:sz w:val="24"/>
          <w:szCs w:val="24"/>
        </w:rPr>
        <w:t xml:space="preserve"> to take all steps necessary to give effect to the court orders and report to the </w:t>
      </w:r>
      <w:r w:rsidR="007D6438" w:rsidRPr="0052701D">
        <w:rPr>
          <w:rFonts w:ascii="Arial" w:hAnsi="Arial" w:cs="Arial"/>
          <w:sz w:val="24"/>
          <w:szCs w:val="24"/>
        </w:rPr>
        <w:t>C</w:t>
      </w:r>
      <w:r w:rsidR="00834813" w:rsidRPr="0052701D">
        <w:rPr>
          <w:rFonts w:ascii="Arial" w:hAnsi="Arial" w:cs="Arial"/>
          <w:sz w:val="24"/>
          <w:szCs w:val="24"/>
        </w:rPr>
        <w:t>ourt under oath on compliance.</w:t>
      </w:r>
      <w:r w:rsidR="000516E8" w:rsidRPr="0052701D">
        <w:rPr>
          <w:rFonts w:ascii="Arial" w:hAnsi="Arial" w:cs="Arial"/>
          <w:sz w:val="24"/>
          <w:szCs w:val="24"/>
        </w:rPr>
        <w:t xml:space="preserve"> </w:t>
      </w:r>
      <w:r w:rsidR="00D22950" w:rsidRPr="0052701D">
        <w:rPr>
          <w:rFonts w:ascii="Arial" w:hAnsi="Arial" w:cs="Arial"/>
          <w:sz w:val="24"/>
          <w:szCs w:val="24"/>
        </w:rPr>
        <w:t>(Prayer 3)</w:t>
      </w:r>
    </w:p>
    <w:p w14:paraId="7BB764AB" w14:textId="358ADE25" w:rsidR="00834813" w:rsidRPr="0052701D" w:rsidRDefault="0052701D" w:rsidP="0052701D">
      <w:pPr>
        <w:spacing w:line="360" w:lineRule="auto"/>
        <w:ind w:left="1701" w:hanging="1140"/>
        <w:rPr>
          <w:rFonts w:ascii="Arial" w:hAnsi="Arial" w:cs="Arial"/>
          <w:sz w:val="24"/>
          <w:szCs w:val="24"/>
        </w:rPr>
      </w:pPr>
      <w:r w:rsidRPr="00CE076A">
        <w:rPr>
          <w:rFonts w:ascii="Arial" w:hAnsi="Arial" w:cs="Arial"/>
          <w:sz w:val="24"/>
          <w:szCs w:val="24"/>
        </w:rPr>
        <w:t>13.4.</w:t>
      </w:r>
      <w:r w:rsidRPr="00CE076A">
        <w:rPr>
          <w:rFonts w:ascii="Arial" w:hAnsi="Arial" w:cs="Arial"/>
          <w:sz w:val="24"/>
          <w:szCs w:val="24"/>
        </w:rPr>
        <w:tab/>
      </w:r>
      <w:r w:rsidR="00834813" w:rsidRPr="0052701D">
        <w:rPr>
          <w:rFonts w:ascii="Arial" w:hAnsi="Arial" w:cs="Arial"/>
          <w:sz w:val="24"/>
          <w:szCs w:val="24"/>
        </w:rPr>
        <w:t>An order authorising the applicants to re-enrol the matter for further relief on supplemented papers.</w:t>
      </w:r>
      <w:r w:rsidR="000516E8" w:rsidRPr="0052701D">
        <w:rPr>
          <w:rFonts w:ascii="Arial" w:hAnsi="Arial" w:cs="Arial"/>
          <w:sz w:val="24"/>
          <w:szCs w:val="24"/>
        </w:rPr>
        <w:t xml:space="preserve"> </w:t>
      </w:r>
      <w:r w:rsidR="00D22950" w:rsidRPr="0052701D">
        <w:rPr>
          <w:rFonts w:ascii="Arial" w:hAnsi="Arial" w:cs="Arial"/>
          <w:sz w:val="24"/>
          <w:szCs w:val="24"/>
        </w:rPr>
        <w:t>(Prayer 4)</w:t>
      </w:r>
    </w:p>
    <w:p w14:paraId="459DFEF7" w14:textId="77777777" w:rsidR="00834813" w:rsidRPr="00834813" w:rsidRDefault="00834813" w:rsidP="00CE076A">
      <w:pPr>
        <w:pStyle w:val="ListParagraph"/>
        <w:spacing w:line="360" w:lineRule="auto"/>
        <w:ind w:left="1134"/>
        <w:rPr>
          <w:rFonts w:ascii="Arial" w:hAnsi="Arial" w:cs="Arial"/>
          <w:sz w:val="24"/>
          <w:szCs w:val="24"/>
        </w:rPr>
      </w:pPr>
    </w:p>
    <w:p w14:paraId="594B1389" w14:textId="2721D0BE" w:rsidR="004B2690" w:rsidRPr="0052701D" w:rsidRDefault="0052701D" w:rsidP="0052701D">
      <w:pPr>
        <w:spacing w:line="360" w:lineRule="auto"/>
        <w:ind w:left="360" w:hanging="360"/>
        <w:rPr>
          <w:rFonts w:ascii="Arial" w:hAnsi="Arial" w:cs="Arial"/>
          <w:sz w:val="24"/>
          <w:szCs w:val="24"/>
        </w:rPr>
      </w:pPr>
      <w:r>
        <w:rPr>
          <w:rFonts w:ascii="Arial" w:hAnsi="Arial" w:cs="Arial"/>
          <w:sz w:val="24"/>
          <w:szCs w:val="24"/>
        </w:rPr>
        <w:t>14.</w:t>
      </w:r>
      <w:r>
        <w:rPr>
          <w:rFonts w:ascii="Arial" w:hAnsi="Arial" w:cs="Arial"/>
          <w:sz w:val="24"/>
          <w:szCs w:val="24"/>
        </w:rPr>
        <w:tab/>
      </w:r>
      <w:r w:rsidR="003B7D35" w:rsidRPr="0052701D">
        <w:rPr>
          <w:rFonts w:ascii="Arial" w:hAnsi="Arial" w:cs="Arial"/>
          <w:sz w:val="24"/>
          <w:szCs w:val="24"/>
        </w:rPr>
        <w:t>The City delivered its answering affidavit on 12 December 2018. The City</w:t>
      </w:r>
      <w:r w:rsidR="00241574" w:rsidRPr="0052701D">
        <w:rPr>
          <w:rFonts w:ascii="Arial" w:hAnsi="Arial" w:cs="Arial"/>
          <w:sz w:val="24"/>
          <w:szCs w:val="24"/>
        </w:rPr>
        <w:t xml:space="preserve"> – through its Director of Litigation Management</w:t>
      </w:r>
      <w:r w:rsidR="006B6C30" w:rsidRPr="0052701D">
        <w:rPr>
          <w:rFonts w:ascii="Arial" w:hAnsi="Arial" w:cs="Arial"/>
          <w:sz w:val="24"/>
          <w:szCs w:val="24"/>
        </w:rPr>
        <w:t>, Mr Simon Tshepo Sithole</w:t>
      </w:r>
      <w:r w:rsidR="00241574" w:rsidRPr="0052701D">
        <w:rPr>
          <w:rFonts w:ascii="Arial" w:hAnsi="Arial" w:cs="Arial"/>
          <w:sz w:val="24"/>
          <w:szCs w:val="24"/>
        </w:rPr>
        <w:t xml:space="preserve"> – acknowledged that it had been aware of the SCA judgment</w:t>
      </w:r>
      <w:r w:rsidR="000516E8" w:rsidRPr="0052701D">
        <w:rPr>
          <w:rFonts w:ascii="Arial" w:hAnsi="Arial" w:cs="Arial"/>
          <w:sz w:val="24"/>
          <w:szCs w:val="24"/>
        </w:rPr>
        <w:t xml:space="preserve"> since June 2018 and that it had</w:t>
      </w:r>
      <w:r w:rsidR="00241574" w:rsidRPr="0052701D">
        <w:rPr>
          <w:rFonts w:ascii="Arial" w:hAnsi="Arial" w:cs="Arial"/>
          <w:sz w:val="24"/>
          <w:szCs w:val="24"/>
        </w:rPr>
        <w:t xml:space="preserve"> at all times intended to comply with the review orders. The City contended that there had been a delay in part due to the initial dispute between the parties regarding whether the orders required correction of all affected rate-payers or only </w:t>
      </w:r>
      <w:r w:rsidR="00C46DB1" w:rsidRPr="0052701D">
        <w:rPr>
          <w:rFonts w:ascii="Arial" w:hAnsi="Arial" w:cs="Arial"/>
          <w:sz w:val="24"/>
          <w:szCs w:val="24"/>
        </w:rPr>
        <w:t xml:space="preserve">those of </w:t>
      </w:r>
      <w:r w:rsidR="00241574" w:rsidRPr="0052701D">
        <w:rPr>
          <w:rFonts w:ascii="Arial" w:hAnsi="Arial" w:cs="Arial"/>
          <w:sz w:val="24"/>
          <w:szCs w:val="24"/>
        </w:rPr>
        <w:t>the appellants. The City further insisted that it was entitled</w:t>
      </w:r>
      <w:r w:rsidR="007D6438" w:rsidRPr="0052701D">
        <w:rPr>
          <w:rFonts w:ascii="Arial" w:hAnsi="Arial" w:cs="Arial"/>
          <w:sz w:val="24"/>
          <w:szCs w:val="24"/>
        </w:rPr>
        <w:t>,</w:t>
      </w:r>
      <w:r w:rsidR="00241574" w:rsidRPr="0052701D">
        <w:rPr>
          <w:rFonts w:ascii="Arial" w:hAnsi="Arial" w:cs="Arial"/>
          <w:sz w:val="24"/>
          <w:szCs w:val="24"/>
        </w:rPr>
        <w:t xml:space="preserve"> still</w:t>
      </w:r>
      <w:r w:rsidR="007D6438" w:rsidRPr="0052701D">
        <w:rPr>
          <w:rFonts w:ascii="Arial" w:hAnsi="Arial" w:cs="Arial"/>
          <w:sz w:val="24"/>
          <w:szCs w:val="24"/>
        </w:rPr>
        <w:t>,</w:t>
      </w:r>
      <w:r w:rsidR="00241574" w:rsidRPr="0052701D">
        <w:rPr>
          <w:rFonts w:ascii="Arial" w:hAnsi="Arial" w:cs="Arial"/>
          <w:sz w:val="24"/>
          <w:szCs w:val="24"/>
        </w:rPr>
        <w:t xml:space="preserve"> to reissue the then lapsed 2013 GVR in compliance with the relevant procedures in the Rates Act.</w:t>
      </w:r>
    </w:p>
    <w:p w14:paraId="30394563" w14:textId="77777777" w:rsidR="004B2690" w:rsidRDefault="004B2690" w:rsidP="00CE076A">
      <w:pPr>
        <w:pStyle w:val="ListParagraph"/>
        <w:spacing w:line="360" w:lineRule="auto"/>
        <w:ind w:left="360"/>
        <w:rPr>
          <w:rFonts w:ascii="Arial" w:hAnsi="Arial" w:cs="Arial"/>
          <w:sz w:val="24"/>
          <w:szCs w:val="24"/>
        </w:rPr>
      </w:pPr>
    </w:p>
    <w:p w14:paraId="1D116708" w14:textId="1D2E6F03" w:rsidR="007D6438" w:rsidRPr="0052701D" w:rsidRDefault="0052701D" w:rsidP="0052701D">
      <w:pPr>
        <w:spacing w:line="360" w:lineRule="auto"/>
        <w:ind w:left="360" w:hanging="360"/>
        <w:rPr>
          <w:rFonts w:ascii="Arial" w:hAnsi="Arial" w:cs="Arial"/>
          <w:sz w:val="24"/>
          <w:szCs w:val="24"/>
        </w:rPr>
      </w:pPr>
      <w:r w:rsidRPr="00202234">
        <w:rPr>
          <w:rFonts w:ascii="Arial" w:hAnsi="Arial" w:cs="Arial"/>
          <w:sz w:val="24"/>
          <w:szCs w:val="24"/>
        </w:rPr>
        <w:t>15.</w:t>
      </w:r>
      <w:r w:rsidRPr="00202234">
        <w:rPr>
          <w:rFonts w:ascii="Arial" w:hAnsi="Arial" w:cs="Arial"/>
          <w:sz w:val="24"/>
          <w:szCs w:val="24"/>
        </w:rPr>
        <w:tab/>
      </w:r>
      <w:r w:rsidR="00241574" w:rsidRPr="0052701D">
        <w:rPr>
          <w:rFonts w:ascii="Arial" w:hAnsi="Arial" w:cs="Arial"/>
          <w:sz w:val="24"/>
          <w:szCs w:val="24"/>
        </w:rPr>
        <w:t>The City informed the Court that</w:t>
      </w:r>
      <w:r w:rsidR="000516E8" w:rsidRPr="0052701D">
        <w:rPr>
          <w:rFonts w:ascii="Arial" w:hAnsi="Arial" w:cs="Arial"/>
          <w:sz w:val="24"/>
          <w:szCs w:val="24"/>
        </w:rPr>
        <w:t>, on advice,</w:t>
      </w:r>
      <w:r w:rsidR="00241574" w:rsidRPr="0052701D">
        <w:rPr>
          <w:rFonts w:ascii="Arial" w:hAnsi="Arial" w:cs="Arial"/>
          <w:sz w:val="24"/>
          <w:szCs w:val="24"/>
        </w:rPr>
        <w:t xml:space="preserve"> its officials </w:t>
      </w:r>
      <w:r w:rsidR="006B6C30" w:rsidRPr="0052701D">
        <w:rPr>
          <w:rFonts w:ascii="Arial" w:hAnsi="Arial" w:cs="Arial"/>
          <w:sz w:val="24"/>
          <w:szCs w:val="24"/>
        </w:rPr>
        <w:t>had been instructed to rectify only t</w:t>
      </w:r>
      <w:r w:rsidR="00241574" w:rsidRPr="0052701D">
        <w:rPr>
          <w:rFonts w:ascii="Arial" w:hAnsi="Arial" w:cs="Arial"/>
          <w:sz w:val="24"/>
          <w:szCs w:val="24"/>
        </w:rPr>
        <w:t>he appellants’ acco</w:t>
      </w:r>
      <w:r w:rsidR="002C7EBA" w:rsidRPr="0052701D">
        <w:rPr>
          <w:rFonts w:ascii="Arial" w:hAnsi="Arial" w:cs="Arial"/>
          <w:sz w:val="24"/>
          <w:szCs w:val="24"/>
        </w:rPr>
        <w:t>unts and to amend the 2013 GVR.</w:t>
      </w:r>
      <w:r w:rsidR="00241574" w:rsidRPr="0052701D">
        <w:rPr>
          <w:rFonts w:ascii="Arial" w:hAnsi="Arial" w:cs="Arial"/>
          <w:sz w:val="24"/>
          <w:szCs w:val="24"/>
        </w:rPr>
        <w:t xml:space="preserve"> </w:t>
      </w:r>
      <w:r w:rsidR="006B6C30" w:rsidRPr="0052701D">
        <w:rPr>
          <w:rFonts w:ascii="Arial" w:hAnsi="Arial" w:cs="Arial"/>
          <w:sz w:val="24"/>
          <w:szCs w:val="24"/>
        </w:rPr>
        <w:t>Mr Sithole</w:t>
      </w:r>
      <w:r w:rsidR="00241574" w:rsidRPr="0052701D">
        <w:rPr>
          <w:rFonts w:ascii="Arial" w:hAnsi="Arial" w:cs="Arial"/>
          <w:sz w:val="24"/>
          <w:szCs w:val="24"/>
        </w:rPr>
        <w:t xml:space="preserve"> pointed out that it was difficult for the City to implement the instructions due to their workload and daily administrative burden</w:t>
      </w:r>
      <w:r w:rsidR="004B2690" w:rsidRPr="0052701D">
        <w:rPr>
          <w:rFonts w:ascii="Arial" w:hAnsi="Arial" w:cs="Arial"/>
          <w:sz w:val="24"/>
          <w:szCs w:val="24"/>
        </w:rPr>
        <w:t>. The City firmly refuted any obligation to provide the appellants with its calculations prior to effecting</w:t>
      </w:r>
      <w:r w:rsidR="007D6438" w:rsidRPr="0052701D">
        <w:rPr>
          <w:rFonts w:ascii="Arial" w:hAnsi="Arial" w:cs="Arial"/>
          <w:sz w:val="24"/>
          <w:szCs w:val="24"/>
        </w:rPr>
        <w:t xml:space="preserve"> the</w:t>
      </w:r>
      <w:r w:rsidR="004B2690" w:rsidRPr="0052701D">
        <w:rPr>
          <w:rFonts w:ascii="Arial" w:hAnsi="Arial" w:cs="Arial"/>
          <w:sz w:val="24"/>
          <w:szCs w:val="24"/>
        </w:rPr>
        <w:t xml:space="preserve"> adjustments, and took issue with the appellants’ failure to provide them with lists of their accounts.</w:t>
      </w:r>
      <w:r w:rsidR="004B2690">
        <w:rPr>
          <w:rStyle w:val="FootnoteReference"/>
          <w:rFonts w:ascii="Arial" w:hAnsi="Arial" w:cs="Arial"/>
          <w:sz w:val="24"/>
          <w:szCs w:val="24"/>
        </w:rPr>
        <w:footnoteReference w:id="13"/>
      </w:r>
      <w:r w:rsidR="004B2690" w:rsidRPr="0052701D">
        <w:rPr>
          <w:rFonts w:ascii="Arial" w:hAnsi="Arial" w:cs="Arial"/>
          <w:sz w:val="24"/>
          <w:szCs w:val="24"/>
        </w:rPr>
        <w:t xml:space="preserve"> The City explained that its officials had managed to compile a comprehensive list of the adjustments effected on the appellants’ accounts on or about 2 November 2018, in other words shortly after the application was instituted. </w:t>
      </w:r>
      <w:r w:rsidR="00202234" w:rsidRPr="0052701D">
        <w:rPr>
          <w:rFonts w:ascii="Arial" w:hAnsi="Arial" w:cs="Arial"/>
          <w:sz w:val="24"/>
          <w:szCs w:val="24"/>
        </w:rPr>
        <w:t>There remained errors in the process, however, an updated list was provided on 4 December 2018 for purposes of the answering affidavit. These are set out in an Annexure CTM7 in re</w:t>
      </w:r>
      <w:r w:rsidR="006B6C30" w:rsidRPr="0052701D">
        <w:rPr>
          <w:rFonts w:ascii="Arial" w:hAnsi="Arial" w:cs="Arial"/>
          <w:sz w:val="24"/>
          <w:szCs w:val="24"/>
        </w:rPr>
        <w:t xml:space="preserve">spect of which the City avers: </w:t>
      </w:r>
      <w:r w:rsidR="007D6438" w:rsidRPr="0052701D">
        <w:rPr>
          <w:rFonts w:ascii="Arial" w:hAnsi="Arial" w:cs="Arial"/>
          <w:sz w:val="24"/>
          <w:szCs w:val="24"/>
        </w:rPr>
        <w:t>“</w:t>
      </w:r>
      <w:r w:rsidR="00202234" w:rsidRPr="0052701D">
        <w:rPr>
          <w:rFonts w:ascii="Arial" w:hAnsi="Arial" w:cs="Arial"/>
          <w:sz w:val="24"/>
          <w:szCs w:val="24"/>
        </w:rPr>
        <w:t>…. In respect of the [appellants] all debits, resulting from the 2012 SVR were credited as well as the interest and collection charges for the whole period (for the period 1 July 2013 to 30 June 2017) until the [EVR] became effective.</w:t>
      </w:r>
      <w:r w:rsidR="007D6438" w:rsidRPr="0052701D">
        <w:rPr>
          <w:rFonts w:ascii="Arial" w:hAnsi="Arial" w:cs="Arial"/>
          <w:sz w:val="24"/>
          <w:szCs w:val="24"/>
        </w:rPr>
        <w:t>”</w:t>
      </w:r>
    </w:p>
    <w:p w14:paraId="2FF9F210" w14:textId="77777777" w:rsidR="003B7D35" w:rsidRPr="00CE076A" w:rsidRDefault="003B7D35" w:rsidP="00CE076A">
      <w:pPr>
        <w:pStyle w:val="ListParagraph"/>
        <w:spacing w:line="360" w:lineRule="auto"/>
        <w:ind w:left="360"/>
        <w:rPr>
          <w:rFonts w:ascii="Arial" w:hAnsi="Arial" w:cs="Arial"/>
          <w:sz w:val="24"/>
          <w:szCs w:val="24"/>
        </w:rPr>
      </w:pPr>
    </w:p>
    <w:p w14:paraId="585B7E12" w14:textId="48C03639" w:rsidR="00C94F3E" w:rsidRPr="0052701D" w:rsidRDefault="0052701D" w:rsidP="0052701D">
      <w:pPr>
        <w:spacing w:line="360" w:lineRule="auto"/>
        <w:ind w:left="360" w:hanging="360"/>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3B7D35" w:rsidRPr="0052701D">
        <w:rPr>
          <w:rFonts w:ascii="Arial" w:hAnsi="Arial" w:cs="Arial"/>
          <w:sz w:val="24"/>
          <w:szCs w:val="24"/>
        </w:rPr>
        <w:t>The respondents tendered the costs occasioned by the institution of the application up until the date of delivery of the answering affidavit</w:t>
      </w:r>
      <w:r w:rsidR="00202234" w:rsidRPr="0052701D">
        <w:rPr>
          <w:rFonts w:ascii="Arial" w:hAnsi="Arial" w:cs="Arial"/>
          <w:sz w:val="24"/>
          <w:szCs w:val="24"/>
        </w:rPr>
        <w:t>.</w:t>
      </w:r>
      <w:r w:rsidR="003B7D35" w:rsidRPr="0052701D">
        <w:rPr>
          <w:rFonts w:ascii="Arial" w:hAnsi="Arial" w:cs="Arial"/>
          <w:sz w:val="24"/>
          <w:szCs w:val="24"/>
        </w:rPr>
        <w:t xml:space="preserve"> </w:t>
      </w:r>
      <w:r w:rsidR="00202234" w:rsidRPr="0052701D">
        <w:rPr>
          <w:rFonts w:ascii="Arial" w:hAnsi="Arial" w:cs="Arial"/>
          <w:sz w:val="24"/>
          <w:szCs w:val="24"/>
        </w:rPr>
        <w:t>Notably,</w:t>
      </w:r>
      <w:r w:rsidR="00905C7D" w:rsidRPr="0052701D">
        <w:rPr>
          <w:rFonts w:ascii="Arial" w:hAnsi="Arial" w:cs="Arial"/>
          <w:sz w:val="24"/>
          <w:szCs w:val="24"/>
        </w:rPr>
        <w:t xml:space="preserve"> it is apparent from correspondence dated 29 November 2018, </w:t>
      </w:r>
      <w:r w:rsidR="00905C7D" w:rsidRPr="0052701D">
        <w:rPr>
          <w:rFonts w:ascii="Arial" w:hAnsi="Arial" w:cs="Arial"/>
          <w:i/>
          <w:sz w:val="24"/>
          <w:szCs w:val="24"/>
        </w:rPr>
        <w:t>ie</w:t>
      </w:r>
      <w:r w:rsidR="00905C7D" w:rsidRPr="0052701D">
        <w:rPr>
          <w:rFonts w:ascii="Arial" w:hAnsi="Arial" w:cs="Arial"/>
          <w:sz w:val="24"/>
          <w:szCs w:val="24"/>
        </w:rPr>
        <w:t xml:space="preserve"> prior to the delivery of the answering affidavit, that</w:t>
      </w:r>
      <w:r w:rsidR="00202234" w:rsidRPr="0052701D">
        <w:rPr>
          <w:rFonts w:ascii="Arial" w:hAnsi="Arial" w:cs="Arial"/>
          <w:sz w:val="24"/>
          <w:szCs w:val="24"/>
        </w:rPr>
        <w:t xml:space="preserve"> the respondents’ attorneys </w:t>
      </w:r>
      <w:r w:rsidR="00905C7D" w:rsidRPr="0052701D">
        <w:rPr>
          <w:rFonts w:ascii="Arial" w:hAnsi="Arial" w:cs="Arial"/>
          <w:sz w:val="24"/>
          <w:szCs w:val="24"/>
        </w:rPr>
        <w:t>intended to provide the appellants with a list of all the adjustments made in respect of their accounts for the period 1 July 2011 to 30 June 2013 (</w:t>
      </w:r>
      <w:r w:rsidR="00905C7D" w:rsidRPr="0052701D">
        <w:rPr>
          <w:rFonts w:ascii="Arial" w:hAnsi="Arial" w:cs="Arial"/>
          <w:i/>
          <w:sz w:val="24"/>
          <w:szCs w:val="24"/>
        </w:rPr>
        <w:t>ie</w:t>
      </w:r>
      <w:r w:rsidR="00905C7D" w:rsidRPr="0052701D">
        <w:rPr>
          <w:rFonts w:ascii="Arial" w:hAnsi="Arial" w:cs="Arial"/>
          <w:sz w:val="24"/>
          <w:szCs w:val="24"/>
        </w:rPr>
        <w:t xml:space="preserve"> for the 2012 SVR period).</w:t>
      </w:r>
    </w:p>
    <w:p w14:paraId="6FCB2D30" w14:textId="77777777" w:rsidR="00202234" w:rsidRPr="00CE076A" w:rsidRDefault="00202234" w:rsidP="00CE076A">
      <w:pPr>
        <w:pStyle w:val="ListParagraph"/>
        <w:spacing w:line="360" w:lineRule="auto"/>
        <w:ind w:left="360"/>
        <w:rPr>
          <w:rFonts w:ascii="Arial" w:hAnsi="Arial" w:cs="Arial"/>
          <w:sz w:val="24"/>
          <w:szCs w:val="24"/>
        </w:rPr>
      </w:pPr>
    </w:p>
    <w:p w14:paraId="60918073" w14:textId="1379A219" w:rsidR="0053487E" w:rsidRPr="0052701D" w:rsidRDefault="0052701D" w:rsidP="0052701D">
      <w:pPr>
        <w:spacing w:line="360" w:lineRule="auto"/>
        <w:ind w:left="360" w:hanging="360"/>
        <w:rPr>
          <w:rFonts w:ascii="Arial" w:hAnsi="Arial" w:cs="Arial"/>
          <w:sz w:val="24"/>
          <w:szCs w:val="24"/>
        </w:rPr>
      </w:pPr>
      <w:r>
        <w:rPr>
          <w:rFonts w:ascii="Arial" w:hAnsi="Arial" w:cs="Arial"/>
          <w:sz w:val="24"/>
          <w:szCs w:val="24"/>
        </w:rPr>
        <w:t>17.</w:t>
      </w:r>
      <w:r>
        <w:rPr>
          <w:rFonts w:ascii="Arial" w:hAnsi="Arial" w:cs="Arial"/>
          <w:sz w:val="24"/>
          <w:szCs w:val="24"/>
        </w:rPr>
        <w:tab/>
      </w:r>
      <w:r w:rsidR="00202234" w:rsidRPr="0052701D">
        <w:rPr>
          <w:rFonts w:ascii="Arial" w:hAnsi="Arial" w:cs="Arial"/>
          <w:sz w:val="24"/>
          <w:szCs w:val="24"/>
        </w:rPr>
        <w:t>The appellants did not accept the tender. In the final result,</w:t>
      </w:r>
      <w:r w:rsidR="00905C7D" w:rsidRPr="0052701D">
        <w:rPr>
          <w:rFonts w:ascii="Arial" w:hAnsi="Arial" w:cs="Arial"/>
          <w:sz w:val="24"/>
          <w:szCs w:val="24"/>
        </w:rPr>
        <w:t xml:space="preserve"> the appellants delivered a replying affidavit</w:t>
      </w:r>
      <w:r w:rsidR="006B6C30" w:rsidRPr="0052701D">
        <w:rPr>
          <w:rFonts w:ascii="Arial" w:hAnsi="Arial" w:cs="Arial"/>
          <w:sz w:val="24"/>
          <w:szCs w:val="24"/>
        </w:rPr>
        <w:t xml:space="preserve"> a </w:t>
      </w:r>
      <w:r w:rsidR="00FB4590" w:rsidRPr="0052701D">
        <w:rPr>
          <w:rFonts w:ascii="Arial" w:hAnsi="Arial" w:cs="Arial"/>
          <w:sz w:val="24"/>
          <w:szCs w:val="24"/>
        </w:rPr>
        <w:t xml:space="preserve">year later, on 13 December 2019. The affidavit is deposed to by </w:t>
      </w:r>
      <w:r w:rsidR="006B6C30" w:rsidRPr="0052701D">
        <w:rPr>
          <w:rFonts w:ascii="Arial" w:hAnsi="Arial" w:cs="Arial"/>
          <w:sz w:val="24"/>
          <w:szCs w:val="24"/>
        </w:rPr>
        <w:t>Mr Nasser.</w:t>
      </w:r>
      <w:r w:rsidR="00202234" w:rsidRPr="0052701D">
        <w:rPr>
          <w:rFonts w:ascii="Arial" w:hAnsi="Arial" w:cs="Arial"/>
          <w:sz w:val="24"/>
          <w:szCs w:val="24"/>
        </w:rPr>
        <w:t xml:space="preserve"> </w:t>
      </w:r>
      <w:r w:rsidR="00C46DB1" w:rsidRPr="0052701D">
        <w:rPr>
          <w:rFonts w:ascii="Arial" w:hAnsi="Arial" w:cs="Arial"/>
          <w:sz w:val="24"/>
          <w:szCs w:val="24"/>
        </w:rPr>
        <w:t>The appellants</w:t>
      </w:r>
      <w:r w:rsidR="00DD16B0" w:rsidRPr="0052701D">
        <w:rPr>
          <w:rFonts w:ascii="Arial" w:hAnsi="Arial" w:cs="Arial"/>
          <w:sz w:val="24"/>
          <w:szCs w:val="24"/>
        </w:rPr>
        <w:t xml:space="preserve"> also delivered a notice of amendment to their notice of motion</w:t>
      </w:r>
      <w:r w:rsidR="00C46DB1" w:rsidRPr="0052701D">
        <w:rPr>
          <w:rFonts w:ascii="Arial" w:hAnsi="Arial" w:cs="Arial"/>
          <w:sz w:val="24"/>
          <w:szCs w:val="24"/>
        </w:rPr>
        <w:t>, which was unopposed</w:t>
      </w:r>
      <w:r w:rsidR="00DD16B0" w:rsidRPr="0052701D">
        <w:rPr>
          <w:rFonts w:ascii="Arial" w:hAnsi="Arial" w:cs="Arial"/>
          <w:sz w:val="24"/>
          <w:szCs w:val="24"/>
        </w:rPr>
        <w:t xml:space="preserve">. </w:t>
      </w:r>
      <w:r w:rsidR="00C46DB1" w:rsidRPr="0052701D">
        <w:rPr>
          <w:rFonts w:ascii="Arial" w:hAnsi="Arial" w:cs="Arial"/>
          <w:sz w:val="24"/>
          <w:szCs w:val="24"/>
        </w:rPr>
        <w:t>Th</w:t>
      </w:r>
      <w:r w:rsidR="00DD16B0" w:rsidRPr="0052701D">
        <w:rPr>
          <w:rFonts w:ascii="Arial" w:hAnsi="Arial" w:cs="Arial"/>
          <w:sz w:val="24"/>
          <w:szCs w:val="24"/>
        </w:rPr>
        <w:t>e appellants</w:t>
      </w:r>
      <w:r w:rsidR="00C46DB1" w:rsidRPr="0052701D">
        <w:rPr>
          <w:rFonts w:ascii="Arial" w:hAnsi="Arial" w:cs="Arial"/>
          <w:sz w:val="24"/>
          <w:szCs w:val="24"/>
        </w:rPr>
        <w:t xml:space="preserve"> then</w:t>
      </w:r>
      <w:r w:rsidR="00DD16B0" w:rsidRPr="0052701D">
        <w:rPr>
          <w:rFonts w:ascii="Arial" w:hAnsi="Arial" w:cs="Arial"/>
          <w:sz w:val="24"/>
          <w:szCs w:val="24"/>
        </w:rPr>
        <w:t xml:space="preserve"> </w:t>
      </w:r>
      <w:r w:rsidR="00C46DB1" w:rsidRPr="0052701D">
        <w:rPr>
          <w:rFonts w:ascii="Arial" w:hAnsi="Arial" w:cs="Arial"/>
          <w:sz w:val="24"/>
          <w:szCs w:val="24"/>
        </w:rPr>
        <w:t>amended their notice of motion to introduce</w:t>
      </w:r>
      <w:r w:rsidR="00DD16B0" w:rsidRPr="0052701D">
        <w:rPr>
          <w:rFonts w:ascii="Arial" w:hAnsi="Arial" w:cs="Arial"/>
          <w:sz w:val="24"/>
          <w:szCs w:val="24"/>
        </w:rPr>
        <w:t xml:space="preserve"> the following additional relief</w:t>
      </w:r>
      <w:r w:rsidR="0053487E" w:rsidRPr="0052701D">
        <w:rPr>
          <w:rFonts w:ascii="Arial" w:hAnsi="Arial" w:cs="Arial"/>
          <w:sz w:val="24"/>
          <w:szCs w:val="24"/>
        </w:rPr>
        <w:t xml:space="preserve"> as prayers 4A to 4D</w:t>
      </w:r>
      <w:r w:rsidR="00DD16B0" w:rsidRPr="0052701D">
        <w:rPr>
          <w:rFonts w:ascii="Arial" w:hAnsi="Arial" w:cs="Arial"/>
          <w:sz w:val="24"/>
          <w:szCs w:val="24"/>
        </w:rPr>
        <w:t>:</w:t>
      </w:r>
    </w:p>
    <w:p w14:paraId="48F998EA" w14:textId="77777777" w:rsidR="0053487E" w:rsidRPr="00C46DB1" w:rsidRDefault="0053487E" w:rsidP="007E4D7D">
      <w:pPr>
        <w:pStyle w:val="ListParagraph"/>
        <w:spacing w:line="360" w:lineRule="auto"/>
        <w:rPr>
          <w:rFonts w:ascii="Arial" w:hAnsi="Arial" w:cs="Arial"/>
          <w:sz w:val="22"/>
          <w:szCs w:val="22"/>
        </w:rPr>
      </w:pPr>
    </w:p>
    <w:p w14:paraId="2A6C1A62" w14:textId="7099D218" w:rsidR="000516E8" w:rsidRPr="00C46DB1" w:rsidRDefault="00C94F3E" w:rsidP="00CE076A">
      <w:pPr>
        <w:spacing w:line="360" w:lineRule="auto"/>
        <w:ind w:left="1134" w:hanging="414"/>
        <w:rPr>
          <w:rFonts w:ascii="Arial" w:hAnsi="Arial" w:cs="Arial"/>
          <w:sz w:val="22"/>
          <w:szCs w:val="22"/>
        </w:rPr>
      </w:pPr>
      <w:r>
        <w:rPr>
          <w:rFonts w:ascii="Arial" w:hAnsi="Arial" w:cs="Arial"/>
          <w:sz w:val="22"/>
          <w:szCs w:val="22"/>
        </w:rPr>
        <w:t>“</w:t>
      </w:r>
      <w:r w:rsidR="000516E8" w:rsidRPr="00C46DB1">
        <w:rPr>
          <w:rFonts w:ascii="Arial" w:hAnsi="Arial" w:cs="Arial"/>
          <w:sz w:val="22"/>
          <w:szCs w:val="22"/>
        </w:rPr>
        <w:t xml:space="preserve">4A        </w:t>
      </w:r>
      <w:r w:rsidR="0053487E" w:rsidRPr="00C46DB1">
        <w:rPr>
          <w:rFonts w:ascii="Arial" w:hAnsi="Arial" w:cs="Arial"/>
          <w:sz w:val="22"/>
          <w:szCs w:val="22"/>
        </w:rPr>
        <w:t>The City is ordered to furnish each of the appellants with a written account in terms of section 27(1) of the Rates Act, which written account must specify the amount due for rates payable; the date on or before which the amount is payable; how the amount was calculated; the market value of the property and any other relevant information required to understand the basis upon which the amount payable was calculated (the account).</w:t>
      </w:r>
    </w:p>
    <w:p w14:paraId="103CDF1F" w14:textId="581DC386" w:rsidR="000516E8" w:rsidRPr="00C46DB1" w:rsidRDefault="000516E8" w:rsidP="00CE076A">
      <w:pPr>
        <w:spacing w:line="360" w:lineRule="auto"/>
        <w:ind w:left="1134" w:hanging="414"/>
        <w:rPr>
          <w:rFonts w:ascii="Arial" w:hAnsi="Arial" w:cs="Arial"/>
          <w:sz w:val="22"/>
          <w:szCs w:val="22"/>
        </w:rPr>
      </w:pPr>
      <w:r w:rsidRPr="00C46DB1">
        <w:rPr>
          <w:rFonts w:ascii="Arial" w:hAnsi="Arial" w:cs="Arial"/>
          <w:sz w:val="22"/>
          <w:szCs w:val="22"/>
        </w:rPr>
        <w:t>4B</w:t>
      </w:r>
      <w:r w:rsidRPr="00C46DB1">
        <w:rPr>
          <w:rFonts w:ascii="Arial" w:hAnsi="Arial" w:cs="Arial"/>
          <w:sz w:val="22"/>
          <w:szCs w:val="22"/>
        </w:rPr>
        <w:tab/>
      </w:r>
      <w:r w:rsidR="0053487E" w:rsidRPr="00C46DB1">
        <w:rPr>
          <w:rFonts w:ascii="Arial" w:hAnsi="Arial" w:cs="Arial"/>
          <w:sz w:val="22"/>
          <w:szCs w:val="22"/>
        </w:rPr>
        <w:t>The account must be provided to each of the appellants within 30 days of the order.</w:t>
      </w:r>
    </w:p>
    <w:p w14:paraId="0A48609D" w14:textId="77777777" w:rsidR="006B6C30" w:rsidRPr="00C46DB1" w:rsidRDefault="000516E8" w:rsidP="00CE076A">
      <w:pPr>
        <w:spacing w:line="360" w:lineRule="auto"/>
        <w:ind w:left="1134" w:hanging="414"/>
        <w:rPr>
          <w:rFonts w:ascii="Arial" w:hAnsi="Arial" w:cs="Arial"/>
          <w:sz w:val="22"/>
          <w:szCs w:val="22"/>
        </w:rPr>
      </w:pPr>
      <w:r w:rsidRPr="00C46DB1">
        <w:rPr>
          <w:rFonts w:ascii="Arial" w:hAnsi="Arial" w:cs="Arial"/>
          <w:sz w:val="22"/>
          <w:szCs w:val="22"/>
        </w:rPr>
        <w:t>4C</w:t>
      </w:r>
      <w:r w:rsidRPr="00C46DB1">
        <w:rPr>
          <w:rFonts w:ascii="Arial" w:hAnsi="Arial" w:cs="Arial"/>
          <w:sz w:val="22"/>
          <w:szCs w:val="22"/>
        </w:rPr>
        <w:tab/>
      </w:r>
      <w:r w:rsidR="0053487E" w:rsidRPr="00C46DB1">
        <w:rPr>
          <w:rFonts w:ascii="Arial" w:hAnsi="Arial" w:cs="Arial"/>
          <w:sz w:val="22"/>
          <w:szCs w:val="22"/>
        </w:rPr>
        <w:t>The City is directed to debate the adequacy of the account with the appellants within one month from the date on which it is rendered.</w:t>
      </w:r>
    </w:p>
    <w:p w14:paraId="15AF0AEE" w14:textId="02A8A3FD" w:rsidR="00DD16B0" w:rsidRPr="00C46DB1" w:rsidRDefault="000516E8" w:rsidP="00CE076A">
      <w:pPr>
        <w:spacing w:line="360" w:lineRule="auto"/>
        <w:ind w:left="1120" w:hanging="400"/>
        <w:rPr>
          <w:rFonts w:ascii="Arial" w:hAnsi="Arial" w:cs="Arial"/>
          <w:sz w:val="22"/>
          <w:szCs w:val="22"/>
        </w:rPr>
      </w:pPr>
      <w:r w:rsidRPr="00C46DB1">
        <w:rPr>
          <w:rFonts w:ascii="Arial" w:hAnsi="Arial" w:cs="Arial"/>
          <w:sz w:val="22"/>
          <w:szCs w:val="22"/>
        </w:rPr>
        <w:t>4D</w:t>
      </w:r>
      <w:r w:rsidRPr="00C46DB1">
        <w:rPr>
          <w:rFonts w:ascii="Arial" w:hAnsi="Arial" w:cs="Arial"/>
          <w:sz w:val="22"/>
          <w:szCs w:val="22"/>
        </w:rPr>
        <w:tab/>
      </w:r>
      <w:r w:rsidR="0053487E" w:rsidRPr="00C46DB1">
        <w:rPr>
          <w:rFonts w:ascii="Arial" w:hAnsi="Arial" w:cs="Arial"/>
          <w:sz w:val="22"/>
          <w:szCs w:val="22"/>
        </w:rPr>
        <w:t>The debatement and statement of account referred to above may take place before a judge of the Gauteng Division of the High Court alternatively an arbitrator appointed by agreement between the appellants and the respondents.</w:t>
      </w:r>
      <w:r w:rsidR="00C94F3E">
        <w:rPr>
          <w:rFonts w:ascii="Arial" w:hAnsi="Arial" w:cs="Arial"/>
          <w:sz w:val="22"/>
          <w:szCs w:val="22"/>
        </w:rPr>
        <w:t>”</w:t>
      </w:r>
    </w:p>
    <w:p w14:paraId="77430029" w14:textId="77777777" w:rsidR="00DD16B0" w:rsidRPr="00DD16B0" w:rsidRDefault="00DD16B0" w:rsidP="00CE076A">
      <w:pPr>
        <w:pStyle w:val="ListParagraph"/>
        <w:spacing w:line="360" w:lineRule="auto"/>
        <w:rPr>
          <w:rFonts w:ascii="Arial" w:hAnsi="Arial" w:cs="Arial"/>
          <w:sz w:val="24"/>
          <w:szCs w:val="24"/>
        </w:rPr>
      </w:pPr>
    </w:p>
    <w:p w14:paraId="606A0B78" w14:textId="7106FD1A" w:rsidR="00D22950" w:rsidRPr="0052701D" w:rsidRDefault="0052701D" w:rsidP="0052701D">
      <w:pPr>
        <w:spacing w:line="360" w:lineRule="auto"/>
        <w:ind w:left="360" w:hanging="360"/>
        <w:rPr>
          <w:rFonts w:ascii="Arial" w:hAnsi="Arial" w:cs="Arial"/>
          <w:sz w:val="24"/>
          <w:szCs w:val="24"/>
        </w:rPr>
      </w:pPr>
      <w:r>
        <w:rPr>
          <w:rFonts w:ascii="Arial" w:hAnsi="Arial" w:cs="Arial"/>
          <w:sz w:val="24"/>
          <w:szCs w:val="24"/>
        </w:rPr>
        <w:t>18.</w:t>
      </w:r>
      <w:r>
        <w:rPr>
          <w:rFonts w:ascii="Arial" w:hAnsi="Arial" w:cs="Arial"/>
          <w:sz w:val="24"/>
          <w:szCs w:val="24"/>
        </w:rPr>
        <w:tab/>
      </w:r>
      <w:r w:rsidR="00554CC1" w:rsidRPr="0052701D">
        <w:rPr>
          <w:rFonts w:ascii="Arial" w:hAnsi="Arial" w:cs="Arial"/>
          <w:sz w:val="24"/>
          <w:szCs w:val="24"/>
        </w:rPr>
        <w:t xml:space="preserve">In the replying affidavit, the appellants dispute that the City has effected all of the credits the appellants were entitled to. They maintain that the City has not complied with the </w:t>
      </w:r>
      <w:r w:rsidR="00542A8F" w:rsidRPr="0052701D">
        <w:rPr>
          <w:rFonts w:ascii="Arial" w:hAnsi="Arial" w:cs="Arial"/>
          <w:sz w:val="24"/>
          <w:szCs w:val="24"/>
        </w:rPr>
        <w:t>review orders</w:t>
      </w:r>
      <w:r w:rsidR="00554CC1" w:rsidRPr="0052701D">
        <w:rPr>
          <w:rFonts w:ascii="Arial" w:hAnsi="Arial" w:cs="Arial"/>
          <w:sz w:val="24"/>
          <w:szCs w:val="24"/>
        </w:rPr>
        <w:t xml:space="preserve"> in at least two major respects:</w:t>
      </w:r>
    </w:p>
    <w:p w14:paraId="5F46EE0F" w14:textId="77777777" w:rsidR="00D22950" w:rsidRDefault="00D22950" w:rsidP="00CE076A">
      <w:pPr>
        <w:pStyle w:val="ListParagraph"/>
        <w:spacing w:line="360" w:lineRule="auto"/>
        <w:ind w:left="360"/>
        <w:rPr>
          <w:rFonts w:ascii="Arial" w:hAnsi="Arial" w:cs="Arial"/>
          <w:sz w:val="24"/>
          <w:szCs w:val="24"/>
        </w:rPr>
      </w:pPr>
    </w:p>
    <w:p w14:paraId="3F278BC4" w14:textId="0BD79D14" w:rsidR="00554CC1" w:rsidRPr="0052701D" w:rsidRDefault="0052701D" w:rsidP="0052701D">
      <w:pPr>
        <w:spacing w:line="360" w:lineRule="auto"/>
        <w:ind w:left="1134" w:hanging="774"/>
        <w:rPr>
          <w:rFonts w:ascii="Arial" w:hAnsi="Arial" w:cs="Arial"/>
          <w:sz w:val="24"/>
          <w:szCs w:val="24"/>
        </w:rPr>
      </w:pPr>
      <w:r w:rsidRPr="00D22950">
        <w:rPr>
          <w:rFonts w:ascii="Arial" w:hAnsi="Arial" w:cs="Arial"/>
          <w:sz w:val="24"/>
          <w:szCs w:val="24"/>
        </w:rPr>
        <w:lastRenderedPageBreak/>
        <w:t>18.1.</w:t>
      </w:r>
      <w:r w:rsidRPr="00D22950">
        <w:rPr>
          <w:rFonts w:ascii="Arial" w:hAnsi="Arial" w:cs="Arial"/>
          <w:sz w:val="24"/>
          <w:szCs w:val="24"/>
        </w:rPr>
        <w:tab/>
      </w:r>
      <w:r w:rsidR="00554CC1" w:rsidRPr="0052701D">
        <w:rPr>
          <w:rFonts w:ascii="Arial" w:hAnsi="Arial" w:cs="Arial"/>
          <w:sz w:val="24"/>
          <w:szCs w:val="24"/>
        </w:rPr>
        <w:t>First, the adjustments and credits applied were limited to the period July 2011 to June 2013.</w:t>
      </w:r>
      <w:r w:rsidR="00C94F3E" w:rsidRPr="0052701D">
        <w:rPr>
          <w:rFonts w:ascii="Arial" w:hAnsi="Arial" w:cs="Arial"/>
          <w:sz w:val="24"/>
          <w:szCs w:val="24"/>
        </w:rPr>
        <w:t xml:space="preserve"> </w:t>
      </w:r>
      <w:r w:rsidR="00554CC1" w:rsidRPr="0052701D">
        <w:rPr>
          <w:rFonts w:ascii="Arial" w:hAnsi="Arial" w:cs="Arial"/>
          <w:sz w:val="24"/>
          <w:szCs w:val="24"/>
        </w:rPr>
        <w:t>This was due to the EVR which purported retrospectively to recategorise the affected properties as vacant from July 2013. The appellants say this is unlawful and in breach of section 78 of the Rates Act.</w:t>
      </w:r>
    </w:p>
    <w:p w14:paraId="6B29C1A1" w14:textId="77777777" w:rsidR="00554CC1" w:rsidRDefault="00554CC1" w:rsidP="00CE076A">
      <w:pPr>
        <w:pStyle w:val="ListParagraph"/>
        <w:spacing w:line="360" w:lineRule="auto"/>
        <w:ind w:left="1134"/>
        <w:rPr>
          <w:rFonts w:ascii="Arial" w:hAnsi="Arial" w:cs="Arial"/>
          <w:sz w:val="24"/>
          <w:szCs w:val="24"/>
        </w:rPr>
      </w:pPr>
    </w:p>
    <w:p w14:paraId="3BF63F1D" w14:textId="1BF99452" w:rsidR="00554CC1" w:rsidRPr="0052701D" w:rsidRDefault="0052701D" w:rsidP="0052701D">
      <w:pPr>
        <w:spacing w:line="360" w:lineRule="auto"/>
        <w:ind w:left="1134" w:hanging="857"/>
        <w:rPr>
          <w:rFonts w:ascii="Arial" w:hAnsi="Arial" w:cs="Arial"/>
          <w:sz w:val="24"/>
          <w:szCs w:val="24"/>
        </w:rPr>
      </w:pPr>
      <w:r w:rsidRPr="00554CC1">
        <w:rPr>
          <w:rFonts w:ascii="Arial" w:hAnsi="Arial" w:cs="Arial"/>
          <w:sz w:val="24"/>
          <w:szCs w:val="24"/>
        </w:rPr>
        <w:t>18.2.</w:t>
      </w:r>
      <w:r w:rsidRPr="00554CC1">
        <w:rPr>
          <w:rFonts w:ascii="Arial" w:hAnsi="Arial" w:cs="Arial"/>
          <w:sz w:val="24"/>
          <w:szCs w:val="24"/>
        </w:rPr>
        <w:tab/>
      </w:r>
      <w:r w:rsidR="00554CC1" w:rsidRPr="0052701D">
        <w:rPr>
          <w:rFonts w:ascii="Arial" w:hAnsi="Arial" w:cs="Arial"/>
          <w:sz w:val="24"/>
          <w:szCs w:val="24"/>
        </w:rPr>
        <w:t>Second, they say that the adjustments and credits applied are inadequate even in respect of the period of July 2011 to June 2013</w:t>
      </w:r>
      <w:r w:rsidR="00F26341" w:rsidRPr="0052701D">
        <w:rPr>
          <w:rFonts w:ascii="Arial" w:hAnsi="Arial" w:cs="Arial"/>
          <w:sz w:val="24"/>
          <w:szCs w:val="24"/>
        </w:rPr>
        <w:t>, a situation made worse by the fact that the app</w:t>
      </w:r>
      <w:r w:rsidR="00C46DB1" w:rsidRPr="0052701D">
        <w:rPr>
          <w:rFonts w:ascii="Arial" w:hAnsi="Arial" w:cs="Arial"/>
          <w:sz w:val="24"/>
          <w:szCs w:val="24"/>
        </w:rPr>
        <w:t>ellants</w:t>
      </w:r>
      <w:r w:rsidR="00F26341" w:rsidRPr="0052701D">
        <w:rPr>
          <w:rFonts w:ascii="Arial" w:hAnsi="Arial" w:cs="Arial"/>
          <w:sz w:val="24"/>
          <w:szCs w:val="24"/>
        </w:rPr>
        <w:t xml:space="preserve"> had not been provided with any details or substantiation to explain the City’s quantification of the credited amounts</w:t>
      </w:r>
      <w:r w:rsidR="00554CC1" w:rsidRPr="0052701D">
        <w:rPr>
          <w:rFonts w:ascii="Arial" w:hAnsi="Arial" w:cs="Arial"/>
          <w:sz w:val="24"/>
          <w:szCs w:val="24"/>
        </w:rPr>
        <w:t>.</w:t>
      </w:r>
    </w:p>
    <w:p w14:paraId="70E01EAA" w14:textId="77777777" w:rsidR="00554CC1" w:rsidRDefault="00554CC1" w:rsidP="00CE076A">
      <w:pPr>
        <w:pStyle w:val="ListParagraph"/>
        <w:spacing w:line="360" w:lineRule="auto"/>
        <w:ind w:left="792"/>
        <w:rPr>
          <w:rFonts w:ascii="Arial" w:hAnsi="Arial" w:cs="Arial"/>
          <w:sz w:val="24"/>
          <w:szCs w:val="24"/>
        </w:rPr>
      </w:pPr>
    </w:p>
    <w:p w14:paraId="61054582" w14:textId="26E9D736" w:rsidR="000E7424" w:rsidRPr="0052701D" w:rsidRDefault="0052701D" w:rsidP="0052701D">
      <w:pPr>
        <w:spacing w:line="360" w:lineRule="auto"/>
        <w:ind w:left="360" w:hanging="360"/>
        <w:rPr>
          <w:rFonts w:ascii="Arial" w:hAnsi="Arial" w:cs="Arial"/>
          <w:sz w:val="24"/>
          <w:szCs w:val="24"/>
        </w:rPr>
      </w:pPr>
      <w:r>
        <w:rPr>
          <w:rFonts w:ascii="Arial" w:hAnsi="Arial" w:cs="Arial"/>
          <w:sz w:val="24"/>
          <w:szCs w:val="24"/>
        </w:rPr>
        <w:t>19.</w:t>
      </w:r>
      <w:r>
        <w:rPr>
          <w:rFonts w:ascii="Arial" w:hAnsi="Arial" w:cs="Arial"/>
          <w:sz w:val="24"/>
          <w:szCs w:val="24"/>
        </w:rPr>
        <w:tab/>
      </w:r>
      <w:r w:rsidR="006B6C30" w:rsidRPr="0052701D">
        <w:rPr>
          <w:rFonts w:ascii="Arial" w:hAnsi="Arial" w:cs="Arial"/>
          <w:sz w:val="24"/>
          <w:szCs w:val="24"/>
        </w:rPr>
        <w:t xml:space="preserve">Mr Nasser explained the </w:t>
      </w:r>
      <w:r w:rsidR="00F26341" w:rsidRPr="0052701D">
        <w:rPr>
          <w:rFonts w:ascii="Arial" w:hAnsi="Arial" w:cs="Arial"/>
          <w:sz w:val="24"/>
          <w:szCs w:val="24"/>
        </w:rPr>
        <w:t xml:space="preserve">difficulties </w:t>
      </w:r>
      <w:r w:rsidR="000E7424" w:rsidRPr="0052701D">
        <w:rPr>
          <w:rFonts w:ascii="Arial" w:hAnsi="Arial" w:cs="Arial"/>
          <w:sz w:val="24"/>
          <w:szCs w:val="24"/>
        </w:rPr>
        <w:t>in some detail</w:t>
      </w:r>
      <w:r w:rsidR="006B6C30" w:rsidRPr="0052701D">
        <w:rPr>
          <w:rFonts w:ascii="Arial" w:hAnsi="Arial" w:cs="Arial"/>
          <w:sz w:val="24"/>
          <w:szCs w:val="24"/>
        </w:rPr>
        <w:t xml:space="preserve">. The main </w:t>
      </w:r>
      <w:r w:rsidR="000E7424" w:rsidRPr="0052701D">
        <w:rPr>
          <w:rFonts w:ascii="Arial" w:hAnsi="Arial" w:cs="Arial"/>
          <w:sz w:val="24"/>
          <w:szCs w:val="24"/>
        </w:rPr>
        <w:t>complaints - there are others - can be grouped into the following categories:</w:t>
      </w:r>
    </w:p>
    <w:p w14:paraId="22487FD8" w14:textId="77777777" w:rsidR="00293479" w:rsidRDefault="00293479" w:rsidP="00CE076A">
      <w:pPr>
        <w:pStyle w:val="ListParagraph"/>
        <w:spacing w:line="360" w:lineRule="auto"/>
        <w:ind w:left="360"/>
        <w:rPr>
          <w:rFonts w:ascii="Arial" w:hAnsi="Arial" w:cs="Arial"/>
          <w:sz w:val="24"/>
          <w:szCs w:val="24"/>
        </w:rPr>
      </w:pPr>
    </w:p>
    <w:p w14:paraId="525D3F5C" w14:textId="15B0CFA5" w:rsidR="00F26341" w:rsidRPr="0052701D" w:rsidRDefault="0052701D" w:rsidP="0052701D">
      <w:pPr>
        <w:spacing w:line="360" w:lineRule="auto"/>
        <w:ind w:left="1701" w:hanging="1341"/>
        <w:rPr>
          <w:rFonts w:ascii="Arial" w:hAnsi="Arial" w:cs="Arial"/>
          <w:sz w:val="24"/>
          <w:szCs w:val="24"/>
        </w:rPr>
      </w:pPr>
      <w:r w:rsidRPr="000E7424">
        <w:rPr>
          <w:rFonts w:ascii="Arial" w:hAnsi="Arial" w:cs="Arial"/>
          <w:sz w:val="24"/>
          <w:szCs w:val="24"/>
        </w:rPr>
        <w:t>19.1.</w:t>
      </w:r>
      <w:r w:rsidRPr="000E7424">
        <w:rPr>
          <w:rFonts w:ascii="Arial" w:hAnsi="Arial" w:cs="Arial"/>
          <w:sz w:val="24"/>
          <w:szCs w:val="24"/>
        </w:rPr>
        <w:tab/>
      </w:r>
      <w:r w:rsidR="000E7424" w:rsidRPr="0052701D">
        <w:rPr>
          <w:rFonts w:ascii="Arial" w:hAnsi="Arial" w:cs="Arial"/>
          <w:sz w:val="24"/>
          <w:szCs w:val="24"/>
        </w:rPr>
        <w:t xml:space="preserve">Several of the appellants had, during the relevant period, transferred their properties to new owners and were required to pay </w:t>
      </w:r>
      <w:r w:rsidR="00F26341" w:rsidRPr="0052701D">
        <w:rPr>
          <w:rFonts w:ascii="Arial" w:hAnsi="Arial" w:cs="Arial"/>
          <w:sz w:val="24"/>
          <w:szCs w:val="24"/>
        </w:rPr>
        <w:t xml:space="preserve">disproportionally high clearance figures </w:t>
      </w:r>
      <w:r w:rsidR="000E7424" w:rsidRPr="0052701D">
        <w:rPr>
          <w:rFonts w:ascii="Arial" w:hAnsi="Arial" w:cs="Arial"/>
          <w:sz w:val="24"/>
          <w:szCs w:val="24"/>
        </w:rPr>
        <w:t>which they paid under</w:t>
      </w:r>
      <w:r w:rsidR="002C7EBA" w:rsidRPr="0052701D">
        <w:rPr>
          <w:rFonts w:ascii="Arial" w:hAnsi="Arial" w:cs="Arial"/>
          <w:sz w:val="24"/>
          <w:szCs w:val="24"/>
        </w:rPr>
        <w:t xml:space="preserve"> protest. The credits that the City then</w:t>
      </w:r>
      <w:r w:rsidR="000E7424" w:rsidRPr="0052701D">
        <w:rPr>
          <w:rFonts w:ascii="Arial" w:hAnsi="Arial" w:cs="Arial"/>
          <w:sz w:val="24"/>
          <w:szCs w:val="24"/>
        </w:rPr>
        <w:t xml:space="preserve"> passed were applied for the </w:t>
      </w:r>
      <w:r w:rsidR="00F26341" w:rsidRPr="0052701D">
        <w:rPr>
          <w:rFonts w:ascii="Arial" w:hAnsi="Arial" w:cs="Arial"/>
          <w:sz w:val="24"/>
          <w:szCs w:val="24"/>
        </w:rPr>
        <w:t>benefit of the new owners and not</w:t>
      </w:r>
      <w:r w:rsidR="000E7424" w:rsidRPr="0052701D">
        <w:rPr>
          <w:rFonts w:ascii="Arial" w:hAnsi="Arial" w:cs="Arial"/>
          <w:sz w:val="24"/>
          <w:szCs w:val="24"/>
        </w:rPr>
        <w:t xml:space="preserve"> the appellants.</w:t>
      </w:r>
    </w:p>
    <w:p w14:paraId="5E54879C" w14:textId="77777777" w:rsidR="00293479" w:rsidRDefault="00293479" w:rsidP="00CE076A">
      <w:pPr>
        <w:pStyle w:val="ListParagraph"/>
        <w:spacing w:line="360" w:lineRule="auto"/>
        <w:ind w:left="1701"/>
        <w:rPr>
          <w:rFonts w:ascii="Arial" w:hAnsi="Arial" w:cs="Arial"/>
          <w:sz w:val="24"/>
          <w:szCs w:val="24"/>
        </w:rPr>
      </w:pPr>
    </w:p>
    <w:p w14:paraId="6BE347AE" w14:textId="6773FDAA" w:rsidR="000E7424" w:rsidRPr="0052701D" w:rsidRDefault="0052701D" w:rsidP="0052701D">
      <w:pPr>
        <w:spacing w:line="360" w:lineRule="auto"/>
        <w:ind w:left="1701" w:hanging="1140"/>
        <w:rPr>
          <w:rFonts w:ascii="Arial" w:hAnsi="Arial" w:cs="Arial"/>
          <w:sz w:val="24"/>
          <w:szCs w:val="24"/>
        </w:rPr>
      </w:pPr>
      <w:r>
        <w:rPr>
          <w:rFonts w:ascii="Arial" w:hAnsi="Arial" w:cs="Arial"/>
          <w:sz w:val="24"/>
          <w:szCs w:val="24"/>
        </w:rPr>
        <w:t>19.2.</w:t>
      </w:r>
      <w:r>
        <w:rPr>
          <w:rFonts w:ascii="Arial" w:hAnsi="Arial" w:cs="Arial"/>
          <w:sz w:val="24"/>
          <w:szCs w:val="24"/>
        </w:rPr>
        <w:tab/>
      </w:r>
      <w:r w:rsidR="000E7424" w:rsidRPr="0052701D">
        <w:rPr>
          <w:rFonts w:ascii="Arial" w:hAnsi="Arial" w:cs="Arial"/>
          <w:sz w:val="24"/>
          <w:szCs w:val="24"/>
        </w:rPr>
        <w:t>A complaint about insufficient credit. This includes a complaint that credits were calculated merely by deducting the residential rate from the vacant property rate without fully taking into account the amounts previously paid when recalculating interest and penalties.</w:t>
      </w:r>
    </w:p>
    <w:p w14:paraId="0941E084" w14:textId="77777777" w:rsidR="00293479" w:rsidRDefault="00293479" w:rsidP="00CE076A">
      <w:pPr>
        <w:pStyle w:val="ListParagraph"/>
        <w:spacing w:line="360" w:lineRule="auto"/>
        <w:ind w:left="1701"/>
        <w:rPr>
          <w:rFonts w:ascii="Arial" w:hAnsi="Arial" w:cs="Arial"/>
          <w:sz w:val="24"/>
          <w:szCs w:val="24"/>
        </w:rPr>
      </w:pPr>
    </w:p>
    <w:p w14:paraId="3F4ED6A2" w14:textId="6DA1F6A3" w:rsidR="00F26341" w:rsidRPr="0052701D" w:rsidRDefault="0052701D" w:rsidP="0052701D">
      <w:pPr>
        <w:spacing w:line="360" w:lineRule="auto"/>
        <w:ind w:left="1701" w:hanging="1140"/>
        <w:rPr>
          <w:rFonts w:ascii="Arial" w:hAnsi="Arial" w:cs="Arial"/>
          <w:sz w:val="24"/>
          <w:szCs w:val="24"/>
        </w:rPr>
      </w:pPr>
      <w:r w:rsidRPr="00293479">
        <w:rPr>
          <w:rFonts w:ascii="Arial" w:hAnsi="Arial" w:cs="Arial"/>
          <w:sz w:val="24"/>
          <w:szCs w:val="24"/>
        </w:rPr>
        <w:t>19.3.</w:t>
      </w:r>
      <w:r w:rsidRPr="00293479">
        <w:rPr>
          <w:rFonts w:ascii="Arial" w:hAnsi="Arial" w:cs="Arial"/>
          <w:sz w:val="24"/>
          <w:szCs w:val="24"/>
        </w:rPr>
        <w:tab/>
      </w:r>
      <w:r w:rsidR="000E7424" w:rsidRPr="0052701D">
        <w:rPr>
          <w:rFonts w:ascii="Arial" w:hAnsi="Arial" w:cs="Arial"/>
          <w:sz w:val="24"/>
          <w:szCs w:val="24"/>
        </w:rPr>
        <w:t>Complaints that no credits had been passed. In this regard, various of the appellants’ properties do not appear on Annexure C</w:t>
      </w:r>
      <w:r w:rsidR="002C7EBA" w:rsidRPr="0052701D">
        <w:rPr>
          <w:rFonts w:ascii="Arial" w:hAnsi="Arial" w:cs="Arial"/>
          <w:sz w:val="24"/>
          <w:szCs w:val="24"/>
        </w:rPr>
        <w:t>T</w:t>
      </w:r>
      <w:r w:rsidR="000E7424" w:rsidRPr="0052701D">
        <w:rPr>
          <w:rFonts w:ascii="Arial" w:hAnsi="Arial" w:cs="Arial"/>
          <w:sz w:val="24"/>
          <w:szCs w:val="24"/>
        </w:rPr>
        <w:t>M7.</w:t>
      </w:r>
    </w:p>
    <w:p w14:paraId="4E8CE4E9" w14:textId="77777777" w:rsidR="000E7424" w:rsidRDefault="000E7424" w:rsidP="00CE076A">
      <w:pPr>
        <w:pStyle w:val="ListParagraph"/>
        <w:spacing w:line="360" w:lineRule="auto"/>
        <w:ind w:left="792"/>
        <w:rPr>
          <w:rFonts w:ascii="Arial" w:hAnsi="Arial" w:cs="Arial"/>
          <w:sz w:val="24"/>
          <w:szCs w:val="24"/>
        </w:rPr>
      </w:pPr>
    </w:p>
    <w:p w14:paraId="0E36933E" w14:textId="31A7FFFC" w:rsidR="00293479" w:rsidRPr="0052701D" w:rsidRDefault="0052701D" w:rsidP="0052701D">
      <w:pPr>
        <w:spacing w:line="360" w:lineRule="auto"/>
        <w:ind w:left="360" w:hanging="360"/>
        <w:rPr>
          <w:rFonts w:ascii="Arial" w:hAnsi="Arial" w:cs="Arial"/>
          <w:sz w:val="24"/>
          <w:szCs w:val="24"/>
        </w:rPr>
      </w:pPr>
      <w:r>
        <w:rPr>
          <w:rFonts w:ascii="Arial" w:hAnsi="Arial" w:cs="Arial"/>
          <w:sz w:val="24"/>
          <w:szCs w:val="24"/>
        </w:rPr>
        <w:t>20.</w:t>
      </w:r>
      <w:r>
        <w:rPr>
          <w:rFonts w:ascii="Arial" w:hAnsi="Arial" w:cs="Arial"/>
          <w:sz w:val="24"/>
          <w:szCs w:val="24"/>
        </w:rPr>
        <w:tab/>
      </w:r>
      <w:r w:rsidR="00C46DB1" w:rsidRPr="0052701D">
        <w:rPr>
          <w:rFonts w:ascii="Arial" w:hAnsi="Arial" w:cs="Arial"/>
          <w:sz w:val="24"/>
          <w:szCs w:val="24"/>
        </w:rPr>
        <w:t>In the replying affidavit, t</w:t>
      </w:r>
      <w:r w:rsidR="00293479" w:rsidRPr="0052701D">
        <w:rPr>
          <w:rFonts w:ascii="Arial" w:hAnsi="Arial" w:cs="Arial"/>
          <w:sz w:val="24"/>
          <w:szCs w:val="24"/>
        </w:rPr>
        <w:t xml:space="preserve">he appellants explain </w:t>
      </w:r>
      <w:r w:rsidR="00C46DB1" w:rsidRPr="0052701D">
        <w:rPr>
          <w:rFonts w:ascii="Arial" w:hAnsi="Arial" w:cs="Arial"/>
          <w:sz w:val="24"/>
          <w:szCs w:val="24"/>
        </w:rPr>
        <w:t>that</w:t>
      </w:r>
      <w:r w:rsidR="002C7EBA" w:rsidRPr="0052701D">
        <w:rPr>
          <w:rFonts w:ascii="Arial" w:hAnsi="Arial" w:cs="Arial"/>
          <w:sz w:val="24"/>
          <w:szCs w:val="24"/>
        </w:rPr>
        <w:t xml:space="preserve"> on 16 August 2019,</w:t>
      </w:r>
      <w:r w:rsidR="00293479" w:rsidRPr="0052701D">
        <w:rPr>
          <w:rFonts w:ascii="Arial" w:hAnsi="Arial" w:cs="Arial"/>
          <w:sz w:val="24"/>
          <w:szCs w:val="24"/>
        </w:rPr>
        <w:t xml:space="preserve"> their attorneys wrote to the City’s attorneys to explain their concerns. In the letter, the appellants demand</w:t>
      </w:r>
      <w:r w:rsidR="00C46DB1" w:rsidRPr="0052701D">
        <w:rPr>
          <w:rFonts w:ascii="Arial" w:hAnsi="Arial" w:cs="Arial"/>
          <w:sz w:val="24"/>
          <w:szCs w:val="24"/>
        </w:rPr>
        <w:t>ed</w:t>
      </w:r>
      <w:r w:rsidR="00293479" w:rsidRPr="0052701D">
        <w:rPr>
          <w:rFonts w:ascii="Arial" w:hAnsi="Arial" w:cs="Arial"/>
          <w:sz w:val="24"/>
          <w:szCs w:val="24"/>
        </w:rPr>
        <w:t xml:space="preserve"> that the City immediate</w:t>
      </w:r>
      <w:r w:rsidR="002C7EBA" w:rsidRPr="0052701D">
        <w:rPr>
          <w:rFonts w:ascii="Arial" w:hAnsi="Arial" w:cs="Arial"/>
          <w:sz w:val="24"/>
          <w:szCs w:val="24"/>
        </w:rPr>
        <w:t>ly</w:t>
      </w:r>
      <w:r w:rsidR="00293479" w:rsidRPr="0052701D">
        <w:rPr>
          <w:rFonts w:ascii="Arial" w:hAnsi="Arial" w:cs="Arial"/>
          <w:sz w:val="24"/>
          <w:szCs w:val="24"/>
        </w:rPr>
        <w:t xml:space="preserve"> abort the imposition of the EVR and agree to a statement and debatement of each of </w:t>
      </w:r>
      <w:r w:rsidR="00C46DB1" w:rsidRPr="0052701D">
        <w:rPr>
          <w:rFonts w:ascii="Arial" w:hAnsi="Arial" w:cs="Arial"/>
          <w:sz w:val="24"/>
          <w:szCs w:val="24"/>
        </w:rPr>
        <w:t xml:space="preserve">the appellants’ </w:t>
      </w:r>
      <w:r w:rsidR="00293479" w:rsidRPr="0052701D">
        <w:rPr>
          <w:rFonts w:ascii="Arial" w:hAnsi="Arial" w:cs="Arial"/>
          <w:sz w:val="24"/>
          <w:szCs w:val="24"/>
        </w:rPr>
        <w:t xml:space="preserve">accounts. The appellants’ attorneys </w:t>
      </w:r>
      <w:r w:rsidR="00542A8F" w:rsidRPr="0052701D">
        <w:rPr>
          <w:rFonts w:ascii="Arial" w:hAnsi="Arial" w:cs="Arial"/>
          <w:sz w:val="24"/>
          <w:szCs w:val="24"/>
        </w:rPr>
        <w:t xml:space="preserve">indicated </w:t>
      </w:r>
      <w:r w:rsidR="00293479" w:rsidRPr="0052701D">
        <w:rPr>
          <w:rFonts w:ascii="Arial" w:hAnsi="Arial" w:cs="Arial"/>
          <w:sz w:val="24"/>
          <w:szCs w:val="24"/>
        </w:rPr>
        <w:t>that if the City failed to comply with these demands</w:t>
      </w:r>
      <w:r w:rsidR="006434B3" w:rsidRPr="0052701D">
        <w:rPr>
          <w:rFonts w:ascii="Arial" w:hAnsi="Arial" w:cs="Arial"/>
          <w:sz w:val="24"/>
          <w:szCs w:val="24"/>
        </w:rPr>
        <w:t>,</w:t>
      </w:r>
      <w:r w:rsidR="00293479" w:rsidRPr="0052701D">
        <w:rPr>
          <w:rFonts w:ascii="Arial" w:hAnsi="Arial" w:cs="Arial"/>
          <w:sz w:val="24"/>
          <w:szCs w:val="24"/>
        </w:rPr>
        <w:t xml:space="preserve"> </w:t>
      </w:r>
      <w:r w:rsidR="00542A8F" w:rsidRPr="0052701D">
        <w:rPr>
          <w:rFonts w:ascii="Arial" w:hAnsi="Arial" w:cs="Arial"/>
          <w:sz w:val="24"/>
          <w:szCs w:val="24"/>
        </w:rPr>
        <w:t>the appellants</w:t>
      </w:r>
      <w:r w:rsidR="00293479" w:rsidRPr="0052701D">
        <w:rPr>
          <w:rFonts w:ascii="Arial" w:hAnsi="Arial" w:cs="Arial"/>
          <w:sz w:val="24"/>
          <w:szCs w:val="24"/>
        </w:rPr>
        <w:t xml:space="preserve"> would persist with the contempt application and amen</w:t>
      </w:r>
      <w:r w:rsidR="006B6C30" w:rsidRPr="0052701D">
        <w:rPr>
          <w:rFonts w:ascii="Arial" w:hAnsi="Arial" w:cs="Arial"/>
          <w:sz w:val="24"/>
          <w:szCs w:val="24"/>
        </w:rPr>
        <w:t>d</w:t>
      </w:r>
      <w:r w:rsidR="00293479" w:rsidRPr="0052701D">
        <w:rPr>
          <w:rFonts w:ascii="Arial" w:hAnsi="Arial" w:cs="Arial"/>
          <w:sz w:val="24"/>
          <w:szCs w:val="24"/>
        </w:rPr>
        <w:t xml:space="preserve"> the relief </w:t>
      </w:r>
      <w:r w:rsidR="00293479" w:rsidRPr="0052701D">
        <w:rPr>
          <w:rFonts w:ascii="Arial" w:hAnsi="Arial" w:cs="Arial"/>
          <w:sz w:val="24"/>
          <w:szCs w:val="24"/>
        </w:rPr>
        <w:lastRenderedPageBreak/>
        <w:t xml:space="preserve">sought </w:t>
      </w:r>
      <w:r w:rsidR="00C46DB1" w:rsidRPr="0052701D">
        <w:rPr>
          <w:rFonts w:ascii="Arial" w:hAnsi="Arial" w:cs="Arial"/>
          <w:sz w:val="24"/>
          <w:szCs w:val="24"/>
        </w:rPr>
        <w:t xml:space="preserve">so as to include relief to </w:t>
      </w:r>
      <w:r w:rsidR="00293479" w:rsidRPr="0052701D">
        <w:rPr>
          <w:rFonts w:ascii="Arial" w:hAnsi="Arial" w:cs="Arial"/>
          <w:sz w:val="24"/>
          <w:szCs w:val="24"/>
        </w:rPr>
        <w:t>compel the City to participate in a statement and debatement process.</w:t>
      </w:r>
    </w:p>
    <w:p w14:paraId="5EBB67C5" w14:textId="77777777" w:rsidR="006B6C30" w:rsidRDefault="006B6C30" w:rsidP="00CE076A">
      <w:pPr>
        <w:pStyle w:val="ListParagraph"/>
        <w:spacing w:line="360" w:lineRule="auto"/>
        <w:ind w:left="360"/>
        <w:rPr>
          <w:rFonts w:ascii="Arial" w:hAnsi="Arial" w:cs="Arial"/>
          <w:sz w:val="24"/>
          <w:szCs w:val="24"/>
        </w:rPr>
      </w:pPr>
    </w:p>
    <w:p w14:paraId="5688DDE3" w14:textId="0EDDE7BD" w:rsidR="006B6C30" w:rsidRPr="0052701D" w:rsidRDefault="0052701D" w:rsidP="0052701D">
      <w:pPr>
        <w:spacing w:line="360" w:lineRule="auto"/>
        <w:ind w:left="360" w:hanging="360"/>
        <w:rPr>
          <w:rFonts w:ascii="Arial" w:hAnsi="Arial" w:cs="Arial"/>
          <w:sz w:val="24"/>
          <w:szCs w:val="24"/>
        </w:rPr>
      </w:pPr>
      <w:r w:rsidRPr="006B6C30">
        <w:rPr>
          <w:rFonts w:ascii="Arial" w:hAnsi="Arial" w:cs="Arial"/>
          <w:sz w:val="24"/>
          <w:szCs w:val="24"/>
        </w:rPr>
        <w:t>21.</w:t>
      </w:r>
      <w:r w:rsidRPr="006B6C30">
        <w:rPr>
          <w:rFonts w:ascii="Arial" w:hAnsi="Arial" w:cs="Arial"/>
          <w:sz w:val="24"/>
          <w:szCs w:val="24"/>
        </w:rPr>
        <w:tab/>
      </w:r>
      <w:r w:rsidR="00293479" w:rsidRPr="0052701D">
        <w:rPr>
          <w:rFonts w:ascii="Arial" w:hAnsi="Arial" w:cs="Arial"/>
          <w:sz w:val="24"/>
          <w:szCs w:val="24"/>
        </w:rPr>
        <w:t xml:space="preserve">The City responded on 3 September 2019. The City’s attorneys advised that the City was not willing to </w:t>
      </w:r>
      <w:r w:rsidR="003B7D35" w:rsidRPr="0052701D">
        <w:rPr>
          <w:rFonts w:ascii="Arial" w:hAnsi="Arial" w:cs="Arial"/>
          <w:sz w:val="24"/>
          <w:szCs w:val="24"/>
        </w:rPr>
        <w:t>withdraw the EV</w:t>
      </w:r>
      <w:r w:rsidR="00CE076A" w:rsidRPr="0052701D">
        <w:rPr>
          <w:rFonts w:ascii="Arial" w:hAnsi="Arial" w:cs="Arial"/>
          <w:sz w:val="24"/>
          <w:szCs w:val="24"/>
        </w:rPr>
        <w:t>R</w:t>
      </w:r>
      <w:r w:rsidR="00542A8F" w:rsidRPr="0052701D">
        <w:rPr>
          <w:rFonts w:ascii="Arial" w:hAnsi="Arial" w:cs="Arial"/>
          <w:sz w:val="24"/>
          <w:szCs w:val="24"/>
        </w:rPr>
        <w:t>,</w:t>
      </w:r>
      <w:r w:rsidR="003B7D35" w:rsidRPr="0052701D">
        <w:rPr>
          <w:rFonts w:ascii="Arial" w:hAnsi="Arial" w:cs="Arial"/>
          <w:sz w:val="24"/>
          <w:szCs w:val="24"/>
        </w:rPr>
        <w:t xml:space="preserve"> but </w:t>
      </w:r>
      <w:r w:rsidR="00293479" w:rsidRPr="0052701D">
        <w:rPr>
          <w:rFonts w:ascii="Arial" w:hAnsi="Arial" w:cs="Arial"/>
          <w:sz w:val="24"/>
          <w:szCs w:val="24"/>
        </w:rPr>
        <w:t xml:space="preserve">was willing ‘to sit down and debate’ the </w:t>
      </w:r>
      <w:r w:rsidR="003B7D35" w:rsidRPr="0052701D">
        <w:rPr>
          <w:rFonts w:ascii="Arial" w:hAnsi="Arial" w:cs="Arial"/>
          <w:sz w:val="24"/>
          <w:szCs w:val="24"/>
        </w:rPr>
        <w:t>adjustments and credits passed to the accounts</w:t>
      </w:r>
      <w:r w:rsidR="00293479" w:rsidRPr="0052701D">
        <w:rPr>
          <w:rFonts w:ascii="Arial" w:hAnsi="Arial" w:cs="Arial"/>
          <w:sz w:val="24"/>
          <w:szCs w:val="24"/>
        </w:rPr>
        <w:t xml:space="preserve"> by way of a meeting </w:t>
      </w:r>
      <w:r w:rsidR="006434B3" w:rsidRPr="0052701D">
        <w:rPr>
          <w:rFonts w:ascii="Arial" w:hAnsi="Arial" w:cs="Arial"/>
          <w:sz w:val="24"/>
          <w:szCs w:val="24"/>
        </w:rPr>
        <w:t>“</w:t>
      </w:r>
      <w:r w:rsidR="00293479" w:rsidRPr="0052701D">
        <w:rPr>
          <w:rFonts w:ascii="Arial" w:hAnsi="Arial" w:cs="Arial"/>
          <w:sz w:val="24"/>
          <w:szCs w:val="24"/>
        </w:rPr>
        <w:t>as they are eager to find a final solution to the ongoing litigation</w:t>
      </w:r>
      <w:r w:rsidR="006434B3" w:rsidRPr="0052701D">
        <w:rPr>
          <w:rFonts w:ascii="Arial" w:hAnsi="Arial" w:cs="Arial"/>
          <w:sz w:val="24"/>
          <w:szCs w:val="24"/>
        </w:rPr>
        <w:t>”</w:t>
      </w:r>
      <w:r w:rsidR="003B7D35" w:rsidRPr="0052701D">
        <w:rPr>
          <w:rFonts w:ascii="Arial" w:hAnsi="Arial" w:cs="Arial"/>
          <w:sz w:val="24"/>
          <w:szCs w:val="24"/>
        </w:rPr>
        <w:t>.</w:t>
      </w:r>
    </w:p>
    <w:p w14:paraId="5BB527D4" w14:textId="77777777" w:rsidR="006B6C30" w:rsidRDefault="006B6C30" w:rsidP="00CE076A">
      <w:pPr>
        <w:pStyle w:val="ListParagraph"/>
        <w:spacing w:line="360" w:lineRule="auto"/>
        <w:ind w:left="360"/>
        <w:rPr>
          <w:rFonts w:ascii="Arial" w:hAnsi="Arial" w:cs="Arial"/>
          <w:sz w:val="24"/>
          <w:szCs w:val="24"/>
        </w:rPr>
      </w:pPr>
    </w:p>
    <w:p w14:paraId="4FC5CC1A" w14:textId="4498CE5F" w:rsidR="006B6C30" w:rsidRPr="0052701D" w:rsidRDefault="0052701D" w:rsidP="0052701D">
      <w:pPr>
        <w:spacing w:line="360" w:lineRule="auto"/>
        <w:ind w:left="360" w:hanging="360"/>
        <w:rPr>
          <w:rFonts w:ascii="Arial" w:hAnsi="Arial" w:cs="Arial"/>
          <w:sz w:val="24"/>
          <w:szCs w:val="24"/>
        </w:rPr>
      </w:pPr>
      <w:r w:rsidRPr="006B6C30">
        <w:rPr>
          <w:rFonts w:ascii="Arial" w:hAnsi="Arial" w:cs="Arial"/>
          <w:sz w:val="24"/>
          <w:szCs w:val="24"/>
        </w:rPr>
        <w:t>22.</w:t>
      </w:r>
      <w:r w:rsidRPr="006B6C30">
        <w:rPr>
          <w:rFonts w:ascii="Arial" w:hAnsi="Arial" w:cs="Arial"/>
          <w:sz w:val="24"/>
          <w:szCs w:val="24"/>
        </w:rPr>
        <w:tab/>
      </w:r>
      <w:r w:rsidR="003B7D35" w:rsidRPr="0052701D">
        <w:rPr>
          <w:rFonts w:ascii="Arial" w:hAnsi="Arial" w:cs="Arial"/>
          <w:sz w:val="24"/>
          <w:szCs w:val="24"/>
        </w:rPr>
        <w:t>On 13 September 2019, the appellants</w:t>
      </w:r>
      <w:r w:rsidR="00293479" w:rsidRPr="0052701D">
        <w:rPr>
          <w:rFonts w:ascii="Arial" w:hAnsi="Arial" w:cs="Arial"/>
          <w:sz w:val="24"/>
          <w:szCs w:val="24"/>
        </w:rPr>
        <w:t>’ attorneys responded. The appellants</w:t>
      </w:r>
      <w:r w:rsidR="003B7D35" w:rsidRPr="0052701D">
        <w:rPr>
          <w:rFonts w:ascii="Arial" w:hAnsi="Arial" w:cs="Arial"/>
          <w:sz w:val="24"/>
          <w:szCs w:val="24"/>
        </w:rPr>
        <w:t xml:space="preserve"> </w:t>
      </w:r>
      <w:r w:rsidR="00293479" w:rsidRPr="0052701D">
        <w:rPr>
          <w:rFonts w:ascii="Arial" w:hAnsi="Arial" w:cs="Arial"/>
          <w:sz w:val="24"/>
          <w:szCs w:val="24"/>
        </w:rPr>
        <w:t>persisted in disputing the City’s entitlement to impose the EVR and advised that while they would welcome an opportunity to debate the complaints regarding the adjustments and credits, no meaningful engagement could ensue until the City first provided the necessary details or substantiation to explain the City’s quantifi</w:t>
      </w:r>
      <w:r w:rsidR="0000125E" w:rsidRPr="0052701D">
        <w:rPr>
          <w:rFonts w:ascii="Arial" w:hAnsi="Arial" w:cs="Arial"/>
          <w:sz w:val="24"/>
          <w:szCs w:val="24"/>
        </w:rPr>
        <w:t>cation of the credited amounts.</w:t>
      </w:r>
      <w:r w:rsidR="006434B3" w:rsidRPr="0052701D">
        <w:rPr>
          <w:rFonts w:ascii="Arial" w:hAnsi="Arial" w:cs="Arial"/>
          <w:sz w:val="24"/>
          <w:szCs w:val="24"/>
        </w:rPr>
        <w:t xml:space="preserve"> </w:t>
      </w:r>
      <w:r w:rsidR="0000125E" w:rsidRPr="0052701D">
        <w:rPr>
          <w:rFonts w:ascii="Arial" w:hAnsi="Arial" w:cs="Arial"/>
          <w:sz w:val="24"/>
          <w:szCs w:val="24"/>
        </w:rPr>
        <w:t xml:space="preserve">The appellants relied for their entitlement to this information on, </w:t>
      </w:r>
      <w:r w:rsidR="00C46DB1" w:rsidRPr="0052701D">
        <w:rPr>
          <w:rFonts w:ascii="Arial" w:hAnsi="Arial" w:cs="Arial"/>
          <w:sz w:val="24"/>
          <w:szCs w:val="24"/>
        </w:rPr>
        <w:t>centrally</w:t>
      </w:r>
      <w:r w:rsidR="0000125E" w:rsidRPr="0052701D">
        <w:rPr>
          <w:rFonts w:ascii="Arial" w:hAnsi="Arial" w:cs="Arial"/>
          <w:sz w:val="24"/>
          <w:szCs w:val="24"/>
        </w:rPr>
        <w:t xml:space="preserve">, </w:t>
      </w:r>
      <w:r w:rsidR="003B7D35" w:rsidRPr="0052701D">
        <w:rPr>
          <w:rFonts w:ascii="Arial" w:hAnsi="Arial" w:cs="Arial"/>
          <w:sz w:val="24"/>
          <w:szCs w:val="24"/>
        </w:rPr>
        <w:t xml:space="preserve">section 27(1)(c) of the </w:t>
      </w:r>
      <w:r w:rsidR="0000125E" w:rsidRPr="0052701D">
        <w:rPr>
          <w:rFonts w:ascii="Arial" w:hAnsi="Arial" w:cs="Arial"/>
          <w:sz w:val="24"/>
          <w:szCs w:val="24"/>
        </w:rPr>
        <w:t>Rates Act. The City was informed that if it did not agree to this, the relief would be amended to compel compliance with the obligations in section 27(1)(c) of the Rates Act for purposes of participation in the statement and debatement process.</w:t>
      </w:r>
    </w:p>
    <w:p w14:paraId="7233E459" w14:textId="77777777" w:rsidR="006B6C30" w:rsidRDefault="006B6C30" w:rsidP="00CE076A">
      <w:pPr>
        <w:pStyle w:val="ListParagraph"/>
        <w:spacing w:line="360" w:lineRule="auto"/>
        <w:ind w:left="360"/>
        <w:rPr>
          <w:rFonts w:ascii="Arial" w:hAnsi="Arial" w:cs="Arial"/>
          <w:sz w:val="24"/>
          <w:szCs w:val="24"/>
        </w:rPr>
      </w:pPr>
    </w:p>
    <w:p w14:paraId="4BCC218B" w14:textId="6FEA2892" w:rsidR="0000125E" w:rsidRPr="0052701D" w:rsidRDefault="0052701D" w:rsidP="0052701D">
      <w:pPr>
        <w:spacing w:line="360" w:lineRule="auto"/>
        <w:ind w:left="360" w:hanging="360"/>
        <w:rPr>
          <w:rFonts w:ascii="Arial" w:hAnsi="Arial" w:cs="Arial"/>
          <w:sz w:val="24"/>
          <w:szCs w:val="24"/>
        </w:rPr>
      </w:pPr>
      <w:r>
        <w:rPr>
          <w:rFonts w:ascii="Arial" w:hAnsi="Arial" w:cs="Arial"/>
          <w:sz w:val="24"/>
          <w:szCs w:val="24"/>
        </w:rPr>
        <w:t>23.</w:t>
      </w:r>
      <w:r>
        <w:rPr>
          <w:rFonts w:ascii="Arial" w:hAnsi="Arial" w:cs="Arial"/>
          <w:sz w:val="24"/>
          <w:szCs w:val="24"/>
        </w:rPr>
        <w:tab/>
      </w:r>
      <w:r w:rsidR="0000125E" w:rsidRPr="0052701D">
        <w:rPr>
          <w:rFonts w:ascii="Arial" w:hAnsi="Arial" w:cs="Arial"/>
          <w:sz w:val="24"/>
          <w:szCs w:val="24"/>
        </w:rPr>
        <w:t>The City did not respond and did not provide the details. The first appellant</w:t>
      </w:r>
      <w:r w:rsidR="00542A8F" w:rsidRPr="0052701D">
        <w:rPr>
          <w:rFonts w:ascii="Arial" w:hAnsi="Arial" w:cs="Arial"/>
          <w:sz w:val="24"/>
          <w:szCs w:val="24"/>
        </w:rPr>
        <w:t>, Lombardy,</w:t>
      </w:r>
      <w:r w:rsidR="0000125E" w:rsidRPr="0052701D">
        <w:rPr>
          <w:rFonts w:ascii="Arial" w:hAnsi="Arial" w:cs="Arial"/>
          <w:sz w:val="24"/>
          <w:szCs w:val="24"/>
        </w:rPr>
        <w:t xml:space="preserve"> then commissioned Adams and Adams Forensics</w:t>
      </w:r>
      <w:r w:rsidR="006B6C30" w:rsidRPr="0052701D">
        <w:rPr>
          <w:rFonts w:ascii="Arial" w:hAnsi="Arial" w:cs="Arial"/>
          <w:sz w:val="24"/>
          <w:szCs w:val="24"/>
        </w:rPr>
        <w:t xml:space="preserve"> </w:t>
      </w:r>
      <w:r w:rsidR="0000125E" w:rsidRPr="0052701D">
        <w:rPr>
          <w:rFonts w:ascii="Arial" w:hAnsi="Arial" w:cs="Arial"/>
          <w:sz w:val="24"/>
          <w:szCs w:val="24"/>
        </w:rPr>
        <w:t>to prepare a comparison of what was charged and what should have been charged in respect of its properties, which amount to some 100 properties during the relevant period. The following was established for the period July 2011 to September 2019</w:t>
      </w:r>
      <w:r w:rsidR="006434B3" w:rsidRPr="0052701D">
        <w:rPr>
          <w:rFonts w:ascii="Arial" w:hAnsi="Arial" w:cs="Arial"/>
          <w:sz w:val="24"/>
          <w:szCs w:val="24"/>
        </w:rPr>
        <w:t>:</w:t>
      </w:r>
    </w:p>
    <w:p w14:paraId="712FAB08" w14:textId="77777777" w:rsidR="00FB4590" w:rsidRPr="00CE076A" w:rsidRDefault="00FB4590" w:rsidP="00CE076A">
      <w:pPr>
        <w:spacing w:line="360" w:lineRule="auto"/>
        <w:rPr>
          <w:rFonts w:ascii="Arial" w:hAnsi="Arial" w:cs="Arial"/>
          <w:sz w:val="24"/>
          <w:szCs w:val="24"/>
        </w:rPr>
      </w:pPr>
    </w:p>
    <w:p w14:paraId="6146A160" w14:textId="3D76D26A" w:rsidR="009275FE" w:rsidRPr="0052701D" w:rsidRDefault="0052701D" w:rsidP="0052701D">
      <w:pPr>
        <w:spacing w:line="360" w:lineRule="auto"/>
        <w:ind w:left="792" w:hanging="432"/>
        <w:rPr>
          <w:rFonts w:ascii="Arial" w:hAnsi="Arial" w:cs="Arial"/>
          <w:sz w:val="24"/>
          <w:szCs w:val="24"/>
        </w:rPr>
      </w:pPr>
      <w:r w:rsidRPr="00CE076A">
        <w:rPr>
          <w:rFonts w:ascii="Arial" w:hAnsi="Arial" w:cs="Arial"/>
          <w:sz w:val="24"/>
          <w:szCs w:val="24"/>
        </w:rPr>
        <w:t>23.1.</w:t>
      </w:r>
      <w:r w:rsidRPr="00CE076A">
        <w:rPr>
          <w:rFonts w:ascii="Arial" w:hAnsi="Arial" w:cs="Arial"/>
          <w:sz w:val="24"/>
          <w:szCs w:val="24"/>
        </w:rPr>
        <w:tab/>
      </w:r>
      <w:r w:rsidR="0000125E" w:rsidRPr="0052701D">
        <w:rPr>
          <w:rFonts w:ascii="Arial" w:hAnsi="Arial" w:cs="Arial"/>
          <w:sz w:val="24"/>
          <w:szCs w:val="24"/>
        </w:rPr>
        <w:t>An amount of R27 443 522.76 was charged for property rates;</w:t>
      </w:r>
    </w:p>
    <w:p w14:paraId="2FD0E9FC" w14:textId="195E12A2" w:rsidR="0000125E" w:rsidRPr="0052701D" w:rsidRDefault="0052701D" w:rsidP="0052701D">
      <w:pPr>
        <w:spacing w:line="360" w:lineRule="auto"/>
        <w:ind w:left="1418" w:hanging="1058"/>
        <w:rPr>
          <w:rFonts w:ascii="Arial" w:hAnsi="Arial" w:cs="Arial"/>
          <w:sz w:val="24"/>
          <w:szCs w:val="24"/>
        </w:rPr>
      </w:pPr>
      <w:r>
        <w:rPr>
          <w:rFonts w:ascii="Arial" w:hAnsi="Arial" w:cs="Arial"/>
          <w:sz w:val="24"/>
          <w:szCs w:val="24"/>
        </w:rPr>
        <w:t>23.2.</w:t>
      </w:r>
      <w:r>
        <w:rPr>
          <w:rFonts w:ascii="Arial" w:hAnsi="Arial" w:cs="Arial"/>
          <w:sz w:val="24"/>
          <w:szCs w:val="24"/>
        </w:rPr>
        <w:tab/>
      </w:r>
      <w:r w:rsidR="0000125E" w:rsidRPr="0052701D">
        <w:rPr>
          <w:rFonts w:ascii="Arial" w:hAnsi="Arial" w:cs="Arial"/>
          <w:sz w:val="24"/>
          <w:szCs w:val="24"/>
        </w:rPr>
        <w:t>An amount of R4</w:t>
      </w:r>
      <w:r w:rsidR="002C7EBA" w:rsidRPr="0052701D">
        <w:rPr>
          <w:rFonts w:ascii="Arial" w:hAnsi="Arial" w:cs="Arial"/>
          <w:sz w:val="24"/>
          <w:szCs w:val="24"/>
        </w:rPr>
        <w:t> </w:t>
      </w:r>
      <w:r w:rsidR="0000125E" w:rsidRPr="0052701D">
        <w:rPr>
          <w:rFonts w:ascii="Arial" w:hAnsi="Arial" w:cs="Arial"/>
          <w:sz w:val="24"/>
          <w:szCs w:val="24"/>
        </w:rPr>
        <w:t>799</w:t>
      </w:r>
      <w:r w:rsidR="002C7EBA" w:rsidRPr="0052701D">
        <w:rPr>
          <w:rFonts w:ascii="Arial" w:hAnsi="Arial" w:cs="Arial"/>
          <w:sz w:val="24"/>
          <w:szCs w:val="24"/>
        </w:rPr>
        <w:t xml:space="preserve"> 894.10 was charge</w:t>
      </w:r>
      <w:r w:rsidR="0000125E" w:rsidRPr="0052701D">
        <w:rPr>
          <w:rFonts w:ascii="Arial" w:hAnsi="Arial" w:cs="Arial"/>
          <w:sz w:val="24"/>
          <w:szCs w:val="24"/>
        </w:rPr>
        <w:t>d for property rates adjustments resulting from the retrospective imposition of vacant property rates from July 2011 to June 2013;</w:t>
      </w:r>
    </w:p>
    <w:p w14:paraId="7CAD4335" w14:textId="76BB813C" w:rsidR="0000125E" w:rsidRPr="0052701D" w:rsidRDefault="0052701D" w:rsidP="0052701D">
      <w:pPr>
        <w:spacing w:line="360" w:lineRule="auto"/>
        <w:ind w:left="1418" w:hanging="1058"/>
        <w:rPr>
          <w:rFonts w:ascii="Arial" w:hAnsi="Arial" w:cs="Arial"/>
          <w:sz w:val="24"/>
          <w:szCs w:val="24"/>
        </w:rPr>
      </w:pPr>
      <w:r>
        <w:rPr>
          <w:rFonts w:ascii="Arial" w:hAnsi="Arial" w:cs="Arial"/>
          <w:sz w:val="24"/>
          <w:szCs w:val="24"/>
        </w:rPr>
        <w:t>23.3.</w:t>
      </w:r>
      <w:r>
        <w:rPr>
          <w:rFonts w:ascii="Arial" w:hAnsi="Arial" w:cs="Arial"/>
          <w:sz w:val="24"/>
          <w:szCs w:val="24"/>
        </w:rPr>
        <w:tab/>
      </w:r>
      <w:r w:rsidR="0000125E" w:rsidRPr="0052701D">
        <w:rPr>
          <w:rFonts w:ascii="Arial" w:hAnsi="Arial" w:cs="Arial"/>
          <w:sz w:val="24"/>
          <w:szCs w:val="24"/>
        </w:rPr>
        <w:t>The total amount charged for property rates for the period July 2011 to September 2019 and the retrospective adjustments was therefore R32 243 416.86.</w:t>
      </w:r>
    </w:p>
    <w:p w14:paraId="1DF84037" w14:textId="1F3A7C14" w:rsidR="0000125E" w:rsidRPr="0052701D" w:rsidRDefault="0052701D" w:rsidP="0052701D">
      <w:pPr>
        <w:spacing w:line="360" w:lineRule="auto"/>
        <w:ind w:left="1418" w:hanging="1058"/>
        <w:rPr>
          <w:rFonts w:ascii="Arial" w:hAnsi="Arial" w:cs="Arial"/>
          <w:sz w:val="24"/>
          <w:szCs w:val="24"/>
        </w:rPr>
      </w:pPr>
      <w:r>
        <w:rPr>
          <w:rFonts w:ascii="Arial" w:hAnsi="Arial" w:cs="Arial"/>
          <w:sz w:val="24"/>
          <w:szCs w:val="24"/>
        </w:rPr>
        <w:lastRenderedPageBreak/>
        <w:t>23.4.</w:t>
      </w:r>
      <w:r>
        <w:rPr>
          <w:rFonts w:ascii="Arial" w:hAnsi="Arial" w:cs="Arial"/>
          <w:sz w:val="24"/>
          <w:szCs w:val="24"/>
        </w:rPr>
        <w:tab/>
      </w:r>
      <w:r w:rsidR="0000125E" w:rsidRPr="0052701D">
        <w:rPr>
          <w:rFonts w:ascii="Arial" w:hAnsi="Arial" w:cs="Arial"/>
          <w:sz w:val="24"/>
          <w:szCs w:val="24"/>
        </w:rPr>
        <w:t>The City was only entitled to charge a total amount of R4 839 413.55 for property rates for the period July 2011 to September 2019 with the result that the first appellant was overcharged R27 404 003.31 in respect of rates alone.</w:t>
      </w:r>
    </w:p>
    <w:p w14:paraId="57C4507A" w14:textId="7DFD078C" w:rsidR="0000125E" w:rsidRPr="0052701D" w:rsidRDefault="0052701D" w:rsidP="0052701D">
      <w:pPr>
        <w:spacing w:line="360" w:lineRule="auto"/>
        <w:ind w:left="1418" w:hanging="1058"/>
        <w:rPr>
          <w:rFonts w:ascii="Arial" w:hAnsi="Arial" w:cs="Arial"/>
          <w:sz w:val="24"/>
          <w:szCs w:val="24"/>
        </w:rPr>
      </w:pPr>
      <w:r>
        <w:rPr>
          <w:rFonts w:ascii="Arial" w:hAnsi="Arial" w:cs="Arial"/>
          <w:sz w:val="24"/>
          <w:szCs w:val="24"/>
        </w:rPr>
        <w:t>23.5.</w:t>
      </w:r>
      <w:r>
        <w:rPr>
          <w:rFonts w:ascii="Arial" w:hAnsi="Arial" w:cs="Arial"/>
          <w:sz w:val="24"/>
          <w:szCs w:val="24"/>
        </w:rPr>
        <w:tab/>
      </w:r>
      <w:r w:rsidR="002C7EBA" w:rsidRPr="0052701D">
        <w:rPr>
          <w:rFonts w:ascii="Arial" w:hAnsi="Arial" w:cs="Arial"/>
          <w:sz w:val="24"/>
          <w:szCs w:val="24"/>
        </w:rPr>
        <w:t>The first appellant is</w:t>
      </w:r>
      <w:r w:rsidR="0000125E" w:rsidRPr="0052701D">
        <w:rPr>
          <w:rFonts w:ascii="Arial" w:hAnsi="Arial" w:cs="Arial"/>
          <w:sz w:val="24"/>
          <w:szCs w:val="24"/>
        </w:rPr>
        <w:t xml:space="preserve"> entitled to an amount of R5 847 520.87 as repayment of interest. </w:t>
      </w:r>
    </w:p>
    <w:p w14:paraId="215031A3" w14:textId="2C22F53D" w:rsidR="00DD16B0" w:rsidRPr="0052701D" w:rsidRDefault="0052701D" w:rsidP="0052701D">
      <w:pPr>
        <w:spacing w:line="360" w:lineRule="auto"/>
        <w:ind w:left="1418" w:hanging="1058"/>
        <w:rPr>
          <w:rFonts w:ascii="Arial" w:hAnsi="Arial" w:cs="Arial"/>
          <w:sz w:val="24"/>
          <w:szCs w:val="24"/>
        </w:rPr>
      </w:pPr>
      <w:r w:rsidRPr="00DD16B0">
        <w:rPr>
          <w:rFonts w:ascii="Arial" w:hAnsi="Arial" w:cs="Arial"/>
          <w:sz w:val="24"/>
          <w:szCs w:val="24"/>
        </w:rPr>
        <w:t>23.6.</w:t>
      </w:r>
      <w:r w:rsidRPr="00DD16B0">
        <w:rPr>
          <w:rFonts w:ascii="Arial" w:hAnsi="Arial" w:cs="Arial"/>
          <w:sz w:val="24"/>
          <w:szCs w:val="24"/>
        </w:rPr>
        <w:tab/>
      </w:r>
      <w:r w:rsidR="00DD16B0" w:rsidRPr="0052701D">
        <w:rPr>
          <w:rFonts w:ascii="Arial" w:hAnsi="Arial" w:cs="Arial"/>
          <w:sz w:val="24"/>
          <w:szCs w:val="24"/>
        </w:rPr>
        <w:t>The City has only credited the properties with a total net credit amount of R1 036 373.42 for the period July 2013 to September 2019 with the result that an amount of R26 367 629.89 remains owning.</w:t>
      </w:r>
    </w:p>
    <w:p w14:paraId="1C8D0179" w14:textId="412B24FA" w:rsidR="00DD16B0" w:rsidRDefault="00DD16B0" w:rsidP="00CE076A">
      <w:pPr>
        <w:pStyle w:val="ListParagraph"/>
        <w:spacing w:line="360" w:lineRule="auto"/>
        <w:ind w:left="792"/>
        <w:rPr>
          <w:rFonts w:ascii="Arial" w:hAnsi="Arial" w:cs="Arial"/>
          <w:sz w:val="24"/>
          <w:szCs w:val="24"/>
        </w:rPr>
      </w:pPr>
    </w:p>
    <w:p w14:paraId="687E4ED4" w14:textId="75B999CE" w:rsidR="00FB4590" w:rsidRPr="0052701D" w:rsidRDefault="0052701D" w:rsidP="0052701D">
      <w:pPr>
        <w:spacing w:line="360" w:lineRule="auto"/>
        <w:ind w:left="360" w:hanging="360"/>
        <w:rPr>
          <w:rFonts w:ascii="Arial" w:hAnsi="Arial" w:cs="Arial"/>
          <w:sz w:val="24"/>
          <w:szCs w:val="24"/>
        </w:rPr>
      </w:pPr>
      <w:r>
        <w:rPr>
          <w:rFonts w:ascii="Arial" w:hAnsi="Arial" w:cs="Arial"/>
          <w:sz w:val="24"/>
          <w:szCs w:val="24"/>
        </w:rPr>
        <w:t>24.</w:t>
      </w:r>
      <w:r>
        <w:rPr>
          <w:rFonts w:ascii="Arial" w:hAnsi="Arial" w:cs="Arial"/>
          <w:sz w:val="24"/>
          <w:szCs w:val="24"/>
        </w:rPr>
        <w:tab/>
      </w:r>
      <w:r w:rsidR="00DD16B0" w:rsidRPr="0052701D">
        <w:rPr>
          <w:rFonts w:ascii="Arial" w:hAnsi="Arial" w:cs="Arial"/>
          <w:sz w:val="24"/>
          <w:szCs w:val="24"/>
        </w:rPr>
        <w:t>A calculation was also done for the more limited period of July 2011 to June</w:t>
      </w:r>
      <w:r w:rsidR="002C7EBA" w:rsidRPr="0052701D">
        <w:rPr>
          <w:rFonts w:ascii="Arial" w:hAnsi="Arial" w:cs="Arial"/>
          <w:sz w:val="24"/>
          <w:szCs w:val="24"/>
        </w:rPr>
        <w:t xml:space="preserve"> 2013</w:t>
      </w:r>
      <w:r w:rsidR="00DD16B0" w:rsidRPr="0052701D">
        <w:rPr>
          <w:rFonts w:ascii="Arial" w:hAnsi="Arial" w:cs="Arial"/>
          <w:sz w:val="24"/>
          <w:szCs w:val="24"/>
        </w:rPr>
        <w:t xml:space="preserve">, in other words the period before the EVR purportedly takes effect. Even in respect of this limited period, the appellants explained that an additional amount of R9 121 967.15 should be credited to </w:t>
      </w:r>
      <w:r w:rsidR="00542A8F" w:rsidRPr="0052701D">
        <w:rPr>
          <w:rFonts w:ascii="Arial" w:hAnsi="Arial" w:cs="Arial"/>
          <w:sz w:val="24"/>
          <w:szCs w:val="24"/>
        </w:rPr>
        <w:t>Lombardy</w:t>
      </w:r>
      <w:r w:rsidR="00DD16B0" w:rsidRPr="0052701D">
        <w:rPr>
          <w:rFonts w:ascii="Arial" w:hAnsi="Arial" w:cs="Arial"/>
          <w:sz w:val="24"/>
          <w:szCs w:val="24"/>
        </w:rPr>
        <w:t>.</w:t>
      </w:r>
    </w:p>
    <w:p w14:paraId="50A30CFB" w14:textId="77777777" w:rsidR="002C7EBA" w:rsidRDefault="002C7EBA" w:rsidP="00CE076A">
      <w:pPr>
        <w:pStyle w:val="ListParagraph"/>
        <w:spacing w:line="360" w:lineRule="auto"/>
        <w:ind w:left="360"/>
        <w:rPr>
          <w:rFonts w:ascii="Arial" w:hAnsi="Arial" w:cs="Arial"/>
          <w:sz w:val="24"/>
          <w:szCs w:val="24"/>
        </w:rPr>
      </w:pPr>
    </w:p>
    <w:p w14:paraId="1A35DD97" w14:textId="0D6AFA65" w:rsidR="00DD16B0" w:rsidRPr="0052701D" w:rsidRDefault="0052701D" w:rsidP="0052701D">
      <w:pPr>
        <w:spacing w:line="360" w:lineRule="auto"/>
        <w:ind w:left="360" w:hanging="360"/>
        <w:rPr>
          <w:rFonts w:ascii="Arial" w:hAnsi="Arial" w:cs="Arial"/>
          <w:sz w:val="24"/>
          <w:szCs w:val="24"/>
        </w:rPr>
      </w:pPr>
      <w:r>
        <w:rPr>
          <w:rFonts w:ascii="Arial" w:hAnsi="Arial" w:cs="Arial"/>
          <w:sz w:val="24"/>
          <w:szCs w:val="24"/>
        </w:rPr>
        <w:t>25.</w:t>
      </w:r>
      <w:r>
        <w:rPr>
          <w:rFonts w:ascii="Arial" w:hAnsi="Arial" w:cs="Arial"/>
          <w:sz w:val="24"/>
          <w:szCs w:val="24"/>
        </w:rPr>
        <w:tab/>
      </w:r>
      <w:r w:rsidR="00FB4590" w:rsidRPr="0052701D">
        <w:rPr>
          <w:rFonts w:ascii="Arial" w:hAnsi="Arial" w:cs="Arial"/>
          <w:sz w:val="24"/>
          <w:szCs w:val="24"/>
        </w:rPr>
        <w:t>The calculations were done by a Prof Johannes Daniel van Romburgh of Adams &amp; Adams Forensics with the assistance of forensic accountant Annerie Marx, also of Adams &amp; Adams Forensics. Prof van Romburgh deposed to a confirmatory affidavit dated 6 January 2020</w:t>
      </w:r>
      <w:r w:rsidR="002C7EBA" w:rsidRPr="0052701D">
        <w:rPr>
          <w:rFonts w:ascii="Arial" w:hAnsi="Arial" w:cs="Arial"/>
          <w:sz w:val="24"/>
          <w:szCs w:val="24"/>
        </w:rPr>
        <w:t xml:space="preserve"> confirming the affidavit of Mr Nassir</w:t>
      </w:r>
      <w:r w:rsidR="00FB4590" w:rsidRPr="0052701D">
        <w:rPr>
          <w:rFonts w:ascii="Arial" w:hAnsi="Arial" w:cs="Arial"/>
          <w:sz w:val="24"/>
          <w:szCs w:val="24"/>
        </w:rPr>
        <w:t>.</w:t>
      </w:r>
    </w:p>
    <w:p w14:paraId="1F82AC9E" w14:textId="77777777" w:rsidR="00DD16B0" w:rsidRDefault="00DD16B0" w:rsidP="00CE076A">
      <w:pPr>
        <w:pStyle w:val="ListParagraph"/>
        <w:spacing w:line="360" w:lineRule="auto"/>
        <w:ind w:left="360"/>
        <w:rPr>
          <w:rFonts w:ascii="Arial" w:hAnsi="Arial" w:cs="Arial"/>
          <w:sz w:val="24"/>
          <w:szCs w:val="24"/>
        </w:rPr>
      </w:pPr>
    </w:p>
    <w:p w14:paraId="7324FD2A" w14:textId="640506E4" w:rsidR="00DD16B0" w:rsidRPr="0052701D" w:rsidRDefault="0052701D" w:rsidP="0052701D">
      <w:pPr>
        <w:spacing w:line="360" w:lineRule="auto"/>
        <w:ind w:left="360" w:hanging="360"/>
        <w:rPr>
          <w:rFonts w:ascii="Arial" w:hAnsi="Arial" w:cs="Arial"/>
          <w:sz w:val="24"/>
          <w:szCs w:val="24"/>
        </w:rPr>
      </w:pPr>
      <w:r w:rsidRPr="00DD16B0">
        <w:rPr>
          <w:rFonts w:ascii="Arial" w:hAnsi="Arial" w:cs="Arial"/>
          <w:sz w:val="24"/>
          <w:szCs w:val="24"/>
        </w:rPr>
        <w:t>26.</w:t>
      </w:r>
      <w:r w:rsidRPr="00DD16B0">
        <w:rPr>
          <w:rFonts w:ascii="Arial" w:hAnsi="Arial" w:cs="Arial"/>
          <w:sz w:val="24"/>
          <w:szCs w:val="24"/>
        </w:rPr>
        <w:tab/>
      </w:r>
      <w:r w:rsidR="00DD16B0" w:rsidRPr="0052701D">
        <w:rPr>
          <w:rFonts w:ascii="Arial" w:hAnsi="Arial" w:cs="Arial"/>
          <w:sz w:val="24"/>
          <w:szCs w:val="24"/>
        </w:rPr>
        <w:t>The appellants contend</w:t>
      </w:r>
      <w:r w:rsidR="002C7EBA" w:rsidRPr="0052701D">
        <w:rPr>
          <w:rFonts w:ascii="Arial" w:hAnsi="Arial" w:cs="Arial"/>
          <w:sz w:val="24"/>
          <w:szCs w:val="24"/>
        </w:rPr>
        <w:t xml:space="preserve">ed that they had now </w:t>
      </w:r>
      <w:r w:rsidR="00DD16B0" w:rsidRPr="0052701D">
        <w:rPr>
          <w:rFonts w:ascii="Arial" w:hAnsi="Arial" w:cs="Arial"/>
          <w:sz w:val="24"/>
          <w:szCs w:val="24"/>
        </w:rPr>
        <w:t>establish</w:t>
      </w:r>
      <w:r w:rsidR="002C7EBA" w:rsidRPr="0052701D">
        <w:rPr>
          <w:rFonts w:ascii="Arial" w:hAnsi="Arial" w:cs="Arial"/>
          <w:sz w:val="24"/>
          <w:szCs w:val="24"/>
        </w:rPr>
        <w:t>ed</w:t>
      </w:r>
      <w:r w:rsidR="00DD16B0" w:rsidRPr="0052701D">
        <w:rPr>
          <w:rFonts w:ascii="Arial" w:hAnsi="Arial" w:cs="Arial"/>
          <w:sz w:val="24"/>
          <w:szCs w:val="24"/>
        </w:rPr>
        <w:t xml:space="preserve"> the requirements for a statement and debatement of account in that the appellants are entitle</w:t>
      </w:r>
      <w:r w:rsidR="002C7EBA" w:rsidRPr="0052701D">
        <w:rPr>
          <w:rFonts w:ascii="Arial" w:hAnsi="Arial" w:cs="Arial"/>
          <w:sz w:val="24"/>
          <w:szCs w:val="24"/>
        </w:rPr>
        <w:t>d</w:t>
      </w:r>
      <w:r w:rsidR="00DD16B0" w:rsidRPr="0052701D">
        <w:rPr>
          <w:rFonts w:ascii="Arial" w:hAnsi="Arial" w:cs="Arial"/>
          <w:sz w:val="24"/>
          <w:szCs w:val="24"/>
        </w:rPr>
        <w:t xml:space="preserve"> to receive accounts in terms of section 27 o</w:t>
      </w:r>
      <w:r w:rsidR="00704BAA" w:rsidRPr="0052701D">
        <w:rPr>
          <w:rFonts w:ascii="Arial" w:hAnsi="Arial" w:cs="Arial"/>
          <w:sz w:val="24"/>
          <w:szCs w:val="24"/>
        </w:rPr>
        <w:t>f the Rates Act and the City had</w:t>
      </w:r>
      <w:r w:rsidR="00DD16B0" w:rsidRPr="0052701D">
        <w:rPr>
          <w:rFonts w:ascii="Arial" w:hAnsi="Arial" w:cs="Arial"/>
          <w:sz w:val="24"/>
          <w:szCs w:val="24"/>
        </w:rPr>
        <w:t xml:space="preserve"> failed</w:t>
      </w:r>
      <w:r w:rsidR="00191601" w:rsidRPr="0052701D">
        <w:rPr>
          <w:rFonts w:ascii="Arial" w:hAnsi="Arial" w:cs="Arial"/>
          <w:sz w:val="24"/>
          <w:szCs w:val="24"/>
        </w:rPr>
        <w:t>,</w:t>
      </w:r>
      <w:r w:rsidR="00DD16B0" w:rsidRPr="0052701D">
        <w:rPr>
          <w:rFonts w:ascii="Arial" w:hAnsi="Arial" w:cs="Arial"/>
          <w:sz w:val="24"/>
          <w:szCs w:val="24"/>
        </w:rPr>
        <w:t xml:space="preserve"> despite demand</w:t>
      </w:r>
      <w:r w:rsidR="00191601" w:rsidRPr="0052701D">
        <w:rPr>
          <w:rFonts w:ascii="Arial" w:hAnsi="Arial" w:cs="Arial"/>
          <w:sz w:val="24"/>
          <w:szCs w:val="24"/>
        </w:rPr>
        <w:t>,</w:t>
      </w:r>
      <w:r w:rsidR="00DD16B0" w:rsidRPr="0052701D">
        <w:rPr>
          <w:rFonts w:ascii="Arial" w:hAnsi="Arial" w:cs="Arial"/>
          <w:sz w:val="24"/>
          <w:szCs w:val="24"/>
        </w:rPr>
        <w:t xml:space="preserve"> to render such account</w:t>
      </w:r>
      <w:r w:rsidR="00191601" w:rsidRPr="0052701D">
        <w:rPr>
          <w:rFonts w:ascii="Arial" w:hAnsi="Arial" w:cs="Arial"/>
          <w:sz w:val="24"/>
          <w:szCs w:val="24"/>
        </w:rPr>
        <w:t>s.</w:t>
      </w:r>
    </w:p>
    <w:p w14:paraId="6D11374E" w14:textId="77777777" w:rsidR="00DD16B0" w:rsidRDefault="00DD16B0" w:rsidP="00CE076A">
      <w:pPr>
        <w:pStyle w:val="ListParagraph"/>
        <w:spacing w:line="360" w:lineRule="auto"/>
        <w:ind w:left="360"/>
        <w:rPr>
          <w:rFonts w:ascii="Arial" w:hAnsi="Arial" w:cs="Arial"/>
          <w:sz w:val="24"/>
          <w:szCs w:val="24"/>
        </w:rPr>
      </w:pPr>
    </w:p>
    <w:p w14:paraId="48839FB3" w14:textId="798AC2A5" w:rsidR="0000125E" w:rsidRPr="0052701D" w:rsidRDefault="0052701D" w:rsidP="0052701D">
      <w:pPr>
        <w:spacing w:line="360" w:lineRule="auto"/>
        <w:ind w:left="360" w:hanging="360"/>
        <w:rPr>
          <w:rFonts w:ascii="Arial" w:hAnsi="Arial" w:cs="Arial"/>
          <w:sz w:val="24"/>
          <w:szCs w:val="24"/>
        </w:rPr>
      </w:pPr>
      <w:r w:rsidRPr="00FB4590">
        <w:rPr>
          <w:rFonts w:ascii="Arial" w:hAnsi="Arial" w:cs="Arial"/>
          <w:sz w:val="24"/>
          <w:szCs w:val="24"/>
        </w:rPr>
        <w:t>27.</w:t>
      </w:r>
      <w:r w:rsidRPr="00FB4590">
        <w:rPr>
          <w:rFonts w:ascii="Arial" w:hAnsi="Arial" w:cs="Arial"/>
          <w:sz w:val="24"/>
          <w:szCs w:val="24"/>
        </w:rPr>
        <w:tab/>
      </w:r>
      <w:r w:rsidR="00DD16B0" w:rsidRPr="0052701D">
        <w:rPr>
          <w:rFonts w:ascii="Arial" w:hAnsi="Arial" w:cs="Arial"/>
          <w:sz w:val="24"/>
          <w:szCs w:val="24"/>
        </w:rPr>
        <w:t>In the replying affidavit, the appellants expressly invited the City</w:t>
      </w:r>
      <w:r w:rsidR="00C97634" w:rsidRPr="0052701D">
        <w:rPr>
          <w:rFonts w:ascii="Arial" w:hAnsi="Arial" w:cs="Arial"/>
          <w:sz w:val="24"/>
          <w:szCs w:val="24"/>
        </w:rPr>
        <w:t xml:space="preserve"> and the second respondent</w:t>
      </w:r>
      <w:r w:rsidR="00DD16B0" w:rsidRPr="0052701D">
        <w:rPr>
          <w:rFonts w:ascii="Arial" w:hAnsi="Arial" w:cs="Arial"/>
          <w:sz w:val="24"/>
          <w:szCs w:val="24"/>
        </w:rPr>
        <w:t xml:space="preserve"> to file a further affidavit to respond to the notice of amendment and the contents of the replying affidavit. </w:t>
      </w:r>
      <w:r w:rsidR="008F5F6F" w:rsidRPr="0052701D">
        <w:rPr>
          <w:rFonts w:ascii="Arial" w:hAnsi="Arial" w:cs="Arial"/>
          <w:sz w:val="24"/>
          <w:szCs w:val="24"/>
        </w:rPr>
        <w:t xml:space="preserve">The respondents </w:t>
      </w:r>
      <w:r w:rsidR="00C97634" w:rsidRPr="0052701D">
        <w:rPr>
          <w:rFonts w:ascii="Arial" w:hAnsi="Arial" w:cs="Arial"/>
          <w:sz w:val="24"/>
          <w:szCs w:val="24"/>
        </w:rPr>
        <w:t>declined to do so.</w:t>
      </w:r>
    </w:p>
    <w:p w14:paraId="7C92734F" w14:textId="77777777" w:rsidR="00FB4590" w:rsidRDefault="00FB4590" w:rsidP="00CE076A">
      <w:pPr>
        <w:spacing w:line="240" w:lineRule="auto"/>
        <w:rPr>
          <w:rFonts w:ascii="Arial" w:hAnsi="Arial" w:cs="Arial"/>
          <w:b/>
          <w:sz w:val="24"/>
          <w:szCs w:val="24"/>
        </w:rPr>
      </w:pPr>
    </w:p>
    <w:p w14:paraId="195EA360" w14:textId="2721D5B6" w:rsidR="00FF6765" w:rsidRPr="00C97634" w:rsidRDefault="00FF6765" w:rsidP="00CE076A">
      <w:pPr>
        <w:spacing w:line="360" w:lineRule="auto"/>
        <w:rPr>
          <w:rFonts w:ascii="Arial" w:hAnsi="Arial" w:cs="Arial"/>
          <w:sz w:val="24"/>
          <w:szCs w:val="24"/>
        </w:rPr>
      </w:pPr>
      <w:r w:rsidRPr="0053487E">
        <w:rPr>
          <w:rFonts w:ascii="Arial" w:hAnsi="Arial" w:cs="Arial"/>
          <w:b/>
          <w:sz w:val="24"/>
          <w:szCs w:val="24"/>
        </w:rPr>
        <w:t xml:space="preserve">The decision of </w:t>
      </w:r>
      <w:r w:rsidR="00C97634">
        <w:rPr>
          <w:rFonts w:ascii="Arial" w:hAnsi="Arial" w:cs="Arial"/>
          <w:b/>
          <w:sz w:val="24"/>
          <w:szCs w:val="24"/>
        </w:rPr>
        <w:t xml:space="preserve">the </w:t>
      </w:r>
      <w:r w:rsidR="004A5D36">
        <w:rPr>
          <w:rFonts w:ascii="Arial" w:hAnsi="Arial" w:cs="Arial"/>
          <w:b/>
          <w:sz w:val="24"/>
          <w:szCs w:val="24"/>
        </w:rPr>
        <w:t>C</w:t>
      </w:r>
      <w:r w:rsidR="00C97634">
        <w:rPr>
          <w:rFonts w:ascii="Arial" w:hAnsi="Arial" w:cs="Arial"/>
          <w:b/>
          <w:sz w:val="24"/>
          <w:szCs w:val="24"/>
        </w:rPr>
        <w:t xml:space="preserve">ourt </w:t>
      </w:r>
      <w:r w:rsidR="00C97634">
        <w:rPr>
          <w:rFonts w:ascii="Arial" w:hAnsi="Arial" w:cs="Arial"/>
          <w:b/>
          <w:i/>
          <w:sz w:val="24"/>
          <w:szCs w:val="24"/>
        </w:rPr>
        <w:t xml:space="preserve">a quo </w:t>
      </w:r>
      <w:r w:rsidRPr="0053487E">
        <w:rPr>
          <w:rFonts w:ascii="Arial" w:hAnsi="Arial" w:cs="Arial"/>
          <w:b/>
          <w:sz w:val="24"/>
          <w:szCs w:val="24"/>
        </w:rPr>
        <w:t>and the grounds of appeal</w:t>
      </w:r>
    </w:p>
    <w:p w14:paraId="601F4443" w14:textId="1E62318E" w:rsidR="002C7EBA" w:rsidRPr="0052701D" w:rsidRDefault="0052701D" w:rsidP="0052701D">
      <w:pPr>
        <w:spacing w:line="360" w:lineRule="auto"/>
        <w:ind w:left="360" w:hanging="360"/>
        <w:rPr>
          <w:rFonts w:ascii="Arial" w:hAnsi="Arial" w:cs="Arial"/>
          <w:sz w:val="24"/>
          <w:szCs w:val="24"/>
        </w:rPr>
      </w:pPr>
      <w:r w:rsidRPr="00542A8F">
        <w:rPr>
          <w:rFonts w:ascii="Arial" w:hAnsi="Arial" w:cs="Arial"/>
          <w:sz w:val="24"/>
          <w:szCs w:val="24"/>
        </w:rPr>
        <w:t>28.</w:t>
      </w:r>
      <w:r w:rsidRPr="00542A8F">
        <w:rPr>
          <w:rFonts w:ascii="Arial" w:hAnsi="Arial" w:cs="Arial"/>
          <w:sz w:val="24"/>
          <w:szCs w:val="24"/>
        </w:rPr>
        <w:tab/>
      </w:r>
      <w:r w:rsidR="00C97634" w:rsidRPr="0052701D">
        <w:rPr>
          <w:rFonts w:ascii="Arial" w:hAnsi="Arial" w:cs="Arial"/>
          <w:sz w:val="24"/>
          <w:szCs w:val="24"/>
        </w:rPr>
        <w:t xml:space="preserve">Tsatsi AJ dismissed the application in an order </w:t>
      </w:r>
      <w:r w:rsidR="002C7EBA" w:rsidRPr="0052701D">
        <w:rPr>
          <w:rFonts w:ascii="Arial" w:hAnsi="Arial" w:cs="Arial"/>
          <w:sz w:val="24"/>
          <w:szCs w:val="24"/>
        </w:rPr>
        <w:t xml:space="preserve">and judgment </w:t>
      </w:r>
      <w:r w:rsidR="00C97634" w:rsidRPr="0052701D">
        <w:rPr>
          <w:rFonts w:ascii="Arial" w:hAnsi="Arial" w:cs="Arial"/>
          <w:sz w:val="24"/>
          <w:szCs w:val="24"/>
        </w:rPr>
        <w:t xml:space="preserve">dated 5 August 2021. In doing so, she approached the application by framing the main issue as being </w:t>
      </w:r>
      <w:r w:rsidR="00C97634" w:rsidRPr="0052701D">
        <w:rPr>
          <w:rFonts w:ascii="Arial" w:hAnsi="Arial" w:cs="Arial"/>
          <w:sz w:val="24"/>
          <w:szCs w:val="24"/>
        </w:rPr>
        <w:lastRenderedPageBreak/>
        <w:t xml:space="preserve">whether the appellants were required to plead in their founding affidavit the nature of the relationship between the appellants and the City so as to ground a duty to provide statements and debate accounts. The other issue, </w:t>
      </w:r>
      <w:r w:rsidR="002C7EBA" w:rsidRPr="0052701D">
        <w:rPr>
          <w:rFonts w:ascii="Arial" w:hAnsi="Arial" w:cs="Arial"/>
          <w:sz w:val="24"/>
          <w:szCs w:val="24"/>
        </w:rPr>
        <w:t xml:space="preserve">the </w:t>
      </w:r>
      <w:r w:rsidR="004A5D36" w:rsidRPr="0052701D">
        <w:rPr>
          <w:rFonts w:ascii="Arial" w:hAnsi="Arial" w:cs="Arial"/>
          <w:sz w:val="24"/>
          <w:szCs w:val="24"/>
        </w:rPr>
        <w:t>C</w:t>
      </w:r>
      <w:r w:rsidR="002C7EBA" w:rsidRPr="0052701D">
        <w:rPr>
          <w:rFonts w:ascii="Arial" w:hAnsi="Arial" w:cs="Arial"/>
          <w:sz w:val="24"/>
          <w:szCs w:val="24"/>
        </w:rPr>
        <w:t xml:space="preserve">ourt </w:t>
      </w:r>
      <w:r w:rsidR="002C7EBA" w:rsidRPr="0052701D">
        <w:rPr>
          <w:rFonts w:ascii="Arial" w:hAnsi="Arial" w:cs="Arial"/>
          <w:i/>
          <w:sz w:val="24"/>
          <w:szCs w:val="24"/>
        </w:rPr>
        <w:t>a quo</w:t>
      </w:r>
      <w:r w:rsidR="002C7EBA" w:rsidRPr="0052701D">
        <w:rPr>
          <w:rFonts w:ascii="Arial" w:hAnsi="Arial" w:cs="Arial"/>
          <w:sz w:val="24"/>
          <w:szCs w:val="24"/>
        </w:rPr>
        <w:t xml:space="preserve"> </w:t>
      </w:r>
      <w:r w:rsidR="00C97634" w:rsidRPr="0052701D">
        <w:rPr>
          <w:rFonts w:ascii="Arial" w:hAnsi="Arial" w:cs="Arial"/>
          <w:sz w:val="24"/>
          <w:szCs w:val="24"/>
        </w:rPr>
        <w:t>held, was whether the appellants could succeed with the prayers in the amended notice of motion when they were not canvassed in the founding papers. In this regard</w:t>
      </w:r>
      <w:r w:rsidR="00191601" w:rsidRPr="0052701D">
        <w:rPr>
          <w:rFonts w:ascii="Arial" w:hAnsi="Arial" w:cs="Arial"/>
          <w:sz w:val="24"/>
          <w:szCs w:val="24"/>
        </w:rPr>
        <w:t>,</w:t>
      </w:r>
      <w:r w:rsidR="00C97634" w:rsidRPr="0052701D">
        <w:rPr>
          <w:rFonts w:ascii="Arial" w:hAnsi="Arial" w:cs="Arial"/>
          <w:sz w:val="24"/>
          <w:szCs w:val="24"/>
        </w:rPr>
        <w:t xml:space="preserve"> the </w:t>
      </w:r>
      <w:r w:rsidR="004A5D36" w:rsidRPr="0052701D">
        <w:rPr>
          <w:rFonts w:ascii="Arial" w:hAnsi="Arial" w:cs="Arial"/>
          <w:sz w:val="24"/>
          <w:szCs w:val="24"/>
        </w:rPr>
        <w:t>C</w:t>
      </w:r>
      <w:r w:rsidR="00C97634" w:rsidRPr="0052701D">
        <w:rPr>
          <w:rFonts w:ascii="Arial" w:hAnsi="Arial" w:cs="Arial"/>
          <w:sz w:val="24"/>
          <w:szCs w:val="24"/>
        </w:rPr>
        <w:t xml:space="preserve">ourt </w:t>
      </w:r>
      <w:r w:rsidR="00C97634" w:rsidRPr="0052701D">
        <w:rPr>
          <w:rFonts w:ascii="Arial" w:hAnsi="Arial" w:cs="Arial"/>
          <w:i/>
          <w:sz w:val="24"/>
          <w:szCs w:val="24"/>
        </w:rPr>
        <w:t>a quo</w:t>
      </w:r>
      <w:r w:rsidR="00C97634" w:rsidRPr="0052701D">
        <w:rPr>
          <w:rFonts w:ascii="Arial" w:hAnsi="Arial" w:cs="Arial"/>
          <w:sz w:val="24"/>
          <w:szCs w:val="24"/>
        </w:rPr>
        <w:t xml:space="preserve"> held that the appellants had abandoned the contempt application and only pursued a new cause of action pleaded in the replying affidavit. </w:t>
      </w:r>
    </w:p>
    <w:p w14:paraId="5F2AABC5" w14:textId="77777777" w:rsidR="008F6E9F" w:rsidRDefault="008F6E9F" w:rsidP="00CE076A">
      <w:pPr>
        <w:pStyle w:val="ListParagraph"/>
        <w:spacing w:line="360" w:lineRule="auto"/>
        <w:ind w:left="360"/>
        <w:rPr>
          <w:rFonts w:ascii="Arial" w:hAnsi="Arial" w:cs="Arial"/>
          <w:sz w:val="24"/>
          <w:szCs w:val="24"/>
        </w:rPr>
      </w:pPr>
    </w:p>
    <w:p w14:paraId="2A8AA7EA" w14:textId="751BA17B" w:rsidR="00C97634" w:rsidRPr="0052701D" w:rsidRDefault="0052701D" w:rsidP="0052701D">
      <w:pPr>
        <w:spacing w:line="360" w:lineRule="auto"/>
        <w:ind w:left="360" w:hanging="360"/>
        <w:rPr>
          <w:rFonts w:ascii="Arial" w:hAnsi="Arial" w:cs="Arial"/>
          <w:sz w:val="24"/>
          <w:szCs w:val="24"/>
        </w:rPr>
      </w:pPr>
      <w:r>
        <w:rPr>
          <w:rFonts w:ascii="Arial" w:hAnsi="Arial" w:cs="Arial"/>
          <w:sz w:val="24"/>
          <w:szCs w:val="24"/>
        </w:rPr>
        <w:t>29.</w:t>
      </w:r>
      <w:r>
        <w:rPr>
          <w:rFonts w:ascii="Arial" w:hAnsi="Arial" w:cs="Arial"/>
          <w:sz w:val="24"/>
          <w:szCs w:val="24"/>
        </w:rPr>
        <w:tab/>
      </w:r>
      <w:r w:rsidR="00FB4590" w:rsidRPr="0052701D">
        <w:rPr>
          <w:rFonts w:ascii="Arial" w:hAnsi="Arial" w:cs="Arial"/>
          <w:sz w:val="24"/>
          <w:szCs w:val="24"/>
        </w:rPr>
        <w:t xml:space="preserve">After considering the facts, </w:t>
      </w:r>
      <w:r w:rsidR="002C7EBA" w:rsidRPr="0052701D">
        <w:rPr>
          <w:rFonts w:ascii="Arial" w:hAnsi="Arial" w:cs="Arial"/>
          <w:sz w:val="24"/>
          <w:szCs w:val="24"/>
        </w:rPr>
        <w:t>the parties’ submissions, various case law and legislation</w:t>
      </w:r>
      <w:r w:rsidR="00FB4590" w:rsidRPr="0052701D">
        <w:rPr>
          <w:rFonts w:ascii="Arial" w:hAnsi="Arial" w:cs="Arial"/>
          <w:sz w:val="24"/>
          <w:szCs w:val="24"/>
        </w:rPr>
        <w:t xml:space="preserve">, </w:t>
      </w:r>
      <w:r w:rsidR="00C97634" w:rsidRPr="0052701D">
        <w:rPr>
          <w:rFonts w:ascii="Arial" w:hAnsi="Arial" w:cs="Arial"/>
          <w:sz w:val="24"/>
          <w:szCs w:val="24"/>
        </w:rPr>
        <w:t>Tsatsi AJ held that:</w:t>
      </w:r>
    </w:p>
    <w:p w14:paraId="2458933A" w14:textId="77777777" w:rsidR="00DC62B8" w:rsidRDefault="00DC62B8" w:rsidP="00CE076A">
      <w:pPr>
        <w:pStyle w:val="ListParagraph"/>
        <w:spacing w:line="360" w:lineRule="auto"/>
        <w:ind w:left="360"/>
        <w:rPr>
          <w:rFonts w:ascii="Arial" w:hAnsi="Arial" w:cs="Arial"/>
          <w:sz w:val="24"/>
          <w:szCs w:val="24"/>
        </w:rPr>
      </w:pPr>
    </w:p>
    <w:p w14:paraId="7514DC07" w14:textId="7D87C444" w:rsidR="00A27A4F" w:rsidRPr="0052701D" w:rsidRDefault="0052701D" w:rsidP="0052701D">
      <w:pPr>
        <w:spacing w:line="360" w:lineRule="auto"/>
        <w:ind w:left="1701" w:hanging="1341"/>
        <w:rPr>
          <w:rFonts w:ascii="Arial" w:hAnsi="Arial" w:cs="Arial"/>
          <w:sz w:val="24"/>
          <w:szCs w:val="24"/>
        </w:rPr>
      </w:pPr>
      <w:r>
        <w:rPr>
          <w:rFonts w:ascii="Arial" w:hAnsi="Arial" w:cs="Arial"/>
          <w:sz w:val="24"/>
          <w:szCs w:val="24"/>
        </w:rPr>
        <w:t>29.1.</w:t>
      </w:r>
      <w:r>
        <w:rPr>
          <w:rFonts w:ascii="Arial" w:hAnsi="Arial" w:cs="Arial"/>
          <w:sz w:val="24"/>
          <w:szCs w:val="24"/>
        </w:rPr>
        <w:tab/>
      </w:r>
      <w:r w:rsidR="00C2690D" w:rsidRPr="0052701D">
        <w:rPr>
          <w:rFonts w:ascii="Arial" w:hAnsi="Arial" w:cs="Arial"/>
          <w:sz w:val="24"/>
          <w:szCs w:val="24"/>
        </w:rPr>
        <w:t>The appellants abandoned their application for contempt of court and in the result, the application was moot.</w:t>
      </w:r>
    </w:p>
    <w:p w14:paraId="3C49EF15" w14:textId="63861856" w:rsidR="00C2690D" w:rsidRDefault="00C2690D" w:rsidP="00CE076A">
      <w:pPr>
        <w:pStyle w:val="ListParagraph"/>
        <w:spacing w:line="360" w:lineRule="auto"/>
        <w:ind w:left="1701"/>
        <w:rPr>
          <w:rFonts w:ascii="Arial" w:hAnsi="Arial" w:cs="Arial"/>
          <w:sz w:val="24"/>
          <w:szCs w:val="24"/>
        </w:rPr>
      </w:pPr>
    </w:p>
    <w:p w14:paraId="7B65B9E3" w14:textId="138A452C" w:rsidR="00A27A4F" w:rsidRPr="0052701D" w:rsidRDefault="0052701D" w:rsidP="0052701D">
      <w:pPr>
        <w:spacing w:line="360" w:lineRule="auto"/>
        <w:ind w:left="1701" w:hanging="1341"/>
        <w:rPr>
          <w:rFonts w:ascii="Arial" w:hAnsi="Arial" w:cs="Arial"/>
          <w:sz w:val="24"/>
          <w:szCs w:val="24"/>
        </w:rPr>
      </w:pPr>
      <w:r w:rsidRPr="00A27A4F">
        <w:rPr>
          <w:rFonts w:ascii="Arial" w:hAnsi="Arial" w:cs="Arial"/>
          <w:sz w:val="24"/>
          <w:szCs w:val="24"/>
        </w:rPr>
        <w:t>29.2.</w:t>
      </w:r>
      <w:r w:rsidRPr="00A27A4F">
        <w:rPr>
          <w:rFonts w:ascii="Arial" w:hAnsi="Arial" w:cs="Arial"/>
          <w:sz w:val="24"/>
          <w:szCs w:val="24"/>
        </w:rPr>
        <w:tab/>
      </w:r>
      <w:r w:rsidR="00C2690D" w:rsidRPr="0052701D">
        <w:rPr>
          <w:rFonts w:ascii="Arial" w:hAnsi="Arial" w:cs="Arial"/>
          <w:sz w:val="24"/>
          <w:szCs w:val="24"/>
        </w:rPr>
        <w:t>The general rule is that an applicant must make out its case in the founding affidavit, thereby sufficiently informing the other party of the case it is required to meet. The filing of further affidavits is within the sole discretion of the Court. In circumstances where there are no reasons advanced for filing a further affidavit</w:t>
      </w:r>
      <w:r w:rsidR="00B06188" w:rsidRPr="0052701D">
        <w:rPr>
          <w:rFonts w:ascii="Arial" w:hAnsi="Arial" w:cs="Arial"/>
          <w:sz w:val="24"/>
          <w:szCs w:val="24"/>
        </w:rPr>
        <w:t>,</w:t>
      </w:r>
      <w:r w:rsidR="00C2690D" w:rsidRPr="0052701D">
        <w:rPr>
          <w:rFonts w:ascii="Arial" w:hAnsi="Arial" w:cs="Arial"/>
          <w:sz w:val="24"/>
          <w:szCs w:val="24"/>
        </w:rPr>
        <w:t xml:space="preserve"> the application should be refused.</w:t>
      </w:r>
    </w:p>
    <w:p w14:paraId="089941B0" w14:textId="77777777" w:rsidR="00A27A4F" w:rsidRDefault="00A27A4F" w:rsidP="00CE076A">
      <w:pPr>
        <w:pStyle w:val="ListParagraph"/>
        <w:spacing w:line="360" w:lineRule="auto"/>
        <w:ind w:left="1701"/>
        <w:rPr>
          <w:rFonts w:ascii="Arial" w:hAnsi="Arial" w:cs="Arial"/>
          <w:sz w:val="24"/>
          <w:szCs w:val="24"/>
        </w:rPr>
      </w:pPr>
    </w:p>
    <w:p w14:paraId="7A79B91A" w14:textId="6C720AC3" w:rsidR="00C2690D" w:rsidRPr="0052701D" w:rsidRDefault="0052701D" w:rsidP="0052701D">
      <w:pPr>
        <w:spacing w:line="360" w:lineRule="auto"/>
        <w:ind w:left="1701" w:hanging="1341"/>
        <w:rPr>
          <w:rFonts w:ascii="Arial" w:hAnsi="Arial" w:cs="Arial"/>
          <w:sz w:val="24"/>
          <w:szCs w:val="24"/>
        </w:rPr>
      </w:pPr>
      <w:r>
        <w:rPr>
          <w:rFonts w:ascii="Arial" w:hAnsi="Arial" w:cs="Arial"/>
          <w:sz w:val="24"/>
          <w:szCs w:val="24"/>
        </w:rPr>
        <w:t>29.3.</w:t>
      </w:r>
      <w:r>
        <w:rPr>
          <w:rFonts w:ascii="Arial" w:hAnsi="Arial" w:cs="Arial"/>
          <w:sz w:val="24"/>
          <w:szCs w:val="24"/>
        </w:rPr>
        <w:tab/>
      </w:r>
      <w:r w:rsidR="00C2690D" w:rsidRPr="0052701D">
        <w:rPr>
          <w:rFonts w:ascii="Arial" w:hAnsi="Arial" w:cs="Arial"/>
          <w:sz w:val="24"/>
          <w:szCs w:val="24"/>
        </w:rPr>
        <w:t xml:space="preserve">An applicant cannot make out a case in the replying affidavit. In this case, the appellants failed to canvass the issue of the statement and debatement of accounts in their founding papers. The case for a statement and debatement of accounts was made only in the replying affidavit, including with reference to annexures, which is impermissible. </w:t>
      </w:r>
      <w:r w:rsidR="00805B66" w:rsidRPr="0052701D">
        <w:rPr>
          <w:rFonts w:ascii="Arial" w:hAnsi="Arial" w:cs="Arial"/>
          <w:sz w:val="24"/>
          <w:szCs w:val="24"/>
        </w:rPr>
        <w:t xml:space="preserve">The respondents were prejudiced as they had no opportunity to rebut </w:t>
      </w:r>
      <w:r w:rsidR="00C2690D" w:rsidRPr="0052701D">
        <w:rPr>
          <w:rFonts w:ascii="Arial" w:hAnsi="Arial" w:cs="Arial"/>
          <w:sz w:val="24"/>
          <w:szCs w:val="24"/>
        </w:rPr>
        <w:t>the case in respect of a statement and debatement of account. Even if the respondents had applied to deliver a further affidavit in response to the replying affidavit, this would not have resolved the appellant’s failure to make out their case in the founding affidavits.</w:t>
      </w:r>
    </w:p>
    <w:p w14:paraId="2ABF152E" w14:textId="77777777" w:rsidR="00A27A4F" w:rsidRDefault="00A27A4F" w:rsidP="00CE076A">
      <w:pPr>
        <w:pStyle w:val="ListParagraph"/>
        <w:spacing w:line="360" w:lineRule="auto"/>
        <w:ind w:left="1701"/>
        <w:rPr>
          <w:rFonts w:ascii="Arial" w:hAnsi="Arial" w:cs="Arial"/>
          <w:sz w:val="24"/>
          <w:szCs w:val="24"/>
        </w:rPr>
      </w:pPr>
    </w:p>
    <w:p w14:paraId="7F9C4D90" w14:textId="41DAFD22" w:rsidR="00C2690D" w:rsidRPr="0052701D" w:rsidRDefault="0052701D" w:rsidP="0052701D">
      <w:pPr>
        <w:spacing w:line="360" w:lineRule="auto"/>
        <w:ind w:left="1701" w:hanging="1341"/>
        <w:rPr>
          <w:rFonts w:ascii="Arial" w:hAnsi="Arial" w:cs="Arial"/>
          <w:sz w:val="24"/>
          <w:szCs w:val="24"/>
        </w:rPr>
      </w:pPr>
      <w:r>
        <w:rPr>
          <w:rFonts w:ascii="Arial" w:hAnsi="Arial" w:cs="Arial"/>
          <w:sz w:val="24"/>
          <w:szCs w:val="24"/>
        </w:rPr>
        <w:lastRenderedPageBreak/>
        <w:t>29.4.</w:t>
      </w:r>
      <w:r>
        <w:rPr>
          <w:rFonts w:ascii="Arial" w:hAnsi="Arial" w:cs="Arial"/>
          <w:sz w:val="24"/>
          <w:szCs w:val="24"/>
        </w:rPr>
        <w:tab/>
      </w:r>
      <w:r w:rsidR="00C2690D" w:rsidRPr="0052701D">
        <w:rPr>
          <w:rFonts w:ascii="Arial" w:hAnsi="Arial" w:cs="Arial"/>
          <w:sz w:val="24"/>
          <w:szCs w:val="24"/>
        </w:rPr>
        <w:t>The affidavit of Prof Romburgh, which purported to be a confirmatory affidavit to the replying affidavit, was in substance a supplementary founding affidavit, and no application was made to court to file it.</w:t>
      </w:r>
    </w:p>
    <w:p w14:paraId="0607A18C" w14:textId="77777777" w:rsidR="00704BAA" w:rsidRDefault="00704BAA" w:rsidP="00CE076A">
      <w:pPr>
        <w:pStyle w:val="ListParagraph"/>
        <w:spacing w:line="360" w:lineRule="auto"/>
        <w:ind w:left="1701"/>
        <w:rPr>
          <w:rFonts w:ascii="Arial" w:hAnsi="Arial" w:cs="Arial"/>
          <w:sz w:val="24"/>
          <w:szCs w:val="24"/>
        </w:rPr>
      </w:pPr>
    </w:p>
    <w:p w14:paraId="235665F9" w14:textId="52760D94" w:rsidR="00A27A4F" w:rsidRPr="0052701D" w:rsidRDefault="0052701D" w:rsidP="0052701D">
      <w:pPr>
        <w:spacing w:line="360" w:lineRule="auto"/>
        <w:ind w:left="1701" w:hanging="1341"/>
        <w:rPr>
          <w:rFonts w:ascii="Arial" w:hAnsi="Arial" w:cs="Arial"/>
          <w:sz w:val="24"/>
          <w:szCs w:val="24"/>
        </w:rPr>
      </w:pPr>
      <w:r w:rsidRPr="00704BAA">
        <w:rPr>
          <w:rFonts w:ascii="Arial" w:hAnsi="Arial" w:cs="Arial"/>
          <w:sz w:val="24"/>
          <w:szCs w:val="24"/>
        </w:rPr>
        <w:t>29.5.</w:t>
      </w:r>
      <w:r w:rsidRPr="00704BAA">
        <w:rPr>
          <w:rFonts w:ascii="Arial" w:hAnsi="Arial" w:cs="Arial"/>
          <w:sz w:val="24"/>
          <w:szCs w:val="24"/>
        </w:rPr>
        <w:tab/>
      </w:r>
      <w:r w:rsidR="00805B66" w:rsidRPr="0052701D">
        <w:rPr>
          <w:rFonts w:ascii="Arial" w:hAnsi="Arial" w:cs="Arial"/>
          <w:sz w:val="24"/>
          <w:szCs w:val="24"/>
        </w:rPr>
        <w:t>Section 27 of the Rates Act does not confer any right to debate an account, only to receive an account. The appellants failed to plead the existence of any right to a debatement of the account.</w:t>
      </w:r>
    </w:p>
    <w:p w14:paraId="68ACC903" w14:textId="77777777" w:rsidR="00704BAA" w:rsidRDefault="00704BAA" w:rsidP="00CE076A">
      <w:pPr>
        <w:pStyle w:val="ListParagraph"/>
        <w:spacing w:line="360" w:lineRule="auto"/>
        <w:ind w:left="1701"/>
        <w:rPr>
          <w:rFonts w:ascii="Arial" w:hAnsi="Arial" w:cs="Arial"/>
          <w:sz w:val="24"/>
          <w:szCs w:val="24"/>
        </w:rPr>
      </w:pPr>
    </w:p>
    <w:p w14:paraId="4492D06E" w14:textId="478849FC" w:rsidR="00C2690D" w:rsidRPr="0052701D" w:rsidRDefault="0052701D" w:rsidP="0052701D">
      <w:pPr>
        <w:spacing w:line="360" w:lineRule="auto"/>
        <w:ind w:left="1701" w:hanging="1341"/>
        <w:rPr>
          <w:rFonts w:ascii="Arial" w:hAnsi="Arial" w:cs="Arial"/>
          <w:sz w:val="24"/>
          <w:szCs w:val="24"/>
        </w:rPr>
      </w:pPr>
      <w:r>
        <w:rPr>
          <w:rFonts w:ascii="Arial" w:hAnsi="Arial" w:cs="Arial"/>
          <w:sz w:val="24"/>
          <w:szCs w:val="24"/>
        </w:rPr>
        <w:t>29.6.</w:t>
      </w:r>
      <w:r>
        <w:rPr>
          <w:rFonts w:ascii="Arial" w:hAnsi="Arial" w:cs="Arial"/>
          <w:sz w:val="24"/>
          <w:szCs w:val="24"/>
        </w:rPr>
        <w:tab/>
      </w:r>
      <w:r w:rsidR="00805B66" w:rsidRPr="0052701D">
        <w:rPr>
          <w:rFonts w:ascii="Arial" w:hAnsi="Arial" w:cs="Arial"/>
          <w:sz w:val="24"/>
          <w:szCs w:val="24"/>
        </w:rPr>
        <w:t>The 2013 GVR had to be implemented afresh by way of the EVR in order to implement the review orders. It had been set aside and remitted.</w:t>
      </w:r>
    </w:p>
    <w:p w14:paraId="4F52F708" w14:textId="77777777" w:rsidR="00FB4590" w:rsidRDefault="00FB4590" w:rsidP="00CE076A">
      <w:pPr>
        <w:pStyle w:val="ListParagraph"/>
        <w:spacing w:line="360" w:lineRule="auto"/>
        <w:ind w:left="360"/>
        <w:rPr>
          <w:rFonts w:ascii="Arial" w:hAnsi="Arial" w:cs="Arial"/>
          <w:sz w:val="24"/>
          <w:szCs w:val="24"/>
        </w:rPr>
      </w:pPr>
    </w:p>
    <w:p w14:paraId="3CDBDD66" w14:textId="54A5E241" w:rsidR="00460E00" w:rsidRPr="0052701D" w:rsidRDefault="0052701D" w:rsidP="0052701D">
      <w:pPr>
        <w:spacing w:line="360" w:lineRule="auto"/>
        <w:ind w:left="360" w:hanging="360"/>
        <w:rPr>
          <w:rFonts w:ascii="Arial" w:hAnsi="Arial" w:cs="Arial"/>
          <w:sz w:val="24"/>
          <w:szCs w:val="24"/>
        </w:rPr>
      </w:pPr>
      <w:r>
        <w:rPr>
          <w:rFonts w:ascii="Arial" w:hAnsi="Arial" w:cs="Arial"/>
          <w:sz w:val="24"/>
          <w:szCs w:val="24"/>
        </w:rPr>
        <w:t>30.</w:t>
      </w:r>
      <w:r>
        <w:rPr>
          <w:rFonts w:ascii="Arial" w:hAnsi="Arial" w:cs="Arial"/>
          <w:sz w:val="24"/>
          <w:szCs w:val="24"/>
        </w:rPr>
        <w:tab/>
      </w:r>
      <w:r w:rsidR="00542A8F" w:rsidRPr="0052701D">
        <w:rPr>
          <w:rFonts w:ascii="Arial" w:hAnsi="Arial" w:cs="Arial"/>
          <w:sz w:val="24"/>
          <w:szCs w:val="24"/>
        </w:rPr>
        <w:t>The order granted by the C</w:t>
      </w:r>
      <w:r w:rsidR="00460E00" w:rsidRPr="0052701D">
        <w:rPr>
          <w:rFonts w:ascii="Arial" w:hAnsi="Arial" w:cs="Arial"/>
          <w:sz w:val="24"/>
          <w:szCs w:val="24"/>
        </w:rPr>
        <w:t xml:space="preserve">ourt </w:t>
      </w:r>
      <w:r w:rsidR="00460E00" w:rsidRPr="0052701D">
        <w:rPr>
          <w:rFonts w:ascii="Arial" w:hAnsi="Arial" w:cs="Arial"/>
          <w:i/>
          <w:sz w:val="24"/>
          <w:szCs w:val="24"/>
        </w:rPr>
        <w:t xml:space="preserve">a quo </w:t>
      </w:r>
      <w:r w:rsidR="00460E00" w:rsidRPr="0052701D">
        <w:rPr>
          <w:rFonts w:ascii="Arial" w:hAnsi="Arial" w:cs="Arial"/>
          <w:sz w:val="24"/>
          <w:szCs w:val="24"/>
        </w:rPr>
        <w:t>is in the following terms:</w:t>
      </w:r>
    </w:p>
    <w:p w14:paraId="59C976AF" w14:textId="77777777" w:rsidR="00A27A4F" w:rsidRDefault="00A27A4F" w:rsidP="00CE076A">
      <w:pPr>
        <w:pStyle w:val="ListParagraph"/>
        <w:spacing w:line="360" w:lineRule="auto"/>
        <w:ind w:left="360"/>
        <w:rPr>
          <w:rFonts w:ascii="Arial" w:hAnsi="Arial" w:cs="Arial"/>
          <w:sz w:val="24"/>
          <w:szCs w:val="24"/>
        </w:rPr>
      </w:pPr>
    </w:p>
    <w:p w14:paraId="20DAEF3E" w14:textId="103A4EF5" w:rsidR="008B41E5" w:rsidRPr="0052701D" w:rsidRDefault="0052701D" w:rsidP="0052701D">
      <w:pPr>
        <w:spacing w:line="360" w:lineRule="auto"/>
        <w:ind w:left="1134" w:hanging="774"/>
        <w:rPr>
          <w:rFonts w:ascii="Arial" w:hAnsi="Arial" w:cs="Arial"/>
          <w:sz w:val="24"/>
          <w:szCs w:val="24"/>
        </w:rPr>
      </w:pPr>
      <w:r>
        <w:rPr>
          <w:rFonts w:ascii="Arial" w:hAnsi="Arial" w:cs="Arial"/>
          <w:sz w:val="24"/>
          <w:szCs w:val="24"/>
        </w:rPr>
        <w:t>30.1.</w:t>
      </w:r>
      <w:r>
        <w:rPr>
          <w:rFonts w:ascii="Arial" w:hAnsi="Arial" w:cs="Arial"/>
          <w:sz w:val="24"/>
          <w:szCs w:val="24"/>
        </w:rPr>
        <w:tab/>
      </w:r>
      <w:r w:rsidR="008B41E5" w:rsidRPr="0052701D">
        <w:rPr>
          <w:rFonts w:ascii="Arial" w:hAnsi="Arial" w:cs="Arial"/>
          <w:sz w:val="24"/>
          <w:szCs w:val="24"/>
        </w:rPr>
        <w:t>Paragraphs 4A, 4B, 4C, 4D and 5 of the applicants’ amended notice of motion are dismissed with costs, such costs to include the costs of two counsel.</w:t>
      </w:r>
    </w:p>
    <w:p w14:paraId="0A18E4EF" w14:textId="77777777" w:rsidR="008B41E5" w:rsidRDefault="008B41E5" w:rsidP="00CE076A">
      <w:pPr>
        <w:pStyle w:val="ListParagraph"/>
        <w:spacing w:line="360" w:lineRule="auto"/>
        <w:ind w:left="1134"/>
        <w:rPr>
          <w:rFonts w:ascii="Arial" w:hAnsi="Arial" w:cs="Arial"/>
          <w:sz w:val="24"/>
          <w:szCs w:val="24"/>
        </w:rPr>
      </w:pPr>
    </w:p>
    <w:p w14:paraId="78135C45" w14:textId="1A333D31" w:rsidR="008B41E5" w:rsidRPr="0052701D" w:rsidRDefault="0052701D" w:rsidP="0052701D">
      <w:pPr>
        <w:spacing w:line="360" w:lineRule="auto"/>
        <w:ind w:left="1134" w:hanging="774"/>
        <w:rPr>
          <w:rFonts w:ascii="Arial" w:hAnsi="Arial" w:cs="Arial"/>
          <w:sz w:val="24"/>
          <w:szCs w:val="24"/>
        </w:rPr>
      </w:pPr>
      <w:r>
        <w:rPr>
          <w:rFonts w:ascii="Arial" w:hAnsi="Arial" w:cs="Arial"/>
          <w:sz w:val="24"/>
          <w:szCs w:val="24"/>
        </w:rPr>
        <w:t>30.2.</w:t>
      </w:r>
      <w:r>
        <w:rPr>
          <w:rFonts w:ascii="Arial" w:hAnsi="Arial" w:cs="Arial"/>
          <w:sz w:val="24"/>
          <w:szCs w:val="24"/>
        </w:rPr>
        <w:tab/>
      </w:r>
      <w:r w:rsidR="008B41E5" w:rsidRPr="0052701D">
        <w:rPr>
          <w:rFonts w:ascii="Arial" w:hAnsi="Arial" w:cs="Arial"/>
          <w:sz w:val="24"/>
          <w:szCs w:val="24"/>
        </w:rPr>
        <w:t>The applicants are ordered to pay the respondents’ costs incurred in opposing the previous contempt of court application from 30 November 2018 to the date of hearing, which is 2 June 2021, such costs to include the costs of two counsel.</w:t>
      </w:r>
    </w:p>
    <w:p w14:paraId="19C7ACCB" w14:textId="77777777" w:rsidR="008B41E5" w:rsidRPr="008B41E5" w:rsidRDefault="008B41E5" w:rsidP="00CE076A">
      <w:pPr>
        <w:pStyle w:val="ListParagraph"/>
        <w:spacing w:line="360" w:lineRule="auto"/>
        <w:rPr>
          <w:rFonts w:ascii="Arial" w:hAnsi="Arial" w:cs="Arial"/>
          <w:sz w:val="24"/>
          <w:szCs w:val="24"/>
        </w:rPr>
      </w:pPr>
    </w:p>
    <w:p w14:paraId="1C3CA69D" w14:textId="7859BBD4" w:rsidR="008B41E5" w:rsidRPr="0052701D" w:rsidRDefault="0052701D" w:rsidP="0052701D">
      <w:pPr>
        <w:spacing w:line="360" w:lineRule="auto"/>
        <w:ind w:left="1134" w:hanging="774"/>
        <w:rPr>
          <w:rFonts w:ascii="Arial" w:hAnsi="Arial" w:cs="Arial"/>
          <w:sz w:val="24"/>
          <w:szCs w:val="24"/>
        </w:rPr>
      </w:pPr>
      <w:r>
        <w:rPr>
          <w:rFonts w:ascii="Arial" w:hAnsi="Arial" w:cs="Arial"/>
          <w:sz w:val="24"/>
          <w:szCs w:val="24"/>
        </w:rPr>
        <w:t>30.3.</w:t>
      </w:r>
      <w:r>
        <w:rPr>
          <w:rFonts w:ascii="Arial" w:hAnsi="Arial" w:cs="Arial"/>
          <w:sz w:val="24"/>
          <w:szCs w:val="24"/>
        </w:rPr>
        <w:tab/>
      </w:r>
      <w:r w:rsidR="008B41E5" w:rsidRPr="0052701D">
        <w:rPr>
          <w:rFonts w:ascii="Arial" w:hAnsi="Arial" w:cs="Arial"/>
          <w:sz w:val="24"/>
          <w:szCs w:val="24"/>
        </w:rPr>
        <w:t>Paragraphs 1, 2 and 3 of the applicants’ amended notice of motion of the contempt of court application, are declared moot and set aside.</w:t>
      </w:r>
    </w:p>
    <w:p w14:paraId="5DD097B8" w14:textId="77777777" w:rsidR="008B41E5" w:rsidRPr="008B41E5" w:rsidRDefault="008B41E5" w:rsidP="00CE076A">
      <w:pPr>
        <w:pStyle w:val="ListParagraph"/>
        <w:spacing w:line="360" w:lineRule="auto"/>
        <w:rPr>
          <w:rFonts w:ascii="Arial" w:hAnsi="Arial" w:cs="Arial"/>
          <w:sz w:val="24"/>
          <w:szCs w:val="24"/>
        </w:rPr>
      </w:pPr>
    </w:p>
    <w:p w14:paraId="4DEB6A89" w14:textId="6B653FAF" w:rsidR="00155C33" w:rsidRPr="0052701D" w:rsidRDefault="0052701D" w:rsidP="0052701D">
      <w:pPr>
        <w:spacing w:line="360" w:lineRule="auto"/>
        <w:ind w:left="1134" w:hanging="774"/>
        <w:rPr>
          <w:rFonts w:ascii="Arial" w:hAnsi="Arial" w:cs="Arial"/>
          <w:sz w:val="24"/>
          <w:szCs w:val="24"/>
        </w:rPr>
      </w:pPr>
      <w:r w:rsidRPr="00704BAA">
        <w:rPr>
          <w:rFonts w:ascii="Arial" w:hAnsi="Arial" w:cs="Arial"/>
          <w:sz w:val="24"/>
          <w:szCs w:val="24"/>
        </w:rPr>
        <w:t>30.4.</w:t>
      </w:r>
      <w:r w:rsidRPr="00704BAA">
        <w:rPr>
          <w:rFonts w:ascii="Arial" w:hAnsi="Arial" w:cs="Arial"/>
          <w:sz w:val="24"/>
          <w:szCs w:val="24"/>
        </w:rPr>
        <w:tab/>
      </w:r>
      <w:r w:rsidR="008B41E5" w:rsidRPr="0052701D">
        <w:rPr>
          <w:rFonts w:ascii="Arial" w:hAnsi="Arial" w:cs="Arial"/>
          <w:sz w:val="24"/>
          <w:szCs w:val="24"/>
        </w:rPr>
        <w:t>The applicants’ condonation application of the late filing of the replying affidavit is granted.</w:t>
      </w:r>
    </w:p>
    <w:p w14:paraId="52565DC5" w14:textId="77777777" w:rsidR="00704BAA" w:rsidRDefault="00704BAA" w:rsidP="00CE076A">
      <w:pPr>
        <w:pStyle w:val="ListParagraph"/>
        <w:spacing w:line="360" w:lineRule="auto"/>
        <w:ind w:left="360"/>
        <w:rPr>
          <w:rFonts w:ascii="Arial" w:hAnsi="Arial" w:cs="Arial"/>
          <w:sz w:val="24"/>
          <w:szCs w:val="24"/>
        </w:rPr>
      </w:pPr>
    </w:p>
    <w:p w14:paraId="7B240499" w14:textId="6F92BF9D" w:rsidR="00962CED" w:rsidRPr="0052701D" w:rsidRDefault="0052701D" w:rsidP="0052701D">
      <w:pPr>
        <w:spacing w:line="360" w:lineRule="auto"/>
        <w:ind w:left="360" w:hanging="360"/>
        <w:rPr>
          <w:rFonts w:ascii="Arial" w:hAnsi="Arial" w:cs="Arial"/>
          <w:sz w:val="24"/>
          <w:szCs w:val="24"/>
        </w:rPr>
      </w:pPr>
      <w:r>
        <w:rPr>
          <w:rFonts w:ascii="Arial" w:hAnsi="Arial" w:cs="Arial"/>
          <w:sz w:val="24"/>
          <w:szCs w:val="24"/>
        </w:rPr>
        <w:t>31.</w:t>
      </w:r>
      <w:r>
        <w:rPr>
          <w:rFonts w:ascii="Arial" w:hAnsi="Arial" w:cs="Arial"/>
          <w:sz w:val="24"/>
          <w:szCs w:val="24"/>
        </w:rPr>
        <w:tab/>
      </w:r>
      <w:r w:rsidR="00460E00" w:rsidRPr="0052701D">
        <w:rPr>
          <w:rFonts w:ascii="Arial" w:hAnsi="Arial" w:cs="Arial"/>
          <w:sz w:val="24"/>
          <w:szCs w:val="24"/>
        </w:rPr>
        <w:t xml:space="preserve">The appellants’ grounds of appeal are extensively pleaded. However, as submitted by counsel, there are two </w:t>
      </w:r>
      <w:r w:rsidR="00FF6765" w:rsidRPr="0052701D">
        <w:rPr>
          <w:rFonts w:ascii="Arial" w:hAnsi="Arial" w:cs="Arial"/>
          <w:sz w:val="24"/>
          <w:szCs w:val="24"/>
        </w:rPr>
        <w:t xml:space="preserve">fundamental </w:t>
      </w:r>
      <w:r w:rsidR="00460E00" w:rsidRPr="0052701D">
        <w:rPr>
          <w:rFonts w:ascii="Arial" w:hAnsi="Arial" w:cs="Arial"/>
          <w:sz w:val="24"/>
          <w:szCs w:val="24"/>
        </w:rPr>
        <w:t>questions which underpin the appeal</w:t>
      </w:r>
      <w:r w:rsidR="00542A8F" w:rsidRPr="0052701D">
        <w:rPr>
          <w:rFonts w:ascii="Arial" w:hAnsi="Arial" w:cs="Arial"/>
          <w:sz w:val="24"/>
          <w:szCs w:val="24"/>
        </w:rPr>
        <w:t>, foreshadowed above</w:t>
      </w:r>
      <w:r w:rsidR="00460E00" w:rsidRPr="0052701D">
        <w:rPr>
          <w:rFonts w:ascii="Arial" w:hAnsi="Arial" w:cs="Arial"/>
          <w:sz w:val="24"/>
          <w:szCs w:val="24"/>
        </w:rPr>
        <w:t>.</w:t>
      </w:r>
    </w:p>
    <w:p w14:paraId="79EB3E8D" w14:textId="77777777" w:rsidR="00460E00" w:rsidRPr="00CE076A" w:rsidRDefault="00460E00" w:rsidP="00CE076A">
      <w:pPr>
        <w:pStyle w:val="ListParagraph"/>
        <w:spacing w:line="360" w:lineRule="auto"/>
        <w:ind w:left="360"/>
        <w:rPr>
          <w:rFonts w:ascii="Arial" w:hAnsi="Arial" w:cs="Arial"/>
          <w:sz w:val="24"/>
          <w:szCs w:val="24"/>
        </w:rPr>
      </w:pPr>
    </w:p>
    <w:p w14:paraId="16CDDAEF" w14:textId="071A2E7E" w:rsidR="00B03DC4" w:rsidRPr="0052701D" w:rsidRDefault="0052701D" w:rsidP="0052701D">
      <w:pPr>
        <w:spacing w:line="360" w:lineRule="auto"/>
        <w:ind w:left="360" w:hanging="360"/>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460E00" w:rsidRPr="0052701D">
        <w:rPr>
          <w:rFonts w:ascii="Arial" w:hAnsi="Arial" w:cs="Arial"/>
          <w:sz w:val="24"/>
          <w:szCs w:val="24"/>
        </w:rPr>
        <w:t xml:space="preserve">The first is whether the </w:t>
      </w:r>
      <w:r w:rsidR="00DB62C1" w:rsidRPr="0052701D">
        <w:rPr>
          <w:rFonts w:ascii="Arial" w:hAnsi="Arial" w:cs="Arial"/>
          <w:sz w:val="24"/>
          <w:szCs w:val="24"/>
        </w:rPr>
        <w:t>C</w:t>
      </w:r>
      <w:r w:rsidR="00460E00" w:rsidRPr="0052701D">
        <w:rPr>
          <w:rFonts w:ascii="Arial" w:hAnsi="Arial" w:cs="Arial"/>
          <w:sz w:val="24"/>
          <w:szCs w:val="24"/>
        </w:rPr>
        <w:t xml:space="preserve">ourt </w:t>
      </w:r>
      <w:r w:rsidR="00460E00" w:rsidRPr="0052701D">
        <w:rPr>
          <w:rFonts w:ascii="Arial" w:hAnsi="Arial" w:cs="Arial"/>
          <w:i/>
          <w:sz w:val="24"/>
          <w:szCs w:val="24"/>
        </w:rPr>
        <w:t xml:space="preserve">a quo </w:t>
      </w:r>
      <w:r w:rsidR="00460E00" w:rsidRPr="0052701D">
        <w:rPr>
          <w:rFonts w:ascii="Arial" w:hAnsi="Arial" w:cs="Arial"/>
          <w:sz w:val="24"/>
          <w:szCs w:val="24"/>
        </w:rPr>
        <w:t>erred in finding that the relief sought in the founding affidavit was moot. Put simply, the appellants submit that although they abandoned prayers 1 and 2 of the notice of motion, they did not abandon the</w:t>
      </w:r>
      <w:r w:rsidR="00A27A4F" w:rsidRPr="0052701D">
        <w:rPr>
          <w:rFonts w:ascii="Arial" w:hAnsi="Arial" w:cs="Arial"/>
          <w:sz w:val="24"/>
          <w:szCs w:val="24"/>
        </w:rPr>
        <w:t xml:space="preserve"> alternative</w:t>
      </w:r>
      <w:r w:rsidR="00460E00" w:rsidRPr="0052701D">
        <w:rPr>
          <w:rFonts w:ascii="Arial" w:hAnsi="Arial" w:cs="Arial"/>
          <w:sz w:val="24"/>
          <w:szCs w:val="24"/>
        </w:rPr>
        <w:t xml:space="preserve"> relief</w:t>
      </w:r>
      <w:r w:rsidR="008B41E5" w:rsidRPr="0052701D">
        <w:rPr>
          <w:rFonts w:ascii="Arial" w:hAnsi="Arial" w:cs="Arial"/>
          <w:sz w:val="24"/>
          <w:szCs w:val="24"/>
        </w:rPr>
        <w:t xml:space="preserve"> in prayer 3</w:t>
      </w:r>
      <w:r w:rsidR="00460E00" w:rsidRPr="0052701D">
        <w:rPr>
          <w:rFonts w:ascii="Arial" w:hAnsi="Arial" w:cs="Arial"/>
          <w:sz w:val="24"/>
          <w:szCs w:val="24"/>
        </w:rPr>
        <w:t xml:space="preserve">, which remained live. The appellants submit that the </w:t>
      </w:r>
      <w:r w:rsidR="00DB62C1" w:rsidRPr="0052701D">
        <w:rPr>
          <w:rFonts w:ascii="Arial" w:hAnsi="Arial" w:cs="Arial"/>
          <w:sz w:val="24"/>
          <w:szCs w:val="24"/>
        </w:rPr>
        <w:t>C</w:t>
      </w:r>
      <w:r w:rsidR="00460E00" w:rsidRPr="0052701D">
        <w:rPr>
          <w:rFonts w:ascii="Arial" w:hAnsi="Arial" w:cs="Arial"/>
          <w:sz w:val="24"/>
          <w:szCs w:val="24"/>
        </w:rPr>
        <w:t xml:space="preserve">ourt </w:t>
      </w:r>
      <w:r w:rsidR="00460E00" w:rsidRPr="0052701D">
        <w:rPr>
          <w:rFonts w:ascii="Arial" w:hAnsi="Arial" w:cs="Arial"/>
          <w:i/>
          <w:sz w:val="24"/>
          <w:szCs w:val="24"/>
        </w:rPr>
        <w:t xml:space="preserve">a quo </w:t>
      </w:r>
      <w:r w:rsidR="00460E00" w:rsidRPr="0052701D">
        <w:rPr>
          <w:rFonts w:ascii="Arial" w:hAnsi="Arial" w:cs="Arial"/>
          <w:sz w:val="24"/>
          <w:szCs w:val="24"/>
        </w:rPr>
        <w:t>ought to have considered whether the respondents were in breach of their constitutional obligations to give effect to the review orders and if not</w:t>
      </w:r>
      <w:r w:rsidR="00A27A4F" w:rsidRPr="0052701D">
        <w:rPr>
          <w:rFonts w:ascii="Arial" w:hAnsi="Arial" w:cs="Arial"/>
          <w:sz w:val="24"/>
          <w:szCs w:val="24"/>
        </w:rPr>
        <w:t>,</w:t>
      </w:r>
      <w:r w:rsidR="00460E00" w:rsidRPr="0052701D">
        <w:rPr>
          <w:rFonts w:ascii="Arial" w:hAnsi="Arial" w:cs="Arial"/>
          <w:sz w:val="24"/>
          <w:szCs w:val="24"/>
        </w:rPr>
        <w:t xml:space="preserve"> to grant effective</w:t>
      </w:r>
      <w:r w:rsidR="00B03DC4" w:rsidRPr="0052701D">
        <w:rPr>
          <w:rFonts w:ascii="Arial" w:hAnsi="Arial" w:cs="Arial"/>
          <w:sz w:val="24"/>
          <w:szCs w:val="24"/>
        </w:rPr>
        <w:t xml:space="preserve">, </w:t>
      </w:r>
      <w:r w:rsidR="00704BAA" w:rsidRPr="0052701D">
        <w:rPr>
          <w:rFonts w:ascii="Arial" w:hAnsi="Arial" w:cs="Arial"/>
          <w:sz w:val="24"/>
          <w:szCs w:val="24"/>
        </w:rPr>
        <w:t>just and equitable</w:t>
      </w:r>
      <w:r w:rsidR="00460E00" w:rsidRPr="0052701D">
        <w:rPr>
          <w:rFonts w:ascii="Arial" w:hAnsi="Arial" w:cs="Arial"/>
          <w:sz w:val="24"/>
          <w:szCs w:val="24"/>
        </w:rPr>
        <w:t xml:space="preserve"> relief.</w:t>
      </w:r>
      <w:r w:rsidR="00962CED" w:rsidRPr="0052701D">
        <w:rPr>
          <w:rFonts w:ascii="Arial" w:hAnsi="Arial" w:cs="Arial"/>
          <w:sz w:val="24"/>
          <w:szCs w:val="24"/>
        </w:rPr>
        <w:t xml:space="preserve"> </w:t>
      </w:r>
      <w:r w:rsidR="00460E00" w:rsidRPr="0052701D">
        <w:rPr>
          <w:rFonts w:ascii="Arial" w:hAnsi="Arial" w:cs="Arial"/>
          <w:sz w:val="24"/>
          <w:szCs w:val="24"/>
        </w:rPr>
        <w:t xml:space="preserve">In this regard, they submit that the </w:t>
      </w:r>
      <w:r w:rsidR="00DB62C1" w:rsidRPr="0052701D">
        <w:rPr>
          <w:rFonts w:ascii="Arial" w:hAnsi="Arial" w:cs="Arial"/>
          <w:sz w:val="24"/>
          <w:szCs w:val="24"/>
        </w:rPr>
        <w:t>C</w:t>
      </w:r>
      <w:r w:rsidR="00460E00" w:rsidRPr="0052701D">
        <w:rPr>
          <w:rFonts w:ascii="Arial" w:hAnsi="Arial" w:cs="Arial"/>
          <w:sz w:val="24"/>
          <w:szCs w:val="24"/>
        </w:rPr>
        <w:t>ourt</w:t>
      </w:r>
      <w:r w:rsidR="00DB62C1" w:rsidRPr="0052701D">
        <w:rPr>
          <w:rFonts w:ascii="Arial" w:hAnsi="Arial" w:cs="Arial"/>
          <w:sz w:val="24"/>
          <w:szCs w:val="24"/>
        </w:rPr>
        <w:t xml:space="preserve"> </w:t>
      </w:r>
      <w:r w:rsidR="00DB62C1" w:rsidRPr="0052701D">
        <w:rPr>
          <w:rFonts w:ascii="Arial" w:hAnsi="Arial" w:cs="Arial"/>
          <w:i/>
          <w:sz w:val="24"/>
          <w:szCs w:val="24"/>
        </w:rPr>
        <w:t>a quo</w:t>
      </w:r>
      <w:r w:rsidR="00460E00" w:rsidRPr="0052701D">
        <w:rPr>
          <w:rFonts w:ascii="Arial" w:hAnsi="Arial" w:cs="Arial"/>
          <w:sz w:val="24"/>
          <w:szCs w:val="24"/>
        </w:rPr>
        <w:t xml:space="preserve"> should have found, on the affidavits, that the respondents were in breach of their duties as they had failed duly to rectify the applicants’ accounts and had imposed retrospective rates in defiance of the review orders.</w:t>
      </w:r>
    </w:p>
    <w:p w14:paraId="2D9E2C78" w14:textId="77777777" w:rsidR="00460E00" w:rsidRPr="00CE076A" w:rsidRDefault="00460E00" w:rsidP="00CE076A">
      <w:pPr>
        <w:pStyle w:val="ListParagraph"/>
        <w:spacing w:line="360" w:lineRule="auto"/>
        <w:ind w:left="360"/>
        <w:rPr>
          <w:rFonts w:ascii="Arial" w:hAnsi="Arial" w:cs="Arial"/>
          <w:sz w:val="24"/>
          <w:szCs w:val="24"/>
        </w:rPr>
      </w:pPr>
    </w:p>
    <w:p w14:paraId="73DAC9A8" w14:textId="568CFA54" w:rsidR="00155C33" w:rsidRPr="0052701D" w:rsidRDefault="0052701D" w:rsidP="0052701D">
      <w:pPr>
        <w:spacing w:line="360" w:lineRule="auto"/>
        <w:ind w:left="360" w:hanging="360"/>
        <w:rPr>
          <w:rFonts w:ascii="Arial" w:hAnsi="Arial" w:cs="Arial"/>
          <w:sz w:val="24"/>
          <w:szCs w:val="24"/>
        </w:rPr>
      </w:pPr>
      <w:r w:rsidRPr="00CE076A">
        <w:rPr>
          <w:rFonts w:ascii="Arial" w:hAnsi="Arial" w:cs="Arial"/>
          <w:sz w:val="24"/>
          <w:szCs w:val="24"/>
        </w:rPr>
        <w:t>33.</w:t>
      </w:r>
      <w:r w:rsidRPr="00CE076A">
        <w:rPr>
          <w:rFonts w:ascii="Arial" w:hAnsi="Arial" w:cs="Arial"/>
          <w:sz w:val="24"/>
          <w:szCs w:val="24"/>
        </w:rPr>
        <w:tab/>
      </w:r>
      <w:r w:rsidR="00460E00" w:rsidRPr="0052701D">
        <w:rPr>
          <w:rFonts w:ascii="Arial" w:hAnsi="Arial" w:cs="Arial"/>
          <w:sz w:val="24"/>
          <w:szCs w:val="24"/>
        </w:rPr>
        <w:t xml:space="preserve">The second is whether the </w:t>
      </w:r>
      <w:r w:rsidR="00DB62C1" w:rsidRPr="0052701D">
        <w:rPr>
          <w:rFonts w:ascii="Arial" w:hAnsi="Arial" w:cs="Arial"/>
          <w:sz w:val="24"/>
          <w:szCs w:val="24"/>
        </w:rPr>
        <w:t>C</w:t>
      </w:r>
      <w:r w:rsidR="00460E00" w:rsidRPr="0052701D">
        <w:rPr>
          <w:rFonts w:ascii="Arial" w:hAnsi="Arial" w:cs="Arial"/>
          <w:sz w:val="24"/>
          <w:szCs w:val="24"/>
        </w:rPr>
        <w:t xml:space="preserve">ourt </w:t>
      </w:r>
      <w:r w:rsidR="00460E00" w:rsidRPr="0052701D">
        <w:rPr>
          <w:rFonts w:ascii="Arial" w:hAnsi="Arial" w:cs="Arial"/>
          <w:i/>
          <w:sz w:val="24"/>
          <w:szCs w:val="24"/>
        </w:rPr>
        <w:t xml:space="preserve">a quo </w:t>
      </w:r>
      <w:r w:rsidR="00460E00" w:rsidRPr="0052701D">
        <w:rPr>
          <w:rFonts w:ascii="Arial" w:hAnsi="Arial" w:cs="Arial"/>
          <w:sz w:val="24"/>
          <w:szCs w:val="24"/>
        </w:rPr>
        <w:t>erred in concluding that the appellants had sought to make out their case in reply and impermissibly introduced new matter in reply.</w:t>
      </w:r>
      <w:r w:rsidR="00973502" w:rsidRPr="0052701D">
        <w:rPr>
          <w:rFonts w:ascii="Arial" w:hAnsi="Arial" w:cs="Arial"/>
          <w:sz w:val="24"/>
          <w:szCs w:val="24"/>
        </w:rPr>
        <w:t xml:space="preserve"> In this regard, the appellants plead that they did not do so. The amendment introducing prayers 4</w:t>
      </w:r>
      <w:r w:rsidR="00A27A4F" w:rsidRPr="0052701D">
        <w:rPr>
          <w:rFonts w:ascii="Arial" w:hAnsi="Arial" w:cs="Arial"/>
          <w:sz w:val="24"/>
          <w:szCs w:val="24"/>
        </w:rPr>
        <w:t>A to 4D</w:t>
      </w:r>
      <w:r w:rsidR="00973502" w:rsidRPr="0052701D">
        <w:rPr>
          <w:rFonts w:ascii="Arial" w:hAnsi="Arial" w:cs="Arial"/>
          <w:sz w:val="24"/>
          <w:szCs w:val="24"/>
        </w:rPr>
        <w:t xml:space="preserve">, they </w:t>
      </w:r>
      <w:r w:rsidR="00704BAA" w:rsidRPr="0052701D">
        <w:rPr>
          <w:rFonts w:ascii="Arial" w:hAnsi="Arial" w:cs="Arial"/>
          <w:sz w:val="24"/>
          <w:szCs w:val="24"/>
        </w:rPr>
        <w:t>say</w:t>
      </w:r>
      <w:r w:rsidR="00973502" w:rsidRPr="0052701D">
        <w:rPr>
          <w:rFonts w:ascii="Arial" w:hAnsi="Arial" w:cs="Arial"/>
          <w:sz w:val="24"/>
          <w:szCs w:val="24"/>
        </w:rPr>
        <w:t xml:space="preserve">, was effected to give content to what would be a just and equitable remedy. The cause of action remained the same: that sought in prayer 3. The factual matter contained in the replying affidavit, they say, is permitted in reply in accordance with established authority, specifically </w:t>
      </w:r>
      <w:r w:rsidR="00973502" w:rsidRPr="0052701D">
        <w:rPr>
          <w:rFonts w:ascii="Arial" w:hAnsi="Arial" w:cs="Arial"/>
          <w:i/>
          <w:sz w:val="24"/>
          <w:szCs w:val="24"/>
        </w:rPr>
        <w:t>Finishing Touch 163 (Pty) Ltd v BHP Billiton</w:t>
      </w:r>
      <w:r w:rsidR="00973502" w:rsidRPr="0052701D">
        <w:rPr>
          <w:rFonts w:ascii="Arial" w:hAnsi="Arial" w:cs="Arial"/>
          <w:sz w:val="24"/>
          <w:szCs w:val="24"/>
        </w:rPr>
        <w:t>.</w:t>
      </w:r>
      <w:r w:rsidR="00973502">
        <w:rPr>
          <w:rStyle w:val="FootnoteReference"/>
          <w:rFonts w:ascii="Arial" w:hAnsi="Arial" w:cs="Arial"/>
          <w:sz w:val="24"/>
          <w:szCs w:val="24"/>
        </w:rPr>
        <w:footnoteReference w:id="14"/>
      </w:r>
      <w:r w:rsidR="00973502" w:rsidRPr="0052701D">
        <w:rPr>
          <w:rFonts w:ascii="Arial" w:hAnsi="Arial" w:cs="Arial"/>
          <w:sz w:val="24"/>
          <w:szCs w:val="24"/>
        </w:rPr>
        <w:t xml:space="preserve"> In any case, the appellants plead, a court has a discretion to allow the introduction of new matter of the kind ordinarily prohibited.</w:t>
      </w:r>
      <w:r w:rsidR="00973502">
        <w:rPr>
          <w:rStyle w:val="FootnoteReference"/>
          <w:rFonts w:ascii="Arial" w:hAnsi="Arial" w:cs="Arial"/>
          <w:sz w:val="24"/>
          <w:szCs w:val="24"/>
        </w:rPr>
        <w:footnoteReference w:id="15"/>
      </w:r>
    </w:p>
    <w:p w14:paraId="2B77395A" w14:textId="4CE965EF" w:rsidR="00F818A9" w:rsidRPr="0052701D" w:rsidRDefault="0052701D" w:rsidP="0052701D">
      <w:pPr>
        <w:spacing w:line="360" w:lineRule="auto"/>
        <w:ind w:left="360" w:hanging="360"/>
        <w:rPr>
          <w:rFonts w:ascii="Arial" w:hAnsi="Arial" w:cs="Arial"/>
          <w:sz w:val="24"/>
          <w:szCs w:val="24"/>
        </w:rPr>
      </w:pPr>
      <w:r>
        <w:rPr>
          <w:rFonts w:ascii="Arial" w:hAnsi="Arial" w:cs="Arial"/>
          <w:sz w:val="24"/>
          <w:szCs w:val="24"/>
        </w:rPr>
        <w:t>34.</w:t>
      </w:r>
      <w:r>
        <w:rPr>
          <w:rFonts w:ascii="Arial" w:hAnsi="Arial" w:cs="Arial"/>
          <w:sz w:val="24"/>
          <w:szCs w:val="24"/>
        </w:rPr>
        <w:tab/>
      </w:r>
      <w:r w:rsidR="00155C33" w:rsidRPr="0052701D">
        <w:rPr>
          <w:rFonts w:ascii="Arial" w:hAnsi="Arial" w:cs="Arial"/>
          <w:sz w:val="24"/>
          <w:szCs w:val="24"/>
        </w:rPr>
        <w:t>If either of these two issues are determined in the appellant’</w:t>
      </w:r>
      <w:r w:rsidR="00A27A4F" w:rsidRPr="0052701D">
        <w:rPr>
          <w:rFonts w:ascii="Arial" w:hAnsi="Arial" w:cs="Arial"/>
          <w:sz w:val="24"/>
          <w:szCs w:val="24"/>
        </w:rPr>
        <w:t>s favour, the appeal C</w:t>
      </w:r>
      <w:r w:rsidR="00155C33" w:rsidRPr="0052701D">
        <w:rPr>
          <w:rFonts w:ascii="Arial" w:hAnsi="Arial" w:cs="Arial"/>
          <w:sz w:val="24"/>
          <w:szCs w:val="24"/>
        </w:rPr>
        <w:t xml:space="preserve">ourt </w:t>
      </w:r>
      <w:r w:rsidR="00BB7AC8" w:rsidRPr="0052701D">
        <w:rPr>
          <w:rFonts w:ascii="Arial" w:hAnsi="Arial" w:cs="Arial"/>
          <w:sz w:val="24"/>
          <w:szCs w:val="24"/>
        </w:rPr>
        <w:t xml:space="preserve">is </w:t>
      </w:r>
      <w:r w:rsidR="005B6425" w:rsidRPr="0052701D">
        <w:rPr>
          <w:rFonts w:ascii="Arial" w:hAnsi="Arial" w:cs="Arial"/>
          <w:sz w:val="24"/>
          <w:szCs w:val="24"/>
        </w:rPr>
        <w:t xml:space="preserve">effectively </w:t>
      </w:r>
      <w:r w:rsidR="00BB7AC8" w:rsidRPr="0052701D">
        <w:rPr>
          <w:rFonts w:ascii="Arial" w:hAnsi="Arial" w:cs="Arial"/>
          <w:sz w:val="24"/>
          <w:szCs w:val="24"/>
        </w:rPr>
        <w:t>required to consider whether the appellants were entitled to any relief</w:t>
      </w:r>
      <w:r w:rsidR="00155C33" w:rsidRPr="0052701D">
        <w:rPr>
          <w:rFonts w:ascii="Arial" w:hAnsi="Arial" w:cs="Arial"/>
          <w:sz w:val="24"/>
          <w:szCs w:val="24"/>
        </w:rPr>
        <w:t>.</w:t>
      </w:r>
    </w:p>
    <w:p w14:paraId="17E00D56" w14:textId="77777777" w:rsidR="008B41E5" w:rsidRDefault="008B41E5" w:rsidP="00CE076A">
      <w:pPr>
        <w:spacing w:line="240" w:lineRule="auto"/>
        <w:rPr>
          <w:rFonts w:ascii="Arial" w:hAnsi="Arial" w:cs="Arial"/>
          <w:b/>
          <w:sz w:val="24"/>
          <w:szCs w:val="24"/>
        </w:rPr>
      </w:pPr>
    </w:p>
    <w:p w14:paraId="1C12ADD2" w14:textId="5C737592" w:rsidR="00155C33" w:rsidRPr="00CE076A" w:rsidRDefault="00155C33" w:rsidP="00CE076A">
      <w:pPr>
        <w:spacing w:line="360" w:lineRule="auto"/>
        <w:rPr>
          <w:rFonts w:ascii="Arial" w:hAnsi="Arial" w:cs="Arial"/>
          <w:sz w:val="24"/>
          <w:szCs w:val="24"/>
        </w:rPr>
      </w:pPr>
      <w:r w:rsidRPr="00155C33">
        <w:rPr>
          <w:rFonts w:ascii="Arial" w:hAnsi="Arial" w:cs="Arial"/>
          <w:b/>
          <w:sz w:val="24"/>
          <w:szCs w:val="24"/>
        </w:rPr>
        <w:t>The first issue</w:t>
      </w:r>
      <w:r w:rsidR="008B41E5">
        <w:rPr>
          <w:rFonts w:ascii="Arial" w:hAnsi="Arial" w:cs="Arial"/>
          <w:b/>
          <w:sz w:val="24"/>
          <w:szCs w:val="24"/>
        </w:rPr>
        <w:t>: the mootness of prayer 3</w:t>
      </w:r>
    </w:p>
    <w:p w14:paraId="7D43A687" w14:textId="5AF867F1" w:rsidR="007A3866" w:rsidRPr="0052701D" w:rsidRDefault="0052701D" w:rsidP="0052701D">
      <w:pPr>
        <w:spacing w:line="360" w:lineRule="auto"/>
        <w:ind w:left="360" w:hanging="360"/>
        <w:rPr>
          <w:rFonts w:ascii="Arial" w:hAnsi="Arial" w:cs="Arial"/>
          <w:sz w:val="24"/>
          <w:szCs w:val="24"/>
        </w:rPr>
      </w:pPr>
      <w:r>
        <w:rPr>
          <w:rFonts w:ascii="Arial" w:hAnsi="Arial" w:cs="Arial"/>
          <w:sz w:val="24"/>
          <w:szCs w:val="24"/>
        </w:rPr>
        <w:t>35.</w:t>
      </w:r>
      <w:r>
        <w:rPr>
          <w:rFonts w:ascii="Arial" w:hAnsi="Arial" w:cs="Arial"/>
          <w:sz w:val="24"/>
          <w:szCs w:val="24"/>
        </w:rPr>
        <w:tab/>
      </w:r>
      <w:r w:rsidR="008B41E5" w:rsidRPr="0052701D">
        <w:rPr>
          <w:rFonts w:ascii="Arial" w:hAnsi="Arial" w:cs="Arial"/>
          <w:sz w:val="24"/>
          <w:szCs w:val="24"/>
        </w:rPr>
        <w:t xml:space="preserve">The first issue is whether the </w:t>
      </w:r>
      <w:r w:rsidR="00155C33" w:rsidRPr="0052701D">
        <w:rPr>
          <w:rFonts w:ascii="Arial" w:hAnsi="Arial" w:cs="Arial"/>
          <w:sz w:val="24"/>
          <w:szCs w:val="24"/>
        </w:rPr>
        <w:t xml:space="preserve">Court </w:t>
      </w:r>
      <w:r w:rsidR="00155C33" w:rsidRPr="0052701D">
        <w:rPr>
          <w:rFonts w:ascii="Arial" w:hAnsi="Arial" w:cs="Arial"/>
          <w:i/>
          <w:sz w:val="24"/>
          <w:szCs w:val="24"/>
        </w:rPr>
        <w:t xml:space="preserve">a quo </w:t>
      </w:r>
      <w:r w:rsidR="00155C33" w:rsidRPr="0052701D">
        <w:rPr>
          <w:rFonts w:ascii="Arial" w:hAnsi="Arial" w:cs="Arial"/>
          <w:sz w:val="24"/>
          <w:szCs w:val="24"/>
        </w:rPr>
        <w:t>was correct in finding that the application</w:t>
      </w:r>
      <w:r w:rsidR="008B41E5" w:rsidRPr="0052701D">
        <w:rPr>
          <w:rFonts w:ascii="Arial" w:hAnsi="Arial" w:cs="Arial"/>
          <w:sz w:val="24"/>
          <w:szCs w:val="24"/>
        </w:rPr>
        <w:t>, specifically prayer 3,</w:t>
      </w:r>
      <w:r w:rsidR="00155C33" w:rsidRPr="0052701D">
        <w:rPr>
          <w:rFonts w:ascii="Arial" w:hAnsi="Arial" w:cs="Arial"/>
          <w:sz w:val="24"/>
          <w:szCs w:val="24"/>
        </w:rPr>
        <w:t xml:space="preserve"> was moot</w:t>
      </w:r>
      <w:r w:rsidR="008B41E5" w:rsidRPr="0052701D">
        <w:rPr>
          <w:rFonts w:ascii="Arial" w:hAnsi="Arial" w:cs="Arial"/>
          <w:sz w:val="24"/>
          <w:szCs w:val="24"/>
        </w:rPr>
        <w:t>. There is no dispute that the appellants did not persist with relief in terms of prayers 1 and 2</w:t>
      </w:r>
      <w:r w:rsidR="007A3866" w:rsidRPr="0052701D">
        <w:rPr>
          <w:rFonts w:ascii="Arial" w:hAnsi="Arial" w:cs="Arial"/>
          <w:sz w:val="24"/>
          <w:szCs w:val="24"/>
        </w:rPr>
        <w:t xml:space="preserve"> in the </w:t>
      </w:r>
      <w:r w:rsidR="00DB62C1" w:rsidRPr="0052701D">
        <w:rPr>
          <w:rFonts w:ascii="Arial" w:hAnsi="Arial" w:cs="Arial"/>
          <w:sz w:val="24"/>
          <w:szCs w:val="24"/>
        </w:rPr>
        <w:t>C</w:t>
      </w:r>
      <w:r w:rsidR="007A3866" w:rsidRPr="0052701D">
        <w:rPr>
          <w:rFonts w:ascii="Arial" w:hAnsi="Arial" w:cs="Arial"/>
          <w:sz w:val="24"/>
          <w:szCs w:val="24"/>
        </w:rPr>
        <w:t xml:space="preserve">ourt </w:t>
      </w:r>
      <w:r w:rsidR="007A3866" w:rsidRPr="0052701D">
        <w:rPr>
          <w:rFonts w:ascii="Arial" w:hAnsi="Arial" w:cs="Arial"/>
          <w:i/>
          <w:sz w:val="24"/>
          <w:szCs w:val="24"/>
        </w:rPr>
        <w:t>a quo</w:t>
      </w:r>
      <w:r w:rsidR="008B41E5" w:rsidRPr="0052701D">
        <w:rPr>
          <w:rFonts w:ascii="Arial" w:hAnsi="Arial" w:cs="Arial"/>
          <w:sz w:val="24"/>
          <w:szCs w:val="24"/>
        </w:rPr>
        <w:t xml:space="preserve">, these being the prayers framed </w:t>
      </w:r>
      <w:r w:rsidR="00704BAA" w:rsidRPr="0052701D">
        <w:rPr>
          <w:rFonts w:ascii="Arial" w:hAnsi="Arial" w:cs="Arial"/>
          <w:sz w:val="24"/>
          <w:szCs w:val="24"/>
        </w:rPr>
        <w:t>under</w:t>
      </w:r>
      <w:r w:rsidR="008B41E5" w:rsidRPr="0052701D">
        <w:rPr>
          <w:rFonts w:ascii="Arial" w:hAnsi="Arial" w:cs="Arial"/>
          <w:sz w:val="24"/>
          <w:szCs w:val="24"/>
        </w:rPr>
        <w:t xml:space="preserve"> the civil contempt process. In this regard, the appellants </w:t>
      </w:r>
      <w:r w:rsidR="00774D92" w:rsidRPr="0052701D">
        <w:rPr>
          <w:rFonts w:ascii="Arial" w:hAnsi="Arial" w:cs="Arial"/>
          <w:sz w:val="24"/>
          <w:szCs w:val="24"/>
        </w:rPr>
        <w:lastRenderedPageBreak/>
        <w:t xml:space="preserve">informed the </w:t>
      </w:r>
      <w:r w:rsidR="00DB62C1" w:rsidRPr="0052701D">
        <w:rPr>
          <w:rFonts w:ascii="Arial" w:hAnsi="Arial" w:cs="Arial"/>
          <w:sz w:val="24"/>
          <w:szCs w:val="24"/>
        </w:rPr>
        <w:t>C</w:t>
      </w:r>
      <w:r w:rsidR="00774D92" w:rsidRPr="0052701D">
        <w:rPr>
          <w:rFonts w:ascii="Arial" w:hAnsi="Arial" w:cs="Arial"/>
          <w:sz w:val="24"/>
          <w:szCs w:val="24"/>
        </w:rPr>
        <w:t xml:space="preserve">ourt </w:t>
      </w:r>
      <w:r w:rsidR="00774D92" w:rsidRPr="0052701D">
        <w:rPr>
          <w:rFonts w:ascii="Arial" w:hAnsi="Arial" w:cs="Arial"/>
          <w:i/>
          <w:sz w:val="24"/>
          <w:szCs w:val="24"/>
        </w:rPr>
        <w:t xml:space="preserve">a quo </w:t>
      </w:r>
      <w:r w:rsidR="00774D92" w:rsidRPr="0052701D">
        <w:rPr>
          <w:rFonts w:ascii="Arial" w:hAnsi="Arial" w:cs="Arial"/>
          <w:sz w:val="24"/>
          <w:szCs w:val="24"/>
        </w:rPr>
        <w:t xml:space="preserve">at the commencement of the hearing that it would not pursue prayers 1 and 2 because, on the </w:t>
      </w:r>
      <w:r w:rsidR="00774D92" w:rsidRPr="0052701D">
        <w:rPr>
          <w:rFonts w:ascii="Arial" w:hAnsi="Arial" w:cs="Arial"/>
          <w:i/>
          <w:sz w:val="24"/>
          <w:szCs w:val="24"/>
        </w:rPr>
        <w:t xml:space="preserve">Plascon Evans </w:t>
      </w:r>
      <w:r w:rsidR="00774D92" w:rsidRPr="0052701D">
        <w:rPr>
          <w:rFonts w:ascii="Arial" w:hAnsi="Arial" w:cs="Arial"/>
          <w:sz w:val="24"/>
          <w:szCs w:val="24"/>
        </w:rPr>
        <w:t>rule</w:t>
      </w:r>
      <w:r w:rsidR="00605CCD" w:rsidRPr="0052701D">
        <w:rPr>
          <w:rFonts w:ascii="Arial" w:hAnsi="Arial" w:cs="Arial"/>
          <w:sz w:val="24"/>
          <w:szCs w:val="24"/>
        </w:rPr>
        <w:t>,</w:t>
      </w:r>
      <w:r w:rsidR="00A27A4F">
        <w:rPr>
          <w:rStyle w:val="FootnoteReference"/>
          <w:rFonts w:ascii="Arial" w:hAnsi="Arial" w:cs="Arial"/>
          <w:sz w:val="24"/>
          <w:szCs w:val="24"/>
        </w:rPr>
        <w:footnoteReference w:id="16"/>
      </w:r>
      <w:r w:rsidR="00774D92" w:rsidRPr="0052701D">
        <w:rPr>
          <w:rFonts w:ascii="Arial" w:hAnsi="Arial" w:cs="Arial"/>
          <w:sz w:val="24"/>
          <w:szCs w:val="24"/>
        </w:rPr>
        <w:t xml:space="preserve"> it would not be possible to find that the City’s failure to comply with the review orders was either </w:t>
      </w:r>
      <w:r w:rsidR="008B41E5" w:rsidRPr="0052701D">
        <w:rPr>
          <w:rFonts w:ascii="Arial" w:hAnsi="Arial" w:cs="Arial"/>
          <w:i/>
          <w:sz w:val="24"/>
          <w:szCs w:val="24"/>
        </w:rPr>
        <w:t xml:space="preserve">mala fide </w:t>
      </w:r>
      <w:r w:rsidR="00774D92" w:rsidRPr="0052701D">
        <w:rPr>
          <w:rFonts w:ascii="Arial" w:hAnsi="Arial" w:cs="Arial"/>
          <w:sz w:val="24"/>
          <w:szCs w:val="24"/>
        </w:rPr>
        <w:t xml:space="preserve">or </w:t>
      </w:r>
      <w:r w:rsidR="004B62B6" w:rsidRPr="0052701D">
        <w:rPr>
          <w:rFonts w:ascii="Arial" w:hAnsi="Arial" w:cs="Arial"/>
          <w:sz w:val="24"/>
          <w:szCs w:val="24"/>
        </w:rPr>
        <w:t>wilful</w:t>
      </w:r>
      <w:r w:rsidR="00774D92" w:rsidRPr="0052701D">
        <w:rPr>
          <w:rFonts w:ascii="Arial" w:hAnsi="Arial" w:cs="Arial"/>
          <w:sz w:val="24"/>
          <w:szCs w:val="24"/>
        </w:rPr>
        <w:t>. T</w:t>
      </w:r>
      <w:r w:rsidR="008B41E5" w:rsidRPr="0052701D">
        <w:rPr>
          <w:rFonts w:ascii="Arial" w:hAnsi="Arial" w:cs="Arial"/>
          <w:sz w:val="24"/>
          <w:szCs w:val="24"/>
        </w:rPr>
        <w:t xml:space="preserve">hese </w:t>
      </w:r>
      <w:r w:rsidR="00774D92" w:rsidRPr="0052701D">
        <w:rPr>
          <w:rFonts w:ascii="Arial" w:hAnsi="Arial" w:cs="Arial"/>
          <w:sz w:val="24"/>
          <w:szCs w:val="24"/>
        </w:rPr>
        <w:t>are</w:t>
      </w:r>
      <w:r w:rsidR="00605CCD" w:rsidRPr="0052701D">
        <w:rPr>
          <w:rFonts w:ascii="Arial" w:hAnsi="Arial" w:cs="Arial"/>
          <w:sz w:val="24"/>
          <w:szCs w:val="24"/>
        </w:rPr>
        <w:t xml:space="preserve"> </w:t>
      </w:r>
      <w:r w:rsidR="008B41E5" w:rsidRPr="0052701D">
        <w:rPr>
          <w:rFonts w:ascii="Arial" w:hAnsi="Arial" w:cs="Arial"/>
          <w:sz w:val="24"/>
          <w:szCs w:val="24"/>
        </w:rPr>
        <w:t>two requirements for a finding of contempt of court</w:t>
      </w:r>
      <w:r w:rsidR="00774D92" w:rsidRPr="0052701D">
        <w:rPr>
          <w:rFonts w:ascii="Arial" w:hAnsi="Arial" w:cs="Arial"/>
          <w:sz w:val="24"/>
          <w:szCs w:val="24"/>
        </w:rPr>
        <w:t xml:space="preserve"> and are matters in respect of which an alleged contemnor bears an evidentiary burden.</w:t>
      </w:r>
      <w:r w:rsidR="00DB62C1">
        <w:rPr>
          <w:rStyle w:val="FootnoteReference"/>
          <w:rFonts w:ascii="Arial" w:hAnsi="Arial" w:cs="Arial"/>
          <w:sz w:val="24"/>
          <w:szCs w:val="24"/>
        </w:rPr>
        <w:footnoteReference w:id="17"/>
      </w:r>
    </w:p>
    <w:p w14:paraId="6709FBD6" w14:textId="77777777" w:rsidR="007A3866" w:rsidRDefault="007A3866" w:rsidP="00CE076A">
      <w:pPr>
        <w:pStyle w:val="ListParagraph"/>
        <w:spacing w:line="360" w:lineRule="auto"/>
        <w:ind w:left="360"/>
        <w:rPr>
          <w:rFonts w:ascii="Arial" w:hAnsi="Arial" w:cs="Arial"/>
          <w:sz w:val="24"/>
          <w:szCs w:val="24"/>
        </w:rPr>
      </w:pPr>
    </w:p>
    <w:p w14:paraId="164FAA36" w14:textId="3D43A2C8" w:rsidR="0049051B" w:rsidRPr="0052701D" w:rsidRDefault="0052701D" w:rsidP="0052701D">
      <w:pPr>
        <w:spacing w:line="360" w:lineRule="auto"/>
        <w:ind w:left="360" w:hanging="360"/>
        <w:rPr>
          <w:rFonts w:ascii="Arial" w:hAnsi="Arial" w:cs="Arial"/>
          <w:sz w:val="24"/>
          <w:szCs w:val="24"/>
        </w:rPr>
      </w:pPr>
      <w:r w:rsidRPr="007A3866">
        <w:rPr>
          <w:rFonts w:ascii="Arial" w:hAnsi="Arial" w:cs="Arial"/>
          <w:sz w:val="24"/>
          <w:szCs w:val="24"/>
        </w:rPr>
        <w:t>36.</w:t>
      </w:r>
      <w:r w:rsidRPr="007A3866">
        <w:rPr>
          <w:rFonts w:ascii="Arial" w:hAnsi="Arial" w:cs="Arial"/>
          <w:sz w:val="24"/>
          <w:szCs w:val="24"/>
        </w:rPr>
        <w:tab/>
      </w:r>
      <w:r w:rsidR="008B41E5" w:rsidRPr="0052701D">
        <w:rPr>
          <w:rFonts w:ascii="Arial" w:hAnsi="Arial" w:cs="Arial"/>
          <w:sz w:val="24"/>
          <w:szCs w:val="24"/>
        </w:rPr>
        <w:t>However, the appellants did not abandon prayer 3</w:t>
      </w:r>
      <w:r w:rsidR="009962DE" w:rsidRPr="0052701D">
        <w:rPr>
          <w:rFonts w:ascii="Arial" w:hAnsi="Arial" w:cs="Arial"/>
          <w:sz w:val="24"/>
          <w:szCs w:val="24"/>
        </w:rPr>
        <w:t xml:space="preserve">. To recap: </w:t>
      </w:r>
      <w:r w:rsidR="007A3866" w:rsidRPr="0052701D">
        <w:rPr>
          <w:rFonts w:ascii="Arial" w:hAnsi="Arial" w:cs="Arial"/>
          <w:sz w:val="24"/>
          <w:szCs w:val="24"/>
        </w:rPr>
        <w:t>I</w:t>
      </w:r>
      <w:r w:rsidR="009962DE" w:rsidRPr="0052701D">
        <w:rPr>
          <w:rFonts w:ascii="Arial" w:hAnsi="Arial" w:cs="Arial"/>
          <w:sz w:val="24"/>
          <w:szCs w:val="24"/>
        </w:rPr>
        <w:t>n prayer 3, the appellants sought</w:t>
      </w:r>
      <w:r w:rsidR="004B62B6" w:rsidRPr="0052701D">
        <w:rPr>
          <w:rFonts w:ascii="Arial" w:hAnsi="Arial" w:cs="Arial"/>
          <w:sz w:val="24"/>
          <w:szCs w:val="24"/>
        </w:rPr>
        <w:t>, in the alternative to prayers 1 and 2,</w:t>
      </w:r>
      <w:r w:rsidR="009962DE" w:rsidRPr="0052701D">
        <w:rPr>
          <w:rFonts w:ascii="Arial" w:hAnsi="Arial" w:cs="Arial"/>
          <w:sz w:val="24"/>
          <w:szCs w:val="24"/>
        </w:rPr>
        <w:t xml:space="preserve"> </w:t>
      </w:r>
      <w:r w:rsidR="00774D92" w:rsidRPr="0052701D">
        <w:rPr>
          <w:rFonts w:ascii="Arial" w:hAnsi="Arial" w:cs="Arial"/>
          <w:sz w:val="24"/>
          <w:szCs w:val="24"/>
        </w:rPr>
        <w:t>a declarator</w:t>
      </w:r>
      <w:r w:rsidR="00D276AF" w:rsidRPr="0052701D">
        <w:rPr>
          <w:rFonts w:ascii="Arial" w:hAnsi="Arial" w:cs="Arial"/>
          <w:sz w:val="24"/>
          <w:szCs w:val="24"/>
        </w:rPr>
        <w:t>y order</w:t>
      </w:r>
      <w:r w:rsidR="008B41E5" w:rsidRPr="0052701D">
        <w:rPr>
          <w:rFonts w:ascii="Arial" w:hAnsi="Arial" w:cs="Arial"/>
          <w:sz w:val="24"/>
          <w:szCs w:val="24"/>
        </w:rPr>
        <w:t xml:space="preserve"> that the respondents </w:t>
      </w:r>
      <w:r w:rsidR="00774D92" w:rsidRPr="0052701D">
        <w:rPr>
          <w:rFonts w:ascii="Arial" w:hAnsi="Arial" w:cs="Arial"/>
          <w:sz w:val="24"/>
          <w:szCs w:val="24"/>
        </w:rPr>
        <w:t>are in breach of their constitutional obligations to adhere to and take all necessary steps to give effect to the review orders and an order against the second respondent, within 30 days of the order, to take all necessary steps to give effect to the review orders and to report to the Court and the appellants’ attorney</w:t>
      </w:r>
      <w:r w:rsidR="0049051B" w:rsidRPr="0052701D">
        <w:rPr>
          <w:rFonts w:ascii="Arial" w:hAnsi="Arial" w:cs="Arial"/>
          <w:sz w:val="24"/>
          <w:szCs w:val="24"/>
        </w:rPr>
        <w:t>,</w:t>
      </w:r>
      <w:r w:rsidR="00774D92" w:rsidRPr="0052701D">
        <w:rPr>
          <w:rFonts w:ascii="Arial" w:hAnsi="Arial" w:cs="Arial"/>
          <w:sz w:val="24"/>
          <w:szCs w:val="24"/>
        </w:rPr>
        <w:t xml:space="preserve"> on oath</w:t>
      </w:r>
      <w:r w:rsidR="0049051B" w:rsidRPr="0052701D">
        <w:rPr>
          <w:rFonts w:ascii="Arial" w:hAnsi="Arial" w:cs="Arial"/>
          <w:sz w:val="24"/>
          <w:szCs w:val="24"/>
        </w:rPr>
        <w:t>,</w:t>
      </w:r>
      <w:r w:rsidR="00774D92" w:rsidRPr="0052701D">
        <w:rPr>
          <w:rFonts w:ascii="Arial" w:hAnsi="Arial" w:cs="Arial"/>
          <w:sz w:val="24"/>
          <w:szCs w:val="24"/>
        </w:rPr>
        <w:t xml:space="preserve"> regarding compliance.</w:t>
      </w:r>
    </w:p>
    <w:p w14:paraId="3E327C7B" w14:textId="77777777" w:rsidR="00774D92" w:rsidRPr="00CE076A" w:rsidRDefault="00774D92" w:rsidP="00CE076A">
      <w:pPr>
        <w:pStyle w:val="ListParagraph"/>
        <w:spacing w:line="360" w:lineRule="auto"/>
        <w:ind w:left="360"/>
        <w:rPr>
          <w:rFonts w:ascii="Arial" w:hAnsi="Arial" w:cs="Arial"/>
          <w:color w:val="D55816" w:themeColor="accent2"/>
          <w:sz w:val="24"/>
          <w:szCs w:val="24"/>
        </w:rPr>
      </w:pPr>
    </w:p>
    <w:p w14:paraId="1838B3C3" w14:textId="68FD68F6" w:rsidR="00B74B80" w:rsidRPr="0052701D" w:rsidRDefault="0052701D" w:rsidP="0052701D">
      <w:pPr>
        <w:spacing w:line="360" w:lineRule="auto"/>
        <w:ind w:left="360" w:hanging="360"/>
        <w:rPr>
          <w:rFonts w:ascii="Arial" w:hAnsi="Arial" w:cs="Arial"/>
          <w:sz w:val="24"/>
          <w:szCs w:val="24"/>
        </w:rPr>
      </w:pPr>
      <w:r w:rsidRPr="004B62B6">
        <w:rPr>
          <w:rFonts w:ascii="Arial" w:hAnsi="Arial" w:cs="Arial"/>
          <w:sz w:val="24"/>
          <w:szCs w:val="24"/>
        </w:rPr>
        <w:t>37.</w:t>
      </w:r>
      <w:r w:rsidRPr="004B62B6">
        <w:rPr>
          <w:rFonts w:ascii="Arial" w:hAnsi="Arial" w:cs="Arial"/>
          <w:sz w:val="24"/>
          <w:szCs w:val="24"/>
        </w:rPr>
        <w:tab/>
      </w:r>
      <w:r w:rsidR="006C6F79" w:rsidRPr="0052701D">
        <w:rPr>
          <w:rFonts w:ascii="Arial" w:hAnsi="Arial" w:cs="Arial"/>
          <w:sz w:val="24"/>
          <w:szCs w:val="24"/>
        </w:rPr>
        <w:t>As Mr Ferreira submitted on behalf of the appellants, a</w:t>
      </w:r>
      <w:r w:rsidR="00774D92" w:rsidRPr="0052701D">
        <w:rPr>
          <w:rFonts w:ascii="Arial" w:hAnsi="Arial" w:cs="Arial"/>
          <w:sz w:val="24"/>
          <w:szCs w:val="24"/>
        </w:rPr>
        <w:t xml:space="preserve"> matter is moot when the Court’s judgment will have no practical</w:t>
      </w:r>
      <w:r w:rsidR="006C6F79" w:rsidRPr="0052701D">
        <w:rPr>
          <w:rFonts w:ascii="Arial" w:hAnsi="Arial" w:cs="Arial"/>
          <w:sz w:val="24"/>
          <w:szCs w:val="24"/>
        </w:rPr>
        <w:t xml:space="preserve"> effect on the parties: </w:t>
      </w:r>
      <w:r w:rsidR="00774D92" w:rsidRPr="0052701D">
        <w:rPr>
          <w:rFonts w:ascii="Arial" w:hAnsi="Arial" w:cs="Arial"/>
          <w:sz w:val="24"/>
          <w:szCs w:val="24"/>
        </w:rPr>
        <w:t>Where a matter presents a live or existing controversy, it is not moot.</w:t>
      </w:r>
      <w:r w:rsidR="008F6E9F">
        <w:rPr>
          <w:rStyle w:val="FootnoteReference"/>
          <w:rFonts w:ascii="Arial" w:hAnsi="Arial" w:cs="Arial"/>
          <w:sz w:val="24"/>
          <w:szCs w:val="24"/>
        </w:rPr>
        <w:footnoteReference w:id="18"/>
      </w:r>
      <w:r w:rsidR="00774D92" w:rsidRPr="0052701D">
        <w:rPr>
          <w:rFonts w:ascii="Arial" w:hAnsi="Arial" w:cs="Arial"/>
          <w:sz w:val="24"/>
          <w:szCs w:val="24"/>
        </w:rPr>
        <w:t xml:space="preserve"> </w:t>
      </w:r>
      <w:r w:rsidR="007A3866" w:rsidRPr="0052701D">
        <w:rPr>
          <w:rFonts w:ascii="Arial" w:hAnsi="Arial" w:cs="Arial"/>
          <w:sz w:val="24"/>
          <w:szCs w:val="24"/>
        </w:rPr>
        <w:t>I agree with the appellants</w:t>
      </w:r>
      <w:r w:rsidR="006C6F79" w:rsidRPr="0052701D">
        <w:rPr>
          <w:rFonts w:ascii="Arial" w:hAnsi="Arial" w:cs="Arial"/>
          <w:sz w:val="24"/>
          <w:szCs w:val="24"/>
        </w:rPr>
        <w:t xml:space="preserve"> that </w:t>
      </w:r>
      <w:r w:rsidR="00E952E8" w:rsidRPr="0052701D">
        <w:rPr>
          <w:rFonts w:ascii="Arial" w:hAnsi="Arial" w:cs="Arial"/>
          <w:sz w:val="24"/>
          <w:szCs w:val="24"/>
        </w:rPr>
        <w:t xml:space="preserve">when the relief in prayer 3 was sought, it concerned, and still concerns, a </w:t>
      </w:r>
      <w:r w:rsidR="00510736" w:rsidRPr="0052701D">
        <w:rPr>
          <w:rFonts w:ascii="Arial" w:hAnsi="Arial" w:cs="Arial"/>
          <w:sz w:val="24"/>
          <w:szCs w:val="24"/>
        </w:rPr>
        <w:t>live or existing controversy</w:t>
      </w:r>
      <w:r w:rsidR="00E952E8" w:rsidRPr="0052701D">
        <w:rPr>
          <w:rFonts w:ascii="Arial" w:hAnsi="Arial" w:cs="Arial"/>
          <w:sz w:val="24"/>
          <w:szCs w:val="24"/>
        </w:rPr>
        <w:t>. Put simply, the parties remain</w:t>
      </w:r>
      <w:r w:rsidR="00DB62C1" w:rsidRPr="0052701D">
        <w:rPr>
          <w:rFonts w:ascii="Arial" w:hAnsi="Arial" w:cs="Arial"/>
          <w:sz w:val="24"/>
          <w:szCs w:val="24"/>
        </w:rPr>
        <w:t>ed (and still remain)</w:t>
      </w:r>
      <w:r w:rsidR="00E952E8" w:rsidRPr="0052701D">
        <w:rPr>
          <w:rFonts w:ascii="Arial" w:hAnsi="Arial" w:cs="Arial"/>
          <w:sz w:val="24"/>
          <w:szCs w:val="24"/>
        </w:rPr>
        <w:t xml:space="preserve"> in dispute as to whether the</w:t>
      </w:r>
      <w:r w:rsidR="00DB62C1" w:rsidRPr="0052701D">
        <w:rPr>
          <w:rFonts w:ascii="Arial" w:hAnsi="Arial" w:cs="Arial"/>
          <w:sz w:val="24"/>
          <w:szCs w:val="24"/>
        </w:rPr>
        <w:t xml:space="preserve"> City has complied with the</w:t>
      </w:r>
      <w:r w:rsidR="00E952E8" w:rsidRPr="0052701D">
        <w:rPr>
          <w:rFonts w:ascii="Arial" w:hAnsi="Arial" w:cs="Arial"/>
          <w:sz w:val="24"/>
          <w:szCs w:val="24"/>
        </w:rPr>
        <w:t xml:space="preserve"> review orders and whether further steps are required to give effect thereto. </w:t>
      </w:r>
      <w:r w:rsidR="00BB7AC8" w:rsidRPr="0052701D">
        <w:rPr>
          <w:rFonts w:ascii="Arial" w:hAnsi="Arial" w:cs="Arial"/>
          <w:sz w:val="24"/>
          <w:szCs w:val="24"/>
        </w:rPr>
        <w:t>Indeed, in the City’s heads of argument, counsel effectively concedes that the finding of mootness was technically incorrect. The City rather submits that the application for the relief in prayer 3 should have been dismissed on the merits. But that is a different question.</w:t>
      </w:r>
    </w:p>
    <w:p w14:paraId="3A90FC84" w14:textId="77777777" w:rsidR="00510736" w:rsidRPr="00CE076A" w:rsidRDefault="00510736" w:rsidP="00CE076A">
      <w:pPr>
        <w:pStyle w:val="ListParagraph"/>
        <w:spacing w:line="360" w:lineRule="auto"/>
        <w:ind w:left="360"/>
        <w:rPr>
          <w:rFonts w:ascii="Arial" w:hAnsi="Arial" w:cs="Arial"/>
          <w:color w:val="D55816" w:themeColor="accent2"/>
          <w:sz w:val="24"/>
          <w:szCs w:val="24"/>
        </w:rPr>
      </w:pPr>
    </w:p>
    <w:p w14:paraId="67341A62" w14:textId="4550532E" w:rsidR="00E952E8" w:rsidRPr="0052701D" w:rsidRDefault="0052701D" w:rsidP="0052701D">
      <w:pPr>
        <w:spacing w:line="360" w:lineRule="auto"/>
        <w:ind w:left="360" w:hanging="360"/>
        <w:rPr>
          <w:rFonts w:ascii="Arial" w:hAnsi="Arial" w:cs="Arial"/>
          <w:sz w:val="24"/>
          <w:szCs w:val="24"/>
        </w:rPr>
      </w:pPr>
      <w:r>
        <w:rPr>
          <w:rFonts w:ascii="Arial" w:hAnsi="Arial" w:cs="Arial"/>
          <w:sz w:val="24"/>
          <w:szCs w:val="24"/>
        </w:rPr>
        <w:lastRenderedPageBreak/>
        <w:t>38.</w:t>
      </w:r>
      <w:r>
        <w:rPr>
          <w:rFonts w:ascii="Arial" w:hAnsi="Arial" w:cs="Arial"/>
          <w:sz w:val="24"/>
          <w:szCs w:val="24"/>
        </w:rPr>
        <w:tab/>
      </w:r>
      <w:r w:rsidR="00510736" w:rsidRPr="0052701D">
        <w:rPr>
          <w:rFonts w:ascii="Arial" w:hAnsi="Arial" w:cs="Arial"/>
          <w:sz w:val="24"/>
          <w:szCs w:val="24"/>
        </w:rPr>
        <w:t xml:space="preserve">I accordingly agree with the appellants that the </w:t>
      </w:r>
      <w:r w:rsidR="00DB62C1" w:rsidRPr="0052701D">
        <w:rPr>
          <w:rFonts w:ascii="Arial" w:hAnsi="Arial" w:cs="Arial"/>
          <w:sz w:val="24"/>
          <w:szCs w:val="24"/>
        </w:rPr>
        <w:t>C</w:t>
      </w:r>
      <w:r w:rsidR="00510736" w:rsidRPr="0052701D">
        <w:rPr>
          <w:rFonts w:ascii="Arial" w:hAnsi="Arial" w:cs="Arial"/>
          <w:sz w:val="24"/>
          <w:szCs w:val="24"/>
        </w:rPr>
        <w:t xml:space="preserve">ourt </w:t>
      </w:r>
      <w:r w:rsidR="00510736" w:rsidRPr="0052701D">
        <w:rPr>
          <w:rFonts w:ascii="Arial" w:hAnsi="Arial" w:cs="Arial"/>
          <w:i/>
          <w:sz w:val="24"/>
          <w:szCs w:val="24"/>
        </w:rPr>
        <w:t xml:space="preserve">a quo </w:t>
      </w:r>
      <w:r w:rsidR="00510736" w:rsidRPr="0052701D">
        <w:rPr>
          <w:rFonts w:ascii="Arial" w:hAnsi="Arial" w:cs="Arial"/>
          <w:sz w:val="24"/>
          <w:szCs w:val="24"/>
        </w:rPr>
        <w:t>erred in finding that the relief sought in prayer 3 was moot.</w:t>
      </w:r>
      <w:r w:rsidR="00510736">
        <w:rPr>
          <w:rStyle w:val="FootnoteReference"/>
          <w:rFonts w:ascii="Arial" w:hAnsi="Arial" w:cs="Arial"/>
          <w:sz w:val="24"/>
          <w:szCs w:val="24"/>
        </w:rPr>
        <w:footnoteReference w:id="19"/>
      </w:r>
      <w:r w:rsidR="00510736" w:rsidRPr="0052701D">
        <w:rPr>
          <w:rFonts w:ascii="Arial" w:hAnsi="Arial" w:cs="Arial"/>
          <w:sz w:val="24"/>
          <w:szCs w:val="24"/>
        </w:rPr>
        <w:t xml:space="preserve"> In the re</w:t>
      </w:r>
      <w:r w:rsidR="004B62B6" w:rsidRPr="0052701D">
        <w:rPr>
          <w:rFonts w:ascii="Arial" w:hAnsi="Arial" w:cs="Arial"/>
          <w:sz w:val="24"/>
          <w:szCs w:val="24"/>
        </w:rPr>
        <w:t>sult, it falls upon the appeal C</w:t>
      </w:r>
      <w:r w:rsidR="00510736" w:rsidRPr="0052701D">
        <w:rPr>
          <w:rFonts w:ascii="Arial" w:hAnsi="Arial" w:cs="Arial"/>
          <w:sz w:val="24"/>
          <w:szCs w:val="24"/>
        </w:rPr>
        <w:t>ourt to decide whether the relief</w:t>
      </w:r>
      <w:r w:rsidR="00E952E8" w:rsidRPr="0052701D">
        <w:rPr>
          <w:rFonts w:ascii="Arial" w:hAnsi="Arial" w:cs="Arial"/>
          <w:sz w:val="24"/>
          <w:szCs w:val="24"/>
        </w:rPr>
        <w:t xml:space="preserve"> sought in prayer 3</w:t>
      </w:r>
      <w:r w:rsidR="00755C55" w:rsidRPr="0052701D">
        <w:rPr>
          <w:rFonts w:ascii="Arial" w:hAnsi="Arial" w:cs="Arial"/>
          <w:sz w:val="24"/>
          <w:szCs w:val="24"/>
        </w:rPr>
        <w:t>, and any related relief,</w:t>
      </w:r>
      <w:r w:rsidR="00B74B80" w:rsidRPr="0052701D">
        <w:rPr>
          <w:rFonts w:ascii="Arial" w:hAnsi="Arial" w:cs="Arial"/>
          <w:sz w:val="24"/>
          <w:szCs w:val="24"/>
        </w:rPr>
        <w:t xml:space="preserve"> </w:t>
      </w:r>
      <w:r w:rsidR="00510736" w:rsidRPr="0052701D">
        <w:rPr>
          <w:rFonts w:ascii="Arial" w:hAnsi="Arial" w:cs="Arial"/>
          <w:sz w:val="24"/>
          <w:szCs w:val="24"/>
        </w:rPr>
        <w:t>should have been granted.</w:t>
      </w:r>
    </w:p>
    <w:p w14:paraId="54E517EA" w14:textId="77777777" w:rsidR="00E952E8" w:rsidRPr="00CE076A" w:rsidRDefault="00E952E8" w:rsidP="00CE076A">
      <w:pPr>
        <w:spacing w:line="240" w:lineRule="auto"/>
        <w:rPr>
          <w:rFonts w:ascii="Arial" w:hAnsi="Arial" w:cs="Arial"/>
          <w:sz w:val="24"/>
          <w:szCs w:val="24"/>
        </w:rPr>
      </w:pPr>
    </w:p>
    <w:p w14:paraId="73D33E93" w14:textId="23FFCA49" w:rsidR="00E952E8" w:rsidRDefault="00E952E8" w:rsidP="00CE076A">
      <w:pPr>
        <w:spacing w:line="360" w:lineRule="auto"/>
        <w:rPr>
          <w:rFonts w:ascii="Arial" w:hAnsi="Arial" w:cs="Arial"/>
          <w:b/>
          <w:sz w:val="24"/>
          <w:szCs w:val="24"/>
        </w:rPr>
      </w:pPr>
      <w:r w:rsidRPr="00E952E8">
        <w:rPr>
          <w:rFonts w:ascii="Arial" w:hAnsi="Arial" w:cs="Arial"/>
          <w:b/>
          <w:sz w:val="24"/>
          <w:szCs w:val="24"/>
        </w:rPr>
        <w:t>The second</w:t>
      </w:r>
      <w:r w:rsidR="00DB62C1">
        <w:rPr>
          <w:rFonts w:ascii="Arial" w:hAnsi="Arial" w:cs="Arial"/>
          <w:b/>
          <w:sz w:val="24"/>
          <w:szCs w:val="24"/>
        </w:rPr>
        <w:t xml:space="preserve"> </w:t>
      </w:r>
      <w:r w:rsidRPr="00E952E8">
        <w:rPr>
          <w:rFonts w:ascii="Arial" w:hAnsi="Arial" w:cs="Arial"/>
          <w:b/>
          <w:sz w:val="24"/>
          <w:szCs w:val="24"/>
        </w:rPr>
        <w:t xml:space="preserve">issue: </w:t>
      </w:r>
      <w:r>
        <w:rPr>
          <w:rFonts w:ascii="Arial" w:hAnsi="Arial" w:cs="Arial"/>
          <w:b/>
          <w:sz w:val="24"/>
          <w:szCs w:val="24"/>
        </w:rPr>
        <w:t>A new case</w:t>
      </w:r>
      <w:r w:rsidR="00225600">
        <w:rPr>
          <w:rFonts w:ascii="Arial" w:hAnsi="Arial" w:cs="Arial"/>
          <w:b/>
          <w:sz w:val="24"/>
          <w:szCs w:val="24"/>
        </w:rPr>
        <w:t xml:space="preserve"> and new matter</w:t>
      </w:r>
      <w:r>
        <w:rPr>
          <w:rFonts w:ascii="Arial" w:hAnsi="Arial" w:cs="Arial"/>
          <w:b/>
          <w:sz w:val="24"/>
          <w:szCs w:val="24"/>
        </w:rPr>
        <w:t xml:space="preserve"> in reply?</w:t>
      </w:r>
    </w:p>
    <w:p w14:paraId="0A14940D" w14:textId="178DB74D" w:rsidR="00BB7AC8" w:rsidRPr="0052701D" w:rsidRDefault="0052701D" w:rsidP="0052701D">
      <w:pPr>
        <w:spacing w:line="360" w:lineRule="auto"/>
        <w:ind w:left="360" w:hanging="360"/>
        <w:rPr>
          <w:rFonts w:ascii="Arial" w:hAnsi="Arial" w:cs="Arial"/>
          <w:sz w:val="24"/>
          <w:szCs w:val="24"/>
        </w:rPr>
      </w:pPr>
      <w:r>
        <w:rPr>
          <w:rFonts w:ascii="Arial" w:hAnsi="Arial" w:cs="Arial"/>
          <w:sz w:val="24"/>
          <w:szCs w:val="24"/>
        </w:rPr>
        <w:t>39.</w:t>
      </w:r>
      <w:r>
        <w:rPr>
          <w:rFonts w:ascii="Arial" w:hAnsi="Arial" w:cs="Arial"/>
          <w:sz w:val="24"/>
          <w:szCs w:val="24"/>
        </w:rPr>
        <w:tab/>
      </w:r>
      <w:r w:rsidR="00E952E8" w:rsidRPr="0052701D">
        <w:rPr>
          <w:rFonts w:ascii="Arial" w:hAnsi="Arial" w:cs="Arial"/>
          <w:sz w:val="24"/>
          <w:szCs w:val="24"/>
        </w:rPr>
        <w:t>The second issue is w</w:t>
      </w:r>
      <w:r w:rsidR="004B62B6" w:rsidRPr="0052701D">
        <w:rPr>
          <w:rFonts w:ascii="Arial" w:hAnsi="Arial" w:cs="Arial"/>
          <w:sz w:val="24"/>
          <w:szCs w:val="24"/>
        </w:rPr>
        <w:t>hether the C</w:t>
      </w:r>
      <w:r w:rsidR="00155C33" w:rsidRPr="0052701D">
        <w:rPr>
          <w:rFonts w:ascii="Arial" w:hAnsi="Arial" w:cs="Arial"/>
          <w:sz w:val="24"/>
          <w:szCs w:val="24"/>
        </w:rPr>
        <w:t xml:space="preserve">ourt </w:t>
      </w:r>
      <w:r w:rsidR="00155C33" w:rsidRPr="0052701D">
        <w:rPr>
          <w:rFonts w:ascii="Arial" w:hAnsi="Arial" w:cs="Arial"/>
          <w:i/>
          <w:sz w:val="24"/>
          <w:szCs w:val="24"/>
        </w:rPr>
        <w:t xml:space="preserve">a quo </w:t>
      </w:r>
      <w:r w:rsidR="00155C33" w:rsidRPr="0052701D">
        <w:rPr>
          <w:rFonts w:ascii="Arial" w:hAnsi="Arial" w:cs="Arial"/>
          <w:sz w:val="24"/>
          <w:szCs w:val="24"/>
        </w:rPr>
        <w:t>was correct in finding that the appellants had impermissibly</w:t>
      </w:r>
      <w:r w:rsidR="00E952E8" w:rsidRPr="0052701D">
        <w:rPr>
          <w:rFonts w:ascii="Arial" w:hAnsi="Arial" w:cs="Arial"/>
          <w:sz w:val="24"/>
          <w:szCs w:val="24"/>
        </w:rPr>
        <w:t xml:space="preserve"> made out their case in reply and impermissibly introduced </w:t>
      </w:r>
      <w:r w:rsidR="00BB7AC8" w:rsidRPr="0052701D">
        <w:rPr>
          <w:rFonts w:ascii="Arial" w:hAnsi="Arial" w:cs="Arial"/>
          <w:sz w:val="24"/>
          <w:szCs w:val="24"/>
        </w:rPr>
        <w:t xml:space="preserve">a new cause of action </w:t>
      </w:r>
      <w:r w:rsidR="00E952E8" w:rsidRPr="0052701D">
        <w:rPr>
          <w:rFonts w:ascii="Arial" w:hAnsi="Arial" w:cs="Arial"/>
          <w:sz w:val="24"/>
          <w:szCs w:val="24"/>
        </w:rPr>
        <w:t>in reply.</w:t>
      </w:r>
      <w:r w:rsidR="00BB7AC8" w:rsidRPr="0052701D">
        <w:rPr>
          <w:rFonts w:ascii="Arial" w:hAnsi="Arial" w:cs="Arial"/>
          <w:sz w:val="24"/>
          <w:szCs w:val="24"/>
        </w:rPr>
        <w:t xml:space="preserve"> The appellants submit that they did not. The City submits that the Court </w:t>
      </w:r>
      <w:r w:rsidR="00BB7AC8" w:rsidRPr="0052701D">
        <w:rPr>
          <w:rFonts w:ascii="Arial" w:hAnsi="Arial" w:cs="Arial"/>
          <w:i/>
          <w:sz w:val="24"/>
          <w:szCs w:val="24"/>
        </w:rPr>
        <w:t>a quo</w:t>
      </w:r>
      <w:r w:rsidR="00BB7AC8" w:rsidRPr="0052701D">
        <w:rPr>
          <w:rFonts w:ascii="Arial" w:hAnsi="Arial" w:cs="Arial"/>
          <w:sz w:val="24"/>
          <w:szCs w:val="24"/>
        </w:rPr>
        <w:t xml:space="preserve"> was correct in finding that they did. </w:t>
      </w:r>
      <w:r w:rsidR="00E952E8" w:rsidRPr="0052701D">
        <w:rPr>
          <w:rFonts w:ascii="Arial" w:hAnsi="Arial" w:cs="Arial"/>
          <w:sz w:val="24"/>
          <w:szCs w:val="24"/>
        </w:rPr>
        <w:t xml:space="preserve">In </w:t>
      </w:r>
      <w:r w:rsidR="004B62B6" w:rsidRPr="0052701D">
        <w:rPr>
          <w:rFonts w:ascii="Arial" w:hAnsi="Arial" w:cs="Arial"/>
          <w:sz w:val="24"/>
          <w:szCs w:val="24"/>
        </w:rPr>
        <w:t>my view, they did neither, and the C</w:t>
      </w:r>
      <w:r w:rsidR="00E952E8" w:rsidRPr="0052701D">
        <w:rPr>
          <w:rFonts w:ascii="Arial" w:hAnsi="Arial" w:cs="Arial"/>
          <w:sz w:val="24"/>
          <w:szCs w:val="24"/>
        </w:rPr>
        <w:t xml:space="preserve">ourt </w:t>
      </w:r>
      <w:r w:rsidR="00E952E8" w:rsidRPr="0052701D">
        <w:rPr>
          <w:rFonts w:ascii="Arial" w:hAnsi="Arial" w:cs="Arial"/>
          <w:i/>
          <w:sz w:val="24"/>
          <w:szCs w:val="24"/>
        </w:rPr>
        <w:t xml:space="preserve">a quo </w:t>
      </w:r>
      <w:r w:rsidR="004B62B6" w:rsidRPr="0052701D">
        <w:rPr>
          <w:rFonts w:ascii="Arial" w:hAnsi="Arial" w:cs="Arial"/>
          <w:sz w:val="24"/>
          <w:szCs w:val="24"/>
        </w:rPr>
        <w:t xml:space="preserve">accordingly </w:t>
      </w:r>
      <w:r w:rsidR="00E952E8" w:rsidRPr="0052701D">
        <w:rPr>
          <w:rFonts w:ascii="Arial" w:hAnsi="Arial" w:cs="Arial"/>
          <w:sz w:val="24"/>
          <w:szCs w:val="24"/>
        </w:rPr>
        <w:t>erred in this regard too.</w:t>
      </w:r>
    </w:p>
    <w:p w14:paraId="528079EF" w14:textId="6C3D26BD" w:rsidR="00155C33" w:rsidRDefault="00155C33" w:rsidP="00CE076A">
      <w:pPr>
        <w:pStyle w:val="ListParagraph"/>
        <w:spacing w:line="360" w:lineRule="auto"/>
        <w:ind w:left="360"/>
        <w:rPr>
          <w:rFonts w:ascii="Arial" w:hAnsi="Arial" w:cs="Arial"/>
          <w:sz w:val="24"/>
          <w:szCs w:val="24"/>
        </w:rPr>
      </w:pPr>
    </w:p>
    <w:p w14:paraId="25D29D0B" w14:textId="3E4A5185" w:rsidR="007876C9" w:rsidRPr="0052701D" w:rsidRDefault="0052701D" w:rsidP="0052701D">
      <w:pPr>
        <w:spacing w:line="360" w:lineRule="auto"/>
        <w:ind w:left="360" w:hanging="360"/>
        <w:rPr>
          <w:rFonts w:ascii="Arial" w:hAnsi="Arial" w:cs="Arial"/>
          <w:sz w:val="24"/>
          <w:szCs w:val="24"/>
        </w:rPr>
      </w:pPr>
      <w:r>
        <w:rPr>
          <w:rFonts w:ascii="Arial" w:hAnsi="Arial" w:cs="Arial"/>
          <w:sz w:val="24"/>
          <w:szCs w:val="24"/>
        </w:rPr>
        <w:t>40.</w:t>
      </w:r>
      <w:r>
        <w:rPr>
          <w:rFonts w:ascii="Arial" w:hAnsi="Arial" w:cs="Arial"/>
          <w:sz w:val="24"/>
          <w:szCs w:val="24"/>
        </w:rPr>
        <w:tab/>
      </w:r>
      <w:r w:rsidR="00E952E8" w:rsidRPr="0052701D">
        <w:rPr>
          <w:rFonts w:ascii="Arial" w:hAnsi="Arial" w:cs="Arial"/>
          <w:sz w:val="24"/>
          <w:szCs w:val="24"/>
        </w:rPr>
        <w:t>T</w:t>
      </w:r>
      <w:r w:rsidR="007876C9" w:rsidRPr="0052701D">
        <w:rPr>
          <w:rFonts w:ascii="Arial" w:hAnsi="Arial" w:cs="Arial"/>
          <w:sz w:val="24"/>
          <w:szCs w:val="24"/>
        </w:rPr>
        <w:t>he case that was advanced in the founding affidavit and ultimately persisted with</w:t>
      </w:r>
      <w:r w:rsidR="004B62B6" w:rsidRPr="0052701D">
        <w:rPr>
          <w:rFonts w:ascii="Arial" w:hAnsi="Arial" w:cs="Arial"/>
          <w:sz w:val="24"/>
          <w:szCs w:val="24"/>
        </w:rPr>
        <w:t xml:space="preserve"> in the </w:t>
      </w:r>
      <w:r w:rsidR="00DB62C1" w:rsidRPr="0052701D">
        <w:rPr>
          <w:rFonts w:ascii="Arial" w:hAnsi="Arial" w:cs="Arial"/>
          <w:sz w:val="24"/>
          <w:szCs w:val="24"/>
        </w:rPr>
        <w:t>C</w:t>
      </w:r>
      <w:r w:rsidR="004B62B6" w:rsidRPr="0052701D">
        <w:rPr>
          <w:rFonts w:ascii="Arial" w:hAnsi="Arial" w:cs="Arial"/>
          <w:sz w:val="24"/>
          <w:szCs w:val="24"/>
        </w:rPr>
        <w:t xml:space="preserve">ourt </w:t>
      </w:r>
      <w:r w:rsidR="004B62B6" w:rsidRPr="0052701D">
        <w:rPr>
          <w:rFonts w:ascii="Arial" w:hAnsi="Arial" w:cs="Arial"/>
          <w:i/>
          <w:sz w:val="24"/>
          <w:szCs w:val="24"/>
        </w:rPr>
        <w:t>a quo</w:t>
      </w:r>
      <w:r w:rsidR="007876C9" w:rsidRPr="0052701D">
        <w:rPr>
          <w:rFonts w:ascii="Arial" w:hAnsi="Arial" w:cs="Arial"/>
          <w:sz w:val="24"/>
          <w:szCs w:val="24"/>
        </w:rPr>
        <w:t xml:space="preserve"> is relief</w:t>
      </w:r>
      <w:r w:rsidR="004B62B6" w:rsidRPr="0052701D">
        <w:rPr>
          <w:rFonts w:ascii="Arial" w:hAnsi="Arial" w:cs="Arial"/>
          <w:sz w:val="24"/>
          <w:szCs w:val="24"/>
        </w:rPr>
        <w:t xml:space="preserve"> based on prayer 3 and specifically</w:t>
      </w:r>
      <w:r w:rsidR="007876C9" w:rsidRPr="0052701D">
        <w:rPr>
          <w:rFonts w:ascii="Arial" w:hAnsi="Arial" w:cs="Arial"/>
          <w:sz w:val="24"/>
          <w:szCs w:val="24"/>
        </w:rPr>
        <w:t xml:space="preserve"> a finding that the respondents are in breach of their constitutional duties to </w:t>
      </w:r>
      <w:r w:rsidR="00755C55" w:rsidRPr="0052701D">
        <w:rPr>
          <w:rFonts w:ascii="Arial" w:hAnsi="Arial" w:cs="Arial"/>
          <w:sz w:val="24"/>
          <w:szCs w:val="24"/>
        </w:rPr>
        <w:t xml:space="preserve">adhere to and take all necessary steps to </w:t>
      </w:r>
      <w:r w:rsidR="007876C9" w:rsidRPr="0052701D">
        <w:rPr>
          <w:rFonts w:ascii="Arial" w:hAnsi="Arial" w:cs="Arial"/>
          <w:sz w:val="24"/>
          <w:szCs w:val="24"/>
        </w:rPr>
        <w:t>give effect to the review orders.</w:t>
      </w:r>
      <w:r w:rsidR="00E04F95" w:rsidRPr="0052701D">
        <w:rPr>
          <w:rFonts w:ascii="Arial" w:hAnsi="Arial" w:cs="Arial"/>
          <w:sz w:val="24"/>
          <w:szCs w:val="24"/>
        </w:rPr>
        <w:t xml:space="preserve"> </w:t>
      </w:r>
      <w:r w:rsidR="007876C9" w:rsidRPr="0052701D">
        <w:rPr>
          <w:rFonts w:ascii="Arial" w:hAnsi="Arial" w:cs="Arial"/>
          <w:sz w:val="24"/>
          <w:szCs w:val="24"/>
        </w:rPr>
        <w:t>The</w:t>
      </w:r>
      <w:r w:rsidR="004B62B6" w:rsidRPr="0052701D">
        <w:rPr>
          <w:rFonts w:ascii="Arial" w:hAnsi="Arial" w:cs="Arial"/>
          <w:sz w:val="24"/>
          <w:szCs w:val="24"/>
        </w:rPr>
        <w:t xml:space="preserve"> primary</w:t>
      </w:r>
      <w:r w:rsidR="007876C9" w:rsidRPr="0052701D">
        <w:rPr>
          <w:rFonts w:ascii="Arial" w:hAnsi="Arial" w:cs="Arial"/>
          <w:sz w:val="24"/>
          <w:szCs w:val="24"/>
        </w:rPr>
        <w:t xml:space="preserve"> factual pillar grounding this relief</w:t>
      </w:r>
      <w:r w:rsidR="004B62B6" w:rsidRPr="0052701D">
        <w:rPr>
          <w:rFonts w:ascii="Arial" w:hAnsi="Arial" w:cs="Arial"/>
          <w:sz w:val="24"/>
          <w:szCs w:val="24"/>
        </w:rPr>
        <w:t xml:space="preserve"> is </w:t>
      </w:r>
      <w:r w:rsidR="007876C9" w:rsidRPr="0052701D">
        <w:rPr>
          <w:rFonts w:ascii="Arial" w:hAnsi="Arial" w:cs="Arial"/>
          <w:sz w:val="24"/>
          <w:szCs w:val="24"/>
        </w:rPr>
        <w:t xml:space="preserve">the City’s </w:t>
      </w:r>
      <w:r w:rsidR="004B62B6" w:rsidRPr="0052701D">
        <w:rPr>
          <w:rFonts w:ascii="Arial" w:hAnsi="Arial" w:cs="Arial"/>
          <w:sz w:val="24"/>
          <w:szCs w:val="24"/>
        </w:rPr>
        <w:t xml:space="preserve">alleged </w:t>
      </w:r>
      <w:r w:rsidR="007876C9" w:rsidRPr="0052701D">
        <w:rPr>
          <w:rFonts w:ascii="Arial" w:hAnsi="Arial" w:cs="Arial"/>
          <w:sz w:val="24"/>
          <w:szCs w:val="24"/>
        </w:rPr>
        <w:t xml:space="preserve">failure to effect adjustments and credits to the appellants’ accounts so as to give effect to the review orders. That case was advanced in the founding affidavit in circumstances where the City had not effected any adjustments when the review proceedings were instituted at the end of October 2018. </w:t>
      </w:r>
      <w:r w:rsidR="00A408DD" w:rsidRPr="0052701D">
        <w:rPr>
          <w:rFonts w:ascii="Arial" w:hAnsi="Arial" w:cs="Arial"/>
          <w:sz w:val="24"/>
          <w:szCs w:val="24"/>
        </w:rPr>
        <w:t>That was so both as regards the period from July 2011 to June 2013, this being the period governed by the 2012 SVR (the 2012 SVR period) and the period from July 2013 to September 2019, this being the period governed by the 2013 GVR and later the EVR (the 2013 GVR period).</w:t>
      </w:r>
    </w:p>
    <w:p w14:paraId="1BDF72F5" w14:textId="77777777" w:rsidR="00A408DD" w:rsidRDefault="00A408DD" w:rsidP="00CE076A">
      <w:pPr>
        <w:pStyle w:val="ListParagraph"/>
        <w:spacing w:line="360" w:lineRule="auto"/>
        <w:ind w:left="360"/>
        <w:rPr>
          <w:rFonts w:ascii="Arial" w:hAnsi="Arial" w:cs="Arial"/>
          <w:sz w:val="24"/>
          <w:szCs w:val="24"/>
        </w:rPr>
      </w:pPr>
    </w:p>
    <w:p w14:paraId="1077AAC1" w14:textId="54DD99BB" w:rsidR="00E04F95" w:rsidRPr="0052701D" w:rsidRDefault="0052701D" w:rsidP="0052701D">
      <w:pPr>
        <w:spacing w:line="360" w:lineRule="auto"/>
        <w:ind w:left="360" w:hanging="360"/>
        <w:rPr>
          <w:rFonts w:ascii="Arial" w:hAnsi="Arial" w:cs="Arial"/>
          <w:sz w:val="24"/>
          <w:szCs w:val="24"/>
        </w:rPr>
      </w:pPr>
      <w:r>
        <w:rPr>
          <w:rFonts w:ascii="Arial" w:hAnsi="Arial" w:cs="Arial"/>
          <w:sz w:val="24"/>
          <w:szCs w:val="24"/>
        </w:rPr>
        <w:t>41.</w:t>
      </w:r>
      <w:r>
        <w:rPr>
          <w:rFonts w:ascii="Arial" w:hAnsi="Arial" w:cs="Arial"/>
          <w:sz w:val="24"/>
          <w:szCs w:val="24"/>
        </w:rPr>
        <w:tab/>
      </w:r>
      <w:r w:rsidR="007876C9" w:rsidRPr="0052701D">
        <w:rPr>
          <w:rFonts w:ascii="Arial" w:hAnsi="Arial" w:cs="Arial"/>
          <w:sz w:val="24"/>
          <w:szCs w:val="24"/>
        </w:rPr>
        <w:t xml:space="preserve">In the answering affidavit, the City distinguished between its mode of </w:t>
      </w:r>
      <w:r w:rsidR="003F3FE0" w:rsidRPr="0052701D">
        <w:rPr>
          <w:rFonts w:ascii="Arial" w:hAnsi="Arial" w:cs="Arial"/>
          <w:sz w:val="24"/>
          <w:szCs w:val="24"/>
        </w:rPr>
        <w:t>alleged</w:t>
      </w:r>
      <w:r w:rsidR="007876C9" w:rsidRPr="0052701D">
        <w:rPr>
          <w:rFonts w:ascii="Arial" w:hAnsi="Arial" w:cs="Arial"/>
          <w:sz w:val="24"/>
          <w:szCs w:val="24"/>
        </w:rPr>
        <w:t xml:space="preserve"> compliance </w:t>
      </w:r>
      <w:r w:rsidR="00A408DD" w:rsidRPr="0052701D">
        <w:rPr>
          <w:rFonts w:ascii="Arial" w:hAnsi="Arial" w:cs="Arial"/>
          <w:sz w:val="24"/>
          <w:szCs w:val="24"/>
        </w:rPr>
        <w:t>in the 2012 SVR period and the 2013 GVR period. In respect of the former, it claimed it had complied with reference to Annexure</w:t>
      </w:r>
      <w:r w:rsidR="003F3FE0" w:rsidRPr="0052701D">
        <w:rPr>
          <w:rFonts w:ascii="Arial" w:hAnsi="Arial" w:cs="Arial"/>
          <w:sz w:val="24"/>
          <w:szCs w:val="24"/>
        </w:rPr>
        <w:t xml:space="preserve"> CTM7.</w:t>
      </w:r>
      <w:r w:rsidR="00A408DD" w:rsidRPr="0052701D">
        <w:rPr>
          <w:rFonts w:ascii="Arial" w:hAnsi="Arial" w:cs="Arial"/>
          <w:sz w:val="24"/>
          <w:szCs w:val="24"/>
        </w:rPr>
        <w:t xml:space="preserve"> In respect of the latter, it contended that it could now lawfully impose rates as it had previously done (in other words on the vacant property rate) in view of the EVR which it had introduced in order to comply with the review orders.</w:t>
      </w:r>
    </w:p>
    <w:p w14:paraId="3DB632D3" w14:textId="77777777" w:rsidR="00353E70" w:rsidRPr="00CE076A" w:rsidRDefault="00353E70" w:rsidP="00CE076A">
      <w:pPr>
        <w:pStyle w:val="ListParagraph"/>
        <w:spacing w:line="360" w:lineRule="auto"/>
        <w:ind w:left="360"/>
        <w:rPr>
          <w:rFonts w:ascii="Arial" w:hAnsi="Arial" w:cs="Arial"/>
          <w:sz w:val="24"/>
          <w:szCs w:val="24"/>
        </w:rPr>
      </w:pPr>
    </w:p>
    <w:p w14:paraId="6A694003" w14:textId="4031D88A" w:rsidR="00BC55A6" w:rsidRPr="0052701D" w:rsidRDefault="0052701D" w:rsidP="0052701D">
      <w:pPr>
        <w:spacing w:line="360" w:lineRule="auto"/>
        <w:ind w:left="360" w:hanging="360"/>
        <w:rPr>
          <w:rFonts w:ascii="Arial" w:hAnsi="Arial" w:cs="Arial"/>
          <w:sz w:val="24"/>
          <w:szCs w:val="24"/>
        </w:rPr>
      </w:pPr>
      <w:r>
        <w:rPr>
          <w:rFonts w:ascii="Arial" w:hAnsi="Arial" w:cs="Arial"/>
          <w:sz w:val="24"/>
          <w:szCs w:val="24"/>
        </w:rPr>
        <w:t>42.</w:t>
      </w:r>
      <w:r>
        <w:rPr>
          <w:rFonts w:ascii="Arial" w:hAnsi="Arial" w:cs="Arial"/>
          <w:sz w:val="24"/>
          <w:szCs w:val="24"/>
        </w:rPr>
        <w:tab/>
      </w:r>
      <w:r w:rsidR="00A408DD" w:rsidRPr="0052701D">
        <w:rPr>
          <w:rFonts w:ascii="Arial" w:hAnsi="Arial" w:cs="Arial"/>
          <w:sz w:val="24"/>
          <w:szCs w:val="24"/>
        </w:rPr>
        <w:t>Once this</w:t>
      </w:r>
      <w:r w:rsidR="00485901" w:rsidRPr="0052701D">
        <w:rPr>
          <w:rFonts w:ascii="Arial" w:hAnsi="Arial" w:cs="Arial"/>
          <w:sz w:val="24"/>
          <w:szCs w:val="24"/>
        </w:rPr>
        <w:t xml:space="preserve"> defence</w:t>
      </w:r>
      <w:r w:rsidR="00A408DD" w:rsidRPr="0052701D">
        <w:rPr>
          <w:rFonts w:ascii="Arial" w:hAnsi="Arial" w:cs="Arial"/>
          <w:sz w:val="24"/>
          <w:szCs w:val="24"/>
        </w:rPr>
        <w:t xml:space="preserve"> is appreciated, it is difficult to see how the matter introduced in reply</w:t>
      </w:r>
      <w:r w:rsidR="00485901" w:rsidRPr="0052701D">
        <w:rPr>
          <w:rFonts w:ascii="Arial" w:hAnsi="Arial" w:cs="Arial"/>
          <w:sz w:val="24"/>
          <w:szCs w:val="24"/>
        </w:rPr>
        <w:t xml:space="preserve"> – which responds to the defence – can </w:t>
      </w:r>
      <w:r w:rsidR="003F3FE0" w:rsidRPr="0052701D">
        <w:rPr>
          <w:rFonts w:ascii="Arial" w:hAnsi="Arial" w:cs="Arial"/>
          <w:sz w:val="24"/>
          <w:szCs w:val="24"/>
        </w:rPr>
        <w:t>be regarded as</w:t>
      </w:r>
      <w:r w:rsidR="00A408DD" w:rsidRPr="0052701D">
        <w:rPr>
          <w:rFonts w:ascii="Arial" w:hAnsi="Arial" w:cs="Arial"/>
          <w:sz w:val="24"/>
          <w:szCs w:val="24"/>
        </w:rPr>
        <w:t xml:space="preserve"> impermissible. In respect of the 2012 SVR period, the replying affidavit effectively contains a</w:t>
      </w:r>
      <w:r w:rsidR="003F3FE0" w:rsidRPr="0052701D">
        <w:rPr>
          <w:rFonts w:ascii="Arial" w:hAnsi="Arial" w:cs="Arial"/>
          <w:sz w:val="24"/>
          <w:szCs w:val="24"/>
        </w:rPr>
        <w:t xml:space="preserve"> factual</w:t>
      </w:r>
      <w:r w:rsidR="00A408DD" w:rsidRPr="0052701D">
        <w:rPr>
          <w:rFonts w:ascii="Arial" w:hAnsi="Arial" w:cs="Arial"/>
          <w:sz w:val="24"/>
          <w:szCs w:val="24"/>
        </w:rPr>
        <w:t xml:space="preserve"> response to the </w:t>
      </w:r>
      <w:r w:rsidR="007A3866" w:rsidRPr="0052701D">
        <w:rPr>
          <w:rFonts w:ascii="Arial" w:hAnsi="Arial" w:cs="Arial"/>
          <w:sz w:val="24"/>
          <w:szCs w:val="24"/>
        </w:rPr>
        <w:t>defence</w:t>
      </w:r>
      <w:r w:rsidR="003F3FE0" w:rsidRPr="0052701D">
        <w:rPr>
          <w:rFonts w:ascii="Arial" w:hAnsi="Arial" w:cs="Arial"/>
          <w:sz w:val="24"/>
          <w:szCs w:val="24"/>
        </w:rPr>
        <w:t xml:space="preserve"> – in answer – that </w:t>
      </w:r>
      <w:r w:rsidR="00A408DD" w:rsidRPr="0052701D">
        <w:rPr>
          <w:rFonts w:ascii="Arial" w:hAnsi="Arial" w:cs="Arial"/>
          <w:sz w:val="24"/>
          <w:szCs w:val="24"/>
        </w:rPr>
        <w:t>the City had effected the necessary adjustments and corrections</w:t>
      </w:r>
      <w:r w:rsidR="003F3FE0" w:rsidRPr="0052701D">
        <w:rPr>
          <w:rFonts w:ascii="Arial" w:hAnsi="Arial" w:cs="Arial"/>
          <w:sz w:val="24"/>
          <w:szCs w:val="24"/>
        </w:rPr>
        <w:t xml:space="preserve">. Mr Nasser disputes this by seeking to </w:t>
      </w:r>
      <w:r w:rsidR="00A408DD" w:rsidRPr="0052701D">
        <w:rPr>
          <w:rFonts w:ascii="Arial" w:hAnsi="Arial" w:cs="Arial"/>
          <w:sz w:val="24"/>
          <w:szCs w:val="24"/>
        </w:rPr>
        <w:t>demonstrate</w:t>
      </w:r>
      <w:r w:rsidR="003F3FE0" w:rsidRPr="0052701D">
        <w:rPr>
          <w:rFonts w:ascii="Arial" w:hAnsi="Arial" w:cs="Arial"/>
          <w:sz w:val="24"/>
          <w:szCs w:val="24"/>
        </w:rPr>
        <w:t xml:space="preserve"> that in fact the City had not done so. </w:t>
      </w:r>
      <w:r w:rsidR="00A408DD" w:rsidRPr="0052701D">
        <w:rPr>
          <w:rFonts w:ascii="Arial" w:hAnsi="Arial" w:cs="Arial"/>
          <w:sz w:val="24"/>
          <w:szCs w:val="24"/>
        </w:rPr>
        <w:t xml:space="preserve">In respect of the 2013 GVR period, </w:t>
      </w:r>
      <w:r w:rsidR="003F3FE0" w:rsidRPr="0052701D">
        <w:rPr>
          <w:rFonts w:ascii="Arial" w:hAnsi="Arial" w:cs="Arial"/>
          <w:sz w:val="24"/>
          <w:szCs w:val="24"/>
        </w:rPr>
        <w:t xml:space="preserve">Mr Nasser </w:t>
      </w:r>
      <w:r w:rsidR="00A408DD" w:rsidRPr="0052701D">
        <w:rPr>
          <w:rFonts w:ascii="Arial" w:hAnsi="Arial" w:cs="Arial"/>
          <w:sz w:val="24"/>
          <w:szCs w:val="24"/>
        </w:rPr>
        <w:t xml:space="preserve">contends that the retrospective imposition of rates was </w:t>
      </w:r>
      <w:r w:rsidR="00663DAA" w:rsidRPr="0052701D">
        <w:rPr>
          <w:rFonts w:ascii="Arial" w:hAnsi="Arial" w:cs="Arial"/>
          <w:sz w:val="24"/>
          <w:szCs w:val="24"/>
        </w:rPr>
        <w:t xml:space="preserve">unlawful and </w:t>
      </w:r>
      <w:r w:rsidR="00A408DD" w:rsidRPr="0052701D">
        <w:rPr>
          <w:rFonts w:ascii="Arial" w:hAnsi="Arial" w:cs="Arial"/>
          <w:sz w:val="24"/>
          <w:szCs w:val="24"/>
        </w:rPr>
        <w:t xml:space="preserve">in breach of the review orders. </w:t>
      </w:r>
      <w:r w:rsidR="00353E70" w:rsidRPr="0052701D">
        <w:rPr>
          <w:rFonts w:ascii="Arial" w:hAnsi="Arial" w:cs="Arial"/>
          <w:sz w:val="24"/>
          <w:szCs w:val="24"/>
        </w:rPr>
        <w:t>Mr Nasser’s evidence was based, in important measure, on calculations effected by Adams and Adams Forensics, confirmed by Prof van Romburgh in his confirmatory affidavit of 6 January 2020. That affidavit was delivered separately to the replying affidavit – apparently after the December/ January break – but is clearly in the form of a confirmatory affidavit. Its late admission ought to have been dealt with as part and parcel of the condonation application for the late delivery of the replying affidavit, which was granted.</w:t>
      </w:r>
    </w:p>
    <w:p w14:paraId="582B77A9" w14:textId="77777777" w:rsidR="00353E70" w:rsidRPr="00CE076A" w:rsidRDefault="00353E70" w:rsidP="00CE076A">
      <w:pPr>
        <w:pStyle w:val="ListParagraph"/>
        <w:spacing w:line="360" w:lineRule="auto"/>
        <w:ind w:left="360"/>
        <w:rPr>
          <w:rFonts w:ascii="Arial" w:hAnsi="Arial" w:cs="Arial"/>
          <w:sz w:val="24"/>
          <w:szCs w:val="24"/>
        </w:rPr>
      </w:pPr>
    </w:p>
    <w:p w14:paraId="169A7A72" w14:textId="46AC666D" w:rsidR="003F5E77" w:rsidRPr="0052701D" w:rsidRDefault="0052701D" w:rsidP="0052701D">
      <w:pPr>
        <w:spacing w:line="360" w:lineRule="auto"/>
        <w:ind w:left="360" w:hanging="360"/>
        <w:rPr>
          <w:rFonts w:ascii="Arial" w:hAnsi="Arial" w:cs="Arial"/>
          <w:sz w:val="24"/>
          <w:szCs w:val="24"/>
        </w:rPr>
      </w:pPr>
      <w:r w:rsidRPr="00353E70">
        <w:rPr>
          <w:rFonts w:ascii="Arial" w:hAnsi="Arial" w:cs="Arial"/>
          <w:sz w:val="24"/>
          <w:szCs w:val="24"/>
        </w:rPr>
        <w:t>43.</w:t>
      </w:r>
      <w:r w:rsidRPr="00353E70">
        <w:rPr>
          <w:rFonts w:ascii="Arial" w:hAnsi="Arial" w:cs="Arial"/>
          <w:sz w:val="24"/>
          <w:szCs w:val="24"/>
        </w:rPr>
        <w:tab/>
      </w:r>
      <w:r w:rsidR="00353E70" w:rsidRPr="0052701D">
        <w:rPr>
          <w:rFonts w:ascii="Arial" w:hAnsi="Arial" w:cs="Arial"/>
          <w:sz w:val="24"/>
          <w:szCs w:val="24"/>
        </w:rPr>
        <w:t xml:space="preserve">Mr Nasser’s responses </w:t>
      </w:r>
      <w:r w:rsidR="00A408DD" w:rsidRPr="0052701D">
        <w:rPr>
          <w:rFonts w:ascii="Arial" w:hAnsi="Arial" w:cs="Arial"/>
          <w:sz w:val="24"/>
          <w:szCs w:val="24"/>
        </w:rPr>
        <w:t>are within th</w:t>
      </w:r>
      <w:r w:rsidR="00CA2DF2" w:rsidRPr="0052701D">
        <w:rPr>
          <w:rFonts w:ascii="Arial" w:hAnsi="Arial" w:cs="Arial"/>
          <w:sz w:val="24"/>
          <w:szCs w:val="24"/>
        </w:rPr>
        <w:t>e domain of a permissible reply on accepted legal principle.</w:t>
      </w:r>
      <w:r w:rsidR="00485901">
        <w:rPr>
          <w:rStyle w:val="FootnoteReference"/>
          <w:rFonts w:ascii="Arial" w:hAnsi="Arial" w:cs="Arial"/>
          <w:sz w:val="24"/>
          <w:szCs w:val="24"/>
        </w:rPr>
        <w:footnoteReference w:id="20"/>
      </w:r>
      <w:r w:rsidR="00295684" w:rsidRPr="0052701D">
        <w:rPr>
          <w:rFonts w:ascii="Arial" w:hAnsi="Arial" w:cs="Arial"/>
          <w:sz w:val="24"/>
          <w:szCs w:val="24"/>
        </w:rPr>
        <w:t xml:space="preserve"> </w:t>
      </w:r>
      <w:r w:rsidR="006E387B" w:rsidRPr="0052701D">
        <w:rPr>
          <w:rFonts w:ascii="Arial" w:hAnsi="Arial" w:cs="Arial"/>
          <w:sz w:val="24"/>
          <w:szCs w:val="24"/>
        </w:rPr>
        <w:t>Moreover, t</w:t>
      </w:r>
      <w:r w:rsidR="003F5E77" w:rsidRPr="0052701D">
        <w:rPr>
          <w:rFonts w:ascii="Arial" w:hAnsi="Arial" w:cs="Arial"/>
          <w:sz w:val="24"/>
          <w:szCs w:val="24"/>
        </w:rPr>
        <w:t>o the extent that the matter consisted</w:t>
      </w:r>
      <w:r w:rsidR="00663DAA" w:rsidRPr="0052701D">
        <w:rPr>
          <w:rFonts w:ascii="Arial" w:hAnsi="Arial" w:cs="Arial"/>
          <w:sz w:val="24"/>
          <w:szCs w:val="24"/>
        </w:rPr>
        <w:t xml:space="preserve"> of</w:t>
      </w:r>
      <w:r w:rsidR="003F5E77" w:rsidRPr="0052701D">
        <w:rPr>
          <w:rFonts w:ascii="Arial" w:hAnsi="Arial" w:cs="Arial"/>
          <w:sz w:val="24"/>
          <w:szCs w:val="24"/>
        </w:rPr>
        <w:t xml:space="preserve"> new matter</w:t>
      </w:r>
      <w:r w:rsidR="007005E5" w:rsidRPr="0052701D">
        <w:rPr>
          <w:rFonts w:ascii="Arial" w:hAnsi="Arial" w:cs="Arial"/>
          <w:sz w:val="24"/>
          <w:szCs w:val="24"/>
        </w:rPr>
        <w:t xml:space="preserve"> </w:t>
      </w:r>
      <w:r w:rsidR="00127B14" w:rsidRPr="0052701D">
        <w:rPr>
          <w:rFonts w:ascii="Arial" w:hAnsi="Arial" w:cs="Arial"/>
          <w:sz w:val="24"/>
          <w:szCs w:val="24"/>
        </w:rPr>
        <w:t xml:space="preserve">including so as to </w:t>
      </w:r>
      <w:r w:rsidR="00C503D5" w:rsidRPr="0052701D">
        <w:rPr>
          <w:rFonts w:ascii="Arial" w:hAnsi="Arial" w:cs="Arial"/>
          <w:sz w:val="24"/>
          <w:szCs w:val="24"/>
        </w:rPr>
        <w:t>provid</w:t>
      </w:r>
      <w:r w:rsidR="00127B14" w:rsidRPr="0052701D">
        <w:rPr>
          <w:rFonts w:ascii="Arial" w:hAnsi="Arial" w:cs="Arial"/>
          <w:sz w:val="24"/>
          <w:szCs w:val="24"/>
        </w:rPr>
        <w:t>e</w:t>
      </w:r>
      <w:r w:rsidR="00C503D5" w:rsidRPr="0052701D">
        <w:rPr>
          <w:rFonts w:ascii="Arial" w:hAnsi="Arial" w:cs="Arial"/>
          <w:sz w:val="24"/>
          <w:szCs w:val="24"/>
        </w:rPr>
        <w:t xml:space="preserve"> further grounds for the relief sought</w:t>
      </w:r>
      <w:r w:rsidR="00BA0D0B" w:rsidRPr="0052701D">
        <w:rPr>
          <w:rFonts w:ascii="Arial" w:hAnsi="Arial" w:cs="Arial"/>
          <w:sz w:val="24"/>
          <w:szCs w:val="24"/>
        </w:rPr>
        <w:t xml:space="preserve">, </w:t>
      </w:r>
      <w:r w:rsidR="003F5E77" w:rsidRPr="0052701D">
        <w:rPr>
          <w:rFonts w:ascii="Arial" w:hAnsi="Arial" w:cs="Arial"/>
          <w:sz w:val="24"/>
          <w:szCs w:val="24"/>
        </w:rPr>
        <w:t xml:space="preserve">the Court </w:t>
      </w:r>
      <w:r w:rsidR="003F5E77" w:rsidRPr="0052701D">
        <w:rPr>
          <w:rFonts w:ascii="Arial" w:hAnsi="Arial" w:cs="Arial"/>
          <w:i/>
          <w:sz w:val="24"/>
          <w:szCs w:val="24"/>
        </w:rPr>
        <w:t>a quo</w:t>
      </w:r>
      <w:r w:rsidR="003F5E77" w:rsidRPr="0052701D">
        <w:rPr>
          <w:rFonts w:ascii="Arial" w:hAnsi="Arial" w:cs="Arial"/>
          <w:sz w:val="24"/>
          <w:szCs w:val="24"/>
        </w:rPr>
        <w:t xml:space="preserve"> had</w:t>
      </w:r>
      <w:r w:rsidR="00B301E3" w:rsidRPr="0052701D">
        <w:rPr>
          <w:rFonts w:ascii="Arial" w:hAnsi="Arial" w:cs="Arial"/>
          <w:sz w:val="24"/>
          <w:szCs w:val="24"/>
        </w:rPr>
        <w:t xml:space="preserve"> </w:t>
      </w:r>
      <w:r w:rsidR="00353E70" w:rsidRPr="0052701D">
        <w:rPr>
          <w:rFonts w:ascii="Arial" w:hAnsi="Arial" w:cs="Arial"/>
          <w:sz w:val="24"/>
          <w:szCs w:val="24"/>
        </w:rPr>
        <w:t xml:space="preserve">a discretion to allow it. </w:t>
      </w:r>
      <w:r w:rsidR="003F5E77" w:rsidRPr="0052701D">
        <w:rPr>
          <w:rFonts w:ascii="Arial" w:hAnsi="Arial" w:cs="Arial"/>
          <w:sz w:val="24"/>
          <w:szCs w:val="24"/>
        </w:rPr>
        <w:t xml:space="preserve">In </w:t>
      </w:r>
      <w:r w:rsidR="003F5E77" w:rsidRPr="0052701D">
        <w:rPr>
          <w:rFonts w:ascii="Arial" w:hAnsi="Arial" w:cs="Arial"/>
          <w:i/>
          <w:sz w:val="24"/>
          <w:szCs w:val="24"/>
        </w:rPr>
        <w:t xml:space="preserve">Finishing Touch, </w:t>
      </w:r>
      <w:r w:rsidR="003F5E77" w:rsidRPr="0052701D">
        <w:rPr>
          <w:rFonts w:ascii="Arial" w:hAnsi="Arial" w:cs="Arial"/>
          <w:sz w:val="24"/>
          <w:szCs w:val="24"/>
        </w:rPr>
        <w:t>the SCA unanimously confirmed (per Mhlantla JA) that the rule that all necessary allegations upon which an applicant relies must appear in a founding affidavit is not an absolute one:</w:t>
      </w:r>
    </w:p>
    <w:p w14:paraId="3F58180B" w14:textId="77777777" w:rsidR="003F5E77" w:rsidRPr="003F5E77" w:rsidRDefault="003F5E77" w:rsidP="00CE076A">
      <w:pPr>
        <w:pStyle w:val="ListParagraph"/>
        <w:spacing w:line="360" w:lineRule="auto"/>
        <w:rPr>
          <w:rFonts w:ascii="Arial" w:hAnsi="Arial" w:cs="Arial"/>
          <w:sz w:val="24"/>
          <w:szCs w:val="24"/>
        </w:rPr>
      </w:pPr>
    </w:p>
    <w:p w14:paraId="319F336A" w14:textId="38DBF7F4" w:rsidR="003F5E77" w:rsidRPr="00663DAA" w:rsidRDefault="00793845" w:rsidP="007E4D7D">
      <w:pPr>
        <w:pStyle w:val="ListParagraph"/>
        <w:spacing w:line="360" w:lineRule="auto"/>
        <w:rPr>
          <w:rFonts w:ascii="Verdana" w:hAnsi="Verdana"/>
          <w:color w:val="242121"/>
          <w:sz w:val="22"/>
          <w:szCs w:val="22"/>
          <w:shd w:val="clear" w:color="auto" w:fill="FFFFFF"/>
        </w:rPr>
      </w:pPr>
      <w:r>
        <w:rPr>
          <w:rFonts w:ascii="Arial" w:hAnsi="Arial" w:cs="Arial"/>
          <w:sz w:val="22"/>
          <w:szCs w:val="22"/>
        </w:rPr>
        <w:t>“</w:t>
      </w:r>
      <w:r w:rsidR="003F5E77" w:rsidRPr="00663DAA">
        <w:rPr>
          <w:rFonts w:ascii="Arial" w:hAnsi="Arial" w:cs="Arial"/>
          <w:sz w:val="22"/>
          <w:szCs w:val="22"/>
        </w:rPr>
        <w:t xml:space="preserve">The </w:t>
      </w:r>
      <w:r w:rsidR="003F5E77" w:rsidRPr="00663DAA">
        <w:rPr>
          <w:rFonts w:ascii="Arial" w:hAnsi="Arial" w:cs="Arial"/>
          <w:color w:val="242121"/>
          <w:sz w:val="22"/>
          <w:szCs w:val="22"/>
          <w:shd w:val="clear" w:color="auto" w:fill="FFFFFF"/>
        </w:rPr>
        <w:t xml:space="preserve">court has a discretion to allow new matter in a replying affidavit in exceptional circumstances. A distinction must be drawn between a case in which the new material is first brought to light by the applicant who knew of it at the time when his founding affidavit was prepared and one in which facts alleged in the respondents’ answering affidavit reveal the existence or possible existence of a further ground for the relief </w:t>
      </w:r>
      <w:r w:rsidR="003F5E77" w:rsidRPr="00663DAA">
        <w:rPr>
          <w:rFonts w:ascii="Arial" w:hAnsi="Arial" w:cs="Arial"/>
          <w:color w:val="242121"/>
          <w:sz w:val="22"/>
          <w:szCs w:val="22"/>
          <w:shd w:val="clear" w:color="auto" w:fill="FFFFFF"/>
        </w:rPr>
        <w:lastRenderedPageBreak/>
        <w:t>sought by the applicant. See </w:t>
      </w:r>
      <w:r w:rsidR="003F5E77" w:rsidRPr="00663DAA">
        <w:rPr>
          <w:rFonts w:ascii="Arial" w:hAnsi="Arial" w:cs="Arial"/>
          <w:i/>
          <w:iCs/>
          <w:color w:val="242121"/>
          <w:sz w:val="22"/>
          <w:szCs w:val="22"/>
          <w:shd w:val="clear" w:color="auto" w:fill="FFFFFF"/>
        </w:rPr>
        <w:t>Shakot Investments (Pty) Ltd v Town Council of the Borough of Stanger.</w:t>
      </w:r>
      <w:r>
        <w:rPr>
          <w:rFonts w:ascii="Arial" w:hAnsi="Arial" w:cs="Arial"/>
          <w:iCs/>
          <w:color w:val="242121"/>
          <w:sz w:val="22"/>
          <w:szCs w:val="22"/>
          <w:shd w:val="clear" w:color="auto" w:fill="FFFFFF"/>
        </w:rPr>
        <w:t>”</w:t>
      </w:r>
      <w:r w:rsidR="003F5E77" w:rsidRPr="00663DAA">
        <w:rPr>
          <w:rStyle w:val="FootnoteReference"/>
          <w:rFonts w:ascii="Arial" w:hAnsi="Arial" w:cs="Arial"/>
          <w:iCs/>
          <w:color w:val="242121"/>
          <w:sz w:val="22"/>
          <w:szCs w:val="22"/>
          <w:shd w:val="clear" w:color="auto" w:fill="FFFFFF"/>
        </w:rPr>
        <w:footnoteReference w:id="21"/>
      </w:r>
    </w:p>
    <w:p w14:paraId="4384460B" w14:textId="77777777" w:rsidR="003F5E77" w:rsidRPr="00295684" w:rsidRDefault="003F5E77" w:rsidP="00CE076A">
      <w:pPr>
        <w:pStyle w:val="ListParagraph"/>
        <w:spacing w:line="360" w:lineRule="auto"/>
        <w:rPr>
          <w:rFonts w:ascii="Arial" w:hAnsi="Arial" w:cs="Arial"/>
          <w:sz w:val="24"/>
          <w:szCs w:val="24"/>
        </w:rPr>
      </w:pPr>
    </w:p>
    <w:p w14:paraId="0095A721" w14:textId="09036E07" w:rsidR="00C503D5" w:rsidRPr="0052701D" w:rsidRDefault="0052701D" w:rsidP="0052701D">
      <w:pPr>
        <w:spacing w:line="360" w:lineRule="auto"/>
        <w:ind w:left="360" w:hanging="360"/>
        <w:rPr>
          <w:rFonts w:ascii="Arial" w:hAnsi="Arial" w:cs="Arial"/>
          <w:sz w:val="24"/>
          <w:szCs w:val="24"/>
        </w:rPr>
      </w:pPr>
      <w:r>
        <w:rPr>
          <w:rFonts w:ascii="Arial" w:hAnsi="Arial" w:cs="Arial"/>
          <w:sz w:val="24"/>
          <w:szCs w:val="24"/>
        </w:rPr>
        <w:t>44.</w:t>
      </w:r>
      <w:r>
        <w:rPr>
          <w:rFonts w:ascii="Arial" w:hAnsi="Arial" w:cs="Arial"/>
          <w:sz w:val="24"/>
          <w:szCs w:val="24"/>
        </w:rPr>
        <w:tab/>
      </w:r>
      <w:r w:rsidR="00663DAA" w:rsidRPr="0052701D">
        <w:rPr>
          <w:rFonts w:ascii="Arial" w:hAnsi="Arial" w:cs="Arial"/>
          <w:sz w:val="24"/>
          <w:szCs w:val="24"/>
        </w:rPr>
        <w:t>The C</w:t>
      </w:r>
      <w:r w:rsidR="00BA0D0B" w:rsidRPr="0052701D">
        <w:rPr>
          <w:rFonts w:ascii="Arial" w:hAnsi="Arial" w:cs="Arial"/>
          <w:sz w:val="24"/>
          <w:szCs w:val="24"/>
        </w:rPr>
        <w:t xml:space="preserve">ourt </w:t>
      </w:r>
      <w:r w:rsidR="00BA0D0B" w:rsidRPr="0052701D">
        <w:rPr>
          <w:rFonts w:ascii="Arial" w:hAnsi="Arial" w:cs="Arial"/>
          <w:i/>
          <w:sz w:val="24"/>
          <w:szCs w:val="24"/>
        </w:rPr>
        <w:t xml:space="preserve">a quo </w:t>
      </w:r>
      <w:r w:rsidR="00DD26A0" w:rsidRPr="0052701D">
        <w:rPr>
          <w:rFonts w:ascii="Arial" w:hAnsi="Arial" w:cs="Arial"/>
          <w:sz w:val="24"/>
          <w:szCs w:val="24"/>
        </w:rPr>
        <w:t>erred by not approaching the</w:t>
      </w:r>
      <w:r w:rsidR="00BA0D0B" w:rsidRPr="0052701D">
        <w:rPr>
          <w:rFonts w:ascii="Arial" w:hAnsi="Arial" w:cs="Arial"/>
          <w:sz w:val="24"/>
          <w:szCs w:val="24"/>
        </w:rPr>
        <w:t xml:space="preserve"> matter on this basis</w:t>
      </w:r>
      <w:r w:rsidR="006E387B" w:rsidRPr="0052701D">
        <w:rPr>
          <w:rFonts w:ascii="Arial" w:hAnsi="Arial" w:cs="Arial"/>
          <w:sz w:val="24"/>
          <w:szCs w:val="24"/>
        </w:rPr>
        <w:t xml:space="preserve"> and thereby </w:t>
      </w:r>
      <w:r w:rsidR="00CA2DF2" w:rsidRPr="0052701D">
        <w:rPr>
          <w:rFonts w:ascii="Arial" w:hAnsi="Arial" w:cs="Arial"/>
          <w:sz w:val="24"/>
          <w:szCs w:val="24"/>
        </w:rPr>
        <w:t>both applied an incorrect principle of law and omitted</w:t>
      </w:r>
      <w:r w:rsidR="006E387B" w:rsidRPr="0052701D">
        <w:rPr>
          <w:rFonts w:ascii="Arial" w:hAnsi="Arial" w:cs="Arial"/>
          <w:sz w:val="24"/>
          <w:szCs w:val="24"/>
        </w:rPr>
        <w:t xml:space="preserve"> to exercise its discretion</w:t>
      </w:r>
      <w:r w:rsidR="00BA0D0B" w:rsidRPr="0052701D">
        <w:rPr>
          <w:rFonts w:ascii="Arial" w:hAnsi="Arial" w:cs="Arial"/>
          <w:sz w:val="24"/>
          <w:szCs w:val="24"/>
        </w:rPr>
        <w:t>.</w:t>
      </w:r>
      <w:r w:rsidR="00353E70" w:rsidRPr="0052701D">
        <w:rPr>
          <w:rFonts w:ascii="Arial" w:hAnsi="Arial" w:cs="Arial"/>
          <w:sz w:val="24"/>
          <w:szCs w:val="24"/>
        </w:rPr>
        <w:t xml:space="preserve"> </w:t>
      </w:r>
      <w:r w:rsidR="006E387B" w:rsidRPr="0052701D">
        <w:rPr>
          <w:rFonts w:ascii="Arial" w:hAnsi="Arial" w:cs="Arial"/>
          <w:sz w:val="24"/>
          <w:szCs w:val="24"/>
        </w:rPr>
        <w:t>In</w:t>
      </w:r>
      <w:r w:rsidR="00353E70" w:rsidRPr="0052701D">
        <w:rPr>
          <w:rFonts w:ascii="Arial" w:hAnsi="Arial" w:cs="Arial"/>
          <w:sz w:val="24"/>
          <w:szCs w:val="24"/>
        </w:rPr>
        <w:t xml:space="preserve"> my view, </w:t>
      </w:r>
      <w:r w:rsidR="00CA2DF2" w:rsidRPr="0052701D">
        <w:rPr>
          <w:rFonts w:ascii="Arial" w:hAnsi="Arial" w:cs="Arial"/>
          <w:sz w:val="24"/>
          <w:szCs w:val="24"/>
        </w:rPr>
        <w:t xml:space="preserve">the material was permissible in reply, and to the extent that it </w:t>
      </w:r>
      <w:r w:rsidR="00C503D5" w:rsidRPr="0052701D">
        <w:rPr>
          <w:rFonts w:ascii="Arial" w:hAnsi="Arial" w:cs="Arial"/>
          <w:sz w:val="24"/>
          <w:szCs w:val="24"/>
        </w:rPr>
        <w:t>provided</w:t>
      </w:r>
      <w:r w:rsidR="00127B14" w:rsidRPr="0052701D">
        <w:rPr>
          <w:rFonts w:ascii="Arial" w:hAnsi="Arial" w:cs="Arial"/>
          <w:sz w:val="24"/>
          <w:szCs w:val="24"/>
        </w:rPr>
        <w:t xml:space="preserve"> new matter including</w:t>
      </w:r>
      <w:r w:rsidR="00C503D5" w:rsidRPr="0052701D">
        <w:rPr>
          <w:rFonts w:ascii="Arial" w:hAnsi="Arial" w:cs="Arial"/>
          <w:sz w:val="24"/>
          <w:szCs w:val="24"/>
        </w:rPr>
        <w:t xml:space="preserve"> further grounds for the relief sought</w:t>
      </w:r>
      <w:r w:rsidR="00CA2DF2" w:rsidRPr="0052701D">
        <w:rPr>
          <w:rFonts w:ascii="Arial" w:hAnsi="Arial" w:cs="Arial"/>
          <w:sz w:val="24"/>
          <w:szCs w:val="24"/>
        </w:rPr>
        <w:t xml:space="preserve">, </w:t>
      </w:r>
      <w:r w:rsidR="00353E70" w:rsidRPr="0052701D">
        <w:rPr>
          <w:rFonts w:ascii="Arial" w:hAnsi="Arial" w:cs="Arial"/>
          <w:sz w:val="24"/>
          <w:szCs w:val="24"/>
        </w:rPr>
        <w:t>this is a case that warranted the exercise of discretion in the appellants’ favour.</w:t>
      </w:r>
    </w:p>
    <w:p w14:paraId="5716497F" w14:textId="77777777" w:rsidR="00C503D5" w:rsidRDefault="00C503D5" w:rsidP="00CE076A">
      <w:pPr>
        <w:pStyle w:val="ListParagraph"/>
        <w:spacing w:line="360" w:lineRule="auto"/>
        <w:ind w:left="360"/>
        <w:rPr>
          <w:rFonts w:ascii="Arial" w:hAnsi="Arial" w:cs="Arial"/>
          <w:sz w:val="24"/>
          <w:szCs w:val="24"/>
        </w:rPr>
      </w:pPr>
    </w:p>
    <w:p w14:paraId="447FFA59" w14:textId="7E220569" w:rsidR="00295684" w:rsidRPr="0052701D" w:rsidRDefault="0052701D" w:rsidP="0052701D">
      <w:pPr>
        <w:spacing w:line="360" w:lineRule="auto"/>
        <w:ind w:left="360" w:hanging="360"/>
        <w:rPr>
          <w:rFonts w:ascii="Arial" w:hAnsi="Arial" w:cs="Arial"/>
          <w:sz w:val="24"/>
          <w:szCs w:val="24"/>
        </w:rPr>
      </w:pPr>
      <w:r>
        <w:rPr>
          <w:rFonts w:ascii="Arial" w:hAnsi="Arial" w:cs="Arial"/>
          <w:sz w:val="24"/>
          <w:szCs w:val="24"/>
        </w:rPr>
        <w:t>45.</w:t>
      </w:r>
      <w:r>
        <w:rPr>
          <w:rFonts w:ascii="Arial" w:hAnsi="Arial" w:cs="Arial"/>
          <w:sz w:val="24"/>
          <w:szCs w:val="24"/>
        </w:rPr>
        <w:tab/>
      </w:r>
      <w:r w:rsidR="00353E70" w:rsidRPr="0052701D">
        <w:rPr>
          <w:rFonts w:ascii="Arial" w:hAnsi="Arial" w:cs="Arial"/>
          <w:sz w:val="24"/>
          <w:szCs w:val="24"/>
        </w:rPr>
        <w:t xml:space="preserve">The appellants amended their notice of motion without objection. In doing so, they amended their relief to introduce </w:t>
      </w:r>
      <w:r w:rsidR="00830D45" w:rsidRPr="0052701D">
        <w:rPr>
          <w:rFonts w:ascii="Arial" w:hAnsi="Arial" w:cs="Arial"/>
          <w:sz w:val="24"/>
          <w:szCs w:val="24"/>
        </w:rPr>
        <w:t>a</w:t>
      </w:r>
      <w:r w:rsidR="00E115B3" w:rsidRPr="0052701D">
        <w:rPr>
          <w:rFonts w:ascii="Arial" w:hAnsi="Arial" w:cs="Arial"/>
          <w:sz w:val="24"/>
          <w:szCs w:val="24"/>
        </w:rPr>
        <w:t xml:space="preserve">n additional </w:t>
      </w:r>
      <w:r w:rsidR="00353E70" w:rsidRPr="0052701D">
        <w:rPr>
          <w:rFonts w:ascii="Arial" w:hAnsi="Arial" w:cs="Arial"/>
          <w:sz w:val="24"/>
          <w:szCs w:val="24"/>
        </w:rPr>
        <w:t>remed</w:t>
      </w:r>
      <w:r w:rsidR="00830D45" w:rsidRPr="0052701D">
        <w:rPr>
          <w:rFonts w:ascii="Arial" w:hAnsi="Arial" w:cs="Arial"/>
          <w:sz w:val="24"/>
          <w:szCs w:val="24"/>
        </w:rPr>
        <w:t xml:space="preserve">y </w:t>
      </w:r>
      <w:r w:rsidR="00353E70" w:rsidRPr="0052701D">
        <w:rPr>
          <w:rFonts w:ascii="Arial" w:hAnsi="Arial" w:cs="Arial"/>
          <w:sz w:val="24"/>
          <w:szCs w:val="24"/>
        </w:rPr>
        <w:t xml:space="preserve">albeit grounded on the same cause of action – </w:t>
      </w:r>
      <w:r w:rsidR="00830D45" w:rsidRPr="0052701D">
        <w:rPr>
          <w:rFonts w:ascii="Arial" w:hAnsi="Arial" w:cs="Arial"/>
          <w:sz w:val="24"/>
          <w:szCs w:val="24"/>
        </w:rPr>
        <w:t>a</w:t>
      </w:r>
      <w:r w:rsidR="00DD26A0" w:rsidRPr="0052701D">
        <w:rPr>
          <w:rFonts w:ascii="Arial" w:hAnsi="Arial" w:cs="Arial"/>
          <w:sz w:val="24"/>
          <w:szCs w:val="24"/>
        </w:rPr>
        <w:t>n alleged</w:t>
      </w:r>
      <w:r w:rsidR="00830D45" w:rsidRPr="0052701D">
        <w:rPr>
          <w:rFonts w:ascii="Arial" w:hAnsi="Arial" w:cs="Arial"/>
          <w:sz w:val="24"/>
          <w:szCs w:val="24"/>
        </w:rPr>
        <w:t xml:space="preserve"> failure to </w:t>
      </w:r>
      <w:r w:rsidR="00E115B3" w:rsidRPr="0052701D">
        <w:rPr>
          <w:rFonts w:ascii="Arial" w:hAnsi="Arial" w:cs="Arial"/>
          <w:sz w:val="24"/>
          <w:szCs w:val="24"/>
        </w:rPr>
        <w:t>adhere to and take all steps necessary to give effect to</w:t>
      </w:r>
      <w:r w:rsidR="00830D45" w:rsidRPr="0052701D">
        <w:rPr>
          <w:rFonts w:ascii="Arial" w:hAnsi="Arial" w:cs="Arial"/>
          <w:sz w:val="24"/>
          <w:szCs w:val="24"/>
        </w:rPr>
        <w:t xml:space="preserve"> a </w:t>
      </w:r>
      <w:r w:rsidR="00353E70" w:rsidRPr="0052701D">
        <w:rPr>
          <w:rFonts w:ascii="Arial" w:hAnsi="Arial" w:cs="Arial"/>
          <w:sz w:val="24"/>
          <w:szCs w:val="24"/>
        </w:rPr>
        <w:t>court order.</w:t>
      </w:r>
      <w:r w:rsidR="00127B14" w:rsidRPr="0052701D">
        <w:rPr>
          <w:rFonts w:ascii="Arial" w:hAnsi="Arial" w:cs="Arial"/>
          <w:sz w:val="24"/>
          <w:szCs w:val="24"/>
        </w:rPr>
        <w:t xml:space="preserve"> This is not a case where a wholly new cause of action was introduced.</w:t>
      </w:r>
      <w:r w:rsidR="00127B14">
        <w:rPr>
          <w:rStyle w:val="FootnoteReference"/>
          <w:rFonts w:ascii="Arial" w:hAnsi="Arial" w:cs="Arial"/>
          <w:sz w:val="24"/>
          <w:szCs w:val="24"/>
        </w:rPr>
        <w:footnoteReference w:id="22"/>
      </w:r>
      <w:r w:rsidR="00830D45" w:rsidRPr="0052701D">
        <w:rPr>
          <w:rFonts w:ascii="Arial" w:hAnsi="Arial" w:cs="Arial"/>
          <w:sz w:val="24"/>
          <w:szCs w:val="24"/>
        </w:rPr>
        <w:t xml:space="preserve"> The appellants could not have dealt with the matter in their founding affidavit as the events dealt with had not yet taken place.</w:t>
      </w:r>
      <w:r w:rsidR="00DD26A0" w:rsidRPr="0052701D">
        <w:rPr>
          <w:rFonts w:ascii="Arial" w:hAnsi="Arial" w:cs="Arial"/>
          <w:sz w:val="24"/>
          <w:szCs w:val="24"/>
        </w:rPr>
        <w:t xml:space="preserve"> </w:t>
      </w:r>
      <w:r w:rsidR="003E2C39" w:rsidRPr="0052701D">
        <w:rPr>
          <w:rFonts w:ascii="Arial" w:hAnsi="Arial" w:cs="Arial"/>
          <w:sz w:val="24"/>
          <w:szCs w:val="24"/>
        </w:rPr>
        <w:t xml:space="preserve">The nature of the case is also relevant. It concerns </w:t>
      </w:r>
      <w:r w:rsidR="00DD26A0" w:rsidRPr="0052701D">
        <w:rPr>
          <w:rFonts w:ascii="Arial" w:hAnsi="Arial" w:cs="Arial"/>
          <w:sz w:val="24"/>
          <w:szCs w:val="24"/>
        </w:rPr>
        <w:t>compliance with this Court’s orders, which are binding on all persons to whom and organs of state to which they apply.</w:t>
      </w:r>
      <w:r w:rsidR="00DD26A0">
        <w:rPr>
          <w:rStyle w:val="FootnoteReference"/>
          <w:rFonts w:ascii="Arial" w:hAnsi="Arial" w:cs="Arial"/>
          <w:sz w:val="24"/>
          <w:szCs w:val="24"/>
        </w:rPr>
        <w:footnoteReference w:id="23"/>
      </w:r>
      <w:r w:rsidR="00DD26A0" w:rsidRPr="0052701D">
        <w:rPr>
          <w:rFonts w:ascii="Arial" w:hAnsi="Arial" w:cs="Arial"/>
          <w:sz w:val="24"/>
          <w:szCs w:val="24"/>
        </w:rPr>
        <w:t xml:space="preserve">  The case implicates the rule of law</w:t>
      </w:r>
      <w:r w:rsidR="00DD26A0">
        <w:rPr>
          <w:rStyle w:val="FootnoteReference"/>
          <w:rFonts w:ascii="Arial" w:hAnsi="Arial" w:cs="Arial"/>
          <w:sz w:val="24"/>
          <w:szCs w:val="24"/>
        </w:rPr>
        <w:footnoteReference w:id="24"/>
      </w:r>
      <w:r w:rsidR="00DD26A0" w:rsidRPr="0052701D">
        <w:rPr>
          <w:rFonts w:ascii="Arial" w:hAnsi="Arial" w:cs="Arial"/>
          <w:sz w:val="24"/>
          <w:szCs w:val="24"/>
        </w:rPr>
        <w:t xml:space="preserve"> and the authority, dignity and effectiveness of </w:t>
      </w:r>
      <w:r w:rsidR="009A7E75" w:rsidRPr="0052701D">
        <w:rPr>
          <w:rFonts w:ascii="Arial" w:hAnsi="Arial" w:cs="Arial"/>
          <w:sz w:val="24"/>
          <w:szCs w:val="24"/>
        </w:rPr>
        <w:t>c</w:t>
      </w:r>
      <w:r w:rsidR="00DD26A0" w:rsidRPr="0052701D">
        <w:rPr>
          <w:rFonts w:ascii="Arial" w:hAnsi="Arial" w:cs="Arial"/>
          <w:sz w:val="24"/>
          <w:szCs w:val="24"/>
        </w:rPr>
        <w:t>ourts.</w:t>
      </w:r>
      <w:r w:rsidR="00DD26A0">
        <w:rPr>
          <w:rStyle w:val="FootnoteReference"/>
          <w:rFonts w:ascii="Arial" w:hAnsi="Arial" w:cs="Arial"/>
          <w:sz w:val="24"/>
          <w:szCs w:val="24"/>
        </w:rPr>
        <w:footnoteReference w:id="25"/>
      </w:r>
      <w:r w:rsidR="00A7348A" w:rsidRPr="0052701D">
        <w:rPr>
          <w:rFonts w:ascii="Arial" w:hAnsi="Arial" w:cs="Arial"/>
          <w:sz w:val="24"/>
          <w:szCs w:val="24"/>
        </w:rPr>
        <w:t xml:space="preserve"> </w:t>
      </w:r>
      <w:r w:rsidR="00A06CC7" w:rsidRPr="0052701D">
        <w:rPr>
          <w:rFonts w:ascii="Arial" w:hAnsi="Arial" w:cs="Arial"/>
          <w:sz w:val="24"/>
          <w:szCs w:val="24"/>
        </w:rPr>
        <w:t xml:space="preserve">In circumstances where the process of compliance ensues while proceedings are ongoing, it promotes compliance with court orders and protects the dignity of courts to allow the issues to be </w:t>
      </w:r>
      <w:r w:rsidR="008F6E9F" w:rsidRPr="0052701D">
        <w:rPr>
          <w:rFonts w:ascii="Arial" w:hAnsi="Arial" w:cs="Arial"/>
          <w:sz w:val="24"/>
          <w:szCs w:val="24"/>
        </w:rPr>
        <w:t>fully</w:t>
      </w:r>
      <w:r w:rsidR="00A06CC7" w:rsidRPr="0052701D">
        <w:rPr>
          <w:rFonts w:ascii="Arial" w:hAnsi="Arial" w:cs="Arial"/>
          <w:sz w:val="24"/>
          <w:szCs w:val="24"/>
        </w:rPr>
        <w:t xml:space="preserve"> and fairly ventilated. On the facts of this case, t</w:t>
      </w:r>
      <w:r w:rsidR="00353E70" w:rsidRPr="0052701D">
        <w:rPr>
          <w:rFonts w:ascii="Arial" w:hAnsi="Arial" w:cs="Arial"/>
          <w:sz w:val="24"/>
          <w:szCs w:val="24"/>
        </w:rPr>
        <w:t>h</w:t>
      </w:r>
      <w:r w:rsidR="00830D45" w:rsidRPr="0052701D">
        <w:rPr>
          <w:rFonts w:ascii="Arial" w:hAnsi="Arial" w:cs="Arial"/>
          <w:sz w:val="24"/>
          <w:szCs w:val="24"/>
        </w:rPr>
        <w:t>e appellants</w:t>
      </w:r>
      <w:r w:rsidR="00575A65" w:rsidRPr="0052701D">
        <w:rPr>
          <w:rFonts w:ascii="Arial" w:hAnsi="Arial" w:cs="Arial"/>
          <w:sz w:val="24"/>
          <w:szCs w:val="24"/>
        </w:rPr>
        <w:t xml:space="preserve"> informed the respondents that they would not oppose any request to </w:t>
      </w:r>
      <w:r w:rsidR="00353E70" w:rsidRPr="0052701D">
        <w:rPr>
          <w:rFonts w:ascii="Arial" w:hAnsi="Arial" w:cs="Arial"/>
          <w:sz w:val="24"/>
          <w:szCs w:val="24"/>
        </w:rPr>
        <w:t>respond to the evidence of Mr Nasser confirmed by Prof van Romburgh</w:t>
      </w:r>
      <w:r w:rsidR="00575A65" w:rsidRPr="0052701D">
        <w:rPr>
          <w:rFonts w:ascii="Arial" w:hAnsi="Arial" w:cs="Arial"/>
          <w:sz w:val="24"/>
          <w:szCs w:val="24"/>
        </w:rPr>
        <w:t>. But the respondents did not seek that opportunity.</w:t>
      </w:r>
    </w:p>
    <w:p w14:paraId="7CB406D0" w14:textId="77777777" w:rsidR="008F5F6F" w:rsidRDefault="008F5F6F" w:rsidP="00CE076A">
      <w:pPr>
        <w:spacing w:line="240" w:lineRule="auto"/>
        <w:rPr>
          <w:rFonts w:ascii="Arial" w:hAnsi="Arial" w:cs="Arial"/>
          <w:b/>
          <w:sz w:val="24"/>
          <w:szCs w:val="24"/>
        </w:rPr>
      </w:pPr>
    </w:p>
    <w:p w14:paraId="21765BA4" w14:textId="5A9F143D" w:rsidR="006E387B" w:rsidRPr="006E387B" w:rsidRDefault="006E387B" w:rsidP="00CE076A">
      <w:pPr>
        <w:spacing w:line="360" w:lineRule="auto"/>
        <w:rPr>
          <w:rFonts w:ascii="Arial" w:hAnsi="Arial" w:cs="Arial"/>
          <w:b/>
          <w:sz w:val="24"/>
          <w:szCs w:val="24"/>
        </w:rPr>
      </w:pPr>
      <w:r w:rsidRPr="006E387B">
        <w:rPr>
          <w:rFonts w:ascii="Arial" w:hAnsi="Arial" w:cs="Arial"/>
          <w:b/>
          <w:sz w:val="24"/>
          <w:szCs w:val="24"/>
        </w:rPr>
        <w:lastRenderedPageBreak/>
        <w:t xml:space="preserve">The third issue: </w:t>
      </w:r>
      <w:r w:rsidR="00477348">
        <w:rPr>
          <w:rFonts w:ascii="Arial" w:hAnsi="Arial" w:cs="Arial"/>
          <w:b/>
          <w:sz w:val="24"/>
          <w:szCs w:val="24"/>
        </w:rPr>
        <w:t xml:space="preserve">Has the City </w:t>
      </w:r>
      <w:r w:rsidR="00E44E9C">
        <w:rPr>
          <w:rFonts w:ascii="Arial" w:hAnsi="Arial" w:cs="Arial"/>
          <w:b/>
          <w:sz w:val="24"/>
          <w:szCs w:val="24"/>
        </w:rPr>
        <w:t xml:space="preserve">breached its constitutional obligation to </w:t>
      </w:r>
      <w:r w:rsidR="00E115B3">
        <w:rPr>
          <w:rFonts w:ascii="Arial" w:hAnsi="Arial" w:cs="Arial"/>
          <w:b/>
          <w:sz w:val="24"/>
          <w:szCs w:val="24"/>
        </w:rPr>
        <w:t xml:space="preserve">adhere to and take all necessary steps to </w:t>
      </w:r>
      <w:r w:rsidR="00477348">
        <w:rPr>
          <w:rFonts w:ascii="Arial" w:hAnsi="Arial" w:cs="Arial"/>
          <w:b/>
          <w:sz w:val="24"/>
          <w:szCs w:val="24"/>
        </w:rPr>
        <w:t>give effect to the review orders?</w:t>
      </w:r>
    </w:p>
    <w:p w14:paraId="54A662A4" w14:textId="633E9390" w:rsidR="00E44E9C" w:rsidRPr="0052701D" w:rsidRDefault="0052701D" w:rsidP="0052701D">
      <w:pPr>
        <w:spacing w:line="360" w:lineRule="auto"/>
        <w:ind w:left="360" w:hanging="360"/>
        <w:rPr>
          <w:rFonts w:ascii="Arial" w:hAnsi="Arial" w:cs="Arial"/>
          <w:sz w:val="24"/>
          <w:szCs w:val="24"/>
        </w:rPr>
      </w:pPr>
      <w:r>
        <w:rPr>
          <w:rFonts w:ascii="Arial" w:hAnsi="Arial" w:cs="Arial"/>
          <w:sz w:val="24"/>
          <w:szCs w:val="24"/>
        </w:rPr>
        <w:t>46.</w:t>
      </w:r>
      <w:r>
        <w:rPr>
          <w:rFonts w:ascii="Arial" w:hAnsi="Arial" w:cs="Arial"/>
          <w:sz w:val="24"/>
          <w:szCs w:val="24"/>
        </w:rPr>
        <w:tab/>
      </w:r>
      <w:r w:rsidR="00E44E9C" w:rsidRPr="0052701D">
        <w:rPr>
          <w:rFonts w:ascii="Arial" w:hAnsi="Arial" w:cs="Arial"/>
          <w:sz w:val="24"/>
          <w:szCs w:val="24"/>
        </w:rPr>
        <w:t xml:space="preserve">The third issue is whether the City has failed to comply with its constitutional obligation to </w:t>
      </w:r>
      <w:r w:rsidR="00E115B3" w:rsidRPr="0052701D">
        <w:rPr>
          <w:rFonts w:ascii="Arial" w:hAnsi="Arial" w:cs="Arial"/>
          <w:sz w:val="24"/>
          <w:szCs w:val="24"/>
        </w:rPr>
        <w:t xml:space="preserve">adhere to and take all necessary steps to </w:t>
      </w:r>
      <w:r w:rsidR="00E44E9C" w:rsidRPr="0052701D">
        <w:rPr>
          <w:rFonts w:ascii="Arial" w:hAnsi="Arial" w:cs="Arial"/>
          <w:sz w:val="24"/>
          <w:szCs w:val="24"/>
        </w:rPr>
        <w:t xml:space="preserve">give effect to the review orders. This </w:t>
      </w:r>
      <w:r w:rsidR="00E115B3" w:rsidRPr="0052701D">
        <w:rPr>
          <w:rFonts w:ascii="Arial" w:hAnsi="Arial" w:cs="Arial"/>
          <w:sz w:val="24"/>
          <w:szCs w:val="24"/>
        </w:rPr>
        <w:t xml:space="preserve">issue </w:t>
      </w:r>
      <w:r w:rsidR="00E44E9C" w:rsidRPr="0052701D">
        <w:rPr>
          <w:rFonts w:ascii="Arial" w:hAnsi="Arial" w:cs="Arial"/>
          <w:sz w:val="24"/>
          <w:szCs w:val="24"/>
        </w:rPr>
        <w:t xml:space="preserve">underlies prayer 3 of the notice of motion. Because the </w:t>
      </w:r>
      <w:r w:rsidR="009A7E75" w:rsidRPr="0052701D">
        <w:rPr>
          <w:rFonts w:ascii="Arial" w:hAnsi="Arial" w:cs="Arial"/>
          <w:sz w:val="24"/>
          <w:szCs w:val="24"/>
        </w:rPr>
        <w:t>C</w:t>
      </w:r>
      <w:r w:rsidR="00E44E9C" w:rsidRPr="0052701D">
        <w:rPr>
          <w:rFonts w:ascii="Arial" w:hAnsi="Arial" w:cs="Arial"/>
          <w:sz w:val="24"/>
          <w:szCs w:val="24"/>
        </w:rPr>
        <w:t xml:space="preserve">ourt </w:t>
      </w:r>
      <w:r w:rsidR="00E44E9C" w:rsidRPr="0052701D">
        <w:rPr>
          <w:rFonts w:ascii="Arial" w:hAnsi="Arial" w:cs="Arial"/>
          <w:i/>
          <w:sz w:val="24"/>
          <w:szCs w:val="24"/>
        </w:rPr>
        <w:t xml:space="preserve">a quo </w:t>
      </w:r>
      <w:r w:rsidR="00E44E9C" w:rsidRPr="0052701D">
        <w:rPr>
          <w:rFonts w:ascii="Arial" w:hAnsi="Arial" w:cs="Arial"/>
          <w:sz w:val="24"/>
          <w:szCs w:val="24"/>
        </w:rPr>
        <w:t>omitted to consider whether prayer 3 should have</w:t>
      </w:r>
      <w:r w:rsidR="005B6425" w:rsidRPr="0052701D">
        <w:rPr>
          <w:rFonts w:ascii="Arial" w:hAnsi="Arial" w:cs="Arial"/>
          <w:sz w:val="24"/>
          <w:szCs w:val="24"/>
        </w:rPr>
        <w:t xml:space="preserve"> been granted, it falls on the a</w:t>
      </w:r>
      <w:r w:rsidR="00E44E9C" w:rsidRPr="0052701D">
        <w:rPr>
          <w:rFonts w:ascii="Arial" w:hAnsi="Arial" w:cs="Arial"/>
          <w:sz w:val="24"/>
          <w:szCs w:val="24"/>
        </w:rPr>
        <w:t>ppeal Court to do so.</w:t>
      </w:r>
    </w:p>
    <w:p w14:paraId="0E231309" w14:textId="77777777" w:rsidR="00E44E9C" w:rsidRDefault="00E44E9C" w:rsidP="00CE076A">
      <w:pPr>
        <w:pStyle w:val="ListParagraph"/>
        <w:spacing w:line="360" w:lineRule="auto"/>
        <w:ind w:left="360"/>
        <w:rPr>
          <w:rFonts w:ascii="Arial" w:hAnsi="Arial" w:cs="Arial"/>
          <w:sz w:val="24"/>
          <w:szCs w:val="24"/>
        </w:rPr>
      </w:pPr>
    </w:p>
    <w:p w14:paraId="729DF17F" w14:textId="0279A4B8" w:rsidR="006E41E5" w:rsidRPr="0052701D" w:rsidRDefault="0052701D" w:rsidP="0052701D">
      <w:pPr>
        <w:spacing w:line="360" w:lineRule="auto"/>
        <w:ind w:left="360" w:hanging="360"/>
        <w:rPr>
          <w:rFonts w:ascii="Arial" w:hAnsi="Arial" w:cs="Arial"/>
          <w:sz w:val="24"/>
          <w:szCs w:val="24"/>
        </w:rPr>
      </w:pPr>
      <w:r>
        <w:rPr>
          <w:rFonts w:ascii="Arial" w:hAnsi="Arial" w:cs="Arial"/>
          <w:sz w:val="24"/>
          <w:szCs w:val="24"/>
        </w:rPr>
        <w:t>47.</w:t>
      </w:r>
      <w:r>
        <w:rPr>
          <w:rFonts w:ascii="Arial" w:hAnsi="Arial" w:cs="Arial"/>
          <w:sz w:val="24"/>
          <w:szCs w:val="24"/>
        </w:rPr>
        <w:tab/>
      </w:r>
      <w:r w:rsidR="00E44E9C" w:rsidRPr="0052701D">
        <w:rPr>
          <w:rFonts w:ascii="Arial" w:hAnsi="Arial" w:cs="Arial"/>
          <w:sz w:val="24"/>
          <w:szCs w:val="24"/>
        </w:rPr>
        <w:t xml:space="preserve">There can be no real debate that a failure by an organ of </w:t>
      </w:r>
      <w:r w:rsidR="00806FBC" w:rsidRPr="0052701D">
        <w:rPr>
          <w:rFonts w:ascii="Arial" w:hAnsi="Arial" w:cs="Arial"/>
          <w:sz w:val="24"/>
          <w:szCs w:val="24"/>
        </w:rPr>
        <w:t>s</w:t>
      </w:r>
      <w:r w:rsidR="00E44E9C" w:rsidRPr="0052701D">
        <w:rPr>
          <w:rFonts w:ascii="Arial" w:hAnsi="Arial" w:cs="Arial"/>
          <w:sz w:val="24"/>
          <w:szCs w:val="24"/>
        </w:rPr>
        <w:t xml:space="preserve">tate to </w:t>
      </w:r>
      <w:r w:rsidR="00E115B3" w:rsidRPr="0052701D">
        <w:rPr>
          <w:rFonts w:ascii="Arial" w:hAnsi="Arial" w:cs="Arial"/>
          <w:sz w:val="24"/>
          <w:szCs w:val="24"/>
        </w:rPr>
        <w:t xml:space="preserve">adhere to and take all steps necessary to give effect to </w:t>
      </w:r>
      <w:r w:rsidR="00663DAA" w:rsidRPr="0052701D">
        <w:rPr>
          <w:rFonts w:ascii="Arial" w:hAnsi="Arial" w:cs="Arial"/>
          <w:sz w:val="24"/>
          <w:szCs w:val="24"/>
        </w:rPr>
        <w:t xml:space="preserve">a </w:t>
      </w:r>
      <w:r w:rsidR="009A7E75" w:rsidRPr="0052701D">
        <w:rPr>
          <w:rFonts w:ascii="Arial" w:hAnsi="Arial" w:cs="Arial"/>
          <w:sz w:val="24"/>
          <w:szCs w:val="24"/>
        </w:rPr>
        <w:t>c</w:t>
      </w:r>
      <w:r w:rsidR="00E44E9C" w:rsidRPr="0052701D">
        <w:rPr>
          <w:rFonts w:ascii="Arial" w:hAnsi="Arial" w:cs="Arial"/>
          <w:sz w:val="24"/>
          <w:szCs w:val="24"/>
        </w:rPr>
        <w:t xml:space="preserve">ourt order constitutes </w:t>
      </w:r>
      <w:r w:rsidR="009A7E75" w:rsidRPr="0052701D">
        <w:rPr>
          <w:rFonts w:ascii="Arial" w:hAnsi="Arial" w:cs="Arial"/>
          <w:sz w:val="24"/>
          <w:szCs w:val="24"/>
        </w:rPr>
        <w:t xml:space="preserve">a </w:t>
      </w:r>
      <w:r w:rsidR="00E44E9C" w:rsidRPr="0052701D">
        <w:rPr>
          <w:rFonts w:ascii="Arial" w:hAnsi="Arial" w:cs="Arial"/>
          <w:sz w:val="24"/>
          <w:szCs w:val="24"/>
        </w:rPr>
        <w:t>breach of constitutional obligations, specifically section 165(4) and section 165(5)</w:t>
      </w:r>
      <w:r w:rsidR="007F7079" w:rsidRPr="0052701D">
        <w:rPr>
          <w:rFonts w:ascii="Arial" w:hAnsi="Arial" w:cs="Arial"/>
          <w:sz w:val="24"/>
          <w:szCs w:val="24"/>
        </w:rPr>
        <w:t xml:space="preserve"> of the Constitution</w:t>
      </w:r>
      <w:r w:rsidR="00E44E9C" w:rsidRPr="0052701D">
        <w:rPr>
          <w:rFonts w:ascii="Arial" w:hAnsi="Arial" w:cs="Arial"/>
          <w:sz w:val="24"/>
          <w:szCs w:val="24"/>
        </w:rPr>
        <w:t>.</w:t>
      </w:r>
      <w:r w:rsidR="00024941" w:rsidRPr="0052701D">
        <w:rPr>
          <w:rFonts w:ascii="Arial" w:hAnsi="Arial" w:cs="Arial"/>
          <w:sz w:val="24"/>
          <w:szCs w:val="24"/>
        </w:rPr>
        <w:t xml:space="preserve"> </w:t>
      </w:r>
      <w:r w:rsidR="00453C22" w:rsidRPr="0052701D">
        <w:rPr>
          <w:rFonts w:ascii="Arial" w:hAnsi="Arial" w:cs="Arial"/>
          <w:sz w:val="24"/>
          <w:szCs w:val="24"/>
        </w:rPr>
        <w:t>In this regard, the appellants aptly drew this Court’s attention to</w:t>
      </w:r>
      <w:r w:rsidR="00AD18BF" w:rsidRPr="0052701D">
        <w:rPr>
          <w:rFonts w:ascii="Arial" w:hAnsi="Arial" w:cs="Arial"/>
          <w:sz w:val="24"/>
          <w:szCs w:val="24"/>
        </w:rPr>
        <w:t xml:space="preserve"> the</w:t>
      </w:r>
      <w:r w:rsidR="00453C22" w:rsidRPr="0052701D">
        <w:rPr>
          <w:rFonts w:ascii="Arial" w:hAnsi="Arial" w:cs="Arial"/>
          <w:sz w:val="24"/>
          <w:szCs w:val="24"/>
        </w:rPr>
        <w:t xml:space="preserve"> following holding of the Constitutional Court in </w:t>
      </w:r>
      <w:r w:rsidR="00453C22" w:rsidRPr="0052701D">
        <w:rPr>
          <w:rFonts w:ascii="Arial" w:hAnsi="Arial" w:cs="Arial"/>
          <w:i/>
          <w:sz w:val="24"/>
          <w:szCs w:val="24"/>
        </w:rPr>
        <w:t>Tasima</w:t>
      </w:r>
      <w:r w:rsidR="00453C22" w:rsidRPr="0052701D">
        <w:rPr>
          <w:rFonts w:ascii="Arial" w:hAnsi="Arial" w:cs="Arial"/>
          <w:sz w:val="24"/>
          <w:szCs w:val="24"/>
        </w:rPr>
        <w:t>:</w:t>
      </w:r>
      <w:r w:rsidR="00453C22">
        <w:rPr>
          <w:rStyle w:val="FootnoteReference"/>
          <w:rFonts w:ascii="Arial" w:hAnsi="Arial" w:cs="Arial"/>
          <w:sz w:val="24"/>
          <w:szCs w:val="24"/>
        </w:rPr>
        <w:footnoteReference w:id="26"/>
      </w:r>
    </w:p>
    <w:p w14:paraId="30467BF1" w14:textId="77777777" w:rsidR="00453C22" w:rsidRPr="00453C22" w:rsidRDefault="00453C22" w:rsidP="00CE076A">
      <w:pPr>
        <w:pStyle w:val="ListParagraph"/>
        <w:spacing w:line="360" w:lineRule="auto"/>
        <w:rPr>
          <w:rFonts w:ascii="Arial" w:hAnsi="Arial" w:cs="Arial"/>
          <w:sz w:val="24"/>
          <w:szCs w:val="24"/>
        </w:rPr>
      </w:pPr>
    </w:p>
    <w:p w14:paraId="1B0D881F" w14:textId="4671F7A6" w:rsidR="00453C22" w:rsidRPr="00663DAA" w:rsidRDefault="00EB197D" w:rsidP="007E4D7D">
      <w:pPr>
        <w:pStyle w:val="ListParagraph"/>
        <w:spacing w:line="360" w:lineRule="auto"/>
        <w:rPr>
          <w:rFonts w:ascii="Arial" w:hAnsi="Arial" w:cs="Arial"/>
          <w:sz w:val="22"/>
          <w:szCs w:val="22"/>
        </w:rPr>
      </w:pPr>
      <w:r>
        <w:rPr>
          <w:rFonts w:ascii="Arial" w:hAnsi="Arial" w:cs="Arial"/>
          <w:sz w:val="22"/>
          <w:szCs w:val="22"/>
          <w:lang w:val="en-US"/>
        </w:rPr>
        <w:t>“</w:t>
      </w:r>
      <w:r w:rsidR="00453C22" w:rsidRPr="00663DAA">
        <w:rPr>
          <w:rFonts w:ascii="Arial" w:hAnsi="Arial" w:cs="Arial"/>
          <w:sz w:val="22"/>
          <w:szCs w:val="22"/>
          <w:lang w:val="en-US"/>
        </w:rPr>
        <w:t xml:space="preserve">The </w:t>
      </w:r>
      <w:r w:rsidR="00663DAA">
        <w:rPr>
          <w:rFonts w:ascii="Arial" w:hAnsi="Arial" w:cs="Arial"/>
          <w:sz w:val="22"/>
          <w:szCs w:val="22"/>
          <w:lang w:val="en-US"/>
        </w:rPr>
        <w:t xml:space="preserve">obligation to obey </w:t>
      </w:r>
      <w:r w:rsidR="009A7E75">
        <w:rPr>
          <w:rFonts w:ascii="Arial" w:hAnsi="Arial" w:cs="Arial"/>
          <w:sz w:val="22"/>
          <w:szCs w:val="22"/>
          <w:lang w:val="en-US"/>
        </w:rPr>
        <w:t>c</w:t>
      </w:r>
      <w:r w:rsidR="00663DAA">
        <w:rPr>
          <w:rFonts w:ascii="Arial" w:hAnsi="Arial" w:cs="Arial"/>
          <w:sz w:val="22"/>
          <w:szCs w:val="22"/>
          <w:lang w:val="en-US"/>
        </w:rPr>
        <w:t>ourt orders ‘has at its heart</w:t>
      </w:r>
      <w:r w:rsidR="00453C22" w:rsidRPr="00663DAA">
        <w:rPr>
          <w:rFonts w:ascii="Arial" w:hAnsi="Arial" w:cs="Arial"/>
          <w:sz w:val="22"/>
          <w:szCs w:val="22"/>
          <w:lang w:val="en-US"/>
        </w:rPr>
        <w:t xml:space="preserve"> the very effectiveness </w:t>
      </w:r>
      <w:r w:rsidR="00CF3D3D">
        <w:rPr>
          <w:rFonts w:ascii="Arial" w:hAnsi="Arial" w:cs="Arial"/>
          <w:sz w:val="22"/>
          <w:szCs w:val="22"/>
          <w:lang w:val="en-US"/>
        </w:rPr>
        <w:t xml:space="preserve">and legitimacy </w:t>
      </w:r>
      <w:r w:rsidR="00453C22" w:rsidRPr="00663DAA">
        <w:rPr>
          <w:rFonts w:ascii="Arial" w:hAnsi="Arial" w:cs="Arial"/>
          <w:sz w:val="22"/>
          <w:szCs w:val="22"/>
          <w:lang w:val="en-US"/>
        </w:rPr>
        <w:t>of the judicial system</w:t>
      </w:r>
      <w:r w:rsidR="00663DAA">
        <w:rPr>
          <w:rFonts w:ascii="Arial" w:hAnsi="Arial" w:cs="Arial"/>
          <w:sz w:val="22"/>
          <w:szCs w:val="22"/>
          <w:lang w:val="en-US"/>
        </w:rPr>
        <w:t xml:space="preserve">.’ Allowing parties to ignore </w:t>
      </w:r>
      <w:r w:rsidR="009A7E75">
        <w:rPr>
          <w:rFonts w:ascii="Arial" w:hAnsi="Arial" w:cs="Arial"/>
          <w:sz w:val="22"/>
          <w:szCs w:val="22"/>
          <w:lang w:val="en-US"/>
        </w:rPr>
        <w:t>c</w:t>
      </w:r>
      <w:r w:rsidR="00453C22" w:rsidRPr="00663DAA">
        <w:rPr>
          <w:rFonts w:ascii="Arial" w:hAnsi="Arial" w:cs="Arial"/>
          <w:sz w:val="22"/>
          <w:szCs w:val="22"/>
          <w:lang w:val="en-US"/>
        </w:rPr>
        <w:t>ourt orders would shake the foundations of the law, and compromise the status and constitutional mandate of the courts. The duty to obey court orders is the stanchion around which a state founded on the supremacy of the Constitution and the rule of law is built.</w:t>
      </w:r>
      <w:r>
        <w:rPr>
          <w:rFonts w:ascii="Arial" w:hAnsi="Arial" w:cs="Arial"/>
          <w:sz w:val="22"/>
          <w:szCs w:val="22"/>
          <w:lang w:val="en-US"/>
        </w:rPr>
        <w:t>”</w:t>
      </w:r>
    </w:p>
    <w:p w14:paraId="712BD03F" w14:textId="77777777" w:rsidR="00E44E9C" w:rsidRPr="004A54F8" w:rsidRDefault="00E44E9C" w:rsidP="00CE076A">
      <w:pPr>
        <w:pStyle w:val="ListParagraph"/>
        <w:spacing w:line="360" w:lineRule="auto"/>
        <w:ind w:left="360"/>
        <w:rPr>
          <w:rFonts w:ascii="Arial" w:hAnsi="Arial" w:cs="Arial"/>
          <w:sz w:val="24"/>
          <w:szCs w:val="24"/>
        </w:rPr>
      </w:pPr>
    </w:p>
    <w:p w14:paraId="276D09B6" w14:textId="368371F7" w:rsidR="00453C22" w:rsidRPr="0052701D" w:rsidRDefault="0052701D" w:rsidP="0052701D">
      <w:pPr>
        <w:spacing w:line="360" w:lineRule="auto"/>
        <w:ind w:left="360" w:hanging="360"/>
        <w:rPr>
          <w:rFonts w:ascii="Arial" w:hAnsi="Arial" w:cs="Arial"/>
          <w:sz w:val="24"/>
          <w:szCs w:val="24"/>
        </w:rPr>
      </w:pPr>
      <w:r w:rsidRPr="00CE076A">
        <w:rPr>
          <w:rFonts w:ascii="Arial" w:hAnsi="Arial" w:cs="Arial"/>
          <w:sz w:val="24"/>
          <w:szCs w:val="24"/>
        </w:rPr>
        <w:t>48.</w:t>
      </w:r>
      <w:r w:rsidRPr="00CE076A">
        <w:rPr>
          <w:rFonts w:ascii="Arial" w:hAnsi="Arial" w:cs="Arial"/>
          <w:sz w:val="24"/>
          <w:szCs w:val="24"/>
        </w:rPr>
        <w:tab/>
      </w:r>
      <w:r w:rsidR="00453C22" w:rsidRPr="0052701D">
        <w:rPr>
          <w:rFonts w:ascii="Arial" w:hAnsi="Arial" w:cs="Arial"/>
          <w:sz w:val="24"/>
          <w:szCs w:val="24"/>
        </w:rPr>
        <w:t xml:space="preserve">Moreover, there is a particularly high duty on </w:t>
      </w:r>
      <w:r w:rsidR="00663DAA" w:rsidRPr="0052701D">
        <w:rPr>
          <w:rFonts w:ascii="Arial" w:hAnsi="Arial" w:cs="Arial"/>
          <w:sz w:val="24"/>
          <w:szCs w:val="24"/>
        </w:rPr>
        <w:t xml:space="preserve">organs of </w:t>
      </w:r>
      <w:r w:rsidR="00280883" w:rsidRPr="0052701D">
        <w:rPr>
          <w:rFonts w:ascii="Arial" w:hAnsi="Arial" w:cs="Arial"/>
          <w:sz w:val="24"/>
          <w:szCs w:val="24"/>
        </w:rPr>
        <w:t>s</w:t>
      </w:r>
      <w:r w:rsidR="00663DAA" w:rsidRPr="0052701D">
        <w:rPr>
          <w:rFonts w:ascii="Arial" w:hAnsi="Arial" w:cs="Arial"/>
          <w:sz w:val="24"/>
          <w:szCs w:val="24"/>
        </w:rPr>
        <w:t xml:space="preserve">tate to comply with </w:t>
      </w:r>
      <w:r w:rsidR="009A7E75" w:rsidRPr="0052701D">
        <w:rPr>
          <w:rFonts w:ascii="Arial" w:hAnsi="Arial" w:cs="Arial"/>
          <w:sz w:val="24"/>
          <w:szCs w:val="24"/>
        </w:rPr>
        <w:t>c</w:t>
      </w:r>
      <w:r w:rsidR="00453C22" w:rsidRPr="0052701D">
        <w:rPr>
          <w:rFonts w:ascii="Arial" w:hAnsi="Arial" w:cs="Arial"/>
          <w:sz w:val="24"/>
          <w:szCs w:val="24"/>
        </w:rPr>
        <w:t>ourt orders, both because of the duties imposed by section 165(4)</w:t>
      </w:r>
      <w:r w:rsidR="00DE66D8" w:rsidRPr="0052701D">
        <w:rPr>
          <w:rFonts w:ascii="Arial" w:hAnsi="Arial" w:cs="Arial"/>
          <w:sz w:val="24"/>
          <w:szCs w:val="24"/>
        </w:rPr>
        <w:t xml:space="preserve"> of the Constitution</w:t>
      </w:r>
      <w:r w:rsidR="00453C22" w:rsidRPr="0052701D">
        <w:rPr>
          <w:rFonts w:ascii="Arial" w:hAnsi="Arial" w:cs="Arial"/>
          <w:sz w:val="24"/>
          <w:szCs w:val="24"/>
        </w:rPr>
        <w:t xml:space="preserve"> and because the </w:t>
      </w:r>
      <w:r w:rsidR="00790B96" w:rsidRPr="0052701D">
        <w:rPr>
          <w:rFonts w:ascii="Arial" w:hAnsi="Arial" w:cs="Arial"/>
          <w:sz w:val="24"/>
          <w:szCs w:val="24"/>
        </w:rPr>
        <w:t>s</w:t>
      </w:r>
      <w:r w:rsidR="00453C22" w:rsidRPr="0052701D">
        <w:rPr>
          <w:rFonts w:ascii="Arial" w:hAnsi="Arial" w:cs="Arial"/>
          <w:sz w:val="24"/>
          <w:szCs w:val="24"/>
        </w:rPr>
        <w:t>tate must lead by example and observe the law scrupulously so as to uphold the rule of law, a foundational value of the Constitution.</w:t>
      </w:r>
      <w:r w:rsidR="00453C22">
        <w:rPr>
          <w:rStyle w:val="FootnoteReference"/>
          <w:rFonts w:ascii="Arial" w:hAnsi="Arial" w:cs="Arial"/>
          <w:sz w:val="24"/>
          <w:szCs w:val="24"/>
        </w:rPr>
        <w:footnoteReference w:id="27"/>
      </w:r>
    </w:p>
    <w:p w14:paraId="4AEB037E" w14:textId="5CB354AC" w:rsidR="00663DAA" w:rsidRPr="0052701D" w:rsidRDefault="0052701D" w:rsidP="0052701D">
      <w:pPr>
        <w:spacing w:line="360" w:lineRule="auto"/>
        <w:ind w:left="360" w:hanging="360"/>
        <w:rPr>
          <w:rFonts w:ascii="Arial" w:hAnsi="Arial" w:cs="Arial"/>
          <w:sz w:val="24"/>
          <w:szCs w:val="24"/>
        </w:rPr>
      </w:pPr>
      <w:r w:rsidRPr="00663DAA">
        <w:rPr>
          <w:rFonts w:ascii="Arial" w:hAnsi="Arial" w:cs="Arial"/>
          <w:sz w:val="24"/>
          <w:szCs w:val="24"/>
        </w:rPr>
        <w:t>49.</w:t>
      </w:r>
      <w:r w:rsidRPr="00663DAA">
        <w:rPr>
          <w:rFonts w:ascii="Arial" w:hAnsi="Arial" w:cs="Arial"/>
          <w:sz w:val="24"/>
          <w:szCs w:val="24"/>
        </w:rPr>
        <w:tab/>
      </w:r>
      <w:r w:rsidR="00453C22" w:rsidRPr="0052701D">
        <w:rPr>
          <w:rFonts w:ascii="Arial" w:hAnsi="Arial" w:cs="Arial"/>
          <w:sz w:val="24"/>
          <w:szCs w:val="24"/>
        </w:rPr>
        <w:t>In order to determine whether there has been non-compliance</w:t>
      </w:r>
      <w:r w:rsidR="006E41E5" w:rsidRPr="0052701D">
        <w:rPr>
          <w:rFonts w:ascii="Arial" w:hAnsi="Arial" w:cs="Arial"/>
          <w:sz w:val="24"/>
          <w:szCs w:val="24"/>
        </w:rPr>
        <w:t xml:space="preserve">, this Court must interpret the review orders. </w:t>
      </w:r>
      <w:r w:rsidR="00653A80" w:rsidRPr="0052701D">
        <w:rPr>
          <w:rFonts w:ascii="Arial" w:hAnsi="Arial" w:cs="Arial"/>
          <w:sz w:val="24"/>
          <w:szCs w:val="24"/>
        </w:rPr>
        <w:t xml:space="preserve">The Constitutional Court held in </w:t>
      </w:r>
      <w:r w:rsidR="00653A80" w:rsidRPr="0052701D">
        <w:rPr>
          <w:rFonts w:ascii="Arial" w:hAnsi="Arial" w:cs="Arial"/>
          <w:i/>
          <w:sz w:val="24"/>
          <w:szCs w:val="24"/>
        </w:rPr>
        <w:t>SOS Support Public Broadcasting:</w:t>
      </w:r>
      <w:r w:rsidR="00653A80">
        <w:rPr>
          <w:rStyle w:val="FootnoteReference"/>
          <w:rFonts w:ascii="Arial" w:hAnsi="Arial" w:cs="Arial"/>
          <w:i/>
          <w:sz w:val="24"/>
          <w:szCs w:val="24"/>
        </w:rPr>
        <w:footnoteReference w:id="28"/>
      </w:r>
    </w:p>
    <w:p w14:paraId="06F2AA71" w14:textId="77777777" w:rsidR="00663DAA" w:rsidRPr="00663DAA" w:rsidRDefault="00663DAA" w:rsidP="00CE076A">
      <w:pPr>
        <w:pStyle w:val="ListParagraph"/>
        <w:spacing w:line="360" w:lineRule="auto"/>
        <w:rPr>
          <w:rFonts w:ascii="Arial" w:hAnsi="Arial" w:cs="Arial"/>
          <w:sz w:val="24"/>
          <w:szCs w:val="24"/>
        </w:rPr>
      </w:pPr>
    </w:p>
    <w:p w14:paraId="3A6F9A78" w14:textId="21F7ECD1" w:rsidR="00663DAA" w:rsidRPr="00391BAD" w:rsidRDefault="00410698" w:rsidP="00CE076A">
      <w:pPr>
        <w:pStyle w:val="ListParagraph"/>
        <w:spacing w:line="360" w:lineRule="auto"/>
      </w:pPr>
      <w:r>
        <w:rPr>
          <w:rFonts w:ascii="Arial" w:hAnsi="Arial" w:cs="Arial"/>
          <w:sz w:val="22"/>
          <w:szCs w:val="22"/>
        </w:rPr>
        <w:lastRenderedPageBreak/>
        <w:t>“</w:t>
      </w:r>
      <w:r w:rsidR="00653A80" w:rsidRPr="00663DAA">
        <w:rPr>
          <w:rFonts w:ascii="Arial" w:hAnsi="Arial" w:cs="Arial"/>
          <w:sz w:val="22"/>
          <w:szCs w:val="22"/>
        </w:rPr>
        <w:t>Court orders are intended to provide effective relief and must be capable of achieving their intended purpose. That must be the starting point in interpreting a court order.</w:t>
      </w:r>
      <w:r>
        <w:rPr>
          <w:rFonts w:ascii="Arial" w:hAnsi="Arial" w:cs="Arial"/>
          <w:sz w:val="22"/>
          <w:szCs w:val="22"/>
        </w:rPr>
        <w:t>”</w:t>
      </w:r>
    </w:p>
    <w:p w14:paraId="5B333C21" w14:textId="77777777" w:rsidR="00663DAA" w:rsidRDefault="00663DAA" w:rsidP="00CE076A">
      <w:pPr>
        <w:pStyle w:val="ListParagraph"/>
        <w:spacing w:line="360" w:lineRule="auto"/>
        <w:ind w:left="360"/>
        <w:rPr>
          <w:rFonts w:ascii="Arial" w:hAnsi="Arial" w:cs="Arial"/>
          <w:sz w:val="24"/>
          <w:szCs w:val="24"/>
        </w:rPr>
      </w:pPr>
    </w:p>
    <w:p w14:paraId="1D1A6123" w14:textId="5A44D7A6" w:rsidR="006E41E5" w:rsidRPr="0052701D" w:rsidRDefault="0052701D" w:rsidP="0052701D">
      <w:pPr>
        <w:spacing w:line="360" w:lineRule="auto"/>
        <w:ind w:left="360" w:hanging="360"/>
        <w:rPr>
          <w:rFonts w:ascii="Arial" w:hAnsi="Arial" w:cs="Arial"/>
          <w:sz w:val="24"/>
          <w:szCs w:val="24"/>
        </w:rPr>
      </w:pPr>
      <w:r w:rsidRPr="006E41E5">
        <w:rPr>
          <w:rFonts w:ascii="Arial" w:hAnsi="Arial" w:cs="Arial"/>
          <w:sz w:val="24"/>
          <w:szCs w:val="24"/>
        </w:rPr>
        <w:t>50.</w:t>
      </w:r>
      <w:r w:rsidRPr="006E41E5">
        <w:rPr>
          <w:rFonts w:ascii="Arial" w:hAnsi="Arial" w:cs="Arial"/>
          <w:sz w:val="24"/>
          <w:szCs w:val="24"/>
        </w:rPr>
        <w:tab/>
      </w:r>
      <w:r w:rsidR="00DA3D5F" w:rsidRPr="0052701D">
        <w:rPr>
          <w:rFonts w:ascii="Arial" w:hAnsi="Arial" w:cs="Arial"/>
          <w:sz w:val="24"/>
          <w:szCs w:val="24"/>
        </w:rPr>
        <w:t xml:space="preserve">The </w:t>
      </w:r>
      <w:r w:rsidR="006E41E5" w:rsidRPr="0052701D">
        <w:rPr>
          <w:rFonts w:ascii="Arial" w:hAnsi="Arial" w:cs="Arial"/>
          <w:sz w:val="24"/>
          <w:szCs w:val="24"/>
        </w:rPr>
        <w:t>co</w:t>
      </w:r>
      <w:r w:rsidR="00663DAA" w:rsidRPr="0052701D">
        <w:rPr>
          <w:rFonts w:ascii="Arial" w:hAnsi="Arial" w:cs="Arial"/>
          <w:sz w:val="24"/>
          <w:szCs w:val="24"/>
        </w:rPr>
        <w:t>rrect approach to interpreting c</w:t>
      </w:r>
      <w:r w:rsidR="006E41E5" w:rsidRPr="0052701D">
        <w:rPr>
          <w:rFonts w:ascii="Arial" w:hAnsi="Arial" w:cs="Arial"/>
          <w:sz w:val="24"/>
          <w:szCs w:val="24"/>
        </w:rPr>
        <w:t xml:space="preserve">ourt orders </w:t>
      </w:r>
      <w:r w:rsidR="00653A80" w:rsidRPr="0052701D">
        <w:rPr>
          <w:rFonts w:ascii="Arial" w:hAnsi="Arial" w:cs="Arial"/>
          <w:sz w:val="24"/>
          <w:szCs w:val="24"/>
        </w:rPr>
        <w:t xml:space="preserve">was stated as follows in </w:t>
      </w:r>
      <w:r w:rsidR="00653A80" w:rsidRPr="0052701D">
        <w:rPr>
          <w:rFonts w:ascii="Arial" w:hAnsi="Arial" w:cs="Arial"/>
          <w:i/>
          <w:sz w:val="24"/>
          <w:szCs w:val="24"/>
        </w:rPr>
        <w:t>Finishing Touch</w:t>
      </w:r>
      <w:r w:rsidR="006E41E5" w:rsidRPr="006E41E5">
        <w:rPr>
          <w:rStyle w:val="FootnoteReference"/>
          <w:rFonts w:ascii="Arial" w:hAnsi="Arial" w:cs="Arial"/>
          <w:sz w:val="24"/>
          <w:szCs w:val="24"/>
        </w:rPr>
        <w:footnoteReference w:id="29"/>
      </w:r>
      <w:r w:rsidR="00DA3D5F" w:rsidRPr="0052701D">
        <w:rPr>
          <w:rFonts w:ascii="Arial" w:hAnsi="Arial" w:cs="Arial"/>
          <w:i/>
          <w:sz w:val="24"/>
          <w:szCs w:val="24"/>
        </w:rPr>
        <w:t xml:space="preserve"> </w:t>
      </w:r>
      <w:r w:rsidR="00DA3D5F" w:rsidRPr="0052701D">
        <w:rPr>
          <w:rFonts w:ascii="Arial" w:hAnsi="Arial" w:cs="Arial"/>
          <w:sz w:val="24"/>
          <w:szCs w:val="24"/>
        </w:rPr>
        <w:t>and has been endorsed by the Constitutional Court</w:t>
      </w:r>
      <w:r w:rsidR="006E41E5" w:rsidRPr="0052701D">
        <w:rPr>
          <w:rFonts w:ascii="Arial" w:hAnsi="Arial" w:cs="Arial"/>
          <w:sz w:val="24"/>
          <w:szCs w:val="24"/>
        </w:rPr>
        <w:t>:</w:t>
      </w:r>
      <w:r w:rsidR="00DA3D5F">
        <w:rPr>
          <w:rStyle w:val="FootnoteReference"/>
          <w:rFonts w:ascii="Arial" w:hAnsi="Arial" w:cs="Arial"/>
          <w:sz w:val="24"/>
          <w:szCs w:val="24"/>
        </w:rPr>
        <w:footnoteReference w:id="30"/>
      </w:r>
      <w:r w:rsidR="006E41E5" w:rsidRPr="0052701D">
        <w:rPr>
          <w:rFonts w:ascii="Arial" w:hAnsi="Arial" w:cs="Arial"/>
          <w:sz w:val="24"/>
          <w:szCs w:val="24"/>
        </w:rPr>
        <w:t xml:space="preserve"> </w:t>
      </w:r>
    </w:p>
    <w:p w14:paraId="180D4346" w14:textId="50A1A5B4" w:rsidR="006E41E5" w:rsidRPr="00663DAA" w:rsidRDefault="00391BAD" w:rsidP="007E4D7D">
      <w:pPr>
        <w:pStyle w:val="ListParagraph"/>
        <w:spacing w:line="360" w:lineRule="auto"/>
        <w:rPr>
          <w:rFonts w:ascii="Arial" w:hAnsi="Arial" w:cs="Arial"/>
          <w:sz w:val="22"/>
          <w:szCs w:val="22"/>
        </w:rPr>
      </w:pPr>
      <w:r>
        <w:rPr>
          <w:rFonts w:ascii="Arial" w:hAnsi="Arial" w:cs="Arial"/>
          <w:sz w:val="22"/>
          <w:szCs w:val="22"/>
        </w:rPr>
        <w:t>“</w:t>
      </w:r>
      <w:r w:rsidR="006E41E5" w:rsidRPr="00663DAA">
        <w:rPr>
          <w:rFonts w:ascii="Arial" w:hAnsi="Arial" w:cs="Arial"/>
          <w:sz w:val="22"/>
          <w:szCs w:val="22"/>
        </w:rPr>
        <w:t>The starting point is to determine 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w:t>
      </w:r>
      <w:r w:rsidR="00653A80" w:rsidRPr="00663DAA">
        <w:rPr>
          <w:rFonts w:ascii="Arial" w:hAnsi="Arial" w:cs="Arial"/>
          <w:sz w:val="22"/>
          <w:szCs w:val="22"/>
        </w:rPr>
        <w:t>,</w:t>
      </w:r>
      <w:r w:rsidR="006E41E5" w:rsidRPr="00663DAA">
        <w:rPr>
          <w:rFonts w:ascii="Arial" w:hAnsi="Arial" w:cs="Arial"/>
          <w:sz w:val="22"/>
          <w:szCs w:val="22"/>
        </w:rPr>
        <w:t xml:space="preserve"> the judgment or order and the court’s reasons for giving it must be read as a whole in order to ascertain its intention.</w:t>
      </w:r>
      <w:r>
        <w:rPr>
          <w:rFonts w:ascii="Arial" w:hAnsi="Arial" w:cs="Arial"/>
          <w:sz w:val="22"/>
          <w:szCs w:val="22"/>
        </w:rPr>
        <w:t>”</w:t>
      </w:r>
    </w:p>
    <w:p w14:paraId="4FDA99D0" w14:textId="77777777" w:rsidR="00653A80" w:rsidRDefault="00653A80" w:rsidP="00CE076A">
      <w:pPr>
        <w:pStyle w:val="ListParagraph"/>
        <w:spacing w:line="360" w:lineRule="auto"/>
        <w:ind w:left="360"/>
        <w:rPr>
          <w:rFonts w:ascii="Arial" w:hAnsi="Arial" w:cs="Arial"/>
          <w:sz w:val="24"/>
          <w:szCs w:val="24"/>
        </w:rPr>
      </w:pPr>
    </w:p>
    <w:p w14:paraId="104BA20C" w14:textId="71990405" w:rsidR="00477348" w:rsidRPr="0052701D" w:rsidRDefault="0052701D" w:rsidP="0052701D">
      <w:pPr>
        <w:spacing w:line="360" w:lineRule="auto"/>
        <w:ind w:left="360" w:hanging="360"/>
        <w:rPr>
          <w:rFonts w:ascii="Arial" w:hAnsi="Arial" w:cs="Arial"/>
          <w:sz w:val="24"/>
          <w:szCs w:val="24"/>
        </w:rPr>
      </w:pPr>
      <w:r>
        <w:rPr>
          <w:rFonts w:ascii="Arial" w:hAnsi="Arial" w:cs="Arial"/>
          <w:sz w:val="24"/>
          <w:szCs w:val="24"/>
        </w:rPr>
        <w:t>51.</w:t>
      </w:r>
      <w:r>
        <w:rPr>
          <w:rFonts w:ascii="Arial" w:hAnsi="Arial" w:cs="Arial"/>
          <w:sz w:val="24"/>
          <w:szCs w:val="24"/>
        </w:rPr>
        <w:tab/>
      </w:r>
      <w:r w:rsidR="00DA3D5F" w:rsidRPr="0052701D">
        <w:rPr>
          <w:rFonts w:ascii="Arial" w:hAnsi="Arial" w:cs="Arial"/>
          <w:sz w:val="24"/>
          <w:szCs w:val="24"/>
        </w:rPr>
        <w:t>To consider the import of the review orders, it is necessary to distinguish between the period of the 2012 SVR and the period of the 2013 GVR.</w:t>
      </w:r>
      <w:r w:rsidR="00477348" w:rsidRPr="0052701D">
        <w:rPr>
          <w:rFonts w:ascii="Arial" w:hAnsi="Arial" w:cs="Arial"/>
          <w:sz w:val="24"/>
          <w:szCs w:val="24"/>
        </w:rPr>
        <w:t xml:space="preserve"> It is convenient to deal</w:t>
      </w:r>
      <w:r w:rsidR="00663DAA" w:rsidRPr="0052701D">
        <w:rPr>
          <w:rFonts w:ascii="Arial" w:hAnsi="Arial" w:cs="Arial"/>
          <w:sz w:val="24"/>
          <w:szCs w:val="24"/>
        </w:rPr>
        <w:t xml:space="preserve"> </w:t>
      </w:r>
      <w:r w:rsidR="00477348" w:rsidRPr="0052701D">
        <w:rPr>
          <w:rFonts w:ascii="Arial" w:hAnsi="Arial" w:cs="Arial"/>
          <w:sz w:val="24"/>
          <w:szCs w:val="24"/>
        </w:rPr>
        <w:t>first with the 2013 GVR period.</w:t>
      </w:r>
    </w:p>
    <w:p w14:paraId="409465E6" w14:textId="77777777" w:rsidR="00E44E9C" w:rsidRDefault="00E44E9C" w:rsidP="00CE076A">
      <w:pPr>
        <w:pStyle w:val="ListParagraph"/>
        <w:spacing w:line="360" w:lineRule="auto"/>
        <w:ind w:left="360"/>
        <w:rPr>
          <w:rFonts w:ascii="Arial" w:hAnsi="Arial" w:cs="Arial"/>
          <w:sz w:val="24"/>
          <w:szCs w:val="24"/>
        </w:rPr>
      </w:pPr>
    </w:p>
    <w:p w14:paraId="18160398" w14:textId="40A167F0" w:rsidR="00477348" w:rsidRPr="0052701D" w:rsidRDefault="0052701D" w:rsidP="0052701D">
      <w:pPr>
        <w:spacing w:line="360" w:lineRule="auto"/>
        <w:ind w:left="360" w:hanging="360"/>
        <w:rPr>
          <w:rFonts w:ascii="Arial" w:hAnsi="Arial" w:cs="Arial"/>
          <w:sz w:val="24"/>
          <w:szCs w:val="24"/>
        </w:rPr>
      </w:pPr>
      <w:r w:rsidRPr="00A23895">
        <w:rPr>
          <w:rFonts w:ascii="Arial" w:hAnsi="Arial" w:cs="Arial"/>
          <w:sz w:val="24"/>
          <w:szCs w:val="24"/>
        </w:rPr>
        <w:t>52.</w:t>
      </w:r>
      <w:r w:rsidRPr="00A23895">
        <w:rPr>
          <w:rFonts w:ascii="Arial" w:hAnsi="Arial" w:cs="Arial"/>
          <w:sz w:val="24"/>
          <w:szCs w:val="24"/>
        </w:rPr>
        <w:tab/>
      </w:r>
      <w:r w:rsidR="00477348" w:rsidRPr="0052701D">
        <w:rPr>
          <w:rFonts w:ascii="Arial" w:hAnsi="Arial" w:cs="Arial"/>
          <w:sz w:val="24"/>
          <w:szCs w:val="24"/>
        </w:rPr>
        <w:t>In respect of that period, I agree with the appellants’ submission that before the 2013 GVR period lapsed, the City would have been entitled to reconsider the applicable rates imposed. Once it had lapsed, however, the only parts of the review orders that could remain operative in</w:t>
      </w:r>
      <w:r w:rsidR="00663DAA" w:rsidRPr="0052701D">
        <w:rPr>
          <w:rFonts w:ascii="Arial" w:hAnsi="Arial" w:cs="Arial"/>
          <w:sz w:val="24"/>
          <w:szCs w:val="24"/>
        </w:rPr>
        <w:t xml:space="preserve"> respect of the 2013 GVR </w:t>
      </w:r>
      <w:r w:rsidR="00477348" w:rsidRPr="0052701D">
        <w:rPr>
          <w:rFonts w:ascii="Arial" w:hAnsi="Arial" w:cs="Arial"/>
          <w:sz w:val="24"/>
          <w:szCs w:val="24"/>
        </w:rPr>
        <w:t xml:space="preserve">were </w:t>
      </w:r>
      <w:r w:rsidR="00663DAA" w:rsidRPr="0052701D">
        <w:rPr>
          <w:rFonts w:ascii="Arial" w:hAnsi="Arial" w:cs="Arial"/>
          <w:sz w:val="24"/>
          <w:szCs w:val="24"/>
        </w:rPr>
        <w:t xml:space="preserve">a) the </w:t>
      </w:r>
      <w:r w:rsidR="00477348" w:rsidRPr="0052701D">
        <w:rPr>
          <w:rFonts w:ascii="Arial" w:hAnsi="Arial" w:cs="Arial"/>
          <w:sz w:val="24"/>
          <w:szCs w:val="24"/>
        </w:rPr>
        <w:t xml:space="preserve">part of order 3 that declared it invalid and set it aside to the extent that it categorised the </w:t>
      </w:r>
      <w:r w:rsidR="00663DAA" w:rsidRPr="0052701D">
        <w:rPr>
          <w:rFonts w:ascii="Arial" w:hAnsi="Arial" w:cs="Arial"/>
          <w:sz w:val="24"/>
          <w:szCs w:val="24"/>
        </w:rPr>
        <w:t>affected properties as ‘vacant’;</w:t>
      </w:r>
      <w:r w:rsidR="00477348" w:rsidRPr="0052701D">
        <w:rPr>
          <w:rFonts w:ascii="Arial" w:hAnsi="Arial" w:cs="Arial"/>
          <w:sz w:val="24"/>
          <w:szCs w:val="24"/>
        </w:rPr>
        <w:t xml:space="preserve"> </w:t>
      </w:r>
      <w:r w:rsidR="00663DAA" w:rsidRPr="0052701D">
        <w:rPr>
          <w:rFonts w:ascii="Arial" w:hAnsi="Arial" w:cs="Arial"/>
          <w:sz w:val="24"/>
          <w:szCs w:val="24"/>
        </w:rPr>
        <w:t xml:space="preserve">b) </w:t>
      </w:r>
      <w:r w:rsidR="00477348" w:rsidRPr="0052701D">
        <w:rPr>
          <w:rFonts w:ascii="Arial" w:hAnsi="Arial" w:cs="Arial"/>
          <w:sz w:val="24"/>
          <w:szCs w:val="24"/>
        </w:rPr>
        <w:t>order 4, which declared invalid and set aside the respondents’ imposition of the assessment rate ap</w:t>
      </w:r>
      <w:r w:rsidR="00663DAA" w:rsidRPr="0052701D">
        <w:rPr>
          <w:rFonts w:ascii="Arial" w:hAnsi="Arial" w:cs="Arial"/>
          <w:sz w:val="24"/>
          <w:szCs w:val="24"/>
        </w:rPr>
        <w:t>plicable to the appellants, and; c)</w:t>
      </w:r>
      <w:r w:rsidR="00477348" w:rsidRPr="0052701D">
        <w:rPr>
          <w:rFonts w:ascii="Arial" w:hAnsi="Arial" w:cs="Arial"/>
          <w:sz w:val="24"/>
          <w:szCs w:val="24"/>
        </w:rPr>
        <w:t xml:space="preserve"> order 7, which directed the appellants to pay rates in respect of the affected properties at the rate immediately preceding the coming into operation of the 2012 SVR.</w:t>
      </w:r>
      <w:r w:rsidR="009A7E75">
        <w:rPr>
          <w:rStyle w:val="FootnoteReference"/>
          <w:rFonts w:ascii="Arial" w:hAnsi="Arial" w:cs="Arial"/>
          <w:sz w:val="24"/>
          <w:szCs w:val="24"/>
        </w:rPr>
        <w:footnoteReference w:id="31"/>
      </w:r>
      <w:r w:rsidR="00477348" w:rsidRPr="0052701D">
        <w:rPr>
          <w:rFonts w:ascii="Arial" w:hAnsi="Arial" w:cs="Arial"/>
          <w:sz w:val="24"/>
          <w:szCs w:val="24"/>
        </w:rPr>
        <w:t xml:space="preserve"> Put different</w:t>
      </w:r>
      <w:r w:rsidR="00663DAA" w:rsidRPr="0052701D">
        <w:rPr>
          <w:rFonts w:ascii="Arial" w:hAnsi="Arial" w:cs="Arial"/>
          <w:sz w:val="24"/>
          <w:szCs w:val="24"/>
        </w:rPr>
        <w:t>ly</w:t>
      </w:r>
      <w:r w:rsidR="00477348" w:rsidRPr="0052701D">
        <w:rPr>
          <w:rFonts w:ascii="Arial" w:hAnsi="Arial" w:cs="Arial"/>
          <w:sz w:val="24"/>
          <w:szCs w:val="24"/>
        </w:rPr>
        <w:t>, it was only open to the City to revisit the 2013 GVR for the period of its intended duration. That interpretation flows from the findings of the Court that justified the remittal. In paragraph 58 of the judgment, Tuchten J held:</w:t>
      </w:r>
    </w:p>
    <w:p w14:paraId="1F94AC4C" w14:textId="77777777" w:rsidR="00477348" w:rsidRPr="00CE076A" w:rsidRDefault="00477348" w:rsidP="00CE076A">
      <w:pPr>
        <w:pStyle w:val="ListParagraph"/>
        <w:spacing w:line="360" w:lineRule="auto"/>
        <w:rPr>
          <w:rFonts w:ascii="Arial" w:hAnsi="Arial" w:cs="Arial"/>
          <w:sz w:val="24"/>
          <w:szCs w:val="24"/>
          <w:lang w:val="en-US"/>
        </w:rPr>
      </w:pPr>
    </w:p>
    <w:p w14:paraId="25A29D6D" w14:textId="79FFBA4B" w:rsidR="00477348" w:rsidRPr="00E15A9C" w:rsidRDefault="008170BF" w:rsidP="007E4D7D">
      <w:pPr>
        <w:pStyle w:val="ListParagraph"/>
        <w:spacing w:line="360" w:lineRule="auto"/>
        <w:rPr>
          <w:rFonts w:ascii="Arial" w:hAnsi="Arial" w:cs="Arial"/>
          <w:sz w:val="22"/>
          <w:szCs w:val="22"/>
          <w:lang w:val="en-US"/>
        </w:rPr>
      </w:pPr>
      <w:r>
        <w:rPr>
          <w:rFonts w:ascii="Arial" w:hAnsi="Arial" w:cs="Arial"/>
          <w:sz w:val="22"/>
          <w:szCs w:val="22"/>
          <w:lang w:val="en-US"/>
        </w:rPr>
        <w:t>“</w:t>
      </w:r>
      <w:r w:rsidR="00477348" w:rsidRPr="00E15A9C">
        <w:rPr>
          <w:rFonts w:ascii="Arial" w:hAnsi="Arial" w:cs="Arial"/>
          <w:sz w:val="22"/>
          <w:szCs w:val="22"/>
          <w:lang w:val="en-US"/>
        </w:rPr>
        <w:t xml:space="preserve">Counsel for the City asked that if I set aside the valuation rolls aside (sic), I should remit the matter to the City for the process to be commenced afresh. This will be </w:t>
      </w:r>
      <w:r w:rsidR="00477348" w:rsidRPr="00E15A9C">
        <w:rPr>
          <w:rFonts w:ascii="Arial" w:hAnsi="Arial" w:cs="Arial"/>
          <w:sz w:val="22"/>
          <w:szCs w:val="22"/>
          <w:lang w:val="en-US"/>
        </w:rPr>
        <w:lastRenderedPageBreak/>
        <w:t>appropriate in relation to the [2013 GVR] but not in the case of the [2012 SVR]. This is because the 2012 supplementary valuation roll has by effluxion of time run its course and in the light of my finding against the City in relation to retrospectivity, no purpose will be served by a recapitulation of that process.</w:t>
      </w:r>
      <w:r>
        <w:rPr>
          <w:rFonts w:ascii="Arial" w:hAnsi="Arial" w:cs="Arial"/>
          <w:sz w:val="22"/>
          <w:szCs w:val="22"/>
          <w:lang w:val="en-US"/>
        </w:rPr>
        <w:t>”</w:t>
      </w:r>
    </w:p>
    <w:p w14:paraId="6A7E32D1" w14:textId="77777777" w:rsidR="00477348" w:rsidRPr="00CE076A" w:rsidRDefault="00477348" w:rsidP="00CE076A">
      <w:pPr>
        <w:pStyle w:val="ListParagraph"/>
        <w:spacing w:line="360" w:lineRule="auto"/>
        <w:ind w:left="360"/>
        <w:rPr>
          <w:rFonts w:ascii="Arial" w:hAnsi="Arial" w:cs="Arial"/>
          <w:sz w:val="24"/>
          <w:szCs w:val="24"/>
          <w:lang w:val="en-US"/>
        </w:rPr>
      </w:pPr>
    </w:p>
    <w:p w14:paraId="06705C10" w14:textId="5CDFB9F0" w:rsidR="00477348" w:rsidRPr="0052701D" w:rsidRDefault="0052701D" w:rsidP="0052701D">
      <w:pPr>
        <w:spacing w:line="360" w:lineRule="auto"/>
        <w:ind w:left="360" w:hanging="360"/>
        <w:rPr>
          <w:rFonts w:ascii="Arial" w:hAnsi="Arial" w:cs="Arial"/>
          <w:sz w:val="18"/>
          <w:szCs w:val="18"/>
          <w:lang w:val="en-US"/>
        </w:rPr>
      </w:pPr>
      <w:r w:rsidRPr="00677C26">
        <w:rPr>
          <w:rFonts w:ascii="Arial" w:hAnsi="Arial" w:cs="Arial"/>
          <w:sz w:val="24"/>
          <w:szCs w:val="24"/>
          <w:lang w:val="en-US"/>
        </w:rPr>
        <w:t>53.</w:t>
      </w:r>
      <w:r w:rsidRPr="00677C26">
        <w:rPr>
          <w:rFonts w:ascii="Arial" w:hAnsi="Arial" w:cs="Arial"/>
          <w:sz w:val="24"/>
          <w:szCs w:val="24"/>
          <w:lang w:val="en-US"/>
        </w:rPr>
        <w:tab/>
      </w:r>
      <w:r w:rsidR="00E15A9C" w:rsidRPr="0052701D">
        <w:rPr>
          <w:rFonts w:ascii="Arial" w:hAnsi="Arial" w:cs="Arial"/>
          <w:sz w:val="24"/>
          <w:szCs w:val="24"/>
        </w:rPr>
        <w:t>Although the C</w:t>
      </w:r>
      <w:r w:rsidR="00477348" w:rsidRPr="0052701D">
        <w:rPr>
          <w:rFonts w:ascii="Arial" w:hAnsi="Arial" w:cs="Arial"/>
          <w:sz w:val="24"/>
          <w:szCs w:val="24"/>
        </w:rPr>
        <w:t xml:space="preserve">ourt </w:t>
      </w:r>
      <w:r w:rsidR="00477348" w:rsidRPr="0052701D">
        <w:rPr>
          <w:rFonts w:ascii="Arial" w:hAnsi="Arial" w:cs="Arial"/>
          <w:i/>
          <w:sz w:val="24"/>
          <w:szCs w:val="24"/>
        </w:rPr>
        <w:t xml:space="preserve">a quo </w:t>
      </w:r>
      <w:r w:rsidR="00477348" w:rsidRPr="0052701D">
        <w:rPr>
          <w:rFonts w:ascii="Arial" w:hAnsi="Arial" w:cs="Arial"/>
          <w:sz w:val="24"/>
          <w:szCs w:val="24"/>
        </w:rPr>
        <w:t xml:space="preserve">did not entertain the relief in paragraph 3 of the notice of motion, </w:t>
      </w:r>
      <w:r w:rsidR="009A7E75" w:rsidRPr="0052701D">
        <w:rPr>
          <w:rFonts w:ascii="Arial" w:hAnsi="Arial" w:cs="Arial"/>
          <w:sz w:val="24"/>
          <w:szCs w:val="24"/>
        </w:rPr>
        <w:t xml:space="preserve">it made a </w:t>
      </w:r>
      <w:r w:rsidR="00477348" w:rsidRPr="0052701D">
        <w:rPr>
          <w:rFonts w:ascii="Arial" w:hAnsi="Arial" w:cs="Arial"/>
          <w:sz w:val="24"/>
          <w:szCs w:val="24"/>
        </w:rPr>
        <w:t xml:space="preserve">finding on this issue </w:t>
      </w:r>
      <w:r w:rsidR="009730BF" w:rsidRPr="0052701D">
        <w:rPr>
          <w:rFonts w:ascii="Arial" w:hAnsi="Arial" w:cs="Arial"/>
          <w:sz w:val="24"/>
          <w:szCs w:val="24"/>
        </w:rPr>
        <w:t>in</w:t>
      </w:r>
      <w:r w:rsidR="009A7E75" w:rsidRPr="0052701D">
        <w:rPr>
          <w:rFonts w:ascii="Arial" w:hAnsi="Arial" w:cs="Arial"/>
          <w:sz w:val="24"/>
          <w:szCs w:val="24"/>
        </w:rPr>
        <w:t xml:space="preserve"> that it </w:t>
      </w:r>
      <w:r w:rsidR="00477348" w:rsidRPr="0052701D">
        <w:rPr>
          <w:rFonts w:ascii="Arial" w:hAnsi="Arial" w:cs="Arial"/>
          <w:sz w:val="24"/>
          <w:szCs w:val="24"/>
        </w:rPr>
        <w:t>concluded</w:t>
      </w:r>
      <w:r w:rsidR="00477348">
        <w:rPr>
          <w:rStyle w:val="FootnoteReference"/>
          <w:rFonts w:ascii="Arial" w:hAnsi="Arial" w:cs="Arial"/>
          <w:sz w:val="24"/>
          <w:szCs w:val="24"/>
        </w:rPr>
        <w:footnoteReference w:id="32"/>
      </w:r>
      <w:r w:rsidR="00477348" w:rsidRPr="0052701D">
        <w:rPr>
          <w:rFonts w:ascii="Arial" w:hAnsi="Arial" w:cs="Arial"/>
          <w:sz w:val="24"/>
          <w:szCs w:val="24"/>
        </w:rPr>
        <w:t xml:space="preserve"> that the 2013 GVR had to be implemented afresh by way of the EVR in order to implement the review orders. Th</w:t>
      </w:r>
      <w:r w:rsidR="009A7E75" w:rsidRPr="0052701D">
        <w:rPr>
          <w:rFonts w:ascii="Arial" w:hAnsi="Arial" w:cs="Arial"/>
          <w:sz w:val="24"/>
          <w:szCs w:val="24"/>
        </w:rPr>
        <w:t>at</w:t>
      </w:r>
      <w:r w:rsidR="00E15A9C" w:rsidRPr="0052701D">
        <w:rPr>
          <w:rFonts w:ascii="Arial" w:hAnsi="Arial" w:cs="Arial"/>
          <w:sz w:val="24"/>
          <w:szCs w:val="24"/>
        </w:rPr>
        <w:t xml:space="preserve"> finding</w:t>
      </w:r>
      <w:r w:rsidR="00477348" w:rsidRPr="0052701D">
        <w:rPr>
          <w:rFonts w:ascii="Arial" w:hAnsi="Arial" w:cs="Arial"/>
          <w:sz w:val="24"/>
          <w:szCs w:val="24"/>
        </w:rPr>
        <w:t>, in my view, entailed a misunderstanding of the review orders as once the 2013 GVR had run its course, the remittal served no purpose. Rather, the 2013 GVR was invalid and set aside</w:t>
      </w:r>
      <w:r w:rsidR="005B6425" w:rsidRPr="0052701D">
        <w:rPr>
          <w:rFonts w:ascii="Arial" w:hAnsi="Arial" w:cs="Arial"/>
          <w:sz w:val="24"/>
          <w:szCs w:val="24"/>
        </w:rPr>
        <w:t xml:space="preserve"> with retrospective effect,</w:t>
      </w:r>
      <w:r w:rsidR="007F5727">
        <w:rPr>
          <w:rStyle w:val="FootnoteReference"/>
          <w:rFonts w:ascii="Arial" w:hAnsi="Arial" w:cs="Arial"/>
          <w:sz w:val="24"/>
          <w:szCs w:val="24"/>
        </w:rPr>
        <w:footnoteReference w:id="33"/>
      </w:r>
      <w:r w:rsidR="005B6425" w:rsidRPr="0052701D">
        <w:rPr>
          <w:rFonts w:ascii="Arial" w:hAnsi="Arial" w:cs="Arial"/>
          <w:sz w:val="24"/>
          <w:szCs w:val="24"/>
        </w:rPr>
        <w:t xml:space="preserve"> </w:t>
      </w:r>
      <w:r w:rsidR="00477348" w:rsidRPr="0052701D">
        <w:rPr>
          <w:rFonts w:ascii="Arial" w:hAnsi="Arial" w:cs="Arial"/>
          <w:sz w:val="24"/>
          <w:szCs w:val="24"/>
        </w:rPr>
        <w:t xml:space="preserve">and prayer 7 </w:t>
      </w:r>
      <w:r w:rsidR="005B6425" w:rsidRPr="0052701D">
        <w:rPr>
          <w:rFonts w:ascii="Arial" w:hAnsi="Arial" w:cs="Arial"/>
          <w:sz w:val="24"/>
          <w:szCs w:val="24"/>
        </w:rPr>
        <w:t xml:space="preserve">then </w:t>
      </w:r>
      <w:r w:rsidR="00477348" w:rsidRPr="0052701D">
        <w:rPr>
          <w:rFonts w:ascii="Arial" w:hAnsi="Arial" w:cs="Arial"/>
          <w:sz w:val="24"/>
          <w:szCs w:val="24"/>
        </w:rPr>
        <w:t>determined the basis upon which the appellants still had to pay their rates.</w:t>
      </w:r>
    </w:p>
    <w:p w14:paraId="1F888704" w14:textId="77777777" w:rsidR="00477348" w:rsidRPr="00CE076A" w:rsidRDefault="00477348" w:rsidP="00CE076A">
      <w:pPr>
        <w:pStyle w:val="ListParagraph"/>
        <w:spacing w:line="360" w:lineRule="auto"/>
        <w:ind w:left="360"/>
        <w:rPr>
          <w:rFonts w:ascii="Arial" w:hAnsi="Arial" w:cs="Arial"/>
          <w:sz w:val="24"/>
          <w:szCs w:val="24"/>
          <w:lang w:val="en-US"/>
        </w:rPr>
      </w:pPr>
    </w:p>
    <w:p w14:paraId="5B6EB874" w14:textId="53838BB3" w:rsidR="00F21B9B" w:rsidRPr="0052701D" w:rsidRDefault="0052701D" w:rsidP="0052701D">
      <w:pPr>
        <w:spacing w:line="360" w:lineRule="auto"/>
        <w:ind w:left="360" w:hanging="360"/>
        <w:rPr>
          <w:rFonts w:ascii="Arial" w:hAnsi="Arial" w:cs="Arial"/>
          <w:sz w:val="18"/>
          <w:szCs w:val="18"/>
          <w:lang w:val="en-US"/>
        </w:rPr>
      </w:pPr>
      <w:r w:rsidRPr="00677C26">
        <w:rPr>
          <w:rFonts w:ascii="Arial" w:hAnsi="Arial" w:cs="Arial"/>
          <w:sz w:val="24"/>
          <w:szCs w:val="24"/>
          <w:lang w:val="en-US"/>
        </w:rPr>
        <w:t>54.</w:t>
      </w:r>
      <w:r w:rsidRPr="00677C26">
        <w:rPr>
          <w:rFonts w:ascii="Arial" w:hAnsi="Arial" w:cs="Arial"/>
          <w:sz w:val="24"/>
          <w:szCs w:val="24"/>
          <w:lang w:val="en-US"/>
        </w:rPr>
        <w:tab/>
      </w:r>
      <w:r w:rsidR="00477348" w:rsidRPr="0052701D">
        <w:rPr>
          <w:rFonts w:ascii="Arial" w:hAnsi="Arial" w:cs="Arial"/>
          <w:sz w:val="24"/>
          <w:szCs w:val="24"/>
        </w:rPr>
        <w:t>In any event, it was not open to the City in implementing the review orders retrospectively to recategorise the appellants’ properties</w:t>
      </w:r>
      <w:r w:rsidR="005B6425" w:rsidRPr="0052701D">
        <w:rPr>
          <w:rFonts w:ascii="Arial" w:hAnsi="Arial" w:cs="Arial"/>
          <w:sz w:val="24"/>
          <w:szCs w:val="24"/>
        </w:rPr>
        <w:t>: A</w:t>
      </w:r>
      <w:r w:rsidR="00477348" w:rsidRPr="0052701D">
        <w:rPr>
          <w:rFonts w:ascii="Arial" w:hAnsi="Arial" w:cs="Arial"/>
          <w:sz w:val="24"/>
          <w:szCs w:val="24"/>
        </w:rPr>
        <w:t>ny recategorisation that may lawfully have ensued could only operate prospectively from the date of adoption of a new system. That issue was determined in the review proceedings</w:t>
      </w:r>
      <w:r w:rsidR="00E15A9C" w:rsidRPr="0052701D">
        <w:rPr>
          <w:rFonts w:ascii="Arial" w:hAnsi="Arial" w:cs="Arial"/>
          <w:sz w:val="24"/>
          <w:szCs w:val="24"/>
        </w:rPr>
        <w:t>,</w:t>
      </w:r>
      <w:r w:rsidR="00477348">
        <w:rPr>
          <w:rStyle w:val="FootnoteReference"/>
          <w:rFonts w:ascii="Arial" w:hAnsi="Arial" w:cs="Arial"/>
          <w:sz w:val="24"/>
          <w:szCs w:val="24"/>
        </w:rPr>
        <w:footnoteReference w:id="34"/>
      </w:r>
      <w:r w:rsidR="00477348" w:rsidRPr="0052701D">
        <w:rPr>
          <w:rFonts w:ascii="Arial" w:hAnsi="Arial" w:cs="Arial"/>
          <w:sz w:val="24"/>
          <w:szCs w:val="24"/>
        </w:rPr>
        <w:t xml:space="preserve"> and in circumstances where Tuchten J was mindful of the applicable legislation, specifically the Rates Act.</w:t>
      </w:r>
      <w:r w:rsidR="00477348">
        <w:rPr>
          <w:rStyle w:val="FootnoteReference"/>
          <w:rFonts w:ascii="Arial" w:hAnsi="Arial" w:cs="Arial"/>
          <w:sz w:val="24"/>
          <w:szCs w:val="24"/>
        </w:rPr>
        <w:footnoteReference w:id="35"/>
      </w:r>
    </w:p>
    <w:p w14:paraId="2EF65976" w14:textId="77777777" w:rsidR="00477348" w:rsidRPr="00CE076A" w:rsidRDefault="00477348" w:rsidP="00CE076A">
      <w:pPr>
        <w:pStyle w:val="ListParagraph"/>
        <w:spacing w:line="360" w:lineRule="auto"/>
        <w:ind w:left="360"/>
        <w:rPr>
          <w:rFonts w:ascii="Arial" w:hAnsi="Arial" w:cs="Arial"/>
          <w:sz w:val="24"/>
          <w:szCs w:val="24"/>
        </w:rPr>
      </w:pPr>
    </w:p>
    <w:p w14:paraId="231D3F9A" w14:textId="53F60FEC" w:rsidR="00DA3D5F" w:rsidRPr="0052701D" w:rsidRDefault="0052701D" w:rsidP="0052701D">
      <w:pPr>
        <w:spacing w:line="360" w:lineRule="auto"/>
        <w:ind w:left="360" w:hanging="360"/>
        <w:rPr>
          <w:rFonts w:ascii="Arial" w:hAnsi="Arial" w:cs="Arial"/>
          <w:sz w:val="24"/>
          <w:szCs w:val="24"/>
        </w:rPr>
      </w:pPr>
      <w:r w:rsidRPr="00CE076A">
        <w:rPr>
          <w:rFonts w:ascii="Arial" w:hAnsi="Arial" w:cs="Arial"/>
          <w:sz w:val="24"/>
          <w:szCs w:val="24"/>
        </w:rPr>
        <w:t>55.</w:t>
      </w:r>
      <w:r w:rsidRPr="00CE076A">
        <w:rPr>
          <w:rFonts w:ascii="Arial" w:hAnsi="Arial" w:cs="Arial"/>
          <w:sz w:val="24"/>
          <w:szCs w:val="24"/>
        </w:rPr>
        <w:tab/>
      </w:r>
      <w:r w:rsidR="00477348" w:rsidRPr="0052701D">
        <w:rPr>
          <w:rFonts w:ascii="Arial" w:hAnsi="Arial" w:cs="Arial"/>
          <w:sz w:val="24"/>
          <w:szCs w:val="24"/>
        </w:rPr>
        <w:t>Accordingly, on the respondents’ own version,</w:t>
      </w:r>
      <w:r w:rsidR="00F46D42">
        <w:rPr>
          <w:rStyle w:val="FootnoteReference"/>
          <w:rFonts w:ascii="Arial" w:hAnsi="Arial" w:cs="Arial"/>
          <w:sz w:val="24"/>
          <w:szCs w:val="24"/>
        </w:rPr>
        <w:footnoteReference w:id="36"/>
      </w:r>
      <w:r w:rsidR="00477348" w:rsidRPr="0052701D">
        <w:rPr>
          <w:rFonts w:ascii="Arial" w:hAnsi="Arial" w:cs="Arial"/>
          <w:sz w:val="24"/>
          <w:szCs w:val="24"/>
        </w:rPr>
        <w:t xml:space="preserve"> the City has failed to give effect to the review orders in respect of the 2013 GVR </w:t>
      </w:r>
      <w:r w:rsidR="00ED3940" w:rsidRPr="0052701D">
        <w:rPr>
          <w:rFonts w:ascii="Arial" w:hAnsi="Arial" w:cs="Arial"/>
          <w:sz w:val="24"/>
          <w:szCs w:val="24"/>
        </w:rPr>
        <w:t xml:space="preserve">period </w:t>
      </w:r>
      <w:r w:rsidR="00453C22" w:rsidRPr="0052701D">
        <w:rPr>
          <w:rFonts w:ascii="Arial" w:hAnsi="Arial" w:cs="Arial"/>
          <w:sz w:val="24"/>
          <w:szCs w:val="24"/>
        </w:rPr>
        <w:t>and is accordingly in breach of its constitutional obligations.</w:t>
      </w:r>
    </w:p>
    <w:p w14:paraId="29B93BDA" w14:textId="12C97AC0" w:rsidR="00ED4C0F" w:rsidRPr="0052701D" w:rsidRDefault="0052701D" w:rsidP="0052701D">
      <w:pPr>
        <w:spacing w:line="360" w:lineRule="auto"/>
        <w:ind w:left="360" w:hanging="360"/>
        <w:rPr>
          <w:rFonts w:ascii="Arial" w:hAnsi="Arial" w:cs="Arial"/>
          <w:sz w:val="24"/>
          <w:szCs w:val="24"/>
        </w:rPr>
      </w:pPr>
      <w:r w:rsidRPr="00C4497B">
        <w:rPr>
          <w:rFonts w:ascii="Arial" w:hAnsi="Arial" w:cs="Arial"/>
          <w:sz w:val="24"/>
          <w:szCs w:val="24"/>
        </w:rPr>
        <w:t>56.</w:t>
      </w:r>
      <w:r w:rsidRPr="00C4497B">
        <w:rPr>
          <w:rFonts w:ascii="Arial" w:hAnsi="Arial" w:cs="Arial"/>
          <w:sz w:val="24"/>
          <w:szCs w:val="24"/>
        </w:rPr>
        <w:tab/>
      </w:r>
      <w:r w:rsidR="00DA3D5F" w:rsidRPr="0052701D">
        <w:rPr>
          <w:rFonts w:ascii="Arial" w:hAnsi="Arial" w:cs="Arial"/>
          <w:sz w:val="24"/>
          <w:szCs w:val="24"/>
        </w:rPr>
        <w:t>In respect of the period</w:t>
      </w:r>
      <w:r w:rsidR="00477348" w:rsidRPr="0052701D">
        <w:rPr>
          <w:rFonts w:ascii="Arial" w:hAnsi="Arial" w:cs="Arial"/>
          <w:sz w:val="24"/>
          <w:szCs w:val="24"/>
        </w:rPr>
        <w:t xml:space="preserve"> of the 2012 SVR</w:t>
      </w:r>
      <w:r w:rsidR="00DA3D5F" w:rsidRPr="0052701D">
        <w:rPr>
          <w:rFonts w:ascii="Arial" w:hAnsi="Arial" w:cs="Arial"/>
          <w:sz w:val="24"/>
          <w:szCs w:val="24"/>
        </w:rPr>
        <w:t>, it is common cause, and I agree, that on a proper interpretation of the review orders</w:t>
      </w:r>
      <w:r w:rsidR="006534A6" w:rsidRPr="0052701D">
        <w:rPr>
          <w:rFonts w:ascii="Arial" w:hAnsi="Arial" w:cs="Arial"/>
          <w:sz w:val="24"/>
          <w:szCs w:val="24"/>
        </w:rPr>
        <w:t>, and specifically prayers 2 and 7,</w:t>
      </w:r>
      <w:r w:rsidR="006534A6">
        <w:rPr>
          <w:rStyle w:val="FootnoteReference"/>
          <w:rFonts w:ascii="Arial" w:hAnsi="Arial" w:cs="Arial"/>
          <w:sz w:val="24"/>
          <w:szCs w:val="24"/>
        </w:rPr>
        <w:footnoteReference w:id="37"/>
      </w:r>
      <w:r w:rsidR="006534A6" w:rsidRPr="0052701D">
        <w:rPr>
          <w:rFonts w:ascii="Arial" w:hAnsi="Arial" w:cs="Arial"/>
          <w:sz w:val="24"/>
          <w:szCs w:val="24"/>
        </w:rPr>
        <w:t xml:space="preserve"> </w:t>
      </w:r>
      <w:r w:rsidR="00DA3D5F" w:rsidRPr="0052701D">
        <w:rPr>
          <w:rFonts w:ascii="Arial" w:hAnsi="Arial" w:cs="Arial"/>
          <w:sz w:val="24"/>
          <w:szCs w:val="24"/>
        </w:rPr>
        <w:t xml:space="preserve">read </w:t>
      </w:r>
      <w:r w:rsidR="00DA3D5F" w:rsidRPr="0052701D">
        <w:rPr>
          <w:rFonts w:ascii="Arial" w:hAnsi="Arial" w:cs="Arial"/>
          <w:sz w:val="24"/>
          <w:szCs w:val="24"/>
        </w:rPr>
        <w:lastRenderedPageBreak/>
        <w:t xml:space="preserve">with the SCA’s decision on appeal, the City was obliged to credit the appellants’ </w:t>
      </w:r>
      <w:r w:rsidR="006E41E5" w:rsidRPr="0052701D">
        <w:rPr>
          <w:rFonts w:ascii="Arial" w:hAnsi="Arial" w:cs="Arial"/>
          <w:sz w:val="24"/>
          <w:szCs w:val="24"/>
        </w:rPr>
        <w:t>accounts to reflect the residential rate for the period during which the 2012 SVR was in effect.</w:t>
      </w:r>
      <w:r w:rsidR="00DA3D5F" w:rsidRPr="0052701D">
        <w:rPr>
          <w:rFonts w:ascii="Arial" w:hAnsi="Arial" w:cs="Arial"/>
          <w:sz w:val="24"/>
          <w:szCs w:val="24"/>
        </w:rPr>
        <w:t xml:space="preserve"> What is in dispute is whether the City did so correctly</w:t>
      </w:r>
      <w:r w:rsidR="00D422D1" w:rsidRPr="0052701D">
        <w:rPr>
          <w:rFonts w:ascii="Arial" w:hAnsi="Arial" w:cs="Arial"/>
          <w:sz w:val="24"/>
          <w:szCs w:val="24"/>
        </w:rPr>
        <w:t>. During the hearing, Mr F</w:t>
      </w:r>
      <w:r w:rsidR="00026593" w:rsidRPr="0052701D">
        <w:rPr>
          <w:rFonts w:ascii="Arial" w:hAnsi="Arial" w:cs="Arial"/>
          <w:sz w:val="24"/>
          <w:szCs w:val="24"/>
        </w:rPr>
        <w:t xml:space="preserve">erreira informed the Court that the appellants conceded that there is a dispute of fact on the affidavits on whether the City has correctly adjusted the appellants’ accounts for the period of the 2012 </w:t>
      </w:r>
      <w:r w:rsidR="00CA1291" w:rsidRPr="0052701D">
        <w:rPr>
          <w:rFonts w:ascii="Arial" w:hAnsi="Arial" w:cs="Arial"/>
          <w:sz w:val="24"/>
          <w:szCs w:val="24"/>
        </w:rPr>
        <w:t>S</w:t>
      </w:r>
      <w:r w:rsidR="00026593" w:rsidRPr="0052701D">
        <w:rPr>
          <w:rFonts w:ascii="Arial" w:hAnsi="Arial" w:cs="Arial"/>
          <w:sz w:val="24"/>
          <w:szCs w:val="24"/>
        </w:rPr>
        <w:t>VR.</w:t>
      </w:r>
      <w:r w:rsidR="00711415" w:rsidRPr="0052701D">
        <w:rPr>
          <w:rFonts w:ascii="Arial" w:hAnsi="Arial" w:cs="Arial"/>
          <w:sz w:val="24"/>
          <w:szCs w:val="24"/>
        </w:rPr>
        <w:t xml:space="preserve"> </w:t>
      </w:r>
      <w:r w:rsidR="00026593" w:rsidRPr="0052701D">
        <w:rPr>
          <w:rFonts w:ascii="Arial" w:hAnsi="Arial" w:cs="Arial"/>
          <w:sz w:val="24"/>
          <w:szCs w:val="24"/>
        </w:rPr>
        <w:t>Moreover, he did not</w:t>
      </w:r>
      <w:r w:rsidR="00C4497B" w:rsidRPr="0052701D">
        <w:rPr>
          <w:rFonts w:ascii="Arial" w:hAnsi="Arial" w:cs="Arial"/>
          <w:sz w:val="24"/>
          <w:szCs w:val="24"/>
        </w:rPr>
        <w:t xml:space="preserve"> ultimately</w:t>
      </w:r>
      <w:r w:rsidR="00026593" w:rsidRPr="0052701D">
        <w:rPr>
          <w:rFonts w:ascii="Arial" w:hAnsi="Arial" w:cs="Arial"/>
          <w:sz w:val="24"/>
          <w:szCs w:val="24"/>
        </w:rPr>
        <w:t xml:space="preserve"> invite the Court to determine that dispute in the appellants’ favour applying the principles articulated in </w:t>
      </w:r>
      <w:r w:rsidR="00026593" w:rsidRPr="0052701D">
        <w:rPr>
          <w:rFonts w:ascii="Arial" w:hAnsi="Arial" w:cs="Arial"/>
          <w:i/>
          <w:sz w:val="24"/>
          <w:szCs w:val="24"/>
        </w:rPr>
        <w:t xml:space="preserve">Plascon Evans </w:t>
      </w:r>
      <w:r w:rsidR="00026593" w:rsidRPr="0052701D">
        <w:rPr>
          <w:rFonts w:ascii="Arial" w:hAnsi="Arial" w:cs="Arial"/>
          <w:sz w:val="24"/>
          <w:szCs w:val="24"/>
        </w:rPr>
        <w:t xml:space="preserve">and </w:t>
      </w:r>
      <w:r w:rsidR="00026593" w:rsidRPr="0052701D">
        <w:rPr>
          <w:rFonts w:ascii="Arial" w:hAnsi="Arial" w:cs="Arial"/>
          <w:i/>
          <w:sz w:val="24"/>
          <w:szCs w:val="24"/>
        </w:rPr>
        <w:t>Wightman.</w:t>
      </w:r>
      <w:r w:rsidR="00026593" w:rsidRPr="00026593">
        <w:rPr>
          <w:rStyle w:val="FootnoteReference"/>
          <w:rFonts w:ascii="Arial" w:hAnsi="Arial" w:cs="Arial"/>
          <w:sz w:val="24"/>
          <w:szCs w:val="24"/>
        </w:rPr>
        <w:footnoteReference w:id="38"/>
      </w:r>
      <w:r w:rsidR="00026593" w:rsidRPr="0052701D">
        <w:rPr>
          <w:rFonts w:ascii="Arial" w:hAnsi="Arial" w:cs="Arial"/>
          <w:i/>
          <w:sz w:val="24"/>
          <w:szCs w:val="24"/>
        </w:rPr>
        <w:t xml:space="preserve"> </w:t>
      </w:r>
      <w:r w:rsidR="000C5A33" w:rsidRPr="0052701D">
        <w:rPr>
          <w:rFonts w:ascii="Arial" w:hAnsi="Arial" w:cs="Arial"/>
          <w:sz w:val="24"/>
          <w:szCs w:val="24"/>
        </w:rPr>
        <w:t>That</w:t>
      </w:r>
      <w:r w:rsidR="00ED4C0F" w:rsidRPr="0052701D">
        <w:rPr>
          <w:rFonts w:ascii="Arial" w:hAnsi="Arial" w:cs="Arial"/>
          <w:sz w:val="24"/>
          <w:szCs w:val="24"/>
        </w:rPr>
        <w:t>,</w:t>
      </w:r>
      <w:r w:rsidR="000C5A33" w:rsidRPr="0052701D">
        <w:rPr>
          <w:rFonts w:ascii="Arial" w:hAnsi="Arial" w:cs="Arial"/>
          <w:sz w:val="24"/>
          <w:szCs w:val="24"/>
        </w:rPr>
        <w:t xml:space="preserve"> notwithstanding the submission in the heads of argument that the respondents’ version can be rejected on the papers</w:t>
      </w:r>
      <w:r w:rsidR="00D92D5E" w:rsidRPr="0052701D">
        <w:rPr>
          <w:rFonts w:ascii="Arial" w:hAnsi="Arial" w:cs="Arial"/>
          <w:sz w:val="24"/>
          <w:szCs w:val="24"/>
        </w:rPr>
        <w:t>.</w:t>
      </w:r>
    </w:p>
    <w:p w14:paraId="72C37006" w14:textId="77777777" w:rsidR="00C4497B" w:rsidRPr="00CE076A" w:rsidRDefault="00C4497B" w:rsidP="00CE076A">
      <w:pPr>
        <w:pStyle w:val="ListParagraph"/>
        <w:spacing w:line="360" w:lineRule="auto"/>
        <w:ind w:left="360"/>
        <w:rPr>
          <w:rFonts w:ascii="Arial" w:hAnsi="Arial" w:cs="Arial"/>
          <w:sz w:val="24"/>
          <w:szCs w:val="24"/>
        </w:rPr>
      </w:pPr>
    </w:p>
    <w:p w14:paraId="6E271EC9" w14:textId="07CA99DB" w:rsidR="007165BF" w:rsidRPr="0052701D" w:rsidRDefault="0052701D" w:rsidP="0052701D">
      <w:pPr>
        <w:spacing w:line="360" w:lineRule="auto"/>
        <w:ind w:left="360" w:hanging="360"/>
        <w:rPr>
          <w:rFonts w:ascii="Arial" w:hAnsi="Arial" w:cs="Arial"/>
          <w:sz w:val="24"/>
          <w:szCs w:val="24"/>
        </w:rPr>
      </w:pPr>
      <w:r>
        <w:rPr>
          <w:rFonts w:ascii="Arial" w:hAnsi="Arial" w:cs="Arial"/>
          <w:sz w:val="24"/>
          <w:szCs w:val="24"/>
        </w:rPr>
        <w:t>57.</w:t>
      </w:r>
      <w:r>
        <w:rPr>
          <w:rFonts w:ascii="Arial" w:hAnsi="Arial" w:cs="Arial"/>
          <w:sz w:val="24"/>
          <w:szCs w:val="24"/>
        </w:rPr>
        <w:tab/>
      </w:r>
      <w:r w:rsidR="00EA21C4" w:rsidRPr="0052701D">
        <w:rPr>
          <w:rFonts w:ascii="Arial" w:hAnsi="Arial" w:cs="Arial"/>
          <w:sz w:val="24"/>
          <w:szCs w:val="24"/>
        </w:rPr>
        <w:t xml:space="preserve">In the result, </w:t>
      </w:r>
      <w:r w:rsidR="00C4497B" w:rsidRPr="0052701D">
        <w:rPr>
          <w:rFonts w:ascii="Arial" w:hAnsi="Arial" w:cs="Arial"/>
          <w:sz w:val="24"/>
          <w:szCs w:val="24"/>
        </w:rPr>
        <w:t xml:space="preserve">Mr Ferreira </w:t>
      </w:r>
      <w:r w:rsidR="00A55375" w:rsidRPr="0052701D">
        <w:rPr>
          <w:rFonts w:ascii="Arial" w:hAnsi="Arial" w:cs="Arial"/>
          <w:sz w:val="24"/>
          <w:szCs w:val="24"/>
        </w:rPr>
        <w:t xml:space="preserve">also </w:t>
      </w:r>
      <w:r w:rsidR="00C4497B" w:rsidRPr="0052701D">
        <w:rPr>
          <w:rFonts w:ascii="Arial" w:hAnsi="Arial" w:cs="Arial"/>
          <w:sz w:val="24"/>
          <w:szCs w:val="24"/>
        </w:rPr>
        <w:t>did not ultimately persist with seeking a declarator</w:t>
      </w:r>
      <w:r w:rsidR="00F46D42" w:rsidRPr="0052701D">
        <w:rPr>
          <w:rFonts w:ascii="Arial" w:hAnsi="Arial" w:cs="Arial"/>
          <w:sz w:val="24"/>
          <w:szCs w:val="24"/>
        </w:rPr>
        <w:t>y order</w:t>
      </w:r>
      <w:r w:rsidR="00C4497B" w:rsidRPr="0052701D">
        <w:rPr>
          <w:rFonts w:ascii="Arial" w:hAnsi="Arial" w:cs="Arial"/>
          <w:sz w:val="24"/>
          <w:szCs w:val="24"/>
        </w:rPr>
        <w:t xml:space="preserve"> to the effect that, in respect of the 2012 SVR period, the City is in breach of its constitutional obligation to </w:t>
      </w:r>
      <w:r w:rsidR="00A55375" w:rsidRPr="0052701D">
        <w:rPr>
          <w:rFonts w:ascii="Arial" w:hAnsi="Arial" w:cs="Arial"/>
          <w:sz w:val="24"/>
          <w:szCs w:val="24"/>
        </w:rPr>
        <w:t xml:space="preserve">comply with </w:t>
      </w:r>
      <w:r w:rsidR="000C5A33" w:rsidRPr="0052701D">
        <w:rPr>
          <w:rFonts w:ascii="Arial" w:hAnsi="Arial" w:cs="Arial"/>
          <w:sz w:val="24"/>
          <w:szCs w:val="24"/>
        </w:rPr>
        <w:t xml:space="preserve">the review orders. </w:t>
      </w:r>
      <w:r w:rsidR="00C4497B" w:rsidRPr="0052701D">
        <w:rPr>
          <w:rFonts w:ascii="Arial" w:hAnsi="Arial" w:cs="Arial"/>
          <w:sz w:val="24"/>
          <w:szCs w:val="24"/>
        </w:rPr>
        <w:t>Mr Strydom submitted that that is</w:t>
      </w:r>
      <w:r w:rsidR="00CF3D3D" w:rsidRPr="0052701D">
        <w:rPr>
          <w:rFonts w:ascii="Arial" w:hAnsi="Arial" w:cs="Arial"/>
          <w:sz w:val="24"/>
          <w:szCs w:val="24"/>
        </w:rPr>
        <w:t xml:space="preserve"> the</w:t>
      </w:r>
      <w:r w:rsidR="00C4497B" w:rsidRPr="0052701D">
        <w:rPr>
          <w:rFonts w:ascii="Arial" w:hAnsi="Arial" w:cs="Arial"/>
          <w:sz w:val="24"/>
          <w:szCs w:val="24"/>
        </w:rPr>
        <w:t xml:space="preserve"> end of the matter relying on </w:t>
      </w:r>
      <w:r w:rsidR="00C4497B" w:rsidRPr="0052701D">
        <w:rPr>
          <w:rFonts w:ascii="Arial" w:hAnsi="Arial" w:cs="Arial"/>
          <w:i/>
          <w:sz w:val="24"/>
          <w:szCs w:val="24"/>
        </w:rPr>
        <w:t xml:space="preserve">Plascon Evans. </w:t>
      </w:r>
      <w:r w:rsidR="000C5A33" w:rsidRPr="0052701D">
        <w:rPr>
          <w:rFonts w:ascii="Arial" w:hAnsi="Arial" w:cs="Arial"/>
          <w:sz w:val="24"/>
          <w:szCs w:val="24"/>
        </w:rPr>
        <w:t>However, Mr Ferreira submitted that the Court should nevertheless grant relief directed at ensuring the City provide</w:t>
      </w:r>
      <w:r w:rsidR="000D0548" w:rsidRPr="0052701D">
        <w:rPr>
          <w:rFonts w:ascii="Arial" w:hAnsi="Arial" w:cs="Arial"/>
          <w:sz w:val="24"/>
          <w:szCs w:val="24"/>
        </w:rPr>
        <w:t>s</w:t>
      </w:r>
      <w:r w:rsidR="000C5A33" w:rsidRPr="0052701D">
        <w:rPr>
          <w:rFonts w:ascii="Arial" w:hAnsi="Arial" w:cs="Arial"/>
          <w:sz w:val="24"/>
          <w:szCs w:val="24"/>
        </w:rPr>
        <w:t xml:space="preserve"> the appellants with an explanation for the accounts in respect of the 2012 SVR period and direct</w:t>
      </w:r>
      <w:r w:rsidR="005B6425" w:rsidRPr="0052701D">
        <w:rPr>
          <w:rFonts w:ascii="Arial" w:hAnsi="Arial" w:cs="Arial"/>
          <w:sz w:val="24"/>
          <w:szCs w:val="24"/>
        </w:rPr>
        <w:t>ing</w:t>
      </w:r>
      <w:r w:rsidR="000C5A33" w:rsidRPr="0052701D">
        <w:rPr>
          <w:rFonts w:ascii="Arial" w:hAnsi="Arial" w:cs="Arial"/>
          <w:sz w:val="24"/>
          <w:szCs w:val="24"/>
        </w:rPr>
        <w:t xml:space="preserve"> a debatement. This, it was su</w:t>
      </w:r>
      <w:r w:rsidR="00A55375" w:rsidRPr="0052701D">
        <w:rPr>
          <w:rFonts w:ascii="Arial" w:hAnsi="Arial" w:cs="Arial"/>
          <w:sz w:val="24"/>
          <w:szCs w:val="24"/>
        </w:rPr>
        <w:t>ggested</w:t>
      </w:r>
      <w:r w:rsidR="005B6425" w:rsidRPr="0052701D">
        <w:rPr>
          <w:rFonts w:ascii="Arial" w:hAnsi="Arial" w:cs="Arial"/>
          <w:sz w:val="24"/>
          <w:szCs w:val="24"/>
        </w:rPr>
        <w:t>,</w:t>
      </w:r>
      <w:r w:rsidR="000C5A33" w:rsidRPr="0052701D">
        <w:rPr>
          <w:rFonts w:ascii="Arial" w:hAnsi="Arial" w:cs="Arial"/>
          <w:sz w:val="24"/>
          <w:szCs w:val="24"/>
        </w:rPr>
        <w:t xml:space="preserve"> is </w:t>
      </w:r>
      <w:r w:rsidR="00ED3940" w:rsidRPr="0052701D">
        <w:rPr>
          <w:rFonts w:ascii="Arial" w:hAnsi="Arial" w:cs="Arial"/>
          <w:sz w:val="24"/>
          <w:szCs w:val="24"/>
        </w:rPr>
        <w:t xml:space="preserve">necessary to give effect to the court orders in circumstances where </w:t>
      </w:r>
      <w:r w:rsidR="000C5A33" w:rsidRPr="0052701D">
        <w:rPr>
          <w:rFonts w:ascii="Arial" w:hAnsi="Arial" w:cs="Arial"/>
          <w:sz w:val="24"/>
          <w:szCs w:val="24"/>
        </w:rPr>
        <w:t>a determination can</w:t>
      </w:r>
      <w:r w:rsidR="00ED3940" w:rsidRPr="0052701D">
        <w:rPr>
          <w:rFonts w:ascii="Arial" w:hAnsi="Arial" w:cs="Arial"/>
          <w:sz w:val="24"/>
          <w:szCs w:val="24"/>
        </w:rPr>
        <w:t>not</w:t>
      </w:r>
      <w:r w:rsidR="000C5A33" w:rsidRPr="0052701D">
        <w:rPr>
          <w:rFonts w:ascii="Arial" w:hAnsi="Arial" w:cs="Arial"/>
          <w:sz w:val="24"/>
          <w:szCs w:val="24"/>
        </w:rPr>
        <w:t xml:space="preserve"> accurately be made as to whether the City is in breach of its obligations</w:t>
      </w:r>
      <w:r w:rsidR="002E27F5" w:rsidRPr="0052701D">
        <w:rPr>
          <w:rFonts w:ascii="Arial" w:hAnsi="Arial" w:cs="Arial"/>
          <w:sz w:val="24"/>
          <w:szCs w:val="24"/>
        </w:rPr>
        <w:t>,</w:t>
      </w:r>
      <w:r w:rsidR="000C5A33" w:rsidRPr="0052701D">
        <w:rPr>
          <w:rFonts w:ascii="Arial" w:hAnsi="Arial" w:cs="Arial"/>
          <w:sz w:val="24"/>
          <w:szCs w:val="24"/>
        </w:rPr>
        <w:t xml:space="preserve"> and if so</w:t>
      </w:r>
      <w:r w:rsidR="007165BF" w:rsidRPr="0052701D">
        <w:rPr>
          <w:rFonts w:ascii="Arial" w:hAnsi="Arial" w:cs="Arial"/>
          <w:sz w:val="24"/>
          <w:szCs w:val="24"/>
        </w:rPr>
        <w:t>,</w:t>
      </w:r>
      <w:r w:rsidR="000C5A33" w:rsidRPr="0052701D">
        <w:rPr>
          <w:rFonts w:ascii="Arial" w:hAnsi="Arial" w:cs="Arial"/>
          <w:sz w:val="24"/>
          <w:szCs w:val="24"/>
        </w:rPr>
        <w:t xml:space="preserve"> to what extent.</w:t>
      </w:r>
    </w:p>
    <w:p w14:paraId="706FAD63" w14:textId="77777777" w:rsidR="009A14FB" w:rsidRPr="004534EF" w:rsidRDefault="009A14FB" w:rsidP="004534EF">
      <w:pPr>
        <w:pStyle w:val="ListParagraph"/>
        <w:spacing w:line="360" w:lineRule="auto"/>
        <w:ind w:left="360"/>
        <w:rPr>
          <w:rFonts w:ascii="Arial" w:hAnsi="Arial" w:cs="Arial"/>
          <w:sz w:val="24"/>
          <w:szCs w:val="24"/>
        </w:rPr>
      </w:pPr>
    </w:p>
    <w:p w14:paraId="075B989E" w14:textId="7F968756" w:rsidR="000C5A33" w:rsidRPr="0052701D" w:rsidRDefault="0052701D" w:rsidP="0052701D">
      <w:pPr>
        <w:spacing w:line="360" w:lineRule="auto"/>
        <w:ind w:left="360" w:hanging="360"/>
        <w:rPr>
          <w:rFonts w:ascii="Arial" w:hAnsi="Arial" w:cs="Arial"/>
          <w:sz w:val="24"/>
          <w:szCs w:val="24"/>
        </w:rPr>
      </w:pPr>
      <w:r w:rsidRPr="009A14FB">
        <w:rPr>
          <w:rFonts w:ascii="Arial" w:hAnsi="Arial" w:cs="Arial"/>
          <w:sz w:val="24"/>
          <w:szCs w:val="24"/>
        </w:rPr>
        <w:t>58.</w:t>
      </w:r>
      <w:r w:rsidRPr="009A14FB">
        <w:rPr>
          <w:rFonts w:ascii="Arial" w:hAnsi="Arial" w:cs="Arial"/>
          <w:sz w:val="24"/>
          <w:szCs w:val="24"/>
        </w:rPr>
        <w:tab/>
      </w:r>
      <w:r w:rsidR="000C5A33" w:rsidRPr="0052701D">
        <w:rPr>
          <w:rFonts w:ascii="Arial" w:hAnsi="Arial" w:cs="Arial"/>
          <w:sz w:val="24"/>
          <w:szCs w:val="24"/>
        </w:rPr>
        <w:t>The submission rests on two legal premises. First, a statutory duty to comply with</w:t>
      </w:r>
      <w:r w:rsidR="009A14FB" w:rsidRPr="0052701D">
        <w:rPr>
          <w:rFonts w:ascii="Arial" w:hAnsi="Arial" w:cs="Arial"/>
          <w:sz w:val="24"/>
          <w:szCs w:val="24"/>
        </w:rPr>
        <w:t xml:space="preserve"> section 27(1) of the Rates Act, which the appellants had sought to enforce after delivery of the answering affidavit and before delivery of the replying affidavit, to no avail.</w:t>
      </w:r>
      <w:r w:rsidR="000C5A33" w:rsidRPr="0052701D">
        <w:rPr>
          <w:rFonts w:ascii="Arial" w:hAnsi="Arial" w:cs="Arial"/>
          <w:sz w:val="24"/>
          <w:szCs w:val="24"/>
        </w:rPr>
        <w:t xml:space="preserve"> Section 27 is entitled ‘Accounts to be furnished’ and section 27(1) provides: </w:t>
      </w:r>
    </w:p>
    <w:p w14:paraId="5FFA9D5E" w14:textId="07595D52" w:rsidR="000C5A33" w:rsidRPr="00E15A9C" w:rsidRDefault="00DB702C" w:rsidP="004534EF">
      <w:pPr>
        <w:spacing w:before="120" w:after="0" w:line="360" w:lineRule="auto"/>
        <w:ind w:left="720"/>
        <w:rPr>
          <w:rFonts w:ascii="Arial" w:eastAsia="Times New Roman" w:hAnsi="Arial" w:cs="Arial"/>
          <w:color w:val="000000"/>
          <w:sz w:val="22"/>
          <w:szCs w:val="22"/>
          <w:lang w:eastAsia="en-ZA"/>
        </w:rPr>
      </w:pPr>
      <w:bookmarkStart w:id="0" w:name="0-0-0-172633"/>
      <w:bookmarkEnd w:id="0"/>
      <w:r>
        <w:rPr>
          <w:rFonts w:ascii="Arial" w:eastAsia="Times New Roman" w:hAnsi="Arial" w:cs="Arial"/>
          <w:color w:val="000000"/>
          <w:sz w:val="22"/>
          <w:szCs w:val="22"/>
          <w:lang w:eastAsia="en-ZA"/>
        </w:rPr>
        <w:t>“</w:t>
      </w:r>
      <w:r w:rsidR="000C5A33" w:rsidRPr="00E15A9C">
        <w:rPr>
          <w:rFonts w:ascii="Arial" w:eastAsia="Times New Roman" w:hAnsi="Arial" w:cs="Arial"/>
          <w:color w:val="000000"/>
          <w:sz w:val="22"/>
          <w:szCs w:val="22"/>
          <w:lang w:eastAsia="en-ZA"/>
        </w:rPr>
        <w:t>(1) A municipality must furnish each person liable for the payment of a rate with a written account specifying-</w:t>
      </w:r>
    </w:p>
    <w:p w14:paraId="2C74134A" w14:textId="0A5DBFAD" w:rsidR="000C5A33" w:rsidRPr="00E15A9C" w:rsidRDefault="009B05EC" w:rsidP="007E4D7D">
      <w:pPr>
        <w:spacing w:before="60" w:after="0" w:line="360" w:lineRule="auto"/>
        <w:rPr>
          <w:rFonts w:ascii="Arial" w:eastAsia="Times New Roman" w:hAnsi="Arial" w:cs="Arial"/>
          <w:color w:val="000000"/>
          <w:sz w:val="22"/>
          <w:szCs w:val="22"/>
          <w:lang w:eastAsia="en-ZA"/>
        </w:rPr>
      </w:pPr>
      <w:bookmarkStart w:id="1" w:name="0-0-0-172635"/>
      <w:bookmarkEnd w:id="1"/>
      <w:r w:rsidRPr="00E15A9C">
        <w:rPr>
          <w:rFonts w:ascii="Arial" w:eastAsia="Times New Roman" w:hAnsi="Arial" w:cs="Arial"/>
          <w:color w:val="000000"/>
          <w:sz w:val="22"/>
          <w:szCs w:val="22"/>
          <w:lang w:eastAsia="en-ZA"/>
        </w:rPr>
        <w:tab/>
      </w:r>
      <w:r w:rsidR="00DB702C">
        <w:rPr>
          <w:rFonts w:ascii="Arial" w:eastAsia="Times New Roman" w:hAnsi="Arial" w:cs="Arial"/>
          <w:color w:val="000000"/>
          <w:sz w:val="22"/>
          <w:szCs w:val="22"/>
          <w:lang w:eastAsia="en-ZA"/>
        </w:rPr>
        <w:tab/>
      </w:r>
      <w:r w:rsidR="000C5A33" w:rsidRPr="00E15A9C">
        <w:rPr>
          <w:rFonts w:ascii="Arial" w:eastAsia="Times New Roman" w:hAnsi="Arial" w:cs="Arial"/>
          <w:i/>
          <w:iCs/>
          <w:color w:val="000000"/>
          <w:sz w:val="22"/>
          <w:szCs w:val="22"/>
          <w:lang w:eastAsia="en-ZA"/>
        </w:rPr>
        <w:t>(a)</w:t>
      </w:r>
      <w:r w:rsidR="000C5A33" w:rsidRPr="00E15A9C">
        <w:rPr>
          <w:rFonts w:ascii="Arial" w:eastAsia="Times New Roman" w:hAnsi="Arial" w:cs="Arial"/>
          <w:color w:val="000000"/>
          <w:sz w:val="22"/>
          <w:szCs w:val="22"/>
          <w:lang w:eastAsia="en-ZA"/>
        </w:rPr>
        <w:t>   the amount due for rates payable;</w:t>
      </w:r>
    </w:p>
    <w:p w14:paraId="7C14C62F" w14:textId="498EFBC1" w:rsidR="000C5A33" w:rsidRPr="004534EF" w:rsidRDefault="009B05EC" w:rsidP="004534EF">
      <w:pPr>
        <w:spacing w:before="60" w:after="0" w:line="360" w:lineRule="auto"/>
        <w:rPr>
          <w:rFonts w:ascii="Arial" w:eastAsia="Times New Roman" w:hAnsi="Arial" w:cs="Arial"/>
          <w:color w:val="000000"/>
          <w:sz w:val="22"/>
          <w:szCs w:val="22"/>
          <w:lang w:eastAsia="en-ZA"/>
        </w:rPr>
      </w:pPr>
      <w:bookmarkStart w:id="2" w:name="0-0-0-172637"/>
      <w:bookmarkEnd w:id="2"/>
      <w:r w:rsidRPr="004534EF">
        <w:rPr>
          <w:rFonts w:ascii="Arial" w:eastAsia="Times New Roman" w:hAnsi="Arial" w:cs="Arial"/>
          <w:color w:val="000000"/>
          <w:sz w:val="22"/>
          <w:szCs w:val="22"/>
          <w:lang w:eastAsia="en-ZA"/>
        </w:rPr>
        <w:tab/>
      </w:r>
      <w:r w:rsidR="00DB702C" w:rsidRPr="004534EF">
        <w:rPr>
          <w:rFonts w:ascii="Arial" w:eastAsia="Times New Roman" w:hAnsi="Arial" w:cs="Arial"/>
          <w:color w:val="000000"/>
          <w:sz w:val="22"/>
          <w:szCs w:val="22"/>
          <w:lang w:eastAsia="en-ZA"/>
        </w:rPr>
        <w:tab/>
      </w:r>
      <w:r w:rsidR="000C5A33" w:rsidRPr="004534EF">
        <w:rPr>
          <w:rFonts w:ascii="Arial" w:eastAsia="Times New Roman" w:hAnsi="Arial" w:cs="Arial"/>
          <w:i/>
          <w:iCs/>
          <w:color w:val="000000"/>
          <w:sz w:val="22"/>
          <w:szCs w:val="22"/>
          <w:lang w:eastAsia="en-ZA"/>
        </w:rPr>
        <w:t>(b)</w:t>
      </w:r>
      <w:r w:rsidR="000C5A33" w:rsidRPr="004534EF">
        <w:rPr>
          <w:rFonts w:ascii="Arial" w:eastAsia="Times New Roman" w:hAnsi="Arial" w:cs="Arial"/>
          <w:color w:val="000000"/>
          <w:sz w:val="22"/>
          <w:szCs w:val="22"/>
          <w:lang w:eastAsia="en-ZA"/>
        </w:rPr>
        <w:t>   the date on or before which the amount is payable;</w:t>
      </w:r>
    </w:p>
    <w:p w14:paraId="44040424" w14:textId="0D5D05E4" w:rsidR="000C5A33" w:rsidRPr="004534EF" w:rsidRDefault="009B05EC" w:rsidP="004534EF">
      <w:pPr>
        <w:spacing w:before="60" w:after="0" w:line="360" w:lineRule="auto"/>
        <w:rPr>
          <w:rFonts w:ascii="Arial" w:eastAsia="Times New Roman" w:hAnsi="Arial" w:cs="Arial"/>
          <w:color w:val="000000"/>
          <w:sz w:val="22"/>
          <w:szCs w:val="22"/>
          <w:lang w:eastAsia="en-ZA"/>
        </w:rPr>
      </w:pPr>
      <w:bookmarkStart w:id="3" w:name="0-0-0-172639"/>
      <w:bookmarkEnd w:id="3"/>
      <w:r w:rsidRPr="004534EF">
        <w:rPr>
          <w:rFonts w:ascii="Arial" w:eastAsia="Times New Roman" w:hAnsi="Arial" w:cs="Arial"/>
          <w:color w:val="000000"/>
          <w:sz w:val="22"/>
          <w:szCs w:val="22"/>
          <w:lang w:eastAsia="en-ZA"/>
        </w:rPr>
        <w:lastRenderedPageBreak/>
        <w:tab/>
      </w:r>
      <w:r w:rsidR="00DB702C" w:rsidRPr="004534EF">
        <w:rPr>
          <w:rFonts w:ascii="Arial" w:eastAsia="Times New Roman" w:hAnsi="Arial" w:cs="Arial"/>
          <w:color w:val="000000"/>
          <w:sz w:val="22"/>
          <w:szCs w:val="22"/>
          <w:lang w:eastAsia="en-ZA"/>
        </w:rPr>
        <w:tab/>
      </w:r>
      <w:r w:rsidR="000C5A33" w:rsidRPr="004534EF">
        <w:rPr>
          <w:rFonts w:ascii="Arial" w:eastAsia="Times New Roman" w:hAnsi="Arial" w:cs="Arial"/>
          <w:i/>
          <w:iCs/>
          <w:color w:val="000000"/>
          <w:sz w:val="22"/>
          <w:szCs w:val="22"/>
          <w:lang w:eastAsia="en-ZA"/>
        </w:rPr>
        <w:t>(c)</w:t>
      </w:r>
      <w:r w:rsidR="000C5A33" w:rsidRPr="004534EF">
        <w:rPr>
          <w:rFonts w:ascii="Arial" w:eastAsia="Times New Roman" w:hAnsi="Arial" w:cs="Arial"/>
          <w:color w:val="000000"/>
          <w:sz w:val="22"/>
          <w:szCs w:val="22"/>
          <w:lang w:eastAsia="en-ZA"/>
        </w:rPr>
        <w:t>   how the amount was calculated;</w:t>
      </w:r>
    </w:p>
    <w:p w14:paraId="691FB7B6" w14:textId="44B7A916" w:rsidR="000C5A33" w:rsidRPr="004534EF" w:rsidRDefault="009B05EC" w:rsidP="004534EF">
      <w:pPr>
        <w:spacing w:before="60" w:after="0" w:line="360" w:lineRule="auto"/>
        <w:rPr>
          <w:rFonts w:ascii="Arial" w:eastAsia="Times New Roman" w:hAnsi="Arial" w:cs="Arial"/>
          <w:color w:val="000000"/>
          <w:sz w:val="22"/>
          <w:szCs w:val="22"/>
          <w:lang w:eastAsia="en-ZA"/>
        </w:rPr>
      </w:pPr>
      <w:bookmarkStart w:id="4" w:name="0-0-0-172641"/>
      <w:bookmarkEnd w:id="4"/>
      <w:r w:rsidRPr="004534EF">
        <w:rPr>
          <w:rFonts w:ascii="Arial" w:eastAsia="Times New Roman" w:hAnsi="Arial" w:cs="Arial"/>
          <w:color w:val="000000"/>
          <w:sz w:val="22"/>
          <w:szCs w:val="22"/>
          <w:lang w:eastAsia="en-ZA"/>
        </w:rPr>
        <w:tab/>
      </w:r>
      <w:r w:rsidR="00DB702C" w:rsidRPr="004534EF">
        <w:rPr>
          <w:rFonts w:ascii="Arial" w:eastAsia="Times New Roman" w:hAnsi="Arial" w:cs="Arial"/>
          <w:color w:val="000000"/>
          <w:sz w:val="22"/>
          <w:szCs w:val="22"/>
          <w:lang w:eastAsia="en-ZA"/>
        </w:rPr>
        <w:tab/>
      </w:r>
      <w:r w:rsidR="000C5A33" w:rsidRPr="004534EF">
        <w:rPr>
          <w:rFonts w:ascii="Arial" w:eastAsia="Times New Roman" w:hAnsi="Arial" w:cs="Arial"/>
          <w:i/>
          <w:iCs/>
          <w:color w:val="000000"/>
          <w:sz w:val="22"/>
          <w:szCs w:val="22"/>
          <w:lang w:eastAsia="en-ZA"/>
        </w:rPr>
        <w:t>(d)</w:t>
      </w:r>
      <w:r w:rsidR="000C5A33" w:rsidRPr="004534EF">
        <w:rPr>
          <w:rFonts w:ascii="Arial" w:eastAsia="Times New Roman" w:hAnsi="Arial" w:cs="Arial"/>
          <w:color w:val="000000"/>
          <w:sz w:val="22"/>
          <w:szCs w:val="22"/>
          <w:lang w:eastAsia="en-ZA"/>
        </w:rPr>
        <w:t>   the market value of the property;</w:t>
      </w:r>
    </w:p>
    <w:p w14:paraId="00D7AAC5" w14:textId="77777777" w:rsidR="000C5A33" w:rsidRPr="00E15A9C" w:rsidRDefault="000C5A33" w:rsidP="004534EF">
      <w:pPr>
        <w:pStyle w:val="ListParagraph"/>
        <w:spacing w:before="60" w:after="0" w:line="360" w:lineRule="auto"/>
        <w:ind w:left="1440"/>
        <w:rPr>
          <w:rFonts w:ascii="Arial" w:eastAsia="Times New Roman" w:hAnsi="Arial" w:cs="Arial"/>
          <w:color w:val="000000"/>
          <w:sz w:val="22"/>
          <w:szCs w:val="22"/>
          <w:lang w:eastAsia="en-ZA"/>
        </w:rPr>
      </w:pPr>
      <w:bookmarkStart w:id="5" w:name="0-0-0-172643"/>
      <w:bookmarkEnd w:id="5"/>
      <w:r w:rsidRPr="00E15A9C">
        <w:rPr>
          <w:rFonts w:ascii="Arial" w:eastAsia="Times New Roman" w:hAnsi="Arial" w:cs="Arial"/>
          <w:i/>
          <w:iCs/>
          <w:color w:val="000000"/>
          <w:sz w:val="22"/>
          <w:szCs w:val="22"/>
          <w:lang w:eastAsia="en-ZA"/>
        </w:rPr>
        <w:t>(e)</w:t>
      </w:r>
      <w:r w:rsidRPr="00E15A9C">
        <w:rPr>
          <w:rFonts w:ascii="Arial" w:eastAsia="Times New Roman" w:hAnsi="Arial" w:cs="Arial"/>
          <w:color w:val="000000"/>
          <w:sz w:val="22"/>
          <w:szCs w:val="22"/>
          <w:lang w:eastAsia="en-ZA"/>
        </w:rPr>
        <w:t>   if the property is subject to any compulsory phasing-in discount in terms of section 21, the amount of the discount; and</w:t>
      </w:r>
    </w:p>
    <w:p w14:paraId="68BEA800" w14:textId="54DE7FBE" w:rsidR="00DB702C" w:rsidRPr="00E15A9C" w:rsidRDefault="000C5A33" w:rsidP="004534EF">
      <w:pPr>
        <w:pStyle w:val="ListParagraph"/>
        <w:spacing w:before="60" w:after="0" w:line="360" w:lineRule="auto"/>
        <w:ind w:left="1440"/>
        <w:rPr>
          <w:rFonts w:ascii="Arial" w:eastAsia="Times New Roman" w:hAnsi="Arial" w:cs="Arial"/>
          <w:color w:val="000000"/>
          <w:sz w:val="22"/>
          <w:szCs w:val="22"/>
          <w:lang w:eastAsia="en-ZA"/>
        </w:rPr>
      </w:pPr>
      <w:r w:rsidRPr="00E15A9C">
        <w:rPr>
          <w:rFonts w:ascii="Arial" w:eastAsia="Times New Roman" w:hAnsi="Arial" w:cs="Arial"/>
          <w:i/>
          <w:iCs/>
          <w:color w:val="000000"/>
          <w:sz w:val="22"/>
          <w:szCs w:val="22"/>
          <w:lang w:eastAsia="en-ZA"/>
        </w:rPr>
        <w:t>(f)</w:t>
      </w:r>
      <w:r w:rsidRPr="00E15A9C">
        <w:rPr>
          <w:rFonts w:ascii="Arial" w:eastAsia="Times New Roman" w:hAnsi="Arial" w:cs="Arial"/>
          <w:color w:val="000000"/>
          <w:sz w:val="22"/>
          <w:szCs w:val="22"/>
          <w:lang w:eastAsia="en-ZA"/>
        </w:rPr>
        <w:t>  </w:t>
      </w:r>
      <w:r w:rsidR="009B05EC" w:rsidRPr="00E15A9C">
        <w:rPr>
          <w:rFonts w:ascii="Arial" w:eastAsia="Times New Roman" w:hAnsi="Arial" w:cs="Arial"/>
          <w:color w:val="000000"/>
          <w:sz w:val="22"/>
          <w:szCs w:val="22"/>
          <w:lang w:eastAsia="en-ZA"/>
        </w:rPr>
        <w:t xml:space="preserve"> </w:t>
      </w:r>
      <w:r w:rsidRPr="00E15A9C">
        <w:rPr>
          <w:rFonts w:ascii="Arial" w:eastAsia="Times New Roman" w:hAnsi="Arial" w:cs="Arial"/>
          <w:color w:val="000000"/>
          <w:sz w:val="22"/>
          <w:szCs w:val="22"/>
          <w:lang w:eastAsia="en-ZA"/>
        </w:rPr>
        <w:t> if the property is subject to any additional rate in terms of section 22, the amount due for additional rates.</w:t>
      </w:r>
      <w:r w:rsidR="00D80589">
        <w:rPr>
          <w:rFonts w:ascii="Arial" w:eastAsia="Times New Roman" w:hAnsi="Arial" w:cs="Arial"/>
          <w:color w:val="000000"/>
          <w:sz w:val="22"/>
          <w:szCs w:val="22"/>
          <w:lang w:eastAsia="en-ZA"/>
        </w:rPr>
        <w:t>”</w:t>
      </w:r>
    </w:p>
    <w:p w14:paraId="76585F2A" w14:textId="77777777" w:rsidR="00024941" w:rsidRPr="004534EF" w:rsidRDefault="00024941" w:rsidP="004534EF">
      <w:pPr>
        <w:spacing w:before="60" w:after="0" w:line="360" w:lineRule="auto"/>
        <w:rPr>
          <w:sz w:val="24"/>
          <w:szCs w:val="24"/>
        </w:rPr>
      </w:pPr>
    </w:p>
    <w:p w14:paraId="1795BE87" w14:textId="2C160967" w:rsidR="006B0931" w:rsidRPr="0052701D" w:rsidRDefault="0052701D" w:rsidP="0052701D">
      <w:pPr>
        <w:spacing w:line="360" w:lineRule="auto"/>
        <w:ind w:left="360" w:hanging="360"/>
        <w:rPr>
          <w:rFonts w:ascii="Arial" w:hAnsi="Arial" w:cs="Arial"/>
          <w:sz w:val="24"/>
          <w:szCs w:val="24"/>
        </w:rPr>
      </w:pPr>
      <w:r>
        <w:rPr>
          <w:rFonts w:ascii="Arial" w:hAnsi="Arial" w:cs="Arial"/>
          <w:sz w:val="24"/>
          <w:szCs w:val="24"/>
        </w:rPr>
        <w:t>59.</w:t>
      </w:r>
      <w:r>
        <w:rPr>
          <w:rFonts w:ascii="Arial" w:hAnsi="Arial" w:cs="Arial"/>
          <w:sz w:val="24"/>
          <w:szCs w:val="24"/>
        </w:rPr>
        <w:tab/>
      </w:r>
      <w:r w:rsidR="00176246" w:rsidRPr="0052701D">
        <w:rPr>
          <w:rFonts w:ascii="Arial" w:hAnsi="Arial" w:cs="Arial"/>
          <w:sz w:val="24"/>
          <w:szCs w:val="24"/>
        </w:rPr>
        <w:t xml:space="preserve">The respondents submit that section 27 only applies to written accounts furnished in the usual course. I can see no reason why the section restricts its application in that way, </w:t>
      </w:r>
      <w:r w:rsidR="00EA21C4" w:rsidRPr="0052701D">
        <w:rPr>
          <w:rFonts w:ascii="Arial" w:hAnsi="Arial" w:cs="Arial"/>
          <w:sz w:val="24"/>
          <w:szCs w:val="24"/>
        </w:rPr>
        <w:t xml:space="preserve">even on its plain language, </w:t>
      </w:r>
      <w:r w:rsidR="00176246" w:rsidRPr="0052701D">
        <w:rPr>
          <w:rFonts w:ascii="Arial" w:hAnsi="Arial" w:cs="Arial"/>
          <w:sz w:val="24"/>
          <w:szCs w:val="24"/>
        </w:rPr>
        <w:t xml:space="preserve">but </w:t>
      </w:r>
      <w:r w:rsidR="005B6425" w:rsidRPr="0052701D">
        <w:rPr>
          <w:rFonts w:ascii="Arial" w:hAnsi="Arial" w:cs="Arial"/>
          <w:sz w:val="24"/>
          <w:szCs w:val="24"/>
        </w:rPr>
        <w:t>assuming it does</w:t>
      </w:r>
      <w:r w:rsidR="00176246" w:rsidRPr="0052701D">
        <w:rPr>
          <w:rFonts w:ascii="Arial" w:hAnsi="Arial" w:cs="Arial"/>
          <w:sz w:val="24"/>
          <w:szCs w:val="24"/>
        </w:rPr>
        <w:t>, there is no reason why it should not apply to the accounts in issue in this case: In substance</w:t>
      </w:r>
      <w:r w:rsidR="00FA28C0" w:rsidRPr="0052701D">
        <w:rPr>
          <w:rFonts w:ascii="Arial" w:hAnsi="Arial" w:cs="Arial"/>
          <w:sz w:val="24"/>
          <w:szCs w:val="24"/>
        </w:rPr>
        <w:t>,</w:t>
      </w:r>
      <w:r w:rsidR="00176246" w:rsidRPr="0052701D">
        <w:rPr>
          <w:rFonts w:ascii="Arial" w:hAnsi="Arial" w:cs="Arial"/>
          <w:sz w:val="24"/>
          <w:szCs w:val="24"/>
        </w:rPr>
        <w:t xml:space="preserve"> what is being asked is an explanation as to how the amounts now levied are calculated. Given that the usual accounts had to be adjusted and rectified </w:t>
      </w:r>
      <w:r w:rsidR="009A14FB" w:rsidRPr="0052701D">
        <w:rPr>
          <w:rFonts w:ascii="Arial" w:hAnsi="Arial" w:cs="Arial"/>
          <w:sz w:val="24"/>
          <w:szCs w:val="24"/>
        </w:rPr>
        <w:t>in accordance with a cou</w:t>
      </w:r>
      <w:r w:rsidR="00176246" w:rsidRPr="0052701D">
        <w:rPr>
          <w:rFonts w:ascii="Arial" w:hAnsi="Arial" w:cs="Arial"/>
          <w:sz w:val="24"/>
          <w:szCs w:val="24"/>
        </w:rPr>
        <w:t>rt order, the manner in which the</w:t>
      </w:r>
      <w:r w:rsidR="009A14FB" w:rsidRPr="0052701D">
        <w:rPr>
          <w:rFonts w:ascii="Arial" w:hAnsi="Arial" w:cs="Arial"/>
          <w:sz w:val="24"/>
          <w:szCs w:val="24"/>
        </w:rPr>
        <w:t xml:space="preserve"> account was calculated must necessarily be specified with sufficient clarity to demonstrate how compliance has been effected. </w:t>
      </w:r>
      <w:r w:rsidR="005B6425" w:rsidRPr="0052701D">
        <w:rPr>
          <w:rFonts w:ascii="Arial" w:hAnsi="Arial" w:cs="Arial"/>
          <w:sz w:val="24"/>
          <w:szCs w:val="24"/>
        </w:rPr>
        <w:t>The fact that the explanation might take a different format to the usual accounts is of no moment.</w:t>
      </w:r>
    </w:p>
    <w:p w14:paraId="591E92BC" w14:textId="77777777" w:rsidR="009A14FB" w:rsidRPr="004534EF" w:rsidRDefault="009A14FB" w:rsidP="004534EF">
      <w:pPr>
        <w:pStyle w:val="ListParagraph"/>
        <w:spacing w:line="360" w:lineRule="auto"/>
        <w:ind w:left="360"/>
        <w:rPr>
          <w:rFonts w:ascii="Arial" w:hAnsi="Arial" w:cs="Arial"/>
          <w:sz w:val="24"/>
          <w:szCs w:val="24"/>
        </w:rPr>
      </w:pPr>
    </w:p>
    <w:p w14:paraId="14EE525B" w14:textId="06FA6BFC" w:rsidR="00D535E8" w:rsidRPr="0052701D" w:rsidRDefault="0052701D" w:rsidP="0052701D">
      <w:pPr>
        <w:spacing w:line="360" w:lineRule="auto"/>
        <w:ind w:left="360" w:hanging="360"/>
        <w:rPr>
          <w:rFonts w:ascii="Arial" w:hAnsi="Arial" w:cs="Arial"/>
          <w:sz w:val="24"/>
          <w:szCs w:val="24"/>
        </w:rPr>
      </w:pPr>
      <w:r>
        <w:rPr>
          <w:rFonts w:ascii="Arial" w:hAnsi="Arial" w:cs="Arial"/>
          <w:sz w:val="24"/>
          <w:szCs w:val="24"/>
        </w:rPr>
        <w:t>60.</w:t>
      </w:r>
      <w:r>
        <w:rPr>
          <w:rFonts w:ascii="Arial" w:hAnsi="Arial" w:cs="Arial"/>
          <w:sz w:val="24"/>
          <w:szCs w:val="24"/>
        </w:rPr>
        <w:tab/>
      </w:r>
      <w:r w:rsidR="002D2745" w:rsidRPr="0052701D">
        <w:rPr>
          <w:rFonts w:ascii="Arial" w:hAnsi="Arial" w:cs="Arial"/>
          <w:sz w:val="24"/>
          <w:szCs w:val="24"/>
        </w:rPr>
        <w:t xml:space="preserve">Secondly, the appellants submitted that the Court </w:t>
      </w:r>
      <w:r w:rsidR="00E15A9C" w:rsidRPr="0052701D">
        <w:rPr>
          <w:rFonts w:ascii="Arial" w:hAnsi="Arial" w:cs="Arial"/>
          <w:sz w:val="24"/>
          <w:szCs w:val="24"/>
        </w:rPr>
        <w:t>was</w:t>
      </w:r>
      <w:r w:rsidR="002D2745" w:rsidRPr="0052701D">
        <w:rPr>
          <w:rFonts w:ascii="Arial" w:hAnsi="Arial" w:cs="Arial"/>
          <w:sz w:val="24"/>
          <w:szCs w:val="24"/>
        </w:rPr>
        <w:t xml:space="preserve"> entitled to grant an order directing a debatement as a just and equitable order as contemplated by section 172(1)(b) of the Constitution.</w:t>
      </w:r>
      <w:r w:rsidR="002D2745">
        <w:rPr>
          <w:rStyle w:val="FootnoteReference"/>
          <w:rFonts w:ascii="Arial" w:hAnsi="Arial" w:cs="Arial"/>
          <w:sz w:val="24"/>
          <w:szCs w:val="24"/>
        </w:rPr>
        <w:footnoteReference w:id="39"/>
      </w:r>
      <w:r w:rsidR="002D2745" w:rsidRPr="0052701D">
        <w:rPr>
          <w:rFonts w:ascii="Arial" w:hAnsi="Arial" w:cs="Arial"/>
          <w:sz w:val="24"/>
          <w:szCs w:val="24"/>
        </w:rPr>
        <w:t xml:space="preserve"> </w:t>
      </w:r>
      <w:r w:rsidR="008E3CAD" w:rsidRPr="0052701D">
        <w:rPr>
          <w:rFonts w:ascii="Arial" w:hAnsi="Arial" w:cs="Arial"/>
          <w:sz w:val="24"/>
          <w:szCs w:val="24"/>
        </w:rPr>
        <w:t>T</w:t>
      </w:r>
      <w:r w:rsidR="002D2745" w:rsidRPr="0052701D">
        <w:rPr>
          <w:rFonts w:ascii="Arial" w:hAnsi="Arial" w:cs="Arial"/>
          <w:sz w:val="24"/>
          <w:szCs w:val="24"/>
        </w:rPr>
        <w:t>he appellants</w:t>
      </w:r>
      <w:r w:rsidR="005B6425" w:rsidRPr="0052701D">
        <w:rPr>
          <w:rFonts w:ascii="Arial" w:hAnsi="Arial" w:cs="Arial"/>
          <w:sz w:val="24"/>
          <w:szCs w:val="24"/>
        </w:rPr>
        <w:t xml:space="preserve"> correctly</w:t>
      </w:r>
      <w:r w:rsidR="002D2745" w:rsidRPr="0052701D">
        <w:rPr>
          <w:rFonts w:ascii="Arial" w:hAnsi="Arial" w:cs="Arial"/>
          <w:sz w:val="24"/>
          <w:szCs w:val="24"/>
        </w:rPr>
        <w:t xml:space="preserve"> emphasised the breadth of a Court’s p</w:t>
      </w:r>
      <w:r w:rsidR="008E3CAD" w:rsidRPr="0052701D">
        <w:rPr>
          <w:rFonts w:ascii="Arial" w:hAnsi="Arial" w:cs="Arial"/>
          <w:sz w:val="24"/>
          <w:szCs w:val="24"/>
        </w:rPr>
        <w:t>ower to grant effective relief and do practical justice, and in doing so, if need be, to devise new remedies.</w:t>
      </w:r>
      <w:r w:rsidR="00EA21C4">
        <w:rPr>
          <w:rStyle w:val="FootnoteReference"/>
          <w:rFonts w:ascii="Arial" w:hAnsi="Arial" w:cs="Arial"/>
          <w:sz w:val="24"/>
          <w:szCs w:val="24"/>
        </w:rPr>
        <w:footnoteReference w:id="40"/>
      </w:r>
      <w:r w:rsidR="008E3CAD" w:rsidRPr="0052701D">
        <w:rPr>
          <w:rFonts w:ascii="Arial" w:hAnsi="Arial" w:cs="Arial"/>
          <w:sz w:val="24"/>
          <w:szCs w:val="24"/>
        </w:rPr>
        <w:t xml:space="preserve"> Moreover,</w:t>
      </w:r>
      <w:r w:rsidR="009A14FB" w:rsidRPr="0052701D">
        <w:rPr>
          <w:rFonts w:ascii="Arial" w:hAnsi="Arial" w:cs="Arial"/>
          <w:sz w:val="24"/>
          <w:szCs w:val="24"/>
        </w:rPr>
        <w:t xml:space="preserve"> </w:t>
      </w:r>
      <w:r w:rsidR="008E3CAD" w:rsidRPr="0052701D">
        <w:rPr>
          <w:rFonts w:ascii="Arial" w:hAnsi="Arial" w:cs="Arial"/>
          <w:sz w:val="24"/>
          <w:szCs w:val="24"/>
        </w:rPr>
        <w:t>the appellants</w:t>
      </w:r>
      <w:r w:rsidR="005B6425" w:rsidRPr="0052701D">
        <w:rPr>
          <w:rFonts w:ascii="Arial" w:hAnsi="Arial" w:cs="Arial"/>
          <w:sz w:val="24"/>
          <w:szCs w:val="24"/>
        </w:rPr>
        <w:t xml:space="preserve"> expressly</w:t>
      </w:r>
      <w:r w:rsidR="008E3CAD" w:rsidRPr="0052701D">
        <w:rPr>
          <w:rFonts w:ascii="Arial" w:hAnsi="Arial" w:cs="Arial"/>
          <w:sz w:val="24"/>
          <w:szCs w:val="24"/>
        </w:rPr>
        <w:t xml:space="preserve"> disavowed reliance on the common law entitlement to </w:t>
      </w:r>
      <w:r w:rsidR="009A14FB" w:rsidRPr="0052701D">
        <w:rPr>
          <w:rFonts w:ascii="Arial" w:hAnsi="Arial" w:cs="Arial"/>
          <w:sz w:val="24"/>
          <w:szCs w:val="24"/>
        </w:rPr>
        <w:t>a debatement which is premised on a fiduciary duty, a statutory duty or a contractual duty.</w:t>
      </w:r>
      <w:r w:rsidR="009A14FB">
        <w:rPr>
          <w:rStyle w:val="FootnoteReference"/>
          <w:rFonts w:ascii="Arial" w:hAnsi="Arial" w:cs="Arial"/>
          <w:sz w:val="24"/>
          <w:szCs w:val="24"/>
        </w:rPr>
        <w:footnoteReference w:id="41"/>
      </w:r>
      <w:r w:rsidR="009A14FB" w:rsidRPr="0052701D">
        <w:rPr>
          <w:rFonts w:ascii="Arial" w:hAnsi="Arial" w:cs="Arial"/>
          <w:sz w:val="24"/>
          <w:szCs w:val="24"/>
        </w:rPr>
        <w:t xml:space="preserve"> </w:t>
      </w:r>
      <w:r w:rsidR="00486154" w:rsidRPr="0052701D">
        <w:rPr>
          <w:rFonts w:ascii="Arial" w:hAnsi="Arial" w:cs="Arial"/>
          <w:sz w:val="24"/>
          <w:szCs w:val="24"/>
        </w:rPr>
        <w:t xml:space="preserve">The disavowal of reliance on the common law remedy in turn answers the central submission of the respondents who contend that </w:t>
      </w:r>
      <w:r w:rsidR="00F31631" w:rsidRPr="0052701D">
        <w:rPr>
          <w:rFonts w:ascii="Arial" w:hAnsi="Arial" w:cs="Arial"/>
          <w:sz w:val="24"/>
          <w:szCs w:val="24"/>
        </w:rPr>
        <w:t>no case is made for a common law debatement</w:t>
      </w:r>
      <w:r w:rsidR="00176246" w:rsidRPr="0052701D">
        <w:rPr>
          <w:rFonts w:ascii="Arial" w:hAnsi="Arial" w:cs="Arial"/>
          <w:sz w:val="24"/>
          <w:szCs w:val="24"/>
        </w:rPr>
        <w:t xml:space="preserve"> and </w:t>
      </w:r>
      <w:r w:rsidR="00176246" w:rsidRPr="0052701D">
        <w:rPr>
          <w:rFonts w:ascii="Arial" w:hAnsi="Arial" w:cs="Arial"/>
          <w:sz w:val="24"/>
          <w:szCs w:val="24"/>
        </w:rPr>
        <w:lastRenderedPageBreak/>
        <w:t>the case is</w:t>
      </w:r>
      <w:r w:rsidR="00E15A9C" w:rsidRPr="0052701D">
        <w:rPr>
          <w:rFonts w:ascii="Arial" w:hAnsi="Arial" w:cs="Arial"/>
          <w:sz w:val="24"/>
          <w:szCs w:val="24"/>
        </w:rPr>
        <w:t xml:space="preserve"> thus</w:t>
      </w:r>
      <w:r w:rsidR="00176246" w:rsidRPr="0052701D">
        <w:rPr>
          <w:rFonts w:ascii="Arial" w:hAnsi="Arial" w:cs="Arial"/>
          <w:sz w:val="24"/>
          <w:szCs w:val="24"/>
        </w:rPr>
        <w:t xml:space="preserve"> bad in law</w:t>
      </w:r>
      <w:r w:rsidR="00F31631" w:rsidRPr="0052701D">
        <w:rPr>
          <w:rFonts w:ascii="Arial" w:hAnsi="Arial" w:cs="Arial"/>
          <w:sz w:val="24"/>
          <w:szCs w:val="24"/>
        </w:rPr>
        <w:t>.</w:t>
      </w:r>
      <w:r w:rsidR="00F31631">
        <w:rPr>
          <w:rStyle w:val="FootnoteReference"/>
          <w:rFonts w:ascii="Arial" w:hAnsi="Arial" w:cs="Arial"/>
          <w:sz w:val="24"/>
          <w:szCs w:val="24"/>
        </w:rPr>
        <w:footnoteReference w:id="42"/>
      </w:r>
      <w:r w:rsidR="00F31631" w:rsidRPr="0052701D">
        <w:rPr>
          <w:rFonts w:ascii="Arial" w:hAnsi="Arial" w:cs="Arial"/>
          <w:sz w:val="24"/>
          <w:szCs w:val="24"/>
        </w:rPr>
        <w:t xml:space="preserve"> </w:t>
      </w:r>
      <w:r w:rsidR="00F46D42" w:rsidRPr="0052701D">
        <w:rPr>
          <w:rFonts w:ascii="Arial" w:hAnsi="Arial" w:cs="Arial"/>
          <w:sz w:val="24"/>
          <w:szCs w:val="24"/>
        </w:rPr>
        <w:t>The legal basis for the relief, rather</w:t>
      </w:r>
      <w:r w:rsidR="00EA336B" w:rsidRPr="0052701D">
        <w:rPr>
          <w:rFonts w:ascii="Arial" w:hAnsi="Arial" w:cs="Arial"/>
          <w:sz w:val="24"/>
          <w:szCs w:val="24"/>
        </w:rPr>
        <w:t>,</w:t>
      </w:r>
      <w:r w:rsidR="00F46D42" w:rsidRPr="0052701D">
        <w:rPr>
          <w:rFonts w:ascii="Arial" w:hAnsi="Arial" w:cs="Arial"/>
          <w:sz w:val="24"/>
          <w:szCs w:val="24"/>
        </w:rPr>
        <w:t xml:space="preserve"> </w:t>
      </w:r>
      <w:r w:rsidR="005C034F" w:rsidRPr="0052701D">
        <w:rPr>
          <w:rFonts w:ascii="Arial" w:hAnsi="Arial" w:cs="Arial"/>
          <w:sz w:val="24"/>
          <w:szCs w:val="24"/>
        </w:rPr>
        <w:t>must be</w:t>
      </w:r>
      <w:r w:rsidR="00F46D42" w:rsidRPr="0052701D">
        <w:rPr>
          <w:rFonts w:ascii="Arial" w:hAnsi="Arial" w:cs="Arial"/>
          <w:sz w:val="24"/>
          <w:szCs w:val="24"/>
        </w:rPr>
        <w:t xml:space="preserve"> a</w:t>
      </w:r>
      <w:r w:rsidR="00A55375" w:rsidRPr="0052701D">
        <w:rPr>
          <w:rFonts w:ascii="Arial" w:hAnsi="Arial" w:cs="Arial"/>
          <w:sz w:val="24"/>
          <w:szCs w:val="24"/>
        </w:rPr>
        <w:t xml:space="preserve"> </w:t>
      </w:r>
      <w:r w:rsidR="00ED3940" w:rsidRPr="0052701D">
        <w:rPr>
          <w:rFonts w:ascii="Arial" w:hAnsi="Arial" w:cs="Arial"/>
          <w:sz w:val="24"/>
          <w:szCs w:val="24"/>
        </w:rPr>
        <w:t>failure to adhere to or take such steps as are necessary to give effect to the court order.</w:t>
      </w:r>
    </w:p>
    <w:p w14:paraId="085A43E2" w14:textId="77777777" w:rsidR="009A14FB" w:rsidRPr="00CE076A" w:rsidRDefault="009A14FB" w:rsidP="00CE076A">
      <w:pPr>
        <w:pStyle w:val="ListParagraph"/>
        <w:spacing w:line="360" w:lineRule="auto"/>
        <w:ind w:left="360"/>
        <w:rPr>
          <w:rFonts w:ascii="Arial" w:hAnsi="Arial" w:cs="Arial"/>
          <w:sz w:val="24"/>
          <w:szCs w:val="24"/>
        </w:rPr>
      </w:pPr>
    </w:p>
    <w:p w14:paraId="5B0112CA" w14:textId="0926993C" w:rsidR="006E61DD" w:rsidRPr="0052701D" w:rsidRDefault="0052701D" w:rsidP="0052701D">
      <w:pPr>
        <w:spacing w:line="360" w:lineRule="auto"/>
        <w:ind w:left="360" w:hanging="360"/>
        <w:rPr>
          <w:rFonts w:ascii="Arial" w:hAnsi="Arial" w:cs="Arial"/>
          <w:i/>
          <w:sz w:val="24"/>
          <w:szCs w:val="24"/>
        </w:rPr>
      </w:pPr>
      <w:r w:rsidRPr="0005163B">
        <w:rPr>
          <w:rFonts w:ascii="Arial" w:hAnsi="Arial" w:cs="Arial"/>
          <w:sz w:val="24"/>
          <w:szCs w:val="24"/>
        </w:rPr>
        <w:t>61.</w:t>
      </w:r>
      <w:r w:rsidRPr="0005163B">
        <w:rPr>
          <w:rFonts w:ascii="Arial" w:hAnsi="Arial" w:cs="Arial"/>
          <w:sz w:val="24"/>
          <w:szCs w:val="24"/>
        </w:rPr>
        <w:tab/>
      </w:r>
      <w:r w:rsidR="00F31631" w:rsidRPr="0052701D">
        <w:rPr>
          <w:rFonts w:ascii="Arial" w:hAnsi="Arial" w:cs="Arial"/>
          <w:sz w:val="24"/>
          <w:szCs w:val="24"/>
        </w:rPr>
        <w:t>The question</w:t>
      </w:r>
      <w:r w:rsidR="00176246" w:rsidRPr="0052701D">
        <w:rPr>
          <w:rFonts w:ascii="Arial" w:hAnsi="Arial" w:cs="Arial"/>
          <w:sz w:val="24"/>
          <w:szCs w:val="24"/>
        </w:rPr>
        <w:t xml:space="preserve"> </w:t>
      </w:r>
      <w:r w:rsidR="005C034F" w:rsidRPr="0052701D">
        <w:rPr>
          <w:rFonts w:ascii="Arial" w:hAnsi="Arial" w:cs="Arial"/>
          <w:sz w:val="24"/>
          <w:szCs w:val="24"/>
        </w:rPr>
        <w:t>thus</w:t>
      </w:r>
      <w:r w:rsidR="00D535E8" w:rsidRPr="0052701D">
        <w:rPr>
          <w:rFonts w:ascii="Arial" w:hAnsi="Arial" w:cs="Arial"/>
          <w:sz w:val="24"/>
          <w:szCs w:val="24"/>
        </w:rPr>
        <w:t xml:space="preserve"> </w:t>
      </w:r>
      <w:r w:rsidR="0005163B" w:rsidRPr="0052701D">
        <w:rPr>
          <w:rFonts w:ascii="Arial" w:hAnsi="Arial" w:cs="Arial"/>
          <w:sz w:val="24"/>
          <w:szCs w:val="24"/>
        </w:rPr>
        <w:t xml:space="preserve">arises </w:t>
      </w:r>
      <w:r w:rsidR="008E3CAD" w:rsidRPr="0052701D">
        <w:rPr>
          <w:rFonts w:ascii="Arial" w:hAnsi="Arial" w:cs="Arial"/>
          <w:sz w:val="24"/>
          <w:szCs w:val="24"/>
        </w:rPr>
        <w:t xml:space="preserve">whether, absent a finding of </w:t>
      </w:r>
      <w:r w:rsidR="00F46D42" w:rsidRPr="0052701D">
        <w:rPr>
          <w:rFonts w:ascii="Arial" w:hAnsi="Arial" w:cs="Arial"/>
          <w:sz w:val="24"/>
          <w:szCs w:val="24"/>
        </w:rPr>
        <w:t>non-compliance</w:t>
      </w:r>
      <w:r w:rsidR="00D535E8" w:rsidRPr="0052701D">
        <w:rPr>
          <w:rFonts w:ascii="Arial" w:hAnsi="Arial" w:cs="Arial"/>
          <w:sz w:val="24"/>
          <w:szCs w:val="24"/>
        </w:rPr>
        <w:t xml:space="preserve"> </w:t>
      </w:r>
      <w:r w:rsidR="00F46D42" w:rsidRPr="0052701D">
        <w:rPr>
          <w:rFonts w:ascii="Arial" w:hAnsi="Arial" w:cs="Arial"/>
          <w:sz w:val="24"/>
          <w:szCs w:val="24"/>
        </w:rPr>
        <w:t>with</w:t>
      </w:r>
      <w:r w:rsidR="008E3CAD" w:rsidRPr="0052701D">
        <w:rPr>
          <w:rFonts w:ascii="Arial" w:hAnsi="Arial" w:cs="Arial"/>
          <w:sz w:val="24"/>
          <w:szCs w:val="24"/>
        </w:rPr>
        <w:t xml:space="preserve"> the review orders in respect of the 2012 SVR period, su</w:t>
      </w:r>
      <w:r w:rsidR="00E36D45" w:rsidRPr="0052701D">
        <w:rPr>
          <w:rFonts w:ascii="Arial" w:hAnsi="Arial" w:cs="Arial"/>
          <w:sz w:val="24"/>
          <w:szCs w:val="24"/>
        </w:rPr>
        <w:t>ch an order would be competent.</w:t>
      </w:r>
      <w:r w:rsidR="009A14FB" w:rsidRPr="0052701D">
        <w:rPr>
          <w:rFonts w:ascii="Arial" w:hAnsi="Arial" w:cs="Arial"/>
          <w:sz w:val="24"/>
          <w:szCs w:val="24"/>
        </w:rPr>
        <w:t xml:space="preserve"> In my view, it is competent in circumstances where the evidence shows that there is a </w:t>
      </w:r>
      <w:r w:rsidR="00026593" w:rsidRPr="0052701D">
        <w:rPr>
          <w:rFonts w:ascii="Arial" w:hAnsi="Arial" w:cs="Arial"/>
          <w:i/>
          <w:sz w:val="24"/>
          <w:szCs w:val="24"/>
        </w:rPr>
        <w:t xml:space="preserve">bona fide </w:t>
      </w:r>
      <w:r w:rsidR="00026593" w:rsidRPr="0052701D">
        <w:rPr>
          <w:rFonts w:ascii="Arial" w:hAnsi="Arial" w:cs="Arial"/>
          <w:sz w:val="24"/>
          <w:szCs w:val="24"/>
        </w:rPr>
        <w:t>dispute</w:t>
      </w:r>
      <w:r w:rsidR="009A14FB" w:rsidRPr="0052701D">
        <w:rPr>
          <w:rFonts w:ascii="Arial" w:hAnsi="Arial" w:cs="Arial"/>
          <w:sz w:val="24"/>
          <w:szCs w:val="24"/>
        </w:rPr>
        <w:t xml:space="preserve"> between the parties as to whether there has been compliance with </w:t>
      </w:r>
      <w:r w:rsidR="00E36D45" w:rsidRPr="0052701D">
        <w:rPr>
          <w:rFonts w:ascii="Arial" w:hAnsi="Arial" w:cs="Arial"/>
          <w:sz w:val="24"/>
          <w:szCs w:val="24"/>
        </w:rPr>
        <w:t>a</w:t>
      </w:r>
      <w:r w:rsidR="009A14FB" w:rsidRPr="0052701D">
        <w:rPr>
          <w:rFonts w:ascii="Arial" w:hAnsi="Arial" w:cs="Arial"/>
          <w:sz w:val="24"/>
          <w:szCs w:val="24"/>
        </w:rPr>
        <w:t xml:space="preserve"> </w:t>
      </w:r>
      <w:r w:rsidR="00E15C4A" w:rsidRPr="0052701D">
        <w:rPr>
          <w:rFonts w:ascii="Arial" w:hAnsi="Arial" w:cs="Arial"/>
          <w:sz w:val="24"/>
          <w:szCs w:val="24"/>
        </w:rPr>
        <w:t>c</w:t>
      </w:r>
      <w:r w:rsidR="009A14FB" w:rsidRPr="0052701D">
        <w:rPr>
          <w:rFonts w:ascii="Arial" w:hAnsi="Arial" w:cs="Arial"/>
          <w:sz w:val="24"/>
          <w:szCs w:val="24"/>
        </w:rPr>
        <w:t xml:space="preserve">ourt order </w:t>
      </w:r>
      <w:r w:rsidR="00E36D45" w:rsidRPr="0052701D">
        <w:rPr>
          <w:rFonts w:ascii="Arial" w:hAnsi="Arial" w:cs="Arial"/>
          <w:sz w:val="24"/>
          <w:szCs w:val="24"/>
        </w:rPr>
        <w:t xml:space="preserve">of this sort </w:t>
      </w:r>
      <w:r w:rsidR="00E15C4A" w:rsidRPr="0052701D">
        <w:rPr>
          <w:rFonts w:ascii="Arial" w:hAnsi="Arial" w:cs="Arial"/>
          <w:sz w:val="24"/>
          <w:szCs w:val="24"/>
        </w:rPr>
        <w:t>(one which requires account rectification)</w:t>
      </w:r>
      <w:r w:rsidR="00DA7E0F" w:rsidRPr="0052701D">
        <w:rPr>
          <w:rFonts w:ascii="Arial" w:hAnsi="Arial" w:cs="Arial"/>
          <w:sz w:val="24"/>
          <w:szCs w:val="24"/>
        </w:rPr>
        <w:t>,</w:t>
      </w:r>
      <w:r w:rsidR="0054276B" w:rsidRPr="0052701D">
        <w:rPr>
          <w:rFonts w:ascii="Arial" w:hAnsi="Arial" w:cs="Arial"/>
          <w:sz w:val="24"/>
          <w:szCs w:val="24"/>
        </w:rPr>
        <w:t xml:space="preserve"> </w:t>
      </w:r>
      <w:r w:rsidR="009A14FB" w:rsidRPr="0052701D">
        <w:rPr>
          <w:rFonts w:ascii="Arial" w:hAnsi="Arial" w:cs="Arial"/>
          <w:sz w:val="24"/>
          <w:szCs w:val="24"/>
        </w:rPr>
        <w:t xml:space="preserve">the appellants have cast </w:t>
      </w:r>
      <w:r w:rsidR="00026593" w:rsidRPr="0052701D">
        <w:rPr>
          <w:rFonts w:ascii="Arial" w:hAnsi="Arial" w:cs="Arial"/>
          <w:sz w:val="24"/>
          <w:szCs w:val="24"/>
        </w:rPr>
        <w:t xml:space="preserve">serious </w:t>
      </w:r>
      <w:r w:rsidR="009A14FB" w:rsidRPr="0052701D">
        <w:rPr>
          <w:rFonts w:ascii="Arial" w:hAnsi="Arial" w:cs="Arial"/>
          <w:sz w:val="24"/>
          <w:szCs w:val="24"/>
        </w:rPr>
        <w:t>doubt on whether</w:t>
      </w:r>
      <w:r w:rsidR="00486154" w:rsidRPr="0052701D">
        <w:rPr>
          <w:rFonts w:ascii="Arial" w:hAnsi="Arial" w:cs="Arial"/>
          <w:sz w:val="24"/>
          <w:szCs w:val="24"/>
        </w:rPr>
        <w:t xml:space="preserve"> the City has complied</w:t>
      </w:r>
      <w:r w:rsidR="00DA7E0F" w:rsidRPr="0052701D">
        <w:rPr>
          <w:rFonts w:ascii="Arial" w:hAnsi="Arial" w:cs="Arial"/>
          <w:sz w:val="24"/>
          <w:szCs w:val="24"/>
        </w:rPr>
        <w:t xml:space="preserve"> and are unable</w:t>
      </w:r>
      <w:r w:rsidR="00F74738" w:rsidRPr="0052701D">
        <w:rPr>
          <w:rFonts w:ascii="Arial" w:hAnsi="Arial" w:cs="Arial"/>
          <w:sz w:val="24"/>
          <w:szCs w:val="24"/>
        </w:rPr>
        <w:t>,</w:t>
      </w:r>
      <w:r w:rsidR="00DA7E0F" w:rsidRPr="0052701D">
        <w:rPr>
          <w:rFonts w:ascii="Arial" w:hAnsi="Arial" w:cs="Arial"/>
          <w:sz w:val="24"/>
          <w:szCs w:val="24"/>
        </w:rPr>
        <w:t xml:space="preserve"> meaningfully</w:t>
      </w:r>
      <w:r w:rsidR="00F74738" w:rsidRPr="0052701D">
        <w:rPr>
          <w:rFonts w:ascii="Arial" w:hAnsi="Arial" w:cs="Arial"/>
          <w:sz w:val="24"/>
          <w:szCs w:val="24"/>
        </w:rPr>
        <w:t>,</w:t>
      </w:r>
      <w:r w:rsidR="00DA7E0F" w:rsidRPr="0052701D">
        <w:rPr>
          <w:rFonts w:ascii="Arial" w:hAnsi="Arial" w:cs="Arial"/>
          <w:sz w:val="24"/>
          <w:szCs w:val="24"/>
        </w:rPr>
        <w:t xml:space="preserve"> to </w:t>
      </w:r>
      <w:r w:rsidR="00E07694" w:rsidRPr="0052701D">
        <w:rPr>
          <w:rFonts w:ascii="Arial" w:hAnsi="Arial" w:cs="Arial"/>
          <w:sz w:val="24"/>
          <w:szCs w:val="24"/>
        </w:rPr>
        <w:t xml:space="preserve">engage the City on whether </w:t>
      </w:r>
      <w:r w:rsidR="00DA7E0F" w:rsidRPr="0052701D">
        <w:rPr>
          <w:rFonts w:ascii="Arial" w:hAnsi="Arial" w:cs="Arial"/>
          <w:sz w:val="24"/>
          <w:szCs w:val="24"/>
        </w:rPr>
        <w:t>there has been compliance</w:t>
      </w:r>
      <w:r w:rsidR="00486154" w:rsidRPr="0052701D">
        <w:rPr>
          <w:rFonts w:ascii="Arial" w:hAnsi="Arial" w:cs="Arial"/>
          <w:sz w:val="24"/>
          <w:szCs w:val="24"/>
        </w:rPr>
        <w:t>.</w:t>
      </w:r>
      <w:r w:rsidR="00E07694" w:rsidRPr="0052701D">
        <w:rPr>
          <w:rFonts w:ascii="Arial" w:hAnsi="Arial" w:cs="Arial"/>
          <w:sz w:val="24"/>
          <w:szCs w:val="24"/>
        </w:rPr>
        <w:t xml:space="preserve"> </w:t>
      </w:r>
      <w:r w:rsidR="00F54740" w:rsidRPr="0052701D">
        <w:rPr>
          <w:rFonts w:ascii="Arial" w:hAnsi="Arial" w:cs="Arial"/>
          <w:sz w:val="24"/>
          <w:szCs w:val="24"/>
        </w:rPr>
        <w:t xml:space="preserve">In these circumstances, the appellants are </w:t>
      </w:r>
      <w:r w:rsidR="00F31631" w:rsidRPr="0052701D">
        <w:rPr>
          <w:rFonts w:ascii="Arial" w:hAnsi="Arial" w:cs="Arial"/>
          <w:sz w:val="24"/>
          <w:szCs w:val="24"/>
        </w:rPr>
        <w:t>unable</w:t>
      </w:r>
      <w:r w:rsidR="00E153C0" w:rsidRPr="0052701D">
        <w:rPr>
          <w:rFonts w:ascii="Arial" w:hAnsi="Arial" w:cs="Arial"/>
          <w:sz w:val="24"/>
          <w:szCs w:val="24"/>
        </w:rPr>
        <w:t>,</w:t>
      </w:r>
      <w:r w:rsidR="00F31631" w:rsidRPr="0052701D">
        <w:rPr>
          <w:rFonts w:ascii="Arial" w:hAnsi="Arial" w:cs="Arial"/>
          <w:sz w:val="24"/>
          <w:szCs w:val="24"/>
        </w:rPr>
        <w:t xml:space="preserve"> meaningfully</w:t>
      </w:r>
      <w:r w:rsidR="00E153C0" w:rsidRPr="0052701D">
        <w:rPr>
          <w:rFonts w:ascii="Arial" w:hAnsi="Arial" w:cs="Arial"/>
          <w:sz w:val="24"/>
          <w:szCs w:val="24"/>
        </w:rPr>
        <w:t>,</w:t>
      </w:r>
      <w:r w:rsidR="00F31631" w:rsidRPr="0052701D">
        <w:rPr>
          <w:rFonts w:ascii="Arial" w:hAnsi="Arial" w:cs="Arial"/>
          <w:sz w:val="24"/>
          <w:szCs w:val="24"/>
        </w:rPr>
        <w:t xml:space="preserve"> to </w:t>
      </w:r>
      <w:r w:rsidR="00E07694" w:rsidRPr="0052701D">
        <w:rPr>
          <w:rFonts w:ascii="Arial" w:hAnsi="Arial" w:cs="Arial"/>
          <w:sz w:val="24"/>
          <w:szCs w:val="24"/>
        </w:rPr>
        <w:t xml:space="preserve">secure </w:t>
      </w:r>
      <w:r w:rsidR="00F31631" w:rsidRPr="0052701D">
        <w:rPr>
          <w:rFonts w:ascii="Arial" w:hAnsi="Arial" w:cs="Arial"/>
          <w:sz w:val="24"/>
          <w:szCs w:val="24"/>
        </w:rPr>
        <w:t xml:space="preserve">compliance with </w:t>
      </w:r>
      <w:r w:rsidR="00E07694" w:rsidRPr="0052701D">
        <w:rPr>
          <w:rFonts w:ascii="Arial" w:hAnsi="Arial" w:cs="Arial"/>
          <w:sz w:val="24"/>
          <w:szCs w:val="24"/>
        </w:rPr>
        <w:t>the</w:t>
      </w:r>
      <w:r w:rsidR="00F31631" w:rsidRPr="0052701D">
        <w:rPr>
          <w:rFonts w:ascii="Arial" w:hAnsi="Arial" w:cs="Arial"/>
          <w:sz w:val="24"/>
          <w:szCs w:val="24"/>
        </w:rPr>
        <w:t xml:space="preserve"> court order granted in their favour.</w:t>
      </w:r>
      <w:r w:rsidR="00176246" w:rsidRPr="0052701D">
        <w:rPr>
          <w:rFonts w:ascii="Arial" w:hAnsi="Arial" w:cs="Arial"/>
          <w:sz w:val="24"/>
          <w:szCs w:val="24"/>
        </w:rPr>
        <w:t xml:space="preserve"> And that is what the dispute between the parties in respect of the 2012 SVR period is</w:t>
      </w:r>
      <w:r w:rsidR="00E36D45" w:rsidRPr="0052701D">
        <w:rPr>
          <w:rFonts w:ascii="Arial" w:hAnsi="Arial" w:cs="Arial"/>
          <w:sz w:val="24"/>
          <w:szCs w:val="24"/>
        </w:rPr>
        <w:t xml:space="preserve"> ultimately</w:t>
      </w:r>
      <w:r w:rsidR="00176246" w:rsidRPr="0052701D">
        <w:rPr>
          <w:rFonts w:ascii="Arial" w:hAnsi="Arial" w:cs="Arial"/>
          <w:sz w:val="24"/>
          <w:szCs w:val="24"/>
        </w:rPr>
        <w:t xml:space="preserve"> about. </w:t>
      </w:r>
      <w:r w:rsidR="00FC3D09" w:rsidRPr="0052701D">
        <w:rPr>
          <w:rFonts w:ascii="Arial" w:hAnsi="Arial" w:cs="Arial"/>
          <w:sz w:val="24"/>
          <w:szCs w:val="24"/>
        </w:rPr>
        <w:t xml:space="preserve">Put differently, in circumstances where there is a </w:t>
      </w:r>
      <w:r w:rsidR="00FC3D09" w:rsidRPr="0052701D">
        <w:rPr>
          <w:rFonts w:ascii="Arial" w:hAnsi="Arial" w:cs="Arial"/>
          <w:i/>
          <w:sz w:val="24"/>
          <w:szCs w:val="24"/>
        </w:rPr>
        <w:t xml:space="preserve">bona fide </w:t>
      </w:r>
      <w:r w:rsidR="00FC3D09" w:rsidRPr="0052701D">
        <w:rPr>
          <w:rFonts w:ascii="Arial" w:hAnsi="Arial" w:cs="Arial"/>
          <w:sz w:val="24"/>
          <w:szCs w:val="24"/>
        </w:rPr>
        <w:t xml:space="preserve">dispute about compliance with a court order pursuant to which a </w:t>
      </w:r>
      <w:r w:rsidR="0007210F" w:rsidRPr="0052701D">
        <w:rPr>
          <w:rFonts w:ascii="Arial" w:hAnsi="Arial" w:cs="Arial"/>
          <w:sz w:val="24"/>
          <w:szCs w:val="24"/>
        </w:rPr>
        <w:t>s</w:t>
      </w:r>
      <w:r w:rsidR="00FC3D09" w:rsidRPr="0052701D">
        <w:rPr>
          <w:rFonts w:ascii="Arial" w:hAnsi="Arial" w:cs="Arial"/>
          <w:sz w:val="24"/>
          <w:szCs w:val="24"/>
        </w:rPr>
        <w:t xml:space="preserve">tate party is obliged to rectify a rate-payers’ account, the </w:t>
      </w:r>
      <w:r w:rsidR="0007210F" w:rsidRPr="0052701D">
        <w:rPr>
          <w:rFonts w:ascii="Arial" w:hAnsi="Arial" w:cs="Arial"/>
          <w:sz w:val="24"/>
          <w:szCs w:val="24"/>
        </w:rPr>
        <w:t>s</w:t>
      </w:r>
      <w:r w:rsidR="00FC3D09" w:rsidRPr="0052701D">
        <w:rPr>
          <w:rFonts w:ascii="Arial" w:hAnsi="Arial" w:cs="Arial"/>
          <w:sz w:val="24"/>
          <w:szCs w:val="24"/>
        </w:rPr>
        <w:t>tate party must engage meaningfully with the rate-payer so as to ensure compliance as part of its duty to adhere to and take steps necessary to comply with that order.</w:t>
      </w:r>
    </w:p>
    <w:p w14:paraId="13456ED0" w14:textId="77777777" w:rsidR="00F31631" w:rsidRPr="004534EF" w:rsidRDefault="00F31631" w:rsidP="004534EF">
      <w:pPr>
        <w:pStyle w:val="ListParagraph"/>
        <w:spacing w:line="360" w:lineRule="auto"/>
        <w:ind w:left="360"/>
        <w:rPr>
          <w:rFonts w:ascii="Arial" w:hAnsi="Arial" w:cs="Arial"/>
          <w:sz w:val="24"/>
          <w:szCs w:val="24"/>
        </w:rPr>
      </w:pPr>
    </w:p>
    <w:p w14:paraId="21189272" w14:textId="712E9C23" w:rsidR="00931C4D" w:rsidRPr="0052701D" w:rsidRDefault="0052701D" w:rsidP="0052701D">
      <w:pPr>
        <w:spacing w:line="360" w:lineRule="auto"/>
        <w:ind w:left="360" w:hanging="360"/>
        <w:rPr>
          <w:rFonts w:ascii="Arial" w:hAnsi="Arial" w:cs="Arial"/>
          <w:i/>
          <w:sz w:val="24"/>
          <w:szCs w:val="24"/>
        </w:rPr>
      </w:pPr>
      <w:r w:rsidRPr="006664E6">
        <w:rPr>
          <w:rFonts w:ascii="Arial" w:hAnsi="Arial" w:cs="Arial"/>
          <w:sz w:val="24"/>
          <w:szCs w:val="24"/>
        </w:rPr>
        <w:t>62.</w:t>
      </w:r>
      <w:r w:rsidRPr="006664E6">
        <w:rPr>
          <w:rFonts w:ascii="Arial" w:hAnsi="Arial" w:cs="Arial"/>
          <w:sz w:val="24"/>
          <w:szCs w:val="24"/>
        </w:rPr>
        <w:tab/>
      </w:r>
      <w:r w:rsidR="00486154" w:rsidRPr="0052701D">
        <w:rPr>
          <w:rFonts w:ascii="Arial" w:hAnsi="Arial" w:cs="Arial"/>
          <w:sz w:val="24"/>
          <w:szCs w:val="24"/>
        </w:rPr>
        <w:t>Had the respondents wished to refute any of the allegations made in reply in response to the City’s defence, it was open to them to do so</w:t>
      </w:r>
      <w:r w:rsidR="00E36D45" w:rsidRPr="0052701D">
        <w:rPr>
          <w:rFonts w:ascii="Arial" w:hAnsi="Arial" w:cs="Arial"/>
          <w:sz w:val="24"/>
          <w:szCs w:val="24"/>
        </w:rPr>
        <w:t xml:space="preserve"> and that may have put the matter to rest</w:t>
      </w:r>
      <w:r w:rsidR="00486154" w:rsidRPr="0052701D">
        <w:rPr>
          <w:rFonts w:ascii="Arial" w:hAnsi="Arial" w:cs="Arial"/>
          <w:sz w:val="24"/>
          <w:szCs w:val="24"/>
        </w:rPr>
        <w:t>. The appellants made it clear that they would not oppose such a r</w:t>
      </w:r>
      <w:r w:rsidR="00F31631" w:rsidRPr="0052701D">
        <w:rPr>
          <w:rFonts w:ascii="Arial" w:hAnsi="Arial" w:cs="Arial"/>
          <w:sz w:val="24"/>
          <w:szCs w:val="24"/>
        </w:rPr>
        <w:t xml:space="preserve">equest. The </w:t>
      </w:r>
      <w:r w:rsidR="00486154" w:rsidRPr="0052701D">
        <w:rPr>
          <w:rFonts w:ascii="Arial" w:hAnsi="Arial" w:cs="Arial"/>
          <w:sz w:val="24"/>
          <w:szCs w:val="24"/>
        </w:rPr>
        <w:t xml:space="preserve">interests of justice would have demanded that such a response be admitted, precisely because one is dealing with proceedings to ensure compliance with a court order and in circumstances where the City only adjusted the accounts after the proceedings were instituted. </w:t>
      </w:r>
      <w:r w:rsidR="00176246" w:rsidRPr="0052701D">
        <w:rPr>
          <w:rFonts w:ascii="Arial" w:hAnsi="Arial" w:cs="Arial"/>
          <w:sz w:val="24"/>
          <w:szCs w:val="24"/>
        </w:rPr>
        <w:t>The City did not do so</w:t>
      </w:r>
      <w:r w:rsidR="00E15C4A" w:rsidRPr="0052701D">
        <w:rPr>
          <w:rFonts w:ascii="Arial" w:hAnsi="Arial" w:cs="Arial"/>
          <w:sz w:val="24"/>
          <w:szCs w:val="24"/>
        </w:rPr>
        <w:t>.</w:t>
      </w:r>
    </w:p>
    <w:p w14:paraId="2973DDDC" w14:textId="77777777" w:rsidR="00DA7E0F" w:rsidRPr="004534EF" w:rsidRDefault="00DA7E0F" w:rsidP="004534EF">
      <w:pPr>
        <w:pStyle w:val="ListParagraph"/>
        <w:spacing w:line="360" w:lineRule="auto"/>
        <w:ind w:left="360"/>
        <w:rPr>
          <w:rFonts w:ascii="Arial" w:hAnsi="Arial" w:cs="Arial"/>
          <w:sz w:val="24"/>
          <w:szCs w:val="24"/>
        </w:rPr>
      </w:pPr>
    </w:p>
    <w:p w14:paraId="677283A4" w14:textId="419A52A2" w:rsidR="006D4517" w:rsidRPr="0052701D" w:rsidRDefault="0052701D" w:rsidP="0052701D">
      <w:pPr>
        <w:spacing w:line="360" w:lineRule="auto"/>
        <w:ind w:left="360" w:hanging="360"/>
        <w:rPr>
          <w:rFonts w:ascii="Arial" w:hAnsi="Arial" w:cs="Arial"/>
          <w:i/>
          <w:sz w:val="24"/>
          <w:szCs w:val="24"/>
        </w:rPr>
      </w:pPr>
      <w:r w:rsidRPr="006664E6">
        <w:rPr>
          <w:rFonts w:ascii="Arial" w:hAnsi="Arial" w:cs="Arial"/>
          <w:sz w:val="24"/>
          <w:szCs w:val="24"/>
        </w:rPr>
        <w:t>63.</w:t>
      </w:r>
      <w:r w:rsidRPr="006664E6">
        <w:rPr>
          <w:rFonts w:ascii="Arial" w:hAnsi="Arial" w:cs="Arial"/>
          <w:sz w:val="24"/>
          <w:szCs w:val="24"/>
        </w:rPr>
        <w:tab/>
      </w:r>
      <w:r w:rsidR="00F31631" w:rsidRPr="0052701D">
        <w:rPr>
          <w:rFonts w:ascii="Arial" w:hAnsi="Arial" w:cs="Arial"/>
          <w:sz w:val="24"/>
          <w:szCs w:val="24"/>
        </w:rPr>
        <w:t>In these circumstances, the appellants have at</w:t>
      </w:r>
      <w:r w:rsidR="00176246" w:rsidRPr="0052701D">
        <w:rPr>
          <w:rFonts w:ascii="Arial" w:hAnsi="Arial" w:cs="Arial"/>
          <w:sz w:val="24"/>
          <w:szCs w:val="24"/>
        </w:rPr>
        <w:t xml:space="preserve"> the very</w:t>
      </w:r>
      <w:r w:rsidR="00F31631" w:rsidRPr="0052701D">
        <w:rPr>
          <w:rFonts w:ascii="Arial" w:hAnsi="Arial" w:cs="Arial"/>
          <w:sz w:val="24"/>
          <w:szCs w:val="24"/>
        </w:rPr>
        <w:t xml:space="preserve"> least cast serious doubt on whether the City has complied with the review orders and there is, at best for the City, a </w:t>
      </w:r>
      <w:r w:rsidR="00F31631" w:rsidRPr="0052701D">
        <w:rPr>
          <w:rFonts w:ascii="Arial" w:hAnsi="Arial" w:cs="Arial"/>
          <w:i/>
          <w:sz w:val="24"/>
          <w:szCs w:val="24"/>
        </w:rPr>
        <w:t xml:space="preserve">bona fide </w:t>
      </w:r>
      <w:r w:rsidR="00F31631" w:rsidRPr="0052701D">
        <w:rPr>
          <w:rFonts w:ascii="Arial" w:hAnsi="Arial" w:cs="Arial"/>
          <w:sz w:val="24"/>
          <w:szCs w:val="24"/>
        </w:rPr>
        <w:t xml:space="preserve">dispute on this issue. </w:t>
      </w:r>
      <w:r w:rsidR="00E07694" w:rsidRPr="0052701D">
        <w:rPr>
          <w:rFonts w:ascii="Arial" w:hAnsi="Arial" w:cs="Arial"/>
          <w:sz w:val="24"/>
          <w:szCs w:val="24"/>
        </w:rPr>
        <w:t>Moreover, although the City tendered a meeting, it has simultaneously refused to explain</w:t>
      </w:r>
      <w:r w:rsidR="00D04355" w:rsidRPr="0052701D">
        <w:rPr>
          <w:rFonts w:ascii="Arial" w:hAnsi="Arial" w:cs="Arial"/>
          <w:sz w:val="24"/>
          <w:szCs w:val="24"/>
        </w:rPr>
        <w:t>,</w:t>
      </w:r>
      <w:r w:rsidR="00E07694" w:rsidRPr="0052701D">
        <w:rPr>
          <w:rFonts w:ascii="Arial" w:hAnsi="Arial" w:cs="Arial"/>
          <w:sz w:val="24"/>
          <w:szCs w:val="24"/>
        </w:rPr>
        <w:t xml:space="preserve"> with sufficiently clarity</w:t>
      </w:r>
      <w:r w:rsidR="00D04355" w:rsidRPr="0052701D">
        <w:rPr>
          <w:rFonts w:ascii="Arial" w:hAnsi="Arial" w:cs="Arial"/>
          <w:sz w:val="24"/>
          <w:szCs w:val="24"/>
        </w:rPr>
        <w:t>,</w:t>
      </w:r>
      <w:r w:rsidR="00E07694" w:rsidRPr="0052701D">
        <w:rPr>
          <w:rFonts w:ascii="Arial" w:hAnsi="Arial" w:cs="Arial"/>
          <w:sz w:val="24"/>
          <w:szCs w:val="24"/>
        </w:rPr>
        <w:t xml:space="preserve"> how it </w:t>
      </w:r>
      <w:r w:rsidR="00E07694" w:rsidRPr="0052701D">
        <w:rPr>
          <w:rFonts w:ascii="Arial" w:hAnsi="Arial" w:cs="Arial"/>
          <w:sz w:val="24"/>
          <w:szCs w:val="24"/>
        </w:rPr>
        <w:lastRenderedPageBreak/>
        <w:t>has recalculated the amounts, thereby rendering any proposed meeting, or ‘debate’, unhelpful. Indeed, the City’s approach, rather, evidences an unwillingness to</w:t>
      </w:r>
      <w:r w:rsidR="0037706F" w:rsidRPr="0052701D">
        <w:rPr>
          <w:rFonts w:ascii="Arial" w:hAnsi="Arial" w:cs="Arial"/>
          <w:sz w:val="24"/>
          <w:szCs w:val="24"/>
        </w:rPr>
        <w:t xml:space="preserve"> seriously</w:t>
      </w:r>
      <w:r w:rsidR="00E07694" w:rsidRPr="0052701D">
        <w:rPr>
          <w:rFonts w:ascii="Arial" w:hAnsi="Arial" w:cs="Arial"/>
          <w:sz w:val="24"/>
          <w:szCs w:val="24"/>
        </w:rPr>
        <w:t xml:space="preserve"> engage the appellants’ concerns</w:t>
      </w:r>
      <w:r w:rsidR="006F65D6" w:rsidRPr="0052701D">
        <w:rPr>
          <w:rFonts w:ascii="Arial" w:hAnsi="Arial" w:cs="Arial"/>
          <w:sz w:val="24"/>
          <w:szCs w:val="24"/>
        </w:rPr>
        <w:t>,</w:t>
      </w:r>
      <w:r w:rsidR="00E07694" w:rsidRPr="0052701D">
        <w:rPr>
          <w:rFonts w:ascii="Arial" w:hAnsi="Arial" w:cs="Arial"/>
          <w:sz w:val="24"/>
          <w:szCs w:val="24"/>
        </w:rPr>
        <w:t xml:space="preserve"> which are reasonably directed at securing compliance with a court order granted in their favour. </w:t>
      </w:r>
      <w:r w:rsidR="00486154" w:rsidRPr="0052701D">
        <w:rPr>
          <w:rFonts w:ascii="Arial" w:hAnsi="Arial" w:cs="Arial"/>
          <w:sz w:val="24"/>
          <w:szCs w:val="24"/>
        </w:rPr>
        <w:t>Accordingly, I am of the view that the appellants</w:t>
      </w:r>
      <w:r w:rsidR="00E07694" w:rsidRPr="0052701D">
        <w:rPr>
          <w:rFonts w:ascii="Arial" w:hAnsi="Arial" w:cs="Arial"/>
          <w:sz w:val="24"/>
          <w:szCs w:val="24"/>
        </w:rPr>
        <w:t xml:space="preserve"> have</w:t>
      </w:r>
      <w:r w:rsidR="00486154" w:rsidRPr="0052701D">
        <w:rPr>
          <w:rFonts w:ascii="Arial" w:hAnsi="Arial" w:cs="Arial"/>
          <w:sz w:val="24"/>
          <w:szCs w:val="24"/>
        </w:rPr>
        <w:t xml:space="preserve"> established</w:t>
      </w:r>
      <w:r w:rsidR="00E07694" w:rsidRPr="0052701D">
        <w:rPr>
          <w:rFonts w:ascii="Arial" w:hAnsi="Arial" w:cs="Arial"/>
          <w:sz w:val="24"/>
          <w:szCs w:val="24"/>
        </w:rPr>
        <w:t xml:space="preserve"> that the City is yet to adhere to and take all steps necessary to give effect to the review orders, which in turn opens the door to relief under section 172(1)(b) of the Constitution</w:t>
      </w:r>
      <w:r w:rsidR="00FC3D09" w:rsidRPr="0052701D">
        <w:rPr>
          <w:rFonts w:ascii="Arial" w:hAnsi="Arial" w:cs="Arial"/>
          <w:sz w:val="24"/>
          <w:szCs w:val="24"/>
        </w:rPr>
        <w:t>. The specific remedy that is sought</w:t>
      </w:r>
      <w:r w:rsidR="00E07694" w:rsidRPr="0052701D">
        <w:rPr>
          <w:rFonts w:ascii="Arial" w:hAnsi="Arial" w:cs="Arial"/>
          <w:sz w:val="24"/>
          <w:szCs w:val="24"/>
        </w:rPr>
        <w:t xml:space="preserve"> </w:t>
      </w:r>
      <w:r w:rsidR="00FC3D09" w:rsidRPr="0052701D">
        <w:rPr>
          <w:rFonts w:ascii="Arial" w:hAnsi="Arial" w:cs="Arial"/>
          <w:sz w:val="24"/>
          <w:szCs w:val="24"/>
        </w:rPr>
        <w:t xml:space="preserve">is </w:t>
      </w:r>
      <w:r w:rsidR="00E07694" w:rsidRPr="0052701D">
        <w:rPr>
          <w:rFonts w:ascii="Arial" w:hAnsi="Arial" w:cs="Arial"/>
          <w:sz w:val="24"/>
          <w:szCs w:val="24"/>
        </w:rPr>
        <w:t xml:space="preserve">a statement and </w:t>
      </w:r>
      <w:r w:rsidR="00486154" w:rsidRPr="0052701D">
        <w:rPr>
          <w:rFonts w:ascii="Arial" w:hAnsi="Arial" w:cs="Arial"/>
          <w:sz w:val="24"/>
          <w:szCs w:val="24"/>
        </w:rPr>
        <w:t>debatement of their accounts.</w:t>
      </w:r>
    </w:p>
    <w:p w14:paraId="73758AEE" w14:textId="77777777" w:rsidR="00F31631" w:rsidRPr="004534EF" w:rsidRDefault="00F31631" w:rsidP="004534EF">
      <w:pPr>
        <w:pStyle w:val="ListParagraph"/>
        <w:spacing w:line="360" w:lineRule="auto"/>
        <w:ind w:left="360"/>
        <w:rPr>
          <w:rFonts w:ascii="Arial" w:hAnsi="Arial" w:cs="Arial"/>
          <w:sz w:val="24"/>
          <w:szCs w:val="24"/>
        </w:rPr>
      </w:pPr>
    </w:p>
    <w:p w14:paraId="7F5FC77D" w14:textId="42BFB19A" w:rsidR="00D422D1" w:rsidRPr="0052701D" w:rsidRDefault="0052701D" w:rsidP="0052701D">
      <w:pPr>
        <w:spacing w:line="360" w:lineRule="auto"/>
        <w:ind w:left="360" w:hanging="360"/>
        <w:rPr>
          <w:rFonts w:ascii="Arial" w:hAnsi="Arial" w:cs="Arial"/>
          <w:i/>
          <w:sz w:val="24"/>
          <w:szCs w:val="24"/>
        </w:rPr>
      </w:pPr>
      <w:r w:rsidRPr="006664E6">
        <w:rPr>
          <w:rFonts w:ascii="Arial" w:hAnsi="Arial" w:cs="Arial"/>
          <w:sz w:val="24"/>
          <w:szCs w:val="24"/>
        </w:rPr>
        <w:t>64.</w:t>
      </w:r>
      <w:r w:rsidRPr="006664E6">
        <w:rPr>
          <w:rFonts w:ascii="Arial" w:hAnsi="Arial" w:cs="Arial"/>
          <w:sz w:val="24"/>
          <w:szCs w:val="24"/>
        </w:rPr>
        <w:tab/>
      </w:r>
      <w:r w:rsidR="006A1734" w:rsidRPr="0052701D">
        <w:rPr>
          <w:rFonts w:ascii="Arial" w:hAnsi="Arial" w:cs="Arial"/>
          <w:sz w:val="24"/>
          <w:szCs w:val="24"/>
        </w:rPr>
        <w:t xml:space="preserve">A key thrust of the submissions advanced by </w:t>
      </w:r>
      <w:r w:rsidR="00F31631" w:rsidRPr="0052701D">
        <w:rPr>
          <w:rFonts w:ascii="Arial" w:hAnsi="Arial" w:cs="Arial"/>
          <w:sz w:val="24"/>
          <w:szCs w:val="24"/>
        </w:rPr>
        <w:t>Mr Strydom</w:t>
      </w:r>
      <w:r w:rsidR="006A1734" w:rsidRPr="0052701D">
        <w:rPr>
          <w:rFonts w:ascii="Arial" w:hAnsi="Arial" w:cs="Arial"/>
          <w:sz w:val="24"/>
          <w:szCs w:val="24"/>
        </w:rPr>
        <w:t xml:space="preserve"> was that the appeal can only succeed if this Court wholly disregards the trite principles that apply to motion proceedings</w:t>
      </w:r>
      <w:r w:rsidR="006A1734" w:rsidRPr="006664E6">
        <w:rPr>
          <w:rStyle w:val="FootnoteReference"/>
          <w:rFonts w:ascii="Arial" w:hAnsi="Arial" w:cs="Arial"/>
          <w:sz w:val="24"/>
          <w:szCs w:val="24"/>
        </w:rPr>
        <w:footnoteReference w:id="43"/>
      </w:r>
      <w:r w:rsidR="006A1734" w:rsidRPr="0052701D">
        <w:rPr>
          <w:rFonts w:ascii="Arial" w:hAnsi="Arial" w:cs="Arial"/>
          <w:sz w:val="24"/>
          <w:szCs w:val="24"/>
        </w:rPr>
        <w:t xml:space="preserve"> and, indeed, appeals.</w:t>
      </w:r>
      <w:r w:rsidR="006A1734" w:rsidRPr="006664E6">
        <w:rPr>
          <w:rStyle w:val="FootnoteReference"/>
          <w:rFonts w:ascii="Arial" w:hAnsi="Arial" w:cs="Arial"/>
          <w:sz w:val="24"/>
          <w:szCs w:val="24"/>
        </w:rPr>
        <w:footnoteReference w:id="44"/>
      </w:r>
      <w:r w:rsidR="006A1734" w:rsidRPr="0052701D">
        <w:rPr>
          <w:rFonts w:ascii="Arial" w:hAnsi="Arial" w:cs="Arial"/>
          <w:sz w:val="24"/>
          <w:szCs w:val="24"/>
        </w:rPr>
        <w:t xml:space="preserve"> In my view, these submissions did not take sufficient cognisance of the nature </w:t>
      </w:r>
      <w:r w:rsidR="006C4930" w:rsidRPr="0052701D">
        <w:rPr>
          <w:rFonts w:ascii="Arial" w:hAnsi="Arial" w:cs="Arial"/>
          <w:sz w:val="24"/>
          <w:szCs w:val="24"/>
        </w:rPr>
        <w:t xml:space="preserve">and nuances </w:t>
      </w:r>
      <w:r w:rsidR="006A1734" w:rsidRPr="0052701D">
        <w:rPr>
          <w:rFonts w:ascii="Arial" w:hAnsi="Arial" w:cs="Arial"/>
          <w:sz w:val="24"/>
          <w:szCs w:val="24"/>
        </w:rPr>
        <w:t>of the case that the appellants were in fact advancing</w:t>
      </w:r>
      <w:r w:rsidR="00080BA3" w:rsidRPr="0052701D">
        <w:rPr>
          <w:rFonts w:ascii="Arial" w:hAnsi="Arial" w:cs="Arial"/>
          <w:sz w:val="24"/>
          <w:szCs w:val="24"/>
        </w:rPr>
        <w:t xml:space="preserve"> or the reasoning underlying the decision of the Court </w:t>
      </w:r>
      <w:r w:rsidR="00080BA3" w:rsidRPr="0052701D">
        <w:rPr>
          <w:rFonts w:ascii="Arial" w:hAnsi="Arial" w:cs="Arial"/>
          <w:i/>
          <w:sz w:val="24"/>
          <w:szCs w:val="24"/>
        </w:rPr>
        <w:t>a quo</w:t>
      </w:r>
      <w:r w:rsidR="006A1734" w:rsidRPr="0052701D">
        <w:rPr>
          <w:rFonts w:ascii="Arial" w:hAnsi="Arial" w:cs="Arial"/>
          <w:sz w:val="24"/>
          <w:szCs w:val="24"/>
        </w:rPr>
        <w:t xml:space="preserve">. I have explained above on what basis I consider the </w:t>
      </w:r>
      <w:r w:rsidR="006C4930" w:rsidRPr="0052701D">
        <w:rPr>
          <w:rFonts w:ascii="Arial" w:hAnsi="Arial" w:cs="Arial"/>
          <w:sz w:val="24"/>
          <w:szCs w:val="24"/>
        </w:rPr>
        <w:t>C</w:t>
      </w:r>
      <w:r w:rsidR="006A1734" w:rsidRPr="0052701D">
        <w:rPr>
          <w:rFonts w:ascii="Arial" w:hAnsi="Arial" w:cs="Arial"/>
          <w:sz w:val="24"/>
          <w:szCs w:val="24"/>
        </w:rPr>
        <w:t xml:space="preserve">ourt </w:t>
      </w:r>
      <w:r w:rsidR="006A1734" w:rsidRPr="0052701D">
        <w:rPr>
          <w:rFonts w:ascii="Arial" w:hAnsi="Arial" w:cs="Arial"/>
          <w:i/>
          <w:sz w:val="24"/>
          <w:szCs w:val="24"/>
        </w:rPr>
        <w:t xml:space="preserve">a quo </w:t>
      </w:r>
      <w:r w:rsidR="006A1734" w:rsidRPr="0052701D">
        <w:rPr>
          <w:rFonts w:ascii="Arial" w:hAnsi="Arial" w:cs="Arial"/>
          <w:sz w:val="24"/>
          <w:szCs w:val="24"/>
        </w:rPr>
        <w:t>to have erred in rejecting the evidence in reply and on what basis I consider the appellants to have been entitled to relief notwithstanding the dispute of fact in respect of the 2012 SVR period. I do not repeat what I say now</w:t>
      </w:r>
      <w:r w:rsidR="007C29EE" w:rsidRPr="0052701D">
        <w:rPr>
          <w:rFonts w:ascii="Arial" w:hAnsi="Arial" w:cs="Arial"/>
          <w:sz w:val="24"/>
          <w:szCs w:val="24"/>
        </w:rPr>
        <w:t>,</w:t>
      </w:r>
      <w:r w:rsidR="006A1734" w:rsidRPr="0052701D">
        <w:rPr>
          <w:rFonts w:ascii="Arial" w:hAnsi="Arial" w:cs="Arial"/>
          <w:sz w:val="24"/>
          <w:szCs w:val="24"/>
        </w:rPr>
        <w:t xml:space="preserve"> suffice to reiterate that in my view, the appellants’ case pays proper heed to the applicable</w:t>
      </w:r>
      <w:r w:rsidR="006C4930" w:rsidRPr="0052701D">
        <w:rPr>
          <w:rFonts w:ascii="Arial" w:hAnsi="Arial" w:cs="Arial"/>
          <w:sz w:val="24"/>
          <w:szCs w:val="24"/>
        </w:rPr>
        <w:t xml:space="preserve"> and established</w:t>
      </w:r>
      <w:r w:rsidR="00E15A9C" w:rsidRPr="0052701D">
        <w:rPr>
          <w:rFonts w:ascii="Arial" w:hAnsi="Arial" w:cs="Arial"/>
          <w:sz w:val="24"/>
          <w:szCs w:val="24"/>
        </w:rPr>
        <w:t xml:space="preserve"> </w:t>
      </w:r>
      <w:r w:rsidR="006A1734" w:rsidRPr="0052701D">
        <w:rPr>
          <w:rFonts w:ascii="Arial" w:hAnsi="Arial" w:cs="Arial"/>
          <w:sz w:val="24"/>
          <w:szCs w:val="24"/>
        </w:rPr>
        <w:t>principles.</w:t>
      </w:r>
    </w:p>
    <w:p w14:paraId="18751081" w14:textId="77777777" w:rsidR="00D422D1" w:rsidRPr="00CE076A" w:rsidRDefault="00D422D1" w:rsidP="00CE076A">
      <w:pPr>
        <w:spacing w:line="240" w:lineRule="auto"/>
        <w:rPr>
          <w:rFonts w:ascii="Arial" w:hAnsi="Arial" w:cs="Arial"/>
          <w:sz w:val="24"/>
          <w:szCs w:val="24"/>
        </w:rPr>
      </w:pPr>
    </w:p>
    <w:p w14:paraId="5E06F5B6" w14:textId="77777777" w:rsidR="00D422D1" w:rsidRPr="00D422D1" w:rsidRDefault="00D422D1" w:rsidP="00CE076A">
      <w:pPr>
        <w:spacing w:line="360" w:lineRule="auto"/>
        <w:rPr>
          <w:rFonts w:ascii="Arial" w:hAnsi="Arial" w:cs="Arial"/>
          <w:b/>
          <w:sz w:val="24"/>
          <w:szCs w:val="24"/>
        </w:rPr>
      </w:pPr>
      <w:r w:rsidRPr="00D422D1">
        <w:rPr>
          <w:rFonts w:ascii="Arial" w:hAnsi="Arial" w:cs="Arial"/>
          <w:b/>
          <w:sz w:val="24"/>
          <w:szCs w:val="24"/>
        </w:rPr>
        <w:t>The fourth issue:  appropriate remedy</w:t>
      </w:r>
    </w:p>
    <w:p w14:paraId="574ADCAC" w14:textId="3019B964" w:rsidR="00C23A69" w:rsidRPr="0052701D" w:rsidRDefault="0052701D" w:rsidP="0052701D">
      <w:pPr>
        <w:spacing w:line="360" w:lineRule="auto"/>
        <w:ind w:left="360" w:hanging="360"/>
        <w:rPr>
          <w:rFonts w:ascii="Arial" w:hAnsi="Arial" w:cs="Arial"/>
          <w:sz w:val="24"/>
          <w:szCs w:val="24"/>
        </w:rPr>
      </w:pPr>
      <w:r>
        <w:rPr>
          <w:rFonts w:ascii="Arial" w:hAnsi="Arial" w:cs="Arial"/>
          <w:sz w:val="24"/>
          <w:szCs w:val="24"/>
        </w:rPr>
        <w:t>65.</w:t>
      </w:r>
      <w:r>
        <w:rPr>
          <w:rFonts w:ascii="Arial" w:hAnsi="Arial" w:cs="Arial"/>
          <w:sz w:val="24"/>
          <w:szCs w:val="24"/>
        </w:rPr>
        <w:tab/>
      </w:r>
      <w:r w:rsidR="006A1734" w:rsidRPr="0052701D">
        <w:rPr>
          <w:rFonts w:ascii="Arial" w:hAnsi="Arial" w:cs="Arial"/>
          <w:sz w:val="24"/>
          <w:szCs w:val="24"/>
        </w:rPr>
        <w:t>What is left to determine is</w:t>
      </w:r>
      <w:r w:rsidR="00CF3D3D" w:rsidRPr="0052701D">
        <w:rPr>
          <w:rFonts w:ascii="Arial" w:hAnsi="Arial" w:cs="Arial"/>
          <w:sz w:val="24"/>
          <w:szCs w:val="24"/>
        </w:rPr>
        <w:t xml:space="preserve"> the appropriate</w:t>
      </w:r>
      <w:r w:rsidR="006A1734" w:rsidRPr="0052701D">
        <w:rPr>
          <w:rFonts w:ascii="Arial" w:hAnsi="Arial" w:cs="Arial"/>
          <w:sz w:val="24"/>
          <w:szCs w:val="24"/>
        </w:rPr>
        <w:t xml:space="preserve"> </w:t>
      </w:r>
      <w:r w:rsidR="00486154" w:rsidRPr="0052701D">
        <w:rPr>
          <w:rFonts w:ascii="Arial" w:hAnsi="Arial" w:cs="Arial"/>
          <w:sz w:val="24"/>
          <w:szCs w:val="24"/>
        </w:rPr>
        <w:t xml:space="preserve">remedy.  </w:t>
      </w:r>
      <w:r w:rsidR="00AA4819" w:rsidRPr="0052701D">
        <w:rPr>
          <w:rFonts w:ascii="Arial" w:hAnsi="Arial" w:cs="Arial"/>
          <w:sz w:val="24"/>
          <w:szCs w:val="24"/>
        </w:rPr>
        <w:t xml:space="preserve">The </w:t>
      </w:r>
      <w:r w:rsidR="006C4930" w:rsidRPr="0052701D">
        <w:rPr>
          <w:rFonts w:ascii="Arial" w:hAnsi="Arial" w:cs="Arial"/>
          <w:sz w:val="24"/>
          <w:szCs w:val="24"/>
        </w:rPr>
        <w:t>C</w:t>
      </w:r>
      <w:r w:rsidR="00AA4819" w:rsidRPr="0052701D">
        <w:rPr>
          <w:rFonts w:ascii="Arial" w:hAnsi="Arial" w:cs="Arial"/>
          <w:sz w:val="24"/>
          <w:szCs w:val="24"/>
        </w:rPr>
        <w:t>ourt is enjoined</w:t>
      </w:r>
      <w:r w:rsidR="00AD7B12" w:rsidRPr="0052701D">
        <w:rPr>
          <w:rFonts w:ascii="Arial" w:hAnsi="Arial" w:cs="Arial"/>
          <w:sz w:val="24"/>
          <w:szCs w:val="24"/>
        </w:rPr>
        <w:t xml:space="preserve"> in terms of section 172(1)(b) of the Constitution</w:t>
      </w:r>
      <w:r w:rsidR="00AA4819" w:rsidRPr="0052701D">
        <w:rPr>
          <w:rFonts w:ascii="Arial" w:hAnsi="Arial" w:cs="Arial"/>
          <w:sz w:val="24"/>
          <w:szCs w:val="24"/>
        </w:rPr>
        <w:t xml:space="preserve"> to grant just and equitable relief</w:t>
      </w:r>
      <w:r w:rsidR="00AD7B12" w:rsidRPr="0052701D">
        <w:rPr>
          <w:rFonts w:ascii="Arial" w:hAnsi="Arial" w:cs="Arial"/>
          <w:sz w:val="24"/>
          <w:szCs w:val="24"/>
        </w:rPr>
        <w:t>. The relief</w:t>
      </w:r>
      <w:r w:rsidR="00AA4819" w:rsidRPr="0052701D">
        <w:rPr>
          <w:rFonts w:ascii="Arial" w:hAnsi="Arial" w:cs="Arial"/>
          <w:sz w:val="24"/>
          <w:szCs w:val="24"/>
        </w:rPr>
        <w:t xml:space="preserve"> </w:t>
      </w:r>
      <w:r w:rsidR="00AA4819" w:rsidRPr="0052701D">
        <w:rPr>
          <w:rFonts w:ascii="Arial" w:hAnsi="Arial" w:cs="Arial"/>
          <w:sz w:val="24"/>
          <w:szCs w:val="24"/>
        </w:rPr>
        <w:lastRenderedPageBreak/>
        <w:t>must be appropriate and effective relief that ensures compliance with the review orders.</w:t>
      </w:r>
    </w:p>
    <w:p w14:paraId="2EA7C953" w14:textId="77777777" w:rsidR="00AA4819" w:rsidRPr="00CE076A" w:rsidRDefault="00AA4819" w:rsidP="00CE076A">
      <w:pPr>
        <w:pStyle w:val="ListParagraph"/>
        <w:spacing w:line="360" w:lineRule="auto"/>
        <w:ind w:left="360"/>
        <w:rPr>
          <w:rFonts w:ascii="Arial" w:hAnsi="Arial" w:cs="Arial"/>
          <w:sz w:val="24"/>
          <w:szCs w:val="24"/>
        </w:rPr>
      </w:pPr>
    </w:p>
    <w:p w14:paraId="1E46A42B" w14:textId="287C4EEA" w:rsidR="00DA0BC6" w:rsidRPr="0052701D" w:rsidRDefault="0052701D" w:rsidP="0052701D">
      <w:pPr>
        <w:spacing w:line="360" w:lineRule="auto"/>
        <w:ind w:left="360" w:hanging="360"/>
        <w:rPr>
          <w:rFonts w:ascii="Arial" w:hAnsi="Arial" w:cs="Arial"/>
          <w:sz w:val="24"/>
          <w:szCs w:val="24"/>
        </w:rPr>
      </w:pPr>
      <w:r>
        <w:rPr>
          <w:rFonts w:ascii="Arial" w:hAnsi="Arial" w:cs="Arial"/>
          <w:sz w:val="24"/>
          <w:szCs w:val="24"/>
        </w:rPr>
        <w:t>66.</w:t>
      </w:r>
      <w:r>
        <w:rPr>
          <w:rFonts w:ascii="Arial" w:hAnsi="Arial" w:cs="Arial"/>
          <w:sz w:val="24"/>
          <w:szCs w:val="24"/>
        </w:rPr>
        <w:tab/>
      </w:r>
      <w:r w:rsidR="00AA4819" w:rsidRPr="0052701D">
        <w:rPr>
          <w:rFonts w:ascii="Arial" w:hAnsi="Arial" w:cs="Arial"/>
          <w:sz w:val="24"/>
          <w:szCs w:val="24"/>
        </w:rPr>
        <w:t xml:space="preserve">On the respondents’ submission, the appellants should be required to turn to the various statutory remedies that an aggrieved rate-payer has when seeking to dispute their accounts. In my view, that would defeat the purpose of the review proceedings and undermine the effectiveness of court orders. Moreover, it would render finality illusory. </w:t>
      </w:r>
      <w:r w:rsidR="009E29C7" w:rsidRPr="0052701D">
        <w:rPr>
          <w:rFonts w:ascii="Arial" w:hAnsi="Arial" w:cs="Arial"/>
          <w:sz w:val="24"/>
          <w:szCs w:val="24"/>
        </w:rPr>
        <w:t>The need for finality in administrative decision making is a theme that</w:t>
      </w:r>
      <w:r w:rsidR="00E15A9C" w:rsidRPr="0052701D">
        <w:rPr>
          <w:rFonts w:ascii="Arial" w:hAnsi="Arial" w:cs="Arial"/>
          <w:sz w:val="24"/>
          <w:szCs w:val="24"/>
        </w:rPr>
        <w:t xml:space="preserve"> runs through administrative law</w:t>
      </w:r>
      <w:r w:rsidR="009E29C7">
        <w:rPr>
          <w:rStyle w:val="FootnoteReference"/>
          <w:rFonts w:ascii="Arial" w:hAnsi="Arial" w:cs="Arial"/>
          <w:sz w:val="24"/>
          <w:szCs w:val="24"/>
        </w:rPr>
        <w:footnoteReference w:id="45"/>
      </w:r>
      <w:r w:rsidR="009E29C7" w:rsidRPr="0052701D">
        <w:rPr>
          <w:rFonts w:ascii="Arial" w:hAnsi="Arial" w:cs="Arial"/>
          <w:sz w:val="24"/>
          <w:szCs w:val="24"/>
        </w:rPr>
        <w:t xml:space="preserve"> and has resonance in circumstances </w:t>
      </w:r>
      <w:r w:rsidR="007F5727" w:rsidRPr="0052701D">
        <w:rPr>
          <w:rFonts w:ascii="Arial" w:hAnsi="Arial" w:cs="Arial"/>
          <w:sz w:val="24"/>
          <w:szCs w:val="24"/>
        </w:rPr>
        <w:t xml:space="preserve">such as the present where </w:t>
      </w:r>
      <w:r w:rsidR="00EE7D2C" w:rsidRPr="0052701D">
        <w:rPr>
          <w:rFonts w:ascii="Arial" w:hAnsi="Arial" w:cs="Arial"/>
          <w:sz w:val="24"/>
          <w:szCs w:val="24"/>
        </w:rPr>
        <w:t xml:space="preserve">the appellants </w:t>
      </w:r>
      <w:r w:rsidR="007F5727" w:rsidRPr="0052701D">
        <w:rPr>
          <w:rFonts w:ascii="Arial" w:hAnsi="Arial" w:cs="Arial"/>
          <w:sz w:val="24"/>
          <w:szCs w:val="24"/>
        </w:rPr>
        <w:t>had already</w:t>
      </w:r>
      <w:r w:rsidR="009E29C7" w:rsidRPr="0052701D">
        <w:rPr>
          <w:rFonts w:ascii="Arial" w:hAnsi="Arial" w:cs="Arial"/>
          <w:sz w:val="24"/>
          <w:szCs w:val="24"/>
        </w:rPr>
        <w:t xml:space="preserve"> spent years seeking to</w:t>
      </w:r>
      <w:r w:rsidR="007F5727" w:rsidRPr="0052701D">
        <w:rPr>
          <w:rFonts w:ascii="Arial" w:hAnsi="Arial" w:cs="Arial"/>
          <w:sz w:val="24"/>
          <w:szCs w:val="24"/>
        </w:rPr>
        <w:t xml:space="preserve"> regularise the payment of their rates w</w:t>
      </w:r>
      <w:r w:rsidR="00E15A9C" w:rsidRPr="0052701D">
        <w:rPr>
          <w:rFonts w:ascii="Arial" w:hAnsi="Arial" w:cs="Arial"/>
          <w:sz w:val="24"/>
          <w:szCs w:val="24"/>
        </w:rPr>
        <w:t>hen the matter came before the C</w:t>
      </w:r>
      <w:r w:rsidR="007F5727" w:rsidRPr="0052701D">
        <w:rPr>
          <w:rFonts w:ascii="Arial" w:hAnsi="Arial" w:cs="Arial"/>
          <w:sz w:val="24"/>
          <w:szCs w:val="24"/>
        </w:rPr>
        <w:t xml:space="preserve">ourt </w:t>
      </w:r>
      <w:r w:rsidR="007F5727" w:rsidRPr="0052701D">
        <w:rPr>
          <w:rFonts w:ascii="Arial" w:hAnsi="Arial" w:cs="Arial"/>
          <w:i/>
          <w:sz w:val="24"/>
          <w:szCs w:val="24"/>
        </w:rPr>
        <w:t>a quo</w:t>
      </w:r>
      <w:r w:rsidR="007F5727" w:rsidRPr="0052701D">
        <w:rPr>
          <w:rFonts w:ascii="Arial" w:hAnsi="Arial" w:cs="Arial"/>
          <w:sz w:val="24"/>
          <w:szCs w:val="24"/>
        </w:rPr>
        <w:t>.</w:t>
      </w:r>
    </w:p>
    <w:p w14:paraId="7A5D673F" w14:textId="77777777" w:rsidR="008B0D35" w:rsidRPr="00CE076A" w:rsidRDefault="008B0D35" w:rsidP="00CE076A">
      <w:pPr>
        <w:pStyle w:val="ListParagraph"/>
        <w:spacing w:line="360" w:lineRule="auto"/>
        <w:ind w:left="360"/>
        <w:rPr>
          <w:rFonts w:ascii="Arial" w:hAnsi="Arial" w:cs="Arial"/>
          <w:sz w:val="24"/>
          <w:szCs w:val="24"/>
        </w:rPr>
      </w:pPr>
    </w:p>
    <w:p w14:paraId="268BBFF1" w14:textId="4EA4E05F" w:rsidR="0074124E" w:rsidRPr="0052701D" w:rsidRDefault="0052701D" w:rsidP="0052701D">
      <w:pPr>
        <w:spacing w:line="360" w:lineRule="auto"/>
        <w:ind w:left="360" w:hanging="360"/>
        <w:rPr>
          <w:rFonts w:ascii="Arial" w:hAnsi="Arial" w:cs="Arial"/>
          <w:sz w:val="24"/>
          <w:szCs w:val="24"/>
        </w:rPr>
      </w:pPr>
      <w:r w:rsidRPr="00A90961">
        <w:rPr>
          <w:rFonts w:ascii="Arial" w:hAnsi="Arial" w:cs="Arial"/>
          <w:sz w:val="24"/>
          <w:szCs w:val="24"/>
        </w:rPr>
        <w:t>67.</w:t>
      </w:r>
      <w:r w:rsidRPr="00A90961">
        <w:rPr>
          <w:rFonts w:ascii="Arial" w:hAnsi="Arial" w:cs="Arial"/>
          <w:sz w:val="24"/>
          <w:szCs w:val="24"/>
        </w:rPr>
        <w:tab/>
      </w:r>
      <w:r w:rsidR="008B0D35" w:rsidRPr="0052701D">
        <w:rPr>
          <w:rFonts w:ascii="Arial" w:hAnsi="Arial" w:cs="Arial"/>
          <w:sz w:val="24"/>
          <w:szCs w:val="24"/>
        </w:rPr>
        <w:t xml:space="preserve">In respect of the 2012 SVR period, the relief </w:t>
      </w:r>
      <w:r w:rsidR="00184E2C" w:rsidRPr="0052701D">
        <w:rPr>
          <w:rFonts w:ascii="Arial" w:hAnsi="Arial" w:cs="Arial"/>
          <w:sz w:val="24"/>
          <w:szCs w:val="24"/>
        </w:rPr>
        <w:t xml:space="preserve">the appellants </w:t>
      </w:r>
      <w:r w:rsidR="008B0D35" w:rsidRPr="0052701D">
        <w:rPr>
          <w:rFonts w:ascii="Arial" w:hAnsi="Arial" w:cs="Arial"/>
          <w:sz w:val="24"/>
          <w:szCs w:val="24"/>
        </w:rPr>
        <w:t xml:space="preserve">ultimately sought compels an explanation of the </w:t>
      </w:r>
      <w:r w:rsidR="00184E2C" w:rsidRPr="0052701D">
        <w:rPr>
          <w:rFonts w:ascii="Arial" w:hAnsi="Arial" w:cs="Arial"/>
          <w:sz w:val="24"/>
          <w:szCs w:val="24"/>
        </w:rPr>
        <w:t>adjustments to the</w:t>
      </w:r>
      <w:r w:rsidR="008B0D35" w:rsidRPr="0052701D">
        <w:rPr>
          <w:rFonts w:ascii="Arial" w:hAnsi="Arial" w:cs="Arial"/>
          <w:sz w:val="24"/>
          <w:szCs w:val="24"/>
        </w:rPr>
        <w:t xml:space="preserve"> accounts </w:t>
      </w:r>
      <w:r w:rsidR="00EA6592" w:rsidRPr="0052701D">
        <w:rPr>
          <w:rFonts w:ascii="Arial" w:hAnsi="Arial" w:cs="Arial"/>
          <w:sz w:val="24"/>
          <w:szCs w:val="24"/>
        </w:rPr>
        <w:t xml:space="preserve">with sufficient particularity </w:t>
      </w:r>
      <w:r w:rsidR="008B0D35" w:rsidRPr="0052701D">
        <w:rPr>
          <w:rFonts w:ascii="Arial" w:hAnsi="Arial" w:cs="Arial"/>
          <w:sz w:val="24"/>
          <w:szCs w:val="24"/>
        </w:rPr>
        <w:t xml:space="preserve">and </w:t>
      </w:r>
      <w:r w:rsidR="00EA6592" w:rsidRPr="0052701D">
        <w:rPr>
          <w:rFonts w:ascii="Arial" w:hAnsi="Arial" w:cs="Arial"/>
          <w:sz w:val="24"/>
          <w:szCs w:val="24"/>
        </w:rPr>
        <w:t>authorises</w:t>
      </w:r>
      <w:r w:rsidR="008B0D35" w:rsidRPr="0052701D">
        <w:rPr>
          <w:rFonts w:ascii="Arial" w:hAnsi="Arial" w:cs="Arial"/>
          <w:sz w:val="24"/>
          <w:szCs w:val="24"/>
        </w:rPr>
        <w:t xml:space="preserve"> their debatement by</w:t>
      </w:r>
      <w:r w:rsidR="00EA6592" w:rsidRPr="0052701D">
        <w:rPr>
          <w:rFonts w:ascii="Arial" w:hAnsi="Arial" w:cs="Arial"/>
          <w:sz w:val="24"/>
          <w:szCs w:val="24"/>
        </w:rPr>
        <w:t xml:space="preserve"> way of familiar process</w:t>
      </w:r>
      <w:r w:rsidR="00CF3D3D" w:rsidRPr="0052701D">
        <w:rPr>
          <w:rFonts w:ascii="Arial" w:hAnsi="Arial" w:cs="Arial"/>
          <w:sz w:val="24"/>
          <w:szCs w:val="24"/>
        </w:rPr>
        <w:t>es</w:t>
      </w:r>
      <w:r w:rsidR="00EA6592" w:rsidRPr="0052701D">
        <w:rPr>
          <w:rFonts w:ascii="Arial" w:hAnsi="Arial" w:cs="Arial"/>
          <w:sz w:val="24"/>
          <w:szCs w:val="24"/>
        </w:rPr>
        <w:t xml:space="preserve">. </w:t>
      </w:r>
      <w:r w:rsidR="008B0D35" w:rsidRPr="0052701D">
        <w:rPr>
          <w:rFonts w:ascii="Arial" w:hAnsi="Arial" w:cs="Arial"/>
          <w:sz w:val="24"/>
          <w:szCs w:val="24"/>
        </w:rPr>
        <w:t>In my view</w:t>
      </w:r>
      <w:r w:rsidR="00E16948" w:rsidRPr="0052701D">
        <w:rPr>
          <w:rFonts w:ascii="Arial" w:hAnsi="Arial" w:cs="Arial"/>
          <w:sz w:val="24"/>
          <w:szCs w:val="24"/>
        </w:rPr>
        <w:t>,</w:t>
      </w:r>
      <w:r w:rsidR="008B0D35" w:rsidRPr="0052701D">
        <w:rPr>
          <w:rFonts w:ascii="Arial" w:hAnsi="Arial" w:cs="Arial"/>
          <w:sz w:val="24"/>
          <w:szCs w:val="24"/>
        </w:rPr>
        <w:t xml:space="preserve"> this constitutes just and equitable relief </w:t>
      </w:r>
      <w:r w:rsidR="00184E2C" w:rsidRPr="0052701D">
        <w:rPr>
          <w:rFonts w:ascii="Arial" w:hAnsi="Arial" w:cs="Arial"/>
          <w:sz w:val="24"/>
          <w:szCs w:val="24"/>
        </w:rPr>
        <w:t xml:space="preserve">which can effectively secure compliance with the review orders. </w:t>
      </w:r>
      <w:r w:rsidR="008B0D35" w:rsidRPr="0052701D">
        <w:rPr>
          <w:rFonts w:ascii="Arial" w:hAnsi="Arial" w:cs="Arial"/>
          <w:sz w:val="24"/>
          <w:szCs w:val="24"/>
        </w:rPr>
        <w:t xml:space="preserve">It is appropriate </w:t>
      </w:r>
      <w:r w:rsidR="00184E2C" w:rsidRPr="0052701D">
        <w:rPr>
          <w:rFonts w:ascii="Arial" w:hAnsi="Arial" w:cs="Arial"/>
          <w:sz w:val="24"/>
          <w:szCs w:val="24"/>
        </w:rPr>
        <w:t>relief because it enables the appellants</w:t>
      </w:r>
      <w:r w:rsidR="0023332F" w:rsidRPr="0052701D">
        <w:rPr>
          <w:rFonts w:ascii="Arial" w:hAnsi="Arial" w:cs="Arial"/>
          <w:sz w:val="24"/>
          <w:szCs w:val="24"/>
        </w:rPr>
        <w:t>,</w:t>
      </w:r>
      <w:r w:rsidR="008B0D35" w:rsidRPr="0052701D">
        <w:rPr>
          <w:rFonts w:ascii="Arial" w:hAnsi="Arial" w:cs="Arial"/>
          <w:sz w:val="24"/>
          <w:szCs w:val="24"/>
        </w:rPr>
        <w:t xml:space="preserve"> meaningfully</w:t>
      </w:r>
      <w:r w:rsidR="0023332F" w:rsidRPr="0052701D">
        <w:rPr>
          <w:rFonts w:ascii="Arial" w:hAnsi="Arial" w:cs="Arial"/>
          <w:sz w:val="24"/>
          <w:szCs w:val="24"/>
        </w:rPr>
        <w:t>,</w:t>
      </w:r>
      <w:r w:rsidR="00184E2C" w:rsidRPr="0052701D">
        <w:rPr>
          <w:rFonts w:ascii="Arial" w:hAnsi="Arial" w:cs="Arial"/>
          <w:sz w:val="24"/>
          <w:szCs w:val="24"/>
        </w:rPr>
        <w:t xml:space="preserve"> to</w:t>
      </w:r>
      <w:r w:rsidR="008B0D35" w:rsidRPr="0052701D">
        <w:rPr>
          <w:rFonts w:ascii="Arial" w:hAnsi="Arial" w:cs="Arial"/>
          <w:sz w:val="24"/>
          <w:szCs w:val="24"/>
        </w:rPr>
        <w:t xml:space="preserve"> secure compliance with the review orders</w:t>
      </w:r>
      <w:r w:rsidR="00184E2C" w:rsidRPr="0052701D">
        <w:rPr>
          <w:rFonts w:ascii="Arial" w:hAnsi="Arial" w:cs="Arial"/>
          <w:sz w:val="24"/>
          <w:szCs w:val="24"/>
        </w:rPr>
        <w:t xml:space="preserve"> and does so in an accountable manner that comports with the Rates Act.</w:t>
      </w:r>
      <w:r w:rsidR="008B0D35" w:rsidRPr="0052701D">
        <w:rPr>
          <w:rFonts w:ascii="Arial" w:hAnsi="Arial" w:cs="Arial"/>
          <w:sz w:val="24"/>
          <w:szCs w:val="24"/>
        </w:rPr>
        <w:t xml:space="preserve"> </w:t>
      </w:r>
      <w:r w:rsidR="00CF3D3D" w:rsidRPr="0052701D">
        <w:rPr>
          <w:rFonts w:ascii="Arial" w:hAnsi="Arial" w:cs="Arial"/>
          <w:sz w:val="24"/>
          <w:szCs w:val="24"/>
        </w:rPr>
        <w:t>Accountability lies at the heart of the constitutional order.</w:t>
      </w:r>
    </w:p>
    <w:p w14:paraId="299FB760" w14:textId="77777777" w:rsidR="00AA4819" w:rsidRPr="00CE076A" w:rsidRDefault="00AA4819" w:rsidP="00CE076A">
      <w:pPr>
        <w:pStyle w:val="ListParagraph"/>
        <w:spacing w:line="360" w:lineRule="auto"/>
        <w:ind w:left="360"/>
        <w:rPr>
          <w:rFonts w:ascii="Arial" w:hAnsi="Arial" w:cs="Arial"/>
          <w:sz w:val="24"/>
          <w:szCs w:val="24"/>
        </w:rPr>
      </w:pPr>
    </w:p>
    <w:p w14:paraId="5B4686E1" w14:textId="28CF94AE" w:rsidR="00AC7D78" w:rsidRPr="0052701D" w:rsidRDefault="0052701D" w:rsidP="0052701D">
      <w:pPr>
        <w:spacing w:line="360" w:lineRule="auto"/>
        <w:ind w:left="360" w:hanging="360"/>
        <w:rPr>
          <w:rFonts w:ascii="Arial" w:hAnsi="Arial" w:cs="Arial"/>
          <w:sz w:val="24"/>
          <w:szCs w:val="24"/>
        </w:rPr>
      </w:pPr>
      <w:r>
        <w:rPr>
          <w:rFonts w:ascii="Arial" w:hAnsi="Arial" w:cs="Arial"/>
          <w:sz w:val="24"/>
          <w:szCs w:val="24"/>
        </w:rPr>
        <w:t>68.</w:t>
      </w:r>
      <w:r>
        <w:rPr>
          <w:rFonts w:ascii="Arial" w:hAnsi="Arial" w:cs="Arial"/>
          <w:sz w:val="24"/>
          <w:szCs w:val="24"/>
        </w:rPr>
        <w:tab/>
      </w:r>
      <w:r w:rsidR="008B0D35" w:rsidRPr="0052701D">
        <w:rPr>
          <w:rFonts w:ascii="Arial" w:hAnsi="Arial" w:cs="Arial"/>
          <w:sz w:val="24"/>
          <w:szCs w:val="24"/>
        </w:rPr>
        <w:t>As regards the 2013 GVR period, t</w:t>
      </w:r>
      <w:r w:rsidR="00AA4819" w:rsidRPr="0052701D">
        <w:rPr>
          <w:rFonts w:ascii="Arial" w:hAnsi="Arial" w:cs="Arial"/>
          <w:sz w:val="24"/>
          <w:szCs w:val="24"/>
        </w:rPr>
        <w:t>he respondents submitted that this Court should decline to grant relief in circumstances where the EVR has been made and stands until set aside. In this regard, the</w:t>
      </w:r>
      <w:r w:rsidR="003B6958" w:rsidRPr="0052701D">
        <w:rPr>
          <w:rFonts w:ascii="Arial" w:hAnsi="Arial" w:cs="Arial"/>
          <w:sz w:val="24"/>
          <w:szCs w:val="24"/>
        </w:rPr>
        <w:t xml:space="preserve"> parties informed the</w:t>
      </w:r>
      <w:r w:rsidR="00E15A9C" w:rsidRPr="0052701D">
        <w:rPr>
          <w:rFonts w:ascii="Arial" w:hAnsi="Arial" w:cs="Arial"/>
          <w:sz w:val="24"/>
          <w:szCs w:val="24"/>
        </w:rPr>
        <w:t xml:space="preserve"> appeal</w:t>
      </w:r>
      <w:r w:rsidR="00AA4819" w:rsidRPr="0052701D">
        <w:rPr>
          <w:rFonts w:ascii="Arial" w:hAnsi="Arial" w:cs="Arial"/>
          <w:sz w:val="24"/>
          <w:szCs w:val="24"/>
        </w:rPr>
        <w:t xml:space="preserve"> Court that there is a pending review application before this Court, instituted by the appellants, in parallel proceedings in which they seek to review and set aside the EVR. This is a material consideration. However, as Mr Ferreira persuasively submitted, the issue in this case is, in nature, a different one, concerning</w:t>
      </w:r>
      <w:r w:rsidR="0062451F" w:rsidRPr="0052701D">
        <w:rPr>
          <w:rFonts w:ascii="Arial" w:hAnsi="Arial" w:cs="Arial"/>
          <w:sz w:val="24"/>
          <w:szCs w:val="24"/>
        </w:rPr>
        <w:t>,</w:t>
      </w:r>
      <w:r w:rsidR="00AA4819" w:rsidRPr="0052701D">
        <w:rPr>
          <w:rFonts w:ascii="Arial" w:hAnsi="Arial" w:cs="Arial"/>
          <w:sz w:val="24"/>
          <w:szCs w:val="24"/>
        </w:rPr>
        <w:t xml:space="preserve"> as it does</w:t>
      </w:r>
      <w:r w:rsidR="0062451F" w:rsidRPr="0052701D">
        <w:rPr>
          <w:rFonts w:ascii="Arial" w:hAnsi="Arial" w:cs="Arial"/>
          <w:sz w:val="24"/>
          <w:szCs w:val="24"/>
        </w:rPr>
        <w:t>,</w:t>
      </w:r>
      <w:r w:rsidR="00AA4819" w:rsidRPr="0052701D">
        <w:rPr>
          <w:rFonts w:ascii="Arial" w:hAnsi="Arial" w:cs="Arial"/>
          <w:sz w:val="24"/>
          <w:szCs w:val="24"/>
        </w:rPr>
        <w:t xml:space="preserve"> whether there has been compliance with the review orders or not. The </w:t>
      </w:r>
      <w:r w:rsidR="0062451F" w:rsidRPr="0052701D">
        <w:rPr>
          <w:rFonts w:ascii="Arial" w:hAnsi="Arial" w:cs="Arial"/>
          <w:sz w:val="24"/>
          <w:szCs w:val="24"/>
        </w:rPr>
        <w:t>C</w:t>
      </w:r>
      <w:r w:rsidR="00AA4819" w:rsidRPr="0052701D">
        <w:rPr>
          <w:rFonts w:ascii="Arial" w:hAnsi="Arial" w:cs="Arial"/>
          <w:sz w:val="24"/>
          <w:szCs w:val="24"/>
        </w:rPr>
        <w:t xml:space="preserve">ourt </w:t>
      </w:r>
      <w:r w:rsidR="00AA4819" w:rsidRPr="0052701D">
        <w:rPr>
          <w:rFonts w:ascii="Arial" w:hAnsi="Arial" w:cs="Arial"/>
          <w:i/>
          <w:sz w:val="24"/>
          <w:szCs w:val="24"/>
        </w:rPr>
        <w:t xml:space="preserve">a quo, </w:t>
      </w:r>
      <w:r w:rsidR="00E15A9C" w:rsidRPr="0052701D">
        <w:rPr>
          <w:rFonts w:ascii="Arial" w:hAnsi="Arial" w:cs="Arial"/>
          <w:sz w:val="24"/>
          <w:szCs w:val="24"/>
        </w:rPr>
        <w:t>and now this a</w:t>
      </w:r>
      <w:r w:rsidR="00AA4819" w:rsidRPr="0052701D">
        <w:rPr>
          <w:rFonts w:ascii="Arial" w:hAnsi="Arial" w:cs="Arial"/>
          <w:sz w:val="24"/>
          <w:szCs w:val="24"/>
        </w:rPr>
        <w:t xml:space="preserve">ppeal Court, </w:t>
      </w:r>
      <w:r w:rsidR="00E15A9C" w:rsidRPr="0052701D">
        <w:rPr>
          <w:rFonts w:ascii="Arial" w:hAnsi="Arial" w:cs="Arial"/>
          <w:sz w:val="24"/>
          <w:szCs w:val="24"/>
        </w:rPr>
        <w:t xml:space="preserve">was and is </w:t>
      </w:r>
      <w:r w:rsidR="00AA4819" w:rsidRPr="0052701D">
        <w:rPr>
          <w:rFonts w:ascii="Arial" w:hAnsi="Arial" w:cs="Arial"/>
          <w:sz w:val="24"/>
          <w:szCs w:val="24"/>
        </w:rPr>
        <w:t>not called upon to determine whether the EVR is lawful</w:t>
      </w:r>
      <w:r w:rsidR="00EE7D2C" w:rsidRPr="0052701D">
        <w:rPr>
          <w:rFonts w:ascii="Arial" w:hAnsi="Arial" w:cs="Arial"/>
          <w:sz w:val="24"/>
          <w:szCs w:val="24"/>
        </w:rPr>
        <w:t xml:space="preserve"> under the requirements of administrative law</w:t>
      </w:r>
      <w:r w:rsidR="00AA4819" w:rsidRPr="0052701D">
        <w:rPr>
          <w:rFonts w:ascii="Arial" w:hAnsi="Arial" w:cs="Arial"/>
          <w:sz w:val="24"/>
          <w:szCs w:val="24"/>
        </w:rPr>
        <w:t>.</w:t>
      </w:r>
    </w:p>
    <w:p w14:paraId="1B40F529" w14:textId="77777777" w:rsidR="00E36D45" w:rsidRPr="00CE076A" w:rsidRDefault="00E36D45" w:rsidP="00CE076A">
      <w:pPr>
        <w:pStyle w:val="ListParagraph"/>
        <w:spacing w:line="360" w:lineRule="auto"/>
        <w:ind w:left="360"/>
        <w:rPr>
          <w:rFonts w:ascii="Arial" w:hAnsi="Arial" w:cs="Arial"/>
          <w:sz w:val="24"/>
          <w:szCs w:val="24"/>
        </w:rPr>
      </w:pPr>
    </w:p>
    <w:p w14:paraId="2609F971" w14:textId="258A41E2" w:rsidR="007F5727" w:rsidRPr="0052701D" w:rsidRDefault="0052701D" w:rsidP="0052701D">
      <w:pPr>
        <w:spacing w:line="360" w:lineRule="auto"/>
        <w:ind w:left="360" w:hanging="360"/>
        <w:rPr>
          <w:rFonts w:ascii="Arial" w:hAnsi="Arial" w:cs="Arial"/>
          <w:sz w:val="24"/>
          <w:szCs w:val="24"/>
        </w:rPr>
      </w:pPr>
      <w:r>
        <w:rPr>
          <w:rFonts w:ascii="Arial" w:hAnsi="Arial" w:cs="Arial"/>
          <w:sz w:val="24"/>
          <w:szCs w:val="24"/>
        </w:rPr>
        <w:t>69.</w:t>
      </w:r>
      <w:r>
        <w:rPr>
          <w:rFonts w:ascii="Arial" w:hAnsi="Arial" w:cs="Arial"/>
          <w:sz w:val="24"/>
          <w:szCs w:val="24"/>
        </w:rPr>
        <w:tab/>
      </w:r>
      <w:r w:rsidR="00AA4819" w:rsidRPr="0052701D">
        <w:rPr>
          <w:rFonts w:ascii="Arial" w:hAnsi="Arial" w:cs="Arial"/>
          <w:sz w:val="24"/>
          <w:szCs w:val="24"/>
        </w:rPr>
        <w:t>There is another consideration</w:t>
      </w:r>
      <w:r w:rsidR="00AC7D78" w:rsidRPr="0052701D">
        <w:rPr>
          <w:rFonts w:ascii="Arial" w:hAnsi="Arial" w:cs="Arial"/>
          <w:sz w:val="24"/>
          <w:szCs w:val="24"/>
        </w:rPr>
        <w:t>,</w:t>
      </w:r>
      <w:r w:rsidR="00AA4819" w:rsidRPr="0052701D">
        <w:rPr>
          <w:rFonts w:ascii="Arial" w:hAnsi="Arial" w:cs="Arial"/>
          <w:sz w:val="24"/>
          <w:szCs w:val="24"/>
        </w:rPr>
        <w:t xml:space="preserve"> which is that a party seeking to enforce a</w:t>
      </w:r>
      <w:r w:rsidR="00D613E3" w:rsidRPr="0052701D">
        <w:rPr>
          <w:rFonts w:ascii="Arial" w:hAnsi="Arial" w:cs="Arial"/>
          <w:sz w:val="24"/>
          <w:szCs w:val="24"/>
        </w:rPr>
        <w:t xml:space="preserve"> court order cannot be prevented</w:t>
      </w:r>
      <w:r w:rsidR="00AA4819" w:rsidRPr="0052701D">
        <w:rPr>
          <w:rFonts w:ascii="Arial" w:hAnsi="Arial" w:cs="Arial"/>
          <w:sz w:val="24"/>
          <w:szCs w:val="24"/>
        </w:rPr>
        <w:t xml:space="preserve"> from doing so</w:t>
      </w:r>
      <w:r w:rsidR="00D613E3" w:rsidRPr="0052701D">
        <w:rPr>
          <w:rFonts w:ascii="Arial" w:hAnsi="Arial" w:cs="Arial"/>
          <w:sz w:val="24"/>
          <w:szCs w:val="24"/>
        </w:rPr>
        <w:t xml:space="preserve"> in circumstances where an organ of state has precluded itself from complying</w:t>
      </w:r>
      <w:r w:rsidR="00A67D0B" w:rsidRPr="0052701D">
        <w:rPr>
          <w:rFonts w:ascii="Arial" w:hAnsi="Arial" w:cs="Arial"/>
          <w:sz w:val="24"/>
          <w:szCs w:val="24"/>
        </w:rPr>
        <w:t>,</w:t>
      </w:r>
      <w:r w:rsidR="00D613E3" w:rsidRPr="0052701D">
        <w:rPr>
          <w:rFonts w:ascii="Arial" w:hAnsi="Arial" w:cs="Arial"/>
          <w:sz w:val="24"/>
          <w:szCs w:val="24"/>
        </w:rPr>
        <w:t xml:space="preserve"> by taking further administrative action which the party contends is unlawful. It is of course well-established – for rule of law reasons – that where an administrator is </w:t>
      </w:r>
      <w:r w:rsidR="00D613E3" w:rsidRPr="0052701D">
        <w:rPr>
          <w:rFonts w:ascii="Arial" w:hAnsi="Arial" w:cs="Arial"/>
          <w:i/>
          <w:sz w:val="24"/>
          <w:szCs w:val="24"/>
        </w:rPr>
        <w:t xml:space="preserve">functus officio, </w:t>
      </w:r>
      <w:r w:rsidR="00D613E3" w:rsidRPr="0052701D">
        <w:rPr>
          <w:rFonts w:ascii="Arial" w:hAnsi="Arial" w:cs="Arial"/>
          <w:sz w:val="24"/>
          <w:szCs w:val="24"/>
        </w:rPr>
        <w:t>an administrative decision stands until set aside.</w:t>
      </w:r>
      <w:r w:rsidR="00D613E3">
        <w:rPr>
          <w:rStyle w:val="FootnoteReference"/>
          <w:rFonts w:ascii="Arial" w:hAnsi="Arial" w:cs="Arial"/>
          <w:sz w:val="24"/>
          <w:szCs w:val="24"/>
        </w:rPr>
        <w:footnoteReference w:id="46"/>
      </w:r>
      <w:r w:rsidR="00D613E3" w:rsidRPr="0052701D">
        <w:rPr>
          <w:rFonts w:ascii="Arial" w:hAnsi="Arial" w:cs="Arial"/>
          <w:sz w:val="24"/>
          <w:szCs w:val="24"/>
        </w:rPr>
        <w:t xml:space="preserve"> </w:t>
      </w:r>
      <w:r w:rsidR="009747D9" w:rsidRPr="0052701D">
        <w:rPr>
          <w:rFonts w:ascii="Arial" w:hAnsi="Arial" w:cs="Arial"/>
          <w:sz w:val="24"/>
          <w:szCs w:val="24"/>
        </w:rPr>
        <w:t>B</w:t>
      </w:r>
      <w:r w:rsidR="00E36D45" w:rsidRPr="0052701D">
        <w:rPr>
          <w:rFonts w:ascii="Arial" w:hAnsi="Arial" w:cs="Arial"/>
          <w:sz w:val="24"/>
          <w:szCs w:val="24"/>
        </w:rPr>
        <w:t>ut that</w:t>
      </w:r>
      <w:r w:rsidR="009747D9" w:rsidRPr="0052701D">
        <w:rPr>
          <w:rFonts w:ascii="Arial" w:hAnsi="Arial" w:cs="Arial"/>
          <w:sz w:val="24"/>
          <w:szCs w:val="24"/>
        </w:rPr>
        <w:t xml:space="preserve"> does not mean that a party</w:t>
      </w:r>
      <w:r w:rsidR="00E36D45" w:rsidRPr="0052701D">
        <w:rPr>
          <w:rFonts w:ascii="Arial" w:hAnsi="Arial" w:cs="Arial"/>
          <w:sz w:val="24"/>
          <w:szCs w:val="24"/>
        </w:rPr>
        <w:t xml:space="preserve"> aggrieved by non-compliance</w:t>
      </w:r>
      <w:r w:rsidR="009747D9" w:rsidRPr="0052701D">
        <w:rPr>
          <w:rFonts w:ascii="Arial" w:hAnsi="Arial" w:cs="Arial"/>
          <w:sz w:val="24"/>
          <w:szCs w:val="24"/>
        </w:rPr>
        <w:t xml:space="preserve"> is left without remedy.</w:t>
      </w:r>
    </w:p>
    <w:p w14:paraId="67B32BD4" w14:textId="77777777" w:rsidR="009747D9" w:rsidRDefault="009747D9" w:rsidP="00CE076A">
      <w:pPr>
        <w:pStyle w:val="ListParagraph"/>
        <w:spacing w:line="360" w:lineRule="auto"/>
        <w:ind w:left="360"/>
        <w:rPr>
          <w:rFonts w:ascii="Arial" w:hAnsi="Arial" w:cs="Arial"/>
          <w:sz w:val="24"/>
          <w:szCs w:val="24"/>
        </w:rPr>
      </w:pPr>
    </w:p>
    <w:p w14:paraId="5FA564AA" w14:textId="47A6AF2B" w:rsidR="009747D9" w:rsidRPr="0052701D" w:rsidRDefault="0052701D" w:rsidP="0052701D">
      <w:pPr>
        <w:spacing w:line="360" w:lineRule="auto"/>
        <w:ind w:left="360" w:hanging="360"/>
        <w:rPr>
          <w:rFonts w:ascii="Arial" w:hAnsi="Arial" w:cs="Arial"/>
          <w:sz w:val="24"/>
          <w:szCs w:val="24"/>
        </w:rPr>
      </w:pPr>
      <w:r>
        <w:rPr>
          <w:rFonts w:ascii="Arial" w:hAnsi="Arial" w:cs="Arial"/>
          <w:sz w:val="24"/>
          <w:szCs w:val="24"/>
        </w:rPr>
        <w:t>70.</w:t>
      </w:r>
      <w:r>
        <w:rPr>
          <w:rFonts w:ascii="Arial" w:hAnsi="Arial" w:cs="Arial"/>
          <w:sz w:val="24"/>
          <w:szCs w:val="24"/>
        </w:rPr>
        <w:tab/>
      </w:r>
      <w:r w:rsidR="009747D9" w:rsidRPr="0052701D">
        <w:rPr>
          <w:rFonts w:ascii="Arial" w:hAnsi="Arial" w:cs="Arial"/>
          <w:sz w:val="24"/>
          <w:szCs w:val="24"/>
        </w:rPr>
        <w:t xml:space="preserve">Indeed, a similar issue arose recently in </w:t>
      </w:r>
      <w:r w:rsidR="009747D9" w:rsidRPr="0052701D">
        <w:rPr>
          <w:rFonts w:ascii="Arial" w:hAnsi="Arial" w:cs="Arial"/>
          <w:i/>
          <w:sz w:val="24"/>
          <w:szCs w:val="24"/>
        </w:rPr>
        <w:t xml:space="preserve">Mpofana - </w:t>
      </w:r>
      <w:r w:rsidR="009747D9" w:rsidRPr="0052701D">
        <w:rPr>
          <w:rFonts w:ascii="Arial" w:hAnsi="Arial" w:cs="Arial"/>
          <w:sz w:val="24"/>
          <w:szCs w:val="24"/>
        </w:rPr>
        <w:t>albeit in a different context -</w:t>
      </w:r>
      <w:r w:rsidR="009747D9" w:rsidRPr="0052701D">
        <w:rPr>
          <w:rFonts w:ascii="Arial" w:hAnsi="Arial" w:cs="Arial"/>
          <w:i/>
          <w:sz w:val="24"/>
          <w:szCs w:val="24"/>
        </w:rPr>
        <w:t xml:space="preserve"> </w:t>
      </w:r>
      <w:r w:rsidR="009747D9" w:rsidRPr="0052701D">
        <w:rPr>
          <w:rFonts w:ascii="Arial" w:hAnsi="Arial" w:cs="Arial"/>
          <w:sz w:val="24"/>
          <w:szCs w:val="24"/>
        </w:rPr>
        <w:t>where I held as follows, in my capacity as a Judge of the Land Claims Court:</w:t>
      </w:r>
    </w:p>
    <w:p w14:paraId="6713C93D" w14:textId="77777777" w:rsidR="00D613E3" w:rsidRPr="00D613E3" w:rsidRDefault="00D613E3" w:rsidP="00CE076A">
      <w:pPr>
        <w:pStyle w:val="ListParagraph"/>
        <w:spacing w:line="360" w:lineRule="auto"/>
        <w:rPr>
          <w:rFonts w:ascii="Arial" w:hAnsi="Arial" w:cs="Arial"/>
          <w:sz w:val="24"/>
          <w:szCs w:val="24"/>
        </w:rPr>
      </w:pPr>
    </w:p>
    <w:p w14:paraId="7D1C102F" w14:textId="6979084D" w:rsidR="00D613E3" w:rsidRPr="000F1ABA" w:rsidRDefault="00E03764" w:rsidP="007E4D7D">
      <w:pPr>
        <w:pStyle w:val="ListParagraph"/>
        <w:spacing w:line="360" w:lineRule="auto"/>
        <w:rPr>
          <w:rFonts w:ascii="Arial" w:hAnsi="Arial" w:cs="Arial"/>
          <w:sz w:val="22"/>
          <w:szCs w:val="22"/>
        </w:rPr>
      </w:pPr>
      <w:r>
        <w:rPr>
          <w:rFonts w:ascii="Arial" w:hAnsi="Arial" w:cs="Arial"/>
          <w:color w:val="242121"/>
          <w:sz w:val="22"/>
          <w:szCs w:val="22"/>
          <w:shd w:val="clear" w:color="auto" w:fill="FFFFFF"/>
        </w:rPr>
        <w:t>“</w:t>
      </w:r>
      <w:r w:rsidR="009747D9" w:rsidRPr="000F1ABA">
        <w:rPr>
          <w:rFonts w:ascii="Arial" w:hAnsi="Arial" w:cs="Arial"/>
          <w:color w:val="242121"/>
          <w:sz w:val="22"/>
          <w:szCs w:val="22"/>
          <w:shd w:val="clear" w:color="auto" w:fill="FFFFFF"/>
        </w:rPr>
        <w:t xml:space="preserve">… </w:t>
      </w:r>
      <w:r w:rsidR="00D613E3" w:rsidRPr="000F1ABA">
        <w:rPr>
          <w:rFonts w:ascii="Arial" w:hAnsi="Arial" w:cs="Arial"/>
          <w:color w:val="242121"/>
          <w:sz w:val="22"/>
          <w:szCs w:val="22"/>
          <w:shd w:val="clear" w:color="auto" w:fill="FFFFFF"/>
        </w:rPr>
        <w:t>it is in my view, not open to an administrator, unnecessarily and deliberately, to take an administrative decision that precludes the same administrator from complying with an existing court order, and then to stand back and tell the aggrieved party that they must approach a Court to have that decision set aside if they have grounds to do so.  In my view, even if in good faith, such conduct would subvert the rule of law, interfere with judicial authority and would be unlawful:  put differently, such a decision is susceptible to review for these reasons alone.  In other words, quite independently of whether the decision is otherwise procedurally compliant or passes muster under the applicable standard of review.</w:t>
      </w:r>
      <w:r>
        <w:rPr>
          <w:rFonts w:ascii="Arial" w:hAnsi="Arial" w:cs="Arial"/>
          <w:color w:val="242121"/>
          <w:sz w:val="22"/>
          <w:szCs w:val="22"/>
          <w:shd w:val="clear" w:color="auto" w:fill="FFFFFF"/>
        </w:rPr>
        <w:t>”</w:t>
      </w:r>
      <w:r w:rsidR="00F717EE">
        <w:rPr>
          <w:rStyle w:val="FootnoteReference"/>
          <w:rFonts w:ascii="Arial" w:hAnsi="Arial" w:cs="Arial"/>
          <w:color w:val="242121"/>
          <w:sz w:val="22"/>
          <w:szCs w:val="22"/>
          <w:shd w:val="clear" w:color="auto" w:fill="FFFFFF"/>
        </w:rPr>
        <w:footnoteReference w:id="47"/>
      </w:r>
    </w:p>
    <w:p w14:paraId="38A5D1E9" w14:textId="77777777" w:rsidR="00AA4819" w:rsidRPr="00AA4819" w:rsidRDefault="00AA4819" w:rsidP="00CE076A">
      <w:pPr>
        <w:pStyle w:val="ListParagraph"/>
        <w:spacing w:line="360" w:lineRule="auto"/>
        <w:rPr>
          <w:rFonts w:ascii="Arial" w:hAnsi="Arial" w:cs="Arial"/>
          <w:sz w:val="24"/>
          <w:szCs w:val="24"/>
        </w:rPr>
      </w:pPr>
    </w:p>
    <w:p w14:paraId="4C72B4C8" w14:textId="6341BCCE" w:rsidR="009747D9" w:rsidRPr="0052701D" w:rsidRDefault="0052701D" w:rsidP="0052701D">
      <w:pPr>
        <w:spacing w:line="360" w:lineRule="auto"/>
        <w:ind w:left="360" w:hanging="360"/>
        <w:rPr>
          <w:rFonts w:ascii="Arial" w:hAnsi="Arial" w:cs="Arial"/>
          <w:sz w:val="24"/>
          <w:szCs w:val="24"/>
        </w:rPr>
      </w:pPr>
      <w:r>
        <w:rPr>
          <w:rFonts w:ascii="Arial" w:hAnsi="Arial" w:cs="Arial"/>
          <w:sz w:val="24"/>
          <w:szCs w:val="24"/>
        </w:rPr>
        <w:t>71.</w:t>
      </w:r>
      <w:r>
        <w:rPr>
          <w:rFonts w:ascii="Arial" w:hAnsi="Arial" w:cs="Arial"/>
          <w:sz w:val="24"/>
          <w:szCs w:val="24"/>
        </w:rPr>
        <w:tab/>
      </w:r>
      <w:r w:rsidR="009747D9" w:rsidRPr="0052701D">
        <w:rPr>
          <w:rFonts w:ascii="Arial" w:hAnsi="Arial" w:cs="Arial"/>
          <w:sz w:val="24"/>
          <w:szCs w:val="24"/>
        </w:rPr>
        <w:t>In this case, the appellants have instituted review proceedings</w:t>
      </w:r>
      <w:r w:rsidR="00E36D45" w:rsidRPr="0052701D">
        <w:rPr>
          <w:rFonts w:ascii="Arial" w:hAnsi="Arial" w:cs="Arial"/>
          <w:sz w:val="24"/>
          <w:szCs w:val="24"/>
        </w:rPr>
        <w:t xml:space="preserve"> impugning the EVR</w:t>
      </w:r>
      <w:r w:rsidR="009747D9" w:rsidRPr="0052701D">
        <w:rPr>
          <w:rFonts w:ascii="Arial" w:hAnsi="Arial" w:cs="Arial"/>
          <w:sz w:val="24"/>
          <w:szCs w:val="24"/>
        </w:rPr>
        <w:t>, which are pending. From the outset the appellants sought, and are now only persisting with</w:t>
      </w:r>
      <w:r w:rsidR="00EE7D2C" w:rsidRPr="0052701D">
        <w:rPr>
          <w:rFonts w:ascii="Arial" w:hAnsi="Arial" w:cs="Arial"/>
          <w:sz w:val="24"/>
          <w:szCs w:val="24"/>
        </w:rPr>
        <w:t>,</w:t>
      </w:r>
      <w:r w:rsidR="009747D9" w:rsidRPr="0052701D">
        <w:rPr>
          <w:rFonts w:ascii="Arial" w:hAnsi="Arial" w:cs="Arial"/>
          <w:sz w:val="24"/>
          <w:szCs w:val="24"/>
        </w:rPr>
        <w:t xml:space="preserve"> declaratory relief in respect of the 2013 GVR period, which is what is affected by the review. The </w:t>
      </w:r>
      <w:r w:rsidR="00A90961" w:rsidRPr="0052701D">
        <w:rPr>
          <w:rFonts w:ascii="Arial" w:hAnsi="Arial" w:cs="Arial"/>
          <w:sz w:val="24"/>
          <w:szCs w:val="24"/>
        </w:rPr>
        <w:t xml:space="preserve">declaratory </w:t>
      </w:r>
      <w:r w:rsidR="009747D9" w:rsidRPr="0052701D">
        <w:rPr>
          <w:rFonts w:ascii="Arial" w:hAnsi="Arial" w:cs="Arial"/>
          <w:sz w:val="24"/>
          <w:szCs w:val="24"/>
        </w:rPr>
        <w:t>order sought</w:t>
      </w:r>
      <w:r w:rsidR="00E36D45" w:rsidRPr="0052701D">
        <w:rPr>
          <w:rFonts w:ascii="Arial" w:hAnsi="Arial" w:cs="Arial"/>
          <w:sz w:val="24"/>
          <w:szCs w:val="24"/>
        </w:rPr>
        <w:t>, if granted,</w:t>
      </w:r>
      <w:r w:rsidR="009747D9" w:rsidRPr="0052701D">
        <w:rPr>
          <w:rFonts w:ascii="Arial" w:hAnsi="Arial" w:cs="Arial"/>
          <w:sz w:val="24"/>
          <w:szCs w:val="24"/>
        </w:rPr>
        <w:t xml:space="preserve"> thus </w:t>
      </w:r>
      <w:r w:rsidR="00E36D45" w:rsidRPr="0052701D">
        <w:rPr>
          <w:rFonts w:ascii="Arial" w:hAnsi="Arial" w:cs="Arial"/>
          <w:sz w:val="24"/>
          <w:szCs w:val="24"/>
        </w:rPr>
        <w:t>would</w:t>
      </w:r>
      <w:r w:rsidR="009747D9" w:rsidRPr="0052701D">
        <w:rPr>
          <w:rFonts w:ascii="Arial" w:hAnsi="Arial" w:cs="Arial"/>
          <w:sz w:val="24"/>
          <w:szCs w:val="24"/>
        </w:rPr>
        <w:t xml:space="preserve"> not generate legal uncertainty</w:t>
      </w:r>
      <w:r w:rsidR="00EA6592" w:rsidRPr="0052701D">
        <w:rPr>
          <w:rFonts w:ascii="Arial" w:hAnsi="Arial" w:cs="Arial"/>
          <w:sz w:val="24"/>
          <w:szCs w:val="24"/>
        </w:rPr>
        <w:t xml:space="preserve"> in the face of the review application</w:t>
      </w:r>
      <w:r w:rsidR="009747D9" w:rsidRPr="0052701D">
        <w:rPr>
          <w:rFonts w:ascii="Arial" w:hAnsi="Arial" w:cs="Arial"/>
          <w:sz w:val="24"/>
          <w:szCs w:val="24"/>
        </w:rPr>
        <w:t xml:space="preserve"> and</w:t>
      </w:r>
      <w:r w:rsidR="00A90961" w:rsidRPr="0052701D">
        <w:rPr>
          <w:rFonts w:ascii="Arial" w:hAnsi="Arial" w:cs="Arial"/>
          <w:sz w:val="24"/>
          <w:szCs w:val="24"/>
        </w:rPr>
        <w:t>, on the contrary,</w:t>
      </w:r>
      <w:r w:rsidR="009747D9" w:rsidRPr="0052701D">
        <w:rPr>
          <w:rFonts w:ascii="Arial" w:hAnsi="Arial" w:cs="Arial"/>
          <w:sz w:val="24"/>
          <w:szCs w:val="24"/>
        </w:rPr>
        <w:t xml:space="preserve"> </w:t>
      </w:r>
      <w:r w:rsidR="00A90961" w:rsidRPr="0052701D">
        <w:rPr>
          <w:rFonts w:ascii="Arial" w:hAnsi="Arial" w:cs="Arial"/>
          <w:sz w:val="24"/>
          <w:szCs w:val="24"/>
        </w:rPr>
        <w:t xml:space="preserve">clarifies the duties imposed by the review orders and </w:t>
      </w:r>
      <w:r w:rsidR="009747D9" w:rsidRPr="0052701D">
        <w:rPr>
          <w:rFonts w:ascii="Arial" w:hAnsi="Arial" w:cs="Arial"/>
          <w:sz w:val="24"/>
          <w:szCs w:val="24"/>
        </w:rPr>
        <w:t>can</w:t>
      </w:r>
      <w:r w:rsidR="00A90961" w:rsidRPr="0052701D">
        <w:rPr>
          <w:rFonts w:ascii="Arial" w:hAnsi="Arial" w:cs="Arial"/>
          <w:sz w:val="24"/>
          <w:szCs w:val="24"/>
        </w:rPr>
        <w:t xml:space="preserve"> thereby</w:t>
      </w:r>
      <w:r w:rsidR="009747D9" w:rsidRPr="0052701D">
        <w:rPr>
          <w:rFonts w:ascii="Arial" w:hAnsi="Arial" w:cs="Arial"/>
          <w:sz w:val="24"/>
          <w:szCs w:val="24"/>
        </w:rPr>
        <w:t xml:space="preserve"> further the resolution of the dispute between the parties while vindicating the authority of the Court.</w:t>
      </w:r>
      <w:r w:rsidR="00A90961">
        <w:rPr>
          <w:rStyle w:val="FootnoteReference"/>
          <w:rFonts w:ascii="Arial" w:hAnsi="Arial" w:cs="Arial"/>
          <w:sz w:val="24"/>
          <w:szCs w:val="24"/>
        </w:rPr>
        <w:footnoteReference w:id="48"/>
      </w:r>
    </w:p>
    <w:p w14:paraId="678E2E07" w14:textId="77777777" w:rsidR="009747D9" w:rsidRDefault="009747D9" w:rsidP="00CE076A">
      <w:pPr>
        <w:pStyle w:val="ListParagraph"/>
        <w:spacing w:line="360" w:lineRule="auto"/>
        <w:ind w:left="360"/>
        <w:rPr>
          <w:rFonts w:ascii="Arial" w:hAnsi="Arial" w:cs="Arial"/>
          <w:sz w:val="24"/>
          <w:szCs w:val="24"/>
        </w:rPr>
      </w:pPr>
    </w:p>
    <w:p w14:paraId="5488A66C" w14:textId="1BD4D73C" w:rsidR="00AA4819" w:rsidRPr="0052701D" w:rsidRDefault="0052701D" w:rsidP="0052701D">
      <w:pPr>
        <w:spacing w:line="360" w:lineRule="auto"/>
        <w:ind w:left="360" w:hanging="360"/>
        <w:rPr>
          <w:rFonts w:ascii="Arial" w:hAnsi="Arial" w:cs="Arial"/>
          <w:sz w:val="24"/>
          <w:szCs w:val="24"/>
        </w:rPr>
      </w:pPr>
      <w:r w:rsidRPr="007F5727">
        <w:rPr>
          <w:rFonts w:ascii="Arial" w:hAnsi="Arial" w:cs="Arial"/>
          <w:sz w:val="24"/>
          <w:szCs w:val="24"/>
        </w:rPr>
        <w:t>72.</w:t>
      </w:r>
      <w:r w:rsidRPr="007F5727">
        <w:rPr>
          <w:rFonts w:ascii="Arial" w:hAnsi="Arial" w:cs="Arial"/>
          <w:sz w:val="24"/>
          <w:szCs w:val="24"/>
        </w:rPr>
        <w:tab/>
      </w:r>
      <w:r w:rsidR="00AA4819" w:rsidRPr="0052701D">
        <w:rPr>
          <w:rFonts w:ascii="Arial" w:hAnsi="Arial" w:cs="Arial"/>
          <w:sz w:val="24"/>
          <w:szCs w:val="24"/>
        </w:rPr>
        <w:t>In my view, the remedy the appellants ultimately sought is a just and equitable order and appropriate relief,</w:t>
      </w:r>
      <w:r w:rsidR="00AA4819">
        <w:rPr>
          <w:rStyle w:val="FootnoteReference"/>
          <w:rFonts w:ascii="Arial" w:hAnsi="Arial" w:cs="Arial"/>
          <w:sz w:val="24"/>
          <w:szCs w:val="24"/>
        </w:rPr>
        <w:footnoteReference w:id="49"/>
      </w:r>
      <w:r w:rsidR="00AA4819" w:rsidRPr="0052701D">
        <w:rPr>
          <w:rFonts w:ascii="Arial" w:hAnsi="Arial" w:cs="Arial"/>
          <w:sz w:val="24"/>
          <w:szCs w:val="24"/>
        </w:rPr>
        <w:t xml:space="preserve"> which will serve effectively to ensure that the review orders are complied</w:t>
      </w:r>
      <w:r w:rsidR="000F1ABA" w:rsidRPr="0052701D">
        <w:rPr>
          <w:rFonts w:ascii="Arial" w:hAnsi="Arial" w:cs="Arial"/>
          <w:sz w:val="24"/>
          <w:szCs w:val="24"/>
        </w:rPr>
        <w:t xml:space="preserve"> with and the authority of the C</w:t>
      </w:r>
      <w:r w:rsidR="00AA4819" w:rsidRPr="0052701D">
        <w:rPr>
          <w:rFonts w:ascii="Arial" w:hAnsi="Arial" w:cs="Arial"/>
          <w:sz w:val="24"/>
          <w:szCs w:val="24"/>
        </w:rPr>
        <w:t>ourt is vindicated.</w:t>
      </w:r>
    </w:p>
    <w:p w14:paraId="19655BF2" w14:textId="77777777" w:rsidR="009747D9" w:rsidRDefault="009747D9" w:rsidP="00CE076A">
      <w:pPr>
        <w:spacing w:line="240" w:lineRule="auto"/>
        <w:rPr>
          <w:rFonts w:ascii="Arial" w:hAnsi="Arial" w:cs="Arial"/>
          <w:b/>
          <w:sz w:val="24"/>
          <w:szCs w:val="24"/>
        </w:rPr>
      </w:pPr>
    </w:p>
    <w:p w14:paraId="60851D2B" w14:textId="77777777" w:rsidR="007F5727" w:rsidRPr="007F5727" w:rsidRDefault="007F5727" w:rsidP="00CE076A">
      <w:pPr>
        <w:spacing w:line="360" w:lineRule="auto"/>
        <w:rPr>
          <w:rFonts w:ascii="Arial" w:hAnsi="Arial" w:cs="Arial"/>
          <w:b/>
          <w:sz w:val="24"/>
          <w:szCs w:val="24"/>
        </w:rPr>
      </w:pPr>
      <w:r w:rsidRPr="007F5727">
        <w:rPr>
          <w:rFonts w:ascii="Arial" w:hAnsi="Arial" w:cs="Arial"/>
          <w:b/>
          <w:sz w:val="24"/>
          <w:szCs w:val="24"/>
        </w:rPr>
        <w:t>Order</w:t>
      </w:r>
    </w:p>
    <w:p w14:paraId="6DBCD4AF" w14:textId="12AA0BC4" w:rsidR="007F5727" w:rsidRPr="0052701D" w:rsidRDefault="0052701D" w:rsidP="0052701D">
      <w:pPr>
        <w:spacing w:line="360" w:lineRule="auto"/>
        <w:ind w:left="360" w:hanging="360"/>
        <w:rPr>
          <w:rFonts w:ascii="Arial" w:hAnsi="Arial" w:cs="Arial"/>
          <w:sz w:val="24"/>
          <w:szCs w:val="24"/>
        </w:rPr>
      </w:pPr>
      <w:r>
        <w:rPr>
          <w:rFonts w:ascii="Arial" w:hAnsi="Arial" w:cs="Arial"/>
          <w:sz w:val="24"/>
          <w:szCs w:val="24"/>
        </w:rPr>
        <w:t>73.</w:t>
      </w:r>
      <w:r>
        <w:rPr>
          <w:rFonts w:ascii="Arial" w:hAnsi="Arial" w:cs="Arial"/>
          <w:sz w:val="24"/>
          <w:szCs w:val="24"/>
        </w:rPr>
        <w:tab/>
      </w:r>
      <w:r w:rsidR="007F5727" w:rsidRPr="0052701D">
        <w:rPr>
          <w:rFonts w:ascii="Arial" w:hAnsi="Arial" w:cs="Arial"/>
          <w:sz w:val="24"/>
          <w:szCs w:val="24"/>
        </w:rPr>
        <w:t xml:space="preserve">I </w:t>
      </w:r>
      <w:r w:rsidR="00DF6AA8" w:rsidRPr="0052701D">
        <w:rPr>
          <w:rFonts w:ascii="Arial" w:hAnsi="Arial" w:cs="Arial"/>
          <w:sz w:val="24"/>
          <w:szCs w:val="24"/>
        </w:rPr>
        <w:t xml:space="preserve">would </w:t>
      </w:r>
      <w:r w:rsidR="007F5727" w:rsidRPr="0052701D">
        <w:rPr>
          <w:rFonts w:ascii="Arial" w:hAnsi="Arial" w:cs="Arial"/>
          <w:sz w:val="24"/>
          <w:szCs w:val="24"/>
        </w:rPr>
        <w:t>grant the following order:</w:t>
      </w:r>
    </w:p>
    <w:p w14:paraId="00382428" w14:textId="723F99C2" w:rsidR="004263BF" w:rsidRPr="00A411C2" w:rsidRDefault="0052701D" w:rsidP="0052701D">
      <w:pPr>
        <w:pStyle w:val="1"/>
        <w:numPr>
          <w:ilvl w:val="0"/>
          <w:numId w:val="0"/>
        </w:numPr>
        <w:spacing w:line="360" w:lineRule="auto"/>
        <w:ind w:left="1134" w:hanging="774"/>
      </w:pPr>
      <w:r w:rsidRPr="00A411C2">
        <w:t>73.1.</w:t>
      </w:r>
      <w:r w:rsidRPr="00A411C2">
        <w:tab/>
      </w:r>
      <w:r w:rsidR="004263BF">
        <w:t xml:space="preserve">The </w:t>
      </w:r>
      <w:r w:rsidR="004263BF" w:rsidRPr="00A411C2">
        <w:t>appeal is upheld.</w:t>
      </w:r>
    </w:p>
    <w:p w14:paraId="04CFB946" w14:textId="7B2FC258" w:rsidR="004263BF" w:rsidRPr="00A411C2" w:rsidRDefault="0052701D" w:rsidP="0052701D">
      <w:pPr>
        <w:pStyle w:val="1"/>
        <w:numPr>
          <w:ilvl w:val="0"/>
          <w:numId w:val="0"/>
        </w:numPr>
        <w:spacing w:line="360" w:lineRule="auto"/>
        <w:ind w:left="1134" w:hanging="774"/>
      </w:pPr>
      <w:r w:rsidRPr="00A411C2">
        <w:t>73.2.</w:t>
      </w:r>
      <w:r w:rsidRPr="00A411C2">
        <w:tab/>
      </w:r>
      <w:r w:rsidR="004263BF" w:rsidRPr="00A411C2">
        <w:t>The order granted by Tsatsi AJ is set aside and replaced with an order in t</w:t>
      </w:r>
      <w:r w:rsidR="005B6425" w:rsidRPr="00A411C2">
        <w:t xml:space="preserve">he terms set out in paragraph </w:t>
      </w:r>
      <w:r w:rsidR="003B6958">
        <w:t>7</w:t>
      </w:r>
      <w:r w:rsidR="00EA6592">
        <w:t>3</w:t>
      </w:r>
      <w:r w:rsidR="00A411C2" w:rsidRPr="00A411C2">
        <w:t xml:space="preserve">.2.1 to </w:t>
      </w:r>
      <w:r w:rsidR="00EE7D2C">
        <w:t>7</w:t>
      </w:r>
      <w:r w:rsidR="00EA6592">
        <w:t>3</w:t>
      </w:r>
      <w:r w:rsidR="00A411C2" w:rsidRPr="00A411C2">
        <w:t>.2.</w:t>
      </w:r>
      <w:r w:rsidR="00EA6592">
        <w:t>4</w:t>
      </w:r>
      <w:r w:rsidR="008B0D35">
        <w:t>.</w:t>
      </w:r>
    </w:p>
    <w:p w14:paraId="30036263" w14:textId="085D37BB" w:rsidR="004263BF" w:rsidRDefault="0052701D" w:rsidP="0052701D">
      <w:pPr>
        <w:pStyle w:val="1"/>
        <w:numPr>
          <w:ilvl w:val="0"/>
          <w:numId w:val="0"/>
        </w:numPr>
        <w:spacing w:line="360" w:lineRule="auto"/>
        <w:ind w:left="1560" w:hanging="840"/>
      </w:pPr>
      <w:r>
        <w:t>73.2.1.</w:t>
      </w:r>
      <w:r>
        <w:tab/>
      </w:r>
      <w:r w:rsidR="004263BF">
        <w:t xml:space="preserve">In relation to the first respondent’s adoption of the 2013 Extraordinary Valuation Roll, it is declared that the first respondent is in breach of their constitutional obligations to adhere to and take all necessary steps to give effect to the court order handed down by Tuchten </w:t>
      </w:r>
      <w:r w:rsidR="00C7022B">
        <w:t xml:space="preserve">J </w:t>
      </w:r>
      <w:r w:rsidR="004263BF">
        <w:t>on 31 May 2016 under case number 40019/2013, confirmed by the Supreme Court of Appeal on 31 May 2018 under case number 724/2017.</w:t>
      </w:r>
    </w:p>
    <w:p w14:paraId="0CE23B68" w14:textId="21CE74A2" w:rsidR="004263BF" w:rsidRDefault="0052701D" w:rsidP="0052701D">
      <w:pPr>
        <w:pStyle w:val="1"/>
        <w:numPr>
          <w:ilvl w:val="0"/>
          <w:numId w:val="0"/>
        </w:numPr>
        <w:spacing w:line="360" w:lineRule="auto"/>
        <w:ind w:left="1560" w:hanging="840"/>
      </w:pPr>
      <w:r>
        <w:t>73.2.2.</w:t>
      </w:r>
      <w:r>
        <w:tab/>
      </w:r>
      <w:r w:rsidR="004263BF">
        <w:t>In relation to the first respondent’s passing of credits on the applicant’s accounts for the period of</w:t>
      </w:r>
      <w:r w:rsidR="00184E2C">
        <w:t xml:space="preserve"> the</w:t>
      </w:r>
      <w:r w:rsidR="004263BF">
        <w:t xml:space="preserve"> 2012 Special Valuation Roll:</w:t>
      </w:r>
    </w:p>
    <w:p w14:paraId="5E0DC45B" w14:textId="2CD92789" w:rsidR="004263BF" w:rsidRDefault="0052701D" w:rsidP="0052701D">
      <w:pPr>
        <w:pStyle w:val="2"/>
        <w:numPr>
          <w:ilvl w:val="0"/>
          <w:numId w:val="0"/>
        </w:numPr>
        <w:spacing w:line="360" w:lineRule="auto"/>
        <w:ind w:left="1728" w:hanging="648"/>
      </w:pPr>
      <w:r>
        <w:t>73.2.2.1.</w:t>
      </w:r>
      <w:r>
        <w:tab/>
      </w:r>
      <w:r w:rsidR="004263BF">
        <w:t>The first respondent is ordered to furnish each of the applicants with a written account in terms of section 27(1) of the Local Government: Municipal Property Rates Act 6 of 2004, which written account must specify the amount due for rates payable; the date on or before which the amount is payable; how the amount was calculated; the market value of the property; and any other relevant information required to understand the basis upon which the amount payable was calculated.</w:t>
      </w:r>
    </w:p>
    <w:p w14:paraId="5132C8C3" w14:textId="6B797061" w:rsidR="004263BF" w:rsidRPr="004263BF" w:rsidRDefault="0052701D" w:rsidP="0052701D">
      <w:pPr>
        <w:pStyle w:val="2"/>
        <w:numPr>
          <w:ilvl w:val="0"/>
          <w:numId w:val="0"/>
        </w:numPr>
        <w:spacing w:line="360" w:lineRule="auto"/>
        <w:ind w:left="1728" w:hanging="648"/>
      </w:pPr>
      <w:r w:rsidRPr="004263BF">
        <w:lastRenderedPageBreak/>
        <w:t>73.2.2.2.</w:t>
      </w:r>
      <w:r w:rsidRPr="004263BF">
        <w:tab/>
      </w:r>
      <w:r w:rsidR="004263BF">
        <w:t xml:space="preserve">The accounts must be provided to each of </w:t>
      </w:r>
      <w:r w:rsidR="004263BF" w:rsidRPr="00D21BA7">
        <w:rPr>
          <w:rFonts w:cs="Arial"/>
          <w:color w:val="313131"/>
          <w:szCs w:val="24"/>
        </w:rPr>
        <w:t>the applicants within 30 days of this order.</w:t>
      </w:r>
    </w:p>
    <w:p w14:paraId="244CC000" w14:textId="3BC0B8AC" w:rsidR="004263BF" w:rsidRDefault="0052701D" w:rsidP="0052701D">
      <w:pPr>
        <w:pStyle w:val="2"/>
        <w:numPr>
          <w:ilvl w:val="0"/>
          <w:numId w:val="0"/>
        </w:numPr>
        <w:spacing w:line="360" w:lineRule="auto"/>
        <w:ind w:left="1728" w:hanging="648"/>
      </w:pPr>
      <w:r>
        <w:t>73.2.2.3.</w:t>
      </w:r>
      <w:r>
        <w:tab/>
      </w:r>
      <w:r w:rsidR="004263BF">
        <w:t>The first respondent is directed to debate the adequacy of the accounts with the applicants within one month from the date on which it is rendered.</w:t>
      </w:r>
    </w:p>
    <w:p w14:paraId="2F6E8DB4" w14:textId="6534F5A5" w:rsidR="004263BF" w:rsidRDefault="0052701D" w:rsidP="0052701D">
      <w:pPr>
        <w:pStyle w:val="2"/>
        <w:numPr>
          <w:ilvl w:val="0"/>
          <w:numId w:val="0"/>
        </w:numPr>
        <w:spacing w:line="360" w:lineRule="auto"/>
        <w:ind w:left="1728" w:hanging="648"/>
      </w:pPr>
      <w:r>
        <w:t>73.2.2.4.</w:t>
      </w:r>
      <w:r>
        <w:tab/>
      </w:r>
      <w:r w:rsidR="004263BF">
        <w:t>The debatement of account referred to above may take place before a judge of the Gauteng Division of the High Court alternatively an arbitrator appointed by agreement between the applicants and the respondents.</w:t>
      </w:r>
    </w:p>
    <w:p w14:paraId="5634A98E" w14:textId="16C6D70E" w:rsidR="00F0457D" w:rsidRDefault="0052701D" w:rsidP="0052701D">
      <w:pPr>
        <w:pStyle w:val="2"/>
        <w:numPr>
          <w:ilvl w:val="0"/>
          <w:numId w:val="0"/>
        </w:numPr>
        <w:spacing w:line="360" w:lineRule="auto"/>
        <w:ind w:left="1701" w:hanging="981"/>
      </w:pPr>
      <w:r>
        <w:t>73.2.3.</w:t>
      </w:r>
      <w:r>
        <w:tab/>
      </w:r>
      <w:r w:rsidR="00F0457D">
        <w:t>The applicants are authorised to re-enrol the matter for further relief on supplemented papers.</w:t>
      </w:r>
    </w:p>
    <w:p w14:paraId="3F3EF3BA" w14:textId="52B577EE" w:rsidR="004263BF" w:rsidRDefault="0052701D" w:rsidP="0052701D">
      <w:pPr>
        <w:pStyle w:val="2"/>
        <w:numPr>
          <w:ilvl w:val="0"/>
          <w:numId w:val="0"/>
        </w:numPr>
        <w:spacing w:line="360" w:lineRule="auto"/>
        <w:ind w:left="1701" w:hanging="981"/>
      </w:pPr>
      <w:r>
        <w:t>73.2.4.</w:t>
      </w:r>
      <w:r>
        <w:tab/>
      </w:r>
      <w:r w:rsidR="004263BF">
        <w:t>The costs of the application are to be paid by the first respondent.</w:t>
      </w:r>
    </w:p>
    <w:p w14:paraId="6D190F64" w14:textId="3FDB14B0" w:rsidR="004263BF" w:rsidRDefault="0052701D" w:rsidP="0052701D">
      <w:pPr>
        <w:pStyle w:val="2"/>
        <w:numPr>
          <w:ilvl w:val="0"/>
          <w:numId w:val="0"/>
        </w:numPr>
        <w:spacing w:line="360" w:lineRule="auto"/>
        <w:ind w:left="792" w:hanging="432"/>
      </w:pPr>
      <w:r>
        <w:t>73.3.</w:t>
      </w:r>
      <w:r>
        <w:tab/>
      </w:r>
      <w:r w:rsidR="004263BF">
        <w:t>The costs of the appeal are to be paid by the first respondent.</w:t>
      </w:r>
    </w:p>
    <w:p w14:paraId="757073F3" w14:textId="77777777" w:rsidR="009E29C7" w:rsidRDefault="009E29C7" w:rsidP="00CE076A">
      <w:pPr>
        <w:spacing w:line="360" w:lineRule="auto"/>
        <w:rPr>
          <w:rFonts w:ascii="Arial" w:hAnsi="Arial" w:cs="Arial"/>
          <w:b/>
          <w:sz w:val="24"/>
          <w:szCs w:val="24"/>
        </w:rPr>
      </w:pPr>
    </w:p>
    <w:p w14:paraId="761D1E98" w14:textId="1A2E26B5" w:rsidR="000F2A3F" w:rsidRDefault="000F2A3F" w:rsidP="00DF25D1">
      <w:pPr>
        <w:spacing w:line="480" w:lineRule="auto"/>
        <w:rPr>
          <w:rFonts w:ascii="Arial" w:hAnsi="Arial" w:cs="Arial"/>
          <w:sz w:val="24"/>
          <w:szCs w:val="24"/>
        </w:rPr>
      </w:pPr>
    </w:p>
    <w:p w14:paraId="562BAE05" w14:textId="77777777" w:rsidR="00DD434F" w:rsidRPr="00DF25D1" w:rsidRDefault="00DD434F" w:rsidP="00DF25D1">
      <w:pPr>
        <w:spacing w:line="480" w:lineRule="auto"/>
        <w:rPr>
          <w:rFonts w:ascii="Arial" w:hAnsi="Arial" w:cs="Arial"/>
          <w:sz w:val="24"/>
          <w:szCs w:val="24"/>
        </w:rPr>
      </w:pPr>
    </w:p>
    <w:p w14:paraId="64BFD8F2" w14:textId="77777777" w:rsidR="007646B8" w:rsidRDefault="007646B8" w:rsidP="00C6105E">
      <w:pPr>
        <w:spacing w:line="480" w:lineRule="auto"/>
        <w:ind w:left="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_______________________</w:t>
      </w:r>
    </w:p>
    <w:p w14:paraId="2EF2A1AB" w14:textId="77777777" w:rsidR="007646B8" w:rsidRDefault="007646B8" w:rsidP="00855406">
      <w:pPr>
        <w:spacing w:line="240" w:lineRule="auto"/>
        <w:ind w:left="7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SJ Cowen</w:t>
      </w:r>
    </w:p>
    <w:p w14:paraId="2D30EA39" w14:textId="37091465" w:rsidR="007646B8" w:rsidRDefault="007646B8" w:rsidP="00CE076A">
      <w:pPr>
        <w:spacing w:line="240" w:lineRule="auto"/>
        <w:ind w:left="5040"/>
        <w:rPr>
          <w:rFonts w:ascii="Arial" w:hAnsi="Arial" w:cs="Arial"/>
          <w:b/>
          <w:sz w:val="24"/>
          <w:szCs w:val="24"/>
        </w:rPr>
      </w:pPr>
      <w:r>
        <w:rPr>
          <w:rFonts w:ascii="Arial" w:hAnsi="Arial" w:cs="Arial"/>
          <w:b/>
          <w:sz w:val="24"/>
          <w:szCs w:val="24"/>
        </w:rPr>
        <w:t>Judge</w:t>
      </w:r>
      <w:r w:rsidR="002762E4">
        <w:rPr>
          <w:rFonts w:ascii="Arial" w:hAnsi="Arial" w:cs="Arial"/>
          <w:b/>
          <w:sz w:val="24"/>
          <w:szCs w:val="24"/>
        </w:rPr>
        <w:t xml:space="preserve"> of the</w:t>
      </w:r>
      <w:r>
        <w:rPr>
          <w:rFonts w:ascii="Arial" w:hAnsi="Arial" w:cs="Arial"/>
          <w:b/>
          <w:sz w:val="24"/>
          <w:szCs w:val="24"/>
        </w:rPr>
        <w:t xml:space="preserve"> High Court</w:t>
      </w:r>
      <w:r w:rsidR="002762E4">
        <w:rPr>
          <w:rFonts w:ascii="Arial" w:hAnsi="Arial" w:cs="Arial"/>
          <w:b/>
          <w:sz w:val="24"/>
          <w:szCs w:val="24"/>
        </w:rPr>
        <w:t>,</w:t>
      </w:r>
      <w:r>
        <w:rPr>
          <w:rFonts w:ascii="Arial" w:hAnsi="Arial" w:cs="Arial"/>
          <w:b/>
          <w:sz w:val="24"/>
          <w:szCs w:val="24"/>
        </w:rPr>
        <w:t xml:space="preserve"> Pretoria</w:t>
      </w:r>
    </w:p>
    <w:p w14:paraId="48966306" w14:textId="77777777" w:rsidR="00CF197C" w:rsidRDefault="00CF197C" w:rsidP="00855406">
      <w:pPr>
        <w:spacing w:line="240" w:lineRule="auto"/>
        <w:ind w:left="720"/>
        <w:rPr>
          <w:rFonts w:ascii="Arial" w:hAnsi="Arial" w:cs="Arial"/>
          <w:sz w:val="24"/>
          <w:szCs w:val="24"/>
        </w:rPr>
      </w:pPr>
    </w:p>
    <w:p w14:paraId="4C61C09C" w14:textId="77777777" w:rsidR="0053487E" w:rsidRDefault="0053487E" w:rsidP="007009BC">
      <w:pPr>
        <w:spacing w:line="240" w:lineRule="auto"/>
        <w:ind w:firstLine="720"/>
        <w:rPr>
          <w:rFonts w:ascii="Arial" w:hAnsi="Arial" w:cs="Arial"/>
          <w:sz w:val="24"/>
          <w:szCs w:val="24"/>
        </w:rPr>
      </w:pPr>
    </w:p>
    <w:p w14:paraId="5D26FBEF" w14:textId="7260433A" w:rsidR="0053487E" w:rsidRDefault="000F1ABA" w:rsidP="007009BC">
      <w:pPr>
        <w:spacing w:line="240" w:lineRule="auto"/>
        <w:ind w:firstLine="720"/>
        <w:rPr>
          <w:rFonts w:ascii="Arial" w:hAnsi="Arial" w:cs="Arial"/>
          <w:sz w:val="24"/>
          <w:szCs w:val="24"/>
        </w:rPr>
      </w:pPr>
      <w:r>
        <w:rPr>
          <w:rFonts w:ascii="Arial" w:hAnsi="Arial" w:cs="Arial"/>
          <w:sz w:val="24"/>
          <w:szCs w:val="24"/>
        </w:rPr>
        <w:t>I agree, and it is so ordered.</w:t>
      </w:r>
    </w:p>
    <w:p w14:paraId="60E10D26" w14:textId="77777777" w:rsidR="000F1ABA" w:rsidRDefault="000F1ABA" w:rsidP="007009BC">
      <w:pPr>
        <w:spacing w:line="240" w:lineRule="auto"/>
        <w:ind w:firstLine="720"/>
        <w:rPr>
          <w:rFonts w:ascii="Arial" w:hAnsi="Arial" w:cs="Arial"/>
          <w:sz w:val="24"/>
          <w:szCs w:val="24"/>
        </w:rPr>
      </w:pPr>
    </w:p>
    <w:p w14:paraId="3B9BE2CE" w14:textId="77777777" w:rsidR="0053487E" w:rsidRPr="0053487E" w:rsidRDefault="0053487E" w:rsidP="007009BC">
      <w:pPr>
        <w:spacing w:line="240" w:lineRule="auto"/>
        <w:ind w:firstLine="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3487E">
        <w:rPr>
          <w:rFonts w:ascii="Arial" w:hAnsi="Arial" w:cs="Arial"/>
          <w:b/>
          <w:sz w:val="24"/>
          <w:szCs w:val="24"/>
        </w:rPr>
        <w:t>________________________</w:t>
      </w:r>
    </w:p>
    <w:p w14:paraId="6658D0A6" w14:textId="3A73733B" w:rsidR="0053487E" w:rsidRPr="0053487E" w:rsidRDefault="0053487E" w:rsidP="007009BC">
      <w:pPr>
        <w:spacing w:line="240" w:lineRule="auto"/>
        <w:ind w:firstLine="720"/>
        <w:rPr>
          <w:rFonts w:ascii="Arial" w:hAnsi="Arial" w:cs="Arial"/>
          <w:b/>
          <w:sz w:val="24"/>
          <w:szCs w:val="24"/>
        </w:rPr>
      </w:pP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t>L</w:t>
      </w:r>
      <w:r w:rsidR="002F5DA1">
        <w:rPr>
          <w:rFonts w:ascii="Arial" w:hAnsi="Arial" w:cs="Arial"/>
          <w:b/>
          <w:sz w:val="24"/>
          <w:szCs w:val="24"/>
        </w:rPr>
        <w:t xml:space="preserve"> M</w:t>
      </w:r>
      <w:r w:rsidRPr="0053487E">
        <w:rPr>
          <w:rFonts w:ascii="Arial" w:hAnsi="Arial" w:cs="Arial"/>
          <w:b/>
          <w:sz w:val="24"/>
          <w:szCs w:val="24"/>
        </w:rPr>
        <w:t xml:space="preserve"> Molopa</w:t>
      </w:r>
      <w:r w:rsidR="002F5DA1">
        <w:rPr>
          <w:rFonts w:ascii="Arial" w:hAnsi="Arial" w:cs="Arial"/>
          <w:b/>
          <w:sz w:val="24"/>
          <w:szCs w:val="24"/>
        </w:rPr>
        <w:t xml:space="preserve"> - Sethosa</w:t>
      </w:r>
    </w:p>
    <w:p w14:paraId="78496C02" w14:textId="16103B05" w:rsidR="0053487E" w:rsidRPr="0053487E" w:rsidRDefault="0053487E" w:rsidP="007009BC">
      <w:pPr>
        <w:spacing w:line="240" w:lineRule="auto"/>
        <w:ind w:firstLine="720"/>
        <w:rPr>
          <w:rFonts w:ascii="Arial" w:hAnsi="Arial" w:cs="Arial"/>
          <w:b/>
          <w:sz w:val="24"/>
          <w:szCs w:val="24"/>
        </w:rPr>
      </w:pP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t>Judge</w:t>
      </w:r>
      <w:r w:rsidR="002F5DA1">
        <w:rPr>
          <w:rFonts w:ascii="Arial" w:hAnsi="Arial" w:cs="Arial"/>
          <w:b/>
          <w:sz w:val="24"/>
          <w:szCs w:val="24"/>
        </w:rPr>
        <w:t xml:space="preserve"> of the</w:t>
      </w:r>
      <w:r w:rsidRPr="0053487E">
        <w:rPr>
          <w:rFonts w:ascii="Arial" w:hAnsi="Arial" w:cs="Arial"/>
          <w:b/>
          <w:sz w:val="24"/>
          <w:szCs w:val="24"/>
        </w:rPr>
        <w:t xml:space="preserve"> High Court</w:t>
      </w:r>
      <w:r w:rsidR="002F5DA1">
        <w:rPr>
          <w:rFonts w:ascii="Arial" w:hAnsi="Arial" w:cs="Arial"/>
          <w:b/>
          <w:sz w:val="24"/>
          <w:szCs w:val="24"/>
        </w:rPr>
        <w:t>,</w:t>
      </w:r>
      <w:r w:rsidRPr="0053487E">
        <w:rPr>
          <w:rFonts w:ascii="Arial" w:hAnsi="Arial" w:cs="Arial"/>
          <w:b/>
          <w:sz w:val="24"/>
          <w:szCs w:val="24"/>
        </w:rPr>
        <w:t xml:space="preserve"> Pretoria</w:t>
      </w:r>
    </w:p>
    <w:p w14:paraId="33C184A9" w14:textId="77777777" w:rsidR="0053487E" w:rsidRDefault="0053487E" w:rsidP="007009BC">
      <w:pPr>
        <w:spacing w:line="240" w:lineRule="auto"/>
        <w:ind w:firstLine="720"/>
        <w:rPr>
          <w:rFonts w:ascii="Arial" w:hAnsi="Arial" w:cs="Arial"/>
          <w:sz w:val="24"/>
          <w:szCs w:val="24"/>
        </w:rPr>
      </w:pPr>
    </w:p>
    <w:p w14:paraId="220B0BA8" w14:textId="77777777" w:rsidR="0053487E" w:rsidRDefault="0053487E" w:rsidP="007009BC">
      <w:pPr>
        <w:spacing w:line="240" w:lineRule="auto"/>
        <w:ind w:firstLine="720"/>
        <w:rPr>
          <w:rFonts w:ascii="Arial" w:hAnsi="Arial" w:cs="Arial"/>
          <w:sz w:val="24"/>
          <w:szCs w:val="24"/>
        </w:rPr>
      </w:pPr>
    </w:p>
    <w:p w14:paraId="1CCAF1B8" w14:textId="446805BE" w:rsidR="0053487E" w:rsidRDefault="000F1ABA" w:rsidP="007009BC">
      <w:pPr>
        <w:spacing w:line="240" w:lineRule="auto"/>
        <w:ind w:firstLine="720"/>
        <w:rPr>
          <w:rFonts w:ascii="Arial" w:hAnsi="Arial" w:cs="Arial"/>
          <w:sz w:val="24"/>
          <w:szCs w:val="24"/>
        </w:rPr>
      </w:pPr>
      <w:r>
        <w:rPr>
          <w:rFonts w:ascii="Arial" w:hAnsi="Arial" w:cs="Arial"/>
          <w:sz w:val="24"/>
          <w:szCs w:val="24"/>
        </w:rPr>
        <w:t>I agree.</w:t>
      </w:r>
    </w:p>
    <w:p w14:paraId="30A7D079" w14:textId="77777777" w:rsidR="0053487E" w:rsidRPr="0053487E" w:rsidRDefault="0053487E" w:rsidP="007009BC">
      <w:pPr>
        <w:spacing w:line="240" w:lineRule="auto"/>
        <w:ind w:firstLine="72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3487E">
        <w:rPr>
          <w:rFonts w:ascii="Arial" w:hAnsi="Arial" w:cs="Arial"/>
          <w:b/>
          <w:sz w:val="24"/>
          <w:szCs w:val="24"/>
        </w:rPr>
        <w:t>________________________</w:t>
      </w:r>
    </w:p>
    <w:p w14:paraId="30F58760" w14:textId="77777777" w:rsidR="0053487E" w:rsidRPr="0053487E" w:rsidRDefault="0053487E" w:rsidP="007009BC">
      <w:pPr>
        <w:spacing w:line="240" w:lineRule="auto"/>
        <w:ind w:firstLine="720"/>
        <w:rPr>
          <w:rFonts w:ascii="Arial" w:hAnsi="Arial" w:cs="Arial"/>
          <w:b/>
          <w:sz w:val="24"/>
          <w:szCs w:val="24"/>
        </w:rPr>
      </w:pP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r>
      <w:r w:rsidRPr="0053487E">
        <w:rPr>
          <w:rFonts w:ascii="Arial" w:hAnsi="Arial" w:cs="Arial"/>
          <w:b/>
          <w:sz w:val="24"/>
          <w:szCs w:val="24"/>
        </w:rPr>
        <w:tab/>
        <w:t xml:space="preserve">R Mkhabela </w:t>
      </w:r>
    </w:p>
    <w:p w14:paraId="56574A69" w14:textId="65B11B05" w:rsidR="0053487E" w:rsidRPr="0053487E" w:rsidRDefault="0053487E" w:rsidP="0053487E">
      <w:pPr>
        <w:spacing w:line="240" w:lineRule="auto"/>
        <w:ind w:left="5760"/>
        <w:rPr>
          <w:rFonts w:ascii="Arial" w:hAnsi="Arial" w:cs="Arial"/>
          <w:b/>
          <w:sz w:val="24"/>
          <w:szCs w:val="24"/>
        </w:rPr>
      </w:pPr>
      <w:r w:rsidRPr="0053487E">
        <w:rPr>
          <w:rFonts w:ascii="Arial" w:hAnsi="Arial" w:cs="Arial"/>
          <w:b/>
          <w:sz w:val="24"/>
          <w:szCs w:val="24"/>
        </w:rPr>
        <w:t>Acting Judge</w:t>
      </w:r>
      <w:r w:rsidR="00EE07AD">
        <w:rPr>
          <w:rFonts w:ascii="Arial" w:hAnsi="Arial" w:cs="Arial"/>
          <w:b/>
          <w:sz w:val="24"/>
          <w:szCs w:val="24"/>
        </w:rPr>
        <w:t xml:space="preserve"> of the</w:t>
      </w:r>
      <w:r w:rsidRPr="0053487E">
        <w:rPr>
          <w:rFonts w:ascii="Arial" w:hAnsi="Arial" w:cs="Arial"/>
          <w:b/>
          <w:sz w:val="24"/>
          <w:szCs w:val="24"/>
        </w:rPr>
        <w:t xml:space="preserve"> High Court</w:t>
      </w:r>
      <w:r w:rsidR="00EE07AD">
        <w:rPr>
          <w:rFonts w:ascii="Arial" w:hAnsi="Arial" w:cs="Arial"/>
          <w:b/>
          <w:sz w:val="24"/>
          <w:szCs w:val="24"/>
        </w:rPr>
        <w:t>,</w:t>
      </w:r>
      <w:r w:rsidRPr="0053487E">
        <w:rPr>
          <w:rFonts w:ascii="Arial" w:hAnsi="Arial" w:cs="Arial"/>
          <w:b/>
          <w:sz w:val="24"/>
          <w:szCs w:val="24"/>
        </w:rPr>
        <w:t xml:space="preserve"> Pretoria</w:t>
      </w:r>
    </w:p>
    <w:p w14:paraId="6DCE847E" w14:textId="56667637" w:rsidR="007009BC" w:rsidRDefault="00C36311" w:rsidP="0053487E">
      <w:pPr>
        <w:spacing w:line="240" w:lineRule="auto"/>
        <w:ind w:firstLine="720"/>
        <w:rPr>
          <w:rFonts w:ascii="Arial" w:hAnsi="Arial" w:cs="Arial"/>
          <w:sz w:val="24"/>
          <w:szCs w:val="24"/>
        </w:rPr>
      </w:pPr>
      <w:r>
        <w:rPr>
          <w:rFonts w:ascii="Arial" w:hAnsi="Arial" w:cs="Arial"/>
          <w:sz w:val="24"/>
          <w:szCs w:val="24"/>
        </w:rPr>
        <w:t>Date heard:</w:t>
      </w:r>
      <w:r w:rsidR="009A508A">
        <w:rPr>
          <w:rFonts w:ascii="Arial" w:hAnsi="Arial" w:cs="Arial"/>
          <w:sz w:val="24"/>
          <w:szCs w:val="24"/>
        </w:rPr>
        <w:tab/>
      </w:r>
      <w:r>
        <w:rPr>
          <w:rFonts w:ascii="Arial" w:hAnsi="Arial" w:cs="Arial"/>
          <w:sz w:val="24"/>
          <w:szCs w:val="24"/>
        </w:rPr>
        <w:t>6 September</w:t>
      </w:r>
      <w:r w:rsidR="00E61A3B">
        <w:rPr>
          <w:rFonts w:ascii="Arial" w:hAnsi="Arial" w:cs="Arial"/>
          <w:sz w:val="24"/>
          <w:szCs w:val="24"/>
        </w:rPr>
        <w:t xml:space="preserve"> 2023</w:t>
      </w:r>
    </w:p>
    <w:p w14:paraId="26BDDAA0" w14:textId="1CA19EFE" w:rsidR="007646B8" w:rsidRDefault="008324E4" w:rsidP="0053487E">
      <w:pPr>
        <w:spacing w:line="240" w:lineRule="auto"/>
        <w:ind w:firstLine="720"/>
        <w:rPr>
          <w:rFonts w:ascii="Arial" w:hAnsi="Arial" w:cs="Arial"/>
          <w:sz w:val="24"/>
          <w:szCs w:val="24"/>
        </w:rPr>
      </w:pPr>
      <w:r w:rsidRPr="000F1ABA">
        <w:rPr>
          <w:rFonts w:ascii="Arial" w:hAnsi="Arial" w:cs="Arial"/>
          <w:sz w:val="24"/>
          <w:szCs w:val="24"/>
        </w:rPr>
        <w:t>D</w:t>
      </w:r>
      <w:r w:rsidR="004263BF" w:rsidRPr="000F1ABA">
        <w:rPr>
          <w:rFonts w:ascii="Arial" w:hAnsi="Arial" w:cs="Arial"/>
          <w:sz w:val="24"/>
          <w:szCs w:val="24"/>
        </w:rPr>
        <w:t>ate of decision:</w:t>
      </w:r>
      <w:r w:rsidR="009A508A">
        <w:rPr>
          <w:rFonts w:ascii="Arial" w:hAnsi="Arial" w:cs="Arial"/>
          <w:sz w:val="24"/>
          <w:szCs w:val="24"/>
        </w:rPr>
        <w:tab/>
      </w:r>
      <w:r w:rsidR="000F1ABA" w:rsidRPr="000F1ABA">
        <w:rPr>
          <w:rFonts w:ascii="Arial" w:hAnsi="Arial" w:cs="Arial"/>
          <w:sz w:val="24"/>
          <w:szCs w:val="24"/>
        </w:rPr>
        <w:t>1</w:t>
      </w:r>
      <w:r w:rsidR="009A508A">
        <w:rPr>
          <w:rFonts w:ascii="Arial" w:hAnsi="Arial" w:cs="Arial"/>
          <w:sz w:val="24"/>
          <w:szCs w:val="24"/>
        </w:rPr>
        <w:t>2</w:t>
      </w:r>
      <w:r w:rsidR="000F1ABA" w:rsidRPr="000F1ABA">
        <w:rPr>
          <w:rFonts w:ascii="Arial" w:hAnsi="Arial" w:cs="Arial"/>
          <w:sz w:val="24"/>
          <w:szCs w:val="24"/>
        </w:rPr>
        <w:t xml:space="preserve"> January 2024</w:t>
      </w:r>
    </w:p>
    <w:p w14:paraId="5C78E18C" w14:textId="77777777" w:rsidR="00855406" w:rsidRPr="00855406" w:rsidRDefault="00855406" w:rsidP="00855406">
      <w:pPr>
        <w:spacing w:line="240" w:lineRule="auto"/>
        <w:ind w:left="720"/>
        <w:rPr>
          <w:rFonts w:ascii="Arial" w:hAnsi="Arial" w:cs="Arial"/>
          <w:sz w:val="24"/>
          <w:szCs w:val="24"/>
        </w:rPr>
      </w:pPr>
    </w:p>
    <w:p w14:paraId="2471A542" w14:textId="7F5D3B94" w:rsidR="00855406" w:rsidRDefault="00855406" w:rsidP="00855406">
      <w:pPr>
        <w:spacing w:line="240" w:lineRule="auto"/>
        <w:ind w:left="720"/>
        <w:rPr>
          <w:rFonts w:ascii="Arial" w:hAnsi="Arial" w:cs="Arial"/>
          <w:b/>
          <w:sz w:val="24"/>
          <w:szCs w:val="24"/>
        </w:rPr>
      </w:pPr>
      <w:r>
        <w:rPr>
          <w:rFonts w:ascii="Arial" w:hAnsi="Arial" w:cs="Arial"/>
          <w:b/>
          <w:sz w:val="24"/>
          <w:szCs w:val="24"/>
        </w:rPr>
        <w:t>Appearances:</w:t>
      </w:r>
    </w:p>
    <w:p w14:paraId="36DD8FF2" w14:textId="0983869B" w:rsidR="007646B8" w:rsidRPr="00855406" w:rsidRDefault="00166F80" w:rsidP="00CE076A">
      <w:pPr>
        <w:spacing w:line="240" w:lineRule="auto"/>
        <w:ind w:left="2160" w:hanging="1440"/>
        <w:rPr>
          <w:rFonts w:ascii="Arial" w:hAnsi="Arial" w:cs="Arial"/>
          <w:b/>
          <w:sz w:val="24"/>
          <w:szCs w:val="24"/>
        </w:rPr>
      </w:pPr>
      <w:r>
        <w:rPr>
          <w:rFonts w:ascii="Arial" w:hAnsi="Arial" w:cs="Arial"/>
          <w:sz w:val="24"/>
          <w:szCs w:val="24"/>
        </w:rPr>
        <w:t>Plaintiff</w:t>
      </w:r>
      <w:r w:rsidR="007646B8" w:rsidRPr="007646B8">
        <w:rPr>
          <w:rFonts w:ascii="Arial" w:hAnsi="Arial" w:cs="Arial"/>
          <w:sz w:val="24"/>
          <w:szCs w:val="24"/>
        </w:rPr>
        <w:t>:</w:t>
      </w:r>
      <w:r w:rsidR="00F34780">
        <w:rPr>
          <w:rFonts w:ascii="Arial" w:hAnsi="Arial" w:cs="Arial"/>
          <w:sz w:val="24"/>
          <w:szCs w:val="24"/>
        </w:rPr>
        <w:tab/>
      </w:r>
      <w:r w:rsidR="004263BF">
        <w:rPr>
          <w:rFonts w:ascii="Arial" w:hAnsi="Arial" w:cs="Arial"/>
          <w:sz w:val="24"/>
          <w:szCs w:val="24"/>
        </w:rPr>
        <w:t xml:space="preserve">N Ferreira, </w:t>
      </w:r>
      <w:r w:rsidR="00C36311">
        <w:rPr>
          <w:rFonts w:ascii="Arial" w:hAnsi="Arial" w:cs="Arial"/>
          <w:sz w:val="24"/>
          <w:szCs w:val="24"/>
        </w:rPr>
        <w:t>D Linde</w:t>
      </w:r>
      <w:r w:rsidR="004263BF">
        <w:rPr>
          <w:rFonts w:ascii="Arial" w:hAnsi="Arial" w:cs="Arial"/>
          <w:sz w:val="24"/>
          <w:szCs w:val="24"/>
        </w:rPr>
        <w:t xml:space="preserve"> &amp; M Makhubele</w:t>
      </w:r>
      <w:r w:rsidR="00C36311">
        <w:rPr>
          <w:rFonts w:ascii="Arial" w:hAnsi="Arial" w:cs="Arial"/>
          <w:sz w:val="24"/>
          <w:szCs w:val="24"/>
        </w:rPr>
        <w:t xml:space="preserve"> </w:t>
      </w:r>
      <w:r>
        <w:rPr>
          <w:rFonts w:ascii="Arial" w:hAnsi="Arial" w:cs="Arial"/>
          <w:sz w:val="24"/>
          <w:szCs w:val="24"/>
        </w:rPr>
        <w:t xml:space="preserve">instructed by </w:t>
      </w:r>
      <w:r w:rsidR="00C36311">
        <w:rPr>
          <w:rFonts w:ascii="Arial" w:hAnsi="Arial" w:cs="Arial"/>
          <w:sz w:val="24"/>
          <w:szCs w:val="24"/>
        </w:rPr>
        <w:t>Adams and Adams Attorneys</w:t>
      </w:r>
    </w:p>
    <w:p w14:paraId="6CE80EE1" w14:textId="58B7DE45" w:rsidR="007646B8" w:rsidRPr="007646B8" w:rsidRDefault="00166F80" w:rsidP="00855406">
      <w:pPr>
        <w:spacing w:line="240" w:lineRule="auto"/>
        <w:ind w:left="720"/>
        <w:rPr>
          <w:rFonts w:ascii="Arial" w:hAnsi="Arial" w:cs="Arial"/>
          <w:sz w:val="24"/>
          <w:szCs w:val="24"/>
        </w:rPr>
      </w:pPr>
      <w:r>
        <w:rPr>
          <w:rFonts w:ascii="Arial" w:hAnsi="Arial" w:cs="Arial"/>
          <w:sz w:val="24"/>
          <w:szCs w:val="24"/>
        </w:rPr>
        <w:t>Defendant</w:t>
      </w:r>
      <w:r w:rsidR="007646B8" w:rsidRPr="007646B8">
        <w:rPr>
          <w:rFonts w:ascii="Arial" w:hAnsi="Arial" w:cs="Arial"/>
          <w:sz w:val="24"/>
          <w:szCs w:val="24"/>
        </w:rPr>
        <w:t>:</w:t>
      </w:r>
      <w:r w:rsidR="00F34780">
        <w:rPr>
          <w:rFonts w:ascii="Arial" w:hAnsi="Arial" w:cs="Arial"/>
          <w:sz w:val="24"/>
          <w:szCs w:val="24"/>
        </w:rPr>
        <w:tab/>
      </w:r>
      <w:r w:rsidR="00C36311">
        <w:rPr>
          <w:rFonts w:ascii="Arial" w:hAnsi="Arial" w:cs="Arial"/>
          <w:sz w:val="24"/>
          <w:szCs w:val="24"/>
        </w:rPr>
        <w:t xml:space="preserve">T Strydom SC &amp; L Kotze </w:t>
      </w:r>
      <w:r>
        <w:rPr>
          <w:rFonts w:ascii="Arial" w:hAnsi="Arial" w:cs="Arial"/>
          <w:sz w:val="24"/>
          <w:szCs w:val="24"/>
        </w:rPr>
        <w:t>instructed by</w:t>
      </w:r>
      <w:r w:rsidR="00C36311">
        <w:rPr>
          <w:rFonts w:ascii="Arial" w:hAnsi="Arial" w:cs="Arial"/>
          <w:sz w:val="24"/>
          <w:szCs w:val="24"/>
        </w:rPr>
        <w:t xml:space="preserve"> Mothle Jooma Sabdia Inc</w:t>
      </w:r>
    </w:p>
    <w:sectPr w:rsidR="007646B8" w:rsidRPr="007646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1096" w14:textId="77777777" w:rsidR="00B34FCC" w:rsidRDefault="00B34FCC" w:rsidP="009227E2">
      <w:pPr>
        <w:spacing w:after="0" w:line="240" w:lineRule="auto"/>
      </w:pPr>
      <w:r>
        <w:separator/>
      </w:r>
    </w:p>
  </w:endnote>
  <w:endnote w:type="continuationSeparator" w:id="0">
    <w:p w14:paraId="7FA617AF" w14:textId="77777777" w:rsidR="00B34FCC" w:rsidRDefault="00B34FCC" w:rsidP="0092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62495"/>
      <w:docPartObj>
        <w:docPartGallery w:val="Page Numbers (Bottom of Page)"/>
        <w:docPartUnique/>
      </w:docPartObj>
    </w:sdtPr>
    <w:sdtEndPr>
      <w:rPr>
        <w:noProof/>
      </w:rPr>
    </w:sdtEndPr>
    <w:sdtContent>
      <w:p w14:paraId="38353559" w14:textId="7B236181" w:rsidR="00CE076A" w:rsidRDefault="00CE076A">
        <w:pPr>
          <w:pStyle w:val="Footer"/>
          <w:jc w:val="right"/>
        </w:pPr>
        <w:r>
          <w:fldChar w:fldCharType="begin"/>
        </w:r>
        <w:r>
          <w:instrText xml:space="preserve"> PAGE   \* MERGEFORMAT </w:instrText>
        </w:r>
        <w:r>
          <w:fldChar w:fldCharType="separate"/>
        </w:r>
        <w:r w:rsidR="004F43F3">
          <w:rPr>
            <w:noProof/>
          </w:rPr>
          <w:t>34</w:t>
        </w:r>
        <w:r>
          <w:rPr>
            <w:noProof/>
          </w:rPr>
          <w:fldChar w:fldCharType="end"/>
        </w:r>
      </w:p>
    </w:sdtContent>
  </w:sdt>
  <w:p w14:paraId="6C4C5957" w14:textId="77777777" w:rsidR="00CE076A" w:rsidRDefault="00CE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2D9C" w14:textId="77777777" w:rsidR="00B34FCC" w:rsidRDefault="00B34FCC" w:rsidP="009227E2">
      <w:pPr>
        <w:spacing w:after="0" w:line="240" w:lineRule="auto"/>
      </w:pPr>
      <w:r>
        <w:separator/>
      </w:r>
    </w:p>
  </w:footnote>
  <w:footnote w:type="continuationSeparator" w:id="0">
    <w:p w14:paraId="3F0B1A68" w14:textId="77777777" w:rsidR="00B34FCC" w:rsidRDefault="00B34FCC" w:rsidP="009227E2">
      <w:pPr>
        <w:spacing w:after="0" w:line="240" w:lineRule="auto"/>
      </w:pPr>
      <w:r>
        <w:continuationSeparator/>
      </w:r>
    </w:p>
  </w:footnote>
  <w:footnote w:id="1">
    <w:p w14:paraId="6A8E30FA" w14:textId="77777777" w:rsidR="00CE076A" w:rsidRPr="006F5B97" w:rsidRDefault="00CE076A">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The SCA granted leave on </w:t>
      </w:r>
      <w:r w:rsidRPr="006F5B97">
        <w:rPr>
          <w:rFonts w:ascii="Arial" w:hAnsi="Arial" w:cs="Arial"/>
          <w:sz w:val="18"/>
          <w:szCs w:val="18"/>
          <w:lang w:val="en-US"/>
        </w:rPr>
        <w:t>7 March 2022.</w:t>
      </w:r>
    </w:p>
  </w:footnote>
  <w:footnote w:id="2">
    <w:p w14:paraId="6BF9E047" w14:textId="77777777" w:rsidR="00CE076A" w:rsidRPr="006F5B97" w:rsidRDefault="00CE076A">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6F5B97">
        <w:rPr>
          <w:rFonts w:ascii="Arial" w:hAnsi="Arial" w:cs="Arial"/>
          <w:sz w:val="18"/>
          <w:szCs w:val="18"/>
          <w:lang w:val="en-US"/>
        </w:rPr>
        <w:t>Under case number 40019/2013.</w:t>
      </w:r>
    </w:p>
  </w:footnote>
  <w:footnote w:id="3">
    <w:p w14:paraId="6C1DEE7D" w14:textId="11F9B5C2" w:rsidR="00CE076A" w:rsidRPr="006F5B97" w:rsidRDefault="00CE076A">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6F5B97">
        <w:rPr>
          <w:rFonts w:ascii="Arial" w:hAnsi="Arial" w:cs="Arial"/>
          <w:sz w:val="18"/>
          <w:szCs w:val="18"/>
          <w:lang w:val="en-US"/>
        </w:rPr>
        <w:t>Under case number 724/2017.</w:t>
      </w:r>
    </w:p>
  </w:footnote>
  <w:footnote w:id="4">
    <w:p w14:paraId="5353246D" w14:textId="33BE9723" w:rsidR="00CE076A" w:rsidRPr="001E13FF" w:rsidRDefault="00CE076A" w:rsidP="001E13FF">
      <w:pPr>
        <w:pStyle w:val="FootnoteText"/>
        <w:rPr>
          <w:rFonts w:ascii="Arial" w:hAnsi="Arial" w:cs="Arial"/>
          <w:sz w:val="18"/>
          <w:szCs w:val="18"/>
          <w:lang w:val="en-US"/>
        </w:rPr>
      </w:pPr>
      <w:r w:rsidRPr="001E13FF">
        <w:rPr>
          <w:rStyle w:val="FootnoteReference"/>
          <w:rFonts w:ascii="Arial" w:hAnsi="Arial" w:cs="Arial"/>
          <w:sz w:val="18"/>
          <w:szCs w:val="18"/>
        </w:rPr>
        <w:footnoteRef/>
      </w:r>
      <w:r w:rsidRPr="001E13FF">
        <w:rPr>
          <w:rFonts w:ascii="Arial" w:hAnsi="Arial" w:cs="Arial"/>
          <w:sz w:val="18"/>
          <w:szCs w:val="18"/>
        </w:rPr>
        <w:t xml:space="preserve"> </w:t>
      </w:r>
      <w:r w:rsidRPr="001E13FF">
        <w:rPr>
          <w:rFonts w:ascii="Arial" w:hAnsi="Arial" w:cs="Arial"/>
          <w:sz w:val="18"/>
          <w:szCs w:val="18"/>
          <w:lang w:val="en-US"/>
        </w:rPr>
        <w:t>This notwithstanding that provision had been made in the policy of the Kungwini Municipality for a rateable category of ‘vacant land’, a category that had never been applied.</w:t>
      </w:r>
    </w:p>
  </w:footnote>
  <w:footnote w:id="5">
    <w:p w14:paraId="37A93C8B" w14:textId="40633FA6" w:rsidR="00CE076A" w:rsidRPr="006F5B97" w:rsidRDefault="00CE076A">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6F5B97">
        <w:rPr>
          <w:rFonts w:ascii="Arial" w:hAnsi="Arial" w:cs="Arial"/>
          <w:sz w:val="18"/>
          <w:szCs w:val="18"/>
          <w:lang w:val="en-US"/>
        </w:rPr>
        <w:t xml:space="preserve">This example appears from </w:t>
      </w:r>
      <w:r>
        <w:rPr>
          <w:rFonts w:ascii="Arial" w:hAnsi="Arial" w:cs="Arial"/>
          <w:sz w:val="18"/>
          <w:szCs w:val="18"/>
          <w:lang w:val="en-US"/>
        </w:rPr>
        <w:t xml:space="preserve">Tuchten J’s </w:t>
      </w:r>
      <w:r w:rsidRPr="006F5B97">
        <w:rPr>
          <w:rFonts w:ascii="Arial" w:hAnsi="Arial" w:cs="Arial"/>
          <w:sz w:val="18"/>
          <w:szCs w:val="18"/>
          <w:lang w:val="en-US"/>
        </w:rPr>
        <w:t>judgment</w:t>
      </w:r>
      <w:r>
        <w:rPr>
          <w:rFonts w:ascii="Arial" w:hAnsi="Arial" w:cs="Arial"/>
          <w:sz w:val="18"/>
          <w:szCs w:val="18"/>
          <w:lang w:val="en-US"/>
        </w:rPr>
        <w:t xml:space="preserve"> at</w:t>
      </w:r>
      <w:r w:rsidRPr="006F5B97">
        <w:rPr>
          <w:rFonts w:ascii="Arial" w:hAnsi="Arial" w:cs="Arial"/>
          <w:sz w:val="18"/>
          <w:szCs w:val="18"/>
          <w:lang w:val="en-US"/>
        </w:rPr>
        <w:t xml:space="preserve"> para 3.</w:t>
      </w:r>
    </w:p>
  </w:footnote>
  <w:footnote w:id="6">
    <w:p w14:paraId="72847D41" w14:textId="77777777" w:rsidR="00CE076A" w:rsidRPr="006F5B97" w:rsidRDefault="00CE076A" w:rsidP="002C3566">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6F5B97">
        <w:rPr>
          <w:rFonts w:ascii="Arial" w:hAnsi="Arial" w:cs="Arial"/>
          <w:sz w:val="18"/>
          <w:szCs w:val="18"/>
          <w:lang w:val="en-US"/>
        </w:rPr>
        <w:t xml:space="preserve">The order, in substantive part, reads: </w:t>
      </w:r>
    </w:p>
    <w:p w14:paraId="5FC621DE" w14:textId="23ABF2F7"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1.</w:t>
      </w:r>
      <w:r w:rsidRPr="006F5B97">
        <w:rPr>
          <w:rFonts w:ascii="Arial" w:hAnsi="Arial" w:cs="Arial"/>
          <w:sz w:val="18"/>
          <w:szCs w:val="18"/>
          <w:lang w:val="en-US"/>
        </w:rPr>
        <w:tab/>
      </w:r>
      <w:r w:rsidR="00CE076A" w:rsidRPr="006F5B97">
        <w:rPr>
          <w:rFonts w:ascii="Arial" w:hAnsi="Arial" w:cs="Arial"/>
          <w:sz w:val="18"/>
          <w:szCs w:val="18"/>
          <w:lang w:val="en-US"/>
        </w:rPr>
        <w:t>…</w:t>
      </w:r>
    </w:p>
    <w:p w14:paraId="4F0E3A35" w14:textId="09D3F6B3"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2.</w:t>
      </w:r>
      <w:r w:rsidRPr="006F5B97">
        <w:rPr>
          <w:rFonts w:ascii="Arial" w:hAnsi="Arial" w:cs="Arial"/>
          <w:sz w:val="18"/>
          <w:szCs w:val="18"/>
          <w:lang w:val="en-US"/>
        </w:rPr>
        <w:tab/>
      </w:r>
      <w:r w:rsidR="00CE076A" w:rsidRPr="006F5B97">
        <w:rPr>
          <w:rFonts w:ascii="Arial" w:hAnsi="Arial" w:cs="Arial"/>
          <w:sz w:val="18"/>
          <w:szCs w:val="18"/>
          <w:lang w:val="en-US"/>
        </w:rPr>
        <w:t>The respondent’s 2012 supplementary valuation roll is declared invalid and set aside to the extent that it re-categorizes as ‘Vacant’ properties situated in the municipal area of the former Kungwini local municipality formerly categorized as ‘residential’ (the affected properties).</w:t>
      </w:r>
    </w:p>
    <w:p w14:paraId="6FDBE70E" w14:textId="416CE683"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3.</w:t>
      </w:r>
      <w:r w:rsidRPr="006F5B97">
        <w:rPr>
          <w:rFonts w:ascii="Arial" w:hAnsi="Arial" w:cs="Arial"/>
          <w:sz w:val="18"/>
          <w:szCs w:val="18"/>
          <w:lang w:val="en-US"/>
        </w:rPr>
        <w:tab/>
      </w:r>
      <w:r w:rsidR="00CE076A" w:rsidRPr="006F5B97">
        <w:rPr>
          <w:rFonts w:ascii="Arial" w:hAnsi="Arial" w:cs="Arial"/>
          <w:sz w:val="18"/>
          <w:szCs w:val="18"/>
          <w:lang w:val="en-US"/>
        </w:rPr>
        <w:t>The respondent’s 2013 general valuation roll and all subsequent valuation rolls of the respondent are declared invalid and set aside to the extent that they categorise</w:t>
      </w:r>
      <w:r w:rsidR="00CE076A">
        <w:rPr>
          <w:rFonts w:ascii="Arial" w:hAnsi="Arial" w:cs="Arial"/>
          <w:sz w:val="18"/>
          <w:szCs w:val="18"/>
          <w:lang w:val="en-US"/>
        </w:rPr>
        <w:t>d</w:t>
      </w:r>
      <w:r w:rsidR="00CE076A" w:rsidRPr="006F5B97">
        <w:rPr>
          <w:rFonts w:ascii="Arial" w:hAnsi="Arial" w:cs="Arial"/>
          <w:sz w:val="18"/>
          <w:szCs w:val="18"/>
          <w:lang w:val="en-US"/>
        </w:rPr>
        <w:t xml:space="preserve"> the affected properties as ‘Vacant’ unless and until the affe</w:t>
      </w:r>
      <w:r w:rsidR="00CE076A">
        <w:rPr>
          <w:rFonts w:ascii="Arial" w:hAnsi="Arial" w:cs="Arial"/>
          <w:sz w:val="18"/>
          <w:szCs w:val="18"/>
          <w:lang w:val="en-US"/>
        </w:rPr>
        <w:t>cted properties are lawfully re</w:t>
      </w:r>
      <w:r w:rsidR="00CE076A" w:rsidRPr="006F5B97">
        <w:rPr>
          <w:rFonts w:ascii="Arial" w:hAnsi="Arial" w:cs="Arial"/>
          <w:sz w:val="18"/>
          <w:szCs w:val="18"/>
          <w:lang w:val="en-US"/>
        </w:rPr>
        <w:t>categorised as such.</w:t>
      </w:r>
    </w:p>
    <w:p w14:paraId="623C0230" w14:textId="2DEEE8FC"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4.</w:t>
      </w:r>
      <w:r w:rsidRPr="006F5B97">
        <w:rPr>
          <w:rFonts w:ascii="Arial" w:hAnsi="Arial" w:cs="Arial"/>
          <w:sz w:val="18"/>
          <w:szCs w:val="18"/>
          <w:lang w:val="en-US"/>
        </w:rPr>
        <w:tab/>
      </w:r>
      <w:r w:rsidR="00CE076A" w:rsidRPr="006F5B97">
        <w:rPr>
          <w:rFonts w:ascii="Arial" w:hAnsi="Arial" w:cs="Arial"/>
          <w:sz w:val="18"/>
          <w:szCs w:val="18"/>
          <w:lang w:val="en-US"/>
        </w:rPr>
        <w:t>The imposition by the respondent of the assessment rate applicable to vacant land on those of the affected properties which belonged to the applicants on 28 June 2013, the date upon which this review application was instituted, is declared invalid and set aside.</w:t>
      </w:r>
    </w:p>
    <w:p w14:paraId="332CE040" w14:textId="1041232B"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5.</w:t>
      </w:r>
      <w:r w:rsidRPr="006F5B97">
        <w:rPr>
          <w:rFonts w:ascii="Arial" w:hAnsi="Arial" w:cs="Arial"/>
          <w:sz w:val="18"/>
          <w:szCs w:val="18"/>
          <w:lang w:val="en-US"/>
        </w:rPr>
        <w:tab/>
      </w:r>
      <w:r w:rsidR="00CE076A" w:rsidRPr="006F5B97">
        <w:rPr>
          <w:rFonts w:ascii="Arial" w:hAnsi="Arial" w:cs="Arial"/>
          <w:sz w:val="18"/>
          <w:szCs w:val="18"/>
          <w:lang w:val="en-US"/>
        </w:rPr>
        <w:t>Item 5.1.5(d) of the respondent’s rates policy with effective date 1 July 2011, (as amended (pp 784-799 of the record) is declared invalid and set aside.</w:t>
      </w:r>
    </w:p>
    <w:p w14:paraId="5BA3D7E8" w14:textId="425349C0"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6.</w:t>
      </w:r>
      <w:r w:rsidRPr="006F5B97">
        <w:rPr>
          <w:rFonts w:ascii="Arial" w:hAnsi="Arial" w:cs="Arial"/>
          <w:sz w:val="18"/>
          <w:szCs w:val="18"/>
          <w:lang w:val="en-US"/>
        </w:rPr>
        <w:tab/>
      </w:r>
      <w:r w:rsidR="00CE076A" w:rsidRPr="006F5B97">
        <w:rPr>
          <w:rFonts w:ascii="Arial" w:hAnsi="Arial" w:cs="Arial"/>
          <w:sz w:val="18"/>
          <w:szCs w:val="18"/>
          <w:lang w:val="en-US"/>
        </w:rPr>
        <w:t>The respondent is prohibited from further implementing any of the decisions mentioned above in this order to the extent that they have been set aside.</w:t>
      </w:r>
    </w:p>
    <w:p w14:paraId="379EC542" w14:textId="288CF302"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7.</w:t>
      </w:r>
      <w:r w:rsidRPr="006F5B97">
        <w:rPr>
          <w:rFonts w:ascii="Arial" w:hAnsi="Arial" w:cs="Arial"/>
          <w:sz w:val="18"/>
          <w:szCs w:val="18"/>
          <w:lang w:val="en-US"/>
        </w:rPr>
        <w:tab/>
      </w:r>
      <w:r w:rsidR="00CE076A" w:rsidRPr="006F5B97">
        <w:rPr>
          <w:rFonts w:ascii="Arial" w:hAnsi="Arial" w:cs="Arial"/>
          <w:sz w:val="18"/>
          <w:szCs w:val="18"/>
          <w:lang w:val="en-US"/>
        </w:rPr>
        <w:t>Pursuant to the applicants’ tender made through counsel, the applicants are directed to pay rates to the respondent in respect of the affected properties immediately preceding the coming into operation of the respondent’s 2012 supplementary valuation roll until the rate applicable to such properties changed according to law.</w:t>
      </w:r>
    </w:p>
    <w:p w14:paraId="610256FB" w14:textId="61A8ECAF" w:rsidR="00CE076A" w:rsidRPr="006F5B97" w:rsidRDefault="0052701D" w:rsidP="0052701D">
      <w:pPr>
        <w:pStyle w:val="FootnoteText"/>
        <w:ind w:left="720" w:hanging="360"/>
        <w:rPr>
          <w:rFonts w:ascii="Arial" w:hAnsi="Arial" w:cs="Arial"/>
          <w:sz w:val="18"/>
          <w:szCs w:val="18"/>
          <w:lang w:val="en-US"/>
        </w:rPr>
      </w:pPr>
      <w:r w:rsidRPr="006F5B97">
        <w:rPr>
          <w:rFonts w:ascii="Arial" w:hAnsi="Arial" w:cs="Arial"/>
          <w:sz w:val="18"/>
          <w:szCs w:val="18"/>
          <w:lang w:val="en-US"/>
        </w:rPr>
        <w:t>8.</w:t>
      </w:r>
      <w:r w:rsidRPr="006F5B97">
        <w:rPr>
          <w:rFonts w:ascii="Arial" w:hAnsi="Arial" w:cs="Arial"/>
          <w:sz w:val="18"/>
          <w:szCs w:val="18"/>
          <w:lang w:val="en-US"/>
        </w:rPr>
        <w:tab/>
      </w:r>
      <w:r w:rsidR="00CE076A" w:rsidRPr="006F5B97">
        <w:rPr>
          <w:rFonts w:ascii="Arial" w:hAnsi="Arial" w:cs="Arial"/>
          <w:sz w:val="18"/>
          <w:szCs w:val="18"/>
          <w:lang w:val="en-US"/>
        </w:rPr>
        <w:t>The decision to implement the 2013 general valuation roll is remitted to the respondent to consider afresh the appropriate categorization of the affected properties and the rate which should be levied upon the affected properties, with due regard to the provisions of the Municipal Property Rates Act 6 of 2004, to other applicable legislation and to this judgment.</w:t>
      </w:r>
    </w:p>
    <w:p w14:paraId="31CFCB81" w14:textId="1F2821E4" w:rsidR="00CE076A" w:rsidRPr="006F5B97" w:rsidRDefault="0052701D" w:rsidP="0052701D">
      <w:pPr>
        <w:pStyle w:val="FootnoteText"/>
        <w:ind w:left="720" w:hanging="360"/>
        <w:rPr>
          <w:sz w:val="18"/>
          <w:szCs w:val="18"/>
          <w:lang w:val="en-US"/>
        </w:rPr>
      </w:pPr>
      <w:r w:rsidRPr="006F5B97">
        <w:rPr>
          <w:sz w:val="18"/>
          <w:szCs w:val="18"/>
          <w:lang w:val="en-US"/>
        </w:rPr>
        <w:t>9.</w:t>
      </w:r>
      <w:r w:rsidRPr="006F5B97">
        <w:rPr>
          <w:sz w:val="18"/>
          <w:szCs w:val="18"/>
          <w:lang w:val="en-US"/>
        </w:rPr>
        <w:tab/>
      </w:r>
      <w:r w:rsidR="00CE076A" w:rsidRPr="006F5B97">
        <w:rPr>
          <w:rFonts w:ascii="Arial" w:hAnsi="Arial" w:cs="Arial"/>
          <w:sz w:val="18"/>
          <w:szCs w:val="18"/>
          <w:lang w:val="en-US"/>
        </w:rPr>
        <w:t>Except as expressly stated in this order, decisions taken and acts performed under and pursuant to any of the valuation rolls mentioned in this order are not invalid merely because of the invalidity of such valuation rolls themselves.</w:t>
      </w:r>
    </w:p>
  </w:footnote>
  <w:footnote w:id="7">
    <w:p w14:paraId="0BBED20F" w14:textId="576E2398" w:rsidR="00CE076A" w:rsidRPr="006F5B97" w:rsidRDefault="00CE076A" w:rsidP="002C3566">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6F5B97">
        <w:rPr>
          <w:rFonts w:ascii="Arial" w:hAnsi="Arial" w:cs="Arial"/>
          <w:sz w:val="18"/>
          <w:szCs w:val="18"/>
          <w:lang w:val="en-US"/>
        </w:rPr>
        <w:t>See paras 37 to 46 of the judgment where the issue is dealt with, with reference specifically to section 49 of the Rates Act and Regulation 4 of the Municipal Property Rates Regulations 2006 published in GN R1036 in GG29304 on 18 October 2006.</w:t>
      </w:r>
    </w:p>
  </w:footnote>
  <w:footnote w:id="8">
    <w:p w14:paraId="328D33C9" w14:textId="31B8F461" w:rsidR="00CE076A" w:rsidRPr="006F5B97" w:rsidRDefault="00CE076A" w:rsidP="006F5B97">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6F5B97">
        <w:rPr>
          <w:rFonts w:ascii="Arial" w:hAnsi="Arial" w:cs="Arial"/>
          <w:sz w:val="18"/>
          <w:szCs w:val="18"/>
          <w:lang w:val="en-US"/>
        </w:rPr>
        <w:t xml:space="preserve">See para 56 of the judgment, with reference to </w:t>
      </w:r>
      <w:r w:rsidRPr="006F5B97">
        <w:rPr>
          <w:rFonts w:ascii="Arial" w:hAnsi="Arial" w:cs="Arial"/>
          <w:i/>
          <w:sz w:val="18"/>
          <w:szCs w:val="18"/>
          <w:lang w:val="en-US"/>
        </w:rPr>
        <w:t xml:space="preserve">Seale v Van Rooyen NO and others; Provincial Government, North West Province v Van Rooyen NO and others </w:t>
      </w:r>
      <w:r w:rsidRPr="006F5B97">
        <w:rPr>
          <w:rFonts w:ascii="Arial" w:hAnsi="Arial" w:cs="Arial"/>
          <w:sz w:val="18"/>
          <w:szCs w:val="18"/>
          <w:lang w:val="en-US"/>
        </w:rPr>
        <w:t>2008</w:t>
      </w:r>
      <w:r>
        <w:rPr>
          <w:rFonts w:ascii="Arial" w:hAnsi="Arial" w:cs="Arial"/>
          <w:sz w:val="18"/>
          <w:szCs w:val="18"/>
          <w:lang w:val="en-US"/>
        </w:rPr>
        <w:t xml:space="preserve"> </w:t>
      </w:r>
      <w:r w:rsidRPr="006F5B97">
        <w:rPr>
          <w:rFonts w:ascii="Arial" w:hAnsi="Arial" w:cs="Arial"/>
          <w:sz w:val="18"/>
          <w:szCs w:val="18"/>
          <w:lang w:val="en-US"/>
        </w:rPr>
        <w:t>(4) SA 43 (SCA)</w:t>
      </w:r>
      <w:r>
        <w:rPr>
          <w:rFonts w:ascii="Arial" w:hAnsi="Arial" w:cs="Arial"/>
          <w:sz w:val="18"/>
          <w:szCs w:val="18"/>
          <w:lang w:val="en-US"/>
        </w:rPr>
        <w:t xml:space="preserve"> at</w:t>
      </w:r>
      <w:r w:rsidRPr="006F5B97">
        <w:rPr>
          <w:rFonts w:ascii="Arial" w:hAnsi="Arial" w:cs="Arial"/>
          <w:sz w:val="18"/>
          <w:szCs w:val="18"/>
          <w:lang w:val="en-US"/>
        </w:rPr>
        <w:t xml:space="preserve"> para 13.</w:t>
      </w:r>
    </w:p>
  </w:footnote>
  <w:footnote w:id="9">
    <w:p w14:paraId="6E08718B" w14:textId="1F83FED6" w:rsidR="00CE076A" w:rsidRPr="006F5B97" w:rsidRDefault="00CE076A">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6F5B97">
        <w:rPr>
          <w:rFonts w:ascii="Arial" w:hAnsi="Arial" w:cs="Arial"/>
          <w:sz w:val="18"/>
          <w:szCs w:val="18"/>
          <w:lang w:val="en-US"/>
        </w:rPr>
        <w:t>See para 58.</w:t>
      </w:r>
    </w:p>
  </w:footnote>
  <w:footnote w:id="10">
    <w:p w14:paraId="54F8E54B" w14:textId="25D42A2A" w:rsidR="00CE076A" w:rsidRPr="009D643C" w:rsidRDefault="00CE076A" w:rsidP="00395C43">
      <w:pPr>
        <w:pStyle w:val="FootnoteText"/>
        <w:rPr>
          <w:rFonts w:ascii="Arial" w:hAnsi="Arial" w:cs="Arial"/>
          <w:sz w:val="18"/>
          <w:szCs w:val="18"/>
          <w:lang w:val="en-US"/>
        </w:rPr>
      </w:pPr>
      <w:r w:rsidRPr="006F5B97">
        <w:rPr>
          <w:rStyle w:val="FootnoteReference"/>
          <w:rFonts w:ascii="Arial" w:hAnsi="Arial" w:cs="Arial"/>
          <w:sz w:val="18"/>
          <w:szCs w:val="18"/>
        </w:rPr>
        <w:footnoteRef/>
      </w:r>
      <w:r w:rsidRPr="006F5B97">
        <w:rPr>
          <w:rFonts w:ascii="Arial" w:hAnsi="Arial" w:cs="Arial"/>
          <w:sz w:val="18"/>
          <w:szCs w:val="18"/>
        </w:rPr>
        <w:t xml:space="preserve"> </w:t>
      </w:r>
      <w:r w:rsidRPr="001E13FF">
        <w:rPr>
          <w:rFonts w:ascii="Arial" w:hAnsi="Arial" w:cs="Arial"/>
          <w:i/>
          <w:sz w:val="18"/>
          <w:szCs w:val="18"/>
        </w:rPr>
        <w:t>City of Tshwane Metropolitan Municipality v Lombardy Development (Pty) Ltd &amp; others</w:t>
      </w:r>
      <w:r>
        <w:rPr>
          <w:rFonts w:ascii="Arial" w:hAnsi="Arial" w:cs="Arial"/>
          <w:sz w:val="18"/>
          <w:szCs w:val="18"/>
        </w:rPr>
        <w:t xml:space="preserve"> [2018] ZASCA 77. </w:t>
      </w:r>
      <w:r w:rsidRPr="006F5B97">
        <w:rPr>
          <w:rFonts w:ascii="Arial" w:hAnsi="Arial" w:cs="Arial"/>
          <w:sz w:val="18"/>
          <w:szCs w:val="18"/>
          <w:lang w:val="en-US"/>
        </w:rPr>
        <w:t>The SCA’s judgment was written by Ponnan JA</w:t>
      </w:r>
      <w:r>
        <w:rPr>
          <w:rFonts w:ascii="Arial" w:hAnsi="Arial" w:cs="Arial"/>
          <w:sz w:val="18"/>
          <w:szCs w:val="18"/>
          <w:lang w:val="en-US"/>
        </w:rPr>
        <w:t>, with Majiedt, Seriti JJA, Pillay and Makgoka AJJA concurring.</w:t>
      </w:r>
      <w:r w:rsidRPr="006F5B97">
        <w:rPr>
          <w:rFonts w:ascii="Arial" w:hAnsi="Arial" w:cs="Arial"/>
          <w:sz w:val="18"/>
          <w:szCs w:val="18"/>
          <w:lang w:val="en-US"/>
        </w:rPr>
        <w:t xml:space="preserve"> </w:t>
      </w:r>
      <w:r>
        <w:rPr>
          <w:rFonts w:ascii="Arial" w:hAnsi="Arial" w:cs="Arial"/>
          <w:sz w:val="18"/>
          <w:szCs w:val="18"/>
          <w:lang w:val="en-US"/>
        </w:rPr>
        <w:t>It should be noted that paras 5 and 6 of the judgment of Tuchten J were set aside on appeal.  The respondents in the appeal (the appellants in this case) conceded that they be set aside.  See para 29.</w:t>
      </w:r>
    </w:p>
  </w:footnote>
  <w:footnote w:id="11">
    <w:p w14:paraId="6B815B90" w14:textId="57625F9A" w:rsidR="00CE076A" w:rsidRPr="000F2A3F" w:rsidRDefault="00CE076A">
      <w:pPr>
        <w:pStyle w:val="FootnoteText"/>
        <w:rPr>
          <w:rFonts w:ascii="Arial" w:hAnsi="Arial" w:cs="Arial"/>
          <w:sz w:val="18"/>
          <w:szCs w:val="18"/>
          <w:lang w:val="en-US"/>
        </w:rPr>
      </w:pPr>
      <w:r w:rsidRPr="000F2A3F">
        <w:rPr>
          <w:rStyle w:val="FootnoteReference"/>
          <w:rFonts w:ascii="Arial" w:hAnsi="Arial" w:cs="Arial"/>
          <w:sz w:val="18"/>
          <w:szCs w:val="18"/>
        </w:rPr>
        <w:footnoteRef/>
      </w:r>
      <w:r w:rsidRPr="000F2A3F">
        <w:rPr>
          <w:rFonts w:ascii="Arial" w:hAnsi="Arial" w:cs="Arial"/>
          <w:sz w:val="18"/>
          <w:szCs w:val="18"/>
        </w:rPr>
        <w:t xml:space="preserve"> </w:t>
      </w:r>
      <w:r w:rsidRPr="000F2A3F">
        <w:rPr>
          <w:rFonts w:ascii="Arial" w:hAnsi="Arial" w:cs="Arial"/>
          <w:sz w:val="18"/>
          <w:szCs w:val="18"/>
          <w:lang w:val="en-US"/>
        </w:rPr>
        <w:t>See para 20.</w:t>
      </w:r>
    </w:p>
  </w:footnote>
  <w:footnote w:id="12">
    <w:p w14:paraId="5CA2A40A" w14:textId="3C27DE80" w:rsidR="00CE076A" w:rsidRPr="000F2A3F" w:rsidRDefault="00CE076A">
      <w:pPr>
        <w:pStyle w:val="FootnoteText"/>
        <w:rPr>
          <w:rFonts w:ascii="Arial" w:hAnsi="Arial" w:cs="Arial"/>
          <w:sz w:val="18"/>
          <w:szCs w:val="18"/>
          <w:lang w:val="en-US"/>
        </w:rPr>
      </w:pPr>
      <w:r w:rsidRPr="000F2A3F">
        <w:rPr>
          <w:rStyle w:val="FootnoteReference"/>
          <w:rFonts w:ascii="Arial" w:hAnsi="Arial" w:cs="Arial"/>
          <w:sz w:val="18"/>
          <w:szCs w:val="18"/>
        </w:rPr>
        <w:footnoteRef/>
      </w:r>
      <w:r w:rsidRPr="000F2A3F">
        <w:rPr>
          <w:rFonts w:ascii="Arial" w:hAnsi="Arial" w:cs="Arial"/>
          <w:sz w:val="18"/>
          <w:szCs w:val="18"/>
        </w:rPr>
        <w:t xml:space="preserve"> </w:t>
      </w:r>
      <w:r w:rsidRPr="000F2A3F">
        <w:rPr>
          <w:rFonts w:ascii="Arial" w:hAnsi="Arial" w:cs="Arial"/>
          <w:sz w:val="18"/>
          <w:szCs w:val="18"/>
          <w:lang w:val="en-US"/>
        </w:rPr>
        <w:t>See para 23.</w:t>
      </w:r>
    </w:p>
  </w:footnote>
  <w:footnote w:id="13">
    <w:p w14:paraId="667BEFDE" w14:textId="608FA50C" w:rsidR="00CE076A" w:rsidRPr="004B2690" w:rsidRDefault="00CE076A" w:rsidP="004B2690">
      <w:pPr>
        <w:pStyle w:val="FootnoteText"/>
        <w:rPr>
          <w:rFonts w:ascii="Arial" w:hAnsi="Arial" w:cs="Arial"/>
          <w:sz w:val="18"/>
          <w:szCs w:val="18"/>
          <w:lang w:val="en-US"/>
        </w:rPr>
      </w:pPr>
      <w:r w:rsidRPr="004B2690">
        <w:rPr>
          <w:rStyle w:val="FootnoteReference"/>
          <w:rFonts w:ascii="Arial" w:hAnsi="Arial" w:cs="Arial"/>
          <w:sz w:val="18"/>
          <w:szCs w:val="18"/>
        </w:rPr>
        <w:footnoteRef/>
      </w:r>
      <w:r w:rsidRPr="004B2690">
        <w:rPr>
          <w:rFonts w:ascii="Arial" w:hAnsi="Arial" w:cs="Arial"/>
          <w:sz w:val="18"/>
          <w:szCs w:val="18"/>
        </w:rPr>
        <w:t xml:space="preserve"> The latter point is difficult to understand as it was disclosed in the founding affidavit that in fact the lists were given albeit on a without prejudice basis.</w:t>
      </w:r>
    </w:p>
  </w:footnote>
  <w:footnote w:id="14">
    <w:p w14:paraId="3BAE087E" w14:textId="01BBA151" w:rsidR="00CE076A" w:rsidRPr="00973502" w:rsidRDefault="00CE076A">
      <w:pPr>
        <w:pStyle w:val="FootnoteText"/>
        <w:rPr>
          <w:rFonts w:ascii="Arial" w:hAnsi="Arial" w:cs="Arial"/>
          <w:sz w:val="18"/>
          <w:szCs w:val="18"/>
          <w:lang w:val="en-US"/>
        </w:rPr>
      </w:pPr>
      <w:r w:rsidRPr="00973502">
        <w:rPr>
          <w:rStyle w:val="FootnoteReference"/>
          <w:rFonts w:ascii="Arial" w:hAnsi="Arial" w:cs="Arial"/>
          <w:sz w:val="18"/>
          <w:szCs w:val="18"/>
        </w:rPr>
        <w:footnoteRef/>
      </w:r>
      <w:r w:rsidRPr="00973502">
        <w:rPr>
          <w:rFonts w:ascii="Arial" w:hAnsi="Arial" w:cs="Arial"/>
          <w:sz w:val="18"/>
          <w:szCs w:val="18"/>
        </w:rPr>
        <w:t xml:space="preserve"> </w:t>
      </w:r>
      <w:r w:rsidRPr="00973502">
        <w:rPr>
          <w:rFonts w:ascii="Arial" w:hAnsi="Arial" w:cs="Arial"/>
          <w:i/>
          <w:sz w:val="18"/>
          <w:szCs w:val="18"/>
        </w:rPr>
        <w:t>Finishing Touch 163 (Pty) Ltd v BHP Billiton</w:t>
      </w:r>
      <w:r w:rsidRPr="00973502">
        <w:rPr>
          <w:rFonts w:ascii="Arial" w:hAnsi="Arial" w:cs="Arial"/>
          <w:sz w:val="18"/>
          <w:szCs w:val="18"/>
          <w:lang w:val="en-US"/>
        </w:rPr>
        <w:t xml:space="preserve"> </w:t>
      </w:r>
      <w:r>
        <w:rPr>
          <w:rFonts w:ascii="Arial" w:hAnsi="Arial" w:cs="Arial"/>
          <w:sz w:val="18"/>
          <w:szCs w:val="18"/>
          <w:lang w:val="en-US"/>
        </w:rPr>
        <w:t xml:space="preserve">[2012] ZASCA 49; </w:t>
      </w:r>
      <w:r w:rsidRPr="00973502">
        <w:rPr>
          <w:rFonts w:ascii="Arial" w:hAnsi="Arial" w:cs="Arial"/>
          <w:sz w:val="18"/>
          <w:szCs w:val="18"/>
          <w:lang w:val="en-US"/>
        </w:rPr>
        <w:t>2013</w:t>
      </w:r>
      <w:r>
        <w:rPr>
          <w:rFonts w:ascii="Arial" w:hAnsi="Arial" w:cs="Arial"/>
          <w:sz w:val="18"/>
          <w:szCs w:val="18"/>
          <w:lang w:val="en-US"/>
        </w:rPr>
        <w:t xml:space="preserve"> </w:t>
      </w:r>
      <w:r w:rsidRPr="00973502">
        <w:rPr>
          <w:rFonts w:ascii="Arial" w:hAnsi="Arial" w:cs="Arial"/>
          <w:sz w:val="18"/>
          <w:szCs w:val="18"/>
          <w:lang w:val="en-US"/>
        </w:rPr>
        <w:t>(2) SA 204 (SCA)</w:t>
      </w:r>
      <w:r>
        <w:rPr>
          <w:rFonts w:ascii="Arial" w:hAnsi="Arial" w:cs="Arial"/>
          <w:sz w:val="18"/>
          <w:szCs w:val="18"/>
          <w:lang w:val="en-US"/>
        </w:rPr>
        <w:t xml:space="preserve"> (</w:t>
      </w:r>
      <w:r>
        <w:rPr>
          <w:rFonts w:ascii="Arial" w:hAnsi="Arial" w:cs="Arial"/>
          <w:i/>
          <w:sz w:val="18"/>
          <w:szCs w:val="18"/>
          <w:lang w:val="en-US"/>
        </w:rPr>
        <w:t>Finishing Touch</w:t>
      </w:r>
      <w:r>
        <w:rPr>
          <w:rFonts w:ascii="Arial" w:hAnsi="Arial" w:cs="Arial"/>
          <w:sz w:val="18"/>
          <w:szCs w:val="18"/>
          <w:lang w:val="en-US"/>
        </w:rPr>
        <w:t>) at para 26</w:t>
      </w:r>
      <w:r w:rsidRPr="00973502">
        <w:rPr>
          <w:rFonts w:ascii="Arial" w:hAnsi="Arial" w:cs="Arial"/>
          <w:sz w:val="18"/>
          <w:szCs w:val="18"/>
          <w:lang w:val="en-US"/>
        </w:rPr>
        <w:t>.</w:t>
      </w:r>
    </w:p>
  </w:footnote>
  <w:footnote w:id="15">
    <w:p w14:paraId="44EFD2AE" w14:textId="16285FBE" w:rsidR="00CE076A" w:rsidRPr="00973502" w:rsidRDefault="00CE076A">
      <w:pPr>
        <w:pStyle w:val="FootnoteText"/>
        <w:rPr>
          <w:rFonts w:ascii="Arial" w:hAnsi="Arial" w:cs="Arial"/>
          <w:sz w:val="18"/>
          <w:szCs w:val="18"/>
          <w:lang w:val="en-US"/>
        </w:rPr>
      </w:pPr>
      <w:r w:rsidRPr="00973502">
        <w:rPr>
          <w:rStyle w:val="FootnoteReference"/>
          <w:rFonts w:ascii="Arial" w:hAnsi="Arial" w:cs="Arial"/>
          <w:sz w:val="18"/>
          <w:szCs w:val="18"/>
        </w:rPr>
        <w:footnoteRef/>
      </w:r>
      <w:r w:rsidRPr="00973502">
        <w:rPr>
          <w:rFonts w:ascii="Arial" w:hAnsi="Arial" w:cs="Arial"/>
          <w:sz w:val="18"/>
          <w:szCs w:val="18"/>
        </w:rPr>
        <w:t xml:space="preserve"> </w:t>
      </w:r>
      <w:r w:rsidRPr="00973502">
        <w:rPr>
          <w:rFonts w:ascii="Arial" w:hAnsi="Arial" w:cs="Arial"/>
          <w:sz w:val="18"/>
          <w:szCs w:val="18"/>
          <w:lang w:val="en-US"/>
        </w:rPr>
        <w:t xml:space="preserve">Relying on </w:t>
      </w:r>
      <w:r w:rsidRPr="00973502">
        <w:rPr>
          <w:rFonts w:ascii="Arial" w:hAnsi="Arial" w:cs="Arial"/>
          <w:i/>
          <w:sz w:val="18"/>
          <w:szCs w:val="18"/>
          <w:lang w:val="en-US"/>
        </w:rPr>
        <w:t>Mostert</w:t>
      </w:r>
      <w:r>
        <w:rPr>
          <w:rFonts w:ascii="Arial" w:hAnsi="Arial" w:cs="Arial"/>
          <w:i/>
          <w:sz w:val="18"/>
          <w:szCs w:val="18"/>
          <w:lang w:val="en-US"/>
        </w:rPr>
        <w:t xml:space="preserve"> and others</w:t>
      </w:r>
      <w:r w:rsidRPr="00973502">
        <w:rPr>
          <w:rFonts w:ascii="Arial" w:hAnsi="Arial" w:cs="Arial"/>
          <w:i/>
          <w:sz w:val="18"/>
          <w:szCs w:val="18"/>
          <w:lang w:val="en-US"/>
        </w:rPr>
        <w:t xml:space="preserve"> v Firstrand Bank</w:t>
      </w:r>
      <w:r w:rsidRPr="00973502">
        <w:rPr>
          <w:rFonts w:ascii="Arial" w:hAnsi="Arial" w:cs="Arial"/>
          <w:sz w:val="18"/>
          <w:szCs w:val="18"/>
          <w:lang w:val="en-US"/>
        </w:rPr>
        <w:t xml:space="preserve"> </w:t>
      </w:r>
      <w:r w:rsidRPr="00D276AF">
        <w:rPr>
          <w:rFonts w:ascii="Arial" w:hAnsi="Arial" w:cs="Arial"/>
          <w:i/>
          <w:sz w:val="18"/>
          <w:szCs w:val="18"/>
          <w:lang w:val="en-US"/>
        </w:rPr>
        <w:t>t/a RMB Private Bank</w:t>
      </w:r>
      <w:r>
        <w:rPr>
          <w:rFonts w:ascii="Arial" w:hAnsi="Arial" w:cs="Arial"/>
          <w:sz w:val="18"/>
          <w:szCs w:val="18"/>
          <w:lang w:val="en-US"/>
        </w:rPr>
        <w:t xml:space="preserve"> [2018] ZASCA 54; </w:t>
      </w:r>
      <w:r w:rsidRPr="00973502">
        <w:rPr>
          <w:rFonts w:ascii="Arial" w:hAnsi="Arial" w:cs="Arial"/>
          <w:sz w:val="18"/>
          <w:szCs w:val="18"/>
          <w:lang w:val="en-US"/>
        </w:rPr>
        <w:t>2018</w:t>
      </w:r>
      <w:r>
        <w:rPr>
          <w:rFonts w:ascii="Arial" w:hAnsi="Arial" w:cs="Arial"/>
          <w:sz w:val="18"/>
          <w:szCs w:val="18"/>
          <w:lang w:val="en-US"/>
        </w:rPr>
        <w:t xml:space="preserve"> </w:t>
      </w:r>
      <w:r w:rsidRPr="00973502">
        <w:rPr>
          <w:rFonts w:ascii="Arial" w:hAnsi="Arial" w:cs="Arial"/>
          <w:sz w:val="18"/>
          <w:szCs w:val="18"/>
          <w:lang w:val="en-US"/>
        </w:rPr>
        <w:t>(4) SA 443 (SCA)</w:t>
      </w:r>
      <w:r>
        <w:rPr>
          <w:rFonts w:ascii="Arial" w:hAnsi="Arial" w:cs="Arial"/>
          <w:sz w:val="18"/>
          <w:szCs w:val="18"/>
          <w:lang w:val="en-US"/>
        </w:rPr>
        <w:t xml:space="preserve"> (</w:t>
      </w:r>
      <w:r>
        <w:rPr>
          <w:rFonts w:ascii="Arial" w:hAnsi="Arial" w:cs="Arial"/>
          <w:i/>
          <w:sz w:val="18"/>
          <w:szCs w:val="18"/>
          <w:lang w:val="en-US"/>
        </w:rPr>
        <w:t>Mostert</w:t>
      </w:r>
      <w:r>
        <w:rPr>
          <w:rFonts w:ascii="Arial" w:hAnsi="Arial" w:cs="Arial"/>
          <w:sz w:val="18"/>
          <w:szCs w:val="18"/>
          <w:lang w:val="en-US"/>
        </w:rPr>
        <w:t>)</w:t>
      </w:r>
      <w:r w:rsidRPr="00973502">
        <w:rPr>
          <w:rFonts w:ascii="Arial" w:hAnsi="Arial" w:cs="Arial"/>
          <w:sz w:val="18"/>
          <w:szCs w:val="18"/>
          <w:lang w:val="en-US"/>
        </w:rPr>
        <w:t>.</w:t>
      </w:r>
    </w:p>
  </w:footnote>
  <w:footnote w:id="16">
    <w:p w14:paraId="78646D73" w14:textId="1907DD83" w:rsidR="00CE076A" w:rsidRPr="00A27A4F" w:rsidRDefault="00CE076A">
      <w:pPr>
        <w:pStyle w:val="FootnoteText"/>
        <w:rPr>
          <w:rFonts w:ascii="Arial" w:hAnsi="Arial" w:cs="Arial"/>
          <w:sz w:val="18"/>
          <w:szCs w:val="18"/>
          <w:lang w:val="en-US"/>
        </w:rPr>
      </w:pPr>
      <w:r w:rsidRPr="00A27A4F">
        <w:rPr>
          <w:rStyle w:val="FootnoteReference"/>
          <w:rFonts w:ascii="Arial" w:hAnsi="Arial" w:cs="Arial"/>
          <w:sz w:val="18"/>
          <w:szCs w:val="18"/>
        </w:rPr>
        <w:footnoteRef/>
      </w:r>
      <w:r w:rsidRPr="00A27A4F">
        <w:rPr>
          <w:rFonts w:ascii="Arial" w:hAnsi="Arial" w:cs="Arial"/>
          <w:sz w:val="18"/>
          <w:szCs w:val="18"/>
        </w:rPr>
        <w:t xml:space="preserve"> </w:t>
      </w:r>
      <w:r w:rsidRPr="00A27A4F">
        <w:rPr>
          <w:rFonts w:ascii="Arial" w:hAnsi="Arial" w:cs="Arial"/>
          <w:i/>
          <w:iCs/>
          <w:color w:val="242121"/>
          <w:sz w:val="18"/>
          <w:szCs w:val="18"/>
          <w:shd w:val="clear" w:color="auto" w:fill="FFFFFF"/>
          <w:lang w:val="en-US"/>
        </w:rPr>
        <w:t>Plascon-Evans Paints</w:t>
      </w:r>
      <w:r>
        <w:rPr>
          <w:rFonts w:ascii="Arial" w:hAnsi="Arial" w:cs="Arial"/>
          <w:i/>
          <w:iCs/>
          <w:color w:val="242121"/>
          <w:sz w:val="18"/>
          <w:szCs w:val="18"/>
          <w:shd w:val="clear" w:color="auto" w:fill="FFFFFF"/>
          <w:lang w:val="en-US"/>
        </w:rPr>
        <w:t xml:space="preserve"> Ltd</w:t>
      </w:r>
      <w:r w:rsidRPr="00A27A4F">
        <w:rPr>
          <w:rFonts w:ascii="Arial" w:hAnsi="Arial" w:cs="Arial"/>
          <w:i/>
          <w:iCs/>
          <w:color w:val="242121"/>
          <w:sz w:val="18"/>
          <w:szCs w:val="18"/>
          <w:shd w:val="clear" w:color="auto" w:fill="FFFFFF"/>
          <w:lang w:val="en-US"/>
        </w:rPr>
        <w:t xml:space="preserve"> v Van Riebeeck Paints</w:t>
      </w:r>
      <w:r>
        <w:rPr>
          <w:rFonts w:ascii="Arial" w:hAnsi="Arial" w:cs="Arial"/>
          <w:i/>
          <w:iCs/>
          <w:color w:val="242121"/>
          <w:sz w:val="18"/>
          <w:szCs w:val="18"/>
          <w:shd w:val="clear" w:color="auto" w:fill="FFFFFF"/>
          <w:lang w:val="en-US"/>
        </w:rPr>
        <w:t xml:space="preserve"> (Pty) Ltd</w:t>
      </w:r>
      <w:r w:rsidRPr="00A27A4F">
        <w:rPr>
          <w:rFonts w:ascii="Arial" w:hAnsi="Arial" w:cs="Arial"/>
          <w:i/>
          <w:iCs/>
          <w:color w:val="242121"/>
          <w:sz w:val="18"/>
          <w:szCs w:val="18"/>
          <w:shd w:val="clear" w:color="auto" w:fill="FFFFFF"/>
          <w:lang w:val="en-US"/>
        </w:rPr>
        <w:t> </w:t>
      </w:r>
      <w:r w:rsidRPr="00A27A4F">
        <w:rPr>
          <w:rFonts w:ascii="Arial" w:hAnsi="Arial" w:cs="Arial"/>
          <w:color w:val="242121"/>
          <w:sz w:val="18"/>
          <w:szCs w:val="18"/>
          <w:shd w:val="clear" w:color="auto" w:fill="FFFFFF"/>
          <w:lang w:val="en-US"/>
        </w:rPr>
        <w:t>1984</w:t>
      </w:r>
      <w:r>
        <w:rPr>
          <w:rFonts w:ascii="Arial" w:hAnsi="Arial" w:cs="Arial"/>
          <w:color w:val="242121"/>
          <w:sz w:val="18"/>
          <w:szCs w:val="18"/>
          <w:shd w:val="clear" w:color="auto" w:fill="FFFFFF"/>
          <w:lang w:val="en-US"/>
        </w:rPr>
        <w:t xml:space="preserve"> </w:t>
      </w:r>
      <w:r w:rsidRPr="00A27A4F">
        <w:rPr>
          <w:rFonts w:ascii="Arial" w:hAnsi="Arial" w:cs="Arial"/>
          <w:color w:val="242121"/>
          <w:sz w:val="18"/>
          <w:szCs w:val="18"/>
          <w:shd w:val="clear" w:color="auto" w:fill="FFFFFF"/>
          <w:lang w:val="en-US"/>
        </w:rPr>
        <w:t>(3) 623 (A) (</w:t>
      </w:r>
      <w:r w:rsidRPr="00A27A4F">
        <w:rPr>
          <w:rFonts w:ascii="Arial" w:hAnsi="Arial" w:cs="Arial"/>
          <w:i/>
          <w:color w:val="242121"/>
          <w:sz w:val="18"/>
          <w:szCs w:val="18"/>
          <w:shd w:val="clear" w:color="auto" w:fill="FFFFFF"/>
          <w:lang w:val="en-US"/>
        </w:rPr>
        <w:t>Plascon Evans</w:t>
      </w:r>
      <w:r>
        <w:rPr>
          <w:rFonts w:ascii="Arial" w:hAnsi="Arial" w:cs="Arial"/>
          <w:color w:val="242121"/>
          <w:sz w:val="18"/>
          <w:szCs w:val="18"/>
          <w:shd w:val="clear" w:color="auto" w:fill="FFFFFF"/>
          <w:lang w:val="en-US"/>
        </w:rPr>
        <w:t>)</w:t>
      </w:r>
      <w:r w:rsidRPr="00A27A4F">
        <w:rPr>
          <w:rFonts w:ascii="Arial" w:hAnsi="Arial" w:cs="Arial"/>
          <w:color w:val="242121"/>
          <w:sz w:val="18"/>
          <w:szCs w:val="18"/>
          <w:shd w:val="clear" w:color="auto" w:fill="FFFFFF"/>
          <w:lang w:val="en-US"/>
        </w:rPr>
        <w:t xml:space="preserve"> </w:t>
      </w:r>
      <w:r>
        <w:rPr>
          <w:rFonts w:ascii="Arial" w:hAnsi="Arial" w:cs="Arial"/>
          <w:color w:val="242121"/>
          <w:sz w:val="18"/>
          <w:szCs w:val="18"/>
          <w:shd w:val="clear" w:color="auto" w:fill="FFFFFF"/>
          <w:lang w:val="en-US"/>
        </w:rPr>
        <w:t xml:space="preserve">at </w:t>
      </w:r>
      <w:r w:rsidRPr="00A27A4F">
        <w:rPr>
          <w:rFonts w:ascii="Arial" w:hAnsi="Arial" w:cs="Arial"/>
          <w:color w:val="242121"/>
          <w:sz w:val="18"/>
          <w:szCs w:val="18"/>
          <w:shd w:val="clear" w:color="auto" w:fill="FFFFFF"/>
          <w:lang w:val="en-US"/>
        </w:rPr>
        <w:t>634H-635C.</w:t>
      </w:r>
    </w:p>
  </w:footnote>
  <w:footnote w:id="17">
    <w:p w14:paraId="2CC6C4B3" w14:textId="25EDC229" w:rsidR="00CE076A" w:rsidRPr="008F6E9F" w:rsidRDefault="00CE076A">
      <w:pPr>
        <w:pStyle w:val="FootnoteText"/>
        <w:rPr>
          <w:rFonts w:ascii="Arial" w:hAnsi="Arial" w:cs="Arial"/>
          <w:sz w:val="18"/>
          <w:szCs w:val="18"/>
          <w:lang w:val="en-US"/>
        </w:rPr>
      </w:pPr>
      <w:r w:rsidRPr="00DB62C1">
        <w:rPr>
          <w:rStyle w:val="FootnoteReference"/>
          <w:rFonts w:ascii="Arial" w:hAnsi="Arial" w:cs="Arial"/>
          <w:sz w:val="18"/>
          <w:szCs w:val="18"/>
        </w:rPr>
        <w:footnoteRef/>
      </w:r>
      <w:r w:rsidRPr="00DB62C1">
        <w:rPr>
          <w:rFonts w:ascii="Arial" w:hAnsi="Arial" w:cs="Arial"/>
          <w:sz w:val="18"/>
          <w:szCs w:val="18"/>
        </w:rPr>
        <w:t xml:space="preserve"> </w:t>
      </w:r>
      <w:r w:rsidRPr="00DB62C1">
        <w:rPr>
          <w:rFonts w:ascii="Arial" w:hAnsi="Arial" w:cs="Arial"/>
          <w:i/>
          <w:sz w:val="18"/>
          <w:szCs w:val="18"/>
        </w:rPr>
        <w:t xml:space="preserve">Secretary of the Judicial Commission of Enquiry into Allegations of State Capture, Corruption and Fraud in the Public Sector including Organs of State v Zuma and Others </w:t>
      </w:r>
      <w:r w:rsidRPr="00DB62C1">
        <w:rPr>
          <w:rFonts w:ascii="Arial" w:hAnsi="Arial" w:cs="Arial"/>
          <w:sz w:val="18"/>
          <w:szCs w:val="18"/>
        </w:rPr>
        <w:t>[2021] ZACC 18; 2021</w:t>
      </w:r>
      <w:r>
        <w:rPr>
          <w:rFonts w:ascii="Arial" w:hAnsi="Arial" w:cs="Arial"/>
          <w:sz w:val="18"/>
          <w:szCs w:val="18"/>
        </w:rPr>
        <w:t xml:space="preserve"> </w:t>
      </w:r>
      <w:r w:rsidRPr="00DB62C1">
        <w:rPr>
          <w:rFonts w:ascii="Arial" w:hAnsi="Arial" w:cs="Arial"/>
          <w:sz w:val="18"/>
          <w:szCs w:val="18"/>
        </w:rPr>
        <w:t>(9) BCLR 9</w:t>
      </w:r>
      <w:r>
        <w:rPr>
          <w:rFonts w:ascii="Arial" w:hAnsi="Arial" w:cs="Arial"/>
          <w:sz w:val="18"/>
          <w:szCs w:val="18"/>
        </w:rPr>
        <w:t xml:space="preserve">92 (CC); 2021 (5) SA 327 (CC) at </w:t>
      </w:r>
      <w:r w:rsidRPr="00DB62C1">
        <w:rPr>
          <w:rFonts w:ascii="Arial" w:hAnsi="Arial" w:cs="Arial"/>
          <w:sz w:val="18"/>
          <w:szCs w:val="18"/>
        </w:rPr>
        <w:t>para 37.</w:t>
      </w:r>
    </w:p>
  </w:footnote>
  <w:footnote w:id="18">
    <w:p w14:paraId="2F372D74" w14:textId="2EA2C87E" w:rsidR="00CE076A" w:rsidRPr="008F6E9F" w:rsidRDefault="00CE076A">
      <w:pPr>
        <w:pStyle w:val="FootnoteText"/>
        <w:rPr>
          <w:lang w:val="en-US"/>
        </w:rPr>
      </w:pPr>
      <w:r>
        <w:rPr>
          <w:rStyle w:val="FootnoteReference"/>
        </w:rPr>
        <w:footnoteRef/>
      </w:r>
      <w:r>
        <w:t xml:space="preserve"> </w:t>
      </w:r>
      <w:r w:rsidRPr="006C6F79">
        <w:rPr>
          <w:rFonts w:ascii="Arial" w:hAnsi="Arial" w:cs="Arial"/>
          <w:i/>
          <w:sz w:val="18"/>
          <w:szCs w:val="18"/>
          <w:lang w:val="en-US"/>
        </w:rPr>
        <w:t>AB and another v Pridwin Preparatory School and others</w:t>
      </w:r>
      <w:r w:rsidRPr="006C6F79">
        <w:rPr>
          <w:rFonts w:ascii="Arial" w:hAnsi="Arial" w:cs="Arial"/>
          <w:sz w:val="18"/>
          <w:szCs w:val="18"/>
          <w:lang w:val="en-US"/>
        </w:rPr>
        <w:t xml:space="preserve"> </w:t>
      </w:r>
      <w:r>
        <w:rPr>
          <w:rFonts w:ascii="Arial" w:hAnsi="Arial" w:cs="Arial"/>
          <w:sz w:val="18"/>
          <w:szCs w:val="18"/>
          <w:lang w:val="en-US"/>
        </w:rPr>
        <w:t xml:space="preserve">[2020] ZACC 12; 2020 (9) BCLR 1029 (CC); </w:t>
      </w:r>
      <w:r w:rsidRPr="006C6F79">
        <w:rPr>
          <w:rFonts w:ascii="Arial" w:hAnsi="Arial" w:cs="Arial"/>
          <w:sz w:val="18"/>
          <w:szCs w:val="18"/>
          <w:lang w:val="en-US"/>
        </w:rPr>
        <w:t>2020(5) SA 327 (CC) (</w:t>
      </w:r>
      <w:r w:rsidRPr="004B62B6">
        <w:rPr>
          <w:rFonts w:ascii="Arial" w:hAnsi="Arial" w:cs="Arial"/>
          <w:i/>
          <w:sz w:val="18"/>
          <w:szCs w:val="18"/>
          <w:lang w:val="en-US"/>
        </w:rPr>
        <w:t>Pridwin</w:t>
      </w:r>
      <w:r w:rsidRPr="006C6F79">
        <w:rPr>
          <w:rFonts w:ascii="Arial" w:hAnsi="Arial" w:cs="Arial"/>
          <w:sz w:val="18"/>
          <w:szCs w:val="18"/>
          <w:lang w:val="en-US"/>
        </w:rPr>
        <w:t xml:space="preserve">) </w:t>
      </w:r>
      <w:r>
        <w:rPr>
          <w:rFonts w:ascii="Arial" w:hAnsi="Arial" w:cs="Arial"/>
          <w:sz w:val="18"/>
          <w:szCs w:val="18"/>
          <w:lang w:val="en-US"/>
        </w:rPr>
        <w:t xml:space="preserve">at </w:t>
      </w:r>
      <w:r w:rsidRPr="006C6F79">
        <w:rPr>
          <w:rFonts w:ascii="Arial" w:hAnsi="Arial" w:cs="Arial"/>
          <w:sz w:val="18"/>
          <w:szCs w:val="18"/>
          <w:lang w:val="en-US"/>
        </w:rPr>
        <w:t>para 50 with reference to</w:t>
      </w:r>
      <w:r w:rsidRPr="006C6F79">
        <w:rPr>
          <w:rFonts w:ascii="Arial" w:hAnsi="Arial" w:cs="Arial"/>
          <w:color w:val="000000"/>
          <w:sz w:val="18"/>
          <w:szCs w:val="18"/>
        </w:rPr>
        <w:t> </w:t>
      </w:r>
      <w:r w:rsidRPr="006C6F79">
        <w:rPr>
          <w:rFonts w:ascii="Arial" w:hAnsi="Arial" w:cs="Arial"/>
          <w:i/>
          <w:iCs/>
          <w:color w:val="000000"/>
          <w:sz w:val="18"/>
          <w:szCs w:val="18"/>
        </w:rPr>
        <w:t xml:space="preserve">Ruta v Minister of </w:t>
      </w:r>
      <w:r w:rsidRPr="006C6F79">
        <w:rPr>
          <w:rFonts w:ascii="Arial" w:hAnsi="Arial" w:cs="Arial"/>
          <w:i/>
          <w:iCs/>
          <w:sz w:val="18"/>
          <w:szCs w:val="18"/>
        </w:rPr>
        <w:t>Home Affairs</w:t>
      </w:r>
      <w:r w:rsidRPr="006C6F79">
        <w:rPr>
          <w:rFonts w:ascii="Arial" w:hAnsi="Arial" w:cs="Arial"/>
          <w:sz w:val="18"/>
          <w:szCs w:val="18"/>
        </w:rPr>
        <w:t> </w:t>
      </w:r>
      <w:r>
        <w:rPr>
          <w:rFonts w:ascii="Arial" w:hAnsi="Arial" w:cs="Arial"/>
          <w:sz w:val="18"/>
          <w:szCs w:val="18"/>
        </w:rPr>
        <w:t xml:space="preserve">[2018] ZACC 52; </w:t>
      </w:r>
      <w:r w:rsidRPr="006C6F79">
        <w:rPr>
          <w:rFonts w:ascii="Arial" w:hAnsi="Arial" w:cs="Arial"/>
          <w:sz w:val="18"/>
          <w:szCs w:val="18"/>
        </w:rPr>
        <w:t>2019 (3) BCLR 383</w:t>
      </w:r>
      <w:r>
        <w:rPr>
          <w:rFonts w:ascii="Arial" w:hAnsi="Arial" w:cs="Arial"/>
          <w:sz w:val="18"/>
          <w:szCs w:val="18"/>
        </w:rPr>
        <w:t xml:space="preserve"> (CC); </w:t>
      </w:r>
      <w:hyperlink r:id="rId1" w:tgtFrame="main" w:history="1">
        <w:r w:rsidRPr="006C6F79">
          <w:rPr>
            <w:rStyle w:val="Hyperlink"/>
            <w:rFonts w:ascii="Arial" w:hAnsi="Arial" w:cs="Arial"/>
            <w:color w:val="auto"/>
            <w:sz w:val="18"/>
            <w:szCs w:val="18"/>
            <w:u w:val="none"/>
          </w:rPr>
          <w:t>2019 (2) SA 329 (CC)</w:t>
        </w:r>
      </w:hyperlink>
      <w:r>
        <w:rPr>
          <w:rStyle w:val="Hyperlink"/>
          <w:rFonts w:ascii="Arial" w:hAnsi="Arial" w:cs="Arial"/>
          <w:color w:val="auto"/>
          <w:sz w:val="18"/>
          <w:szCs w:val="18"/>
          <w:u w:val="none"/>
        </w:rPr>
        <w:t xml:space="preserve"> at</w:t>
      </w:r>
      <w:r>
        <w:rPr>
          <w:rFonts w:ascii="Arial" w:hAnsi="Arial" w:cs="Arial"/>
          <w:sz w:val="18"/>
          <w:szCs w:val="18"/>
        </w:rPr>
        <w:t xml:space="preserve"> </w:t>
      </w:r>
      <w:r w:rsidRPr="006C6F79">
        <w:rPr>
          <w:rFonts w:ascii="Arial" w:hAnsi="Arial" w:cs="Arial"/>
          <w:sz w:val="18"/>
          <w:szCs w:val="18"/>
        </w:rPr>
        <w:t xml:space="preserve">para 7. In </w:t>
      </w:r>
      <w:r w:rsidRPr="004B62B6">
        <w:rPr>
          <w:rFonts w:ascii="Arial" w:hAnsi="Arial" w:cs="Arial"/>
          <w:i/>
          <w:sz w:val="18"/>
          <w:szCs w:val="18"/>
        </w:rPr>
        <w:t>Pridwin</w:t>
      </w:r>
      <w:r w:rsidRPr="006C6F79">
        <w:rPr>
          <w:rFonts w:ascii="Arial" w:hAnsi="Arial" w:cs="Arial"/>
          <w:sz w:val="18"/>
          <w:szCs w:val="18"/>
        </w:rPr>
        <w:t xml:space="preserve"> the Constitutional Court held (footnotes omitted)</w:t>
      </w:r>
      <w:r>
        <w:rPr>
          <w:rFonts w:ascii="Arial" w:hAnsi="Arial" w:cs="Arial"/>
          <w:sz w:val="18"/>
          <w:szCs w:val="18"/>
        </w:rPr>
        <w:t>:</w:t>
      </w:r>
      <w:r w:rsidRPr="006C6F79">
        <w:rPr>
          <w:rFonts w:ascii="Arial" w:hAnsi="Arial" w:cs="Arial"/>
          <w:sz w:val="18"/>
          <w:szCs w:val="18"/>
        </w:rPr>
        <w:t xml:space="preserve"> </w:t>
      </w:r>
      <w:r>
        <w:rPr>
          <w:rFonts w:ascii="Arial" w:hAnsi="Arial" w:cs="Arial"/>
          <w:sz w:val="18"/>
          <w:szCs w:val="18"/>
        </w:rPr>
        <w:t>“</w:t>
      </w:r>
      <w:r w:rsidRPr="006C6F79">
        <w:rPr>
          <w:rFonts w:ascii="Arial" w:hAnsi="Arial" w:cs="Arial"/>
          <w:sz w:val="18"/>
          <w:szCs w:val="18"/>
        </w:rPr>
        <w:t xml:space="preserve">Typically, this court will not adjudicate </w:t>
      </w:r>
      <w:r w:rsidRPr="006C6F79">
        <w:rPr>
          <w:rFonts w:ascii="Arial" w:hAnsi="Arial" w:cs="Arial"/>
          <w:color w:val="000000"/>
          <w:sz w:val="18"/>
          <w:szCs w:val="18"/>
        </w:rPr>
        <w:t>an appeal if it no longer presents an existing or live controversy, and will refrain from giving advisory opinions on legal questions which are merely abstract, academic or hypothetical and have no immediate practical effect or result. This principle was recently reiterated in </w:t>
      </w:r>
      <w:r w:rsidRPr="006C6F79">
        <w:rPr>
          <w:rFonts w:ascii="Arial" w:hAnsi="Arial" w:cs="Arial"/>
          <w:i/>
          <w:iCs/>
          <w:color w:val="000000"/>
          <w:sz w:val="18"/>
          <w:szCs w:val="18"/>
        </w:rPr>
        <w:t>President of the Republic of South Africa</w:t>
      </w:r>
      <w:r w:rsidRPr="006C6F79">
        <w:rPr>
          <w:rFonts w:ascii="Arial" w:hAnsi="Arial" w:cs="Arial"/>
          <w:color w:val="000000"/>
          <w:sz w:val="18"/>
          <w:szCs w:val="18"/>
        </w:rPr>
        <w:t>.</w:t>
      </w:r>
      <w:r>
        <w:rPr>
          <w:rFonts w:ascii="Arial" w:hAnsi="Arial" w:cs="Arial"/>
          <w:color w:val="000000"/>
          <w:sz w:val="18"/>
          <w:szCs w:val="18"/>
        </w:rPr>
        <w:t>”</w:t>
      </w:r>
    </w:p>
  </w:footnote>
  <w:footnote w:id="19">
    <w:p w14:paraId="6E1F06E9" w14:textId="35F24E7C" w:rsidR="00CE076A" w:rsidRPr="00510736" w:rsidRDefault="00CE076A" w:rsidP="00510736">
      <w:pPr>
        <w:pStyle w:val="FootnoteText"/>
        <w:rPr>
          <w:rFonts w:ascii="Arial" w:hAnsi="Arial" w:cs="Arial"/>
          <w:sz w:val="18"/>
          <w:szCs w:val="18"/>
          <w:lang w:val="en-US"/>
        </w:rPr>
      </w:pPr>
      <w:r w:rsidRPr="00510736">
        <w:rPr>
          <w:rStyle w:val="FootnoteReference"/>
          <w:rFonts w:ascii="Arial" w:hAnsi="Arial" w:cs="Arial"/>
          <w:sz w:val="18"/>
          <w:szCs w:val="18"/>
        </w:rPr>
        <w:footnoteRef/>
      </w:r>
      <w:r w:rsidRPr="00510736">
        <w:rPr>
          <w:rFonts w:ascii="Arial" w:hAnsi="Arial" w:cs="Arial"/>
          <w:sz w:val="18"/>
          <w:szCs w:val="18"/>
        </w:rPr>
        <w:t xml:space="preserve"> </w:t>
      </w:r>
      <w:r w:rsidRPr="00510736">
        <w:rPr>
          <w:rFonts w:ascii="Arial" w:hAnsi="Arial" w:cs="Arial"/>
          <w:sz w:val="18"/>
          <w:szCs w:val="18"/>
          <w:lang w:val="en-US"/>
        </w:rPr>
        <w:t xml:space="preserve">While not strictly necessary to reach the issue, it </w:t>
      </w:r>
      <w:r>
        <w:rPr>
          <w:rFonts w:ascii="Arial" w:hAnsi="Arial" w:cs="Arial"/>
          <w:sz w:val="18"/>
          <w:szCs w:val="18"/>
          <w:lang w:val="en-US"/>
        </w:rPr>
        <w:t>may</w:t>
      </w:r>
      <w:r w:rsidRPr="00510736">
        <w:rPr>
          <w:rFonts w:ascii="Arial" w:hAnsi="Arial" w:cs="Arial"/>
          <w:sz w:val="18"/>
          <w:szCs w:val="18"/>
          <w:lang w:val="en-US"/>
        </w:rPr>
        <w:t xml:space="preserve"> be noted that where relief sought is moot, it is not open to a court to set it aside: there is nothing to set aside.</w:t>
      </w:r>
    </w:p>
  </w:footnote>
  <w:footnote w:id="20">
    <w:p w14:paraId="3758FEFF" w14:textId="20F9C5BD" w:rsidR="00CE076A" w:rsidRPr="00CA2DF2" w:rsidRDefault="00CE076A" w:rsidP="00CA2DF2">
      <w:pPr>
        <w:pStyle w:val="FootnoteText"/>
        <w:rPr>
          <w:rFonts w:ascii="Arial" w:hAnsi="Arial" w:cs="Arial"/>
          <w:i/>
          <w:sz w:val="18"/>
          <w:szCs w:val="18"/>
          <w:lang w:val="en-US"/>
        </w:rPr>
      </w:pPr>
      <w:r w:rsidRPr="00485901">
        <w:rPr>
          <w:rStyle w:val="FootnoteReference"/>
          <w:rFonts w:ascii="Arial" w:hAnsi="Arial" w:cs="Arial"/>
          <w:sz w:val="18"/>
          <w:szCs w:val="18"/>
        </w:rPr>
        <w:footnoteRef/>
      </w:r>
      <w:r w:rsidRPr="00485901">
        <w:rPr>
          <w:rFonts w:ascii="Arial" w:hAnsi="Arial" w:cs="Arial"/>
          <w:sz w:val="18"/>
          <w:szCs w:val="18"/>
        </w:rPr>
        <w:t xml:space="preserve"> </w:t>
      </w:r>
      <w:r w:rsidRPr="00485901">
        <w:rPr>
          <w:rFonts w:ascii="Arial" w:hAnsi="Arial" w:cs="Arial"/>
          <w:i/>
          <w:sz w:val="18"/>
          <w:szCs w:val="18"/>
          <w:lang w:val="en-US"/>
        </w:rPr>
        <w:t>Drif</w:t>
      </w:r>
      <w:r>
        <w:rPr>
          <w:rFonts w:ascii="Arial" w:hAnsi="Arial" w:cs="Arial"/>
          <w:i/>
          <w:sz w:val="18"/>
          <w:szCs w:val="18"/>
          <w:lang w:val="en-US"/>
        </w:rPr>
        <w:t>t</w:t>
      </w:r>
      <w:r w:rsidRPr="00485901">
        <w:rPr>
          <w:rFonts w:ascii="Arial" w:hAnsi="Arial" w:cs="Arial"/>
          <w:i/>
          <w:sz w:val="18"/>
          <w:szCs w:val="18"/>
          <w:lang w:val="en-US"/>
        </w:rPr>
        <w:t xml:space="preserve"> Supersand (Pty) Ltd v Mogale City Local Municipality</w:t>
      </w:r>
      <w:r>
        <w:rPr>
          <w:rFonts w:ascii="Arial" w:hAnsi="Arial" w:cs="Arial"/>
          <w:i/>
          <w:sz w:val="18"/>
          <w:szCs w:val="18"/>
          <w:lang w:val="en-US"/>
        </w:rPr>
        <w:t xml:space="preserve"> and Another </w:t>
      </w:r>
      <w:r>
        <w:rPr>
          <w:rFonts w:ascii="Arial" w:hAnsi="Arial" w:cs="Arial"/>
          <w:sz w:val="18"/>
          <w:szCs w:val="18"/>
          <w:lang w:val="en-US"/>
        </w:rPr>
        <w:t>[2017] ZASCA 118;</w:t>
      </w:r>
      <w:r w:rsidRPr="00485901">
        <w:rPr>
          <w:rFonts w:ascii="Arial" w:hAnsi="Arial" w:cs="Arial"/>
          <w:i/>
          <w:sz w:val="18"/>
          <w:szCs w:val="18"/>
          <w:lang w:val="en-US"/>
        </w:rPr>
        <w:t xml:space="preserve"> </w:t>
      </w:r>
      <w:r w:rsidRPr="00485901">
        <w:rPr>
          <w:rFonts w:ascii="Arial" w:hAnsi="Arial" w:cs="Arial"/>
          <w:sz w:val="18"/>
          <w:szCs w:val="18"/>
          <w:lang w:val="en-US"/>
        </w:rPr>
        <w:t>[2017] 4 All SA 624 (SCA)</w:t>
      </w:r>
      <w:r>
        <w:rPr>
          <w:rFonts w:ascii="Arial" w:hAnsi="Arial" w:cs="Arial"/>
          <w:sz w:val="18"/>
          <w:szCs w:val="18"/>
          <w:lang w:val="en-US"/>
        </w:rPr>
        <w:t xml:space="preserve"> at para 10: “[T]here is today a tendency to permit greater flexibility than may previously have been the case to admit further evidence in reply. Consequently, as stated in Nkengana, ‘if the new matter in the replying affidavit is in answer to a defence raised by the respondent and is not such that it should have been included in the founding affidavit in order to set out a case of action, the court will refuse an application to strike out.’” </w:t>
      </w:r>
      <w:r w:rsidRPr="00CA2DF2">
        <w:rPr>
          <w:rFonts w:ascii="Arial" w:hAnsi="Arial" w:cs="Arial"/>
          <w:i/>
          <w:sz w:val="18"/>
          <w:szCs w:val="18"/>
          <w:lang w:val="en-US"/>
        </w:rPr>
        <w:t>Airports Company South Africa L</w:t>
      </w:r>
      <w:r>
        <w:rPr>
          <w:rFonts w:ascii="Arial" w:hAnsi="Arial" w:cs="Arial"/>
          <w:i/>
          <w:sz w:val="18"/>
          <w:szCs w:val="18"/>
          <w:lang w:val="en-US"/>
        </w:rPr>
        <w:t>td</w:t>
      </w:r>
      <w:r w:rsidRPr="00CA2DF2">
        <w:rPr>
          <w:rFonts w:ascii="Arial" w:hAnsi="Arial" w:cs="Arial"/>
          <w:i/>
          <w:sz w:val="18"/>
          <w:szCs w:val="18"/>
          <w:lang w:val="en-US"/>
        </w:rPr>
        <w:t xml:space="preserve"> v ISO Leisure OR Tambo (Pty) Ltd and another </w:t>
      </w:r>
      <w:r w:rsidRPr="00CA2DF2">
        <w:rPr>
          <w:rFonts w:ascii="Arial" w:hAnsi="Arial" w:cs="Arial"/>
          <w:sz w:val="18"/>
          <w:szCs w:val="18"/>
          <w:lang w:val="en-US"/>
        </w:rPr>
        <w:t>2011</w:t>
      </w:r>
      <w:r>
        <w:rPr>
          <w:rFonts w:ascii="Arial" w:hAnsi="Arial" w:cs="Arial"/>
          <w:sz w:val="18"/>
          <w:szCs w:val="18"/>
          <w:lang w:val="en-US"/>
        </w:rPr>
        <w:t xml:space="preserve"> </w:t>
      </w:r>
      <w:r w:rsidRPr="00CA2DF2">
        <w:rPr>
          <w:rFonts w:ascii="Arial" w:hAnsi="Arial" w:cs="Arial"/>
          <w:sz w:val="18"/>
          <w:szCs w:val="18"/>
          <w:lang w:val="en-US"/>
        </w:rPr>
        <w:t>(4) SA 642 (GSJ).</w:t>
      </w:r>
    </w:p>
  </w:footnote>
  <w:footnote w:id="21">
    <w:p w14:paraId="6C3B5B45" w14:textId="2DC7BF2D" w:rsidR="00CE076A" w:rsidRPr="00BA0D0B" w:rsidRDefault="00CE076A">
      <w:pPr>
        <w:pStyle w:val="FootnoteText"/>
        <w:rPr>
          <w:rFonts w:ascii="Arial" w:hAnsi="Arial" w:cs="Arial"/>
          <w:i/>
          <w:sz w:val="18"/>
          <w:szCs w:val="18"/>
          <w:lang w:val="en-US"/>
        </w:rPr>
      </w:pPr>
      <w:r w:rsidRPr="003F5E77">
        <w:rPr>
          <w:rStyle w:val="FootnoteReference"/>
          <w:rFonts w:ascii="Arial" w:hAnsi="Arial" w:cs="Arial"/>
          <w:sz w:val="18"/>
          <w:szCs w:val="18"/>
        </w:rPr>
        <w:footnoteRef/>
      </w:r>
      <w:r w:rsidRPr="003F5E77">
        <w:rPr>
          <w:rFonts w:ascii="Arial" w:hAnsi="Arial" w:cs="Arial"/>
          <w:sz w:val="18"/>
          <w:szCs w:val="18"/>
        </w:rPr>
        <w:t xml:space="preserve"> </w:t>
      </w:r>
      <w:r>
        <w:rPr>
          <w:rFonts w:ascii="Arial" w:hAnsi="Arial" w:cs="Arial"/>
          <w:sz w:val="18"/>
          <w:szCs w:val="18"/>
        </w:rPr>
        <w:t>Supra n 14 at</w:t>
      </w:r>
      <w:r w:rsidRPr="003F5E77">
        <w:rPr>
          <w:rFonts w:ascii="Arial" w:hAnsi="Arial" w:cs="Arial"/>
          <w:sz w:val="18"/>
          <w:szCs w:val="18"/>
          <w:lang w:val="en-US"/>
        </w:rPr>
        <w:t xml:space="preserve"> para 26 (footnotes omitted</w:t>
      </w:r>
      <w:r>
        <w:rPr>
          <w:rFonts w:ascii="Arial" w:hAnsi="Arial" w:cs="Arial"/>
          <w:sz w:val="18"/>
          <w:szCs w:val="18"/>
          <w:lang w:val="en-US"/>
        </w:rPr>
        <w:t>)</w:t>
      </w:r>
      <w:r w:rsidRPr="003F5E77">
        <w:rPr>
          <w:rFonts w:ascii="Arial" w:hAnsi="Arial" w:cs="Arial"/>
          <w:sz w:val="18"/>
          <w:szCs w:val="18"/>
          <w:lang w:val="en-US"/>
        </w:rPr>
        <w:t>.</w:t>
      </w:r>
      <w:r>
        <w:rPr>
          <w:rFonts w:ascii="Arial" w:hAnsi="Arial" w:cs="Arial"/>
          <w:sz w:val="18"/>
          <w:szCs w:val="18"/>
          <w:lang w:val="en-US"/>
        </w:rPr>
        <w:t xml:space="preserve"> The reference is to </w:t>
      </w:r>
      <w:r w:rsidRPr="00BA0D0B">
        <w:rPr>
          <w:rFonts w:ascii="Arial" w:hAnsi="Arial" w:cs="Arial"/>
          <w:i/>
          <w:sz w:val="18"/>
          <w:szCs w:val="18"/>
          <w:lang w:val="en-US"/>
        </w:rPr>
        <w:t>Shakot Investments (Pty) Ltd v Town Council of the Borough of Stanger</w:t>
      </w:r>
      <w:r>
        <w:rPr>
          <w:rFonts w:ascii="Arial" w:hAnsi="Arial" w:cs="Arial"/>
          <w:sz w:val="18"/>
          <w:szCs w:val="18"/>
          <w:lang w:val="en-US"/>
        </w:rPr>
        <w:t xml:space="preserve"> 1976 (2) SA 701 (D).</w:t>
      </w:r>
    </w:p>
  </w:footnote>
  <w:footnote w:id="22">
    <w:p w14:paraId="354D7012" w14:textId="43442180" w:rsidR="00CE076A" w:rsidRPr="006664E6" w:rsidRDefault="00CE076A">
      <w:pPr>
        <w:pStyle w:val="FootnoteText"/>
        <w:rPr>
          <w:rFonts w:ascii="Arial" w:hAnsi="Arial" w:cs="Arial"/>
          <w:sz w:val="18"/>
          <w:szCs w:val="18"/>
          <w:lang w:val="en-US"/>
        </w:rPr>
      </w:pPr>
      <w:r w:rsidRPr="006664E6">
        <w:rPr>
          <w:rStyle w:val="FootnoteReference"/>
          <w:rFonts w:ascii="Arial" w:hAnsi="Arial" w:cs="Arial"/>
          <w:sz w:val="18"/>
          <w:szCs w:val="18"/>
        </w:rPr>
        <w:footnoteRef/>
      </w:r>
      <w:r w:rsidRPr="006664E6">
        <w:rPr>
          <w:rFonts w:ascii="Arial" w:hAnsi="Arial" w:cs="Arial"/>
          <w:sz w:val="18"/>
          <w:szCs w:val="18"/>
        </w:rPr>
        <w:t xml:space="preserve"> </w:t>
      </w:r>
      <w:r>
        <w:rPr>
          <w:rFonts w:ascii="Arial" w:hAnsi="Arial" w:cs="Arial"/>
          <w:sz w:val="18"/>
          <w:szCs w:val="18"/>
          <w:lang w:val="en-US"/>
        </w:rPr>
        <w:t>Cf</w:t>
      </w:r>
      <w:r w:rsidRPr="006664E6">
        <w:rPr>
          <w:rFonts w:ascii="Arial" w:hAnsi="Arial" w:cs="Arial"/>
          <w:sz w:val="18"/>
          <w:szCs w:val="18"/>
          <w:lang w:val="en-US"/>
        </w:rPr>
        <w:t xml:space="preserve"> </w:t>
      </w:r>
      <w:r w:rsidRPr="006664E6">
        <w:rPr>
          <w:rFonts w:ascii="Arial" w:hAnsi="Arial" w:cs="Arial"/>
          <w:i/>
          <w:sz w:val="18"/>
          <w:szCs w:val="18"/>
          <w:lang w:val="en-US"/>
        </w:rPr>
        <w:t>Triomf Kunsmis (Edm</w:t>
      </w:r>
      <w:r>
        <w:rPr>
          <w:rFonts w:ascii="Arial" w:hAnsi="Arial" w:cs="Arial"/>
          <w:i/>
          <w:sz w:val="18"/>
          <w:szCs w:val="18"/>
          <w:lang w:val="en-US"/>
        </w:rPr>
        <w:t>s</w:t>
      </w:r>
      <w:r w:rsidRPr="006664E6">
        <w:rPr>
          <w:rFonts w:ascii="Arial" w:hAnsi="Arial" w:cs="Arial"/>
          <w:i/>
          <w:sz w:val="18"/>
          <w:szCs w:val="18"/>
          <w:lang w:val="en-US"/>
        </w:rPr>
        <w:t>) Bpk v AE &amp; C</w:t>
      </w:r>
      <w:r>
        <w:rPr>
          <w:rFonts w:ascii="Arial" w:hAnsi="Arial" w:cs="Arial"/>
          <w:i/>
          <w:sz w:val="18"/>
          <w:szCs w:val="18"/>
          <w:lang w:val="en-US"/>
        </w:rPr>
        <w:t>I</w:t>
      </w:r>
      <w:r w:rsidRPr="006664E6">
        <w:rPr>
          <w:rFonts w:ascii="Arial" w:hAnsi="Arial" w:cs="Arial"/>
          <w:i/>
          <w:sz w:val="18"/>
          <w:szCs w:val="18"/>
          <w:lang w:val="en-US"/>
        </w:rPr>
        <w:t xml:space="preserve"> Bpk en andere </w:t>
      </w:r>
      <w:r w:rsidRPr="006664E6">
        <w:rPr>
          <w:rFonts w:ascii="Arial" w:hAnsi="Arial" w:cs="Arial"/>
          <w:sz w:val="18"/>
          <w:szCs w:val="18"/>
          <w:lang w:val="en-US"/>
        </w:rPr>
        <w:t>1984</w:t>
      </w:r>
      <w:r>
        <w:rPr>
          <w:rFonts w:ascii="Arial" w:hAnsi="Arial" w:cs="Arial"/>
          <w:sz w:val="18"/>
          <w:szCs w:val="18"/>
          <w:lang w:val="en-US"/>
        </w:rPr>
        <w:t xml:space="preserve"> </w:t>
      </w:r>
      <w:r w:rsidRPr="006664E6">
        <w:rPr>
          <w:rFonts w:ascii="Arial" w:hAnsi="Arial" w:cs="Arial"/>
          <w:sz w:val="18"/>
          <w:szCs w:val="18"/>
          <w:lang w:val="en-US"/>
        </w:rPr>
        <w:t>(2)</w:t>
      </w:r>
      <w:r>
        <w:rPr>
          <w:rFonts w:ascii="Arial" w:hAnsi="Arial" w:cs="Arial"/>
          <w:sz w:val="18"/>
          <w:szCs w:val="18"/>
          <w:lang w:val="en-US"/>
        </w:rPr>
        <w:t xml:space="preserve"> SA</w:t>
      </w:r>
      <w:r w:rsidRPr="006664E6">
        <w:rPr>
          <w:rFonts w:ascii="Arial" w:hAnsi="Arial" w:cs="Arial"/>
          <w:sz w:val="18"/>
          <w:szCs w:val="18"/>
          <w:lang w:val="en-US"/>
        </w:rPr>
        <w:t xml:space="preserve"> 261 (WPA) at</w:t>
      </w:r>
      <w:r>
        <w:rPr>
          <w:rFonts w:ascii="Arial" w:hAnsi="Arial" w:cs="Arial"/>
          <w:sz w:val="18"/>
          <w:szCs w:val="18"/>
          <w:lang w:val="en-US"/>
        </w:rPr>
        <w:t xml:space="preserve"> </w:t>
      </w:r>
      <w:r w:rsidRPr="006664E6">
        <w:rPr>
          <w:rFonts w:ascii="Arial" w:hAnsi="Arial" w:cs="Arial"/>
          <w:sz w:val="18"/>
          <w:szCs w:val="18"/>
          <w:lang w:val="en-US"/>
        </w:rPr>
        <w:t>269 B-H</w:t>
      </w:r>
      <w:r>
        <w:rPr>
          <w:rFonts w:ascii="Arial" w:hAnsi="Arial" w:cs="Arial"/>
          <w:sz w:val="18"/>
          <w:szCs w:val="18"/>
          <w:lang w:val="en-US"/>
        </w:rPr>
        <w:t xml:space="preserve">; </w:t>
      </w:r>
      <w:r>
        <w:rPr>
          <w:rFonts w:ascii="Arial" w:hAnsi="Arial" w:cs="Arial"/>
          <w:i/>
          <w:sz w:val="18"/>
          <w:szCs w:val="18"/>
          <w:lang w:val="en-US"/>
        </w:rPr>
        <w:t xml:space="preserve">Johannesburg City Council v Bruma Thirty-Two (Pty) Ltd </w:t>
      </w:r>
      <w:r>
        <w:rPr>
          <w:rFonts w:ascii="Arial" w:hAnsi="Arial" w:cs="Arial"/>
          <w:sz w:val="18"/>
          <w:szCs w:val="18"/>
          <w:lang w:val="en-US"/>
        </w:rPr>
        <w:t xml:space="preserve">1984 (4) SA 87 (T) at 91F-92F; </w:t>
      </w:r>
      <w:r>
        <w:rPr>
          <w:rFonts w:ascii="Arial" w:hAnsi="Arial" w:cs="Arial"/>
          <w:i/>
          <w:sz w:val="18"/>
          <w:szCs w:val="18"/>
          <w:lang w:val="en-US"/>
        </w:rPr>
        <w:t xml:space="preserve">Kwinana and Others v Ngonyama and Others </w:t>
      </w:r>
      <w:r w:rsidRPr="006664E6">
        <w:rPr>
          <w:rFonts w:ascii="Arial" w:hAnsi="Arial" w:cs="Arial"/>
          <w:sz w:val="18"/>
          <w:szCs w:val="18"/>
          <w:lang w:val="en-US"/>
        </w:rPr>
        <w:t>[2022] ZASCA 48</w:t>
      </w:r>
      <w:r>
        <w:rPr>
          <w:rFonts w:ascii="Arial" w:hAnsi="Arial" w:cs="Arial"/>
          <w:sz w:val="18"/>
          <w:szCs w:val="18"/>
          <w:lang w:val="en-US"/>
        </w:rPr>
        <w:t xml:space="preserve"> at</w:t>
      </w:r>
      <w:r w:rsidRPr="006664E6">
        <w:rPr>
          <w:rFonts w:ascii="Arial" w:hAnsi="Arial" w:cs="Arial"/>
          <w:sz w:val="18"/>
          <w:szCs w:val="18"/>
          <w:lang w:val="en-US"/>
        </w:rPr>
        <w:t xml:space="preserve"> </w:t>
      </w:r>
      <w:r>
        <w:rPr>
          <w:rFonts w:ascii="Arial" w:hAnsi="Arial" w:cs="Arial"/>
          <w:sz w:val="18"/>
          <w:szCs w:val="18"/>
          <w:lang w:val="en-US"/>
        </w:rPr>
        <w:t>para 12, being authorities relied upon by the respondents</w:t>
      </w:r>
      <w:r w:rsidRPr="006664E6">
        <w:rPr>
          <w:rFonts w:ascii="Arial" w:hAnsi="Arial" w:cs="Arial"/>
          <w:sz w:val="18"/>
          <w:szCs w:val="18"/>
          <w:lang w:val="en-US"/>
        </w:rPr>
        <w:t>.</w:t>
      </w:r>
    </w:p>
  </w:footnote>
  <w:footnote w:id="23">
    <w:p w14:paraId="3C294FB7" w14:textId="71775B68" w:rsidR="00CE076A" w:rsidRPr="00DD26A0" w:rsidRDefault="00CE076A" w:rsidP="00DD26A0">
      <w:pPr>
        <w:pStyle w:val="FootnoteText"/>
        <w:rPr>
          <w:rFonts w:ascii="Arial" w:hAnsi="Arial" w:cs="Arial"/>
          <w:sz w:val="18"/>
          <w:szCs w:val="18"/>
          <w:lang w:val="en-US"/>
        </w:rPr>
      </w:pPr>
      <w:r w:rsidRPr="00DD26A0">
        <w:rPr>
          <w:rStyle w:val="FootnoteReference"/>
          <w:rFonts w:ascii="Arial" w:hAnsi="Arial" w:cs="Arial"/>
          <w:sz w:val="18"/>
          <w:szCs w:val="18"/>
        </w:rPr>
        <w:footnoteRef/>
      </w:r>
      <w:r w:rsidRPr="00DD26A0">
        <w:rPr>
          <w:rFonts w:ascii="Arial" w:hAnsi="Arial" w:cs="Arial"/>
          <w:sz w:val="18"/>
          <w:szCs w:val="18"/>
        </w:rPr>
        <w:t xml:space="preserve"> </w:t>
      </w:r>
      <w:r w:rsidRPr="00DD26A0">
        <w:rPr>
          <w:rFonts w:ascii="Arial" w:hAnsi="Arial" w:cs="Arial"/>
          <w:sz w:val="18"/>
          <w:szCs w:val="18"/>
          <w:lang w:val="en-US"/>
        </w:rPr>
        <w:t xml:space="preserve">Section 165(5) of the Constitution: </w:t>
      </w:r>
      <w:r>
        <w:rPr>
          <w:rFonts w:ascii="Arial" w:hAnsi="Arial" w:cs="Arial"/>
          <w:sz w:val="18"/>
          <w:szCs w:val="18"/>
          <w:lang w:val="en-US"/>
        </w:rPr>
        <w:t>“</w:t>
      </w:r>
      <w:r w:rsidRPr="00DD26A0">
        <w:rPr>
          <w:rFonts w:ascii="Arial" w:hAnsi="Arial" w:cs="Arial"/>
          <w:sz w:val="18"/>
          <w:szCs w:val="18"/>
          <w:lang w:val="en-US"/>
        </w:rPr>
        <w:t>An order or decision issued by a court binds all persons to whom and organs of state to which it applies.</w:t>
      </w:r>
      <w:r>
        <w:rPr>
          <w:rFonts w:ascii="Arial" w:hAnsi="Arial" w:cs="Arial"/>
          <w:sz w:val="18"/>
          <w:szCs w:val="18"/>
          <w:lang w:val="en-US"/>
        </w:rPr>
        <w:t>”</w:t>
      </w:r>
    </w:p>
  </w:footnote>
  <w:footnote w:id="24">
    <w:p w14:paraId="17E3FDD1" w14:textId="77777777" w:rsidR="00CE076A" w:rsidRPr="00DD26A0" w:rsidRDefault="00CE076A">
      <w:pPr>
        <w:pStyle w:val="FootnoteText"/>
        <w:rPr>
          <w:rFonts w:ascii="Arial" w:hAnsi="Arial" w:cs="Arial"/>
          <w:sz w:val="18"/>
          <w:szCs w:val="18"/>
          <w:lang w:val="en-US"/>
        </w:rPr>
      </w:pPr>
      <w:r w:rsidRPr="00DD26A0">
        <w:rPr>
          <w:rStyle w:val="FootnoteReference"/>
          <w:rFonts w:ascii="Arial" w:hAnsi="Arial" w:cs="Arial"/>
          <w:sz w:val="18"/>
          <w:szCs w:val="18"/>
        </w:rPr>
        <w:footnoteRef/>
      </w:r>
      <w:r w:rsidRPr="00DD26A0">
        <w:rPr>
          <w:rFonts w:ascii="Arial" w:hAnsi="Arial" w:cs="Arial"/>
          <w:sz w:val="18"/>
          <w:szCs w:val="18"/>
        </w:rPr>
        <w:t xml:space="preserve"> </w:t>
      </w:r>
      <w:r w:rsidRPr="00DD26A0">
        <w:rPr>
          <w:rFonts w:ascii="Arial" w:hAnsi="Arial" w:cs="Arial"/>
          <w:sz w:val="18"/>
          <w:szCs w:val="18"/>
          <w:lang w:val="en-US"/>
        </w:rPr>
        <w:t>Section 1 of the Constitution.</w:t>
      </w:r>
    </w:p>
  </w:footnote>
  <w:footnote w:id="25">
    <w:p w14:paraId="208D08B4" w14:textId="3D00367F" w:rsidR="00CE076A" w:rsidRPr="00DD26A0" w:rsidRDefault="00CE076A" w:rsidP="00DD26A0">
      <w:pPr>
        <w:pStyle w:val="FootnoteText"/>
        <w:rPr>
          <w:rFonts w:ascii="Arial" w:hAnsi="Arial" w:cs="Arial"/>
          <w:sz w:val="18"/>
          <w:szCs w:val="18"/>
          <w:lang w:val="en-US"/>
        </w:rPr>
      </w:pPr>
      <w:r w:rsidRPr="00DD26A0">
        <w:rPr>
          <w:rStyle w:val="FootnoteReference"/>
          <w:rFonts w:ascii="Arial" w:hAnsi="Arial" w:cs="Arial"/>
          <w:sz w:val="18"/>
          <w:szCs w:val="18"/>
        </w:rPr>
        <w:footnoteRef/>
      </w:r>
      <w:r w:rsidRPr="00DD26A0">
        <w:rPr>
          <w:rFonts w:ascii="Arial" w:hAnsi="Arial" w:cs="Arial"/>
          <w:sz w:val="18"/>
          <w:szCs w:val="18"/>
        </w:rPr>
        <w:t xml:space="preserve"> </w:t>
      </w:r>
      <w:r w:rsidRPr="00DD26A0">
        <w:rPr>
          <w:rFonts w:ascii="Arial" w:hAnsi="Arial" w:cs="Arial"/>
          <w:sz w:val="18"/>
          <w:szCs w:val="18"/>
          <w:lang w:val="en-US"/>
        </w:rPr>
        <w:t xml:space="preserve">Section 165(1) of the Constitution provides: </w:t>
      </w:r>
      <w:r>
        <w:rPr>
          <w:rFonts w:ascii="Arial" w:hAnsi="Arial" w:cs="Arial"/>
          <w:sz w:val="18"/>
          <w:szCs w:val="18"/>
          <w:lang w:val="en-US"/>
        </w:rPr>
        <w:t>“</w:t>
      </w:r>
      <w:r w:rsidRPr="00DD26A0">
        <w:rPr>
          <w:rFonts w:ascii="Arial" w:hAnsi="Arial" w:cs="Arial"/>
          <w:sz w:val="18"/>
          <w:szCs w:val="18"/>
          <w:lang w:val="en-US"/>
        </w:rPr>
        <w:t>The judicial authority of the Republic is vested in the courts.</w:t>
      </w:r>
      <w:r>
        <w:rPr>
          <w:rFonts w:ascii="Arial" w:hAnsi="Arial" w:cs="Arial"/>
          <w:sz w:val="18"/>
          <w:szCs w:val="18"/>
          <w:lang w:val="en-US"/>
        </w:rPr>
        <w:t>”</w:t>
      </w:r>
      <w:r w:rsidRPr="00DD26A0">
        <w:rPr>
          <w:rFonts w:ascii="Arial" w:hAnsi="Arial" w:cs="Arial"/>
          <w:sz w:val="18"/>
          <w:szCs w:val="18"/>
          <w:lang w:val="en-US"/>
        </w:rPr>
        <w:t xml:space="preserve">  Section 165(4) provides:</w:t>
      </w:r>
      <w:r>
        <w:rPr>
          <w:rFonts w:ascii="Arial" w:hAnsi="Arial" w:cs="Arial"/>
          <w:sz w:val="18"/>
          <w:szCs w:val="18"/>
          <w:lang w:val="en-US"/>
        </w:rPr>
        <w:t xml:space="preserve"> “</w:t>
      </w:r>
      <w:r w:rsidRPr="00DD26A0">
        <w:rPr>
          <w:rFonts w:ascii="Arial" w:hAnsi="Arial" w:cs="Arial"/>
          <w:sz w:val="18"/>
          <w:szCs w:val="18"/>
          <w:lang w:val="en-US"/>
        </w:rPr>
        <w:t>Organs of state, through legislative and other measures, must assist and protect the courts to ensure the independence, impartiality, dignity, accessibility and effectiveness of the courts.</w:t>
      </w:r>
      <w:r>
        <w:rPr>
          <w:rFonts w:ascii="Arial" w:hAnsi="Arial" w:cs="Arial"/>
          <w:sz w:val="18"/>
          <w:szCs w:val="18"/>
          <w:lang w:val="en-US"/>
        </w:rPr>
        <w:t>”</w:t>
      </w:r>
      <w:r w:rsidRPr="00DD26A0">
        <w:rPr>
          <w:rFonts w:ascii="Arial" w:hAnsi="Arial" w:cs="Arial"/>
          <w:sz w:val="18"/>
          <w:szCs w:val="18"/>
          <w:lang w:val="en-US"/>
        </w:rPr>
        <w:t xml:space="preserve">  </w:t>
      </w:r>
    </w:p>
  </w:footnote>
  <w:footnote w:id="26">
    <w:p w14:paraId="5D93A9B2" w14:textId="4C376BAB" w:rsidR="00CE076A" w:rsidRPr="00453C22" w:rsidRDefault="00CE076A">
      <w:pPr>
        <w:pStyle w:val="FootnoteText"/>
        <w:rPr>
          <w:rFonts w:ascii="Arial" w:hAnsi="Arial" w:cs="Arial"/>
          <w:sz w:val="18"/>
          <w:szCs w:val="18"/>
          <w:lang w:val="en-US"/>
        </w:rPr>
      </w:pPr>
      <w:r w:rsidRPr="00453C22">
        <w:rPr>
          <w:rStyle w:val="FootnoteReference"/>
          <w:rFonts w:ascii="Arial" w:hAnsi="Arial" w:cs="Arial"/>
          <w:sz w:val="18"/>
          <w:szCs w:val="18"/>
        </w:rPr>
        <w:footnoteRef/>
      </w:r>
      <w:r w:rsidRPr="00453C22">
        <w:rPr>
          <w:rFonts w:ascii="Arial" w:hAnsi="Arial" w:cs="Arial"/>
          <w:sz w:val="18"/>
          <w:szCs w:val="18"/>
        </w:rPr>
        <w:t xml:space="preserve"> </w:t>
      </w:r>
      <w:r w:rsidRPr="00453C22">
        <w:rPr>
          <w:rFonts w:ascii="Arial" w:hAnsi="Arial" w:cs="Arial"/>
          <w:i/>
          <w:sz w:val="18"/>
          <w:szCs w:val="18"/>
          <w:lang w:val="en-US"/>
        </w:rPr>
        <w:t>Department of Transport</w:t>
      </w:r>
      <w:r>
        <w:rPr>
          <w:rFonts w:ascii="Arial" w:hAnsi="Arial" w:cs="Arial"/>
          <w:i/>
          <w:sz w:val="18"/>
          <w:szCs w:val="18"/>
          <w:lang w:val="en-US"/>
        </w:rPr>
        <w:t xml:space="preserve"> and Others</w:t>
      </w:r>
      <w:r w:rsidRPr="00453C22">
        <w:rPr>
          <w:rFonts w:ascii="Arial" w:hAnsi="Arial" w:cs="Arial"/>
          <w:i/>
          <w:sz w:val="18"/>
          <w:szCs w:val="18"/>
          <w:lang w:val="en-US"/>
        </w:rPr>
        <w:t xml:space="preserve"> v Tasima (Pty) Ltd</w:t>
      </w:r>
      <w:r w:rsidRPr="00453C22">
        <w:rPr>
          <w:rFonts w:ascii="Arial" w:hAnsi="Arial" w:cs="Arial"/>
          <w:sz w:val="18"/>
          <w:szCs w:val="18"/>
          <w:lang w:val="en-US"/>
        </w:rPr>
        <w:t xml:space="preserve"> </w:t>
      </w:r>
      <w:r>
        <w:rPr>
          <w:rFonts w:ascii="Arial" w:hAnsi="Arial" w:cs="Arial"/>
          <w:sz w:val="18"/>
          <w:szCs w:val="18"/>
          <w:lang w:val="en-US"/>
        </w:rPr>
        <w:t xml:space="preserve">[2016] ZACC 39; 2017 (1) BCLR 1 (CC); </w:t>
      </w:r>
      <w:r w:rsidRPr="00453C22">
        <w:rPr>
          <w:rFonts w:ascii="Arial" w:hAnsi="Arial" w:cs="Arial"/>
          <w:sz w:val="18"/>
          <w:szCs w:val="18"/>
          <w:lang w:val="en-US"/>
        </w:rPr>
        <w:t>2017</w:t>
      </w:r>
      <w:r>
        <w:rPr>
          <w:rFonts w:ascii="Arial" w:hAnsi="Arial" w:cs="Arial"/>
          <w:sz w:val="18"/>
          <w:szCs w:val="18"/>
          <w:lang w:val="en-US"/>
        </w:rPr>
        <w:t xml:space="preserve"> </w:t>
      </w:r>
      <w:r w:rsidRPr="00453C22">
        <w:rPr>
          <w:rFonts w:ascii="Arial" w:hAnsi="Arial" w:cs="Arial"/>
          <w:sz w:val="18"/>
          <w:szCs w:val="18"/>
          <w:lang w:val="en-US"/>
        </w:rPr>
        <w:t>(2) SA 622 (CC)</w:t>
      </w:r>
      <w:r>
        <w:rPr>
          <w:rFonts w:ascii="Arial" w:hAnsi="Arial" w:cs="Arial"/>
          <w:sz w:val="18"/>
          <w:szCs w:val="18"/>
          <w:lang w:val="en-US"/>
        </w:rPr>
        <w:t xml:space="preserve"> </w:t>
      </w:r>
      <w:r w:rsidRPr="004534EF">
        <w:rPr>
          <w:rFonts w:ascii="Arial" w:hAnsi="Arial" w:cs="Arial"/>
          <w:i/>
          <w:iCs/>
          <w:sz w:val="18"/>
          <w:szCs w:val="18"/>
          <w:lang w:val="en-US"/>
        </w:rPr>
        <w:t>(Tasima</w:t>
      </w:r>
      <w:r>
        <w:rPr>
          <w:rFonts w:ascii="Arial" w:hAnsi="Arial" w:cs="Arial"/>
          <w:sz w:val="18"/>
          <w:szCs w:val="18"/>
          <w:lang w:val="en-US"/>
        </w:rPr>
        <w:t>)</w:t>
      </w:r>
      <w:r w:rsidRPr="00453C22">
        <w:rPr>
          <w:rFonts w:ascii="Arial" w:hAnsi="Arial" w:cs="Arial"/>
          <w:sz w:val="18"/>
          <w:szCs w:val="18"/>
          <w:lang w:val="en-US"/>
        </w:rPr>
        <w:t xml:space="preserve"> </w:t>
      </w:r>
      <w:r>
        <w:rPr>
          <w:rFonts w:ascii="Arial" w:hAnsi="Arial" w:cs="Arial"/>
          <w:sz w:val="18"/>
          <w:szCs w:val="18"/>
          <w:lang w:val="en-US"/>
        </w:rPr>
        <w:t xml:space="preserve">at </w:t>
      </w:r>
      <w:r w:rsidRPr="00453C22">
        <w:rPr>
          <w:rFonts w:ascii="Arial" w:hAnsi="Arial" w:cs="Arial"/>
          <w:sz w:val="18"/>
          <w:szCs w:val="18"/>
          <w:lang w:val="en-US"/>
        </w:rPr>
        <w:t>para 183</w:t>
      </w:r>
      <w:r>
        <w:rPr>
          <w:rFonts w:ascii="Arial" w:hAnsi="Arial" w:cs="Arial"/>
          <w:sz w:val="18"/>
          <w:szCs w:val="18"/>
          <w:lang w:val="en-US"/>
        </w:rPr>
        <w:t>.</w:t>
      </w:r>
    </w:p>
  </w:footnote>
  <w:footnote w:id="27">
    <w:p w14:paraId="04E1F65F" w14:textId="0AECB415" w:rsidR="00CE076A" w:rsidRPr="00024941" w:rsidRDefault="00CE076A" w:rsidP="00663DAA">
      <w:pPr>
        <w:pStyle w:val="FootnoteText"/>
        <w:rPr>
          <w:rFonts w:ascii="Arial" w:hAnsi="Arial" w:cs="Arial"/>
          <w:sz w:val="18"/>
          <w:szCs w:val="18"/>
          <w:lang w:val="en-US"/>
        </w:rPr>
      </w:pPr>
      <w:r>
        <w:rPr>
          <w:rStyle w:val="FootnoteReference"/>
        </w:rPr>
        <w:footnoteRef/>
      </w:r>
      <w:r>
        <w:t xml:space="preserve"> </w:t>
      </w:r>
      <w:r w:rsidRPr="00024941">
        <w:rPr>
          <w:rFonts w:ascii="Arial" w:hAnsi="Arial" w:cs="Arial"/>
          <w:sz w:val="18"/>
          <w:szCs w:val="18"/>
          <w:lang w:val="en-US"/>
        </w:rPr>
        <w:t xml:space="preserve">Section 1 of the Constitution and see </w:t>
      </w:r>
      <w:r w:rsidRPr="00024941">
        <w:rPr>
          <w:rFonts w:ascii="Arial" w:hAnsi="Arial" w:cs="Arial"/>
          <w:i/>
          <w:sz w:val="18"/>
          <w:szCs w:val="18"/>
          <w:lang w:val="en-US"/>
        </w:rPr>
        <w:t xml:space="preserve">Mohamed and </w:t>
      </w:r>
      <w:r>
        <w:rPr>
          <w:rFonts w:ascii="Arial" w:hAnsi="Arial" w:cs="Arial"/>
          <w:i/>
          <w:sz w:val="18"/>
          <w:szCs w:val="18"/>
          <w:lang w:val="en-US"/>
        </w:rPr>
        <w:t>A</w:t>
      </w:r>
      <w:r w:rsidRPr="00024941">
        <w:rPr>
          <w:rFonts w:ascii="Arial" w:hAnsi="Arial" w:cs="Arial"/>
          <w:i/>
          <w:sz w:val="18"/>
          <w:szCs w:val="18"/>
          <w:lang w:val="en-US"/>
        </w:rPr>
        <w:t>nother v President of</w:t>
      </w:r>
      <w:r>
        <w:rPr>
          <w:rFonts w:ascii="Arial" w:hAnsi="Arial" w:cs="Arial"/>
          <w:i/>
          <w:sz w:val="18"/>
          <w:szCs w:val="18"/>
          <w:lang w:val="en-US"/>
        </w:rPr>
        <w:t xml:space="preserve"> the Republic of</w:t>
      </w:r>
      <w:r w:rsidRPr="00024941">
        <w:rPr>
          <w:rFonts w:ascii="Arial" w:hAnsi="Arial" w:cs="Arial"/>
          <w:i/>
          <w:sz w:val="18"/>
          <w:szCs w:val="18"/>
          <w:lang w:val="en-US"/>
        </w:rPr>
        <w:t xml:space="preserve"> S</w:t>
      </w:r>
      <w:r>
        <w:rPr>
          <w:rFonts w:ascii="Arial" w:hAnsi="Arial" w:cs="Arial"/>
          <w:i/>
          <w:sz w:val="18"/>
          <w:szCs w:val="18"/>
          <w:lang w:val="en-US"/>
        </w:rPr>
        <w:t xml:space="preserve">outh </w:t>
      </w:r>
      <w:r w:rsidRPr="00024941">
        <w:rPr>
          <w:rFonts w:ascii="Arial" w:hAnsi="Arial" w:cs="Arial"/>
          <w:i/>
          <w:sz w:val="18"/>
          <w:szCs w:val="18"/>
          <w:lang w:val="en-US"/>
        </w:rPr>
        <w:t>A</w:t>
      </w:r>
      <w:r>
        <w:rPr>
          <w:rFonts w:ascii="Arial" w:hAnsi="Arial" w:cs="Arial"/>
          <w:i/>
          <w:sz w:val="18"/>
          <w:szCs w:val="18"/>
          <w:lang w:val="en-US"/>
        </w:rPr>
        <w:t>frica</w:t>
      </w:r>
      <w:r w:rsidRPr="00024941">
        <w:rPr>
          <w:rFonts w:ascii="Arial" w:hAnsi="Arial" w:cs="Arial"/>
          <w:i/>
          <w:sz w:val="18"/>
          <w:szCs w:val="18"/>
          <w:lang w:val="en-US"/>
        </w:rPr>
        <w:t xml:space="preserve"> and </w:t>
      </w:r>
      <w:r>
        <w:rPr>
          <w:rFonts w:ascii="Arial" w:hAnsi="Arial" w:cs="Arial"/>
          <w:i/>
          <w:sz w:val="18"/>
          <w:szCs w:val="18"/>
          <w:lang w:val="en-US"/>
        </w:rPr>
        <w:t>O</w:t>
      </w:r>
      <w:r w:rsidRPr="00024941">
        <w:rPr>
          <w:rFonts w:ascii="Arial" w:hAnsi="Arial" w:cs="Arial"/>
          <w:i/>
          <w:sz w:val="18"/>
          <w:szCs w:val="18"/>
          <w:lang w:val="en-US"/>
        </w:rPr>
        <w:t>thers (Society for the Abolition of the Death Penalty in South Africa and another</w:t>
      </w:r>
      <w:r>
        <w:rPr>
          <w:rFonts w:ascii="Arial" w:hAnsi="Arial" w:cs="Arial"/>
          <w:i/>
          <w:sz w:val="18"/>
          <w:szCs w:val="18"/>
          <w:lang w:val="en-US"/>
        </w:rPr>
        <w:t xml:space="preserve"> intervening)</w:t>
      </w:r>
      <w:r>
        <w:rPr>
          <w:rFonts w:ascii="Arial" w:hAnsi="Arial" w:cs="Arial"/>
          <w:sz w:val="18"/>
          <w:szCs w:val="18"/>
          <w:lang w:val="en-US"/>
        </w:rPr>
        <w:t xml:space="preserve"> </w:t>
      </w:r>
      <w:r w:rsidRPr="00024941">
        <w:rPr>
          <w:rFonts w:ascii="Arial" w:hAnsi="Arial" w:cs="Arial"/>
          <w:sz w:val="18"/>
          <w:szCs w:val="18"/>
          <w:lang w:val="en-US"/>
        </w:rPr>
        <w:t>2001</w:t>
      </w:r>
      <w:r>
        <w:rPr>
          <w:rFonts w:ascii="Arial" w:hAnsi="Arial" w:cs="Arial"/>
          <w:sz w:val="18"/>
          <w:szCs w:val="18"/>
          <w:lang w:val="en-US"/>
        </w:rPr>
        <w:t xml:space="preserve"> </w:t>
      </w:r>
      <w:r w:rsidRPr="00024941">
        <w:rPr>
          <w:rFonts w:ascii="Arial" w:hAnsi="Arial" w:cs="Arial"/>
          <w:sz w:val="18"/>
          <w:szCs w:val="18"/>
          <w:lang w:val="en-US"/>
        </w:rPr>
        <w:t>(3) SA 893 (CC)</w:t>
      </w:r>
      <w:r>
        <w:rPr>
          <w:rFonts w:ascii="Arial" w:hAnsi="Arial" w:cs="Arial"/>
          <w:sz w:val="18"/>
          <w:szCs w:val="18"/>
          <w:lang w:val="en-US"/>
        </w:rPr>
        <w:t>; 2001 (7) BCLR 685 (CC)</w:t>
      </w:r>
      <w:r w:rsidRPr="00024941">
        <w:rPr>
          <w:rFonts w:ascii="Arial" w:hAnsi="Arial" w:cs="Arial"/>
          <w:sz w:val="18"/>
          <w:szCs w:val="18"/>
          <w:lang w:val="en-US"/>
        </w:rPr>
        <w:t xml:space="preserve"> </w:t>
      </w:r>
      <w:r>
        <w:rPr>
          <w:rFonts w:ascii="Arial" w:hAnsi="Arial" w:cs="Arial"/>
          <w:sz w:val="18"/>
          <w:szCs w:val="18"/>
          <w:lang w:val="en-US"/>
        </w:rPr>
        <w:t xml:space="preserve">at </w:t>
      </w:r>
      <w:r w:rsidRPr="00024941">
        <w:rPr>
          <w:rFonts w:ascii="Arial" w:hAnsi="Arial" w:cs="Arial"/>
          <w:sz w:val="18"/>
          <w:szCs w:val="18"/>
          <w:lang w:val="en-US"/>
        </w:rPr>
        <w:t>para 68.</w:t>
      </w:r>
    </w:p>
  </w:footnote>
  <w:footnote w:id="28">
    <w:p w14:paraId="6BB552C8" w14:textId="35C548B8" w:rsidR="00CE076A" w:rsidRPr="00653A80" w:rsidRDefault="00CE076A" w:rsidP="00663DAA">
      <w:pPr>
        <w:pStyle w:val="FootnoteText"/>
        <w:rPr>
          <w:sz w:val="18"/>
          <w:szCs w:val="18"/>
          <w:lang w:val="en-US"/>
        </w:rPr>
      </w:pPr>
      <w:r w:rsidRPr="00653A80">
        <w:rPr>
          <w:rStyle w:val="FootnoteReference"/>
          <w:rFonts w:ascii="Arial" w:hAnsi="Arial" w:cs="Arial"/>
          <w:sz w:val="18"/>
          <w:szCs w:val="18"/>
        </w:rPr>
        <w:footnoteRef/>
      </w:r>
      <w:r w:rsidRPr="00653A80">
        <w:rPr>
          <w:rFonts w:ascii="Arial" w:hAnsi="Arial" w:cs="Arial"/>
          <w:sz w:val="18"/>
          <w:szCs w:val="18"/>
        </w:rPr>
        <w:t xml:space="preserve"> </w:t>
      </w:r>
      <w:r w:rsidRPr="00653A80">
        <w:rPr>
          <w:rFonts w:ascii="Arial" w:hAnsi="Arial" w:cs="Arial"/>
          <w:i/>
          <w:sz w:val="18"/>
          <w:szCs w:val="18"/>
        </w:rPr>
        <w:t>SOS Support Public Broadcasting and others v South African Broadcasting Corporation</w:t>
      </w:r>
      <w:r>
        <w:rPr>
          <w:rFonts w:ascii="Arial" w:hAnsi="Arial" w:cs="Arial"/>
          <w:i/>
          <w:sz w:val="18"/>
          <w:szCs w:val="18"/>
        </w:rPr>
        <w:t xml:space="preserve"> (SOC)</w:t>
      </w:r>
      <w:r w:rsidRPr="00653A80">
        <w:rPr>
          <w:rFonts w:ascii="Arial" w:hAnsi="Arial" w:cs="Arial"/>
          <w:i/>
          <w:sz w:val="18"/>
          <w:szCs w:val="18"/>
        </w:rPr>
        <w:t xml:space="preserve"> Limited</w:t>
      </w:r>
      <w:r>
        <w:rPr>
          <w:rFonts w:ascii="Arial" w:hAnsi="Arial" w:cs="Arial"/>
          <w:i/>
          <w:sz w:val="18"/>
          <w:szCs w:val="18"/>
        </w:rPr>
        <w:t xml:space="preserve"> and Others</w:t>
      </w:r>
      <w:r w:rsidRPr="00653A80">
        <w:rPr>
          <w:rFonts w:ascii="Arial" w:hAnsi="Arial" w:cs="Arial"/>
          <w:i/>
          <w:sz w:val="18"/>
          <w:szCs w:val="18"/>
        </w:rPr>
        <w:t xml:space="preserve"> </w:t>
      </w:r>
      <w:r w:rsidRPr="004534EF">
        <w:rPr>
          <w:rFonts w:ascii="Arial" w:hAnsi="Arial" w:cs="Arial"/>
          <w:iCs/>
          <w:sz w:val="18"/>
          <w:szCs w:val="18"/>
        </w:rPr>
        <w:t>[2018] ZACC 37; 2018 (12) BCLR 1553 (CC);</w:t>
      </w:r>
      <w:r w:rsidRPr="006546C5">
        <w:rPr>
          <w:rFonts w:ascii="Arial" w:hAnsi="Arial" w:cs="Arial"/>
          <w:i/>
          <w:sz w:val="18"/>
          <w:szCs w:val="18"/>
        </w:rPr>
        <w:t xml:space="preserve"> </w:t>
      </w:r>
      <w:r w:rsidRPr="00653A80">
        <w:rPr>
          <w:rFonts w:ascii="Arial" w:hAnsi="Arial" w:cs="Arial"/>
          <w:sz w:val="18"/>
          <w:szCs w:val="18"/>
        </w:rPr>
        <w:t>2019</w:t>
      </w:r>
      <w:r>
        <w:rPr>
          <w:rFonts w:ascii="Arial" w:hAnsi="Arial" w:cs="Arial"/>
          <w:sz w:val="18"/>
          <w:szCs w:val="18"/>
        </w:rPr>
        <w:t xml:space="preserve"> </w:t>
      </w:r>
      <w:r w:rsidRPr="00653A80">
        <w:rPr>
          <w:rFonts w:ascii="Arial" w:hAnsi="Arial" w:cs="Arial"/>
          <w:sz w:val="18"/>
          <w:szCs w:val="18"/>
        </w:rPr>
        <w:t>(1) SA 370 (CC)</w:t>
      </w:r>
      <w:r>
        <w:rPr>
          <w:rFonts w:ascii="Arial" w:hAnsi="Arial" w:cs="Arial"/>
          <w:sz w:val="18"/>
          <w:szCs w:val="18"/>
        </w:rPr>
        <w:t xml:space="preserve"> at</w:t>
      </w:r>
      <w:r w:rsidRPr="00653A80">
        <w:rPr>
          <w:rFonts w:ascii="Arial" w:hAnsi="Arial" w:cs="Arial"/>
          <w:sz w:val="18"/>
          <w:szCs w:val="18"/>
        </w:rPr>
        <w:t xml:space="preserve"> para 52.</w:t>
      </w:r>
    </w:p>
  </w:footnote>
  <w:footnote w:id="29">
    <w:p w14:paraId="2635AC4F" w14:textId="1E3374F0" w:rsidR="00CE076A" w:rsidRPr="00653A80" w:rsidRDefault="00CE076A" w:rsidP="00663DAA">
      <w:pPr>
        <w:pStyle w:val="FootnoteText"/>
        <w:rPr>
          <w:rFonts w:ascii="Arial" w:hAnsi="Arial" w:cs="Arial"/>
          <w:sz w:val="18"/>
          <w:szCs w:val="18"/>
          <w:lang w:val="en-US"/>
        </w:rPr>
      </w:pPr>
      <w:r w:rsidRPr="00653A80">
        <w:rPr>
          <w:rStyle w:val="FootnoteReference"/>
          <w:rFonts w:ascii="Arial" w:hAnsi="Arial" w:cs="Arial"/>
          <w:sz w:val="18"/>
          <w:szCs w:val="18"/>
        </w:rPr>
        <w:footnoteRef/>
      </w:r>
      <w:r w:rsidRPr="00653A80">
        <w:rPr>
          <w:rFonts w:ascii="Arial" w:hAnsi="Arial" w:cs="Arial"/>
          <w:sz w:val="18"/>
          <w:szCs w:val="18"/>
        </w:rPr>
        <w:t xml:space="preserve"> </w:t>
      </w:r>
      <w:r>
        <w:rPr>
          <w:rFonts w:ascii="Arial" w:hAnsi="Arial" w:cs="Arial"/>
          <w:sz w:val="18"/>
          <w:szCs w:val="18"/>
        </w:rPr>
        <w:t>Supra n 14 at para 13</w:t>
      </w:r>
      <w:r w:rsidRPr="00653A80">
        <w:rPr>
          <w:rFonts w:ascii="Arial" w:hAnsi="Arial" w:cs="Arial"/>
          <w:sz w:val="18"/>
          <w:szCs w:val="18"/>
          <w:lang w:val="en-US"/>
        </w:rPr>
        <w:t xml:space="preserve">. See too </w:t>
      </w:r>
      <w:r w:rsidRPr="00653A80">
        <w:rPr>
          <w:rFonts w:ascii="Arial" w:hAnsi="Arial" w:cs="Arial"/>
          <w:i/>
          <w:sz w:val="18"/>
          <w:szCs w:val="18"/>
        </w:rPr>
        <w:t>Firestone South Africa (Pty) Ltd v Genticuro AG</w:t>
      </w:r>
      <w:r w:rsidRPr="00653A80">
        <w:rPr>
          <w:rFonts w:ascii="Arial" w:hAnsi="Arial" w:cs="Arial"/>
          <w:sz w:val="18"/>
          <w:szCs w:val="18"/>
        </w:rPr>
        <w:t xml:space="preserve"> 1977</w:t>
      </w:r>
      <w:r>
        <w:rPr>
          <w:rFonts w:ascii="Arial" w:hAnsi="Arial" w:cs="Arial"/>
          <w:sz w:val="18"/>
          <w:szCs w:val="18"/>
        </w:rPr>
        <w:t xml:space="preserve"> </w:t>
      </w:r>
      <w:r w:rsidRPr="00653A80">
        <w:rPr>
          <w:rFonts w:ascii="Arial" w:hAnsi="Arial" w:cs="Arial"/>
          <w:sz w:val="18"/>
          <w:szCs w:val="18"/>
        </w:rPr>
        <w:t xml:space="preserve">(4) SA 298 (A) </w:t>
      </w:r>
      <w:r w:rsidRPr="00653A80">
        <w:rPr>
          <w:rFonts w:ascii="Arial" w:hAnsi="Arial" w:cs="Arial"/>
          <w:sz w:val="18"/>
          <w:szCs w:val="18"/>
          <w:lang w:val="en-US"/>
        </w:rPr>
        <w:t xml:space="preserve">304D-H. </w:t>
      </w:r>
    </w:p>
  </w:footnote>
  <w:footnote w:id="30">
    <w:p w14:paraId="74200AAB" w14:textId="62F229B2" w:rsidR="00CE076A" w:rsidRPr="004534EF" w:rsidRDefault="00CE076A" w:rsidP="00663DAA">
      <w:pPr>
        <w:pStyle w:val="FootnoteText"/>
        <w:rPr>
          <w:rFonts w:ascii="Arial" w:hAnsi="Arial" w:cs="Arial"/>
          <w:sz w:val="18"/>
          <w:szCs w:val="18"/>
        </w:rPr>
      </w:pPr>
      <w:r>
        <w:rPr>
          <w:rStyle w:val="FootnoteReference"/>
        </w:rPr>
        <w:footnoteRef/>
      </w:r>
      <w:r>
        <w:t xml:space="preserve"> A</w:t>
      </w:r>
      <w:r w:rsidRPr="00653A80">
        <w:rPr>
          <w:rFonts w:ascii="Arial" w:hAnsi="Arial" w:cs="Arial"/>
          <w:sz w:val="18"/>
          <w:szCs w:val="18"/>
        </w:rPr>
        <w:t xml:space="preserve">pproved by the Constitutional Court in </w:t>
      </w:r>
      <w:r w:rsidRPr="00653A80">
        <w:rPr>
          <w:rFonts w:ascii="Arial" w:hAnsi="Arial" w:cs="Arial"/>
          <w:i/>
          <w:sz w:val="18"/>
          <w:szCs w:val="18"/>
          <w:lang w:val="en-US"/>
        </w:rPr>
        <w:t>Eke v Parsons</w:t>
      </w:r>
      <w:r w:rsidRPr="00412A6E">
        <w:rPr>
          <w:rFonts w:ascii="Arial" w:hAnsi="Arial" w:cs="Arial"/>
          <w:sz w:val="18"/>
          <w:szCs w:val="18"/>
        </w:rPr>
        <w:t> [2015] ZACC 30; 2015 (11) BCLR 1319 (CC); </w:t>
      </w:r>
      <w:r w:rsidRPr="00653A80">
        <w:rPr>
          <w:rFonts w:ascii="Arial" w:hAnsi="Arial" w:cs="Arial"/>
          <w:sz w:val="18"/>
          <w:szCs w:val="18"/>
          <w:lang w:val="en-US"/>
        </w:rPr>
        <w:t>2016</w:t>
      </w:r>
      <w:r>
        <w:rPr>
          <w:rFonts w:ascii="Arial" w:hAnsi="Arial" w:cs="Arial"/>
          <w:sz w:val="18"/>
          <w:szCs w:val="18"/>
          <w:lang w:val="en-US"/>
        </w:rPr>
        <w:t xml:space="preserve"> </w:t>
      </w:r>
      <w:r w:rsidRPr="00653A80">
        <w:rPr>
          <w:rFonts w:ascii="Arial" w:hAnsi="Arial" w:cs="Arial"/>
          <w:sz w:val="18"/>
          <w:szCs w:val="18"/>
          <w:lang w:val="en-US"/>
        </w:rPr>
        <w:t xml:space="preserve">(3) SA 37 (CC) </w:t>
      </w:r>
      <w:r>
        <w:rPr>
          <w:rFonts w:ascii="Arial" w:hAnsi="Arial" w:cs="Arial"/>
          <w:sz w:val="18"/>
          <w:szCs w:val="18"/>
          <w:lang w:val="en-US"/>
        </w:rPr>
        <w:t xml:space="preserve">at </w:t>
      </w:r>
      <w:r w:rsidRPr="00653A80">
        <w:rPr>
          <w:rFonts w:ascii="Arial" w:hAnsi="Arial" w:cs="Arial"/>
          <w:sz w:val="18"/>
          <w:szCs w:val="18"/>
          <w:lang w:val="en-US"/>
        </w:rPr>
        <w:t>para 29</w:t>
      </w:r>
      <w:r>
        <w:rPr>
          <w:rFonts w:ascii="Arial" w:hAnsi="Arial" w:cs="Arial"/>
          <w:sz w:val="18"/>
          <w:szCs w:val="18"/>
          <w:lang w:val="en-US"/>
        </w:rPr>
        <w:t xml:space="preserve">. See too </w:t>
      </w:r>
      <w:r>
        <w:rPr>
          <w:rFonts w:ascii="Arial" w:hAnsi="Arial" w:cs="Arial"/>
          <w:i/>
          <w:sz w:val="18"/>
          <w:szCs w:val="18"/>
          <w:lang w:val="en-US"/>
        </w:rPr>
        <w:t xml:space="preserve">SOS Support Public Broadcasting and others, </w:t>
      </w:r>
      <w:r>
        <w:rPr>
          <w:rFonts w:ascii="Arial" w:hAnsi="Arial" w:cs="Arial"/>
          <w:sz w:val="18"/>
          <w:szCs w:val="18"/>
          <w:lang w:val="en-US"/>
        </w:rPr>
        <w:t>supra n 28 at</w:t>
      </w:r>
      <w:r>
        <w:rPr>
          <w:rFonts w:ascii="Arial" w:hAnsi="Arial" w:cs="Arial"/>
          <w:i/>
          <w:sz w:val="18"/>
          <w:szCs w:val="18"/>
          <w:lang w:val="en-US"/>
        </w:rPr>
        <w:t xml:space="preserve"> </w:t>
      </w:r>
      <w:r>
        <w:rPr>
          <w:rFonts w:ascii="Arial" w:hAnsi="Arial" w:cs="Arial"/>
          <w:sz w:val="18"/>
          <w:szCs w:val="18"/>
          <w:lang w:val="en-US"/>
        </w:rPr>
        <w:t>para 52.</w:t>
      </w:r>
      <w:r>
        <w:rPr>
          <w:rFonts w:ascii="Arial" w:hAnsi="Arial" w:cs="Arial"/>
          <w:i/>
          <w:sz w:val="18"/>
          <w:szCs w:val="18"/>
          <w:lang w:val="en-US"/>
        </w:rPr>
        <w:t xml:space="preserve"> </w:t>
      </w:r>
    </w:p>
  </w:footnote>
  <w:footnote w:id="31">
    <w:p w14:paraId="311D060D" w14:textId="129BF043" w:rsidR="00CE076A" w:rsidRPr="009A7E75" w:rsidRDefault="00CE076A">
      <w:pPr>
        <w:pStyle w:val="FootnoteText"/>
        <w:rPr>
          <w:rFonts w:ascii="Arial" w:hAnsi="Arial" w:cs="Arial"/>
          <w:sz w:val="18"/>
          <w:szCs w:val="18"/>
          <w:lang w:val="en-US"/>
        </w:rPr>
      </w:pPr>
      <w:r w:rsidRPr="009A7E75">
        <w:rPr>
          <w:rStyle w:val="FootnoteReference"/>
          <w:rFonts w:ascii="Arial" w:hAnsi="Arial" w:cs="Arial"/>
          <w:sz w:val="18"/>
          <w:szCs w:val="18"/>
        </w:rPr>
        <w:footnoteRef/>
      </w:r>
      <w:r w:rsidRPr="009A7E75">
        <w:rPr>
          <w:rFonts w:ascii="Arial" w:hAnsi="Arial" w:cs="Arial"/>
          <w:sz w:val="18"/>
          <w:szCs w:val="18"/>
        </w:rPr>
        <w:t xml:space="preserve"> </w:t>
      </w:r>
      <w:r w:rsidRPr="009A7E75">
        <w:rPr>
          <w:rFonts w:ascii="Arial" w:hAnsi="Arial" w:cs="Arial"/>
          <w:sz w:val="18"/>
          <w:szCs w:val="18"/>
          <w:lang w:val="en-US"/>
        </w:rPr>
        <w:t>See n 6 above for the terms of the orders.</w:t>
      </w:r>
    </w:p>
  </w:footnote>
  <w:footnote w:id="32">
    <w:p w14:paraId="0C463643" w14:textId="6B27E796" w:rsidR="00CE076A" w:rsidRPr="00A23895" w:rsidRDefault="00CE076A" w:rsidP="009A7E75">
      <w:pPr>
        <w:pStyle w:val="FootnoteText"/>
        <w:rPr>
          <w:rFonts w:ascii="Arial" w:hAnsi="Arial" w:cs="Arial"/>
          <w:sz w:val="18"/>
          <w:szCs w:val="18"/>
          <w:lang w:val="en-US"/>
        </w:rPr>
      </w:pPr>
      <w:r w:rsidRPr="00A23895">
        <w:rPr>
          <w:rStyle w:val="FootnoteReference"/>
          <w:rFonts w:ascii="Arial" w:hAnsi="Arial" w:cs="Arial"/>
          <w:sz w:val="18"/>
          <w:szCs w:val="18"/>
        </w:rPr>
        <w:footnoteRef/>
      </w:r>
      <w:r w:rsidRPr="00A23895">
        <w:rPr>
          <w:rFonts w:ascii="Arial" w:hAnsi="Arial" w:cs="Arial"/>
          <w:sz w:val="18"/>
          <w:szCs w:val="18"/>
        </w:rPr>
        <w:t xml:space="preserve"> </w:t>
      </w:r>
      <w:r w:rsidRPr="00A23895">
        <w:rPr>
          <w:rFonts w:ascii="Arial" w:hAnsi="Arial" w:cs="Arial"/>
          <w:sz w:val="18"/>
          <w:szCs w:val="18"/>
          <w:lang w:val="en-US"/>
        </w:rPr>
        <w:t>See para 2</w:t>
      </w:r>
      <w:r>
        <w:rPr>
          <w:rFonts w:ascii="Arial" w:hAnsi="Arial" w:cs="Arial"/>
          <w:sz w:val="18"/>
          <w:szCs w:val="18"/>
          <w:lang w:val="en-US"/>
        </w:rPr>
        <w:t>9</w:t>
      </w:r>
      <w:r w:rsidRPr="00A23895">
        <w:rPr>
          <w:rFonts w:ascii="Arial" w:hAnsi="Arial" w:cs="Arial"/>
          <w:sz w:val="18"/>
          <w:szCs w:val="18"/>
          <w:lang w:val="en-US"/>
        </w:rPr>
        <w:t>.6 above.</w:t>
      </w:r>
    </w:p>
  </w:footnote>
  <w:footnote w:id="33">
    <w:p w14:paraId="7C9C70CB" w14:textId="7EDF3D99" w:rsidR="00CE076A" w:rsidRPr="007F5727" w:rsidRDefault="00CE076A" w:rsidP="009A7E75">
      <w:pPr>
        <w:pStyle w:val="FootnoteText"/>
        <w:rPr>
          <w:rFonts w:ascii="Arial" w:hAnsi="Arial" w:cs="Arial"/>
          <w:sz w:val="18"/>
          <w:szCs w:val="18"/>
          <w:lang w:val="en-US"/>
        </w:rPr>
      </w:pPr>
      <w:r w:rsidRPr="00F46D42">
        <w:rPr>
          <w:rStyle w:val="FootnoteReference"/>
          <w:rFonts w:ascii="Arial" w:hAnsi="Arial" w:cs="Arial"/>
          <w:sz w:val="18"/>
          <w:szCs w:val="18"/>
        </w:rPr>
        <w:footnoteRef/>
      </w:r>
      <w:r w:rsidRPr="00F46D42">
        <w:rPr>
          <w:rFonts w:ascii="Arial" w:hAnsi="Arial" w:cs="Arial"/>
          <w:sz w:val="18"/>
          <w:szCs w:val="18"/>
        </w:rPr>
        <w:t xml:space="preserve"> An administrative decision declared invalid is to be retrospectively regarded as if it had never been made. See </w:t>
      </w:r>
      <w:r w:rsidRPr="00F46D42">
        <w:rPr>
          <w:rFonts w:ascii="Arial" w:hAnsi="Arial" w:cs="Arial"/>
          <w:i/>
          <w:sz w:val="18"/>
          <w:szCs w:val="18"/>
        </w:rPr>
        <w:t>City of Johannesburg and another v Ad Outpost (Pty) Ltd</w:t>
      </w:r>
      <w:r w:rsidRPr="00F46D42">
        <w:rPr>
          <w:rFonts w:ascii="Arial" w:hAnsi="Arial" w:cs="Arial"/>
          <w:sz w:val="18"/>
          <w:szCs w:val="18"/>
        </w:rPr>
        <w:t xml:space="preserve"> [2012] ZASCA 40; 2012</w:t>
      </w:r>
      <w:r>
        <w:rPr>
          <w:rFonts w:ascii="Arial" w:hAnsi="Arial" w:cs="Arial"/>
          <w:sz w:val="18"/>
          <w:szCs w:val="18"/>
        </w:rPr>
        <w:t xml:space="preserve"> </w:t>
      </w:r>
      <w:r w:rsidRPr="00F46D42">
        <w:rPr>
          <w:rFonts w:ascii="Arial" w:hAnsi="Arial" w:cs="Arial"/>
          <w:sz w:val="18"/>
          <w:szCs w:val="18"/>
        </w:rPr>
        <w:t xml:space="preserve">(4) SA 325 (SCA) </w:t>
      </w:r>
      <w:r>
        <w:rPr>
          <w:rFonts w:ascii="Arial" w:hAnsi="Arial" w:cs="Arial"/>
          <w:sz w:val="18"/>
          <w:szCs w:val="18"/>
        </w:rPr>
        <w:t xml:space="preserve">at </w:t>
      </w:r>
      <w:r w:rsidRPr="00F46D42">
        <w:rPr>
          <w:rFonts w:ascii="Arial" w:hAnsi="Arial" w:cs="Arial"/>
          <w:sz w:val="18"/>
          <w:szCs w:val="18"/>
        </w:rPr>
        <w:t>para 20, referred to by Ponnan JA, in para 21 of the SCA’s judgment.</w:t>
      </w:r>
    </w:p>
  </w:footnote>
  <w:footnote w:id="34">
    <w:p w14:paraId="18A00E64" w14:textId="3988734B" w:rsidR="00CE076A" w:rsidRPr="007F5727" w:rsidRDefault="00CE076A" w:rsidP="009A7E75">
      <w:pPr>
        <w:pStyle w:val="FootnoteText"/>
        <w:rPr>
          <w:rFonts w:ascii="Arial" w:hAnsi="Arial" w:cs="Arial"/>
          <w:sz w:val="18"/>
          <w:szCs w:val="18"/>
          <w:lang w:val="en-US"/>
        </w:rPr>
      </w:pPr>
      <w:r w:rsidRPr="007F5727">
        <w:rPr>
          <w:rStyle w:val="FootnoteReference"/>
          <w:rFonts w:ascii="Arial" w:hAnsi="Arial" w:cs="Arial"/>
          <w:sz w:val="18"/>
          <w:szCs w:val="18"/>
        </w:rPr>
        <w:footnoteRef/>
      </w:r>
      <w:r w:rsidRPr="007F5727">
        <w:rPr>
          <w:rFonts w:ascii="Arial" w:hAnsi="Arial" w:cs="Arial"/>
          <w:sz w:val="18"/>
          <w:szCs w:val="18"/>
        </w:rPr>
        <w:t xml:space="preserve"> </w:t>
      </w:r>
      <w:r w:rsidRPr="007F5727">
        <w:rPr>
          <w:rFonts w:ascii="Arial" w:hAnsi="Arial" w:cs="Arial"/>
          <w:sz w:val="18"/>
          <w:szCs w:val="18"/>
          <w:lang w:val="en-US"/>
        </w:rPr>
        <w:t>See paras 54, 57 and 58 of the judgment of Tuchten J and para</w:t>
      </w:r>
      <w:r>
        <w:rPr>
          <w:rFonts w:ascii="Arial" w:hAnsi="Arial" w:cs="Arial"/>
          <w:sz w:val="18"/>
          <w:szCs w:val="18"/>
          <w:lang w:val="en-US"/>
        </w:rPr>
        <w:t>s</w:t>
      </w:r>
      <w:r w:rsidRPr="007F5727">
        <w:rPr>
          <w:rFonts w:ascii="Arial" w:hAnsi="Arial" w:cs="Arial"/>
          <w:sz w:val="18"/>
          <w:szCs w:val="18"/>
          <w:lang w:val="en-US"/>
        </w:rPr>
        <w:t xml:space="preserve"> 29 and 30 of the SCA judgment.</w:t>
      </w:r>
    </w:p>
  </w:footnote>
  <w:footnote w:id="35">
    <w:p w14:paraId="4F54C282" w14:textId="3A9EB25F" w:rsidR="00CE076A" w:rsidRPr="00485901" w:rsidRDefault="00CE076A" w:rsidP="009A7E75">
      <w:pPr>
        <w:pStyle w:val="FootnoteText"/>
        <w:rPr>
          <w:rFonts w:ascii="Arial" w:hAnsi="Arial" w:cs="Arial"/>
          <w:sz w:val="18"/>
          <w:szCs w:val="18"/>
          <w:lang w:val="en-US"/>
        </w:rPr>
      </w:pPr>
      <w:r w:rsidRPr="00485901">
        <w:rPr>
          <w:rStyle w:val="FootnoteReference"/>
          <w:rFonts w:ascii="Arial" w:hAnsi="Arial" w:cs="Arial"/>
          <w:sz w:val="18"/>
          <w:szCs w:val="18"/>
        </w:rPr>
        <w:footnoteRef/>
      </w:r>
      <w:r w:rsidRPr="00485901">
        <w:rPr>
          <w:rFonts w:ascii="Arial" w:hAnsi="Arial" w:cs="Arial"/>
          <w:sz w:val="18"/>
          <w:szCs w:val="18"/>
        </w:rPr>
        <w:t xml:space="preserve"> </w:t>
      </w:r>
      <w:r>
        <w:rPr>
          <w:rFonts w:ascii="Arial" w:hAnsi="Arial" w:cs="Arial"/>
          <w:sz w:val="18"/>
          <w:szCs w:val="18"/>
        </w:rPr>
        <w:t xml:space="preserve">See specifically para 54. </w:t>
      </w:r>
      <w:r w:rsidRPr="00485901">
        <w:rPr>
          <w:rFonts w:ascii="Arial" w:hAnsi="Arial" w:cs="Arial"/>
          <w:sz w:val="18"/>
          <w:szCs w:val="18"/>
        </w:rPr>
        <w:t xml:space="preserve">Section 78(4) provides: </w:t>
      </w:r>
      <w:r>
        <w:rPr>
          <w:rFonts w:ascii="Arial" w:hAnsi="Arial" w:cs="Arial"/>
          <w:sz w:val="18"/>
          <w:szCs w:val="18"/>
        </w:rPr>
        <w:t>“</w:t>
      </w:r>
      <w:r w:rsidRPr="00485901">
        <w:rPr>
          <w:rFonts w:ascii="Arial" w:hAnsi="Arial" w:cs="Arial"/>
          <w:sz w:val="18"/>
          <w:szCs w:val="18"/>
        </w:rPr>
        <w:t>Rates on a property based on the valuation of that property in a supplementary valuation become payable with effect from the date on which the change of category referred to in subsection (1)(g) occurred.</w:t>
      </w:r>
      <w:r>
        <w:rPr>
          <w:rFonts w:ascii="Arial" w:hAnsi="Arial" w:cs="Arial"/>
          <w:sz w:val="18"/>
          <w:szCs w:val="18"/>
        </w:rPr>
        <w:t>”</w:t>
      </w:r>
      <w:r w:rsidRPr="00485901">
        <w:rPr>
          <w:rFonts w:ascii="Arial" w:hAnsi="Arial" w:cs="Arial"/>
          <w:sz w:val="18"/>
          <w:szCs w:val="18"/>
        </w:rPr>
        <w:t xml:space="preserve"> </w:t>
      </w:r>
    </w:p>
  </w:footnote>
  <w:footnote w:id="36">
    <w:p w14:paraId="6ED012EE" w14:textId="43DF8E5E" w:rsidR="00CE076A" w:rsidRPr="00F46D42" w:rsidRDefault="00CE076A">
      <w:pPr>
        <w:pStyle w:val="FootnoteText"/>
        <w:rPr>
          <w:rFonts w:ascii="Arial" w:hAnsi="Arial" w:cs="Arial"/>
          <w:sz w:val="18"/>
          <w:szCs w:val="18"/>
          <w:lang w:val="en-US"/>
        </w:rPr>
      </w:pPr>
      <w:r w:rsidRPr="00F46D42">
        <w:rPr>
          <w:rStyle w:val="FootnoteReference"/>
          <w:rFonts w:ascii="Arial" w:hAnsi="Arial" w:cs="Arial"/>
          <w:sz w:val="18"/>
          <w:szCs w:val="18"/>
        </w:rPr>
        <w:footnoteRef/>
      </w:r>
      <w:r w:rsidRPr="00F46D42">
        <w:rPr>
          <w:rFonts w:ascii="Arial" w:hAnsi="Arial" w:cs="Arial"/>
          <w:sz w:val="18"/>
          <w:szCs w:val="18"/>
        </w:rPr>
        <w:t xml:space="preserve"> </w:t>
      </w:r>
      <w:r w:rsidRPr="00F46D42">
        <w:rPr>
          <w:rFonts w:ascii="Arial" w:hAnsi="Arial" w:cs="Arial"/>
          <w:i/>
          <w:sz w:val="18"/>
          <w:szCs w:val="18"/>
          <w:lang w:val="en-US"/>
        </w:rPr>
        <w:t xml:space="preserve">Administrator of Transvaal and others v Theletsane and another </w:t>
      </w:r>
      <w:r w:rsidRPr="00F46D42">
        <w:rPr>
          <w:rFonts w:ascii="Arial" w:hAnsi="Arial" w:cs="Arial"/>
          <w:sz w:val="18"/>
          <w:szCs w:val="18"/>
          <w:lang w:val="en-US"/>
        </w:rPr>
        <w:t>[1990] ZASCA 156; 1991</w:t>
      </w:r>
      <w:r>
        <w:rPr>
          <w:rFonts w:ascii="Arial" w:hAnsi="Arial" w:cs="Arial"/>
          <w:sz w:val="18"/>
          <w:szCs w:val="18"/>
          <w:lang w:val="en-US"/>
        </w:rPr>
        <w:t xml:space="preserve"> </w:t>
      </w:r>
      <w:r w:rsidRPr="00F46D42">
        <w:rPr>
          <w:rFonts w:ascii="Arial" w:hAnsi="Arial" w:cs="Arial"/>
          <w:sz w:val="18"/>
          <w:szCs w:val="18"/>
          <w:lang w:val="en-US"/>
        </w:rPr>
        <w:t>(2) SA 192 (A</w:t>
      </w:r>
      <w:r>
        <w:rPr>
          <w:rFonts w:ascii="Arial" w:hAnsi="Arial" w:cs="Arial"/>
          <w:sz w:val="18"/>
          <w:szCs w:val="18"/>
          <w:lang w:val="en-US"/>
        </w:rPr>
        <w:t>D</w:t>
      </w:r>
      <w:r w:rsidRPr="00F46D42">
        <w:rPr>
          <w:rFonts w:ascii="Arial" w:hAnsi="Arial" w:cs="Arial"/>
          <w:sz w:val="18"/>
          <w:szCs w:val="18"/>
          <w:lang w:val="en-US"/>
        </w:rPr>
        <w:t>); [1991] 4 All SA 132 (A</w:t>
      </w:r>
      <w:r>
        <w:rPr>
          <w:rFonts w:ascii="Arial" w:hAnsi="Arial" w:cs="Arial"/>
          <w:sz w:val="18"/>
          <w:szCs w:val="18"/>
          <w:lang w:val="en-US"/>
        </w:rPr>
        <w:t>D</w:t>
      </w:r>
      <w:r w:rsidRPr="00F46D42">
        <w:rPr>
          <w:rFonts w:ascii="Arial" w:hAnsi="Arial" w:cs="Arial"/>
          <w:sz w:val="18"/>
          <w:szCs w:val="18"/>
          <w:lang w:val="en-US"/>
        </w:rPr>
        <w:t>).</w:t>
      </w:r>
    </w:p>
  </w:footnote>
  <w:footnote w:id="37">
    <w:p w14:paraId="5C04BE6D" w14:textId="75282629" w:rsidR="00CE076A" w:rsidRPr="006534A6" w:rsidRDefault="00CE076A" w:rsidP="00477348">
      <w:pPr>
        <w:pStyle w:val="FootnoteText"/>
        <w:rPr>
          <w:rFonts w:ascii="Arial" w:hAnsi="Arial" w:cs="Arial"/>
          <w:sz w:val="18"/>
          <w:szCs w:val="18"/>
          <w:lang w:val="en-US"/>
        </w:rPr>
      </w:pPr>
      <w:r w:rsidRPr="00477348">
        <w:rPr>
          <w:rStyle w:val="FootnoteReference"/>
          <w:rFonts w:ascii="Arial" w:hAnsi="Arial" w:cs="Arial"/>
          <w:sz w:val="18"/>
          <w:szCs w:val="18"/>
        </w:rPr>
        <w:footnoteRef/>
      </w:r>
      <w:r w:rsidRPr="00477348">
        <w:rPr>
          <w:rFonts w:ascii="Arial" w:hAnsi="Arial" w:cs="Arial"/>
          <w:sz w:val="18"/>
          <w:szCs w:val="18"/>
        </w:rPr>
        <w:t xml:space="preserve"> Prayer 2 declared the 2012 SVR invalid and set it aside to the extent that it </w:t>
      </w:r>
      <w:r w:rsidRPr="00477348">
        <w:rPr>
          <w:rFonts w:ascii="Arial" w:hAnsi="Arial" w:cs="Arial"/>
          <w:sz w:val="18"/>
          <w:szCs w:val="18"/>
          <w:lang w:val="en-US"/>
        </w:rPr>
        <w:t>recategorised as ‘Vacant’ properties situated in the municipal area of the former Kungwini local municipality formerly categorized as ‘residential’ and prayer (the affected properties). Prayer 7 reads: Pursuant to the applicants’ tender made through counsel, the applicants are directed to pay rates to the respondent in respect of the affected properties immediately preceding the coming into operation of the respondent’s 2012 supplementary valuation roll until the rate applicable to such properties changed according to law.</w:t>
      </w:r>
    </w:p>
  </w:footnote>
  <w:footnote w:id="38">
    <w:p w14:paraId="3D0A3FB4" w14:textId="748413D5" w:rsidR="00CE076A" w:rsidRPr="004534EF" w:rsidRDefault="00CE076A" w:rsidP="00026593">
      <w:pPr>
        <w:pStyle w:val="FootnoteText"/>
        <w:rPr>
          <w:rFonts w:ascii="Arial" w:hAnsi="Arial" w:cs="Arial"/>
          <w:color w:val="242121"/>
          <w:sz w:val="18"/>
          <w:szCs w:val="18"/>
          <w:shd w:val="clear" w:color="auto" w:fill="FFFFFF"/>
        </w:rPr>
      </w:pPr>
      <w:r w:rsidRPr="00026593">
        <w:rPr>
          <w:rStyle w:val="FootnoteReference"/>
          <w:rFonts w:ascii="Arial" w:hAnsi="Arial" w:cs="Arial"/>
          <w:sz w:val="18"/>
          <w:szCs w:val="18"/>
        </w:rPr>
        <w:footnoteRef/>
      </w:r>
      <w:r w:rsidRPr="00026593">
        <w:rPr>
          <w:rFonts w:ascii="Arial" w:hAnsi="Arial" w:cs="Arial"/>
          <w:sz w:val="18"/>
          <w:szCs w:val="18"/>
        </w:rPr>
        <w:t xml:space="preserve"> </w:t>
      </w:r>
      <w:r w:rsidRPr="00026593">
        <w:rPr>
          <w:rFonts w:ascii="Arial" w:hAnsi="Arial" w:cs="Arial"/>
          <w:i/>
          <w:iCs/>
          <w:color w:val="242121"/>
          <w:sz w:val="18"/>
          <w:szCs w:val="18"/>
          <w:shd w:val="clear" w:color="auto" w:fill="FFFFFF"/>
          <w:lang w:val="en-US"/>
        </w:rPr>
        <w:t>Wightman t/a JW Construction v Headfour (Pty) Ltd and ano</w:t>
      </w:r>
      <w:r>
        <w:rPr>
          <w:rFonts w:ascii="Arial" w:hAnsi="Arial" w:cs="Arial"/>
          <w:i/>
          <w:iCs/>
          <w:color w:val="242121"/>
          <w:sz w:val="18"/>
          <w:szCs w:val="18"/>
          <w:shd w:val="clear" w:color="auto" w:fill="FFFFFF"/>
          <w:lang w:val="en-US"/>
        </w:rPr>
        <w:t xml:space="preserve">ther </w:t>
      </w:r>
      <w:r w:rsidRPr="004534EF">
        <w:rPr>
          <w:rFonts w:ascii="Arial" w:hAnsi="Arial" w:cs="Arial"/>
          <w:color w:val="242121"/>
          <w:sz w:val="18"/>
          <w:szCs w:val="18"/>
          <w:shd w:val="clear" w:color="auto" w:fill="FFFFFF"/>
        </w:rPr>
        <w:t>[2008] ZASCA 6; [2008] 2 All SA 512 (SCA)</w:t>
      </w:r>
      <w:r>
        <w:rPr>
          <w:rFonts w:ascii="Arial" w:hAnsi="Arial" w:cs="Arial"/>
          <w:color w:val="242121"/>
          <w:sz w:val="18"/>
          <w:szCs w:val="18"/>
          <w:shd w:val="clear" w:color="auto" w:fill="FFFFFF"/>
        </w:rPr>
        <w:t xml:space="preserve">; </w:t>
      </w:r>
      <w:r w:rsidRPr="00026593">
        <w:rPr>
          <w:rFonts w:ascii="Arial" w:hAnsi="Arial" w:cs="Arial"/>
          <w:color w:val="242121"/>
          <w:sz w:val="18"/>
          <w:szCs w:val="18"/>
          <w:shd w:val="clear" w:color="auto" w:fill="FFFFFF"/>
          <w:lang w:val="en-US"/>
        </w:rPr>
        <w:t>2008</w:t>
      </w:r>
      <w:r>
        <w:rPr>
          <w:rFonts w:ascii="Arial" w:hAnsi="Arial" w:cs="Arial"/>
          <w:color w:val="242121"/>
          <w:sz w:val="18"/>
          <w:szCs w:val="18"/>
          <w:shd w:val="clear" w:color="auto" w:fill="FFFFFF"/>
          <w:lang w:val="en-US"/>
        </w:rPr>
        <w:t xml:space="preserve"> </w:t>
      </w:r>
      <w:r w:rsidRPr="00026593">
        <w:rPr>
          <w:rFonts w:ascii="Arial" w:hAnsi="Arial" w:cs="Arial"/>
          <w:color w:val="242121"/>
          <w:sz w:val="18"/>
          <w:szCs w:val="18"/>
          <w:shd w:val="clear" w:color="auto" w:fill="FFFFFF"/>
          <w:lang w:val="en-US"/>
        </w:rPr>
        <w:t>(3) SA 371 (SCA)</w:t>
      </w:r>
      <w:r>
        <w:rPr>
          <w:rFonts w:ascii="Arial" w:hAnsi="Arial" w:cs="Arial"/>
          <w:color w:val="242121"/>
          <w:sz w:val="18"/>
          <w:szCs w:val="18"/>
          <w:shd w:val="clear" w:color="auto" w:fill="FFFFFF"/>
          <w:lang w:val="en-US"/>
        </w:rPr>
        <w:t xml:space="preserve"> at</w:t>
      </w:r>
      <w:r w:rsidRPr="00026593">
        <w:rPr>
          <w:rFonts w:ascii="Arial" w:hAnsi="Arial" w:cs="Arial"/>
          <w:color w:val="242121"/>
          <w:sz w:val="18"/>
          <w:szCs w:val="18"/>
          <w:shd w:val="clear" w:color="auto" w:fill="FFFFFF"/>
          <w:lang w:val="en-US"/>
        </w:rPr>
        <w:t xml:space="preserve"> para 13.</w:t>
      </w:r>
    </w:p>
  </w:footnote>
  <w:footnote w:id="39">
    <w:p w14:paraId="4D3AC0A5" w14:textId="5038AE10" w:rsidR="00CE076A" w:rsidRPr="00F31631" w:rsidRDefault="00CE076A" w:rsidP="00F31631">
      <w:pPr>
        <w:pStyle w:val="FootnoteText"/>
        <w:rPr>
          <w:rFonts w:ascii="Arial" w:hAnsi="Arial" w:cs="Arial"/>
          <w:sz w:val="18"/>
          <w:szCs w:val="18"/>
          <w:lang w:val="en-US"/>
        </w:rPr>
      </w:pPr>
      <w:r w:rsidRPr="00F31631">
        <w:rPr>
          <w:rStyle w:val="FootnoteReference"/>
          <w:rFonts w:ascii="Arial" w:hAnsi="Arial" w:cs="Arial"/>
          <w:sz w:val="18"/>
          <w:szCs w:val="18"/>
        </w:rPr>
        <w:footnoteRef/>
      </w:r>
      <w:r w:rsidRPr="00F31631">
        <w:rPr>
          <w:rFonts w:ascii="Arial" w:hAnsi="Arial" w:cs="Arial"/>
          <w:sz w:val="18"/>
          <w:szCs w:val="18"/>
        </w:rPr>
        <w:t xml:space="preserve"> Section 172(1) provides: </w:t>
      </w:r>
      <w:r>
        <w:rPr>
          <w:rFonts w:ascii="Arial" w:hAnsi="Arial" w:cs="Arial"/>
          <w:sz w:val="18"/>
          <w:szCs w:val="18"/>
        </w:rPr>
        <w:t>“</w:t>
      </w:r>
      <w:r w:rsidRPr="00F31631">
        <w:rPr>
          <w:rFonts w:ascii="Arial" w:hAnsi="Arial" w:cs="Arial"/>
          <w:sz w:val="18"/>
          <w:szCs w:val="18"/>
          <w:lang w:val="en-US"/>
        </w:rPr>
        <w:t>When deciding a constitutional matter within its power, a court – (a) must declare that any law or conduct that is inconsistent with the Constitution is invalid to the extent of its inconsistency; and (b) may make any order that is just and equitable ….</w:t>
      </w:r>
      <w:r>
        <w:rPr>
          <w:rFonts w:ascii="Arial" w:hAnsi="Arial" w:cs="Arial"/>
          <w:sz w:val="18"/>
          <w:szCs w:val="18"/>
          <w:lang w:val="en-US"/>
        </w:rPr>
        <w:t>”</w:t>
      </w:r>
    </w:p>
  </w:footnote>
  <w:footnote w:id="40">
    <w:p w14:paraId="7D78CAE0" w14:textId="3E3B44B6" w:rsidR="00CE076A" w:rsidRPr="00EA21C4" w:rsidRDefault="00CE076A">
      <w:pPr>
        <w:pStyle w:val="FootnoteText"/>
        <w:rPr>
          <w:rFonts w:ascii="Arial" w:hAnsi="Arial" w:cs="Arial"/>
          <w:sz w:val="18"/>
          <w:szCs w:val="18"/>
          <w:lang w:val="en-US"/>
        </w:rPr>
      </w:pPr>
      <w:r w:rsidRPr="00EA21C4">
        <w:rPr>
          <w:rStyle w:val="FootnoteReference"/>
          <w:rFonts w:ascii="Arial" w:hAnsi="Arial" w:cs="Arial"/>
          <w:sz w:val="18"/>
          <w:szCs w:val="18"/>
        </w:rPr>
        <w:footnoteRef/>
      </w:r>
      <w:r w:rsidRPr="00EA21C4">
        <w:rPr>
          <w:rFonts w:ascii="Arial" w:hAnsi="Arial" w:cs="Arial"/>
          <w:sz w:val="18"/>
          <w:szCs w:val="18"/>
        </w:rPr>
        <w:t xml:space="preserve"> </w:t>
      </w:r>
      <w:r w:rsidRPr="00EA21C4">
        <w:rPr>
          <w:rFonts w:ascii="Arial" w:hAnsi="Arial" w:cs="Arial"/>
          <w:i/>
          <w:sz w:val="18"/>
          <w:szCs w:val="18"/>
          <w:lang w:val="en-US"/>
        </w:rPr>
        <w:t xml:space="preserve">Mwelase and others v Director-General for the Department of Rural Development and Land Reform and another </w:t>
      </w:r>
      <w:r>
        <w:rPr>
          <w:rFonts w:ascii="Arial" w:hAnsi="Arial" w:cs="Arial"/>
          <w:sz w:val="18"/>
          <w:szCs w:val="18"/>
          <w:lang w:val="en-US"/>
        </w:rPr>
        <w:t xml:space="preserve">[2019] ZACC 30; 2019 (11) BCLR 1358 (CC); </w:t>
      </w:r>
      <w:r w:rsidRPr="00EA21C4">
        <w:rPr>
          <w:rFonts w:ascii="Arial" w:hAnsi="Arial" w:cs="Arial"/>
          <w:sz w:val="18"/>
          <w:szCs w:val="18"/>
          <w:lang w:val="en-US"/>
        </w:rPr>
        <w:t>2019</w:t>
      </w:r>
      <w:r>
        <w:rPr>
          <w:rFonts w:ascii="Arial" w:hAnsi="Arial" w:cs="Arial"/>
          <w:sz w:val="18"/>
          <w:szCs w:val="18"/>
          <w:lang w:val="en-US"/>
        </w:rPr>
        <w:t xml:space="preserve"> </w:t>
      </w:r>
      <w:r w:rsidRPr="00EA21C4">
        <w:rPr>
          <w:rFonts w:ascii="Arial" w:hAnsi="Arial" w:cs="Arial"/>
          <w:sz w:val="18"/>
          <w:szCs w:val="18"/>
          <w:lang w:val="en-US"/>
        </w:rPr>
        <w:t xml:space="preserve">(6) SA 597 (CC) </w:t>
      </w:r>
      <w:r>
        <w:rPr>
          <w:rFonts w:ascii="Arial" w:hAnsi="Arial" w:cs="Arial"/>
          <w:sz w:val="18"/>
          <w:szCs w:val="18"/>
          <w:lang w:val="en-US"/>
        </w:rPr>
        <w:t>(</w:t>
      </w:r>
      <w:r w:rsidRPr="00DF6AA8">
        <w:rPr>
          <w:rFonts w:ascii="Arial" w:hAnsi="Arial" w:cs="Arial"/>
          <w:i/>
          <w:sz w:val="18"/>
          <w:szCs w:val="18"/>
          <w:lang w:val="en-US"/>
        </w:rPr>
        <w:t>Mwelase</w:t>
      </w:r>
      <w:r>
        <w:rPr>
          <w:rFonts w:ascii="Arial" w:hAnsi="Arial" w:cs="Arial"/>
          <w:sz w:val="18"/>
          <w:szCs w:val="18"/>
          <w:lang w:val="en-US"/>
        </w:rPr>
        <w:t xml:space="preserve">) at </w:t>
      </w:r>
      <w:r w:rsidRPr="00DF6AA8">
        <w:rPr>
          <w:rFonts w:ascii="Arial" w:hAnsi="Arial" w:cs="Arial"/>
          <w:sz w:val="18"/>
          <w:szCs w:val="18"/>
          <w:lang w:val="en-US"/>
        </w:rPr>
        <w:t>para</w:t>
      </w:r>
      <w:r w:rsidRPr="00EA21C4">
        <w:rPr>
          <w:rFonts w:ascii="Arial" w:hAnsi="Arial" w:cs="Arial"/>
          <w:sz w:val="18"/>
          <w:szCs w:val="18"/>
          <w:lang w:val="en-US"/>
        </w:rPr>
        <w:t xml:space="preserve"> 65; </w:t>
      </w:r>
      <w:r w:rsidRPr="00EA21C4">
        <w:rPr>
          <w:rFonts w:ascii="Arial" w:hAnsi="Arial" w:cs="Arial"/>
          <w:i/>
          <w:sz w:val="18"/>
          <w:szCs w:val="18"/>
          <w:lang w:val="en-US"/>
        </w:rPr>
        <w:t>Electoral Commission v Mhlope</w:t>
      </w:r>
      <w:r>
        <w:rPr>
          <w:rFonts w:ascii="Arial" w:hAnsi="Arial" w:cs="Arial"/>
          <w:i/>
          <w:sz w:val="18"/>
          <w:szCs w:val="18"/>
          <w:lang w:val="en-US"/>
        </w:rPr>
        <w:t xml:space="preserve"> and others </w:t>
      </w:r>
      <w:r w:rsidRPr="00EA21C4">
        <w:rPr>
          <w:rFonts w:ascii="Arial" w:hAnsi="Arial" w:cs="Arial"/>
          <w:i/>
          <w:sz w:val="18"/>
          <w:szCs w:val="18"/>
          <w:lang w:val="en-US"/>
        </w:rPr>
        <w:t xml:space="preserve"> </w:t>
      </w:r>
      <w:r>
        <w:rPr>
          <w:rFonts w:ascii="Arial" w:hAnsi="Arial" w:cs="Arial"/>
          <w:sz w:val="18"/>
          <w:szCs w:val="18"/>
          <w:lang w:val="en-US"/>
        </w:rPr>
        <w:t xml:space="preserve">[2016] ZACC 15; 2016 (8) BCLR 987 (CC); </w:t>
      </w:r>
      <w:r w:rsidRPr="00EA21C4">
        <w:rPr>
          <w:rFonts w:ascii="Arial" w:hAnsi="Arial" w:cs="Arial"/>
          <w:sz w:val="18"/>
          <w:szCs w:val="18"/>
          <w:lang w:val="en-US"/>
        </w:rPr>
        <w:t>2016</w:t>
      </w:r>
      <w:r>
        <w:rPr>
          <w:rFonts w:ascii="Arial" w:hAnsi="Arial" w:cs="Arial"/>
          <w:sz w:val="18"/>
          <w:szCs w:val="18"/>
          <w:lang w:val="en-US"/>
        </w:rPr>
        <w:t xml:space="preserve"> </w:t>
      </w:r>
      <w:r w:rsidRPr="00EA21C4">
        <w:rPr>
          <w:rFonts w:ascii="Arial" w:hAnsi="Arial" w:cs="Arial"/>
          <w:sz w:val="18"/>
          <w:szCs w:val="18"/>
          <w:lang w:val="en-US"/>
        </w:rPr>
        <w:t xml:space="preserve">(5) SA 1 (CC) </w:t>
      </w:r>
      <w:r>
        <w:rPr>
          <w:rFonts w:ascii="Arial" w:hAnsi="Arial" w:cs="Arial"/>
          <w:sz w:val="18"/>
          <w:szCs w:val="18"/>
          <w:lang w:val="en-US"/>
        </w:rPr>
        <w:t xml:space="preserve">at </w:t>
      </w:r>
      <w:r w:rsidRPr="00EA21C4">
        <w:rPr>
          <w:rFonts w:ascii="Arial" w:hAnsi="Arial" w:cs="Arial"/>
          <w:sz w:val="18"/>
          <w:szCs w:val="18"/>
          <w:lang w:val="en-US"/>
        </w:rPr>
        <w:t xml:space="preserve">para 83. Also relevant is </w:t>
      </w:r>
      <w:r w:rsidRPr="00EA21C4">
        <w:rPr>
          <w:rFonts w:ascii="Arial" w:hAnsi="Arial" w:cs="Arial"/>
          <w:i/>
          <w:sz w:val="18"/>
          <w:szCs w:val="18"/>
          <w:lang w:val="en-US"/>
        </w:rPr>
        <w:t xml:space="preserve">Fose v Minister of Safety and Security </w:t>
      </w:r>
      <w:r w:rsidRPr="00EA21C4">
        <w:rPr>
          <w:rFonts w:ascii="Arial" w:hAnsi="Arial" w:cs="Arial"/>
          <w:sz w:val="18"/>
          <w:szCs w:val="18"/>
          <w:lang w:val="en-US"/>
        </w:rPr>
        <w:t>[1997] ZACC 6; 1997</w:t>
      </w:r>
      <w:r>
        <w:rPr>
          <w:rFonts w:ascii="Arial" w:hAnsi="Arial" w:cs="Arial"/>
          <w:sz w:val="18"/>
          <w:szCs w:val="18"/>
          <w:lang w:val="en-US"/>
        </w:rPr>
        <w:t xml:space="preserve"> </w:t>
      </w:r>
      <w:r w:rsidRPr="00EA21C4">
        <w:rPr>
          <w:rFonts w:ascii="Arial" w:hAnsi="Arial" w:cs="Arial"/>
          <w:sz w:val="18"/>
          <w:szCs w:val="18"/>
          <w:lang w:val="en-US"/>
        </w:rPr>
        <w:t>(7) BCLR 851; 1997</w:t>
      </w:r>
      <w:r>
        <w:rPr>
          <w:rFonts w:ascii="Arial" w:hAnsi="Arial" w:cs="Arial"/>
          <w:sz w:val="18"/>
          <w:szCs w:val="18"/>
          <w:lang w:val="en-US"/>
        </w:rPr>
        <w:t xml:space="preserve"> </w:t>
      </w:r>
      <w:r w:rsidRPr="00EA21C4">
        <w:rPr>
          <w:rFonts w:ascii="Arial" w:hAnsi="Arial" w:cs="Arial"/>
          <w:sz w:val="18"/>
          <w:szCs w:val="18"/>
          <w:lang w:val="en-US"/>
        </w:rPr>
        <w:t>(3) SA 786 (CC)</w:t>
      </w:r>
      <w:r>
        <w:rPr>
          <w:rFonts w:ascii="Arial" w:hAnsi="Arial" w:cs="Arial"/>
          <w:sz w:val="18"/>
          <w:szCs w:val="18"/>
          <w:lang w:val="en-US"/>
        </w:rPr>
        <w:t xml:space="preserve"> at</w:t>
      </w:r>
      <w:r w:rsidRPr="00EA21C4">
        <w:rPr>
          <w:rFonts w:ascii="Arial" w:hAnsi="Arial" w:cs="Arial"/>
          <w:sz w:val="18"/>
          <w:szCs w:val="18"/>
          <w:lang w:val="en-US"/>
        </w:rPr>
        <w:t xml:space="preserve"> para 96.</w:t>
      </w:r>
    </w:p>
  </w:footnote>
  <w:footnote w:id="41">
    <w:p w14:paraId="4EB7AF00" w14:textId="47436DDD" w:rsidR="00CE076A" w:rsidRPr="00F31631" w:rsidRDefault="00CE076A" w:rsidP="00F31631">
      <w:pPr>
        <w:pStyle w:val="FootnoteText"/>
        <w:rPr>
          <w:rFonts w:ascii="Arial" w:hAnsi="Arial" w:cs="Arial"/>
          <w:sz w:val="18"/>
          <w:szCs w:val="18"/>
          <w:lang w:val="en-US"/>
        </w:rPr>
      </w:pPr>
      <w:r w:rsidRPr="00F31631">
        <w:rPr>
          <w:rStyle w:val="FootnoteReference"/>
          <w:rFonts w:ascii="Arial" w:hAnsi="Arial" w:cs="Arial"/>
          <w:sz w:val="18"/>
          <w:szCs w:val="18"/>
        </w:rPr>
        <w:footnoteRef/>
      </w:r>
      <w:r w:rsidRPr="00F31631">
        <w:rPr>
          <w:rFonts w:ascii="Arial" w:hAnsi="Arial" w:cs="Arial"/>
          <w:sz w:val="18"/>
          <w:szCs w:val="18"/>
        </w:rPr>
        <w:t xml:space="preserve"> </w:t>
      </w:r>
      <w:r w:rsidRPr="00F31631">
        <w:rPr>
          <w:rFonts w:ascii="Arial" w:hAnsi="Arial" w:cs="Arial"/>
          <w:i/>
          <w:sz w:val="18"/>
          <w:szCs w:val="18"/>
          <w:lang w:val="en-US"/>
        </w:rPr>
        <w:t xml:space="preserve">Absa Bank BPK v Janse van Rensburg </w:t>
      </w:r>
      <w:r w:rsidRPr="004534EF">
        <w:rPr>
          <w:rFonts w:ascii="Arial" w:hAnsi="Arial" w:cs="Arial"/>
          <w:iCs/>
          <w:sz w:val="18"/>
          <w:szCs w:val="18"/>
          <w:lang w:val="en-US"/>
        </w:rPr>
        <w:t>[2002] ZASCA 7</w:t>
      </w:r>
      <w:r>
        <w:rPr>
          <w:rFonts w:ascii="Arial" w:hAnsi="Arial" w:cs="Arial"/>
          <w:i/>
          <w:sz w:val="18"/>
          <w:szCs w:val="18"/>
          <w:lang w:val="en-US"/>
        </w:rPr>
        <w:t>;</w:t>
      </w:r>
      <w:r w:rsidRPr="009E63D5">
        <w:rPr>
          <w:rFonts w:ascii="Arial" w:hAnsi="Arial" w:cs="Arial"/>
          <w:i/>
          <w:sz w:val="18"/>
          <w:szCs w:val="18"/>
          <w:lang w:val="en-US"/>
        </w:rPr>
        <w:t xml:space="preserve"> </w:t>
      </w:r>
      <w:r w:rsidRPr="00F31631">
        <w:rPr>
          <w:rFonts w:ascii="Arial" w:hAnsi="Arial" w:cs="Arial"/>
          <w:sz w:val="18"/>
          <w:szCs w:val="18"/>
          <w:lang w:val="en-US"/>
        </w:rPr>
        <w:t>2002</w:t>
      </w:r>
      <w:r>
        <w:rPr>
          <w:rFonts w:ascii="Arial" w:hAnsi="Arial" w:cs="Arial"/>
          <w:sz w:val="18"/>
          <w:szCs w:val="18"/>
          <w:lang w:val="en-US"/>
        </w:rPr>
        <w:t xml:space="preserve"> </w:t>
      </w:r>
      <w:r w:rsidRPr="00F31631">
        <w:rPr>
          <w:rFonts w:ascii="Arial" w:hAnsi="Arial" w:cs="Arial"/>
          <w:sz w:val="18"/>
          <w:szCs w:val="18"/>
          <w:lang w:val="en-US"/>
        </w:rPr>
        <w:t>(3) SA 701 (SCA).</w:t>
      </w:r>
      <w:r w:rsidRPr="00F31631">
        <w:rPr>
          <w:rFonts w:ascii="Arial" w:hAnsi="Arial" w:cs="Arial"/>
          <w:sz w:val="18"/>
          <w:szCs w:val="18"/>
        </w:rPr>
        <w:t xml:space="preserve"> However, they also highlighted the fact that the SCA has held that there is an important element of trust in the relationship between a municipality and a rate-payer </w:t>
      </w:r>
      <w:r w:rsidRPr="00F31631">
        <w:rPr>
          <w:rFonts w:ascii="Arial" w:hAnsi="Arial" w:cs="Arial"/>
          <w:sz w:val="18"/>
          <w:szCs w:val="18"/>
          <w:lang w:val="en-US"/>
        </w:rPr>
        <w:t xml:space="preserve">Relying </w:t>
      </w:r>
      <w:r w:rsidRPr="00F31631">
        <w:rPr>
          <w:rFonts w:ascii="Arial" w:hAnsi="Arial" w:cs="Arial"/>
          <w:i/>
          <w:sz w:val="18"/>
          <w:szCs w:val="18"/>
          <w:lang w:val="en-US"/>
        </w:rPr>
        <w:t>inter alia</w:t>
      </w:r>
      <w:r w:rsidRPr="00F31631">
        <w:rPr>
          <w:rFonts w:ascii="Arial" w:hAnsi="Arial" w:cs="Arial"/>
          <w:sz w:val="18"/>
          <w:szCs w:val="18"/>
          <w:lang w:val="en-US"/>
        </w:rPr>
        <w:t xml:space="preserve"> on </w:t>
      </w:r>
      <w:r w:rsidRPr="00F31631">
        <w:rPr>
          <w:rFonts w:ascii="Arial" w:hAnsi="Arial" w:cs="Arial"/>
          <w:i/>
          <w:sz w:val="18"/>
          <w:szCs w:val="18"/>
          <w:lang w:val="en-US"/>
        </w:rPr>
        <w:t>Fedsure Life Assurance Ltd and others v Greater Johannesburg Transitional Metropolitan Council and others</w:t>
      </w:r>
      <w:r w:rsidRPr="00F31631">
        <w:rPr>
          <w:rFonts w:ascii="Arial" w:hAnsi="Arial" w:cs="Arial"/>
          <w:sz w:val="18"/>
          <w:szCs w:val="18"/>
          <w:lang w:val="en-US"/>
        </w:rPr>
        <w:t xml:space="preserve"> </w:t>
      </w:r>
      <w:r w:rsidRPr="001314A0">
        <w:rPr>
          <w:rFonts w:ascii="Arial" w:hAnsi="Arial" w:cs="Arial"/>
          <w:sz w:val="18"/>
          <w:szCs w:val="18"/>
          <w:lang w:val="en-US"/>
        </w:rPr>
        <w:t xml:space="preserve">[1998] ZASCA 14; </w:t>
      </w:r>
      <w:r w:rsidRPr="00F31631">
        <w:rPr>
          <w:rFonts w:ascii="Arial" w:hAnsi="Arial" w:cs="Arial"/>
          <w:sz w:val="18"/>
          <w:szCs w:val="18"/>
          <w:lang w:val="en-US"/>
        </w:rPr>
        <w:t>1998</w:t>
      </w:r>
      <w:r>
        <w:rPr>
          <w:rFonts w:ascii="Arial" w:hAnsi="Arial" w:cs="Arial"/>
          <w:sz w:val="18"/>
          <w:szCs w:val="18"/>
          <w:lang w:val="en-US"/>
        </w:rPr>
        <w:t xml:space="preserve"> </w:t>
      </w:r>
      <w:r w:rsidRPr="00F31631">
        <w:rPr>
          <w:rFonts w:ascii="Arial" w:hAnsi="Arial" w:cs="Arial"/>
          <w:sz w:val="18"/>
          <w:szCs w:val="18"/>
          <w:lang w:val="en-US"/>
        </w:rPr>
        <w:t>(2) SA 1115 (SCA)</w:t>
      </w:r>
      <w:r>
        <w:rPr>
          <w:rFonts w:ascii="Arial" w:hAnsi="Arial" w:cs="Arial"/>
          <w:sz w:val="18"/>
          <w:szCs w:val="18"/>
          <w:lang w:val="en-US"/>
        </w:rPr>
        <w:t>;</w:t>
      </w:r>
      <w:r w:rsidRPr="00624CD3">
        <w:t xml:space="preserve"> </w:t>
      </w:r>
      <w:r w:rsidRPr="00624CD3">
        <w:rPr>
          <w:rFonts w:ascii="Arial" w:hAnsi="Arial" w:cs="Arial"/>
          <w:sz w:val="18"/>
          <w:szCs w:val="18"/>
          <w:lang w:val="en-US"/>
        </w:rPr>
        <w:t>[1998] 2 All SA 325 (A); 1998 (6) BCLR 671 (SCA)</w:t>
      </w:r>
      <w:r>
        <w:rPr>
          <w:rFonts w:ascii="Arial" w:hAnsi="Arial" w:cs="Arial"/>
          <w:sz w:val="18"/>
          <w:szCs w:val="18"/>
          <w:lang w:val="en-US"/>
        </w:rPr>
        <w:t xml:space="preserve"> at</w:t>
      </w:r>
      <w:r w:rsidRPr="00F31631">
        <w:rPr>
          <w:rFonts w:ascii="Arial" w:hAnsi="Arial" w:cs="Arial"/>
          <w:sz w:val="18"/>
          <w:szCs w:val="18"/>
          <w:lang w:val="en-US"/>
        </w:rPr>
        <w:t xml:space="preserve"> 1122G-H.</w:t>
      </w:r>
    </w:p>
  </w:footnote>
  <w:footnote w:id="42">
    <w:p w14:paraId="77C16EEF" w14:textId="1D1E2C2F" w:rsidR="00CE076A" w:rsidRPr="00F31631" w:rsidRDefault="00CE076A" w:rsidP="00F31631">
      <w:pPr>
        <w:pStyle w:val="FootnoteText"/>
        <w:rPr>
          <w:rFonts w:ascii="Arial" w:hAnsi="Arial" w:cs="Arial"/>
          <w:i/>
          <w:sz w:val="18"/>
          <w:szCs w:val="18"/>
          <w:lang w:val="en-US"/>
        </w:rPr>
      </w:pPr>
      <w:r w:rsidRPr="00F54740">
        <w:rPr>
          <w:rStyle w:val="FootnoteReference"/>
          <w:rFonts w:ascii="Arial" w:hAnsi="Arial" w:cs="Arial"/>
          <w:sz w:val="18"/>
          <w:szCs w:val="18"/>
        </w:rPr>
        <w:footnoteRef/>
      </w:r>
      <w:r w:rsidRPr="00F54740">
        <w:rPr>
          <w:rFonts w:ascii="Arial" w:hAnsi="Arial" w:cs="Arial"/>
          <w:sz w:val="18"/>
          <w:szCs w:val="18"/>
        </w:rPr>
        <w:t xml:space="preserve"> </w:t>
      </w:r>
      <w:r w:rsidRPr="00F54740">
        <w:rPr>
          <w:rFonts w:ascii="Arial" w:hAnsi="Arial" w:cs="Arial"/>
          <w:sz w:val="18"/>
          <w:szCs w:val="18"/>
          <w:lang w:val="en-US"/>
        </w:rPr>
        <w:t>In turn, it reveals how this case is distinguish</w:t>
      </w:r>
      <w:r>
        <w:rPr>
          <w:rFonts w:ascii="Arial" w:hAnsi="Arial" w:cs="Arial"/>
          <w:sz w:val="18"/>
          <w:szCs w:val="18"/>
          <w:lang w:val="en-US"/>
        </w:rPr>
        <w:t xml:space="preserve">able </w:t>
      </w:r>
      <w:r w:rsidRPr="00F54740">
        <w:rPr>
          <w:rFonts w:ascii="Arial" w:hAnsi="Arial" w:cs="Arial"/>
          <w:sz w:val="18"/>
          <w:szCs w:val="18"/>
          <w:lang w:val="en-US"/>
        </w:rPr>
        <w:t xml:space="preserve">from </w:t>
      </w:r>
      <w:r w:rsidRPr="00F54740">
        <w:rPr>
          <w:rFonts w:ascii="Arial" w:hAnsi="Arial" w:cs="Arial"/>
          <w:i/>
          <w:sz w:val="18"/>
          <w:szCs w:val="18"/>
          <w:lang w:val="en-US"/>
        </w:rPr>
        <w:t>Moila v City of Tshwane Municipality</w:t>
      </w:r>
      <w:r w:rsidRPr="00F54740">
        <w:rPr>
          <w:rFonts w:ascii="Arial" w:hAnsi="Arial" w:cs="Arial"/>
          <w:sz w:val="18"/>
          <w:szCs w:val="18"/>
          <w:lang w:val="en-US"/>
        </w:rPr>
        <w:t xml:space="preserve"> [2017] ZASCA 15, in which the SCA held that a plaintiff who claimed that the City incorrectly charged him for services due by a previous owner had not pleaded facts necessary to establish entitlement to the common law remedy of debatement</w:t>
      </w:r>
      <w:r>
        <w:rPr>
          <w:rFonts w:ascii="Arial" w:hAnsi="Arial" w:cs="Arial"/>
          <w:sz w:val="18"/>
          <w:szCs w:val="18"/>
          <w:lang w:val="en-US"/>
        </w:rPr>
        <w:t>.</w:t>
      </w:r>
    </w:p>
  </w:footnote>
  <w:footnote w:id="43">
    <w:p w14:paraId="52C9C228" w14:textId="209CB94D" w:rsidR="00CE076A" w:rsidRPr="009275FE" w:rsidRDefault="00CE076A">
      <w:pPr>
        <w:pStyle w:val="FootnoteText"/>
        <w:rPr>
          <w:rFonts w:ascii="Arial" w:hAnsi="Arial" w:cs="Arial"/>
          <w:color w:val="FFFF00"/>
          <w:sz w:val="18"/>
          <w:szCs w:val="18"/>
          <w:lang w:val="en-US"/>
        </w:rPr>
      </w:pPr>
      <w:r w:rsidRPr="00D0141F">
        <w:rPr>
          <w:rStyle w:val="FootnoteReference"/>
          <w:rFonts w:ascii="Arial" w:hAnsi="Arial" w:cs="Arial"/>
          <w:sz w:val="18"/>
          <w:szCs w:val="18"/>
        </w:rPr>
        <w:footnoteRef/>
      </w:r>
      <w:r w:rsidRPr="00D0141F">
        <w:rPr>
          <w:rFonts w:ascii="Arial" w:hAnsi="Arial" w:cs="Arial"/>
          <w:sz w:val="18"/>
          <w:szCs w:val="18"/>
        </w:rPr>
        <w:t xml:space="preserve"> </w:t>
      </w:r>
      <w:r w:rsidRPr="00D0141F">
        <w:rPr>
          <w:rFonts w:ascii="Arial" w:hAnsi="Arial" w:cs="Arial"/>
          <w:sz w:val="18"/>
          <w:szCs w:val="18"/>
          <w:lang w:val="en-US"/>
        </w:rPr>
        <w:t>Citing</w:t>
      </w:r>
      <w:r>
        <w:rPr>
          <w:rFonts w:ascii="Arial" w:hAnsi="Arial" w:cs="Arial"/>
          <w:sz w:val="18"/>
          <w:szCs w:val="18"/>
          <w:lang w:val="en-US"/>
        </w:rPr>
        <w:t xml:space="preserve"> </w:t>
      </w:r>
      <w:r>
        <w:rPr>
          <w:rFonts w:ascii="Arial" w:hAnsi="Arial" w:cs="Arial"/>
          <w:i/>
          <w:sz w:val="18"/>
          <w:szCs w:val="18"/>
          <w:lang w:val="en-US"/>
        </w:rPr>
        <w:t>inter alia</w:t>
      </w:r>
      <w:r w:rsidRPr="00D0141F">
        <w:rPr>
          <w:rFonts w:ascii="Arial" w:hAnsi="Arial" w:cs="Arial"/>
          <w:sz w:val="18"/>
          <w:szCs w:val="18"/>
          <w:lang w:val="en-US"/>
        </w:rPr>
        <w:t xml:space="preserve"> </w:t>
      </w:r>
      <w:r w:rsidRPr="004534EF">
        <w:rPr>
          <w:rFonts w:ascii="Arial" w:hAnsi="Arial" w:cs="Arial"/>
          <w:i/>
          <w:iCs/>
          <w:sz w:val="18"/>
          <w:szCs w:val="18"/>
          <w:lang w:val="en-US"/>
        </w:rPr>
        <w:t>NDPP v Zuma</w:t>
      </w:r>
      <w:r w:rsidRPr="00D0141F">
        <w:rPr>
          <w:rFonts w:ascii="Arial" w:hAnsi="Arial" w:cs="Arial"/>
          <w:sz w:val="18"/>
          <w:szCs w:val="18"/>
          <w:lang w:val="en-US"/>
        </w:rPr>
        <w:t xml:space="preserve"> [</w:t>
      </w:r>
      <w:r w:rsidRPr="00D0141F">
        <w:rPr>
          <w:rFonts w:ascii="Arial" w:hAnsi="Arial" w:cs="Arial"/>
          <w:bCs/>
          <w:sz w:val="18"/>
          <w:szCs w:val="18"/>
        </w:rPr>
        <w:t>2009] ZASCA 1; 2009 (2) SA 277 (SCA); 2009 (1) SACR 361 (SCA); 2009 (4) BCLR 393 (SCA); [2009] 2 All SA 243 (SCA) at para 26</w:t>
      </w:r>
      <w:r>
        <w:rPr>
          <w:rFonts w:ascii="Arial" w:hAnsi="Arial" w:cs="Arial"/>
          <w:bCs/>
          <w:sz w:val="18"/>
          <w:szCs w:val="18"/>
        </w:rPr>
        <w:t>,</w:t>
      </w:r>
      <w:r w:rsidR="0054276B">
        <w:rPr>
          <w:rFonts w:ascii="Arial" w:hAnsi="Arial" w:cs="Arial"/>
          <w:bCs/>
          <w:sz w:val="18"/>
          <w:szCs w:val="18"/>
        </w:rPr>
        <w:t xml:space="preserve"> </w:t>
      </w:r>
      <w:r w:rsidRPr="00D0141F">
        <w:rPr>
          <w:rFonts w:ascii="Arial" w:hAnsi="Arial" w:cs="Arial"/>
          <w:bCs/>
          <w:i/>
          <w:sz w:val="18"/>
          <w:szCs w:val="18"/>
        </w:rPr>
        <w:t xml:space="preserve">Plascon Evans </w:t>
      </w:r>
      <w:r w:rsidRPr="00D0141F">
        <w:rPr>
          <w:rFonts w:ascii="Arial" w:hAnsi="Arial" w:cs="Arial"/>
          <w:bCs/>
          <w:sz w:val="18"/>
          <w:szCs w:val="18"/>
        </w:rPr>
        <w:t>supra n 16</w:t>
      </w:r>
      <w:r>
        <w:rPr>
          <w:rFonts w:ascii="Arial" w:hAnsi="Arial" w:cs="Arial"/>
          <w:bCs/>
          <w:sz w:val="18"/>
          <w:szCs w:val="18"/>
        </w:rPr>
        <w:t xml:space="preserve">, </w:t>
      </w:r>
      <w:r>
        <w:rPr>
          <w:rFonts w:ascii="Arial" w:hAnsi="Arial" w:cs="Arial"/>
          <w:bCs/>
          <w:i/>
          <w:sz w:val="18"/>
          <w:szCs w:val="18"/>
        </w:rPr>
        <w:t xml:space="preserve">Mostert, </w:t>
      </w:r>
      <w:r w:rsidRPr="004534EF">
        <w:rPr>
          <w:rFonts w:ascii="Arial" w:hAnsi="Arial" w:cs="Arial"/>
          <w:bCs/>
          <w:sz w:val="18"/>
          <w:szCs w:val="18"/>
        </w:rPr>
        <w:t>supra</w:t>
      </w:r>
      <w:r w:rsidRPr="004534EF">
        <w:rPr>
          <w:rFonts w:ascii="Arial" w:hAnsi="Arial" w:cs="Arial"/>
          <w:bCs/>
          <w:i/>
          <w:sz w:val="18"/>
          <w:szCs w:val="18"/>
        </w:rPr>
        <w:t xml:space="preserve"> </w:t>
      </w:r>
      <w:r w:rsidRPr="004534EF">
        <w:rPr>
          <w:rFonts w:ascii="Arial" w:hAnsi="Arial" w:cs="Arial"/>
          <w:bCs/>
          <w:sz w:val="18"/>
          <w:szCs w:val="18"/>
        </w:rPr>
        <w:t>n 15</w:t>
      </w:r>
      <w:r w:rsidRPr="004534EF">
        <w:rPr>
          <w:rFonts w:ascii="Arial" w:hAnsi="Arial" w:cs="Arial"/>
          <w:bCs/>
          <w:i/>
          <w:sz w:val="18"/>
          <w:szCs w:val="18"/>
        </w:rPr>
        <w:t xml:space="preserve"> </w:t>
      </w:r>
      <w:r w:rsidRPr="004534EF">
        <w:rPr>
          <w:rFonts w:ascii="Arial" w:hAnsi="Arial" w:cs="Arial"/>
          <w:bCs/>
          <w:iCs/>
          <w:sz w:val="18"/>
          <w:szCs w:val="18"/>
        </w:rPr>
        <w:t>at</w:t>
      </w:r>
      <w:r w:rsidRPr="004534EF">
        <w:rPr>
          <w:rFonts w:ascii="Arial" w:hAnsi="Arial" w:cs="Arial"/>
          <w:bCs/>
          <w:i/>
          <w:sz w:val="18"/>
          <w:szCs w:val="18"/>
        </w:rPr>
        <w:t xml:space="preserve"> </w:t>
      </w:r>
      <w:r w:rsidRPr="004534EF">
        <w:rPr>
          <w:rFonts w:ascii="Arial" w:hAnsi="Arial" w:cs="Arial"/>
          <w:bCs/>
          <w:sz w:val="18"/>
          <w:szCs w:val="18"/>
        </w:rPr>
        <w:t>para 13 and the authorities referred to in n 22 above.</w:t>
      </w:r>
      <w:r w:rsidRPr="009275FE">
        <w:rPr>
          <w:rFonts w:ascii="Arial" w:hAnsi="Arial" w:cs="Arial"/>
          <w:color w:val="FFFF00"/>
          <w:sz w:val="18"/>
          <w:szCs w:val="18"/>
          <w:lang w:val="en-US"/>
        </w:rPr>
        <w:t xml:space="preserve"> </w:t>
      </w:r>
    </w:p>
  </w:footnote>
  <w:footnote w:id="44">
    <w:p w14:paraId="212A51C6" w14:textId="6E3BC983" w:rsidR="00CE076A" w:rsidRPr="008875BF" w:rsidRDefault="00CE076A" w:rsidP="008875BF">
      <w:pPr>
        <w:pStyle w:val="FootnoteText"/>
        <w:tabs>
          <w:tab w:val="left" w:pos="6521"/>
        </w:tabs>
        <w:rPr>
          <w:rFonts w:ascii="Arial" w:hAnsi="Arial" w:cs="Arial"/>
          <w:i/>
          <w:sz w:val="18"/>
          <w:szCs w:val="18"/>
          <w:lang w:val="en-US"/>
        </w:rPr>
      </w:pPr>
      <w:r w:rsidRPr="00D0141F">
        <w:rPr>
          <w:rStyle w:val="FootnoteReference"/>
          <w:rFonts w:ascii="Arial" w:hAnsi="Arial" w:cs="Arial"/>
          <w:sz w:val="18"/>
          <w:szCs w:val="18"/>
        </w:rPr>
        <w:footnoteRef/>
      </w:r>
      <w:r w:rsidRPr="00D0141F">
        <w:rPr>
          <w:rFonts w:ascii="Arial" w:hAnsi="Arial" w:cs="Arial"/>
          <w:sz w:val="18"/>
          <w:szCs w:val="18"/>
        </w:rPr>
        <w:t xml:space="preserve"> </w:t>
      </w:r>
      <w:r>
        <w:rPr>
          <w:rFonts w:ascii="Arial" w:hAnsi="Arial" w:cs="Arial"/>
          <w:sz w:val="18"/>
          <w:szCs w:val="18"/>
        </w:rPr>
        <w:t xml:space="preserve">Specifically, the principle that an appeal court can only interfere with the exercise of a discretion in the strict or true sense on narrow grounds as set out in cases such as </w:t>
      </w:r>
      <w:r>
        <w:rPr>
          <w:rFonts w:ascii="Arial" w:hAnsi="Arial" w:cs="Arial"/>
          <w:i/>
          <w:sz w:val="18"/>
          <w:szCs w:val="18"/>
        </w:rPr>
        <w:t xml:space="preserve">Media Workers Association of SA and others v Press Corporation of SA Ltd </w:t>
      </w:r>
      <w:r>
        <w:rPr>
          <w:rFonts w:ascii="Arial" w:hAnsi="Arial" w:cs="Arial"/>
          <w:sz w:val="18"/>
          <w:szCs w:val="18"/>
        </w:rPr>
        <w:t>[1992] ZASCA 149; 1992 (4) SA 791 (AD)</w:t>
      </w:r>
      <w:r w:rsidRPr="00374911">
        <w:t xml:space="preserve"> </w:t>
      </w:r>
      <w:r w:rsidRPr="00374911">
        <w:rPr>
          <w:rFonts w:ascii="Arial" w:hAnsi="Arial" w:cs="Arial"/>
          <w:sz w:val="18"/>
          <w:szCs w:val="18"/>
        </w:rPr>
        <w:t>; [1992] 2 All SA 453 (A)</w:t>
      </w:r>
      <w:r>
        <w:rPr>
          <w:rFonts w:ascii="Arial" w:hAnsi="Arial" w:cs="Arial"/>
          <w:sz w:val="18"/>
          <w:szCs w:val="18"/>
        </w:rPr>
        <w:t xml:space="preserve"> at 800C-G and </w:t>
      </w:r>
      <w:r>
        <w:rPr>
          <w:rFonts w:ascii="Arial" w:hAnsi="Arial" w:cs="Arial"/>
          <w:i/>
          <w:sz w:val="18"/>
          <w:szCs w:val="18"/>
        </w:rPr>
        <w:t>Shepstone and Wylie and others v Geyser NO</w:t>
      </w:r>
      <w:r w:rsidRPr="00877E7D">
        <w:rPr>
          <w:rFonts w:ascii="Arial" w:hAnsi="Arial" w:cs="Arial"/>
          <w:sz w:val="18"/>
          <w:szCs w:val="18"/>
        </w:rPr>
        <w:t xml:space="preserve"> </w:t>
      </w:r>
      <w:r w:rsidRPr="00B41156">
        <w:rPr>
          <w:rFonts w:ascii="Arial" w:hAnsi="Arial" w:cs="Arial"/>
          <w:sz w:val="18"/>
          <w:szCs w:val="18"/>
        </w:rPr>
        <w:t xml:space="preserve">[1998] ZASCA 48 </w:t>
      </w:r>
      <w:r>
        <w:rPr>
          <w:rFonts w:ascii="Arial" w:hAnsi="Arial" w:cs="Arial"/>
          <w:sz w:val="18"/>
          <w:szCs w:val="18"/>
        </w:rPr>
        <w:t>;</w:t>
      </w:r>
      <w:r w:rsidRPr="004534EF">
        <w:rPr>
          <w:rFonts w:ascii="Arial" w:hAnsi="Arial" w:cs="Arial"/>
          <w:sz w:val="18"/>
          <w:szCs w:val="18"/>
        </w:rPr>
        <w:t>1998 3) SA 1036 (SCA)</w:t>
      </w:r>
      <w:r>
        <w:rPr>
          <w:rFonts w:ascii="Arial" w:hAnsi="Arial" w:cs="Arial"/>
          <w:sz w:val="18"/>
          <w:szCs w:val="18"/>
        </w:rPr>
        <w:t>;</w:t>
      </w:r>
      <w:r w:rsidRPr="005579DD">
        <w:t xml:space="preserve"> </w:t>
      </w:r>
      <w:r w:rsidRPr="005579DD">
        <w:rPr>
          <w:rFonts w:ascii="Arial" w:hAnsi="Arial" w:cs="Arial"/>
          <w:sz w:val="18"/>
          <w:szCs w:val="18"/>
        </w:rPr>
        <w:t>[1998] 3 All SA 349 (A)</w:t>
      </w:r>
      <w:r w:rsidRPr="004534EF">
        <w:rPr>
          <w:rFonts w:ascii="Arial" w:hAnsi="Arial" w:cs="Arial"/>
          <w:sz w:val="18"/>
          <w:szCs w:val="18"/>
        </w:rPr>
        <w:t xml:space="preserve"> at 1044J-1045F. In the latter case, the circumstances an appeal court can interfere in the exercise of such discretion were stated to be where a court </w:t>
      </w:r>
      <w:r>
        <w:rPr>
          <w:rFonts w:ascii="Arial" w:hAnsi="Arial" w:cs="Arial"/>
          <w:sz w:val="18"/>
          <w:szCs w:val="18"/>
        </w:rPr>
        <w:t>“</w:t>
      </w:r>
      <w:r w:rsidRPr="004534EF">
        <w:rPr>
          <w:rFonts w:ascii="Arial" w:hAnsi="Arial" w:cs="Arial"/>
          <w:sz w:val="18"/>
          <w:szCs w:val="18"/>
        </w:rPr>
        <w:t>has exercised its discretion capriciously or upon a wrong principle, or has not brought it unbiased judgment to bear on the question, or has not acted for substantial reasons.</w:t>
      </w:r>
      <w:r>
        <w:rPr>
          <w:rFonts w:ascii="Arial" w:hAnsi="Arial" w:cs="Arial"/>
          <w:sz w:val="18"/>
          <w:szCs w:val="18"/>
        </w:rPr>
        <w:t>”</w:t>
      </w:r>
      <w:r w:rsidRPr="004534EF">
        <w:rPr>
          <w:rFonts w:ascii="Arial" w:hAnsi="Arial" w:cs="Arial"/>
          <w:sz w:val="18"/>
          <w:szCs w:val="18"/>
        </w:rPr>
        <w:t xml:space="preserve"> See too </w:t>
      </w:r>
      <w:r w:rsidRPr="004534EF">
        <w:rPr>
          <w:rFonts w:ascii="Arial" w:hAnsi="Arial" w:cs="Arial"/>
          <w:i/>
          <w:sz w:val="18"/>
          <w:szCs w:val="18"/>
        </w:rPr>
        <w:t xml:space="preserve">Trencon Construction (Pty) Ltd v Industrial Development Corporation of SA Ltd and another </w:t>
      </w:r>
      <w:r w:rsidRPr="004534EF">
        <w:rPr>
          <w:rFonts w:ascii="Arial" w:hAnsi="Arial" w:cs="Arial"/>
          <w:sz w:val="18"/>
          <w:szCs w:val="18"/>
        </w:rPr>
        <w:t>[2015] ZACC 22; 2015</w:t>
      </w:r>
      <w:r>
        <w:rPr>
          <w:rFonts w:ascii="Arial" w:hAnsi="Arial" w:cs="Arial"/>
          <w:sz w:val="18"/>
          <w:szCs w:val="18"/>
        </w:rPr>
        <w:t xml:space="preserve"> </w:t>
      </w:r>
      <w:r w:rsidRPr="004534EF">
        <w:rPr>
          <w:rFonts w:ascii="Arial" w:hAnsi="Arial" w:cs="Arial"/>
          <w:sz w:val="18"/>
          <w:szCs w:val="18"/>
        </w:rPr>
        <w:t>(5) SA 245 (CC); 2015</w:t>
      </w:r>
      <w:r>
        <w:rPr>
          <w:rFonts w:ascii="Arial" w:hAnsi="Arial" w:cs="Arial"/>
          <w:sz w:val="18"/>
          <w:szCs w:val="18"/>
        </w:rPr>
        <w:t xml:space="preserve"> </w:t>
      </w:r>
      <w:r w:rsidRPr="004534EF">
        <w:rPr>
          <w:rFonts w:ascii="Arial" w:hAnsi="Arial" w:cs="Arial"/>
          <w:sz w:val="18"/>
          <w:szCs w:val="18"/>
        </w:rPr>
        <w:t>(10) BCLR 1119 (CC)</w:t>
      </w:r>
      <w:r>
        <w:rPr>
          <w:rFonts w:ascii="Arial" w:hAnsi="Arial" w:cs="Arial"/>
          <w:sz w:val="18"/>
          <w:szCs w:val="18"/>
        </w:rPr>
        <w:t xml:space="preserve"> at</w:t>
      </w:r>
      <w:r w:rsidRPr="004534EF">
        <w:rPr>
          <w:rFonts w:ascii="Arial" w:hAnsi="Arial" w:cs="Arial"/>
          <w:sz w:val="18"/>
          <w:szCs w:val="18"/>
        </w:rPr>
        <w:t xml:space="preserve"> para</w:t>
      </w:r>
      <w:r>
        <w:rPr>
          <w:rFonts w:ascii="Arial" w:hAnsi="Arial" w:cs="Arial"/>
          <w:sz w:val="18"/>
          <w:szCs w:val="18"/>
        </w:rPr>
        <w:t>s</w:t>
      </w:r>
      <w:r w:rsidRPr="004534EF">
        <w:rPr>
          <w:rFonts w:ascii="Arial" w:hAnsi="Arial" w:cs="Arial"/>
          <w:sz w:val="18"/>
          <w:szCs w:val="18"/>
        </w:rPr>
        <w:t xml:space="preserve"> 83 to 89.</w:t>
      </w:r>
      <w:r>
        <w:rPr>
          <w:rFonts w:ascii="Arial" w:hAnsi="Arial" w:cs="Arial"/>
          <w:sz w:val="18"/>
          <w:szCs w:val="18"/>
          <w:u w:val="single"/>
        </w:rPr>
        <w:t xml:space="preserve"> </w:t>
      </w:r>
      <w:r>
        <w:rPr>
          <w:rFonts w:ascii="Arial" w:hAnsi="Arial" w:cs="Arial"/>
          <w:sz w:val="18"/>
          <w:szCs w:val="18"/>
          <w:lang w:val="en-US"/>
        </w:rPr>
        <w:t xml:space="preserve">In </w:t>
      </w:r>
      <w:r w:rsidRPr="008875BF">
        <w:rPr>
          <w:rFonts w:ascii="Arial" w:hAnsi="Arial" w:cs="Arial"/>
          <w:i/>
          <w:sz w:val="18"/>
          <w:szCs w:val="18"/>
          <w:lang w:val="en-US"/>
        </w:rPr>
        <w:t>Trencon</w:t>
      </w:r>
      <w:r>
        <w:rPr>
          <w:rFonts w:ascii="Arial" w:hAnsi="Arial" w:cs="Arial"/>
          <w:sz w:val="18"/>
          <w:szCs w:val="18"/>
          <w:lang w:val="en-US"/>
        </w:rPr>
        <w:t xml:space="preserve">, the Constitutional Court referred to the test as articulated in </w:t>
      </w:r>
      <w:r w:rsidRPr="004534EF">
        <w:rPr>
          <w:rFonts w:ascii="Arial" w:hAnsi="Arial" w:cs="Arial"/>
          <w:i/>
          <w:iCs/>
          <w:sz w:val="18"/>
          <w:szCs w:val="18"/>
          <w:lang w:val="en-US"/>
        </w:rPr>
        <w:t>National Coalition for Gay and Lesbian Equality and others v Minister of Home Affairs and others</w:t>
      </w:r>
      <w:r>
        <w:rPr>
          <w:rFonts w:ascii="Arial" w:hAnsi="Arial" w:cs="Arial"/>
          <w:sz w:val="18"/>
          <w:szCs w:val="18"/>
          <w:lang w:val="en-US"/>
        </w:rPr>
        <w:t xml:space="preserve"> [1999] ZACC 17; 2000 (2) SA 1 (CC); 2000 (1) BCLR 39 at para 11, that a court will not ordinarily interfere in the exercise of a true discretion unless satisfied that the discretion was not exercised ‘</w:t>
      </w:r>
      <w:r w:rsidRPr="008875BF">
        <w:rPr>
          <w:rFonts w:ascii="Arial" w:hAnsi="Arial" w:cs="Arial"/>
          <w:sz w:val="18"/>
          <w:szCs w:val="18"/>
          <w:lang w:val="en-US"/>
        </w:rPr>
        <w:t>judicially</w:t>
      </w:r>
      <w:r>
        <w:rPr>
          <w:rFonts w:ascii="Arial" w:hAnsi="Arial" w:cs="Arial"/>
          <w:sz w:val="18"/>
          <w:szCs w:val="18"/>
          <w:lang w:val="en-US"/>
        </w:rPr>
        <w:t>, or that it had been influenced by wrong principles or a misdirection on the fact or that it had reached a decision which in the result could not reasonably have been made by a court properly directing itself to all the relevant facts and principles.</w:t>
      </w:r>
    </w:p>
  </w:footnote>
  <w:footnote w:id="45">
    <w:p w14:paraId="6F8FD937" w14:textId="06AE9231" w:rsidR="00CE076A" w:rsidRPr="009E29C7" w:rsidRDefault="00CE076A" w:rsidP="00DC49E3">
      <w:pPr>
        <w:pStyle w:val="FootnoteText"/>
        <w:rPr>
          <w:lang w:val="en-US"/>
        </w:rPr>
      </w:pPr>
      <w:r w:rsidRPr="009E29C7">
        <w:rPr>
          <w:rStyle w:val="FootnoteReference"/>
          <w:rFonts w:ascii="Arial" w:hAnsi="Arial" w:cs="Arial"/>
          <w:sz w:val="18"/>
          <w:szCs w:val="18"/>
        </w:rPr>
        <w:footnoteRef/>
      </w:r>
      <w:r w:rsidRPr="009E29C7">
        <w:rPr>
          <w:rFonts w:ascii="Arial" w:hAnsi="Arial" w:cs="Arial"/>
          <w:sz w:val="18"/>
          <w:szCs w:val="18"/>
        </w:rPr>
        <w:t xml:space="preserve"> See for example </w:t>
      </w:r>
      <w:r w:rsidRPr="009E29C7">
        <w:rPr>
          <w:rFonts w:ascii="Arial" w:hAnsi="Arial" w:cs="Arial"/>
          <w:i/>
          <w:sz w:val="18"/>
          <w:szCs w:val="18"/>
        </w:rPr>
        <w:t>Gwetha v Transkei Development Corporation</w:t>
      </w:r>
      <w:r>
        <w:rPr>
          <w:rFonts w:ascii="Arial" w:hAnsi="Arial" w:cs="Arial"/>
          <w:i/>
          <w:sz w:val="18"/>
          <w:szCs w:val="18"/>
        </w:rPr>
        <w:t>s</w:t>
      </w:r>
      <w:r w:rsidRPr="009E29C7">
        <w:rPr>
          <w:rFonts w:ascii="Arial" w:hAnsi="Arial" w:cs="Arial"/>
          <w:i/>
          <w:sz w:val="18"/>
          <w:szCs w:val="18"/>
        </w:rPr>
        <w:t xml:space="preserve"> Ltd and Others</w:t>
      </w:r>
      <w:r w:rsidRPr="009E29C7">
        <w:rPr>
          <w:rFonts w:ascii="Arial" w:hAnsi="Arial" w:cs="Arial"/>
          <w:sz w:val="18"/>
          <w:szCs w:val="18"/>
        </w:rPr>
        <w:t xml:space="preserve"> </w:t>
      </w:r>
      <w:r w:rsidRPr="005D2421">
        <w:rPr>
          <w:rFonts w:ascii="Arial" w:hAnsi="Arial" w:cs="Arial"/>
          <w:sz w:val="18"/>
          <w:szCs w:val="18"/>
        </w:rPr>
        <w:t xml:space="preserve">[2005] ZASCA 51; [2006] 3 All SA 245 (SCA); </w:t>
      </w:r>
      <w:r w:rsidRPr="009E29C7">
        <w:rPr>
          <w:rFonts w:ascii="Arial" w:hAnsi="Arial" w:cs="Arial"/>
          <w:sz w:val="18"/>
          <w:szCs w:val="18"/>
        </w:rPr>
        <w:t>2006</w:t>
      </w:r>
      <w:r>
        <w:rPr>
          <w:rFonts w:ascii="Arial" w:hAnsi="Arial" w:cs="Arial"/>
          <w:sz w:val="18"/>
          <w:szCs w:val="18"/>
        </w:rPr>
        <w:t xml:space="preserve"> </w:t>
      </w:r>
      <w:r w:rsidRPr="009E29C7">
        <w:rPr>
          <w:rFonts w:ascii="Arial" w:hAnsi="Arial" w:cs="Arial"/>
          <w:sz w:val="18"/>
          <w:szCs w:val="18"/>
        </w:rPr>
        <w:t>(2) SA 603 (SCA)</w:t>
      </w:r>
      <w:r>
        <w:rPr>
          <w:rFonts w:ascii="Arial" w:hAnsi="Arial" w:cs="Arial"/>
          <w:sz w:val="18"/>
          <w:szCs w:val="18"/>
        </w:rPr>
        <w:t xml:space="preserve"> at</w:t>
      </w:r>
      <w:r w:rsidRPr="009E29C7">
        <w:rPr>
          <w:rFonts w:ascii="Arial" w:hAnsi="Arial" w:cs="Arial"/>
          <w:sz w:val="18"/>
          <w:szCs w:val="18"/>
        </w:rPr>
        <w:t xml:space="preserve"> paras 22 to 24</w:t>
      </w:r>
      <w:r>
        <w:rPr>
          <w:rFonts w:ascii="Arial" w:hAnsi="Arial" w:cs="Arial"/>
          <w:sz w:val="24"/>
          <w:szCs w:val="24"/>
        </w:rPr>
        <w:t>.</w:t>
      </w:r>
    </w:p>
  </w:footnote>
  <w:footnote w:id="46">
    <w:p w14:paraId="7C8D0D56" w14:textId="2F576277" w:rsidR="00CE076A" w:rsidRPr="00D613E3" w:rsidRDefault="00CE076A" w:rsidP="00D613E3">
      <w:pPr>
        <w:pStyle w:val="FootnoteText"/>
        <w:rPr>
          <w:rFonts w:ascii="Arial" w:hAnsi="Arial" w:cs="Arial"/>
          <w:i/>
          <w:sz w:val="18"/>
          <w:szCs w:val="18"/>
          <w:lang w:val="en-US"/>
        </w:rPr>
      </w:pPr>
      <w:r w:rsidRPr="00D613E3">
        <w:rPr>
          <w:rStyle w:val="FootnoteReference"/>
          <w:rFonts w:ascii="Arial" w:hAnsi="Arial" w:cs="Arial"/>
          <w:sz w:val="18"/>
          <w:szCs w:val="18"/>
        </w:rPr>
        <w:footnoteRef/>
      </w:r>
      <w:r w:rsidRPr="00D613E3">
        <w:rPr>
          <w:rFonts w:ascii="Arial" w:hAnsi="Arial" w:cs="Arial"/>
          <w:sz w:val="18"/>
          <w:szCs w:val="18"/>
        </w:rPr>
        <w:t xml:space="preserve"> </w:t>
      </w:r>
      <w:r w:rsidRPr="00D613E3">
        <w:rPr>
          <w:rFonts w:ascii="Arial" w:hAnsi="Arial" w:cs="Arial"/>
          <w:i/>
          <w:sz w:val="18"/>
          <w:szCs w:val="18"/>
          <w:lang w:val="en-US"/>
        </w:rPr>
        <w:t xml:space="preserve">Oudekraal Estates (Pty) Ltd v City of Cape Town and others </w:t>
      </w:r>
      <w:r w:rsidRPr="004534EF">
        <w:rPr>
          <w:rFonts w:ascii="Arial" w:hAnsi="Arial" w:cs="Arial"/>
          <w:iCs/>
          <w:sz w:val="18"/>
          <w:szCs w:val="18"/>
          <w:lang w:val="en-US"/>
        </w:rPr>
        <w:t>[2004] ZASCA 48</w:t>
      </w:r>
      <w:r>
        <w:rPr>
          <w:rFonts w:ascii="Arial" w:hAnsi="Arial" w:cs="Arial"/>
          <w:sz w:val="18"/>
          <w:szCs w:val="18"/>
          <w:lang w:val="en-US"/>
        </w:rPr>
        <w:t>;</w:t>
      </w:r>
      <w:r w:rsidRPr="004534EF">
        <w:rPr>
          <w:rFonts w:ascii="Arial" w:hAnsi="Arial" w:cs="Arial"/>
          <w:sz w:val="18"/>
          <w:szCs w:val="18"/>
          <w:lang w:val="en-US"/>
        </w:rPr>
        <w:t xml:space="preserve"> </w:t>
      </w:r>
      <w:r w:rsidRPr="00D613E3">
        <w:rPr>
          <w:rFonts w:ascii="Arial" w:hAnsi="Arial" w:cs="Arial"/>
          <w:sz w:val="18"/>
          <w:szCs w:val="18"/>
          <w:lang w:val="en-US"/>
        </w:rPr>
        <w:t>2004</w:t>
      </w:r>
      <w:r>
        <w:rPr>
          <w:rFonts w:ascii="Arial" w:hAnsi="Arial" w:cs="Arial"/>
          <w:sz w:val="18"/>
          <w:szCs w:val="18"/>
          <w:lang w:val="en-US"/>
        </w:rPr>
        <w:t xml:space="preserve"> </w:t>
      </w:r>
      <w:r w:rsidRPr="00D613E3">
        <w:rPr>
          <w:rFonts w:ascii="Arial" w:hAnsi="Arial" w:cs="Arial"/>
          <w:sz w:val="18"/>
          <w:szCs w:val="18"/>
          <w:lang w:val="en-US"/>
        </w:rPr>
        <w:t>(6) SA 222 (SCA)</w:t>
      </w:r>
      <w:r>
        <w:rPr>
          <w:rFonts w:ascii="Arial" w:hAnsi="Arial" w:cs="Arial"/>
          <w:sz w:val="18"/>
          <w:szCs w:val="18"/>
          <w:lang w:val="en-US"/>
        </w:rPr>
        <w:t>;</w:t>
      </w:r>
      <w:r w:rsidRPr="00D613E3">
        <w:rPr>
          <w:rFonts w:ascii="Arial" w:hAnsi="Arial" w:cs="Arial"/>
          <w:sz w:val="18"/>
          <w:szCs w:val="18"/>
          <w:lang w:val="en-US"/>
        </w:rPr>
        <w:t xml:space="preserve"> [2004] 3 All SA 1, </w:t>
      </w:r>
      <w:r w:rsidRPr="00D613E3">
        <w:rPr>
          <w:rFonts w:ascii="Arial" w:hAnsi="Arial" w:cs="Arial"/>
          <w:i/>
          <w:sz w:val="18"/>
          <w:szCs w:val="18"/>
          <w:lang w:val="en-US"/>
        </w:rPr>
        <w:t>MEC for Health, E</w:t>
      </w:r>
      <w:r>
        <w:rPr>
          <w:rFonts w:ascii="Arial" w:hAnsi="Arial" w:cs="Arial"/>
          <w:i/>
          <w:sz w:val="18"/>
          <w:szCs w:val="18"/>
          <w:lang w:val="en-US"/>
        </w:rPr>
        <w:t>a</w:t>
      </w:r>
      <w:r w:rsidRPr="00D613E3">
        <w:rPr>
          <w:rFonts w:ascii="Arial" w:hAnsi="Arial" w:cs="Arial"/>
          <w:i/>
          <w:sz w:val="18"/>
          <w:szCs w:val="18"/>
          <w:lang w:val="en-US"/>
        </w:rPr>
        <w:t xml:space="preserve">stern Cape and another v Kirland Investments (Pty) </w:t>
      </w:r>
      <w:r w:rsidRPr="004534EF">
        <w:rPr>
          <w:rFonts w:ascii="Arial" w:hAnsi="Arial" w:cs="Arial"/>
          <w:i/>
          <w:iCs/>
          <w:sz w:val="18"/>
          <w:szCs w:val="18"/>
          <w:lang w:val="en-US"/>
        </w:rPr>
        <w:t>Ltd</w:t>
      </w:r>
      <w:r w:rsidRPr="009747D9">
        <w:rPr>
          <w:rFonts w:ascii="Arial" w:hAnsi="Arial" w:cs="Arial"/>
          <w:sz w:val="18"/>
          <w:szCs w:val="18"/>
          <w:lang w:val="en-US"/>
        </w:rPr>
        <w:t xml:space="preserve"> [2014] ZACC 6; 2014</w:t>
      </w:r>
      <w:r>
        <w:rPr>
          <w:rFonts w:ascii="Arial" w:hAnsi="Arial" w:cs="Arial"/>
          <w:sz w:val="18"/>
          <w:szCs w:val="18"/>
          <w:lang w:val="en-US"/>
        </w:rPr>
        <w:t xml:space="preserve"> </w:t>
      </w:r>
      <w:r w:rsidRPr="009747D9">
        <w:rPr>
          <w:rFonts w:ascii="Arial" w:hAnsi="Arial" w:cs="Arial"/>
          <w:sz w:val="18"/>
          <w:szCs w:val="18"/>
          <w:lang w:val="en-US"/>
        </w:rPr>
        <w:t>(5) BCLR 547 (CC); 2014</w:t>
      </w:r>
      <w:r>
        <w:rPr>
          <w:rFonts w:ascii="Arial" w:hAnsi="Arial" w:cs="Arial"/>
          <w:sz w:val="18"/>
          <w:szCs w:val="18"/>
          <w:lang w:val="en-US"/>
        </w:rPr>
        <w:t xml:space="preserve"> </w:t>
      </w:r>
      <w:r w:rsidRPr="009747D9">
        <w:rPr>
          <w:rFonts w:ascii="Arial" w:hAnsi="Arial" w:cs="Arial"/>
          <w:sz w:val="18"/>
          <w:szCs w:val="18"/>
          <w:lang w:val="en-US"/>
        </w:rPr>
        <w:t>(3) SA 481 (CC)</w:t>
      </w:r>
      <w:r>
        <w:rPr>
          <w:rFonts w:ascii="Arial" w:hAnsi="Arial" w:cs="Arial"/>
          <w:sz w:val="18"/>
          <w:szCs w:val="18"/>
          <w:lang w:val="en-US"/>
        </w:rPr>
        <w:t xml:space="preserve"> at</w:t>
      </w:r>
      <w:r w:rsidRPr="009747D9">
        <w:rPr>
          <w:rFonts w:ascii="Arial" w:hAnsi="Arial" w:cs="Arial"/>
          <w:sz w:val="18"/>
          <w:szCs w:val="18"/>
          <w:lang w:val="en-US"/>
        </w:rPr>
        <w:t xml:space="preserve"> para 106</w:t>
      </w:r>
      <w:r w:rsidRPr="00D613E3">
        <w:rPr>
          <w:rFonts w:ascii="Arial" w:hAnsi="Arial" w:cs="Arial"/>
          <w:i/>
          <w:sz w:val="18"/>
          <w:szCs w:val="18"/>
          <w:lang w:val="en-US"/>
        </w:rPr>
        <w:t>.</w:t>
      </w:r>
    </w:p>
  </w:footnote>
  <w:footnote w:id="47">
    <w:p w14:paraId="6F1B1BD7" w14:textId="722B0EFB" w:rsidR="00CE076A" w:rsidRPr="00F717EE" w:rsidRDefault="00CE076A">
      <w:pPr>
        <w:pStyle w:val="FootnoteText"/>
        <w:rPr>
          <w:rFonts w:ascii="Arial" w:hAnsi="Arial" w:cs="Arial"/>
          <w:sz w:val="18"/>
          <w:szCs w:val="18"/>
          <w:lang w:val="en-US"/>
        </w:rPr>
      </w:pPr>
      <w:r w:rsidRPr="00F717EE">
        <w:rPr>
          <w:rStyle w:val="FootnoteReference"/>
          <w:rFonts w:ascii="Arial" w:hAnsi="Arial" w:cs="Arial"/>
          <w:sz w:val="18"/>
          <w:szCs w:val="18"/>
        </w:rPr>
        <w:footnoteRef/>
      </w:r>
      <w:r w:rsidRPr="00F717EE">
        <w:rPr>
          <w:rFonts w:ascii="Arial" w:hAnsi="Arial" w:cs="Arial"/>
          <w:sz w:val="18"/>
          <w:szCs w:val="18"/>
        </w:rPr>
        <w:t xml:space="preserve"> </w:t>
      </w:r>
      <w:r w:rsidRPr="00F717EE">
        <w:rPr>
          <w:rFonts w:ascii="Arial" w:hAnsi="Arial" w:cs="Arial"/>
          <w:i/>
          <w:sz w:val="18"/>
          <w:szCs w:val="18"/>
          <w:lang w:val="en-US"/>
        </w:rPr>
        <w:t xml:space="preserve">Mpofana Community Land Claimants and another Regional Land Claims Commissioner KwaZulu-Natal Province and others </w:t>
      </w:r>
      <w:r w:rsidRPr="00F717EE">
        <w:rPr>
          <w:rFonts w:ascii="Arial" w:hAnsi="Arial" w:cs="Arial"/>
          <w:sz w:val="18"/>
          <w:szCs w:val="18"/>
          <w:lang w:val="en-US"/>
        </w:rPr>
        <w:t>[2023] ZALCC 35</w:t>
      </w:r>
      <w:r>
        <w:rPr>
          <w:rFonts w:ascii="Arial" w:hAnsi="Arial" w:cs="Arial"/>
          <w:sz w:val="18"/>
          <w:szCs w:val="18"/>
          <w:lang w:val="en-US"/>
        </w:rPr>
        <w:t xml:space="preserve"> at</w:t>
      </w:r>
      <w:r w:rsidRPr="00F717EE">
        <w:rPr>
          <w:rFonts w:ascii="Arial" w:hAnsi="Arial" w:cs="Arial"/>
          <w:sz w:val="18"/>
          <w:szCs w:val="18"/>
          <w:lang w:val="en-US"/>
        </w:rPr>
        <w:t xml:space="preserve"> para 39.</w:t>
      </w:r>
    </w:p>
  </w:footnote>
  <w:footnote w:id="48">
    <w:p w14:paraId="097E0E29" w14:textId="13F829EE" w:rsidR="00CE076A" w:rsidRPr="00A90961" w:rsidRDefault="00CE076A">
      <w:pPr>
        <w:pStyle w:val="FootnoteText"/>
        <w:rPr>
          <w:lang w:val="en-US"/>
        </w:rPr>
      </w:pPr>
      <w:r>
        <w:rPr>
          <w:rStyle w:val="FootnoteReference"/>
        </w:rPr>
        <w:footnoteRef/>
      </w:r>
      <w:r>
        <w:t xml:space="preserve"> </w:t>
      </w:r>
      <w:r w:rsidRPr="00A90961">
        <w:rPr>
          <w:rFonts w:ascii="Arial" w:hAnsi="Arial" w:cs="Arial"/>
          <w:sz w:val="18"/>
          <w:szCs w:val="18"/>
        </w:rPr>
        <w:t xml:space="preserve">Cf </w:t>
      </w:r>
      <w:r w:rsidRPr="00A90961">
        <w:rPr>
          <w:rFonts w:ascii="Arial" w:hAnsi="Arial" w:cs="Arial"/>
          <w:i/>
          <w:sz w:val="18"/>
          <w:szCs w:val="18"/>
          <w:lang w:val="en-US"/>
        </w:rPr>
        <w:t>Rail Commuters Action Group v Transnet Ltd t/a Metrorail</w:t>
      </w:r>
      <w:r w:rsidRPr="00A90961">
        <w:rPr>
          <w:rFonts w:ascii="Arial" w:hAnsi="Arial" w:cs="Arial"/>
          <w:sz w:val="18"/>
          <w:szCs w:val="18"/>
          <w:lang w:val="en-US"/>
        </w:rPr>
        <w:t xml:space="preserve"> [2004] ZACC 20; 2005</w:t>
      </w:r>
      <w:r>
        <w:rPr>
          <w:rFonts w:ascii="Arial" w:hAnsi="Arial" w:cs="Arial"/>
          <w:sz w:val="18"/>
          <w:szCs w:val="18"/>
          <w:lang w:val="en-US"/>
        </w:rPr>
        <w:t xml:space="preserve"> </w:t>
      </w:r>
      <w:r w:rsidRPr="00A90961">
        <w:rPr>
          <w:rFonts w:ascii="Arial" w:hAnsi="Arial" w:cs="Arial"/>
          <w:sz w:val="18"/>
          <w:szCs w:val="18"/>
          <w:lang w:val="en-US"/>
        </w:rPr>
        <w:t>(2) SA 359 (CC); 2005(4) BCLR 301 (CC</w:t>
      </w:r>
      <w:r>
        <w:rPr>
          <w:rFonts w:ascii="Arial" w:hAnsi="Arial" w:cs="Arial"/>
          <w:sz w:val="18"/>
          <w:szCs w:val="18"/>
          <w:lang w:val="en-US"/>
        </w:rPr>
        <w:t>) at paras 106 to 108.</w:t>
      </w:r>
    </w:p>
  </w:footnote>
  <w:footnote w:id="49">
    <w:p w14:paraId="6961EC3F" w14:textId="7F44ED2A" w:rsidR="00CE076A" w:rsidRPr="005B6425" w:rsidRDefault="00CE076A" w:rsidP="00AA4819">
      <w:pPr>
        <w:pStyle w:val="FootnoteText"/>
        <w:rPr>
          <w:rFonts w:ascii="Arial" w:hAnsi="Arial" w:cs="Arial"/>
          <w:sz w:val="18"/>
          <w:szCs w:val="18"/>
          <w:lang w:val="en-US"/>
        </w:rPr>
      </w:pPr>
      <w:r w:rsidRPr="00A90961">
        <w:rPr>
          <w:rStyle w:val="FootnoteReference"/>
          <w:rFonts w:ascii="Arial" w:hAnsi="Arial" w:cs="Arial"/>
          <w:sz w:val="18"/>
          <w:szCs w:val="18"/>
        </w:rPr>
        <w:footnoteRef/>
      </w:r>
      <w:r w:rsidRPr="00A90961">
        <w:rPr>
          <w:rFonts w:ascii="Arial" w:hAnsi="Arial" w:cs="Arial"/>
          <w:sz w:val="18"/>
          <w:szCs w:val="18"/>
        </w:rPr>
        <w:t xml:space="preserve"> </w:t>
      </w:r>
      <w:r w:rsidRPr="00A90961">
        <w:rPr>
          <w:rFonts w:ascii="Arial" w:hAnsi="Arial" w:cs="Arial"/>
          <w:i/>
          <w:sz w:val="18"/>
          <w:szCs w:val="18"/>
          <w:lang w:val="en-US"/>
        </w:rPr>
        <w:t>Mwelase</w:t>
      </w:r>
      <w:r w:rsidRPr="00A90961">
        <w:rPr>
          <w:rFonts w:ascii="Arial" w:hAnsi="Arial" w:cs="Arial"/>
          <w:sz w:val="18"/>
          <w:szCs w:val="18"/>
          <w:lang w:val="en-US"/>
        </w:rPr>
        <w:t xml:space="preserve"> supra n </w:t>
      </w:r>
      <w:r>
        <w:rPr>
          <w:rFonts w:ascii="Arial" w:hAnsi="Arial" w:cs="Arial"/>
          <w:sz w:val="18"/>
          <w:szCs w:val="18"/>
          <w:lang w:val="en-US"/>
        </w:rPr>
        <w:t>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4D5"/>
    <w:multiLevelType w:val="hybridMultilevel"/>
    <w:tmpl w:val="8AE63492"/>
    <w:lvl w:ilvl="0" w:tplc="C6681C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9C33FC4"/>
    <w:multiLevelType w:val="hybridMultilevel"/>
    <w:tmpl w:val="F54059AA"/>
    <w:lvl w:ilvl="0" w:tplc="BC244518">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132429"/>
    <w:multiLevelType w:val="hybridMultilevel"/>
    <w:tmpl w:val="811A2424"/>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1424CD8"/>
    <w:multiLevelType w:val="hybridMultilevel"/>
    <w:tmpl w:val="0F3848C6"/>
    <w:lvl w:ilvl="0" w:tplc="4912AF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5742871"/>
    <w:multiLevelType w:val="multilevel"/>
    <w:tmpl w:val="3F4EE622"/>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17C8A"/>
    <w:multiLevelType w:val="hybridMultilevel"/>
    <w:tmpl w:val="839C6D24"/>
    <w:lvl w:ilvl="0" w:tplc="617084D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538062C"/>
    <w:multiLevelType w:val="hybridMultilevel"/>
    <w:tmpl w:val="F0AEE4B4"/>
    <w:lvl w:ilvl="0" w:tplc="69788E92">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9D1654E"/>
    <w:multiLevelType w:val="hybridMultilevel"/>
    <w:tmpl w:val="27568EC6"/>
    <w:lvl w:ilvl="0" w:tplc="13F4EEE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D972623"/>
    <w:multiLevelType w:val="hybridMultilevel"/>
    <w:tmpl w:val="1A9AE822"/>
    <w:lvl w:ilvl="0" w:tplc="E86E434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C32EAB"/>
    <w:multiLevelType w:val="multilevel"/>
    <w:tmpl w:val="9AC4D6BA"/>
    <w:lvl w:ilvl="0">
      <w:start w:val="1"/>
      <w:numFmt w:val="decimal"/>
      <w:pStyle w:val="1"/>
      <w:lvlText w:val="[%1]"/>
      <w:lvlJc w:val="left"/>
      <w:pPr>
        <w:tabs>
          <w:tab w:val="num" w:pos="567"/>
        </w:tabs>
        <w:ind w:left="567" w:hanging="567"/>
      </w:pPr>
      <w:rPr>
        <w:rFonts w:ascii="Arial" w:hAnsi="Arial" w:cs="Arial" w:hint="default"/>
        <w:b w:val="0"/>
        <w:i w:val="0"/>
        <w:iCs w:val="0"/>
        <w:color w:val="auto"/>
        <w:sz w:val="24"/>
        <w:szCs w:val="24"/>
      </w:rPr>
    </w:lvl>
    <w:lvl w:ilvl="1">
      <w:start w:val="1"/>
      <w:numFmt w:val="decimal"/>
      <w:pStyle w:val="2"/>
      <w:lvlText w:val="%1.%2"/>
      <w:lvlJc w:val="left"/>
      <w:pPr>
        <w:tabs>
          <w:tab w:val="num" w:pos="1247"/>
        </w:tabs>
        <w:ind w:left="1247" w:hanging="680"/>
      </w:pPr>
      <w:rPr>
        <w:rFonts w:hint="default"/>
        <w:b w:val="0"/>
        <w:bCs w:val="0"/>
        <w:i w:val="0"/>
        <w:iCs/>
      </w:rPr>
    </w:lvl>
    <w:lvl w:ilvl="2">
      <w:start w:val="1"/>
      <w:numFmt w:val="decimal"/>
      <w:pStyle w:val="3"/>
      <w:lvlText w:val="%1.%2.%3"/>
      <w:lvlJc w:val="left"/>
      <w:pPr>
        <w:tabs>
          <w:tab w:val="num" w:pos="2155"/>
        </w:tabs>
        <w:ind w:left="2155" w:hanging="908"/>
      </w:pPr>
      <w:rPr>
        <w:rFonts w:hint="default"/>
        <w:b w:val="0"/>
        <w:bCs w:val="0"/>
        <w:i w:val="0"/>
        <w:iCs w:val="0"/>
      </w:rPr>
    </w:lvl>
    <w:lvl w:ilvl="3">
      <w:start w:val="1"/>
      <w:numFmt w:val="lowerLetter"/>
      <w:pStyle w:val="4"/>
      <w:lvlText w:val="(%4)"/>
      <w:lvlJc w:val="left"/>
      <w:pPr>
        <w:tabs>
          <w:tab w:val="num" w:pos="2552"/>
        </w:tabs>
        <w:ind w:left="2552" w:hanging="397"/>
      </w:pPr>
      <w:rPr>
        <w:rFonts w:hint="default"/>
        <w:i/>
        <w:iCs w:val="0"/>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1F70A09"/>
    <w:multiLevelType w:val="hybridMultilevel"/>
    <w:tmpl w:val="1F4029A0"/>
    <w:lvl w:ilvl="0" w:tplc="8812906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3131494"/>
    <w:multiLevelType w:val="hybridMultilevel"/>
    <w:tmpl w:val="7FE4AC6C"/>
    <w:lvl w:ilvl="0" w:tplc="3C002E10">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3451E3B"/>
    <w:multiLevelType w:val="multilevel"/>
    <w:tmpl w:val="C3F8B7BC"/>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827A04"/>
    <w:multiLevelType w:val="hybridMultilevel"/>
    <w:tmpl w:val="0EF411C6"/>
    <w:lvl w:ilvl="0" w:tplc="F9C23F2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44D44150"/>
    <w:multiLevelType w:val="hybridMultilevel"/>
    <w:tmpl w:val="323EE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BF61C3"/>
    <w:multiLevelType w:val="hybridMultilevel"/>
    <w:tmpl w:val="BB7CF3A4"/>
    <w:lvl w:ilvl="0" w:tplc="F6E07026">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513014A"/>
    <w:multiLevelType w:val="multilevel"/>
    <w:tmpl w:val="F9E0A478"/>
    <w:lvl w:ilvl="0">
      <w:start w:val="1"/>
      <w:numFmt w:val="decimal"/>
      <w:lvlText w:val="%1."/>
      <w:lvlJc w:val="left"/>
      <w:pPr>
        <w:ind w:left="360" w:hanging="360"/>
      </w:pPr>
      <w:rPr>
        <w:rFonts w:hint="default"/>
        <w:b w:val="0"/>
        <w:i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0525AB"/>
    <w:multiLevelType w:val="hybridMultilevel"/>
    <w:tmpl w:val="CA1E54C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EA3FE1"/>
    <w:multiLevelType w:val="hybridMultilevel"/>
    <w:tmpl w:val="C3728DDE"/>
    <w:lvl w:ilvl="0" w:tplc="27AA11D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6E1A21DB"/>
    <w:multiLevelType w:val="multilevel"/>
    <w:tmpl w:val="209C5BD8"/>
    <w:lvl w:ilvl="0">
      <w:start w:val="3"/>
      <w:numFmt w:val="decimal"/>
      <w:lvlText w:val="%1"/>
      <w:lvlJc w:val="left"/>
      <w:pPr>
        <w:ind w:left="360" w:hanging="360"/>
      </w:pPr>
      <w:rPr>
        <w:rFonts w:hint="default"/>
      </w:rPr>
    </w:lvl>
    <w:lvl w:ilvl="1">
      <w:start w:val="1"/>
      <w:numFmt w:val="decimal"/>
      <w:lvlText w:val="%1.%2"/>
      <w:lvlJc w:val="left"/>
      <w:pPr>
        <w:ind w:left="1499" w:hanging="360"/>
      </w:pPr>
      <w:rPr>
        <w:rFonts w:hint="default"/>
      </w:rPr>
    </w:lvl>
    <w:lvl w:ilvl="2">
      <w:start w:val="1"/>
      <w:numFmt w:val="decimal"/>
      <w:lvlText w:val="%1.%2.%3"/>
      <w:lvlJc w:val="left"/>
      <w:pPr>
        <w:ind w:left="2998" w:hanging="720"/>
      </w:pPr>
      <w:rPr>
        <w:rFonts w:hint="default"/>
      </w:rPr>
    </w:lvl>
    <w:lvl w:ilvl="3">
      <w:start w:val="1"/>
      <w:numFmt w:val="decimal"/>
      <w:lvlText w:val="%1.%2.%3.%4"/>
      <w:lvlJc w:val="left"/>
      <w:pPr>
        <w:ind w:left="4497" w:hanging="1080"/>
      </w:pPr>
      <w:rPr>
        <w:rFonts w:hint="default"/>
      </w:rPr>
    </w:lvl>
    <w:lvl w:ilvl="4">
      <w:start w:val="1"/>
      <w:numFmt w:val="decimal"/>
      <w:lvlText w:val="%1.%2.%3.%4.%5"/>
      <w:lvlJc w:val="left"/>
      <w:pPr>
        <w:ind w:left="5636" w:hanging="1080"/>
      </w:pPr>
      <w:rPr>
        <w:rFonts w:hint="default"/>
      </w:rPr>
    </w:lvl>
    <w:lvl w:ilvl="5">
      <w:start w:val="1"/>
      <w:numFmt w:val="decimal"/>
      <w:lvlText w:val="%1.%2.%3.%4.%5.%6"/>
      <w:lvlJc w:val="left"/>
      <w:pPr>
        <w:ind w:left="7135" w:hanging="1440"/>
      </w:pPr>
      <w:rPr>
        <w:rFonts w:hint="default"/>
      </w:rPr>
    </w:lvl>
    <w:lvl w:ilvl="6">
      <w:start w:val="1"/>
      <w:numFmt w:val="decimal"/>
      <w:lvlText w:val="%1.%2.%3.%4.%5.%6.%7"/>
      <w:lvlJc w:val="left"/>
      <w:pPr>
        <w:ind w:left="8274" w:hanging="1440"/>
      </w:pPr>
      <w:rPr>
        <w:rFonts w:hint="default"/>
      </w:rPr>
    </w:lvl>
    <w:lvl w:ilvl="7">
      <w:start w:val="1"/>
      <w:numFmt w:val="decimal"/>
      <w:lvlText w:val="%1.%2.%3.%4.%5.%6.%7.%8"/>
      <w:lvlJc w:val="left"/>
      <w:pPr>
        <w:ind w:left="9773" w:hanging="1800"/>
      </w:pPr>
      <w:rPr>
        <w:rFonts w:hint="default"/>
      </w:rPr>
    </w:lvl>
    <w:lvl w:ilvl="8">
      <w:start w:val="1"/>
      <w:numFmt w:val="decimal"/>
      <w:lvlText w:val="%1.%2.%3.%4.%5.%6.%7.%8.%9"/>
      <w:lvlJc w:val="left"/>
      <w:pPr>
        <w:ind w:left="10912" w:hanging="1800"/>
      </w:pPr>
      <w:rPr>
        <w:rFonts w:hint="default"/>
      </w:rPr>
    </w:lvl>
  </w:abstractNum>
  <w:abstractNum w:abstractNumId="20" w15:restartNumberingAfterBreak="0">
    <w:nsid w:val="7D921B0D"/>
    <w:multiLevelType w:val="hybridMultilevel"/>
    <w:tmpl w:val="378EA83E"/>
    <w:lvl w:ilvl="0" w:tplc="56D6E002">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386874450">
    <w:abstractNumId w:val="12"/>
  </w:num>
  <w:num w:numId="2" w16cid:durableId="1723096850">
    <w:abstractNumId w:val="11"/>
  </w:num>
  <w:num w:numId="3" w16cid:durableId="1591354276">
    <w:abstractNumId w:val="20"/>
  </w:num>
  <w:num w:numId="4" w16cid:durableId="1032993240">
    <w:abstractNumId w:val="7"/>
  </w:num>
  <w:num w:numId="5" w16cid:durableId="127477259">
    <w:abstractNumId w:val="0"/>
  </w:num>
  <w:num w:numId="6" w16cid:durableId="302544388">
    <w:abstractNumId w:val="13"/>
  </w:num>
  <w:num w:numId="7" w16cid:durableId="414253525">
    <w:abstractNumId w:val="18"/>
  </w:num>
  <w:num w:numId="8" w16cid:durableId="869025045">
    <w:abstractNumId w:val="2"/>
  </w:num>
  <w:num w:numId="9" w16cid:durableId="2086418066">
    <w:abstractNumId w:val="3"/>
  </w:num>
  <w:num w:numId="10" w16cid:durableId="566887722">
    <w:abstractNumId w:val="10"/>
  </w:num>
  <w:num w:numId="11" w16cid:durableId="817067431">
    <w:abstractNumId w:val="5"/>
  </w:num>
  <w:num w:numId="12" w16cid:durableId="483277991">
    <w:abstractNumId w:val="16"/>
  </w:num>
  <w:num w:numId="13" w16cid:durableId="936324529">
    <w:abstractNumId w:val="14"/>
  </w:num>
  <w:num w:numId="14" w16cid:durableId="570506842">
    <w:abstractNumId w:val="15"/>
  </w:num>
  <w:num w:numId="15" w16cid:durableId="814836677">
    <w:abstractNumId w:val="1"/>
  </w:num>
  <w:num w:numId="16" w16cid:durableId="720131496">
    <w:abstractNumId w:val="6"/>
  </w:num>
  <w:num w:numId="17" w16cid:durableId="415906725">
    <w:abstractNumId w:val="8"/>
  </w:num>
  <w:num w:numId="18" w16cid:durableId="1160923231">
    <w:abstractNumId w:val="17"/>
  </w:num>
  <w:num w:numId="19" w16cid:durableId="239214096">
    <w:abstractNumId w:val="9"/>
  </w:num>
  <w:num w:numId="20" w16cid:durableId="1259604089">
    <w:abstractNumId w:val="19"/>
  </w:num>
  <w:num w:numId="21" w16cid:durableId="894313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FD"/>
    <w:rsid w:val="0000125E"/>
    <w:rsid w:val="00002561"/>
    <w:rsid w:val="000178F6"/>
    <w:rsid w:val="00024941"/>
    <w:rsid w:val="00024A6B"/>
    <w:rsid w:val="00026593"/>
    <w:rsid w:val="00032C31"/>
    <w:rsid w:val="0005163B"/>
    <w:rsid w:val="000516E8"/>
    <w:rsid w:val="000575A4"/>
    <w:rsid w:val="0007210F"/>
    <w:rsid w:val="000735B2"/>
    <w:rsid w:val="00080BA3"/>
    <w:rsid w:val="000A7874"/>
    <w:rsid w:val="000C0A9B"/>
    <w:rsid w:val="000C5A33"/>
    <w:rsid w:val="000D0548"/>
    <w:rsid w:val="000D3B9F"/>
    <w:rsid w:val="000D6805"/>
    <w:rsid w:val="000D7979"/>
    <w:rsid w:val="000E7424"/>
    <w:rsid w:val="000F14B2"/>
    <w:rsid w:val="000F1ABA"/>
    <w:rsid w:val="000F2A3F"/>
    <w:rsid w:val="00103E58"/>
    <w:rsid w:val="00105ED5"/>
    <w:rsid w:val="00116760"/>
    <w:rsid w:val="0012368E"/>
    <w:rsid w:val="0012734F"/>
    <w:rsid w:val="00127B14"/>
    <w:rsid w:val="001314A0"/>
    <w:rsid w:val="0013475B"/>
    <w:rsid w:val="001409DA"/>
    <w:rsid w:val="00155C33"/>
    <w:rsid w:val="00163721"/>
    <w:rsid w:val="00166F80"/>
    <w:rsid w:val="00176246"/>
    <w:rsid w:val="00184E2C"/>
    <w:rsid w:val="00185A92"/>
    <w:rsid w:val="00186517"/>
    <w:rsid w:val="00191601"/>
    <w:rsid w:val="001927CA"/>
    <w:rsid w:val="001A1458"/>
    <w:rsid w:val="001B094B"/>
    <w:rsid w:val="001C48CE"/>
    <w:rsid w:val="001D52F2"/>
    <w:rsid w:val="001E13FF"/>
    <w:rsid w:val="001E59E2"/>
    <w:rsid w:val="001E7972"/>
    <w:rsid w:val="001F7C70"/>
    <w:rsid w:val="00200F6D"/>
    <w:rsid w:val="00202234"/>
    <w:rsid w:val="002154C2"/>
    <w:rsid w:val="002166F6"/>
    <w:rsid w:val="00217ADD"/>
    <w:rsid w:val="00222DDD"/>
    <w:rsid w:val="002255A0"/>
    <w:rsid w:val="00225600"/>
    <w:rsid w:val="0023332F"/>
    <w:rsid w:val="00235AA4"/>
    <w:rsid w:val="00241574"/>
    <w:rsid w:val="00243910"/>
    <w:rsid w:val="002531FC"/>
    <w:rsid w:val="00256703"/>
    <w:rsid w:val="00270519"/>
    <w:rsid w:val="002762E4"/>
    <w:rsid w:val="00280883"/>
    <w:rsid w:val="00285DF1"/>
    <w:rsid w:val="0029343F"/>
    <w:rsid w:val="00293479"/>
    <w:rsid w:val="00295684"/>
    <w:rsid w:val="002966B8"/>
    <w:rsid w:val="002A643A"/>
    <w:rsid w:val="002B30FD"/>
    <w:rsid w:val="002B4FA0"/>
    <w:rsid w:val="002B67FD"/>
    <w:rsid w:val="002C3566"/>
    <w:rsid w:val="002C7EBA"/>
    <w:rsid w:val="002D2745"/>
    <w:rsid w:val="002D7353"/>
    <w:rsid w:val="002E254E"/>
    <w:rsid w:val="002E27F5"/>
    <w:rsid w:val="002F113A"/>
    <w:rsid w:val="002F5DA1"/>
    <w:rsid w:val="0030145F"/>
    <w:rsid w:val="00312B68"/>
    <w:rsid w:val="00327CA7"/>
    <w:rsid w:val="00353E70"/>
    <w:rsid w:val="00357457"/>
    <w:rsid w:val="0035764A"/>
    <w:rsid w:val="00374911"/>
    <w:rsid w:val="0037706F"/>
    <w:rsid w:val="0038386A"/>
    <w:rsid w:val="00387E41"/>
    <w:rsid w:val="00391BAD"/>
    <w:rsid w:val="003958DE"/>
    <w:rsid w:val="00395C43"/>
    <w:rsid w:val="003965DA"/>
    <w:rsid w:val="003A6630"/>
    <w:rsid w:val="003B6958"/>
    <w:rsid w:val="003B7D35"/>
    <w:rsid w:val="003D0E46"/>
    <w:rsid w:val="003E2107"/>
    <w:rsid w:val="003E2C39"/>
    <w:rsid w:val="003E5B0D"/>
    <w:rsid w:val="003F3FE0"/>
    <w:rsid w:val="003F5E77"/>
    <w:rsid w:val="00410698"/>
    <w:rsid w:val="00412A6E"/>
    <w:rsid w:val="00413825"/>
    <w:rsid w:val="00425374"/>
    <w:rsid w:val="004263BF"/>
    <w:rsid w:val="00427FB5"/>
    <w:rsid w:val="004325C1"/>
    <w:rsid w:val="00434818"/>
    <w:rsid w:val="004427BB"/>
    <w:rsid w:val="004455F9"/>
    <w:rsid w:val="004530D4"/>
    <w:rsid w:val="004534EF"/>
    <w:rsid w:val="00453C22"/>
    <w:rsid w:val="00454B35"/>
    <w:rsid w:val="0045777E"/>
    <w:rsid w:val="00460E00"/>
    <w:rsid w:val="004736EC"/>
    <w:rsid w:val="00477348"/>
    <w:rsid w:val="00485901"/>
    <w:rsid w:val="00486154"/>
    <w:rsid w:val="0049051B"/>
    <w:rsid w:val="00497E01"/>
    <w:rsid w:val="004A16F4"/>
    <w:rsid w:val="004A54F8"/>
    <w:rsid w:val="004A5D36"/>
    <w:rsid w:val="004A6CB2"/>
    <w:rsid w:val="004B2690"/>
    <w:rsid w:val="004B62B6"/>
    <w:rsid w:val="004B6995"/>
    <w:rsid w:val="004C3B00"/>
    <w:rsid w:val="004C5032"/>
    <w:rsid w:val="004C713A"/>
    <w:rsid w:val="004D4F13"/>
    <w:rsid w:val="004E3F2E"/>
    <w:rsid w:val="004E6348"/>
    <w:rsid w:val="004F43F3"/>
    <w:rsid w:val="00510736"/>
    <w:rsid w:val="00517C7B"/>
    <w:rsid w:val="0052701D"/>
    <w:rsid w:val="0053487E"/>
    <w:rsid w:val="0054276B"/>
    <w:rsid w:val="00542A8F"/>
    <w:rsid w:val="0054645F"/>
    <w:rsid w:val="00547EED"/>
    <w:rsid w:val="00550FDC"/>
    <w:rsid w:val="00553FE2"/>
    <w:rsid w:val="00554CC1"/>
    <w:rsid w:val="005579DD"/>
    <w:rsid w:val="00562023"/>
    <w:rsid w:val="00563910"/>
    <w:rsid w:val="00563A71"/>
    <w:rsid w:val="0057243C"/>
    <w:rsid w:val="00575A65"/>
    <w:rsid w:val="00575B4F"/>
    <w:rsid w:val="005A018A"/>
    <w:rsid w:val="005B6425"/>
    <w:rsid w:val="005B73D2"/>
    <w:rsid w:val="005C034F"/>
    <w:rsid w:val="005C38F5"/>
    <w:rsid w:val="005C5CF5"/>
    <w:rsid w:val="005C703B"/>
    <w:rsid w:val="005D2421"/>
    <w:rsid w:val="005D5CE8"/>
    <w:rsid w:val="005E547F"/>
    <w:rsid w:val="005E6038"/>
    <w:rsid w:val="005F5DB2"/>
    <w:rsid w:val="00605CCD"/>
    <w:rsid w:val="00611231"/>
    <w:rsid w:val="0062025A"/>
    <w:rsid w:val="00620BD2"/>
    <w:rsid w:val="0062451F"/>
    <w:rsid w:val="00624917"/>
    <w:rsid w:val="00624CD3"/>
    <w:rsid w:val="006263EB"/>
    <w:rsid w:val="00630B8A"/>
    <w:rsid w:val="00631C1F"/>
    <w:rsid w:val="006350BC"/>
    <w:rsid w:val="0063543F"/>
    <w:rsid w:val="006362B2"/>
    <w:rsid w:val="006434B3"/>
    <w:rsid w:val="00651CF7"/>
    <w:rsid w:val="006534A6"/>
    <w:rsid w:val="006535BD"/>
    <w:rsid w:val="00653A80"/>
    <w:rsid w:val="006546C5"/>
    <w:rsid w:val="006568AA"/>
    <w:rsid w:val="00663DAA"/>
    <w:rsid w:val="006664E6"/>
    <w:rsid w:val="006706AE"/>
    <w:rsid w:val="006741A1"/>
    <w:rsid w:val="00677C26"/>
    <w:rsid w:val="00685A81"/>
    <w:rsid w:val="00686AB5"/>
    <w:rsid w:val="00695525"/>
    <w:rsid w:val="006A09BC"/>
    <w:rsid w:val="006A1734"/>
    <w:rsid w:val="006A1C1E"/>
    <w:rsid w:val="006B0931"/>
    <w:rsid w:val="006B3EB3"/>
    <w:rsid w:val="006B4C63"/>
    <w:rsid w:val="006B6C30"/>
    <w:rsid w:val="006C1813"/>
    <w:rsid w:val="006C4930"/>
    <w:rsid w:val="006C5567"/>
    <w:rsid w:val="006C6F79"/>
    <w:rsid w:val="006D4517"/>
    <w:rsid w:val="006D7009"/>
    <w:rsid w:val="006E387B"/>
    <w:rsid w:val="006E41E5"/>
    <w:rsid w:val="006E53AF"/>
    <w:rsid w:val="006E61DD"/>
    <w:rsid w:val="006F4F73"/>
    <w:rsid w:val="006F5B97"/>
    <w:rsid w:val="006F65D6"/>
    <w:rsid w:val="007005E5"/>
    <w:rsid w:val="007009BC"/>
    <w:rsid w:val="0070121C"/>
    <w:rsid w:val="00703FDA"/>
    <w:rsid w:val="00704BAA"/>
    <w:rsid w:val="00711415"/>
    <w:rsid w:val="007120DE"/>
    <w:rsid w:val="00713CB1"/>
    <w:rsid w:val="007144D9"/>
    <w:rsid w:val="007165BF"/>
    <w:rsid w:val="00720868"/>
    <w:rsid w:val="007247F0"/>
    <w:rsid w:val="0074124E"/>
    <w:rsid w:val="00752680"/>
    <w:rsid w:val="00752F14"/>
    <w:rsid w:val="00755C55"/>
    <w:rsid w:val="007646B8"/>
    <w:rsid w:val="00765BEA"/>
    <w:rsid w:val="0077272D"/>
    <w:rsid w:val="00774D92"/>
    <w:rsid w:val="007876C9"/>
    <w:rsid w:val="00790B96"/>
    <w:rsid w:val="00793845"/>
    <w:rsid w:val="00796444"/>
    <w:rsid w:val="007A3866"/>
    <w:rsid w:val="007C29EE"/>
    <w:rsid w:val="007C560E"/>
    <w:rsid w:val="007D6438"/>
    <w:rsid w:val="007E1E39"/>
    <w:rsid w:val="007E1F32"/>
    <w:rsid w:val="007E3B5D"/>
    <w:rsid w:val="007E48B2"/>
    <w:rsid w:val="007E4D7D"/>
    <w:rsid w:val="007E5DBF"/>
    <w:rsid w:val="007F4E2C"/>
    <w:rsid w:val="007F5727"/>
    <w:rsid w:val="007F7079"/>
    <w:rsid w:val="008000E4"/>
    <w:rsid w:val="008017E5"/>
    <w:rsid w:val="00801D94"/>
    <w:rsid w:val="00803D84"/>
    <w:rsid w:val="00805B66"/>
    <w:rsid w:val="00806FBC"/>
    <w:rsid w:val="00813423"/>
    <w:rsid w:val="0081663D"/>
    <w:rsid w:val="008170BF"/>
    <w:rsid w:val="00830D45"/>
    <w:rsid w:val="008324E4"/>
    <w:rsid w:val="0083286C"/>
    <w:rsid w:val="00834813"/>
    <w:rsid w:val="008370DF"/>
    <w:rsid w:val="00846441"/>
    <w:rsid w:val="0084761E"/>
    <w:rsid w:val="00850907"/>
    <w:rsid w:val="00855406"/>
    <w:rsid w:val="008775AC"/>
    <w:rsid w:val="00877E7D"/>
    <w:rsid w:val="008875BF"/>
    <w:rsid w:val="00892952"/>
    <w:rsid w:val="00895BF9"/>
    <w:rsid w:val="008A313F"/>
    <w:rsid w:val="008B0D35"/>
    <w:rsid w:val="008B41E5"/>
    <w:rsid w:val="008C0BE9"/>
    <w:rsid w:val="008C26B5"/>
    <w:rsid w:val="008C675F"/>
    <w:rsid w:val="008D7A8B"/>
    <w:rsid w:val="008E20A8"/>
    <w:rsid w:val="008E3CAD"/>
    <w:rsid w:val="008F5D07"/>
    <w:rsid w:val="008F5F6F"/>
    <w:rsid w:val="008F6C62"/>
    <w:rsid w:val="008F6E9F"/>
    <w:rsid w:val="00904024"/>
    <w:rsid w:val="00905C7D"/>
    <w:rsid w:val="00911E5F"/>
    <w:rsid w:val="00921D83"/>
    <w:rsid w:val="009227E2"/>
    <w:rsid w:val="009275FE"/>
    <w:rsid w:val="009318CF"/>
    <w:rsid w:val="00931C4D"/>
    <w:rsid w:val="009320AD"/>
    <w:rsid w:val="00933E01"/>
    <w:rsid w:val="00940B52"/>
    <w:rsid w:val="00941445"/>
    <w:rsid w:val="00953F05"/>
    <w:rsid w:val="009550D9"/>
    <w:rsid w:val="0095709C"/>
    <w:rsid w:val="009621F1"/>
    <w:rsid w:val="00962CED"/>
    <w:rsid w:val="0096426C"/>
    <w:rsid w:val="0097060A"/>
    <w:rsid w:val="009730BF"/>
    <w:rsid w:val="00973502"/>
    <w:rsid w:val="009747D9"/>
    <w:rsid w:val="009847E5"/>
    <w:rsid w:val="009955C7"/>
    <w:rsid w:val="009962DE"/>
    <w:rsid w:val="009A14FB"/>
    <w:rsid w:val="009A4CAB"/>
    <w:rsid w:val="009A508A"/>
    <w:rsid w:val="009A7E75"/>
    <w:rsid w:val="009B05EC"/>
    <w:rsid w:val="009B19D8"/>
    <w:rsid w:val="009B3976"/>
    <w:rsid w:val="009B59C5"/>
    <w:rsid w:val="009B6768"/>
    <w:rsid w:val="009C7E62"/>
    <w:rsid w:val="009D643C"/>
    <w:rsid w:val="009E29C7"/>
    <w:rsid w:val="009E5467"/>
    <w:rsid w:val="009E63D5"/>
    <w:rsid w:val="009E6F79"/>
    <w:rsid w:val="009F3505"/>
    <w:rsid w:val="009F474A"/>
    <w:rsid w:val="00A00AD7"/>
    <w:rsid w:val="00A0233E"/>
    <w:rsid w:val="00A06CC7"/>
    <w:rsid w:val="00A076A1"/>
    <w:rsid w:val="00A228AE"/>
    <w:rsid w:val="00A23746"/>
    <w:rsid w:val="00A2375B"/>
    <w:rsid w:val="00A23895"/>
    <w:rsid w:val="00A24EBF"/>
    <w:rsid w:val="00A27643"/>
    <w:rsid w:val="00A27A4F"/>
    <w:rsid w:val="00A30448"/>
    <w:rsid w:val="00A31E08"/>
    <w:rsid w:val="00A408DD"/>
    <w:rsid w:val="00A411C2"/>
    <w:rsid w:val="00A42648"/>
    <w:rsid w:val="00A51DF1"/>
    <w:rsid w:val="00A55375"/>
    <w:rsid w:val="00A61689"/>
    <w:rsid w:val="00A652F2"/>
    <w:rsid w:val="00A6632F"/>
    <w:rsid w:val="00A67D0B"/>
    <w:rsid w:val="00A7348A"/>
    <w:rsid w:val="00A8380A"/>
    <w:rsid w:val="00A86CF2"/>
    <w:rsid w:val="00A90961"/>
    <w:rsid w:val="00A9265B"/>
    <w:rsid w:val="00A9457D"/>
    <w:rsid w:val="00AA4819"/>
    <w:rsid w:val="00AB1539"/>
    <w:rsid w:val="00AC7D78"/>
    <w:rsid w:val="00AC7FB7"/>
    <w:rsid w:val="00AD12C2"/>
    <w:rsid w:val="00AD18BF"/>
    <w:rsid w:val="00AD2ABD"/>
    <w:rsid w:val="00AD7696"/>
    <w:rsid w:val="00AD7B12"/>
    <w:rsid w:val="00AF6E56"/>
    <w:rsid w:val="00B00F21"/>
    <w:rsid w:val="00B03DC4"/>
    <w:rsid w:val="00B06188"/>
    <w:rsid w:val="00B113B2"/>
    <w:rsid w:val="00B13214"/>
    <w:rsid w:val="00B25DA5"/>
    <w:rsid w:val="00B27DED"/>
    <w:rsid w:val="00B301E3"/>
    <w:rsid w:val="00B334AF"/>
    <w:rsid w:val="00B34FCC"/>
    <w:rsid w:val="00B3554E"/>
    <w:rsid w:val="00B41156"/>
    <w:rsid w:val="00B45FA8"/>
    <w:rsid w:val="00B51897"/>
    <w:rsid w:val="00B526B6"/>
    <w:rsid w:val="00B575B5"/>
    <w:rsid w:val="00B61911"/>
    <w:rsid w:val="00B65BF7"/>
    <w:rsid w:val="00B74B80"/>
    <w:rsid w:val="00B75F7D"/>
    <w:rsid w:val="00B83819"/>
    <w:rsid w:val="00B966B6"/>
    <w:rsid w:val="00BA0D0B"/>
    <w:rsid w:val="00BB06D8"/>
    <w:rsid w:val="00BB7308"/>
    <w:rsid w:val="00BB7AC8"/>
    <w:rsid w:val="00BC3BA2"/>
    <w:rsid w:val="00BC55A6"/>
    <w:rsid w:val="00BD008F"/>
    <w:rsid w:val="00BD09F5"/>
    <w:rsid w:val="00BE318A"/>
    <w:rsid w:val="00BE58C1"/>
    <w:rsid w:val="00BF351B"/>
    <w:rsid w:val="00BF3725"/>
    <w:rsid w:val="00BF7197"/>
    <w:rsid w:val="00C15D18"/>
    <w:rsid w:val="00C160DF"/>
    <w:rsid w:val="00C23A69"/>
    <w:rsid w:val="00C2690D"/>
    <w:rsid w:val="00C30AA5"/>
    <w:rsid w:val="00C30C8D"/>
    <w:rsid w:val="00C36311"/>
    <w:rsid w:val="00C425B4"/>
    <w:rsid w:val="00C4387C"/>
    <w:rsid w:val="00C4497B"/>
    <w:rsid w:val="00C46DB1"/>
    <w:rsid w:val="00C503D5"/>
    <w:rsid w:val="00C537C2"/>
    <w:rsid w:val="00C548B2"/>
    <w:rsid w:val="00C6105E"/>
    <w:rsid w:val="00C7022B"/>
    <w:rsid w:val="00C706B8"/>
    <w:rsid w:val="00C92A63"/>
    <w:rsid w:val="00C94F3E"/>
    <w:rsid w:val="00C97634"/>
    <w:rsid w:val="00CA1291"/>
    <w:rsid w:val="00CA2DF2"/>
    <w:rsid w:val="00CB0D98"/>
    <w:rsid w:val="00CB1DA4"/>
    <w:rsid w:val="00CB534E"/>
    <w:rsid w:val="00CB6F67"/>
    <w:rsid w:val="00CC1F66"/>
    <w:rsid w:val="00CC4AE3"/>
    <w:rsid w:val="00CD4F49"/>
    <w:rsid w:val="00CD649C"/>
    <w:rsid w:val="00CE076A"/>
    <w:rsid w:val="00CE618C"/>
    <w:rsid w:val="00CE7CB4"/>
    <w:rsid w:val="00CF197C"/>
    <w:rsid w:val="00CF3D3D"/>
    <w:rsid w:val="00CF4706"/>
    <w:rsid w:val="00CF67E6"/>
    <w:rsid w:val="00D0141F"/>
    <w:rsid w:val="00D01BE3"/>
    <w:rsid w:val="00D04355"/>
    <w:rsid w:val="00D1373A"/>
    <w:rsid w:val="00D178C7"/>
    <w:rsid w:val="00D201BE"/>
    <w:rsid w:val="00D21650"/>
    <w:rsid w:val="00D22950"/>
    <w:rsid w:val="00D24140"/>
    <w:rsid w:val="00D276AF"/>
    <w:rsid w:val="00D3587A"/>
    <w:rsid w:val="00D422D1"/>
    <w:rsid w:val="00D44648"/>
    <w:rsid w:val="00D535E8"/>
    <w:rsid w:val="00D613E3"/>
    <w:rsid w:val="00D73929"/>
    <w:rsid w:val="00D74BFF"/>
    <w:rsid w:val="00D76ACB"/>
    <w:rsid w:val="00D80589"/>
    <w:rsid w:val="00D8403C"/>
    <w:rsid w:val="00D86DC1"/>
    <w:rsid w:val="00D92D5E"/>
    <w:rsid w:val="00D96CA5"/>
    <w:rsid w:val="00D970AA"/>
    <w:rsid w:val="00D974AA"/>
    <w:rsid w:val="00DA0BC6"/>
    <w:rsid w:val="00DA3D5F"/>
    <w:rsid w:val="00DA7E0F"/>
    <w:rsid w:val="00DB18A4"/>
    <w:rsid w:val="00DB3553"/>
    <w:rsid w:val="00DB594F"/>
    <w:rsid w:val="00DB62C1"/>
    <w:rsid w:val="00DB702C"/>
    <w:rsid w:val="00DB73A7"/>
    <w:rsid w:val="00DC15C1"/>
    <w:rsid w:val="00DC3C32"/>
    <w:rsid w:val="00DC49E3"/>
    <w:rsid w:val="00DC62B8"/>
    <w:rsid w:val="00DD16B0"/>
    <w:rsid w:val="00DD26A0"/>
    <w:rsid w:val="00DD434F"/>
    <w:rsid w:val="00DE5FE6"/>
    <w:rsid w:val="00DE66D8"/>
    <w:rsid w:val="00DF25D1"/>
    <w:rsid w:val="00DF5024"/>
    <w:rsid w:val="00DF6633"/>
    <w:rsid w:val="00DF6AA8"/>
    <w:rsid w:val="00E0018B"/>
    <w:rsid w:val="00E0225A"/>
    <w:rsid w:val="00E03764"/>
    <w:rsid w:val="00E04F95"/>
    <w:rsid w:val="00E07694"/>
    <w:rsid w:val="00E115B3"/>
    <w:rsid w:val="00E153C0"/>
    <w:rsid w:val="00E15A9C"/>
    <w:rsid w:val="00E15C4A"/>
    <w:rsid w:val="00E16948"/>
    <w:rsid w:val="00E20DB6"/>
    <w:rsid w:val="00E31347"/>
    <w:rsid w:val="00E31BB7"/>
    <w:rsid w:val="00E322D6"/>
    <w:rsid w:val="00E33E71"/>
    <w:rsid w:val="00E34308"/>
    <w:rsid w:val="00E36D45"/>
    <w:rsid w:val="00E37F65"/>
    <w:rsid w:val="00E420AD"/>
    <w:rsid w:val="00E43867"/>
    <w:rsid w:val="00E449BB"/>
    <w:rsid w:val="00E44E9C"/>
    <w:rsid w:val="00E61A3B"/>
    <w:rsid w:val="00E70568"/>
    <w:rsid w:val="00E80D2A"/>
    <w:rsid w:val="00E8213B"/>
    <w:rsid w:val="00E952E8"/>
    <w:rsid w:val="00EA21C4"/>
    <w:rsid w:val="00EA26DA"/>
    <w:rsid w:val="00EA336B"/>
    <w:rsid w:val="00EA57B3"/>
    <w:rsid w:val="00EA6592"/>
    <w:rsid w:val="00EB197D"/>
    <w:rsid w:val="00EB565B"/>
    <w:rsid w:val="00EC312D"/>
    <w:rsid w:val="00ED00B4"/>
    <w:rsid w:val="00ED3940"/>
    <w:rsid w:val="00ED4C0F"/>
    <w:rsid w:val="00EE07AD"/>
    <w:rsid w:val="00EE4409"/>
    <w:rsid w:val="00EE7D2C"/>
    <w:rsid w:val="00EF343B"/>
    <w:rsid w:val="00F03734"/>
    <w:rsid w:val="00F0457D"/>
    <w:rsid w:val="00F07409"/>
    <w:rsid w:val="00F11FF7"/>
    <w:rsid w:val="00F132C0"/>
    <w:rsid w:val="00F16321"/>
    <w:rsid w:val="00F176BE"/>
    <w:rsid w:val="00F21B9B"/>
    <w:rsid w:val="00F255A5"/>
    <w:rsid w:val="00F26341"/>
    <w:rsid w:val="00F31631"/>
    <w:rsid w:val="00F31906"/>
    <w:rsid w:val="00F34780"/>
    <w:rsid w:val="00F42326"/>
    <w:rsid w:val="00F46D42"/>
    <w:rsid w:val="00F540E0"/>
    <w:rsid w:val="00F54740"/>
    <w:rsid w:val="00F57081"/>
    <w:rsid w:val="00F6350E"/>
    <w:rsid w:val="00F65047"/>
    <w:rsid w:val="00F651F7"/>
    <w:rsid w:val="00F70353"/>
    <w:rsid w:val="00F717EE"/>
    <w:rsid w:val="00F74738"/>
    <w:rsid w:val="00F773A9"/>
    <w:rsid w:val="00F818A9"/>
    <w:rsid w:val="00F826ED"/>
    <w:rsid w:val="00F901B0"/>
    <w:rsid w:val="00FA28C0"/>
    <w:rsid w:val="00FB0B83"/>
    <w:rsid w:val="00FB227A"/>
    <w:rsid w:val="00FB4590"/>
    <w:rsid w:val="00FC3D09"/>
    <w:rsid w:val="00FC645F"/>
    <w:rsid w:val="00FE0330"/>
    <w:rsid w:val="00FF6765"/>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8482"/>
  <w15:chartTrackingRefBased/>
  <w15:docId w15:val="{C1DEF449-9CEF-4C23-9BB7-24F95E17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Z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F9"/>
  </w:style>
  <w:style w:type="paragraph" w:styleId="Heading1">
    <w:name w:val="heading 1"/>
    <w:basedOn w:val="Normal"/>
    <w:next w:val="Normal"/>
    <w:link w:val="Heading1Char"/>
    <w:uiPriority w:val="9"/>
    <w:qFormat/>
    <w:rsid w:val="004455F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455F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455F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455F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55F9"/>
    <w:pPr>
      <w:spacing w:before="200" w:after="0"/>
      <w:jc w:val="left"/>
      <w:outlineLvl w:val="4"/>
    </w:pPr>
    <w:rPr>
      <w:smallCaps/>
      <w:color w:val="9F4110" w:themeColor="accent2" w:themeShade="BF"/>
      <w:spacing w:val="10"/>
      <w:sz w:val="22"/>
      <w:szCs w:val="26"/>
    </w:rPr>
  </w:style>
  <w:style w:type="paragraph" w:styleId="Heading6">
    <w:name w:val="heading 6"/>
    <w:basedOn w:val="Normal"/>
    <w:next w:val="Normal"/>
    <w:link w:val="Heading6Char"/>
    <w:uiPriority w:val="9"/>
    <w:semiHidden/>
    <w:unhideWhenUsed/>
    <w:qFormat/>
    <w:rsid w:val="004455F9"/>
    <w:pPr>
      <w:spacing w:after="0"/>
      <w:jc w:val="left"/>
      <w:outlineLvl w:val="5"/>
    </w:pPr>
    <w:rPr>
      <w:smallCaps/>
      <w:color w:val="D55816" w:themeColor="accent2"/>
      <w:spacing w:val="5"/>
      <w:sz w:val="22"/>
    </w:rPr>
  </w:style>
  <w:style w:type="paragraph" w:styleId="Heading7">
    <w:name w:val="heading 7"/>
    <w:basedOn w:val="Normal"/>
    <w:next w:val="Normal"/>
    <w:link w:val="Heading7Char"/>
    <w:uiPriority w:val="9"/>
    <w:semiHidden/>
    <w:unhideWhenUsed/>
    <w:qFormat/>
    <w:rsid w:val="004455F9"/>
    <w:pPr>
      <w:spacing w:after="0"/>
      <w:jc w:val="left"/>
      <w:outlineLvl w:val="6"/>
    </w:pPr>
    <w:rPr>
      <w:b/>
      <w:smallCaps/>
      <w:color w:val="D55816" w:themeColor="accent2"/>
      <w:spacing w:val="10"/>
    </w:rPr>
  </w:style>
  <w:style w:type="paragraph" w:styleId="Heading8">
    <w:name w:val="heading 8"/>
    <w:basedOn w:val="Normal"/>
    <w:next w:val="Normal"/>
    <w:link w:val="Heading8Char"/>
    <w:uiPriority w:val="9"/>
    <w:semiHidden/>
    <w:unhideWhenUsed/>
    <w:qFormat/>
    <w:rsid w:val="004455F9"/>
    <w:pPr>
      <w:spacing w:after="0"/>
      <w:jc w:val="left"/>
      <w:outlineLvl w:val="7"/>
    </w:pPr>
    <w:rPr>
      <w:b/>
      <w:i/>
      <w:smallCaps/>
      <w:color w:val="9F4110" w:themeColor="accent2" w:themeShade="BF"/>
    </w:rPr>
  </w:style>
  <w:style w:type="paragraph" w:styleId="Heading9">
    <w:name w:val="heading 9"/>
    <w:basedOn w:val="Normal"/>
    <w:next w:val="Normal"/>
    <w:link w:val="Heading9Char"/>
    <w:uiPriority w:val="9"/>
    <w:semiHidden/>
    <w:unhideWhenUsed/>
    <w:qFormat/>
    <w:rsid w:val="004455F9"/>
    <w:pPr>
      <w:spacing w:after="0"/>
      <w:jc w:val="left"/>
      <w:outlineLvl w:val="8"/>
    </w:pPr>
    <w:rPr>
      <w:b/>
      <w:i/>
      <w:smallCaps/>
      <w:color w:val="6A2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F9"/>
    <w:pPr>
      <w:ind w:left="720"/>
      <w:contextualSpacing/>
    </w:pPr>
  </w:style>
  <w:style w:type="paragraph" w:styleId="FootnoteText">
    <w:name w:val="footnote text"/>
    <w:basedOn w:val="Normal"/>
    <w:link w:val="FootnoteTextChar"/>
    <w:uiPriority w:val="99"/>
    <w:unhideWhenUsed/>
    <w:rsid w:val="009227E2"/>
    <w:pPr>
      <w:spacing w:after="0" w:line="240" w:lineRule="auto"/>
    </w:pPr>
  </w:style>
  <w:style w:type="character" w:customStyle="1" w:styleId="FootnoteTextChar">
    <w:name w:val="Footnote Text Char"/>
    <w:basedOn w:val="DefaultParagraphFont"/>
    <w:link w:val="FootnoteText"/>
    <w:uiPriority w:val="99"/>
    <w:rsid w:val="009227E2"/>
    <w:rPr>
      <w:sz w:val="20"/>
      <w:szCs w:val="20"/>
    </w:rPr>
  </w:style>
  <w:style w:type="character" w:styleId="FootnoteReference">
    <w:name w:val="footnote reference"/>
    <w:basedOn w:val="DefaultParagraphFont"/>
    <w:uiPriority w:val="99"/>
    <w:semiHidden/>
    <w:unhideWhenUsed/>
    <w:rsid w:val="009227E2"/>
    <w:rPr>
      <w:vertAlign w:val="superscript"/>
    </w:rPr>
  </w:style>
  <w:style w:type="character" w:styleId="Hyperlink">
    <w:name w:val="Hyperlink"/>
    <w:basedOn w:val="DefaultParagraphFont"/>
    <w:uiPriority w:val="99"/>
    <w:semiHidden/>
    <w:unhideWhenUsed/>
    <w:rsid w:val="00AF6E56"/>
    <w:rPr>
      <w:color w:val="0000FF"/>
      <w:u w:val="single"/>
    </w:rPr>
  </w:style>
  <w:style w:type="paragraph" w:styleId="Header">
    <w:name w:val="header"/>
    <w:basedOn w:val="Normal"/>
    <w:link w:val="HeaderChar"/>
    <w:uiPriority w:val="99"/>
    <w:unhideWhenUsed/>
    <w:rsid w:val="00F65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1F7"/>
  </w:style>
  <w:style w:type="paragraph" w:styleId="Footer">
    <w:name w:val="footer"/>
    <w:basedOn w:val="Normal"/>
    <w:link w:val="FooterChar"/>
    <w:uiPriority w:val="99"/>
    <w:unhideWhenUsed/>
    <w:rsid w:val="00F6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1F7"/>
  </w:style>
  <w:style w:type="character" w:customStyle="1" w:styleId="mc">
    <w:name w:val="mc"/>
    <w:basedOn w:val="DefaultParagraphFont"/>
    <w:rsid w:val="0012734F"/>
  </w:style>
  <w:style w:type="character" w:customStyle="1" w:styleId="g1">
    <w:name w:val="g1"/>
    <w:basedOn w:val="DefaultParagraphFont"/>
    <w:rsid w:val="0012734F"/>
  </w:style>
  <w:style w:type="character" w:customStyle="1" w:styleId="Heading2Char">
    <w:name w:val="Heading 2 Char"/>
    <w:basedOn w:val="DefaultParagraphFont"/>
    <w:link w:val="Heading2"/>
    <w:uiPriority w:val="9"/>
    <w:rsid w:val="004455F9"/>
    <w:rPr>
      <w:smallCaps/>
      <w:spacing w:val="5"/>
      <w:sz w:val="28"/>
      <w:szCs w:val="28"/>
    </w:rPr>
  </w:style>
  <w:style w:type="paragraph" w:customStyle="1" w:styleId="1">
    <w:name w:val="1"/>
    <w:link w:val="1Char"/>
    <w:qFormat/>
    <w:rsid w:val="009621F1"/>
    <w:pPr>
      <w:numPr>
        <w:numId w:val="19"/>
      </w:numPr>
      <w:spacing w:before="480" w:after="0" w:line="480" w:lineRule="auto"/>
    </w:pPr>
    <w:rPr>
      <w:rFonts w:ascii="Arial" w:eastAsia="Times New Roman" w:hAnsi="Arial" w:cs="Times New Roman"/>
      <w:iCs/>
      <w:color w:val="000000"/>
      <w:sz w:val="24"/>
      <w:lang w:val="en-GB"/>
    </w:rPr>
  </w:style>
  <w:style w:type="paragraph" w:customStyle="1" w:styleId="2">
    <w:name w:val="2"/>
    <w:basedOn w:val="1"/>
    <w:link w:val="2Char"/>
    <w:qFormat/>
    <w:rsid w:val="009621F1"/>
    <w:pPr>
      <w:numPr>
        <w:ilvl w:val="1"/>
      </w:numPr>
      <w:tabs>
        <w:tab w:val="clear" w:pos="1247"/>
      </w:tabs>
      <w:spacing w:before="240"/>
      <w:ind w:left="1440" w:hanging="360"/>
    </w:pPr>
  </w:style>
  <w:style w:type="paragraph" w:customStyle="1" w:styleId="3">
    <w:name w:val="3"/>
    <w:basedOn w:val="2"/>
    <w:rsid w:val="009621F1"/>
    <w:pPr>
      <w:numPr>
        <w:ilvl w:val="2"/>
      </w:numPr>
      <w:tabs>
        <w:tab w:val="clear" w:pos="2155"/>
      </w:tabs>
      <w:ind w:left="2160" w:hanging="360"/>
    </w:pPr>
  </w:style>
  <w:style w:type="paragraph" w:customStyle="1" w:styleId="4">
    <w:name w:val="4"/>
    <w:basedOn w:val="Normal"/>
    <w:rsid w:val="009621F1"/>
    <w:pPr>
      <w:numPr>
        <w:ilvl w:val="3"/>
        <w:numId w:val="19"/>
      </w:numPr>
      <w:spacing w:before="240" w:after="0" w:line="480" w:lineRule="auto"/>
    </w:pPr>
    <w:rPr>
      <w:rFonts w:ascii="Arial" w:eastAsia="Times New Roman" w:hAnsi="Arial" w:cs="Times New Roman"/>
      <w:iCs/>
      <w:color w:val="000000"/>
      <w:sz w:val="24"/>
      <w:szCs w:val="16"/>
      <w:lang w:eastAsia="en-ZA"/>
    </w:rPr>
  </w:style>
  <w:style w:type="paragraph" w:customStyle="1" w:styleId="5">
    <w:name w:val="5"/>
    <w:basedOn w:val="4"/>
    <w:rsid w:val="009621F1"/>
    <w:pPr>
      <w:numPr>
        <w:ilvl w:val="4"/>
      </w:numPr>
    </w:pPr>
  </w:style>
  <w:style w:type="character" w:customStyle="1" w:styleId="1Char">
    <w:name w:val="1 Char"/>
    <w:link w:val="1"/>
    <w:rsid w:val="009621F1"/>
    <w:rPr>
      <w:rFonts w:ascii="Arial" w:eastAsia="Times New Roman" w:hAnsi="Arial" w:cs="Times New Roman"/>
      <w:iCs/>
      <w:color w:val="000000"/>
      <w:sz w:val="24"/>
      <w:lang w:val="en-GB"/>
    </w:rPr>
  </w:style>
  <w:style w:type="table" w:styleId="TableGrid">
    <w:name w:val="Table Grid"/>
    <w:basedOn w:val="TableNormal"/>
    <w:uiPriority w:val="39"/>
    <w:rsid w:val="009621F1"/>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F9"/>
    <w:pPr>
      <w:pBdr>
        <w:top w:val="single" w:sz="12" w:space="1" w:color="D5581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455F9"/>
    <w:rPr>
      <w:smallCaps/>
      <w:sz w:val="48"/>
      <w:szCs w:val="48"/>
    </w:rPr>
  </w:style>
  <w:style w:type="paragraph" w:customStyle="1" w:styleId="Myown">
    <w:name w:val="My own"/>
    <w:basedOn w:val="Normal"/>
    <w:rsid w:val="009621F1"/>
    <w:pPr>
      <w:tabs>
        <w:tab w:val="num" w:pos="709"/>
      </w:tabs>
      <w:spacing w:before="240" w:after="240" w:line="480" w:lineRule="auto"/>
      <w:ind w:left="706" w:hanging="706"/>
    </w:pPr>
    <w:rPr>
      <w:rFonts w:ascii="Times New Roman" w:eastAsia="Times New Roman" w:hAnsi="Times New Roman" w:cs="Times New Roman"/>
      <w:sz w:val="24"/>
      <w:szCs w:val="24"/>
      <w:lang w:val="en-GB"/>
    </w:rPr>
  </w:style>
  <w:style w:type="paragraph" w:customStyle="1" w:styleId="Default">
    <w:name w:val="Default"/>
    <w:rsid w:val="009621F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4455F9"/>
    <w:rPr>
      <w:smallCaps/>
      <w:spacing w:val="5"/>
      <w:sz w:val="32"/>
      <w:szCs w:val="32"/>
    </w:rPr>
  </w:style>
  <w:style w:type="character" w:customStyle="1" w:styleId="2Char">
    <w:name w:val="2 Char"/>
    <w:basedOn w:val="1Char"/>
    <w:link w:val="2"/>
    <w:rsid w:val="004263BF"/>
    <w:rPr>
      <w:rFonts w:ascii="Arial" w:eastAsia="Times New Roman" w:hAnsi="Arial" w:cs="Times New Roman"/>
      <w:iCs/>
      <w:color w:val="000000"/>
      <w:sz w:val="24"/>
      <w:lang w:val="en-GB"/>
    </w:rPr>
  </w:style>
  <w:style w:type="character" w:styleId="CommentReference">
    <w:name w:val="annotation reference"/>
    <w:basedOn w:val="DefaultParagraphFont"/>
    <w:uiPriority w:val="99"/>
    <w:semiHidden/>
    <w:unhideWhenUsed/>
    <w:rsid w:val="005B6425"/>
    <w:rPr>
      <w:sz w:val="16"/>
      <w:szCs w:val="16"/>
    </w:rPr>
  </w:style>
  <w:style w:type="paragraph" w:styleId="CommentText">
    <w:name w:val="annotation text"/>
    <w:basedOn w:val="Normal"/>
    <w:link w:val="CommentTextChar"/>
    <w:uiPriority w:val="99"/>
    <w:unhideWhenUsed/>
    <w:rsid w:val="005B6425"/>
    <w:pPr>
      <w:spacing w:line="240" w:lineRule="auto"/>
    </w:pPr>
  </w:style>
  <w:style w:type="character" w:customStyle="1" w:styleId="CommentTextChar">
    <w:name w:val="Comment Text Char"/>
    <w:basedOn w:val="DefaultParagraphFont"/>
    <w:link w:val="CommentText"/>
    <w:uiPriority w:val="99"/>
    <w:rsid w:val="005B6425"/>
    <w:rPr>
      <w:sz w:val="20"/>
      <w:szCs w:val="20"/>
    </w:rPr>
  </w:style>
  <w:style w:type="paragraph" w:styleId="CommentSubject">
    <w:name w:val="annotation subject"/>
    <w:basedOn w:val="CommentText"/>
    <w:next w:val="CommentText"/>
    <w:link w:val="CommentSubjectChar"/>
    <w:uiPriority w:val="99"/>
    <w:semiHidden/>
    <w:unhideWhenUsed/>
    <w:rsid w:val="005B6425"/>
    <w:rPr>
      <w:b/>
      <w:bCs/>
    </w:rPr>
  </w:style>
  <w:style w:type="character" w:customStyle="1" w:styleId="CommentSubjectChar">
    <w:name w:val="Comment Subject Char"/>
    <w:basedOn w:val="CommentTextChar"/>
    <w:link w:val="CommentSubject"/>
    <w:uiPriority w:val="99"/>
    <w:semiHidden/>
    <w:rsid w:val="005B6425"/>
    <w:rPr>
      <w:b/>
      <w:bCs/>
      <w:sz w:val="20"/>
      <w:szCs w:val="20"/>
    </w:rPr>
  </w:style>
  <w:style w:type="paragraph" w:styleId="BalloonText">
    <w:name w:val="Balloon Text"/>
    <w:basedOn w:val="Normal"/>
    <w:link w:val="BalloonTextChar"/>
    <w:uiPriority w:val="99"/>
    <w:semiHidden/>
    <w:unhideWhenUsed/>
    <w:rsid w:val="005B6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25"/>
    <w:rPr>
      <w:rFonts w:ascii="Segoe UI" w:hAnsi="Segoe UI" w:cs="Segoe UI"/>
      <w:sz w:val="18"/>
      <w:szCs w:val="18"/>
    </w:rPr>
  </w:style>
  <w:style w:type="character" w:customStyle="1" w:styleId="Heading3Char">
    <w:name w:val="Heading 3 Char"/>
    <w:basedOn w:val="DefaultParagraphFont"/>
    <w:link w:val="Heading3"/>
    <w:uiPriority w:val="9"/>
    <w:semiHidden/>
    <w:rsid w:val="004455F9"/>
    <w:rPr>
      <w:smallCaps/>
      <w:spacing w:val="5"/>
      <w:sz w:val="24"/>
      <w:szCs w:val="24"/>
    </w:rPr>
  </w:style>
  <w:style w:type="character" w:customStyle="1" w:styleId="Heading4Char">
    <w:name w:val="Heading 4 Char"/>
    <w:basedOn w:val="DefaultParagraphFont"/>
    <w:link w:val="Heading4"/>
    <w:uiPriority w:val="9"/>
    <w:semiHidden/>
    <w:rsid w:val="004455F9"/>
    <w:rPr>
      <w:smallCaps/>
      <w:spacing w:val="10"/>
      <w:sz w:val="22"/>
      <w:szCs w:val="22"/>
    </w:rPr>
  </w:style>
  <w:style w:type="character" w:customStyle="1" w:styleId="Heading5Char">
    <w:name w:val="Heading 5 Char"/>
    <w:basedOn w:val="DefaultParagraphFont"/>
    <w:link w:val="Heading5"/>
    <w:uiPriority w:val="9"/>
    <w:semiHidden/>
    <w:rsid w:val="004455F9"/>
    <w:rPr>
      <w:smallCaps/>
      <w:color w:val="9F4110" w:themeColor="accent2" w:themeShade="BF"/>
      <w:spacing w:val="10"/>
      <w:sz w:val="22"/>
      <w:szCs w:val="26"/>
    </w:rPr>
  </w:style>
  <w:style w:type="character" w:customStyle="1" w:styleId="Heading6Char">
    <w:name w:val="Heading 6 Char"/>
    <w:basedOn w:val="DefaultParagraphFont"/>
    <w:link w:val="Heading6"/>
    <w:uiPriority w:val="9"/>
    <w:semiHidden/>
    <w:rsid w:val="004455F9"/>
    <w:rPr>
      <w:smallCaps/>
      <w:color w:val="D55816" w:themeColor="accent2"/>
      <w:spacing w:val="5"/>
      <w:sz w:val="22"/>
    </w:rPr>
  </w:style>
  <w:style w:type="character" w:customStyle="1" w:styleId="Heading7Char">
    <w:name w:val="Heading 7 Char"/>
    <w:basedOn w:val="DefaultParagraphFont"/>
    <w:link w:val="Heading7"/>
    <w:uiPriority w:val="9"/>
    <w:semiHidden/>
    <w:rsid w:val="004455F9"/>
    <w:rPr>
      <w:b/>
      <w:smallCaps/>
      <w:color w:val="D55816" w:themeColor="accent2"/>
      <w:spacing w:val="10"/>
    </w:rPr>
  </w:style>
  <w:style w:type="character" w:customStyle="1" w:styleId="Heading8Char">
    <w:name w:val="Heading 8 Char"/>
    <w:basedOn w:val="DefaultParagraphFont"/>
    <w:link w:val="Heading8"/>
    <w:uiPriority w:val="9"/>
    <w:semiHidden/>
    <w:rsid w:val="004455F9"/>
    <w:rPr>
      <w:b/>
      <w:i/>
      <w:smallCaps/>
      <w:color w:val="9F4110" w:themeColor="accent2" w:themeShade="BF"/>
    </w:rPr>
  </w:style>
  <w:style w:type="character" w:customStyle="1" w:styleId="Heading9Char">
    <w:name w:val="Heading 9 Char"/>
    <w:basedOn w:val="DefaultParagraphFont"/>
    <w:link w:val="Heading9"/>
    <w:uiPriority w:val="9"/>
    <w:semiHidden/>
    <w:rsid w:val="004455F9"/>
    <w:rPr>
      <w:b/>
      <w:i/>
      <w:smallCaps/>
      <w:color w:val="6A2B0B" w:themeColor="accent2" w:themeShade="7F"/>
    </w:rPr>
  </w:style>
  <w:style w:type="paragraph" w:styleId="Caption">
    <w:name w:val="caption"/>
    <w:basedOn w:val="Normal"/>
    <w:next w:val="Normal"/>
    <w:uiPriority w:val="35"/>
    <w:semiHidden/>
    <w:unhideWhenUsed/>
    <w:qFormat/>
    <w:rsid w:val="004455F9"/>
    <w:rPr>
      <w:b/>
      <w:bCs/>
      <w:caps/>
      <w:sz w:val="16"/>
      <w:szCs w:val="18"/>
    </w:rPr>
  </w:style>
  <w:style w:type="paragraph" w:styleId="Subtitle">
    <w:name w:val="Subtitle"/>
    <w:basedOn w:val="Normal"/>
    <w:next w:val="Normal"/>
    <w:link w:val="SubtitleChar"/>
    <w:uiPriority w:val="11"/>
    <w:qFormat/>
    <w:rsid w:val="004455F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55F9"/>
    <w:rPr>
      <w:rFonts w:asciiTheme="majorHAnsi" w:eastAsiaTheme="majorEastAsia" w:hAnsiTheme="majorHAnsi" w:cstheme="majorBidi"/>
      <w:szCs w:val="22"/>
    </w:rPr>
  </w:style>
  <w:style w:type="character" w:styleId="Strong">
    <w:name w:val="Strong"/>
    <w:uiPriority w:val="22"/>
    <w:qFormat/>
    <w:rsid w:val="004455F9"/>
    <w:rPr>
      <w:b/>
      <w:color w:val="D55816" w:themeColor="accent2"/>
    </w:rPr>
  </w:style>
  <w:style w:type="character" w:styleId="Emphasis">
    <w:name w:val="Emphasis"/>
    <w:uiPriority w:val="20"/>
    <w:qFormat/>
    <w:rsid w:val="004455F9"/>
    <w:rPr>
      <w:b/>
      <w:i/>
      <w:spacing w:val="10"/>
    </w:rPr>
  </w:style>
  <w:style w:type="paragraph" w:styleId="NoSpacing">
    <w:name w:val="No Spacing"/>
    <w:basedOn w:val="Normal"/>
    <w:link w:val="NoSpacingChar"/>
    <w:uiPriority w:val="1"/>
    <w:qFormat/>
    <w:rsid w:val="004455F9"/>
    <w:pPr>
      <w:spacing w:after="0" w:line="240" w:lineRule="auto"/>
    </w:pPr>
  </w:style>
  <w:style w:type="character" w:customStyle="1" w:styleId="NoSpacingChar">
    <w:name w:val="No Spacing Char"/>
    <w:basedOn w:val="DefaultParagraphFont"/>
    <w:link w:val="NoSpacing"/>
    <w:uiPriority w:val="1"/>
    <w:rsid w:val="004455F9"/>
  </w:style>
  <w:style w:type="paragraph" w:styleId="Quote">
    <w:name w:val="Quote"/>
    <w:basedOn w:val="Normal"/>
    <w:next w:val="Normal"/>
    <w:link w:val="QuoteChar"/>
    <w:uiPriority w:val="29"/>
    <w:qFormat/>
    <w:rsid w:val="004455F9"/>
    <w:rPr>
      <w:i/>
    </w:rPr>
  </w:style>
  <w:style w:type="character" w:customStyle="1" w:styleId="QuoteChar">
    <w:name w:val="Quote Char"/>
    <w:basedOn w:val="DefaultParagraphFont"/>
    <w:link w:val="Quote"/>
    <w:uiPriority w:val="29"/>
    <w:rsid w:val="004455F9"/>
    <w:rPr>
      <w:i/>
    </w:rPr>
  </w:style>
  <w:style w:type="paragraph" w:styleId="IntenseQuote">
    <w:name w:val="Intense Quote"/>
    <w:basedOn w:val="Normal"/>
    <w:next w:val="Normal"/>
    <w:link w:val="IntenseQuoteChar"/>
    <w:uiPriority w:val="30"/>
    <w:qFormat/>
    <w:rsid w:val="004455F9"/>
    <w:pPr>
      <w:pBdr>
        <w:top w:val="single" w:sz="8" w:space="10" w:color="9F4110" w:themeColor="accent2" w:themeShade="BF"/>
        <w:left w:val="single" w:sz="8" w:space="10" w:color="9F4110" w:themeColor="accent2" w:themeShade="BF"/>
        <w:bottom w:val="single" w:sz="8" w:space="10" w:color="9F4110" w:themeColor="accent2" w:themeShade="BF"/>
        <w:right w:val="single" w:sz="8" w:space="10" w:color="9F4110" w:themeColor="accent2" w:themeShade="BF"/>
      </w:pBdr>
      <w:shd w:val="clear" w:color="auto" w:fill="D5581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55F9"/>
    <w:rPr>
      <w:b/>
      <w:i/>
      <w:color w:val="FFFFFF" w:themeColor="background1"/>
      <w:shd w:val="clear" w:color="auto" w:fill="D55816" w:themeFill="accent2"/>
    </w:rPr>
  </w:style>
  <w:style w:type="character" w:styleId="SubtleEmphasis">
    <w:name w:val="Subtle Emphasis"/>
    <w:uiPriority w:val="19"/>
    <w:qFormat/>
    <w:rsid w:val="004455F9"/>
    <w:rPr>
      <w:i/>
    </w:rPr>
  </w:style>
  <w:style w:type="character" w:styleId="IntenseEmphasis">
    <w:name w:val="Intense Emphasis"/>
    <w:uiPriority w:val="21"/>
    <w:qFormat/>
    <w:rsid w:val="004455F9"/>
    <w:rPr>
      <w:b/>
      <w:i/>
      <w:color w:val="D55816" w:themeColor="accent2"/>
      <w:spacing w:val="10"/>
    </w:rPr>
  </w:style>
  <w:style w:type="character" w:styleId="SubtleReference">
    <w:name w:val="Subtle Reference"/>
    <w:uiPriority w:val="31"/>
    <w:qFormat/>
    <w:rsid w:val="004455F9"/>
    <w:rPr>
      <w:b/>
    </w:rPr>
  </w:style>
  <w:style w:type="character" w:styleId="IntenseReference">
    <w:name w:val="Intense Reference"/>
    <w:uiPriority w:val="32"/>
    <w:qFormat/>
    <w:rsid w:val="004455F9"/>
    <w:rPr>
      <w:b/>
      <w:bCs/>
      <w:smallCaps/>
      <w:spacing w:val="5"/>
      <w:sz w:val="22"/>
      <w:szCs w:val="22"/>
      <w:u w:val="single"/>
    </w:rPr>
  </w:style>
  <w:style w:type="character" w:styleId="BookTitle">
    <w:name w:val="Book Title"/>
    <w:uiPriority w:val="33"/>
    <w:qFormat/>
    <w:rsid w:val="004455F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55F9"/>
    <w:pPr>
      <w:outlineLvl w:val="9"/>
    </w:pPr>
  </w:style>
  <w:style w:type="paragraph" w:styleId="Revision">
    <w:name w:val="Revision"/>
    <w:hidden/>
    <w:uiPriority w:val="99"/>
    <w:semiHidden/>
    <w:rsid w:val="007E4D7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1724">
      <w:bodyDiv w:val="1"/>
      <w:marLeft w:val="0"/>
      <w:marRight w:val="0"/>
      <w:marTop w:val="0"/>
      <w:marBottom w:val="0"/>
      <w:divBdr>
        <w:top w:val="none" w:sz="0" w:space="0" w:color="auto"/>
        <w:left w:val="none" w:sz="0" w:space="0" w:color="auto"/>
        <w:bottom w:val="none" w:sz="0" w:space="0" w:color="auto"/>
        <w:right w:val="none" w:sz="0" w:space="0" w:color="auto"/>
      </w:divBdr>
    </w:div>
    <w:div w:id="344016132">
      <w:bodyDiv w:val="1"/>
      <w:marLeft w:val="0"/>
      <w:marRight w:val="0"/>
      <w:marTop w:val="0"/>
      <w:marBottom w:val="0"/>
      <w:divBdr>
        <w:top w:val="none" w:sz="0" w:space="0" w:color="auto"/>
        <w:left w:val="none" w:sz="0" w:space="0" w:color="auto"/>
        <w:bottom w:val="none" w:sz="0" w:space="0" w:color="auto"/>
        <w:right w:val="none" w:sz="0" w:space="0" w:color="auto"/>
      </w:divBdr>
      <w:divsChild>
        <w:div w:id="2077630378">
          <w:marLeft w:val="0"/>
          <w:marRight w:val="0"/>
          <w:marTop w:val="240"/>
          <w:marBottom w:val="0"/>
          <w:divBdr>
            <w:top w:val="none" w:sz="0" w:space="0" w:color="auto"/>
            <w:left w:val="none" w:sz="0" w:space="0" w:color="auto"/>
            <w:bottom w:val="none" w:sz="0" w:space="0" w:color="auto"/>
            <w:right w:val="none" w:sz="0" w:space="0" w:color="auto"/>
          </w:divBdr>
        </w:div>
        <w:div w:id="1347947554">
          <w:marLeft w:val="0"/>
          <w:marRight w:val="0"/>
          <w:marTop w:val="120"/>
          <w:marBottom w:val="0"/>
          <w:divBdr>
            <w:top w:val="none" w:sz="0" w:space="0" w:color="auto"/>
            <w:left w:val="none" w:sz="0" w:space="0" w:color="auto"/>
            <w:bottom w:val="none" w:sz="0" w:space="0" w:color="auto"/>
            <w:right w:val="none" w:sz="0" w:space="0" w:color="auto"/>
          </w:divBdr>
        </w:div>
        <w:div w:id="116994948">
          <w:marLeft w:val="1134"/>
          <w:marRight w:val="0"/>
          <w:marTop w:val="60"/>
          <w:marBottom w:val="0"/>
          <w:divBdr>
            <w:top w:val="none" w:sz="0" w:space="0" w:color="auto"/>
            <w:left w:val="none" w:sz="0" w:space="0" w:color="auto"/>
            <w:bottom w:val="none" w:sz="0" w:space="0" w:color="auto"/>
            <w:right w:val="none" w:sz="0" w:space="0" w:color="auto"/>
          </w:divBdr>
        </w:div>
        <w:div w:id="1708024940">
          <w:marLeft w:val="1134"/>
          <w:marRight w:val="0"/>
          <w:marTop w:val="60"/>
          <w:marBottom w:val="0"/>
          <w:divBdr>
            <w:top w:val="none" w:sz="0" w:space="0" w:color="auto"/>
            <w:left w:val="none" w:sz="0" w:space="0" w:color="auto"/>
            <w:bottom w:val="none" w:sz="0" w:space="0" w:color="auto"/>
            <w:right w:val="none" w:sz="0" w:space="0" w:color="auto"/>
          </w:divBdr>
        </w:div>
        <w:div w:id="488326938">
          <w:marLeft w:val="1134"/>
          <w:marRight w:val="0"/>
          <w:marTop w:val="60"/>
          <w:marBottom w:val="0"/>
          <w:divBdr>
            <w:top w:val="none" w:sz="0" w:space="0" w:color="auto"/>
            <w:left w:val="none" w:sz="0" w:space="0" w:color="auto"/>
            <w:bottom w:val="none" w:sz="0" w:space="0" w:color="auto"/>
            <w:right w:val="none" w:sz="0" w:space="0" w:color="auto"/>
          </w:divBdr>
        </w:div>
        <w:div w:id="1310205076">
          <w:marLeft w:val="1134"/>
          <w:marRight w:val="0"/>
          <w:marTop w:val="60"/>
          <w:marBottom w:val="0"/>
          <w:divBdr>
            <w:top w:val="none" w:sz="0" w:space="0" w:color="auto"/>
            <w:left w:val="none" w:sz="0" w:space="0" w:color="auto"/>
            <w:bottom w:val="none" w:sz="0" w:space="0" w:color="auto"/>
            <w:right w:val="none" w:sz="0" w:space="0" w:color="auto"/>
          </w:divBdr>
        </w:div>
        <w:div w:id="1312521659">
          <w:marLeft w:val="1134"/>
          <w:marRight w:val="0"/>
          <w:marTop w:val="60"/>
          <w:marBottom w:val="0"/>
          <w:divBdr>
            <w:top w:val="none" w:sz="0" w:space="0" w:color="auto"/>
            <w:left w:val="none" w:sz="0" w:space="0" w:color="auto"/>
            <w:bottom w:val="none" w:sz="0" w:space="0" w:color="auto"/>
            <w:right w:val="none" w:sz="0" w:space="0" w:color="auto"/>
          </w:divBdr>
        </w:div>
        <w:div w:id="704059194">
          <w:marLeft w:val="1134"/>
          <w:marRight w:val="0"/>
          <w:marTop w:val="60"/>
          <w:marBottom w:val="0"/>
          <w:divBdr>
            <w:top w:val="none" w:sz="0" w:space="0" w:color="auto"/>
            <w:left w:val="none" w:sz="0" w:space="0" w:color="auto"/>
            <w:bottom w:val="none" w:sz="0" w:space="0" w:color="auto"/>
            <w:right w:val="none" w:sz="0" w:space="0" w:color="auto"/>
          </w:divBdr>
        </w:div>
      </w:divsChild>
    </w:div>
    <w:div w:id="352268826">
      <w:bodyDiv w:val="1"/>
      <w:marLeft w:val="0"/>
      <w:marRight w:val="0"/>
      <w:marTop w:val="0"/>
      <w:marBottom w:val="0"/>
      <w:divBdr>
        <w:top w:val="none" w:sz="0" w:space="0" w:color="auto"/>
        <w:left w:val="none" w:sz="0" w:space="0" w:color="auto"/>
        <w:bottom w:val="none" w:sz="0" w:space="0" w:color="auto"/>
        <w:right w:val="none" w:sz="0" w:space="0" w:color="auto"/>
      </w:divBdr>
    </w:div>
    <w:div w:id="386690939">
      <w:bodyDiv w:val="1"/>
      <w:marLeft w:val="0"/>
      <w:marRight w:val="0"/>
      <w:marTop w:val="0"/>
      <w:marBottom w:val="0"/>
      <w:divBdr>
        <w:top w:val="none" w:sz="0" w:space="0" w:color="auto"/>
        <w:left w:val="none" w:sz="0" w:space="0" w:color="auto"/>
        <w:bottom w:val="none" w:sz="0" w:space="0" w:color="auto"/>
        <w:right w:val="none" w:sz="0" w:space="0" w:color="auto"/>
      </w:divBdr>
    </w:div>
    <w:div w:id="416706083">
      <w:bodyDiv w:val="1"/>
      <w:marLeft w:val="0"/>
      <w:marRight w:val="0"/>
      <w:marTop w:val="0"/>
      <w:marBottom w:val="0"/>
      <w:divBdr>
        <w:top w:val="none" w:sz="0" w:space="0" w:color="auto"/>
        <w:left w:val="none" w:sz="0" w:space="0" w:color="auto"/>
        <w:bottom w:val="none" w:sz="0" w:space="0" w:color="auto"/>
        <w:right w:val="none" w:sz="0" w:space="0" w:color="auto"/>
      </w:divBdr>
    </w:div>
    <w:div w:id="577593327">
      <w:bodyDiv w:val="1"/>
      <w:marLeft w:val="0"/>
      <w:marRight w:val="0"/>
      <w:marTop w:val="0"/>
      <w:marBottom w:val="0"/>
      <w:divBdr>
        <w:top w:val="none" w:sz="0" w:space="0" w:color="auto"/>
        <w:left w:val="none" w:sz="0" w:space="0" w:color="auto"/>
        <w:bottom w:val="none" w:sz="0" w:space="0" w:color="auto"/>
        <w:right w:val="none" w:sz="0" w:space="0" w:color="auto"/>
      </w:divBdr>
    </w:div>
    <w:div w:id="584077465">
      <w:bodyDiv w:val="1"/>
      <w:marLeft w:val="0"/>
      <w:marRight w:val="0"/>
      <w:marTop w:val="0"/>
      <w:marBottom w:val="0"/>
      <w:divBdr>
        <w:top w:val="none" w:sz="0" w:space="0" w:color="auto"/>
        <w:left w:val="none" w:sz="0" w:space="0" w:color="auto"/>
        <w:bottom w:val="none" w:sz="0" w:space="0" w:color="auto"/>
        <w:right w:val="none" w:sz="0" w:space="0" w:color="auto"/>
      </w:divBdr>
    </w:div>
    <w:div w:id="1009020112">
      <w:bodyDiv w:val="1"/>
      <w:marLeft w:val="0"/>
      <w:marRight w:val="0"/>
      <w:marTop w:val="0"/>
      <w:marBottom w:val="0"/>
      <w:divBdr>
        <w:top w:val="none" w:sz="0" w:space="0" w:color="auto"/>
        <w:left w:val="none" w:sz="0" w:space="0" w:color="auto"/>
        <w:bottom w:val="none" w:sz="0" w:space="0" w:color="auto"/>
        <w:right w:val="none" w:sz="0" w:space="0" w:color="auto"/>
      </w:divBdr>
    </w:div>
    <w:div w:id="1112092684">
      <w:bodyDiv w:val="1"/>
      <w:marLeft w:val="0"/>
      <w:marRight w:val="0"/>
      <w:marTop w:val="0"/>
      <w:marBottom w:val="0"/>
      <w:divBdr>
        <w:top w:val="none" w:sz="0" w:space="0" w:color="auto"/>
        <w:left w:val="none" w:sz="0" w:space="0" w:color="auto"/>
        <w:bottom w:val="none" w:sz="0" w:space="0" w:color="auto"/>
        <w:right w:val="none" w:sz="0" w:space="0" w:color="auto"/>
      </w:divBdr>
    </w:div>
    <w:div w:id="1279869307">
      <w:bodyDiv w:val="1"/>
      <w:marLeft w:val="0"/>
      <w:marRight w:val="0"/>
      <w:marTop w:val="0"/>
      <w:marBottom w:val="0"/>
      <w:divBdr>
        <w:top w:val="none" w:sz="0" w:space="0" w:color="auto"/>
        <w:left w:val="none" w:sz="0" w:space="0" w:color="auto"/>
        <w:bottom w:val="none" w:sz="0" w:space="0" w:color="auto"/>
        <w:right w:val="none" w:sz="0" w:space="0" w:color="auto"/>
      </w:divBdr>
    </w:div>
    <w:div w:id="1327512443">
      <w:bodyDiv w:val="1"/>
      <w:marLeft w:val="0"/>
      <w:marRight w:val="0"/>
      <w:marTop w:val="0"/>
      <w:marBottom w:val="0"/>
      <w:divBdr>
        <w:top w:val="none" w:sz="0" w:space="0" w:color="auto"/>
        <w:left w:val="none" w:sz="0" w:space="0" w:color="auto"/>
        <w:bottom w:val="none" w:sz="0" w:space="0" w:color="auto"/>
        <w:right w:val="none" w:sz="0" w:space="0" w:color="auto"/>
      </w:divBdr>
    </w:div>
    <w:div w:id="1337614218">
      <w:bodyDiv w:val="1"/>
      <w:marLeft w:val="0"/>
      <w:marRight w:val="0"/>
      <w:marTop w:val="0"/>
      <w:marBottom w:val="0"/>
      <w:divBdr>
        <w:top w:val="none" w:sz="0" w:space="0" w:color="auto"/>
        <w:left w:val="none" w:sz="0" w:space="0" w:color="auto"/>
        <w:bottom w:val="none" w:sz="0" w:space="0" w:color="auto"/>
        <w:right w:val="none" w:sz="0" w:space="0" w:color="auto"/>
      </w:divBdr>
    </w:div>
    <w:div w:id="1601644747">
      <w:bodyDiv w:val="1"/>
      <w:marLeft w:val="0"/>
      <w:marRight w:val="0"/>
      <w:marTop w:val="0"/>
      <w:marBottom w:val="0"/>
      <w:divBdr>
        <w:top w:val="none" w:sz="0" w:space="0" w:color="auto"/>
        <w:left w:val="none" w:sz="0" w:space="0" w:color="auto"/>
        <w:bottom w:val="none" w:sz="0" w:space="0" w:color="auto"/>
        <w:right w:val="none" w:sz="0" w:space="0" w:color="auto"/>
      </w:divBdr>
      <w:divsChild>
        <w:div w:id="36784352">
          <w:marLeft w:val="284"/>
          <w:marRight w:val="0"/>
          <w:marTop w:val="80"/>
          <w:marBottom w:val="0"/>
          <w:divBdr>
            <w:top w:val="none" w:sz="0" w:space="0" w:color="auto"/>
            <w:left w:val="none" w:sz="0" w:space="0" w:color="auto"/>
            <w:bottom w:val="none" w:sz="0" w:space="0" w:color="auto"/>
            <w:right w:val="none" w:sz="0" w:space="0" w:color="auto"/>
          </w:divBdr>
        </w:div>
        <w:div w:id="1345671556">
          <w:marLeft w:val="1134"/>
          <w:marRight w:val="0"/>
          <w:marTop w:val="60"/>
          <w:marBottom w:val="0"/>
          <w:divBdr>
            <w:top w:val="none" w:sz="0" w:space="0" w:color="auto"/>
            <w:left w:val="none" w:sz="0" w:space="0" w:color="auto"/>
            <w:bottom w:val="none" w:sz="0" w:space="0" w:color="auto"/>
            <w:right w:val="none" w:sz="0" w:space="0" w:color="auto"/>
          </w:divBdr>
        </w:div>
        <w:div w:id="1589079670">
          <w:marLeft w:val="1134"/>
          <w:marRight w:val="0"/>
          <w:marTop w:val="60"/>
          <w:marBottom w:val="0"/>
          <w:divBdr>
            <w:top w:val="none" w:sz="0" w:space="0" w:color="auto"/>
            <w:left w:val="none" w:sz="0" w:space="0" w:color="auto"/>
            <w:bottom w:val="none" w:sz="0" w:space="0" w:color="auto"/>
            <w:right w:val="none" w:sz="0" w:space="0" w:color="auto"/>
          </w:divBdr>
        </w:div>
        <w:div w:id="1373653940">
          <w:marLeft w:val="1134"/>
          <w:marRight w:val="0"/>
          <w:marTop w:val="60"/>
          <w:marBottom w:val="0"/>
          <w:divBdr>
            <w:top w:val="none" w:sz="0" w:space="0" w:color="auto"/>
            <w:left w:val="none" w:sz="0" w:space="0" w:color="auto"/>
            <w:bottom w:val="none" w:sz="0" w:space="0" w:color="auto"/>
            <w:right w:val="none" w:sz="0" w:space="0" w:color="auto"/>
          </w:divBdr>
        </w:div>
        <w:div w:id="1770537324">
          <w:marLeft w:val="1134"/>
          <w:marRight w:val="0"/>
          <w:marTop w:val="60"/>
          <w:marBottom w:val="0"/>
          <w:divBdr>
            <w:top w:val="none" w:sz="0" w:space="0" w:color="auto"/>
            <w:left w:val="none" w:sz="0" w:space="0" w:color="auto"/>
            <w:bottom w:val="none" w:sz="0" w:space="0" w:color="auto"/>
            <w:right w:val="none" w:sz="0" w:space="0" w:color="auto"/>
          </w:divBdr>
        </w:div>
      </w:divsChild>
    </w:div>
    <w:div w:id="1756199147">
      <w:bodyDiv w:val="1"/>
      <w:marLeft w:val="0"/>
      <w:marRight w:val="0"/>
      <w:marTop w:val="0"/>
      <w:marBottom w:val="0"/>
      <w:divBdr>
        <w:top w:val="none" w:sz="0" w:space="0" w:color="auto"/>
        <w:left w:val="none" w:sz="0" w:space="0" w:color="auto"/>
        <w:bottom w:val="none" w:sz="0" w:space="0" w:color="auto"/>
        <w:right w:val="none" w:sz="0" w:space="0" w:color="auto"/>
      </w:divBdr>
      <w:divsChild>
        <w:div w:id="712340746">
          <w:marLeft w:val="0"/>
          <w:marRight w:val="0"/>
          <w:marTop w:val="240"/>
          <w:marBottom w:val="0"/>
          <w:divBdr>
            <w:top w:val="none" w:sz="0" w:space="0" w:color="auto"/>
            <w:left w:val="none" w:sz="0" w:space="0" w:color="auto"/>
            <w:bottom w:val="none" w:sz="0" w:space="0" w:color="auto"/>
            <w:right w:val="none" w:sz="0" w:space="0" w:color="auto"/>
          </w:divBdr>
        </w:div>
        <w:div w:id="552545955">
          <w:marLeft w:val="0"/>
          <w:marRight w:val="0"/>
          <w:marTop w:val="120"/>
          <w:marBottom w:val="0"/>
          <w:divBdr>
            <w:top w:val="none" w:sz="0" w:space="0" w:color="auto"/>
            <w:left w:val="none" w:sz="0" w:space="0" w:color="auto"/>
            <w:bottom w:val="none" w:sz="0" w:space="0" w:color="auto"/>
            <w:right w:val="none" w:sz="0" w:space="0" w:color="auto"/>
          </w:divBdr>
        </w:div>
        <w:div w:id="923302669">
          <w:marLeft w:val="1134"/>
          <w:marRight w:val="0"/>
          <w:marTop w:val="60"/>
          <w:marBottom w:val="0"/>
          <w:divBdr>
            <w:top w:val="none" w:sz="0" w:space="0" w:color="auto"/>
            <w:left w:val="none" w:sz="0" w:space="0" w:color="auto"/>
            <w:bottom w:val="none" w:sz="0" w:space="0" w:color="auto"/>
            <w:right w:val="none" w:sz="0" w:space="0" w:color="auto"/>
          </w:divBdr>
        </w:div>
        <w:div w:id="1358969214">
          <w:marLeft w:val="1134"/>
          <w:marRight w:val="0"/>
          <w:marTop w:val="60"/>
          <w:marBottom w:val="0"/>
          <w:divBdr>
            <w:top w:val="none" w:sz="0" w:space="0" w:color="auto"/>
            <w:left w:val="none" w:sz="0" w:space="0" w:color="auto"/>
            <w:bottom w:val="none" w:sz="0" w:space="0" w:color="auto"/>
            <w:right w:val="none" w:sz="0" w:space="0" w:color="auto"/>
          </w:divBdr>
        </w:div>
        <w:div w:id="552546385">
          <w:marLeft w:val="1134"/>
          <w:marRight w:val="0"/>
          <w:marTop w:val="60"/>
          <w:marBottom w:val="0"/>
          <w:divBdr>
            <w:top w:val="none" w:sz="0" w:space="0" w:color="auto"/>
            <w:left w:val="none" w:sz="0" w:space="0" w:color="auto"/>
            <w:bottom w:val="none" w:sz="0" w:space="0" w:color="auto"/>
            <w:right w:val="none" w:sz="0" w:space="0" w:color="auto"/>
          </w:divBdr>
        </w:div>
        <w:div w:id="974137150">
          <w:marLeft w:val="1134"/>
          <w:marRight w:val="0"/>
          <w:marTop w:val="60"/>
          <w:marBottom w:val="0"/>
          <w:divBdr>
            <w:top w:val="none" w:sz="0" w:space="0" w:color="auto"/>
            <w:left w:val="none" w:sz="0" w:space="0" w:color="auto"/>
            <w:bottom w:val="none" w:sz="0" w:space="0" w:color="auto"/>
            <w:right w:val="none" w:sz="0" w:space="0" w:color="auto"/>
          </w:divBdr>
        </w:div>
        <w:div w:id="451094972">
          <w:marLeft w:val="1134"/>
          <w:marRight w:val="0"/>
          <w:marTop w:val="60"/>
          <w:marBottom w:val="0"/>
          <w:divBdr>
            <w:top w:val="none" w:sz="0" w:space="0" w:color="auto"/>
            <w:left w:val="none" w:sz="0" w:space="0" w:color="auto"/>
            <w:bottom w:val="none" w:sz="0" w:space="0" w:color="auto"/>
            <w:right w:val="none" w:sz="0" w:space="0" w:color="auto"/>
          </w:divBdr>
        </w:div>
        <w:div w:id="435490344">
          <w:marLeft w:val="0"/>
          <w:marRight w:val="0"/>
          <w:marTop w:val="120"/>
          <w:marBottom w:val="0"/>
          <w:divBdr>
            <w:top w:val="none" w:sz="0" w:space="0" w:color="auto"/>
            <w:left w:val="none" w:sz="0" w:space="0" w:color="auto"/>
            <w:bottom w:val="none" w:sz="0" w:space="0" w:color="auto"/>
            <w:right w:val="none" w:sz="0" w:space="0" w:color="auto"/>
          </w:divBdr>
        </w:div>
        <w:div w:id="292903511">
          <w:marLeft w:val="0"/>
          <w:marRight w:val="0"/>
          <w:marTop w:val="120"/>
          <w:marBottom w:val="0"/>
          <w:divBdr>
            <w:top w:val="none" w:sz="0" w:space="0" w:color="auto"/>
            <w:left w:val="none" w:sz="0" w:space="0" w:color="auto"/>
            <w:bottom w:val="none" w:sz="0" w:space="0" w:color="auto"/>
            <w:right w:val="none" w:sz="0" w:space="0" w:color="auto"/>
          </w:divBdr>
        </w:div>
        <w:div w:id="1565482754">
          <w:marLeft w:val="0"/>
          <w:marRight w:val="0"/>
          <w:marTop w:val="120"/>
          <w:marBottom w:val="0"/>
          <w:divBdr>
            <w:top w:val="none" w:sz="0" w:space="0" w:color="auto"/>
            <w:left w:val="none" w:sz="0" w:space="0" w:color="auto"/>
            <w:bottom w:val="none" w:sz="0" w:space="0" w:color="auto"/>
            <w:right w:val="none" w:sz="0" w:space="0" w:color="auto"/>
          </w:divBdr>
        </w:div>
        <w:div w:id="2104522329">
          <w:marLeft w:val="1134"/>
          <w:marRight w:val="0"/>
          <w:marTop w:val="60"/>
          <w:marBottom w:val="0"/>
          <w:divBdr>
            <w:top w:val="none" w:sz="0" w:space="0" w:color="auto"/>
            <w:left w:val="none" w:sz="0" w:space="0" w:color="auto"/>
            <w:bottom w:val="none" w:sz="0" w:space="0" w:color="auto"/>
            <w:right w:val="none" w:sz="0" w:space="0" w:color="auto"/>
          </w:divBdr>
        </w:div>
        <w:div w:id="1515924539">
          <w:marLeft w:val="1134"/>
          <w:marRight w:val="0"/>
          <w:marTop w:val="60"/>
          <w:marBottom w:val="0"/>
          <w:divBdr>
            <w:top w:val="none" w:sz="0" w:space="0" w:color="auto"/>
            <w:left w:val="none" w:sz="0" w:space="0" w:color="auto"/>
            <w:bottom w:val="none" w:sz="0" w:space="0" w:color="auto"/>
            <w:right w:val="none" w:sz="0" w:space="0" w:color="auto"/>
          </w:divBdr>
        </w:div>
        <w:div w:id="1748989063">
          <w:marLeft w:val="1134"/>
          <w:marRight w:val="0"/>
          <w:marTop w:val="60"/>
          <w:marBottom w:val="0"/>
          <w:divBdr>
            <w:top w:val="none" w:sz="0" w:space="0" w:color="auto"/>
            <w:left w:val="none" w:sz="0" w:space="0" w:color="auto"/>
            <w:bottom w:val="none" w:sz="0" w:space="0" w:color="auto"/>
            <w:right w:val="none" w:sz="0" w:space="0" w:color="auto"/>
          </w:divBdr>
        </w:div>
        <w:div w:id="2007243100">
          <w:marLeft w:val="1134"/>
          <w:marRight w:val="0"/>
          <w:marTop w:val="60"/>
          <w:marBottom w:val="0"/>
          <w:divBdr>
            <w:top w:val="none" w:sz="0" w:space="0" w:color="auto"/>
            <w:left w:val="none" w:sz="0" w:space="0" w:color="auto"/>
            <w:bottom w:val="none" w:sz="0" w:space="0" w:color="auto"/>
            <w:right w:val="none" w:sz="0" w:space="0" w:color="auto"/>
          </w:divBdr>
        </w:div>
        <w:div w:id="1726490449">
          <w:marLeft w:val="0"/>
          <w:marRight w:val="0"/>
          <w:marTop w:val="180"/>
          <w:marBottom w:val="60"/>
          <w:divBdr>
            <w:top w:val="single" w:sz="8" w:space="1" w:color="808080"/>
            <w:left w:val="none" w:sz="0" w:space="0" w:color="auto"/>
            <w:bottom w:val="none" w:sz="0" w:space="0" w:color="auto"/>
            <w:right w:val="none" w:sz="0" w:space="0" w:color="auto"/>
          </w:divBdr>
        </w:div>
        <w:div w:id="1872381586">
          <w:marLeft w:val="1134"/>
          <w:marRight w:val="0"/>
          <w:marTop w:val="60"/>
          <w:marBottom w:val="0"/>
          <w:divBdr>
            <w:top w:val="none" w:sz="0" w:space="0" w:color="auto"/>
            <w:left w:val="none" w:sz="0" w:space="0" w:color="auto"/>
            <w:bottom w:val="none" w:sz="0" w:space="0" w:color="auto"/>
            <w:right w:val="none" w:sz="0" w:space="0" w:color="auto"/>
          </w:divBdr>
        </w:div>
        <w:div w:id="2048144894">
          <w:marLeft w:val="1134"/>
          <w:marRight w:val="0"/>
          <w:marTop w:val="60"/>
          <w:marBottom w:val="0"/>
          <w:divBdr>
            <w:top w:val="none" w:sz="0" w:space="0" w:color="auto"/>
            <w:left w:val="none" w:sz="0" w:space="0" w:color="auto"/>
            <w:bottom w:val="none" w:sz="0" w:space="0" w:color="auto"/>
            <w:right w:val="none" w:sz="0" w:space="0" w:color="auto"/>
          </w:divBdr>
        </w:div>
        <w:div w:id="1688174515">
          <w:marLeft w:val="1134"/>
          <w:marRight w:val="0"/>
          <w:marTop w:val="60"/>
          <w:marBottom w:val="0"/>
          <w:divBdr>
            <w:top w:val="none" w:sz="0" w:space="0" w:color="auto"/>
            <w:left w:val="none" w:sz="0" w:space="0" w:color="auto"/>
            <w:bottom w:val="none" w:sz="0" w:space="0" w:color="auto"/>
            <w:right w:val="none" w:sz="0" w:space="0" w:color="auto"/>
          </w:divBdr>
        </w:div>
        <w:div w:id="309868322">
          <w:marLeft w:val="1134"/>
          <w:marRight w:val="0"/>
          <w:marTop w:val="60"/>
          <w:marBottom w:val="0"/>
          <w:divBdr>
            <w:top w:val="none" w:sz="0" w:space="0" w:color="auto"/>
            <w:left w:val="none" w:sz="0" w:space="0" w:color="auto"/>
            <w:bottom w:val="none" w:sz="0" w:space="0" w:color="auto"/>
            <w:right w:val="none" w:sz="0" w:space="0" w:color="auto"/>
          </w:divBdr>
        </w:div>
        <w:div w:id="1033965467">
          <w:marLeft w:val="1134"/>
          <w:marRight w:val="0"/>
          <w:marTop w:val="60"/>
          <w:marBottom w:val="0"/>
          <w:divBdr>
            <w:top w:val="none" w:sz="0" w:space="0" w:color="auto"/>
            <w:left w:val="none" w:sz="0" w:space="0" w:color="auto"/>
            <w:bottom w:val="none" w:sz="0" w:space="0" w:color="auto"/>
            <w:right w:val="none" w:sz="0" w:space="0" w:color="auto"/>
          </w:divBdr>
        </w:div>
        <w:div w:id="1291547436">
          <w:marLeft w:val="0"/>
          <w:marRight w:val="0"/>
          <w:marTop w:val="60"/>
          <w:marBottom w:val="0"/>
          <w:divBdr>
            <w:top w:val="none" w:sz="0" w:space="0" w:color="auto"/>
            <w:left w:val="none" w:sz="0" w:space="0" w:color="auto"/>
            <w:bottom w:val="none" w:sz="0" w:space="0" w:color="auto"/>
            <w:right w:val="none" w:sz="0" w:space="0" w:color="auto"/>
          </w:divBdr>
        </w:div>
        <w:div w:id="217546676">
          <w:marLeft w:val="0"/>
          <w:marRight w:val="0"/>
          <w:marTop w:val="60"/>
          <w:marBottom w:val="0"/>
          <w:divBdr>
            <w:top w:val="none" w:sz="0" w:space="0" w:color="auto"/>
            <w:left w:val="none" w:sz="0" w:space="0" w:color="auto"/>
            <w:bottom w:val="none" w:sz="0" w:space="0" w:color="auto"/>
            <w:right w:val="none" w:sz="0" w:space="0" w:color="auto"/>
          </w:divBdr>
        </w:div>
        <w:div w:id="990058476">
          <w:marLeft w:val="0"/>
          <w:marRight w:val="0"/>
          <w:marTop w:val="60"/>
          <w:marBottom w:val="0"/>
          <w:divBdr>
            <w:top w:val="none" w:sz="0" w:space="0" w:color="auto"/>
            <w:left w:val="none" w:sz="0" w:space="0" w:color="auto"/>
            <w:bottom w:val="none" w:sz="0" w:space="0" w:color="auto"/>
            <w:right w:val="none" w:sz="0" w:space="0" w:color="auto"/>
          </w:divBdr>
        </w:div>
        <w:div w:id="1067067622">
          <w:marLeft w:val="0"/>
          <w:marRight w:val="0"/>
          <w:marTop w:val="60"/>
          <w:marBottom w:val="0"/>
          <w:divBdr>
            <w:top w:val="none" w:sz="0" w:space="0" w:color="auto"/>
            <w:left w:val="none" w:sz="0" w:space="0" w:color="auto"/>
            <w:bottom w:val="none" w:sz="0" w:space="0" w:color="auto"/>
            <w:right w:val="none" w:sz="0" w:space="0" w:color="auto"/>
          </w:divBdr>
        </w:div>
        <w:div w:id="398285612">
          <w:marLeft w:val="0"/>
          <w:marRight w:val="0"/>
          <w:marTop w:val="60"/>
          <w:marBottom w:val="0"/>
          <w:divBdr>
            <w:top w:val="none" w:sz="0" w:space="0" w:color="auto"/>
            <w:left w:val="none" w:sz="0" w:space="0" w:color="auto"/>
            <w:bottom w:val="none" w:sz="0" w:space="0" w:color="auto"/>
            <w:right w:val="none" w:sz="0" w:space="0" w:color="auto"/>
          </w:divBdr>
        </w:div>
        <w:div w:id="1453943554">
          <w:marLeft w:val="0"/>
          <w:marRight w:val="0"/>
          <w:marTop w:val="60"/>
          <w:marBottom w:val="0"/>
          <w:divBdr>
            <w:top w:val="none" w:sz="0" w:space="0" w:color="auto"/>
            <w:left w:val="none" w:sz="0" w:space="0" w:color="auto"/>
            <w:bottom w:val="none" w:sz="0" w:space="0" w:color="auto"/>
            <w:right w:val="none" w:sz="0" w:space="0" w:color="auto"/>
          </w:divBdr>
        </w:div>
        <w:div w:id="1295410802">
          <w:marLeft w:val="0"/>
          <w:marRight w:val="0"/>
          <w:marTop w:val="60"/>
          <w:marBottom w:val="0"/>
          <w:divBdr>
            <w:top w:val="none" w:sz="0" w:space="0" w:color="auto"/>
            <w:left w:val="none" w:sz="0" w:space="0" w:color="auto"/>
            <w:bottom w:val="none" w:sz="0" w:space="0" w:color="auto"/>
            <w:right w:val="none" w:sz="0" w:space="0" w:color="auto"/>
          </w:divBdr>
        </w:div>
        <w:div w:id="1452819891">
          <w:marLeft w:val="0"/>
          <w:marRight w:val="0"/>
          <w:marTop w:val="60"/>
          <w:marBottom w:val="0"/>
          <w:divBdr>
            <w:top w:val="none" w:sz="0" w:space="0" w:color="auto"/>
            <w:left w:val="none" w:sz="0" w:space="0" w:color="auto"/>
            <w:bottom w:val="none" w:sz="0" w:space="0" w:color="auto"/>
            <w:right w:val="none" w:sz="0" w:space="0" w:color="auto"/>
          </w:divBdr>
        </w:div>
        <w:div w:id="1862234586">
          <w:marLeft w:val="0"/>
          <w:marRight w:val="0"/>
          <w:marTop w:val="60"/>
          <w:marBottom w:val="0"/>
          <w:divBdr>
            <w:top w:val="none" w:sz="0" w:space="0" w:color="auto"/>
            <w:left w:val="none" w:sz="0" w:space="0" w:color="auto"/>
            <w:bottom w:val="none" w:sz="0" w:space="0" w:color="auto"/>
            <w:right w:val="none" w:sz="0" w:space="0" w:color="auto"/>
          </w:divBdr>
        </w:div>
        <w:div w:id="1727101377">
          <w:marLeft w:val="0"/>
          <w:marRight w:val="0"/>
          <w:marTop w:val="60"/>
          <w:marBottom w:val="0"/>
          <w:divBdr>
            <w:top w:val="none" w:sz="0" w:space="0" w:color="auto"/>
            <w:left w:val="none" w:sz="0" w:space="0" w:color="auto"/>
            <w:bottom w:val="none" w:sz="0" w:space="0" w:color="auto"/>
            <w:right w:val="none" w:sz="0" w:space="0" w:color="auto"/>
          </w:divBdr>
        </w:div>
        <w:div w:id="156649363">
          <w:marLeft w:val="0"/>
          <w:marRight w:val="0"/>
          <w:marTop w:val="60"/>
          <w:marBottom w:val="0"/>
          <w:divBdr>
            <w:top w:val="none" w:sz="0" w:space="0" w:color="auto"/>
            <w:left w:val="none" w:sz="0" w:space="0" w:color="auto"/>
            <w:bottom w:val="none" w:sz="0" w:space="0" w:color="auto"/>
            <w:right w:val="none" w:sz="0" w:space="0" w:color="auto"/>
          </w:divBdr>
        </w:div>
        <w:div w:id="1829592579">
          <w:marLeft w:val="0"/>
          <w:marRight w:val="0"/>
          <w:marTop w:val="60"/>
          <w:marBottom w:val="0"/>
          <w:divBdr>
            <w:top w:val="none" w:sz="0" w:space="0" w:color="auto"/>
            <w:left w:val="none" w:sz="0" w:space="0" w:color="auto"/>
            <w:bottom w:val="none" w:sz="0" w:space="0" w:color="auto"/>
            <w:right w:val="none" w:sz="0" w:space="0" w:color="auto"/>
          </w:divBdr>
        </w:div>
        <w:div w:id="894194502">
          <w:marLeft w:val="0"/>
          <w:marRight w:val="0"/>
          <w:marTop w:val="60"/>
          <w:marBottom w:val="0"/>
          <w:divBdr>
            <w:top w:val="none" w:sz="0" w:space="0" w:color="auto"/>
            <w:left w:val="none" w:sz="0" w:space="0" w:color="auto"/>
            <w:bottom w:val="none" w:sz="0" w:space="0" w:color="auto"/>
            <w:right w:val="none" w:sz="0" w:space="0" w:color="auto"/>
          </w:divBdr>
        </w:div>
        <w:div w:id="1441989445">
          <w:marLeft w:val="0"/>
          <w:marRight w:val="0"/>
          <w:marTop w:val="60"/>
          <w:marBottom w:val="0"/>
          <w:divBdr>
            <w:top w:val="none" w:sz="0" w:space="0" w:color="auto"/>
            <w:left w:val="none" w:sz="0" w:space="0" w:color="auto"/>
            <w:bottom w:val="none" w:sz="0" w:space="0" w:color="auto"/>
            <w:right w:val="none" w:sz="0" w:space="0" w:color="auto"/>
          </w:divBdr>
        </w:div>
        <w:div w:id="79379640">
          <w:marLeft w:val="0"/>
          <w:marRight w:val="0"/>
          <w:marTop w:val="60"/>
          <w:marBottom w:val="0"/>
          <w:divBdr>
            <w:top w:val="none" w:sz="0" w:space="0" w:color="auto"/>
            <w:left w:val="none" w:sz="0" w:space="0" w:color="auto"/>
            <w:bottom w:val="none" w:sz="0" w:space="0" w:color="auto"/>
            <w:right w:val="none" w:sz="0" w:space="0" w:color="auto"/>
          </w:divBdr>
        </w:div>
        <w:div w:id="134370385">
          <w:marLeft w:val="0"/>
          <w:marRight w:val="0"/>
          <w:marTop w:val="60"/>
          <w:marBottom w:val="0"/>
          <w:divBdr>
            <w:top w:val="none" w:sz="0" w:space="0" w:color="auto"/>
            <w:left w:val="none" w:sz="0" w:space="0" w:color="auto"/>
            <w:bottom w:val="none" w:sz="0" w:space="0" w:color="auto"/>
            <w:right w:val="none" w:sz="0" w:space="0" w:color="auto"/>
          </w:divBdr>
        </w:div>
        <w:div w:id="1535535629">
          <w:marLeft w:val="0"/>
          <w:marRight w:val="0"/>
          <w:marTop w:val="60"/>
          <w:marBottom w:val="0"/>
          <w:divBdr>
            <w:top w:val="none" w:sz="0" w:space="0" w:color="auto"/>
            <w:left w:val="none" w:sz="0" w:space="0" w:color="auto"/>
            <w:bottom w:val="none" w:sz="0" w:space="0" w:color="auto"/>
            <w:right w:val="none" w:sz="0" w:space="0" w:color="auto"/>
          </w:divBdr>
        </w:div>
        <w:div w:id="558633021">
          <w:marLeft w:val="0"/>
          <w:marRight w:val="0"/>
          <w:marTop w:val="180"/>
          <w:marBottom w:val="60"/>
          <w:divBdr>
            <w:top w:val="single" w:sz="8" w:space="1" w:color="808080"/>
            <w:left w:val="none" w:sz="0" w:space="0" w:color="auto"/>
            <w:bottom w:val="none" w:sz="0" w:space="0" w:color="auto"/>
            <w:right w:val="none" w:sz="0" w:space="0" w:color="auto"/>
          </w:divBdr>
        </w:div>
        <w:div w:id="2078940108">
          <w:marLeft w:val="0"/>
          <w:marRight w:val="0"/>
          <w:marTop w:val="120"/>
          <w:marBottom w:val="0"/>
          <w:divBdr>
            <w:top w:val="none" w:sz="0" w:space="0" w:color="auto"/>
            <w:left w:val="none" w:sz="0" w:space="0" w:color="auto"/>
            <w:bottom w:val="none" w:sz="0" w:space="0" w:color="auto"/>
            <w:right w:val="none" w:sz="0" w:space="0" w:color="auto"/>
          </w:divBdr>
        </w:div>
      </w:divsChild>
    </w:div>
    <w:div w:id="1799109418">
      <w:bodyDiv w:val="1"/>
      <w:marLeft w:val="0"/>
      <w:marRight w:val="0"/>
      <w:marTop w:val="0"/>
      <w:marBottom w:val="0"/>
      <w:divBdr>
        <w:top w:val="none" w:sz="0" w:space="0" w:color="auto"/>
        <w:left w:val="none" w:sz="0" w:space="0" w:color="auto"/>
        <w:bottom w:val="none" w:sz="0" w:space="0" w:color="auto"/>
        <w:right w:val="none" w:sz="0" w:space="0" w:color="auto"/>
      </w:divBdr>
    </w:div>
    <w:div w:id="1829127504">
      <w:bodyDiv w:val="1"/>
      <w:marLeft w:val="0"/>
      <w:marRight w:val="0"/>
      <w:marTop w:val="0"/>
      <w:marBottom w:val="0"/>
      <w:divBdr>
        <w:top w:val="none" w:sz="0" w:space="0" w:color="auto"/>
        <w:left w:val="none" w:sz="0" w:space="0" w:color="auto"/>
        <w:bottom w:val="none" w:sz="0" w:space="0" w:color="auto"/>
        <w:right w:val="none" w:sz="0" w:space="0" w:color="auto"/>
      </w:divBdr>
    </w:div>
    <w:div w:id="1911035515">
      <w:bodyDiv w:val="1"/>
      <w:marLeft w:val="0"/>
      <w:marRight w:val="0"/>
      <w:marTop w:val="0"/>
      <w:marBottom w:val="0"/>
      <w:divBdr>
        <w:top w:val="none" w:sz="0" w:space="0" w:color="auto"/>
        <w:left w:val="none" w:sz="0" w:space="0" w:color="auto"/>
        <w:bottom w:val="none" w:sz="0" w:space="0" w:color="auto"/>
        <w:right w:val="none" w:sz="0" w:space="0" w:color="auto"/>
      </w:divBdr>
    </w:div>
    <w:div w:id="2112191301">
      <w:bodyDiv w:val="1"/>
      <w:marLeft w:val="0"/>
      <w:marRight w:val="0"/>
      <w:marTop w:val="0"/>
      <w:marBottom w:val="0"/>
      <w:divBdr>
        <w:top w:val="none" w:sz="0" w:space="0" w:color="auto"/>
        <w:left w:val="none" w:sz="0" w:space="0" w:color="auto"/>
        <w:bottom w:val="none" w:sz="0" w:space="0" w:color="auto"/>
        <w:right w:val="none" w:sz="0" w:space="0" w:color="auto"/>
      </w:divBdr>
      <w:divsChild>
        <w:div w:id="1149633773">
          <w:marLeft w:val="0"/>
          <w:marRight w:val="0"/>
          <w:marTop w:val="0"/>
          <w:marBottom w:val="0"/>
          <w:divBdr>
            <w:top w:val="none" w:sz="0" w:space="0" w:color="auto"/>
            <w:left w:val="none" w:sz="0" w:space="0" w:color="auto"/>
            <w:bottom w:val="none" w:sz="0" w:space="0" w:color="auto"/>
            <w:right w:val="none" w:sz="0" w:space="0" w:color="auto"/>
          </w:divBdr>
          <w:divsChild>
            <w:div w:id="756750336">
              <w:marLeft w:val="0"/>
              <w:marRight w:val="0"/>
              <w:marTop w:val="0"/>
              <w:marBottom w:val="0"/>
              <w:divBdr>
                <w:top w:val="none" w:sz="0" w:space="0" w:color="auto"/>
                <w:left w:val="none" w:sz="0" w:space="0" w:color="auto"/>
                <w:bottom w:val="none" w:sz="0" w:space="0" w:color="auto"/>
                <w:right w:val="none" w:sz="0" w:space="0" w:color="auto"/>
              </w:divBdr>
              <w:divsChild>
                <w:div w:id="1334456368">
                  <w:marLeft w:val="0"/>
                  <w:marRight w:val="0"/>
                  <w:marTop w:val="0"/>
                  <w:marBottom w:val="0"/>
                  <w:divBdr>
                    <w:top w:val="none" w:sz="0" w:space="0" w:color="auto"/>
                    <w:left w:val="none" w:sz="0" w:space="0" w:color="auto"/>
                    <w:bottom w:val="none" w:sz="0" w:space="0" w:color="auto"/>
                    <w:right w:val="none" w:sz="0" w:space="0" w:color="auto"/>
                  </w:divBdr>
                  <w:divsChild>
                    <w:div w:id="84806757">
                      <w:marLeft w:val="0"/>
                      <w:marRight w:val="0"/>
                      <w:marTop w:val="0"/>
                      <w:marBottom w:val="0"/>
                      <w:divBdr>
                        <w:top w:val="none" w:sz="0" w:space="0" w:color="auto"/>
                        <w:left w:val="none" w:sz="0" w:space="0" w:color="auto"/>
                        <w:bottom w:val="none" w:sz="0" w:space="0" w:color="auto"/>
                        <w:right w:val="none" w:sz="0" w:space="0" w:color="auto"/>
                      </w:divBdr>
                    </w:div>
                    <w:div w:id="276125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5194134">
          <w:marLeft w:val="0"/>
          <w:marRight w:val="0"/>
          <w:marTop w:val="0"/>
          <w:marBottom w:val="0"/>
          <w:divBdr>
            <w:top w:val="none" w:sz="0" w:space="0" w:color="auto"/>
            <w:left w:val="none" w:sz="0" w:space="0" w:color="auto"/>
            <w:bottom w:val="none" w:sz="0" w:space="0" w:color="auto"/>
            <w:right w:val="none" w:sz="0" w:space="0" w:color="auto"/>
          </w:divBdr>
          <w:divsChild>
            <w:div w:id="328752159">
              <w:marLeft w:val="0"/>
              <w:marRight w:val="0"/>
              <w:marTop w:val="0"/>
              <w:marBottom w:val="0"/>
              <w:divBdr>
                <w:top w:val="none" w:sz="0" w:space="0" w:color="auto"/>
                <w:left w:val="none" w:sz="0" w:space="0" w:color="auto"/>
                <w:bottom w:val="none" w:sz="0" w:space="0" w:color="auto"/>
                <w:right w:val="none" w:sz="0" w:space="0" w:color="auto"/>
              </w:divBdr>
            </w:div>
            <w:div w:id="775566345">
              <w:marLeft w:val="0"/>
              <w:marRight w:val="0"/>
              <w:marTop w:val="0"/>
              <w:marBottom w:val="0"/>
              <w:divBdr>
                <w:top w:val="none" w:sz="0" w:space="0" w:color="auto"/>
                <w:left w:val="none" w:sz="0" w:space="0" w:color="auto"/>
                <w:bottom w:val="none" w:sz="0" w:space="0" w:color="auto"/>
                <w:right w:val="none" w:sz="0" w:space="0" w:color="auto"/>
              </w:divBdr>
            </w:div>
            <w:div w:id="1289117759">
              <w:marLeft w:val="0"/>
              <w:marRight w:val="0"/>
              <w:marTop w:val="0"/>
              <w:marBottom w:val="0"/>
              <w:divBdr>
                <w:top w:val="none" w:sz="0" w:space="0" w:color="auto"/>
                <w:left w:val="none" w:sz="0" w:space="0" w:color="auto"/>
                <w:bottom w:val="none" w:sz="0" w:space="0" w:color="auto"/>
                <w:right w:val="none" w:sz="0" w:space="0" w:color="auto"/>
              </w:divBdr>
            </w:div>
            <w:div w:id="1720083287">
              <w:marLeft w:val="0"/>
              <w:marRight w:val="0"/>
              <w:marTop w:val="0"/>
              <w:marBottom w:val="0"/>
              <w:divBdr>
                <w:top w:val="none" w:sz="0" w:space="0" w:color="auto"/>
                <w:left w:val="none" w:sz="0" w:space="0" w:color="auto"/>
                <w:bottom w:val="none" w:sz="0" w:space="0" w:color="auto"/>
                <w:right w:val="none" w:sz="0" w:space="0" w:color="auto"/>
              </w:divBdr>
            </w:div>
            <w:div w:id="962885680">
              <w:marLeft w:val="0"/>
              <w:marRight w:val="0"/>
              <w:marTop w:val="0"/>
              <w:marBottom w:val="0"/>
              <w:divBdr>
                <w:top w:val="none" w:sz="0" w:space="0" w:color="auto"/>
                <w:left w:val="none" w:sz="0" w:space="0" w:color="auto"/>
                <w:bottom w:val="none" w:sz="0" w:space="0" w:color="auto"/>
                <w:right w:val="none" w:sz="0" w:space="0" w:color="auto"/>
              </w:divBdr>
            </w:div>
            <w:div w:id="14967928">
              <w:marLeft w:val="0"/>
              <w:marRight w:val="0"/>
              <w:marTop w:val="0"/>
              <w:marBottom w:val="0"/>
              <w:divBdr>
                <w:top w:val="none" w:sz="0" w:space="0" w:color="auto"/>
                <w:left w:val="none" w:sz="0" w:space="0" w:color="auto"/>
                <w:bottom w:val="none" w:sz="0" w:space="0" w:color="auto"/>
                <w:right w:val="none" w:sz="0" w:space="0" w:color="auto"/>
              </w:divBdr>
            </w:div>
            <w:div w:id="60175626">
              <w:marLeft w:val="0"/>
              <w:marRight w:val="0"/>
              <w:marTop w:val="0"/>
              <w:marBottom w:val="0"/>
              <w:divBdr>
                <w:top w:val="none" w:sz="0" w:space="0" w:color="auto"/>
                <w:left w:val="none" w:sz="0" w:space="0" w:color="auto"/>
                <w:bottom w:val="none" w:sz="0" w:space="0" w:color="auto"/>
                <w:right w:val="none" w:sz="0" w:space="0" w:color="auto"/>
              </w:divBdr>
            </w:div>
            <w:div w:id="1017972985">
              <w:marLeft w:val="0"/>
              <w:marRight w:val="0"/>
              <w:marTop w:val="0"/>
              <w:marBottom w:val="0"/>
              <w:divBdr>
                <w:top w:val="none" w:sz="0" w:space="0" w:color="auto"/>
                <w:left w:val="none" w:sz="0" w:space="0" w:color="auto"/>
                <w:bottom w:val="none" w:sz="0" w:space="0" w:color="auto"/>
                <w:right w:val="none" w:sz="0" w:space="0" w:color="auto"/>
              </w:divBdr>
              <w:divsChild>
                <w:div w:id="646319125">
                  <w:marLeft w:val="0"/>
                  <w:marRight w:val="0"/>
                  <w:marTop w:val="0"/>
                  <w:marBottom w:val="0"/>
                  <w:divBdr>
                    <w:top w:val="none" w:sz="0" w:space="0" w:color="auto"/>
                    <w:left w:val="none" w:sz="0" w:space="0" w:color="auto"/>
                    <w:bottom w:val="none" w:sz="0" w:space="0" w:color="auto"/>
                    <w:right w:val="none" w:sz="0" w:space="0" w:color="auto"/>
                  </w:divBdr>
                </w:div>
                <w:div w:id="326447053">
                  <w:marLeft w:val="0"/>
                  <w:marRight w:val="0"/>
                  <w:marTop w:val="0"/>
                  <w:marBottom w:val="0"/>
                  <w:divBdr>
                    <w:top w:val="none" w:sz="0" w:space="0" w:color="auto"/>
                    <w:left w:val="none" w:sz="0" w:space="0" w:color="auto"/>
                    <w:bottom w:val="none" w:sz="0" w:space="0" w:color="auto"/>
                    <w:right w:val="none" w:sz="0" w:space="0" w:color="auto"/>
                  </w:divBdr>
                </w:div>
                <w:div w:id="1647320531">
                  <w:marLeft w:val="0"/>
                  <w:marRight w:val="0"/>
                  <w:marTop w:val="0"/>
                  <w:marBottom w:val="0"/>
                  <w:divBdr>
                    <w:top w:val="none" w:sz="0" w:space="0" w:color="auto"/>
                    <w:left w:val="none" w:sz="0" w:space="0" w:color="auto"/>
                    <w:bottom w:val="none" w:sz="0" w:space="0" w:color="auto"/>
                    <w:right w:val="none" w:sz="0" w:space="0" w:color="auto"/>
                  </w:divBdr>
                </w:div>
                <w:div w:id="863633746">
                  <w:marLeft w:val="0"/>
                  <w:marRight w:val="0"/>
                  <w:marTop w:val="0"/>
                  <w:marBottom w:val="0"/>
                  <w:divBdr>
                    <w:top w:val="none" w:sz="0" w:space="0" w:color="auto"/>
                    <w:left w:val="none" w:sz="0" w:space="0" w:color="auto"/>
                    <w:bottom w:val="none" w:sz="0" w:space="0" w:color="auto"/>
                    <w:right w:val="none" w:sz="0" w:space="0" w:color="auto"/>
                  </w:divBdr>
                </w:div>
                <w:div w:id="1030646214">
                  <w:marLeft w:val="0"/>
                  <w:marRight w:val="0"/>
                  <w:marTop w:val="0"/>
                  <w:marBottom w:val="0"/>
                  <w:divBdr>
                    <w:top w:val="none" w:sz="0" w:space="0" w:color="auto"/>
                    <w:left w:val="none" w:sz="0" w:space="0" w:color="auto"/>
                    <w:bottom w:val="none" w:sz="0" w:space="0" w:color="auto"/>
                    <w:right w:val="none" w:sz="0" w:space="0" w:color="auto"/>
                  </w:divBdr>
                </w:div>
                <w:div w:id="21382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92329%27%5d&amp;xhitlist_md=target-id=0-0-0-13703" TargetMode="External"/></Relationships>
</file>

<file path=word/theme/theme1.xml><?xml version="1.0" encoding="utf-8"?>
<a:theme xmlns:a="http://schemas.openxmlformats.org/drawingml/2006/main" name="Office Theme">
  <a:themeElements>
    <a:clrScheme name="Red">
      <a:dk1>
        <a:sysClr val="windowText" lastClr="FFFFFF"/>
      </a:dk1>
      <a:lt1>
        <a:sysClr val="window" lastClr="202020"/>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FD53-0636-47E4-904B-9A61E43E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9275</Words>
  <Characters>52871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Judge-Susannah Cowen</dc:creator>
  <cp:keywords/>
  <dc:description/>
  <cp:lastModifiedBy>Lilitha Mdleleni</cp:lastModifiedBy>
  <cp:revision>5</cp:revision>
  <cp:lastPrinted>2024-01-12T15:03:00Z</cp:lastPrinted>
  <dcterms:created xsi:type="dcterms:W3CDTF">2024-01-12T07:32:00Z</dcterms:created>
  <dcterms:modified xsi:type="dcterms:W3CDTF">2024-01-18T14:07:00Z</dcterms:modified>
</cp:coreProperties>
</file>