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E61ED" w14:textId="149386EB" w:rsidR="00B1360F" w:rsidRPr="00AA665A" w:rsidRDefault="00B1360F" w:rsidP="00D05A14">
      <w:pPr>
        <w:jc w:val="center"/>
        <w:rPr>
          <w:rFonts w:ascii="Times New Roman" w:hAnsi="Times New Roman" w:cs="Times New Roman"/>
          <w:b/>
          <w:bCs/>
          <w:sz w:val="24"/>
          <w:szCs w:val="24"/>
        </w:rPr>
      </w:pPr>
      <w:bookmarkStart w:id="0" w:name="_GoBack"/>
      <w:r w:rsidRPr="00AA665A">
        <w:rPr>
          <w:rFonts w:ascii="Times New Roman" w:hAnsi="Times New Roman" w:cs="Times New Roman"/>
          <w:b/>
          <w:bCs/>
          <w:noProof/>
          <w:sz w:val="24"/>
          <w:szCs w:val="24"/>
        </w:rPr>
        <w:drawing>
          <wp:inline distT="0" distB="0" distL="0" distR="0" wp14:anchorId="132A04B9" wp14:editId="6B862703">
            <wp:extent cx="1359535"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1359535"/>
                    </a:xfrm>
                    <a:prstGeom prst="rect">
                      <a:avLst/>
                    </a:prstGeom>
                    <a:noFill/>
                  </pic:spPr>
                </pic:pic>
              </a:graphicData>
            </a:graphic>
          </wp:inline>
        </w:drawing>
      </w:r>
    </w:p>
    <w:p w14:paraId="12C2B390" w14:textId="77777777" w:rsidR="00B1360F" w:rsidRPr="003F1840" w:rsidRDefault="00B1360F" w:rsidP="003F1840">
      <w:pPr>
        <w:spacing w:line="360" w:lineRule="auto"/>
        <w:jc w:val="center"/>
        <w:rPr>
          <w:rFonts w:ascii="Arial" w:hAnsi="Arial" w:cs="Arial"/>
          <w:b/>
          <w:bCs/>
          <w:sz w:val="24"/>
          <w:szCs w:val="24"/>
        </w:rPr>
      </w:pPr>
    </w:p>
    <w:p w14:paraId="7EC69964" w14:textId="1CFF8CA1" w:rsidR="00D05A14" w:rsidRPr="003F1840" w:rsidRDefault="00D05A14" w:rsidP="003F1840">
      <w:pPr>
        <w:spacing w:line="360" w:lineRule="auto"/>
        <w:jc w:val="center"/>
        <w:rPr>
          <w:rFonts w:ascii="Arial" w:hAnsi="Arial" w:cs="Arial"/>
          <w:b/>
          <w:bCs/>
          <w:sz w:val="24"/>
          <w:szCs w:val="24"/>
        </w:rPr>
      </w:pPr>
      <w:r w:rsidRPr="003F1840">
        <w:rPr>
          <w:rFonts w:ascii="Arial" w:hAnsi="Arial" w:cs="Arial"/>
          <w:b/>
          <w:bCs/>
          <w:sz w:val="24"/>
          <w:szCs w:val="24"/>
        </w:rPr>
        <w:t>IN THE HIGH COURT OF SOUTH AFRICA</w:t>
      </w:r>
    </w:p>
    <w:p w14:paraId="23F79F65" w14:textId="692B1E8C" w:rsidR="00D05A14" w:rsidRPr="003F1840" w:rsidRDefault="00D05A14" w:rsidP="003F1840">
      <w:pPr>
        <w:spacing w:line="360" w:lineRule="auto"/>
        <w:jc w:val="center"/>
        <w:rPr>
          <w:rFonts w:ascii="Arial" w:hAnsi="Arial" w:cs="Arial"/>
          <w:b/>
          <w:bCs/>
          <w:sz w:val="24"/>
          <w:szCs w:val="24"/>
        </w:rPr>
      </w:pPr>
      <w:r w:rsidRPr="003F1840">
        <w:rPr>
          <w:rFonts w:ascii="Arial" w:hAnsi="Arial" w:cs="Arial"/>
          <w:b/>
          <w:bCs/>
          <w:sz w:val="24"/>
          <w:szCs w:val="24"/>
        </w:rPr>
        <w:t>(GAUTENG DIVISION, PRETORIA)</w:t>
      </w:r>
    </w:p>
    <w:p w14:paraId="6DAAA826" w14:textId="77777777" w:rsidR="00D05A14" w:rsidRPr="003F1840" w:rsidRDefault="00D05A14" w:rsidP="003F1840">
      <w:pPr>
        <w:spacing w:line="360" w:lineRule="auto"/>
        <w:rPr>
          <w:rFonts w:ascii="Arial" w:hAnsi="Arial" w:cs="Arial"/>
          <w:sz w:val="24"/>
          <w:szCs w:val="24"/>
        </w:rPr>
      </w:pPr>
      <w:r w:rsidRPr="003F1840">
        <w:rPr>
          <w:rFonts w:ascii="Arial" w:hAnsi="Arial" w:cs="Arial"/>
          <w:sz w:val="24"/>
          <w:szCs w:val="24"/>
        </w:rPr>
        <w:t xml:space="preserve"> </w:t>
      </w:r>
    </w:p>
    <w:p w14:paraId="6B29EF74" w14:textId="1D2B05A4" w:rsidR="00B1360F" w:rsidRPr="003F1840" w:rsidRDefault="00B1360F" w:rsidP="003F1840">
      <w:pPr>
        <w:spacing w:line="360" w:lineRule="auto"/>
        <w:jc w:val="right"/>
        <w:rPr>
          <w:rFonts w:ascii="Arial" w:hAnsi="Arial" w:cs="Arial"/>
          <w:sz w:val="24"/>
          <w:szCs w:val="24"/>
        </w:rPr>
      </w:pPr>
      <w:r w:rsidRPr="003F1840">
        <w:rPr>
          <w:rFonts w:ascii="Arial" w:hAnsi="Arial" w:cs="Arial"/>
          <w:sz w:val="24"/>
          <w:szCs w:val="24"/>
        </w:rPr>
        <w:t xml:space="preserve"> </w:t>
      </w:r>
      <w:r w:rsidRPr="003F1840">
        <w:rPr>
          <w:rFonts w:ascii="Arial" w:hAnsi="Arial" w:cs="Arial"/>
          <w:sz w:val="24"/>
          <w:szCs w:val="24"/>
        </w:rPr>
        <w:tab/>
      </w:r>
      <w:r w:rsidRPr="003F1840">
        <w:rPr>
          <w:rFonts w:ascii="Arial" w:hAnsi="Arial" w:cs="Arial"/>
          <w:sz w:val="24"/>
          <w:szCs w:val="24"/>
        </w:rPr>
        <w:tab/>
      </w:r>
      <w:r w:rsidRPr="003F1840">
        <w:rPr>
          <w:rFonts w:ascii="Arial" w:hAnsi="Arial" w:cs="Arial"/>
          <w:sz w:val="24"/>
          <w:szCs w:val="24"/>
        </w:rPr>
        <w:tab/>
      </w:r>
      <w:r w:rsidRPr="003F1840">
        <w:rPr>
          <w:rFonts w:ascii="Arial" w:hAnsi="Arial" w:cs="Arial"/>
          <w:sz w:val="24"/>
          <w:szCs w:val="24"/>
        </w:rPr>
        <w:tab/>
      </w:r>
      <w:r w:rsidRPr="003F1840">
        <w:rPr>
          <w:rFonts w:ascii="Arial" w:hAnsi="Arial" w:cs="Arial"/>
          <w:sz w:val="24"/>
          <w:szCs w:val="24"/>
        </w:rPr>
        <w:tab/>
      </w:r>
      <w:r w:rsidRPr="003F1840">
        <w:rPr>
          <w:rFonts w:ascii="Arial" w:hAnsi="Arial" w:cs="Arial"/>
          <w:sz w:val="24"/>
          <w:szCs w:val="24"/>
        </w:rPr>
        <w:tab/>
      </w:r>
      <w:r w:rsidRPr="003F1840">
        <w:rPr>
          <w:rFonts w:ascii="Arial" w:hAnsi="Arial" w:cs="Arial"/>
          <w:sz w:val="24"/>
          <w:szCs w:val="24"/>
        </w:rPr>
        <w:tab/>
      </w:r>
      <w:r w:rsidRPr="003F1840">
        <w:rPr>
          <w:rFonts w:ascii="Arial" w:hAnsi="Arial" w:cs="Arial"/>
          <w:sz w:val="24"/>
          <w:szCs w:val="24"/>
        </w:rPr>
        <w:tab/>
        <w:t>Case Number</w:t>
      </w:r>
      <w:r w:rsidR="00D05A14" w:rsidRPr="003F1840">
        <w:rPr>
          <w:rFonts w:ascii="Arial" w:hAnsi="Arial" w:cs="Arial"/>
          <w:sz w:val="24"/>
          <w:szCs w:val="24"/>
        </w:rPr>
        <w:t>: 48004/2021</w:t>
      </w:r>
    </w:p>
    <w:p w14:paraId="7506D3B3" w14:textId="1684246B" w:rsidR="00B1360F" w:rsidRPr="003F1840" w:rsidRDefault="00B1360F" w:rsidP="003F1840">
      <w:pPr>
        <w:spacing w:line="360" w:lineRule="auto"/>
        <w:rPr>
          <w:rFonts w:ascii="Arial" w:hAnsi="Arial" w:cs="Arial"/>
          <w:sz w:val="24"/>
          <w:szCs w:val="24"/>
        </w:rPr>
      </w:pPr>
      <w:r w:rsidRPr="003F1840">
        <w:rPr>
          <w:rFonts w:ascii="Arial" w:hAnsi="Arial" w:cs="Arial"/>
          <w:noProof/>
          <w:sz w:val="24"/>
          <w:szCs w:val="24"/>
        </w:rPr>
        <mc:AlternateContent>
          <mc:Choice Requires="wps">
            <w:drawing>
              <wp:anchor distT="45720" distB="45720" distL="114300" distR="114300" simplePos="0" relativeHeight="251662336" behindDoc="0" locked="0" layoutInCell="1" allowOverlap="1" wp14:anchorId="3E6C6B6A" wp14:editId="57B2B8DE">
                <wp:simplePos x="0" y="0"/>
                <wp:positionH relativeFrom="column">
                  <wp:posOffset>-19050</wp:posOffset>
                </wp:positionH>
                <wp:positionV relativeFrom="paragraph">
                  <wp:posOffset>81280</wp:posOffset>
                </wp:positionV>
                <wp:extent cx="4248150" cy="20828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082800"/>
                        </a:xfrm>
                        <a:prstGeom prst="rect">
                          <a:avLst/>
                        </a:prstGeom>
                        <a:solidFill>
                          <a:srgbClr val="FFFFFF"/>
                        </a:solidFill>
                        <a:ln w="9525">
                          <a:solidFill>
                            <a:srgbClr val="000000"/>
                          </a:solidFill>
                          <a:miter lim="800000"/>
                          <a:headEnd/>
                          <a:tailEnd/>
                        </a:ln>
                      </wps:spPr>
                      <wps:txbx>
                        <w:txbxContent>
                          <w:p w14:paraId="71721782" w14:textId="361F4EE7" w:rsidR="00E64147" w:rsidRDefault="00F2642B" w:rsidP="00F2642B">
                            <w:pPr>
                              <w:ind w:left="720" w:hanging="360"/>
                            </w:pPr>
                            <w:r>
                              <w:t>(1)</w:t>
                            </w:r>
                            <w:r>
                              <w:tab/>
                            </w:r>
                            <w:r w:rsidR="00E64147">
                              <w:t>REPORTABLE:</w:t>
                            </w:r>
                            <w:r w:rsidR="00E64147" w:rsidRPr="00E64147">
                              <w:t xml:space="preserve"> YES</w:t>
                            </w:r>
                            <w:r w:rsidR="00E64147">
                              <w:t xml:space="preserve"> / </w:t>
                            </w:r>
                            <w:r w:rsidR="00E64147" w:rsidRPr="00F2642B">
                              <w:rPr>
                                <w:strike/>
                              </w:rPr>
                              <w:t>NO</w:t>
                            </w:r>
                          </w:p>
                          <w:p w14:paraId="40FCD096" w14:textId="1084E826" w:rsidR="00E64147" w:rsidRDefault="00F2642B" w:rsidP="00F2642B">
                            <w:pPr>
                              <w:ind w:left="720" w:hanging="360"/>
                            </w:pPr>
                            <w:r>
                              <w:t>(2)</w:t>
                            </w:r>
                            <w:r>
                              <w:tab/>
                            </w:r>
                            <w:r w:rsidR="00E64147">
                              <w:t xml:space="preserve">OF INTEREST TO OTHER JUDGES: </w:t>
                            </w:r>
                            <w:r w:rsidR="00E64147" w:rsidRPr="00E64147">
                              <w:t xml:space="preserve">YES </w:t>
                            </w:r>
                            <w:r w:rsidR="00E64147">
                              <w:t xml:space="preserve">/ </w:t>
                            </w:r>
                            <w:r w:rsidR="00E64147" w:rsidRPr="00F2642B">
                              <w:rPr>
                                <w:strike/>
                              </w:rPr>
                              <w:t>NO</w:t>
                            </w:r>
                            <w:r w:rsidR="00E64147">
                              <w:t xml:space="preserve"> </w:t>
                            </w:r>
                          </w:p>
                          <w:p w14:paraId="3DDAD5CC" w14:textId="789A48E2" w:rsidR="00E64147" w:rsidRDefault="00F2642B" w:rsidP="00F2642B">
                            <w:pPr>
                              <w:ind w:left="720" w:hanging="360"/>
                            </w:pPr>
                            <w:r>
                              <w:t>(3)</w:t>
                            </w:r>
                            <w:r>
                              <w:tab/>
                            </w:r>
                            <w:r w:rsidR="00E64147">
                              <w:t xml:space="preserve">REVISED. </w:t>
                            </w:r>
                          </w:p>
                          <w:p w14:paraId="0F48BBA5" w14:textId="77777777" w:rsidR="00E64147" w:rsidRDefault="00E64147" w:rsidP="00E64147"/>
                          <w:p w14:paraId="745355D2" w14:textId="023A51AF" w:rsidR="00E64147" w:rsidRDefault="00E64147" w:rsidP="00E64147">
                            <w:r>
                              <w:t>DATE 13/02/2024</w:t>
                            </w:r>
                            <w:r>
                              <w:tab/>
                            </w:r>
                            <w:r>
                              <w:tab/>
                            </w:r>
                            <w:r>
                              <w:tab/>
                              <w:t>SIGNATURE</w:t>
                            </w:r>
                          </w:p>
                          <w:p w14:paraId="125C5CD3" w14:textId="19A1846E" w:rsidR="00E64147" w:rsidRDefault="00E64147" w:rsidP="00E64147">
                            <w:r>
                              <w:t xml:space="preserve">                                                           </w:t>
                            </w:r>
                            <w:r w:rsidRPr="00E64147">
                              <w:rPr>
                                <w:noProof/>
                              </w:rPr>
                              <w:drawing>
                                <wp:inline distT="0" distB="0" distL="0" distR="0" wp14:anchorId="486D605D" wp14:editId="7E8A45B7">
                                  <wp:extent cx="1346200" cy="7175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0" cy="717550"/>
                                          </a:xfrm>
                                          <a:prstGeom prst="rect">
                                            <a:avLst/>
                                          </a:prstGeom>
                                          <a:noFill/>
                                          <a:ln>
                                            <a:noFill/>
                                          </a:ln>
                                        </pic:spPr>
                                      </pic:pic>
                                    </a:graphicData>
                                  </a:graphic>
                                </wp:inline>
                              </w:drawing>
                            </w:r>
                          </w:p>
                          <w:p w14:paraId="4829014D" w14:textId="255F617F" w:rsidR="00B1360F" w:rsidRDefault="00B136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C6B6A" id="_x0000_t202" coordsize="21600,21600" o:spt="202" path="m,l,21600r21600,l21600,xe">
                <v:stroke joinstyle="miter"/>
                <v:path gradientshapeok="t" o:connecttype="rect"/>
              </v:shapetype>
              <v:shape id="Text Box 2" o:spid="_x0000_s1026" type="#_x0000_t202" style="position:absolute;margin-left:-1.5pt;margin-top:6.4pt;width:334.5pt;height:1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">
                <v:textbox>
                  <w:txbxContent>
                    <w:p w14:paraId="71721782" w14:textId="361F4EE7" w:rsidR="00E64147" w:rsidRDefault="00F2642B" w:rsidP="00F2642B">
                      <w:pPr>
                        <w:ind w:left="720" w:hanging="360"/>
                      </w:pPr>
                      <w:r>
                        <w:t>(1)</w:t>
                      </w:r>
                      <w:r>
                        <w:tab/>
                      </w:r>
                      <w:r w:rsidR="00E64147">
                        <w:t>REPORTABLE:</w:t>
                      </w:r>
                      <w:r w:rsidR="00E64147" w:rsidRPr="00E64147">
                        <w:t xml:space="preserve"> YES</w:t>
                      </w:r>
                      <w:r w:rsidR="00E64147">
                        <w:t xml:space="preserve"> / </w:t>
                      </w:r>
                      <w:r w:rsidR="00E64147" w:rsidRPr="00F2642B">
                        <w:rPr>
                          <w:strike/>
                        </w:rPr>
                        <w:t>NO</w:t>
                      </w:r>
                    </w:p>
                    <w:p w14:paraId="40FCD096" w14:textId="1084E826" w:rsidR="00E64147" w:rsidRDefault="00F2642B" w:rsidP="00F2642B">
                      <w:pPr>
                        <w:ind w:left="720" w:hanging="360"/>
                      </w:pPr>
                      <w:r>
                        <w:t>(2)</w:t>
                      </w:r>
                      <w:r>
                        <w:tab/>
                      </w:r>
                      <w:r w:rsidR="00E64147">
                        <w:t xml:space="preserve">OF INTEREST TO OTHER JUDGES: </w:t>
                      </w:r>
                      <w:r w:rsidR="00E64147" w:rsidRPr="00E64147">
                        <w:t xml:space="preserve">YES </w:t>
                      </w:r>
                      <w:r w:rsidR="00E64147">
                        <w:t xml:space="preserve">/ </w:t>
                      </w:r>
                      <w:r w:rsidR="00E64147" w:rsidRPr="00F2642B">
                        <w:rPr>
                          <w:strike/>
                        </w:rPr>
                        <w:t>NO</w:t>
                      </w:r>
                      <w:r w:rsidR="00E64147">
                        <w:t xml:space="preserve"> </w:t>
                      </w:r>
                    </w:p>
                    <w:p w14:paraId="3DDAD5CC" w14:textId="789A48E2" w:rsidR="00E64147" w:rsidRDefault="00F2642B" w:rsidP="00F2642B">
                      <w:pPr>
                        <w:ind w:left="720" w:hanging="360"/>
                      </w:pPr>
                      <w:r>
                        <w:t>(3)</w:t>
                      </w:r>
                      <w:r>
                        <w:tab/>
                      </w:r>
                      <w:r w:rsidR="00E64147">
                        <w:t xml:space="preserve">REVISED. </w:t>
                      </w:r>
                    </w:p>
                    <w:p w14:paraId="0F48BBA5" w14:textId="77777777" w:rsidR="00E64147" w:rsidRDefault="00E64147" w:rsidP="00E64147"/>
                    <w:p w14:paraId="745355D2" w14:textId="023A51AF" w:rsidR="00E64147" w:rsidRDefault="00E64147" w:rsidP="00E64147">
                      <w:r>
                        <w:t>DATE 13/02/2024</w:t>
                      </w:r>
                      <w:r>
                        <w:tab/>
                      </w:r>
                      <w:r>
                        <w:tab/>
                      </w:r>
                      <w:r>
                        <w:tab/>
                        <w:t>SIGNATURE</w:t>
                      </w:r>
                    </w:p>
                    <w:p w14:paraId="125C5CD3" w14:textId="19A1846E" w:rsidR="00E64147" w:rsidRDefault="00E64147" w:rsidP="00E64147">
                      <w:r>
                        <w:t xml:space="preserve">                                                           </w:t>
                      </w:r>
                      <w:r w:rsidRPr="00E64147">
                        <w:rPr>
                          <w:noProof/>
                        </w:rPr>
                        <w:drawing>
                          <wp:inline distT="0" distB="0" distL="0" distR="0" wp14:anchorId="486D605D" wp14:editId="7E8A45B7">
                            <wp:extent cx="1346200" cy="7175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200" cy="717550"/>
                                    </a:xfrm>
                                    <a:prstGeom prst="rect">
                                      <a:avLst/>
                                    </a:prstGeom>
                                    <a:noFill/>
                                    <a:ln>
                                      <a:noFill/>
                                    </a:ln>
                                  </pic:spPr>
                                </pic:pic>
                              </a:graphicData>
                            </a:graphic>
                          </wp:inline>
                        </w:drawing>
                      </w:r>
                    </w:p>
                    <w:p w14:paraId="4829014D" w14:textId="255F617F" w:rsidR="00B1360F" w:rsidRDefault="00B1360F"/>
                  </w:txbxContent>
                </v:textbox>
                <w10:wrap type="square"/>
              </v:shape>
            </w:pict>
          </mc:Fallback>
        </mc:AlternateContent>
      </w:r>
    </w:p>
    <w:p w14:paraId="572C0CEB" w14:textId="118C9861" w:rsidR="00B1360F" w:rsidRPr="003F1840" w:rsidRDefault="00D05A14" w:rsidP="003F1840">
      <w:pPr>
        <w:spacing w:line="360" w:lineRule="auto"/>
        <w:rPr>
          <w:rFonts w:ascii="Arial" w:hAnsi="Arial" w:cs="Arial"/>
          <w:sz w:val="24"/>
          <w:szCs w:val="24"/>
        </w:rPr>
      </w:pPr>
      <w:r w:rsidRPr="003F1840">
        <w:rPr>
          <w:rFonts w:ascii="Arial" w:hAnsi="Arial" w:cs="Arial"/>
          <w:sz w:val="24"/>
          <w:szCs w:val="24"/>
        </w:rPr>
        <w:t xml:space="preserve"> </w:t>
      </w:r>
    </w:p>
    <w:p w14:paraId="59BE7E44" w14:textId="7BFEE1A9" w:rsidR="00B1360F" w:rsidRPr="003F1840" w:rsidRDefault="00B1360F" w:rsidP="003F1840">
      <w:pPr>
        <w:spacing w:line="360" w:lineRule="auto"/>
        <w:rPr>
          <w:rFonts w:ascii="Arial" w:hAnsi="Arial" w:cs="Arial"/>
          <w:sz w:val="24"/>
          <w:szCs w:val="24"/>
        </w:rPr>
      </w:pPr>
    </w:p>
    <w:p w14:paraId="7C240893" w14:textId="0D69FD18" w:rsidR="00B1360F" w:rsidRPr="003F1840" w:rsidRDefault="00B1360F" w:rsidP="003F1840">
      <w:pPr>
        <w:spacing w:line="360" w:lineRule="auto"/>
        <w:rPr>
          <w:rFonts w:ascii="Arial" w:hAnsi="Arial" w:cs="Arial"/>
          <w:sz w:val="24"/>
          <w:szCs w:val="24"/>
        </w:rPr>
      </w:pPr>
    </w:p>
    <w:p w14:paraId="361F47C7" w14:textId="77777777" w:rsidR="00B1360F" w:rsidRPr="003F1840" w:rsidRDefault="00B1360F" w:rsidP="003F1840">
      <w:pPr>
        <w:spacing w:line="360" w:lineRule="auto"/>
        <w:rPr>
          <w:rFonts w:ascii="Arial" w:hAnsi="Arial" w:cs="Arial"/>
          <w:sz w:val="24"/>
          <w:szCs w:val="24"/>
        </w:rPr>
      </w:pPr>
    </w:p>
    <w:p w14:paraId="0ABDBB14" w14:textId="17F69E77" w:rsidR="00D05A14" w:rsidRPr="003F1840" w:rsidRDefault="00D05A14" w:rsidP="003F1840">
      <w:pPr>
        <w:spacing w:line="360" w:lineRule="auto"/>
        <w:rPr>
          <w:rFonts w:ascii="Arial" w:hAnsi="Arial" w:cs="Arial"/>
          <w:sz w:val="24"/>
          <w:szCs w:val="24"/>
        </w:rPr>
      </w:pPr>
    </w:p>
    <w:p w14:paraId="40D8917F" w14:textId="77777777" w:rsidR="00E64147" w:rsidRPr="003F1840" w:rsidRDefault="00E64147" w:rsidP="003F1840">
      <w:pPr>
        <w:spacing w:line="360" w:lineRule="auto"/>
        <w:rPr>
          <w:rFonts w:ascii="Arial" w:hAnsi="Arial" w:cs="Arial"/>
          <w:sz w:val="24"/>
          <w:szCs w:val="24"/>
        </w:rPr>
      </w:pPr>
    </w:p>
    <w:p w14:paraId="2BBEA15E" w14:textId="447B14C5" w:rsidR="00D05A14" w:rsidRPr="003F1840" w:rsidRDefault="00D05A14" w:rsidP="003F1840">
      <w:pPr>
        <w:spacing w:line="360" w:lineRule="auto"/>
        <w:rPr>
          <w:rFonts w:ascii="Arial" w:hAnsi="Arial" w:cs="Arial"/>
          <w:sz w:val="24"/>
          <w:szCs w:val="24"/>
        </w:rPr>
      </w:pPr>
      <w:r w:rsidRPr="003F1840">
        <w:rPr>
          <w:rFonts w:ascii="Arial" w:hAnsi="Arial" w:cs="Arial"/>
          <w:sz w:val="24"/>
          <w:szCs w:val="24"/>
        </w:rPr>
        <w:t xml:space="preserve">In the matter between:  </w:t>
      </w:r>
    </w:p>
    <w:p w14:paraId="4B416857" w14:textId="77777777" w:rsidR="00D05A14" w:rsidRPr="003F1840" w:rsidRDefault="00D05A14" w:rsidP="003F1840">
      <w:pPr>
        <w:spacing w:line="360" w:lineRule="auto"/>
        <w:rPr>
          <w:rFonts w:ascii="Arial" w:hAnsi="Arial" w:cs="Arial"/>
          <w:sz w:val="24"/>
          <w:szCs w:val="24"/>
        </w:rPr>
      </w:pPr>
      <w:r w:rsidRPr="003F1840">
        <w:rPr>
          <w:rFonts w:ascii="Arial" w:hAnsi="Arial" w:cs="Arial"/>
          <w:sz w:val="24"/>
          <w:szCs w:val="24"/>
        </w:rPr>
        <w:t xml:space="preserve"> </w:t>
      </w:r>
    </w:p>
    <w:p w14:paraId="30DC7CE8" w14:textId="7FE37342" w:rsidR="007A55FE" w:rsidRDefault="00D05A14" w:rsidP="003F1840">
      <w:pPr>
        <w:spacing w:line="360" w:lineRule="auto"/>
        <w:rPr>
          <w:rFonts w:ascii="Arial" w:hAnsi="Arial" w:cs="Arial"/>
          <w:sz w:val="24"/>
          <w:szCs w:val="24"/>
        </w:rPr>
      </w:pPr>
      <w:r w:rsidRPr="003F1840">
        <w:rPr>
          <w:rFonts w:ascii="Arial" w:hAnsi="Arial" w:cs="Arial"/>
          <w:b/>
          <w:bCs/>
          <w:sz w:val="24"/>
          <w:szCs w:val="24"/>
        </w:rPr>
        <w:t>SAFELINE PHARMACEUTICALS (PTY) LTD</w:t>
      </w:r>
      <w:r w:rsidRPr="003F1840">
        <w:rPr>
          <w:rFonts w:ascii="Arial" w:hAnsi="Arial" w:cs="Arial"/>
          <w:sz w:val="24"/>
          <w:szCs w:val="24"/>
        </w:rPr>
        <w:t xml:space="preserve"> </w:t>
      </w:r>
      <w:r w:rsidRPr="003F1840">
        <w:rPr>
          <w:rFonts w:ascii="Arial" w:hAnsi="Arial" w:cs="Arial"/>
          <w:sz w:val="24"/>
          <w:szCs w:val="24"/>
        </w:rPr>
        <w:tab/>
      </w:r>
      <w:r w:rsidRPr="003F1840">
        <w:rPr>
          <w:rFonts w:ascii="Arial" w:hAnsi="Arial" w:cs="Arial"/>
          <w:sz w:val="24"/>
          <w:szCs w:val="24"/>
        </w:rPr>
        <w:tab/>
      </w:r>
      <w:r w:rsidRPr="003F1840">
        <w:rPr>
          <w:rFonts w:ascii="Arial" w:hAnsi="Arial" w:cs="Arial"/>
          <w:sz w:val="24"/>
          <w:szCs w:val="24"/>
        </w:rPr>
        <w:tab/>
      </w:r>
      <w:r w:rsidR="003F1840" w:rsidRPr="003F1840">
        <w:rPr>
          <w:rFonts w:ascii="Arial" w:hAnsi="Arial" w:cs="Arial"/>
          <w:sz w:val="24"/>
          <w:szCs w:val="24"/>
        </w:rPr>
        <w:t xml:space="preserve">                            </w:t>
      </w:r>
      <w:r w:rsidRPr="003F1840">
        <w:rPr>
          <w:rFonts w:ascii="Arial" w:hAnsi="Arial" w:cs="Arial"/>
          <w:sz w:val="24"/>
          <w:szCs w:val="24"/>
        </w:rPr>
        <w:t xml:space="preserve">Applicant </w:t>
      </w:r>
    </w:p>
    <w:p w14:paraId="07B1AFCC" w14:textId="76A2A3AD" w:rsidR="003F1840" w:rsidRPr="003F1840" w:rsidRDefault="00D05A14" w:rsidP="003F1840">
      <w:pPr>
        <w:spacing w:line="360" w:lineRule="auto"/>
        <w:rPr>
          <w:rFonts w:ascii="Arial" w:hAnsi="Arial" w:cs="Arial"/>
          <w:sz w:val="24"/>
          <w:szCs w:val="24"/>
        </w:rPr>
      </w:pPr>
      <w:r w:rsidRPr="003F1840">
        <w:rPr>
          <w:rFonts w:ascii="Arial" w:hAnsi="Arial" w:cs="Arial"/>
          <w:sz w:val="24"/>
          <w:szCs w:val="24"/>
        </w:rPr>
        <w:t xml:space="preserve">and  </w:t>
      </w:r>
    </w:p>
    <w:p w14:paraId="5D297307" w14:textId="77777777" w:rsidR="00D05A14" w:rsidRPr="003F1840" w:rsidRDefault="00D05A14" w:rsidP="003F1840">
      <w:pPr>
        <w:spacing w:line="360" w:lineRule="auto"/>
        <w:rPr>
          <w:rFonts w:ascii="Arial" w:hAnsi="Arial" w:cs="Arial"/>
          <w:b/>
          <w:bCs/>
          <w:sz w:val="24"/>
          <w:szCs w:val="24"/>
        </w:rPr>
      </w:pPr>
      <w:r w:rsidRPr="003F1840">
        <w:rPr>
          <w:rFonts w:ascii="Arial" w:hAnsi="Arial" w:cs="Arial"/>
          <w:b/>
          <w:bCs/>
          <w:sz w:val="24"/>
          <w:szCs w:val="24"/>
        </w:rPr>
        <w:t xml:space="preserve">DIRECTOR-GENERAL, NATIONAL DEPARTMENT </w:t>
      </w:r>
    </w:p>
    <w:p w14:paraId="1A2EB361" w14:textId="0D789D83" w:rsidR="00D05A14" w:rsidRPr="003F1840" w:rsidRDefault="00D05A14" w:rsidP="003F1840">
      <w:pPr>
        <w:spacing w:line="360" w:lineRule="auto"/>
        <w:rPr>
          <w:rFonts w:ascii="Arial" w:hAnsi="Arial" w:cs="Arial"/>
          <w:sz w:val="24"/>
          <w:szCs w:val="24"/>
        </w:rPr>
      </w:pPr>
      <w:r w:rsidRPr="003F1840">
        <w:rPr>
          <w:rFonts w:ascii="Arial" w:hAnsi="Arial" w:cs="Arial"/>
          <w:b/>
          <w:bCs/>
          <w:sz w:val="24"/>
          <w:szCs w:val="24"/>
        </w:rPr>
        <w:t>OF HEALTH</w:t>
      </w:r>
      <w:r w:rsidRPr="003F1840">
        <w:rPr>
          <w:rFonts w:ascii="Arial" w:hAnsi="Arial" w:cs="Arial"/>
          <w:sz w:val="24"/>
          <w:szCs w:val="24"/>
        </w:rPr>
        <w:t xml:space="preserve"> </w:t>
      </w:r>
      <w:r w:rsidRPr="003F1840">
        <w:rPr>
          <w:rFonts w:ascii="Arial" w:hAnsi="Arial" w:cs="Arial"/>
          <w:sz w:val="24"/>
          <w:szCs w:val="24"/>
        </w:rPr>
        <w:tab/>
      </w:r>
      <w:r w:rsidRPr="003F1840">
        <w:rPr>
          <w:rFonts w:ascii="Arial" w:hAnsi="Arial" w:cs="Arial"/>
          <w:sz w:val="24"/>
          <w:szCs w:val="24"/>
        </w:rPr>
        <w:tab/>
      </w:r>
      <w:r w:rsidRPr="003F1840">
        <w:rPr>
          <w:rFonts w:ascii="Arial" w:hAnsi="Arial" w:cs="Arial"/>
          <w:sz w:val="24"/>
          <w:szCs w:val="24"/>
        </w:rPr>
        <w:tab/>
      </w:r>
      <w:r w:rsidRPr="003F1840">
        <w:rPr>
          <w:rFonts w:ascii="Arial" w:hAnsi="Arial" w:cs="Arial"/>
          <w:sz w:val="24"/>
          <w:szCs w:val="24"/>
        </w:rPr>
        <w:tab/>
      </w:r>
      <w:r w:rsidRPr="003F1840">
        <w:rPr>
          <w:rFonts w:ascii="Arial" w:hAnsi="Arial" w:cs="Arial"/>
          <w:sz w:val="24"/>
          <w:szCs w:val="24"/>
        </w:rPr>
        <w:tab/>
      </w:r>
      <w:r w:rsidRPr="003F1840">
        <w:rPr>
          <w:rFonts w:ascii="Arial" w:hAnsi="Arial" w:cs="Arial"/>
          <w:sz w:val="24"/>
          <w:szCs w:val="24"/>
        </w:rPr>
        <w:tab/>
      </w:r>
      <w:r w:rsidRPr="003F1840">
        <w:rPr>
          <w:rFonts w:ascii="Arial" w:hAnsi="Arial" w:cs="Arial"/>
          <w:sz w:val="24"/>
          <w:szCs w:val="24"/>
        </w:rPr>
        <w:tab/>
      </w:r>
      <w:r w:rsidR="00B1360F" w:rsidRPr="003F1840">
        <w:rPr>
          <w:rFonts w:ascii="Arial" w:hAnsi="Arial" w:cs="Arial"/>
          <w:sz w:val="24"/>
          <w:szCs w:val="24"/>
        </w:rPr>
        <w:t xml:space="preserve"> </w:t>
      </w:r>
      <w:r w:rsidR="003F1840" w:rsidRPr="003F1840">
        <w:rPr>
          <w:rFonts w:ascii="Arial" w:hAnsi="Arial" w:cs="Arial"/>
          <w:sz w:val="24"/>
          <w:szCs w:val="24"/>
        </w:rPr>
        <w:t xml:space="preserve">                   </w:t>
      </w:r>
      <w:r w:rsidRPr="003F1840">
        <w:rPr>
          <w:rFonts w:ascii="Arial" w:hAnsi="Arial" w:cs="Arial"/>
          <w:sz w:val="24"/>
          <w:szCs w:val="24"/>
        </w:rPr>
        <w:t xml:space="preserve">First Respondent </w:t>
      </w:r>
    </w:p>
    <w:p w14:paraId="0CA44FEE" w14:textId="77777777" w:rsidR="00D05A14" w:rsidRPr="003F1840" w:rsidRDefault="00D05A14" w:rsidP="003F1840">
      <w:pPr>
        <w:spacing w:line="360" w:lineRule="auto"/>
        <w:rPr>
          <w:rFonts w:ascii="Arial" w:hAnsi="Arial" w:cs="Arial"/>
          <w:sz w:val="24"/>
          <w:szCs w:val="24"/>
        </w:rPr>
      </w:pPr>
      <w:r w:rsidRPr="003F1840">
        <w:rPr>
          <w:rFonts w:ascii="Arial" w:hAnsi="Arial" w:cs="Arial"/>
          <w:sz w:val="24"/>
          <w:szCs w:val="24"/>
        </w:rPr>
        <w:t xml:space="preserve">  </w:t>
      </w:r>
    </w:p>
    <w:p w14:paraId="169B2013" w14:textId="77777777" w:rsidR="00D05A14" w:rsidRPr="003F1840" w:rsidRDefault="00D05A14" w:rsidP="003F1840">
      <w:pPr>
        <w:spacing w:line="360" w:lineRule="auto"/>
        <w:rPr>
          <w:rFonts w:ascii="Arial" w:hAnsi="Arial" w:cs="Arial"/>
          <w:b/>
          <w:bCs/>
          <w:sz w:val="24"/>
          <w:szCs w:val="24"/>
        </w:rPr>
      </w:pPr>
      <w:r w:rsidRPr="003F1840">
        <w:rPr>
          <w:rFonts w:ascii="Arial" w:hAnsi="Arial" w:cs="Arial"/>
          <w:b/>
          <w:bCs/>
          <w:sz w:val="24"/>
          <w:szCs w:val="24"/>
        </w:rPr>
        <w:lastRenderedPageBreak/>
        <w:t xml:space="preserve">DIRECTOR: AFFORDABLE MEDICINES,  </w:t>
      </w:r>
    </w:p>
    <w:p w14:paraId="582A3EBC" w14:textId="149C50E4" w:rsidR="00D05A14" w:rsidRPr="003F1840" w:rsidRDefault="00D05A14" w:rsidP="003F1840">
      <w:pPr>
        <w:spacing w:line="360" w:lineRule="auto"/>
        <w:rPr>
          <w:rFonts w:ascii="Arial" w:hAnsi="Arial" w:cs="Arial"/>
          <w:sz w:val="24"/>
          <w:szCs w:val="24"/>
        </w:rPr>
      </w:pPr>
      <w:r w:rsidRPr="003F1840">
        <w:rPr>
          <w:rFonts w:ascii="Arial" w:hAnsi="Arial" w:cs="Arial"/>
          <w:b/>
          <w:bCs/>
          <w:sz w:val="24"/>
          <w:szCs w:val="24"/>
        </w:rPr>
        <w:t>NATIONAL DEPARTMENT OF HEALTH</w:t>
      </w:r>
      <w:r w:rsidRPr="003F1840">
        <w:rPr>
          <w:rFonts w:ascii="Arial" w:hAnsi="Arial" w:cs="Arial"/>
          <w:sz w:val="24"/>
          <w:szCs w:val="24"/>
        </w:rPr>
        <w:t xml:space="preserve"> </w:t>
      </w:r>
      <w:r w:rsidRPr="003F1840">
        <w:rPr>
          <w:rFonts w:ascii="Arial" w:hAnsi="Arial" w:cs="Arial"/>
          <w:sz w:val="24"/>
          <w:szCs w:val="24"/>
        </w:rPr>
        <w:tab/>
      </w:r>
      <w:r w:rsidRPr="003F1840">
        <w:rPr>
          <w:rFonts w:ascii="Arial" w:hAnsi="Arial" w:cs="Arial"/>
          <w:sz w:val="24"/>
          <w:szCs w:val="24"/>
        </w:rPr>
        <w:tab/>
      </w:r>
      <w:r w:rsidRPr="003F1840">
        <w:rPr>
          <w:rFonts w:ascii="Arial" w:hAnsi="Arial" w:cs="Arial"/>
          <w:sz w:val="24"/>
          <w:szCs w:val="24"/>
        </w:rPr>
        <w:tab/>
      </w:r>
      <w:r w:rsidR="003F1840" w:rsidRPr="003F1840">
        <w:rPr>
          <w:rFonts w:ascii="Arial" w:hAnsi="Arial" w:cs="Arial"/>
          <w:sz w:val="24"/>
          <w:szCs w:val="24"/>
        </w:rPr>
        <w:t xml:space="preserve">         </w:t>
      </w:r>
      <w:r w:rsidRPr="003F1840">
        <w:rPr>
          <w:rFonts w:ascii="Arial" w:hAnsi="Arial" w:cs="Arial"/>
          <w:sz w:val="24"/>
          <w:szCs w:val="24"/>
        </w:rPr>
        <w:t xml:space="preserve">Second Respondent </w:t>
      </w:r>
    </w:p>
    <w:p w14:paraId="67B59739" w14:textId="77777777" w:rsidR="00D05A14" w:rsidRPr="003F1840" w:rsidRDefault="00D05A14" w:rsidP="003F1840">
      <w:pPr>
        <w:spacing w:line="360" w:lineRule="auto"/>
        <w:rPr>
          <w:rFonts w:ascii="Arial" w:hAnsi="Arial" w:cs="Arial"/>
          <w:sz w:val="24"/>
          <w:szCs w:val="24"/>
        </w:rPr>
      </w:pPr>
      <w:r w:rsidRPr="003F1840">
        <w:rPr>
          <w:rFonts w:ascii="Arial" w:hAnsi="Arial" w:cs="Arial"/>
          <w:sz w:val="24"/>
          <w:szCs w:val="24"/>
        </w:rPr>
        <w:t xml:space="preserve"> </w:t>
      </w:r>
    </w:p>
    <w:p w14:paraId="3C77593F" w14:textId="1EFB48D5" w:rsidR="00D05A14" w:rsidRPr="003F1840" w:rsidRDefault="00D05A14" w:rsidP="003F1840">
      <w:pPr>
        <w:spacing w:line="360" w:lineRule="auto"/>
        <w:rPr>
          <w:rFonts w:ascii="Arial" w:hAnsi="Arial" w:cs="Arial"/>
          <w:sz w:val="24"/>
          <w:szCs w:val="24"/>
        </w:rPr>
      </w:pPr>
      <w:r w:rsidRPr="003F1840">
        <w:rPr>
          <w:rFonts w:ascii="Arial" w:hAnsi="Arial" w:cs="Arial"/>
          <w:b/>
          <w:bCs/>
          <w:sz w:val="24"/>
          <w:szCs w:val="24"/>
        </w:rPr>
        <w:t>ABBVIE (PTY) LTD</w:t>
      </w:r>
      <w:r w:rsidRPr="003F1840">
        <w:rPr>
          <w:rFonts w:ascii="Arial" w:hAnsi="Arial" w:cs="Arial"/>
          <w:sz w:val="24"/>
          <w:szCs w:val="24"/>
        </w:rPr>
        <w:t xml:space="preserve"> </w:t>
      </w:r>
      <w:r w:rsidRPr="003F1840">
        <w:rPr>
          <w:rFonts w:ascii="Arial" w:hAnsi="Arial" w:cs="Arial"/>
          <w:sz w:val="24"/>
          <w:szCs w:val="24"/>
        </w:rPr>
        <w:tab/>
      </w:r>
      <w:r w:rsidRPr="003F1840">
        <w:rPr>
          <w:rFonts w:ascii="Arial" w:hAnsi="Arial" w:cs="Arial"/>
          <w:sz w:val="24"/>
          <w:szCs w:val="24"/>
        </w:rPr>
        <w:tab/>
      </w:r>
      <w:r w:rsidRPr="003F1840">
        <w:rPr>
          <w:rFonts w:ascii="Arial" w:hAnsi="Arial" w:cs="Arial"/>
          <w:sz w:val="24"/>
          <w:szCs w:val="24"/>
        </w:rPr>
        <w:tab/>
      </w:r>
      <w:r w:rsidRPr="003F1840">
        <w:rPr>
          <w:rFonts w:ascii="Arial" w:hAnsi="Arial" w:cs="Arial"/>
          <w:sz w:val="24"/>
          <w:szCs w:val="24"/>
        </w:rPr>
        <w:tab/>
      </w:r>
      <w:r w:rsidRPr="003F1840">
        <w:rPr>
          <w:rFonts w:ascii="Arial" w:hAnsi="Arial" w:cs="Arial"/>
          <w:sz w:val="24"/>
          <w:szCs w:val="24"/>
        </w:rPr>
        <w:tab/>
      </w:r>
      <w:r w:rsidRPr="003F1840">
        <w:rPr>
          <w:rFonts w:ascii="Arial" w:hAnsi="Arial" w:cs="Arial"/>
          <w:sz w:val="24"/>
          <w:szCs w:val="24"/>
        </w:rPr>
        <w:tab/>
      </w:r>
      <w:r w:rsidR="003F1840" w:rsidRPr="003F1840">
        <w:rPr>
          <w:rFonts w:ascii="Arial" w:hAnsi="Arial" w:cs="Arial"/>
          <w:sz w:val="24"/>
          <w:szCs w:val="24"/>
        </w:rPr>
        <w:t xml:space="preserve">             </w:t>
      </w:r>
      <w:r w:rsidRPr="003F1840">
        <w:rPr>
          <w:rFonts w:ascii="Arial" w:hAnsi="Arial" w:cs="Arial"/>
          <w:sz w:val="24"/>
          <w:szCs w:val="24"/>
        </w:rPr>
        <w:t xml:space="preserve">Third Respondent </w:t>
      </w:r>
    </w:p>
    <w:p w14:paraId="49A7A32C" w14:textId="77777777" w:rsidR="00D05A14" w:rsidRPr="003F1840" w:rsidRDefault="00D05A14" w:rsidP="003F1840">
      <w:pPr>
        <w:spacing w:line="360" w:lineRule="auto"/>
        <w:rPr>
          <w:rFonts w:ascii="Arial" w:hAnsi="Arial" w:cs="Arial"/>
          <w:sz w:val="24"/>
          <w:szCs w:val="24"/>
        </w:rPr>
      </w:pPr>
      <w:r w:rsidRPr="003F1840">
        <w:rPr>
          <w:rFonts w:ascii="Arial" w:hAnsi="Arial" w:cs="Arial"/>
          <w:sz w:val="24"/>
          <w:szCs w:val="24"/>
        </w:rPr>
        <w:t xml:space="preserve"> </w:t>
      </w:r>
    </w:p>
    <w:p w14:paraId="3F2BAE4B" w14:textId="77777777" w:rsidR="00D05A14" w:rsidRPr="003F1840" w:rsidRDefault="00D05A14" w:rsidP="003F1840">
      <w:pPr>
        <w:spacing w:line="360" w:lineRule="auto"/>
        <w:rPr>
          <w:rFonts w:ascii="Arial" w:hAnsi="Arial" w:cs="Arial"/>
          <w:b/>
          <w:bCs/>
          <w:sz w:val="24"/>
          <w:szCs w:val="24"/>
        </w:rPr>
      </w:pPr>
      <w:r w:rsidRPr="003F1840">
        <w:rPr>
          <w:rFonts w:ascii="Arial" w:hAnsi="Arial" w:cs="Arial"/>
          <w:b/>
          <w:bCs/>
          <w:sz w:val="24"/>
          <w:szCs w:val="24"/>
        </w:rPr>
        <w:t xml:space="preserve">SOUTH AFRICAN HEALTH PRODUCTS </w:t>
      </w:r>
    </w:p>
    <w:p w14:paraId="445CD584" w14:textId="7EED0DBC" w:rsidR="00B1360F" w:rsidRPr="003F1840" w:rsidRDefault="00D05A14" w:rsidP="003F1840">
      <w:pPr>
        <w:spacing w:line="360" w:lineRule="auto"/>
        <w:rPr>
          <w:rFonts w:ascii="Arial" w:hAnsi="Arial" w:cs="Arial"/>
          <w:sz w:val="24"/>
          <w:szCs w:val="24"/>
        </w:rPr>
      </w:pPr>
      <w:r w:rsidRPr="003F1840">
        <w:rPr>
          <w:rFonts w:ascii="Arial" w:hAnsi="Arial" w:cs="Arial"/>
          <w:b/>
          <w:bCs/>
          <w:sz w:val="24"/>
          <w:szCs w:val="24"/>
        </w:rPr>
        <w:t>REGULATORY AUTHORITY</w:t>
      </w:r>
      <w:r w:rsidRPr="003F1840">
        <w:rPr>
          <w:rFonts w:ascii="Arial" w:hAnsi="Arial" w:cs="Arial"/>
          <w:sz w:val="24"/>
          <w:szCs w:val="24"/>
        </w:rPr>
        <w:t xml:space="preserve"> </w:t>
      </w:r>
      <w:r w:rsidRPr="003F1840">
        <w:rPr>
          <w:rFonts w:ascii="Arial" w:hAnsi="Arial" w:cs="Arial"/>
          <w:sz w:val="24"/>
          <w:szCs w:val="24"/>
        </w:rPr>
        <w:tab/>
      </w:r>
      <w:r w:rsidRPr="003F1840">
        <w:rPr>
          <w:rFonts w:ascii="Arial" w:hAnsi="Arial" w:cs="Arial"/>
          <w:sz w:val="24"/>
          <w:szCs w:val="24"/>
        </w:rPr>
        <w:tab/>
      </w:r>
      <w:r w:rsidRPr="003F1840">
        <w:rPr>
          <w:rFonts w:ascii="Arial" w:hAnsi="Arial" w:cs="Arial"/>
          <w:sz w:val="24"/>
          <w:szCs w:val="24"/>
        </w:rPr>
        <w:tab/>
      </w:r>
      <w:r w:rsidRPr="003F1840">
        <w:rPr>
          <w:rFonts w:ascii="Arial" w:hAnsi="Arial" w:cs="Arial"/>
          <w:sz w:val="24"/>
          <w:szCs w:val="24"/>
        </w:rPr>
        <w:tab/>
      </w:r>
      <w:r w:rsidRPr="003F1840">
        <w:rPr>
          <w:rFonts w:ascii="Arial" w:hAnsi="Arial" w:cs="Arial"/>
          <w:sz w:val="24"/>
          <w:szCs w:val="24"/>
        </w:rPr>
        <w:tab/>
      </w:r>
      <w:r w:rsidR="003F1840" w:rsidRPr="003F1840">
        <w:rPr>
          <w:rFonts w:ascii="Arial" w:hAnsi="Arial" w:cs="Arial"/>
          <w:sz w:val="24"/>
          <w:szCs w:val="24"/>
        </w:rPr>
        <w:t xml:space="preserve">            </w:t>
      </w:r>
      <w:r w:rsidRPr="003F1840">
        <w:rPr>
          <w:rFonts w:ascii="Arial" w:hAnsi="Arial" w:cs="Arial"/>
          <w:sz w:val="24"/>
          <w:szCs w:val="24"/>
        </w:rPr>
        <w:t>Fourth Respondent</w:t>
      </w:r>
    </w:p>
    <w:p w14:paraId="16D380D6" w14:textId="77777777" w:rsidR="00E64147" w:rsidRPr="003F1840" w:rsidRDefault="00E64147" w:rsidP="003F1840">
      <w:pPr>
        <w:spacing w:line="360" w:lineRule="auto"/>
        <w:rPr>
          <w:rFonts w:ascii="Arial" w:hAnsi="Arial" w:cs="Arial"/>
          <w:sz w:val="24"/>
          <w:szCs w:val="24"/>
        </w:rPr>
      </w:pPr>
    </w:p>
    <w:p w14:paraId="381FB804" w14:textId="52D8BAAA" w:rsidR="00E64147" w:rsidRPr="003F1840" w:rsidRDefault="00B1360F" w:rsidP="003F1840">
      <w:pPr>
        <w:spacing w:line="360" w:lineRule="auto"/>
        <w:rPr>
          <w:rFonts w:ascii="Arial" w:eastAsia="Calibri" w:hAnsi="Arial" w:cs="Arial"/>
          <w:b/>
          <w:kern w:val="0"/>
          <w:sz w:val="24"/>
          <w:szCs w:val="24"/>
          <w:lang w:val="en-ZA"/>
          <w14:ligatures w14:val="none"/>
        </w:rPr>
      </w:pPr>
      <w:r w:rsidRPr="003F1840">
        <w:rPr>
          <w:rFonts w:ascii="Arial" w:eastAsia="Calibri" w:hAnsi="Arial" w:cs="Arial"/>
          <w:b/>
          <w:kern w:val="0"/>
          <w:sz w:val="24"/>
          <w:szCs w:val="24"/>
          <w:lang w:val="en-ZA"/>
          <w14:ligatures w14:val="none"/>
        </w:rPr>
        <w:t>Tender for medicines- adoption of therapeutic effects to compare medicines- power of the Department of Health to determine a therapeutic class- the Medicines and Related Substances Act 101 of 1965 – powers of the Regulator</w:t>
      </w:r>
      <w:r w:rsidR="0046675C" w:rsidRPr="003F1840">
        <w:rPr>
          <w:rFonts w:ascii="Arial" w:eastAsia="Calibri" w:hAnsi="Arial" w:cs="Arial"/>
          <w:b/>
          <w:kern w:val="0"/>
          <w:sz w:val="24"/>
          <w:szCs w:val="24"/>
          <w:lang w:val="en-ZA"/>
          <w14:ligatures w14:val="none"/>
        </w:rPr>
        <w:t xml:space="preserve"> or </w:t>
      </w:r>
      <w:r w:rsidR="00494011" w:rsidRPr="003F1840">
        <w:rPr>
          <w:rFonts w:ascii="Arial" w:eastAsia="Calibri" w:hAnsi="Arial" w:cs="Arial"/>
          <w:b/>
          <w:kern w:val="0"/>
          <w:sz w:val="24"/>
          <w:szCs w:val="24"/>
          <w:lang w:val="en-ZA"/>
          <w14:ligatures w14:val="none"/>
        </w:rPr>
        <w:t>t</w:t>
      </w:r>
      <w:r w:rsidR="0046675C" w:rsidRPr="003F1840">
        <w:rPr>
          <w:rFonts w:ascii="Arial" w:eastAsia="Calibri" w:hAnsi="Arial" w:cs="Arial"/>
          <w:b/>
          <w:kern w:val="0"/>
          <w:sz w:val="24"/>
          <w:szCs w:val="24"/>
          <w:lang w:val="en-ZA"/>
          <w14:ligatures w14:val="none"/>
        </w:rPr>
        <w:t>he Department of Health</w:t>
      </w:r>
      <w:r w:rsidRPr="003F1840">
        <w:rPr>
          <w:rFonts w:ascii="Arial" w:eastAsia="Calibri" w:hAnsi="Arial" w:cs="Arial"/>
          <w:b/>
          <w:kern w:val="0"/>
          <w:sz w:val="24"/>
          <w:szCs w:val="24"/>
          <w:lang w:val="en-ZA"/>
          <w14:ligatures w14:val="none"/>
        </w:rPr>
        <w:t xml:space="preserve"> to determine a therapeutic class – exclusive or concurrent</w:t>
      </w:r>
      <w:r w:rsidR="0046675C" w:rsidRPr="003F1840">
        <w:rPr>
          <w:rFonts w:ascii="Arial" w:eastAsia="Calibri" w:hAnsi="Arial" w:cs="Arial"/>
          <w:b/>
          <w:kern w:val="0"/>
          <w:sz w:val="24"/>
          <w:szCs w:val="24"/>
          <w:lang w:val="en-ZA"/>
          <w14:ligatures w14:val="none"/>
        </w:rPr>
        <w:t xml:space="preserve"> powers</w:t>
      </w:r>
      <w:r w:rsidRPr="003F1840">
        <w:rPr>
          <w:rFonts w:ascii="Arial" w:eastAsia="Calibri" w:hAnsi="Arial" w:cs="Arial"/>
          <w:b/>
          <w:kern w:val="0"/>
          <w:sz w:val="24"/>
          <w:szCs w:val="24"/>
          <w:lang w:val="en-ZA"/>
          <w14:ligatures w14:val="none"/>
        </w:rPr>
        <w:t>.</w:t>
      </w:r>
      <w:r w:rsidR="003F1840" w:rsidRPr="003F1840">
        <w:rPr>
          <w:rFonts w:ascii="Arial" w:eastAsia="Calibri" w:hAnsi="Arial" w:cs="Arial"/>
          <w:b/>
          <w:kern w:val="0"/>
          <w:sz w:val="24"/>
          <w:szCs w:val="24"/>
          <w:lang w:val="en-ZA"/>
          <w14:ligatures w14:val="none"/>
        </w:rPr>
        <w:t xml:space="preserve"> </w:t>
      </w:r>
    </w:p>
    <w:p w14:paraId="4C657347" w14:textId="3F94321C" w:rsidR="00D05A14" w:rsidRPr="003F1840" w:rsidRDefault="00D05A14" w:rsidP="003F1840">
      <w:pPr>
        <w:spacing w:line="360" w:lineRule="auto"/>
        <w:rPr>
          <w:rFonts w:ascii="Arial" w:eastAsia="Calibri" w:hAnsi="Arial" w:cs="Arial"/>
          <w:b/>
          <w:kern w:val="0"/>
          <w:sz w:val="24"/>
          <w:szCs w:val="24"/>
          <w:lang w:val="en-ZA"/>
          <w14:ligatures w14:val="none"/>
        </w:rPr>
      </w:pPr>
      <w:r w:rsidRPr="003F1840">
        <w:rPr>
          <w:rFonts w:ascii="Arial" w:eastAsia="Calibri" w:hAnsi="Arial" w:cs="Arial"/>
          <w:kern w:val="0"/>
          <w:sz w:val="24"/>
          <w:szCs w:val="24"/>
          <w:lang w:val="en-ZA"/>
          <w14:ligatures w14:val="none"/>
        </w:rPr>
        <w:t>_________________________________________________</w:t>
      </w:r>
      <w:r w:rsidR="00B1360F" w:rsidRPr="003F1840">
        <w:rPr>
          <w:rFonts w:ascii="Arial" w:eastAsia="Calibri" w:hAnsi="Arial" w:cs="Arial"/>
          <w:kern w:val="0"/>
          <w:sz w:val="24"/>
          <w:szCs w:val="24"/>
          <w:lang w:val="en-ZA"/>
          <w14:ligatures w14:val="none"/>
        </w:rPr>
        <w:t>__________________</w:t>
      </w:r>
    </w:p>
    <w:p w14:paraId="6B04478D" w14:textId="77777777" w:rsidR="00D05A14" w:rsidRPr="003F1840" w:rsidRDefault="00D05A14" w:rsidP="003F1840">
      <w:pPr>
        <w:spacing w:line="360" w:lineRule="auto"/>
        <w:ind w:right="90"/>
        <w:jc w:val="center"/>
        <w:rPr>
          <w:rFonts w:ascii="Arial" w:eastAsia="Calibri" w:hAnsi="Arial" w:cs="Arial"/>
          <w:b/>
          <w:kern w:val="0"/>
          <w:sz w:val="24"/>
          <w:szCs w:val="24"/>
          <w:lang w:val="en-ZA"/>
          <w14:ligatures w14:val="none"/>
        </w:rPr>
      </w:pPr>
      <w:r w:rsidRPr="003F1840">
        <w:rPr>
          <w:rFonts w:ascii="Arial" w:eastAsia="Calibri" w:hAnsi="Arial" w:cs="Arial"/>
          <w:b/>
          <w:kern w:val="0"/>
          <w:sz w:val="24"/>
          <w:szCs w:val="24"/>
          <w:lang w:val="en-ZA"/>
          <w14:ligatures w14:val="none"/>
        </w:rPr>
        <w:t xml:space="preserve">JUDGMENT </w:t>
      </w:r>
    </w:p>
    <w:p w14:paraId="49A3A695" w14:textId="07B8F9A2" w:rsidR="003F1840" w:rsidRPr="007A55FE" w:rsidRDefault="00D05A14" w:rsidP="003F1840">
      <w:pPr>
        <w:spacing w:line="360" w:lineRule="auto"/>
        <w:rPr>
          <w:rFonts w:ascii="Arial" w:eastAsia="Calibri" w:hAnsi="Arial" w:cs="Arial"/>
          <w:kern w:val="0"/>
          <w:sz w:val="24"/>
          <w:szCs w:val="24"/>
          <w:lang w:val="en-ZA"/>
          <w14:ligatures w14:val="none"/>
        </w:rPr>
      </w:pPr>
      <w:r w:rsidRPr="003F1840">
        <w:rPr>
          <w:rFonts w:ascii="Arial" w:eastAsia="Calibri" w:hAnsi="Arial" w:cs="Arial"/>
          <w:noProof/>
          <w:kern w:val="0"/>
          <w:sz w:val="24"/>
          <w:szCs w:val="24"/>
          <w14:ligatures w14:val="none"/>
        </w:rPr>
        <mc:AlternateContent>
          <mc:Choice Requires="wps">
            <w:drawing>
              <wp:anchor distT="4294967290" distB="4294967290" distL="114300" distR="114300" simplePos="0" relativeHeight="251657216" behindDoc="0" locked="0" layoutInCell="1" allowOverlap="1" wp14:anchorId="65B2F89C" wp14:editId="1DF85955">
                <wp:simplePos x="0" y="0"/>
                <wp:positionH relativeFrom="column">
                  <wp:posOffset>-19050</wp:posOffset>
                </wp:positionH>
                <wp:positionV relativeFrom="paragraph">
                  <wp:posOffset>114934</wp:posOffset>
                </wp:positionV>
                <wp:extent cx="566737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144E90" id="Straight Connector 2" o:spid="_x0000_s1026" style="position:absolute;z-index:25165721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1.5pt,9.05pt" to="444.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">
                <o:lock v:ext="edit" shapetype="f"/>
              </v:line>
            </w:pict>
          </mc:Fallback>
        </mc:AlternateContent>
      </w:r>
    </w:p>
    <w:p w14:paraId="2F9B2946" w14:textId="77777777" w:rsidR="003F1840" w:rsidRDefault="003F1840" w:rsidP="003F1840">
      <w:pPr>
        <w:spacing w:line="360" w:lineRule="auto"/>
        <w:rPr>
          <w:rFonts w:ascii="Arial" w:eastAsia="Calibri" w:hAnsi="Arial" w:cs="Arial"/>
          <w:b/>
          <w:kern w:val="0"/>
          <w:sz w:val="24"/>
          <w:szCs w:val="24"/>
          <w:lang w:val="en-ZA"/>
          <w14:ligatures w14:val="none"/>
        </w:rPr>
      </w:pPr>
    </w:p>
    <w:p w14:paraId="6B449F02" w14:textId="263A8F60" w:rsidR="009573F9" w:rsidRDefault="00D05A14" w:rsidP="003F1840">
      <w:pPr>
        <w:spacing w:line="360" w:lineRule="auto"/>
        <w:rPr>
          <w:rFonts w:ascii="Arial" w:eastAsia="Calibri" w:hAnsi="Arial" w:cs="Arial"/>
          <w:b/>
          <w:kern w:val="0"/>
          <w:sz w:val="24"/>
          <w:szCs w:val="24"/>
          <w:lang w:val="en-ZA"/>
          <w14:ligatures w14:val="none"/>
        </w:rPr>
      </w:pPr>
      <w:r w:rsidRPr="003F1840">
        <w:rPr>
          <w:rFonts w:ascii="Arial" w:eastAsia="Calibri" w:hAnsi="Arial" w:cs="Arial"/>
          <w:b/>
          <w:kern w:val="0"/>
          <w:sz w:val="24"/>
          <w:szCs w:val="24"/>
          <w:lang w:val="en-ZA"/>
          <w14:ligatures w14:val="none"/>
        </w:rPr>
        <w:t>UNTERHALTER J</w:t>
      </w:r>
    </w:p>
    <w:p w14:paraId="1B8534AB" w14:textId="77777777" w:rsidR="003F1840" w:rsidRPr="003F1840" w:rsidRDefault="003F1840" w:rsidP="003F1840">
      <w:pPr>
        <w:spacing w:line="360" w:lineRule="auto"/>
        <w:rPr>
          <w:rFonts w:ascii="Arial" w:eastAsia="Calibri" w:hAnsi="Arial" w:cs="Arial"/>
          <w:bCs/>
          <w:kern w:val="0"/>
          <w:sz w:val="24"/>
          <w:szCs w:val="24"/>
          <w:lang w:val="en-ZA"/>
          <w14:ligatures w14:val="none"/>
        </w:rPr>
      </w:pPr>
    </w:p>
    <w:p w14:paraId="68B4AB40" w14:textId="377BE079" w:rsidR="009573F9" w:rsidRPr="003F1840" w:rsidRDefault="009573F9" w:rsidP="003F1840">
      <w:pPr>
        <w:spacing w:line="360" w:lineRule="auto"/>
        <w:rPr>
          <w:rFonts w:ascii="Arial" w:eastAsia="Calibri" w:hAnsi="Arial" w:cs="Arial"/>
          <w:b/>
          <w:kern w:val="0"/>
          <w:sz w:val="24"/>
          <w:szCs w:val="24"/>
          <w:lang w:val="en-ZA"/>
          <w14:ligatures w14:val="none"/>
        </w:rPr>
      </w:pPr>
      <w:r w:rsidRPr="003F1840">
        <w:rPr>
          <w:rFonts w:ascii="Arial" w:eastAsia="Calibri" w:hAnsi="Arial" w:cs="Arial"/>
          <w:b/>
          <w:kern w:val="0"/>
          <w:sz w:val="24"/>
          <w:szCs w:val="24"/>
          <w:lang w:val="en-ZA"/>
          <w14:ligatures w14:val="none"/>
        </w:rPr>
        <w:t>Introduction</w:t>
      </w:r>
    </w:p>
    <w:p w14:paraId="13D57E40" w14:textId="77C84B19" w:rsidR="00A65CBD" w:rsidRPr="003F1840"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[1] </w:t>
      </w:r>
      <w:r w:rsidRPr="003F1840">
        <w:rPr>
          <w:rFonts w:ascii="Arial" w:eastAsia="Calibri" w:hAnsi="Arial" w:cs="Arial"/>
          <w:kern w:val="0"/>
          <w:sz w:val="24"/>
          <w:szCs w:val="24"/>
          <w:lang w:val="en-GB"/>
          <w14:ligatures w14:val="none"/>
        </w:rPr>
        <w:tab/>
      </w:r>
      <w:r w:rsidR="00D05A14" w:rsidRPr="003F1840">
        <w:rPr>
          <w:rFonts w:ascii="Arial" w:eastAsia="Calibri" w:hAnsi="Arial" w:cs="Arial"/>
          <w:kern w:val="0"/>
          <w:sz w:val="24"/>
          <w:szCs w:val="24"/>
          <w:lang w:val="en-GB"/>
          <w14:ligatures w14:val="none"/>
        </w:rPr>
        <w:t>The applicant,</w:t>
      </w:r>
      <w:r w:rsidR="00A65CBD" w:rsidRPr="003F1840">
        <w:rPr>
          <w:rFonts w:ascii="Arial" w:eastAsia="Calibri" w:hAnsi="Arial" w:cs="Arial"/>
          <w:kern w:val="0"/>
          <w:sz w:val="24"/>
          <w:szCs w:val="24"/>
          <w:lang w:val="en-GB"/>
          <w14:ligatures w14:val="none"/>
        </w:rPr>
        <w:t xml:space="preserve"> Safeline Pharmaceuticals (Pty) Ltd (‘Safeline’)</w:t>
      </w:r>
      <w:r w:rsidR="001C605A" w:rsidRPr="003F1840">
        <w:rPr>
          <w:rFonts w:ascii="Arial" w:eastAsia="Calibri" w:hAnsi="Arial" w:cs="Arial"/>
          <w:kern w:val="0"/>
          <w:sz w:val="24"/>
          <w:szCs w:val="24"/>
          <w:lang w:val="en-GB"/>
          <w14:ligatures w14:val="none"/>
        </w:rPr>
        <w:t>,</w:t>
      </w:r>
      <w:r w:rsidR="00A65CBD" w:rsidRPr="003F1840">
        <w:rPr>
          <w:rFonts w:ascii="Arial" w:eastAsia="Calibri" w:hAnsi="Arial" w:cs="Arial"/>
          <w:kern w:val="0"/>
          <w:sz w:val="24"/>
          <w:szCs w:val="24"/>
          <w:lang w:val="en-GB"/>
          <w14:ligatures w14:val="none"/>
        </w:rPr>
        <w:t xml:space="preserve"> </w:t>
      </w:r>
      <w:r w:rsidR="009C18A8" w:rsidRPr="003F1840">
        <w:rPr>
          <w:rFonts w:ascii="Arial" w:eastAsia="Calibri" w:hAnsi="Arial" w:cs="Arial"/>
          <w:kern w:val="0"/>
          <w:sz w:val="24"/>
          <w:szCs w:val="24"/>
          <w:lang w:val="en-GB"/>
          <w14:ligatures w14:val="none"/>
        </w:rPr>
        <w:t>has registered and sells a product, Poractant Alfa (Alfa), that is used to treat Respiratory</w:t>
      </w:r>
      <w:r w:rsidR="001C605A" w:rsidRPr="003F1840">
        <w:rPr>
          <w:rFonts w:ascii="Arial" w:eastAsia="Calibri" w:hAnsi="Arial" w:cs="Arial"/>
          <w:kern w:val="0"/>
          <w:sz w:val="24"/>
          <w:szCs w:val="24"/>
          <w:lang w:val="en-GB"/>
          <w14:ligatures w14:val="none"/>
        </w:rPr>
        <w:t xml:space="preserve"> </w:t>
      </w:r>
      <w:r w:rsidR="009C18A8" w:rsidRPr="003F1840">
        <w:rPr>
          <w:rFonts w:ascii="Arial" w:eastAsia="Calibri" w:hAnsi="Arial" w:cs="Arial"/>
          <w:kern w:val="0"/>
          <w:sz w:val="24"/>
          <w:szCs w:val="24"/>
          <w:lang w:val="en-GB"/>
          <w14:ligatures w14:val="none"/>
        </w:rPr>
        <w:t xml:space="preserve">Distress Syndrome (RDS). RDS occurs in premature babies, </w:t>
      </w:r>
      <w:r w:rsidR="00AE6FF9" w:rsidRPr="003F1840">
        <w:rPr>
          <w:rFonts w:ascii="Arial" w:eastAsia="Calibri" w:hAnsi="Arial" w:cs="Arial"/>
          <w:kern w:val="0"/>
          <w:sz w:val="24"/>
          <w:szCs w:val="24"/>
          <w:lang w:val="en-GB"/>
          <w14:ligatures w14:val="none"/>
        </w:rPr>
        <w:t xml:space="preserve">most frequently in babies born in the 28th to 30th week of gestation. RDS is a syndrome in which the baby struggles to receive oxygen and remove carbon dioxide. RDS is treated with </w:t>
      </w:r>
      <w:r w:rsidR="00F50224" w:rsidRPr="003F1840">
        <w:rPr>
          <w:rFonts w:ascii="Arial" w:eastAsia="Calibri" w:hAnsi="Arial" w:cs="Arial"/>
          <w:kern w:val="0"/>
          <w:sz w:val="24"/>
          <w:szCs w:val="24"/>
          <w:lang w:val="en-GB"/>
          <w14:ligatures w14:val="none"/>
        </w:rPr>
        <w:t xml:space="preserve">pulmonary </w:t>
      </w:r>
      <w:r w:rsidR="00F50224" w:rsidRPr="003F1840">
        <w:rPr>
          <w:rFonts w:ascii="Arial" w:eastAsia="Calibri" w:hAnsi="Arial" w:cs="Arial"/>
          <w:kern w:val="0"/>
          <w:sz w:val="24"/>
          <w:szCs w:val="24"/>
          <w:lang w:val="en-GB"/>
          <w14:ligatures w14:val="none"/>
        </w:rPr>
        <w:lastRenderedPageBreak/>
        <w:t>surfactants, administered directly into the airways. Alfa is a pulmonary surfactant. The third respondent, Abbvie (Pty) Ltd (‘Abbvie’) has registered and sells a product, B</w:t>
      </w:r>
      <w:r w:rsidR="00491AE3" w:rsidRPr="003F1840">
        <w:rPr>
          <w:rFonts w:ascii="Arial" w:eastAsia="Calibri" w:hAnsi="Arial" w:cs="Arial"/>
          <w:kern w:val="0"/>
          <w:sz w:val="24"/>
          <w:szCs w:val="24"/>
          <w:lang w:val="en-GB"/>
          <w14:ligatures w14:val="none"/>
        </w:rPr>
        <w:t>eractant</w:t>
      </w:r>
      <w:r w:rsidR="001C605A" w:rsidRPr="003F1840">
        <w:rPr>
          <w:rFonts w:ascii="Arial" w:eastAsia="Calibri" w:hAnsi="Arial" w:cs="Arial"/>
          <w:kern w:val="0"/>
          <w:sz w:val="24"/>
          <w:szCs w:val="24"/>
          <w:lang w:val="en-GB"/>
          <w14:ligatures w14:val="none"/>
        </w:rPr>
        <w:t>. I</w:t>
      </w:r>
      <w:r w:rsidR="00690A86" w:rsidRPr="003F1840">
        <w:rPr>
          <w:rFonts w:ascii="Arial" w:eastAsia="Calibri" w:hAnsi="Arial" w:cs="Arial"/>
          <w:kern w:val="0"/>
          <w:sz w:val="24"/>
          <w:szCs w:val="24"/>
          <w:lang w:val="en-GB"/>
          <w14:ligatures w14:val="none"/>
        </w:rPr>
        <w:t>t</w:t>
      </w:r>
      <w:r w:rsidR="00491AE3" w:rsidRPr="003F1840">
        <w:rPr>
          <w:rFonts w:ascii="Arial" w:eastAsia="Calibri" w:hAnsi="Arial" w:cs="Arial"/>
          <w:kern w:val="0"/>
          <w:sz w:val="24"/>
          <w:szCs w:val="24"/>
          <w:lang w:val="en-GB"/>
          <w14:ligatures w14:val="none"/>
        </w:rPr>
        <w:t xml:space="preserve"> is also a pulmonary surfactant used to treat RDS.</w:t>
      </w:r>
    </w:p>
    <w:p w14:paraId="4780786B" w14:textId="77777777" w:rsidR="00491AE3" w:rsidRPr="003F1840" w:rsidRDefault="00491AE3" w:rsidP="003F1840">
      <w:pPr>
        <w:spacing w:after="0" w:line="360" w:lineRule="auto"/>
        <w:ind w:left="501"/>
        <w:contextualSpacing/>
        <w:jc w:val="both"/>
        <w:rPr>
          <w:rFonts w:ascii="Arial" w:eastAsia="Calibri" w:hAnsi="Arial" w:cs="Arial"/>
          <w:kern w:val="0"/>
          <w:sz w:val="24"/>
          <w:szCs w:val="24"/>
          <w:lang w:val="en-GB"/>
          <w14:ligatures w14:val="none"/>
        </w:rPr>
      </w:pPr>
    </w:p>
    <w:p w14:paraId="315568C1" w14:textId="142558B1" w:rsidR="00A65CBD" w:rsidRPr="003F1840"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[2] </w:t>
      </w:r>
      <w:r w:rsidRPr="003F1840">
        <w:rPr>
          <w:rFonts w:ascii="Arial" w:eastAsia="Calibri" w:hAnsi="Arial" w:cs="Arial"/>
          <w:kern w:val="0"/>
          <w:sz w:val="24"/>
          <w:szCs w:val="24"/>
          <w:lang w:val="en-GB"/>
          <w14:ligatures w14:val="none"/>
        </w:rPr>
        <w:tab/>
      </w:r>
      <w:r w:rsidR="00690A86" w:rsidRPr="003F1840">
        <w:rPr>
          <w:rFonts w:ascii="Arial" w:eastAsia="Calibri" w:hAnsi="Arial" w:cs="Arial"/>
          <w:kern w:val="0"/>
          <w:sz w:val="24"/>
          <w:szCs w:val="24"/>
          <w:lang w:val="en-GB"/>
          <w14:ligatures w14:val="none"/>
        </w:rPr>
        <w:t xml:space="preserve">The Department of Health (‘the Department’), cited and represented in these proceedings by the first and second respondents, has for many years procured Alfa and </w:t>
      </w:r>
      <w:r w:rsidR="00D30107" w:rsidRPr="003F1840">
        <w:rPr>
          <w:rFonts w:ascii="Arial" w:eastAsia="Calibri" w:hAnsi="Arial" w:cs="Arial"/>
          <w:kern w:val="0"/>
          <w:sz w:val="24"/>
          <w:szCs w:val="24"/>
          <w:lang w:val="en-GB"/>
          <w14:ligatures w14:val="none"/>
        </w:rPr>
        <w:t>Beractant for use in public hospitals. The department initiated a tender and invited bids to procure pulmonary surfactants</w:t>
      </w:r>
      <w:r w:rsidR="00292CE1" w:rsidRPr="003F1840">
        <w:rPr>
          <w:rFonts w:ascii="Arial" w:eastAsia="Calibri" w:hAnsi="Arial" w:cs="Arial"/>
          <w:kern w:val="0"/>
          <w:sz w:val="24"/>
          <w:szCs w:val="24"/>
          <w:lang w:val="en-GB"/>
          <w14:ligatures w14:val="none"/>
        </w:rPr>
        <w:t xml:space="preserve"> for the period May 2021 </w:t>
      </w:r>
      <w:r w:rsidR="001C605A" w:rsidRPr="003F1840">
        <w:rPr>
          <w:rFonts w:ascii="Arial" w:eastAsia="Calibri" w:hAnsi="Arial" w:cs="Arial"/>
          <w:kern w:val="0"/>
          <w:sz w:val="24"/>
          <w:szCs w:val="24"/>
          <w:lang w:val="en-GB"/>
          <w14:ligatures w14:val="none"/>
        </w:rPr>
        <w:t>-</w:t>
      </w:r>
      <w:r w:rsidR="00292CE1" w:rsidRPr="003F1840">
        <w:rPr>
          <w:rFonts w:ascii="Arial" w:eastAsia="Calibri" w:hAnsi="Arial" w:cs="Arial"/>
          <w:kern w:val="0"/>
          <w:sz w:val="24"/>
          <w:szCs w:val="24"/>
          <w:lang w:val="en-GB"/>
          <w14:ligatures w14:val="none"/>
        </w:rPr>
        <w:t xml:space="preserve"> 30 April 2024 (‘the 2021 tender’). </w:t>
      </w:r>
      <w:r w:rsidR="00D30107" w:rsidRPr="003F1840">
        <w:rPr>
          <w:rFonts w:ascii="Arial" w:eastAsia="Calibri" w:hAnsi="Arial" w:cs="Arial"/>
          <w:kern w:val="0"/>
          <w:sz w:val="24"/>
          <w:szCs w:val="24"/>
          <w:lang w:val="en-GB"/>
          <w14:ligatures w14:val="none"/>
        </w:rPr>
        <w:t>The invitation to bid was formulated on the basis of two therapeutic classes, described as: Surfactant – group 1 (</w:t>
      </w:r>
      <w:r w:rsidR="001C605A" w:rsidRPr="003F1840">
        <w:rPr>
          <w:rFonts w:ascii="Arial" w:eastAsia="Calibri" w:hAnsi="Arial" w:cs="Arial"/>
          <w:kern w:val="0"/>
          <w:sz w:val="24"/>
          <w:szCs w:val="24"/>
          <w:lang w:val="en-GB"/>
          <w14:ligatures w14:val="none"/>
        </w:rPr>
        <w:t>(</w:t>
      </w:r>
      <w:r w:rsidR="00D30107" w:rsidRPr="003F1840">
        <w:rPr>
          <w:rFonts w:ascii="Arial" w:eastAsia="Calibri" w:hAnsi="Arial" w:cs="Arial"/>
          <w:kern w:val="0"/>
          <w:sz w:val="24"/>
          <w:szCs w:val="24"/>
          <w:lang w:val="en-GB"/>
          <w14:ligatures w14:val="none"/>
        </w:rPr>
        <w:t>class 1) and Surfactant group 2</w:t>
      </w:r>
      <w:r w:rsidR="00FD65B9" w:rsidRPr="003F1840">
        <w:rPr>
          <w:rFonts w:ascii="Arial" w:eastAsia="Calibri" w:hAnsi="Arial" w:cs="Arial"/>
          <w:kern w:val="0"/>
          <w:sz w:val="24"/>
          <w:szCs w:val="24"/>
          <w:lang w:val="en-GB"/>
          <w14:ligatures w14:val="none"/>
        </w:rPr>
        <w:t xml:space="preserve"> </w:t>
      </w:r>
      <w:r w:rsidR="002F207D" w:rsidRPr="003F1840">
        <w:rPr>
          <w:rFonts w:ascii="Arial" w:eastAsia="Calibri" w:hAnsi="Arial" w:cs="Arial"/>
          <w:kern w:val="0"/>
          <w:sz w:val="24"/>
          <w:szCs w:val="24"/>
          <w:lang w:val="en-GB"/>
          <w14:ligatures w14:val="none"/>
        </w:rPr>
        <w:t>(class</w:t>
      </w:r>
      <w:r w:rsidR="00FD65B9" w:rsidRPr="003F1840">
        <w:rPr>
          <w:rFonts w:ascii="Arial" w:eastAsia="Calibri" w:hAnsi="Arial" w:cs="Arial"/>
          <w:kern w:val="0"/>
          <w:sz w:val="24"/>
          <w:szCs w:val="24"/>
          <w:lang w:val="en-GB"/>
          <w14:ligatures w14:val="none"/>
        </w:rPr>
        <w:t xml:space="preserve"> 2)</w:t>
      </w:r>
      <w:r w:rsidR="00D30107" w:rsidRPr="003F1840">
        <w:rPr>
          <w:rFonts w:ascii="Arial" w:eastAsia="Calibri" w:hAnsi="Arial" w:cs="Arial"/>
          <w:kern w:val="0"/>
          <w:sz w:val="24"/>
          <w:szCs w:val="24"/>
          <w:lang w:val="en-GB"/>
          <w14:ligatures w14:val="none"/>
        </w:rPr>
        <w:t>.</w:t>
      </w:r>
      <w:r w:rsidR="00FD65B9" w:rsidRPr="003F1840">
        <w:rPr>
          <w:rFonts w:ascii="Arial" w:eastAsia="Calibri" w:hAnsi="Arial" w:cs="Arial"/>
          <w:kern w:val="0"/>
          <w:sz w:val="24"/>
          <w:szCs w:val="24"/>
          <w:lang w:val="en-GB"/>
          <w14:ligatures w14:val="none"/>
        </w:rPr>
        <w:t xml:space="preserve"> The description of each class and its members is best depicted in the table that follows:</w:t>
      </w:r>
    </w:p>
    <w:p w14:paraId="7B32400A" w14:textId="77777777" w:rsidR="00FD65B9" w:rsidRPr="003F1840" w:rsidRDefault="00FD65B9" w:rsidP="003F1840">
      <w:pPr>
        <w:pStyle w:val="ListParagraph"/>
        <w:spacing w:line="360" w:lineRule="auto"/>
        <w:rPr>
          <w:rFonts w:ascii="Arial" w:eastAsia="Calibri" w:hAnsi="Arial" w:cs="Arial"/>
          <w:kern w:val="0"/>
          <w:sz w:val="24"/>
          <w:szCs w:val="24"/>
          <w:lang w:val="en-GB"/>
          <w14:ligatures w14:val="none"/>
        </w:rPr>
      </w:pPr>
    </w:p>
    <w:tbl>
      <w:tblPr>
        <w:tblW w:w="9000" w:type="dxa"/>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4"/>
        <w:gridCol w:w="2318"/>
        <w:gridCol w:w="3578"/>
      </w:tblGrid>
      <w:tr w:rsidR="005A44A8" w:rsidRPr="003F1840" w14:paraId="5667E4D1" w14:textId="77777777" w:rsidTr="00211330">
        <w:trPr>
          <w:trHeight w:val="840"/>
        </w:trPr>
        <w:tc>
          <w:tcPr>
            <w:tcW w:w="3104" w:type="dxa"/>
          </w:tcPr>
          <w:p w14:paraId="3B7CA180" w14:textId="77777777" w:rsidR="005A44A8" w:rsidRPr="003F1840" w:rsidRDefault="005A44A8" w:rsidP="003F1840">
            <w:pPr>
              <w:pStyle w:val="TableParagraph"/>
              <w:spacing w:before="95" w:line="360" w:lineRule="auto"/>
              <w:ind w:left="109" w:right="116" w:firstLine="5"/>
              <w:rPr>
                <w:sz w:val="24"/>
                <w:szCs w:val="24"/>
              </w:rPr>
            </w:pPr>
            <w:r w:rsidRPr="003F1840">
              <w:rPr>
                <w:color w:val="1A1A1A"/>
                <w:spacing w:val="-2"/>
                <w:sz w:val="24"/>
                <w:szCs w:val="24"/>
              </w:rPr>
              <w:t xml:space="preserve">Therapeutic </w:t>
            </w:r>
            <w:r w:rsidRPr="003F1840">
              <w:rPr>
                <w:color w:val="1A1A1A"/>
                <w:sz w:val="24"/>
                <w:szCs w:val="24"/>
              </w:rPr>
              <w:t>Class</w:t>
            </w:r>
            <w:r w:rsidRPr="003F1840">
              <w:rPr>
                <w:color w:val="1A1A1A"/>
                <w:spacing w:val="-14"/>
                <w:sz w:val="24"/>
                <w:szCs w:val="24"/>
              </w:rPr>
              <w:t xml:space="preserve"> </w:t>
            </w:r>
            <w:r w:rsidRPr="003F1840">
              <w:rPr>
                <w:color w:val="1A1A1A"/>
                <w:sz w:val="24"/>
                <w:szCs w:val="24"/>
              </w:rPr>
              <w:t>and</w:t>
            </w:r>
            <w:r w:rsidRPr="003F1840">
              <w:rPr>
                <w:color w:val="1A1A1A"/>
                <w:spacing w:val="-14"/>
                <w:sz w:val="24"/>
                <w:szCs w:val="24"/>
              </w:rPr>
              <w:t xml:space="preserve"> </w:t>
            </w:r>
            <w:r w:rsidRPr="003F1840">
              <w:rPr>
                <w:color w:val="1A1A1A"/>
                <w:sz w:val="24"/>
                <w:szCs w:val="24"/>
              </w:rPr>
              <w:t xml:space="preserve">Series </w:t>
            </w:r>
            <w:r w:rsidRPr="003F1840">
              <w:rPr>
                <w:color w:val="1A1A1A"/>
                <w:spacing w:val="-2"/>
                <w:sz w:val="24"/>
                <w:szCs w:val="24"/>
              </w:rPr>
              <w:t>Number</w:t>
            </w:r>
          </w:p>
        </w:tc>
        <w:tc>
          <w:tcPr>
            <w:tcW w:w="2318" w:type="dxa"/>
          </w:tcPr>
          <w:p w14:paraId="374C845E" w14:textId="77777777" w:rsidR="005A44A8" w:rsidRPr="003F1840" w:rsidRDefault="005A44A8" w:rsidP="003F1840">
            <w:pPr>
              <w:pStyle w:val="TableParagraph"/>
              <w:spacing w:before="88" w:line="360" w:lineRule="auto"/>
              <w:ind w:left="103" w:firstLine="2"/>
              <w:rPr>
                <w:sz w:val="24"/>
                <w:szCs w:val="24"/>
              </w:rPr>
            </w:pPr>
            <w:r w:rsidRPr="003F1840">
              <w:rPr>
                <w:color w:val="1A1A1A"/>
                <w:sz w:val="24"/>
                <w:szCs w:val="24"/>
              </w:rPr>
              <w:t>Therapeutic</w:t>
            </w:r>
            <w:r w:rsidRPr="003F1840">
              <w:rPr>
                <w:color w:val="1A1A1A"/>
                <w:spacing w:val="-9"/>
                <w:sz w:val="24"/>
                <w:szCs w:val="24"/>
              </w:rPr>
              <w:t xml:space="preserve"> </w:t>
            </w:r>
            <w:r w:rsidRPr="003F1840">
              <w:rPr>
                <w:color w:val="1A1A1A"/>
                <w:sz w:val="24"/>
                <w:szCs w:val="24"/>
              </w:rPr>
              <w:t xml:space="preserve">class </w:t>
            </w:r>
            <w:r w:rsidRPr="003F1840">
              <w:rPr>
                <w:color w:val="1A1A1A"/>
                <w:spacing w:val="-2"/>
                <w:sz w:val="24"/>
                <w:szCs w:val="24"/>
              </w:rPr>
              <w:t>description</w:t>
            </w:r>
          </w:p>
        </w:tc>
        <w:tc>
          <w:tcPr>
            <w:tcW w:w="3578" w:type="dxa"/>
          </w:tcPr>
          <w:p w14:paraId="0D7ED96D" w14:textId="77777777" w:rsidR="005A44A8" w:rsidRPr="003F1840" w:rsidRDefault="005A44A8" w:rsidP="003F1840">
            <w:pPr>
              <w:pStyle w:val="TableParagraph"/>
              <w:spacing w:before="88" w:line="360" w:lineRule="auto"/>
              <w:ind w:left="109"/>
              <w:rPr>
                <w:sz w:val="24"/>
                <w:szCs w:val="24"/>
              </w:rPr>
            </w:pPr>
            <w:r w:rsidRPr="003F1840">
              <w:rPr>
                <w:color w:val="1A1A1A"/>
                <w:sz w:val="24"/>
                <w:szCs w:val="24"/>
              </w:rPr>
              <w:t>Members</w:t>
            </w:r>
            <w:r w:rsidRPr="003F1840">
              <w:rPr>
                <w:color w:val="1A1A1A"/>
                <w:spacing w:val="12"/>
                <w:sz w:val="24"/>
                <w:szCs w:val="24"/>
              </w:rPr>
              <w:t xml:space="preserve"> </w:t>
            </w:r>
            <w:r w:rsidRPr="003F1840">
              <w:rPr>
                <w:color w:val="1A1A1A"/>
                <w:sz w:val="24"/>
                <w:szCs w:val="24"/>
              </w:rPr>
              <w:t>of the</w:t>
            </w:r>
            <w:r w:rsidRPr="003F1840">
              <w:rPr>
                <w:color w:val="1A1A1A"/>
                <w:spacing w:val="-10"/>
                <w:sz w:val="24"/>
                <w:szCs w:val="24"/>
              </w:rPr>
              <w:t xml:space="preserve"> </w:t>
            </w:r>
            <w:r w:rsidRPr="003F1840">
              <w:rPr>
                <w:color w:val="2A2A2A"/>
                <w:sz w:val="24"/>
                <w:szCs w:val="24"/>
              </w:rPr>
              <w:t>therapeutic</w:t>
            </w:r>
            <w:r w:rsidRPr="003F1840">
              <w:rPr>
                <w:color w:val="2A2A2A"/>
                <w:spacing w:val="12"/>
                <w:sz w:val="24"/>
                <w:szCs w:val="24"/>
              </w:rPr>
              <w:t xml:space="preserve"> </w:t>
            </w:r>
            <w:r w:rsidRPr="003F1840">
              <w:rPr>
                <w:color w:val="1A1A1A"/>
                <w:spacing w:val="-2"/>
                <w:sz w:val="24"/>
                <w:szCs w:val="24"/>
              </w:rPr>
              <w:t>class</w:t>
            </w:r>
          </w:p>
        </w:tc>
      </w:tr>
      <w:tr w:rsidR="005A44A8" w:rsidRPr="003F1840" w14:paraId="4991B600" w14:textId="77777777" w:rsidTr="00211330">
        <w:trPr>
          <w:trHeight w:val="1695"/>
        </w:trPr>
        <w:tc>
          <w:tcPr>
            <w:tcW w:w="3104" w:type="dxa"/>
          </w:tcPr>
          <w:p w14:paraId="6AC204EF" w14:textId="77777777" w:rsidR="005A44A8" w:rsidRPr="003F1840" w:rsidRDefault="005A44A8" w:rsidP="003F1840">
            <w:pPr>
              <w:pStyle w:val="TableParagraph"/>
              <w:spacing w:before="93" w:line="360" w:lineRule="auto"/>
              <w:ind w:left="114"/>
              <w:rPr>
                <w:sz w:val="24"/>
                <w:szCs w:val="24"/>
              </w:rPr>
            </w:pPr>
            <w:r w:rsidRPr="003F1840">
              <w:rPr>
                <w:color w:val="1A1A1A"/>
                <w:sz w:val="24"/>
                <w:szCs w:val="24"/>
              </w:rPr>
              <w:t>Class</w:t>
            </w:r>
            <w:r w:rsidRPr="003F1840">
              <w:rPr>
                <w:color w:val="1A1A1A"/>
                <w:spacing w:val="-3"/>
                <w:sz w:val="24"/>
                <w:szCs w:val="24"/>
              </w:rPr>
              <w:t xml:space="preserve"> </w:t>
            </w:r>
            <w:r w:rsidRPr="003F1840">
              <w:rPr>
                <w:color w:val="2A2A2A"/>
                <w:spacing w:val="-12"/>
                <w:sz w:val="24"/>
                <w:szCs w:val="24"/>
              </w:rPr>
              <w:t>1</w:t>
            </w:r>
          </w:p>
        </w:tc>
        <w:tc>
          <w:tcPr>
            <w:tcW w:w="2318" w:type="dxa"/>
          </w:tcPr>
          <w:p w14:paraId="30442AF4" w14:textId="63ABC4BB" w:rsidR="005A44A8" w:rsidRPr="003F1840" w:rsidRDefault="002F207D" w:rsidP="003F1840">
            <w:pPr>
              <w:pStyle w:val="TableParagraph"/>
              <w:spacing w:before="83" w:line="360" w:lineRule="auto"/>
              <w:ind w:left="105"/>
              <w:rPr>
                <w:sz w:val="24"/>
                <w:szCs w:val="24"/>
              </w:rPr>
            </w:pPr>
            <w:r w:rsidRPr="003F1840">
              <w:rPr>
                <w:color w:val="1A1A1A"/>
                <w:spacing w:val="-2"/>
                <w:sz w:val="24"/>
                <w:szCs w:val="24"/>
              </w:rPr>
              <w:t>Surfac</w:t>
            </w:r>
            <w:r w:rsidRPr="003F1840">
              <w:rPr>
                <w:color w:val="444444"/>
                <w:spacing w:val="-2"/>
                <w:sz w:val="24"/>
                <w:szCs w:val="24"/>
              </w:rPr>
              <w:t>t</w:t>
            </w:r>
            <w:r w:rsidRPr="003F1840">
              <w:rPr>
                <w:color w:val="2A2A2A"/>
                <w:spacing w:val="-2"/>
                <w:sz w:val="24"/>
                <w:szCs w:val="24"/>
              </w:rPr>
              <w:t>ant</w:t>
            </w:r>
            <w:r w:rsidR="005A44A8" w:rsidRPr="003F1840">
              <w:rPr>
                <w:color w:val="2A2A2A"/>
                <w:spacing w:val="-12"/>
                <w:sz w:val="24"/>
                <w:szCs w:val="24"/>
              </w:rPr>
              <w:t xml:space="preserve"> </w:t>
            </w:r>
            <w:r w:rsidR="005A44A8" w:rsidRPr="003F1840">
              <w:rPr>
                <w:color w:val="1A1A1A"/>
                <w:spacing w:val="-2"/>
                <w:sz w:val="24"/>
                <w:szCs w:val="24"/>
              </w:rPr>
              <w:t>-</w:t>
            </w:r>
            <w:r w:rsidR="005A44A8" w:rsidRPr="003F1840">
              <w:rPr>
                <w:color w:val="1A1A1A"/>
                <w:spacing w:val="32"/>
                <w:sz w:val="24"/>
                <w:szCs w:val="24"/>
              </w:rPr>
              <w:t xml:space="preserve"> </w:t>
            </w:r>
            <w:r w:rsidR="005A44A8" w:rsidRPr="003F1840">
              <w:rPr>
                <w:color w:val="1A1A1A"/>
                <w:spacing w:val="-2"/>
                <w:sz w:val="24"/>
                <w:szCs w:val="24"/>
              </w:rPr>
              <w:t>group</w:t>
            </w:r>
            <w:r w:rsidR="005A44A8" w:rsidRPr="003F1840">
              <w:rPr>
                <w:color w:val="1A1A1A"/>
                <w:spacing w:val="-7"/>
                <w:sz w:val="24"/>
                <w:szCs w:val="24"/>
              </w:rPr>
              <w:t xml:space="preserve"> </w:t>
            </w:r>
            <w:r w:rsidR="005A44A8" w:rsidRPr="003F1840">
              <w:rPr>
                <w:color w:val="1A1A1A"/>
                <w:spacing w:val="-10"/>
                <w:sz w:val="24"/>
                <w:szCs w:val="24"/>
              </w:rPr>
              <w:t>1</w:t>
            </w:r>
          </w:p>
        </w:tc>
        <w:tc>
          <w:tcPr>
            <w:tcW w:w="3578" w:type="dxa"/>
          </w:tcPr>
          <w:p w14:paraId="42309C38" w14:textId="77777777" w:rsidR="005A44A8" w:rsidRPr="003F1840" w:rsidRDefault="005A44A8" w:rsidP="003F1840">
            <w:pPr>
              <w:pStyle w:val="TableParagraph"/>
              <w:spacing w:before="93" w:line="360" w:lineRule="auto"/>
              <w:ind w:left="112" w:hanging="4"/>
              <w:rPr>
                <w:sz w:val="24"/>
                <w:szCs w:val="24"/>
              </w:rPr>
            </w:pPr>
            <w:r w:rsidRPr="003F1840">
              <w:rPr>
                <w:color w:val="1A1A1A"/>
                <w:sz w:val="24"/>
                <w:szCs w:val="24"/>
              </w:rPr>
              <w:t>Phospholipids, Total (Beractant}</w:t>
            </w:r>
            <w:r w:rsidRPr="003F1840">
              <w:rPr>
                <w:color w:val="444444"/>
                <w:sz w:val="24"/>
                <w:szCs w:val="24"/>
              </w:rPr>
              <w:t xml:space="preserve">, </w:t>
            </w:r>
            <w:r w:rsidRPr="003F1840">
              <w:rPr>
                <w:color w:val="1A1A1A"/>
                <w:sz w:val="24"/>
                <w:szCs w:val="24"/>
              </w:rPr>
              <w:t xml:space="preserve">100mg/4ml, </w:t>
            </w:r>
            <w:r w:rsidRPr="003F1840">
              <w:rPr>
                <w:color w:val="2A2A2A"/>
                <w:sz w:val="24"/>
                <w:szCs w:val="24"/>
              </w:rPr>
              <w:t xml:space="preserve">1 </w:t>
            </w:r>
            <w:r w:rsidRPr="003F1840">
              <w:rPr>
                <w:color w:val="1A1A1A"/>
                <w:sz w:val="24"/>
                <w:szCs w:val="24"/>
              </w:rPr>
              <w:t>Vial</w:t>
            </w:r>
          </w:p>
          <w:p w14:paraId="5DE5F86B" w14:textId="77777777" w:rsidR="005A44A8" w:rsidRPr="003F1840" w:rsidRDefault="005A44A8" w:rsidP="003F1840">
            <w:pPr>
              <w:pStyle w:val="TableParagraph"/>
              <w:spacing w:before="79" w:line="360" w:lineRule="auto"/>
              <w:ind w:left="108"/>
              <w:rPr>
                <w:sz w:val="24"/>
                <w:szCs w:val="24"/>
              </w:rPr>
            </w:pPr>
            <w:r w:rsidRPr="003F1840">
              <w:rPr>
                <w:color w:val="1A1A1A"/>
                <w:spacing w:val="-5"/>
                <w:w w:val="105"/>
                <w:sz w:val="24"/>
                <w:szCs w:val="24"/>
              </w:rPr>
              <w:t>Vs</w:t>
            </w:r>
          </w:p>
          <w:p w14:paraId="5A78062C" w14:textId="77777777" w:rsidR="005A44A8" w:rsidRPr="003F1840" w:rsidRDefault="005A44A8" w:rsidP="003F1840">
            <w:pPr>
              <w:pStyle w:val="TableParagraph"/>
              <w:spacing w:before="63" w:line="360" w:lineRule="auto"/>
              <w:ind w:left="107" w:right="348" w:firstLine="6"/>
              <w:jc w:val="both"/>
              <w:rPr>
                <w:sz w:val="24"/>
                <w:szCs w:val="24"/>
              </w:rPr>
            </w:pPr>
            <w:r w:rsidRPr="003F1840">
              <w:rPr>
                <w:color w:val="1A1A1A"/>
                <w:sz w:val="24"/>
                <w:szCs w:val="24"/>
              </w:rPr>
              <w:t>Natural</w:t>
            </w:r>
            <w:r w:rsidRPr="003F1840">
              <w:rPr>
                <w:color w:val="1A1A1A"/>
                <w:spacing w:val="-9"/>
                <w:sz w:val="24"/>
                <w:szCs w:val="24"/>
              </w:rPr>
              <w:t xml:space="preserve"> </w:t>
            </w:r>
            <w:r w:rsidRPr="003F1840">
              <w:rPr>
                <w:color w:val="1A1A1A"/>
                <w:sz w:val="24"/>
                <w:szCs w:val="24"/>
              </w:rPr>
              <w:t>Phospholipids (Poractant Alfa), intra-tracheal</w:t>
            </w:r>
            <w:r w:rsidRPr="003F1840">
              <w:rPr>
                <w:color w:val="1A1A1A"/>
                <w:spacing w:val="-9"/>
                <w:sz w:val="24"/>
                <w:szCs w:val="24"/>
              </w:rPr>
              <w:t xml:space="preserve"> </w:t>
            </w:r>
            <w:r w:rsidRPr="003F1840">
              <w:rPr>
                <w:color w:val="1A1A1A"/>
                <w:sz w:val="24"/>
                <w:szCs w:val="24"/>
              </w:rPr>
              <w:t xml:space="preserve">solution, 120mg </w:t>
            </w:r>
            <w:r w:rsidRPr="003F1840">
              <w:rPr>
                <w:color w:val="2A2A2A"/>
                <w:sz w:val="24"/>
                <w:szCs w:val="24"/>
              </w:rPr>
              <w:t>in</w:t>
            </w:r>
            <w:r w:rsidRPr="003F1840">
              <w:rPr>
                <w:color w:val="2A2A2A"/>
                <w:spacing w:val="-3"/>
                <w:sz w:val="24"/>
                <w:szCs w:val="24"/>
              </w:rPr>
              <w:t xml:space="preserve"> </w:t>
            </w:r>
            <w:r w:rsidRPr="003F1840">
              <w:rPr>
                <w:color w:val="2A2A2A"/>
                <w:sz w:val="24"/>
                <w:szCs w:val="24"/>
              </w:rPr>
              <w:t xml:space="preserve">1.5ml, </w:t>
            </w:r>
            <w:r w:rsidRPr="003F1840">
              <w:rPr>
                <w:color w:val="1A1A1A"/>
                <w:spacing w:val="-2"/>
                <w:sz w:val="24"/>
                <w:szCs w:val="24"/>
              </w:rPr>
              <w:t>1</w:t>
            </w:r>
            <w:r w:rsidRPr="003F1840">
              <w:rPr>
                <w:color w:val="444444"/>
                <w:spacing w:val="-2"/>
                <w:sz w:val="24"/>
                <w:szCs w:val="24"/>
              </w:rPr>
              <w:t>.</w:t>
            </w:r>
            <w:r w:rsidRPr="003F1840">
              <w:rPr>
                <w:color w:val="1A1A1A"/>
                <w:spacing w:val="-2"/>
                <w:sz w:val="24"/>
                <w:szCs w:val="24"/>
              </w:rPr>
              <w:t>5ml</w:t>
            </w:r>
          </w:p>
        </w:tc>
      </w:tr>
      <w:tr w:rsidR="005A44A8" w:rsidRPr="003F1840" w14:paraId="1B19DB89" w14:textId="77777777" w:rsidTr="00211330">
        <w:trPr>
          <w:trHeight w:val="1450"/>
        </w:trPr>
        <w:tc>
          <w:tcPr>
            <w:tcW w:w="3104" w:type="dxa"/>
          </w:tcPr>
          <w:p w14:paraId="76000D0A" w14:textId="77777777" w:rsidR="005A44A8" w:rsidRPr="003F1840" w:rsidRDefault="005A44A8" w:rsidP="003F1840">
            <w:pPr>
              <w:pStyle w:val="TableParagraph"/>
              <w:spacing w:before="88" w:line="360" w:lineRule="auto"/>
              <w:ind w:left="119"/>
              <w:rPr>
                <w:sz w:val="24"/>
                <w:szCs w:val="24"/>
              </w:rPr>
            </w:pPr>
            <w:r w:rsidRPr="003F1840">
              <w:rPr>
                <w:color w:val="1A1A1A"/>
                <w:sz w:val="24"/>
                <w:szCs w:val="24"/>
              </w:rPr>
              <w:t>Class</w:t>
            </w:r>
            <w:r w:rsidRPr="003F1840">
              <w:rPr>
                <w:color w:val="1A1A1A"/>
                <w:spacing w:val="3"/>
                <w:sz w:val="24"/>
                <w:szCs w:val="24"/>
              </w:rPr>
              <w:t xml:space="preserve"> </w:t>
            </w:r>
            <w:r w:rsidRPr="003F1840">
              <w:rPr>
                <w:color w:val="1A1A1A"/>
                <w:spacing w:val="-10"/>
                <w:sz w:val="24"/>
                <w:szCs w:val="24"/>
              </w:rPr>
              <w:t>2</w:t>
            </w:r>
          </w:p>
        </w:tc>
        <w:tc>
          <w:tcPr>
            <w:tcW w:w="2318" w:type="dxa"/>
          </w:tcPr>
          <w:p w14:paraId="7B01402D" w14:textId="77777777" w:rsidR="005A44A8" w:rsidRPr="003F1840" w:rsidRDefault="005A44A8" w:rsidP="003F1840">
            <w:pPr>
              <w:pStyle w:val="TableParagraph"/>
              <w:spacing w:before="88" w:line="360" w:lineRule="auto"/>
              <w:ind w:left="115"/>
              <w:rPr>
                <w:sz w:val="24"/>
                <w:szCs w:val="24"/>
              </w:rPr>
            </w:pPr>
            <w:r w:rsidRPr="003F1840">
              <w:rPr>
                <w:color w:val="1A1A1A"/>
                <w:sz w:val="24"/>
                <w:szCs w:val="24"/>
              </w:rPr>
              <w:t>Surfactant</w:t>
            </w:r>
            <w:r w:rsidRPr="003F1840">
              <w:rPr>
                <w:color w:val="1A1A1A"/>
                <w:spacing w:val="-3"/>
                <w:sz w:val="24"/>
                <w:szCs w:val="24"/>
              </w:rPr>
              <w:t xml:space="preserve"> </w:t>
            </w:r>
            <w:r w:rsidRPr="003F1840">
              <w:rPr>
                <w:color w:val="2A2A2A"/>
                <w:sz w:val="24"/>
                <w:szCs w:val="24"/>
              </w:rPr>
              <w:t>-</w:t>
            </w:r>
            <w:r w:rsidRPr="003F1840">
              <w:rPr>
                <w:color w:val="2A2A2A"/>
                <w:spacing w:val="45"/>
                <w:sz w:val="24"/>
                <w:szCs w:val="24"/>
              </w:rPr>
              <w:t xml:space="preserve"> </w:t>
            </w:r>
            <w:r w:rsidRPr="003F1840">
              <w:rPr>
                <w:color w:val="1A1A1A"/>
                <w:sz w:val="24"/>
                <w:szCs w:val="24"/>
              </w:rPr>
              <w:t>group</w:t>
            </w:r>
            <w:r w:rsidRPr="003F1840">
              <w:rPr>
                <w:color w:val="1A1A1A"/>
                <w:spacing w:val="5"/>
                <w:sz w:val="24"/>
                <w:szCs w:val="24"/>
              </w:rPr>
              <w:t xml:space="preserve"> </w:t>
            </w:r>
            <w:r w:rsidRPr="003F1840">
              <w:rPr>
                <w:color w:val="1A1A1A"/>
                <w:spacing w:val="-10"/>
                <w:sz w:val="24"/>
                <w:szCs w:val="24"/>
              </w:rPr>
              <w:t>2</w:t>
            </w:r>
          </w:p>
        </w:tc>
        <w:tc>
          <w:tcPr>
            <w:tcW w:w="3578" w:type="dxa"/>
          </w:tcPr>
          <w:p w14:paraId="7A07EED0" w14:textId="77777777" w:rsidR="005A44A8" w:rsidRPr="003F1840" w:rsidRDefault="005A44A8" w:rsidP="003F1840">
            <w:pPr>
              <w:pStyle w:val="TableParagraph"/>
              <w:spacing w:before="92" w:line="360" w:lineRule="auto"/>
              <w:ind w:left="113" w:hanging="1"/>
              <w:rPr>
                <w:sz w:val="24"/>
                <w:szCs w:val="24"/>
              </w:rPr>
            </w:pPr>
            <w:r w:rsidRPr="003F1840">
              <w:rPr>
                <w:color w:val="1A1A1A"/>
                <w:sz w:val="24"/>
                <w:szCs w:val="24"/>
              </w:rPr>
              <w:t>Phospholipids,</w:t>
            </w:r>
            <w:r w:rsidRPr="003F1840">
              <w:rPr>
                <w:color w:val="1A1A1A"/>
                <w:spacing w:val="-16"/>
                <w:sz w:val="24"/>
                <w:szCs w:val="24"/>
              </w:rPr>
              <w:t xml:space="preserve"> </w:t>
            </w:r>
            <w:r w:rsidRPr="003F1840">
              <w:rPr>
                <w:color w:val="1A1A1A"/>
                <w:sz w:val="24"/>
                <w:szCs w:val="24"/>
              </w:rPr>
              <w:t>Total</w:t>
            </w:r>
            <w:r w:rsidRPr="003F1840">
              <w:rPr>
                <w:color w:val="1A1A1A"/>
                <w:spacing w:val="-8"/>
                <w:sz w:val="24"/>
                <w:szCs w:val="24"/>
              </w:rPr>
              <w:t xml:space="preserve"> </w:t>
            </w:r>
            <w:r w:rsidRPr="003F1840">
              <w:rPr>
                <w:color w:val="1A1A1A"/>
                <w:sz w:val="24"/>
                <w:szCs w:val="24"/>
              </w:rPr>
              <w:t>(Beractant), 200mg/8ml</w:t>
            </w:r>
            <w:r w:rsidRPr="003F1840">
              <w:rPr>
                <w:color w:val="444444"/>
                <w:sz w:val="24"/>
                <w:szCs w:val="24"/>
              </w:rPr>
              <w:t xml:space="preserve">, </w:t>
            </w:r>
            <w:r w:rsidRPr="003F1840">
              <w:rPr>
                <w:color w:val="1A1A1A"/>
                <w:sz w:val="24"/>
                <w:szCs w:val="24"/>
              </w:rPr>
              <w:t>1 Vial</w:t>
            </w:r>
          </w:p>
          <w:p w14:paraId="1D619421" w14:textId="77777777" w:rsidR="005A44A8" w:rsidRPr="003F1840" w:rsidRDefault="005A44A8" w:rsidP="003F1840">
            <w:pPr>
              <w:pStyle w:val="TableParagraph"/>
              <w:spacing w:before="88" w:line="360" w:lineRule="auto"/>
              <w:ind w:left="118"/>
              <w:rPr>
                <w:sz w:val="24"/>
                <w:szCs w:val="24"/>
              </w:rPr>
            </w:pPr>
            <w:r w:rsidRPr="003F1840">
              <w:rPr>
                <w:color w:val="1A1A1A"/>
                <w:spacing w:val="-5"/>
                <w:sz w:val="24"/>
                <w:szCs w:val="24"/>
              </w:rPr>
              <w:t>Vs</w:t>
            </w:r>
          </w:p>
          <w:p w14:paraId="437C857D" w14:textId="77777777" w:rsidR="005A44A8" w:rsidRPr="003F1840" w:rsidRDefault="005A44A8" w:rsidP="003F1840">
            <w:pPr>
              <w:pStyle w:val="TableParagraph"/>
              <w:spacing w:before="86" w:line="360" w:lineRule="auto"/>
              <w:ind w:left="115" w:right="126" w:hanging="2"/>
              <w:rPr>
                <w:sz w:val="24"/>
                <w:szCs w:val="24"/>
              </w:rPr>
            </w:pPr>
            <w:r w:rsidRPr="003F1840">
              <w:rPr>
                <w:color w:val="1A1A1A"/>
                <w:sz w:val="24"/>
                <w:szCs w:val="24"/>
              </w:rPr>
              <w:t xml:space="preserve">Natural Phospholipids (Poractant Alfa), </w:t>
            </w:r>
            <w:r w:rsidRPr="003F1840">
              <w:rPr>
                <w:color w:val="444444"/>
                <w:sz w:val="24"/>
                <w:szCs w:val="24"/>
              </w:rPr>
              <w:t>i</w:t>
            </w:r>
            <w:r w:rsidRPr="003F1840">
              <w:rPr>
                <w:color w:val="1A1A1A"/>
                <w:sz w:val="24"/>
                <w:szCs w:val="24"/>
              </w:rPr>
              <w:t>ntra-tracheal</w:t>
            </w:r>
            <w:r w:rsidRPr="003F1840">
              <w:rPr>
                <w:color w:val="1A1A1A"/>
                <w:spacing w:val="-9"/>
                <w:sz w:val="24"/>
                <w:szCs w:val="24"/>
              </w:rPr>
              <w:t xml:space="preserve"> </w:t>
            </w:r>
            <w:r w:rsidRPr="003F1840">
              <w:rPr>
                <w:color w:val="1A1A1A"/>
                <w:sz w:val="24"/>
                <w:szCs w:val="24"/>
              </w:rPr>
              <w:t>solution, 240mg in</w:t>
            </w:r>
            <w:r w:rsidRPr="003F1840">
              <w:rPr>
                <w:color w:val="1A1A1A"/>
                <w:spacing w:val="-4"/>
                <w:sz w:val="24"/>
                <w:szCs w:val="24"/>
              </w:rPr>
              <w:t xml:space="preserve"> </w:t>
            </w:r>
            <w:r w:rsidRPr="003F1840">
              <w:rPr>
                <w:color w:val="1A1A1A"/>
                <w:sz w:val="24"/>
                <w:szCs w:val="24"/>
              </w:rPr>
              <w:t>3ml, 3ml</w:t>
            </w:r>
          </w:p>
        </w:tc>
      </w:tr>
    </w:tbl>
    <w:p w14:paraId="34F3773D" w14:textId="009A535C" w:rsidR="00FD65B9" w:rsidRPr="003F1840" w:rsidRDefault="00FD65B9" w:rsidP="003F1840">
      <w:pPr>
        <w:spacing w:after="0" w:line="360" w:lineRule="auto"/>
        <w:ind w:left="501"/>
        <w:contextualSpacing/>
        <w:jc w:val="both"/>
        <w:rPr>
          <w:rFonts w:ascii="Arial" w:eastAsia="Calibri" w:hAnsi="Arial" w:cs="Arial"/>
          <w:kern w:val="0"/>
          <w:sz w:val="24"/>
          <w:szCs w:val="24"/>
          <w:lang w:val="en-GB"/>
          <w14:ligatures w14:val="none"/>
        </w:rPr>
      </w:pPr>
    </w:p>
    <w:p w14:paraId="7CD5CD7A" w14:textId="77777777" w:rsidR="00FD65B9" w:rsidRPr="003F1840" w:rsidRDefault="00FD65B9" w:rsidP="003F1840">
      <w:pPr>
        <w:spacing w:after="0" w:line="360" w:lineRule="auto"/>
        <w:ind w:left="501"/>
        <w:contextualSpacing/>
        <w:jc w:val="both"/>
        <w:rPr>
          <w:rFonts w:ascii="Arial" w:eastAsia="Calibri" w:hAnsi="Arial" w:cs="Arial"/>
          <w:kern w:val="0"/>
          <w:sz w:val="24"/>
          <w:szCs w:val="24"/>
          <w:lang w:val="en-GB"/>
          <w14:ligatures w14:val="none"/>
        </w:rPr>
      </w:pPr>
    </w:p>
    <w:p w14:paraId="772ADB7A" w14:textId="1C9897FA" w:rsidR="00A65CBD" w:rsidRPr="003F1840" w:rsidRDefault="00FD65B9" w:rsidP="003F1840">
      <w:pPr>
        <w:spacing w:after="0" w:line="360" w:lineRule="auto"/>
        <w:ind w:left="141"/>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Both class 1 and class 2 count Alfa and Beractant as members of the therapeutic class. The difference between </w:t>
      </w:r>
      <w:r w:rsidR="00826A5A" w:rsidRPr="003F1840">
        <w:rPr>
          <w:rFonts w:ascii="Arial" w:eastAsia="Calibri" w:hAnsi="Arial" w:cs="Arial"/>
          <w:kern w:val="0"/>
          <w:sz w:val="24"/>
          <w:szCs w:val="24"/>
          <w:lang w:val="en-GB"/>
          <w14:ligatures w14:val="none"/>
        </w:rPr>
        <w:t xml:space="preserve">and within </w:t>
      </w:r>
      <w:r w:rsidRPr="003F1840">
        <w:rPr>
          <w:rFonts w:ascii="Arial" w:eastAsia="Calibri" w:hAnsi="Arial" w:cs="Arial"/>
          <w:kern w:val="0"/>
          <w:sz w:val="24"/>
          <w:szCs w:val="24"/>
          <w:lang w:val="en-GB"/>
          <w14:ligatures w14:val="none"/>
        </w:rPr>
        <w:t>the two therapeutic classes is the size of the vial in which each product is supplied.</w:t>
      </w:r>
    </w:p>
    <w:p w14:paraId="371E3502" w14:textId="77777777" w:rsidR="00826A5A" w:rsidRPr="003F1840" w:rsidRDefault="00826A5A" w:rsidP="003F1840">
      <w:pPr>
        <w:spacing w:after="0" w:line="360" w:lineRule="auto"/>
        <w:ind w:left="141"/>
        <w:contextualSpacing/>
        <w:jc w:val="both"/>
        <w:rPr>
          <w:rFonts w:ascii="Arial" w:eastAsia="Calibri" w:hAnsi="Arial" w:cs="Arial"/>
          <w:kern w:val="0"/>
          <w:sz w:val="24"/>
          <w:szCs w:val="24"/>
          <w:lang w:val="en-GB"/>
          <w14:ligatures w14:val="none"/>
        </w:rPr>
      </w:pPr>
    </w:p>
    <w:p w14:paraId="3C74BE3D" w14:textId="47E76BF4" w:rsidR="00D05A14" w:rsidRPr="003F1840"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[3] </w:t>
      </w:r>
      <w:r w:rsidRPr="003F1840">
        <w:rPr>
          <w:rFonts w:ascii="Arial" w:eastAsia="Calibri" w:hAnsi="Arial" w:cs="Arial"/>
          <w:kern w:val="0"/>
          <w:sz w:val="24"/>
          <w:szCs w:val="24"/>
          <w:lang w:val="en-GB"/>
          <w14:ligatures w14:val="none"/>
        </w:rPr>
        <w:tab/>
      </w:r>
      <w:r w:rsidR="00826A5A" w:rsidRPr="003F1840">
        <w:rPr>
          <w:rFonts w:ascii="Arial" w:eastAsia="Calibri" w:hAnsi="Arial" w:cs="Arial"/>
          <w:kern w:val="0"/>
          <w:sz w:val="24"/>
          <w:szCs w:val="24"/>
          <w:lang w:val="en-GB"/>
          <w14:ligatures w14:val="none"/>
        </w:rPr>
        <w:t xml:space="preserve">The bid invitation referenced Clause 20.2 of the Special Conditions of Contract. This provision explained the basis upon which Alfa and Beractant were classified as medicines of the same </w:t>
      </w:r>
      <w:r w:rsidR="0085378D" w:rsidRPr="003F1840">
        <w:rPr>
          <w:rFonts w:ascii="Arial" w:eastAsia="Calibri" w:hAnsi="Arial" w:cs="Arial"/>
          <w:kern w:val="0"/>
          <w:sz w:val="24"/>
          <w:szCs w:val="24"/>
          <w:lang w:val="en-GB"/>
          <w14:ligatures w14:val="none"/>
        </w:rPr>
        <w:t xml:space="preserve">therapeutic </w:t>
      </w:r>
      <w:r w:rsidR="00826A5A" w:rsidRPr="003F1840">
        <w:rPr>
          <w:rFonts w:ascii="Arial" w:eastAsia="Calibri" w:hAnsi="Arial" w:cs="Arial"/>
          <w:kern w:val="0"/>
          <w:sz w:val="24"/>
          <w:szCs w:val="24"/>
          <w:lang w:val="en-GB"/>
          <w14:ligatures w14:val="none"/>
        </w:rPr>
        <w:t>class. Clause 20.2 reads as follows:</w:t>
      </w:r>
    </w:p>
    <w:p w14:paraId="2F52C412" w14:textId="77777777" w:rsidR="005A44A8" w:rsidRPr="003F1840" w:rsidRDefault="005A44A8" w:rsidP="003F1840">
      <w:pPr>
        <w:spacing w:after="0" w:line="360" w:lineRule="auto"/>
        <w:ind w:left="141"/>
        <w:contextualSpacing/>
        <w:jc w:val="both"/>
        <w:rPr>
          <w:rFonts w:ascii="Arial" w:eastAsia="Calibri" w:hAnsi="Arial" w:cs="Arial"/>
          <w:kern w:val="0"/>
          <w:sz w:val="24"/>
          <w:szCs w:val="24"/>
          <w:lang w:val="en-GB"/>
          <w14:ligatures w14:val="none"/>
        </w:rPr>
      </w:pPr>
    </w:p>
    <w:p w14:paraId="1538BDD5" w14:textId="77777777" w:rsidR="005A44A8" w:rsidRPr="003F1840" w:rsidRDefault="005A44A8" w:rsidP="003F1840">
      <w:pPr>
        <w:widowControl w:val="0"/>
        <w:autoSpaceDE w:val="0"/>
        <w:autoSpaceDN w:val="0"/>
        <w:spacing w:before="183" w:after="0" w:line="360" w:lineRule="auto"/>
        <w:ind w:left="2469" w:right="1073" w:firstLine="1"/>
        <w:jc w:val="both"/>
        <w:rPr>
          <w:rFonts w:ascii="Arial" w:eastAsia="Arial" w:hAnsi="Arial" w:cs="Arial"/>
          <w:kern w:val="0"/>
          <w:sz w:val="24"/>
          <w:szCs w:val="24"/>
          <w14:ligatures w14:val="none"/>
        </w:rPr>
      </w:pPr>
      <w:r w:rsidRPr="003F1840">
        <w:rPr>
          <w:rFonts w:ascii="Arial" w:eastAsia="Arial" w:hAnsi="Arial" w:cs="Arial"/>
          <w:color w:val="313131"/>
          <w:kern w:val="0"/>
          <w:sz w:val="24"/>
          <w:szCs w:val="24"/>
          <w14:ligatures w14:val="none"/>
        </w:rPr>
        <w:t>"The</w:t>
      </w:r>
      <w:r w:rsidRPr="003F1840">
        <w:rPr>
          <w:rFonts w:ascii="Arial" w:eastAsia="Arial" w:hAnsi="Arial" w:cs="Arial"/>
          <w:color w:val="313131"/>
          <w:spacing w:val="-5"/>
          <w:kern w:val="0"/>
          <w:sz w:val="24"/>
          <w:szCs w:val="24"/>
          <w14:ligatures w14:val="none"/>
        </w:rPr>
        <w:t xml:space="preserve"> </w:t>
      </w:r>
      <w:r w:rsidRPr="003F1840">
        <w:rPr>
          <w:rFonts w:ascii="Arial" w:eastAsia="Arial" w:hAnsi="Arial" w:cs="Arial"/>
          <w:color w:val="1A1A1A"/>
          <w:kern w:val="0"/>
          <w:sz w:val="24"/>
          <w:szCs w:val="24"/>
          <w14:ligatures w14:val="none"/>
        </w:rPr>
        <w:t>Policy for Classifying Medicines into</w:t>
      </w:r>
      <w:r w:rsidRPr="003F1840">
        <w:rPr>
          <w:rFonts w:ascii="Arial" w:eastAsia="Arial" w:hAnsi="Arial" w:cs="Arial"/>
          <w:color w:val="1A1A1A"/>
          <w:spacing w:val="-2"/>
          <w:kern w:val="0"/>
          <w:sz w:val="24"/>
          <w:szCs w:val="24"/>
          <w14:ligatures w14:val="none"/>
        </w:rPr>
        <w:t xml:space="preserve"> </w:t>
      </w:r>
      <w:r w:rsidRPr="003F1840">
        <w:rPr>
          <w:rFonts w:ascii="Arial" w:eastAsia="Arial" w:hAnsi="Arial" w:cs="Arial"/>
          <w:color w:val="1A1A1A"/>
          <w:kern w:val="0"/>
          <w:sz w:val="24"/>
          <w:szCs w:val="24"/>
          <w14:ligatures w14:val="none"/>
        </w:rPr>
        <w:t>Therapeutic Classes for Purposes of Therapeutic Interchange defines a therapeutic class as a group of medicines</w:t>
      </w:r>
      <w:r w:rsidRPr="003F1840">
        <w:rPr>
          <w:rFonts w:ascii="Arial" w:eastAsia="Arial" w:hAnsi="Arial" w:cs="Arial"/>
          <w:color w:val="1A1A1A"/>
          <w:spacing w:val="-3"/>
          <w:kern w:val="0"/>
          <w:sz w:val="24"/>
          <w:szCs w:val="24"/>
          <w14:ligatures w14:val="none"/>
        </w:rPr>
        <w:t xml:space="preserve"> </w:t>
      </w:r>
      <w:r w:rsidRPr="003F1840">
        <w:rPr>
          <w:rFonts w:ascii="Arial" w:eastAsia="Arial" w:hAnsi="Arial" w:cs="Arial"/>
          <w:color w:val="1A1A1A"/>
          <w:kern w:val="0"/>
          <w:sz w:val="24"/>
          <w:szCs w:val="24"/>
          <w14:ligatures w14:val="none"/>
        </w:rPr>
        <w:t>which</w:t>
      </w:r>
      <w:r w:rsidRPr="003F1840">
        <w:rPr>
          <w:rFonts w:ascii="Arial" w:eastAsia="Arial" w:hAnsi="Arial" w:cs="Arial"/>
          <w:color w:val="1A1A1A"/>
          <w:spacing w:val="-6"/>
          <w:kern w:val="0"/>
          <w:sz w:val="24"/>
          <w:szCs w:val="24"/>
          <w14:ligatures w14:val="none"/>
        </w:rPr>
        <w:t xml:space="preserve"> </w:t>
      </w:r>
      <w:r w:rsidRPr="003F1840">
        <w:rPr>
          <w:rFonts w:ascii="Arial" w:eastAsia="Arial" w:hAnsi="Arial" w:cs="Arial"/>
          <w:color w:val="1A1A1A"/>
          <w:kern w:val="0"/>
          <w:sz w:val="24"/>
          <w:szCs w:val="24"/>
          <w14:ligatures w14:val="none"/>
        </w:rPr>
        <w:t>have</w:t>
      </w:r>
      <w:r w:rsidRPr="003F1840">
        <w:rPr>
          <w:rFonts w:ascii="Arial" w:eastAsia="Arial" w:hAnsi="Arial" w:cs="Arial"/>
          <w:color w:val="1A1A1A"/>
          <w:spacing w:val="-10"/>
          <w:kern w:val="0"/>
          <w:sz w:val="24"/>
          <w:szCs w:val="24"/>
          <w14:ligatures w14:val="none"/>
        </w:rPr>
        <w:t xml:space="preserve"> </w:t>
      </w:r>
      <w:r w:rsidRPr="003F1840">
        <w:rPr>
          <w:rFonts w:ascii="Arial" w:eastAsia="Arial" w:hAnsi="Arial" w:cs="Arial"/>
          <w:color w:val="1A1A1A"/>
          <w:kern w:val="0"/>
          <w:sz w:val="24"/>
          <w:szCs w:val="24"/>
          <w14:ligatures w14:val="none"/>
        </w:rPr>
        <w:t>active</w:t>
      </w:r>
      <w:r w:rsidRPr="003F1840">
        <w:rPr>
          <w:rFonts w:ascii="Arial" w:eastAsia="Arial" w:hAnsi="Arial" w:cs="Arial"/>
          <w:color w:val="1A1A1A"/>
          <w:spacing w:val="-5"/>
          <w:kern w:val="0"/>
          <w:sz w:val="24"/>
          <w:szCs w:val="24"/>
          <w14:ligatures w14:val="none"/>
        </w:rPr>
        <w:t xml:space="preserve"> </w:t>
      </w:r>
      <w:r w:rsidRPr="003F1840">
        <w:rPr>
          <w:rFonts w:ascii="Arial" w:eastAsia="Arial" w:hAnsi="Arial" w:cs="Arial"/>
          <w:color w:val="1A1A1A"/>
          <w:kern w:val="0"/>
          <w:sz w:val="24"/>
          <w:szCs w:val="24"/>
          <w14:ligatures w14:val="none"/>
        </w:rPr>
        <w:t>ingredients with</w:t>
      </w:r>
      <w:r w:rsidRPr="003F1840">
        <w:rPr>
          <w:rFonts w:ascii="Arial" w:eastAsia="Arial" w:hAnsi="Arial" w:cs="Arial"/>
          <w:color w:val="1A1A1A"/>
          <w:spacing w:val="-14"/>
          <w:kern w:val="0"/>
          <w:sz w:val="24"/>
          <w:szCs w:val="24"/>
          <w14:ligatures w14:val="none"/>
        </w:rPr>
        <w:t xml:space="preserve"> </w:t>
      </w:r>
      <w:r w:rsidRPr="003F1840">
        <w:rPr>
          <w:rFonts w:ascii="Arial" w:eastAsia="Arial" w:hAnsi="Arial" w:cs="Arial"/>
          <w:color w:val="1A1A1A"/>
          <w:kern w:val="0"/>
          <w:sz w:val="24"/>
          <w:szCs w:val="24"/>
          <w14:ligatures w14:val="none"/>
        </w:rPr>
        <w:t>comparable</w:t>
      </w:r>
      <w:r w:rsidRPr="003F1840">
        <w:rPr>
          <w:rFonts w:ascii="Arial" w:eastAsia="Arial" w:hAnsi="Arial" w:cs="Arial"/>
          <w:color w:val="1A1A1A"/>
          <w:spacing w:val="-4"/>
          <w:kern w:val="0"/>
          <w:sz w:val="24"/>
          <w:szCs w:val="24"/>
          <w14:ligatures w14:val="none"/>
        </w:rPr>
        <w:t xml:space="preserve"> </w:t>
      </w:r>
      <w:r w:rsidRPr="003F1840">
        <w:rPr>
          <w:rFonts w:ascii="Arial" w:eastAsia="Arial" w:hAnsi="Arial" w:cs="Arial"/>
          <w:color w:val="1A1A1A"/>
          <w:kern w:val="0"/>
          <w:sz w:val="24"/>
          <w:szCs w:val="24"/>
          <w14:ligatures w14:val="none"/>
        </w:rPr>
        <w:t xml:space="preserve">therapeutic effects. Medicines </w:t>
      </w:r>
      <w:r w:rsidRPr="003F1840">
        <w:rPr>
          <w:rFonts w:ascii="Arial" w:eastAsia="Arial" w:hAnsi="Arial" w:cs="Arial"/>
          <w:color w:val="313131"/>
          <w:kern w:val="0"/>
          <w:sz w:val="24"/>
          <w:szCs w:val="24"/>
          <w14:ligatures w14:val="none"/>
        </w:rPr>
        <w:t xml:space="preserve">in </w:t>
      </w:r>
      <w:r w:rsidRPr="003F1840">
        <w:rPr>
          <w:rFonts w:ascii="Arial" w:eastAsia="Arial" w:hAnsi="Arial" w:cs="Arial"/>
          <w:color w:val="1A1A1A"/>
          <w:kern w:val="0"/>
          <w:sz w:val="24"/>
          <w:szCs w:val="24"/>
          <w14:ligatures w14:val="none"/>
        </w:rPr>
        <w:t>a therapeutic class may or may not belong to the same pharmacological</w:t>
      </w:r>
      <w:r w:rsidRPr="003F1840">
        <w:rPr>
          <w:rFonts w:ascii="Arial" w:eastAsia="Arial" w:hAnsi="Arial" w:cs="Arial"/>
          <w:color w:val="1A1A1A"/>
          <w:spacing w:val="-12"/>
          <w:kern w:val="0"/>
          <w:sz w:val="24"/>
          <w:szCs w:val="24"/>
          <w14:ligatures w14:val="none"/>
        </w:rPr>
        <w:t xml:space="preserve"> </w:t>
      </w:r>
      <w:r w:rsidRPr="003F1840">
        <w:rPr>
          <w:rFonts w:ascii="Arial" w:eastAsia="Arial" w:hAnsi="Arial" w:cs="Arial"/>
          <w:color w:val="1A1A1A"/>
          <w:kern w:val="0"/>
          <w:sz w:val="24"/>
          <w:szCs w:val="24"/>
          <w14:ligatures w14:val="none"/>
        </w:rPr>
        <w:t>class,</w:t>
      </w:r>
      <w:r w:rsidRPr="003F1840">
        <w:rPr>
          <w:rFonts w:ascii="Arial" w:eastAsia="Arial" w:hAnsi="Arial" w:cs="Arial"/>
          <w:color w:val="1A1A1A"/>
          <w:spacing w:val="-2"/>
          <w:kern w:val="0"/>
          <w:sz w:val="24"/>
          <w:szCs w:val="24"/>
          <w14:ligatures w14:val="none"/>
        </w:rPr>
        <w:t xml:space="preserve"> </w:t>
      </w:r>
      <w:r w:rsidRPr="003F1840">
        <w:rPr>
          <w:rFonts w:ascii="Arial" w:eastAsia="Arial" w:hAnsi="Arial" w:cs="Arial"/>
          <w:color w:val="1A1A1A"/>
          <w:kern w:val="0"/>
          <w:sz w:val="24"/>
          <w:szCs w:val="24"/>
          <w14:ligatures w14:val="none"/>
        </w:rPr>
        <w:t>may</w:t>
      </w:r>
      <w:r w:rsidRPr="003F1840">
        <w:rPr>
          <w:rFonts w:ascii="Arial" w:eastAsia="Arial" w:hAnsi="Arial" w:cs="Arial"/>
          <w:color w:val="1A1A1A"/>
          <w:spacing w:val="-1"/>
          <w:kern w:val="0"/>
          <w:sz w:val="24"/>
          <w:szCs w:val="24"/>
          <w14:ligatures w14:val="none"/>
        </w:rPr>
        <w:t xml:space="preserve"> </w:t>
      </w:r>
      <w:r w:rsidRPr="003F1840">
        <w:rPr>
          <w:rFonts w:ascii="Arial" w:eastAsia="Arial" w:hAnsi="Arial" w:cs="Arial"/>
          <w:color w:val="1A1A1A"/>
          <w:kern w:val="0"/>
          <w:sz w:val="24"/>
          <w:szCs w:val="24"/>
          <w14:ligatures w14:val="none"/>
        </w:rPr>
        <w:t>differ</w:t>
      </w:r>
      <w:r w:rsidRPr="003F1840">
        <w:rPr>
          <w:rFonts w:ascii="Arial" w:eastAsia="Arial" w:hAnsi="Arial" w:cs="Arial"/>
          <w:color w:val="1A1A1A"/>
          <w:spacing w:val="-1"/>
          <w:kern w:val="0"/>
          <w:sz w:val="24"/>
          <w:szCs w:val="24"/>
          <w14:ligatures w14:val="none"/>
        </w:rPr>
        <w:t xml:space="preserve"> </w:t>
      </w:r>
      <w:r w:rsidRPr="003F1840">
        <w:rPr>
          <w:rFonts w:ascii="Arial" w:eastAsia="Arial" w:hAnsi="Arial" w:cs="Arial"/>
          <w:color w:val="1A1A1A"/>
          <w:kern w:val="0"/>
          <w:sz w:val="24"/>
          <w:szCs w:val="24"/>
          <w14:ligatures w14:val="none"/>
        </w:rPr>
        <w:t>in</w:t>
      </w:r>
      <w:r w:rsidRPr="003F1840">
        <w:rPr>
          <w:rFonts w:ascii="Arial" w:eastAsia="Arial" w:hAnsi="Arial" w:cs="Arial"/>
          <w:color w:val="1A1A1A"/>
          <w:spacing w:val="-12"/>
          <w:kern w:val="0"/>
          <w:sz w:val="24"/>
          <w:szCs w:val="24"/>
          <w14:ligatures w14:val="none"/>
        </w:rPr>
        <w:t xml:space="preserve"> </w:t>
      </w:r>
      <w:r w:rsidRPr="003F1840">
        <w:rPr>
          <w:rFonts w:ascii="Arial" w:eastAsia="Arial" w:hAnsi="Arial" w:cs="Arial"/>
          <w:color w:val="1A1A1A"/>
          <w:kern w:val="0"/>
          <w:sz w:val="24"/>
          <w:szCs w:val="24"/>
          <w14:ligatures w14:val="none"/>
        </w:rPr>
        <w:t>chemistry or</w:t>
      </w:r>
      <w:r w:rsidRPr="003F1840">
        <w:rPr>
          <w:rFonts w:ascii="Arial" w:eastAsia="Arial" w:hAnsi="Arial" w:cs="Arial"/>
          <w:color w:val="1A1A1A"/>
          <w:spacing w:val="-7"/>
          <w:kern w:val="0"/>
          <w:sz w:val="24"/>
          <w:szCs w:val="24"/>
          <w14:ligatures w14:val="none"/>
        </w:rPr>
        <w:t xml:space="preserve"> </w:t>
      </w:r>
      <w:r w:rsidRPr="003F1840">
        <w:rPr>
          <w:rFonts w:ascii="Arial" w:eastAsia="Arial" w:hAnsi="Arial" w:cs="Arial"/>
          <w:color w:val="1A1A1A"/>
          <w:kern w:val="0"/>
          <w:sz w:val="24"/>
          <w:szCs w:val="24"/>
          <w14:ligatures w14:val="none"/>
        </w:rPr>
        <w:t>pharmacokinetic</w:t>
      </w:r>
      <w:r w:rsidRPr="003F1840">
        <w:rPr>
          <w:rFonts w:ascii="Arial" w:eastAsia="Arial" w:hAnsi="Arial" w:cs="Arial"/>
          <w:color w:val="1A1A1A"/>
          <w:spacing w:val="-7"/>
          <w:kern w:val="0"/>
          <w:sz w:val="24"/>
          <w:szCs w:val="24"/>
          <w14:ligatures w14:val="none"/>
        </w:rPr>
        <w:t xml:space="preserve"> </w:t>
      </w:r>
      <w:r w:rsidRPr="003F1840">
        <w:rPr>
          <w:rFonts w:ascii="Arial" w:eastAsia="Arial" w:hAnsi="Arial" w:cs="Arial"/>
          <w:color w:val="1A1A1A"/>
          <w:kern w:val="0"/>
          <w:sz w:val="24"/>
          <w:szCs w:val="24"/>
          <w14:ligatures w14:val="none"/>
        </w:rPr>
        <w:t>properties, and may possess different mechanisms of action, result in different adverse reactions, have</w:t>
      </w:r>
      <w:r w:rsidRPr="003F1840">
        <w:rPr>
          <w:rFonts w:ascii="Arial" w:eastAsia="Arial" w:hAnsi="Arial" w:cs="Arial"/>
          <w:color w:val="1A1A1A"/>
          <w:spacing w:val="-1"/>
          <w:kern w:val="0"/>
          <w:sz w:val="24"/>
          <w:szCs w:val="24"/>
          <w14:ligatures w14:val="none"/>
        </w:rPr>
        <w:t xml:space="preserve"> </w:t>
      </w:r>
      <w:r w:rsidRPr="003F1840">
        <w:rPr>
          <w:rFonts w:ascii="Arial" w:eastAsia="Arial" w:hAnsi="Arial" w:cs="Arial"/>
          <w:color w:val="1A1A1A"/>
          <w:kern w:val="0"/>
          <w:sz w:val="24"/>
          <w:szCs w:val="24"/>
          <w14:ligatures w14:val="none"/>
        </w:rPr>
        <w:t>different toxicity and drug</w:t>
      </w:r>
      <w:r w:rsidRPr="003F1840">
        <w:rPr>
          <w:rFonts w:ascii="Arial" w:eastAsia="Arial" w:hAnsi="Arial" w:cs="Arial"/>
          <w:color w:val="1A1A1A"/>
          <w:spacing w:val="-1"/>
          <w:kern w:val="0"/>
          <w:sz w:val="24"/>
          <w:szCs w:val="24"/>
          <w14:ligatures w14:val="none"/>
        </w:rPr>
        <w:t xml:space="preserve"> </w:t>
      </w:r>
      <w:r w:rsidRPr="003F1840">
        <w:rPr>
          <w:rFonts w:ascii="Arial" w:eastAsia="Arial" w:hAnsi="Arial" w:cs="Arial"/>
          <w:color w:val="1A1A1A"/>
          <w:kern w:val="0"/>
          <w:sz w:val="24"/>
          <w:szCs w:val="24"/>
          <w14:ligatures w14:val="none"/>
        </w:rPr>
        <w:t>interaction profiles.</w:t>
      </w:r>
      <w:r w:rsidRPr="003F1840">
        <w:rPr>
          <w:rFonts w:ascii="Arial" w:eastAsia="Arial" w:hAnsi="Arial" w:cs="Arial"/>
          <w:color w:val="1A1A1A"/>
          <w:spacing w:val="40"/>
          <w:kern w:val="0"/>
          <w:sz w:val="24"/>
          <w:szCs w:val="24"/>
          <w14:ligatures w14:val="none"/>
        </w:rPr>
        <w:t xml:space="preserve"> </w:t>
      </w:r>
      <w:r w:rsidRPr="003F1840">
        <w:rPr>
          <w:rFonts w:ascii="Arial" w:eastAsia="Arial" w:hAnsi="Arial" w:cs="Arial"/>
          <w:color w:val="313131"/>
          <w:kern w:val="0"/>
          <w:sz w:val="24"/>
          <w:szCs w:val="24"/>
          <w14:ligatures w14:val="none"/>
        </w:rPr>
        <w:t>In</w:t>
      </w:r>
      <w:r w:rsidRPr="003F1840">
        <w:rPr>
          <w:rFonts w:ascii="Arial" w:eastAsia="Arial" w:hAnsi="Arial" w:cs="Arial"/>
          <w:color w:val="313131"/>
          <w:spacing w:val="-9"/>
          <w:kern w:val="0"/>
          <w:sz w:val="24"/>
          <w:szCs w:val="24"/>
          <w14:ligatures w14:val="none"/>
        </w:rPr>
        <w:t xml:space="preserve"> </w:t>
      </w:r>
      <w:r w:rsidRPr="003F1840">
        <w:rPr>
          <w:rFonts w:ascii="Arial" w:eastAsia="Arial" w:hAnsi="Arial" w:cs="Arial"/>
          <w:color w:val="1A1A1A"/>
          <w:kern w:val="0"/>
          <w:sz w:val="24"/>
          <w:szCs w:val="24"/>
          <w14:ligatures w14:val="none"/>
        </w:rPr>
        <w:t>most</w:t>
      </w:r>
      <w:r w:rsidRPr="003F1840">
        <w:rPr>
          <w:rFonts w:ascii="Arial" w:eastAsia="Arial" w:hAnsi="Arial" w:cs="Arial"/>
          <w:color w:val="1A1A1A"/>
          <w:spacing w:val="-3"/>
          <w:kern w:val="0"/>
          <w:sz w:val="24"/>
          <w:szCs w:val="24"/>
          <w14:ligatures w14:val="none"/>
        </w:rPr>
        <w:t xml:space="preserve"> </w:t>
      </w:r>
      <w:r w:rsidRPr="003F1840">
        <w:rPr>
          <w:rFonts w:ascii="Arial" w:eastAsia="Arial" w:hAnsi="Arial" w:cs="Arial"/>
          <w:color w:val="1A1A1A"/>
          <w:kern w:val="0"/>
          <w:sz w:val="24"/>
          <w:szCs w:val="24"/>
          <w14:ligatures w14:val="none"/>
        </w:rPr>
        <w:t>cases</w:t>
      </w:r>
      <w:r w:rsidRPr="003F1840">
        <w:rPr>
          <w:rFonts w:ascii="Arial" w:eastAsia="Arial" w:hAnsi="Arial" w:cs="Arial"/>
          <w:color w:val="464646"/>
          <w:kern w:val="0"/>
          <w:sz w:val="24"/>
          <w:szCs w:val="24"/>
          <w14:ligatures w14:val="none"/>
        </w:rPr>
        <w:t xml:space="preserve">, </w:t>
      </w:r>
      <w:r w:rsidRPr="003F1840">
        <w:rPr>
          <w:rFonts w:ascii="Arial" w:eastAsia="Arial" w:hAnsi="Arial" w:cs="Arial"/>
          <w:color w:val="1A1A1A"/>
          <w:kern w:val="0"/>
          <w:sz w:val="24"/>
          <w:szCs w:val="24"/>
          <w14:ligatures w14:val="none"/>
        </w:rPr>
        <w:t>these medicines have close similarity in efficacy and safety profiles, when administered in equipotent doses for a specific indication.</w:t>
      </w:r>
    </w:p>
    <w:p w14:paraId="3CD75F4F" w14:textId="77777777" w:rsidR="005A44A8" w:rsidRPr="003F1840" w:rsidRDefault="005A44A8" w:rsidP="003F1840">
      <w:pPr>
        <w:widowControl w:val="0"/>
        <w:autoSpaceDE w:val="0"/>
        <w:autoSpaceDN w:val="0"/>
        <w:spacing w:before="197" w:after="0" w:line="360" w:lineRule="auto"/>
        <w:ind w:left="2471" w:right="1081" w:firstLine="3"/>
        <w:jc w:val="both"/>
        <w:rPr>
          <w:rFonts w:ascii="Arial" w:eastAsia="Arial" w:hAnsi="Arial" w:cs="Arial"/>
          <w:kern w:val="0"/>
          <w:sz w:val="24"/>
          <w:szCs w:val="24"/>
          <w14:ligatures w14:val="none"/>
        </w:rPr>
      </w:pPr>
      <w:r w:rsidRPr="003F1840">
        <w:rPr>
          <w:rFonts w:ascii="Arial" w:eastAsia="Arial" w:hAnsi="Arial" w:cs="Arial"/>
          <w:color w:val="1A1A1A"/>
          <w:kern w:val="0"/>
          <w:sz w:val="24"/>
          <w:szCs w:val="24"/>
          <w14:ligatures w14:val="none"/>
        </w:rPr>
        <w:t>The ministerially appointed National Essential Medicines List Committee (NEMLC)</w:t>
      </w:r>
      <w:r w:rsidRPr="003F1840">
        <w:rPr>
          <w:rFonts w:ascii="Arial" w:eastAsia="Arial" w:hAnsi="Arial" w:cs="Arial"/>
          <w:color w:val="1A1A1A"/>
          <w:spacing w:val="-5"/>
          <w:kern w:val="0"/>
          <w:sz w:val="24"/>
          <w:szCs w:val="24"/>
          <w14:ligatures w14:val="none"/>
        </w:rPr>
        <w:t xml:space="preserve"> </w:t>
      </w:r>
      <w:r w:rsidRPr="003F1840">
        <w:rPr>
          <w:rFonts w:ascii="Arial" w:eastAsia="Arial" w:hAnsi="Arial" w:cs="Arial"/>
          <w:color w:val="1A1A1A"/>
          <w:kern w:val="0"/>
          <w:sz w:val="24"/>
          <w:szCs w:val="24"/>
          <w14:ligatures w14:val="none"/>
        </w:rPr>
        <w:t>formulates and</w:t>
      </w:r>
      <w:r w:rsidRPr="003F1840">
        <w:rPr>
          <w:rFonts w:ascii="Arial" w:eastAsia="Arial" w:hAnsi="Arial" w:cs="Arial"/>
          <w:color w:val="1A1A1A"/>
          <w:spacing w:val="-1"/>
          <w:kern w:val="0"/>
          <w:sz w:val="24"/>
          <w:szCs w:val="24"/>
          <w14:ligatures w14:val="none"/>
        </w:rPr>
        <w:t xml:space="preserve"> </w:t>
      </w:r>
      <w:r w:rsidRPr="003F1840">
        <w:rPr>
          <w:rFonts w:ascii="Arial" w:eastAsia="Arial" w:hAnsi="Arial" w:cs="Arial"/>
          <w:color w:val="1A1A1A"/>
          <w:kern w:val="0"/>
          <w:sz w:val="24"/>
          <w:szCs w:val="24"/>
          <w14:ligatures w14:val="none"/>
        </w:rPr>
        <w:t>revises the</w:t>
      </w:r>
      <w:r w:rsidRPr="003F1840">
        <w:rPr>
          <w:rFonts w:ascii="Arial" w:eastAsia="Arial" w:hAnsi="Arial" w:cs="Arial"/>
          <w:color w:val="1A1A1A"/>
          <w:spacing w:val="-4"/>
          <w:kern w:val="0"/>
          <w:sz w:val="24"/>
          <w:szCs w:val="24"/>
          <w14:ligatures w14:val="none"/>
        </w:rPr>
        <w:t xml:space="preserve"> </w:t>
      </w:r>
      <w:r w:rsidRPr="003F1840">
        <w:rPr>
          <w:rFonts w:ascii="Arial" w:eastAsia="Arial" w:hAnsi="Arial" w:cs="Arial"/>
          <w:color w:val="1A1A1A"/>
          <w:kern w:val="0"/>
          <w:sz w:val="24"/>
          <w:szCs w:val="24"/>
          <w14:ligatures w14:val="none"/>
        </w:rPr>
        <w:t>Standard Treatment (STGs) Guidelines and Essential Medicines List (EML).</w:t>
      </w:r>
      <w:r w:rsidRPr="003F1840">
        <w:rPr>
          <w:rFonts w:ascii="Arial" w:eastAsia="Arial" w:hAnsi="Arial" w:cs="Arial"/>
          <w:color w:val="1A1A1A"/>
          <w:spacing w:val="40"/>
          <w:kern w:val="0"/>
          <w:sz w:val="24"/>
          <w:szCs w:val="24"/>
          <w14:ligatures w14:val="none"/>
        </w:rPr>
        <w:t xml:space="preserve"> </w:t>
      </w:r>
      <w:r w:rsidRPr="003F1840">
        <w:rPr>
          <w:rFonts w:ascii="Arial" w:eastAsia="Arial" w:hAnsi="Arial" w:cs="Arial"/>
          <w:color w:val="1A1A1A"/>
          <w:kern w:val="0"/>
          <w:sz w:val="24"/>
          <w:szCs w:val="24"/>
          <w14:ligatures w14:val="none"/>
        </w:rPr>
        <w:t>Therapeutic classes are mentioned in the</w:t>
      </w:r>
      <w:r w:rsidRPr="003F1840">
        <w:rPr>
          <w:rFonts w:ascii="Arial" w:eastAsia="Arial" w:hAnsi="Arial" w:cs="Arial"/>
          <w:color w:val="1A1A1A"/>
          <w:spacing w:val="-3"/>
          <w:kern w:val="0"/>
          <w:sz w:val="24"/>
          <w:szCs w:val="24"/>
          <w14:ligatures w14:val="none"/>
        </w:rPr>
        <w:t xml:space="preserve"> </w:t>
      </w:r>
      <w:r w:rsidRPr="003F1840">
        <w:rPr>
          <w:rFonts w:ascii="Arial" w:eastAsia="Arial" w:hAnsi="Arial" w:cs="Arial"/>
          <w:color w:val="1A1A1A"/>
          <w:kern w:val="0"/>
          <w:sz w:val="24"/>
          <w:szCs w:val="24"/>
          <w14:ligatures w14:val="none"/>
        </w:rPr>
        <w:t>"Medicine treatment" section</w:t>
      </w:r>
      <w:r w:rsidRPr="003F1840">
        <w:rPr>
          <w:rFonts w:ascii="Arial" w:eastAsia="Arial" w:hAnsi="Arial" w:cs="Arial"/>
          <w:color w:val="1A1A1A"/>
          <w:spacing w:val="-7"/>
          <w:kern w:val="0"/>
          <w:sz w:val="24"/>
          <w:szCs w:val="24"/>
          <w14:ligatures w14:val="none"/>
        </w:rPr>
        <w:t xml:space="preserve"> </w:t>
      </w:r>
      <w:r w:rsidRPr="003F1840">
        <w:rPr>
          <w:rFonts w:ascii="Arial" w:eastAsia="Arial" w:hAnsi="Arial" w:cs="Arial"/>
          <w:color w:val="1A1A1A"/>
          <w:kern w:val="0"/>
          <w:sz w:val="24"/>
          <w:szCs w:val="24"/>
          <w14:ligatures w14:val="none"/>
        </w:rPr>
        <w:t>of</w:t>
      </w:r>
      <w:r w:rsidRPr="003F1840">
        <w:rPr>
          <w:rFonts w:ascii="Arial" w:eastAsia="Arial" w:hAnsi="Arial" w:cs="Arial"/>
          <w:color w:val="1A1A1A"/>
          <w:spacing w:val="-4"/>
          <w:kern w:val="0"/>
          <w:sz w:val="24"/>
          <w:szCs w:val="24"/>
          <w14:ligatures w14:val="none"/>
        </w:rPr>
        <w:t xml:space="preserve"> </w:t>
      </w:r>
      <w:r w:rsidRPr="003F1840">
        <w:rPr>
          <w:rFonts w:ascii="Arial" w:eastAsia="Arial" w:hAnsi="Arial" w:cs="Arial"/>
          <w:color w:val="1A1A1A"/>
          <w:kern w:val="0"/>
          <w:sz w:val="24"/>
          <w:szCs w:val="24"/>
          <w14:ligatures w14:val="none"/>
        </w:rPr>
        <w:t>the</w:t>
      </w:r>
      <w:r w:rsidRPr="003F1840">
        <w:rPr>
          <w:rFonts w:ascii="Arial" w:eastAsia="Arial" w:hAnsi="Arial" w:cs="Arial"/>
          <w:color w:val="1A1A1A"/>
          <w:spacing w:val="-7"/>
          <w:kern w:val="0"/>
          <w:sz w:val="24"/>
          <w:szCs w:val="24"/>
          <w14:ligatures w14:val="none"/>
        </w:rPr>
        <w:t xml:space="preserve"> </w:t>
      </w:r>
      <w:r w:rsidRPr="003F1840">
        <w:rPr>
          <w:rFonts w:ascii="Arial" w:eastAsia="Arial" w:hAnsi="Arial" w:cs="Arial"/>
          <w:color w:val="1A1A1A"/>
          <w:kern w:val="0"/>
          <w:sz w:val="24"/>
          <w:szCs w:val="24"/>
          <w14:ligatures w14:val="none"/>
        </w:rPr>
        <w:t>national STGs</w:t>
      </w:r>
      <w:r w:rsidRPr="003F1840">
        <w:rPr>
          <w:rFonts w:ascii="Arial" w:eastAsia="Arial" w:hAnsi="Arial" w:cs="Arial"/>
          <w:color w:val="1A1A1A"/>
          <w:spacing w:val="-4"/>
          <w:kern w:val="0"/>
          <w:sz w:val="24"/>
          <w:szCs w:val="24"/>
          <w14:ligatures w14:val="none"/>
        </w:rPr>
        <w:t xml:space="preserve"> </w:t>
      </w:r>
      <w:r w:rsidRPr="003F1840">
        <w:rPr>
          <w:rFonts w:ascii="Arial" w:eastAsia="Arial" w:hAnsi="Arial" w:cs="Arial"/>
          <w:color w:val="1A1A1A"/>
          <w:kern w:val="0"/>
          <w:sz w:val="24"/>
          <w:szCs w:val="24"/>
          <w14:ligatures w14:val="none"/>
        </w:rPr>
        <w:t>which</w:t>
      </w:r>
      <w:r w:rsidRPr="003F1840">
        <w:rPr>
          <w:rFonts w:ascii="Arial" w:eastAsia="Arial" w:hAnsi="Arial" w:cs="Arial"/>
          <w:color w:val="1A1A1A"/>
          <w:spacing w:val="-6"/>
          <w:kern w:val="0"/>
          <w:sz w:val="24"/>
          <w:szCs w:val="24"/>
          <w14:ligatures w14:val="none"/>
        </w:rPr>
        <w:t xml:space="preserve"> </w:t>
      </w:r>
      <w:r w:rsidRPr="003F1840">
        <w:rPr>
          <w:rFonts w:ascii="Arial" w:eastAsia="Arial" w:hAnsi="Arial" w:cs="Arial"/>
          <w:color w:val="1A1A1A"/>
          <w:kern w:val="0"/>
          <w:sz w:val="24"/>
          <w:szCs w:val="24"/>
          <w14:ligatures w14:val="none"/>
        </w:rPr>
        <w:t>provides a</w:t>
      </w:r>
      <w:r w:rsidRPr="003F1840">
        <w:rPr>
          <w:rFonts w:ascii="Arial" w:eastAsia="Arial" w:hAnsi="Arial" w:cs="Arial"/>
          <w:color w:val="1A1A1A"/>
          <w:spacing w:val="-11"/>
          <w:kern w:val="0"/>
          <w:sz w:val="24"/>
          <w:szCs w:val="24"/>
          <w14:ligatures w14:val="none"/>
        </w:rPr>
        <w:t xml:space="preserve"> </w:t>
      </w:r>
      <w:r w:rsidRPr="003F1840">
        <w:rPr>
          <w:rFonts w:ascii="Arial" w:eastAsia="Arial" w:hAnsi="Arial" w:cs="Arial"/>
          <w:color w:val="1A1A1A"/>
          <w:kern w:val="0"/>
          <w:sz w:val="24"/>
          <w:szCs w:val="24"/>
          <w14:ligatures w14:val="none"/>
        </w:rPr>
        <w:t>class of</w:t>
      </w:r>
      <w:r w:rsidRPr="003F1840">
        <w:rPr>
          <w:rFonts w:ascii="Arial" w:eastAsia="Arial" w:hAnsi="Arial" w:cs="Arial"/>
          <w:color w:val="1A1A1A"/>
          <w:spacing w:val="-3"/>
          <w:kern w:val="0"/>
          <w:sz w:val="24"/>
          <w:szCs w:val="24"/>
          <w14:ligatures w14:val="none"/>
        </w:rPr>
        <w:t xml:space="preserve"> </w:t>
      </w:r>
      <w:r w:rsidRPr="003F1840">
        <w:rPr>
          <w:rFonts w:ascii="Arial" w:eastAsia="Arial" w:hAnsi="Arial" w:cs="Arial"/>
          <w:color w:val="1A1A1A"/>
          <w:kern w:val="0"/>
          <w:sz w:val="24"/>
          <w:szCs w:val="24"/>
          <w14:ligatures w14:val="none"/>
        </w:rPr>
        <w:t>medicines followed by</w:t>
      </w:r>
      <w:r w:rsidRPr="003F1840">
        <w:rPr>
          <w:rFonts w:ascii="Arial" w:eastAsia="Arial" w:hAnsi="Arial" w:cs="Arial"/>
          <w:color w:val="1A1A1A"/>
          <w:spacing w:val="-1"/>
          <w:kern w:val="0"/>
          <w:sz w:val="24"/>
          <w:szCs w:val="24"/>
          <w14:ligatures w14:val="none"/>
        </w:rPr>
        <w:t xml:space="preserve"> </w:t>
      </w:r>
      <w:r w:rsidRPr="003F1840">
        <w:rPr>
          <w:rFonts w:ascii="Arial" w:eastAsia="Arial" w:hAnsi="Arial" w:cs="Arial"/>
          <w:color w:val="1A1A1A"/>
          <w:kern w:val="0"/>
          <w:sz w:val="24"/>
          <w:szCs w:val="24"/>
          <w14:ligatures w14:val="none"/>
        </w:rPr>
        <w:t>an</w:t>
      </w:r>
      <w:r w:rsidRPr="003F1840">
        <w:rPr>
          <w:rFonts w:ascii="Arial" w:eastAsia="Arial" w:hAnsi="Arial" w:cs="Arial"/>
          <w:color w:val="1A1A1A"/>
          <w:spacing w:val="-10"/>
          <w:kern w:val="0"/>
          <w:sz w:val="24"/>
          <w:szCs w:val="24"/>
          <w14:ligatures w14:val="none"/>
        </w:rPr>
        <w:t xml:space="preserve"> </w:t>
      </w:r>
      <w:r w:rsidRPr="003F1840">
        <w:rPr>
          <w:rFonts w:ascii="Arial" w:eastAsia="Arial" w:hAnsi="Arial" w:cs="Arial"/>
          <w:color w:val="1A1A1A"/>
          <w:kern w:val="0"/>
          <w:sz w:val="24"/>
          <w:szCs w:val="24"/>
          <w14:ligatures w14:val="none"/>
        </w:rPr>
        <w:t>example such</w:t>
      </w:r>
      <w:r w:rsidRPr="003F1840">
        <w:rPr>
          <w:rFonts w:ascii="Arial" w:eastAsia="Arial" w:hAnsi="Arial" w:cs="Arial"/>
          <w:color w:val="1A1A1A"/>
          <w:spacing w:val="-7"/>
          <w:kern w:val="0"/>
          <w:sz w:val="24"/>
          <w:szCs w:val="24"/>
          <w14:ligatures w14:val="none"/>
        </w:rPr>
        <w:t xml:space="preserve"> </w:t>
      </w:r>
      <w:r w:rsidRPr="003F1840">
        <w:rPr>
          <w:rFonts w:ascii="Arial" w:eastAsia="Arial" w:hAnsi="Arial" w:cs="Arial"/>
          <w:color w:val="1A1A1A"/>
          <w:kern w:val="0"/>
          <w:sz w:val="24"/>
          <w:szCs w:val="24"/>
          <w14:ligatures w14:val="none"/>
        </w:rPr>
        <w:t>as,</w:t>
      </w:r>
      <w:r w:rsidRPr="003F1840">
        <w:rPr>
          <w:rFonts w:ascii="Arial" w:eastAsia="Arial" w:hAnsi="Arial" w:cs="Arial"/>
          <w:color w:val="1A1A1A"/>
          <w:spacing w:val="-6"/>
          <w:kern w:val="0"/>
          <w:sz w:val="24"/>
          <w:szCs w:val="24"/>
          <w14:ligatures w14:val="none"/>
        </w:rPr>
        <w:t xml:space="preserve"> </w:t>
      </w:r>
      <w:r w:rsidRPr="003F1840">
        <w:rPr>
          <w:rFonts w:ascii="Arial" w:eastAsia="Arial" w:hAnsi="Arial" w:cs="Arial"/>
          <w:color w:val="1A1A1A"/>
          <w:kern w:val="0"/>
          <w:sz w:val="24"/>
          <w:szCs w:val="24"/>
          <w14:ligatures w14:val="none"/>
        </w:rPr>
        <w:t>HMGCoA reductase inhibitors (Statins)</w:t>
      </w:r>
      <w:r w:rsidRPr="003F1840">
        <w:rPr>
          <w:rFonts w:ascii="Arial" w:eastAsia="Arial" w:hAnsi="Arial" w:cs="Arial"/>
          <w:color w:val="1A1A1A"/>
          <w:spacing w:val="-7"/>
          <w:kern w:val="0"/>
          <w:sz w:val="24"/>
          <w:szCs w:val="24"/>
          <w14:ligatures w14:val="none"/>
        </w:rPr>
        <w:t xml:space="preserve"> </w:t>
      </w:r>
      <w:r w:rsidRPr="003F1840">
        <w:rPr>
          <w:rFonts w:ascii="Arial" w:eastAsia="Arial" w:hAnsi="Arial" w:cs="Arial"/>
          <w:color w:val="1A1A1A"/>
          <w:kern w:val="0"/>
          <w:sz w:val="24"/>
          <w:szCs w:val="24"/>
          <w14:ligatures w14:val="none"/>
        </w:rPr>
        <w:t>e.g</w:t>
      </w:r>
      <w:r w:rsidRPr="003F1840">
        <w:rPr>
          <w:rFonts w:ascii="Arial" w:eastAsia="Arial" w:hAnsi="Arial" w:cs="Arial"/>
          <w:color w:val="5E5E5E"/>
          <w:kern w:val="0"/>
          <w:sz w:val="24"/>
          <w:szCs w:val="24"/>
          <w14:ligatures w14:val="none"/>
        </w:rPr>
        <w:t>.</w:t>
      </w:r>
      <w:r w:rsidRPr="003F1840">
        <w:rPr>
          <w:rFonts w:ascii="Arial" w:eastAsia="Arial" w:hAnsi="Arial" w:cs="Arial"/>
          <w:color w:val="5E5E5E"/>
          <w:spacing w:val="-13"/>
          <w:kern w:val="0"/>
          <w:sz w:val="24"/>
          <w:szCs w:val="24"/>
          <w14:ligatures w14:val="none"/>
        </w:rPr>
        <w:t xml:space="preserve"> </w:t>
      </w:r>
      <w:r w:rsidRPr="003F1840">
        <w:rPr>
          <w:rFonts w:ascii="Arial" w:eastAsia="Arial" w:hAnsi="Arial" w:cs="Arial"/>
          <w:color w:val="1A1A1A"/>
          <w:kern w:val="0"/>
          <w:sz w:val="24"/>
          <w:szCs w:val="24"/>
          <w14:ligatures w14:val="none"/>
        </w:rPr>
        <w:t>simavastatin.</w:t>
      </w:r>
      <w:r w:rsidRPr="003F1840">
        <w:rPr>
          <w:rFonts w:ascii="Arial" w:eastAsia="Arial" w:hAnsi="Arial" w:cs="Arial"/>
          <w:color w:val="1A1A1A"/>
          <w:spacing w:val="40"/>
          <w:kern w:val="0"/>
          <w:sz w:val="24"/>
          <w:szCs w:val="24"/>
          <w14:ligatures w14:val="none"/>
        </w:rPr>
        <w:t xml:space="preserve"> </w:t>
      </w:r>
      <w:r w:rsidRPr="003F1840">
        <w:rPr>
          <w:rFonts w:ascii="Arial" w:eastAsia="Arial" w:hAnsi="Arial" w:cs="Arial"/>
          <w:color w:val="1A1A1A"/>
          <w:kern w:val="0"/>
          <w:sz w:val="24"/>
          <w:szCs w:val="24"/>
          <w14:ligatures w14:val="none"/>
        </w:rPr>
        <w:t>These</w:t>
      </w:r>
      <w:r w:rsidRPr="003F1840">
        <w:rPr>
          <w:rFonts w:ascii="Arial" w:eastAsia="Arial" w:hAnsi="Arial" w:cs="Arial"/>
          <w:color w:val="1A1A1A"/>
          <w:spacing w:val="-7"/>
          <w:kern w:val="0"/>
          <w:sz w:val="24"/>
          <w:szCs w:val="24"/>
          <w14:ligatures w14:val="none"/>
        </w:rPr>
        <w:t xml:space="preserve"> </w:t>
      </w:r>
      <w:r w:rsidRPr="003F1840">
        <w:rPr>
          <w:rFonts w:ascii="Arial" w:eastAsia="Arial" w:hAnsi="Arial" w:cs="Arial"/>
          <w:color w:val="1A1A1A"/>
          <w:kern w:val="0"/>
          <w:sz w:val="24"/>
          <w:szCs w:val="24"/>
          <w14:ligatures w14:val="none"/>
        </w:rPr>
        <w:t>therapeut</w:t>
      </w:r>
      <w:r w:rsidRPr="003F1840">
        <w:rPr>
          <w:rFonts w:ascii="Arial" w:eastAsia="Arial" w:hAnsi="Arial" w:cs="Arial"/>
          <w:color w:val="464646"/>
          <w:kern w:val="0"/>
          <w:sz w:val="24"/>
          <w:szCs w:val="24"/>
          <w14:ligatures w14:val="none"/>
        </w:rPr>
        <w:t>i</w:t>
      </w:r>
      <w:r w:rsidRPr="003F1840">
        <w:rPr>
          <w:rFonts w:ascii="Arial" w:eastAsia="Arial" w:hAnsi="Arial" w:cs="Arial"/>
          <w:color w:val="1A1A1A"/>
          <w:kern w:val="0"/>
          <w:sz w:val="24"/>
          <w:szCs w:val="24"/>
          <w14:ligatures w14:val="none"/>
        </w:rPr>
        <w:t>c</w:t>
      </w:r>
      <w:r w:rsidRPr="003F1840">
        <w:rPr>
          <w:rFonts w:ascii="Arial" w:eastAsia="Arial" w:hAnsi="Arial" w:cs="Arial"/>
          <w:color w:val="1A1A1A"/>
          <w:spacing w:val="-9"/>
          <w:kern w:val="0"/>
          <w:sz w:val="24"/>
          <w:szCs w:val="24"/>
          <w14:ligatures w14:val="none"/>
        </w:rPr>
        <w:t xml:space="preserve"> </w:t>
      </w:r>
      <w:r w:rsidRPr="003F1840">
        <w:rPr>
          <w:rFonts w:ascii="Arial" w:eastAsia="Arial" w:hAnsi="Arial" w:cs="Arial"/>
          <w:color w:val="1A1A1A"/>
          <w:kern w:val="0"/>
          <w:sz w:val="24"/>
          <w:szCs w:val="24"/>
          <w14:ligatures w14:val="none"/>
        </w:rPr>
        <w:lastRenderedPageBreak/>
        <w:t>classes have</w:t>
      </w:r>
      <w:r w:rsidRPr="003F1840">
        <w:rPr>
          <w:rFonts w:ascii="Arial" w:eastAsia="Arial" w:hAnsi="Arial" w:cs="Arial"/>
          <w:color w:val="1A1A1A"/>
          <w:spacing w:val="-4"/>
          <w:kern w:val="0"/>
          <w:sz w:val="24"/>
          <w:szCs w:val="24"/>
          <w14:ligatures w14:val="none"/>
        </w:rPr>
        <w:t xml:space="preserve"> </w:t>
      </w:r>
      <w:r w:rsidRPr="003F1840">
        <w:rPr>
          <w:rFonts w:ascii="Arial" w:eastAsia="Arial" w:hAnsi="Arial" w:cs="Arial"/>
          <w:color w:val="1A1A1A"/>
          <w:kern w:val="0"/>
          <w:sz w:val="24"/>
          <w:szCs w:val="24"/>
          <w14:ligatures w14:val="none"/>
        </w:rPr>
        <w:t>been designated where none of the members of the class offer any significant benefit over members of the class for a specific indication.</w:t>
      </w:r>
      <w:r w:rsidRPr="003F1840">
        <w:rPr>
          <w:rFonts w:ascii="Arial" w:eastAsia="Arial" w:hAnsi="Arial" w:cs="Arial"/>
          <w:color w:val="1A1A1A"/>
          <w:spacing w:val="40"/>
          <w:kern w:val="0"/>
          <w:sz w:val="24"/>
          <w:szCs w:val="24"/>
          <w14:ligatures w14:val="none"/>
        </w:rPr>
        <w:t xml:space="preserve"> </w:t>
      </w:r>
      <w:r w:rsidRPr="003F1840">
        <w:rPr>
          <w:rFonts w:ascii="Arial" w:eastAsia="Arial" w:hAnsi="Arial" w:cs="Arial"/>
          <w:color w:val="1A1A1A"/>
          <w:kern w:val="0"/>
          <w:sz w:val="24"/>
          <w:szCs w:val="24"/>
          <w14:ligatures w14:val="none"/>
        </w:rPr>
        <w:t>The NEMLC will designate therapeutic classes for a condition, where appropriate</w:t>
      </w:r>
      <w:r w:rsidRPr="003F1840">
        <w:rPr>
          <w:rFonts w:ascii="Arial" w:eastAsia="Arial" w:hAnsi="Arial" w:cs="Arial"/>
          <w:color w:val="464646"/>
          <w:kern w:val="0"/>
          <w:sz w:val="24"/>
          <w:szCs w:val="24"/>
          <w14:ligatures w14:val="none"/>
        </w:rPr>
        <w:t>."</w:t>
      </w:r>
    </w:p>
    <w:p w14:paraId="260A73BF" w14:textId="0E42AF7B" w:rsidR="00826A5A" w:rsidRPr="003F1840" w:rsidRDefault="00826A5A" w:rsidP="003F1840">
      <w:pPr>
        <w:spacing w:after="0" w:line="360" w:lineRule="auto"/>
        <w:ind w:left="2160"/>
        <w:contextualSpacing/>
        <w:jc w:val="both"/>
        <w:rPr>
          <w:rFonts w:ascii="Arial" w:eastAsia="Calibri" w:hAnsi="Arial" w:cs="Arial"/>
          <w:kern w:val="0"/>
          <w:sz w:val="24"/>
          <w:szCs w:val="24"/>
          <w:lang w:val="en-GB"/>
          <w14:ligatures w14:val="none"/>
        </w:rPr>
      </w:pPr>
    </w:p>
    <w:p w14:paraId="1F6FAB5B" w14:textId="77777777" w:rsidR="00A65CBD" w:rsidRPr="003F1840" w:rsidRDefault="00A65CBD" w:rsidP="003F1840">
      <w:pPr>
        <w:spacing w:after="0" w:line="360" w:lineRule="auto"/>
        <w:ind w:left="501"/>
        <w:contextualSpacing/>
        <w:jc w:val="both"/>
        <w:rPr>
          <w:rFonts w:ascii="Arial" w:eastAsia="Calibri" w:hAnsi="Arial" w:cs="Arial"/>
          <w:kern w:val="0"/>
          <w:sz w:val="24"/>
          <w:szCs w:val="24"/>
          <w:lang w:val="en-GB"/>
          <w14:ligatures w14:val="none"/>
        </w:rPr>
      </w:pPr>
    </w:p>
    <w:p w14:paraId="0442E3E2" w14:textId="77777777" w:rsidR="0085378D" w:rsidRPr="003F1840" w:rsidRDefault="0085378D" w:rsidP="003F1840">
      <w:pPr>
        <w:spacing w:after="0" w:line="360" w:lineRule="auto"/>
        <w:ind w:left="501"/>
        <w:contextualSpacing/>
        <w:jc w:val="both"/>
        <w:rPr>
          <w:rFonts w:ascii="Arial" w:eastAsia="Calibri" w:hAnsi="Arial" w:cs="Arial"/>
          <w:kern w:val="0"/>
          <w:sz w:val="24"/>
          <w:szCs w:val="24"/>
          <w:lang w:val="en-GB"/>
          <w14:ligatures w14:val="none"/>
        </w:rPr>
      </w:pPr>
    </w:p>
    <w:p w14:paraId="02785826" w14:textId="157B20F5" w:rsidR="00A65CBD" w:rsidRPr="003F1840" w:rsidRDefault="0085378D" w:rsidP="003F1840">
      <w:pPr>
        <w:spacing w:after="0" w:line="360" w:lineRule="auto"/>
        <w:ind w:left="141"/>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Central to the definition of a therapeutic class is the grouping together of medicines which have active ingredients with comparable therapeutic effect</w:t>
      </w:r>
      <w:r w:rsidR="00885172" w:rsidRPr="003F1840">
        <w:rPr>
          <w:rFonts w:ascii="Arial" w:eastAsia="Calibri" w:hAnsi="Arial" w:cs="Arial"/>
          <w:kern w:val="0"/>
          <w:sz w:val="24"/>
          <w:szCs w:val="24"/>
          <w:lang w:val="en-GB"/>
          <w14:ligatures w14:val="none"/>
        </w:rPr>
        <w:t>s</w:t>
      </w:r>
      <w:r w:rsidR="004D753D" w:rsidRPr="003F1840">
        <w:rPr>
          <w:rFonts w:ascii="Arial" w:eastAsia="Calibri" w:hAnsi="Arial" w:cs="Arial"/>
          <w:kern w:val="0"/>
          <w:sz w:val="24"/>
          <w:szCs w:val="24"/>
          <w:lang w:val="en-GB"/>
          <w14:ligatures w14:val="none"/>
        </w:rPr>
        <w:t xml:space="preserve">. These medicines may or may not belong to the </w:t>
      </w:r>
      <w:r w:rsidR="00885172" w:rsidRPr="003F1840">
        <w:rPr>
          <w:rFonts w:ascii="Arial" w:eastAsia="Calibri" w:hAnsi="Arial" w:cs="Arial"/>
          <w:kern w:val="0"/>
          <w:sz w:val="24"/>
          <w:szCs w:val="24"/>
          <w:lang w:val="en-GB"/>
          <w14:ligatures w14:val="none"/>
        </w:rPr>
        <w:t xml:space="preserve">same </w:t>
      </w:r>
      <w:r w:rsidR="004D753D" w:rsidRPr="003F1840">
        <w:rPr>
          <w:rFonts w:ascii="Arial" w:eastAsia="Calibri" w:hAnsi="Arial" w:cs="Arial"/>
          <w:kern w:val="0"/>
          <w:sz w:val="24"/>
          <w:szCs w:val="24"/>
          <w:lang w:val="en-GB"/>
          <w14:ligatures w14:val="none"/>
        </w:rPr>
        <w:t>pharmacological class.</w:t>
      </w:r>
    </w:p>
    <w:p w14:paraId="1D2C8C70" w14:textId="77777777" w:rsidR="004D753D" w:rsidRPr="003F1840" w:rsidRDefault="004D753D" w:rsidP="003F1840">
      <w:pPr>
        <w:spacing w:after="0" w:line="360" w:lineRule="auto"/>
        <w:ind w:left="141"/>
        <w:contextualSpacing/>
        <w:jc w:val="both"/>
        <w:rPr>
          <w:rFonts w:ascii="Arial" w:eastAsia="Calibri" w:hAnsi="Arial" w:cs="Arial"/>
          <w:kern w:val="0"/>
          <w:sz w:val="24"/>
          <w:szCs w:val="24"/>
          <w:lang w:val="en-GB"/>
          <w14:ligatures w14:val="none"/>
        </w:rPr>
      </w:pPr>
    </w:p>
    <w:p w14:paraId="69C88BF5" w14:textId="4AEB8202" w:rsidR="003F1840"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 xml:space="preserve">[4] </w:t>
      </w:r>
      <w:r>
        <w:rPr>
          <w:rFonts w:ascii="Arial" w:eastAsia="Calibri" w:hAnsi="Arial" w:cs="Arial"/>
          <w:kern w:val="0"/>
          <w:sz w:val="24"/>
          <w:szCs w:val="24"/>
          <w:lang w:val="en-GB"/>
          <w14:ligatures w14:val="none"/>
        </w:rPr>
        <w:tab/>
      </w:r>
      <w:r w:rsidR="004D753D" w:rsidRPr="003F1840">
        <w:rPr>
          <w:rFonts w:ascii="Arial" w:eastAsia="Calibri" w:hAnsi="Arial" w:cs="Arial"/>
          <w:kern w:val="0"/>
          <w:sz w:val="24"/>
          <w:szCs w:val="24"/>
          <w:lang w:val="en-GB"/>
          <w14:ligatures w14:val="none"/>
        </w:rPr>
        <w:t>On 29 March 2021, the Department awarded the tender to Abbvie for the supply of Surfactant class 1 and class 2. A contract was entered into between the Department and Abbvie for the period 1 May 2021 – 30 April 2024.</w:t>
      </w:r>
    </w:p>
    <w:p w14:paraId="054AF1AA" w14:textId="77777777" w:rsidR="003F1840" w:rsidRDefault="003F1840" w:rsidP="003F1840">
      <w:pPr>
        <w:spacing w:after="0" w:line="360" w:lineRule="auto"/>
        <w:ind w:left="501"/>
        <w:contextualSpacing/>
        <w:jc w:val="both"/>
        <w:rPr>
          <w:rFonts w:ascii="Arial" w:eastAsia="Calibri" w:hAnsi="Arial" w:cs="Arial"/>
          <w:kern w:val="0"/>
          <w:sz w:val="24"/>
          <w:szCs w:val="24"/>
          <w:lang w:val="en-GB"/>
          <w14:ligatures w14:val="none"/>
        </w:rPr>
      </w:pPr>
    </w:p>
    <w:p w14:paraId="6A868293" w14:textId="77777777" w:rsidR="003F1840" w:rsidRDefault="003F1840" w:rsidP="003F1840">
      <w:pPr>
        <w:spacing w:after="0" w:line="360" w:lineRule="auto"/>
        <w:ind w:left="501"/>
        <w:contextualSpacing/>
        <w:jc w:val="both"/>
        <w:rPr>
          <w:rFonts w:ascii="Arial" w:eastAsia="Calibri" w:hAnsi="Arial" w:cs="Arial"/>
          <w:kern w:val="0"/>
          <w:sz w:val="24"/>
          <w:szCs w:val="24"/>
          <w:lang w:val="en-GB"/>
          <w14:ligatures w14:val="none"/>
        </w:rPr>
      </w:pPr>
    </w:p>
    <w:p w14:paraId="69B3322F" w14:textId="5ED40C03" w:rsidR="00A65CBD" w:rsidRPr="003F1840" w:rsidRDefault="004D753D" w:rsidP="003F1840">
      <w:pPr>
        <w:spacing w:after="0" w:line="360" w:lineRule="auto"/>
        <w:ind w:left="501"/>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 It is common ground between the parties that </w:t>
      </w:r>
      <w:r w:rsidR="00EF35DA" w:rsidRPr="003F1840">
        <w:rPr>
          <w:rFonts w:ascii="Arial" w:eastAsia="Calibri" w:hAnsi="Arial" w:cs="Arial"/>
          <w:kern w:val="0"/>
          <w:sz w:val="24"/>
          <w:szCs w:val="24"/>
          <w:lang w:val="en-GB"/>
          <w14:ligatures w14:val="none"/>
        </w:rPr>
        <w:t xml:space="preserve">the contract has been almost fully </w:t>
      </w:r>
      <w:r w:rsidR="003F1840" w:rsidRPr="003F1840">
        <w:rPr>
          <w:rFonts w:ascii="Arial" w:eastAsia="Calibri" w:hAnsi="Arial" w:cs="Arial"/>
          <w:kern w:val="0"/>
          <w:sz w:val="24"/>
          <w:szCs w:val="24"/>
          <w:lang w:val="en-GB"/>
          <w14:ligatures w14:val="none"/>
        </w:rPr>
        <w:t>performed and</w:t>
      </w:r>
      <w:r w:rsidR="00EF35DA" w:rsidRPr="003F1840">
        <w:rPr>
          <w:rFonts w:ascii="Arial" w:eastAsia="Calibri" w:hAnsi="Arial" w:cs="Arial"/>
          <w:kern w:val="0"/>
          <w:sz w:val="24"/>
          <w:szCs w:val="24"/>
          <w:lang w:val="en-GB"/>
          <w14:ligatures w14:val="none"/>
        </w:rPr>
        <w:t xml:space="preserve"> will end less than three months after this matter was heard in court.</w:t>
      </w:r>
    </w:p>
    <w:p w14:paraId="050498DE" w14:textId="77777777" w:rsidR="00EF35DA" w:rsidRPr="003F1840" w:rsidRDefault="00EF35DA" w:rsidP="003F1840">
      <w:pPr>
        <w:spacing w:after="0" w:line="360" w:lineRule="auto"/>
        <w:contextualSpacing/>
        <w:jc w:val="both"/>
        <w:rPr>
          <w:rFonts w:ascii="Arial" w:eastAsia="Calibri" w:hAnsi="Arial" w:cs="Arial"/>
          <w:kern w:val="0"/>
          <w:sz w:val="24"/>
          <w:szCs w:val="24"/>
          <w:lang w:val="en-GB"/>
          <w14:ligatures w14:val="none"/>
        </w:rPr>
      </w:pPr>
    </w:p>
    <w:p w14:paraId="2A97E593" w14:textId="7CA7C2DD" w:rsidR="00B05D6A" w:rsidRPr="003F1840"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[5] </w:t>
      </w:r>
      <w:r w:rsidRPr="003F1840">
        <w:rPr>
          <w:rFonts w:ascii="Arial" w:eastAsia="Calibri" w:hAnsi="Arial" w:cs="Arial"/>
          <w:kern w:val="0"/>
          <w:sz w:val="24"/>
          <w:szCs w:val="24"/>
          <w:lang w:val="en-GB"/>
          <w14:ligatures w14:val="none"/>
        </w:rPr>
        <w:tab/>
      </w:r>
      <w:r w:rsidR="00EF35DA" w:rsidRPr="003F1840">
        <w:rPr>
          <w:rFonts w:ascii="Arial" w:eastAsia="Calibri" w:hAnsi="Arial" w:cs="Arial"/>
          <w:kern w:val="0"/>
          <w:sz w:val="24"/>
          <w:szCs w:val="24"/>
          <w:lang w:val="en-GB"/>
          <w14:ligatures w14:val="none"/>
        </w:rPr>
        <w:t>Safeline brought proceedings to challenge the award of the tender</w:t>
      </w:r>
      <w:r w:rsidR="00F535A2" w:rsidRPr="003F1840">
        <w:rPr>
          <w:rFonts w:ascii="Arial" w:eastAsia="Calibri" w:hAnsi="Arial" w:cs="Arial"/>
          <w:kern w:val="0"/>
          <w:sz w:val="24"/>
          <w:szCs w:val="24"/>
          <w:lang w:val="en-GB"/>
          <w14:ligatures w14:val="none"/>
        </w:rPr>
        <w:t xml:space="preserve"> and the decision of the Department to classify Alfa and Beractant as belonging to the same therapeutic class </w:t>
      </w:r>
      <w:r w:rsidR="002F207D" w:rsidRPr="003F1840">
        <w:rPr>
          <w:rFonts w:ascii="Arial" w:eastAsia="Calibri" w:hAnsi="Arial" w:cs="Arial"/>
          <w:kern w:val="0"/>
          <w:sz w:val="24"/>
          <w:szCs w:val="24"/>
          <w:lang w:val="en-GB"/>
          <w14:ligatures w14:val="none"/>
        </w:rPr>
        <w:t>(‘</w:t>
      </w:r>
      <w:r w:rsidR="00F535A2" w:rsidRPr="003F1840">
        <w:rPr>
          <w:rFonts w:ascii="Arial" w:eastAsia="Calibri" w:hAnsi="Arial" w:cs="Arial"/>
          <w:kern w:val="0"/>
          <w:sz w:val="24"/>
          <w:szCs w:val="24"/>
          <w:lang w:val="en-GB"/>
          <w14:ligatures w14:val="none"/>
        </w:rPr>
        <w:t>the contested classification’</w:t>
      </w:r>
      <w:r w:rsidR="002F207D" w:rsidRPr="003F1840">
        <w:rPr>
          <w:rFonts w:ascii="Arial" w:eastAsia="Calibri" w:hAnsi="Arial" w:cs="Arial"/>
          <w:kern w:val="0"/>
          <w:sz w:val="24"/>
          <w:szCs w:val="24"/>
          <w:lang w:val="en-GB"/>
          <w14:ligatures w14:val="none"/>
        </w:rPr>
        <w:t>).</w:t>
      </w:r>
      <w:r w:rsidR="00F535A2" w:rsidRPr="003F1840">
        <w:rPr>
          <w:rFonts w:ascii="Arial" w:eastAsia="Calibri" w:hAnsi="Arial" w:cs="Arial"/>
          <w:kern w:val="0"/>
          <w:sz w:val="24"/>
          <w:szCs w:val="24"/>
          <w:lang w:val="en-GB"/>
          <w14:ligatures w14:val="none"/>
        </w:rPr>
        <w:t xml:space="preserve"> The amended notice of motion, prior to the hearing of the matter, in sum, sought to review and set aside the adoption in the invitation to bid of the contested classification, as well as the award of the tender to Abbvie</w:t>
      </w:r>
      <w:r w:rsidR="00137081" w:rsidRPr="003F1840">
        <w:rPr>
          <w:rFonts w:ascii="Arial" w:eastAsia="Calibri" w:hAnsi="Arial" w:cs="Arial"/>
          <w:kern w:val="0"/>
          <w:sz w:val="24"/>
          <w:szCs w:val="24"/>
          <w:lang w:val="en-GB"/>
          <w14:ligatures w14:val="none"/>
        </w:rPr>
        <w:t>.</w:t>
      </w:r>
      <w:r w:rsidR="004057D7" w:rsidRPr="003F1840">
        <w:rPr>
          <w:rFonts w:ascii="Arial" w:eastAsia="Calibri" w:hAnsi="Arial" w:cs="Arial"/>
          <w:kern w:val="0"/>
          <w:sz w:val="24"/>
          <w:szCs w:val="24"/>
          <w:lang w:val="en-GB"/>
          <w14:ligatures w14:val="none"/>
        </w:rPr>
        <w:t xml:space="preserve"> It also sought declaratory relief to the effect that the Department’s adoption of the contested classification is unlawful. In the course</w:t>
      </w:r>
      <w:r w:rsidR="00902EE5" w:rsidRPr="003F1840">
        <w:rPr>
          <w:rFonts w:ascii="Arial" w:eastAsia="Calibri" w:hAnsi="Arial" w:cs="Arial"/>
          <w:kern w:val="0"/>
          <w:sz w:val="24"/>
          <w:szCs w:val="24"/>
          <w:lang w:val="en-GB"/>
          <w14:ligatures w14:val="none"/>
        </w:rPr>
        <w:t xml:space="preserve"> </w:t>
      </w:r>
      <w:r w:rsidR="004057D7" w:rsidRPr="003F1840">
        <w:rPr>
          <w:rFonts w:ascii="Arial" w:eastAsia="Calibri" w:hAnsi="Arial" w:cs="Arial"/>
          <w:kern w:val="0"/>
          <w:sz w:val="24"/>
          <w:szCs w:val="24"/>
          <w:lang w:val="en-GB"/>
          <w14:ligatures w14:val="none"/>
        </w:rPr>
        <w:t>of the oral hearing</w:t>
      </w:r>
      <w:r w:rsidR="00902EE5" w:rsidRPr="003F1840">
        <w:rPr>
          <w:rFonts w:ascii="Arial" w:eastAsia="Calibri" w:hAnsi="Arial" w:cs="Arial"/>
          <w:kern w:val="0"/>
          <w:sz w:val="24"/>
          <w:szCs w:val="24"/>
          <w:lang w:val="en-GB"/>
          <w14:ligatures w14:val="none"/>
        </w:rPr>
        <w:t>,</w:t>
      </w:r>
      <w:r w:rsidR="004057D7" w:rsidRPr="003F1840">
        <w:rPr>
          <w:rFonts w:ascii="Arial" w:eastAsia="Calibri" w:hAnsi="Arial" w:cs="Arial"/>
          <w:kern w:val="0"/>
          <w:sz w:val="24"/>
          <w:szCs w:val="24"/>
          <w:lang w:val="en-GB"/>
          <w14:ligatures w14:val="none"/>
        </w:rPr>
        <w:t xml:space="preserve"> this relief was debated with counsel for Safeline. He sensibly recognised </w:t>
      </w:r>
      <w:r w:rsidR="00563B67" w:rsidRPr="003F1840">
        <w:rPr>
          <w:rFonts w:ascii="Arial" w:eastAsia="Calibri" w:hAnsi="Arial" w:cs="Arial"/>
          <w:kern w:val="0"/>
          <w:sz w:val="24"/>
          <w:szCs w:val="24"/>
          <w:lang w:val="en-GB"/>
          <w14:ligatures w14:val="none"/>
        </w:rPr>
        <w:t xml:space="preserve">that as the contract that followed upon the award of the tender was nearing its end, there was no point in seeking to have the award of the tender set aside, much less to order an award of the tender </w:t>
      </w:r>
      <w:r w:rsidR="001C605A" w:rsidRPr="003F1840">
        <w:rPr>
          <w:rFonts w:ascii="Arial" w:eastAsia="Calibri" w:hAnsi="Arial" w:cs="Arial"/>
          <w:kern w:val="0"/>
          <w:sz w:val="24"/>
          <w:szCs w:val="24"/>
          <w:lang w:val="en-GB"/>
          <w14:ligatures w14:val="none"/>
        </w:rPr>
        <w:t>in favour of</w:t>
      </w:r>
      <w:r w:rsidR="00563B67" w:rsidRPr="003F1840">
        <w:rPr>
          <w:rFonts w:ascii="Arial" w:eastAsia="Calibri" w:hAnsi="Arial" w:cs="Arial"/>
          <w:kern w:val="0"/>
          <w:sz w:val="24"/>
          <w:szCs w:val="24"/>
          <w:lang w:val="en-GB"/>
          <w14:ligatures w14:val="none"/>
        </w:rPr>
        <w:t xml:space="preserve"> Safeline. The substantive relief that Safeline now seeks is </w:t>
      </w:r>
      <w:r w:rsidR="00563B67" w:rsidRPr="003F1840">
        <w:rPr>
          <w:rFonts w:ascii="Arial" w:eastAsia="Calibri" w:hAnsi="Arial" w:cs="Arial"/>
          <w:kern w:val="0"/>
          <w:sz w:val="24"/>
          <w:szCs w:val="24"/>
          <w:lang w:val="en-GB"/>
          <w14:ligatures w14:val="none"/>
        </w:rPr>
        <w:lastRenderedPageBreak/>
        <w:t xml:space="preserve">confined to </w:t>
      </w:r>
      <w:r w:rsidR="006B2334" w:rsidRPr="003F1840">
        <w:rPr>
          <w:rFonts w:ascii="Arial" w:eastAsia="Calibri" w:hAnsi="Arial" w:cs="Arial"/>
          <w:kern w:val="0"/>
          <w:sz w:val="24"/>
          <w:szCs w:val="24"/>
          <w:lang w:val="en-GB"/>
          <w14:ligatures w14:val="none"/>
        </w:rPr>
        <w:t>a</w:t>
      </w:r>
      <w:r w:rsidR="00563B67" w:rsidRPr="003F1840">
        <w:rPr>
          <w:rFonts w:ascii="Arial" w:eastAsia="Calibri" w:hAnsi="Arial" w:cs="Arial"/>
          <w:kern w:val="0"/>
          <w:sz w:val="24"/>
          <w:szCs w:val="24"/>
          <w:lang w:val="en-GB"/>
          <w14:ligatures w14:val="none"/>
        </w:rPr>
        <w:t xml:space="preserve"> declaratory order as to the legality of the contested classification </w:t>
      </w:r>
      <w:r w:rsidR="006B2334" w:rsidRPr="003F1840">
        <w:rPr>
          <w:rFonts w:ascii="Arial" w:eastAsia="Calibri" w:hAnsi="Arial" w:cs="Arial"/>
          <w:kern w:val="0"/>
          <w:sz w:val="24"/>
          <w:szCs w:val="24"/>
          <w:lang w:val="en-GB"/>
          <w14:ligatures w14:val="none"/>
        </w:rPr>
        <w:t xml:space="preserve">and a declaratory order as to the legality of the award. </w:t>
      </w:r>
    </w:p>
    <w:p w14:paraId="204F0415" w14:textId="77777777" w:rsidR="00B05D6A" w:rsidRPr="003F1840" w:rsidRDefault="00B05D6A" w:rsidP="003F1840">
      <w:pPr>
        <w:pStyle w:val="ListParagraph"/>
        <w:spacing w:line="360" w:lineRule="auto"/>
        <w:rPr>
          <w:rFonts w:ascii="Arial" w:eastAsia="Calibri" w:hAnsi="Arial" w:cs="Arial"/>
          <w:kern w:val="0"/>
          <w:sz w:val="24"/>
          <w:szCs w:val="24"/>
          <w:lang w:val="en-GB"/>
          <w14:ligatures w14:val="none"/>
        </w:rPr>
      </w:pPr>
    </w:p>
    <w:p w14:paraId="25FA5A66" w14:textId="7C484C65" w:rsidR="00A65CBD"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 xml:space="preserve">[6] </w:t>
      </w:r>
      <w:r>
        <w:rPr>
          <w:rFonts w:ascii="Arial" w:eastAsia="Calibri" w:hAnsi="Arial" w:cs="Arial"/>
          <w:kern w:val="0"/>
          <w:sz w:val="24"/>
          <w:szCs w:val="24"/>
          <w:lang w:val="en-GB"/>
          <w14:ligatures w14:val="none"/>
        </w:rPr>
        <w:tab/>
      </w:r>
      <w:r w:rsidR="006B2334" w:rsidRPr="003F1840">
        <w:rPr>
          <w:rFonts w:ascii="Arial" w:eastAsia="Calibri" w:hAnsi="Arial" w:cs="Arial"/>
          <w:kern w:val="0"/>
          <w:sz w:val="24"/>
          <w:szCs w:val="24"/>
          <w:lang w:val="en-GB"/>
          <w14:ligatures w14:val="none"/>
        </w:rPr>
        <w:t xml:space="preserve">Although there were complaints made by the Department and Abbvie as to questions of delay in bringing the review and mootness, I am satisfied that there remains a live issue that warrants the attention of this court. It is this. </w:t>
      </w:r>
      <w:r w:rsidR="00B05D6A" w:rsidRPr="003F1840">
        <w:rPr>
          <w:rFonts w:ascii="Arial" w:eastAsia="Calibri" w:hAnsi="Arial" w:cs="Arial"/>
          <w:kern w:val="0"/>
          <w:sz w:val="24"/>
          <w:szCs w:val="24"/>
          <w:lang w:val="en-GB"/>
          <w14:ligatures w14:val="none"/>
        </w:rPr>
        <w:t>In its replying affidavit, Safeline references the ongoing use by the Department of the contested classification for the purposes of its 2024 – 2027 tender</w:t>
      </w:r>
      <w:r w:rsidR="00292CE1" w:rsidRPr="003F1840">
        <w:rPr>
          <w:rFonts w:ascii="Arial" w:eastAsia="Calibri" w:hAnsi="Arial" w:cs="Arial"/>
          <w:kern w:val="0"/>
          <w:sz w:val="24"/>
          <w:szCs w:val="24"/>
          <w:lang w:val="en-GB"/>
          <w14:ligatures w14:val="none"/>
        </w:rPr>
        <w:t xml:space="preserve"> (‘the 2024 tender</w:t>
      </w:r>
      <w:r w:rsidR="001C53EE" w:rsidRPr="003F1840">
        <w:rPr>
          <w:rFonts w:ascii="Arial" w:eastAsia="Calibri" w:hAnsi="Arial" w:cs="Arial"/>
          <w:kern w:val="0"/>
          <w:sz w:val="24"/>
          <w:szCs w:val="24"/>
          <w:lang w:val="en-GB"/>
          <w14:ligatures w14:val="none"/>
        </w:rPr>
        <w:t>’)</w:t>
      </w:r>
      <w:r w:rsidR="00B05D6A" w:rsidRPr="003F1840">
        <w:rPr>
          <w:rFonts w:ascii="Arial" w:eastAsia="Calibri" w:hAnsi="Arial" w:cs="Arial"/>
          <w:kern w:val="0"/>
          <w:sz w:val="24"/>
          <w:szCs w:val="24"/>
          <w:lang w:val="en-GB"/>
          <w14:ligatures w14:val="none"/>
        </w:rPr>
        <w:t xml:space="preserve"> for the supply of Surfactant. The Department has filed a further affidavit in these proceedings, without complaint by Safeline. The Department does not deal with this tender and its use of the </w:t>
      </w:r>
      <w:r w:rsidR="00795722" w:rsidRPr="003F1840">
        <w:rPr>
          <w:rFonts w:ascii="Arial" w:eastAsia="Calibri" w:hAnsi="Arial" w:cs="Arial"/>
          <w:kern w:val="0"/>
          <w:sz w:val="24"/>
          <w:szCs w:val="24"/>
          <w:lang w:val="en-GB"/>
          <w14:ligatures w14:val="none"/>
        </w:rPr>
        <w:t>contested classification. In these circumstances, the issue of</w:t>
      </w:r>
      <w:r w:rsidR="00885172" w:rsidRPr="003F1840">
        <w:rPr>
          <w:rFonts w:ascii="Arial" w:eastAsia="Calibri" w:hAnsi="Arial" w:cs="Arial"/>
          <w:kern w:val="0"/>
          <w:sz w:val="24"/>
          <w:szCs w:val="24"/>
          <w:lang w:val="en-GB"/>
          <w14:ligatures w14:val="none"/>
        </w:rPr>
        <w:t xml:space="preserve"> the </w:t>
      </w:r>
      <w:r w:rsidR="00795722" w:rsidRPr="003F1840">
        <w:rPr>
          <w:rFonts w:ascii="Arial" w:eastAsia="Calibri" w:hAnsi="Arial" w:cs="Arial"/>
          <w:kern w:val="0"/>
          <w:sz w:val="24"/>
          <w:szCs w:val="24"/>
          <w:lang w:val="en-GB"/>
          <w14:ligatures w14:val="none"/>
        </w:rPr>
        <w:t>contested classification will continue to feature in the procurement practices of the Department for the supply of Surfactant. Rather than foster further litigation in the future, it is in the interests of the parties that the contested classification</w:t>
      </w:r>
      <w:r w:rsidR="009573F9" w:rsidRPr="003F1840">
        <w:rPr>
          <w:rFonts w:ascii="Arial" w:eastAsia="Calibri" w:hAnsi="Arial" w:cs="Arial"/>
          <w:kern w:val="0"/>
          <w:sz w:val="24"/>
          <w:szCs w:val="24"/>
          <w:lang w:val="en-GB"/>
          <w14:ligatures w14:val="none"/>
        </w:rPr>
        <w:t>,</w:t>
      </w:r>
      <w:r w:rsidR="00902EE5" w:rsidRPr="003F1840">
        <w:rPr>
          <w:rFonts w:ascii="Arial" w:eastAsia="Calibri" w:hAnsi="Arial" w:cs="Arial"/>
          <w:kern w:val="0"/>
          <w:sz w:val="24"/>
          <w:szCs w:val="24"/>
          <w:lang w:val="en-GB"/>
          <w14:ligatures w14:val="none"/>
        </w:rPr>
        <w:t xml:space="preserve"> </w:t>
      </w:r>
      <w:r w:rsidR="00795722" w:rsidRPr="003F1840">
        <w:rPr>
          <w:rFonts w:ascii="Arial" w:eastAsia="Calibri" w:hAnsi="Arial" w:cs="Arial"/>
          <w:kern w:val="0"/>
          <w:sz w:val="24"/>
          <w:szCs w:val="24"/>
          <w:lang w:val="en-GB"/>
          <w14:ligatures w14:val="none"/>
        </w:rPr>
        <w:t>and its consequences for the legality of the tender brought under review in these proceedings</w:t>
      </w:r>
      <w:r w:rsidR="009573F9" w:rsidRPr="003F1840">
        <w:rPr>
          <w:rFonts w:ascii="Arial" w:eastAsia="Calibri" w:hAnsi="Arial" w:cs="Arial"/>
          <w:kern w:val="0"/>
          <w:sz w:val="24"/>
          <w:szCs w:val="24"/>
          <w:lang w:val="en-GB"/>
          <w14:ligatures w14:val="none"/>
        </w:rPr>
        <w:t>,</w:t>
      </w:r>
      <w:r w:rsidR="00795722" w:rsidRPr="003F1840">
        <w:rPr>
          <w:rFonts w:ascii="Arial" w:eastAsia="Calibri" w:hAnsi="Arial" w:cs="Arial"/>
          <w:kern w:val="0"/>
          <w:sz w:val="24"/>
          <w:szCs w:val="24"/>
          <w:lang w:val="en-GB"/>
          <w14:ligatures w14:val="none"/>
        </w:rPr>
        <w:t xml:space="preserve"> be resolve</w:t>
      </w:r>
      <w:r w:rsidR="009573F9" w:rsidRPr="003F1840">
        <w:rPr>
          <w:rFonts w:ascii="Arial" w:eastAsia="Calibri" w:hAnsi="Arial" w:cs="Arial"/>
          <w:kern w:val="0"/>
          <w:sz w:val="24"/>
          <w:szCs w:val="24"/>
          <w:lang w:val="en-GB"/>
          <w14:ligatures w14:val="none"/>
        </w:rPr>
        <w:t>d</w:t>
      </w:r>
      <w:r w:rsidR="00795722" w:rsidRPr="003F1840">
        <w:rPr>
          <w:rFonts w:ascii="Arial" w:eastAsia="Calibri" w:hAnsi="Arial" w:cs="Arial"/>
          <w:kern w:val="0"/>
          <w:sz w:val="24"/>
          <w:szCs w:val="24"/>
          <w:lang w:val="en-GB"/>
          <w14:ligatures w14:val="none"/>
        </w:rPr>
        <w:t xml:space="preserve">. I will therefore entertain the declaratory relief sought and condone any non-compliance with the time for </w:t>
      </w:r>
      <w:r w:rsidR="006F569D" w:rsidRPr="003F1840">
        <w:rPr>
          <w:rFonts w:ascii="Arial" w:eastAsia="Calibri" w:hAnsi="Arial" w:cs="Arial"/>
          <w:kern w:val="0"/>
          <w:sz w:val="24"/>
          <w:szCs w:val="24"/>
          <w:lang w:val="en-GB"/>
          <w14:ligatures w14:val="none"/>
        </w:rPr>
        <w:t xml:space="preserve">seeking such relief </w:t>
      </w:r>
      <w:r w:rsidR="00795722" w:rsidRPr="003F1840">
        <w:rPr>
          <w:rFonts w:ascii="Arial" w:eastAsia="Calibri" w:hAnsi="Arial" w:cs="Arial"/>
          <w:kern w:val="0"/>
          <w:sz w:val="24"/>
          <w:szCs w:val="24"/>
          <w:lang w:val="en-GB"/>
          <w14:ligatures w14:val="none"/>
        </w:rPr>
        <w:t>in the interests of securing resolution of the</w:t>
      </w:r>
      <w:r w:rsidR="006F569D" w:rsidRPr="003F1840">
        <w:rPr>
          <w:rFonts w:ascii="Arial" w:eastAsia="Calibri" w:hAnsi="Arial" w:cs="Arial"/>
          <w:kern w:val="0"/>
          <w:sz w:val="24"/>
          <w:szCs w:val="24"/>
          <w:lang w:val="en-GB"/>
          <w14:ligatures w14:val="none"/>
        </w:rPr>
        <w:t>se matters, more especially in t</w:t>
      </w:r>
      <w:r w:rsidR="00E16DFB" w:rsidRPr="003F1840">
        <w:rPr>
          <w:rFonts w:ascii="Arial" w:eastAsia="Calibri" w:hAnsi="Arial" w:cs="Arial"/>
          <w:kern w:val="0"/>
          <w:sz w:val="24"/>
          <w:szCs w:val="24"/>
          <w:lang w:val="en-GB"/>
          <w14:ligatures w14:val="none"/>
        </w:rPr>
        <w:t>he parties’</w:t>
      </w:r>
      <w:r w:rsidR="006F569D" w:rsidRPr="003F1840">
        <w:rPr>
          <w:rFonts w:ascii="Arial" w:eastAsia="Calibri" w:hAnsi="Arial" w:cs="Arial"/>
          <w:kern w:val="0"/>
          <w:sz w:val="24"/>
          <w:szCs w:val="24"/>
          <w:lang w:val="en-GB"/>
          <w14:ligatures w14:val="none"/>
        </w:rPr>
        <w:t xml:space="preserve"> future dealings over matters of significance for public health.</w:t>
      </w:r>
    </w:p>
    <w:p w14:paraId="57DB798A" w14:textId="77777777" w:rsidR="009350E0" w:rsidRPr="003F1840" w:rsidRDefault="009350E0" w:rsidP="009350E0">
      <w:pPr>
        <w:spacing w:after="0" w:line="360" w:lineRule="auto"/>
        <w:ind w:left="501"/>
        <w:contextualSpacing/>
        <w:jc w:val="both"/>
        <w:rPr>
          <w:rFonts w:ascii="Arial" w:eastAsia="Calibri" w:hAnsi="Arial" w:cs="Arial"/>
          <w:kern w:val="0"/>
          <w:sz w:val="24"/>
          <w:szCs w:val="24"/>
          <w:lang w:val="en-GB"/>
          <w14:ligatures w14:val="none"/>
        </w:rPr>
      </w:pPr>
    </w:p>
    <w:p w14:paraId="19D54045" w14:textId="77777777" w:rsidR="005052D7" w:rsidRPr="003F1840" w:rsidRDefault="005052D7" w:rsidP="003F1840">
      <w:pPr>
        <w:spacing w:after="0" w:line="360" w:lineRule="auto"/>
        <w:contextualSpacing/>
        <w:jc w:val="both"/>
        <w:rPr>
          <w:rFonts w:ascii="Arial" w:eastAsia="Calibri" w:hAnsi="Arial" w:cs="Arial"/>
          <w:kern w:val="0"/>
          <w:sz w:val="24"/>
          <w:szCs w:val="24"/>
          <w:lang w:val="en-GB"/>
          <w14:ligatures w14:val="none"/>
        </w:rPr>
      </w:pPr>
    </w:p>
    <w:p w14:paraId="22E9AC09" w14:textId="77777777" w:rsidR="005052D7" w:rsidRPr="003F1840" w:rsidRDefault="005052D7" w:rsidP="003F1840">
      <w:pPr>
        <w:spacing w:after="0" w:line="360" w:lineRule="auto"/>
        <w:ind w:left="141"/>
        <w:jc w:val="both"/>
        <w:rPr>
          <w:rFonts w:ascii="Arial" w:eastAsia="Calibri" w:hAnsi="Arial" w:cs="Arial"/>
          <w:b/>
          <w:bCs/>
          <w:kern w:val="0"/>
          <w:sz w:val="24"/>
          <w:szCs w:val="24"/>
          <w:lang w:val="en-GB"/>
          <w14:ligatures w14:val="none"/>
        </w:rPr>
      </w:pPr>
      <w:r w:rsidRPr="003F1840">
        <w:rPr>
          <w:rFonts w:ascii="Arial" w:eastAsia="Calibri" w:hAnsi="Arial" w:cs="Arial"/>
          <w:b/>
          <w:bCs/>
          <w:kern w:val="0"/>
          <w:sz w:val="24"/>
          <w:szCs w:val="24"/>
          <w:lang w:val="en-GB"/>
          <w14:ligatures w14:val="none"/>
        </w:rPr>
        <w:t>The Contested Classification</w:t>
      </w:r>
    </w:p>
    <w:p w14:paraId="42546A7C" w14:textId="77777777" w:rsidR="005052D7" w:rsidRPr="003F1840" w:rsidRDefault="005052D7" w:rsidP="003F1840">
      <w:pPr>
        <w:spacing w:after="0" w:line="360" w:lineRule="auto"/>
        <w:ind w:left="501"/>
        <w:contextualSpacing/>
        <w:jc w:val="both"/>
        <w:rPr>
          <w:rFonts w:ascii="Arial" w:eastAsia="Calibri" w:hAnsi="Arial" w:cs="Arial"/>
          <w:kern w:val="0"/>
          <w:sz w:val="24"/>
          <w:szCs w:val="24"/>
          <w:lang w:val="en-GB"/>
          <w14:ligatures w14:val="none"/>
        </w:rPr>
      </w:pPr>
    </w:p>
    <w:p w14:paraId="5C93735C" w14:textId="2D038D16" w:rsidR="005052D7" w:rsidRPr="003F1840"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[7] </w:t>
      </w:r>
      <w:r w:rsidRPr="003F1840">
        <w:rPr>
          <w:rFonts w:ascii="Arial" w:eastAsia="Calibri" w:hAnsi="Arial" w:cs="Arial"/>
          <w:kern w:val="0"/>
          <w:sz w:val="24"/>
          <w:szCs w:val="24"/>
          <w:lang w:val="en-GB"/>
          <w14:ligatures w14:val="none"/>
        </w:rPr>
        <w:tab/>
      </w:r>
      <w:r w:rsidR="005052D7" w:rsidRPr="003F1840">
        <w:rPr>
          <w:rFonts w:ascii="Arial" w:eastAsia="Calibri" w:hAnsi="Arial" w:cs="Arial"/>
          <w:kern w:val="0"/>
          <w:sz w:val="24"/>
          <w:szCs w:val="24"/>
          <w:lang w:val="en-GB"/>
          <w14:ligatures w14:val="none"/>
        </w:rPr>
        <w:t xml:space="preserve"> Safeline’s primary challenge is that the Department has no power to adopt the contested classification.</w:t>
      </w:r>
      <w:r w:rsidR="00DD6591" w:rsidRPr="003F1840">
        <w:rPr>
          <w:rFonts w:ascii="Arial" w:eastAsia="Calibri" w:hAnsi="Arial" w:cs="Arial"/>
          <w:kern w:val="0"/>
          <w:sz w:val="24"/>
          <w:szCs w:val="24"/>
          <w:lang w:val="en-GB"/>
          <w14:ligatures w14:val="none"/>
        </w:rPr>
        <w:t xml:space="preserve"> The power to classify medicines lies elsewhere. The Medicines and Related Substances Act 101 of 1965 (‘the Medicines Act’) established the South African Health Products Regulatory Authority (‘the Regulator’). Safeline contends that the Regulator </w:t>
      </w:r>
      <w:r w:rsidR="004A72F2" w:rsidRPr="003F1840">
        <w:rPr>
          <w:rFonts w:ascii="Arial" w:eastAsia="Calibri" w:hAnsi="Arial" w:cs="Arial"/>
          <w:kern w:val="0"/>
          <w:sz w:val="24"/>
          <w:szCs w:val="24"/>
          <w:lang w:val="en-GB"/>
          <w14:ligatures w14:val="none"/>
        </w:rPr>
        <w:t>enjoys the exclusive competence to classify medicines. The Department</w:t>
      </w:r>
      <w:r w:rsidR="007D598C" w:rsidRPr="003F1840">
        <w:rPr>
          <w:rFonts w:ascii="Arial" w:eastAsia="Calibri" w:hAnsi="Arial" w:cs="Arial"/>
          <w:kern w:val="0"/>
          <w:sz w:val="24"/>
          <w:szCs w:val="24"/>
          <w:lang w:val="en-GB"/>
          <w14:ligatures w14:val="none"/>
        </w:rPr>
        <w:t>,</w:t>
      </w:r>
      <w:r w:rsidR="004A72F2" w:rsidRPr="003F1840">
        <w:rPr>
          <w:rFonts w:ascii="Arial" w:eastAsia="Calibri" w:hAnsi="Arial" w:cs="Arial"/>
          <w:kern w:val="0"/>
          <w:sz w:val="24"/>
          <w:szCs w:val="24"/>
          <w:lang w:val="en-GB"/>
          <w14:ligatures w14:val="none"/>
        </w:rPr>
        <w:t xml:space="preserve"> in adopting the contested classification</w:t>
      </w:r>
      <w:r w:rsidR="007D598C" w:rsidRPr="003F1840">
        <w:rPr>
          <w:rFonts w:ascii="Arial" w:eastAsia="Calibri" w:hAnsi="Arial" w:cs="Arial"/>
          <w:kern w:val="0"/>
          <w:sz w:val="24"/>
          <w:szCs w:val="24"/>
          <w:lang w:val="en-GB"/>
          <w14:ligatures w14:val="none"/>
        </w:rPr>
        <w:t>,</w:t>
      </w:r>
      <w:r w:rsidR="004A72F2" w:rsidRPr="003F1840">
        <w:rPr>
          <w:rFonts w:ascii="Arial" w:eastAsia="Calibri" w:hAnsi="Arial" w:cs="Arial"/>
          <w:kern w:val="0"/>
          <w:sz w:val="24"/>
          <w:szCs w:val="24"/>
          <w:lang w:val="en-GB"/>
          <w14:ligatures w14:val="none"/>
        </w:rPr>
        <w:t xml:space="preserve"> did not rely upon the Regulator. Rather, pursuant to its own Policy for Classifying Medicines, the Department relied upon the National Essential Medicines List Committee (‘the List </w:t>
      </w:r>
      <w:r w:rsidR="004A72F2" w:rsidRPr="003F1840">
        <w:rPr>
          <w:rFonts w:ascii="Arial" w:eastAsia="Calibri" w:hAnsi="Arial" w:cs="Arial"/>
          <w:kern w:val="0"/>
          <w:sz w:val="24"/>
          <w:szCs w:val="24"/>
          <w:lang w:val="en-GB"/>
          <w14:ligatures w14:val="none"/>
        </w:rPr>
        <w:lastRenderedPageBreak/>
        <w:t xml:space="preserve">committee’), </w:t>
      </w:r>
      <w:r w:rsidR="002D4CD1" w:rsidRPr="003F1840">
        <w:rPr>
          <w:rFonts w:ascii="Arial" w:eastAsia="Calibri" w:hAnsi="Arial" w:cs="Arial"/>
          <w:kern w:val="0"/>
          <w:sz w:val="24"/>
          <w:szCs w:val="24"/>
          <w:lang w:val="en-GB"/>
          <w14:ligatures w14:val="none"/>
        </w:rPr>
        <w:t>and its sub-committee, the Expert Review Committee (‘ERC’), to decide which medicines belong in the same therapeutic class. Safeline submits that the List Committee has no such power. Hence, the adoption of the contested classification by the Department, and</w:t>
      </w:r>
      <w:r w:rsidR="007D598C" w:rsidRPr="003F1840">
        <w:rPr>
          <w:rFonts w:ascii="Arial" w:eastAsia="Calibri" w:hAnsi="Arial" w:cs="Arial"/>
          <w:kern w:val="0"/>
          <w:sz w:val="24"/>
          <w:szCs w:val="24"/>
          <w:lang w:val="en-GB"/>
          <w14:ligatures w14:val="none"/>
        </w:rPr>
        <w:t xml:space="preserve">, </w:t>
      </w:r>
      <w:r w:rsidR="002D4CD1" w:rsidRPr="003F1840">
        <w:rPr>
          <w:rFonts w:ascii="Arial" w:eastAsia="Calibri" w:hAnsi="Arial" w:cs="Arial"/>
          <w:kern w:val="0"/>
          <w:sz w:val="24"/>
          <w:szCs w:val="24"/>
          <w:lang w:val="en-GB"/>
          <w14:ligatures w14:val="none"/>
        </w:rPr>
        <w:t>in particular</w:t>
      </w:r>
      <w:r w:rsidR="007D598C" w:rsidRPr="003F1840">
        <w:rPr>
          <w:rFonts w:ascii="Arial" w:eastAsia="Calibri" w:hAnsi="Arial" w:cs="Arial"/>
          <w:kern w:val="0"/>
          <w:sz w:val="24"/>
          <w:szCs w:val="24"/>
          <w:lang w:val="en-GB"/>
          <w14:ligatures w14:val="none"/>
        </w:rPr>
        <w:t xml:space="preserve">, by </w:t>
      </w:r>
      <w:r w:rsidR="002D4CD1" w:rsidRPr="003F1840">
        <w:rPr>
          <w:rFonts w:ascii="Arial" w:eastAsia="Calibri" w:hAnsi="Arial" w:cs="Arial"/>
          <w:kern w:val="0"/>
          <w:sz w:val="24"/>
          <w:szCs w:val="24"/>
          <w:lang w:val="en-GB"/>
          <w14:ligatures w14:val="none"/>
        </w:rPr>
        <w:t xml:space="preserve">its bid committee, to draw up and publish the invitation to bid for the 2021 tender was unlawful. </w:t>
      </w:r>
      <w:r w:rsidR="00292CE1" w:rsidRPr="003F1840">
        <w:rPr>
          <w:rFonts w:ascii="Arial" w:eastAsia="Calibri" w:hAnsi="Arial" w:cs="Arial"/>
          <w:kern w:val="0"/>
          <w:sz w:val="24"/>
          <w:szCs w:val="24"/>
          <w:lang w:val="en-GB"/>
          <w14:ligatures w14:val="none"/>
        </w:rPr>
        <w:t xml:space="preserve">And since the contested classification was thus integral to the 2021 tender, the award made in favour of Abbvie was also unlawful. The further adoption by the Department of the contested classification for the purposes of the </w:t>
      </w:r>
      <w:r w:rsidR="001C53EE" w:rsidRPr="003F1840">
        <w:rPr>
          <w:rFonts w:ascii="Arial" w:eastAsia="Calibri" w:hAnsi="Arial" w:cs="Arial"/>
          <w:kern w:val="0"/>
          <w:sz w:val="24"/>
          <w:szCs w:val="24"/>
          <w:lang w:val="en-GB"/>
          <w14:ligatures w14:val="none"/>
        </w:rPr>
        <w:t>2024 tender is equally unlawful, hence Safeline seeks declaratory relief in respect of the contested classification.</w:t>
      </w:r>
    </w:p>
    <w:p w14:paraId="30CCFEED" w14:textId="77777777" w:rsidR="007D598C" w:rsidRPr="003F1840" w:rsidRDefault="007D598C" w:rsidP="003F1840">
      <w:pPr>
        <w:spacing w:after="0" w:line="360" w:lineRule="auto"/>
        <w:ind w:left="501"/>
        <w:contextualSpacing/>
        <w:jc w:val="both"/>
        <w:rPr>
          <w:rFonts w:ascii="Arial" w:eastAsia="Calibri" w:hAnsi="Arial" w:cs="Arial"/>
          <w:kern w:val="0"/>
          <w:sz w:val="24"/>
          <w:szCs w:val="24"/>
          <w:lang w:val="en-GB"/>
          <w14:ligatures w14:val="none"/>
        </w:rPr>
      </w:pPr>
    </w:p>
    <w:p w14:paraId="6CBF2CB1" w14:textId="4FC3FE67" w:rsidR="005052D7" w:rsidRPr="003F1840"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[8] </w:t>
      </w:r>
      <w:r w:rsidRPr="003F1840">
        <w:rPr>
          <w:rFonts w:ascii="Arial" w:eastAsia="Calibri" w:hAnsi="Arial" w:cs="Arial"/>
          <w:kern w:val="0"/>
          <w:sz w:val="24"/>
          <w:szCs w:val="24"/>
          <w:lang w:val="en-GB"/>
          <w14:ligatures w14:val="none"/>
        </w:rPr>
        <w:tab/>
      </w:r>
      <w:r w:rsidR="007D598C" w:rsidRPr="003F1840">
        <w:rPr>
          <w:rFonts w:ascii="Arial" w:eastAsia="Calibri" w:hAnsi="Arial" w:cs="Arial"/>
          <w:kern w:val="0"/>
          <w:sz w:val="24"/>
          <w:szCs w:val="24"/>
          <w:lang w:val="en-GB"/>
          <w14:ligatures w14:val="none"/>
        </w:rPr>
        <w:t xml:space="preserve">There can be no doubt that the Department has the power to procure medicines for use in public hospitals. </w:t>
      </w:r>
      <w:r w:rsidR="00846500" w:rsidRPr="003F1840">
        <w:rPr>
          <w:rFonts w:ascii="Arial" w:eastAsia="Calibri" w:hAnsi="Arial" w:cs="Arial"/>
          <w:kern w:val="0"/>
          <w:sz w:val="24"/>
          <w:szCs w:val="24"/>
          <w:lang w:val="en-GB"/>
          <w14:ligatures w14:val="none"/>
        </w:rPr>
        <w:t xml:space="preserve">Section 217(1) of the Constitution is predicated upon the recognition that an organ of state may contract for goods or services. Section </w:t>
      </w:r>
      <w:r w:rsidR="00902EE5" w:rsidRPr="003F1840">
        <w:rPr>
          <w:rFonts w:ascii="Arial" w:eastAsia="Calibri" w:hAnsi="Arial" w:cs="Arial"/>
          <w:kern w:val="0"/>
          <w:sz w:val="24"/>
          <w:szCs w:val="24"/>
          <w:lang w:val="en-GB"/>
          <w14:ligatures w14:val="none"/>
        </w:rPr>
        <w:t>2</w:t>
      </w:r>
      <w:r w:rsidR="00846500" w:rsidRPr="003F1840">
        <w:rPr>
          <w:rFonts w:ascii="Arial" w:eastAsia="Calibri" w:hAnsi="Arial" w:cs="Arial"/>
          <w:kern w:val="0"/>
          <w:sz w:val="24"/>
          <w:szCs w:val="24"/>
          <w:lang w:val="en-GB"/>
          <w14:ligatures w14:val="none"/>
        </w:rPr>
        <w:t xml:space="preserve">39 of the Constitution defines an organ of state to include a department of state in the national sphere of government. The Department is such a department of state. </w:t>
      </w:r>
      <w:r w:rsidR="00F8702F" w:rsidRPr="003F1840">
        <w:rPr>
          <w:rFonts w:ascii="Arial" w:eastAsia="Calibri" w:hAnsi="Arial" w:cs="Arial"/>
          <w:kern w:val="0"/>
          <w:sz w:val="24"/>
          <w:szCs w:val="24"/>
          <w:lang w:val="en-GB"/>
          <w14:ligatures w14:val="none"/>
        </w:rPr>
        <w:t xml:space="preserve">In terms of s 217(3) of the Constitution, the Preferential Procurement Policy Framework Act 5 of 2000 (‘PPPFA’) prescribes the framework for preferential procurement.  The PPPFA is of application to an organ of state which is defined in s1 to include a national department. This legislation also </w:t>
      </w:r>
      <w:r w:rsidR="00103B3B" w:rsidRPr="003F1840">
        <w:rPr>
          <w:rFonts w:ascii="Arial" w:eastAsia="Calibri" w:hAnsi="Arial" w:cs="Arial"/>
          <w:kern w:val="0"/>
          <w:sz w:val="24"/>
          <w:szCs w:val="24"/>
          <w:lang w:val="en-GB"/>
          <w14:ligatures w14:val="none"/>
        </w:rPr>
        <w:t xml:space="preserve">proceeds from the recognition that a department of state enjoys the power to contract for goods and services. </w:t>
      </w:r>
      <w:r w:rsidR="0016375C" w:rsidRPr="003F1840">
        <w:rPr>
          <w:rFonts w:ascii="Arial" w:eastAsia="Calibri" w:hAnsi="Arial" w:cs="Arial"/>
          <w:kern w:val="0"/>
          <w:sz w:val="24"/>
          <w:szCs w:val="24"/>
          <w:lang w:val="en-GB"/>
          <w14:ligatures w14:val="none"/>
        </w:rPr>
        <w:t>The Supreme Court of Appeal has characterised a decision as to the procurement of goods and services by an organ of state to be one, ‘that lies within the heartland of the exercise of executive authority by that organ of state.’</w:t>
      </w:r>
      <w:r w:rsidR="0016375C" w:rsidRPr="003F1840">
        <w:rPr>
          <w:rStyle w:val="FootnoteReference"/>
          <w:rFonts w:ascii="Arial" w:eastAsia="Calibri" w:hAnsi="Arial" w:cs="Arial"/>
          <w:kern w:val="0"/>
          <w:sz w:val="24"/>
          <w:szCs w:val="24"/>
          <w:lang w:val="en-GB"/>
          <w14:ligatures w14:val="none"/>
        </w:rPr>
        <w:footnoteReference w:id="1"/>
      </w:r>
    </w:p>
    <w:p w14:paraId="78E3B073" w14:textId="77777777" w:rsidR="00902EE5" w:rsidRPr="003F1840" w:rsidRDefault="00902EE5" w:rsidP="003F1840">
      <w:pPr>
        <w:pStyle w:val="ListParagraph"/>
        <w:spacing w:line="360" w:lineRule="auto"/>
        <w:rPr>
          <w:rFonts w:ascii="Arial" w:eastAsia="Calibri" w:hAnsi="Arial" w:cs="Arial"/>
          <w:kern w:val="0"/>
          <w:sz w:val="24"/>
          <w:szCs w:val="24"/>
          <w:lang w:val="en-GB"/>
          <w14:ligatures w14:val="none"/>
        </w:rPr>
      </w:pPr>
    </w:p>
    <w:p w14:paraId="79F9A2B3" w14:textId="3841AE5D" w:rsidR="00902EE5" w:rsidRPr="003F1840"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[9] </w:t>
      </w:r>
      <w:r w:rsidRPr="003F1840">
        <w:rPr>
          <w:rFonts w:ascii="Arial" w:eastAsia="Calibri" w:hAnsi="Arial" w:cs="Arial"/>
          <w:kern w:val="0"/>
          <w:sz w:val="24"/>
          <w:szCs w:val="24"/>
          <w:lang w:val="en-GB"/>
          <w14:ligatures w14:val="none"/>
        </w:rPr>
        <w:tab/>
      </w:r>
      <w:r w:rsidR="00902EE5" w:rsidRPr="003F1840">
        <w:rPr>
          <w:rFonts w:ascii="Arial" w:eastAsia="Calibri" w:hAnsi="Arial" w:cs="Arial"/>
          <w:kern w:val="0"/>
          <w:sz w:val="24"/>
          <w:szCs w:val="24"/>
          <w:lang w:val="en-GB"/>
          <w14:ligatures w14:val="none"/>
        </w:rPr>
        <w:t xml:space="preserve">The question that arises is whether the power of the Department to procure medicines, </w:t>
      </w:r>
      <w:r w:rsidR="002F207D" w:rsidRPr="003F1840">
        <w:rPr>
          <w:rFonts w:ascii="Arial" w:eastAsia="Calibri" w:hAnsi="Arial" w:cs="Arial"/>
          <w:kern w:val="0"/>
          <w:sz w:val="24"/>
          <w:szCs w:val="24"/>
          <w:lang w:val="en-GB"/>
          <w14:ligatures w14:val="none"/>
        </w:rPr>
        <w:t>and Surfactant</w:t>
      </w:r>
      <w:r w:rsidR="00C740A4" w:rsidRPr="003F1840">
        <w:rPr>
          <w:rFonts w:ascii="Arial" w:eastAsia="Calibri" w:hAnsi="Arial" w:cs="Arial"/>
          <w:kern w:val="0"/>
          <w:sz w:val="24"/>
          <w:szCs w:val="24"/>
          <w:lang w:val="en-GB"/>
          <w14:ligatures w14:val="none"/>
        </w:rPr>
        <w:t xml:space="preserve"> </w:t>
      </w:r>
      <w:r w:rsidR="002846F0" w:rsidRPr="003F1840">
        <w:rPr>
          <w:rFonts w:ascii="Arial" w:eastAsia="Calibri" w:hAnsi="Arial" w:cs="Arial"/>
          <w:kern w:val="0"/>
          <w:sz w:val="24"/>
          <w:szCs w:val="24"/>
          <w:lang w:val="en-GB"/>
          <w14:ligatures w14:val="none"/>
        </w:rPr>
        <w:t>in particular</w:t>
      </w:r>
      <w:r w:rsidR="00902EE5" w:rsidRPr="003F1840">
        <w:rPr>
          <w:rFonts w:ascii="Arial" w:eastAsia="Calibri" w:hAnsi="Arial" w:cs="Arial"/>
          <w:kern w:val="0"/>
          <w:sz w:val="24"/>
          <w:szCs w:val="24"/>
          <w:lang w:val="en-GB"/>
          <w14:ligatures w14:val="none"/>
        </w:rPr>
        <w:t xml:space="preserve">, encompasses the power to </w:t>
      </w:r>
      <w:r w:rsidR="002846F0" w:rsidRPr="003F1840">
        <w:rPr>
          <w:rFonts w:ascii="Arial" w:eastAsia="Calibri" w:hAnsi="Arial" w:cs="Arial"/>
          <w:kern w:val="0"/>
          <w:sz w:val="24"/>
          <w:szCs w:val="24"/>
          <w:lang w:val="en-GB"/>
          <w14:ligatures w14:val="none"/>
        </w:rPr>
        <w:t>specify in an invitation to bid that procurement will take place on the basis of the contested classification. When</w:t>
      </w:r>
      <w:r w:rsidR="005343B3" w:rsidRPr="003F1840">
        <w:rPr>
          <w:rFonts w:ascii="Arial" w:eastAsia="Calibri" w:hAnsi="Arial" w:cs="Arial"/>
          <w:kern w:val="0"/>
          <w:sz w:val="24"/>
          <w:szCs w:val="24"/>
          <w:lang w:val="en-GB"/>
          <w14:ligatures w14:val="none"/>
        </w:rPr>
        <w:t xml:space="preserve"> </w:t>
      </w:r>
      <w:r w:rsidR="002846F0" w:rsidRPr="003F1840">
        <w:rPr>
          <w:rFonts w:ascii="Arial" w:eastAsia="Calibri" w:hAnsi="Arial" w:cs="Arial"/>
          <w:kern w:val="0"/>
          <w:sz w:val="24"/>
          <w:szCs w:val="24"/>
          <w:lang w:val="en-GB"/>
          <w14:ligatures w14:val="none"/>
        </w:rPr>
        <w:t xml:space="preserve">Safeline contends that the Department lacks this power, its challenge </w:t>
      </w:r>
      <w:r w:rsidR="005343B3" w:rsidRPr="003F1840">
        <w:rPr>
          <w:rFonts w:ascii="Arial" w:eastAsia="Calibri" w:hAnsi="Arial" w:cs="Arial"/>
          <w:kern w:val="0"/>
          <w:sz w:val="24"/>
          <w:szCs w:val="24"/>
          <w:lang w:val="en-GB"/>
          <w14:ligatures w14:val="none"/>
        </w:rPr>
        <w:t xml:space="preserve">makes two claims. The first is that the Department cannot invite bids on </w:t>
      </w:r>
      <w:r w:rsidR="005343B3" w:rsidRPr="003F1840">
        <w:rPr>
          <w:rFonts w:ascii="Arial" w:eastAsia="Calibri" w:hAnsi="Arial" w:cs="Arial"/>
          <w:kern w:val="0"/>
          <w:sz w:val="24"/>
          <w:szCs w:val="24"/>
          <w:lang w:val="en-GB"/>
          <w14:ligatures w14:val="none"/>
        </w:rPr>
        <w:lastRenderedPageBreak/>
        <w:t>the basis of the conte</w:t>
      </w:r>
      <w:r w:rsidR="00034824" w:rsidRPr="003F1840">
        <w:rPr>
          <w:rFonts w:ascii="Arial" w:eastAsia="Calibri" w:hAnsi="Arial" w:cs="Arial"/>
          <w:kern w:val="0"/>
          <w:sz w:val="24"/>
          <w:szCs w:val="24"/>
          <w:lang w:val="en-GB"/>
          <w14:ligatures w14:val="none"/>
        </w:rPr>
        <w:t xml:space="preserve">sted classification because this classification rests upon the definition of a therapeutic class that the Department has no </w:t>
      </w:r>
      <w:r w:rsidR="002F207D" w:rsidRPr="003F1840">
        <w:rPr>
          <w:rFonts w:ascii="Arial" w:eastAsia="Calibri" w:hAnsi="Arial" w:cs="Arial"/>
          <w:kern w:val="0"/>
          <w:sz w:val="24"/>
          <w:szCs w:val="24"/>
          <w:lang w:val="en-GB"/>
          <w14:ligatures w14:val="none"/>
        </w:rPr>
        <w:t>power to</w:t>
      </w:r>
      <w:r w:rsidR="00034824" w:rsidRPr="003F1840">
        <w:rPr>
          <w:rFonts w:ascii="Arial" w:eastAsia="Calibri" w:hAnsi="Arial" w:cs="Arial"/>
          <w:kern w:val="0"/>
          <w:sz w:val="24"/>
          <w:szCs w:val="24"/>
          <w:lang w:val="en-GB"/>
          <w14:ligatures w14:val="none"/>
        </w:rPr>
        <w:t xml:space="preserve"> make. </w:t>
      </w:r>
    </w:p>
    <w:p w14:paraId="780BC5A4" w14:textId="77777777" w:rsidR="005E1069" w:rsidRPr="003F1840" w:rsidRDefault="005E1069" w:rsidP="003F1840">
      <w:pPr>
        <w:pStyle w:val="ListParagraph"/>
        <w:spacing w:line="360" w:lineRule="auto"/>
        <w:rPr>
          <w:rFonts w:ascii="Arial" w:eastAsia="Calibri" w:hAnsi="Arial" w:cs="Arial"/>
          <w:kern w:val="0"/>
          <w:sz w:val="24"/>
          <w:szCs w:val="24"/>
          <w:lang w:val="en-GB"/>
          <w14:ligatures w14:val="none"/>
        </w:rPr>
      </w:pPr>
    </w:p>
    <w:p w14:paraId="135D2972" w14:textId="1971A7DE" w:rsidR="005E1069" w:rsidRPr="003F1840"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[10] </w:t>
      </w:r>
      <w:r w:rsidRPr="003F1840">
        <w:rPr>
          <w:rFonts w:ascii="Arial" w:eastAsia="Calibri" w:hAnsi="Arial" w:cs="Arial"/>
          <w:kern w:val="0"/>
          <w:sz w:val="24"/>
          <w:szCs w:val="24"/>
          <w:lang w:val="en-GB"/>
          <w14:ligatures w14:val="none"/>
        </w:rPr>
        <w:tab/>
      </w:r>
      <w:r w:rsidR="005E1069" w:rsidRPr="003F1840">
        <w:rPr>
          <w:rFonts w:ascii="Arial" w:eastAsia="Calibri" w:hAnsi="Arial" w:cs="Arial"/>
          <w:kern w:val="0"/>
          <w:sz w:val="24"/>
          <w:szCs w:val="24"/>
          <w:lang w:val="en-GB"/>
          <w14:ligatures w14:val="none"/>
        </w:rPr>
        <w:t xml:space="preserve">This proposition cannot be accepted. Plainly, the adoption of a classification for the purpose of inviting bids for a public tender may be scrutinised on well-known grounds of review, such as rationality or reviewable unreasonableness. </w:t>
      </w:r>
      <w:r w:rsidR="00C740A4" w:rsidRPr="003F1840">
        <w:rPr>
          <w:rFonts w:ascii="Arial" w:eastAsia="Calibri" w:hAnsi="Arial" w:cs="Arial"/>
          <w:kern w:val="0"/>
          <w:sz w:val="24"/>
          <w:szCs w:val="24"/>
          <w:lang w:val="en-GB"/>
          <w14:ligatures w14:val="none"/>
        </w:rPr>
        <w:t xml:space="preserve">But it is at the very heart of the constitutional requirement of s217 that, for public procurement to be fair, transparent, competitive and cost-effective, the procurer, here the Department, must be able to determine the class of goods that are to be compared. </w:t>
      </w:r>
      <w:r w:rsidR="00B537F1" w:rsidRPr="003F1840">
        <w:rPr>
          <w:rFonts w:ascii="Arial" w:eastAsia="Calibri" w:hAnsi="Arial" w:cs="Arial"/>
          <w:kern w:val="0"/>
          <w:sz w:val="24"/>
          <w:szCs w:val="24"/>
          <w:lang w:val="en-GB"/>
          <w14:ligatures w14:val="none"/>
        </w:rPr>
        <w:t>To do this, t</w:t>
      </w:r>
      <w:r w:rsidR="00C740A4" w:rsidRPr="003F1840">
        <w:rPr>
          <w:rFonts w:ascii="Arial" w:eastAsia="Calibri" w:hAnsi="Arial" w:cs="Arial"/>
          <w:kern w:val="0"/>
          <w:sz w:val="24"/>
          <w:szCs w:val="24"/>
          <w:lang w:val="en-GB"/>
          <w14:ligatures w14:val="none"/>
        </w:rPr>
        <w:t xml:space="preserve">he Department must decide which goods or services </w:t>
      </w:r>
      <w:r w:rsidR="00B537F1" w:rsidRPr="003F1840">
        <w:rPr>
          <w:rFonts w:ascii="Arial" w:eastAsia="Calibri" w:hAnsi="Arial" w:cs="Arial"/>
          <w:kern w:val="0"/>
          <w:sz w:val="24"/>
          <w:szCs w:val="24"/>
          <w:lang w:val="en-GB"/>
          <w14:ligatures w14:val="none"/>
        </w:rPr>
        <w:t>are adequate substitutes</w:t>
      </w:r>
      <w:r w:rsidR="00034824" w:rsidRPr="003F1840">
        <w:rPr>
          <w:rFonts w:ascii="Arial" w:eastAsia="Calibri" w:hAnsi="Arial" w:cs="Arial"/>
          <w:kern w:val="0"/>
          <w:sz w:val="24"/>
          <w:szCs w:val="24"/>
          <w:lang w:val="en-GB"/>
          <w14:ligatures w14:val="none"/>
        </w:rPr>
        <w:t>,</w:t>
      </w:r>
      <w:r w:rsidR="00B537F1" w:rsidRPr="003F1840">
        <w:rPr>
          <w:rFonts w:ascii="Arial" w:eastAsia="Calibri" w:hAnsi="Arial" w:cs="Arial"/>
          <w:kern w:val="0"/>
          <w:sz w:val="24"/>
          <w:szCs w:val="24"/>
          <w:lang w:val="en-GB"/>
          <w14:ligatures w14:val="none"/>
        </w:rPr>
        <w:t xml:space="preserve"> so as to serve the function for which they are being procured. Once the Department has determined this, price plays a critical role in ranking bids.</w:t>
      </w:r>
    </w:p>
    <w:p w14:paraId="3B9FDF03" w14:textId="77777777" w:rsidR="00B537F1" w:rsidRPr="003F1840" w:rsidRDefault="00B537F1" w:rsidP="003F1840">
      <w:pPr>
        <w:pStyle w:val="ListParagraph"/>
        <w:spacing w:line="360" w:lineRule="auto"/>
        <w:rPr>
          <w:rFonts w:ascii="Arial" w:eastAsia="Calibri" w:hAnsi="Arial" w:cs="Arial"/>
          <w:kern w:val="0"/>
          <w:sz w:val="24"/>
          <w:szCs w:val="24"/>
          <w:lang w:val="en-GB"/>
          <w14:ligatures w14:val="none"/>
        </w:rPr>
      </w:pPr>
    </w:p>
    <w:p w14:paraId="4762FD65" w14:textId="71DF2A96" w:rsidR="00B537F1" w:rsidRPr="003F1840"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[11] </w:t>
      </w:r>
      <w:r w:rsidRPr="003F1840">
        <w:rPr>
          <w:rFonts w:ascii="Arial" w:eastAsia="Calibri" w:hAnsi="Arial" w:cs="Arial"/>
          <w:kern w:val="0"/>
          <w:sz w:val="24"/>
          <w:szCs w:val="24"/>
          <w:lang w:val="en-GB"/>
          <w14:ligatures w14:val="none"/>
        </w:rPr>
        <w:tab/>
      </w:r>
      <w:r w:rsidR="00E641EB" w:rsidRPr="003F1840">
        <w:rPr>
          <w:rFonts w:ascii="Arial" w:eastAsia="Calibri" w:hAnsi="Arial" w:cs="Arial"/>
          <w:kern w:val="0"/>
          <w:sz w:val="24"/>
          <w:szCs w:val="24"/>
          <w:lang w:val="en-GB"/>
          <w14:ligatures w14:val="none"/>
        </w:rPr>
        <w:t xml:space="preserve">The Department, as Clause 20.2 of its Policy for Classifying Medicines, referenced above, makes plain, seeks </w:t>
      </w:r>
      <w:r w:rsidR="001C72B0" w:rsidRPr="003F1840">
        <w:rPr>
          <w:rFonts w:ascii="Arial" w:eastAsia="Calibri" w:hAnsi="Arial" w:cs="Arial"/>
          <w:kern w:val="0"/>
          <w:sz w:val="24"/>
          <w:szCs w:val="24"/>
          <w:lang w:val="en-GB"/>
          <w14:ligatures w14:val="none"/>
        </w:rPr>
        <w:t xml:space="preserve">to define therapeutic classes of medicines for the purposes of procurement. A therapeutic class is a group of medicines which have active ingredients with comparable therapeutic effects, but need not belong to the same pharmacological class, and may differ in other respects, such as their chemistry, toxicity, </w:t>
      </w:r>
      <w:r w:rsidR="00C667CB" w:rsidRPr="003F1840">
        <w:rPr>
          <w:rFonts w:ascii="Arial" w:eastAsia="Calibri" w:hAnsi="Arial" w:cs="Arial"/>
          <w:kern w:val="0"/>
          <w:sz w:val="24"/>
          <w:szCs w:val="24"/>
          <w:lang w:val="en-GB"/>
          <w14:ligatures w14:val="none"/>
        </w:rPr>
        <w:t>and a</w:t>
      </w:r>
      <w:r w:rsidR="001C72B0" w:rsidRPr="003F1840">
        <w:rPr>
          <w:rFonts w:ascii="Arial" w:eastAsia="Calibri" w:hAnsi="Arial" w:cs="Arial"/>
          <w:kern w:val="0"/>
          <w:sz w:val="24"/>
          <w:szCs w:val="24"/>
          <w:lang w:val="en-GB"/>
          <w14:ligatures w14:val="none"/>
        </w:rPr>
        <w:t>dverse reactions</w:t>
      </w:r>
      <w:r w:rsidR="00C667CB" w:rsidRPr="003F1840">
        <w:rPr>
          <w:rFonts w:ascii="Arial" w:eastAsia="Calibri" w:hAnsi="Arial" w:cs="Arial"/>
          <w:kern w:val="0"/>
          <w:sz w:val="24"/>
          <w:szCs w:val="24"/>
          <w:lang w:val="en-GB"/>
          <w14:ligatures w14:val="none"/>
        </w:rPr>
        <w:t xml:space="preserve">. There is no reason why the Department should not adopt a policy of this kind for the purpose of procurement. It is a policy that gives preference to therapeutic effects. And that is a perfectly defensible basis upon which the Department invites bids to procure medicines to provide treatment in public hospitals. </w:t>
      </w:r>
      <w:r w:rsidR="00AF7927" w:rsidRPr="003F1840">
        <w:rPr>
          <w:rFonts w:ascii="Arial" w:eastAsia="Calibri" w:hAnsi="Arial" w:cs="Arial"/>
          <w:kern w:val="0"/>
          <w:sz w:val="24"/>
          <w:szCs w:val="24"/>
          <w:lang w:val="en-GB"/>
          <w14:ligatures w14:val="none"/>
        </w:rPr>
        <w:t>It values what a medicine can be used to treat, rather than its molecular or chemical identity with another medicine. It is certainly an entirely rational and reasonable policy to adopt for the purpose of procuring medicines for the public health service. Indeed, as the Department and Abbvie stressed</w:t>
      </w:r>
      <w:r w:rsidR="00034824" w:rsidRPr="003F1840">
        <w:rPr>
          <w:rFonts w:ascii="Arial" w:eastAsia="Calibri" w:hAnsi="Arial" w:cs="Arial"/>
          <w:kern w:val="0"/>
          <w:sz w:val="24"/>
          <w:szCs w:val="24"/>
          <w:lang w:val="en-GB"/>
          <w14:ligatures w14:val="none"/>
        </w:rPr>
        <w:t>,</w:t>
      </w:r>
      <w:r w:rsidR="00AF7927" w:rsidRPr="003F1840">
        <w:rPr>
          <w:rFonts w:ascii="Arial" w:eastAsia="Calibri" w:hAnsi="Arial" w:cs="Arial"/>
          <w:kern w:val="0"/>
          <w:sz w:val="24"/>
          <w:szCs w:val="24"/>
          <w:lang w:val="en-GB"/>
          <w14:ligatures w14:val="none"/>
        </w:rPr>
        <w:t xml:space="preserve"> it encourages competitive bidding because more medicines have comparable therapeutic effects</w:t>
      </w:r>
      <w:r w:rsidR="001D3328" w:rsidRPr="003F1840">
        <w:rPr>
          <w:rFonts w:ascii="Arial" w:eastAsia="Calibri" w:hAnsi="Arial" w:cs="Arial"/>
          <w:kern w:val="0"/>
          <w:sz w:val="24"/>
          <w:szCs w:val="24"/>
          <w:lang w:val="en-GB"/>
          <w14:ligatures w14:val="none"/>
        </w:rPr>
        <w:t xml:space="preserve"> than molecular identity. And more competition, in principle, lowers prices and provides alternative sources of supply. All of which is a faithful implementation of s 217 of the Constitution.</w:t>
      </w:r>
    </w:p>
    <w:p w14:paraId="2ADA0051" w14:textId="77777777" w:rsidR="001D3328" w:rsidRPr="003F1840" w:rsidRDefault="001D3328" w:rsidP="003F1840">
      <w:pPr>
        <w:spacing w:after="0" w:line="360" w:lineRule="auto"/>
        <w:ind w:left="501"/>
        <w:contextualSpacing/>
        <w:jc w:val="both"/>
        <w:rPr>
          <w:rFonts w:ascii="Arial" w:eastAsia="Calibri" w:hAnsi="Arial" w:cs="Arial"/>
          <w:kern w:val="0"/>
          <w:sz w:val="24"/>
          <w:szCs w:val="24"/>
          <w:lang w:val="en-GB"/>
          <w14:ligatures w14:val="none"/>
        </w:rPr>
      </w:pPr>
    </w:p>
    <w:p w14:paraId="285BE938" w14:textId="290CF9FD" w:rsidR="001D3328" w:rsidRPr="003F1840"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[12] </w:t>
      </w:r>
      <w:r w:rsidRPr="003F1840">
        <w:rPr>
          <w:rFonts w:ascii="Arial" w:eastAsia="Calibri" w:hAnsi="Arial" w:cs="Arial"/>
          <w:kern w:val="0"/>
          <w:sz w:val="24"/>
          <w:szCs w:val="24"/>
          <w:lang w:val="en-GB"/>
          <w14:ligatures w14:val="none"/>
        </w:rPr>
        <w:tab/>
      </w:r>
      <w:r w:rsidR="001D3328" w:rsidRPr="003F1840">
        <w:rPr>
          <w:rFonts w:ascii="Arial" w:eastAsia="Calibri" w:hAnsi="Arial" w:cs="Arial"/>
          <w:kern w:val="0"/>
          <w:sz w:val="24"/>
          <w:szCs w:val="24"/>
          <w:lang w:val="en-GB"/>
          <w14:ligatures w14:val="none"/>
        </w:rPr>
        <w:t xml:space="preserve">In sum, the Department has </w:t>
      </w:r>
      <w:r w:rsidR="00034824" w:rsidRPr="003F1840">
        <w:rPr>
          <w:rFonts w:ascii="Arial" w:eastAsia="Calibri" w:hAnsi="Arial" w:cs="Arial"/>
          <w:kern w:val="0"/>
          <w:sz w:val="24"/>
          <w:szCs w:val="24"/>
          <w:lang w:val="en-GB"/>
          <w14:ligatures w14:val="none"/>
        </w:rPr>
        <w:t>the</w:t>
      </w:r>
      <w:r w:rsidR="001D3328" w:rsidRPr="003F1840">
        <w:rPr>
          <w:rFonts w:ascii="Arial" w:eastAsia="Calibri" w:hAnsi="Arial" w:cs="Arial"/>
          <w:kern w:val="0"/>
          <w:sz w:val="24"/>
          <w:szCs w:val="24"/>
          <w:lang w:val="en-GB"/>
          <w14:ligatures w14:val="none"/>
        </w:rPr>
        <w:t xml:space="preserve"> power to procure medicines. Intrinsic to this power is the classification of goods or services </w:t>
      </w:r>
      <w:r w:rsidR="0085022D" w:rsidRPr="003F1840">
        <w:rPr>
          <w:rFonts w:ascii="Arial" w:eastAsia="Calibri" w:hAnsi="Arial" w:cs="Arial"/>
          <w:kern w:val="0"/>
          <w:sz w:val="24"/>
          <w:szCs w:val="24"/>
          <w:lang w:val="en-GB"/>
          <w14:ligatures w14:val="none"/>
        </w:rPr>
        <w:t xml:space="preserve">into classes which permit of comparison. Therapeutic efficacy is an entirely rational criterion of classification. It follows that the contention that the Department lacks the power to </w:t>
      </w:r>
      <w:r w:rsidR="00644629" w:rsidRPr="003F1840">
        <w:rPr>
          <w:rFonts w:ascii="Arial" w:eastAsia="Calibri" w:hAnsi="Arial" w:cs="Arial"/>
          <w:kern w:val="0"/>
          <w:sz w:val="24"/>
          <w:szCs w:val="24"/>
          <w:lang w:val="en-GB"/>
          <w14:ligatures w14:val="none"/>
        </w:rPr>
        <w:t>define a therapeutic class must be rejected.</w:t>
      </w:r>
    </w:p>
    <w:p w14:paraId="4718D8D0" w14:textId="77777777" w:rsidR="00644629" w:rsidRPr="003F1840" w:rsidRDefault="00644629" w:rsidP="003F1840">
      <w:pPr>
        <w:pStyle w:val="ListParagraph"/>
        <w:spacing w:line="360" w:lineRule="auto"/>
        <w:rPr>
          <w:rFonts w:ascii="Arial" w:eastAsia="Calibri" w:hAnsi="Arial" w:cs="Arial"/>
          <w:kern w:val="0"/>
          <w:sz w:val="24"/>
          <w:szCs w:val="24"/>
          <w:lang w:val="en-GB"/>
          <w14:ligatures w14:val="none"/>
        </w:rPr>
      </w:pPr>
    </w:p>
    <w:p w14:paraId="03469D9A" w14:textId="182A47B0" w:rsidR="00644629" w:rsidRPr="003F1840"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[13] </w:t>
      </w:r>
      <w:r w:rsidRPr="003F1840">
        <w:rPr>
          <w:rFonts w:ascii="Arial" w:eastAsia="Calibri" w:hAnsi="Arial" w:cs="Arial"/>
          <w:kern w:val="0"/>
          <w:sz w:val="24"/>
          <w:szCs w:val="24"/>
          <w:lang w:val="en-GB"/>
          <w14:ligatures w14:val="none"/>
        </w:rPr>
        <w:tab/>
      </w:r>
      <w:r w:rsidR="00644629" w:rsidRPr="003F1840">
        <w:rPr>
          <w:rFonts w:ascii="Arial" w:eastAsia="Calibri" w:hAnsi="Arial" w:cs="Arial"/>
          <w:kern w:val="0"/>
          <w:sz w:val="24"/>
          <w:szCs w:val="24"/>
          <w:lang w:val="en-GB"/>
          <w14:ligatures w14:val="none"/>
        </w:rPr>
        <w:t>Safeline, however, makes a second c</w:t>
      </w:r>
      <w:r w:rsidR="00091AD0" w:rsidRPr="003F1840">
        <w:rPr>
          <w:rFonts w:ascii="Arial" w:eastAsia="Calibri" w:hAnsi="Arial" w:cs="Arial"/>
          <w:kern w:val="0"/>
          <w:sz w:val="24"/>
          <w:szCs w:val="24"/>
          <w:lang w:val="en-GB"/>
          <w14:ligatures w14:val="none"/>
        </w:rPr>
        <w:t>laim</w:t>
      </w:r>
      <w:r w:rsidR="00644629" w:rsidRPr="003F1840">
        <w:rPr>
          <w:rFonts w:ascii="Arial" w:eastAsia="Calibri" w:hAnsi="Arial" w:cs="Arial"/>
          <w:kern w:val="0"/>
          <w:sz w:val="24"/>
          <w:szCs w:val="24"/>
          <w:lang w:val="en-GB"/>
          <w14:ligatures w14:val="none"/>
        </w:rPr>
        <w:t xml:space="preserve">. Even if the Department may adopt therapeutic efficacy as its criterion of classification, the Department, and its internal functionaries, the List committee and the ERC, do not have the power to determine which medicines are to be </w:t>
      </w:r>
      <w:r w:rsidR="00091AD0" w:rsidRPr="003F1840">
        <w:rPr>
          <w:rFonts w:ascii="Arial" w:eastAsia="Calibri" w:hAnsi="Arial" w:cs="Arial"/>
          <w:kern w:val="0"/>
          <w:sz w:val="24"/>
          <w:szCs w:val="24"/>
          <w:lang w:val="en-GB"/>
          <w14:ligatures w14:val="none"/>
        </w:rPr>
        <w:t xml:space="preserve">so </w:t>
      </w:r>
      <w:r w:rsidR="00644629" w:rsidRPr="003F1840">
        <w:rPr>
          <w:rFonts w:ascii="Arial" w:eastAsia="Calibri" w:hAnsi="Arial" w:cs="Arial"/>
          <w:kern w:val="0"/>
          <w:sz w:val="24"/>
          <w:szCs w:val="24"/>
          <w:lang w:val="en-GB"/>
          <w14:ligatures w14:val="none"/>
        </w:rPr>
        <w:t xml:space="preserve">classified as falling into a class based </w:t>
      </w:r>
      <w:r w:rsidR="003B14ED" w:rsidRPr="003F1840">
        <w:rPr>
          <w:rFonts w:ascii="Arial" w:eastAsia="Calibri" w:hAnsi="Arial" w:cs="Arial"/>
          <w:kern w:val="0"/>
          <w:sz w:val="24"/>
          <w:szCs w:val="24"/>
          <w:lang w:val="en-GB"/>
          <w14:ligatures w14:val="none"/>
        </w:rPr>
        <w:t>on therapeutic efficacy. This statutory function rests with the Regulator under the Medicines Act. The contested clas</w:t>
      </w:r>
      <w:r w:rsidR="00091AD0" w:rsidRPr="003F1840">
        <w:rPr>
          <w:rFonts w:ascii="Arial" w:eastAsia="Calibri" w:hAnsi="Arial" w:cs="Arial"/>
          <w:kern w:val="0"/>
          <w:sz w:val="24"/>
          <w:szCs w:val="24"/>
          <w:lang w:val="en-GB"/>
          <w14:ligatures w14:val="none"/>
        </w:rPr>
        <w:t>sification</w:t>
      </w:r>
      <w:r w:rsidR="003B14ED" w:rsidRPr="003F1840">
        <w:rPr>
          <w:rFonts w:ascii="Arial" w:eastAsia="Calibri" w:hAnsi="Arial" w:cs="Arial"/>
          <w:kern w:val="0"/>
          <w:sz w:val="24"/>
          <w:szCs w:val="24"/>
          <w:lang w:val="en-GB"/>
          <w14:ligatures w14:val="none"/>
        </w:rPr>
        <w:t xml:space="preserve"> was adopted by the bid committee on the recommendation of the List committee. But, Safeline argues, the Department lacks the power to </w:t>
      </w:r>
      <w:r w:rsidR="00967A26" w:rsidRPr="003F1840">
        <w:rPr>
          <w:rFonts w:ascii="Arial" w:eastAsia="Calibri" w:hAnsi="Arial" w:cs="Arial"/>
          <w:kern w:val="0"/>
          <w:sz w:val="24"/>
          <w:szCs w:val="24"/>
          <w:lang w:val="en-GB"/>
          <w14:ligatures w14:val="none"/>
        </w:rPr>
        <w:t>make</w:t>
      </w:r>
      <w:r w:rsidR="003B14ED" w:rsidRPr="003F1840">
        <w:rPr>
          <w:rFonts w:ascii="Arial" w:eastAsia="Calibri" w:hAnsi="Arial" w:cs="Arial"/>
          <w:kern w:val="0"/>
          <w:sz w:val="24"/>
          <w:szCs w:val="24"/>
          <w:lang w:val="en-GB"/>
          <w14:ligatures w14:val="none"/>
        </w:rPr>
        <w:t xml:space="preserve"> the contested class</w:t>
      </w:r>
      <w:r w:rsidR="00091AD0" w:rsidRPr="003F1840">
        <w:rPr>
          <w:rFonts w:ascii="Arial" w:eastAsia="Calibri" w:hAnsi="Arial" w:cs="Arial"/>
          <w:kern w:val="0"/>
          <w:sz w:val="24"/>
          <w:szCs w:val="24"/>
          <w:lang w:val="en-GB"/>
          <w14:ligatures w14:val="none"/>
        </w:rPr>
        <w:t>ification</w:t>
      </w:r>
      <w:r w:rsidR="003B14ED" w:rsidRPr="003F1840">
        <w:rPr>
          <w:rFonts w:ascii="Arial" w:eastAsia="Calibri" w:hAnsi="Arial" w:cs="Arial"/>
          <w:kern w:val="0"/>
          <w:sz w:val="24"/>
          <w:szCs w:val="24"/>
          <w:lang w:val="en-GB"/>
          <w14:ligatures w14:val="none"/>
        </w:rPr>
        <w:t>. Rather, th</w:t>
      </w:r>
      <w:r w:rsidR="00091AD0" w:rsidRPr="003F1840">
        <w:rPr>
          <w:rFonts w:ascii="Arial" w:eastAsia="Calibri" w:hAnsi="Arial" w:cs="Arial"/>
          <w:kern w:val="0"/>
          <w:sz w:val="24"/>
          <w:szCs w:val="24"/>
          <w:lang w:val="en-GB"/>
          <w14:ligatures w14:val="none"/>
        </w:rPr>
        <w:t>at</w:t>
      </w:r>
      <w:r w:rsidR="003B14ED" w:rsidRPr="003F1840">
        <w:rPr>
          <w:rFonts w:ascii="Arial" w:eastAsia="Calibri" w:hAnsi="Arial" w:cs="Arial"/>
          <w:kern w:val="0"/>
          <w:sz w:val="24"/>
          <w:szCs w:val="24"/>
          <w:lang w:val="en-GB"/>
          <w14:ligatures w14:val="none"/>
        </w:rPr>
        <w:t xml:space="preserve"> power to rests with the Regulator.</w:t>
      </w:r>
    </w:p>
    <w:p w14:paraId="75C46FD9" w14:textId="77777777" w:rsidR="003B14ED" w:rsidRPr="003F1840" w:rsidRDefault="003B14ED" w:rsidP="003F1840">
      <w:pPr>
        <w:pStyle w:val="ListParagraph"/>
        <w:spacing w:line="360" w:lineRule="auto"/>
        <w:rPr>
          <w:rFonts w:ascii="Arial" w:eastAsia="Calibri" w:hAnsi="Arial" w:cs="Arial"/>
          <w:kern w:val="0"/>
          <w:sz w:val="24"/>
          <w:szCs w:val="24"/>
          <w:lang w:val="en-GB"/>
          <w14:ligatures w14:val="none"/>
        </w:rPr>
      </w:pPr>
    </w:p>
    <w:p w14:paraId="434629F5" w14:textId="76A7A322" w:rsidR="003B14ED" w:rsidRPr="003F1840"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[14] </w:t>
      </w:r>
      <w:r w:rsidRPr="003F1840">
        <w:rPr>
          <w:rFonts w:ascii="Arial" w:eastAsia="Calibri" w:hAnsi="Arial" w:cs="Arial"/>
          <w:kern w:val="0"/>
          <w:sz w:val="24"/>
          <w:szCs w:val="24"/>
          <w:lang w:val="en-GB"/>
          <w14:ligatures w14:val="none"/>
        </w:rPr>
        <w:tab/>
      </w:r>
      <w:r w:rsidR="003B14ED" w:rsidRPr="003F1840">
        <w:rPr>
          <w:rFonts w:ascii="Arial" w:eastAsia="Calibri" w:hAnsi="Arial" w:cs="Arial"/>
          <w:kern w:val="0"/>
          <w:sz w:val="24"/>
          <w:szCs w:val="24"/>
          <w:lang w:val="en-GB"/>
          <w14:ligatures w14:val="none"/>
        </w:rPr>
        <w:t xml:space="preserve">In order to make out this </w:t>
      </w:r>
      <w:r w:rsidR="00091AD0" w:rsidRPr="003F1840">
        <w:rPr>
          <w:rFonts w:ascii="Arial" w:eastAsia="Calibri" w:hAnsi="Arial" w:cs="Arial"/>
          <w:kern w:val="0"/>
          <w:sz w:val="24"/>
          <w:szCs w:val="24"/>
          <w:lang w:val="en-GB"/>
          <w14:ligatures w14:val="none"/>
        </w:rPr>
        <w:t>contention</w:t>
      </w:r>
      <w:r w:rsidR="003B14ED" w:rsidRPr="003F1840">
        <w:rPr>
          <w:rFonts w:ascii="Arial" w:eastAsia="Calibri" w:hAnsi="Arial" w:cs="Arial"/>
          <w:kern w:val="0"/>
          <w:sz w:val="24"/>
          <w:szCs w:val="24"/>
          <w:lang w:val="en-GB"/>
          <w14:ligatures w14:val="none"/>
        </w:rPr>
        <w:t xml:space="preserve">, Safeline must show that the power of classification </w:t>
      </w:r>
      <w:r w:rsidR="00440949" w:rsidRPr="003F1840">
        <w:rPr>
          <w:rFonts w:ascii="Arial" w:eastAsia="Calibri" w:hAnsi="Arial" w:cs="Arial"/>
          <w:kern w:val="0"/>
          <w:sz w:val="24"/>
          <w:szCs w:val="24"/>
          <w:lang w:val="en-GB"/>
          <w14:ligatures w14:val="none"/>
        </w:rPr>
        <w:t>is enjoyed by the Regulator</w:t>
      </w:r>
      <w:r w:rsidR="00091AD0" w:rsidRPr="003F1840">
        <w:rPr>
          <w:rFonts w:ascii="Arial" w:eastAsia="Calibri" w:hAnsi="Arial" w:cs="Arial"/>
          <w:kern w:val="0"/>
          <w:sz w:val="24"/>
          <w:szCs w:val="24"/>
          <w:lang w:val="en-GB"/>
          <w14:ligatures w14:val="none"/>
        </w:rPr>
        <w:t>,</w:t>
      </w:r>
      <w:r w:rsidR="00440949" w:rsidRPr="003F1840">
        <w:rPr>
          <w:rFonts w:ascii="Arial" w:eastAsia="Calibri" w:hAnsi="Arial" w:cs="Arial"/>
          <w:kern w:val="0"/>
          <w:sz w:val="24"/>
          <w:szCs w:val="24"/>
          <w:lang w:val="en-GB"/>
          <w14:ligatures w14:val="none"/>
        </w:rPr>
        <w:t xml:space="preserve"> and that it is an exclusive competence. That is to say, the Regulator alone can exercise this power</w:t>
      </w:r>
      <w:r w:rsidR="00091AD0" w:rsidRPr="003F1840">
        <w:rPr>
          <w:rFonts w:ascii="Arial" w:eastAsia="Calibri" w:hAnsi="Arial" w:cs="Arial"/>
          <w:kern w:val="0"/>
          <w:sz w:val="24"/>
          <w:szCs w:val="24"/>
          <w:lang w:val="en-GB"/>
          <w14:ligatures w14:val="none"/>
        </w:rPr>
        <w:t>, and hence, the Department having done so</w:t>
      </w:r>
      <w:r w:rsidR="001F3373" w:rsidRPr="003F1840">
        <w:rPr>
          <w:rFonts w:ascii="Arial" w:eastAsia="Calibri" w:hAnsi="Arial" w:cs="Arial"/>
          <w:kern w:val="0"/>
          <w:sz w:val="24"/>
          <w:szCs w:val="24"/>
          <w:lang w:val="en-GB"/>
          <w14:ligatures w14:val="none"/>
        </w:rPr>
        <w:t>, this</w:t>
      </w:r>
      <w:r w:rsidR="00091AD0" w:rsidRPr="003F1840">
        <w:rPr>
          <w:rFonts w:ascii="Arial" w:eastAsia="Calibri" w:hAnsi="Arial" w:cs="Arial"/>
          <w:kern w:val="0"/>
          <w:sz w:val="24"/>
          <w:szCs w:val="24"/>
          <w:lang w:val="en-GB"/>
          <w14:ligatures w14:val="none"/>
        </w:rPr>
        <w:t xml:space="preserve"> amounts to an</w:t>
      </w:r>
      <w:r w:rsidR="00091AD0" w:rsidRPr="003F1840">
        <w:rPr>
          <w:rFonts w:ascii="Arial" w:eastAsia="Calibri" w:hAnsi="Arial" w:cs="Arial"/>
          <w:i/>
          <w:iCs/>
          <w:kern w:val="0"/>
          <w:sz w:val="24"/>
          <w:szCs w:val="24"/>
          <w:lang w:val="en-GB"/>
          <w14:ligatures w14:val="none"/>
        </w:rPr>
        <w:t xml:space="preserve"> ultra vires</w:t>
      </w:r>
      <w:r w:rsidR="00091AD0" w:rsidRPr="003F1840">
        <w:rPr>
          <w:rFonts w:ascii="Arial" w:eastAsia="Calibri" w:hAnsi="Arial" w:cs="Arial"/>
          <w:kern w:val="0"/>
          <w:sz w:val="24"/>
          <w:szCs w:val="24"/>
          <w:lang w:val="en-GB"/>
          <w14:ligatures w14:val="none"/>
        </w:rPr>
        <w:t xml:space="preserve"> exercise of power.</w:t>
      </w:r>
    </w:p>
    <w:p w14:paraId="5F699D8E" w14:textId="77777777" w:rsidR="005223BD" w:rsidRPr="003F1840" w:rsidRDefault="005223BD" w:rsidP="003F1840">
      <w:pPr>
        <w:pStyle w:val="ListParagraph"/>
        <w:spacing w:line="360" w:lineRule="auto"/>
        <w:rPr>
          <w:rFonts w:ascii="Arial" w:eastAsia="Calibri" w:hAnsi="Arial" w:cs="Arial"/>
          <w:kern w:val="0"/>
          <w:sz w:val="24"/>
          <w:szCs w:val="24"/>
          <w:lang w:val="en-GB"/>
          <w14:ligatures w14:val="none"/>
        </w:rPr>
      </w:pPr>
    </w:p>
    <w:p w14:paraId="36DD35E7" w14:textId="675D0577" w:rsidR="005223BD" w:rsidRPr="003F1840"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[15] </w:t>
      </w:r>
      <w:r w:rsidRPr="003F1840">
        <w:rPr>
          <w:rFonts w:ascii="Arial" w:eastAsia="Calibri" w:hAnsi="Arial" w:cs="Arial"/>
          <w:kern w:val="0"/>
          <w:sz w:val="24"/>
          <w:szCs w:val="24"/>
          <w:lang w:val="en-GB"/>
          <w14:ligatures w14:val="none"/>
        </w:rPr>
        <w:tab/>
      </w:r>
      <w:r w:rsidR="00091AD0" w:rsidRPr="003F1840">
        <w:rPr>
          <w:rFonts w:ascii="Arial" w:eastAsia="Calibri" w:hAnsi="Arial" w:cs="Arial"/>
          <w:kern w:val="0"/>
          <w:sz w:val="24"/>
          <w:szCs w:val="24"/>
          <w:lang w:val="en-GB"/>
          <w14:ligatures w14:val="none"/>
        </w:rPr>
        <w:t xml:space="preserve">I turn to consider this </w:t>
      </w:r>
      <w:r w:rsidR="00967A26" w:rsidRPr="003F1840">
        <w:rPr>
          <w:rFonts w:ascii="Arial" w:eastAsia="Calibri" w:hAnsi="Arial" w:cs="Arial"/>
          <w:kern w:val="0"/>
          <w:sz w:val="24"/>
          <w:szCs w:val="24"/>
          <w:lang w:val="en-GB"/>
          <w14:ligatures w14:val="none"/>
        </w:rPr>
        <w:t>argument. The Regulator was established in terms of s2 of the Medicines Act. In s 2A, the objects of the Regulator are set out. They are widely framed: to provide for the monitoring, evaluation, regulation, investigation, inspection, registration and control of me</w:t>
      </w:r>
      <w:r w:rsidR="003D22BF" w:rsidRPr="003F1840">
        <w:rPr>
          <w:rFonts w:ascii="Arial" w:eastAsia="Calibri" w:hAnsi="Arial" w:cs="Arial"/>
          <w:kern w:val="0"/>
          <w:sz w:val="24"/>
          <w:szCs w:val="24"/>
          <w:lang w:val="en-GB"/>
          <w14:ligatures w14:val="none"/>
        </w:rPr>
        <w:t xml:space="preserve">dicines, and related matters. Section 2B lists the functions of the Regulator.  These include: the assessment and registration of medicines that meet defined standards of quality, safety, efficacy and performance by means of a process that is transparent, fair, objective and timely. </w:t>
      </w:r>
      <w:r w:rsidR="00404909" w:rsidRPr="003F1840">
        <w:rPr>
          <w:rFonts w:ascii="Arial" w:eastAsia="Calibri" w:hAnsi="Arial" w:cs="Arial"/>
          <w:kern w:val="0"/>
          <w:sz w:val="24"/>
          <w:szCs w:val="24"/>
          <w:lang w:val="en-GB"/>
          <w14:ligatures w14:val="none"/>
        </w:rPr>
        <w:t xml:space="preserve">Safeline placed particular emphasis upon s35(1)(iii). This provision permits the Minister of Health, in </w:t>
      </w:r>
      <w:r w:rsidR="00404909" w:rsidRPr="003F1840">
        <w:rPr>
          <w:rFonts w:ascii="Arial" w:eastAsia="Calibri" w:hAnsi="Arial" w:cs="Arial"/>
          <w:kern w:val="0"/>
          <w:sz w:val="24"/>
          <w:szCs w:val="24"/>
          <w:lang w:val="en-GB"/>
          <w14:ligatures w14:val="none"/>
        </w:rPr>
        <w:lastRenderedPageBreak/>
        <w:t xml:space="preserve">consultation with the Regulator, to make regulations </w:t>
      </w:r>
      <w:r w:rsidR="003F5681" w:rsidRPr="003F1840">
        <w:rPr>
          <w:rFonts w:ascii="Arial" w:eastAsia="Calibri" w:hAnsi="Arial" w:cs="Arial"/>
          <w:kern w:val="0"/>
          <w:sz w:val="24"/>
          <w:szCs w:val="24"/>
          <w:lang w:val="en-GB"/>
          <w14:ligatures w14:val="none"/>
        </w:rPr>
        <w:t xml:space="preserve">providing for the classifications of medicines. </w:t>
      </w:r>
      <w:r w:rsidR="00582C79" w:rsidRPr="003F1840">
        <w:rPr>
          <w:rFonts w:ascii="Arial" w:eastAsia="Calibri" w:hAnsi="Arial" w:cs="Arial"/>
          <w:kern w:val="0"/>
          <w:sz w:val="24"/>
          <w:szCs w:val="24"/>
          <w:lang w:val="en-GB"/>
          <w14:ligatures w14:val="none"/>
        </w:rPr>
        <w:t xml:space="preserve">General </w:t>
      </w:r>
      <w:r w:rsidR="003F5681" w:rsidRPr="003F1840">
        <w:rPr>
          <w:rFonts w:ascii="Arial" w:eastAsia="Calibri" w:hAnsi="Arial" w:cs="Arial"/>
          <w:kern w:val="0"/>
          <w:sz w:val="24"/>
          <w:szCs w:val="24"/>
          <w:lang w:val="en-GB"/>
          <w14:ligatures w14:val="none"/>
        </w:rPr>
        <w:t xml:space="preserve">Regulations have been promulgated in terms of s35. </w:t>
      </w:r>
      <w:r w:rsidR="00582C79" w:rsidRPr="003F1840">
        <w:rPr>
          <w:rFonts w:ascii="Arial" w:eastAsia="Calibri" w:hAnsi="Arial" w:cs="Arial"/>
          <w:kern w:val="0"/>
          <w:sz w:val="24"/>
          <w:szCs w:val="24"/>
          <w:lang w:val="en-GB"/>
          <w14:ligatures w14:val="none"/>
        </w:rPr>
        <w:t xml:space="preserve">Section </w:t>
      </w:r>
      <w:r w:rsidR="003F5681" w:rsidRPr="003F1840">
        <w:rPr>
          <w:rFonts w:ascii="Arial" w:eastAsia="Calibri" w:hAnsi="Arial" w:cs="Arial"/>
          <w:kern w:val="0"/>
          <w:sz w:val="24"/>
          <w:szCs w:val="24"/>
          <w:lang w:val="en-GB"/>
          <w14:ligatures w14:val="none"/>
        </w:rPr>
        <w:t>2</w:t>
      </w:r>
      <w:r w:rsidR="001F3373" w:rsidRPr="003F1840">
        <w:rPr>
          <w:rFonts w:ascii="Arial" w:eastAsia="Calibri" w:hAnsi="Arial" w:cs="Arial"/>
          <w:kern w:val="0"/>
          <w:sz w:val="24"/>
          <w:szCs w:val="24"/>
          <w:lang w:val="en-GB"/>
          <w14:ligatures w14:val="none"/>
        </w:rPr>
        <w:t xml:space="preserve"> of the General Regulations</w:t>
      </w:r>
      <w:r w:rsidR="003F5681" w:rsidRPr="003F1840">
        <w:rPr>
          <w:rFonts w:ascii="Arial" w:eastAsia="Calibri" w:hAnsi="Arial" w:cs="Arial"/>
          <w:kern w:val="0"/>
          <w:sz w:val="24"/>
          <w:szCs w:val="24"/>
          <w:lang w:val="en-GB"/>
          <w14:ligatures w14:val="none"/>
        </w:rPr>
        <w:t xml:space="preserve"> sets out the requirements for therapeutic equivalence. </w:t>
      </w:r>
      <w:r w:rsidR="00A63BC3" w:rsidRPr="003F1840">
        <w:rPr>
          <w:rFonts w:ascii="Arial" w:eastAsia="Calibri" w:hAnsi="Arial" w:cs="Arial"/>
          <w:kern w:val="0"/>
          <w:sz w:val="24"/>
          <w:szCs w:val="24"/>
          <w:lang w:val="en-GB"/>
          <w14:ligatures w14:val="none"/>
        </w:rPr>
        <w:t>A medicine is considered therapeutically equivalent if both medicines are pharmaceutically equivalent or pharmaceutical alternatives. Medicines are pharmaceutically alternatives ‘in that they contain the same active moiety but differ either in chemical form of that moiety or in the dosage form or strength</w:t>
      </w:r>
      <w:r w:rsidR="00C147BF" w:rsidRPr="003F1840">
        <w:rPr>
          <w:rFonts w:ascii="Arial" w:eastAsia="Calibri" w:hAnsi="Arial" w:cs="Arial"/>
          <w:kern w:val="0"/>
          <w:sz w:val="24"/>
          <w:szCs w:val="24"/>
          <w:lang w:val="en-GB"/>
          <w14:ligatures w14:val="none"/>
        </w:rPr>
        <w:t>’</w:t>
      </w:r>
      <w:r w:rsidR="00A63BC3" w:rsidRPr="003F1840">
        <w:rPr>
          <w:rFonts w:ascii="Arial" w:eastAsia="Calibri" w:hAnsi="Arial" w:cs="Arial"/>
          <w:kern w:val="0"/>
          <w:sz w:val="24"/>
          <w:szCs w:val="24"/>
          <w:lang w:val="en-GB"/>
          <w14:ligatures w14:val="none"/>
        </w:rPr>
        <w:t xml:space="preserve">. </w:t>
      </w:r>
      <w:r w:rsidR="00C147BF" w:rsidRPr="003F1840">
        <w:rPr>
          <w:rFonts w:ascii="Arial" w:eastAsia="Calibri" w:hAnsi="Arial" w:cs="Arial"/>
          <w:kern w:val="0"/>
          <w:sz w:val="24"/>
          <w:szCs w:val="24"/>
          <w:lang w:val="en-GB"/>
          <w14:ligatures w14:val="none"/>
        </w:rPr>
        <w:t>An active moiety, the founding affidavit explains, is the core molecule responsible for a medicine’s beneficial or adverse effect.</w:t>
      </w:r>
    </w:p>
    <w:p w14:paraId="7F620DE4" w14:textId="77777777" w:rsidR="00582C79" w:rsidRPr="003F1840" w:rsidRDefault="00582C79" w:rsidP="003F1840">
      <w:pPr>
        <w:spacing w:after="0" w:line="360" w:lineRule="auto"/>
        <w:ind w:left="501"/>
        <w:contextualSpacing/>
        <w:jc w:val="both"/>
        <w:rPr>
          <w:rFonts w:ascii="Arial" w:eastAsia="Calibri" w:hAnsi="Arial" w:cs="Arial"/>
          <w:kern w:val="0"/>
          <w:sz w:val="24"/>
          <w:szCs w:val="24"/>
          <w:lang w:val="en-GB"/>
          <w14:ligatures w14:val="none"/>
        </w:rPr>
      </w:pPr>
    </w:p>
    <w:p w14:paraId="40E21B49" w14:textId="713708E4" w:rsidR="00582C79" w:rsidRPr="003F1840"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[16] </w:t>
      </w:r>
      <w:r w:rsidRPr="003F1840">
        <w:rPr>
          <w:rFonts w:ascii="Arial" w:eastAsia="Calibri" w:hAnsi="Arial" w:cs="Arial"/>
          <w:kern w:val="0"/>
          <w:sz w:val="24"/>
          <w:szCs w:val="24"/>
          <w:lang w:val="en-GB"/>
          <w14:ligatures w14:val="none"/>
        </w:rPr>
        <w:tab/>
      </w:r>
      <w:r w:rsidR="002C566C" w:rsidRPr="003F1840">
        <w:rPr>
          <w:rFonts w:ascii="Arial" w:eastAsia="Calibri" w:hAnsi="Arial" w:cs="Arial"/>
          <w:kern w:val="0"/>
          <w:sz w:val="24"/>
          <w:szCs w:val="24"/>
          <w:lang w:val="en-GB"/>
          <w14:ligatures w14:val="none"/>
        </w:rPr>
        <w:t xml:space="preserve">The Medicines Act, as its preamble makes plain, provides for the registration of medicines and related substances intended for human use. </w:t>
      </w:r>
      <w:r w:rsidR="00345F67" w:rsidRPr="003F1840">
        <w:rPr>
          <w:rFonts w:ascii="Arial" w:eastAsia="Calibri" w:hAnsi="Arial" w:cs="Arial"/>
          <w:kern w:val="0"/>
          <w:sz w:val="24"/>
          <w:szCs w:val="24"/>
          <w:lang w:val="en-GB"/>
          <w14:ligatures w14:val="none"/>
        </w:rPr>
        <w:t>The Regulator’s principal function is to assess and evaluate applications to decide whether a medicine, subject to registration, should be registered. Registration is the regulatory gateway that determines whether a medicine, subject to registration, may be sold. The substantive provisions of the Medic</w:t>
      </w:r>
      <w:r w:rsidR="008F70BF" w:rsidRPr="003F1840">
        <w:rPr>
          <w:rFonts w:ascii="Arial" w:eastAsia="Calibri" w:hAnsi="Arial" w:cs="Arial"/>
          <w:kern w:val="0"/>
          <w:sz w:val="24"/>
          <w:szCs w:val="24"/>
          <w:lang w:val="en-GB"/>
          <w14:ligatures w14:val="none"/>
        </w:rPr>
        <w:t xml:space="preserve">ines Act provide for a variety of other matters. These </w:t>
      </w:r>
      <w:r w:rsidR="00044C56" w:rsidRPr="003F1840">
        <w:rPr>
          <w:rFonts w:ascii="Arial" w:eastAsia="Calibri" w:hAnsi="Arial" w:cs="Arial"/>
          <w:kern w:val="0"/>
          <w:sz w:val="24"/>
          <w:szCs w:val="24"/>
          <w:lang w:val="en-GB"/>
          <w14:ligatures w14:val="none"/>
        </w:rPr>
        <w:t>include:</w:t>
      </w:r>
      <w:r w:rsidR="008F70BF" w:rsidRPr="003F1840">
        <w:rPr>
          <w:rFonts w:ascii="Arial" w:eastAsia="Calibri" w:hAnsi="Arial" w:cs="Arial"/>
          <w:kern w:val="0"/>
          <w:sz w:val="24"/>
          <w:szCs w:val="24"/>
          <w:lang w:val="en-GB"/>
          <w14:ligatures w14:val="none"/>
        </w:rPr>
        <w:t xml:space="preserve"> measures to ensure the supply of more affordable medicines; the labelling and advertisement of medicines; the control of medicines and scheduled substances; licensing and generic substitution. What is not to be found in the substantive provisions of the Medicines Act </w:t>
      </w:r>
      <w:r w:rsidR="00786850" w:rsidRPr="003F1840">
        <w:rPr>
          <w:rFonts w:ascii="Arial" w:eastAsia="Calibri" w:hAnsi="Arial" w:cs="Arial"/>
          <w:kern w:val="0"/>
          <w:sz w:val="24"/>
          <w:szCs w:val="24"/>
          <w:lang w:val="en-GB"/>
          <w14:ligatures w14:val="none"/>
        </w:rPr>
        <w:t xml:space="preserve">is any general power to classify medicines. And no power is conferred upon the Regulator to classify medicines for the purposes of the public procurement of medicines; let alone to do so in conformity with the constitutional norms </w:t>
      </w:r>
      <w:r w:rsidR="00281F27" w:rsidRPr="003F1840">
        <w:rPr>
          <w:rFonts w:ascii="Arial" w:eastAsia="Calibri" w:hAnsi="Arial" w:cs="Arial"/>
          <w:kern w:val="0"/>
          <w:sz w:val="24"/>
          <w:szCs w:val="24"/>
          <w:lang w:val="en-GB"/>
          <w14:ligatures w14:val="none"/>
        </w:rPr>
        <w:t>of s 217 of the Constitution.</w:t>
      </w:r>
    </w:p>
    <w:p w14:paraId="64269DB7" w14:textId="77777777" w:rsidR="00281F27" w:rsidRPr="003F1840" w:rsidRDefault="00281F27" w:rsidP="003F1840">
      <w:pPr>
        <w:pStyle w:val="ListParagraph"/>
        <w:spacing w:line="360" w:lineRule="auto"/>
        <w:rPr>
          <w:rFonts w:ascii="Arial" w:eastAsia="Calibri" w:hAnsi="Arial" w:cs="Arial"/>
          <w:kern w:val="0"/>
          <w:sz w:val="24"/>
          <w:szCs w:val="24"/>
          <w:lang w:val="en-GB"/>
          <w14:ligatures w14:val="none"/>
        </w:rPr>
      </w:pPr>
    </w:p>
    <w:p w14:paraId="23DB1FE2" w14:textId="62805B2F" w:rsidR="00DB67C5" w:rsidRPr="003F1840"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[17] </w:t>
      </w:r>
      <w:r w:rsidRPr="003F1840">
        <w:rPr>
          <w:rFonts w:ascii="Arial" w:eastAsia="Calibri" w:hAnsi="Arial" w:cs="Arial"/>
          <w:kern w:val="0"/>
          <w:sz w:val="24"/>
          <w:szCs w:val="24"/>
          <w:lang w:val="en-GB"/>
          <w14:ligatures w14:val="none"/>
        </w:rPr>
        <w:tab/>
      </w:r>
      <w:r w:rsidR="00281F27" w:rsidRPr="003F1840">
        <w:rPr>
          <w:rFonts w:ascii="Arial" w:eastAsia="Calibri" w:hAnsi="Arial" w:cs="Arial"/>
          <w:kern w:val="0"/>
          <w:sz w:val="24"/>
          <w:szCs w:val="24"/>
          <w:lang w:val="en-GB"/>
          <w14:ligatures w14:val="none"/>
        </w:rPr>
        <w:t>The objects and functions of the Regulator, as set out in the Medicines Act</w:t>
      </w:r>
      <w:r w:rsidR="001F3373" w:rsidRPr="003F1840">
        <w:rPr>
          <w:rFonts w:ascii="Arial" w:eastAsia="Calibri" w:hAnsi="Arial" w:cs="Arial"/>
          <w:kern w:val="0"/>
          <w:sz w:val="24"/>
          <w:szCs w:val="24"/>
          <w:lang w:val="en-GB"/>
          <w14:ligatures w14:val="none"/>
        </w:rPr>
        <w:t>,</w:t>
      </w:r>
      <w:r w:rsidR="00281F27" w:rsidRPr="003F1840">
        <w:rPr>
          <w:rFonts w:ascii="Arial" w:eastAsia="Calibri" w:hAnsi="Arial" w:cs="Arial"/>
          <w:kern w:val="0"/>
          <w:sz w:val="24"/>
          <w:szCs w:val="24"/>
          <w:lang w:val="en-GB"/>
          <w14:ligatures w14:val="none"/>
        </w:rPr>
        <w:t xml:space="preserve"> are broadly framed. But they do not attach to any specific substantive duty or competence to classify medicines for the purpose of public procurement. </w:t>
      </w:r>
      <w:r w:rsidR="00695F7B" w:rsidRPr="003F1840">
        <w:rPr>
          <w:rFonts w:ascii="Arial" w:eastAsia="Calibri" w:hAnsi="Arial" w:cs="Arial"/>
          <w:kern w:val="0"/>
          <w:sz w:val="24"/>
          <w:szCs w:val="24"/>
          <w:lang w:val="en-GB"/>
          <w14:ligatures w14:val="none"/>
        </w:rPr>
        <w:t>Section 35(1)(iii), referenced above, and upon which Safeline placed much emphasis, does not confer a general power of classification upon the Regulator. It permits the Minister to make regulations, ‘providing for the classification of medicines, medical devices</w:t>
      </w:r>
      <w:r w:rsidR="00211A0D" w:rsidRPr="003F1840">
        <w:rPr>
          <w:rFonts w:ascii="Arial" w:eastAsia="Calibri" w:hAnsi="Arial" w:cs="Arial"/>
          <w:kern w:val="0"/>
          <w:sz w:val="24"/>
          <w:szCs w:val="24"/>
          <w:lang w:val="en-GB"/>
          <w14:ligatures w14:val="none"/>
        </w:rPr>
        <w:t xml:space="preserve">, or IVDs into classes or categories </w:t>
      </w:r>
      <w:r w:rsidR="00211A0D" w:rsidRPr="003F1840">
        <w:rPr>
          <w:rFonts w:ascii="Arial" w:eastAsia="Calibri" w:hAnsi="Arial" w:cs="Arial"/>
          <w:i/>
          <w:iCs/>
          <w:kern w:val="0"/>
          <w:sz w:val="24"/>
          <w:szCs w:val="24"/>
          <w:lang w:val="en-GB"/>
          <w14:ligatures w14:val="none"/>
        </w:rPr>
        <w:t xml:space="preserve">for the purposes of this Act’ </w:t>
      </w:r>
      <w:r w:rsidR="00211A0D" w:rsidRPr="003F1840">
        <w:rPr>
          <w:rFonts w:ascii="Arial" w:eastAsia="Calibri" w:hAnsi="Arial" w:cs="Arial"/>
          <w:kern w:val="0"/>
          <w:sz w:val="24"/>
          <w:szCs w:val="24"/>
          <w:lang w:val="en-GB"/>
          <w14:ligatures w14:val="none"/>
        </w:rPr>
        <w:t xml:space="preserve">(my </w:t>
      </w:r>
      <w:r w:rsidR="00211A0D" w:rsidRPr="003F1840">
        <w:rPr>
          <w:rFonts w:ascii="Arial" w:eastAsia="Calibri" w:hAnsi="Arial" w:cs="Arial"/>
          <w:kern w:val="0"/>
          <w:sz w:val="24"/>
          <w:szCs w:val="24"/>
          <w:lang w:val="en-GB"/>
          <w14:ligatures w14:val="none"/>
        </w:rPr>
        <w:lastRenderedPageBreak/>
        <w:t>emphasis). Those purposes do not include the Regulator undertaking the classification of medicines for the public procurement of medicines. That is borne out by the relevant regulation that the Minister has promulgated. Section 2 of the</w:t>
      </w:r>
      <w:r w:rsidR="001F3373" w:rsidRPr="003F1840">
        <w:rPr>
          <w:rFonts w:ascii="Arial" w:eastAsia="Calibri" w:hAnsi="Arial" w:cs="Arial"/>
          <w:kern w:val="0"/>
          <w:sz w:val="24"/>
          <w:szCs w:val="24"/>
          <w:lang w:val="en-GB"/>
          <w14:ligatures w14:val="none"/>
        </w:rPr>
        <w:t xml:space="preserve"> General</w:t>
      </w:r>
      <w:r w:rsidR="00211A0D" w:rsidRPr="003F1840">
        <w:rPr>
          <w:rFonts w:ascii="Arial" w:eastAsia="Calibri" w:hAnsi="Arial" w:cs="Arial"/>
          <w:kern w:val="0"/>
          <w:sz w:val="24"/>
          <w:szCs w:val="24"/>
          <w:lang w:val="en-GB"/>
          <w14:ligatures w14:val="none"/>
        </w:rPr>
        <w:t xml:space="preserve"> Regulations determines therapeutic equivalence by reference to pharmacological equivalence or </w:t>
      </w:r>
      <w:r w:rsidR="004E4527" w:rsidRPr="003F1840">
        <w:rPr>
          <w:rFonts w:ascii="Arial" w:eastAsia="Calibri" w:hAnsi="Arial" w:cs="Arial"/>
          <w:kern w:val="0"/>
          <w:sz w:val="24"/>
          <w:szCs w:val="24"/>
          <w:lang w:val="en-GB"/>
          <w14:ligatures w14:val="none"/>
        </w:rPr>
        <w:t xml:space="preserve">active moiety, that is molecular equivalence. This concept of therapeutic equivalence is simply not the same as an assessment of therapeutic effects which the Department has chosen to use for the purposes of its procurement of medicines, and which I have found to be within its powers to adopt. </w:t>
      </w:r>
    </w:p>
    <w:p w14:paraId="77FCC453" w14:textId="77777777" w:rsidR="00DB67C5" w:rsidRPr="003F1840" w:rsidRDefault="00DB67C5" w:rsidP="003F1840">
      <w:pPr>
        <w:spacing w:after="0" w:line="360" w:lineRule="auto"/>
        <w:ind w:left="501"/>
        <w:contextualSpacing/>
        <w:jc w:val="both"/>
        <w:rPr>
          <w:rFonts w:ascii="Arial" w:eastAsia="Calibri" w:hAnsi="Arial" w:cs="Arial"/>
          <w:kern w:val="0"/>
          <w:sz w:val="24"/>
          <w:szCs w:val="24"/>
          <w:lang w:val="en-GB"/>
          <w14:ligatures w14:val="none"/>
        </w:rPr>
      </w:pPr>
    </w:p>
    <w:p w14:paraId="1A2DA52E" w14:textId="3D46DC5B" w:rsidR="00281F27" w:rsidRPr="003F1840"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[18] </w:t>
      </w:r>
      <w:r w:rsidRPr="003F1840">
        <w:rPr>
          <w:rFonts w:ascii="Arial" w:eastAsia="Calibri" w:hAnsi="Arial" w:cs="Arial"/>
          <w:kern w:val="0"/>
          <w:sz w:val="24"/>
          <w:szCs w:val="24"/>
          <w:lang w:val="en-GB"/>
          <w14:ligatures w14:val="none"/>
        </w:rPr>
        <w:tab/>
      </w:r>
      <w:r w:rsidR="00695F7B" w:rsidRPr="003F1840">
        <w:rPr>
          <w:rFonts w:ascii="Arial" w:eastAsia="Calibri" w:hAnsi="Arial" w:cs="Arial"/>
          <w:kern w:val="0"/>
          <w:sz w:val="24"/>
          <w:szCs w:val="24"/>
          <w:lang w:val="en-GB"/>
          <w14:ligatures w14:val="none"/>
        </w:rPr>
        <w:t xml:space="preserve"> </w:t>
      </w:r>
      <w:r w:rsidR="00DB67C5" w:rsidRPr="003F1840">
        <w:rPr>
          <w:rFonts w:ascii="Arial" w:eastAsia="Calibri" w:hAnsi="Arial" w:cs="Arial"/>
          <w:kern w:val="0"/>
          <w:sz w:val="24"/>
          <w:szCs w:val="24"/>
          <w:lang w:val="en-GB"/>
          <w14:ligatures w14:val="none"/>
        </w:rPr>
        <w:t xml:space="preserve">As I understood the position of Safeway, it accepts that classification by recourse to therapeutic equivalence, as defined in s2 of the </w:t>
      </w:r>
      <w:r w:rsidR="001F3373" w:rsidRPr="003F1840">
        <w:rPr>
          <w:rFonts w:ascii="Arial" w:eastAsia="Calibri" w:hAnsi="Arial" w:cs="Arial"/>
          <w:kern w:val="0"/>
          <w:sz w:val="24"/>
          <w:szCs w:val="24"/>
          <w:lang w:val="en-GB"/>
          <w14:ligatures w14:val="none"/>
        </w:rPr>
        <w:t xml:space="preserve">General </w:t>
      </w:r>
      <w:r w:rsidR="00DB67C5" w:rsidRPr="003F1840">
        <w:rPr>
          <w:rFonts w:ascii="Arial" w:eastAsia="Calibri" w:hAnsi="Arial" w:cs="Arial"/>
          <w:kern w:val="0"/>
          <w:sz w:val="24"/>
          <w:szCs w:val="24"/>
          <w:lang w:val="en-GB"/>
          <w14:ligatures w14:val="none"/>
        </w:rPr>
        <w:t>Regulations, is not classification undertaken by reference to therapeutic effects. But,</w:t>
      </w:r>
      <w:r w:rsidR="00A51CDB" w:rsidRPr="003F1840">
        <w:rPr>
          <w:rFonts w:ascii="Arial" w:eastAsia="Calibri" w:hAnsi="Arial" w:cs="Arial"/>
          <w:kern w:val="0"/>
          <w:sz w:val="24"/>
          <w:szCs w:val="24"/>
          <w:lang w:val="en-GB"/>
          <w14:ligatures w14:val="none"/>
        </w:rPr>
        <w:t xml:space="preserve"> i</w:t>
      </w:r>
      <w:r w:rsidR="00DB67C5" w:rsidRPr="003F1840">
        <w:rPr>
          <w:rFonts w:ascii="Arial" w:eastAsia="Calibri" w:hAnsi="Arial" w:cs="Arial"/>
          <w:kern w:val="0"/>
          <w:sz w:val="24"/>
          <w:szCs w:val="24"/>
          <w:lang w:val="en-GB"/>
          <w14:ligatures w14:val="none"/>
        </w:rPr>
        <w:t xml:space="preserve">t contends, that simply demonstrates that the Minister has yet to promulgate regulations that would regulate the basis upon which the Regulator undertakes classification </w:t>
      </w:r>
      <w:r w:rsidR="00A51CDB" w:rsidRPr="003F1840">
        <w:rPr>
          <w:rFonts w:ascii="Arial" w:eastAsia="Calibri" w:hAnsi="Arial" w:cs="Arial"/>
          <w:kern w:val="0"/>
          <w:sz w:val="24"/>
          <w:szCs w:val="24"/>
          <w:lang w:val="en-GB"/>
          <w14:ligatures w14:val="none"/>
        </w:rPr>
        <w:t>by recourse to therapeutic effects. It does not mean that, in terms of the Medicines Act, the Regulator cannot do so.</w:t>
      </w:r>
    </w:p>
    <w:p w14:paraId="4915CF27" w14:textId="77777777" w:rsidR="00A51CDB" w:rsidRPr="003F1840" w:rsidRDefault="00A51CDB" w:rsidP="003F1840">
      <w:pPr>
        <w:pStyle w:val="ListParagraph"/>
        <w:spacing w:line="360" w:lineRule="auto"/>
        <w:rPr>
          <w:rFonts w:ascii="Arial" w:eastAsia="Calibri" w:hAnsi="Arial" w:cs="Arial"/>
          <w:kern w:val="0"/>
          <w:sz w:val="24"/>
          <w:szCs w:val="24"/>
          <w:lang w:val="en-GB"/>
          <w14:ligatures w14:val="none"/>
        </w:rPr>
      </w:pPr>
    </w:p>
    <w:p w14:paraId="11F397DE" w14:textId="4E200404" w:rsidR="00A51CDB" w:rsidRPr="003F1840"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[19] </w:t>
      </w:r>
      <w:r w:rsidRPr="003F1840">
        <w:rPr>
          <w:rFonts w:ascii="Arial" w:eastAsia="Calibri" w:hAnsi="Arial" w:cs="Arial"/>
          <w:kern w:val="0"/>
          <w:sz w:val="24"/>
          <w:szCs w:val="24"/>
          <w:lang w:val="en-GB"/>
          <w14:ligatures w14:val="none"/>
        </w:rPr>
        <w:tab/>
      </w:r>
      <w:r w:rsidR="00A51CDB" w:rsidRPr="003F1840">
        <w:rPr>
          <w:rFonts w:ascii="Arial" w:eastAsia="Calibri" w:hAnsi="Arial" w:cs="Arial"/>
          <w:kern w:val="0"/>
          <w:sz w:val="24"/>
          <w:szCs w:val="24"/>
          <w:lang w:val="en-GB"/>
          <w14:ligatures w14:val="none"/>
        </w:rPr>
        <w:t>That is not the correct interpretation of the Medicines Act. The Regulator has a power to classify medicines, but only for the purposes of the Medicines Act. And those purposes, as I have explained, do not include classifi</w:t>
      </w:r>
      <w:r w:rsidR="00F62506" w:rsidRPr="003F1840">
        <w:rPr>
          <w:rFonts w:ascii="Arial" w:eastAsia="Calibri" w:hAnsi="Arial" w:cs="Arial"/>
          <w:kern w:val="0"/>
          <w:sz w:val="24"/>
          <w:szCs w:val="24"/>
          <w:lang w:val="en-GB"/>
          <w14:ligatures w14:val="none"/>
        </w:rPr>
        <w:t>cation for the public procurement of medicines. Once that is so, Safeway’s challenge must fail. The Regulator does not enjoy the power to make the contested classification, and the Department may decide upon such a classification for the purpose of the public procurement of medicines, provided such classification satisfies the usual standards of lawful administrative action.</w:t>
      </w:r>
    </w:p>
    <w:p w14:paraId="54E3BDDD" w14:textId="77777777" w:rsidR="00773A87" w:rsidRPr="003F1840" w:rsidRDefault="00773A87" w:rsidP="003F1840">
      <w:pPr>
        <w:pStyle w:val="ListParagraph"/>
        <w:spacing w:line="360" w:lineRule="auto"/>
        <w:rPr>
          <w:rFonts w:ascii="Arial" w:eastAsia="Calibri" w:hAnsi="Arial" w:cs="Arial"/>
          <w:kern w:val="0"/>
          <w:sz w:val="24"/>
          <w:szCs w:val="24"/>
          <w:lang w:val="en-GB"/>
          <w14:ligatures w14:val="none"/>
        </w:rPr>
      </w:pPr>
    </w:p>
    <w:p w14:paraId="22178CCE" w14:textId="003D6388" w:rsidR="009F67F6" w:rsidRPr="003F1840"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[20] </w:t>
      </w:r>
      <w:r w:rsidRPr="003F1840">
        <w:rPr>
          <w:rFonts w:ascii="Arial" w:eastAsia="Calibri" w:hAnsi="Arial" w:cs="Arial"/>
          <w:kern w:val="0"/>
          <w:sz w:val="24"/>
          <w:szCs w:val="24"/>
          <w:lang w:val="en-GB"/>
          <w14:ligatures w14:val="none"/>
        </w:rPr>
        <w:tab/>
      </w:r>
      <w:r w:rsidR="00773A87" w:rsidRPr="003F1840">
        <w:rPr>
          <w:rFonts w:ascii="Arial" w:eastAsia="Calibri" w:hAnsi="Arial" w:cs="Arial"/>
          <w:kern w:val="0"/>
          <w:sz w:val="24"/>
          <w:szCs w:val="24"/>
          <w:lang w:val="en-GB"/>
          <w14:ligatures w14:val="none"/>
        </w:rPr>
        <w:t>I</w:t>
      </w:r>
      <w:r w:rsidR="00F7297F" w:rsidRPr="003F1840">
        <w:rPr>
          <w:rFonts w:ascii="Arial" w:eastAsia="Calibri" w:hAnsi="Arial" w:cs="Arial"/>
          <w:kern w:val="0"/>
          <w:sz w:val="24"/>
          <w:szCs w:val="24"/>
          <w:lang w:val="en-GB"/>
          <w14:ligatures w14:val="none"/>
        </w:rPr>
        <w:t xml:space="preserve">f my interpretation of the Medicines Act is </w:t>
      </w:r>
      <w:r w:rsidR="00031DFA" w:rsidRPr="003F1840">
        <w:rPr>
          <w:rFonts w:ascii="Arial" w:eastAsia="Calibri" w:hAnsi="Arial" w:cs="Arial"/>
          <w:kern w:val="0"/>
          <w:sz w:val="24"/>
          <w:szCs w:val="24"/>
          <w:lang w:val="en-GB"/>
          <w14:ligatures w14:val="none"/>
        </w:rPr>
        <w:t>incorrect, and the Regulator does enjoy a power of classification of the kind that is appropriate to the public procurement of medicines, Safeline’s challenge faces a further obstacle. It is at best an incidental power, removed from the principal matters that the Medicines Act require</w:t>
      </w:r>
      <w:r w:rsidR="00AF1025" w:rsidRPr="003F1840">
        <w:rPr>
          <w:rFonts w:ascii="Arial" w:eastAsia="Calibri" w:hAnsi="Arial" w:cs="Arial"/>
          <w:kern w:val="0"/>
          <w:sz w:val="24"/>
          <w:szCs w:val="24"/>
          <w:lang w:val="en-GB"/>
          <w14:ligatures w14:val="none"/>
        </w:rPr>
        <w:t>s</w:t>
      </w:r>
      <w:r w:rsidR="00031DFA" w:rsidRPr="003F1840">
        <w:rPr>
          <w:rFonts w:ascii="Arial" w:eastAsia="Calibri" w:hAnsi="Arial" w:cs="Arial"/>
          <w:kern w:val="0"/>
          <w:sz w:val="24"/>
          <w:szCs w:val="24"/>
          <w:lang w:val="en-GB"/>
          <w14:ligatures w14:val="none"/>
        </w:rPr>
        <w:t xml:space="preserve"> the </w:t>
      </w:r>
      <w:r w:rsidR="00031DFA" w:rsidRPr="003F1840">
        <w:rPr>
          <w:rFonts w:ascii="Arial" w:eastAsia="Calibri" w:hAnsi="Arial" w:cs="Arial"/>
          <w:kern w:val="0"/>
          <w:sz w:val="24"/>
          <w:szCs w:val="24"/>
          <w:lang w:val="en-GB"/>
          <w14:ligatures w14:val="none"/>
        </w:rPr>
        <w:lastRenderedPageBreak/>
        <w:t>Regulator to regulate. If</w:t>
      </w:r>
      <w:r w:rsidR="00AF1025" w:rsidRPr="003F1840">
        <w:rPr>
          <w:rFonts w:ascii="Arial" w:eastAsia="Calibri" w:hAnsi="Arial" w:cs="Arial"/>
          <w:kern w:val="0"/>
          <w:sz w:val="24"/>
          <w:szCs w:val="24"/>
          <w:lang w:val="en-GB"/>
          <w14:ligatures w14:val="none"/>
        </w:rPr>
        <w:t xml:space="preserve">, </w:t>
      </w:r>
      <w:r w:rsidR="00031DFA" w:rsidRPr="003F1840">
        <w:rPr>
          <w:rFonts w:ascii="Arial" w:eastAsia="Calibri" w:hAnsi="Arial" w:cs="Arial"/>
          <w:kern w:val="0"/>
          <w:sz w:val="24"/>
          <w:szCs w:val="24"/>
          <w:lang w:val="en-GB"/>
          <w14:ligatures w14:val="none"/>
        </w:rPr>
        <w:t xml:space="preserve">then, the Department could have approached the Regulator </w:t>
      </w:r>
      <w:r w:rsidR="00916479" w:rsidRPr="003F1840">
        <w:rPr>
          <w:rFonts w:ascii="Arial" w:eastAsia="Calibri" w:hAnsi="Arial" w:cs="Arial"/>
          <w:kern w:val="0"/>
          <w:sz w:val="24"/>
          <w:szCs w:val="24"/>
          <w:lang w:val="en-GB"/>
          <w14:ligatures w14:val="none"/>
        </w:rPr>
        <w:t>to undertake the contested comparison by reason of its expertise, there is no reason to interpret the Medicines Act on the basis that the Regulator has the exclusive competence to undertake such a classification. Classification for the purposes of public procurement, as I have explained, forms no part of the substantive regulatory remit of the Regulator. If the Regulator enjoys an incidental power of classification to undertake the contested comparison, there is no reason to interpret the Medicines Act</w:t>
      </w:r>
      <w:r w:rsidR="00C87530" w:rsidRPr="003F1840">
        <w:rPr>
          <w:rFonts w:ascii="Arial" w:eastAsia="Calibri" w:hAnsi="Arial" w:cs="Arial"/>
          <w:kern w:val="0"/>
          <w:sz w:val="24"/>
          <w:szCs w:val="24"/>
          <w:lang w:val="en-GB"/>
          <w14:ligatures w14:val="none"/>
        </w:rPr>
        <w:t xml:space="preserve"> to imply that the Regulator alone has this power. It is rather a question as to where the Department can procure the required expertise to make the contested comparison. The Department has found that expertise in the List committee. I find</w:t>
      </w:r>
      <w:r w:rsidR="00A126EB" w:rsidRPr="003F1840">
        <w:rPr>
          <w:rFonts w:ascii="Arial" w:eastAsia="Calibri" w:hAnsi="Arial" w:cs="Arial"/>
          <w:kern w:val="0"/>
          <w:sz w:val="24"/>
          <w:szCs w:val="24"/>
          <w:lang w:val="en-GB"/>
          <w14:ligatures w14:val="none"/>
        </w:rPr>
        <w:t xml:space="preserve"> that </w:t>
      </w:r>
      <w:r w:rsidR="00C87530" w:rsidRPr="003F1840">
        <w:rPr>
          <w:rFonts w:ascii="Arial" w:eastAsia="Calibri" w:hAnsi="Arial" w:cs="Arial"/>
          <w:kern w:val="0"/>
          <w:sz w:val="24"/>
          <w:szCs w:val="24"/>
          <w:lang w:val="en-GB"/>
          <w14:ligatures w14:val="none"/>
        </w:rPr>
        <w:t xml:space="preserve"> there is no reason why the Department should not rely on that expertise. It is not required to make use of the Regulator to make the contested comparison because, even if the Regulator has the competence to do so, it does not enjoy </w:t>
      </w:r>
      <w:r w:rsidR="00AF1025" w:rsidRPr="003F1840">
        <w:rPr>
          <w:rFonts w:ascii="Arial" w:eastAsia="Calibri" w:hAnsi="Arial" w:cs="Arial"/>
          <w:kern w:val="0"/>
          <w:sz w:val="24"/>
          <w:szCs w:val="24"/>
          <w:lang w:val="en-GB"/>
          <w14:ligatures w14:val="none"/>
        </w:rPr>
        <w:t xml:space="preserve">an </w:t>
      </w:r>
      <w:r w:rsidR="00C87530" w:rsidRPr="003F1840">
        <w:rPr>
          <w:rFonts w:ascii="Arial" w:eastAsia="Calibri" w:hAnsi="Arial" w:cs="Arial"/>
          <w:kern w:val="0"/>
          <w:sz w:val="24"/>
          <w:szCs w:val="24"/>
          <w:lang w:val="en-GB"/>
          <w14:ligatures w14:val="none"/>
        </w:rPr>
        <w:t>exclusive competence. For this reason also, th</w:t>
      </w:r>
      <w:r w:rsidR="00AF1025" w:rsidRPr="003F1840">
        <w:rPr>
          <w:rFonts w:ascii="Arial" w:eastAsia="Calibri" w:hAnsi="Arial" w:cs="Arial"/>
          <w:kern w:val="0"/>
          <w:sz w:val="24"/>
          <w:szCs w:val="24"/>
          <w:lang w:val="en-GB"/>
          <w14:ligatures w14:val="none"/>
        </w:rPr>
        <w:t xml:space="preserve">e contested </w:t>
      </w:r>
      <w:r w:rsidR="002F207D" w:rsidRPr="003F1840">
        <w:rPr>
          <w:rFonts w:ascii="Arial" w:eastAsia="Calibri" w:hAnsi="Arial" w:cs="Arial"/>
          <w:kern w:val="0"/>
          <w:sz w:val="24"/>
          <w:szCs w:val="24"/>
          <w:lang w:val="en-GB"/>
          <w14:ligatures w14:val="none"/>
        </w:rPr>
        <w:t>classification challenge must</w:t>
      </w:r>
      <w:r w:rsidR="009F67F6" w:rsidRPr="003F1840">
        <w:rPr>
          <w:rFonts w:ascii="Arial" w:eastAsia="Calibri" w:hAnsi="Arial" w:cs="Arial"/>
          <w:kern w:val="0"/>
          <w:sz w:val="24"/>
          <w:szCs w:val="24"/>
          <w:lang w:val="en-GB"/>
          <w14:ligatures w14:val="none"/>
        </w:rPr>
        <w:t xml:space="preserve"> fail.</w:t>
      </w:r>
    </w:p>
    <w:p w14:paraId="10B333B9" w14:textId="77777777" w:rsidR="009F67F6" w:rsidRPr="003F1840" w:rsidRDefault="009F67F6" w:rsidP="003F1840">
      <w:pPr>
        <w:spacing w:after="0" w:line="360" w:lineRule="auto"/>
        <w:ind w:left="501"/>
        <w:contextualSpacing/>
        <w:jc w:val="both"/>
        <w:rPr>
          <w:rFonts w:ascii="Arial" w:eastAsia="Calibri" w:hAnsi="Arial" w:cs="Arial"/>
          <w:kern w:val="0"/>
          <w:sz w:val="24"/>
          <w:szCs w:val="24"/>
          <w:lang w:val="en-GB"/>
          <w14:ligatures w14:val="none"/>
        </w:rPr>
      </w:pPr>
    </w:p>
    <w:p w14:paraId="7EEC9381" w14:textId="60FD938E" w:rsidR="00773A87" w:rsidRPr="003F1840" w:rsidRDefault="009F67F6" w:rsidP="003F1840">
      <w:pPr>
        <w:spacing w:after="0" w:line="360" w:lineRule="auto"/>
        <w:ind w:left="501"/>
        <w:contextualSpacing/>
        <w:jc w:val="both"/>
        <w:rPr>
          <w:rFonts w:ascii="Arial" w:eastAsia="Calibri" w:hAnsi="Arial" w:cs="Arial"/>
          <w:kern w:val="0"/>
          <w:sz w:val="24"/>
          <w:szCs w:val="24"/>
          <w:lang w:val="en-GB"/>
          <w14:ligatures w14:val="none"/>
        </w:rPr>
      </w:pPr>
      <w:r w:rsidRPr="003F1840">
        <w:rPr>
          <w:rFonts w:ascii="Arial" w:eastAsia="Calibri" w:hAnsi="Arial" w:cs="Arial"/>
          <w:b/>
          <w:bCs/>
          <w:kern w:val="0"/>
          <w:sz w:val="24"/>
          <w:szCs w:val="24"/>
          <w:lang w:val="en-GB"/>
          <w14:ligatures w14:val="none"/>
        </w:rPr>
        <w:t>The Pricing Challenge</w:t>
      </w:r>
      <w:r w:rsidR="00C87530" w:rsidRPr="003F1840">
        <w:rPr>
          <w:rFonts w:ascii="Arial" w:eastAsia="Calibri" w:hAnsi="Arial" w:cs="Arial"/>
          <w:kern w:val="0"/>
          <w:sz w:val="24"/>
          <w:szCs w:val="24"/>
          <w:lang w:val="en-GB"/>
          <w14:ligatures w14:val="none"/>
        </w:rPr>
        <w:t xml:space="preserve"> </w:t>
      </w:r>
    </w:p>
    <w:p w14:paraId="032F796C" w14:textId="77777777" w:rsidR="009F67F6" w:rsidRPr="003F1840" w:rsidRDefault="009F67F6" w:rsidP="003F1840">
      <w:pPr>
        <w:spacing w:after="0" w:line="360" w:lineRule="auto"/>
        <w:ind w:left="501"/>
        <w:contextualSpacing/>
        <w:jc w:val="both"/>
        <w:rPr>
          <w:rFonts w:ascii="Arial" w:eastAsia="Calibri" w:hAnsi="Arial" w:cs="Arial"/>
          <w:kern w:val="0"/>
          <w:sz w:val="24"/>
          <w:szCs w:val="24"/>
          <w:lang w:val="en-GB"/>
          <w14:ligatures w14:val="none"/>
        </w:rPr>
      </w:pPr>
    </w:p>
    <w:p w14:paraId="15CE384F" w14:textId="5EA8792C" w:rsidR="009F67F6" w:rsidRPr="003F1840"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[21] </w:t>
      </w:r>
      <w:r w:rsidRPr="003F1840">
        <w:rPr>
          <w:rFonts w:ascii="Arial" w:eastAsia="Calibri" w:hAnsi="Arial" w:cs="Arial"/>
          <w:kern w:val="0"/>
          <w:sz w:val="24"/>
          <w:szCs w:val="24"/>
          <w:lang w:val="en-GB"/>
          <w14:ligatures w14:val="none"/>
        </w:rPr>
        <w:tab/>
      </w:r>
      <w:r w:rsidR="009F67F6" w:rsidRPr="003F1840">
        <w:rPr>
          <w:rFonts w:ascii="Arial" w:eastAsia="Calibri" w:hAnsi="Arial" w:cs="Arial"/>
          <w:kern w:val="0"/>
          <w:sz w:val="24"/>
          <w:szCs w:val="24"/>
          <w:lang w:val="en-GB"/>
          <w14:ligatures w14:val="none"/>
        </w:rPr>
        <w:t xml:space="preserve">Safeline complains that the Department awarded the tender for </w:t>
      </w:r>
      <w:r w:rsidR="00926870" w:rsidRPr="003F1840">
        <w:rPr>
          <w:rFonts w:ascii="Arial" w:eastAsia="Calibri" w:hAnsi="Arial" w:cs="Arial"/>
          <w:kern w:val="0"/>
          <w:sz w:val="24"/>
          <w:szCs w:val="24"/>
          <w:lang w:val="en-GB"/>
          <w14:ligatures w14:val="none"/>
        </w:rPr>
        <w:t>Surfactants group 1 &amp; 2 to Abbvie on the basis of a flawed, and unlawful, comparison of the prices bid by Safeline and Abbvie in the</w:t>
      </w:r>
      <w:r w:rsidR="00AF1025" w:rsidRPr="003F1840">
        <w:rPr>
          <w:rFonts w:ascii="Arial" w:eastAsia="Calibri" w:hAnsi="Arial" w:cs="Arial"/>
          <w:kern w:val="0"/>
          <w:sz w:val="24"/>
          <w:szCs w:val="24"/>
          <w:lang w:val="en-GB"/>
          <w14:ligatures w14:val="none"/>
        </w:rPr>
        <w:t xml:space="preserve"> 2021 </w:t>
      </w:r>
      <w:r w:rsidR="00926870" w:rsidRPr="003F1840">
        <w:rPr>
          <w:rFonts w:ascii="Arial" w:eastAsia="Calibri" w:hAnsi="Arial" w:cs="Arial"/>
          <w:kern w:val="0"/>
          <w:sz w:val="24"/>
          <w:szCs w:val="24"/>
          <w:lang w:val="en-GB"/>
          <w14:ligatures w14:val="none"/>
        </w:rPr>
        <w:t>tender. Although this challenge figured more emphatically on the papers, during oral argument counsel for Safeline, helpfully,</w:t>
      </w:r>
      <w:r w:rsidR="00A126EB" w:rsidRPr="003F1840">
        <w:rPr>
          <w:rFonts w:ascii="Arial" w:eastAsia="Calibri" w:hAnsi="Arial" w:cs="Arial"/>
          <w:kern w:val="0"/>
          <w:sz w:val="24"/>
          <w:szCs w:val="24"/>
          <w:lang w:val="en-GB"/>
          <w14:ligatures w14:val="none"/>
        </w:rPr>
        <w:t xml:space="preserve"> stated its submission as</w:t>
      </w:r>
      <w:r w:rsidR="00926870" w:rsidRPr="003F1840">
        <w:rPr>
          <w:rFonts w:ascii="Arial" w:eastAsia="Calibri" w:hAnsi="Arial" w:cs="Arial"/>
          <w:kern w:val="0"/>
          <w:sz w:val="24"/>
          <w:szCs w:val="24"/>
          <w:lang w:val="en-GB"/>
          <w14:ligatures w14:val="none"/>
        </w:rPr>
        <w:t xml:space="preserve"> follow</w:t>
      </w:r>
      <w:r w:rsidR="00A126EB" w:rsidRPr="003F1840">
        <w:rPr>
          <w:rFonts w:ascii="Arial" w:eastAsia="Calibri" w:hAnsi="Arial" w:cs="Arial"/>
          <w:kern w:val="0"/>
          <w:sz w:val="24"/>
          <w:szCs w:val="24"/>
          <w:lang w:val="en-GB"/>
          <w14:ligatures w14:val="none"/>
        </w:rPr>
        <w:t>s</w:t>
      </w:r>
      <w:r w:rsidR="001C4495" w:rsidRPr="003F1840">
        <w:rPr>
          <w:rFonts w:ascii="Arial" w:eastAsia="Calibri" w:hAnsi="Arial" w:cs="Arial"/>
          <w:kern w:val="0"/>
          <w:sz w:val="24"/>
          <w:szCs w:val="24"/>
          <w:lang w:val="en-GB"/>
          <w14:ligatures w14:val="none"/>
        </w:rPr>
        <w:t>. It is common ground that Safeline tendered its product</w:t>
      </w:r>
      <w:r w:rsidR="00A126EB" w:rsidRPr="003F1840">
        <w:rPr>
          <w:rFonts w:ascii="Arial" w:eastAsia="Calibri" w:hAnsi="Arial" w:cs="Arial"/>
          <w:kern w:val="0"/>
          <w:sz w:val="24"/>
          <w:szCs w:val="24"/>
          <w:lang w:val="en-GB"/>
          <w14:ligatures w14:val="none"/>
        </w:rPr>
        <w:t>,</w:t>
      </w:r>
      <w:r w:rsidR="001C4495" w:rsidRPr="003F1840">
        <w:rPr>
          <w:rFonts w:ascii="Arial" w:eastAsia="Calibri" w:hAnsi="Arial" w:cs="Arial"/>
          <w:kern w:val="0"/>
          <w:sz w:val="24"/>
          <w:szCs w:val="24"/>
          <w:lang w:val="en-GB"/>
          <w14:ligatures w14:val="none"/>
        </w:rPr>
        <w:t xml:space="preserve"> Alfa</w:t>
      </w:r>
      <w:r w:rsidR="00A126EB" w:rsidRPr="003F1840">
        <w:rPr>
          <w:rFonts w:ascii="Arial" w:eastAsia="Calibri" w:hAnsi="Arial" w:cs="Arial"/>
          <w:kern w:val="0"/>
          <w:sz w:val="24"/>
          <w:szCs w:val="24"/>
          <w:lang w:val="en-GB"/>
          <w14:ligatures w14:val="none"/>
        </w:rPr>
        <w:t>,</w:t>
      </w:r>
      <w:r w:rsidR="001C4495" w:rsidRPr="003F1840">
        <w:rPr>
          <w:rFonts w:ascii="Arial" w:eastAsia="Calibri" w:hAnsi="Arial" w:cs="Arial"/>
          <w:kern w:val="0"/>
          <w:sz w:val="24"/>
          <w:szCs w:val="24"/>
          <w:lang w:val="en-GB"/>
          <w14:ligatures w14:val="none"/>
        </w:rPr>
        <w:t xml:space="preserve"> at a lower price than did Abbvie for its product</w:t>
      </w:r>
      <w:r w:rsidR="00A126EB" w:rsidRPr="003F1840">
        <w:rPr>
          <w:rFonts w:ascii="Arial" w:eastAsia="Calibri" w:hAnsi="Arial" w:cs="Arial"/>
          <w:kern w:val="0"/>
          <w:sz w:val="24"/>
          <w:szCs w:val="24"/>
          <w:lang w:val="en-GB"/>
          <w14:ligatures w14:val="none"/>
        </w:rPr>
        <w:t>,</w:t>
      </w:r>
      <w:r w:rsidR="001C4495" w:rsidRPr="003F1840">
        <w:rPr>
          <w:rFonts w:ascii="Arial" w:eastAsia="Calibri" w:hAnsi="Arial" w:cs="Arial"/>
          <w:kern w:val="0"/>
          <w:sz w:val="24"/>
          <w:szCs w:val="24"/>
          <w:lang w:val="en-GB"/>
          <w14:ligatures w14:val="none"/>
        </w:rPr>
        <w:t xml:space="preserve"> Beractant</w:t>
      </w:r>
      <w:r w:rsidR="00A126EB" w:rsidRPr="003F1840">
        <w:rPr>
          <w:rFonts w:ascii="Arial" w:eastAsia="Calibri" w:hAnsi="Arial" w:cs="Arial"/>
          <w:kern w:val="0"/>
          <w:sz w:val="24"/>
          <w:szCs w:val="24"/>
          <w:lang w:val="en-GB"/>
          <w14:ligatures w14:val="none"/>
        </w:rPr>
        <w:t>,</w:t>
      </w:r>
      <w:r w:rsidR="001C4495" w:rsidRPr="003F1840">
        <w:rPr>
          <w:rFonts w:ascii="Arial" w:eastAsia="Calibri" w:hAnsi="Arial" w:cs="Arial"/>
          <w:kern w:val="0"/>
          <w:sz w:val="24"/>
          <w:szCs w:val="24"/>
          <w:lang w:val="en-GB"/>
          <w14:ligatures w14:val="none"/>
        </w:rPr>
        <w:t xml:space="preserve"> in the weight band defined as babies weighing between 1001g and 1200g.  Safeline contended that the Department should have split its award so</w:t>
      </w:r>
      <w:r w:rsidR="00AF1025" w:rsidRPr="003F1840">
        <w:rPr>
          <w:rFonts w:ascii="Arial" w:eastAsia="Calibri" w:hAnsi="Arial" w:cs="Arial"/>
          <w:kern w:val="0"/>
          <w:sz w:val="24"/>
          <w:szCs w:val="24"/>
          <w:lang w:val="en-GB"/>
          <w14:ligatures w14:val="none"/>
        </w:rPr>
        <w:t xml:space="preserve"> </w:t>
      </w:r>
      <w:r w:rsidR="001C4495" w:rsidRPr="003F1840">
        <w:rPr>
          <w:rFonts w:ascii="Arial" w:eastAsia="Calibri" w:hAnsi="Arial" w:cs="Arial"/>
          <w:kern w:val="0"/>
          <w:sz w:val="24"/>
          <w:szCs w:val="24"/>
          <w:lang w:val="en-GB"/>
          <w14:ligatures w14:val="none"/>
        </w:rPr>
        <w:t>as to award the tender to Safeline in the weight band in which it offered the lower price.</w:t>
      </w:r>
    </w:p>
    <w:p w14:paraId="3FAA13C7" w14:textId="77777777" w:rsidR="009F67F6" w:rsidRPr="003F1840" w:rsidRDefault="009F67F6" w:rsidP="003F1840">
      <w:pPr>
        <w:spacing w:after="0" w:line="360" w:lineRule="auto"/>
        <w:ind w:left="501"/>
        <w:contextualSpacing/>
        <w:jc w:val="both"/>
        <w:rPr>
          <w:rFonts w:ascii="Arial" w:eastAsia="Calibri" w:hAnsi="Arial" w:cs="Arial"/>
          <w:kern w:val="0"/>
          <w:sz w:val="24"/>
          <w:szCs w:val="24"/>
          <w:lang w:val="en-GB"/>
          <w14:ligatures w14:val="none"/>
        </w:rPr>
      </w:pPr>
    </w:p>
    <w:p w14:paraId="0D659671" w14:textId="12D70A07" w:rsidR="00B41A3B" w:rsidRPr="003F1840"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[22] </w:t>
      </w:r>
      <w:r w:rsidRPr="003F1840">
        <w:rPr>
          <w:rFonts w:ascii="Arial" w:eastAsia="Calibri" w:hAnsi="Arial" w:cs="Arial"/>
          <w:kern w:val="0"/>
          <w:sz w:val="24"/>
          <w:szCs w:val="24"/>
          <w:lang w:val="en-GB"/>
          <w14:ligatures w14:val="none"/>
        </w:rPr>
        <w:tab/>
      </w:r>
      <w:r w:rsidR="00B41A3B" w:rsidRPr="003F1840">
        <w:rPr>
          <w:rFonts w:ascii="Arial" w:eastAsia="Calibri" w:hAnsi="Arial" w:cs="Arial"/>
          <w:kern w:val="0"/>
          <w:sz w:val="24"/>
          <w:szCs w:val="24"/>
          <w:lang w:val="en-GB"/>
          <w14:ligatures w14:val="none"/>
        </w:rPr>
        <w:t>T</w:t>
      </w:r>
      <w:r w:rsidR="00983596" w:rsidRPr="003F1840">
        <w:rPr>
          <w:rFonts w:ascii="Arial" w:eastAsia="Calibri" w:hAnsi="Arial" w:cs="Arial"/>
          <w:kern w:val="0"/>
          <w:sz w:val="24"/>
          <w:szCs w:val="24"/>
          <w:lang w:val="en-GB"/>
          <w14:ligatures w14:val="none"/>
        </w:rPr>
        <w:t xml:space="preserve">his challenge cannot prevail. </w:t>
      </w:r>
      <w:r w:rsidR="00B41A3B" w:rsidRPr="003F1840">
        <w:rPr>
          <w:rFonts w:ascii="Arial" w:eastAsia="Calibri" w:hAnsi="Arial" w:cs="Arial"/>
          <w:kern w:val="0"/>
          <w:sz w:val="24"/>
          <w:szCs w:val="24"/>
          <w:lang w:val="en-GB"/>
          <w14:ligatures w14:val="none"/>
        </w:rPr>
        <w:t>O</w:t>
      </w:r>
      <w:r w:rsidR="00983596" w:rsidRPr="003F1840">
        <w:rPr>
          <w:rFonts w:ascii="Arial" w:eastAsia="Calibri" w:hAnsi="Arial" w:cs="Arial"/>
          <w:kern w:val="0"/>
          <w:sz w:val="24"/>
          <w:szCs w:val="24"/>
          <w:lang w:val="en-GB"/>
          <w14:ligatures w14:val="none"/>
        </w:rPr>
        <w:t>n an aggregative price comparison, across all the relevant weight bands, Abbvie was more price competitive. It may have been open to the Department to split the award according to weight bands</w:t>
      </w:r>
      <w:r w:rsidR="00AF1025" w:rsidRPr="003F1840">
        <w:rPr>
          <w:rFonts w:ascii="Arial" w:eastAsia="Calibri" w:hAnsi="Arial" w:cs="Arial"/>
          <w:kern w:val="0"/>
          <w:sz w:val="24"/>
          <w:szCs w:val="24"/>
          <w:lang w:val="en-GB"/>
          <w14:ligatures w14:val="none"/>
        </w:rPr>
        <w:t>,</w:t>
      </w:r>
      <w:r w:rsidR="00983596" w:rsidRPr="003F1840">
        <w:rPr>
          <w:rFonts w:ascii="Arial" w:eastAsia="Calibri" w:hAnsi="Arial" w:cs="Arial"/>
          <w:kern w:val="0"/>
          <w:sz w:val="24"/>
          <w:szCs w:val="24"/>
          <w:lang w:val="en-GB"/>
          <w14:ligatures w14:val="none"/>
        </w:rPr>
        <w:t xml:space="preserve"> but it was not </w:t>
      </w:r>
      <w:r w:rsidR="00983596" w:rsidRPr="003F1840">
        <w:rPr>
          <w:rFonts w:ascii="Arial" w:eastAsia="Calibri" w:hAnsi="Arial" w:cs="Arial"/>
          <w:kern w:val="0"/>
          <w:sz w:val="24"/>
          <w:szCs w:val="24"/>
          <w:lang w:val="en-GB"/>
          <w14:ligatures w14:val="none"/>
        </w:rPr>
        <w:lastRenderedPageBreak/>
        <w:t>unlawful to adopt an approach to the assessment of pricing that made an aggregative comparison.</w:t>
      </w:r>
      <w:r w:rsidR="00DD4AC7" w:rsidRPr="003F1840">
        <w:rPr>
          <w:rFonts w:ascii="Arial" w:eastAsia="Calibri" w:hAnsi="Arial" w:cs="Arial"/>
          <w:kern w:val="0"/>
          <w:sz w:val="24"/>
          <w:szCs w:val="24"/>
          <w:lang w:val="en-GB"/>
          <w14:ligatures w14:val="none"/>
        </w:rPr>
        <w:t xml:space="preserve"> That is so because the Department explained that there is a paucity of ‘patient-level data’ to make weight-based dosing estimations. This explanation triggered no small controversy on the papers as to what the relevant studies showed on this issue. In motion proceedings</w:t>
      </w:r>
      <w:r w:rsidR="00B41A3B" w:rsidRPr="003F1840">
        <w:rPr>
          <w:rFonts w:ascii="Arial" w:eastAsia="Calibri" w:hAnsi="Arial" w:cs="Arial"/>
          <w:kern w:val="0"/>
          <w:sz w:val="24"/>
          <w:szCs w:val="24"/>
          <w:lang w:val="en-GB"/>
          <w14:ligatures w14:val="none"/>
        </w:rPr>
        <w:t>, that is a dispute I cannot resolve. The Department gave a reasoned basis for its aggregative price comparison</w:t>
      </w:r>
      <w:r w:rsidR="00AF1025" w:rsidRPr="003F1840">
        <w:rPr>
          <w:rFonts w:ascii="Arial" w:eastAsia="Calibri" w:hAnsi="Arial" w:cs="Arial"/>
          <w:kern w:val="0"/>
          <w:sz w:val="24"/>
          <w:szCs w:val="24"/>
          <w:lang w:val="en-GB"/>
          <w14:ligatures w14:val="none"/>
        </w:rPr>
        <w:t>,</w:t>
      </w:r>
      <w:r w:rsidR="00B41A3B" w:rsidRPr="003F1840">
        <w:rPr>
          <w:rFonts w:ascii="Arial" w:eastAsia="Calibri" w:hAnsi="Arial" w:cs="Arial"/>
          <w:kern w:val="0"/>
          <w:sz w:val="24"/>
          <w:szCs w:val="24"/>
          <w:lang w:val="en-GB"/>
          <w14:ligatures w14:val="none"/>
        </w:rPr>
        <w:t xml:space="preserve"> and that suffices for the purposes of meeting </w:t>
      </w:r>
      <w:r w:rsidR="00A126EB" w:rsidRPr="003F1840">
        <w:rPr>
          <w:rFonts w:ascii="Arial" w:eastAsia="Calibri" w:hAnsi="Arial" w:cs="Arial"/>
          <w:kern w:val="0"/>
          <w:sz w:val="24"/>
          <w:szCs w:val="24"/>
          <w:lang w:val="en-GB"/>
          <w14:ligatures w14:val="none"/>
        </w:rPr>
        <w:t>the</w:t>
      </w:r>
      <w:r w:rsidR="00B41A3B" w:rsidRPr="003F1840">
        <w:rPr>
          <w:rFonts w:ascii="Arial" w:eastAsia="Calibri" w:hAnsi="Arial" w:cs="Arial"/>
          <w:kern w:val="0"/>
          <w:sz w:val="24"/>
          <w:szCs w:val="24"/>
          <w:lang w:val="en-GB"/>
          <w14:ligatures w14:val="none"/>
        </w:rPr>
        <w:t xml:space="preserve"> challenge of reviewable illegality. </w:t>
      </w:r>
    </w:p>
    <w:p w14:paraId="6A0099F7" w14:textId="77777777" w:rsidR="000501E1" w:rsidRPr="003F1840" w:rsidRDefault="000501E1" w:rsidP="003F1840">
      <w:pPr>
        <w:pStyle w:val="ListParagraph"/>
        <w:spacing w:line="360" w:lineRule="auto"/>
        <w:rPr>
          <w:rFonts w:ascii="Arial" w:eastAsia="Calibri" w:hAnsi="Arial" w:cs="Arial"/>
          <w:kern w:val="0"/>
          <w:sz w:val="24"/>
          <w:szCs w:val="24"/>
          <w:lang w:val="en-GB"/>
          <w14:ligatures w14:val="none"/>
        </w:rPr>
      </w:pPr>
    </w:p>
    <w:p w14:paraId="25D15041" w14:textId="3EA0804F" w:rsidR="000501E1" w:rsidRPr="003F1840" w:rsidRDefault="000501E1" w:rsidP="003F1840">
      <w:pPr>
        <w:spacing w:after="0" w:line="360" w:lineRule="auto"/>
        <w:ind w:left="501"/>
        <w:contextualSpacing/>
        <w:jc w:val="both"/>
        <w:rPr>
          <w:rFonts w:ascii="Arial" w:eastAsia="Calibri" w:hAnsi="Arial" w:cs="Arial"/>
          <w:b/>
          <w:bCs/>
          <w:kern w:val="0"/>
          <w:sz w:val="24"/>
          <w:szCs w:val="24"/>
          <w:lang w:val="en-GB"/>
          <w14:ligatures w14:val="none"/>
        </w:rPr>
      </w:pPr>
      <w:r w:rsidRPr="003F1840">
        <w:rPr>
          <w:rFonts w:ascii="Arial" w:eastAsia="Calibri" w:hAnsi="Arial" w:cs="Arial"/>
          <w:b/>
          <w:bCs/>
          <w:kern w:val="0"/>
          <w:sz w:val="24"/>
          <w:szCs w:val="24"/>
          <w:lang w:val="en-GB"/>
          <w14:ligatures w14:val="none"/>
        </w:rPr>
        <w:t>Conclusion</w:t>
      </w:r>
    </w:p>
    <w:p w14:paraId="488FC65D" w14:textId="77777777" w:rsidR="000501E1" w:rsidRPr="003F1840" w:rsidRDefault="000501E1" w:rsidP="003F1840">
      <w:pPr>
        <w:spacing w:after="0" w:line="360" w:lineRule="auto"/>
        <w:contextualSpacing/>
        <w:jc w:val="both"/>
        <w:rPr>
          <w:rFonts w:ascii="Arial" w:eastAsia="Calibri" w:hAnsi="Arial" w:cs="Arial"/>
          <w:b/>
          <w:bCs/>
          <w:kern w:val="0"/>
          <w:sz w:val="24"/>
          <w:szCs w:val="24"/>
          <w:lang w:val="en-GB"/>
          <w14:ligatures w14:val="none"/>
        </w:rPr>
      </w:pPr>
    </w:p>
    <w:p w14:paraId="3B7B5893" w14:textId="30E31630" w:rsidR="009F67F6" w:rsidRPr="003F1840"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[23] </w:t>
      </w:r>
      <w:r w:rsidRPr="003F1840">
        <w:rPr>
          <w:rFonts w:ascii="Arial" w:eastAsia="Calibri" w:hAnsi="Arial" w:cs="Arial"/>
          <w:kern w:val="0"/>
          <w:sz w:val="24"/>
          <w:szCs w:val="24"/>
          <w:lang w:val="en-GB"/>
          <w14:ligatures w14:val="none"/>
        </w:rPr>
        <w:tab/>
      </w:r>
      <w:r w:rsidR="000501E1" w:rsidRPr="003F1840">
        <w:rPr>
          <w:rFonts w:ascii="Arial" w:eastAsia="Calibri" w:hAnsi="Arial" w:cs="Arial"/>
          <w:kern w:val="0"/>
          <w:sz w:val="24"/>
          <w:szCs w:val="24"/>
          <w:lang w:val="en-GB"/>
          <w14:ligatures w14:val="none"/>
        </w:rPr>
        <w:t xml:space="preserve">It follows that Safeline’s application must be dismissed. </w:t>
      </w:r>
      <w:r w:rsidR="00AF633C" w:rsidRPr="003F1840">
        <w:rPr>
          <w:rFonts w:ascii="Arial" w:eastAsia="Calibri" w:hAnsi="Arial" w:cs="Arial"/>
          <w:kern w:val="0"/>
          <w:sz w:val="24"/>
          <w:szCs w:val="24"/>
          <w:lang w:val="en-GB"/>
          <w14:ligatures w14:val="none"/>
        </w:rPr>
        <w:t>The declaration sought on the basis that it was unlawful for the Department to classify Alfa and Beractant in the same therapeutic class cannot succeed because I have found that the Department enjoyed the power to make the classification that it did</w:t>
      </w:r>
      <w:r w:rsidR="00A126EB" w:rsidRPr="003F1840">
        <w:rPr>
          <w:rFonts w:ascii="Arial" w:eastAsia="Calibri" w:hAnsi="Arial" w:cs="Arial"/>
          <w:kern w:val="0"/>
          <w:sz w:val="24"/>
          <w:szCs w:val="24"/>
          <w:lang w:val="en-GB"/>
          <w14:ligatures w14:val="none"/>
        </w:rPr>
        <w:t>,</w:t>
      </w:r>
      <w:r w:rsidR="00441E8A" w:rsidRPr="003F1840">
        <w:rPr>
          <w:rFonts w:ascii="Arial" w:eastAsia="Calibri" w:hAnsi="Arial" w:cs="Arial"/>
          <w:kern w:val="0"/>
          <w:sz w:val="24"/>
          <w:szCs w:val="24"/>
          <w:lang w:val="en-GB"/>
          <w14:ligatures w14:val="none"/>
        </w:rPr>
        <w:t xml:space="preserve"> for the purpose of its procurement of Surfactants. So too, the relief sought to review the award of the tender by the Department fails because the Department enjoyed the power to adopt the contested classification and did not make a reviewable error in its comparison of prices.</w:t>
      </w:r>
    </w:p>
    <w:p w14:paraId="390AC363" w14:textId="77777777" w:rsidR="00441E8A" w:rsidRPr="003F1840" w:rsidRDefault="00441E8A" w:rsidP="003F1840">
      <w:pPr>
        <w:spacing w:after="0" w:line="360" w:lineRule="auto"/>
        <w:ind w:left="501"/>
        <w:contextualSpacing/>
        <w:jc w:val="both"/>
        <w:rPr>
          <w:rFonts w:ascii="Arial" w:eastAsia="Calibri" w:hAnsi="Arial" w:cs="Arial"/>
          <w:kern w:val="0"/>
          <w:sz w:val="24"/>
          <w:szCs w:val="24"/>
          <w:lang w:val="en-GB"/>
          <w14:ligatures w14:val="none"/>
        </w:rPr>
      </w:pPr>
    </w:p>
    <w:p w14:paraId="0D90CCE0" w14:textId="72AEA454" w:rsidR="009F67F6" w:rsidRPr="003F1840"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[24] </w:t>
      </w:r>
      <w:r w:rsidRPr="003F1840">
        <w:rPr>
          <w:rFonts w:ascii="Arial" w:eastAsia="Calibri" w:hAnsi="Arial" w:cs="Arial"/>
          <w:kern w:val="0"/>
          <w:sz w:val="24"/>
          <w:szCs w:val="24"/>
          <w:lang w:val="en-GB"/>
          <w14:ligatures w14:val="none"/>
        </w:rPr>
        <w:tab/>
      </w:r>
      <w:r w:rsidR="00292F2E" w:rsidRPr="003F1840">
        <w:rPr>
          <w:rFonts w:ascii="Arial" w:eastAsia="Calibri" w:hAnsi="Arial" w:cs="Arial"/>
          <w:kern w:val="0"/>
          <w:sz w:val="24"/>
          <w:szCs w:val="24"/>
          <w:lang w:val="en-GB"/>
          <w14:ligatures w14:val="none"/>
        </w:rPr>
        <w:t>The parties were agreed that costs should follow the result, save in one respect. Safeline had to bring an application to compel the production of a complete record. It is entitled to those costs. Safeline sought condonation for the late filing of its supplementary founding affidavit. That was not opposed, and it is granted.</w:t>
      </w:r>
    </w:p>
    <w:p w14:paraId="1A3DDE6C" w14:textId="77777777" w:rsidR="009F67F6" w:rsidRPr="003F1840" w:rsidRDefault="009F67F6" w:rsidP="00FE30CD">
      <w:pPr>
        <w:spacing w:after="0" w:line="360" w:lineRule="auto"/>
        <w:contextualSpacing/>
        <w:jc w:val="both"/>
        <w:rPr>
          <w:rFonts w:ascii="Arial" w:eastAsia="Calibri" w:hAnsi="Arial" w:cs="Arial"/>
          <w:kern w:val="0"/>
          <w:sz w:val="24"/>
          <w:szCs w:val="24"/>
          <w:lang w:val="en-GB"/>
          <w14:ligatures w14:val="none"/>
        </w:rPr>
      </w:pPr>
    </w:p>
    <w:p w14:paraId="2943AD6D" w14:textId="325B468F" w:rsidR="009F67F6" w:rsidRPr="003F1840" w:rsidRDefault="00F2642B" w:rsidP="00F2642B">
      <w:pPr>
        <w:spacing w:after="0" w:line="360" w:lineRule="auto"/>
        <w:ind w:left="501" w:hanging="360"/>
        <w:contextualSpacing/>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 xml:space="preserve">[25] </w:t>
      </w:r>
      <w:r w:rsidRPr="003F1840">
        <w:rPr>
          <w:rFonts w:ascii="Arial" w:eastAsia="Calibri" w:hAnsi="Arial" w:cs="Arial"/>
          <w:kern w:val="0"/>
          <w:sz w:val="24"/>
          <w:szCs w:val="24"/>
          <w:lang w:val="en-GB"/>
          <w14:ligatures w14:val="none"/>
        </w:rPr>
        <w:tab/>
      </w:r>
      <w:r w:rsidR="00292F2E" w:rsidRPr="003F1840">
        <w:rPr>
          <w:rFonts w:ascii="Arial" w:eastAsia="Calibri" w:hAnsi="Arial" w:cs="Arial"/>
          <w:kern w:val="0"/>
          <w:sz w:val="24"/>
          <w:szCs w:val="24"/>
          <w:lang w:val="en-GB"/>
          <w14:ligatures w14:val="none"/>
        </w:rPr>
        <w:t>In the result:</w:t>
      </w:r>
    </w:p>
    <w:p w14:paraId="186B52C8" w14:textId="77777777" w:rsidR="00292F2E" w:rsidRPr="003F1840" w:rsidRDefault="00292F2E" w:rsidP="003F1840">
      <w:pPr>
        <w:pStyle w:val="ListParagraph"/>
        <w:spacing w:line="360" w:lineRule="auto"/>
        <w:rPr>
          <w:rFonts w:ascii="Arial" w:eastAsia="Calibri" w:hAnsi="Arial" w:cs="Arial"/>
          <w:kern w:val="0"/>
          <w:sz w:val="24"/>
          <w:szCs w:val="24"/>
          <w:lang w:val="en-GB"/>
          <w14:ligatures w14:val="none"/>
        </w:rPr>
      </w:pPr>
    </w:p>
    <w:p w14:paraId="153474A3" w14:textId="2F503057" w:rsidR="00292F2E" w:rsidRPr="00F2642B" w:rsidRDefault="00F2642B" w:rsidP="00F2642B">
      <w:pPr>
        <w:spacing w:after="0" w:line="360" w:lineRule="auto"/>
        <w:ind w:left="2301" w:hanging="720"/>
        <w:jc w:val="both"/>
        <w:rPr>
          <w:rFonts w:ascii="Arial" w:eastAsia="Calibri" w:hAnsi="Arial" w:cs="Arial"/>
          <w:kern w:val="0"/>
          <w:sz w:val="24"/>
          <w:szCs w:val="24"/>
          <w:lang w:val="en-GB"/>
          <w14:ligatures w14:val="none"/>
        </w:rPr>
      </w:pPr>
      <w:r w:rsidRPr="003F1840">
        <w:rPr>
          <w:rFonts w:ascii="Arial" w:eastAsia="Calibri" w:hAnsi="Arial" w:cs="Arial"/>
          <w:kern w:val="0"/>
          <w:sz w:val="24"/>
          <w:szCs w:val="24"/>
          <w:lang w:val="en-GB"/>
          <w14:ligatures w14:val="none"/>
        </w:rPr>
        <w:t>(i)</w:t>
      </w:r>
      <w:r w:rsidRPr="003F1840">
        <w:rPr>
          <w:rFonts w:ascii="Arial" w:eastAsia="Calibri" w:hAnsi="Arial" w:cs="Arial"/>
          <w:kern w:val="0"/>
          <w:sz w:val="24"/>
          <w:szCs w:val="24"/>
          <w:lang w:val="en-GB"/>
          <w14:ligatures w14:val="none"/>
        </w:rPr>
        <w:tab/>
      </w:r>
      <w:r w:rsidR="00044C56" w:rsidRPr="00F2642B">
        <w:rPr>
          <w:rFonts w:ascii="Arial" w:eastAsia="Calibri" w:hAnsi="Arial" w:cs="Arial"/>
          <w:kern w:val="0"/>
          <w:sz w:val="24"/>
          <w:szCs w:val="24"/>
          <w:lang w:val="en-GB"/>
          <w14:ligatures w14:val="none"/>
        </w:rPr>
        <w:t>T</w:t>
      </w:r>
      <w:r w:rsidR="00292F2E" w:rsidRPr="00F2642B">
        <w:rPr>
          <w:rFonts w:ascii="Arial" w:eastAsia="Calibri" w:hAnsi="Arial" w:cs="Arial"/>
          <w:kern w:val="0"/>
          <w:sz w:val="24"/>
          <w:szCs w:val="24"/>
          <w:lang w:val="en-GB"/>
          <w14:ligatures w14:val="none"/>
        </w:rPr>
        <w:t>he application is dismissed with costs, those costs include the costs of two counsel</w:t>
      </w:r>
      <w:r w:rsidR="00785FE7" w:rsidRPr="00F2642B">
        <w:rPr>
          <w:rFonts w:ascii="Arial" w:eastAsia="Calibri" w:hAnsi="Arial" w:cs="Arial"/>
          <w:kern w:val="0"/>
          <w:sz w:val="24"/>
          <w:szCs w:val="24"/>
          <w:lang w:val="en-GB"/>
          <w14:ligatures w14:val="none"/>
        </w:rPr>
        <w:t>,</w:t>
      </w:r>
      <w:r w:rsidR="00292F2E" w:rsidRPr="00F2642B">
        <w:rPr>
          <w:rFonts w:ascii="Arial" w:eastAsia="Calibri" w:hAnsi="Arial" w:cs="Arial"/>
          <w:kern w:val="0"/>
          <w:sz w:val="24"/>
          <w:szCs w:val="24"/>
          <w:lang w:val="en-GB"/>
          <w14:ligatures w14:val="none"/>
        </w:rPr>
        <w:t xml:space="preserve"> where so employed. </w:t>
      </w:r>
    </w:p>
    <w:p w14:paraId="073E59F1" w14:textId="4E001B45" w:rsidR="005052D7" w:rsidRPr="00F2642B" w:rsidRDefault="00F2642B" w:rsidP="00F2642B">
      <w:pPr>
        <w:spacing w:after="0" w:line="360" w:lineRule="auto"/>
        <w:ind w:left="2301" w:hanging="720"/>
        <w:jc w:val="both"/>
        <w:rPr>
          <w:rFonts w:ascii="Arial" w:eastAsia="Calibri" w:hAnsi="Arial" w:cs="Arial"/>
          <w:kern w:val="0"/>
          <w:sz w:val="24"/>
          <w:szCs w:val="24"/>
          <w:lang w:val="en-GB"/>
          <w14:ligatures w14:val="none"/>
        </w:rPr>
      </w:pPr>
      <w:r w:rsidRPr="00FE30CD">
        <w:rPr>
          <w:rFonts w:ascii="Arial" w:eastAsia="Calibri" w:hAnsi="Arial" w:cs="Arial"/>
          <w:kern w:val="0"/>
          <w:sz w:val="24"/>
          <w:szCs w:val="24"/>
          <w:lang w:val="en-GB"/>
          <w14:ligatures w14:val="none"/>
        </w:rPr>
        <w:lastRenderedPageBreak/>
        <w:t>(ii)</w:t>
      </w:r>
      <w:r w:rsidRPr="00FE30CD">
        <w:rPr>
          <w:rFonts w:ascii="Arial" w:eastAsia="Calibri" w:hAnsi="Arial" w:cs="Arial"/>
          <w:kern w:val="0"/>
          <w:sz w:val="24"/>
          <w:szCs w:val="24"/>
          <w:lang w:val="en-GB"/>
          <w14:ligatures w14:val="none"/>
        </w:rPr>
        <w:tab/>
      </w:r>
      <w:r w:rsidR="00785FE7" w:rsidRPr="00F2642B">
        <w:rPr>
          <w:rFonts w:ascii="Arial" w:eastAsia="Calibri" w:hAnsi="Arial" w:cs="Arial"/>
          <w:kern w:val="0"/>
          <w:sz w:val="24"/>
          <w:szCs w:val="24"/>
          <w:lang w:val="en-GB"/>
          <w14:ligatures w14:val="none"/>
        </w:rPr>
        <w:t>The costs of the applicant’s rule 30 application shall be paid by the first and second respondents, the one paying the other to be resolved.</w:t>
      </w:r>
    </w:p>
    <w:p w14:paraId="63C7C269" w14:textId="5F063B0A" w:rsidR="009573F9" w:rsidRPr="003F1840" w:rsidRDefault="00FE30CD" w:rsidP="00FE30CD">
      <w:pPr>
        <w:spacing w:after="0" w:line="360" w:lineRule="auto"/>
        <w:contextualSpacing/>
        <w:jc w:val="center"/>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 xml:space="preserve">                                                                   </w:t>
      </w:r>
      <w:r w:rsidR="002D0531" w:rsidRPr="003F1840">
        <w:rPr>
          <w:rFonts w:ascii="Arial" w:eastAsia="Calibri" w:hAnsi="Arial" w:cs="Arial"/>
          <w:noProof/>
          <w:sz w:val="24"/>
          <w:szCs w:val="24"/>
        </w:rPr>
        <w:drawing>
          <wp:inline distT="0" distB="0" distL="0" distR="0" wp14:anchorId="461980F4" wp14:editId="5B74FBA3">
            <wp:extent cx="2568721" cy="13716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575167" cy="1375042"/>
                    </a:xfrm>
                    <a:prstGeom prst="rect">
                      <a:avLst/>
                    </a:prstGeom>
                    <a:noFill/>
                    <a:ln>
                      <a:noFill/>
                    </a:ln>
                  </pic:spPr>
                </pic:pic>
              </a:graphicData>
            </a:graphic>
          </wp:inline>
        </w:drawing>
      </w:r>
    </w:p>
    <w:p w14:paraId="7BC84443" w14:textId="77777777" w:rsidR="00A65CBD" w:rsidRPr="003F1840" w:rsidRDefault="00A65CBD" w:rsidP="003F1840">
      <w:pPr>
        <w:spacing w:after="0" w:line="360" w:lineRule="auto"/>
        <w:contextualSpacing/>
        <w:jc w:val="both"/>
        <w:rPr>
          <w:rFonts w:ascii="Arial" w:eastAsia="Calibri" w:hAnsi="Arial" w:cs="Arial"/>
          <w:kern w:val="0"/>
          <w:sz w:val="24"/>
          <w:szCs w:val="24"/>
          <w:lang w:val="en-GB"/>
          <w14:ligatures w14:val="none"/>
        </w:rPr>
      </w:pPr>
    </w:p>
    <w:p w14:paraId="1043E1A7" w14:textId="77777777" w:rsidR="002D0531" w:rsidRPr="003F1840" w:rsidRDefault="002D0531" w:rsidP="003F1840">
      <w:pPr>
        <w:spacing w:line="360" w:lineRule="auto"/>
        <w:jc w:val="right"/>
        <w:rPr>
          <w:rFonts w:ascii="Arial" w:eastAsia="Calibri" w:hAnsi="Arial" w:cs="Arial"/>
          <w:b/>
          <w:bCs/>
          <w:kern w:val="0"/>
          <w:sz w:val="24"/>
          <w:szCs w:val="24"/>
          <w:lang w:val="en-ZA"/>
          <w14:ligatures w14:val="none"/>
        </w:rPr>
      </w:pPr>
      <w:r w:rsidRPr="003F1840">
        <w:rPr>
          <w:rFonts w:ascii="Arial" w:eastAsia="Calibri" w:hAnsi="Arial" w:cs="Arial"/>
          <w:b/>
          <w:bCs/>
          <w:kern w:val="0"/>
          <w:sz w:val="24"/>
          <w:szCs w:val="24"/>
          <w:lang w:val="en-ZA"/>
          <w14:ligatures w14:val="none"/>
        </w:rPr>
        <w:t>________________________________</w:t>
      </w:r>
    </w:p>
    <w:p w14:paraId="17348D2D" w14:textId="77777777" w:rsidR="002D0531" w:rsidRPr="003F1840" w:rsidRDefault="002D0531" w:rsidP="003F1840">
      <w:pPr>
        <w:spacing w:line="360" w:lineRule="auto"/>
        <w:jc w:val="right"/>
        <w:rPr>
          <w:rFonts w:ascii="Arial" w:eastAsia="Calibri" w:hAnsi="Arial" w:cs="Arial"/>
          <w:b/>
          <w:bCs/>
          <w:kern w:val="0"/>
          <w:sz w:val="24"/>
          <w:szCs w:val="24"/>
          <w:lang w:val="en-ZA"/>
          <w14:ligatures w14:val="none"/>
        </w:rPr>
      </w:pPr>
      <w:r w:rsidRPr="003F1840">
        <w:rPr>
          <w:rFonts w:ascii="Arial" w:eastAsia="Calibri" w:hAnsi="Arial" w:cs="Arial"/>
          <w:b/>
          <w:bCs/>
          <w:kern w:val="0"/>
          <w:sz w:val="24"/>
          <w:szCs w:val="24"/>
          <w:lang w:val="en-ZA"/>
          <w14:ligatures w14:val="none"/>
        </w:rPr>
        <w:t xml:space="preserve">DN UNTERHALTER </w:t>
      </w:r>
    </w:p>
    <w:p w14:paraId="5618B217" w14:textId="77777777" w:rsidR="002D0531" w:rsidRPr="003F1840" w:rsidRDefault="002D0531" w:rsidP="003F1840">
      <w:pPr>
        <w:spacing w:line="360" w:lineRule="auto"/>
        <w:jc w:val="right"/>
        <w:rPr>
          <w:rFonts w:ascii="Arial" w:eastAsia="Calibri" w:hAnsi="Arial" w:cs="Arial"/>
          <w:b/>
          <w:bCs/>
          <w:kern w:val="0"/>
          <w:sz w:val="24"/>
          <w:szCs w:val="24"/>
          <w:lang w:val="en-ZA"/>
          <w14:ligatures w14:val="none"/>
        </w:rPr>
      </w:pPr>
      <w:r w:rsidRPr="003F1840">
        <w:rPr>
          <w:rFonts w:ascii="Arial" w:eastAsia="Calibri" w:hAnsi="Arial" w:cs="Arial"/>
          <w:b/>
          <w:bCs/>
          <w:kern w:val="0"/>
          <w:sz w:val="24"/>
          <w:szCs w:val="24"/>
          <w:lang w:val="en-ZA"/>
          <w14:ligatures w14:val="none"/>
        </w:rPr>
        <w:t>JUDGE OF THE HIGH COURT</w:t>
      </w:r>
    </w:p>
    <w:p w14:paraId="0C7505C8" w14:textId="77777777" w:rsidR="002D0531" w:rsidRPr="003F1840" w:rsidRDefault="002D0531" w:rsidP="003F1840">
      <w:pPr>
        <w:spacing w:line="360" w:lineRule="auto"/>
        <w:jc w:val="right"/>
        <w:rPr>
          <w:rFonts w:ascii="Arial" w:eastAsia="Calibri" w:hAnsi="Arial" w:cs="Arial"/>
          <w:b/>
          <w:bCs/>
          <w:kern w:val="0"/>
          <w:sz w:val="24"/>
          <w:szCs w:val="24"/>
          <w:lang w:val="en-ZA"/>
          <w14:ligatures w14:val="none"/>
        </w:rPr>
      </w:pPr>
      <w:r w:rsidRPr="003F1840">
        <w:rPr>
          <w:rFonts w:ascii="Arial" w:eastAsia="Calibri" w:hAnsi="Arial" w:cs="Arial"/>
          <w:b/>
          <w:bCs/>
          <w:kern w:val="0"/>
          <w:sz w:val="24"/>
          <w:szCs w:val="24"/>
          <w:lang w:val="en-ZA"/>
          <w14:ligatures w14:val="none"/>
        </w:rPr>
        <w:t>OF SOUTH AFRICA, GAUTENG DIVISION</w:t>
      </w:r>
    </w:p>
    <w:p w14:paraId="6EA9BD23" w14:textId="77777777" w:rsidR="002D0531" w:rsidRPr="003F1840" w:rsidRDefault="002D0531" w:rsidP="003F1840">
      <w:pPr>
        <w:spacing w:line="360" w:lineRule="auto"/>
        <w:jc w:val="right"/>
        <w:rPr>
          <w:rFonts w:ascii="Arial" w:eastAsia="Calibri" w:hAnsi="Arial" w:cs="Arial"/>
          <w:b/>
          <w:bCs/>
          <w:kern w:val="0"/>
          <w:sz w:val="24"/>
          <w:szCs w:val="24"/>
          <w:lang w:val="en-ZA"/>
          <w14:ligatures w14:val="none"/>
        </w:rPr>
      </w:pPr>
      <w:r w:rsidRPr="003F1840">
        <w:rPr>
          <w:rFonts w:ascii="Arial" w:eastAsia="Calibri" w:hAnsi="Arial" w:cs="Arial"/>
          <w:b/>
          <w:bCs/>
          <w:kern w:val="0"/>
          <w:sz w:val="24"/>
          <w:szCs w:val="24"/>
          <w:lang w:val="en-ZA"/>
          <w14:ligatures w14:val="none"/>
        </w:rPr>
        <w:t>PRETORIA</w:t>
      </w:r>
    </w:p>
    <w:p w14:paraId="58B123B5" w14:textId="77777777" w:rsidR="002D0531" w:rsidRPr="003F1840" w:rsidRDefault="002D0531" w:rsidP="003F1840">
      <w:pPr>
        <w:spacing w:line="360" w:lineRule="auto"/>
        <w:jc w:val="right"/>
        <w:rPr>
          <w:rFonts w:ascii="Arial" w:eastAsia="Calibri" w:hAnsi="Arial" w:cs="Arial"/>
          <w:b/>
          <w:bCs/>
          <w:kern w:val="0"/>
          <w:sz w:val="24"/>
          <w:szCs w:val="24"/>
          <w:lang w:val="en-ZA"/>
          <w14:ligatures w14:val="none"/>
        </w:rPr>
      </w:pPr>
    </w:p>
    <w:p w14:paraId="729285ED" w14:textId="77777777" w:rsidR="002D0531" w:rsidRPr="003F1840" w:rsidRDefault="002D0531" w:rsidP="003F1840">
      <w:pPr>
        <w:spacing w:line="360" w:lineRule="auto"/>
        <w:jc w:val="right"/>
        <w:rPr>
          <w:rFonts w:ascii="Arial" w:eastAsia="Calibri" w:hAnsi="Arial" w:cs="Arial"/>
          <w:b/>
          <w:bCs/>
          <w:kern w:val="0"/>
          <w:sz w:val="24"/>
          <w:szCs w:val="24"/>
          <w:lang w:val="en-ZA"/>
          <w14:ligatures w14:val="none"/>
        </w:rPr>
      </w:pPr>
    </w:p>
    <w:p w14:paraId="070830B6" w14:textId="77777777" w:rsidR="002D0531" w:rsidRPr="003F1840" w:rsidRDefault="002D0531" w:rsidP="003F1840">
      <w:pPr>
        <w:spacing w:line="360" w:lineRule="auto"/>
        <w:jc w:val="right"/>
        <w:rPr>
          <w:rFonts w:ascii="Arial" w:eastAsia="Calibri" w:hAnsi="Arial" w:cs="Arial"/>
          <w:b/>
          <w:bCs/>
          <w:kern w:val="0"/>
          <w:sz w:val="24"/>
          <w:szCs w:val="24"/>
          <w:lang w:val="en-ZA"/>
          <w14:ligatures w14:val="none"/>
        </w:rPr>
      </w:pPr>
    </w:p>
    <w:p w14:paraId="4A87E65A" w14:textId="77777777" w:rsidR="002D0531" w:rsidRPr="003F1840" w:rsidRDefault="002D0531" w:rsidP="003F1840">
      <w:pPr>
        <w:spacing w:line="360" w:lineRule="auto"/>
        <w:jc w:val="right"/>
        <w:rPr>
          <w:rFonts w:ascii="Arial" w:eastAsia="Calibri" w:hAnsi="Arial" w:cs="Arial"/>
          <w:b/>
          <w:bCs/>
          <w:kern w:val="0"/>
          <w:sz w:val="24"/>
          <w:szCs w:val="24"/>
          <w:lang w:val="en-ZA"/>
          <w14:ligatures w14:val="none"/>
        </w:rPr>
      </w:pPr>
    </w:p>
    <w:p w14:paraId="527C1079" w14:textId="77777777" w:rsidR="002D0531" w:rsidRPr="003F1840" w:rsidRDefault="002D0531" w:rsidP="003F1840">
      <w:pPr>
        <w:spacing w:line="360" w:lineRule="auto"/>
        <w:jc w:val="right"/>
        <w:rPr>
          <w:rFonts w:ascii="Arial" w:eastAsia="Calibri" w:hAnsi="Arial" w:cs="Arial"/>
          <w:b/>
          <w:bCs/>
          <w:kern w:val="0"/>
          <w:sz w:val="24"/>
          <w:szCs w:val="24"/>
          <w:lang w:val="en-ZA"/>
          <w14:ligatures w14:val="none"/>
        </w:rPr>
      </w:pPr>
    </w:p>
    <w:p w14:paraId="5979E7B2" w14:textId="77777777" w:rsidR="002D0531" w:rsidRPr="003F1840" w:rsidRDefault="002D0531" w:rsidP="003F1840">
      <w:pPr>
        <w:spacing w:line="360" w:lineRule="auto"/>
        <w:jc w:val="right"/>
        <w:rPr>
          <w:rFonts w:ascii="Arial" w:eastAsia="Calibri" w:hAnsi="Arial" w:cs="Arial"/>
          <w:b/>
          <w:bCs/>
          <w:kern w:val="0"/>
          <w:sz w:val="24"/>
          <w:szCs w:val="24"/>
          <w:lang w:val="en-ZA"/>
          <w14:ligatures w14:val="none"/>
        </w:rPr>
      </w:pPr>
    </w:p>
    <w:p w14:paraId="7008AEE0" w14:textId="77777777" w:rsidR="002D0531" w:rsidRPr="003F1840" w:rsidRDefault="002D0531" w:rsidP="003F1840">
      <w:pPr>
        <w:spacing w:line="360" w:lineRule="auto"/>
        <w:jc w:val="right"/>
        <w:rPr>
          <w:rFonts w:ascii="Arial" w:eastAsia="Calibri" w:hAnsi="Arial" w:cs="Arial"/>
          <w:b/>
          <w:bCs/>
          <w:kern w:val="0"/>
          <w:sz w:val="24"/>
          <w:szCs w:val="24"/>
          <w:lang w:val="en-ZA"/>
          <w14:ligatures w14:val="none"/>
        </w:rPr>
      </w:pPr>
    </w:p>
    <w:p w14:paraId="168C827F" w14:textId="77777777" w:rsidR="002D0531" w:rsidRPr="003F1840" w:rsidRDefault="002D0531" w:rsidP="003F1840">
      <w:pPr>
        <w:spacing w:line="360" w:lineRule="auto"/>
        <w:jc w:val="right"/>
        <w:rPr>
          <w:rFonts w:ascii="Arial" w:eastAsia="Calibri" w:hAnsi="Arial" w:cs="Arial"/>
          <w:b/>
          <w:bCs/>
          <w:kern w:val="0"/>
          <w:sz w:val="24"/>
          <w:szCs w:val="24"/>
          <w:lang w:val="en-ZA"/>
          <w14:ligatures w14:val="none"/>
        </w:rPr>
      </w:pPr>
    </w:p>
    <w:p w14:paraId="3160922F" w14:textId="73AD68DC" w:rsidR="002D0531" w:rsidRPr="003F1840" w:rsidRDefault="002D0531" w:rsidP="003F1840">
      <w:pPr>
        <w:spacing w:line="360" w:lineRule="auto"/>
        <w:rPr>
          <w:rFonts w:ascii="Arial" w:hAnsi="Arial" w:cs="Arial"/>
          <w:b/>
          <w:bCs/>
          <w:sz w:val="24"/>
          <w:szCs w:val="24"/>
        </w:rPr>
      </w:pPr>
      <w:r w:rsidRPr="003F1840">
        <w:rPr>
          <w:rFonts w:ascii="Arial" w:eastAsia="Calibri" w:hAnsi="Arial" w:cs="Arial"/>
          <w:b/>
          <w:bCs/>
          <w:kern w:val="0"/>
          <w:sz w:val="24"/>
          <w:szCs w:val="24"/>
          <w:lang w:val="en-ZA"/>
          <w14:ligatures w14:val="none"/>
        </w:rPr>
        <w:t xml:space="preserve"> </w:t>
      </w:r>
      <w:r w:rsidR="00E7757C" w:rsidRPr="003F1840">
        <w:rPr>
          <w:rFonts w:ascii="Arial" w:hAnsi="Arial" w:cs="Arial"/>
          <w:b/>
          <w:bCs/>
          <w:sz w:val="24"/>
          <w:szCs w:val="24"/>
        </w:rPr>
        <w:t>Heard on: 06</w:t>
      </w:r>
      <w:r w:rsidRPr="003F1840">
        <w:rPr>
          <w:rFonts w:ascii="Arial" w:hAnsi="Arial" w:cs="Arial"/>
          <w:b/>
          <w:bCs/>
          <w:sz w:val="24"/>
          <w:szCs w:val="24"/>
        </w:rPr>
        <w:t>/02/2024</w:t>
      </w:r>
    </w:p>
    <w:p w14:paraId="60D4D9EF" w14:textId="0B5E7095" w:rsidR="002D0531" w:rsidRPr="003F1840" w:rsidRDefault="002D0531" w:rsidP="003F1840">
      <w:pPr>
        <w:spacing w:line="360" w:lineRule="auto"/>
        <w:rPr>
          <w:rFonts w:ascii="Arial" w:hAnsi="Arial" w:cs="Arial"/>
          <w:b/>
          <w:bCs/>
          <w:sz w:val="24"/>
          <w:szCs w:val="24"/>
        </w:rPr>
      </w:pPr>
      <w:r w:rsidRPr="003F1840">
        <w:rPr>
          <w:rFonts w:ascii="Arial" w:hAnsi="Arial" w:cs="Arial"/>
          <w:b/>
          <w:bCs/>
          <w:sz w:val="24"/>
          <w:szCs w:val="24"/>
        </w:rPr>
        <w:t xml:space="preserve">Judgment: 13/02/2024   </w:t>
      </w:r>
    </w:p>
    <w:p w14:paraId="60B97CE4" w14:textId="77777777" w:rsidR="002D0531" w:rsidRPr="003F1840" w:rsidRDefault="002D0531" w:rsidP="003F1840">
      <w:pPr>
        <w:spacing w:line="360" w:lineRule="auto"/>
        <w:rPr>
          <w:rFonts w:ascii="Arial" w:hAnsi="Arial" w:cs="Arial"/>
          <w:b/>
          <w:bCs/>
          <w:sz w:val="24"/>
          <w:szCs w:val="24"/>
        </w:rPr>
      </w:pPr>
    </w:p>
    <w:p w14:paraId="5C62FD65" w14:textId="73EB6F86" w:rsidR="002D0531" w:rsidRPr="003F1840" w:rsidRDefault="002D0531" w:rsidP="003F1840">
      <w:pPr>
        <w:spacing w:line="360" w:lineRule="auto"/>
        <w:rPr>
          <w:rFonts w:ascii="Arial" w:hAnsi="Arial" w:cs="Arial"/>
          <w:b/>
          <w:bCs/>
          <w:sz w:val="24"/>
          <w:szCs w:val="24"/>
        </w:rPr>
      </w:pPr>
      <w:r w:rsidRPr="003F1840">
        <w:rPr>
          <w:rFonts w:ascii="Arial" w:hAnsi="Arial" w:cs="Arial"/>
          <w:b/>
          <w:bCs/>
          <w:sz w:val="24"/>
          <w:szCs w:val="24"/>
        </w:rPr>
        <w:lastRenderedPageBreak/>
        <w:t>Appearances:</w:t>
      </w:r>
    </w:p>
    <w:p w14:paraId="5C9FF26B" w14:textId="7D2E05DF" w:rsidR="002D0531" w:rsidRPr="003F1840" w:rsidRDefault="002D0531" w:rsidP="003F1840">
      <w:pPr>
        <w:spacing w:line="360" w:lineRule="auto"/>
        <w:ind w:left="5040" w:hanging="4980"/>
        <w:rPr>
          <w:rFonts w:ascii="Arial" w:hAnsi="Arial" w:cs="Arial"/>
          <w:b/>
          <w:bCs/>
          <w:sz w:val="24"/>
          <w:szCs w:val="24"/>
        </w:rPr>
      </w:pPr>
      <w:r w:rsidRPr="003F1840">
        <w:rPr>
          <w:rFonts w:ascii="Arial" w:hAnsi="Arial" w:cs="Arial"/>
          <w:b/>
          <w:bCs/>
          <w:sz w:val="24"/>
          <w:szCs w:val="24"/>
        </w:rPr>
        <w:t>For the Applicants:</w:t>
      </w:r>
      <w:r w:rsidR="00E7757C" w:rsidRPr="003F1840">
        <w:rPr>
          <w:rFonts w:ascii="Arial" w:hAnsi="Arial" w:cs="Arial"/>
          <w:b/>
          <w:bCs/>
          <w:sz w:val="24"/>
          <w:szCs w:val="24"/>
        </w:rPr>
        <w:tab/>
        <w:t xml:space="preserve"> </w:t>
      </w:r>
      <w:r w:rsidRPr="003F1840">
        <w:rPr>
          <w:rFonts w:ascii="Arial" w:hAnsi="Arial" w:cs="Arial"/>
          <w:b/>
          <w:bCs/>
          <w:sz w:val="24"/>
          <w:szCs w:val="24"/>
        </w:rPr>
        <w:t>ADVOCATE GOVEND</w:t>
      </w:r>
      <w:r w:rsidR="00A562AF">
        <w:rPr>
          <w:rFonts w:ascii="Arial" w:hAnsi="Arial" w:cs="Arial"/>
          <w:b/>
          <w:bCs/>
          <w:sz w:val="24"/>
          <w:szCs w:val="24"/>
        </w:rPr>
        <w:t>E</w:t>
      </w:r>
      <w:r w:rsidRPr="003F1840">
        <w:rPr>
          <w:rFonts w:ascii="Arial" w:hAnsi="Arial" w:cs="Arial"/>
          <w:b/>
          <w:bCs/>
          <w:sz w:val="24"/>
          <w:szCs w:val="24"/>
        </w:rPr>
        <w:t>R</w:t>
      </w:r>
      <w:r w:rsidR="00E7757C" w:rsidRPr="003F1840">
        <w:rPr>
          <w:rFonts w:ascii="Arial" w:hAnsi="Arial" w:cs="Arial"/>
          <w:b/>
          <w:bCs/>
          <w:sz w:val="24"/>
          <w:szCs w:val="24"/>
        </w:rPr>
        <w:t xml:space="preserve"> and           ADVOCATE M DAFEL</w:t>
      </w:r>
    </w:p>
    <w:p w14:paraId="7F23CDD5" w14:textId="1975469B" w:rsidR="002D0531" w:rsidRPr="003F1840" w:rsidRDefault="002D0531" w:rsidP="003F1840">
      <w:pPr>
        <w:spacing w:line="360" w:lineRule="auto"/>
        <w:rPr>
          <w:rFonts w:ascii="Arial" w:hAnsi="Arial" w:cs="Arial"/>
          <w:b/>
          <w:bCs/>
          <w:sz w:val="24"/>
          <w:szCs w:val="24"/>
        </w:rPr>
      </w:pPr>
      <w:r w:rsidRPr="003F1840">
        <w:rPr>
          <w:rFonts w:ascii="Arial" w:hAnsi="Arial" w:cs="Arial"/>
          <w:b/>
          <w:bCs/>
          <w:sz w:val="24"/>
          <w:szCs w:val="24"/>
        </w:rPr>
        <w:t xml:space="preserve">Instructed by: </w:t>
      </w:r>
      <w:r w:rsidRPr="003F1840">
        <w:rPr>
          <w:rFonts w:ascii="Arial" w:hAnsi="Arial" w:cs="Arial"/>
          <w:b/>
          <w:bCs/>
          <w:sz w:val="24"/>
          <w:szCs w:val="24"/>
        </w:rPr>
        <w:tab/>
      </w:r>
      <w:r w:rsidRPr="003F1840">
        <w:rPr>
          <w:rFonts w:ascii="Arial" w:hAnsi="Arial" w:cs="Arial"/>
          <w:b/>
          <w:bCs/>
          <w:sz w:val="24"/>
          <w:szCs w:val="24"/>
        </w:rPr>
        <w:tab/>
        <w:t xml:space="preserve"> </w:t>
      </w:r>
      <w:r w:rsidRPr="003F1840">
        <w:rPr>
          <w:rFonts w:ascii="Arial" w:hAnsi="Arial" w:cs="Arial"/>
          <w:b/>
          <w:bCs/>
          <w:sz w:val="24"/>
          <w:szCs w:val="24"/>
        </w:rPr>
        <w:tab/>
      </w:r>
      <w:r w:rsidRPr="003F1840">
        <w:rPr>
          <w:rFonts w:ascii="Arial" w:hAnsi="Arial" w:cs="Arial"/>
          <w:b/>
          <w:bCs/>
          <w:sz w:val="24"/>
          <w:szCs w:val="24"/>
        </w:rPr>
        <w:tab/>
      </w:r>
      <w:r w:rsidRPr="003F1840">
        <w:rPr>
          <w:rFonts w:ascii="Arial" w:hAnsi="Arial" w:cs="Arial"/>
          <w:b/>
          <w:bCs/>
          <w:sz w:val="24"/>
          <w:szCs w:val="24"/>
        </w:rPr>
        <w:tab/>
      </w:r>
      <w:r w:rsidR="00E7757C" w:rsidRPr="003F1840">
        <w:rPr>
          <w:rFonts w:ascii="Arial" w:hAnsi="Arial" w:cs="Arial"/>
          <w:b/>
          <w:bCs/>
          <w:sz w:val="24"/>
          <w:szCs w:val="24"/>
        </w:rPr>
        <w:t xml:space="preserve">MORTIMER GOVENDOR ATTORNEYS     </w:t>
      </w:r>
    </w:p>
    <w:p w14:paraId="1B9C51DA" w14:textId="77777777" w:rsidR="002D0531" w:rsidRPr="003F1840" w:rsidRDefault="002D0531" w:rsidP="003F1840">
      <w:pPr>
        <w:spacing w:line="360" w:lineRule="auto"/>
        <w:rPr>
          <w:rFonts w:ascii="Arial" w:hAnsi="Arial" w:cs="Arial"/>
          <w:b/>
          <w:bCs/>
          <w:sz w:val="24"/>
          <w:szCs w:val="24"/>
        </w:rPr>
      </w:pPr>
    </w:p>
    <w:p w14:paraId="56FCDA35" w14:textId="7AA28C64" w:rsidR="002D0531" w:rsidRPr="003F1840" w:rsidRDefault="002D0531" w:rsidP="003F1840">
      <w:pPr>
        <w:spacing w:line="360" w:lineRule="auto"/>
        <w:rPr>
          <w:rFonts w:ascii="Arial" w:hAnsi="Arial" w:cs="Arial"/>
          <w:b/>
          <w:bCs/>
          <w:sz w:val="24"/>
          <w:szCs w:val="24"/>
        </w:rPr>
      </w:pPr>
      <w:r w:rsidRPr="003F1840">
        <w:rPr>
          <w:rFonts w:ascii="Arial" w:hAnsi="Arial" w:cs="Arial"/>
          <w:b/>
          <w:bCs/>
          <w:sz w:val="24"/>
          <w:szCs w:val="24"/>
        </w:rPr>
        <w:t xml:space="preserve">For the First and Second Respondents: </w:t>
      </w:r>
      <w:r w:rsidRPr="003F1840">
        <w:rPr>
          <w:rFonts w:ascii="Arial" w:hAnsi="Arial" w:cs="Arial"/>
          <w:b/>
          <w:bCs/>
          <w:sz w:val="24"/>
          <w:szCs w:val="24"/>
        </w:rPr>
        <w:tab/>
      </w:r>
      <w:r w:rsidR="00EE40A3" w:rsidRPr="003F1840">
        <w:rPr>
          <w:rFonts w:ascii="Arial" w:hAnsi="Arial" w:cs="Arial"/>
          <w:b/>
          <w:bCs/>
          <w:sz w:val="24"/>
          <w:szCs w:val="24"/>
        </w:rPr>
        <w:t>ADVOCATE RATHI</w:t>
      </w:r>
      <w:r w:rsidRPr="003F1840">
        <w:rPr>
          <w:rFonts w:ascii="Arial" w:hAnsi="Arial" w:cs="Arial"/>
          <w:b/>
          <w:bCs/>
          <w:sz w:val="24"/>
          <w:szCs w:val="24"/>
        </w:rPr>
        <w:t>DILI SC and</w:t>
      </w:r>
    </w:p>
    <w:p w14:paraId="275EB1B6" w14:textId="14E50207" w:rsidR="002D0531" w:rsidRPr="003F1840" w:rsidRDefault="002D0531" w:rsidP="003F1840">
      <w:pPr>
        <w:spacing w:line="360" w:lineRule="auto"/>
        <w:rPr>
          <w:rFonts w:ascii="Arial" w:hAnsi="Arial" w:cs="Arial"/>
          <w:b/>
          <w:bCs/>
          <w:sz w:val="24"/>
          <w:szCs w:val="24"/>
        </w:rPr>
      </w:pPr>
      <w:r w:rsidRPr="003F1840">
        <w:rPr>
          <w:rFonts w:ascii="Arial" w:hAnsi="Arial" w:cs="Arial"/>
          <w:b/>
          <w:bCs/>
          <w:sz w:val="24"/>
          <w:szCs w:val="24"/>
        </w:rPr>
        <w:t xml:space="preserve">                                                              </w:t>
      </w:r>
      <w:r w:rsidR="00EE40A3" w:rsidRPr="003F1840">
        <w:rPr>
          <w:rFonts w:ascii="Arial" w:hAnsi="Arial" w:cs="Arial"/>
          <w:b/>
          <w:bCs/>
          <w:sz w:val="24"/>
          <w:szCs w:val="24"/>
        </w:rPr>
        <w:t xml:space="preserve">              ADVOCATE NTHAMBELENI</w:t>
      </w:r>
    </w:p>
    <w:p w14:paraId="76D45D4B" w14:textId="7C6C3F77" w:rsidR="002D0531" w:rsidRPr="003F1840" w:rsidRDefault="002D0531" w:rsidP="003F1840">
      <w:pPr>
        <w:spacing w:line="360" w:lineRule="auto"/>
        <w:rPr>
          <w:rFonts w:ascii="Arial" w:hAnsi="Arial" w:cs="Arial"/>
          <w:b/>
          <w:bCs/>
          <w:sz w:val="24"/>
          <w:szCs w:val="24"/>
        </w:rPr>
      </w:pPr>
      <w:r w:rsidRPr="003F1840">
        <w:rPr>
          <w:rFonts w:ascii="Arial" w:hAnsi="Arial" w:cs="Arial"/>
          <w:b/>
          <w:bCs/>
          <w:sz w:val="24"/>
          <w:szCs w:val="24"/>
        </w:rPr>
        <w:t>Instruct</w:t>
      </w:r>
      <w:r w:rsidR="00EE40A3" w:rsidRPr="003F1840">
        <w:rPr>
          <w:rFonts w:ascii="Arial" w:hAnsi="Arial" w:cs="Arial"/>
          <w:b/>
          <w:bCs/>
          <w:sz w:val="24"/>
          <w:szCs w:val="24"/>
        </w:rPr>
        <w:t>ed by:</w:t>
      </w:r>
      <w:r w:rsidR="00EE40A3" w:rsidRPr="003F1840">
        <w:rPr>
          <w:rFonts w:ascii="Arial" w:hAnsi="Arial" w:cs="Arial"/>
          <w:b/>
          <w:bCs/>
          <w:sz w:val="24"/>
          <w:szCs w:val="24"/>
        </w:rPr>
        <w:tab/>
      </w:r>
      <w:r w:rsidR="00EE40A3" w:rsidRPr="003F1840">
        <w:rPr>
          <w:rFonts w:ascii="Arial" w:hAnsi="Arial" w:cs="Arial"/>
          <w:b/>
          <w:bCs/>
          <w:sz w:val="24"/>
          <w:szCs w:val="24"/>
        </w:rPr>
        <w:tab/>
      </w:r>
      <w:r w:rsidR="00EE40A3" w:rsidRPr="003F1840">
        <w:rPr>
          <w:rFonts w:ascii="Arial" w:hAnsi="Arial" w:cs="Arial"/>
          <w:b/>
          <w:bCs/>
          <w:sz w:val="24"/>
          <w:szCs w:val="24"/>
        </w:rPr>
        <w:tab/>
      </w:r>
      <w:r w:rsidR="00EE40A3" w:rsidRPr="003F1840">
        <w:rPr>
          <w:rFonts w:ascii="Arial" w:hAnsi="Arial" w:cs="Arial"/>
          <w:b/>
          <w:bCs/>
          <w:sz w:val="24"/>
          <w:szCs w:val="24"/>
        </w:rPr>
        <w:tab/>
        <w:t xml:space="preserve">           THE STATE ATTORNEY</w:t>
      </w:r>
    </w:p>
    <w:p w14:paraId="6EC34C85" w14:textId="77777777" w:rsidR="00C51890" w:rsidRPr="003F1840" w:rsidRDefault="00C51890" w:rsidP="003F1840">
      <w:pPr>
        <w:spacing w:line="360" w:lineRule="auto"/>
        <w:rPr>
          <w:rFonts w:ascii="Arial" w:hAnsi="Arial" w:cs="Arial"/>
          <w:b/>
          <w:bCs/>
          <w:sz w:val="24"/>
          <w:szCs w:val="24"/>
        </w:rPr>
      </w:pPr>
    </w:p>
    <w:p w14:paraId="51754EDD" w14:textId="77777777" w:rsidR="00EE40A3" w:rsidRPr="003F1840" w:rsidRDefault="002D0531" w:rsidP="003F1840">
      <w:pPr>
        <w:spacing w:line="360" w:lineRule="auto"/>
        <w:rPr>
          <w:rFonts w:ascii="Arial" w:hAnsi="Arial" w:cs="Arial"/>
          <w:b/>
          <w:bCs/>
          <w:sz w:val="24"/>
          <w:szCs w:val="24"/>
        </w:rPr>
      </w:pPr>
      <w:r w:rsidRPr="003F1840">
        <w:rPr>
          <w:rFonts w:ascii="Arial" w:hAnsi="Arial" w:cs="Arial"/>
          <w:b/>
          <w:bCs/>
          <w:sz w:val="24"/>
          <w:szCs w:val="24"/>
        </w:rPr>
        <w:t>For the Third Respondent:</w:t>
      </w:r>
      <w:r w:rsidR="00E7757C" w:rsidRPr="003F1840">
        <w:rPr>
          <w:rFonts w:ascii="Arial" w:hAnsi="Arial" w:cs="Arial"/>
          <w:b/>
          <w:bCs/>
          <w:sz w:val="24"/>
          <w:szCs w:val="24"/>
        </w:rPr>
        <w:t xml:space="preserve">                             </w:t>
      </w:r>
      <w:r w:rsidR="00C51890" w:rsidRPr="003F1840">
        <w:rPr>
          <w:rFonts w:ascii="Arial" w:hAnsi="Arial" w:cs="Arial"/>
          <w:b/>
          <w:bCs/>
          <w:sz w:val="24"/>
          <w:szCs w:val="24"/>
        </w:rPr>
        <w:t>ADVOCATE MAENETJE SC</w:t>
      </w:r>
      <w:r w:rsidR="00E7757C" w:rsidRPr="003F1840">
        <w:rPr>
          <w:rFonts w:ascii="Arial" w:hAnsi="Arial" w:cs="Arial"/>
          <w:b/>
          <w:bCs/>
          <w:sz w:val="24"/>
          <w:szCs w:val="24"/>
        </w:rPr>
        <w:t xml:space="preserve"> and </w:t>
      </w:r>
      <w:r w:rsidR="00EE40A3" w:rsidRPr="003F1840">
        <w:rPr>
          <w:rFonts w:ascii="Arial" w:hAnsi="Arial" w:cs="Arial"/>
          <w:b/>
          <w:bCs/>
          <w:sz w:val="24"/>
          <w:szCs w:val="24"/>
        </w:rPr>
        <w:t xml:space="preserve"> </w:t>
      </w:r>
    </w:p>
    <w:p w14:paraId="1E604329" w14:textId="5613DF4E" w:rsidR="002D0531" w:rsidRPr="003F1840" w:rsidRDefault="00EE40A3" w:rsidP="003F1840">
      <w:pPr>
        <w:spacing w:line="360" w:lineRule="auto"/>
        <w:jc w:val="center"/>
        <w:rPr>
          <w:rFonts w:ascii="Arial" w:hAnsi="Arial" w:cs="Arial"/>
          <w:b/>
          <w:bCs/>
          <w:sz w:val="24"/>
          <w:szCs w:val="24"/>
        </w:rPr>
      </w:pPr>
      <w:r w:rsidRPr="003F1840">
        <w:rPr>
          <w:rFonts w:ascii="Arial" w:hAnsi="Arial" w:cs="Arial"/>
          <w:b/>
          <w:bCs/>
          <w:sz w:val="24"/>
          <w:szCs w:val="24"/>
        </w:rPr>
        <w:t xml:space="preserve">                                               </w:t>
      </w:r>
      <w:r w:rsidR="00E7757C" w:rsidRPr="003F1840">
        <w:rPr>
          <w:rFonts w:ascii="Arial" w:hAnsi="Arial" w:cs="Arial"/>
          <w:b/>
          <w:bCs/>
          <w:sz w:val="24"/>
          <w:szCs w:val="24"/>
        </w:rPr>
        <w:t>ADVOCATE A MOLVER</w:t>
      </w:r>
    </w:p>
    <w:p w14:paraId="3006CE4B" w14:textId="1E8505C2" w:rsidR="00C51890" w:rsidRPr="003F1840" w:rsidRDefault="00C51890" w:rsidP="003F1840">
      <w:pPr>
        <w:spacing w:line="360" w:lineRule="auto"/>
        <w:rPr>
          <w:rFonts w:ascii="Arial" w:hAnsi="Arial" w:cs="Arial"/>
          <w:b/>
          <w:bCs/>
          <w:sz w:val="24"/>
          <w:szCs w:val="24"/>
        </w:rPr>
      </w:pPr>
      <w:r w:rsidRPr="003F1840">
        <w:rPr>
          <w:rFonts w:ascii="Arial" w:hAnsi="Arial" w:cs="Arial"/>
          <w:b/>
          <w:bCs/>
          <w:sz w:val="24"/>
          <w:szCs w:val="24"/>
        </w:rPr>
        <w:t xml:space="preserve">Instructed by:                             </w:t>
      </w:r>
      <w:r w:rsidR="00EE40A3" w:rsidRPr="003F1840">
        <w:rPr>
          <w:rFonts w:ascii="Arial" w:hAnsi="Arial" w:cs="Arial"/>
          <w:b/>
          <w:bCs/>
          <w:sz w:val="24"/>
          <w:szCs w:val="24"/>
        </w:rPr>
        <w:t xml:space="preserve">                     ADAMS &amp; ADAMS ATTORNEYS</w:t>
      </w:r>
    </w:p>
    <w:p w14:paraId="11A94818" w14:textId="77777777" w:rsidR="00C51890" w:rsidRDefault="00C51890" w:rsidP="002D0531">
      <w:pPr>
        <w:spacing w:line="360" w:lineRule="auto"/>
        <w:rPr>
          <w:rFonts w:ascii="Arial" w:hAnsi="Arial" w:cs="Arial"/>
          <w:b/>
          <w:bCs/>
          <w:sz w:val="24"/>
          <w:szCs w:val="24"/>
        </w:rPr>
      </w:pPr>
    </w:p>
    <w:p w14:paraId="006B92F1" w14:textId="1829CC3A" w:rsidR="002D0531" w:rsidRPr="002D0531" w:rsidRDefault="002D0531" w:rsidP="002D0531">
      <w:pPr>
        <w:spacing w:line="360" w:lineRule="auto"/>
        <w:rPr>
          <w:rFonts w:ascii="Arial" w:eastAsia="Calibri" w:hAnsi="Arial" w:cs="Arial"/>
          <w:b/>
          <w:bCs/>
          <w:kern w:val="0"/>
          <w:sz w:val="24"/>
          <w:szCs w:val="24"/>
          <w:lang w:val="en-ZA"/>
          <w14:ligatures w14:val="none"/>
        </w:rPr>
      </w:pPr>
    </w:p>
    <w:p w14:paraId="1EE32798" w14:textId="41E331C7" w:rsidR="002D0531" w:rsidRPr="00CC09E5" w:rsidRDefault="002D0531" w:rsidP="002D0531">
      <w:pPr>
        <w:jc w:val="right"/>
        <w:rPr>
          <w:rFonts w:ascii="Arial" w:hAnsi="Arial" w:cs="Arial"/>
          <w:sz w:val="24"/>
          <w:szCs w:val="24"/>
        </w:rPr>
      </w:pPr>
    </w:p>
    <w:bookmarkEnd w:id="0"/>
    <w:p w14:paraId="13928738" w14:textId="7101DFE9" w:rsidR="000D7DAF" w:rsidRPr="00CC09E5" w:rsidRDefault="000D7DAF" w:rsidP="00D05A14">
      <w:pPr>
        <w:rPr>
          <w:rFonts w:ascii="Arial" w:hAnsi="Arial" w:cs="Arial"/>
          <w:sz w:val="24"/>
          <w:szCs w:val="24"/>
        </w:rPr>
      </w:pPr>
    </w:p>
    <w:sectPr w:rsidR="000D7DAF" w:rsidRPr="00CC09E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0D92B" w14:textId="77777777" w:rsidR="0067281E" w:rsidRDefault="0067281E" w:rsidP="0016375C">
      <w:pPr>
        <w:spacing w:after="0" w:line="240" w:lineRule="auto"/>
      </w:pPr>
      <w:r>
        <w:separator/>
      </w:r>
    </w:p>
  </w:endnote>
  <w:endnote w:type="continuationSeparator" w:id="0">
    <w:p w14:paraId="5A1C4BFE" w14:textId="77777777" w:rsidR="0067281E" w:rsidRDefault="0067281E" w:rsidP="0016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281335"/>
      <w:docPartObj>
        <w:docPartGallery w:val="Page Numbers (Bottom of Page)"/>
        <w:docPartUnique/>
      </w:docPartObj>
    </w:sdtPr>
    <w:sdtEndPr>
      <w:rPr>
        <w:noProof/>
      </w:rPr>
    </w:sdtEndPr>
    <w:sdtContent>
      <w:p w14:paraId="35FA97BA" w14:textId="5E98DEED" w:rsidR="008016A7" w:rsidRDefault="008016A7">
        <w:pPr>
          <w:pStyle w:val="Footer"/>
          <w:jc w:val="center"/>
        </w:pPr>
        <w:r>
          <w:fldChar w:fldCharType="begin"/>
        </w:r>
        <w:r>
          <w:instrText xml:space="preserve"> PAGE   \* MERGEFORMAT </w:instrText>
        </w:r>
        <w:r>
          <w:fldChar w:fldCharType="separate"/>
        </w:r>
        <w:r w:rsidR="00F2642B">
          <w:rPr>
            <w:noProof/>
          </w:rPr>
          <w:t>1</w:t>
        </w:r>
        <w:r>
          <w:rPr>
            <w:noProof/>
          </w:rPr>
          <w:fldChar w:fldCharType="end"/>
        </w:r>
      </w:p>
    </w:sdtContent>
  </w:sdt>
  <w:p w14:paraId="0099506A" w14:textId="77777777" w:rsidR="008016A7" w:rsidRDefault="008016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1FE86" w14:textId="77777777" w:rsidR="0067281E" w:rsidRDefault="0067281E" w:rsidP="0016375C">
      <w:pPr>
        <w:spacing w:after="0" w:line="240" w:lineRule="auto"/>
      </w:pPr>
      <w:r>
        <w:separator/>
      </w:r>
    </w:p>
  </w:footnote>
  <w:footnote w:type="continuationSeparator" w:id="0">
    <w:p w14:paraId="4F402EDA" w14:textId="77777777" w:rsidR="0067281E" w:rsidRDefault="0067281E" w:rsidP="0016375C">
      <w:pPr>
        <w:spacing w:after="0" w:line="240" w:lineRule="auto"/>
      </w:pPr>
      <w:r>
        <w:continuationSeparator/>
      </w:r>
    </w:p>
  </w:footnote>
  <w:footnote w:id="1">
    <w:p w14:paraId="355B4230" w14:textId="28A378F7" w:rsidR="0016375C" w:rsidRPr="0016375C" w:rsidRDefault="0016375C">
      <w:pPr>
        <w:pStyle w:val="FootnoteText"/>
      </w:pPr>
      <w:r>
        <w:rPr>
          <w:rStyle w:val="FootnoteReference"/>
        </w:rPr>
        <w:footnoteRef/>
      </w:r>
      <w:r>
        <w:t xml:space="preserve"> </w:t>
      </w:r>
      <w:r>
        <w:rPr>
          <w:i/>
          <w:iCs/>
        </w:rPr>
        <w:t xml:space="preserve"> Tshwane City &amp; Others v Nambiti Technologies (</w:t>
      </w:r>
      <w:r w:rsidR="002F207D">
        <w:rPr>
          <w:i/>
          <w:iCs/>
        </w:rPr>
        <w:t>Pty</w:t>
      </w:r>
      <w:r>
        <w:rPr>
          <w:i/>
          <w:iCs/>
        </w:rPr>
        <w:t xml:space="preserve">) </w:t>
      </w:r>
      <w:r w:rsidR="002F207D">
        <w:rPr>
          <w:i/>
          <w:iCs/>
        </w:rPr>
        <w:t xml:space="preserve">Ltd </w:t>
      </w:r>
      <w:r w:rsidR="002F207D">
        <w:t>2016</w:t>
      </w:r>
      <w:r>
        <w:t xml:space="preserve"> (2) SA 494 (SCA) at paragraph 43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030C"/>
    <w:multiLevelType w:val="hybridMultilevel"/>
    <w:tmpl w:val="267CB9C8"/>
    <w:lvl w:ilvl="0" w:tplc="0F942510">
      <w:start w:val="1"/>
      <w:numFmt w:val="lowerRoman"/>
      <w:lvlText w:val="(%1)"/>
      <w:lvlJc w:val="left"/>
      <w:pPr>
        <w:ind w:left="2301" w:hanging="720"/>
      </w:pPr>
      <w:rPr>
        <w:rFonts w:hint="default"/>
      </w:rPr>
    </w:lvl>
    <w:lvl w:ilvl="1" w:tplc="08090019" w:tentative="1">
      <w:start w:val="1"/>
      <w:numFmt w:val="lowerLetter"/>
      <w:lvlText w:val="%2."/>
      <w:lvlJc w:val="left"/>
      <w:pPr>
        <w:ind w:left="2661" w:hanging="360"/>
      </w:pPr>
    </w:lvl>
    <w:lvl w:ilvl="2" w:tplc="0809001B" w:tentative="1">
      <w:start w:val="1"/>
      <w:numFmt w:val="lowerRoman"/>
      <w:lvlText w:val="%3."/>
      <w:lvlJc w:val="right"/>
      <w:pPr>
        <w:ind w:left="3381" w:hanging="180"/>
      </w:pPr>
    </w:lvl>
    <w:lvl w:ilvl="3" w:tplc="0809000F" w:tentative="1">
      <w:start w:val="1"/>
      <w:numFmt w:val="decimal"/>
      <w:lvlText w:val="%4."/>
      <w:lvlJc w:val="left"/>
      <w:pPr>
        <w:ind w:left="4101" w:hanging="360"/>
      </w:pPr>
    </w:lvl>
    <w:lvl w:ilvl="4" w:tplc="08090019" w:tentative="1">
      <w:start w:val="1"/>
      <w:numFmt w:val="lowerLetter"/>
      <w:lvlText w:val="%5."/>
      <w:lvlJc w:val="left"/>
      <w:pPr>
        <w:ind w:left="4821" w:hanging="360"/>
      </w:pPr>
    </w:lvl>
    <w:lvl w:ilvl="5" w:tplc="0809001B" w:tentative="1">
      <w:start w:val="1"/>
      <w:numFmt w:val="lowerRoman"/>
      <w:lvlText w:val="%6."/>
      <w:lvlJc w:val="right"/>
      <w:pPr>
        <w:ind w:left="5541" w:hanging="180"/>
      </w:pPr>
    </w:lvl>
    <w:lvl w:ilvl="6" w:tplc="0809000F" w:tentative="1">
      <w:start w:val="1"/>
      <w:numFmt w:val="decimal"/>
      <w:lvlText w:val="%7."/>
      <w:lvlJc w:val="left"/>
      <w:pPr>
        <w:ind w:left="6261" w:hanging="360"/>
      </w:pPr>
    </w:lvl>
    <w:lvl w:ilvl="7" w:tplc="08090019" w:tentative="1">
      <w:start w:val="1"/>
      <w:numFmt w:val="lowerLetter"/>
      <w:lvlText w:val="%8."/>
      <w:lvlJc w:val="left"/>
      <w:pPr>
        <w:ind w:left="6981" w:hanging="360"/>
      </w:pPr>
    </w:lvl>
    <w:lvl w:ilvl="8" w:tplc="0809001B" w:tentative="1">
      <w:start w:val="1"/>
      <w:numFmt w:val="lowerRoman"/>
      <w:lvlText w:val="%9."/>
      <w:lvlJc w:val="right"/>
      <w:pPr>
        <w:ind w:left="7701" w:hanging="180"/>
      </w:pPr>
    </w:lvl>
  </w:abstractNum>
  <w:abstractNum w:abstractNumId="1" w15:restartNumberingAfterBreak="0">
    <w:nsid w:val="3E381FCA"/>
    <w:multiLevelType w:val="hybridMultilevel"/>
    <w:tmpl w:val="7A4E8370"/>
    <w:lvl w:ilvl="0" w:tplc="16C4D8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F81716C"/>
    <w:multiLevelType w:val="multilevel"/>
    <w:tmpl w:val="E626FA28"/>
    <w:lvl w:ilvl="0">
      <w:start w:val="1"/>
      <w:numFmt w:val="decimal"/>
      <w:lvlText w:val="[%1] "/>
      <w:lvlJc w:val="left"/>
      <w:pPr>
        <w:ind w:left="501" w:hanging="360"/>
      </w:pPr>
      <w:rPr>
        <w:rFonts w:hint="default"/>
        <w:b w:val="0"/>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14"/>
    <w:rsid w:val="00031DFA"/>
    <w:rsid w:val="00034824"/>
    <w:rsid w:val="00044C56"/>
    <w:rsid w:val="000501E1"/>
    <w:rsid w:val="00091AD0"/>
    <w:rsid w:val="000D7DAF"/>
    <w:rsid w:val="001038E3"/>
    <w:rsid w:val="00103B3B"/>
    <w:rsid w:val="00114A2B"/>
    <w:rsid w:val="00137081"/>
    <w:rsid w:val="0016375C"/>
    <w:rsid w:val="001C4495"/>
    <w:rsid w:val="001C53EE"/>
    <w:rsid w:val="001C605A"/>
    <w:rsid w:val="001C72B0"/>
    <w:rsid w:val="001D3328"/>
    <w:rsid w:val="001F3373"/>
    <w:rsid w:val="00211A0D"/>
    <w:rsid w:val="00281F27"/>
    <w:rsid w:val="002846F0"/>
    <w:rsid w:val="00292CE1"/>
    <w:rsid w:val="00292F2E"/>
    <w:rsid w:val="002C566C"/>
    <w:rsid w:val="002D0531"/>
    <w:rsid w:val="002D4CD1"/>
    <w:rsid w:val="002F207D"/>
    <w:rsid w:val="00306F1C"/>
    <w:rsid w:val="00345F67"/>
    <w:rsid w:val="003B14ED"/>
    <w:rsid w:val="003D22BF"/>
    <w:rsid w:val="003F1840"/>
    <w:rsid w:val="003F5681"/>
    <w:rsid w:val="00404909"/>
    <w:rsid w:val="004057D7"/>
    <w:rsid w:val="00440949"/>
    <w:rsid w:val="00441E8A"/>
    <w:rsid w:val="00453B18"/>
    <w:rsid w:val="0046675C"/>
    <w:rsid w:val="00491AE3"/>
    <w:rsid w:val="00494011"/>
    <w:rsid w:val="004A72F2"/>
    <w:rsid w:val="004D753D"/>
    <w:rsid w:val="004E4527"/>
    <w:rsid w:val="004F7BF8"/>
    <w:rsid w:val="005052D7"/>
    <w:rsid w:val="005223BD"/>
    <w:rsid w:val="005343B3"/>
    <w:rsid w:val="00563B67"/>
    <w:rsid w:val="00582C79"/>
    <w:rsid w:val="005A44A8"/>
    <w:rsid w:val="005E1069"/>
    <w:rsid w:val="00644629"/>
    <w:rsid w:val="0067281E"/>
    <w:rsid w:val="00690A86"/>
    <w:rsid w:val="00695F7B"/>
    <w:rsid w:val="006B2334"/>
    <w:rsid w:val="006F569D"/>
    <w:rsid w:val="00773A87"/>
    <w:rsid w:val="00785FE7"/>
    <w:rsid w:val="00786850"/>
    <w:rsid w:val="00795722"/>
    <w:rsid w:val="007A55FE"/>
    <w:rsid w:val="007D598C"/>
    <w:rsid w:val="007E44A8"/>
    <w:rsid w:val="008016A7"/>
    <w:rsid w:val="00826A5A"/>
    <w:rsid w:val="00846500"/>
    <w:rsid w:val="0085022D"/>
    <w:rsid w:val="0085378D"/>
    <w:rsid w:val="00885172"/>
    <w:rsid w:val="008F70BF"/>
    <w:rsid w:val="00902EE5"/>
    <w:rsid w:val="00916479"/>
    <w:rsid w:val="00926870"/>
    <w:rsid w:val="009350E0"/>
    <w:rsid w:val="009573F9"/>
    <w:rsid w:val="00967A26"/>
    <w:rsid w:val="00983596"/>
    <w:rsid w:val="009952BE"/>
    <w:rsid w:val="009C18A8"/>
    <w:rsid w:val="009F67F6"/>
    <w:rsid w:val="00A126EB"/>
    <w:rsid w:val="00A34DFA"/>
    <w:rsid w:val="00A51CDB"/>
    <w:rsid w:val="00A562AF"/>
    <w:rsid w:val="00A63BC3"/>
    <w:rsid w:val="00A65CBD"/>
    <w:rsid w:val="00AA4418"/>
    <w:rsid w:val="00AA665A"/>
    <w:rsid w:val="00AE6FF9"/>
    <w:rsid w:val="00AF1025"/>
    <w:rsid w:val="00AF633C"/>
    <w:rsid w:val="00AF7927"/>
    <w:rsid w:val="00B05D6A"/>
    <w:rsid w:val="00B1360F"/>
    <w:rsid w:val="00B41A3B"/>
    <w:rsid w:val="00B537F1"/>
    <w:rsid w:val="00C147BF"/>
    <w:rsid w:val="00C51890"/>
    <w:rsid w:val="00C667CB"/>
    <w:rsid w:val="00C740A4"/>
    <w:rsid w:val="00C868A3"/>
    <w:rsid w:val="00C87530"/>
    <w:rsid w:val="00CA20C2"/>
    <w:rsid w:val="00CC09E5"/>
    <w:rsid w:val="00CC527C"/>
    <w:rsid w:val="00D05A14"/>
    <w:rsid w:val="00D30107"/>
    <w:rsid w:val="00DB67C5"/>
    <w:rsid w:val="00DC61B7"/>
    <w:rsid w:val="00DD4AC7"/>
    <w:rsid w:val="00DD6591"/>
    <w:rsid w:val="00DF50CE"/>
    <w:rsid w:val="00E16DFB"/>
    <w:rsid w:val="00E64147"/>
    <w:rsid w:val="00E641EB"/>
    <w:rsid w:val="00E7757C"/>
    <w:rsid w:val="00EE40A3"/>
    <w:rsid w:val="00EF04A9"/>
    <w:rsid w:val="00EF35DA"/>
    <w:rsid w:val="00F14E64"/>
    <w:rsid w:val="00F2642B"/>
    <w:rsid w:val="00F50224"/>
    <w:rsid w:val="00F535A2"/>
    <w:rsid w:val="00F62506"/>
    <w:rsid w:val="00F7297F"/>
    <w:rsid w:val="00F8702F"/>
    <w:rsid w:val="00FD65B9"/>
    <w:rsid w:val="00FE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DEBD"/>
  <w15:chartTrackingRefBased/>
  <w15:docId w15:val="{665C37C0-F3DD-47C5-BB9C-A8B89503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5A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5A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5A1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5A1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5A1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5A1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5A1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5A1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5A1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A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5A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5A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5A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5A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5A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5A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5A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5A14"/>
    <w:rPr>
      <w:rFonts w:eastAsiaTheme="majorEastAsia" w:cstheme="majorBidi"/>
      <w:color w:val="272727" w:themeColor="text1" w:themeTint="D8"/>
    </w:rPr>
  </w:style>
  <w:style w:type="paragraph" w:styleId="Title">
    <w:name w:val="Title"/>
    <w:basedOn w:val="Normal"/>
    <w:next w:val="Normal"/>
    <w:link w:val="TitleChar"/>
    <w:uiPriority w:val="10"/>
    <w:qFormat/>
    <w:rsid w:val="00D05A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5A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5A1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5A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5A14"/>
    <w:pPr>
      <w:spacing w:before="160"/>
      <w:jc w:val="center"/>
    </w:pPr>
    <w:rPr>
      <w:i/>
      <w:iCs/>
      <w:color w:val="404040" w:themeColor="text1" w:themeTint="BF"/>
    </w:rPr>
  </w:style>
  <w:style w:type="character" w:customStyle="1" w:styleId="QuoteChar">
    <w:name w:val="Quote Char"/>
    <w:basedOn w:val="DefaultParagraphFont"/>
    <w:link w:val="Quote"/>
    <w:uiPriority w:val="29"/>
    <w:rsid w:val="00D05A14"/>
    <w:rPr>
      <w:i/>
      <w:iCs/>
      <w:color w:val="404040" w:themeColor="text1" w:themeTint="BF"/>
    </w:rPr>
  </w:style>
  <w:style w:type="paragraph" w:styleId="ListParagraph">
    <w:name w:val="List Paragraph"/>
    <w:basedOn w:val="Normal"/>
    <w:uiPriority w:val="34"/>
    <w:qFormat/>
    <w:rsid w:val="00D05A14"/>
    <w:pPr>
      <w:ind w:left="720"/>
      <w:contextualSpacing/>
    </w:pPr>
  </w:style>
  <w:style w:type="character" w:styleId="IntenseEmphasis">
    <w:name w:val="Intense Emphasis"/>
    <w:basedOn w:val="DefaultParagraphFont"/>
    <w:uiPriority w:val="21"/>
    <w:qFormat/>
    <w:rsid w:val="00D05A14"/>
    <w:rPr>
      <w:i/>
      <w:iCs/>
      <w:color w:val="0F4761" w:themeColor="accent1" w:themeShade="BF"/>
    </w:rPr>
  </w:style>
  <w:style w:type="paragraph" w:styleId="IntenseQuote">
    <w:name w:val="Intense Quote"/>
    <w:basedOn w:val="Normal"/>
    <w:next w:val="Normal"/>
    <w:link w:val="IntenseQuoteChar"/>
    <w:uiPriority w:val="30"/>
    <w:qFormat/>
    <w:rsid w:val="00D05A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5A14"/>
    <w:rPr>
      <w:i/>
      <w:iCs/>
      <w:color w:val="0F4761" w:themeColor="accent1" w:themeShade="BF"/>
    </w:rPr>
  </w:style>
  <w:style w:type="character" w:styleId="IntenseReference">
    <w:name w:val="Intense Reference"/>
    <w:basedOn w:val="DefaultParagraphFont"/>
    <w:uiPriority w:val="32"/>
    <w:qFormat/>
    <w:rsid w:val="00D05A14"/>
    <w:rPr>
      <w:b/>
      <w:bCs/>
      <w:smallCaps/>
      <w:color w:val="0F4761" w:themeColor="accent1" w:themeShade="BF"/>
      <w:spacing w:val="5"/>
    </w:rPr>
  </w:style>
  <w:style w:type="paragraph" w:styleId="FootnoteText">
    <w:name w:val="footnote text"/>
    <w:basedOn w:val="Normal"/>
    <w:link w:val="FootnoteTextChar"/>
    <w:uiPriority w:val="99"/>
    <w:semiHidden/>
    <w:unhideWhenUsed/>
    <w:rsid w:val="001637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75C"/>
    <w:rPr>
      <w:sz w:val="20"/>
      <w:szCs w:val="20"/>
    </w:rPr>
  </w:style>
  <w:style w:type="character" w:styleId="FootnoteReference">
    <w:name w:val="footnote reference"/>
    <w:basedOn w:val="DefaultParagraphFont"/>
    <w:uiPriority w:val="99"/>
    <w:semiHidden/>
    <w:unhideWhenUsed/>
    <w:rsid w:val="0016375C"/>
    <w:rPr>
      <w:vertAlign w:val="superscript"/>
    </w:rPr>
  </w:style>
  <w:style w:type="paragraph" w:customStyle="1" w:styleId="TableParagraph">
    <w:name w:val="Table Paragraph"/>
    <w:basedOn w:val="Normal"/>
    <w:uiPriority w:val="1"/>
    <w:qFormat/>
    <w:rsid w:val="005A44A8"/>
    <w:pPr>
      <w:widowControl w:val="0"/>
      <w:autoSpaceDE w:val="0"/>
      <w:autoSpaceDN w:val="0"/>
      <w:spacing w:after="0" w:line="240" w:lineRule="auto"/>
    </w:pPr>
    <w:rPr>
      <w:rFonts w:ascii="Arial" w:eastAsia="Arial" w:hAnsi="Arial" w:cs="Arial"/>
      <w:kern w:val="0"/>
      <w14:ligatures w14:val="none"/>
    </w:rPr>
  </w:style>
  <w:style w:type="paragraph" w:styleId="Header">
    <w:name w:val="header"/>
    <w:basedOn w:val="Normal"/>
    <w:link w:val="HeaderChar"/>
    <w:uiPriority w:val="99"/>
    <w:unhideWhenUsed/>
    <w:rsid w:val="00801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6A7"/>
  </w:style>
  <w:style w:type="paragraph" w:styleId="Footer">
    <w:name w:val="footer"/>
    <w:basedOn w:val="Normal"/>
    <w:link w:val="FooterChar"/>
    <w:uiPriority w:val="99"/>
    <w:unhideWhenUsed/>
    <w:rsid w:val="00801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C6946-8629-4A17-B227-5711E507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3552</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unterhalter</dc:creator>
  <cp:keywords/>
  <dc:description/>
  <cp:lastModifiedBy>Sathish</cp:lastModifiedBy>
  <cp:revision>3</cp:revision>
  <cp:lastPrinted>2024-02-13T07:04:00Z</cp:lastPrinted>
  <dcterms:created xsi:type="dcterms:W3CDTF">2024-02-13T08:20:00Z</dcterms:created>
  <dcterms:modified xsi:type="dcterms:W3CDTF">2024-02-17T13:40:00Z</dcterms:modified>
</cp:coreProperties>
</file>