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E5E0A" w14:textId="77777777" w:rsidR="003C6FAA" w:rsidRDefault="003C6FAA" w:rsidP="003C6FAA">
      <w:pPr>
        <w:spacing w:line="480" w:lineRule="auto"/>
        <w:jc w:val="center"/>
        <w:rPr>
          <w:b/>
          <w:bCs/>
          <w:sz w:val="24"/>
          <w:szCs w:val="24"/>
        </w:rPr>
      </w:pPr>
      <w:r>
        <w:rPr>
          <w:rFonts w:ascii="Times New Roman" w:eastAsia="Calibri" w:hAnsi="Times New Roman" w:cs="Times New Roman"/>
          <w:noProof/>
          <w:color w:val="1F497D"/>
          <w:sz w:val="28"/>
          <w:szCs w:val="28"/>
          <w:lang w:val="en-ZA"/>
        </w:rPr>
        <w:drawing>
          <wp:inline distT="0" distB="0" distL="0" distR="0" wp14:anchorId="116E4190" wp14:editId="4DD5E563">
            <wp:extent cx="1356360" cy="1356360"/>
            <wp:effectExtent l="0" t="0" r="15240" b="15240"/>
            <wp:docPr id="1" name="Picture 1"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u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inline>
        </w:drawing>
      </w:r>
    </w:p>
    <w:p w14:paraId="423A45A1" w14:textId="77777777" w:rsidR="003C6FAA" w:rsidRDefault="003C6FAA" w:rsidP="003C6FAA">
      <w:pPr>
        <w:spacing w:line="240" w:lineRule="auto"/>
        <w:jc w:val="center"/>
        <w:rPr>
          <w:b/>
          <w:bCs/>
          <w:sz w:val="24"/>
          <w:szCs w:val="24"/>
        </w:rPr>
      </w:pPr>
      <w:r>
        <w:rPr>
          <w:b/>
          <w:bCs/>
          <w:sz w:val="24"/>
          <w:szCs w:val="24"/>
        </w:rPr>
        <w:t>IN THE HIGH COURT OF SOUTH AFRICA</w:t>
      </w:r>
    </w:p>
    <w:p w14:paraId="508DFA78" w14:textId="77777777" w:rsidR="003C6FAA" w:rsidRDefault="003C6FAA" w:rsidP="003C6FAA">
      <w:pPr>
        <w:spacing w:line="240" w:lineRule="auto"/>
        <w:jc w:val="center"/>
        <w:rPr>
          <w:b/>
          <w:bCs/>
          <w:sz w:val="24"/>
          <w:szCs w:val="24"/>
        </w:rPr>
      </w:pPr>
      <w:r>
        <w:rPr>
          <w:b/>
          <w:bCs/>
          <w:sz w:val="24"/>
          <w:szCs w:val="24"/>
        </w:rPr>
        <w:t>GAUTENG DIVISION, PRETORIA</w:t>
      </w:r>
    </w:p>
    <w:p w14:paraId="71CEB1EC" w14:textId="77777777" w:rsidR="003C6FAA" w:rsidRDefault="003C6FAA" w:rsidP="003C6FAA">
      <w:pPr>
        <w:spacing w:line="240" w:lineRule="auto"/>
        <w:jc w:val="center"/>
        <w:rPr>
          <w:b/>
          <w:bCs/>
          <w:sz w:val="24"/>
          <w:szCs w:val="24"/>
        </w:rPr>
      </w:pPr>
    </w:p>
    <w:p w14:paraId="218C8CE5" w14:textId="77777777" w:rsidR="003C6FAA" w:rsidRDefault="003C6FAA" w:rsidP="003C6FAA">
      <w:pPr>
        <w:spacing w:line="480" w:lineRule="auto"/>
        <w:jc w:val="right"/>
        <w:rPr>
          <w:sz w:val="24"/>
          <w:szCs w:val="24"/>
        </w:rPr>
      </w:pPr>
      <w:r>
        <w:rPr>
          <w:rFonts w:ascii="Times New Roman" w:hAnsi="Times New Roman" w:cs="Times New Roman"/>
          <w:noProof/>
          <w:sz w:val="24"/>
          <w:szCs w:val="24"/>
          <w:lang w:val="en-ZA"/>
        </w:rPr>
        <mc:AlternateContent>
          <mc:Choice Requires="wps">
            <w:drawing>
              <wp:anchor distT="0" distB="0" distL="114300" distR="114300" simplePos="0" relativeHeight="251659264" behindDoc="0" locked="0" layoutInCell="1" allowOverlap="1" wp14:anchorId="21CDEA06" wp14:editId="7397A099">
                <wp:simplePos x="0" y="0"/>
                <wp:positionH relativeFrom="margin">
                  <wp:posOffset>0</wp:posOffset>
                </wp:positionH>
                <wp:positionV relativeFrom="paragraph">
                  <wp:posOffset>237490</wp:posOffset>
                </wp:positionV>
                <wp:extent cx="3253740" cy="967740"/>
                <wp:effectExtent l="0" t="0" r="2286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967740"/>
                        </a:xfrm>
                        <a:prstGeom prst="rect">
                          <a:avLst/>
                        </a:prstGeom>
                        <a:solidFill>
                          <a:srgbClr val="FFFFFF"/>
                        </a:solidFill>
                        <a:ln w="9525">
                          <a:solidFill>
                            <a:srgbClr val="000000"/>
                          </a:solidFill>
                          <a:miter lim="800000"/>
                          <a:headEnd/>
                          <a:tailEnd/>
                        </a:ln>
                      </wps:spPr>
                      <wps:txbx>
                        <w:txbxContent>
                          <w:p w14:paraId="5D527194" w14:textId="77777777" w:rsidR="003C6FAA" w:rsidRPr="001C6B0D" w:rsidRDefault="003C6FAA" w:rsidP="003C6FAA">
                            <w:pPr>
                              <w:widowControl w:val="0"/>
                              <w:numPr>
                                <w:ilvl w:val="0"/>
                                <w:numId w:val="2"/>
                              </w:numPr>
                              <w:autoSpaceDE w:val="0"/>
                              <w:autoSpaceDN w:val="0"/>
                              <w:adjustRightInd w:val="0"/>
                              <w:spacing w:line="240" w:lineRule="auto"/>
                              <w:ind w:left="426" w:hanging="426"/>
                              <w:contextualSpacing/>
                              <w:rPr>
                                <w:rFonts w:ascii="Calibri" w:hAnsi="Calibri" w:cs="Times New Roman"/>
                                <w:sz w:val="16"/>
                                <w:szCs w:val="16"/>
                                <w:lang w:val="af-ZA"/>
                              </w:rPr>
                            </w:pPr>
                            <w:r w:rsidRPr="001C6B0D">
                              <w:rPr>
                                <w:rFonts w:ascii="Calibri" w:hAnsi="Calibri" w:cs="Times New Roman"/>
                                <w:sz w:val="16"/>
                                <w:szCs w:val="16"/>
                                <w:lang w:val="af-ZA"/>
                              </w:rPr>
                              <w:t>REPORTABLE: YES/NO</w:t>
                            </w:r>
                          </w:p>
                          <w:p w14:paraId="3EDC15F4" w14:textId="77777777" w:rsidR="003C6FAA" w:rsidRPr="001C6B0D" w:rsidRDefault="003C6FAA" w:rsidP="003C6FAA">
                            <w:pPr>
                              <w:widowControl w:val="0"/>
                              <w:numPr>
                                <w:ilvl w:val="0"/>
                                <w:numId w:val="2"/>
                              </w:numPr>
                              <w:autoSpaceDE w:val="0"/>
                              <w:autoSpaceDN w:val="0"/>
                              <w:adjustRightInd w:val="0"/>
                              <w:spacing w:line="240" w:lineRule="auto"/>
                              <w:ind w:left="426" w:hanging="426"/>
                              <w:contextualSpacing/>
                              <w:rPr>
                                <w:rFonts w:ascii="Calibri" w:hAnsi="Calibri" w:cs="Times New Roman"/>
                                <w:sz w:val="16"/>
                                <w:szCs w:val="16"/>
                                <w:lang w:val="af-ZA"/>
                              </w:rPr>
                            </w:pPr>
                            <w:r w:rsidRPr="001C6B0D">
                              <w:rPr>
                                <w:rFonts w:ascii="Calibri" w:hAnsi="Calibri" w:cs="Times New Roman"/>
                                <w:sz w:val="16"/>
                                <w:szCs w:val="16"/>
                                <w:lang w:val="af-ZA"/>
                              </w:rPr>
                              <w:t>OF INTEREST TO OTHERS JUDGES: YES/NO</w:t>
                            </w:r>
                          </w:p>
                          <w:p w14:paraId="1C430DA8" w14:textId="77777777" w:rsidR="003C6FAA" w:rsidRPr="001C6B0D" w:rsidRDefault="003C6FAA" w:rsidP="003C6FAA">
                            <w:pPr>
                              <w:widowControl w:val="0"/>
                              <w:numPr>
                                <w:ilvl w:val="0"/>
                                <w:numId w:val="2"/>
                              </w:numPr>
                              <w:autoSpaceDE w:val="0"/>
                              <w:autoSpaceDN w:val="0"/>
                              <w:adjustRightInd w:val="0"/>
                              <w:spacing w:line="240" w:lineRule="auto"/>
                              <w:ind w:left="426" w:hanging="426"/>
                              <w:contextualSpacing/>
                              <w:rPr>
                                <w:rFonts w:ascii="Calibri" w:hAnsi="Calibri" w:cs="Times New Roman"/>
                                <w:sz w:val="16"/>
                                <w:szCs w:val="16"/>
                                <w:lang w:val="af-ZA"/>
                              </w:rPr>
                            </w:pPr>
                            <w:r w:rsidRPr="001C6B0D">
                              <w:rPr>
                                <w:rFonts w:ascii="Calibri" w:hAnsi="Calibri" w:cs="Times New Roman"/>
                                <w:sz w:val="16"/>
                                <w:szCs w:val="16"/>
                                <w:lang w:val="af-ZA"/>
                              </w:rPr>
                              <w:t>REVISED</w:t>
                            </w:r>
                          </w:p>
                          <w:p w14:paraId="536F9B9B" w14:textId="77777777" w:rsidR="003C6FAA" w:rsidRPr="001C6B0D" w:rsidRDefault="003C6FAA" w:rsidP="003C6FAA">
                            <w:pPr>
                              <w:tabs>
                                <w:tab w:val="center" w:pos="4320"/>
                                <w:tab w:val="right" w:pos="8640"/>
                              </w:tabs>
                              <w:ind w:left="720"/>
                              <w:contextualSpacing/>
                              <w:rPr>
                                <w:rFonts w:ascii="Calibri" w:hAnsi="Calibri" w:cs="Times New Roman"/>
                                <w:sz w:val="16"/>
                                <w:szCs w:val="16"/>
                                <w:lang w:val="af-ZA"/>
                              </w:rPr>
                            </w:pPr>
                          </w:p>
                          <w:p w14:paraId="7BB15E46" w14:textId="77777777" w:rsidR="003C6FAA" w:rsidRPr="001C6B0D" w:rsidRDefault="003C6FAA" w:rsidP="003C6FAA">
                            <w:pPr>
                              <w:tabs>
                                <w:tab w:val="center" w:pos="4320"/>
                                <w:tab w:val="right" w:pos="8640"/>
                              </w:tabs>
                              <w:contextualSpacing/>
                              <w:rPr>
                                <w:rFonts w:ascii="Calibri" w:hAnsi="Calibri" w:cs="Times New Roman"/>
                                <w:sz w:val="16"/>
                                <w:szCs w:val="16"/>
                                <w:lang w:val="af-ZA"/>
                              </w:rPr>
                            </w:pPr>
                            <w:r w:rsidRPr="001C6B0D">
                              <w:rPr>
                                <w:rFonts w:ascii="Calibri" w:hAnsi="Calibri" w:cs="Times New Roman"/>
                                <w:sz w:val="16"/>
                                <w:szCs w:val="16"/>
                                <w:lang w:val="af-ZA"/>
                              </w:rPr>
                              <w:t>....................................</w:t>
                            </w:r>
                            <w:r w:rsidRPr="001C6B0D">
                              <w:rPr>
                                <w:rFonts w:ascii="Calibri" w:hAnsi="Calibri" w:cs="Times New Roman"/>
                                <w:sz w:val="16"/>
                                <w:szCs w:val="16"/>
                                <w:lang w:val="af-ZA"/>
                              </w:rPr>
                              <w:tab/>
                              <w:t>................................</w:t>
                            </w:r>
                          </w:p>
                          <w:p w14:paraId="5E7AA2E2" w14:textId="77777777" w:rsidR="003C6FAA" w:rsidRPr="001C6B0D" w:rsidRDefault="003C6FAA" w:rsidP="003C6FAA">
                            <w:pPr>
                              <w:tabs>
                                <w:tab w:val="center" w:pos="4320"/>
                                <w:tab w:val="right" w:pos="8640"/>
                              </w:tabs>
                              <w:contextualSpacing/>
                              <w:rPr>
                                <w:rFonts w:ascii="Calibri" w:hAnsi="Calibri" w:cs="Times New Roman"/>
                                <w:sz w:val="16"/>
                                <w:szCs w:val="16"/>
                                <w:lang w:val="af-ZA"/>
                              </w:rPr>
                            </w:pPr>
                            <w:r w:rsidRPr="001C6B0D">
                              <w:rPr>
                                <w:rFonts w:ascii="Calibri" w:hAnsi="Calibri" w:cs="Times New Roman"/>
                                <w:b/>
                                <w:sz w:val="16"/>
                                <w:szCs w:val="16"/>
                                <w:lang w:val="af-ZA"/>
                              </w:rPr>
                              <w:t>SIGNATURE</w:t>
                            </w:r>
                            <w:r w:rsidRPr="001C6B0D">
                              <w:rPr>
                                <w:rFonts w:ascii="Calibri" w:hAnsi="Calibri" w:cs="Times New Roman"/>
                                <w:sz w:val="16"/>
                                <w:szCs w:val="16"/>
                                <w:lang w:val="af-ZA"/>
                              </w:rPr>
                              <w:t xml:space="preserve">                                                       </w:t>
                            </w:r>
                            <w:r w:rsidRPr="001C6B0D">
                              <w:rPr>
                                <w:rFonts w:ascii="Calibri" w:hAnsi="Calibri" w:cs="Times New Roman"/>
                                <w:b/>
                                <w:sz w:val="16"/>
                                <w:szCs w:val="16"/>
                                <w:lang w:val="af-ZA"/>
                              </w:rPr>
                              <w:t>DATE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CDEA06" id="_x0000_t202" coordsize="21600,21600" o:spt="202" path="m,l,21600r21600,l21600,xe">
                <v:stroke joinstyle="miter"/>
                <v:path gradientshapeok="t" o:connecttype="rect"/>
              </v:shapetype>
              <v:shape id="Text Box 4" o:spid="_x0000_s1026" type="#_x0000_t202" style="position:absolute;left:0;text-align:left;margin-left:0;margin-top:18.7pt;width:256.2pt;height:7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">
                <v:textbox>
                  <w:txbxContent>
                    <w:p w14:paraId="5D527194" w14:textId="77777777" w:rsidR="003C6FAA" w:rsidRPr="001C6B0D" w:rsidRDefault="003C6FAA" w:rsidP="003C6FAA">
                      <w:pPr>
                        <w:widowControl w:val="0"/>
                        <w:numPr>
                          <w:ilvl w:val="0"/>
                          <w:numId w:val="2"/>
                        </w:numPr>
                        <w:autoSpaceDE w:val="0"/>
                        <w:autoSpaceDN w:val="0"/>
                        <w:adjustRightInd w:val="0"/>
                        <w:spacing w:line="240" w:lineRule="auto"/>
                        <w:ind w:left="426" w:hanging="426"/>
                        <w:contextualSpacing/>
                        <w:rPr>
                          <w:rFonts w:ascii="Calibri" w:hAnsi="Calibri" w:cs="Times New Roman"/>
                          <w:sz w:val="16"/>
                          <w:szCs w:val="16"/>
                          <w:lang w:val="af-ZA"/>
                        </w:rPr>
                      </w:pPr>
                      <w:r w:rsidRPr="001C6B0D">
                        <w:rPr>
                          <w:rFonts w:ascii="Calibri" w:hAnsi="Calibri" w:cs="Times New Roman"/>
                          <w:sz w:val="16"/>
                          <w:szCs w:val="16"/>
                          <w:lang w:val="af-ZA"/>
                        </w:rPr>
                        <w:t>REPORTABLE: YES/NO</w:t>
                      </w:r>
                    </w:p>
                    <w:p w14:paraId="3EDC15F4" w14:textId="77777777" w:rsidR="003C6FAA" w:rsidRPr="001C6B0D" w:rsidRDefault="003C6FAA" w:rsidP="003C6FAA">
                      <w:pPr>
                        <w:widowControl w:val="0"/>
                        <w:numPr>
                          <w:ilvl w:val="0"/>
                          <w:numId w:val="2"/>
                        </w:numPr>
                        <w:autoSpaceDE w:val="0"/>
                        <w:autoSpaceDN w:val="0"/>
                        <w:adjustRightInd w:val="0"/>
                        <w:spacing w:line="240" w:lineRule="auto"/>
                        <w:ind w:left="426" w:hanging="426"/>
                        <w:contextualSpacing/>
                        <w:rPr>
                          <w:rFonts w:ascii="Calibri" w:hAnsi="Calibri" w:cs="Times New Roman"/>
                          <w:sz w:val="16"/>
                          <w:szCs w:val="16"/>
                          <w:lang w:val="af-ZA"/>
                        </w:rPr>
                      </w:pPr>
                      <w:r w:rsidRPr="001C6B0D">
                        <w:rPr>
                          <w:rFonts w:ascii="Calibri" w:hAnsi="Calibri" w:cs="Times New Roman"/>
                          <w:sz w:val="16"/>
                          <w:szCs w:val="16"/>
                          <w:lang w:val="af-ZA"/>
                        </w:rPr>
                        <w:t>OF INTEREST TO OTHERS JUDGES: YES/NO</w:t>
                      </w:r>
                    </w:p>
                    <w:p w14:paraId="1C430DA8" w14:textId="77777777" w:rsidR="003C6FAA" w:rsidRPr="001C6B0D" w:rsidRDefault="003C6FAA" w:rsidP="003C6FAA">
                      <w:pPr>
                        <w:widowControl w:val="0"/>
                        <w:numPr>
                          <w:ilvl w:val="0"/>
                          <w:numId w:val="2"/>
                        </w:numPr>
                        <w:autoSpaceDE w:val="0"/>
                        <w:autoSpaceDN w:val="0"/>
                        <w:adjustRightInd w:val="0"/>
                        <w:spacing w:line="240" w:lineRule="auto"/>
                        <w:ind w:left="426" w:hanging="426"/>
                        <w:contextualSpacing/>
                        <w:rPr>
                          <w:rFonts w:ascii="Calibri" w:hAnsi="Calibri" w:cs="Times New Roman"/>
                          <w:sz w:val="16"/>
                          <w:szCs w:val="16"/>
                          <w:lang w:val="af-ZA"/>
                        </w:rPr>
                      </w:pPr>
                      <w:r w:rsidRPr="001C6B0D">
                        <w:rPr>
                          <w:rFonts w:ascii="Calibri" w:hAnsi="Calibri" w:cs="Times New Roman"/>
                          <w:sz w:val="16"/>
                          <w:szCs w:val="16"/>
                          <w:lang w:val="af-ZA"/>
                        </w:rPr>
                        <w:t>REVISED</w:t>
                      </w:r>
                    </w:p>
                    <w:p w14:paraId="536F9B9B" w14:textId="77777777" w:rsidR="003C6FAA" w:rsidRPr="001C6B0D" w:rsidRDefault="003C6FAA" w:rsidP="003C6FAA">
                      <w:pPr>
                        <w:tabs>
                          <w:tab w:val="center" w:pos="4320"/>
                          <w:tab w:val="right" w:pos="8640"/>
                        </w:tabs>
                        <w:ind w:left="720"/>
                        <w:contextualSpacing/>
                        <w:rPr>
                          <w:rFonts w:ascii="Calibri" w:hAnsi="Calibri" w:cs="Times New Roman"/>
                          <w:sz w:val="16"/>
                          <w:szCs w:val="16"/>
                          <w:lang w:val="af-ZA"/>
                        </w:rPr>
                      </w:pPr>
                    </w:p>
                    <w:p w14:paraId="7BB15E46" w14:textId="77777777" w:rsidR="003C6FAA" w:rsidRPr="001C6B0D" w:rsidRDefault="003C6FAA" w:rsidP="003C6FAA">
                      <w:pPr>
                        <w:tabs>
                          <w:tab w:val="center" w:pos="4320"/>
                          <w:tab w:val="right" w:pos="8640"/>
                        </w:tabs>
                        <w:contextualSpacing/>
                        <w:rPr>
                          <w:rFonts w:ascii="Calibri" w:hAnsi="Calibri" w:cs="Times New Roman"/>
                          <w:sz w:val="16"/>
                          <w:szCs w:val="16"/>
                          <w:lang w:val="af-ZA"/>
                        </w:rPr>
                      </w:pPr>
                      <w:r w:rsidRPr="001C6B0D">
                        <w:rPr>
                          <w:rFonts w:ascii="Calibri" w:hAnsi="Calibri" w:cs="Times New Roman"/>
                          <w:sz w:val="16"/>
                          <w:szCs w:val="16"/>
                          <w:lang w:val="af-ZA"/>
                        </w:rPr>
                        <w:t>....................................</w:t>
                      </w:r>
                      <w:r w:rsidRPr="001C6B0D">
                        <w:rPr>
                          <w:rFonts w:ascii="Calibri" w:hAnsi="Calibri" w:cs="Times New Roman"/>
                          <w:sz w:val="16"/>
                          <w:szCs w:val="16"/>
                          <w:lang w:val="af-ZA"/>
                        </w:rPr>
                        <w:tab/>
                        <w:t>................................</w:t>
                      </w:r>
                    </w:p>
                    <w:p w14:paraId="5E7AA2E2" w14:textId="77777777" w:rsidR="003C6FAA" w:rsidRPr="001C6B0D" w:rsidRDefault="003C6FAA" w:rsidP="003C6FAA">
                      <w:pPr>
                        <w:tabs>
                          <w:tab w:val="center" w:pos="4320"/>
                          <w:tab w:val="right" w:pos="8640"/>
                        </w:tabs>
                        <w:contextualSpacing/>
                        <w:rPr>
                          <w:rFonts w:ascii="Calibri" w:hAnsi="Calibri" w:cs="Times New Roman"/>
                          <w:sz w:val="16"/>
                          <w:szCs w:val="16"/>
                          <w:lang w:val="af-ZA"/>
                        </w:rPr>
                      </w:pPr>
                      <w:r w:rsidRPr="001C6B0D">
                        <w:rPr>
                          <w:rFonts w:ascii="Calibri" w:hAnsi="Calibri" w:cs="Times New Roman"/>
                          <w:b/>
                          <w:sz w:val="16"/>
                          <w:szCs w:val="16"/>
                          <w:lang w:val="af-ZA"/>
                        </w:rPr>
                        <w:t>SIGNATURE</w:t>
                      </w:r>
                      <w:r w:rsidRPr="001C6B0D">
                        <w:rPr>
                          <w:rFonts w:ascii="Calibri" w:hAnsi="Calibri" w:cs="Times New Roman"/>
                          <w:sz w:val="16"/>
                          <w:szCs w:val="16"/>
                          <w:lang w:val="af-ZA"/>
                        </w:rPr>
                        <w:t xml:space="preserve">                                                       </w:t>
                      </w:r>
                      <w:r w:rsidRPr="001C6B0D">
                        <w:rPr>
                          <w:rFonts w:ascii="Calibri" w:hAnsi="Calibri" w:cs="Times New Roman"/>
                          <w:b/>
                          <w:sz w:val="16"/>
                          <w:szCs w:val="16"/>
                          <w:lang w:val="af-ZA"/>
                        </w:rPr>
                        <w:t>DATE</w:t>
                      </w:r>
                    </w:p>
                  </w:txbxContent>
                </v:textbox>
                <w10:wrap anchorx="margin"/>
              </v:shape>
            </w:pict>
          </mc:Fallback>
        </mc:AlternateContent>
      </w:r>
    </w:p>
    <w:p w14:paraId="2805DEDF" w14:textId="77777777" w:rsidR="003C6FAA" w:rsidRDefault="003C6FAA" w:rsidP="003C6FAA">
      <w:pPr>
        <w:spacing w:line="240" w:lineRule="auto"/>
        <w:jc w:val="right"/>
        <w:rPr>
          <w:sz w:val="24"/>
          <w:szCs w:val="24"/>
        </w:rPr>
      </w:pPr>
    </w:p>
    <w:p w14:paraId="0443D4E7" w14:textId="77777777" w:rsidR="003C6FAA" w:rsidRDefault="003C6FAA" w:rsidP="003C6FAA">
      <w:pPr>
        <w:spacing w:line="480" w:lineRule="auto"/>
        <w:rPr>
          <w:sz w:val="24"/>
          <w:szCs w:val="24"/>
        </w:rPr>
      </w:pPr>
      <w:r>
        <w:rPr>
          <w:sz w:val="24"/>
          <w:szCs w:val="24"/>
        </w:rPr>
        <w:t>In the matter between: -</w:t>
      </w:r>
    </w:p>
    <w:p w14:paraId="394B44C3" w14:textId="77777777" w:rsidR="003C6FAA" w:rsidRDefault="003C6FAA" w:rsidP="003C6FAA">
      <w:pPr>
        <w:spacing w:line="480" w:lineRule="auto"/>
        <w:rPr>
          <w:sz w:val="24"/>
          <w:szCs w:val="24"/>
        </w:rPr>
      </w:pPr>
    </w:p>
    <w:p w14:paraId="1799B214" w14:textId="77777777" w:rsidR="003C6FAA" w:rsidRDefault="003C6FAA" w:rsidP="003C6FAA">
      <w:pPr>
        <w:spacing w:line="480" w:lineRule="auto"/>
        <w:rPr>
          <w:b/>
          <w:bCs/>
          <w:sz w:val="24"/>
          <w:szCs w:val="24"/>
        </w:rPr>
      </w:pPr>
    </w:p>
    <w:p w14:paraId="12461834" w14:textId="77777777" w:rsidR="003C6FAA" w:rsidRDefault="003C6FAA" w:rsidP="003C6FAA">
      <w:pPr>
        <w:spacing w:line="480" w:lineRule="auto"/>
        <w:jc w:val="right"/>
        <w:rPr>
          <w:sz w:val="24"/>
          <w:szCs w:val="24"/>
        </w:rPr>
      </w:pPr>
      <w:r w:rsidRPr="00552F02">
        <w:rPr>
          <w:sz w:val="24"/>
          <w:szCs w:val="24"/>
        </w:rPr>
        <w:t>Appeal Case Number:  A</w:t>
      </w:r>
      <w:r>
        <w:rPr>
          <w:sz w:val="24"/>
          <w:szCs w:val="24"/>
        </w:rPr>
        <w:t>133/2020</w:t>
      </w:r>
    </w:p>
    <w:p w14:paraId="3AA9DA8D" w14:textId="77777777" w:rsidR="003C6FAA" w:rsidRDefault="003C6FAA" w:rsidP="003C6FAA">
      <w:pPr>
        <w:spacing w:line="480" w:lineRule="auto"/>
        <w:jc w:val="both"/>
      </w:pPr>
    </w:p>
    <w:p w14:paraId="00000001" w14:textId="7C328F21" w:rsidR="00D22A8B" w:rsidRDefault="001A07A5" w:rsidP="003C6FAA">
      <w:pPr>
        <w:spacing w:line="480" w:lineRule="auto"/>
        <w:jc w:val="both"/>
      </w:pPr>
      <w:r>
        <w:t>In the matter between :</w:t>
      </w:r>
    </w:p>
    <w:p w14:paraId="00000002" w14:textId="77777777" w:rsidR="00D22A8B" w:rsidRDefault="00D22A8B"/>
    <w:p w14:paraId="00000003" w14:textId="3A659222" w:rsidR="00D22A8B" w:rsidRPr="003C6FAA" w:rsidRDefault="001A07A5">
      <w:pPr>
        <w:rPr>
          <w:b/>
          <w:bCs/>
        </w:rPr>
      </w:pPr>
      <w:r w:rsidRPr="003C6FAA">
        <w:rPr>
          <w:b/>
          <w:bCs/>
        </w:rPr>
        <w:t xml:space="preserve">PROFESSOR ARNOLD NYATHI </w:t>
      </w:r>
      <w:r w:rsidR="003C6FAA">
        <w:rPr>
          <w:b/>
          <w:bCs/>
        </w:rPr>
        <w:tab/>
      </w:r>
      <w:r w:rsidR="003C6FAA">
        <w:rPr>
          <w:b/>
          <w:bCs/>
        </w:rPr>
        <w:tab/>
      </w:r>
      <w:r w:rsidR="003C6FAA">
        <w:rPr>
          <w:b/>
          <w:bCs/>
        </w:rPr>
        <w:tab/>
      </w:r>
      <w:r w:rsidR="003C6FAA">
        <w:rPr>
          <w:b/>
          <w:bCs/>
        </w:rPr>
        <w:tab/>
      </w:r>
      <w:r w:rsidR="003C6FAA">
        <w:rPr>
          <w:b/>
          <w:bCs/>
        </w:rPr>
        <w:tab/>
      </w:r>
      <w:r w:rsidR="003C6FAA">
        <w:rPr>
          <w:b/>
          <w:bCs/>
        </w:rPr>
        <w:tab/>
        <w:t xml:space="preserve">      </w:t>
      </w:r>
      <w:r w:rsidRPr="003C6FAA">
        <w:rPr>
          <w:b/>
          <w:bCs/>
        </w:rPr>
        <w:t>1ST APPELLANT</w:t>
      </w:r>
    </w:p>
    <w:p w14:paraId="5CEC8E0B" w14:textId="77777777" w:rsidR="003C6FAA" w:rsidRDefault="003C6FAA">
      <w:pPr>
        <w:rPr>
          <w:b/>
          <w:bCs/>
        </w:rPr>
      </w:pPr>
    </w:p>
    <w:p w14:paraId="00000004" w14:textId="6BB75572" w:rsidR="00D22A8B" w:rsidRPr="003C6FAA" w:rsidRDefault="001A07A5">
      <w:pPr>
        <w:rPr>
          <w:b/>
          <w:bCs/>
        </w:rPr>
      </w:pPr>
      <w:r w:rsidRPr="003C6FAA">
        <w:rPr>
          <w:b/>
          <w:bCs/>
        </w:rPr>
        <w:t xml:space="preserve">NKOSIYAZI MLALAZI </w:t>
      </w:r>
      <w:r w:rsidR="003C6FAA">
        <w:rPr>
          <w:b/>
          <w:bCs/>
        </w:rPr>
        <w:tab/>
      </w:r>
      <w:r w:rsidR="003C6FAA">
        <w:rPr>
          <w:b/>
          <w:bCs/>
        </w:rPr>
        <w:tab/>
      </w:r>
      <w:r w:rsidR="003C6FAA">
        <w:rPr>
          <w:b/>
          <w:bCs/>
        </w:rPr>
        <w:tab/>
      </w:r>
      <w:r w:rsidR="003C6FAA">
        <w:rPr>
          <w:b/>
          <w:bCs/>
        </w:rPr>
        <w:tab/>
      </w:r>
      <w:r w:rsidR="003C6FAA">
        <w:rPr>
          <w:b/>
          <w:bCs/>
        </w:rPr>
        <w:tab/>
      </w:r>
      <w:r w:rsidR="003C6FAA">
        <w:rPr>
          <w:b/>
          <w:bCs/>
        </w:rPr>
        <w:tab/>
      </w:r>
      <w:r w:rsidR="003C6FAA">
        <w:rPr>
          <w:b/>
          <w:bCs/>
        </w:rPr>
        <w:tab/>
        <w:t xml:space="preserve">     </w:t>
      </w:r>
      <w:r w:rsidRPr="003C6FAA">
        <w:rPr>
          <w:b/>
          <w:bCs/>
        </w:rPr>
        <w:t>2ND APPELLANT</w:t>
      </w:r>
    </w:p>
    <w:p w14:paraId="00000005" w14:textId="77777777" w:rsidR="00D22A8B" w:rsidRDefault="00D22A8B">
      <w:pPr>
        <w:rPr>
          <w:b/>
          <w:bCs/>
        </w:rPr>
      </w:pPr>
    </w:p>
    <w:p w14:paraId="4036E75C" w14:textId="30E2FBFB" w:rsidR="003C6FAA" w:rsidRDefault="003C6FAA">
      <w:r>
        <w:t>and</w:t>
      </w:r>
    </w:p>
    <w:p w14:paraId="2993A06F" w14:textId="77777777" w:rsidR="003C6FAA" w:rsidRDefault="003C6FAA"/>
    <w:p w14:paraId="3037B808" w14:textId="07426D49" w:rsidR="003C6FAA" w:rsidRDefault="003C6FAA">
      <w:pPr>
        <w:rPr>
          <w:b/>
          <w:bCs/>
        </w:rPr>
      </w:pPr>
      <w:r>
        <w:rPr>
          <w:b/>
          <w:bCs/>
        </w:rPr>
        <w:t>THE STATE</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RESPONDENT</w:t>
      </w:r>
    </w:p>
    <w:p w14:paraId="084515A9" w14:textId="77777777" w:rsidR="003C6FAA" w:rsidRDefault="003C6FAA">
      <w:pPr>
        <w:rPr>
          <w:b/>
          <w:bCs/>
        </w:rPr>
      </w:pPr>
    </w:p>
    <w:p w14:paraId="343DF61A" w14:textId="77777777" w:rsidR="003C6FAA" w:rsidRDefault="003C6FAA" w:rsidP="003C6FAA">
      <w:pPr>
        <w:pBdr>
          <w:bottom w:val="single" w:sz="12" w:space="1" w:color="auto"/>
        </w:pBdr>
        <w:spacing w:line="480" w:lineRule="auto"/>
        <w:rPr>
          <w:sz w:val="24"/>
          <w:szCs w:val="24"/>
        </w:rPr>
      </w:pPr>
    </w:p>
    <w:p w14:paraId="481706F5" w14:textId="77777777" w:rsidR="003C6FAA" w:rsidRPr="00E605DB" w:rsidRDefault="003C6FAA" w:rsidP="003C6FAA">
      <w:pPr>
        <w:spacing w:line="240" w:lineRule="auto"/>
        <w:rPr>
          <w:sz w:val="24"/>
          <w:szCs w:val="24"/>
        </w:rPr>
      </w:pPr>
    </w:p>
    <w:p w14:paraId="3672B1BB" w14:textId="0B4FFEBF" w:rsidR="003C6FAA" w:rsidRDefault="003C6FAA" w:rsidP="003C6FAA">
      <w:pPr>
        <w:pBdr>
          <w:bottom w:val="single" w:sz="12" w:space="1" w:color="auto"/>
        </w:pBdr>
        <w:spacing w:line="240" w:lineRule="auto"/>
        <w:jc w:val="center"/>
        <w:rPr>
          <w:b/>
          <w:bCs/>
          <w:sz w:val="24"/>
          <w:szCs w:val="24"/>
        </w:rPr>
      </w:pPr>
      <w:r w:rsidRPr="00E605DB">
        <w:rPr>
          <w:b/>
          <w:bCs/>
          <w:sz w:val="24"/>
          <w:szCs w:val="24"/>
        </w:rPr>
        <w:t>JUDGMENT</w:t>
      </w:r>
    </w:p>
    <w:p w14:paraId="6DC694AB" w14:textId="77777777" w:rsidR="002079A7" w:rsidRDefault="002079A7" w:rsidP="003C6FAA">
      <w:pPr>
        <w:pBdr>
          <w:bottom w:val="single" w:sz="12" w:space="1" w:color="auto"/>
        </w:pBdr>
        <w:spacing w:line="240" w:lineRule="auto"/>
        <w:jc w:val="center"/>
        <w:rPr>
          <w:b/>
          <w:bCs/>
          <w:sz w:val="24"/>
          <w:szCs w:val="24"/>
        </w:rPr>
      </w:pPr>
    </w:p>
    <w:p w14:paraId="49ABE4A3" w14:textId="77777777" w:rsidR="003C6FAA" w:rsidRDefault="003C6FAA">
      <w:pPr>
        <w:rPr>
          <w:b/>
          <w:bCs/>
        </w:rPr>
      </w:pPr>
    </w:p>
    <w:p w14:paraId="7E8F4C2F" w14:textId="77777777" w:rsidR="007A5877" w:rsidRPr="003C6FAA" w:rsidRDefault="007A5877">
      <w:pPr>
        <w:rPr>
          <w:b/>
          <w:bCs/>
        </w:rPr>
      </w:pPr>
    </w:p>
    <w:p w14:paraId="4846CAF0" w14:textId="28ED5FD9" w:rsidR="007A5877" w:rsidRPr="008D0508" w:rsidRDefault="007A5877" w:rsidP="007A5877">
      <w:pPr>
        <w:spacing w:line="480" w:lineRule="auto"/>
        <w:rPr>
          <w:b/>
          <w:bCs/>
          <w:sz w:val="24"/>
          <w:szCs w:val="24"/>
        </w:rPr>
      </w:pPr>
      <w:r>
        <w:rPr>
          <w:b/>
          <w:bCs/>
          <w:sz w:val="24"/>
          <w:szCs w:val="24"/>
        </w:rPr>
        <w:t>COETZEE AJ  (Van der Westhuizen, J concurring)</w:t>
      </w:r>
    </w:p>
    <w:p w14:paraId="5EE4265D" w14:textId="77777777" w:rsidR="007A5877" w:rsidRPr="00073462" w:rsidRDefault="007A5877" w:rsidP="007A5877">
      <w:pPr>
        <w:spacing w:line="480" w:lineRule="auto"/>
        <w:jc w:val="both"/>
        <w:rPr>
          <w:sz w:val="24"/>
          <w:szCs w:val="24"/>
        </w:rPr>
      </w:pPr>
    </w:p>
    <w:p w14:paraId="53E736DB" w14:textId="1271A299" w:rsidR="00A37D9C" w:rsidRDefault="00A37D9C" w:rsidP="007A5877">
      <w:pPr>
        <w:spacing w:line="480" w:lineRule="auto"/>
        <w:jc w:val="both"/>
        <w:rPr>
          <w:sz w:val="24"/>
          <w:szCs w:val="24"/>
        </w:rPr>
      </w:pPr>
      <w:r>
        <w:rPr>
          <w:b/>
          <w:bCs/>
          <w:sz w:val="24"/>
          <w:szCs w:val="24"/>
        </w:rPr>
        <w:lastRenderedPageBreak/>
        <w:t>INTRODUCTION</w:t>
      </w:r>
      <w:r>
        <w:rPr>
          <w:sz w:val="24"/>
          <w:szCs w:val="24"/>
        </w:rPr>
        <w:t>:</w:t>
      </w:r>
    </w:p>
    <w:p w14:paraId="7F68183B" w14:textId="77777777" w:rsidR="00A37D9C" w:rsidRPr="00A37D9C" w:rsidRDefault="00A37D9C" w:rsidP="007A5877">
      <w:pPr>
        <w:spacing w:line="480" w:lineRule="auto"/>
        <w:jc w:val="both"/>
        <w:rPr>
          <w:sz w:val="24"/>
          <w:szCs w:val="24"/>
        </w:rPr>
      </w:pPr>
    </w:p>
    <w:p w14:paraId="0DE12CE4" w14:textId="39416EFF" w:rsidR="00BD4058" w:rsidRDefault="007A5877" w:rsidP="007A5877">
      <w:pPr>
        <w:spacing w:line="480" w:lineRule="auto"/>
        <w:jc w:val="both"/>
        <w:rPr>
          <w:sz w:val="24"/>
          <w:szCs w:val="24"/>
        </w:rPr>
      </w:pPr>
      <w:r w:rsidRPr="007A5877">
        <w:rPr>
          <w:sz w:val="24"/>
          <w:szCs w:val="24"/>
        </w:rPr>
        <w:t>[1]</w:t>
      </w:r>
      <w:r w:rsidRPr="007A5877">
        <w:rPr>
          <w:sz w:val="24"/>
          <w:szCs w:val="24"/>
        </w:rPr>
        <w:tab/>
        <w:t xml:space="preserve">The </w:t>
      </w:r>
      <w:r w:rsidR="00BD4058">
        <w:rPr>
          <w:sz w:val="24"/>
          <w:szCs w:val="24"/>
        </w:rPr>
        <w:t xml:space="preserve">First </w:t>
      </w:r>
      <w:r w:rsidR="005A5E63">
        <w:rPr>
          <w:sz w:val="24"/>
          <w:szCs w:val="24"/>
        </w:rPr>
        <w:t xml:space="preserve">and Second </w:t>
      </w:r>
      <w:r w:rsidR="00BD4058">
        <w:rPr>
          <w:sz w:val="24"/>
          <w:szCs w:val="24"/>
        </w:rPr>
        <w:t>Appellant</w:t>
      </w:r>
      <w:r w:rsidR="009F65FE">
        <w:rPr>
          <w:sz w:val="24"/>
          <w:szCs w:val="24"/>
        </w:rPr>
        <w:t>’s</w:t>
      </w:r>
      <w:r w:rsidR="00BD4058">
        <w:rPr>
          <w:sz w:val="24"/>
          <w:szCs w:val="24"/>
        </w:rPr>
        <w:t xml:space="preserve">, </w:t>
      </w:r>
      <w:r w:rsidRPr="007A5877">
        <w:rPr>
          <w:sz w:val="24"/>
          <w:szCs w:val="24"/>
        </w:rPr>
        <w:t xml:space="preserve">who were legally represented during trial proceedings, </w:t>
      </w:r>
      <w:r w:rsidR="00BD4058">
        <w:rPr>
          <w:sz w:val="24"/>
          <w:szCs w:val="24"/>
        </w:rPr>
        <w:t>were</w:t>
      </w:r>
      <w:r w:rsidRPr="007A5877">
        <w:rPr>
          <w:sz w:val="24"/>
          <w:szCs w:val="24"/>
        </w:rPr>
        <w:t xml:space="preserve"> convicted on two counts of rape, robbery with aggravating circumstances, and contravening the provisions of section 49(1)(a) of the Immigration Act 13 of 2002</w:t>
      </w:r>
      <w:r w:rsidR="00260AC2">
        <w:rPr>
          <w:sz w:val="24"/>
          <w:szCs w:val="24"/>
        </w:rPr>
        <w:t xml:space="preserve">, as both </w:t>
      </w:r>
      <w:r w:rsidR="003437F6">
        <w:rPr>
          <w:sz w:val="24"/>
          <w:szCs w:val="24"/>
        </w:rPr>
        <w:t xml:space="preserve">the First and Second Appellant </w:t>
      </w:r>
      <w:r w:rsidR="00260AC2">
        <w:rPr>
          <w:sz w:val="24"/>
          <w:szCs w:val="24"/>
        </w:rPr>
        <w:t>w</w:t>
      </w:r>
      <w:r w:rsidR="00C00B4F">
        <w:rPr>
          <w:sz w:val="24"/>
          <w:szCs w:val="24"/>
        </w:rPr>
        <w:t>ere</w:t>
      </w:r>
      <w:r w:rsidR="00260AC2">
        <w:rPr>
          <w:sz w:val="24"/>
          <w:szCs w:val="24"/>
        </w:rPr>
        <w:t xml:space="preserve"> illegally in the country.</w:t>
      </w:r>
      <w:r w:rsidRPr="007A5877">
        <w:rPr>
          <w:sz w:val="24"/>
          <w:szCs w:val="24"/>
        </w:rPr>
        <w:t xml:space="preserve">  The </w:t>
      </w:r>
      <w:r w:rsidR="00BD4058">
        <w:rPr>
          <w:sz w:val="24"/>
          <w:szCs w:val="24"/>
        </w:rPr>
        <w:t>A</w:t>
      </w:r>
      <w:r w:rsidRPr="007A5877">
        <w:rPr>
          <w:sz w:val="24"/>
          <w:szCs w:val="24"/>
        </w:rPr>
        <w:t xml:space="preserve">ppellants were sentenced by the </w:t>
      </w:r>
      <w:r w:rsidR="00BD4058">
        <w:rPr>
          <w:sz w:val="24"/>
          <w:szCs w:val="24"/>
        </w:rPr>
        <w:t xml:space="preserve">Pretoria </w:t>
      </w:r>
      <w:r>
        <w:rPr>
          <w:sz w:val="24"/>
          <w:szCs w:val="24"/>
        </w:rPr>
        <w:t>R</w:t>
      </w:r>
      <w:r w:rsidRPr="007A5877">
        <w:rPr>
          <w:sz w:val="24"/>
          <w:szCs w:val="24"/>
        </w:rPr>
        <w:t xml:space="preserve">egional </w:t>
      </w:r>
      <w:r w:rsidR="00BD4058">
        <w:rPr>
          <w:sz w:val="24"/>
          <w:szCs w:val="24"/>
        </w:rPr>
        <w:t xml:space="preserve">Court </w:t>
      </w:r>
      <w:r w:rsidRPr="007A5877">
        <w:rPr>
          <w:sz w:val="24"/>
          <w:szCs w:val="24"/>
        </w:rPr>
        <w:t xml:space="preserve">on 28 November 2019 to life in prisonment </w:t>
      </w:r>
      <w:r w:rsidR="00CA4983">
        <w:rPr>
          <w:sz w:val="24"/>
          <w:szCs w:val="24"/>
        </w:rPr>
        <w:t xml:space="preserve">on </w:t>
      </w:r>
      <w:r w:rsidRPr="007A5877">
        <w:rPr>
          <w:sz w:val="24"/>
          <w:szCs w:val="24"/>
        </w:rPr>
        <w:t>two counts of rape,</w:t>
      </w:r>
      <w:r w:rsidR="00CA4983">
        <w:rPr>
          <w:sz w:val="24"/>
          <w:szCs w:val="24"/>
        </w:rPr>
        <w:t xml:space="preserve"> respectively,</w:t>
      </w:r>
      <w:r w:rsidRPr="007A5877">
        <w:rPr>
          <w:sz w:val="24"/>
          <w:szCs w:val="24"/>
        </w:rPr>
        <w:t xml:space="preserve"> 15 years imprisonment for robbery </w:t>
      </w:r>
      <w:r>
        <w:rPr>
          <w:sz w:val="24"/>
          <w:szCs w:val="24"/>
        </w:rPr>
        <w:t xml:space="preserve">with aggravating circumstances </w:t>
      </w:r>
      <w:r w:rsidRPr="007A5877">
        <w:rPr>
          <w:sz w:val="24"/>
          <w:szCs w:val="24"/>
        </w:rPr>
        <w:t xml:space="preserve">and </w:t>
      </w:r>
      <w:r>
        <w:rPr>
          <w:sz w:val="24"/>
          <w:szCs w:val="24"/>
        </w:rPr>
        <w:t xml:space="preserve">one </w:t>
      </w:r>
      <w:r w:rsidRPr="007A5877">
        <w:rPr>
          <w:sz w:val="24"/>
          <w:szCs w:val="24"/>
        </w:rPr>
        <w:t>year imprisonment</w:t>
      </w:r>
      <w:r w:rsidR="00BD4058">
        <w:rPr>
          <w:sz w:val="24"/>
          <w:szCs w:val="24"/>
        </w:rPr>
        <w:t>,</w:t>
      </w:r>
      <w:r w:rsidRPr="007A5877">
        <w:rPr>
          <w:sz w:val="24"/>
          <w:szCs w:val="24"/>
        </w:rPr>
        <w:t xml:space="preserve"> wholly suspended for five years on condition that the accused is not found guilty again of contravening section 49(1)(a) of at 13 of 2000 committed during the time suspension</w:t>
      </w:r>
      <w:r w:rsidR="00BD4058">
        <w:rPr>
          <w:sz w:val="24"/>
          <w:szCs w:val="24"/>
        </w:rPr>
        <w:t>, for count 4</w:t>
      </w:r>
      <w:r w:rsidRPr="007A5877">
        <w:rPr>
          <w:sz w:val="24"/>
          <w:szCs w:val="24"/>
        </w:rPr>
        <w:t xml:space="preserve">. </w:t>
      </w:r>
    </w:p>
    <w:p w14:paraId="69715BF3" w14:textId="77777777" w:rsidR="00BD4058" w:rsidRDefault="00BD4058" w:rsidP="007A5877">
      <w:pPr>
        <w:spacing w:line="480" w:lineRule="auto"/>
        <w:jc w:val="both"/>
        <w:rPr>
          <w:sz w:val="24"/>
          <w:szCs w:val="24"/>
        </w:rPr>
      </w:pPr>
    </w:p>
    <w:p w14:paraId="54149DEB" w14:textId="77777777" w:rsidR="00BD4058" w:rsidRDefault="00BD4058" w:rsidP="007A5877">
      <w:pPr>
        <w:spacing w:line="480" w:lineRule="auto"/>
        <w:jc w:val="both"/>
        <w:rPr>
          <w:sz w:val="24"/>
          <w:szCs w:val="24"/>
        </w:rPr>
      </w:pPr>
      <w:r>
        <w:rPr>
          <w:sz w:val="24"/>
          <w:szCs w:val="24"/>
        </w:rPr>
        <w:t>[2]</w:t>
      </w:r>
      <w:r>
        <w:rPr>
          <w:sz w:val="24"/>
          <w:szCs w:val="24"/>
        </w:rPr>
        <w:tab/>
        <w:t>The Appellants are now exercising their right to an automatic appeal in terms of section 309 of the Criminal Procedure Act.</w:t>
      </w:r>
      <w:r>
        <w:rPr>
          <w:rStyle w:val="FootnoteReference"/>
          <w:sz w:val="24"/>
          <w:szCs w:val="24"/>
        </w:rPr>
        <w:footnoteReference w:id="1"/>
      </w:r>
    </w:p>
    <w:p w14:paraId="000CE668" w14:textId="77777777" w:rsidR="00260AC2" w:rsidRDefault="00260AC2" w:rsidP="007A5877">
      <w:pPr>
        <w:spacing w:line="480" w:lineRule="auto"/>
        <w:jc w:val="both"/>
        <w:rPr>
          <w:sz w:val="24"/>
          <w:szCs w:val="24"/>
        </w:rPr>
      </w:pPr>
    </w:p>
    <w:p w14:paraId="134BA657" w14:textId="562EAD46" w:rsidR="00260AC2" w:rsidRDefault="00260AC2" w:rsidP="00260AC2">
      <w:pPr>
        <w:spacing w:line="480" w:lineRule="auto"/>
        <w:jc w:val="both"/>
        <w:rPr>
          <w:sz w:val="24"/>
          <w:szCs w:val="24"/>
        </w:rPr>
      </w:pPr>
      <w:r>
        <w:rPr>
          <w:sz w:val="24"/>
          <w:szCs w:val="24"/>
        </w:rPr>
        <w:t>[3]</w:t>
      </w:r>
      <w:r>
        <w:rPr>
          <w:sz w:val="24"/>
          <w:szCs w:val="24"/>
        </w:rPr>
        <w:tab/>
        <w:t xml:space="preserve">The charges and conviction of the Appellants stem from an incident at a local tavern at or near </w:t>
      </w:r>
      <w:r w:rsidRPr="007A5877">
        <w:rPr>
          <w:sz w:val="24"/>
          <w:szCs w:val="24"/>
        </w:rPr>
        <w:t>in Pretoria</w:t>
      </w:r>
      <w:r w:rsidR="00563A60">
        <w:rPr>
          <w:sz w:val="24"/>
          <w:szCs w:val="24"/>
        </w:rPr>
        <w:t xml:space="preserve"> when the </w:t>
      </w:r>
      <w:r>
        <w:rPr>
          <w:sz w:val="24"/>
          <w:szCs w:val="24"/>
        </w:rPr>
        <w:t>First and Second Appellants unlawfully and intentionally committed an act of sexual penetration with the complainant, Thambozayi Banda, 34 years old</w:t>
      </w:r>
      <w:r w:rsidR="00563A60">
        <w:rPr>
          <w:sz w:val="24"/>
          <w:szCs w:val="24"/>
        </w:rPr>
        <w:t xml:space="preserve">.  In the </w:t>
      </w:r>
      <w:r w:rsidRPr="007A5877">
        <w:rPr>
          <w:sz w:val="24"/>
          <w:szCs w:val="24"/>
        </w:rPr>
        <w:t xml:space="preserve">furtherance of a common purpose of assaulting </w:t>
      </w:r>
      <w:r>
        <w:rPr>
          <w:sz w:val="24"/>
          <w:szCs w:val="24"/>
        </w:rPr>
        <w:t xml:space="preserve">her, </w:t>
      </w:r>
      <w:r w:rsidR="00A96743">
        <w:rPr>
          <w:sz w:val="24"/>
          <w:szCs w:val="24"/>
        </w:rPr>
        <w:t xml:space="preserve">they </w:t>
      </w:r>
      <w:r>
        <w:rPr>
          <w:sz w:val="24"/>
          <w:szCs w:val="24"/>
        </w:rPr>
        <w:t xml:space="preserve">also took an amount of </w:t>
      </w:r>
      <w:r w:rsidR="009F65FE">
        <w:rPr>
          <w:sz w:val="24"/>
          <w:szCs w:val="24"/>
        </w:rPr>
        <w:t>R</w:t>
      </w:r>
      <w:r w:rsidRPr="007A5877">
        <w:rPr>
          <w:sz w:val="24"/>
          <w:szCs w:val="24"/>
        </w:rPr>
        <w:t>210.00</w:t>
      </w:r>
      <w:r>
        <w:rPr>
          <w:sz w:val="24"/>
          <w:szCs w:val="24"/>
        </w:rPr>
        <w:t xml:space="preserve"> from her in </w:t>
      </w:r>
      <w:r w:rsidRPr="007A5877">
        <w:rPr>
          <w:sz w:val="24"/>
          <w:szCs w:val="24"/>
        </w:rPr>
        <w:t>aggravating circumstances, being that a fire arm was wielded during the incident.</w:t>
      </w:r>
    </w:p>
    <w:p w14:paraId="3460697A" w14:textId="041B7F83" w:rsidR="00260AC2" w:rsidRDefault="00A37D9C" w:rsidP="00260AC2">
      <w:pPr>
        <w:spacing w:line="480" w:lineRule="auto"/>
        <w:jc w:val="both"/>
        <w:rPr>
          <w:sz w:val="24"/>
          <w:szCs w:val="24"/>
        </w:rPr>
      </w:pPr>
      <w:r>
        <w:rPr>
          <w:b/>
          <w:bCs/>
          <w:sz w:val="24"/>
          <w:szCs w:val="24"/>
        </w:rPr>
        <w:lastRenderedPageBreak/>
        <w:t>ISSUES TO BE DETERMINED</w:t>
      </w:r>
      <w:r>
        <w:rPr>
          <w:sz w:val="24"/>
          <w:szCs w:val="24"/>
        </w:rPr>
        <w:t>:</w:t>
      </w:r>
    </w:p>
    <w:p w14:paraId="0A16723B" w14:textId="77777777" w:rsidR="00A37D9C" w:rsidRPr="00A37D9C" w:rsidRDefault="00A37D9C" w:rsidP="00260AC2">
      <w:pPr>
        <w:spacing w:line="480" w:lineRule="auto"/>
        <w:jc w:val="both"/>
        <w:rPr>
          <w:sz w:val="24"/>
          <w:szCs w:val="24"/>
        </w:rPr>
      </w:pPr>
    </w:p>
    <w:p w14:paraId="1C1F3A7B" w14:textId="557FF5CE" w:rsidR="006B6DA8" w:rsidRDefault="00260AC2" w:rsidP="00430271">
      <w:pPr>
        <w:spacing w:line="480" w:lineRule="auto"/>
        <w:jc w:val="both"/>
        <w:rPr>
          <w:sz w:val="24"/>
          <w:szCs w:val="24"/>
        </w:rPr>
      </w:pPr>
      <w:r>
        <w:rPr>
          <w:sz w:val="24"/>
          <w:szCs w:val="24"/>
        </w:rPr>
        <w:t>[4]</w:t>
      </w:r>
      <w:r>
        <w:rPr>
          <w:sz w:val="24"/>
          <w:szCs w:val="24"/>
        </w:rPr>
        <w:tab/>
      </w:r>
      <w:r w:rsidR="004A6249">
        <w:rPr>
          <w:sz w:val="24"/>
          <w:szCs w:val="24"/>
        </w:rPr>
        <w:t>The issue</w:t>
      </w:r>
      <w:r w:rsidR="00656212">
        <w:rPr>
          <w:sz w:val="24"/>
          <w:szCs w:val="24"/>
        </w:rPr>
        <w:t>s</w:t>
      </w:r>
      <w:r w:rsidR="004A6249">
        <w:rPr>
          <w:sz w:val="24"/>
          <w:szCs w:val="24"/>
        </w:rPr>
        <w:t xml:space="preserve"> to be determined </w:t>
      </w:r>
      <w:r w:rsidR="00656212">
        <w:rPr>
          <w:sz w:val="24"/>
          <w:szCs w:val="24"/>
        </w:rPr>
        <w:t>are the following</w:t>
      </w:r>
      <w:r w:rsidR="006B6DA8">
        <w:rPr>
          <w:sz w:val="24"/>
          <w:szCs w:val="24"/>
        </w:rPr>
        <w:t>:</w:t>
      </w:r>
    </w:p>
    <w:p w14:paraId="302BA19C" w14:textId="77777777" w:rsidR="00A37D9C" w:rsidRDefault="00A37D9C" w:rsidP="00430271">
      <w:pPr>
        <w:spacing w:line="480" w:lineRule="auto"/>
        <w:jc w:val="both"/>
        <w:rPr>
          <w:sz w:val="24"/>
          <w:szCs w:val="24"/>
        </w:rPr>
      </w:pPr>
    </w:p>
    <w:p w14:paraId="145551BD" w14:textId="1323C769" w:rsidR="006B6DA8" w:rsidRDefault="006B6DA8" w:rsidP="00430271">
      <w:pPr>
        <w:spacing w:line="480" w:lineRule="auto"/>
        <w:jc w:val="both"/>
        <w:rPr>
          <w:sz w:val="24"/>
          <w:szCs w:val="24"/>
        </w:rPr>
      </w:pPr>
      <w:r>
        <w:rPr>
          <w:sz w:val="24"/>
          <w:szCs w:val="24"/>
        </w:rPr>
        <w:t>[4.1]</w:t>
      </w:r>
      <w:r>
        <w:rPr>
          <w:sz w:val="24"/>
          <w:szCs w:val="24"/>
        </w:rPr>
        <w:tab/>
      </w:r>
      <w:r w:rsidR="002700E0">
        <w:rPr>
          <w:sz w:val="24"/>
          <w:szCs w:val="24"/>
        </w:rPr>
        <w:t xml:space="preserve">Whether </w:t>
      </w:r>
      <w:r w:rsidR="00195747">
        <w:rPr>
          <w:sz w:val="24"/>
          <w:szCs w:val="24"/>
        </w:rPr>
        <w:t xml:space="preserve">the First Appellant </w:t>
      </w:r>
      <w:r w:rsidR="004A6249">
        <w:rPr>
          <w:sz w:val="24"/>
          <w:szCs w:val="24"/>
        </w:rPr>
        <w:t>was reliably identified as one of the perpetrators</w:t>
      </w:r>
      <w:r w:rsidR="00195747">
        <w:rPr>
          <w:sz w:val="24"/>
          <w:szCs w:val="24"/>
        </w:rPr>
        <w:t xml:space="preserve"> who committed the rape</w:t>
      </w:r>
      <w:r w:rsidR="00AF43DC">
        <w:rPr>
          <w:sz w:val="24"/>
          <w:szCs w:val="24"/>
        </w:rPr>
        <w:t xml:space="preserve"> based on the evidence of a single witness.  </w:t>
      </w:r>
    </w:p>
    <w:p w14:paraId="754BC8ED" w14:textId="77777777" w:rsidR="006B6DA8" w:rsidRDefault="006B6DA8" w:rsidP="00430271">
      <w:pPr>
        <w:spacing w:line="480" w:lineRule="auto"/>
        <w:jc w:val="both"/>
        <w:rPr>
          <w:sz w:val="24"/>
          <w:szCs w:val="24"/>
        </w:rPr>
      </w:pPr>
    </w:p>
    <w:p w14:paraId="046E8CA7" w14:textId="2121FCD1" w:rsidR="00430271" w:rsidRDefault="006B6DA8" w:rsidP="00430271">
      <w:pPr>
        <w:spacing w:line="480" w:lineRule="auto"/>
        <w:jc w:val="both"/>
        <w:rPr>
          <w:sz w:val="24"/>
          <w:szCs w:val="24"/>
        </w:rPr>
      </w:pPr>
      <w:r>
        <w:rPr>
          <w:sz w:val="24"/>
          <w:szCs w:val="24"/>
        </w:rPr>
        <w:t>[4.2]</w:t>
      </w:r>
      <w:r>
        <w:rPr>
          <w:sz w:val="24"/>
          <w:szCs w:val="24"/>
        </w:rPr>
        <w:tab/>
      </w:r>
      <w:r w:rsidR="00430271">
        <w:rPr>
          <w:sz w:val="24"/>
          <w:szCs w:val="24"/>
        </w:rPr>
        <w:t>Regarding the Se</w:t>
      </w:r>
      <w:r w:rsidR="00430271" w:rsidRPr="007A5877">
        <w:rPr>
          <w:sz w:val="24"/>
          <w:szCs w:val="24"/>
        </w:rPr>
        <w:t xml:space="preserve">cond </w:t>
      </w:r>
      <w:r w:rsidR="00430271">
        <w:rPr>
          <w:sz w:val="24"/>
          <w:szCs w:val="24"/>
        </w:rPr>
        <w:t>A</w:t>
      </w:r>
      <w:r w:rsidR="00430271" w:rsidRPr="007A5877">
        <w:rPr>
          <w:sz w:val="24"/>
          <w:szCs w:val="24"/>
        </w:rPr>
        <w:t xml:space="preserve">ppellant, the key matter for </w:t>
      </w:r>
      <w:r w:rsidR="004A6249">
        <w:rPr>
          <w:sz w:val="24"/>
          <w:szCs w:val="24"/>
        </w:rPr>
        <w:t xml:space="preserve">adjudication is </w:t>
      </w:r>
      <w:r w:rsidR="00430271" w:rsidRPr="007A5877">
        <w:rPr>
          <w:sz w:val="24"/>
          <w:szCs w:val="24"/>
        </w:rPr>
        <w:t xml:space="preserve">the credibility of his claim that he was not a willing participant in the events </w:t>
      </w:r>
      <w:r w:rsidR="00195747">
        <w:rPr>
          <w:sz w:val="24"/>
          <w:szCs w:val="24"/>
        </w:rPr>
        <w:t xml:space="preserve">of the rape and the robbery </w:t>
      </w:r>
      <w:r w:rsidR="00430271" w:rsidRPr="007A5877">
        <w:rPr>
          <w:sz w:val="24"/>
          <w:szCs w:val="24"/>
        </w:rPr>
        <w:t>and that he acted under duress when having sexual intercourse with the complainant.</w:t>
      </w:r>
    </w:p>
    <w:p w14:paraId="779A1B4B" w14:textId="77777777" w:rsidR="00B26C6B" w:rsidRDefault="00B26C6B" w:rsidP="00430271">
      <w:pPr>
        <w:spacing w:line="480" w:lineRule="auto"/>
        <w:jc w:val="both"/>
        <w:rPr>
          <w:sz w:val="24"/>
          <w:szCs w:val="24"/>
        </w:rPr>
      </w:pPr>
    </w:p>
    <w:p w14:paraId="195BB5F0" w14:textId="1E6F2717" w:rsidR="004706F9" w:rsidRDefault="004706F9" w:rsidP="00430271">
      <w:pPr>
        <w:spacing w:line="480" w:lineRule="auto"/>
        <w:jc w:val="both"/>
        <w:rPr>
          <w:sz w:val="24"/>
          <w:szCs w:val="24"/>
        </w:rPr>
      </w:pPr>
      <w:r>
        <w:rPr>
          <w:sz w:val="24"/>
          <w:szCs w:val="24"/>
        </w:rPr>
        <w:t>[4.3]</w:t>
      </w:r>
      <w:r>
        <w:rPr>
          <w:sz w:val="24"/>
          <w:szCs w:val="24"/>
        </w:rPr>
        <w:tab/>
      </w:r>
      <w:r w:rsidR="001C63FA">
        <w:rPr>
          <w:sz w:val="24"/>
          <w:szCs w:val="24"/>
        </w:rPr>
        <w:t xml:space="preserve">Whether the trial court erred in finding that there were no substantial and compelling circumstances to deviate from the prescribed minimum </w:t>
      </w:r>
      <w:r w:rsidR="000479B0">
        <w:rPr>
          <w:sz w:val="24"/>
          <w:szCs w:val="24"/>
        </w:rPr>
        <w:t>sentences.</w:t>
      </w:r>
    </w:p>
    <w:p w14:paraId="38D3E6E0" w14:textId="77777777" w:rsidR="004706F9" w:rsidRDefault="004706F9" w:rsidP="00430271">
      <w:pPr>
        <w:spacing w:line="480" w:lineRule="auto"/>
        <w:jc w:val="both"/>
        <w:rPr>
          <w:sz w:val="24"/>
          <w:szCs w:val="24"/>
        </w:rPr>
      </w:pPr>
    </w:p>
    <w:p w14:paraId="7F5FEA1F" w14:textId="11394AE8" w:rsidR="00A37D9C" w:rsidRDefault="000F3C65" w:rsidP="00430271">
      <w:pPr>
        <w:spacing w:line="480" w:lineRule="auto"/>
        <w:jc w:val="both"/>
        <w:rPr>
          <w:sz w:val="24"/>
          <w:szCs w:val="24"/>
        </w:rPr>
      </w:pPr>
      <w:r>
        <w:rPr>
          <w:b/>
          <w:bCs/>
          <w:sz w:val="24"/>
          <w:szCs w:val="24"/>
        </w:rPr>
        <w:t>CONVICTION</w:t>
      </w:r>
      <w:r>
        <w:rPr>
          <w:sz w:val="24"/>
          <w:szCs w:val="24"/>
        </w:rPr>
        <w:t>:</w:t>
      </w:r>
    </w:p>
    <w:p w14:paraId="0FB7AD41" w14:textId="77777777" w:rsidR="000F3C65" w:rsidRPr="000F3C65" w:rsidRDefault="000F3C65" w:rsidP="00430271">
      <w:pPr>
        <w:spacing w:line="480" w:lineRule="auto"/>
        <w:jc w:val="both"/>
        <w:rPr>
          <w:sz w:val="24"/>
          <w:szCs w:val="24"/>
        </w:rPr>
      </w:pPr>
    </w:p>
    <w:p w14:paraId="6903BA6C" w14:textId="371EF7CF" w:rsidR="00E0355A" w:rsidRDefault="00B26C6B" w:rsidP="00E0355A">
      <w:pPr>
        <w:spacing w:line="480" w:lineRule="auto"/>
        <w:jc w:val="both"/>
        <w:rPr>
          <w:sz w:val="24"/>
          <w:szCs w:val="24"/>
        </w:rPr>
      </w:pPr>
      <w:r>
        <w:rPr>
          <w:sz w:val="24"/>
          <w:szCs w:val="24"/>
        </w:rPr>
        <w:t>[</w:t>
      </w:r>
      <w:r w:rsidR="002C1CAA">
        <w:rPr>
          <w:sz w:val="24"/>
          <w:szCs w:val="24"/>
        </w:rPr>
        <w:t>5</w:t>
      </w:r>
      <w:r>
        <w:rPr>
          <w:sz w:val="24"/>
          <w:szCs w:val="24"/>
        </w:rPr>
        <w:t>]</w:t>
      </w:r>
      <w:r>
        <w:rPr>
          <w:sz w:val="24"/>
          <w:szCs w:val="24"/>
        </w:rPr>
        <w:tab/>
      </w:r>
      <w:r w:rsidR="00E0355A">
        <w:rPr>
          <w:sz w:val="24"/>
          <w:szCs w:val="24"/>
        </w:rPr>
        <w:t>The State led the evidence of the complainant, who testified that the in</w:t>
      </w:r>
      <w:r w:rsidR="00E0355A" w:rsidRPr="007A5877">
        <w:rPr>
          <w:sz w:val="24"/>
          <w:szCs w:val="24"/>
        </w:rPr>
        <w:t xml:space="preserve">cident </w:t>
      </w:r>
      <w:r w:rsidR="00E0355A">
        <w:rPr>
          <w:sz w:val="24"/>
          <w:szCs w:val="24"/>
        </w:rPr>
        <w:t xml:space="preserve">occurred </w:t>
      </w:r>
      <w:r w:rsidR="00E0355A" w:rsidRPr="007A5877">
        <w:rPr>
          <w:sz w:val="24"/>
          <w:szCs w:val="24"/>
        </w:rPr>
        <w:t>at a local tavern</w:t>
      </w:r>
      <w:r w:rsidR="00E0355A">
        <w:rPr>
          <w:sz w:val="24"/>
          <w:szCs w:val="24"/>
        </w:rPr>
        <w:t xml:space="preserve"> at or near Olievenhoutbosch in Pretoria,</w:t>
      </w:r>
      <w:r w:rsidR="00E0355A" w:rsidRPr="007A5877">
        <w:rPr>
          <w:sz w:val="24"/>
          <w:szCs w:val="24"/>
        </w:rPr>
        <w:t xml:space="preserve"> where </w:t>
      </w:r>
      <w:r w:rsidR="00E0355A">
        <w:rPr>
          <w:sz w:val="24"/>
          <w:szCs w:val="24"/>
        </w:rPr>
        <w:t xml:space="preserve">she was selling chips.  In the early </w:t>
      </w:r>
      <w:r w:rsidR="00E0355A" w:rsidRPr="007A5877">
        <w:rPr>
          <w:sz w:val="24"/>
          <w:szCs w:val="24"/>
        </w:rPr>
        <w:t xml:space="preserve">hours of </w:t>
      </w:r>
      <w:r w:rsidR="00E0355A">
        <w:rPr>
          <w:sz w:val="24"/>
          <w:szCs w:val="24"/>
        </w:rPr>
        <w:t>the 11</w:t>
      </w:r>
      <w:r w:rsidR="00E0355A" w:rsidRPr="005A5E63">
        <w:rPr>
          <w:sz w:val="24"/>
          <w:szCs w:val="24"/>
          <w:vertAlign w:val="superscript"/>
        </w:rPr>
        <w:t>th</w:t>
      </w:r>
      <w:r w:rsidR="00E0355A">
        <w:rPr>
          <w:sz w:val="24"/>
          <w:szCs w:val="24"/>
        </w:rPr>
        <w:t xml:space="preserve"> of </w:t>
      </w:r>
      <w:r w:rsidR="00E0355A" w:rsidRPr="007A5877">
        <w:rPr>
          <w:sz w:val="24"/>
          <w:szCs w:val="24"/>
        </w:rPr>
        <w:t>October 2014,</w:t>
      </w:r>
      <w:r w:rsidR="00E0355A">
        <w:rPr>
          <w:sz w:val="24"/>
          <w:szCs w:val="24"/>
        </w:rPr>
        <w:t xml:space="preserve"> at about 23:30,</w:t>
      </w:r>
      <w:r w:rsidR="00E0355A" w:rsidRPr="007A5877">
        <w:rPr>
          <w:sz w:val="24"/>
          <w:szCs w:val="24"/>
        </w:rPr>
        <w:t xml:space="preserve"> a group </w:t>
      </w:r>
      <w:r w:rsidR="00E0355A">
        <w:rPr>
          <w:sz w:val="24"/>
          <w:szCs w:val="24"/>
        </w:rPr>
        <w:t xml:space="preserve">of 12 to 14 </w:t>
      </w:r>
      <w:r w:rsidR="00E0355A" w:rsidRPr="007A5877">
        <w:rPr>
          <w:sz w:val="24"/>
          <w:szCs w:val="24"/>
        </w:rPr>
        <w:t xml:space="preserve">armed individuals entered the tavern, ordered everyone to lie down, and proceeded to search the patrons for money and valuables, including the complainant. </w:t>
      </w:r>
      <w:r w:rsidR="003039B8">
        <w:rPr>
          <w:sz w:val="24"/>
          <w:szCs w:val="24"/>
        </w:rPr>
        <w:t xml:space="preserve"> </w:t>
      </w:r>
      <w:r w:rsidR="00E0355A" w:rsidRPr="007A5877">
        <w:rPr>
          <w:sz w:val="24"/>
          <w:szCs w:val="24"/>
        </w:rPr>
        <w:t xml:space="preserve">At one point, the complainant was searched and then taken from the tavern by two armed individuals. </w:t>
      </w:r>
      <w:r w:rsidR="003039B8">
        <w:rPr>
          <w:sz w:val="24"/>
          <w:szCs w:val="24"/>
        </w:rPr>
        <w:t xml:space="preserve"> </w:t>
      </w:r>
      <w:r w:rsidR="00E0355A" w:rsidRPr="007A5877">
        <w:rPr>
          <w:sz w:val="24"/>
          <w:szCs w:val="24"/>
        </w:rPr>
        <w:t xml:space="preserve">The complainant identified these individuals as the </w:t>
      </w:r>
      <w:r w:rsidR="003B03C0">
        <w:rPr>
          <w:sz w:val="24"/>
          <w:szCs w:val="24"/>
        </w:rPr>
        <w:t xml:space="preserve">First and Second </w:t>
      </w:r>
      <w:r w:rsidR="00E0355A">
        <w:rPr>
          <w:sz w:val="24"/>
          <w:szCs w:val="24"/>
        </w:rPr>
        <w:t>A</w:t>
      </w:r>
      <w:r w:rsidR="00E0355A" w:rsidRPr="007A5877">
        <w:rPr>
          <w:sz w:val="24"/>
          <w:szCs w:val="24"/>
        </w:rPr>
        <w:t>ppellant</w:t>
      </w:r>
      <w:r w:rsidR="00E0355A">
        <w:rPr>
          <w:sz w:val="24"/>
          <w:szCs w:val="24"/>
        </w:rPr>
        <w:t xml:space="preserve">.  </w:t>
      </w:r>
      <w:r w:rsidR="000F744A">
        <w:rPr>
          <w:sz w:val="24"/>
          <w:szCs w:val="24"/>
        </w:rPr>
        <w:t xml:space="preserve"> </w:t>
      </w:r>
      <w:r w:rsidR="00E0355A">
        <w:rPr>
          <w:sz w:val="24"/>
          <w:szCs w:val="24"/>
        </w:rPr>
        <w:t xml:space="preserve">She asserted </w:t>
      </w:r>
      <w:r w:rsidR="00E0355A">
        <w:rPr>
          <w:sz w:val="24"/>
          <w:szCs w:val="24"/>
        </w:rPr>
        <w:lastRenderedPageBreak/>
        <w:t xml:space="preserve">that the First Appellant </w:t>
      </w:r>
      <w:r w:rsidR="00E0355A" w:rsidRPr="007A5877">
        <w:rPr>
          <w:sz w:val="24"/>
          <w:szCs w:val="24"/>
        </w:rPr>
        <w:t xml:space="preserve">handed a firearm to the </w:t>
      </w:r>
      <w:r w:rsidR="00E0355A">
        <w:rPr>
          <w:sz w:val="24"/>
          <w:szCs w:val="24"/>
        </w:rPr>
        <w:t>S</w:t>
      </w:r>
      <w:r w:rsidR="00E0355A" w:rsidRPr="007A5877">
        <w:rPr>
          <w:sz w:val="24"/>
          <w:szCs w:val="24"/>
        </w:rPr>
        <w:t xml:space="preserve">econd </w:t>
      </w:r>
      <w:r w:rsidR="00E0355A">
        <w:rPr>
          <w:sz w:val="24"/>
          <w:szCs w:val="24"/>
        </w:rPr>
        <w:t>A</w:t>
      </w:r>
      <w:r w:rsidR="00E0355A" w:rsidRPr="007A5877">
        <w:rPr>
          <w:sz w:val="24"/>
          <w:szCs w:val="24"/>
        </w:rPr>
        <w:t xml:space="preserve">ppellant, who then brandished the firearm while the </w:t>
      </w:r>
      <w:r w:rsidR="00E0355A">
        <w:rPr>
          <w:sz w:val="24"/>
          <w:szCs w:val="24"/>
        </w:rPr>
        <w:t>F</w:t>
      </w:r>
      <w:r w:rsidR="00E0355A" w:rsidRPr="007A5877">
        <w:rPr>
          <w:sz w:val="24"/>
          <w:szCs w:val="24"/>
        </w:rPr>
        <w:t xml:space="preserve">irst </w:t>
      </w:r>
      <w:r w:rsidR="00E0355A">
        <w:rPr>
          <w:sz w:val="24"/>
          <w:szCs w:val="24"/>
        </w:rPr>
        <w:t>A</w:t>
      </w:r>
      <w:r w:rsidR="00E0355A" w:rsidRPr="007A5877">
        <w:rPr>
          <w:sz w:val="24"/>
          <w:szCs w:val="24"/>
        </w:rPr>
        <w:t xml:space="preserve">ppellant raped her. </w:t>
      </w:r>
      <w:r w:rsidR="00E0355A">
        <w:rPr>
          <w:sz w:val="24"/>
          <w:szCs w:val="24"/>
        </w:rPr>
        <w:t xml:space="preserve"> </w:t>
      </w:r>
      <w:r w:rsidR="00E0355A" w:rsidRPr="007A5877">
        <w:rPr>
          <w:sz w:val="24"/>
          <w:szCs w:val="24"/>
        </w:rPr>
        <w:t xml:space="preserve">Subsequently, the </w:t>
      </w:r>
      <w:r w:rsidR="00E0355A">
        <w:rPr>
          <w:sz w:val="24"/>
          <w:szCs w:val="24"/>
        </w:rPr>
        <w:t>F</w:t>
      </w:r>
      <w:r w:rsidR="00E0355A" w:rsidRPr="007A5877">
        <w:rPr>
          <w:sz w:val="24"/>
          <w:szCs w:val="24"/>
        </w:rPr>
        <w:t xml:space="preserve">irst appellant took control of the firearm, </w:t>
      </w:r>
      <w:r w:rsidR="00977CCE">
        <w:rPr>
          <w:sz w:val="24"/>
          <w:szCs w:val="24"/>
        </w:rPr>
        <w:t xml:space="preserve">while </w:t>
      </w:r>
      <w:r w:rsidR="00E0355A" w:rsidRPr="007A5877">
        <w:rPr>
          <w:sz w:val="24"/>
          <w:szCs w:val="24"/>
        </w:rPr>
        <w:t xml:space="preserve">the </w:t>
      </w:r>
      <w:r w:rsidR="00E0355A">
        <w:rPr>
          <w:sz w:val="24"/>
          <w:szCs w:val="24"/>
        </w:rPr>
        <w:t>S</w:t>
      </w:r>
      <w:r w:rsidR="00E0355A" w:rsidRPr="007A5877">
        <w:rPr>
          <w:sz w:val="24"/>
          <w:szCs w:val="24"/>
        </w:rPr>
        <w:t xml:space="preserve">econd </w:t>
      </w:r>
      <w:r w:rsidR="00E0355A">
        <w:rPr>
          <w:sz w:val="24"/>
          <w:szCs w:val="24"/>
        </w:rPr>
        <w:t>A</w:t>
      </w:r>
      <w:r w:rsidR="00E0355A" w:rsidRPr="007A5877">
        <w:rPr>
          <w:sz w:val="24"/>
          <w:szCs w:val="24"/>
        </w:rPr>
        <w:t xml:space="preserve">ppellant raped her. </w:t>
      </w:r>
      <w:r w:rsidR="000F744A">
        <w:rPr>
          <w:sz w:val="24"/>
          <w:szCs w:val="24"/>
        </w:rPr>
        <w:t xml:space="preserve"> </w:t>
      </w:r>
      <w:r w:rsidR="00E0355A">
        <w:rPr>
          <w:sz w:val="24"/>
          <w:szCs w:val="24"/>
        </w:rPr>
        <w:t xml:space="preserve">The </w:t>
      </w:r>
      <w:r w:rsidR="00977CCE">
        <w:rPr>
          <w:sz w:val="24"/>
          <w:szCs w:val="24"/>
        </w:rPr>
        <w:t>com</w:t>
      </w:r>
      <w:r w:rsidR="00E0355A">
        <w:rPr>
          <w:sz w:val="24"/>
          <w:szCs w:val="24"/>
        </w:rPr>
        <w:t xml:space="preserve">plainant testified that she had R210 in her pants that </w:t>
      </w:r>
      <w:r w:rsidR="00EB3323">
        <w:rPr>
          <w:sz w:val="24"/>
          <w:szCs w:val="24"/>
        </w:rPr>
        <w:t>were</w:t>
      </w:r>
      <w:r w:rsidR="00E0355A">
        <w:rPr>
          <w:sz w:val="24"/>
          <w:szCs w:val="24"/>
        </w:rPr>
        <w:t xml:space="preserve"> taken from her </w:t>
      </w:r>
      <w:r w:rsidR="002E2494">
        <w:rPr>
          <w:sz w:val="24"/>
          <w:szCs w:val="24"/>
        </w:rPr>
        <w:t xml:space="preserve">when she was </w:t>
      </w:r>
      <w:r w:rsidR="002C1CAA">
        <w:rPr>
          <w:sz w:val="24"/>
          <w:szCs w:val="24"/>
        </w:rPr>
        <w:t>searched in the tavern.  She further testified that on the 26</w:t>
      </w:r>
      <w:r w:rsidR="002C1CAA" w:rsidRPr="002C1CAA">
        <w:rPr>
          <w:sz w:val="24"/>
          <w:szCs w:val="24"/>
          <w:vertAlign w:val="superscript"/>
        </w:rPr>
        <w:t>th</w:t>
      </w:r>
      <w:r w:rsidR="002C1CAA">
        <w:rPr>
          <w:sz w:val="24"/>
          <w:szCs w:val="24"/>
        </w:rPr>
        <w:t xml:space="preserve"> of March 2015, she participated in an identification para</w:t>
      </w:r>
      <w:r w:rsidR="00047A52">
        <w:rPr>
          <w:sz w:val="24"/>
          <w:szCs w:val="24"/>
        </w:rPr>
        <w:t>d</w:t>
      </w:r>
      <w:r w:rsidR="002C1CAA">
        <w:rPr>
          <w:sz w:val="24"/>
          <w:szCs w:val="24"/>
        </w:rPr>
        <w:t xml:space="preserve">e and was able to identify the First and Second Appellants.  She pointed out the First Appellant due to a small scar below his right eye, and she recognized the Second Appellant as the youngest amount the robbers.  </w:t>
      </w:r>
      <w:r w:rsidR="00047A52">
        <w:rPr>
          <w:sz w:val="24"/>
          <w:szCs w:val="24"/>
        </w:rPr>
        <w:t xml:space="preserve">She stated that even though the </w:t>
      </w:r>
      <w:r w:rsidR="002C1CAA">
        <w:rPr>
          <w:sz w:val="24"/>
          <w:szCs w:val="24"/>
        </w:rPr>
        <w:t xml:space="preserve">incident occurred at night, </w:t>
      </w:r>
      <w:r w:rsidR="00197DEF">
        <w:rPr>
          <w:sz w:val="24"/>
          <w:szCs w:val="24"/>
        </w:rPr>
        <w:t xml:space="preserve">she </w:t>
      </w:r>
      <w:r w:rsidR="002C1CAA">
        <w:rPr>
          <w:sz w:val="24"/>
          <w:szCs w:val="24"/>
        </w:rPr>
        <w:t xml:space="preserve">concentrated on the </w:t>
      </w:r>
      <w:r w:rsidR="00254F85">
        <w:rPr>
          <w:sz w:val="24"/>
          <w:szCs w:val="24"/>
        </w:rPr>
        <w:t>A</w:t>
      </w:r>
      <w:r w:rsidR="002C1CAA">
        <w:rPr>
          <w:sz w:val="24"/>
          <w:szCs w:val="24"/>
        </w:rPr>
        <w:t xml:space="preserve">ppellants’ faces during their interaction, and she believed she could accurately describe them if asked.   </w:t>
      </w:r>
    </w:p>
    <w:p w14:paraId="45767D0A" w14:textId="4F13A7F6" w:rsidR="00E0355A" w:rsidRPr="00FC5022" w:rsidRDefault="00E0355A" w:rsidP="00430271">
      <w:pPr>
        <w:spacing w:line="480" w:lineRule="auto"/>
        <w:jc w:val="both"/>
        <w:rPr>
          <w:sz w:val="20"/>
          <w:szCs w:val="20"/>
        </w:rPr>
      </w:pPr>
    </w:p>
    <w:p w14:paraId="10EA9B03" w14:textId="01F5AD6C" w:rsidR="002C1CAA" w:rsidRDefault="002C1CAA" w:rsidP="00430271">
      <w:pPr>
        <w:spacing w:line="480" w:lineRule="auto"/>
        <w:jc w:val="both"/>
        <w:rPr>
          <w:sz w:val="24"/>
          <w:szCs w:val="24"/>
        </w:rPr>
      </w:pPr>
      <w:r>
        <w:rPr>
          <w:sz w:val="24"/>
          <w:szCs w:val="24"/>
        </w:rPr>
        <w:t>[6]</w:t>
      </w:r>
      <w:r>
        <w:rPr>
          <w:sz w:val="24"/>
          <w:szCs w:val="24"/>
        </w:rPr>
        <w:tab/>
        <w:t xml:space="preserve">The evidence of Meromokoti Frank Sithleko, a member of the South African Police Services with the rank of </w:t>
      </w:r>
      <w:r w:rsidR="00112B27">
        <w:rPr>
          <w:sz w:val="24"/>
          <w:szCs w:val="24"/>
        </w:rPr>
        <w:t>W</w:t>
      </w:r>
      <w:r>
        <w:rPr>
          <w:sz w:val="24"/>
          <w:szCs w:val="24"/>
        </w:rPr>
        <w:t xml:space="preserve">arrant </w:t>
      </w:r>
      <w:r w:rsidR="00112B27">
        <w:rPr>
          <w:sz w:val="24"/>
          <w:szCs w:val="24"/>
        </w:rPr>
        <w:t>O</w:t>
      </w:r>
      <w:r>
        <w:rPr>
          <w:sz w:val="24"/>
          <w:szCs w:val="24"/>
        </w:rPr>
        <w:t>fficer</w:t>
      </w:r>
      <w:r w:rsidR="00254F85">
        <w:rPr>
          <w:sz w:val="24"/>
          <w:szCs w:val="24"/>
        </w:rPr>
        <w:t>,</w:t>
      </w:r>
      <w:r>
        <w:rPr>
          <w:sz w:val="24"/>
          <w:szCs w:val="24"/>
        </w:rPr>
        <w:t xml:space="preserve"> </w:t>
      </w:r>
      <w:r w:rsidR="0044314E">
        <w:rPr>
          <w:sz w:val="24"/>
          <w:szCs w:val="24"/>
        </w:rPr>
        <w:t xml:space="preserve">confirmed that </w:t>
      </w:r>
      <w:r w:rsidR="00112B27">
        <w:rPr>
          <w:sz w:val="24"/>
          <w:szCs w:val="24"/>
        </w:rPr>
        <w:t>on the 22</w:t>
      </w:r>
      <w:r w:rsidR="00112B27" w:rsidRPr="00112B27">
        <w:rPr>
          <w:sz w:val="24"/>
          <w:szCs w:val="24"/>
          <w:vertAlign w:val="superscript"/>
        </w:rPr>
        <w:t>nd</w:t>
      </w:r>
      <w:r w:rsidR="00112B27">
        <w:rPr>
          <w:sz w:val="24"/>
          <w:szCs w:val="24"/>
        </w:rPr>
        <w:t xml:space="preserve"> of October 2014, while on duty, the complainant approached him and indicated that she could identify the </w:t>
      </w:r>
      <w:r w:rsidR="00F45BB8">
        <w:rPr>
          <w:sz w:val="24"/>
          <w:szCs w:val="24"/>
        </w:rPr>
        <w:t xml:space="preserve">person </w:t>
      </w:r>
      <w:r w:rsidR="00112B27">
        <w:rPr>
          <w:sz w:val="24"/>
          <w:szCs w:val="24"/>
        </w:rPr>
        <w:t>who had raped her by a mark on the right side of his face.  Subsequently, he approached the identified individual, arrested him, and took him to the police station.  On the same day, the complainant was also taken to the police sta</w:t>
      </w:r>
      <w:r w:rsidR="00FA24EA">
        <w:rPr>
          <w:sz w:val="24"/>
          <w:szCs w:val="24"/>
        </w:rPr>
        <w:t>tion</w:t>
      </w:r>
      <w:r w:rsidR="00112B27">
        <w:rPr>
          <w:sz w:val="24"/>
          <w:szCs w:val="24"/>
        </w:rPr>
        <w:t xml:space="preserve">, and </w:t>
      </w:r>
      <w:r w:rsidR="00357FD9">
        <w:rPr>
          <w:sz w:val="24"/>
          <w:szCs w:val="24"/>
        </w:rPr>
        <w:t xml:space="preserve">she identified the arrested person as the </w:t>
      </w:r>
      <w:r w:rsidR="00112B27">
        <w:rPr>
          <w:sz w:val="24"/>
          <w:szCs w:val="24"/>
        </w:rPr>
        <w:t>First Appellant.</w:t>
      </w:r>
      <w:r>
        <w:rPr>
          <w:sz w:val="24"/>
          <w:szCs w:val="24"/>
        </w:rPr>
        <w:t xml:space="preserve"> </w:t>
      </w:r>
      <w:r>
        <w:rPr>
          <w:sz w:val="24"/>
          <w:szCs w:val="24"/>
        </w:rPr>
        <w:tab/>
      </w:r>
    </w:p>
    <w:p w14:paraId="59355E1C" w14:textId="77777777" w:rsidR="00E0355A" w:rsidRPr="00FC5022" w:rsidRDefault="00E0355A" w:rsidP="00430271">
      <w:pPr>
        <w:spacing w:line="480" w:lineRule="auto"/>
        <w:jc w:val="both"/>
        <w:rPr>
          <w:sz w:val="20"/>
          <w:szCs w:val="20"/>
        </w:rPr>
      </w:pPr>
    </w:p>
    <w:p w14:paraId="53157F30" w14:textId="01826E8B" w:rsidR="0023166E" w:rsidRDefault="00112B27" w:rsidP="00430271">
      <w:pPr>
        <w:spacing w:line="480" w:lineRule="auto"/>
        <w:jc w:val="both"/>
        <w:rPr>
          <w:sz w:val="24"/>
          <w:szCs w:val="24"/>
        </w:rPr>
      </w:pPr>
      <w:r>
        <w:rPr>
          <w:sz w:val="24"/>
          <w:szCs w:val="24"/>
        </w:rPr>
        <w:t>[7]</w:t>
      </w:r>
      <w:r>
        <w:rPr>
          <w:sz w:val="24"/>
          <w:szCs w:val="24"/>
        </w:rPr>
        <w:tab/>
      </w:r>
      <w:r w:rsidR="0023166E">
        <w:rPr>
          <w:sz w:val="24"/>
          <w:szCs w:val="24"/>
        </w:rPr>
        <w:t xml:space="preserve">Captain Regina Makhura, who is stationed at the forensic lab in the South African Police Service, </w:t>
      </w:r>
      <w:r w:rsidR="00345583">
        <w:rPr>
          <w:sz w:val="24"/>
          <w:szCs w:val="24"/>
        </w:rPr>
        <w:t xml:space="preserve">indicated that they </w:t>
      </w:r>
      <w:r w:rsidR="0023166E">
        <w:rPr>
          <w:sz w:val="24"/>
          <w:szCs w:val="24"/>
        </w:rPr>
        <w:t xml:space="preserve">discovered the DNA of the Second Appellant in the swab taken from the </w:t>
      </w:r>
      <w:r w:rsidR="00C509E2">
        <w:rPr>
          <w:sz w:val="24"/>
          <w:szCs w:val="24"/>
        </w:rPr>
        <w:t>complainant</w:t>
      </w:r>
      <w:r w:rsidR="0023166E">
        <w:rPr>
          <w:sz w:val="24"/>
          <w:szCs w:val="24"/>
        </w:rPr>
        <w:t xml:space="preserve">.  She clarified that DNA is found exclusively in </w:t>
      </w:r>
      <w:r w:rsidR="000013CE">
        <w:rPr>
          <w:sz w:val="24"/>
          <w:szCs w:val="24"/>
        </w:rPr>
        <w:t>sperm</w:t>
      </w:r>
      <w:r w:rsidR="0023166E">
        <w:rPr>
          <w:sz w:val="24"/>
          <w:szCs w:val="24"/>
        </w:rPr>
        <w:t xml:space="preserve"> and not in </w:t>
      </w:r>
      <w:r w:rsidR="007D64D9">
        <w:rPr>
          <w:sz w:val="24"/>
          <w:szCs w:val="24"/>
        </w:rPr>
        <w:t>semen</w:t>
      </w:r>
      <w:r w:rsidR="00A22D9D">
        <w:rPr>
          <w:sz w:val="24"/>
          <w:szCs w:val="24"/>
        </w:rPr>
        <w:t xml:space="preserve"> and </w:t>
      </w:r>
      <w:r w:rsidR="00CF35F4">
        <w:rPr>
          <w:sz w:val="24"/>
          <w:szCs w:val="24"/>
        </w:rPr>
        <w:t xml:space="preserve">also confirmed </w:t>
      </w:r>
      <w:r w:rsidR="00A22D9D">
        <w:rPr>
          <w:sz w:val="24"/>
          <w:szCs w:val="24"/>
        </w:rPr>
        <w:t xml:space="preserve">that </w:t>
      </w:r>
      <w:r w:rsidR="0023166E">
        <w:rPr>
          <w:sz w:val="24"/>
          <w:szCs w:val="24"/>
        </w:rPr>
        <w:t>not all semen contains sperm.</w:t>
      </w:r>
    </w:p>
    <w:p w14:paraId="72425EBB" w14:textId="77777777" w:rsidR="0023166E" w:rsidRPr="00FC5022" w:rsidRDefault="0023166E" w:rsidP="00430271">
      <w:pPr>
        <w:spacing w:line="480" w:lineRule="auto"/>
        <w:jc w:val="both"/>
        <w:rPr>
          <w:sz w:val="20"/>
          <w:szCs w:val="20"/>
        </w:rPr>
      </w:pPr>
    </w:p>
    <w:p w14:paraId="2B8A1437" w14:textId="2CB08FD4" w:rsidR="00112B27" w:rsidRDefault="0023166E" w:rsidP="00430271">
      <w:pPr>
        <w:spacing w:line="480" w:lineRule="auto"/>
        <w:jc w:val="both"/>
        <w:rPr>
          <w:sz w:val="24"/>
          <w:szCs w:val="24"/>
        </w:rPr>
      </w:pPr>
      <w:r>
        <w:rPr>
          <w:sz w:val="24"/>
          <w:szCs w:val="24"/>
        </w:rPr>
        <w:lastRenderedPageBreak/>
        <w:t>[8]</w:t>
      </w:r>
      <w:r>
        <w:rPr>
          <w:sz w:val="24"/>
          <w:szCs w:val="24"/>
        </w:rPr>
        <w:tab/>
        <w:t>The last witness of the state, Matsobane Edward Sebothoma, also a member of the South African Police Service</w:t>
      </w:r>
      <w:r w:rsidR="005308EA">
        <w:rPr>
          <w:sz w:val="24"/>
          <w:szCs w:val="24"/>
        </w:rPr>
        <w:t>,</w:t>
      </w:r>
      <w:r>
        <w:rPr>
          <w:sz w:val="24"/>
          <w:szCs w:val="24"/>
        </w:rPr>
        <w:t xml:space="preserve"> confirmed that he accompanied the complainant to Tembisa on the 22</w:t>
      </w:r>
      <w:r w:rsidRPr="0023166E">
        <w:rPr>
          <w:sz w:val="24"/>
          <w:szCs w:val="24"/>
          <w:vertAlign w:val="superscript"/>
        </w:rPr>
        <w:t>nd</w:t>
      </w:r>
      <w:r>
        <w:rPr>
          <w:sz w:val="24"/>
          <w:szCs w:val="24"/>
        </w:rPr>
        <w:t xml:space="preserve"> of October 2014</w:t>
      </w:r>
      <w:r w:rsidR="009B6F32">
        <w:rPr>
          <w:sz w:val="24"/>
          <w:szCs w:val="24"/>
        </w:rPr>
        <w:t xml:space="preserve"> where the complainant pointed out the Second Appellant and he was subsequently arrested</w:t>
      </w:r>
      <w:r>
        <w:rPr>
          <w:sz w:val="24"/>
          <w:szCs w:val="24"/>
        </w:rPr>
        <w:t>.</w:t>
      </w:r>
    </w:p>
    <w:p w14:paraId="69271E04" w14:textId="77777777" w:rsidR="00E26924" w:rsidRDefault="00E26924" w:rsidP="00430271">
      <w:pPr>
        <w:spacing w:line="480" w:lineRule="auto"/>
        <w:jc w:val="both"/>
        <w:rPr>
          <w:sz w:val="24"/>
          <w:szCs w:val="24"/>
        </w:rPr>
      </w:pPr>
    </w:p>
    <w:p w14:paraId="2D14556A" w14:textId="2445796C" w:rsidR="000D7280" w:rsidRDefault="0023166E" w:rsidP="009E1F87">
      <w:pPr>
        <w:spacing w:line="480" w:lineRule="auto"/>
        <w:jc w:val="both"/>
        <w:rPr>
          <w:sz w:val="24"/>
          <w:szCs w:val="24"/>
        </w:rPr>
      </w:pPr>
      <w:r>
        <w:rPr>
          <w:sz w:val="24"/>
          <w:szCs w:val="24"/>
        </w:rPr>
        <w:t>[</w:t>
      </w:r>
      <w:r w:rsidR="009B6F32">
        <w:rPr>
          <w:sz w:val="24"/>
          <w:szCs w:val="24"/>
        </w:rPr>
        <w:t>9</w:t>
      </w:r>
      <w:r>
        <w:rPr>
          <w:sz w:val="24"/>
          <w:szCs w:val="24"/>
        </w:rPr>
        <w:t>]</w:t>
      </w:r>
      <w:r>
        <w:rPr>
          <w:sz w:val="24"/>
          <w:szCs w:val="24"/>
        </w:rPr>
        <w:tab/>
        <w:t xml:space="preserve"> </w:t>
      </w:r>
      <w:r w:rsidR="000D7280">
        <w:rPr>
          <w:sz w:val="24"/>
          <w:szCs w:val="24"/>
        </w:rPr>
        <w:t xml:space="preserve">The First Appellant </w:t>
      </w:r>
      <w:r w:rsidR="00ED7D2F">
        <w:rPr>
          <w:sz w:val="24"/>
          <w:szCs w:val="24"/>
        </w:rPr>
        <w:t>testified in his own defense</w:t>
      </w:r>
      <w:r w:rsidR="009E6053">
        <w:rPr>
          <w:sz w:val="24"/>
          <w:szCs w:val="24"/>
        </w:rPr>
        <w:t xml:space="preserve">.  He </w:t>
      </w:r>
      <w:r w:rsidR="000D7280">
        <w:rPr>
          <w:sz w:val="24"/>
          <w:szCs w:val="24"/>
        </w:rPr>
        <w:t>attempted to refute the charges by providing an alibi, claiming th</w:t>
      </w:r>
      <w:r w:rsidR="00C509E2">
        <w:rPr>
          <w:sz w:val="24"/>
          <w:szCs w:val="24"/>
        </w:rPr>
        <w:t>at</w:t>
      </w:r>
      <w:r w:rsidR="000D7280">
        <w:rPr>
          <w:sz w:val="24"/>
          <w:szCs w:val="24"/>
        </w:rPr>
        <w:t xml:space="preserve"> he was with his </w:t>
      </w:r>
      <w:r w:rsidR="00D11B96">
        <w:rPr>
          <w:sz w:val="24"/>
          <w:szCs w:val="24"/>
        </w:rPr>
        <w:t xml:space="preserve">pregnant </w:t>
      </w:r>
      <w:r w:rsidR="008C04E6">
        <w:rPr>
          <w:sz w:val="24"/>
          <w:szCs w:val="24"/>
        </w:rPr>
        <w:t xml:space="preserve">girlfriend </w:t>
      </w:r>
      <w:r w:rsidR="000D7280">
        <w:rPr>
          <w:sz w:val="24"/>
          <w:szCs w:val="24"/>
        </w:rPr>
        <w:t>at the time of the incident on the 11</w:t>
      </w:r>
      <w:r w:rsidR="000D7280" w:rsidRPr="000D7280">
        <w:rPr>
          <w:sz w:val="24"/>
          <w:szCs w:val="24"/>
          <w:vertAlign w:val="superscript"/>
        </w:rPr>
        <w:t>th</w:t>
      </w:r>
      <w:r w:rsidR="000D7280">
        <w:rPr>
          <w:sz w:val="24"/>
          <w:szCs w:val="24"/>
        </w:rPr>
        <w:t xml:space="preserve"> of October 2014.  He acknowledged the presence of a scar on his face, which he has </w:t>
      </w:r>
      <w:r w:rsidR="0092636F">
        <w:rPr>
          <w:sz w:val="24"/>
          <w:szCs w:val="24"/>
        </w:rPr>
        <w:t>had</w:t>
      </w:r>
      <w:r w:rsidR="000D7280">
        <w:rPr>
          <w:sz w:val="24"/>
          <w:szCs w:val="24"/>
        </w:rPr>
        <w:t xml:space="preserve"> since the 16</w:t>
      </w:r>
      <w:r w:rsidR="000D7280" w:rsidRPr="000D7280">
        <w:rPr>
          <w:sz w:val="24"/>
          <w:szCs w:val="24"/>
          <w:vertAlign w:val="superscript"/>
        </w:rPr>
        <w:t>th</w:t>
      </w:r>
      <w:r w:rsidR="000D7280">
        <w:rPr>
          <w:sz w:val="24"/>
          <w:szCs w:val="24"/>
        </w:rPr>
        <w:t xml:space="preserve"> of June 2013.  Moreover, he confirmed that he is acquainted with the Second Appellant as they reside in the same yard.</w:t>
      </w:r>
      <w:r w:rsidR="009424E9">
        <w:rPr>
          <w:sz w:val="24"/>
          <w:szCs w:val="24"/>
        </w:rPr>
        <w:t xml:space="preserve">  </w:t>
      </w:r>
      <w:r w:rsidR="00E0408E">
        <w:rPr>
          <w:sz w:val="24"/>
          <w:szCs w:val="24"/>
        </w:rPr>
        <w:t xml:space="preserve">It must be noted that when </w:t>
      </w:r>
      <w:r w:rsidR="001F7AD4">
        <w:rPr>
          <w:sz w:val="24"/>
          <w:szCs w:val="24"/>
        </w:rPr>
        <w:t xml:space="preserve">the First Appellant was arrested, he never </w:t>
      </w:r>
      <w:r w:rsidR="00424F82">
        <w:rPr>
          <w:sz w:val="24"/>
          <w:szCs w:val="24"/>
        </w:rPr>
        <w:t>mentioned or made any statement regarding his alibi.  He closed his case without calling any witness</w:t>
      </w:r>
      <w:r w:rsidR="00656212">
        <w:rPr>
          <w:sz w:val="24"/>
          <w:szCs w:val="24"/>
        </w:rPr>
        <w:t>es</w:t>
      </w:r>
      <w:r w:rsidR="009E1F87">
        <w:rPr>
          <w:sz w:val="24"/>
          <w:szCs w:val="24"/>
        </w:rPr>
        <w:t>.</w:t>
      </w:r>
    </w:p>
    <w:p w14:paraId="20A19C52" w14:textId="77777777" w:rsidR="009E1F87" w:rsidRDefault="009E1F87" w:rsidP="009E1F87">
      <w:pPr>
        <w:spacing w:line="480" w:lineRule="auto"/>
        <w:jc w:val="both"/>
        <w:rPr>
          <w:sz w:val="24"/>
          <w:szCs w:val="24"/>
        </w:rPr>
      </w:pPr>
    </w:p>
    <w:p w14:paraId="094D067A" w14:textId="15E30144" w:rsidR="000D7280" w:rsidRDefault="000D7280" w:rsidP="00430271">
      <w:pPr>
        <w:spacing w:line="480" w:lineRule="auto"/>
        <w:jc w:val="both"/>
        <w:rPr>
          <w:sz w:val="24"/>
          <w:szCs w:val="24"/>
        </w:rPr>
      </w:pPr>
      <w:r>
        <w:rPr>
          <w:sz w:val="24"/>
          <w:szCs w:val="24"/>
        </w:rPr>
        <w:t>[10]</w:t>
      </w:r>
      <w:r>
        <w:rPr>
          <w:sz w:val="24"/>
          <w:szCs w:val="24"/>
        </w:rPr>
        <w:tab/>
      </w:r>
      <w:r w:rsidR="000E2BDB">
        <w:rPr>
          <w:sz w:val="24"/>
          <w:szCs w:val="24"/>
        </w:rPr>
        <w:t xml:space="preserve">The Second </w:t>
      </w:r>
      <w:r w:rsidR="0092636F">
        <w:rPr>
          <w:sz w:val="24"/>
          <w:szCs w:val="24"/>
        </w:rPr>
        <w:t>Appellant admitted</w:t>
      </w:r>
      <w:r w:rsidR="00312D74">
        <w:rPr>
          <w:sz w:val="24"/>
          <w:szCs w:val="24"/>
        </w:rPr>
        <w:t xml:space="preserve"> to engaging in sexual intercourse with the complainant.  He claimed that three individuals, armed with </w:t>
      </w:r>
      <w:r w:rsidR="0092636F">
        <w:rPr>
          <w:sz w:val="24"/>
          <w:szCs w:val="24"/>
        </w:rPr>
        <w:t>firearms</w:t>
      </w:r>
      <w:r w:rsidR="00312D74">
        <w:rPr>
          <w:sz w:val="24"/>
          <w:szCs w:val="24"/>
        </w:rPr>
        <w:t xml:space="preserve">, coerced him into this act.  One of these individuals, Bongani, was involved in </w:t>
      </w:r>
      <w:r w:rsidR="0092636F">
        <w:rPr>
          <w:sz w:val="24"/>
          <w:szCs w:val="24"/>
        </w:rPr>
        <w:t>coercion</w:t>
      </w:r>
      <w:r w:rsidR="00312D74">
        <w:rPr>
          <w:sz w:val="24"/>
          <w:szCs w:val="24"/>
        </w:rPr>
        <w:t xml:space="preserve"> but </w:t>
      </w:r>
      <w:r w:rsidR="009024C6">
        <w:rPr>
          <w:sz w:val="24"/>
          <w:szCs w:val="24"/>
        </w:rPr>
        <w:t xml:space="preserve">he </w:t>
      </w:r>
      <w:r w:rsidR="00312D74">
        <w:rPr>
          <w:sz w:val="24"/>
          <w:szCs w:val="24"/>
        </w:rPr>
        <w:t xml:space="preserve">tragically took his own life in 2018.  </w:t>
      </w:r>
      <w:r w:rsidR="00F43B03">
        <w:rPr>
          <w:sz w:val="24"/>
          <w:szCs w:val="24"/>
        </w:rPr>
        <w:t xml:space="preserve">The </w:t>
      </w:r>
      <w:r w:rsidR="00312D74">
        <w:rPr>
          <w:sz w:val="24"/>
          <w:szCs w:val="24"/>
        </w:rPr>
        <w:t>Second Appellant did not provide</w:t>
      </w:r>
      <w:r w:rsidR="00235047">
        <w:rPr>
          <w:sz w:val="24"/>
          <w:szCs w:val="24"/>
        </w:rPr>
        <w:t xml:space="preserve"> any details regarding the </w:t>
      </w:r>
      <w:r w:rsidR="00312D74">
        <w:rPr>
          <w:sz w:val="24"/>
          <w:szCs w:val="24"/>
        </w:rPr>
        <w:t xml:space="preserve">other individuals involved in the </w:t>
      </w:r>
      <w:r w:rsidR="00235047">
        <w:rPr>
          <w:sz w:val="24"/>
          <w:szCs w:val="24"/>
        </w:rPr>
        <w:t xml:space="preserve">alleged </w:t>
      </w:r>
      <w:r w:rsidR="00312D74">
        <w:rPr>
          <w:sz w:val="24"/>
          <w:szCs w:val="24"/>
        </w:rPr>
        <w:t>coercion.</w:t>
      </w:r>
      <w:r w:rsidR="004C41C2">
        <w:rPr>
          <w:sz w:val="24"/>
          <w:szCs w:val="24"/>
        </w:rPr>
        <w:t xml:space="preserve">  Similarly, he also never men</w:t>
      </w:r>
      <w:r w:rsidR="00EC4BA0">
        <w:rPr>
          <w:sz w:val="24"/>
          <w:szCs w:val="24"/>
        </w:rPr>
        <w:t>tioned the alleged coercion</w:t>
      </w:r>
      <w:r w:rsidR="00E22E9B">
        <w:rPr>
          <w:sz w:val="24"/>
          <w:szCs w:val="24"/>
        </w:rPr>
        <w:t xml:space="preserve"> when he was arrested</w:t>
      </w:r>
      <w:r w:rsidR="00EC4BA0">
        <w:rPr>
          <w:sz w:val="24"/>
          <w:szCs w:val="24"/>
        </w:rPr>
        <w:t xml:space="preserve"> and </w:t>
      </w:r>
      <w:r w:rsidR="00E22E9B">
        <w:rPr>
          <w:sz w:val="24"/>
          <w:szCs w:val="24"/>
        </w:rPr>
        <w:t xml:space="preserve">furthermore, </w:t>
      </w:r>
      <w:r w:rsidR="00EC4BA0">
        <w:rPr>
          <w:sz w:val="24"/>
          <w:szCs w:val="24"/>
        </w:rPr>
        <w:t xml:space="preserve">he chose not to provide </w:t>
      </w:r>
      <w:r w:rsidR="00E22E9B">
        <w:rPr>
          <w:sz w:val="24"/>
          <w:szCs w:val="24"/>
        </w:rPr>
        <w:t xml:space="preserve">any </w:t>
      </w:r>
      <w:r w:rsidR="00EC4BA0">
        <w:rPr>
          <w:sz w:val="24"/>
          <w:szCs w:val="24"/>
        </w:rPr>
        <w:t>plea explanation.</w:t>
      </w:r>
    </w:p>
    <w:p w14:paraId="04CDA092" w14:textId="77777777" w:rsidR="00FC5022" w:rsidRDefault="00FC5022" w:rsidP="00430271">
      <w:pPr>
        <w:spacing w:line="480" w:lineRule="auto"/>
        <w:jc w:val="both"/>
        <w:rPr>
          <w:sz w:val="24"/>
          <w:szCs w:val="24"/>
        </w:rPr>
      </w:pPr>
    </w:p>
    <w:p w14:paraId="0F32C6AB" w14:textId="5EF1FEED" w:rsidR="00C81397" w:rsidRDefault="00E22E9B" w:rsidP="00430271">
      <w:pPr>
        <w:spacing w:line="480" w:lineRule="auto"/>
        <w:jc w:val="both"/>
        <w:rPr>
          <w:sz w:val="24"/>
          <w:szCs w:val="24"/>
        </w:rPr>
      </w:pPr>
      <w:r>
        <w:rPr>
          <w:sz w:val="24"/>
          <w:szCs w:val="24"/>
        </w:rPr>
        <w:lastRenderedPageBreak/>
        <w:t xml:space="preserve">[11] </w:t>
      </w:r>
      <w:r>
        <w:rPr>
          <w:sz w:val="24"/>
          <w:szCs w:val="24"/>
        </w:rPr>
        <w:tab/>
      </w:r>
      <w:r w:rsidR="00203513" w:rsidRPr="00203513">
        <w:rPr>
          <w:sz w:val="24"/>
          <w:szCs w:val="24"/>
        </w:rPr>
        <w:t xml:space="preserve">Over the years, our courts have emphasised the principles which should guide a court of appeal in an appeal purely on facts. These were articulated by the Appellate Division in </w:t>
      </w:r>
      <w:r w:rsidR="00203513" w:rsidRPr="00C81397">
        <w:rPr>
          <w:i/>
          <w:iCs/>
          <w:sz w:val="24"/>
          <w:szCs w:val="24"/>
        </w:rPr>
        <w:t>R v Dhlumayo &amp; Another</w:t>
      </w:r>
      <w:r w:rsidR="005F3760">
        <w:rPr>
          <w:rStyle w:val="FootnoteReference"/>
          <w:sz w:val="24"/>
          <w:szCs w:val="24"/>
        </w:rPr>
        <w:footnoteReference w:id="2"/>
      </w:r>
      <w:r w:rsidR="005F3760">
        <w:rPr>
          <w:sz w:val="24"/>
          <w:szCs w:val="24"/>
        </w:rPr>
        <w:t xml:space="preserve"> w</w:t>
      </w:r>
      <w:r w:rsidR="00203513" w:rsidRPr="00203513">
        <w:rPr>
          <w:sz w:val="24"/>
          <w:szCs w:val="24"/>
        </w:rPr>
        <w:t xml:space="preserve">hen it held that: </w:t>
      </w:r>
    </w:p>
    <w:p w14:paraId="18E00910" w14:textId="77777777" w:rsidR="00E92782" w:rsidRDefault="00E92782" w:rsidP="00C81397">
      <w:pPr>
        <w:spacing w:line="480" w:lineRule="auto"/>
        <w:ind w:left="720"/>
        <w:jc w:val="both"/>
        <w:rPr>
          <w:sz w:val="20"/>
          <w:szCs w:val="20"/>
        </w:rPr>
      </w:pPr>
    </w:p>
    <w:p w14:paraId="4C374560" w14:textId="62A2C157" w:rsidR="00246CE9" w:rsidRDefault="00203513" w:rsidP="00C81397">
      <w:pPr>
        <w:spacing w:line="480" w:lineRule="auto"/>
        <w:ind w:left="720"/>
        <w:jc w:val="both"/>
        <w:rPr>
          <w:sz w:val="24"/>
          <w:szCs w:val="24"/>
        </w:rPr>
      </w:pPr>
      <w:r w:rsidRPr="00C81397">
        <w:rPr>
          <w:sz w:val="20"/>
          <w:szCs w:val="20"/>
        </w:rPr>
        <w:t xml:space="preserve">"The trial court has advantages which the appellate court cannot have - in seeing and hearing the witnesses and in being steeped in the atmosphere of the trial. </w:t>
      </w:r>
      <w:r w:rsidR="00D73000">
        <w:rPr>
          <w:sz w:val="20"/>
          <w:szCs w:val="20"/>
        </w:rPr>
        <w:t xml:space="preserve">Not only </w:t>
      </w:r>
      <w:r w:rsidRPr="00C81397">
        <w:rPr>
          <w:sz w:val="20"/>
          <w:szCs w:val="20"/>
        </w:rPr>
        <w:t xml:space="preserve">has the trial court had the opportunity of observing their demeanour, but also their appearance and whole personality. This should never be overlooked. The mere fact that the trial court has not commented on the demeanour of the witnesses can hardly ever </w:t>
      </w:r>
      <w:r w:rsidR="00D73000" w:rsidRPr="00C81397">
        <w:rPr>
          <w:sz w:val="20"/>
          <w:szCs w:val="20"/>
        </w:rPr>
        <w:t>place</w:t>
      </w:r>
      <w:r w:rsidRPr="00C81397">
        <w:rPr>
          <w:sz w:val="20"/>
          <w:szCs w:val="20"/>
        </w:rPr>
        <w:t xml:space="preserve"> the appeal </w:t>
      </w:r>
      <w:r w:rsidR="00D73000" w:rsidRPr="00C81397">
        <w:rPr>
          <w:sz w:val="20"/>
          <w:szCs w:val="20"/>
        </w:rPr>
        <w:t>court</w:t>
      </w:r>
      <w:r w:rsidRPr="00C81397">
        <w:rPr>
          <w:sz w:val="20"/>
          <w:szCs w:val="20"/>
        </w:rPr>
        <w:t xml:space="preserve"> </w:t>
      </w:r>
      <w:r w:rsidR="00D73000">
        <w:rPr>
          <w:sz w:val="20"/>
          <w:szCs w:val="20"/>
        </w:rPr>
        <w:t xml:space="preserve">in </w:t>
      </w:r>
      <w:r w:rsidRPr="00C81397">
        <w:rPr>
          <w:sz w:val="20"/>
          <w:szCs w:val="20"/>
        </w:rPr>
        <w:t>as good a position as</w:t>
      </w:r>
      <w:r w:rsidR="00D73000">
        <w:rPr>
          <w:sz w:val="20"/>
          <w:szCs w:val="20"/>
        </w:rPr>
        <w:t xml:space="preserve"> </w:t>
      </w:r>
      <w:r w:rsidRPr="00C81397">
        <w:rPr>
          <w:sz w:val="20"/>
          <w:szCs w:val="20"/>
        </w:rPr>
        <w:t xml:space="preserve">it was. Even in drawing inferences the trial court may be in a better position than the appellate court, in that it may be more able to estimate what is probable </w:t>
      </w:r>
      <w:r w:rsidR="0055238F" w:rsidRPr="00C81397">
        <w:rPr>
          <w:sz w:val="20"/>
          <w:szCs w:val="20"/>
        </w:rPr>
        <w:t>or improbable in</w:t>
      </w:r>
      <w:r w:rsidRPr="00C81397">
        <w:rPr>
          <w:sz w:val="20"/>
          <w:szCs w:val="20"/>
        </w:rPr>
        <w:t xml:space="preserve"> relation to the particular people whom it has observed at the trial... The appellate court should not seek anxiously to discover reasons adverse to the conclusions of the trial court.... Where</w:t>
      </w:r>
      <w:r w:rsidR="00440A0F" w:rsidRPr="00C81397">
        <w:rPr>
          <w:sz w:val="20"/>
          <w:szCs w:val="20"/>
        </w:rPr>
        <w:t xml:space="preserve"> the appellate court is constrained to decide the case purely on the record, the question of onus becomes all-important</w:t>
      </w:r>
      <w:r w:rsidR="000B4B89">
        <w:rPr>
          <w:sz w:val="20"/>
          <w:szCs w:val="20"/>
        </w:rPr>
        <w:t xml:space="preserve">.  In order </w:t>
      </w:r>
      <w:r w:rsidR="00440A0F" w:rsidRPr="00C81397">
        <w:rPr>
          <w:sz w:val="20"/>
          <w:szCs w:val="20"/>
        </w:rPr>
        <w:t xml:space="preserve">to succeed, the appellant has to satisfy an appellate court that there has been 'some miscarriage </w:t>
      </w:r>
      <w:r w:rsidR="000B4B89" w:rsidRPr="00C81397">
        <w:rPr>
          <w:sz w:val="20"/>
          <w:szCs w:val="20"/>
        </w:rPr>
        <w:t>of justice</w:t>
      </w:r>
      <w:r w:rsidR="00440A0F" w:rsidRPr="00C81397">
        <w:rPr>
          <w:sz w:val="20"/>
          <w:szCs w:val="20"/>
        </w:rPr>
        <w:t xml:space="preserve"> or violation of some principle of law or procedure".</w:t>
      </w:r>
    </w:p>
    <w:p w14:paraId="686A9886" w14:textId="77777777" w:rsidR="00650723" w:rsidRDefault="00650723" w:rsidP="00650723">
      <w:pPr>
        <w:spacing w:line="480" w:lineRule="auto"/>
        <w:jc w:val="both"/>
        <w:rPr>
          <w:sz w:val="24"/>
          <w:szCs w:val="24"/>
        </w:rPr>
      </w:pPr>
    </w:p>
    <w:p w14:paraId="0CBE9152" w14:textId="1D935638" w:rsidR="00BB498D" w:rsidRDefault="00650723" w:rsidP="00650723">
      <w:pPr>
        <w:spacing w:line="480" w:lineRule="auto"/>
        <w:jc w:val="both"/>
        <w:rPr>
          <w:sz w:val="24"/>
          <w:szCs w:val="24"/>
        </w:rPr>
      </w:pPr>
      <w:r>
        <w:rPr>
          <w:sz w:val="24"/>
          <w:szCs w:val="24"/>
        </w:rPr>
        <w:t>[12]</w:t>
      </w:r>
      <w:r>
        <w:rPr>
          <w:sz w:val="24"/>
          <w:szCs w:val="24"/>
        </w:rPr>
        <w:tab/>
      </w:r>
      <w:r w:rsidR="00DF0D3A" w:rsidRPr="007A5877">
        <w:rPr>
          <w:sz w:val="24"/>
          <w:szCs w:val="24"/>
        </w:rPr>
        <w:t>It is trite law that a court of appeal will not interfere with the trial court</w:t>
      </w:r>
      <w:r>
        <w:rPr>
          <w:sz w:val="24"/>
          <w:szCs w:val="24"/>
        </w:rPr>
        <w:t>’s</w:t>
      </w:r>
      <w:r w:rsidR="00DF0D3A" w:rsidRPr="007A5877">
        <w:rPr>
          <w:sz w:val="24"/>
          <w:szCs w:val="24"/>
        </w:rPr>
        <w:t xml:space="preserve"> decision unless it finds that the trial court misdirected itself </w:t>
      </w:r>
      <w:r w:rsidR="009F65FE">
        <w:rPr>
          <w:sz w:val="24"/>
          <w:szCs w:val="24"/>
        </w:rPr>
        <w:t>in</w:t>
      </w:r>
      <w:r w:rsidR="00DF0D3A" w:rsidRPr="007A5877">
        <w:rPr>
          <w:sz w:val="24"/>
          <w:szCs w:val="24"/>
        </w:rPr>
        <w:t xml:space="preserve"> </w:t>
      </w:r>
      <w:r w:rsidR="009F65FE">
        <w:rPr>
          <w:sz w:val="24"/>
          <w:szCs w:val="24"/>
        </w:rPr>
        <w:t>regard to</w:t>
      </w:r>
      <w:r w:rsidR="00DF0D3A" w:rsidRPr="007A5877">
        <w:rPr>
          <w:sz w:val="24"/>
          <w:szCs w:val="24"/>
        </w:rPr>
        <w:t xml:space="preserve"> its findings or the law.</w:t>
      </w:r>
      <w:r w:rsidR="001B3ED3">
        <w:rPr>
          <w:sz w:val="24"/>
          <w:szCs w:val="24"/>
        </w:rPr>
        <w:t xml:space="preserve">  To succeed on appeal, </w:t>
      </w:r>
      <w:r w:rsidR="00DF0D3A" w:rsidRPr="007A5877">
        <w:rPr>
          <w:sz w:val="24"/>
          <w:szCs w:val="24"/>
        </w:rPr>
        <w:t xml:space="preserve">the </w:t>
      </w:r>
      <w:r w:rsidR="00832F98">
        <w:rPr>
          <w:sz w:val="24"/>
          <w:szCs w:val="24"/>
        </w:rPr>
        <w:t>A</w:t>
      </w:r>
      <w:r w:rsidR="00DF0D3A" w:rsidRPr="007A5877">
        <w:rPr>
          <w:sz w:val="24"/>
          <w:szCs w:val="24"/>
        </w:rPr>
        <w:t>ppellant</w:t>
      </w:r>
      <w:r w:rsidR="00832F98">
        <w:rPr>
          <w:sz w:val="24"/>
          <w:szCs w:val="24"/>
        </w:rPr>
        <w:t>s</w:t>
      </w:r>
      <w:r w:rsidR="00DF0D3A" w:rsidRPr="007A5877">
        <w:rPr>
          <w:sz w:val="24"/>
          <w:szCs w:val="24"/>
        </w:rPr>
        <w:t xml:space="preserve"> need</w:t>
      </w:r>
      <w:r w:rsidR="00832F98">
        <w:rPr>
          <w:sz w:val="24"/>
          <w:szCs w:val="24"/>
        </w:rPr>
        <w:t xml:space="preserve"> </w:t>
      </w:r>
      <w:r w:rsidR="00DF0D3A" w:rsidRPr="007A5877">
        <w:rPr>
          <w:sz w:val="24"/>
          <w:szCs w:val="24"/>
        </w:rPr>
        <w:t xml:space="preserve">to convince this court on adequate grounds that the trial court misdirected itself in accepting the evidence of the </w:t>
      </w:r>
      <w:r w:rsidR="00DE2549">
        <w:rPr>
          <w:sz w:val="24"/>
          <w:szCs w:val="24"/>
        </w:rPr>
        <w:t>S</w:t>
      </w:r>
      <w:r w:rsidR="00DF0D3A" w:rsidRPr="007A5877">
        <w:rPr>
          <w:sz w:val="24"/>
          <w:szCs w:val="24"/>
        </w:rPr>
        <w:t xml:space="preserve">tate and rejecting </w:t>
      </w:r>
      <w:r w:rsidR="009F65FE">
        <w:rPr>
          <w:sz w:val="24"/>
          <w:szCs w:val="24"/>
        </w:rPr>
        <w:t>their</w:t>
      </w:r>
      <w:r w:rsidR="00DF0D3A" w:rsidRPr="007A5877">
        <w:rPr>
          <w:sz w:val="24"/>
          <w:szCs w:val="24"/>
        </w:rPr>
        <w:t xml:space="preserve"> version as not being reasonably possibly true.</w:t>
      </w:r>
      <w:r w:rsidR="001576B4">
        <w:rPr>
          <w:sz w:val="24"/>
          <w:szCs w:val="24"/>
        </w:rPr>
        <w:t xml:space="preserve">  In the </w:t>
      </w:r>
      <w:r w:rsidR="00DF0D3A" w:rsidRPr="007A5877">
        <w:rPr>
          <w:sz w:val="24"/>
          <w:szCs w:val="24"/>
        </w:rPr>
        <w:t xml:space="preserve">absence of demonstrable and </w:t>
      </w:r>
      <w:r w:rsidR="00DF0D3A" w:rsidRPr="007A5877">
        <w:rPr>
          <w:sz w:val="24"/>
          <w:szCs w:val="24"/>
        </w:rPr>
        <w:lastRenderedPageBreak/>
        <w:t>material misdirection by the trial court, its findings of</w:t>
      </w:r>
      <w:r w:rsidR="00415E70">
        <w:rPr>
          <w:sz w:val="24"/>
          <w:szCs w:val="24"/>
        </w:rPr>
        <w:t xml:space="preserve"> fact are </w:t>
      </w:r>
      <w:r w:rsidR="00DF0D3A" w:rsidRPr="007A5877">
        <w:rPr>
          <w:sz w:val="24"/>
          <w:szCs w:val="24"/>
        </w:rPr>
        <w:t>presumed to be correct and will only be disregarded if the recorded evidence shows them to be clearly wrong.</w:t>
      </w:r>
      <w:r w:rsidR="00BB7454">
        <w:rPr>
          <w:rStyle w:val="FootnoteReference"/>
          <w:sz w:val="24"/>
          <w:szCs w:val="24"/>
        </w:rPr>
        <w:footnoteReference w:id="3"/>
      </w:r>
    </w:p>
    <w:p w14:paraId="25A8A4FA" w14:textId="77777777" w:rsidR="00BB498D" w:rsidRDefault="00BB498D" w:rsidP="00650723">
      <w:pPr>
        <w:spacing w:line="480" w:lineRule="auto"/>
        <w:jc w:val="both"/>
        <w:rPr>
          <w:sz w:val="24"/>
          <w:szCs w:val="24"/>
        </w:rPr>
      </w:pPr>
    </w:p>
    <w:p w14:paraId="158B6747" w14:textId="77777777" w:rsidR="000C1B2D" w:rsidRDefault="00BB498D" w:rsidP="00B473ED">
      <w:pPr>
        <w:spacing w:line="480" w:lineRule="auto"/>
        <w:jc w:val="both"/>
        <w:rPr>
          <w:sz w:val="24"/>
          <w:szCs w:val="24"/>
        </w:rPr>
      </w:pPr>
      <w:r>
        <w:rPr>
          <w:sz w:val="24"/>
          <w:szCs w:val="24"/>
        </w:rPr>
        <w:t>[13]</w:t>
      </w:r>
      <w:r>
        <w:rPr>
          <w:sz w:val="24"/>
          <w:szCs w:val="24"/>
        </w:rPr>
        <w:tab/>
      </w:r>
      <w:r w:rsidR="00B473ED" w:rsidRPr="007A5877">
        <w:rPr>
          <w:sz w:val="24"/>
          <w:szCs w:val="24"/>
        </w:rPr>
        <w:t xml:space="preserve">In order to determine whether the accused’s version is reasonably possibly true, the Supreme Court of Appeal in </w:t>
      </w:r>
      <w:r w:rsidR="00B473ED" w:rsidRPr="00D42B6F">
        <w:rPr>
          <w:i/>
          <w:iCs/>
          <w:sz w:val="24"/>
          <w:szCs w:val="24"/>
        </w:rPr>
        <w:t>S v Trainor</w:t>
      </w:r>
      <w:r w:rsidR="00D42B6F">
        <w:rPr>
          <w:rStyle w:val="FootnoteReference"/>
          <w:i/>
          <w:iCs/>
          <w:sz w:val="24"/>
          <w:szCs w:val="24"/>
        </w:rPr>
        <w:footnoteReference w:id="4"/>
      </w:r>
      <w:r w:rsidR="00B473ED" w:rsidRPr="007A5877">
        <w:rPr>
          <w:sz w:val="24"/>
          <w:szCs w:val="24"/>
        </w:rPr>
        <w:t xml:space="preserve"> stated that: </w:t>
      </w:r>
    </w:p>
    <w:p w14:paraId="169632C7" w14:textId="77777777" w:rsidR="000C1B2D" w:rsidRDefault="000C1B2D" w:rsidP="00B473ED">
      <w:pPr>
        <w:spacing w:line="480" w:lineRule="auto"/>
        <w:jc w:val="both"/>
        <w:rPr>
          <w:sz w:val="24"/>
          <w:szCs w:val="24"/>
        </w:rPr>
      </w:pPr>
    </w:p>
    <w:p w14:paraId="0F0AC6A9" w14:textId="6512100A" w:rsidR="00B473ED" w:rsidRPr="000C1B2D" w:rsidRDefault="00B473ED" w:rsidP="000C1B2D">
      <w:pPr>
        <w:spacing w:line="480" w:lineRule="auto"/>
        <w:ind w:firstLine="720"/>
        <w:jc w:val="both"/>
        <w:rPr>
          <w:sz w:val="20"/>
          <w:szCs w:val="20"/>
        </w:rPr>
      </w:pPr>
      <w:r w:rsidRPr="000C1B2D">
        <w:rPr>
          <w:sz w:val="20"/>
          <w:szCs w:val="20"/>
        </w:rPr>
        <w:t>“</w:t>
      </w:r>
      <w:r w:rsidR="000C1B2D">
        <w:rPr>
          <w:sz w:val="20"/>
          <w:szCs w:val="20"/>
        </w:rPr>
        <w:t>A C</w:t>
      </w:r>
      <w:r w:rsidRPr="000C1B2D">
        <w:rPr>
          <w:sz w:val="20"/>
          <w:szCs w:val="20"/>
        </w:rPr>
        <w:t xml:space="preserve">onspectus of all the evidence is required. </w:t>
      </w:r>
      <w:r w:rsidR="0013078C">
        <w:rPr>
          <w:sz w:val="20"/>
          <w:szCs w:val="20"/>
        </w:rPr>
        <w:t xml:space="preserve"> </w:t>
      </w:r>
      <w:r w:rsidRPr="000C1B2D">
        <w:rPr>
          <w:sz w:val="20"/>
          <w:szCs w:val="20"/>
        </w:rPr>
        <w:t xml:space="preserve">Evidence that is reliable should be weighed alongside such evidence, as maybe found to be false. Independently </w:t>
      </w:r>
      <w:r w:rsidR="008C5D07" w:rsidRPr="000C1B2D">
        <w:rPr>
          <w:sz w:val="20"/>
          <w:szCs w:val="20"/>
        </w:rPr>
        <w:t>verifiable</w:t>
      </w:r>
      <w:r w:rsidRPr="000C1B2D">
        <w:rPr>
          <w:sz w:val="20"/>
          <w:szCs w:val="20"/>
        </w:rPr>
        <w:t xml:space="preserve"> evidence, if any should be weighed to see if it supports any of the evidence </w:t>
      </w:r>
      <w:r w:rsidR="0013078C">
        <w:rPr>
          <w:sz w:val="20"/>
          <w:szCs w:val="20"/>
        </w:rPr>
        <w:t xml:space="preserve">tendered.  In </w:t>
      </w:r>
      <w:r w:rsidRPr="000C1B2D">
        <w:rPr>
          <w:sz w:val="20"/>
          <w:szCs w:val="20"/>
        </w:rPr>
        <w:t>considering whether evidence is reliable, the quality of that evidence must be of necessity, be evaluated, as must corroborative evidence, if any</w:t>
      </w:r>
      <w:r w:rsidR="004D1D2A">
        <w:rPr>
          <w:sz w:val="20"/>
          <w:szCs w:val="20"/>
        </w:rPr>
        <w:t>.  E</w:t>
      </w:r>
      <w:r w:rsidRPr="000C1B2D">
        <w:rPr>
          <w:sz w:val="20"/>
          <w:szCs w:val="20"/>
        </w:rPr>
        <w:t>vidence of course, must be evaluated against the o</w:t>
      </w:r>
      <w:r w:rsidR="00B6489C">
        <w:rPr>
          <w:sz w:val="20"/>
          <w:szCs w:val="20"/>
        </w:rPr>
        <w:t>nus of any particular issue or in respect of the case in its entirety”.</w:t>
      </w:r>
    </w:p>
    <w:p w14:paraId="612C0BB0" w14:textId="2B73EDFA" w:rsidR="00BB498D" w:rsidRDefault="00BB498D" w:rsidP="00C23AB5">
      <w:pPr>
        <w:spacing w:line="480" w:lineRule="auto"/>
        <w:jc w:val="both"/>
        <w:rPr>
          <w:sz w:val="24"/>
          <w:szCs w:val="24"/>
        </w:rPr>
      </w:pPr>
    </w:p>
    <w:p w14:paraId="7173F9FA" w14:textId="3BEB8D6D" w:rsidR="001932F9" w:rsidRDefault="00A111B0" w:rsidP="001932F9">
      <w:pPr>
        <w:spacing w:line="480" w:lineRule="auto"/>
        <w:jc w:val="both"/>
        <w:rPr>
          <w:sz w:val="24"/>
          <w:szCs w:val="24"/>
        </w:rPr>
      </w:pPr>
      <w:r>
        <w:rPr>
          <w:sz w:val="24"/>
          <w:szCs w:val="24"/>
        </w:rPr>
        <w:t>[14]</w:t>
      </w:r>
      <w:r>
        <w:rPr>
          <w:sz w:val="24"/>
          <w:szCs w:val="24"/>
        </w:rPr>
        <w:tab/>
      </w:r>
      <w:r w:rsidR="00E812AC">
        <w:rPr>
          <w:sz w:val="24"/>
          <w:szCs w:val="24"/>
        </w:rPr>
        <w:t>Thus, i</w:t>
      </w:r>
      <w:r w:rsidR="001932F9">
        <w:rPr>
          <w:sz w:val="24"/>
          <w:szCs w:val="24"/>
        </w:rPr>
        <w:t>n assessing whether the trial court was correct in its determination</w:t>
      </w:r>
      <w:r w:rsidR="00D60546">
        <w:rPr>
          <w:sz w:val="24"/>
          <w:szCs w:val="24"/>
        </w:rPr>
        <w:t>,</w:t>
      </w:r>
      <w:r w:rsidR="001932F9">
        <w:rPr>
          <w:sz w:val="24"/>
          <w:szCs w:val="24"/>
        </w:rPr>
        <w:t xml:space="preserve"> the evidence presented by the State must be weighed against that </w:t>
      </w:r>
      <w:r w:rsidR="001D2E70">
        <w:rPr>
          <w:sz w:val="24"/>
          <w:szCs w:val="24"/>
        </w:rPr>
        <w:t xml:space="preserve">of </w:t>
      </w:r>
      <w:r w:rsidR="001932F9">
        <w:rPr>
          <w:sz w:val="24"/>
          <w:szCs w:val="24"/>
        </w:rPr>
        <w:t>the First and Second Appellant</w:t>
      </w:r>
      <w:r w:rsidR="00A37D9C">
        <w:rPr>
          <w:sz w:val="24"/>
          <w:szCs w:val="24"/>
        </w:rPr>
        <w:t>,</w:t>
      </w:r>
      <w:r w:rsidR="001932F9">
        <w:rPr>
          <w:sz w:val="24"/>
          <w:szCs w:val="24"/>
        </w:rPr>
        <w:t xml:space="preserve"> to ascertain if their version could be deemed reasonably possibly true.  Importantly, this assessment cannot occur in isolation; instead, the court must consider the entirety of the evidence before arriving at a decision. </w:t>
      </w:r>
    </w:p>
    <w:p w14:paraId="3A53F963" w14:textId="77777777" w:rsidR="001932F9" w:rsidRDefault="001932F9" w:rsidP="001932F9">
      <w:pPr>
        <w:spacing w:line="480" w:lineRule="auto"/>
        <w:jc w:val="both"/>
        <w:rPr>
          <w:sz w:val="24"/>
          <w:szCs w:val="24"/>
        </w:rPr>
      </w:pPr>
    </w:p>
    <w:p w14:paraId="607D880D" w14:textId="1C3089AB" w:rsidR="00F3560B" w:rsidRDefault="001932F9" w:rsidP="004C6E0A">
      <w:pPr>
        <w:spacing w:line="480" w:lineRule="auto"/>
        <w:jc w:val="both"/>
        <w:rPr>
          <w:sz w:val="24"/>
          <w:szCs w:val="24"/>
        </w:rPr>
      </w:pPr>
      <w:r>
        <w:rPr>
          <w:sz w:val="24"/>
          <w:szCs w:val="24"/>
        </w:rPr>
        <w:t>[15]</w:t>
      </w:r>
      <w:r>
        <w:rPr>
          <w:sz w:val="24"/>
          <w:szCs w:val="24"/>
        </w:rPr>
        <w:tab/>
      </w:r>
      <w:r w:rsidR="00625F5B">
        <w:rPr>
          <w:sz w:val="24"/>
          <w:szCs w:val="24"/>
        </w:rPr>
        <w:t xml:space="preserve">The trial court, considering the evidence of a single witness, determined that the complainant left a strong impression.  Her testimony was satisfactory, and she responded to all questions posed by both the state and the defence.  </w:t>
      </w:r>
      <w:r w:rsidR="002E2A81">
        <w:rPr>
          <w:sz w:val="24"/>
          <w:szCs w:val="24"/>
        </w:rPr>
        <w:t xml:space="preserve">The trial court was convinced </w:t>
      </w:r>
      <w:r w:rsidR="002E2A81">
        <w:rPr>
          <w:sz w:val="24"/>
          <w:szCs w:val="24"/>
        </w:rPr>
        <w:lastRenderedPageBreak/>
        <w:t xml:space="preserve">that she came to court with the intention of being truthful and indeed demonstrated this during her testimony.  </w:t>
      </w:r>
      <w:r w:rsidR="00A732FA">
        <w:rPr>
          <w:sz w:val="24"/>
          <w:szCs w:val="24"/>
        </w:rPr>
        <w:t>She was further very specific with her evidence.</w:t>
      </w:r>
      <w:r w:rsidR="009874FA">
        <w:rPr>
          <w:sz w:val="24"/>
          <w:szCs w:val="24"/>
        </w:rPr>
        <w:t xml:space="preserve">  </w:t>
      </w:r>
      <w:r w:rsidR="002E2A81">
        <w:rPr>
          <w:sz w:val="24"/>
          <w:szCs w:val="24"/>
        </w:rPr>
        <w:t xml:space="preserve">As a result, the court deemed her a credible </w:t>
      </w:r>
      <w:r w:rsidR="004C6E0A">
        <w:rPr>
          <w:sz w:val="24"/>
          <w:szCs w:val="24"/>
        </w:rPr>
        <w:t xml:space="preserve">witness and accepted her evidence.  </w:t>
      </w:r>
      <w:r w:rsidR="00E43634">
        <w:rPr>
          <w:sz w:val="24"/>
          <w:szCs w:val="24"/>
        </w:rPr>
        <w:t>Section 208 of the Criminal Procedure Act 51 of 1977 states clearly that “</w:t>
      </w:r>
      <w:r w:rsidR="00E43634">
        <w:rPr>
          <w:i/>
          <w:iCs/>
          <w:sz w:val="24"/>
          <w:szCs w:val="24"/>
        </w:rPr>
        <w:t>an accused person may be convicted of any offence on the single evidence of any competent witness</w:t>
      </w:r>
      <w:r w:rsidR="00E43634">
        <w:rPr>
          <w:sz w:val="24"/>
          <w:szCs w:val="24"/>
        </w:rPr>
        <w:t>”.</w:t>
      </w:r>
      <w:r w:rsidR="003457EA">
        <w:rPr>
          <w:sz w:val="24"/>
          <w:szCs w:val="24"/>
        </w:rPr>
        <w:t xml:space="preserve">  The trial court</w:t>
      </w:r>
      <w:r w:rsidR="0031665A">
        <w:rPr>
          <w:sz w:val="24"/>
          <w:szCs w:val="24"/>
        </w:rPr>
        <w:t>, being mindful of the cautionary rule</w:t>
      </w:r>
      <w:r w:rsidR="000F5862">
        <w:rPr>
          <w:sz w:val="24"/>
          <w:szCs w:val="24"/>
        </w:rPr>
        <w:t xml:space="preserve">, deemed the complainant’s evidence satisfactory in all respects.  </w:t>
      </w:r>
      <w:r w:rsidR="00C81A99">
        <w:rPr>
          <w:sz w:val="24"/>
          <w:szCs w:val="24"/>
        </w:rPr>
        <w:t xml:space="preserve">It is evident from the record that the trial court </w:t>
      </w:r>
      <w:r w:rsidR="00DF0349">
        <w:rPr>
          <w:sz w:val="24"/>
          <w:szCs w:val="24"/>
        </w:rPr>
        <w:t>diligently evaluated the evidence before it</w:t>
      </w:r>
      <w:r w:rsidR="006B5D1D">
        <w:rPr>
          <w:sz w:val="24"/>
          <w:szCs w:val="24"/>
        </w:rPr>
        <w:t xml:space="preserve"> and</w:t>
      </w:r>
      <w:r w:rsidR="00DF0349">
        <w:rPr>
          <w:sz w:val="24"/>
          <w:szCs w:val="24"/>
        </w:rPr>
        <w:t xml:space="preserve"> referenced various case law dealing with the evidence of a single witness.</w:t>
      </w:r>
    </w:p>
    <w:p w14:paraId="09608E63" w14:textId="77777777" w:rsidR="00F3560B" w:rsidRDefault="00F3560B" w:rsidP="004C6E0A">
      <w:pPr>
        <w:spacing w:line="480" w:lineRule="auto"/>
        <w:jc w:val="both"/>
        <w:rPr>
          <w:sz w:val="24"/>
          <w:szCs w:val="24"/>
        </w:rPr>
      </w:pPr>
    </w:p>
    <w:p w14:paraId="61EB2E74" w14:textId="06EB899A" w:rsidR="00014E1F" w:rsidRDefault="00F3560B" w:rsidP="004C6E0A">
      <w:pPr>
        <w:spacing w:line="480" w:lineRule="auto"/>
        <w:jc w:val="both"/>
        <w:rPr>
          <w:sz w:val="24"/>
          <w:szCs w:val="24"/>
        </w:rPr>
      </w:pPr>
      <w:r>
        <w:rPr>
          <w:sz w:val="24"/>
          <w:szCs w:val="24"/>
        </w:rPr>
        <w:t>[1</w:t>
      </w:r>
      <w:r w:rsidR="002011C6">
        <w:rPr>
          <w:sz w:val="24"/>
          <w:szCs w:val="24"/>
        </w:rPr>
        <w:t>6</w:t>
      </w:r>
      <w:r>
        <w:rPr>
          <w:sz w:val="24"/>
          <w:szCs w:val="24"/>
        </w:rPr>
        <w:t>]</w:t>
      </w:r>
      <w:r>
        <w:rPr>
          <w:sz w:val="24"/>
          <w:szCs w:val="24"/>
        </w:rPr>
        <w:tab/>
      </w:r>
      <w:r w:rsidR="003075A9">
        <w:rPr>
          <w:sz w:val="24"/>
          <w:szCs w:val="24"/>
        </w:rPr>
        <w:t xml:space="preserve">On the other hand, the court concluded that neither the First nor the Second Appellant left a </w:t>
      </w:r>
      <w:r w:rsidR="00A37D9C">
        <w:rPr>
          <w:sz w:val="24"/>
          <w:szCs w:val="24"/>
        </w:rPr>
        <w:t>favorable</w:t>
      </w:r>
      <w:r w:rsidR="003075A9">
        <w:rPr>
          <w:sz w:val="24"/>
          <w:szCs w:val="24"/>
        </w:rPr>
        <w:t xml:space="preserve"> impression.</w:t>
      </w:r>
    </w:p>
    <w:p w14:paraId="1786CCD1" w14:textId="1801EF67" w:rsidR="004C6E0A" w:rsidRDefault="004C6E0A" w:rsidP="004C6E0A">
      <w:pPr>
        <w:spacing w:line="480" w:lineRule="auto"/>
        <w:jc w:val="both"/>
        <w:rPr>
          <w:sz w:val="24"/>
          <w:szCs w:val="24"/>
        </w:rPr>
      </w:pPr>
    </w:p>
    <w:p w14:paraId="108D28C7" w14:textId="5320B1CC" w:rsidR="00694767" w:rsidRDefault="00C7081E" w:rsidP="004C6E0A">
      <w:pPr>
        <w:spacing w:line="480" w:lineRule="auto"/>
        <w:jc w:val="both"/>
        <w:rPr>
          <w:sz w:val="24"/>
          <w:szCs w:val="24"/>
        </w:rPr>
      </w:pPr>
      <w:r>
        <w:rPr>
          <w:sz w:val="24"/>
          <w:szCs w:val="24"/>
        </w:rPr>
        <w:t>[1</w:t>
      </w:r>
      <w:r w:rsidR="003075A9">
        <w:rPr>
          <w:sz w:val="24"/>
          <w:szCs w:val="24"/>
        </w:rPr>
        <w:t>7</w:t>
      </w:r>
      <w:r>
        <w:rPr>
          <w:sz w:val="24"/>
          <w:szCs w:val="24"/>
        </w:rPr>
        <w:t>]</w:t>
      </w:r>
      <w:r w:rsidR="00FB7A9B">
        <w:rPr>
          <w:sz w:val="24"/>
          <w:szCs w:val="24"/>
        </w:rPr>
        <w:tab/>
      </w:r>
      <w:r w:rsidR="005D6389">
        <w:rPr>
          <w:sz w:val="24"/>
          <w:szCs w:val="24"/>
        </w:rPr>
        <w:t xml:space="preserve">When assessing the evidence, the contradictions </w:t>
      </w:r>
      <w:r w:rsidR="00694767">
        <w:rPr>
          <w:sz w:val="24"/>
          <w:szCs w:val="24"/>
        </w:rPr>
        <w:t>among</w:t>
      </w:r>
      <w:r w:rsidR="005D6389">
        <w:rPr>
          <w:sz w:val="24"/>
          <w:szCs w:val="24"/>
        </w:rPr>
        <w:t xml:space="preserve"> the various </w:t>
      </w:r>
      <w:r w:rsidR="00694767">
        <w:rPr>
          <w:sz w:val="24"/>
          <w:szCs w:val="24"/>
        </w:rPr>
        <w:t>witnesses</w:t>
      </w:r>
      <w:r w:rsidR="00F535A3">
        <w:rPr>
          <w:sz w:val="24"/>
          <w:szCs w:val="24"/>
        </w:rPr>
        <w:t xml:space="preserve"> must also be considered</w:t>
      </w:r>
      <w:r w:rsidR="005D6389">
        <w:rPr>
          <w:sz w:val="24"/>
          <w:szCs w:val="24"/>
        </w:rPr>
        <w:t xml:space="preserve">.  </w:t>
      </w:r>
      <w:r w:rsidR="00AC65A3">
        <w:rPr>
          <w:sz w:val="24"/>
          <w:szCs w:val="24"/>
        </w:rPr>
        <w:t xml:space="preserve">In the trial </w:t>
      </w:r>
      <w:r w:rsidR="00C70B5D">
        <w:rPr>
          <w:sz w:val="24"/>
          <w:szCs w:val="24"/>
        </w:rPr>
        <w:t xml:space="preserve">there were </w:t>
      </w:r>
      <w:r w:rsidR="00694767">
        <w:rPr>
          <w:sz w:val="24"/>
          <w:szCs w:val="24"/>
        </w:rPr>
        <w:t>conflicting</w:t>
      </w:r>
      <w:r w:rsidR="005D6389">
        <w:rPr>
          <w:sz w:val="24"/>
          <w:szCs w:val="24"/>
        </w:rPr>
        <w:t xml:space="preserve"> accounts regarding the circumstances of the First Appellant</w:t>
      </w:r>
      <w:r w:rsidR="00694767">
        <w:rPr>
          <w:sz w:val="24"/>
          <w:szCs w:val="24"/>
        </w:rPr>
        <w:t xml:space="preserve">’s </w:t>
      </w:r>
      <w:r w:rsidR="005D6389">
        <w:rPr>
          <w:sz w:val="24"/>
          <w:szCs w:val="24"/>
        </w:rPr>
        <w:t xml:space="preserve">arrest.  The complainant stated that she </w:t>
      </w:r>
      <w:r w:rsidR="00B0263D">
        <w:rPr>
          <w:sz w:val="24"/>
          <w:szCs w:val="24"/>
        </w:rPr>
        <w:t>was not involved</w:t>
      </w:r>
      <w:r w:rsidR="005D6389">
        <w:rPr>
          <w:sz w:val="24"/>
          <w:szCs w:val="24"/>
        </w:rPr>
        <w:t xml:space="preserve"> in the First Appellant’s arrest and only identified him at the police station after he was arrested.  However, Warrant Officer Sithleko provided a detailed account of how the complainant </w:t>
      </w:r>
      <w:r w:rsidR="00005D27">
        <w:rPr>
          <w:sz w:val="24"/>
          <w:szCs w:val="24"/>
        </w:rPr>
        <w:t xml:space="preserve">flagged him down while he was on patrol to point out the First Appellant, after which he was arrested.  </w:t>
      </w:r>
      <w:r w:rsidR="00B0263D">
        <w:rPr>
          <w:sz w:val="24"/>
          <w:szCs w:val="24"/>
        </w:rPr>
        <w:t>Furthermore</w:t>
      </w:r>
      <w:r w:rsidR="00005D27">
        <w:rPr>
          <w:sz w:val="24"/>
          <w:szCs w:val="24"/>
        </w:rPr>
        <w:t xml:space="preserve">, the complainant also provided different accounts regarding the source of light present at the time of the incident.  </w:t>
      </w:r>
      <w:r w:rsidR="00221ED7">
        <w:rPr>
          <w:sz w:val="24"/>
          <w:szCs w:val="24"/>
        </w:rPr>
        <w:t xml:space="preserve">Initially, she testified that there was light coming from the toilet, the landlord’s house, and neighboring houses.  These lights would have emanated from inside these structures.  However, it </w:t>
      </w:r>
      <w:r w:rsidR="000A29AE">
        <w:rPr>
          <w:sz w:val="24"/>
          <w:szCs w:val="24"/>
        </w:rPr>
        <w:lastRenderedPageBreak/>
        <w:t xml:space="preserve">later transpired that the lights in the toilets were off.  Concerning the landlord’s house, she could not confirm whether the curtains were open as the windows were situated too high </w:t>
      </w:r>
      <w:r w:rsidR="00B0263D">
        <w:rPr>
          <w:sz w:val="24"/>
          <w:szCs w:val="24"/>
        </w:rPr>
        <w:t xml:space="preserve">for her to see.  </w:t>
      </w:r>
      <w:r w:rsidR="000A29AE">
        <w:rPr>
          <w:sz w:val="24"/>
          <w:szCs w:val="24"/>
        </w:rPr>
        <w:t>It</w:t>
      </w:r>
      <w:r w:rsidR="00694767">
        <w:rPr>
          <w:sz w:val="24"/>
          <w:szCs w:val="24"/>
        </w:rPr>
        <w:t xml:space="preserve"> was eventually revealed that the windows were small and would not have allowed much light to escape.</w:t>
      </w:r>
    </w:p>
    <w:p w14:paraId="0D77935E" w14:textId="77777777" w:rsidR="00B0263D" w:rsidRDefault="00B0263D" w:rsidP="004C6E0A">
      <w:pPr>
        <w:spacing w:line="480" w:lineRule="auto"/>
        <w:jc w:val="both"/>
        <w:rPr>
          <w:sz w:val="24"/>
          <w:szCs w:val="24"/>
        </w:rPr>
      </w:pPr>
    </w:p>
    <w:p w14:paraId="50132468" w14:textId="475469DB" w:rsidR="00A37D9C" w:rsidRDefault="00B0263D" w:rsidP="004C6E0A">
      <w:pPr>
        <w:spacing w:line="480" w:lineRule="auto"/>
        <w:jc w:val="both"/>
        <w:rPr>
          <w:sz w:val="24"/>
          <w:szCs w:val="24"/>
        </w:rPr>
      </w:pPr>
      <w:r>
        <w:rPr>
          <w:sz w:val="24"/>
          <w:szCs w:val="24"/>
        </w:rPr>
        <w:t>[18]</w:t>
      </w:r>
      <w:r>
        <w:rPr>
          <w:sz w:val="24"/>
          <w:szCs w:val="24"/>
        </w:rPr>
        <w:tab/>
      </w:r>
      <w:r w:rsidR="00EE6FF0">
        <w:rPr>
          <w:sz w:val="24"/>
          <w:szCs w:val="24"/>
        </w:rPr>
        <w:t xml:space="preserve">After considering the </w:t>
      </w:r>
      <w:r w:rsidR="002B4543">
        <w:rPr>
          <w:sz w:val="24"/>
          <w:szCs w:val="24"/>
        </w:rPr>
        <w:t xml:space="preserve">entirety of the evidence before the court, </w:t>
      </w:r>
      <w:r w:rsidR="00EE6FF0">
        <w:rPr>
          <w:sz w:val="24"/>
          <w:szCs w:val="24"/>
        </w:rPr>
        <w:t>t</w:t>
      </w:r>
      <w:r w:rsidR="00A37D9C">
        <w:rPr>
          <w:sz w:val="24"/>
          <w:szCs w:val="24"/>
        </w:rPr>
        <w:t xml:space="preserve">he contradictions mentioned above are </w:t>
      </w:r>
      <w:r w:rsidR="00CE6CA1">
        <w:rPr>
          <w:sz w:val="24"/>
          <w:szCs w:val="24"/>
        </w:rPr>
        <w:t>inconsequential</w:t>
      </w:r>
      <w:r w:rsidR="00A37D9C">
        <w:rPr>
          <w:sz w:val="24"/>
          <w:szCs w:val="24"/>
        </w:rPr>
        <w:t>.  It is important to bear in mind that there has been a passing of approximately two years from the time of the incident to when the evidence was presented in court.</w:t>
      </w:r>
    </w:p>
    <w:p w14:paraId="4A7E9705" w14:textId="77777777" w:rsidR="00A37D9C" w:rsidRDefault="00A37D9C" w:rsidP="004C6E0A">
      <w:pPr>
        <w:spacing w:line="480" w:lineRule="auto"/>
        <w:jc w:val="both"/>
        <w:rPr>
          <w:sz w:val="24"/>
          <w:szCs w:val="24"/>
        </w:rPr>
      </w:pPr>
    </w:p>
    <w:p w14:paraId="74058878" w14:textId="748FF305" w:rsidR="00B0263D" w:rsidRDefault="00A37D9C" w:rsidP="004C6E0A">
      <w:pPr>
        <w:spacing w:line="480" w:lineRule="auto"/>
        <w:jc w:val="both"/>
        <w:rPr>
          <w:sz w:val="24"/>
          <w:szCs w:val="24"/>
        </w:rPr>
      </w:pPr>
      <w:r>
        <w:rPr>
          <w:sz w:val="24"/>
          <w:szCs w:val="24"/>
        </w:rPr>
        <w:t>[19]</w:t>
      </w:r>
      <w:r>
        <w:rPr>
          <w:sz w:val="24"/>
          <w:szCs w:val="24"/>
        </w:rPr>
        <w:tab/>
      </w:r>
      <w:r w:rsidR="00B0263D">
        <w:rPr>
          <w:sz w:val="24"/>
          <w:szCs w:val="24"/>
        </w:rPr>
        <w:t xml:space="preserve">After having read the transcript and carefully considering all the circumstances of this case, I find no fault with the trial court’s assessment of the witnesses’ evidence.  The trial court had the advantage of observing the witnesses’ evidence.  The trial court had the advantage of observing the witnesses testify and their reactions during cross-examination, an advantage not available to this court as a court of appeal.  In the absence of any misdirection by the trial court, </w:t>
      </w:r>
      <w:r>
        <w:rPr>
          <w:sz w:val="24"/>
          <w:szCs w:val="24"/>
        </w:rPr>
        <w:t xml:space="preserve">this court </w:t>
      </w:r>
      <w:r w:rsidR="008C5D07">
        <w:rPr>
          <w:sz w:val="24"/>
          <w:szCs w:val="24"/>
        </w:rPr>
        <w:t>declines</w:t>
      </w:r>
      <w:r w:rsidR="00B0263D">
        <w:rPr>
          <w:sz w:val="24"/>
          <w:szCs w:val="24"/>
        </w:rPr>
        <w:t xml:space="preserve"> to interfere with its findings.</w:t>
      </w:r>
    </w:p>
    <w:p w14:paraId="4743050F" w14:textId="77777777" w:rsidR="00A37D9C" w:rsidRDefault="00A37D9C" w:rsidP="004C6E0A">
      <w:pPr>
        <w:spacing w:line="480" w:lineRule="auto"/>
        <w:jc w:val="both"/>
        <w:rPr>
          <w:sz w:val="24"/>
          <w:szCs w:val="24"/>
        </w:rPr>
      </w:pPr>
    </w:p>
    <w:p w14:paraId="654804E1" w14:textId="44DD153E" w:rsidR="00A37D9C" w:rsidRDefault="00A37D9C" w:rsidP="004C6E0A">
      <w:pPr>
        <w:spacing w:line="480" w:lineRule="auto"/>
        <w:jc w:val="both"/>
        <w:rPr>
          <w:b/>
          <w:bCs/>
          <w:sz w:val="24"/>
          <w:szCs w:val="24"/>
        </w:rPr>
      </w:pPr>
      <w:r>
        <w:rPr>
          <w:b/>
          <w:bCs/>
          <w:sz w:val="24"/>
          <w:szCs w:val="24"/>
        </w:rPr>
        <w:t xml:space="preserve">SENTENCING: </w:t>
      </w:r>
    </w:p>
    <w:p w14:paraId="302CD71D" w14:textId="77777777" w:rsidR="00A37D9C" w:rsidRPr="00A37D9C" w:rsidRDefault="00A37D9C" w:rsidP="004C6E0A">
      <w:pPr>
        <w:spacing w:line="480" w:lineRule="auto"/>
        <w:jc w:val="both"/>
        <w:rPr>
          <w:b/>
          <w:bCs/>
          <w:sz w:val="24"/>
          <w:szCs w:val="24"/>
        </w:rPr>
      </w:pPr>
    </w:p>
    <w:p w14:paraId="5782C014" w14:textId="06E11356" w:rsidR="00A37D9C" w:rsidRDefault="00A37D9C" w:rsidP="004C6E0A">
      <w:pPr>
        <w:spacing w:line="480" w:lineRule="auto"/>
        <w:jc w:val="both"/>
        <w:rPr>
          <w:sz w:val="24"/>
          <w:szCs w:val="24"/>
        </w:rPr>
      </w:pPr>
      <w:r>
        <w:rPr>
          <w:sz w:val="24"/>
          <w:szCs w:val="24"/>
        </w:rPr>
        <w:t>[20]</w:t>
      </w:r>
      <w:r>
        <w:rPr>
          <w:sz w:val="24"/>
          <w:szCs w:val="24"/>
        </w:rPr>
        <w:tab/>
      </w:r>
      <w:r w:rsidR="009D0A48">
        <w:rPr>
          <w:sz w:val="24"/>
          <w:szCs w:val="24"/>
        </w:rPr>
        <w:t>On behalf of the F</w:t>
      </w:r>
      <w:r>
        <w:rPr>
          <w:sz w:val="24"/>
          <w:szCs w:val="24"/>
        </w:rPr>
        <w:t xml:space="preserve">irst Appellant </w:t>
      </w:r>
      <w:r w:rsidR="009D0A48">
        <w:rPr>
          <w:sz w:val="24"/>
          <w:szCs w:val="24"/>
        </w:rPr>
        <w:t xml:space="preserve">it was </w:t>
      </w:r>
      <w:r>
        <w:rPr>
          <w:sz w:val="24"/>
          <w:szCs w:val="24"/>
        </w:rPr>
        <w:t xml:space="preserve">argued that the trial court </w:t>
      </w:r>
      <w:r w:rsidR="000F3C65">
        <w:rPr>
          <w:sz w:val="24"/>
          <w:szCs w:val="24"/>
        </w:rPr>
        <w:t>misdirected</w:t>
      </w:r>
      <w:r>
        <w:rPr>
          <w:sz w:val="24"/>
          <w:szCs w:val="24"/>
        </w:rPr>
        <w:t xml:space="preserve"> in failing to find significant and compelling reasons to depart from the minimum prescribed sentence of life imprisonment.  The First Appellant, aged 25 at the time </w:t>
      </w:r>
      <w:r w:rsidR="00C8113B">
        <w:rPr>
          <w:sz w:val="24"/>
          <w:szCs w:val="24"/>
        </w:rPr>
        <w:t>of sentencing</w:t>
      </w:r>
      <w:r>
        <w:rPr>
          <w:sz w:val="24"/>
          <w:szCs w:val="24"/>
        </w:rPr>
        <w:t xml:space="preserve">, became a father while in prison.  His relationship with the child’s mother ended following </w:t>
      </w:r>
      <w:r>
        <w:rPr>
          <w:sz w:val="24"/>
          <w:szCs w:val="24"/>
        </w:rPr>
        <w:lastRenderedPageBreak/>
        <w:t xml:space="preserve">his arrest.  He had a challenging upbringing and came to South Africa from Zimbabwe in pursuit of a better life.  </w:t>
      </w:r>
      <w:r w:rsidR="00B311E1">
        <w:rPr>
          <w:sz w:val="24"/>
          <w:szCs w:val="24"/>
        </w:rPr>
        <w:t>Furthermore</w:t>
      </w:r>
      <w:r>
        <w:rPr>
          <w:sz w:val="24"/>
          <w:szCs w:val="24"/>
        </w:rPr>
        <w:t xml:space="preserve">, he had no prior criminal record.  It was contended that the absence of physical injuries to the complainant and the potential for rehabilitation constituted significant and compelling factors to </w:t>
      </w:r>
      <w:r w:rsidR="00B311E1">
        <w:rPr>
          <w:sz w:val="24"/>
          <w:szCs w:val="24"/>
        </w:rPr>
        <w:t>deviate</w:t>
      </w:r>
      <w:r>
        <w:rPr>
          <w:sz w:val="24"/>
          <w:szCs w:val="24"/>
        </w:rPr>
        <w:t xml:space="preserve"> from the prescribed minimum sentence.</w:t>
      </w:r>
      <w:r w:rsidR="0043316B">
        <w:rPr>
          <w:sz w:val="24"/>
          <w:szCs w:val="24"/>
        </w:rPr>
        <w:t xml:space="preserve">  </w:t>
      </w:r>
    </w:p>
    <w:p w14:paraId="4F7B8F55" w14:textId="77777777" w:rsidR="00B311E1" w:rsidRDefault="00B311E1" w:rsidP="004C6E0A">
      <w:pPr>
        <w:spacing w:line="480" w:lineRule="auto"/>
        <w:jc w:val="both"/>
        <w:rPr>
          <w:sz w:val="24"/>
          <w:szCs w:val="24"/>
        </w:rPr>
      </w:pPr>
    </w:p>
    <w:p w14:paraId="13ACAE3B" w14:textId="10FD915F" w:rsidR="00B311E1" w:rsidRDefault="00B311E1" w:rsidP="004C6E0A">
      <w:pPr>
        <w:spacing w:line="480" w:lineRule="auto"/>
        <w:jc w:val="both"/>
        <w:rPr>
          <w:sz w:val="24"/>
          <w:szCs w:val="24"/>
        </w:rPr>
      </w:pPr>
      <w:r>
        <w:rPr>
          <w:sz w:val="24"/>
          <w:szCs w:val="24"/>
        </w:rPr>
        <w:t>[21]</w:t>
      </w:r>
      <w:r>
        <w:rPr>
          <w:sz w:val="24"/>
          <w:szCs w:val="24"/>
        </w:rPr>
        <w:tab/>
      </w:r>
      <w:r w:rsidR="009D0A48">
        <w:rPr>
          <w:sz w:val="24"/>
          <w:szCs w:val="24"/>
        </w:rPr>
        <w:t xml:space="preserve">On behalf of the </w:t>
      </w:r>
      <w:r w:rsidR="00FC3FA3">
        <w:rPr>
          <w:sz w:val="24"/>
          <w:szCs w:val="24"/>
        </w:rPr>
        <w:t>Second Appellant</w:t>
      </w:r>
      <w:r w:rsidR="009D0A48">
        <w:rPr>
          <w:sz w:val="24"/>
          <w:szCs w:val="24"/>
        </w:rPr>
        <w:t xml:space="preserve"> it was argued that he</w:t>
      </w:r>
      <w:r w:rsidR="00FC3FA3">
        <w:rPr>
          <w:sz w:val="24"/>
          <w:szCs w:val="24"/>
        </w:rPr>
        <w:t xml:space="preserve"> was 23 years old when sentenced, having been 18 at the time </w:t>
      </w:r>
      <w:r w:rsidR="008C7B44">
        <w:rPr>
          <w:sz w:val="24"/>
          <w:szCs w:val="24"/>
        </w:rPr>
        <w:t xml:space="preserve">of the </w:t>
      </w:r>
      <w:r w:rsidR="00911576">
        <w:rPr>
          <w:sz w:val="24"/>
          <w:szCs w:val="24"/>
        </w:rPr>
        <w:t>offence</w:t>
      </w:r>
      <w:r w:rsidR="00CF1CCB">
        <w:rPr>
          <w:sz w:val="24"/>
          <w:szCs w:val="24"/>
        </w:rPr>
        <w:t>s</w:t>
      </w:r>
      <w:r w:rsidR="008C7B44">
        <w:rPr>
          <w:sz w:val="24"/>
          <w:szCs w:val="24"/>
        </w:rPr>
        <w:t xml:space="preserve">.  He was unmarried and without children, </w:t>
      </w:r>
      <w:r w:rsidR="00CF1CCB">
        <w:rPr>
          <w:sz w:val="24"/>
          <w:szCs w:val="24"/>
        </w:rPr>
        <w:t>similarly,</w:t>
      </w:r>
      <w:r w:rsidR="00B63FC9">
        <w:rPr>
          <w:sz w:val="24"/>
          <w:szCs w:val="24"/>
        </w:rPr>
        <w:t xml:space="preserve"> coming to South Africa in </w:t>
      </w:r>
      <w:r w:rsidR="00CF1CCB">
        <w:rPr>
          <w:sz w:val="24"/>
          <w:szCs w:val="24"/>
        </w:rPr>
        <w:t>pursuit</w:t>
      </w:r>
      <w:r w:rsidR="00B63FC9">
        <w:rPr>
          <w:sz w:val="24"/>
          <w:szCs w:val="24"/>
        </w:rPr>
        <w:t xml:space="preserve"> of a better life due to challenging circumstances in Zimbabwe.  </w:t>
      </w:r>
      <w:r w:rsidR="00CF1CCB">
        <w:rPr>
          <w:sz w:val="24"/>
          <w:szCs w:val="24"/>
        </w:rPr>
        <w:t>Also,</w:t>
      </w:r>
      <w:r w:rsidR="00B63FC9">
        <w:rPr>
          <w:sz w:val="24"/>
          <w:szCs w:val="24"/>
        </w:rPr>
        <w:t xml:space="preserve"> a first-time offender, it was </w:t>
      </w:r>
      <w:r w:rsidR="00562876">
        <w:rPr>
          <w:sz w:val="24"/>
          <w:szCs w:val="24"/>
        </w:rPr>
        <w:t xml:space="preserve">contended </w:t>
      </w:r>
      <w:r w:rsidR="00B63FC9">
        <w:rPr>
          <w:sz w:val="24"/>
          <w:szCs w:val="24"/>
        </w:rPr>
        <w:t>that substantial and compelling factors</w:t>
      </w:r>
      <w:r w:rsidR="00006B50">
        <w:rPr>
          <w:sz w:val="24"/>
          <w:szCs w:val="24"/>
        </w:rPr>
        <w:t xml:space="preserve"> existed, including his youth, as corroborated by the complainant’s testimony regarding his </w:t>
      </w:r>
      <w:r w:rsidR="00CF1CCB">
        <w:rPr>
          <w:sz w:val="24"/>
          <w:szCs w:val="24"/>
        </w:rPr>
        <w:t>comparatively</w:t>
      </w:r>
      <w:r w:rsidR="00006B50">
        <w:rPr>
          <w:sz w:val="24"/>
          <w:szCs w:val="24"/>
        </w:rPr>
        <w:t xml:space="preserve"> </w:t>
      </w:r>
      <w:r w:rsidR="009A0219">
        <w:rPr>
          <w:sz w:val="24"/>
          <w:szCs w:val="24"/>
        </w:rPr>
        <w:t>youthful age</w:t>
      </w:r>
      <w:r w:rsidR="00006B50">
        <w:rPr>
          <w:sz w:val="24"/>
          <w:szCs w:val="24"/>
        </w:rPr>
        <w:t xml:space="preserve"> within the group, suggesting potential influence from others.  Moreover, his clean record and extended time spent in custody </w:t>
      </w:r>
      <w:r w:rsidR="00A04110">
        <w:rPr>
          <w:sz w:val="24"/>
          <w:szCs w:val="24"/>
        </w:rPr>
        <w:t>awaiting</w:t>
      </w:r>
      <w:r w:rsidR="00006B50">
        <w:rPr>
          <w:sz w:val="24"/>
          <w:szCs w:val="24"/>
        </w:rPr>
        <w:t xml:space="preserve"> trial, approximately five years, </w:t>
      </w:r>
      <w:r w:rsidR="00911576">
        <w:rPr>
          <w:sz w:val="24"/>
          <w:szCs w:val="24"/>
        </w:rPr>
        <w:t xml:space="preserve">were emphasized as deserving consideration as significant circumstances. </w:t>
      </w:r>
    </w:p>
    <w:p w14:paraId="555B8A19" w14:textId="77777777" w:rsidR="00A04110" w:rsidRDefault="00A04110" w:rsidP="004C6E0A">
      <w:pPr>
        <w:spacing w:line="480" w:lineRule="auto"/>
        <w:jc w:val="both"/>
        <w:rPr>
          <w:sz w:val="24"/>
          <w:szCs w:val="24"/>
        </w:rPr>
      </w:pPr>
    </w:p>
    <w:p w14:paraId="759A2C23" w14:textId="4346A65D" w:rsidR="00A04110" w:rsidRDefault="00A04110" w:rsidP="004C6E0A">
      <w:pPr>
        <w:spacing w:line="480" w:lineRule="auto"/>
        <w:jc w:val="both"/>
        <w:rPr>
          <w:sz w:val="24"/>
          <w:szCs w:val="24"/>
        </w:rPr>
      </w:pPr>
      <w:r>
        <w:rPr>
          <w:sz w:val="24"/>
          <w:szCs w:val="24"/>
        </w:rPr>
        <w:t>[22]</w:t>
      </w:r>
      <w:r w:rsidR="00562876">
        <w:rPr>
          <w:sz w:val="24"/>
          <w:szCs w:val="24"/>
        </w:rPr>
        <w:tab/>
      </w:r>
      <w:r w:rsidR="001967D5">
        <w:rPr>
          <w:sz w:val="24"/>
          <w:szCs w:val="24"/>
        </w:rPr>
        <w:t>Counsel on behalf of the State contended that the trial court duly consider</w:t>
      </w:r>
      <w:r w:rsidR="008A6755">
        <w:rPr>
          <w:sz w:val="24"/>
          <w:szCs w:val="24"/>
        </w:rPr>
        <w:t>ed</w:t>
      </w:r>
      <w:r w:rsidR="001967D5">
        <w:rPr>
          <w:sz w:val="24"/>
          <w:szCs w:val="24"/>
        </w:rPr>
        <w:t xml:space="preserve"> the </w:t>
      </w:r>
      <w:r w:rsidR="00D737CB">
        <w:rPr>
          <w:sz w:val="24"/>
          <w:szCs w:val="24"/>
        </w:rPr>
        <w:t xml:space="preserve">factors normally </w:t>
      </w:r>
      <w:r w:rsidR="008713AF">
        <w:rPr>
          <w:sz w:val="24"/>
          <w:szCs w:val="24"/>
        </w:rPr>
        <w:t>considered</w:t>
      </w:r>
      <w:r w:rsidR="00D737CB">
        <w:rPr>
          <w:sz w:val="24"/>
          <w:szCs w:val="24"/>
        </w:rPr>
        <w:t xml:space="preserve"> for the purposes of sentence.  Furthermore, it was asserted that no </w:t>
      </w:r>
      <w:r w:rsidR="008713AF">
        <w:rPr>
          <w:sz w:val="24"/>
          <w:szCs w:val="24"/>
        </w:rPr>
        <w:t>significant</w:t>
      </w:r>
      <w:r w:rsidR="00D737CB">
        <w:rPr>
          <w:sz w:val="24"/>
          <w:szCs w:val="24"/>
        </w:rPr>
        <w:t xml:space="preserve"> and compelling reasons were presented to warrant deviation from the </w:t>
      </w:r>
      <w:r w:rsidR="008713AF">
        <w:rPr>
          <w:sz w:val="24"/>
          <w:szCs w:val="24"/>
        </w:rPr>
        <w:t>prescribed</w:t>
      </w:r>
      <w:r w:rsidR="005E769D">
        <w:rPr>
          <w:sz w:val="24"/>
          <w:szCs w:val="24"/>
        </w:rPr>
        <w:t xml:space="preserve"> minimum sentence.  Counsel emphasized that</w:t>
      </w:r>
      <w:r w:rsidR="00ED45F2">
        <w:rPr>
          <w:sz w:val="24"/>
          <w:szCs w:val="24"/>
        </w:rPr>
        <w:t xml:space="preserve"> there is only one </w:t>
      </w:r>
      <w:r w:rsidR="005E769D">
        <w:rPr>
          <w:sz w:val="24"/>
          <w:szCs w:val="24"/>
        </w:rPr>
        <w:t xml:space="preserve">potential mitigating factor, the </w:t>
      </w:r>
      <w:r w:rsidR="008713AF">
        <w:rPr>
          <w:sz w:val="24"/>
          <w:szCs w:val="24"/>
        </w:rPr>
        <w:t>extended</w:t>
      </w:r>
      <w:r w:rsidR="005E769D">
        <w:rPr>
          <w:sz w:val="24"/>
          <w:szCs w:val="24"/>
        </w:rPr>
        <w:t xml:space="preserve"> period of five </w:t>
      </w:r>
      <w:r w:rsidR="008713AF">
        <w:rPr>
          <w:sz w:val="24"/>
          <w:szCs w:val="24"/>
        </w:rPr>
        <w:t>years</w:t>
      </w:r>
      <w:r w:rsidR="005E769D">
        <w:rPr>
          <w:sz w:val="24"/>
          <w:szCs w:val="24"/>
        </w:rPr>
        <w:t xml:space="preserve"> awaiting trial</w:t>
      </w:r>
      <w:r w:rsidR="003B25EB">
        <w:rPr>
          <w:sz w:val="24"/>
          <w:szCs w:val="24"/>
        </w:rPr>
        <w:t xml:space="preserve">.  Counsel, however, contended that the delay was not </w:t>
      </w:r>
      <w:r w:rsidR="005E769D">
        <w:rPr>
          <w:sz w:val="24"/>
          <w:szCs w:val="24"/>
        </w:rPr>
        <w:t xml:space="preserve">attributable to </w:t>
      </w:r>
      <w:r w:rsidR="008713AF">
        <w:rPr>
          <w:sz w:val="24"/>
          <w:szCs w:val="24"/>
        </w:rPr>
        <w:t>the fault of the State.</w:t>
      </w:r>
    </w:p>
    <w:p w14:paraId="5DA801AB" w14:textId="77777777" w:rsidR="000B0081" w:rsidRDefault="000B0081" w:rsidP="004C6E0A">
      <w:pPr>
        <w:spacing w:line="480" w:lineRule="auto"/>
        <w:jc w:val="both"/>
        <w:rPr>
          <w:sz w:val="24"/>
          <w:szCs w:val="24"/>
        </w:rPr>
      </w:pPr>
    </w:p>
    <w:p w14:paraId="4AA74E29" w14:textId="6B11FBA2" w:rsidR="003D0675" w:rsidRPr="003D0675" w:rsidRDefault="00AC2D8F" w:rsidP="003D0675">
      <w:pPr>
        <w:pStyle w:val="NormalWeb"/>
        <w:shd w:val="clear" w:color="auto" w:fill="FFFFFF"/>
        <w:spacing w:before="144" w:beforeAutospacing="0" w:after="0" w:afterAutospacing="0" w:line="480" w:lineRule="auto"/>
        <w:jc w:val="both"/>
        <w:rPr>
          <w:rFonts w:ascii="Arial" w:hAnsi="Arial" w:cs="Arial"/>
          <w:color w:val="242121"/>
        </w:rPr>
      </w:pPr>
      <w:r w:rsidRPr="004C75BD">
        <w:rPr>
          <w:rFonts w:ascii="Arial" w:hAnsi="Arial" w:cs="Arial"/>
        </w:rPr>
        <w:lastRenderedPageBreak/>
        <w:t>[23]</w:t>
      </w:r>
      <w:r w:rsidRPr="004C75BD">
        <w:rPr>
          <w:rFonts w:ascii="Arial" w:hAnsi="Arial" w:cs="Arial"/>
        </w:rPr>
        <w:tab/>
      </w:r>
      <w:r w:rsidR="003E6F6B" w:rsidRPr="004C75BD">
        <w:rPr>
          <w:rFonts w:ascii="Arial" w:hAnsi="Arial" w:cs="Arial"/>
          <w:color w:val="242121"/>
          <w:lang w:val="en-GB"/>
        </w:rPr>
        <w:t xml:space="preserve">In the matter of </w:t>
      </w:r>
      <w:r w:rsidR="003D0675" w:rsidRPr="004C75BD">
        <w:rPr>
          <w:rFonts w:ascii="Arial" w:hAnsi="Arial" w:cs="Arial"/>
          <w:color w:val="242121"/>
          <w:lang w:val="en-GB"/>
        </w:rPr>
        <w:t>S v</w:t>
      </w:r>
      <w:r w:rsidR="003D0675" w:rsidRPr="003D0675">
        <w:rPr>
          <w:rFonts w:ascii="Arial" w:hAnsi="Arial" w:cs="Arial"/>
          <w:color w:val="242121"/>
          <w:lang w:val="en-GB"/>
        </w:rPr>
        <w:t xml:space="preserve"> Malgas</w:t>
      </w:r>
      <w:r w:rsidR="003E6F6B">
        <w:rPr>
          <w:rStyle w:val="FootnoteReference"/>
          <w:rFonts w:ascii="Arial" w:hAnsi="Arial" w:cs="Arial"/>
          <w:color w:val="242121"/>
          <w:lang w:val="en-GB"/>
        </w:rPr>
        <w:footnoteReference w:id="5"/>
      </w:r>
      <w:r w:rsidR="003D0675" w:rsidRPr="003D0675">
        <w:rPr>
          <w:rFonts w:ascii="Arial" w:hAnsi="Arial" w:cs="Arial"/>
          <w:color w:val="242121"/>
          <w:lang w:val="en-GB"/>
        </w:rPr>
        <w:t> </w:t>
      </w:r>
      <w:r w:rsidR="00702D30">
        <w:rPr>
          <w:rFonts w:ascii="Arial" w:hAnsi="Arial" w:cs="Arial"/>
          <w:color w:val="242121"/>
          <w:lang w:val="en-GB"/>
        </w:rPr>
        <w:t>the</w:t>
      </w:r>
      <w:r w:rsidR="003D0675" w:rsidRPr="003D0675">
        <w:rPr>
          <w:rFonts w:ascii="Arial" w:hAnsi="Arial" w:cs="Arial"/>
          <w:color w:val="242121"/>
          <w:lang w:val="en-GB"/>
        </w:rPr>
        <w:t xml:space="preserve"> following </w:t>
      </w:r>
      <w:r w:rsidR="00702D30">
        <w:rPr>
          <w:rFonts w:ascii="Arial" w:hAnsi="Arial" w:cs="Arial"/>
          <w:color w:val="242121"/>
          <w:lang w:val="en-GB"/>
        </w:rPr>
        <w:t xml:space="preserve">was </w:t>
      </w:r>
      <w:r w:rsidR="003D0675" w:rsidRPr="003D0675">
        <w:rPr>
          <w:rFonts w:ascii="Arial" w:hAnsi="Arial" w:cs="Arial"/>
          <w:color w:val="242121"/>
          <w:lang w:val="en-GB"/>
        </w:rPr>
        <w:t>emphasised: </w:t>
      </w:r>
    </w:p>
    <w:p w14:paraId="0F6E5F14" w14:textId="77777777" w:rsidR="003D0675" w:rsidRPr="00702D30" w:rsidRDefault="003D0675" w:rsidP="003D0675">
      <w:pPr>
        <w:pStyle w:val="NormalWeb"/>
        <w:shd w:val="clear" w:color="auto" w:fill="FFFFFF"/>
        <w:spacing w:before="144" w:beforeAutospacing="0" w:after="0" w:afterAutospacing="0" w:line="480" w:lineRule="auto"/>
        <w:ind w:left="709"/>
        <w:jc w:val="both"/>
        <w:rPr>
          <w:rFonts w:ascii="Arial" w:hAnsi="Arial" w:cs="Arial"/>
          <w:color w:val="242121"/>
          <w:sz w:val="20"/>
          <w:szCs w:val="20"/>
        </w:rPr>
      </w:pPr>
      <w:r w:rsidRPr="00702D30">
        <w:rPr>
          <w:rFonts w:ascii="Arial" w:hAnsi="Arial" w:cs="Arial"/>
          <w:color w:val="242121"/>
          <w:sz w:val="20"/>
          <w:szCs w:val="20"/>
        </w:rPr>
        <w:t>“</w:t>
      </w:r>
      <w:r w:rsidRPr="00702D30">
        <w:rPr>
          <w:rFonts w:ascii="Arial" w:hAnsi="Arial" w:cs="Arial"/>
          <w:color w:val="242121"/>
          <w:sz w:val="20"/>
          <w:szCs w:val="20"/>
          <w:lang w:val="en-GB"/>
        </w:rPr>
        <w:t>If the sentencing court on consideration of the circumstances of the particular case is satisfied that they render the prescribed sentence unjust in that it would be disproportionate to the crime, the criminal and the needs of society, so that an injustice would be done by imposing that sentence, it is entitled to impose a lesser sentence.”</w:t>
      </w:r>
    </w:p>
    <w:p w14:paraId="23AF026B" w14:textId="77777777" w:rsidR="004C75BD" w:rsidRDefault="004C75BD" w:rsidP="000F5F28">
      <w:pPr>
        <w:pStyle w:val="NormalWeb"/>
        <w:shd w:val="clear" w:color="auto" w:fill="FFFFFF"/>
        <w:spacing w:before="0" w:beforeAutospacing="0" w:after="0" w:afterAutospacing="0" w:line="480" w:lineRule="auto"/>
        <w:jc w:val="both"/>
        <w:rPr>
          <w:rFonts w:ascii="Arial" w:hAnsi="Arial" w:cs="Arial"/>
          <w:color w:val="242121"/>
          <w:lang w:val="en-GB"/>
        </w:rPr>
      </w:pPr>
    </w:p>
    <w:p w14:paraId="18423020" w14:textId="43B96FFF" w:rsidR="003D0675" w:rsidRDefault="004C75BD" w:rsidP="003D0675">
      <w:pPr>
        <w:pStyle w:val="NormalWeb"/>
        <w:shd w:val="clear" w:color="auto" w:fill="FFFFFF"/>
        <w:spacing w:before="144" w:beforeAutospacing="0" w:after="0" w:afterAutospacing="0" w:line="480" w:lineRule="auto"/>
        <w:jc w:val="both"/>
        <w:rPr>
          <w:rFonts w:ascii="Arial" w:hAnsi="Arial" w:cs="Arial"/>
          <w:color w:val="242121"/>
          <w:lang w:val="en-GB"/>
        </w:rPr>
      </w:pPr>
      <w:r>
        <w:rPr>
          <w:rFonts w:ascii="Arial" w:hAnsi="Arial" w:cs="Arial"/>
          <w:color w:val="242121"/>
          <w:lang w:val="en-GB"/>
        </w:rPr>
        <w:t>[24]</w:t>
      </w:r>
      <w:r>
        <w:rPr>
          <w:rFonts w:ascii="Arial" w:hAnsi="Arial" w:cs="Arial"/>
          <w:color w:val="242121"/>
          <w:lang w:val="en-GB"/>
        </w:rPr>
        <w:tab/>
      </w:r>
      <w:r w:rsidR="00656DAB">
        <w:rPr>
          <w:rFonts w:ascii="Arial" w:hAnsi="Arial" w:cs="Arial"/>
          <w:color w:val="242121"/>
          <w:lang w:val="en-GB"/>
        </w:rPr>
        <w:t xml:space="preserve">It is evident from the Malgas matter that the court should not lightly impose </w:t>
      </w:r>
      <w:r w:rsidR="00EF4BFC">
        <w:rPr>
          <w:rFonts w:ascii="Arial" w:hAnsi="Arial" w:cs="Arial"/>
          <w:color w:val="242121"/>
          <w:lang w:val="en-GB"/>
        </w:rPr>
        <w:t xml:space="preserve">a sentence lower than the prescribed minimum sentence.  In line with the criteria outline in </w:t>
      </w:r>
      <w:r w:rsidR="00EF4BFC" w:rsidRPr="00EF4BFC">
        <w:rPr>
          <w:rFonts w:ascii="Arial" w:hAnsi="Arial" w:cs="Arial"/>
          <w:i/>
          <w:iCs/>
          <w:color w:val="242121"/>
          <w:lang w:val="en-GB"/>
        </w:rPr>
        <w:t>Malgas</w:t>
      </w:r>
      <w:r w:rsidR="00EF4BFC">
        <w:rPr>
          <w:rFonts w:ascii="Arial" w:hAnsi="Arial" w:cs="Arial"/>
          <w:color w:val="242121"/>
          <w:lang w:val="en-GB"/>
        </w:rPr>
        <w:t xml:space="preserve">, it is </w:t>
      </w:r>
      <w:r w:rsidR="006A004F">
        <w:rPr>
          <w:rFonts w:ascii="Arial" w:hAnsi="Arial" w:cs="Arial"/>
          <w:color w:val="242121"/>
          <w:lang w:val="en-GB"/>
        </w:rPr>
        <w:t xml:space="preserve">apparent that a comprehensive analysis </w:t>
      </w:r>
      <w:r w:rsidR="005010EF">
        <w:rPr>
          <w:rFonts w:ascii="Arial" w:hAnsi="Arial" w:cs="Arial"/>
          <w:color w:val="242121"/>
          <w:lang w:val="en-GB"/>
        </w:rPr>
        <w:t>of the mitigating and aggravating factors is essential to determine the presence of substantial and compelling circumstances.</w:t>
      </w:r>
    </w:p>
    <w:p w14:paraId="78433236" w14:textId="77777777" w:rsidR="005010EF" w:rsidRDefault="005010EF" w:rsidP="000F5F28">
      <w:pPr>
        <w:pStyle w:val="NormalWeb"/>
        <w:shd w:val="clear" w:color="auto" w:fill="FFFFFF"/>
        <w:spacing w:before="0" w:beforeAutospacing="0" w:after="0" w:afterAutospacing="0" w:line="480" w:lineRule="auto"/>
        <w:jc w:val="both"/>
        <w:rPr>
          <w:rFonts w:ascii="Arial" w:hAnsi="Arial" w:cs="Arial"/>
          <w:color w:val="242121"/>
          <w:lang w:val="en-GB"/>
        </w:rPr>
      </w:pPr>
    </w:p>
    <w:p w14:paraId="66990D50" w14:textId="6BAF319A" w:rsidR="005010EF" w:rsidRDefault="005010EF" w:rsidP="003D0675">
      <w:pPr>
        <w:pStyle w:val="NormalWeb"/>
        <w:shd w:val="clear" w:color="auto" w:fill="FFFFFF"/>
        <w:spacing w:before="144" w:beforeAutospacing="0" w:after="0" w:afterAutospacing="0" w:line="480" w:lineRule="auto"/>
        <w:jc w:val="both"/>
        <w:rPr>
          <w:rFonts w:ascii="Arial" w:hAnsi="Arial" w:cs="Arial"/>
          <w:color w:val="242121"/>
          <w:lang w:val="en-GB"/>
        </w:rPr>
      </w:pPr>
      <w:r>
        <w:rPr>
          <w:rFonts w:ascii="Arial" w:hAnsi="Arial" w:cs="Arial"/>
          <w:color w:val="242121"/>
          <w:lang w:val="en-GB"/>
        </w:rPr>
        <w:t>[25]</w:t>
      </w:r>
      <w:r>
        <w:rPr>
          <w:rFonts w:ascii="Arial" w:hAnsi="Arial" w:cs="Arial"/>
          <w:color w:val="242121"/>
          <w:lang w:val="en-GB"/>
        </w:rPr>
        <w:tab/>
      </w:r>
      <w:r w:rsidR="00D004BE">
        <w:rPr>
          <w:rFonts w:ascii="Arial" w:hAnsi="Arial" w:cs="Arial"/>
          <w:color w:val="242121"/>
          <w:lang w:val="en-GB"/>
        </w:rPr>
        <w:t>With regard to the First Appellant, I find no significant and compelling circumstances in either</w:t>
      </w:r>
      <w:r w:rsidR="00A37ACD">
        <w:rPr>
          <w:rFonts w:ascii="Arial" w:hAnsi="Arial" w:cs="Arial"/>
          <w:color w:val="242121"/>
          <w:lang w:val="en-GB"/>
        </w:rPr>
        <w:t xml:space="preserve"> his personal background or </w:t>
      </w:r>
      <w:r w:rsidR="001037BC">
        <w:rPr>
          <w:rFonts w:ascii="Arial" w:hAnsi="Arial" w:cs="Arial"/>
          <w:color w:val="242121"/>
          <w:lang w:val="en-GB"/>
        </w:rPr>
        <w:t xml:space="preserve">the </w:t>
      </w:r>
      <w:r w:rsidR="00A37ACD">
        <w:rPr>
          <w:rFonts w:ascii="Arial" w:hAnsi="Arial" w:cs="Arial"/>
          <w:color w:val="242121"/>
          <w:lang w:val="en-GB"/>
        </w:rPr>
        <w:t>potential for rehabilitation.  I do not consider the lack of physical injuries to the complainant as a mitigation factor.  The nature for the First Appellant’s crime, in m</w:t>
      </w:r>
      <w:r w:rsidR="008A1A3E">
        <w:rPr>
          <w:rFonts w:ascii="Arial" w:hAnsi="Arial" w:cs="Arial"/>
          <w:color w:val="242121"/>
          <w:lang w:val="en-GB"/>
        </w:rPr>
        <w:t xml:space="preserve">y assessment, is callous and likely to inflict lasting emotional harm upon </w:t>
      </w:r>
      <w:r w:rsidR="001037BC">
        <w:rPr>
          <w:rFonts w:ascii="Arial" w:hAnsi="Arial" w:cs="Arial"/>
          <w:color w:val="242121"/>
          <w:lang w:val="en-GB"/>
        </w:rPr>
        <w:t xml:space="preserve">her, </w:t>
      </w:r>
      <w:r w:rsidR="008A1A3E">
        <w:rPr>
          <w:rFonts w:ascii="Arial" w:hAnsi="Arial" w:cs="Arial"/>
          <w:color w:val="242121"/>
          <w:lang w:val="en-GB"/>
        </w:rPr>
        <w:t>despite the absence of physical injuries.</w:t>
      </w:r>
    </w:p>
    <w:p w14:paraId="32094280" w14:textId="77777777" w:rsidR="008A1A3E" w:rsidRDefault="008A1A3E" w:rsidP="001463F0">
      <w:pPr>
        <w:pStyle w:val="NormalWeb"/>
        <w:shd w:val="clear" w:color="auto" w:fill="FFFFFF"/>
        <w:spacing w:before="0" w:beforeAutospacing="0" w:after="0" w:afterAutospacing="0" w:line="480" w:lineRule="auto"/>
        <w:jc w:val="both"/>
        <w:rPr>
          <w:rFonts w:ascii="Arial" w:hAnsi="Arial" w:cs="Arial"/>
          <w:color w:val="242121"/>
          <w:lang w:val="en-GB"/>
        </w:rPr>
      </w:pPr>
    </w:p>
    <w:p w14:paraId="0FD8243A" w14:textId="1E6D0BA2" w:rsidR="008A1A3E" w:rsidRDefault="008A1A3E" w:rsidP="003D0675">
      <w:pPr>
        <w:pStyle w:val="NormalWeb"/>
        <w:shd w:val="clear" w:color="auto" w:fill="FFFFFF"/>
        <w:spacing w:before="144" w:beforeAutospacing="0" w:after="0" w:afterAutospacing="0" w:line="480" w:lineRule="auto"/>
        <w:jc w:val="both"/>
        <w:rPr>
          <w:rFonts w:ascii="Arial" w:hAnsi="Arial" w:cs="Arial"/>
          <w:color w:val="242121"/>
          <w:lang w:val="en-GB"/>
        </w:rPr>
      </w:pPr>
      <w:r>
        <w:rPr>
          <w:rFonts w:ascii="Arial" w:hAnsi="Arial" w:cs="Arial"/>
          <w:color w:val="242121"/>
          <w:lang w:val="en-GB"/>
        </w:rPr>
        <w:t>[26]</w:t>
      </w:r>
      <w:r>
        <w:rPr>
          <w:rFonts w:ascii="Arial" w:hAnsi="Arial" w:cs="Arial"/>
          <w:color w:val="242121"/>
          <w:lang w:val="en-GB"/>
        </w:rPr>
        <w:tab/>
      </w:r>
      <w:r w:rsidR="00090124">
        <w:rPr>
          <w:rFonts w:ascii="Arial" w:hAnsi="Arial" w:cs="Arial"/>
          <w:color w:val="242121"/>
          <w:lang w:val="en-GB"/>
        </w:rPr>
        <w:t xml:space="preserve">As for the Second Appellant, I similarly find no substantial and compelling circumstances.  Merely being of a young age is not </w:t>
      </w:r>
      <w:r w:rsidR="00DB6059">
        <w:rPr>
          <w:rFonts w:ascii="Arial" w:hAnsi="Arial" w:cs="Arial"/>
          <w:color w:val="242121"/>
          <w:lang w:val="en-GB"/>
        </w:rPr>
        <w:t>adequate to be considered a mitigating factor.  Additionally, the Second App</w:t>
      </w:r>
      <w:r w:rsidR="009E70D7">
        <w:rPr>
          <w:rFonts w:ascii="Arial" w:hAnsi="Arial" w:cs="Arial"/>
          <w:color w:val="242121"/>
          <w:lang w:val="en-GB"/>
        </w:rPr>
        <w:t>ellant appears to have no remorse for his actions.</w:t>
      </w:r>
    </w:p>
    <w:p w14:paraId="4B45860A" w14:textId="77777777" w:rsidR="00550BB1" w:rsidRDefault="00550BB1" w:rsidP="003D0675">
      <w:pPr>
        <w:pStyle w:val="NormalWeb"/>
        <w:shd w:val="clear" w:color="auto" w:fill="FFFFFF"/>
        <w:spacing w:before="144" w:beforeAutospacing="0" w:after="0" w:afterAutospacing="0" w:line="480" w:lineRule="auto"/>
        <w:jc w:val="both"/>
        <w:rPr>
          <w:rFonts w:ascii="Arial" w:hAnsi="Arial" w:cs="Arial"/>
          <w:color w:val="242121"/>
          <w:lang w:val="en-GB"/>
        </w:rPr>
      </w:pPr>
    </w:p>
    <w:p w14:paraId="789C584A" w14:textId="22379660" w:rsidR="00550BB1" w:rsidRDefault="00550BB1" w:rsidP="003D0675">
      <w:pPr>
        <w:pStyle w:val="NormalWeb"/>
        <w:shd w:val="clear" w:color="auto" w:fill="FFFFFF"/>
        <w:spacing w:before="144" w:beforeAutospacing="0" w:after="0" w:afterAutospacing="0" w:line="480" w:lineRule="auto"/>
        <w:jc w:val="both"/>
        <w:rPr>
          <w:rFonts w:ascii="Arial" w:hAnsi="Arial" w:cs="Arial"/>
          <w:color w:val="242121"/>
          <w:lang w:val="en-GB"/>
        </w:rPr>
      </w:pPr>
      <w:r>
        <w:rPr>
          <w:rFonts w:ascii="Arial" w:hAnsi="Arial" w:cs="Arial"/>
          <w:color w:val="242121"/>
          <w:lang w:val="en-GB"/>
        </w:rPr>
        <w:t>[27]</w:t>
      </w:r>
      <w:r>
        <w:rPr>
          <w:rFonts w:ascii="Arial" w:hAnsi="Arial" w:cs="Arial"/>
          <w:color w:val="242121"/>
          <w:lang w:val="en-GB"/>
        </w:rPr>
        <w:tab/>
      </w:r>
      <w:r w:rsidR="00C67DF9">
        <w:rPr>
          <w:rFonts w:ascii="Arial" w:hAnsi="Arial" w:cs="Arial"/>
          <w:color w:val="242121"/>
          <w:lang w:val="en-GB"/>
        </w:rPr>
        <w:t>The only further consideration is the prolonged duration</w:t>
      </w:r>
      <w:r w:rsidR="00752E1E">
        <w:rPr>
          <w:rFonts w:ascii="Arial" w:hAnsi="Arial" w:cs="Arial"/>
          <w:color w:val="242121"/>
          <w:lang w:val="en-GB"/>
        </w:rPr>
        <w:t xml:space="preserve"> of the First and Appellant’s time spent </w:t>
      </w:r>
      <w:r w:rsidR="008F4E5A">
        <w:rPr>
          <w:rFonts w:ascii="Arial" w:hAnsi="Arial" w:cs="Arial"/>
          <w:color w:val="242121"/>
          <w:lang w:val="en-GB"/>
        </w:rPr>
        <w:t>awaiting</w:t>
      </w:r>
      <w:r w:rsidR="00752E1E">
        <w:rPr>
          <w:rFonts w:ascii="Arial" w:hAnsi="Arial" w:cs="Arial"/>
          <w:color w:val="242121"/>
          <w:lang w:val="en-GB"/>
        </w:rPr>
        <w:t xml:space="preserve"> trial, which was approximately 5 years.  It is undeniable that this prolonged period is excessive in waiting for a matter to reach conclusion.  </w:t>
      </w:r>
      <w:r w:rsidR="008F4E5A">
        <w:rPr>
          <w:rFonts w:ascii="Arial" w:hAnsi="Arial" w:cs="Arial"/>
          <w:color w:val="242121"/>
          <w:lang w:val="en-GB"/>
        </w:rPr>
        <w:t xml:space="preserve">It appears from the record, </w:t>
      </w:r>
      <w:r w:rsidR="00752E1E">
        <w:rPr>
          <w:rFonts w:ascii="Arial" w:hAnsi="Arial" w:cs="Arial"/>
          <w:color w:val="242121"/>
          <w:lang w:val="en-GB"/>
        </w:rPr>
        <w:t xml:space="preserve">that all parties, including the First and Second Appellant, contributed to the delay.  The trial was postponed </w:t>
      </w:r>
      <w:r w:rsidR="0072005B">
        <w:rPr>
          <w:rFonts w:ascii="Arial" w:hAnsi="Arial" w:cs="Arial"/>
          <w:color w:val="242121"/>
          <w:lang w:val="en-GB"/>
        </w:rPr>
        <w:t>a</w:t>
      </w:r>
      <w:r w:rsidR="00752E1E">
        <w:rPr>
          <w:rFonts w:ascii="Arial" w:hAnsi="Arial" w:cs="Arial"/>
          <w:color w:val="242121"/>
          <w:lang w:val="en-GB"/>
        </w:rPr>
        <w:t xml:space="preserve"> number of times</w:t>
      </w:r>
      <w:r w:rsidR="00A944A2">
        <w:rPr>
          <w:rFonts w:ascii="Arial" w:hAnsi="Arial" w:cs="Arial"/>
          <w:color w:val="242121"/>
          <w:lang w:val="en-GB"/>
        </w:rPr>
        <w:t xml:space="preserve">, </w:t>
      </w:r>
      <w:r w:rsidR="0072005B">
        <w:rPr>
          <w:rFonts w:ascii="Arial" w:hAnsi="Arial" w:cs="Arial"/>
          <w:color w:val="242121"/>
          <w:lang w:val="en-GB"/>
        </w:rPr>
        <w:t>particularly</w:t>
      </w:r>
      <w:r w:rsidR="00A944A2">
        <w:rPr>
          <w:rFonts w:ascii="Arial" w:hAnsi="Arial" w:cs="Arial"/>
          <w:color w:val="242121"/>
          <w:lang w:val="en-GB"/>
        </w:rPr>
        <w:t xml:space="preserve"> due to the intended testimony for the First Appellant’s alibi witness, which ultimately did not materialize.  The Second Appellant also added to the delay by providing conflicting instructions to his attorney,</w:t>
      </w:r>
      <w:r w:rsidR="002F4CEE">
        <w:rPr>
          <w:rFonts w:ascii="Arial" w:hAnsi="Arial" w:cs="Arial"/>
          <w:color w:val="242121"/>
          <w:lang w:val="en-GB"/>
        </w:rPr>
        <w:t xml:space="preserve"> notably concerning his guilty plea on count 4 and subsequent</w:t>
      </w:r>
      <w:r w:rsidR="001037BC">
        <w:rPr>
          <w:rFonts w:ascii="Arial" w:hAnsi="Arial" w:cs="Arial"/>
          <w:color w:val="242121"/>
          <w:lang w:val="en-GB"/>
        </w:rPr>
        <w:t>ly his</w:t>
      </w:r>
      <w:r w:rsidR="002F4CEE">
        <w:rPr>
          <w:rFonts w:ascii="Arial" w:hAnsi="Arial" w:cs="Arial"/>
          <w:color w:val="242121"/>
          <w:lang w:val="en-GB"/>
        </w:rPr>
        <w:t xml:space="preserve"> section 220 admissions.  Furthermore, it appears </w:t>
      </w:r>
      <w:r w:rsidR="0072005B">
        <w:rPr>
          <w:rFonts w:ascii="Arial" w:hAnsi="Arial" w:cs="Arial"/>
          <w:color w:val="242121"/>
          <w:lang w:val="en-GB"/>
        </w:rPr>
        <w:t xml:space="preserve">that the Second Appellant also changed </w:t>
      </w:r>
      <w:r w:rsidR="002F4CEE">
        <w:rPr>
          <w:rFonts w:ascii="Arial" w:hAnsi="Arial" w:cs="Arial"/>
          <w:color w:val="242121"/>
          <w:lang w:val="en-GB"/>
        </w:rPr>
        <w:t>legal representation multiple times, leading to further postponements.</w:t>
      </w:r>
    </w:p>
    <w:p w14:paraId="12EC156D" w14:textId="77777777" w:rsidR="002F4CEE" w:rsidRDefault="002F4CEE" w:rsidP="0072005B">
      <w:pPr>
        <w:pStyle w:val="NormalWeb"/>
        <w:shd w:val="clear" w:color="auto" w:fill="FFFFFF"/>
        <w:spacing w:before="0" w:beforeAutospacing="0" w:after="0" w:afterAutospacing="0" w:line="480" w:lineRule="auto"/>
        <w:jc w:val="both"/>
        <w:rPr>
          <w:rFonts w:ascii="Arial" w:hAnsi="Arial" w:cs="Arial"/>
          <w:color w:val="242121"/>
          <w:lang w:val="en-GB"/>
        </w:rPr>
      </w:pPr>
    </w:p>
    <w:p w14:paraId="190E2734" w14:textId="4900F0DB" w:rsidR="002F4CEE" w:rsidRPr="003D0675" w:rsidRDefault="002F4CEE" w:rsidP="003D0675">
      <w:pPr>
        <w:pStyle w:val="NormalWeb"/>
        <w:shd w:val="clear" w:color="auto" w:fill="FFFFFF"/>
        <w:spacing w:before="144" w:beforeAutospacing="0" w:after="0" w:afterAutospacing="0" w:line="480" w:lineRule="auto"/>
        <w:jc w:val="both"/>
        <w:rPr>
          <w:rFonts w:ascii="Arial" w:hAnsi="Arial" w:cs="Arial"/>
          <w:color w:val="242121"/>
          <w:lang w:val="en-GB"/>
        </w:rPr>
      </w:pPr>
      <w:r>
        <w:rPr>
          <w:rFonts w:ascii="Arial" w:hAnsi="Arial" w:cs="Arial"/>
          <w:color w:val="242121"/>
          <w:lang w:val="en-GB"/>
        </w:rPr>
        <w:t>[28]</w:t>
      </w:r>
      <w:r>
        <w:rPr>
          <w:rFonts w:ascii="Arial" w:hAnsi="Arial" w:cs="Arial"/>
          <w:color w:val="242121"/>
          <w:lang w:val="en-GB"/>
        </w:rPr>
        <w:tab/>
      </w:r>
      <w:r w:rsidR="000463D9">
        <w:rPr>
          <w:rFonts w:ascii="Arial" w:hAnsi="Arial" w:cs="Arial"/>
          <w:color w:val="242121"/>
          <w:lang w:val="en-GB"/>
        </w:rPr>
        <w:t>Based</w:t>
      </w:r>
      <w:r w:rsidR="00DA126C">
        <w:rPr>
          <w:rFonts w:ascii="Arial" w:hAnsi="Arial" w:cs="Arial"/>
          <w:color w:val="242121"/>
          <w:lang w:val="en-GB"/>
        </w:rPr>
        <w:t xml:space="preserve"> on the </w:t>
      </w:r>
      <w:r w:rsidR="00DB63C0">
        <w:rPr>
          <w:rFonts w:ascii="Arial" w:hAnsi="Arial" w:cs="Arial"/>
          <w:color w:val="242121"/>
          <w:lang w:val="en-GB"/>
        </w:rPr>
        <w:t>aforementioned</w:t>
      </w:r>
      <w:r w:rsidR="00DA126C">
        <w:rPr>
          <w:rFonts w:ascii="Arial" w:hAnsi="Arial" w:cs="Arial"/>
          <w:color w:val="242121"/>
          <w:lang w:val="en-GB"/>
        </w:rPr>
        <w:t xml:space="preserve"> circumstances, the court finds no </w:t>
      </w:r>
      <w:r w:rsidR="00DB63C0">
        <w:rPr>
          <w:rFonts w:ascii="Arial" w:hAnsi="Arial" w:cs="Arial"/>
          <w:color w:val="242121"/>
          <w:lang w:val="en-GB"/>
        </w:rPr>
        <w:t>reason to antedate the sentences of the First and Second Appellant</w:t>
      </w:r>
      <w:r w:rsidR="0092181D">
        <w:rPr>
          <w:rFonts w:ascii="Arial" w:hAnsi="Arial" w:cs="Arial"/>
          <w:color w:val="242121"/>
          <w:lang w:val="en-GB"/>
        </w:rPr>
        <w:t>,</w:t>
      </w:r>
      <w:r w:rsidR="00DB63C0">
        <w:rPr>
          <w:rFonts w:ascii="Arial" w:hAnsi="Arial" w:cs="Arial"/>
          <w:color w:val="242121"/>
          <w:lang w:val="en-GB"/>
        </w:rPr>
        <w:t xml:space="preserve"> as provided for in section 282 of the Criminal Procedure Act, 51 of 1977.</w:t>
      </w:r>
      <w:r w:rsidR="0092181D">
        <w:rPr>
          <w:rFonts w:ascii="Arial" w:hAnsi="Arial" w:cs="Arial"/>
          <w:color w:val="242121"/>
          <w:lang w:val="en-GB"/>
        </w:rPr>
        <w:t xml:space="preserve">  </w:t>
      </w:r>
      <w:r w:rsidR="00E47866">
        <w:rPr>
          <w:rFonts w:ascii="Arial" w:hAnsi="Arial" w:cs="Arial"/>
          <w:color w:val="242121"/>
          <w:lang w:val="en-GB"/>
        </w:rPr>
        <w:t xml:space="preserve">On consideration </w:t>
      </w:r>
      <w:r w:rsidR="00983013">
        <w:rPr>
          <w:rFonts w:ascii="Arial" w:hAnsi="Arial" w:cs="Arial"/>
          <w:color w:val="242121"/>
          <w:lang w:val="en-GB"/>
        </w:rPr>
        <w:t xml:space="preserve">of the sentences imposed, the court finds that </w:t>
      </w:r>
      <w:r w:rsidR="001B37E3">
        <w:rPr>
          <w:rFonts w:ascii="Arial" w:hAnsi="Arial" w:cs="Arial"/>
          <w:color w:val="242121"/>
          <w:lang w:val="en-GB"/>
        </w:rPr>
        <w:t xml:space="preserve">there </w:t>
      </w:r>
      <w:r w:rsidR="006F4926">
        <w:rPr>
          <w:rFonts w:ascii="Arial" w:hAnsi="Arial" w:cs="Arial"/>
          <w:color w:val="242121"/>
          <w:lang w:val="en-GB"/>
        </w:rPr>
        <w:t>was</w:t>
      </w:r>
      <w:r w:rsidR="001B37E3">
        <w:rPr>
          <w:rFonts w:ascii="Arial" w:hAnsi="Arial" w:cs="Arial"/>
          <w:color w:val="242121"/>
          <w:lang w:val="en-GB"/>
        </w:rPr>
        <w:t xml:space="preserve"> no </w:t>
      </w:r>
      <w:r w:rsidR="00983013">
        <w:rPr>
          <w:rFonts w:ascii="Arial" w:hAnsi="Arial" w:cs="Arial"/>
          <w:color w:val="242121"/>
          <w:lang w:val="en-GB"/>
        </w:rPr>
        <w:t>misdirection on the part of the trial court</w:t>
      </w:r>
      <w:r w:rsidR="006F4926">
        <w:rPr>
          <w:rFonts w:ascii="Arial" w:hAnsi="Arial" w:cs="Arial"/>
          <w:color w:val="242121"/>
          <w:lang w:val="en-GB"/>
        </w:rPr>
        <w:t xml:space="preserve">.  The sentences were also not </w:t>
      </w:r>
      <w:r w:rsidR="004A3206">
        <w:rPr>
          <w:rFonts w:ascii="Arial" w:hAnsi="Arial" w:cs="Arial"/>
          <w:color w:val="242121"/>
          <w:lang w:val="en-GB"/>
        </w:rPr>
        <w:t>disturbingly inappropriate given the circumstances.  As such, the appeal against the sentence is unsuccessful.</w:t>
      </w:r>
    </w:p>
    <w:p w14:paraId="03BDF3E2" w14:textId="3E3CF565" w:rsidR="000B0081" w:rsidRPr="003D0675" w:rsidRDefault="000B0081" w:rsidP="003D0675">
      <w:pPr>
        <w:spacing w:line="480" w:lineRule="auto"/>
        <w:jc w:val="both"/>
        <w:rPr>
          <w:sz w:val="24"/>
          <w:szCs w:val="24"/>
        </w:rPr>
      </w:pPr>
    </w:p>
    <w:p w14:paraId="19459F8F" w14:textId="5CCE6C24" w:rsidR="004A6249" w:rsidRDefault="001F3875" w:rsidP="004A6249">
      <w:pPr>
        <w:spacing w:line="480" w:lineRule="auto"/>
        <w:jc w:val="both"/>
        <w:rPr>
          <w:sz w:val="24"/>
          <w:szCs w:val="24"/>
        </w:rPr>
      </w:pPr>
      <w:r>
        <w:rPr>
          <w:sz w:val="24"/>
          <w:szCs w:val="24"/>
        </w:rPr>
        <w:t>A</w:t>
      </w:r>
      <w:r w:rsidR="004A6249" w:rsidRPr="00073462">
        <w:rPr>
          <w:sz w:val="24"/>
          <w:szCs w:val="24"/>
        </w:rPr>
        <w:t>s a result, the following order is made:</w:t>
      </w:r>
    </w:p>
    <w:p w14:paraId="7617821B" w14:textId="66E31764" w:rsidR="001916B2" w:rsidRDefault="001916B2" w:rsidP="004A6249">
      <w:pPr>
        <w:spacing w:line="480" w:lineRule="auto"/>
        <w:jc w:val="both"/>
        <w:rPr>
          <w:sz w:val="24"/>
          <w:szCs w:val="24"/>
        </w:rPr>
      </w:pPr>
    </w:p>
    <w:p w14:paraId="31055775" w14:textId="77777777" w:rsidR="001916B2" w:rsidRPr="00073462" w:rsidRDefault="001916B2" w:rsidP="004A6249">
      <w:pPr>
        <w:spacing w:line="480" w:lineRule="auto"/>
        <w:jc w:val="both"/>
        <w:rPr>
          <w:sz w:val="24"/>
          <w:szCs w:val="24"/>
        </w:rPr>
      </w:pPr>
    </w:p>
    <w:p w14:paraId="1F06DD29" w14:textId="77777777" w:rsidR="004A6249" w:rsidRDefault="004A6249" w:rsidP="004A6249">
      <w:pPr>
        <w:spacing w:line="360" w:lineRule="auto"/>
        <w:jc w:val="both"/>
        <w:rPr>
          <w:sz w:val="24"/>
          <w:szCs w:val="24"/>
        </w:rPr>
      </w:pPr>
    </w:p>
    <w:p w14:paraId="655F27D0" w14:textId="77777777" w:rsidR="004A6249" w:rsidRDefault="004A6249" w:rsidP="004A6249">
      <w:pPr>
        <w:spacing w:line="480" w:lineRule="auto"/>
        <w:jc w:val="both"/>
        <w:rPr>
          <w:sz w:val="24"/>
          <w:szCs w:val="24"/>
        </w:rPr>
      </w:pPr>
      <w:r>
        <w:rPr>
          <w:b/>
          <w:bCs/>
          <w:sz w:val="24"/>
          <w:szCs w:val="24"/>
        </w:rPr>
        <w:lastRenderedPageBreak/>
        <w:t>ORDER</w:t>
      </w:r>
      <w:r>
        <w:rPr>
          <w:sz w:val="24"/>
          <w:szCs w:val="24"/>
        </w:rPr>
        <w:t>:</w:t>
      </w:r>
    </w:p>
    <w:p w14:paraId="0E874011" w14:textId="77777777" w:rsidR="004A6249" w:rsidRPr="00073462" w:rsidRDefault="004A6249" w:rsidP="004A6249">
      <w:pPr>
        <w:spacing w:line="480" w:lineRule="auto"/>
        <w:jc w:val="both"/>
        <w:rPr>
          <w:sz w:val="24"/>
          <w:szCs w:val="24"/>
        </w:rPr>
      </w:pPr>
    </w:p>
    <w:p w14:paraId="75B1760F" w14:textId="3E83C8A8" w:rsidR="004A6249" w:rsidRDefault="004A6249" w:rsidP="004A6249">
      <w:pPr>
        <w:numPr>
          <w:ilvl w:val="0"/>
          <w:numId w:val="3"/>
        </w:numPr>
        <w:spacing w:line="480" w:lineRule="auto"/>
        <w:jc w:val="both"/>
        <w:rPr>
          <w:sz w:val="24"/>
          <w:szCs w:val="24"/>
        </w:rPr>
      </w:pPr>
      <w:r w:rsidRPr="00073462">
        <w:rPr>
          <w:sz w:val="24"/>
          <w:szCs w:val="24"/>
        </w:rPr>
        <w:t xml:space="preserve">The appeal </w:t>
      </w:r>
      <w:r>
        <w:rPr>
          <w:sz w:val="24"/>
          <w:szCs w:val="24"/>
        </w:rPr>
        <w:t>of both the First and Second Appellant on conviction and sentence is dismissed.</w:t>
      </w:r>
    </w:p>
    <w:p w14:paraId="26D42024" w14:textId="3DF4F9FF" w:rsidR="004A6249" w:rsidRDefault="004A6249" w:rsidP="004A6249">
      <w:pPr>
        <w:spacing w:line="480" w:lineRule="auto"/>
        <w:ind w:left="720"/>
        <w:jc w:val="both"/>
        <w:rPr>
          <w:sz w:val="24"/>
          <w:szCs w:val="24"/>
        </w:rPr>
      </w:pPr>
    </w:p>
    <w:p w14:paraId="32E1D7A6" w14:textId="77777777" w:rsidR="004A6249" w:rsidRDefault="004A6249" w:rsidP="004A6249">
      <w:pPr>
        <w:spacing w:line="240" w:lineRule="auto"/>
        <w:jc w:val="right"/>
        <w:rPr>
          <w:b/>
          <w:bCs/>
          <w:sz w:val="24"/>
          <w:szCs w:val="24"/>
        </w:rPr>
      </w:pPr>
    </w:p>
    <w:p w14:paraId="1D1ADB97" w14:textId="77777777" w:rsidR="004A6249" w:rsidRDefault="004A6249" w:rsidP="004A6249">
      <w:pPr>
        <w:spacing w:line="240" w:lineRule="auto"/>
        <w:jc w:val="right"/>
        <w:rPr>
          <w:b/>
          <w:bCs/>
          <w:sz w:val="24"/>
          <w:szCs w:val="24"/>
        </w:rPr>
      </w:pPr>
    </w:p>
    <w:p w14:paraId="2A66F2FE" w14:textId="77777777" w:rsidR="004A6249" w:rsidRPr="00CD3F97" w:rsidRDefault="004A6249" w:rsidP="004A6249">
      <w:pPr>
        <w:spacing w:line="240" w:lineRule="auto"/>
        <w:jc w:val="right"/>
        <w:rPr>
          <w:b/>
          <w:bCs/>
          <w:sz w:val="24"/>
          <w:szCs w:val="24"/>
        </w:rPr>
      </w:pPr>
    </w:p>
    <w:p w14:paraId="4A84CA85" w14:textId="6E9063DB" w:rsidR="004A6249" w:rsidRPr="00CD3F97" w:rsidRDefault="004A6249" w:rsidP="004A6249">
      <w:pPr>
        <w:spacing w:line="240" w:lineRule="auto"/>
        <w:jc w:val="right"/>
        <w:rPr>
          <w:b/>
          <w:bCs/>
          <w:sz w:val="24"/>
          <w:szCs w:val="24"/>
        </w:rPr>
      </w:pPr>
      <w:r w:rsidRPr="00CD3F97">
        <w:rPr>
          <w:b/>
          <w:bCs/>
          <w:sz w:val="24"/>
          <w:szCs w:val="24"/>
        </w:rPr>
        <w:t>______________________</w:t>
      </w:r>
      <w:r>
        <w:rPr>
          <w:b/>
          <w:bCs/>
          <w:sz w:val="24"/>
          <w:szCs w:val="24"/>
        </w:rPr>
        <w:t>___</w:t>
      </w:r>
      <w:r w:rsidRPr="00CD3F97">
        <w:rPr>
          <w:b/>
          <w:bCs/>
          <w:sz w:val="24"/>
          <w:szCs w:val="24"/>
        </w:rPr>
        <w:t>___</w:t>
      </w:r>
      <w:r>
        <w:rPr>
          <w:b/>
          <w:bCs/>
          <w:sz w:val="24"/>
          <w:szCs w:val="24"/>
        </w:rPr>
        <w:t>_____</w:t>
      </w:r>
    </w:p>
    <w:p w14:paraId="635A3EC2" w14:textId="2EE4922D" w:rsidR="004A6249" w:rsidRDefault="00657204" w:rsidP="004A6249">
      <w:pPr>
        <w:spacing w:line="240" w:lineRule="auto"/>
        <w:jc w:val="right"/>
        <w:rPr>
          <w:b/>
          <w:bCs/>
          <w:sz w:val="24"/>
          <w:szCs w:val="24"/>
        </w:rPr>
      </w:pPr>
      <w:r>
        <w:rPr>
          <w:b/>
          <w:bCs/>
          <w:sz w:val="24"/>
          <w:szCs w:val="24"/>
        </w:rPr>
        <w:t>L.</w:t>
      </w:r>
      <w:r w:rsidR="004A6249">
        <w:rPr>
          <w:b/>
          <w:bCs/>
          <w:sz w:val="24"/>
          <w:szCs w:val="24"/>
        </w:rPr>
        <w:t xml:space="preserve"> COETZEE</w:t>
      </w:r>
    </w:p>
    <w:p w14:paraId="18268EA4" w14:textId="77777777" w:rsidR="004A6249" w:rsidRDefault="004A6249" w:rsidP="004A6249">
      <w:pPr>
        <w:spacing w:line="240" w:lineRule="auto"/>
        <w:jc w:val="right"/>
        <w:rPr>
          <w:b/>
          <w:bCs/>
          <w:sz w:val="24"/>
          <w:szCs w:val="24"/>
        </w:rPr>
      </w:pPr>
      <w:r>
        <w:rPr>
          <w:b/>
          <w:bCs/>
          <w:sz w:val="24"/>
          <w:szCs w:val="24"/>
        </w:rPr>
        <w:t>ACTING JUDGE OF THE HIGH COURT</w:t>
      </w:r>
    </w:p>
    <w:p w14:paraId="61D17624" w14:textId="0773871A" w:rsidR="004A6249" w:rsidRPr="00CD3F97" w:rsidRDefault="004A6249" w:rsidP="004A6249">
      <w:pPr>
        <w:spacing w:line="240" w:lineRule="auto"/>
        <w:jc w:val="right"/>
        <w:rPr>
          <w:b/>
          <w:bCs/>
          <w:sz w:val="24"/>
          <w:szCs w:val="24"/>
        </w:rPr>
      </w:pPr>
      <w:r>
        <w:rPr>
          <w:b/>
          <w:bCs/>
          <w:sz w:val="24"/>
          <w:szCs w:val="24"/>
        </w:rPr>
        <w:t>GAUTENG DIVISION</w:t>
      </w:r>
      <w:r w:rsidR="009F65FE">
        <w:rPr>
          <w:b/>
          <w:bCs/>
          <w:sz w:val="24"/>
          <w:szCs w:val="24"/>
        </w:rPr>
        <w:t xml:space="preserve">, </w:t>
      </w:r>
      <w:r>
        <w:rPr>
          <w:b/>
          <w:bCs/>
          <w:sz w:val="24"/>
          <w:szCs w:val="24"/>
        </w:rPr>
        <w:t>PRETORIA</w:t>
      </w:r>
    </w:p>
    <w:p w14:paraId="3BAE2BD4" w14:textId="77777777" w:rsidR="004A6249" w:rsidRDefault="004A6249" w:rsidP="004A6249">
      <w:pPr>
        <w:spacing w:line="240" w:lineRule="auto"/>
        <w:jc w:val="both"/>
        <w:rPr>
          <w:sz w:val="24"/>
          <w:szCs w:val="24"/>
        </w:rPr>
      </w:pPr>
    </w:p>
    <w:p w14:paraId="23D43B4F" w14:textId="77777777" w:rsidR="004A6249" w:rsidRDefault="004A6249" w:rsidP="004A6249">
      <w:pPr>
        <w:spacing w:line="240" w:lineRule="auto"/>
        <w:jc w:val="both"/>
        <w:rPr>
          <w:sz w:val="24"/>
          <w:szCs w:val="24"/>
        </w:rPr>
      </w:pPr>
    </w:p>
    <w:p w14:paraId="1FF410A1" w14:textId="77777777" w:rsidR="004A6249" w:rsidRDefault="004A6249" w:rsidP="004A6249">
      <w:pPr>
        <w:spacing w:line="240" w:lineRule="auto"/>
        <w:jc w:val="both"/>
        <w:rPr>
          <w:sz w:val="24"/>
          <w:szCs w:val="24"/>
        </w:rPr>
      </w:pPr>
    </w:p>
    <w:p w14:paraId="712EBC8A" w14:textId="77777777" w:rsidR="004A6249" w:rsidRDefault="004A6249" w:rsidP="004A6249">
      <w:pPr>
        <w:spacing w:line="240" w:lineRule="auto"/>
        <w:jc w:val="right"/>
        <w:rPr>
          <w:sz w:val="24"/>
          <w:szCs w:val="24"/>
        </w:rPr>
      </w:pPr>
    </w:p>
    <w:p w14:paraId="2903E1FC" w14:textId="3F3D07D2" w:rsidR="004A6249" w:rsidRDefault="004A6249" w:rsidP="004A624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eastAsia="Calibri"/>
          <w:i/>
          <w:sz w:val="24"/>
          <w:szCs w:val="24"/>
          <w:lang w:val="en-GB"/>
        </w:rPr>
      </w:pPr>
      <w:r>
        <w:rPr>
          <w:rFonts w:eastAsia="Calibri"/>
          <w:i/>
          <w:sz w:val="24"/>
          <w:szCs w:val="24"/>
          <w:lang w:val="en-GB"/>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the </w:t>
      </w:r>
      <w:r w:rsidR="000479B0">
        <w:rPr>
          <w:rFonts w:eastAsia="Calibri"/>
          <w:i/>
          <w:sz w:val="24"/>
          <w:szCs w:val="24"/>
          <w:lang w:val="en-GB"/>
        </w:rPr>
        <w:t>6</w:t>
      </w:r>
      <w:r w:rsidR="000479B0" w:rsidRPr="000479B0">
        <w:rPr>
          <w:rFonts w:eastAsia="Calibri"/>
          <w:i/>
          <w:sz w:val="24"/>
          <w:szCs w:val="24"/>
          <w:vertAlign w:val="superscript"/>
          <w:lang w:val="en-GB"/>
        </w:rPr>
        <w:t>th</w:t>
      </w:r>
      <w:r w:rsidR="000479B0">
        <w:rPr>
          <w:rFonts w:eastAsia="Calibri"/>
          <w:i/>
          <w:sz w:val="24"/>
          <w:szCs w:val="24"/>
          <w:lang w:val="en-GB"/>
        </w:rPr>
        <w:t xml:space="preserve"> of February 2024</w:t>
      </w:r>
      <w:r>
        <w:rPr>
          <w:rFonts w:eastAsia="Calibri"/>
          <w:i/>
          <w:sz w:val="24"/>
          <w:szCs w:val="24"/>
          <w:lang w:val="en-GB"/>
        </w:rPr>
        <w:t>.</w:t>
      </w:r>
    </w:p>
    <w:p w14:paraId="15015119" w14:textId="77777777" w:rsidR="004A6249" w:rsidRPr="00E605DB" w:rsidRDefault="004A6249" w:rsidP="004A6249">
      <w:pPr>
        <w:spacing w:line="480" w:lineRule="auto"/>
        <w:rPr>
          <w:sz w:val="24"/>
          <w:szCs w:val="24"/>
        </w:rPr>
      </w:pPr>
    </w:p>
    <w:p w14:paraId="6E90E9AC" w14:textId="3CC0A643" w:rsidR="004A6249" w:rsidRDefault="004A6249" w:rsidP="004A6249">
      <w:pPr>
        <w:spacing w:line="480" w:lineRule="auto"/>
        <w:jc w:val="both"/>
        <w:rPr>
          <w:sz w:val="24"/>
          <w:szCs w:val="24"/>
        </w:rPr>
      </w:pPr>
    </w:p>
    <w:p w14:paraId="45B71B1A" w14:textId="275E0013" w:rsidR="009F65FE" w:rsidRPr="009F65FE" w:rsidRDefault="009F65FE" w:rsidP="004A6249">
      <w:pPr>
        <w:spacing w:line="480" w:lineRule="auto"/>
        <w:jc w:val="both"/>
        <w:rPr>
          <w:sz w:val="24"/>
          <w:szCs w:val="24"/>
          <w:u w:val="single"/>
        </w:rPr>
      </w:pPr>
      <w:r>
        <w:rPr>
          <w:sz w:val="24"/>
          <w:szCs w:val="24"/>
          <w:u w:val="single"/>
        </w:rPr>
        <w:t>APPEARANCES:</w:t>
      </w:r>
    </w:p>
    <w:p w14:paraId="0395C2CC" w14:textId="30A41A90" w:rsidR="009F65FE" w:rsidRDefault="009F65FE" w:rsidP="009F65FE">
      <w:pPr>
        <w:spacing w:line="240" w:lineRule="auto"/>
        <w:jc w:val="both"/>
        <w:rPr>
          <w:sz w:val="24"/>
          <w:szCs w:val="24"/>
        </w:rPr>
      </w:pPr>
      <w:r>
        <w:rPr>
          <w:sz w:val="24"/>
          <w:szCs w:val="24"/>
        </w:rPr>
        <w:t>On behalf of Appellant</w:t>
      </w:r>
      <w:r w:rsidR="00FF7EC4">
        <w:rPr>
          <w:sz w:val="24"/>
          <w:szCs w:val="24"/>
        </w:rPr>
        <w:t>s</w:t>
      </w:r>
      <w:bookmarkStart w:id="0" w:name="_GoBack"/>
      <w:bookmarkEnd w:id="0"/>
      <w:r>
        <w:rPr>
          <w:sz w:val="24"/>
          <w:szCs w:val="24"/>
        </w:rPr>
        <w:t>:</w:t>
      </w:r>
      <w:r>
        <w:rPr>
          <w:sz w:val="24"/>
          <w:szCs w:val="24"/>
        </w:rPr>
        <w:tab/>
        <w:t>Mr. H.L. Alberts</w:t>
      </w:r>
    </w:p>
    <w:p w14:paraId="5B43D962" w14:textId="60E0BBD4" w:rsidR="009F65FE" w:rsidRDefault="009F65FE" w:rsidP="009F65FE">
      <w:pPr>
        <w:spacing w:line="240" w:lineRule="auto"/>
        <w:jc w:val="both"/>
        <w:rPr>
          <w:sz w:val="24"/>
          <w:szCs w:val="24"/>
        </w:rPr>
      </w:pPr>
      <w:r>
        <w:rPr>
          <w:sz w:val="24"/>
          <w:szCs w:val="24"/>
        </w:rPr>
        <w:t xml:space="preserve">Instructed </w:t>
      </w:r>
      <w:r w:rsidR="003D05FA">
        <w:rPr>
          <w:sz w:val="24"/>
          <w:szCs w:val="24"/>
        </w:rPr>
        <w:t>by</w:t>
      </w:r>
      <w:r>
        <w:rPr>
          <w:sz w:val="24"/>
          <w:szCs w:val="24"/>
        </w:rPr>
        <w:t>:</w:t>
      </w:r>
      <w:r>
        <w:rPr>
          <w:sz w:val="24"/>
          <w:szCs w:val="24"/>
        </w:rPr>
        <w:tab/>
      </w:r>
      <w:r>
        <w:rPr>
          <w:sz w:val="24"/>
          <w:szCs w:val="24"/>
        </w:rPr>
        <w:tab/>
        <w:t>Pretoria Justice Centre</w:t>
      </w:r>
    </w:p>
    <w:p w14:paraId="51A43787" w14:textId="6CDC3D51" w:rsidR="009F65FE" w:rsidRDefault="009F65FE" w:rsidP="009F65FE">
      <w:pPr>
        <w:spacing w:line="240" w:lineRule="auto"/>
        <w:jc w:val="both"/>
        <w:rPr>
          <w:sz w:val="24"/>
          <w:szCs w:val="24"/>
        </w:rPr>
      </w:pPr>
    </w:p>
    <w:p w14:paraId="58294EF3" w14:textId="17672F0A" w:rsidR="009F65FE" w:rsidRDefault="009F65FE" w:rsidP="009F65FE">
      <w:pPr>
        <w:spacing w:line="240" w:lineRule="auto"/>
        <w:jc w:val="both"/>
        <w:rPr>
          <w:sz w:val="24"/>
          <w:szCs w:val="24"/>
        </w:rPr>
      </w:pPr>
      <w:r>
        <w:rPr>
          <w:sz w:val="24"/>
          <w:szCs w:val="24"/>
        </w:rPr>
        <w:t>On behalf of Respondent:</w:t>
      </w:r>
      <w:r>
        <w:rPr>
          <w:sz w:val="24"/>
          <w:szCs w:val="24"/>
        </w:rPr>
        <w:tab/>
        <w:t>Adv MM Shivuri</w:t>
      </w:r>
    </w:p>
    <w:p w14:paraId="6C844F8C" w14:textId="45CC57E2" w:rsidR="009F65FE" w:rsidRDefault="009F65FE" w:rsidP="009F65FE">
      <w:pPr>
        <w:spacing w:line="240" w:lineRule="auto"/>
        <w:jc w:val="both"/>
        <w:rPr>
          <w:sz w:val="24"/>
          <w:szCs w:val="24"/>
        </w:rPr>
      </w:pPr>
      <w:r>
        <w:rPr>
          <w:sz w:val="24"/>
          <w:szCs w:val="24"/>
        </w:rPr>
        <w:t xml:space="preserve">Instructed </w:t>
      </w:r>
      <w:r w:rsidR="003D05FA">
        <w:rPr>
          <w:sz w:val="24"/>
          <w:szCs w:val="24"/>
        </w:rPr>
        <w:t>by</w:t>
      </w:r>
      <w:r>
        <w:rPr>
          <w:sz w:val="24"/>
          <w:szCs w:val="24"/>
        </w:rPr>
        <w:t>:</w:t>
      </w:r>
      <w:r>
        <w:rPr>
          <w:sz w:val="24"/>
          <w:szCs w:val="24"/>
        </w:rPr>
        <w:tab/>
      </w:r>
      <w:r>
        <w:rPr>
          <w:sz w:val="24"/>
          <w:szCs w:val="24"/>
        </w:rPr>
        <w:tab/>
        <w:t>The Director of Public Prosecutions</w:t>
      </w:r>
    </w:p>
    <w:p w14:paraId="1FCF7AD6" w14:textId="552F351B" w:rsidR="009F65FE" w:rsidRDefault="009F65FE" w:rsidP="009F65FE">
      <w:pPr>
        <w:spacing w:line="240" w:lineRule="auto"/>
        <w:jc w:val="both"/>
        <w:rPr>
          <w:sz w:val="24"/>
          <w:szCs w:val="24"/>
        </w:rPr>
      </w:pPr>
    </w:p>
    <w:p w14:paraId="0F1530EB" w14:textId="1214A0C9" w:rsidR="009F65FE" w:rsidRDefault="009F65FE" w:rsidP="009F65FE">
      <w:pPr>
        <w:spacing w:line="240" w:lineRule="auto"/>
        <w:jc w:val="both"/>
        <w:rPr>
          <w:sz w:val="24"/>
          <w:szCs w:val="24"/>
        </w:rPr>
      </w:pPr>
      <w:r>
        <w:rPr>
          <w:sz w:val="24"/>
          <w:szCs w:val="24"/>
        </w:rPr>
        <w:t>Date of Hearing:</w:t>
      </w:r>
      <w:r>
        <w:rPr>
          <w:sz w:val="24"/>
          <w:szCs w:val="24"/>
        </w:rPr>
        <w:tab/>
      </w:r>
      <w:r>
        <w:rPr>
          <w:sz w:val="24"/>
          <w:szCs w:val="24"/>
        </w:rPr>
        <w:tab/>
        <w:t>26 October 2023</w:t>
      </w:r>
    </w:p>
    <w:p w14:paraId="64DD2FC2" w14:textId="36D6F711" w:rsidR="009F65FE" w:rsidRDefault="009F65FE" w:rsidP="009F65FE">
      <w:pPr>
        <w:spacing w:line="240" w:lineRule="auto"/>
        <w:jc w:val="both"/>
        <w:rPr>
          <w:sz w:val="24"/>
          <w:szCs w:val="24"/>
        </w:rPr>
      </w:pPr>
      <w:r>
        <w:rPr>
          <w:sz w:val="24"/>
          <w:szCs w:val="24"/>
        </w:rPr>
        <w:t>Judgment handed down:</w:t>
      </w:r>
      <w:r>
        <w:rPr>
          <w:sz w:val="24"/>
          <w:szCs w:val="24"/>
        </w:rPr>
        <w:tab/>
        <w:t>06 February 2024</w:t>
      </w:r>
    </w:p>
    <w:p w14:paraId="58737E77" w14:textId="77777777" w:rsidR="004A6249" w:rsidRDefault="004A6249" w:rsidP="004A6249">
      <w:pPr>
        <w:spacing w:line="480" w:lineRule="auto"/>
        <w:jc w:val="both"/>
        <w:rPr>
          <w:sz w:val="24"/>
          <w:szCs w:val="24"/>
        </w:rPr>
      </w:pPr>
    </w:p>
    <w:p w14:paraId="0000001B" w14:textId="77777777" w:rsidR="00D22A8B" w:rsidRPr="007A5877" w:rsidRDefault="00D22A8B" w:rsidP="007A5877">
      <w:pPr>
        <w:spacing w:line="480" w:lineRule="auto"/>
        <w:jc w:val="both"/>
        <w:rPr>
          <w:sz w:val="24"/>
          <w:szCs w:val="24"/>
        </w:rPr>
      </w:pPr>
    </w:p>
    <w:p w14:paraId="0000001C" w14:textId="77777777" w:rsidR="00D22A8B" w:rsidRPr="007A5877" w:rsidRDefault="00D22A8B" w:rsidP="007A5877">
      <w:pPr>
        <w:spacing w:line="480" w:lineRule="auto"/>
        <w:jc w:val="both"/>
        <w:rPr>
          <w:sz w:val="24"/>
          <w:szCs w:val="24"/>
        </w:rPr>
      </w:pPr>
    </w:p>
    <w:sectPr w:rsidR="00D22A8B" w:rsidRPr="007A5877" w:rsidSect="00093826">
      <w:headerReference w:type="defaul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98919" w14:textId="77777777" w:rsidR="0016263E" w:rsidRDefault="0016263E" w:rsidP="00BD4058">
      <w:pPr>
        <w:spacing w:line="240" w:lineRule="auto"/>
      </w:pPr>
      <w:r>
        <w:separator/>
      </w:r>
    </w:p>
  </w:endnote>
  <w:endnote w:type="continuationSeparator" w:id="0">
    <w:p w14:paraId="265DFB75" w14:textId="77777777" w:rsidR="0016263E" w:rsidRDefault="0016263E" w:rsidP="00BD4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0E4E2" w14:textId="77777777" w:rsidR="0016263E" w:rsidRDefault="0016263E" w:rsidP="00BD4058">
      <w:pPr>
        <w:spacing w:line="240" w:lineRule="auto"/>
      </w:pPr>
      <w:r>
        <w:separator/>
      </w:r>
    </w:p>
  </w:footnote>
  <w:footnote w:type="continuationSeparator" w:id="0">
    <w:p w14:paraId="053DA95E" w14:textId="77777777" w:rsidR="0016263E" w:rsidRDefault="0016263E" w:rsidP="00BD4058">
      <w:pPr>
        <w:spacing w:line="240" w:lineRule="auto"/>
      </w:pPr>
      <w:r>
        <w:continuationSeparator/>
      </w:r>
    </w:p>
  </w:footnote>
  <w:footnote w:id="1">
    <w:p w14:paraId="633DDFA5" w14:textId="77777777" w:rsidR="00AF4815" w:rsidRDefault="00BD4058">
      <w:pPr>
        <w:pStyle w:val="FootnoteText"/>
        <w:rPr>
          <w:lang w:val="en-ZA"/>
        </w:rPr>
      </w:pPr>
      <w:r>
        <w:rPr>
          <w:rStyle w:val="FootnoteReference"/>
        </w:rPr>
        <w:footnoteRef/>
      </w:r>
      <w:r>
        <w:t xml:space="preserve"> </w:t>
      </w:r>
      <w:r>
        <w:rPr>
          <w:lang w:val="en-ZA"/>
        </w:rPr>
        <w:t>Section</w:t>
      </w:r>
    </w:p>
    <w:p w14:paraId="683D2A3D" w14:textId="0BB61485" w:rsidR="00BD4058" w:rsidRPr="00BD4058" w:rsidRDefault="00BD4058">
      <w:pPr>
        <w:pStyle w:val="FootnoteText"/>
        <w:rPr>
          <w:lang w:val="en-ZA"/>
        </w:rPr>
      </w:pPr>
      <w:r>
        <w:rPr>
          <w:lang w:val="en-ZA"/>
        </w:rPr>
        <w:t xml:space="preserve"> 309(1) provides that if that person was sentenced to life imprisonment by the Regional Court under section 51(1) of the Criminal Law Amendment Act, 1997 (Act 105 of 1997), he or she may note such an appeal without having to apply for leave in terms of section 309-B.</w:t>
      </w:r>
    </w:p>
  </w:footnote>
  <w:footnote w:id="2">
    <w:p w14:paraId="2668D9A4" w14:textId="2853962A" w:rsidR="005F3760" w:rsidRPr="005F3760" w:rsidRDefault="005F3760">
      <w:pPr>
        <w:pStyle w:val="FootnoteText"/>
        <w:rPr>
          <w:lang w:val="en-ZA"/>
        </w:rPr>
      </w:pPr>
      <w:r>
        <w:rPr>
          <w:rStyle w:val="FootnoteReference"/>
        </w:rPr>
        <w:footnoteRef/>
      </w:r>
      <w:r>
        <w:t xml:space="preserve"> </w:t>
      </w:r>
      <w:r w:rsidR="00C81397">
        <w:rPr>
          <w:lang w:val="en-ZA"/>
        </w:rPr>
        <w:t>1948 (2) SA 677 (A) at 705-706.</w:t>
      </w:r>
    </w:p>
  </w:footnote>
  <w:footnote w:id="3">
    <w:p w14:paraId="2C8F95CA" w14:textId="36BF9743" w:rsidR="00BB7454" w:rsidRPr="00BB7454" w:rsidRDefault="00BB7454">
      <w:pPr>
        <w:pStyle w:val="FootnoteText"/>
        <w:rPr>
          <w:lang w:val="en-ZA"/>
        </w:rPr>
      </w:pPr>
      <w:r>
        <w:rPr>
          <w:rStyle w:val="FootnoteReference"/>
        </w:rPr>
        <w:footnoteRef/>
      </w:r>
      <w:r>
        <w:t xml:space="preserve"> </w:t>
      </w:r>
      <w:r w:rsidRPr="002079A7">
        <w:rPr>
          <w:i/>
          <w:iCs/>
          <w:lang w:val="en-ZA"/>
        </w:rPr>
        <w:t>S v Hadebe and Others</w:t>
      </w:r>
      <w:r>
        <w:rPr>
          <w:lang w:val="en-ZA"/>
        </w:rPr>
        <w:t xml:space="preserve"> 1997 (2) SACR 641</w:t>
      </w:r>
      <w:r w:rsidR="000F16C1">
        <w:rPr>
          <w:lang w:val="en-ZA"/>
        </w:rPr>
        <w:t xml:space="preserve"> (SCA) at 645 e-f.  See also:  </w:t>
      </w:r>
      <w:r w:rsidR="000F16C1" w:rsidRPr="002079A7">
        <w:rPr>
          <w:i/>
          <w:iCs/>
          <w:lang w:val="en-ZA"/>
        </w:rPr>
        <w:t>S v Monyane and Others</w:t>
      </w:r>
      <w:r w:rsidR="000F16C1">
        <w:rPr>
          <w:lang w:val="en-ZA"/>
        </w:rPr>
        <w:t xml:space="preserve"> 2008 (1)</w:t>
      </w:r>
      <w:r w:rsidR="002079A7">
        <w:rPr>
          <w:lang w:val="en-ZA"/>
        </w:rPr>
        <w:t xml:space="preserve"> SACR 543 (SCA) at par. 15;  </w:t>
      </w:r>
      <w:r w:rsidR="002079A7" w:rsidRPr="002079A7">
        <w:rPr>
          <w:i/>
          <w:iCs/>
          <w:lang w:val="en-ZA"/>
        </w:rPr>
        <w:t>S v Francis</w:t>
      </w:r>
      <w:r w:rsidR="002079A7">
        <w:rPr>
          <w:lang w:val="en-ZA"/>
        </w:rPr>
        <w:t xml:space="preserve"> 1991 (1) SACR 198 (A) at 204e.</w:t>
      </w:r>
    </w:p>
  </w:footnote>
  <w:footnote w:id="4">
    <w:p w14:paraId="6384DCC9" w14:textId="2E0F33CE" w:rsidR="00D42B6F" w:rsidRPr="00D42B6F" w:rsidRDefault="00D42B6F">
      <w:pPr>
        <w:pStyle w:val="FootnoteText"/>
        <w:rPr>
          <w:lang w:val="en-ZA"/>
        </w:rPr>
      </w:pPr>
      <w:r>
        <w:rPr>
          <w:rStyle w:val="FootnoteReference"/>
        </w:rPr>
        <w:footnoteRef/>
      </w:r>
      <w:r>
        <w:t xml:space="preserve"> </w:t>
      </w:r>
      <w:r>
        <w:rPr>
          <w:lang w:val="en-ZA"/>
        </w:rPr>
        <w:t>2003 (1) SACR 35 (SCA) at par. 8.</w:t>
      </w:r>
    </w:p>
  </w:footnote>
  <w:footnote w:id="5">
    <w:p w14:paraId="1121045B" w14:textId="2D93A628" w:rsidR="003E6F6B" w:rsidRPr="003E6F6B" w:rsidRDefault="003E6F6B">
      <w:pPr>
        <w:pStyle w:val="FootnoteText"/>
        <w:rPr>
          <w:lang w:val="en-ZA"/>
        </w:rPr>
      </w:pPr>
      <w:r>
        <w:rPr>
          <w:rStyle w:val="FootnoteReference"/>
        </w:rPr>
        <w:footnoteRef/>
      </w:r>
      <w:r>
        <w:t xml:space="preserve"> </w:t>
      </w:r>
      <w:r>
        <w:rPr>
          <w:lang w:val="en-ZA"/>
        </w:rPr>
        <w:t>2001 (1) SACR 469 (SCA).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0DE13DD" w14:textId="5C48CA58" w:rsidR="00B26C6B" w:rsidRDefault="00B26C6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F7EC4">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7EC4">
          <w:rPr>
            <w:b/>
            <w:bCs/>
            <w:noProof/>
          </w:rPr>
          <w:t>13</w:t>
        </w:r>
        <w:r>
          <w:rPr>
            <w:b/>
            <w:bCs/>
            <w:sz w:val="24"/>
            <w:szCs w:val="24"/>
          </w:rPr>
          <w:fldChar w:fldCharType="end"/>
        </w:r>
      </w:p>
    </w:sdtContent>
  </w:sdt>
  <w:p w14:paraId="51E2B017" w14:textId="77777777" w:rsidR="00B26C6B" w:rsidRDefault="00B26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C86"/>
    <w:multiLevelType w:val="multilevel"/>
    <w:tmpl w:val="80780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A139C1"/>
    <w:multiLevelType w:val="multilevel"/>
    <w:tmpl w:val="C43CA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8B"/>
    <w:rsid w:val="000013CE"/>
    <w:rsid w:val="00005D27"/>
    <w:rsid w:val="00006B50"/>
    <w:rsid w:val="00014E1F"/>
    <w:rsid w:val="000463D9"/>
    <w:rsid w:val="000479B0"/>
    <w:rsid w:val="00047A52"/>
    <w:rsid w:val="0005037B"/>
    <w:rsid w:val="00090124"/>
    <w:rsid w:val="00093826"/>
    <w:rsid w:val="000A29AE"/>
    <w:rsid w:val="000A46A1"/>
    <w:rsid w:val="000B0081"/>
    <w:rsid w:val="000B4B89"/>
    <w:rsid w:val="000C1B2D"/>
    <w:rsid w:val="000D7280"/>
    <w:rsid w:val="000E2BDB"/>
    <w:rsid w:val="000F16C1"/>
    <w:rsid w:val="000F3C65"/>
    <w:rsid w:val="000F5862"/>
    <w:rsid w:val="000F5F28"/>
    <w:rsid w:val="000F744A"/>
    <w:rsid w:val="001037BC"/>
    <w:rsid w:val="00112B27"/>
    <w:rsid w:val="0013078C"/>
    <w:rsid w:val="00137CE7"/>
    <w:rsid w:val="001463F0"/>
    <w:rsid w:val="001576B4"/>
    <w:rsid w:val="0016263E"/>
    <w:rsid w:val="00174A6A"/>
    <w:rsid w:val="001916B2"/>
    <w:rsid w:val="001932F9"/>
    <w:rsid w:val="00195747"/>
    <w:rsid w:val="001967D5"/>
    <w:rsid w:val="00197DEF"/>
    <w:rsid w:val="001A07A5"/>
    <w:rsid w:val="001B37E3"/>
    <w:rsid w:val="001B3ED3"/>
    <w:rsid w:val="001C63FA"/>
    <w:rsid w:val="001D2E70"/>
    <w:rsid w:val="001F3875"/>
    <w:rsid w:val="001F7AD4"/>
    <w:rsid w:val="002011C6"/>
    <w:rsid w:val="00203513"/>
    <w:rsid w:val="002079A7"/>
    <w:rsid w:val="002140AF"/>
    <w:rsid w:val="00221ED7"/>
    <w:rsid w:val="002270C6"/>
    <w:rsid w:val="0023166E"/>
    <w:rsid w:val="00235047"/>
    <w:rsid w:val="0024355D"/>
    <w:rsid w:val="00246CE9"/>
    <w:rsid w:val="00254F85"/>
    <w:rsid w:val="00260AC2"/>
    <w:rsid w:val="002700E0"/>
    <w:rsid w:val="002B4543"/>
    <w:rsid w:val="002C1CAA"/>
    <w:rsid w:val="002E2494"/>
    <w:rsid w:val="002E2A81"/>
    <w:rsid w:val="002F4CEE"/>
    <w:rsid w:val="003039B8"/>
    <w:rsid w:val="003075A9"/>
    <w:rsid w:val="00312D74"/>
    <w:rsid w:val="0031665A"/>
    <w:rsid w:val="003437F6"/>
    <w:rsid w:val="00345583"/>
    <w:rsid w:val="003457EA"/>
    <w:rsid w:val="00357FD9"/>
    <w:rsid w:val="0037762E"/>
    <w:rsid w:val="003815D5"/>
    <w:rsid w:val="003B03C0"/>
    <w:rsid w:val="003B25EB"/>
    <w:rsid w:val="003C6FAA"/>
    <w:rsid w:val="003D05FA"/>
    <w:rsid w:val="003D0675"/>
    <w:rsid w:val="003D464B"/>
    <w:rsid w:val="003D6B7C"/>
    <w:rsid w:val="003E5B82"/>
    <w:rsid w:val="003E6F6B"/>
    <w:rsid w:val="00415E70"/>
    <w:rsid w:val="004217A7"/>
    <w:rsid w:val="00424F82"/>
    <w:rsid w:val="00430271"/>
    <w:rsid w:val="0043316B"/>
    <w:rsid w:val="00440A0F"/>
    <w:rsid w:val="0044314E"/>
    <w:rsid w:val="004706F9"/>
    <w:rsid w:val="004A3206"/>
    <w:rsid w:val="004A6249"/>
    <w:rsid w:val="004C41C2"/>
    <w:rsid w:val="004C57DB"/>
    <w:rsid w:val="004C6E0A"/>
    <w:rsid w:val="004C75BD"/>
    <w:rsid w:val="004D1D2A"/>
    <w:rsid w:val="005010EF"/>
    <w:rsid w:val="005308EA"/>
    <w:rsid w:val="0053497F"/>
    <w:rsid w:val="00550BB1"/>
    <w:rsid w:val="0055238F"/>
    <w:rsid w:val="00555BA4"/>
    <w:rsid w:val="00562876"/>
    <w:rsid w:val="00563A60"/>
    <w:rsid w:val="005A10EB"/>
    <w:rsid w:val="005A5E63"/>
    <w:rsid w:val="005D568A"/>
    <w:rsid w:val="005D6389"/>
    <w:rsid w:val="005E2B37"/>
    <w:rsid w:val="005E769D"/>
    <w:rsid w:val="005F3760"/>
    <w:rsid w:val="00625F5B"/>
    <w:rsid w:val="00640B10"/>
    <w:rsid w:val="00650723"/>
    <w:rsid w:val="00656212"/>
    <w:rsid w:val="00656DAB"/>
    <w:rsid w:val="00657204"/>
    <w:rsid w:val="00694767"/>
    <w:rsid w:val="006A004F"/>
    <w:rsid w:val="006B5D1D"/>
    <w:rsid w:val="006B6DA8"/>
    <w:rsid w:val="006F4926"/>
    <w:rsid w:val="00702D30"/>
    <w:rsid w:val="0072005B"/>
    <w:rsid w:val="00743777"/>
    <w:rsid w:val="00752E1E"/>
    <w:rsid w:val="007A5877"/>
    <w:rsid w:val="007C3650"/>
    <w:rsid w:val="007D64D9"/>
    <w:rsid w:val="00832F98"/>
    <w:rsid w:val="00842B6C"/>
    <w:rsid w:val="008713AF"/>
    <w:rsid w:val="008A1010"/>
    <w:rsid w:val="008A1A3E"/>
    <w:rsid w:val="008A6755"/>
    <w:rsid w:val="008C04E6"/>
    <w:rsid w:val="008C5D07"/>
    <w:rsid w:val="008C7B44"/>
    <w:rsid w:val="008F4E5A"/>
    <w:rsid w:val="009024C6"/>
    <w:rsid w:val="00911576"/>
    <w:rsid w:val="00916E19"/>
    <w:rsid w:val="0092181D"/>
    <w:rsid w:val="0092636F"/>
    <w:rsid w:val="009424E9"/>
    <w:rsid w:val="00977CCE"/>
    <w:rsid w:val="00983013"/>
    <w:rsid w:val="009874FA"/>
    <w:rsid w:val="009A0219"/>
    <w:rsid w:val="009A0D29"/>
    <w:rsid w:val="009B2055"/>
    <w:rsid w:val="009B2D62"/>
    <w:rsid w:val="009B61A3"/>
    <w:rsid w:val="009B6F32"/>
    <w:rsid w:val="009C13A7"/>
    <w:rsid w:val="009D0A48"/>
    <w:rsid w:val="009E1F87"/>
    <w:rsid w:val="009E6053"/>
    <w:rsid w:val="009E70D7"/>
    <w:rsid w:val="009F65FE"/>
    <w:rsid w:val="00A04110"/>
    <w:rsid w:val="00A111B0"/>
    <w:rsid w:val="00A22D9D"/>
    <w:rsid w:val="00A37ACD"/>
    <w:rsid w:val="00A37D9C"/>
    <w:rsid w:val="00A54984"/>
    <w:rsid w:val="00A732FA"/>
    <w:rsid w:val="00A944A2"/>
    <w:rsid w:val="00A9493D"/>
    <w:rsid w:val="00A96743"/>
    <w:rsid w:val="00AC2D8F"/>
    <w:rsid w:val="00AC65A3"/>
    <w:rsid w:val="00AF43DC"/>
    <w:rsid w:val="00AF4815"/>
    <w:rsid w:val="00B017F1"/>
    <w:rsid w:val="00B0263D"/>
    <w:rsid w:val="00B164C4"/>
    <w:rsid w:val="00B26C6B"/>
    <w:rsid w:val="00B311E1"/>
    <w:rsid w:val="00B473ED"/>
    <w:rsid w:val="00B62502"/>
    <w:rsid w:val="00B63FC9"/>
    <w:rsid w:val="00B6489C"/>
    <w:rsid w:val="00B86F29"/>
    <w:rsid w:val="00BB498D"/>
    <w:rsid w:val="00BB7454"/>
    <w:rsid w:val="00BD4058"/>
    <w:rsid w:val="00C00B4F"/>
    <w:rsid w:val="00C23AB5"/>
    <w:rsid w:val="00C33A0A"/>
    <w:rsid w:val="00C509E2"/>
    <w:rsid w:val="00C67DF9"/>
    <w:rsid w:val="00C7081E"/>
    <w:rsid w:val="00C70B5D"/>
    <w:rsid w:val="00C8113B"/>
    <w:rsid w:val="00C81397"/>
    <w:rsid w:val="00C81A99"/>
    <w:rsid w:val="00CA4983"/>
    <w:rsid w:val="00CE6CA1"/>
    <w:rsid w:val="00CF1CCB"/>
    <w:rsid w:val="00CF35F4"/>
    <w:rsid w:val="00D004BE"/>
    <w:rsid w:val="00D11B96"/>
    <w:rsid w:val="00D22A8B"/>
    <w:rsid w:val="00D40126"/>
    <w:rsid w:val="00D42B6F"/>
    <w:rsid w:val="00D60546"/>
    <w:rsid w:val="00D73000"/>
    <w:rsid w:val="00D737CB"/>
    <w:rsid w:val="00DA126C"/>
    <w:rsid w:val="00DB4A5B"/>
    <w:rsid w:val="00DB6059"/>
    <w:rsid w:val="00DB63C0"/>
    <w:rsid w:val="00DE2549"/>
    <w:rsid w:val="00DE36EA"/>
    <w:rsid w:val="00DF0349"/>
    <w:rsid w:val="00DF0D3A"/>
    <w:rsid w:val="00DF1F92"/>
    <w:rsid w:val="00E0355A"/>
    <w:rsid w:val="00E0408E"/>
    <w:rsid w:val="00E22E9B"/>
    <w:rsid w:val="00E26924"/>
    <w:rsid w:val="00E43634"/>
    <w:rsid w:val="00E47866"/>
    <w:rsid w:val="00E66984"/>
    <w:rsid w:val="00E71568"/>
    <w:rsid w:val="00E812AC"/>
    <w:rsid w:val="00E92782"/>
    <w:rsid w:val="00EB3323"/>
    <w:rsid w:val="00EC4BA0"/>
    <w:rsid w:val="00ED45F2"/>
    <w:rsid w:val="00ED6A7C"/>
    <w:rsid w:val="00ED7D2F"/>
    <w:rsid w:val="00EE04EA"/>
    <w:rsid w:val="00EE6FF0"/>
    <w:rsid w:val="00EF4BFC"/>
    <w:rsid w:val="00F13237"/>
    <w:rsid w:val="00F3560B"/>
    <w:rsid w:val="00F43B03"/>
    <w:rsid w:val="00F45BB8"/>
    <w:rsid w:val="00F535A3"/>
    <w:rsid w:val="00FA24EA"/>
    <w:rsid w:val="00FB7A9B"/>
    <w:rsid w:val="00FC3FA3"/>
    <w:rsid w:val="00FC5022"/>
    <w:rsid w:val="00FE5B0E"/>
    <w:rsid w:val="00FF7E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1E56"/>
  <w15:docId w15:val="{997C6A3A-41CC-48BC-8BB2-2F6F1688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BD4058"/>
    <w:pPr>
      <w:spacing w:line="240" w:lineRule="auto"/>
    </w:pPr>
    <w:rPr>
      <w:sz w:val="20"/>
      <w:szCs w:val="20"/>
    </w:rPr>
  </w:style>
  <w:style w:type="character" w:customStyle="1" w:styleId="FootnoteTextChar">
    <w:name w:val="Footnote Text Char"/>
    <w:basedOn w:val="DefaultParagraphFont"/>
    <w:link w:val="FootnoteText"/>
    <w:uiPriority w:val="99"/>
    <w:semiHidden/>
    <w:rsid w:val="00BD4058"/>
    <w:rPr>
      <w:sz w:val="20"/>
      <w:szCs w:val="20"/>
    </w:rPr>
  </w:style>
  <w:style w:type="character" w:styleId="FootnoteReference">
    <w:name w:val="footnote reference"/>
    <w:basedOn w:val="DefaultParagraphFont"/>
    <w:uiPriority w:val="99"/>
    <w:semiHidden/>
    <w:unhideWhenUsed/>
    <w:rsid w:val="00BD4058"/>
    <w:rPr>
      <w:vertAlign w:val="superscript"/>
    </w:rPr>
  </w:style>
  <w:style w:type="paragraph" w:styleId="Header">
    <w:name w:val="header"/>
    <w:basedOn w:val="Normal"/>
    <w:link w:val="HeaderChar"/>
    <w:uiPriority w:val="99"/>
    <w:unhideWhenUsed/>
    <w:rsid w:val="00B26C6B"/>
    <w:pPr>
      <w:tabs>
        <w:tab w:val="center" w:pos="4513"/>
        <w:tab w:val="right" w:pos="9026"/>
      </w:tabs>
      <w:spacing w:line="240" w:lineRule="auto"/>
    </w:pPr>
  </w:style>
  <w:style w:type="character" w:customStyle="1" w:styleId="HeaderChar">
    <w:name w:val="Header Char"/>
    <w:basedOn w:val="DefaultParagraphFont"/>
    <w:link w:val="Header"/>
    <w:uiPriority w:val="99"/>
    <w:rsid w:val="00B26C6B"/>
  </w:style>
  <w:style w:type="paragraph" w:styleId="Footer">
    <w:name w:val="footer"/>
    <w:basedOn w:val="Normal"/>
    <w:link w:val="FooterChar"/>
    <w:uiPriority w:val="99"/>
    <w:unhideWhenUsed/>
    <w:rsid w:val="00B26C6B"/>
    <w:pPr>
      <w:tabs>
        <w:tab w:val="center" w:pos="4513"/>
        <w:tab w:val="right" w:pos="9026"/>
      </w:tabs>
      <w:spacing w:line="240" w:lineRule="auto"/>
    </w:pPr>
  </w:style>
  <w:style w:type="character" w:customStyle="1" w:styleId="FooterChar">
    <w:name w:val="Footer Char"/>
    <w:basedOn w:val="DefaultParagraphFont"/>
    <w:link w:val="Footer"/>
    <w:uiPriority w:val="99"/>
    <w:rsid w:val="00B26C6B"/>
  </w:style>
  <w:style w:type="character" w:styleId="Hyperlink">
    <w:name w:val="Hyperlink"/>
    <w:basedOn w:val="DefaultParagraphFont"/>
    <w:uiPriority w:val="99"/>
    <w:semiHidden/>
    <w:unhideWhenUsed/>
    <w:rsid w:val="003D0675"/>
    <w:rPr>
      <w:color w:val="0000FF"/>
      <w:u w:val="single"/>
    </w:rPr>
  </w:style>
  <w:style w:type="paragraph" w:styleId="NormalWeb">
    <w:name w:val="Normal (Web)"/>
    <w:basedOn w:val="Normal"/>
    <w:uiPriority w:val="99"/>
    <w:semiHidden/>
    <w:unhideWhenUsed/>
    <w:rsid w:val="003D0675"/>
    <w:pPr>
      <w:spacing w:before="100" w:beforeAutospacing="1" w:after="100" w:afterAutospacing="1" w:line="240" w:lineRule="auto"/>
    </w:pPr>
    <w:rPr>
      <w:rFonts w:ascii="Times New Roman" w:eastAsia="Times New Roman" w:hAnsi="Times New Roman" w:cs="Times New Roman"/>
      <w:sz w:val="24"/>
      <w:szCs w:val="24"/>
      <w:lang w:val="en-ZA"/>
    </w:rPr>
  </w:style>
  <w:style w:type="paragraph" w:styleId="BalloonText">
    <w:name w:val="Balloon Text"/>
    <w:basedOn w:val="Normal"/>
    <w:link w:val="BalloonTextChar"/>
    <w:uiPriority w:val="99"/>
    <w:semiHidden/>
    <w:unhideWhenUsed/>
    <w:rsid w:val="001916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DE7D.E7E5F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05414-4588-4CCA-944E-783675B7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Bokka VZyl</cp:lastModifiedBy>
  <cp:revision>6</cp:revision>
  <cp:lastPrinted>2024-02-06T11:53:00Z</cp:lastPrinted>
  <dcterms:created xsi:type="dcterms:W3CDTF">2024-02-06T08:45:00Z</dcterms:created>
  <dcterms:modified xsi:type="dcterms:W3CDTF">2024-02-06T11:59:00Z</dcterms:modified>
</cp:coreProperties>
</file>