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3A6E" w14:textId="77777777" w:rsidR="00CF2477" w:rsidRPr="00CF2477" w:rsidRDefault="00CF2477" w:rsidP="00CF2477">
      <w:pPr>
        <w:spacing w:after="160"/>
        <w:jc w:val="center"/>
        <w:outlineLvl w:val="0"/>
        <w:rPr>
          <w:rFonts w:ascii="Arial" w:hAnsi="Arial" w:cs="Arial"/>
          <w:b/>
          <w:bCs/>
          <w:kern w:val="32"/>
          <w:lang w:val="en-GB"/>
        </w:rPr>
      </w:pPr>
      <w:bookmarkStart w:id="0" w:name="_GoBack"/>
      <w:r w:rsidRPr="00CF2477">
        <w:rPr>
          <w:noProof/>
          <w:lang w:val="en-US"/>
        </w:rPr>
        <w:drawing>
          <wp:inline distT="0" distB="0" distL="0" distR="0" wp14:anchorId="7A5F230B" wp14:editId="2ED04453">
            <wp:extent cx="1924050" cy="1454150"/>
            <wp:effectExtent l="0" t="0" r="0" b="0"/>
            <wp:docPr id="1" name="Picture 1"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454150"/>
                    </a:xfrm>
                    <a:prstGeom prst="rect">
                      <a:avLst/>
                    </a:prstGeom>
                    <a:noFill/>
                    <a:ln>
                      <a:noFill/>
                    </a:ln>
                  </pic:spPr>
                </pic:pic>
              </a:graphicData>
            </a:graphic>
          </wp:inline>
        </w:drawing>
      </w:r>
    </w:p>
    <w:p w14:paraId="27B15CF0" w14:textId="77777777" w:rsidR="00CF2477" w:rsidRPr="00CF2477" w:rsidRDefault="00CF2477" w:rsidP="00CF2477">
      <w:pPr>
        <w:spacing w:after="160"/>
        <w:jc w:val="center"/>
        <w:outlineLvl w:val="0"/>
        <w:rPr>
          <w:rFonts w:ascii="Arial" w:hAnsi="Arial" w:cs="Arial"/>
          <w:b/>
          <w:bCs/>
          <w:kern w:val="32"/>
          <w:lang w:val="en-GB"/>
        </w:rPr>
      </w:pPr>
      <w:r w:rsidRPr="00CF2477">
        <w:rPr>
          <w:rFonts w:ascii="Arial" w:hAnsi="Arial" w:cs="Arial"/>
          <w:b/>
          <w:bCs/>
          <w:kern w:val="32"/>
          <w:lang w:val="en-GB"/>
        </w:rPr>
        <w:t>IN THE HIGH COURT OF SOUTH AFRICA</w:t>
      </w:r>
    </w:p>
    <w:p w14:paraId="5A4727E5" w14:textId="77777777" w:rsidR="00CF2477" w:rsidRPr="00CF2477" w:rsidRDefault="00CF2477" w:rsidP="00CF2477">
      <w:pPr>
        <w:spacing w:after="160"/>
        <w:jc w:val="center"/>
        <w:outlineLvl w:val="0"/>
        <w:rPr>
          <w:rFonts w:ascii="Arial" w:hAnsi="Arial" w:cs="Arial"/>
          <w:b/>
          <w:bCs/>
          <w:kern w:val="32"/>
          <w:lang w:val="en-GB"/>
        </w:rPr>
      </w:pPr>
      <w:r w:rsidRPr="00CF2477">
        <w:rPr>
          <w:rFonts w:ascii="Arial" w:hAnsi="Arial" w:cs="Arial"/>
          <w:b/>
          <w:bCs/>
          <w:kern w:val="32"/>
          <w:lang w:val="en-GB"/>
        </w:rPr>
        <w:t>(GAUTENG DIVISION, PRETORIA)</w:t>
      </w:r>
    </w:p>
    <w:p w14:paraId="42D47AD8" w14:textId="77777777" w:rsidR="00CF2477" w:rsidRPr="005D76D5" w:rsidRDefault="00CF2477" w:rsidP="00CF2477">
      <w:pPr>
        <w:spacing w:line="360" w:lineRule="auto"/>
        <w:jc w:val="right"/>
        <w:outlineLvl w:val="0"/>
        <w:rPr>
          <w:rFonts w:ascii="Arial" w:hAnsi="Arial" w:cs="Arial"/>
          <w:kern w:val="32"/>
          <w:szCs w:val="22"/>
        </w:rPr>
      </w:pPr>
    </w:p>
    <w:p w14:paraId="6C7997B8" w14:textId="77777777" w:rsidR="00CF2477" w:rsidRDefault="00CF2477" w:rsidP="00CF2477">
      <w:pPr>
        <w:spacing w:line="360" w:lineRule="auto"/>
        <w:jc w:val="right"/>
        <w:outlineLvl w:val="0"/>
        <w:rPr>
          <w:rFonts w:ascii="Arial" w:hAnsi="Arial" w:cs="Arial"/>
          <w:b/>
          <w:bCs/>
          <w:kern w:val="32"/>
          <w:szCs w:val="22"/>
        </w:rPr>
      </w:pPr>
      <w:r>
        <w:rPr>
          <w:rFonts w:ascii="Arial" w:hAnsi="Arial" w:cs="Arial"/>
          <w:kern w:val="32"/>
          <w:szCs w:val="22"/>
        </w:rPr>
        <w:t xml:space="preserve">Appeal </w:t>
      </w:r>
      <w:r w:rsidRPr="005D76D5">
        <w:rPr>
          <w:rFonts w:ascii="Arial" w:hAnsi="Arial" w:cs="Arial"/>
          <w:kern w:val="32"/>
          <w:szCs w:val="22"/>
        </w:rPr>
        <w:t>Case No</w:t>
      </w:r>
      <w:r>
        <w:rPr>
          <w:rFonts w:ascii="Arial" w:hAnsi="Arial" w:cs="Arial"/>
          <w:kern w:val="32"/>
          <w:szCs w:val="22"/>
        </w:rPr>
        <w:t>:</w:t>
      </w:r>
      <w:r w:rsidRPr="005D76D5">
        <w:rPr>
          <w:rFonts w:ascii="Arial" w:hAnsi="Arial" w:cs="Arial"/>
          <w:kern w:val="32"/>
          <w:szCs w:val="22"/>
        </w:rPr>
        <w:t xml:space="preserve"> </w:t>
      </w:r>
      <w:r w:rsidRPr="00695BAE">
        <w:rPr>
          <w:rFonts w:ascii="Arial" w:hAnsi="Arial" w:cs="Arial"/>
          <w:b/>
          <w:bCs/>
          <w:kern w:val="32"/>
          <w:szCs w:val="22"/>
        </w:rPr>
        <w:t>A253/2022</w:t>
      </w:r>
    </w:p>
    <w:p w14:paraId="0179FD35" w14:textId="2D66131E" w:rsidR="00CF2477" w:rsidRPr="00CF2477" w:rsidRDefault="00CF2477" w:rsidP="00CF2477">
      <w:pPr>
        <w:spacing w:line="360" w:lineRule="auto"/>
        <w:jc w:val="right"/>
        <w:outlineLvl w:val="0"/>
        <w:rPr>
          <w:rFonts w:ascii="Arial" w:hAnsi="Arial" w:cs="Arial"/>
          <w:b/>
          <w:bCs/>
          <w:kern w:val="32"/>
          <w:lang w:val="en-GB"/>
        </w:rPr>
      </w:pPr>
      <w:r>
        <w:rPr>
          <w:rFonts w:ascii="Arial" w:hAnsi="Arial" w:cs="Arial"/>
          <w:b/>
          <w:bCs/>
          <w:kern w:val="32"/>
          <w:szCs w:val="22"/>
        </w:rPr>
        <w:tab/>
      </w:r>
      <w:r w:rsidRPr="00695BAE">
        <w:rPr>
          <w:rFonts w:ascii="Arial" w:hAnsi="Arial" w:cs="Arial"/>
          <w:kern w:val="32"/>
          <w:szCs w:val="22"/>
        </w:rPr>
        <w:t xml:space="preserve">Case No: Court </w:t>
      </w:r>
      <w:r w:rsidRPr="00695BAE">
        <w:rPr>
          <w:rFonts w:ascii="Arial" w:hAnsi="Arial" w:cs="Arial"/>
          <w:i/>
          <w:iCs/>
          <w:kern w:val="32"/>
          <w:szCs w:val="22"/>
        </w:rPr>
        <w:t>a quo</w:t>
      </w:r>
      <w:r w:rsidRPr="00695BAE">
        <w:rPr>
          <w:rFonts w:ascii="Arial" w:hAnsi="Arial" w:cs="Arial"/>
          <w:kern w:val="32"/>
          <w:szCs w:val="22"/>
        </w:rPr>
        <w:t>:</w:t>
      </w:r>
      <w:r>
        <w:rPr>
          <w:rFonts w:ascii="Arial" w:hAnsi="Arial" w:cs="Arial"/>
          <w:b/>
          <w:bCs/>
          <w:kern w:val="32"/>
          <w:szCs w:val="22"/>
        </w:rPr>
        <w:t xml:space="preserve"> 7620/2021</w:t>
      </w:r>
    </w:p>
    <w:p w14:paraId="3FF38BA2" w14:textId="77777777" w:rsidR="00CF2477" w:rsidRPr="00CF2477" w:rsidRDefault="00CF2477" w:rsidP="00CF2477">
      <w:pPr>
        <w:spacing w:after="160"/>
        <w:jc w:val="both"/>
        <w:outlineLvl w:val="0"/>
        <w:rPr>
          <w:rFonts w:ascii="Arial" w:hAnsi="Arial" w:cs="Arial"/>
          <w:b/>
          <w:bCs/>
          <w:color w:val="FF0000"/>
          <w:kern w:val="32"/>
          <w:lang w:val="en-GB"/>
        </w:rPr>
      </w:pPr>
      <w:r w:rsidRPr="00CF2477">
        <w:rPr>
          <w:rFonts w:ascii="Arial" w:eastAsia="Calibri" w:hAnsi="Arial" w:cs="Arial"/>
          <w:noProof/>
          <w:lang w:val="en-US"/>
        </w:rPr>
        <mc:AlternateContent>
          <mc:Choice Requires="wps">
            <w:drawing>
              <wp:anchor distT="0" distB="0" distL="114300" distR="114300" simplePos="0" relativeHeight="251659264" behindDoc="0" locked="0" layoutInCell="1" allowOverlap="1" wp14:anchorId="06D9EA37" wp14:editId="70FAED16">
                <wp:simplePos x="0" y="0"/>
                <wp:positionH relativeFrom="margin">
                  <wp:posOffset>5715</wp:posOffset>
                </wp:positionH>
                <wp:positionV relativeFrom="paragraph">
                  <wp:posOffset>9525</wp:posOffset>
                </wp:positionV>
                <wp:extent cx="3098800" cy="11938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93800"/>
                        </a:xfrm>
                        <a:prstGeom prst="rect">
                          <a:avLst/>
                        </a:prstGeom>
                        <a:solidFill>
                          <a:srgbClr val="FFFFFF"/>
                        </a:solidFill>
                        <a:ln w="9525">
                          <a:solidFill>
                            <a:srgbClr val="000000"/>
                          </a:solidFill>
                          <a:miter lim="800000"/>
                          <a:headEnd/>
                          <a:tailEnd/>
                        </a:ln>
                      </wps:spPr>
                      <wps:txbx>
                        <w:txbxContent>
                          <w:p w14:paraId="79F3B816" w14:textId="521F26CD" w:rsidR="00CF2477" w:rsidRPr="007C20F4" w:rsidRDefault="006A2D18" w:rsidP="006A2D18">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(1)</w:t>
                            </w:r>
                            <w:r w:rsidRPr="007C20F4">
                              <w:rPr>
                                <w:rFonts w:ascii="Calibri" w:hAnsi="Calibri"/>
                                <w:sz w:val="20"/>
                                <w:lang w:val="af-ZA"/>
                              </w:rPr>
                              <w:tab/>
                            </w:r>
                            <w:r w:rsidR="00CF2477">
                              <w:rPr>
                                <w:rFonts w:ascii="Calibri" w:hAnsi="Calibri"/>
                                <w:sz w:val="20"/>
                                <w:lang w:val="af-ZA"/>
                              </w:rPr>
                              <w:t>REPORTABLE: YES/NO</w:t>
                            </w:r>
                          </w:p>
                          <w:p w14:paraId="15EA1463" w14:textId="2A81D6EE" w:rsidR="00CF2477" w:rsidRPr="007C20F4" w:rsidRDefault="006A2D18" w:rsidP="006A2D18">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(2)</w:t>
                            </w:r>
                            <w:r w:rsidRPr="007C20F4">
                              <w:rPr>
                                <w:rFonts w:ascii="Calibri" w:hAnsi="Calibri"/>
                                <w:sz w:val="20"/>
                                <w:lang w:val="af-ZA"/>
                              </w:rPr>
                              <w:tab/>
                            </w:r>
                            <w:r w:rsidR="00CF2477" w:rsidRPr="007C20F4">
                              <w:rPr>
                                <w:rFonts w:ascii="Calibri" w:hAnsi="Calibri"/>
                                <w:sz w:val="20"/>
                                <w:lang w:val="af-ZA"/>
                              </w:rPr>
                              <w:t>OF</w:t>
                            </w:r>
                            <w:r w:rsidR="00CF2477">
                              <w:rPr>
                                <w:rFonts w:ascii="Calibri" w:hAnsi="Calibri"/>
                                <w:sz w:val="20"/>
                                <w:lang w:val="af-ZA"/>
                              </w:rPr>
                              <w:t xml:space="preserve"> INTEREST TO OTHERS JUDGES: YES/NO</w:t>
                            </w:r>
                          </w:p>
                          <w:p w14:paraId="501CDF1F" w14:textId="50FA39A2" w:rsidR="00CF2477" w:rsidRPr="007C20F4" w:rsidRDefault="006A2D18" w:rsidP="006A2D18">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(3)</w:t>
                            </w:r>
                            <w:r w:rsidRPr="007C20F4">
                              <w:rPr>
                                <w:rFonts w:ascii="Calibri" w:hAnsi="Calibri"/>
                                <w:sz w:val="20"/>
                                <w:lang w:val="af-ZA"/>
                              </w:rPr>
                              <w:tab/>
                            </w:r>
                            <w:r w:rsidR="00CF2477" w:rsidRPr="007C20F4">
                              <w:rPr>
                                <w:rFonts w:ascii="Calibri" w:hAnsi="Calibri"/>
                                <w:sz w:val="20"/>
                                <w:lang w:val="af-ZA"/>
                              </w:rPr>
                              <w:t>REVISED</w:t>
                            </w:r>
                          </w:p>
                          <w:p w14:paraId="7EA89B33" w14:textId="77777777" w:rsidR="00CF2477" w:rsidRDefault="00CF2477" w:rsidP="00CF2477">
                            <w:pPr>
                              <w:tabs>
                                <w:tab w:val="center" w:pos="4320"/>
                                <w:tab w:val="right" w:pos="8640"/>
                              </w:tabs>
                              <w:spacing w:after="200" w:line="276" w:lineRule="auto"/>
                              <w:ind w:left="720"/>
                              <w:contextualSpacing/>
                              <w:rPr>
                                <w:rFonts w:ascii="Calibri" w:hAnsi="Calibri"/>
                                <w:sz w:val="20"/>
                                <w:lang w:val="af-ZA"/>
                              </w:rPr>
                            </w:pPr>
                          </w:p>
                          <w:p w14:paraId="2556E5CC" w14:textId="1CD8B47A" w:rsidR="00CF2477" w:rsidRPr="00AC3FA0" w:rsidRDefault="00CF2477" w:rsidP="00CF2477">
                            <w:pPr>
                              <w:tabs>
                                <w:tab w:val="center" w:pos="4320"/>
                                <w:tab w:val="right" w:pos="8640"/>
                              </w:tabs>
                              <w:spacing w:line="276" w:lineRule="auto"/>
                              <w:contextualSpacing/>
                              <w:rPr>
                                <w:rFonts w:ascii="Calibri" w:hAnsi="Calibri"/>
                                <w:sz w:val="20"/>
                                <w:lang w:val="af-ZA"/>
                              </w:rPr>
                            </w:pPr>
                            <w:r>
                              <w:rPr>
                                <w:rFonts w:ascii="Calibri" w:hAnsi="Calibri"/>
                                <w:b/>
                                <w:bCs/>
                                <w:noProof/>
                                <w:u w:val="dotted"/>
                                <w:lang w:eastAsia="en-ZA"/>
                              </w:rPr>
                              <w:t xml:space="preserve">                           </w:t>
                            </w:r>
                            <w:r>
                              <w:rPr>
                                <w:rFonts w:ascii="Calibri" w:hAnsi="Calibri"/>
                                <w:b/>
                                <w:bCs/>
                                <w:noProof/>
                                <w:lang w:eastAsia="en-ZA"/>
                              </w:rPr>
                              <w:tab/>
                            </w:r>
                            <w:r w:rsidRPr="00AC3FA0">
                              <w:rPr>
                                <w:rFonts w:ascii="Calibri" w:hAnsi="Calibri"/>
                                <w:sz w:val="20"/>
                                <w:lang w:val="af-ZA"/>
                              </w:rPr>
                              <w:t>......</w:t>
                            </w:r>
                            <w:r>
                              <w:rPr>
                                <w:rFonts w:ascii="Calibri" w:hAnsi="Calibri"/>
                                <w:sz w:val="20"/>
                                <w:u w:val="dotted"/>
                                <w:lang w:val="af-ZA"/>
                              </w:rPr>
                              <w:t xml:space="preserve"> </w:t>
                            </w:r>
                            <w:r w:rsidR="00ED67CA">
                              <w:rPr>
                                <w:rFonts w:ascii="Calibri" w:hAnsi="Calibri"/>
                                <w:sz w:val="20"/>
                                <w:u w:val="dotted"/>
                                <w:lang w:val="af-ZA"/>
                              </w:rPr>
                              <w:t xml:space="preserve">07 </w:t>
                            </w:r>
                            <w:r w:rsidR="00376A46">
                              <w:rPr>
                                <w:rFonts w:ascii="Calibri" w:hAnsi="Calibri"/>
                                <w:sz w:val="20"/>
                                <w:u w:val="dotted"/>
                                <w:lang w:val="af-ZA"/>
                              </w:rPr>
                              <w:t>FEBRUARY</w:t>
                            </w:r>
                            <w:r w:rsidR="00100012">
                              <w:rPr>
                                <w:rFonts w:ascii="Calibri" w:hAnsi="Calibri"/>
                                <w:sz w:val="20"/>
                                <w:u w:val="dotted"/>
                                <w:lang w:val="af-ZA"/>
                              </w:rPr>
                              <w:t xml:space="preserve"> </w:t>
                            </w:r>
                            <w:r>
                              <w:rPr>
                                <w:rFonts w:ascii="Calibri" w:hAnsi="Calibri"/>
                                <w:sz w:val="20"/>
                                <w:u w:val="dotted"/>
                                <w:lang w:val="af-ZA"/>
                              </w:rPr>
                              <w:t>2024</w:t>
                            </w:r>
                            <w:r w:rsidRPr="00AC3FA0">
                              <w:rPr>
                                <w:rFonts w:ascii="Calibri" w:hAnsi="Calibri"/>
                                <w:sz w:val="20"/>
                                <w:lang w:val="af-ZA"/>
                              </w:rPr>
                              <w:t>.......</w:t>
                            </w:r>
                          </w:p>
                          <w:p w14:paraId="11BA76BD" w14:textId="77777777" w:rsidR="00CF2477" w:rsidRPr="007C20F4" w:rsidRDefault="00CF2477" w:rsidP="00CF2477">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9EA37" id="_x0000_t202" coordsize="21600,21600" o:spt="202" path="m,l,21600r21600,l21600,xe">
                <v:stroke joinstyle="miter"/>
                <v:path gradientshapeok="t" o:connecttype="rect"/>
              </v:shapetype>
              <v:shape id="Text Box 6" o:spid="_x0000_s1026" type="#_x0000_t202" style="position:absolute;left:0;text-align:left;margin-left:.45pt;margin-top:.75pt;width:244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j1KQIAAFE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">
                <v:textbox>
                  <w:txbxContent>
                    <w:p w14:paraId="79F3B816" w14:textId="521F26CD" w:rsidR="00CF2477" w:rsidRPr="007C20F4" w:rsidRDefault="006A2D18" w:rsidP="006A2D18">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(1)</w:t>
                      </w:r>
                      <w:r w:rsidRPr="007C20F4">
                        <w:rPr>
                          <w:rFonts w:ascii="Calibri" w:hAnsi="Calibri"/>
                          <w:sz w:val="20"/>
                          <w:lang w:val="af-ZA"/>
                        </w:rPr>
                        <w:tab/>
                      </w:r>
                      <w:r w:rsidR="00CF2477">
                        <w:rPr>
                          <w:rFonts w:ascii="Calibri" w:hAnsi="Calibri"/>
                          <w:sz w:val="20"/>
                          <w:lang w:val="af-ZA"/>
                        </w:rPr>
                        <w:t>REPORTABLE: YES/NO</w:t>
                      </w:r>
                    </w:p>
                    <w:p w14:paraId="15EA1463" w14:textId="2A81D6EE" w:rsidR="00CF2477" w:rsidRPr="007C20F4" w:rsidRDefault="006A2D18" w:rsidP="006A2D18">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(2)</w:t>
                      </w:r>
                      <w:r w:rsidRPr="007C20F4">
                        <w:rPr>
                          <w:rFonts w:ascii="Calibri" w:hAnsi="Calibri"/>
                          <w:sz w:val="20"/>
                          <w:lang w:val="af-ZA"/>
                        </w:rPr>
                        <w:tab/>
                      </w:r>
                      <w:r w:rsidR="00CF2477" w:rsidRPr="007C20F4">
                        <w:rPr>
                          <w:rFonts w:ascii="Calibri" w:hAnsi="Calibri"/>
                          <w:sz w:val="20"/>
                          <w:lang w:val="af-ZA"/>
                        </w:rPr>
                        <w:t>OF</w:t>
                      </w:r>
                      <w:r w:rsidR="00CF2477">
                        <w:rPr>
                          <w:rFonts w:ascii="Calibri" w:hAnsi="Calibri"/>
                          <w:sz w:val="20"/>
                          <w:lang w:val="af-ZA"/>
                        </w:rPr>
                        <w:t xml:space="preserve"> INTEREST TO OTHERS JUDGES: YES/NO</w:t>
                      </w:r>
                    </w:p>
                    <w:p w14:paraId="501CDF1F" w14:textId="50FA39A2" w:rsidR="00CF2477" w:rsidRPr="007C20F4" w:rsidRDefault="006A2D18" w:rsidP="006A2D18">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(3)</w:t>
                      </w:r>
                      <w:r w:rsidRPr="007C20F4">
                        <w:rPr>
                          <w:rFonts w:ascii="Calibri" w:hAnsi="Calibri"/>
                          <w:sz w:val="20"/>
                          <w:lang w:val="af-ZA"/>
                        </w:rPr>
                        <w:tab/>
                      </w:r>
                      <w:r w:rsidR="00CF2477" w:rsidRPr="007C20F4">
                        <w:rPr>
                          <w:rFonts w:ascii="Calibri" w:hAnsi="Calibri"/>
                          <w:sz w:val="20"/>
                          <w:lang w:val="af-ZA"/>
                        </w:rPr>
                        <w:t>REVISED</w:t>
                      </w:r>
                    </w:p>
                    <w:p w14:paraId="7EA89B33" w14:textId="77777777" w:rsidR="00CF2477" w:rsidRDefault="00CF2477" w:rsidP="00CF2477">
                      <w:pPr>
                        <w:tabs>
                          <w:tab w:val="center" w:pos="4320"/>
                          <w:tab w:val="right" w:pos="8640"/>
                        </w:tabs>
                        <w:spacing w:after="200" w:line="276" w:lineRule="auto"/>
                        <w:ind w:left="720"/>
                        <w:contextualSpacing/>
                        <w:rPr>
                          <w:rFonts w:ascii="Calibri" w:hAnsi="Calibri"/>
                          <w:sz w:val="20"/>
                          <w:lang w:val="af-ZA"/>
                        </w:rPr>
                      </w:pPr>
                    </w:p>
                    <w:p w14:paraId="2556E5CC" w14:textId="1CD8B47A" w:rsidR="00CF2477" w:rsidRPr="00AC3FA0" w:rsidRDefault="00CF2477" w:rsidP="00CF2477">
                      <w:pPr>
                        <w:tabs>
                          <w:tab w:val="center" w:pos="4320"/>
                          <w:tab w:val="right" w:pos="8640"/>
                        </w:tabs>
                        <w:spacing w:line="276" w:lineRule="auto"/>
                        <w:contextualSpacing/>
                        <w:rPr>
                          <w:rFonts w:ascii="Calibri" w:hAnsi="Calibri"/>
                          <w:sz w:val="20"/>
                          <w:lang w:val="af-ZA"/>
                        </w:rPr>
                      </w:pPr>
                      <w:r>
                        <w:rPr>
                          <w:rFonts w:ascii="Calibri" w:hAnsi="Calibri"/>
                          <w:b/>
                          <w:bCs/>
                          <w:noProof/>
                          <w:u w:val="dotted"/>
                          <w:lang w:eastAsia="en-ZA"/>
                        </w:rPr>
                        <w:t xml:space="preserve">                           </w:t>
                      </w:r>
                      <w:r>
                        <w:rPr>
                          <w:rFonts w:ascii="Calibri" w:hAnsi="Calibri"/>
                          <w:b/>
                          <w:bCs/>
                          <w:noProof/>
                          <w:lang w:eastAsia="en-ZA"/>
                        </w:rPr>
                        <w:tab/>
                      </w:r>
                      <w:r w:rsidRPr="00AC3FA0">
                        <w:rPr>
                          <w:rFonts w:ascii="Calibri" w:hAnsi="Calibri"/>
                          <w:sz w:val="20"/>
                          <w:lang w:val="af-ZA"/>
                        </w:rPr>
                        <w:t>......</w:t>
                      </w:r>
                      <w:r>
                        <w:rPr>
                          <w:rFonts w:ascii="Calibri" w:hAnsi="Calibri"/>
                          <w:sz w:val="20"/>
                          <w:u w:val="dotted"/>
                          <w:lang w:val="af-ZA"/>
                        </w:rPr>
                        <w:t xml:space="preserve"> </w:t>
                      </w:r>
                      <w:r w:rsidR="00ED67CA">
                        <w:rPr>
                          <w:rFonts w:ascii="Calibri" w:hAnsi="Calibri"/>
                          <w:sz w:val="20"/>
                          <w:u w:val="dotted"/>
                          <w:lang w:val="af-ZA"/>
                        </w:rPr>
                        <w:t xml:space="preserve">07 </w:t>
                      </w:r>
                      <w:r w:rsidR="00376A46">
                        <w:rPr>
                          <w:rFonts w:ascii="Calibri" w:hAnsi="Calibri"/>
                          <w:sz w:val="20"/>
                          <w:u w:val="dotted"/>
                          <w:lang w:val="af-ZA"/>
                        </w:rPr>
                        <w:t>FEBRUARY</w:t>
                      </w:r>
                      <w:r w:rsidR="00100012">
                        <w:rPr>
                          <w:rFonts w:ascii="Calibri" w:hAnsi="Calibri"/>
                          <w:sz w:val="20"/>
                          <w:u w:val="dotted"/>
                          <w:lang w:val="af-ZA"/>
                        </w:rPr>
                        <w:t xml:space="preserve"> </w:t>
                      </w:r>
                      <w:r>
                        <w:rPr>
                          <w:rFonts w:ascii="Calibri" w:hAnsi="Calibri"/>
                          <w:sz w:val="20"/>
                          <w:u w:val="dotted"/>
                          <w:lang w:val="af-ZA"/>
                        </w:rPr>
                        <w:t>2024</w:t>
                      </w:r>
                      <w:r w:rsidRPr="00AC3FA0">
                        <w:rPr>
                          <w:rFonts w:ascii="Calibri" w:hAnsi="Calibri"/>
                          <w:sz w:val="20"/>
                          <w:lang w:val="af-ZA"/>
                        </w:rPr>
                        <w:t>.......</w:t>
                      </w:r>
                    </w:p>
                    <w:p w14:paraId="11BA76BD" w14:textId="77777777" w:rsidR="00CF2477" w:rsidRPr="007C20F4" w:rsidRDefault="00CF2477" w:rsidP="00CF2477">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v:textbox>
                <w10:wrap anchorx="margin"/>
              </v:shape>
            </w:pict>
          </mc:Fallback>
        </mc:AlternateContent>
      </w:r>
    </w:p>
    <w:p w14:paraId="7D409439" w14:textId="77777777" w:rsidR="00CF2477" w:rsidRPr="00CF2477" w:rsidRDefault="00CF2477" w:rsidP="00CF2477">
      <w:pPr>
        <w:spacing w:after="160"/>
        <w:jc w:val="both"/>
        <w:outlineLvl w:val="0"/>
        <w:rPr>
          <w:rFonts w:ascii="Arial" w:hAnsi="Arial" w:cs="Arial"/>
          <w:kern w:val="32"/>
          <w:lang w:val="en-GB"/>
        </w:rPr>
      </w:pPr>
    </w:p>
    <w:p w14:paraId="31835A3A" w14:textId="77777777" w:rsidR="00CF2477" w:rsidRPr="00CF2477" w:rsidRDefault="00CF2477" w:rsidP="00CF2477">
      <w:pPr>
        <w:spacing w:after="160"/>
        <w:jc w:val="both"/>
        <w:outlineLvl w:val="0"/>
        <w:rPr>
          <w:rFonts w:ascii="Arial" w:hAnsi="Arial" w:cs="Arial"/>
          <w:kern w:val="32"/>
          <w:lang w:val="en-GB"/>
        </w:rPr>
      </w:pPr>
    </w:p>
    <w:p w14:paraId="17291EF1" w14:textId="77777777" w:rsidR="00CF2477" w:rsidRPr="00CF2477" w:rsidRDefault="00CF2477" w:rsidP="00CF2477">
      <w:pPr>
        <w:tabs>
          <w:tab w:val="left" w:pos="7690"/>
        </w:tabs>
        <w:spacing w:after="160"/>
        <w:jc w:val="both"/>
        <w:outlineLvl w:val="0"/>
        <w:rPr>
          <w:rFonts w:ascii="Arial" w:hAnsi="Arial" w:cs="Arial"/>
          <w:kern w:val="32"/>
          <w:lang w:val="en-GB"/>
        </w:rPr>
      </w:pPr>
      <w:r w:rsidRPr="00CF2477">
        <w:rPr>
          <w:rFonts w:ascii="Arial" w:hAnsi="Arial" w:cs="Arial"/>
          <w:kern w:val="32"/>
          <w:lang w:val="en-GB"/>
        </w:rPr>
        <w:tab/>
      </w:r>
    </w:p>
    <w:p w14:paraId="1F94BC0D" w14:textId="77777777" w:rsidR="00CF2477" w:rsidRPr="00CF2477" w:rsidRDefault="00CF2477" w:rsidP="00CF2477">
      <w:pPr>
        <w:spacing w:line="360" w:lineRule="auto"/>
        <w:jc w:val="both"/>
        <w:outlineLvl w:val="0"/>
        <w:rPr>
          <w:rFonts w:ascii="Arial" w:hAnsi="Arial" w:cs="Arial"/>
          <w:kern w:val="32"/>
        </w:rPr>
      </w:pPr>
    </w:p>
    <w:p w14:paraId="27FEF08D" w14:textId="77777777" w:rsidR="00CF2477" w:rsidRPr="00CF2477" w:rsidRDefault="00CF2477" w:rsidP="00CF2477">
      <w:pPr>
        <w:spacing w:line="360" w:lineRule="auto"/>
        <w:jc w:val="both"/>
        <w:outlineLvl w:val="0"/>
        <w:rPr>
          <w:rFonts w:ascii="Arial" w:hAnsi="Arial" w:cs="Arial"/>
          <w:kern w:val="32"/>
        </w:rPr>
      </w:pPr>
      <w:r w:rsidRPr="00CF2477">
        <w:rPr>
          <w:rFonts w:ascii="Arial" w:hAnsi="Arial" w:cs="Arial"/>
          <w:kern w:val="32"/>
        </w:rPr>
        <w:t>In the matter between:</w:t>
      </w:r>
    </w:p>
    <w:p w14:paraId="2545CAF5" w14:textId="77777777" w:rsidR="003B59B3" w:rsidRPr="005D76D5" w:rsidRDefault="003B59B3" w:rsidP="00FE2D11">
      <w:pPr>
        <w:spacing w:line="360" w:lineRule="auto"/>
        <w:outlineLvl w:val="0"/>
        <w:rPr>
          <w:rFonts w:ascii="Arial" w:hAnsi="Arial" w:cs="Arial"/>
          <w:kern w:val="32"/>
          <w:szCs w:val="22"/>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544"/>
      </w:tblGrid>
      <w:tr w:rsidR="003B59B3" w:rsidRPr="005D76D5" w14:paraId="61971253" w14:textId="77777777" w:rsidTr="00B366C2">
        <w:tc>
          <w:tcPr>
            <w:tcW w:w="5387" w:type="dxa"/>
          </w:tcPr>
          <w:p w14:paraId="73D519C7" w14:textId="77777777" w:rsidR="003B59B3" w:rsidRPr="00695BAE" w:rsidRDefault="00695BAE" w:rsidP="00FE2D11">
            <w:pPr>
              <w:spacing w:line="360" w:lineRule="auto"/>
              <w:jc w:val="both"/>
              <w:outlineLvl w:val="0"/>
              <w:rPr>
                <w:rFonts w:ascii="Arial" w:hAnsi="Arial" w:cs="Arial"/>
                <w:b/>
                <w:bCs/>
                <w:kern w:val="32"/>
                <w:szCs w:val="22"/>
              </w:rPr>
            </w:pPr>
            <w:r w:rsidRPr="00695BAE">
              <w:rPr>
                <w:rFonts w:ascii="Arial" w:hAnsi="Arial" w:cs="Arial"/>
                <w:b/>
                <w:bCs/>
                <w:kern w:val="32"/>
                <w:szCs w:val="22"/>
              </w:rPr>
              <w:t>UNIQON WONINGS (PTY) LIMITED</w:t>
            </w:r>
          </w:p>
          <w:p w14:paraId="0187D0AE" w14:textId="13E8D0C5" w:rsidR="00695BAE" w:rsidRPr="005D76D5" w:rsidRDefault="00695BAE" w:rsidP="00FE2D11">
            <w:pPr>
              <w:spacing w:line="360" w:lineRule="auto"/>
              <w:jc w:val="both"/>
              <w:outlineLvl w:val="0"/>
              <w:rPr>
                <w:rFonts w:ascii="Arial" w:hAnsi="Arial" w:cs="Arial"/>
                <w:kern w:val="32"/>
                <w:szCs w:val="22"/>
              </w:rPr>
            </w:pPr>
            <w:r>
              <w:rPr>
                <w:rFonts w:ascii="Arial" w:hAnsi="Arial" w:cs="Arial"/>
                <w:kern w:val="32"/>
                <w:szCs w:val="22"/>
              </w:rPr>
              <w:t>(Registration No: 1999/01441/07)</w:t>
            </w:r>
          </w:p>
        </w:tc>
        <w:tc>
          <w:tcPr>
            <w:tcW w:w="3544" w:type="dxa"/>
          </w:tcPr>
          <w:p w14:paraId="525D551D" w14:textId="7BC14C59" w:rsidR="003B59B3" w:rsidRPr="005D76D5" w:rsidRDefault="00695BAE" w:rsidP="00FE2D11">
            <w:pPr>
              <w:spacing w:line="360" w:lineRule="auto"/>
              <w:jc w:val="right"/>
              <w:outlineLvl w:val="0"/>
              <w:rPr>
                <w:rFonts w:ascii="Arial" w:hAnsi="Arial" w:cs="Arial"/>
                <w:kern w:val="32"/>
                <w:szCs w:val="22"/>
              </w:rPr>
            </w:pPr>
            <w:r>
              <w:rPr>
                <w:rFonts w:ascii="Arial" w:hAnsi="Arial" w:cs="Arial"/>
                <w:kern w:val="32"/>
                <w:szCs w:val="22"/>
              </w:rPr>
              <w:t>Appellant</w:t>
            </w:r>
          </w:p>
        </w:tc>
      </w:tr>
      <w:tr w:rsidR="003B59B3" w:rsidRPr="005D76D5" w14:paraId="774C82E8" w14:textId="77777777" w:rsidTr="00B366C2">
        <w:tc>
          <w:tcPr>
            <w:tcW w:w="5387" w:type="dxa"/>
          </w:tcPr>
          <w:p w14:paraId="7BA6E8D1" w14:textId="77777777" w:rsidR="003B59B3" w:rsidRPr="005D76D5" w:rsidRDefault="003B59B3" w:rsidP="00FE2D11">
            <w:pPr>
              <w:spacing w:line="360" w:lineRule="auto"/>
              <w:jc w:val="both"/>
              <w:outlineLvl w:val="0"/>
              <w:rPr>
                <w:rFonts w:ascii="Arial" w:hAnsi="Arial" w:cs="Arial"/>
                <w:kern w:val="32"/>
                <w:szCs w:val="22"/>
              </w:rPr>
            </w:pPr>
          </w:p>
        </w:tc>
        <w:tc>
          <w:tcPr>
            <w:tcW w:w="3544" w:type="dxa"/>
          </w:tcPr>
          <w:p w14:paraId="4D3EA4FE" w14:textId="77777777" w:rsidR="003B59B3" w:rsidRPr="005D76D5" w:rsidRDefault="003B59B3" w:rsidP="00FE2D11">
            <w:pPr>
              <w:spacing w:line="360" w:lineRule="auto"/>
              <w:jc w:val="right"/>
              <w:outlineLvl w:val="0"/>
              <w:rPr>
                <w:rFonts w:ascii="Arial" w:hAnsi="Arial" w:cs="Arial"/>
                <w:kern w:val="32"/>
                <w:szCs w:val="22"/>
              </w:rPr>
            </w:pPr>
          </w:p>
        </w:tc>
      </w:tr>
      <w:tr w:rsidR="003B59B3" w:rsidRPr="005D76D5" w14:paraId="02502A3C" w14:textId="77777777" w:rsidTr="00B366C2">
        <w:tc>
          <w:tcPr>
            <w:tcW w:w="5387" w:type="dxa"/>
          </w:tcPr>
          <w:p w14:paraId="27C96555" w14:textId="77777777" w:rsidR="003B59B3" w:rsidRPr="00667DF6" w:rsidRDefault="003B59B3" w:rsidP="00FE2D11">
            <w:pPr>
              <w:spacing w:line="360" w:lineRule="auto"/>
              <w:jc w:val="both"/>
              <w:outlineLvl w:val="0"/>
              <w:rPr>
                <w:rFonts w:ascii="Arial" w:hAnsi="Arial" w:cs="Arial"/>
                <w:kern w:val="32"/>
                <w:szCs w:val="22"/>
              </w:rPr>
            </w:pPr>
            <w:r w:rsidRPr="00667DF6">
              <w:rPr>
                <w:rFonts w:ascii="Arial" w:hAnsi="Arial" w:cs="Arial"/>
                <w:kern w:val="32"/>
                <w:szCs w:val="22"/>
              </w:rPr>
              <w:t>and</w:t>
            </w:r>
          </w:p>
        </w:tc>
        <w:tc>
          <w:tcPr>
            <w:tcW w:w="3544" w:type="dxa"/>
          </w:tcPr>
          <w:p w14:paraId="744125B3" w14:textId="77777777" w:rsidR="003B59B3" w:rsidRPr="005D76D5" w:rsidRDefault="003B59B3" w:rsidP="00FE2D11">
            <w:pPr>
              <w:spacing w:line="360" w:lineRule="auto"/>
              <w:jc w:val="right"/>
              <w:outlineLvl w:val="0"/>
              <w:rPr>
                <w:rFonts w:ascii="Arial" w:hAnsi="Arial" w:cs="Arial"/>
                <w:kern w:val="32"/>
                <w:szCs w:val="22"/>
              </w:rPr>
            </w:pPr>
          </w:p>
        </w:tc>
      </w:tr>
      <w:tr w:rsidR="003B59B3" w:rsidRPr="005D76D5" w14:paraId="1F3D0966" w14:textId="77777777" w:rsidTr="00B366C2">
        <w:tc>
          <w:tcPr>
            <w:tcW w:w="5387" w:type="dxa"/>
          </w:tcPr>
          <w:p w14:paraId="5870E9FB" w14:textId="77777777" w:rsidR="003B59B3" w:rsidRDefault="003B59B3" w:rsidP="00FE2D11">
            <w:pPr>
              <w:spacing w:line="360" w:lineRule="auto"/>
              <w:jc w:val="both"/>
              <w:outlineLvl w:val="0"/>
              <w:rPr>
                <w:rFonts w:ascii="Arial" w:hAnsi="Arial" w:cs="Arial"/>
                <w:b/>
                <w:bCs/>
                <w:kern w:val="32"/>
                <w:szCs w:val="22"/>
              </w:rPr>
            </w:pPr>
          </w:p>
        </w:tc>
        <w:tc>
          <w:tcPr>
            <w:tcW w:w="3544" w:type="dxa"/>
          </w:tcPr>
          <w:p w14:paraId="7ECD2623" w14:textId="77777777" w:rsidR="003B59B3" w:rsidRDefault="003B59B3" w:rsidP="00FE2D11">
            <w:pPr>
              <w:spacing w:line="360" w:lineRule="auto"/>
              <w:jc w:val="right"/>
              <w:outlineLvl w:val="0"/>
              <w:rPr>
                <w:rFonts w:ascii="Arial" w:hAnsi="Arial" w:cs="Arial"/>
                <w:kern w:val="32"/>
                <w:szCs w:val="22"/>
              </w:rPr>
            </w:pPr>
          </w:p>
        </w:tc>
      </w:tr>
      <w:tr w:rsidR="003B59B3" w:rsidRPr="005D76D5" w14:paraId="33245AA9" w14:textId="77777777" w:rsidTr="00B366C2">
        <w:tc>
          <w:tcPr>
            <w:tcW w:w="5387" w:type="dxa"/>
          </w:tcPr>
          <w:p w14:paraId="039E4B20" w14:textId="79D3C567" w:rsidR="003B59B3" w:rsidRDefault="00695BAE" w:rsidP="00FE2D11">
            <w:pPr>
              <w:spacing w:line="360" w:lineRule="auto"/>
              <w:jc w:val="both"/>
              <w:outlineLvl w:val="0"/>
              <w:rPr>
                <w:rFonts w:ascii="Arial" w:hAnsi="Arial" w:cs="Arial"/>
                <w:b/>
                <w:bCs/>
                <w:kern w:val="32"/>
                <w:szCs w:val="22"/>
              </w:rPr>
            </w:pPr>
            <w:r>
              <w:rPr>
                <w:rFonts w:ascii="Arial" w:hAnsi="Arial" w:cs="Arial"/>
                <w:b/>
                <w:bCs/>
                <w:kern w:val="32"/>
                <w:szCs w:val="22"/>
              </w:rPr>
              <w:t xml:space="preserve">BROOKLYN AND EASTERN AREAS CITIZEN ASSOCIATION </w:t>
            </w:r>
          </w:p>
        </w:tc>
        <w:tc>
          <w:tcPr>
            <w:tcW w:w="3544" w:type="dxa"/>
          </w:tcPr>
          <w:p w14:paraId="6AB4BF86" w14:textId="25029B70" w:rsidR="003B59B3" w:rsidRDefault="003B59B3" w:rsidP="00FE2D11">
            <w:pPr>
              <w:spacing w:line="360" w:lineRule="auto"/>
              <w:jc w:val="right"/>
              <w:outlineLvl w:val="0"/>
              <w:rPr>
                <w:rFonts w:ascii="Arial" w:hAnsi="Arial" w:cs="Arial"/>
                <w:kern w:val="32"/>
                <w:szCs w:val="22"/>
              </w:rPr>
            </w:pPr>
            <w:r>
              <w:rPr>
                <w:rFonts w:ascii="Arial" w:hAnsi="Arial" w:cs="Arial"/>
                <w:kern w:val="32"/>
                <w:szCs w:val="22"/>
              </w:rPr>
              <w:t>Respondent</w:t>
            </w:r>
          </w:p>
        </w:tc>
      </w:tr>
      <w:tr w:rsidR="003B59B3" w:rsidRPr="005D76D5" w14:paraId="20563163" w14:textId="77777777" w:rsidTr="00B366C2">
        <w:tc>
          <w:tcPr>
            <w:tcW w:w="5387" w:type="dxa"/>
          </w:tcPr>
          <w:p w14:paraId="54695B68" w14:textId="77777777" w:rsidR="003B59B3" w:rsidRPr="005D76D5" w:rsidRDefault="003B59B3" w:rsidP="00FE2D11">
            <w:pPr>
              <w:spacing w:line="360" w:lineRule="auto"/>
              <w:jc w:val="both"/>
              <w:outlineLvl w:val="0"/>
              <w:rPr>
                <w:rFonts w:ascii="Arial" w:hAnsi="Arial" w:cs="Arial"/>
                <w:kern w:val="32"/>
                <w:szCs w:val="22"/>
              </w:rPr>
            </w:pPr>
          </w:p>
        </w:tc>
        <w:tc>
          <w:tcPr>
            <w:tcW w:w="3544" w:type="dxa"/>
          </w:tcPr>
          <w:p w14:paraId="68E47B2C" w14:textId="77777777" w:rsidR="003B59B3" w:rsidRPr="005D76D5" w:rsidRDefault="003B59B3" w:rsidP="00FE2D11">
            <w:pPr>
              <w:spacing w:line="360" w:lineRule="auto"/>
              <w:jc w:val="right"/>
              <w:outlineLvl w:val="0"/>
              <w:rPr>
                <w:rFonts w:ascii="Arial" w:hAnsi="Arial" w:cs="Arial"/>
                <w:kern w:val="32"/>
                <w:szCs w:val="22"/>
              </w:rPr>
            </w:pPr>
          </w:p>
        </w:tc>
      </w:tr>
      <w:tr w:rsidR="003B59B3" w:rsidRPr="005D76D5" w14:paraId="1EE68361" w14:textId="77777777" w:rsidTr="00B366C2">
        <w:tc>
          <w:tcPr>
            <w:tcW w:w="8931" w:type="dxa"/>
            <w:gridSpan w:val="2"/>
          </w:tcPr>
          <w:p w14:paraId="25B153BF" w14:textId="471AA1B0" w:rsidR="003B59B3" w:rsidRPr="005D76D5" w:rsidRDefault="003B59B3" w:rsidP="00FE2D11">
            <w:pPr>
              <w:spacing w:line="360" w:lineRule="auto"/>
              <w:jc w:val="both"/>
              <w:outlineLvl w:val="0"/>
              <w:rPr>
                <w:rFonts w:ascii="Arial" w:hAnsi="Arial" w:cs="Arial"/>
                <w:kern w:val="32"/>
                <w:szCs w:val="22"/>
              </w:rPr>
            </w:pPr>
            <w:r w:rsidRPr="005D76D5">
              <w:rPr>
                <w:rFonts w:ascii="Arial" w:hAnsi="Arial" w:cs="Arial"/>
                <w:i/>
                <w:kern w:val="32"/>
                <w:szCs w:val="22"/>
              </w:rPr>
              <w:t xml:space="preserve">This </w:t>
            </w:r>
            <w:r>
              <w:rPr>
                <w:rFonts w:ascii="Arial" w:hAnsi="Arial" w:cs="Arial"/>
                <w:i/>
                <w:kern w:val="32"/>
                <w:szCs w:val="22"/>
              </w:rPr>
              <w:t xml:space="preserve">judgment is prepared and authored by the Judge whose name is reflected as </w:t>
            </w:r>
            <w:r w:rsidR="003E0FB3">
              <w:rPr>
                <w:rFonts w:ascii="Arial" w:hAnsi="Arial" w:cs="Arial"/>
                <w:i/>
                <w:kern w:val="32"/>
                <w:szCs w:val="22"/>
              </w:rPr>
              <w:t>such and</w:t>
            </w:r>
            <w:r>
              <w:rPr>
                <w:rFonts w:ascii="Arial" w:hAnsi="Arial" w:cs="Arial"/>
                <w:i/>
                <w:kern w:val="32"/>
                <w:szCs w:val="22"/>
              </w:rPr>
              <w:t xml:space="preserve"> is handed down electronically by circulation to the parties / their legal representatives by email and by uploading it to the electronic file of this matter on CaseLines. The date for handing down is deemed to be </w:t>
            </w:r>
            <w:r w:rsidR="00ED67CA">
              <w:rPr>
                <w:rFonts w:ascii="Arial" w:hAnsi="Arial" w:cs="Arial"/>
                <w:i/>
                <w:kern w:val="32"/>
                <w:szCs w:val="22"/>
              </w:rPr>
              <w:t>07</w:t>
            </w:r>
            <w:r w:rsidR="00A23220">
              <w:rPr>
                <w:rFonts w:ascii="Arial" w:hAnsi="Arial" w:cs="Arial"/>
                <w:i/>
                <w:kern w:val="32"/>
                <w:szCs w:val="22"/>
              </w:rPr>
              <w:t xml:space="preserve"> </w:t>
            </w:r>
            <w:r w:rsidR="00182074">
              <w:rPr>
                <w:rFonts w:ascii="Arial" w:hAnsi="Arial" w:cs="Arial"/>
                <w:i/>
                <w:kern w:val="32"/>
                <w:szCs w:val="22"/>
              </w:rPr>
              <w:t>February</w:t>
            </w:r>
            <w:r w:rsidR="00695BAE">
              <w:rPr>
                <w:rFonts w:ascii="Arial" w:hAnsi="Arial" w:cs="Arial"/>
                <w:i/>
                <w:kern w:val="32"/>
                <w:szCs w:val="22"/>
              </w:rPr>
              <w:t xml:space="preserve"> </w:t>
            </w:r>
            <w:r>
              <w:rPr>
                <w:rFonts w:ascii="Arial" w:hAnsi="Arial" w:cs="Arial"/>
                <w:i/>
                <w:kern w:val="32"/>
                <w:szCs w:val="22"/>
              </w:rPr>
              <w:t>202</w:t>
            </w:r>
            <w:r w:rsidR="00695BAE">
              <w:rPr>
                <w:rFonts w:ascii="Arial" w:hAnsi="Arial" w:cs="Arial"/>
                <w:i/>
                <w:kern w:val="32"/>
                <w:szCs w:val="22"/>
              </w:rPr>
              <w:t>4</w:t>
            </w:r>
            <w:r>
              <w:rPr>
                <w:rFonts w:ascii="Arial" w:hAnsi="Arial" w:cs="Arial"/>
                <w:i/>
                <w:kern w:val="32"/>
                <w:szCs w:val="22"/>
              </w:rPr>
              <w:t>.</w:t>
            </w:r>
          </w:p>
        </w:tc>
      </w:tr>
    </w:tbl>
    <w:p w14:paraId="0C4AF489" w14:textId="77777777" w:rsidR="003B59B3" w:rsidRDefault="003B59B3" w:rsidP="003B59B3">
      <w:pPr>
        <w:outlineLvl w:val="0"/>
        <w:rPr>
          <w:rFonts w:ascii="Arial" w:hAnsi="Arial" w:cs="Arial"/>
          <w:b/>
          <w:bCs/>
          <w:kern w:val="32"/>
        </w:rPr>
      </w:pPr>
    </w:p>
    <w:tbl>
      <w:tblPr>
        <w:tblStyle w:val="TableGrid"/>
        <w:tblW w:w="8931" w:type="dxa"/>
        <w:tblInd w:w="-142" w:type="dxa"/>
        <w:tblBorders>
          <w:left w:val="none" w:sz="0" w:space="0" w:color="auto"/>
          <w:right w:val="none" w:sz="0" w:space="0" w:color="auto"/>
        </w:tblBorders>
        <w:tblLook w:val="04A0" w:firstRow="1" w:lastRow="0" w:firstColumn="1" w:lastColumn="0" w:noHBand="0" w:noVBand="1"/>
      </w:tblPr>
      <w:tblGrid>
        <w:gridCol w:w="8931"/>
      </w:tblGrid>
      <w:tr w:rsidR="003B59B3" w14:paraId="162A43DF" w14:textId="77777777" w:rsidTr="00B366C2">
        <w:tc>
          <w:tcPr>
            <w:tcW w:w="8931" w:type="dxa"/>
          </w:tcPr>
          <w:p w14:paraId="3293EC82" w14:textId="77777777" w:rsidR="003B59B3" w:rsidRDefault="003B59B3" w:rsidP="00E82778">
            <w:pPr>
              <w:outlineLvl w:val="0"/>
              <w:rPr>
                <w:rFonts w:ascii="Arial" w:hAnsi="Arial" w:cs="Arial"/>
                <w:kern w:val="32"/>
              </w:rPr>
            </w:pPr>
          </w:p>
          <w:p w14:paraId="6FE50EAA" w14:textId="77777777" w:rsidR="003B59B3" w:rsidRPr="001D6E5D" w:rsidRDefault="003B59B3" w:rsidP="00E82778">
            <w:pPr>
              <w:jc w:val="center"/>
              <w:outlineLvl w:val="0"/>
              <w:rPr>
                <w:rFonts w:ascii="Arial" w:hAnsi="Arial" w:cs="Arial"/>
                <w:b/>
                <w:bCs/>
                <w:kern w:val="32"/>
              </w:rPr>
            </w:pPr>
            <w:r w:rsidRPr="001D6E5D">
              <w:rPr>
                <w:rFonts w:ascii="Arial" w:hAnsi="Arial" w:cs="Arial"/>
                <w:b/>
                <w:bCs/>
                <w:kern w:val="32"/>
              </w:rPr>
              <w:t>JUDGMENT</w:t>
            </w:r>
          </w:p>
          <w:p w14:paraId="41708EFC" w14:textId="77777777" w:rsidR="003B59B3" w:rsidRDefault="003B59B3" w:rsidP="00E82778">
            <w:pPr>
              <w:outlineLvl w:val="0"/>
              <w:rPr>
                <w:rFonts w:ascii="Arial" w:hAnsi="Arial" w:cs="Arial"/>
                <w:kern w:val="32"/>
              </w:rPr>
            </w:pPr>
          </w:p>
        </w:tc>
      </w:tr>
    </w:tbl>
    <w:p w14:paraId="6E7A922F" w14:textId="77777777" w:rsidR="003B59B3" w:rsidRDefault="003B59B3" w:rsidP="00515C06">
      <w:pPr>
        <w:spacing w:line="360" w:lineRule="auto"/>
        <w:outlineLvl w:val="0"/>
        <w:rPr>
          <w:rFonts w:ascii="Arial" w:hAnsi="Arial" w:cs="Arial"/>
          <w:b/>
          <w:bCs/>
          <w:kern w:val="32"/>
        </w:rPr>
      </w:pPr>
    </w:p>
    <w:p w14:paraId="6F46FC8C" w14:textId="40B66673" w:rsidR="003B59B3" w:rsidRPr="005D76D5" w:rsidRDefault="003B59B3" w:rsidP="00515C06">
      <w:pPr>
        <w:spacing w:line="360" w:lineRule="auto"/>
        <w:outlineLvl w:val="0"/>
        <w:rPr>
          <w:rFonts w:ascii="Arial" w:hAnsi="Arial" w:cs="Arial"/>
          <w:b/>
          <w:bCs/>
          <w:kern w:val="32"/>
        </w:rPr>
      </w:pPr>
      <w:r w:rsidRPr="005D76D5">
        <w:rPr>
          <w:rFonts w:ascii="Arial" w:hAnsi="Arial" w:cs="Arial"/>
          <w:b/>
          <w:bCs/>
          <w:kern w:val="32"/>
        </w:rPr>
        <w:lastRenderedPageBreak/>
        <w:t>RETIEF J</w:t>
      </w:r>
      <w:r w:rsidR="00695BAE">
        <w:rPr>
          <w:rFonts w:ascii="Arial" w:hAnsi="Arial" w:cs="Arial"/>
          <w:b/>
          <w:bCs/>
          <w:kern w:val="32"/>
        </w:rPr>
        <w:t xml:space="preserve"> </w:t>
      </w:r>
    </w:p>
    <w:p w14:paraId="11538138" w14:textId="77777777" w:rsidR="003B59B3" w:rsidRDefault="003B59B3" w:rsidP="00515C06">
      <w:pPr>
        <w:spacing w:line="360" w:lineRule="auto"/>
        <w:rPr>
          <w:rFonts w:ascii="Arial" w:hAnsi="Arial" w:cs="Arial"/>
          <w:b/>
          <w:bCs/>
          <w:u w:val="single"/>
        </w:rPr>
      </w:pPr>
    </w:p>
    <w:p w14:paraId="4B910CA5" w14:textId="77777777" w:rsidR="003B59B3" w:rsidRDefault="003B59B3" w:rsidP="00515C06">
      <w:pPr>
        <w:spacing w:line="360" w:lineRule="auto"/>
        <w:rPr>
          <w:rFonts w:ascii="Arial" w:hAnsi="Arial" w:cs="Arial"/>
          <w:b/>
          <w:bCs/>
          <w:u w:val="single"/>
        </w:rPr>
      </w:pPr>
      <w:r w:rsidRPr="0005022A">
        <w:rPr>
          <w:rFonts w:ascii="Arial" w:hAnsi="Arial" w:cs="Arial"/>
          <w:b/>
          <w:bCs/>
          <w:u w:val="single"/>
        </w:rPr>
        <w:t>INTRODUCTION</w:t>
      </w:r>
    </w:p>
    <w:p w14:paraId="4E05D550" w14:textId="50D5441D" w:rsidR="005E4EC4" w:rsidRDefault="005E4EC4" w:rsidP="00515C06">
      <w:pPr>
        <w:pStyle w:val="WestPleadingpara1"/>
        <w:numPr>
          <w:ilvl w:val="0"/>
          <w:numId w:val="0"/>
        </w:numPr>
        <w:spacing w:line="360" w:lineRule="auto"/>
        <w:ind w:left="567" w:hanging="567"/>
        <w:jc w:val="left"/>
      </w:pPr>
    </w:p>
    <w:p w14:paraId="33E81DDE" w14:textId="31B39224" w:rsidR="00DA55B9" w:rsidRDefault="006A2D18" w:rsidP="006A2D18">
      <w:pPr>
        <w:pStyle w:val="WestPleadingpara1"/>
        <w:numPr>
          <w:ilvl w:val="0"/>
          <w:numId w:val="0"/>
        </w:numPr>
        <w:spacing w:line="360" w:lineRule="auto"/>
        <w:ind w:firstLine="284"/>
        <w:rPr>
          <w:szCs w:val="24"/>
        </w:rPr>
      </w:pPr>
      <w:r>
        <w:rPr>
          <w:szCs w:val="24"/>
        </w:rPr>
        <w:t>[1]</w:t>
      </w:r>
      <w:r>
        <w:rPr>
          <w:szCs w:val="24"/>
        </w:rPr>
        <w:tab/>
      </w:r>
      <w:r w:rsidR="00EB0214">
        <w:rPr>
          <w:szCs w:val="24"/>
        </w:rPr>
        <w:t>This appeal lies against the whole judgment</w:t>
      </w:r>
      <w:r w:rsidR="00DA55B9">
        <w:rPr>
          <w:szCs w:val="24"/>
        </w:rPr>
        <w:t xml:space="preserve"> </w:t>
      </w:r>
      <w:r w:rsidR="002933FF">
        <w:rPr>
          <w:szCs w:val="24"/>
        </w:rPr>
        <w:t xml:space="preserve">and order </w:t>
      </w:r>
      <w:r w:rsidR="00DA55B9">
        <w:rPr>
          <w:szCs w:val="24"/>
        </w:rPr>
        <w:t>handed down</w:t>
      </w:r>
      <w:r w:rsidR="00EB0214">
        <w:rPr>
          <w:szCs w:val="24"/>
        </w:rPr>
        <w:t xml:space="preserve"> by His Lordship Van Der Westhuizen</w:t>
      </w:r>
      <w:r w:rsidR="002933FF">
        <w:rPr>
          <w:szCs w:val="24"/>
        </w:rPr>
        <w:t xml:space="preserve"> </w:t>
      </w:r>
      <w:r w:rsidR="00EB0214">
        <w:rPr>
          <w:szCs w:val="24"/>
        </w:rPr>
        <w:t xml:space="preserve">on 26 November 2021 [Court </w:t>
      </w:r>
      <w:r w:rsidR="00EB0214" w:rsidRPr="00EB0214">
        <w:rPr>
          <w:i/>
          <w:iCs/>
          <w:szCs w:val="24"/>
        </w:rPr>
        <w:t>a quo</w:t>
      </w:r>
      <w:r w:rsidR="00EB0214">
        <w:rPr>
          <w:szCs w:val="24"/>
        </w:rPr>
        <w:t xml:space="preserve">], </w:t>
      </w:r>
      <w:r w:rsidR="00DA55B9">
        <w:rPr>
          <w:szCs w:val="24"/>
        </w:rPr>
        <w:t>in which he refused t</w:t>
      </w:r>
      <w:r w:rsidR="00213B6F">
        <w:rPr>
          <w:szCs w:val="24"/>
        </w:rPr>
        <w:t>he</w:t>
      </w:r>
      <w:r w:rsidR="00DA55B9">
        <w:rPr>
          <w:szCs w:val="24"/>
        </w:rPr>
        <w:t xml:space="preserve"> wind</w:t>
      </w:r>
      <w:r w:rsidR="00213B6F">
        <w:rPr>
          <w:szCs w:val="24"/>
        </w:rPr>
        <w:t>ing-up order against</w:t>
      </w:r>
      <w:r w:rsidR="00AC274B">
        <w:rPr>
          <w:szCs w:val="24"/>
        </w:rPr>
        <w:t xml:space="preserve"> </w:t>
      </w:r>
      <w:r w:rsidR="00DA55B9">
        <w:rPr>
          <w:szCs w:val="24"/>
        </w:rPr>
        <w:t>the Respondent, a voluntary association.</w:t>
      </w:r>
    </w:p>
    <w:p w14:paraId="12A932DB" w14:textId="77777777" w:rsidR="00DA55B9" w:rsidRDefault="00DA55B9" w:rsidP="00515C06">
      <w:pPr>
        <w:pStyle w:val="WestPleadingpara1"/>
        <w:numPr>
          <w:ilvl w:val="0"/>
          <w:numId w:val="0"/>
        </w:numPr>
        <w:spacing w:line="360" w:lineRule="auto"/>
        <w:ind w:firstLine="426"/>
        <w:rPr>
          <w:szCs w:val="24"/>
        </w:rPr>
      </w:pPr>
    </w:p>
    <w:p w14:paraId="1D52BBE1" w14:textId="00C57203" w:rsidR="00EB0214" w:rsidRDefault="006A2D18" w:rsidP="006A2D18">
      <w:pPr>
        <w:pStyle w:val="WestPleadingpara1"/>
        <w:numPr>
          <w:ilvl w:val="0"/>
          <w:numId w:val="0"/>
        </w:numPr>
        <w:spacing w:line="360" w:lineRule="auto"/>
        <w:ind w:firstLine="284"/>
        <w:rPr>
          <w:szCs w:val="24"/>
        </w:rPr>
      </w:pPr>
      <w:r>
        <w:rPr>
          <w:szCs w:val="24"/>
        </w:rPr>
        <w:t>[2]</w:t>
      </w:r>
      <w:r>
        <w:rPr>
          <w:szCs w:val="24"/>
        </w:rPr>
        <w:tab/>
      </w:r>
      <w:r w:rsidR="00DA55B9">
        <w:rPr>
          <w:szCs w:val="24"/>
        </w:rPr>
        <w:t>L</w:t>
      </w:r>
      <w:r w:rsidR="00EB0214">
        <w:rPr>
          <w:szCs w:val="24"/>
        </w:rPr>
        <w:t xml:space="preserve">eave to this Court </w:t>
      </w:r>
      <w:r w:rsidR="00DA55B9">
        <w:rPr>
          <w:szCs w:val="24"/>
        </w:rPr>
        <w:t xml:space="preserve">was </w:t>
      </w:r>
      <w:r w:rsidR="00EB0214">
        <w:rPr>
          <w:szCs w:val="24"/>
        </w:rPr>
        <w:t xml:space="preserve">granted by the Supreme Court of Appeal [SCA] on 31 August 2022. </w:t>
      </w:r>
    </w:p>
    <w:p w14:paraId="183DFE2D" w14:textId="77777777" w:rsidR="00EB0214" w:rsidRPr="00EB0214" w:rsidRDefault="00EB0214" w:rsidP="00515C06">
      <w:pPr>
        <w:pStyle w:val="WestPleadingpara1"/>
        <w:numPr>
          <w:ilvl w:val="0"/>
          <w:numId w:val="0"/>
        </w:numPr>
        <w:spacing w:line="360" w:lineRule="auto"/>
        <w:ind w:firstLine="426"/>
        <w:rPr>
          <w:szCs w:val="24"/>
        </w:rPr>
      </w:pPr>
    </w:p>
    <w:p w14:paraId="283C5726" w14:textId="3F1E1982" w:rsidR="006A64FD" w:rsidRPr="002933FF" w:rsidRDefault="006A2D18" w:rsidP="006A2D18">
      <w:pPr>
        <w:pStyle w:val="WestPleadingpara1"/>
        <w:numPr>
          <w:ilvl w:val="0"/>
          <w:numId w:val="0"/>
        </w:numPr>
        <w:spacing w:line="360" w:lineRule="auto"/>
        <w:ind w:firstLine="284"/>
        <w:rPr>
          <w:i/>
          <w:iCs/>
        </w:rPr>
      </w:pPr>
      <w:r w:rsidRPr="002933FF">
        <w:rPr>
          <w:iCs/>
          <w:szCs w:val="24"/>
        </w:rPr>
        <w:t>[3]</w:t>
      </w:r>
      <w:r w:rsidRPr="002933FF">
        <w:rPr>
          <w:iCs/>
          <w:szCs w:val="24"/>
        </w:rPr>
        <w:tab/>
      </w:r>
      <w:r w:rsidR="006A64FD">
        <w:rPr>
          <w:szCs w:val="24"/>
        </w:rPr>
        <w:t xml:space="preserve">In its judgment, the Court </w:t>
      </w:r>
      <w:r w:rsidR="006A64FD" w:rsidRPr="002933FF">
        <w:rPr>
          <w:i/>
          <w:iCs/>
          <w:szCs w:val="24"/>
        </w:rPr>
        <w:t>a quo</w:t>
      </w:r>
      <w:r w:rsidR="006A64FD">
        <w:rPr>
          <w:szCs w:val="24"/>
        </w:rPr>
        <w:t xml:space="preserve"> </w:t>
      </w:r>
      <w:r w:rsidR="00FF6CC4">
        <w:rPr>
          <w:szCs w:val="24"/>
        </w:rPr>
        <w:t>found</w:t>
      </w:r>
      <w:r w:rsidR="006A64FD">
        <w:rPr>
          <w:szCs w:val="24"/>
        </w:rPr>
        <w:t xml:space="preserve"> that the winding-up </w:t>
      </w:r>
      <w:r w:rsidR="002933FF">
        <w:rPr>
          <w:szCs w:val="24"/>
        </w:rPr>
        <w:t xml:space="preserve">procedure was an abuse </w:t>
      </w:r>
      <w:r w:rsidR="00213B6F">
        <w:rPr>
          <w:szCs w:val="24"/>
        </w:rPr>
        <w:t>o</w:t>
      </w:r>
      <w:r w:rsidR="002933FF">
        <w:rPr>
          <w:szCs w:val="24"/>
        </w:rPr>
        <w:t xml:space="preserve">f process </w:t>
      </w:r>
      <w:r w:rsidR="00A12F56">
        <w:rPr>
          <w:szCs w:val="24"/>
        </w:rPr>
        <w:t xml:space="preserve">and </w:t>
      </w:r>
      <w:r w:rsidR="006A64FD">
        <w:rPr>
          <w:szCs w:val="24"/>
        </w:rPr>
        <w:t xml:space="preserve">as a result, </w:t>
      </w:r>
      <w:r w:rsidR="00A12F56">
        <w:rPr>
          <w:szCs w:val="24"/>
        </w:rPr>
        <w:t>Van Der Westhuizen J</w:t>
      </w:r>
      <w:r w:rsidR="00AD3161">
        <w:rPr>
          <w:szCs w:val="24"/>
        </w:rPr>
        <w:t xml:space="preserve"> stated </w:t>
      </w:r>
      <w:r w:rsidR="006A64FD">
        <w:rPr>
          <w:szCs w:val="24"/>
        </w:rPr>
        <w:t>“-</w:t>
      </w:r>
      <w:r w:rsidR="006A64FD" w:rsidRPr="002933FF">
        <w:rPr>
          <w:i/>
          <w:iCs/>
          <w:szCs w:val="24"/>
        </w:rPr>
        <w:t>I exercise my discretion against the granting of a winding-up order, whether a sequestration or liquidation, final or provisional”</w:t>
      </w:r>
      <w:r w:rsidR="003D51C8" w:rsidRPr="002933FF">
        <w:rPr>
          <w:i/>
          <w:iCs/>
          <w:szCs w:val="24"/>
        </w:rPr>
        <w:t>.</w:t>
      </w:r>
      <w:r w:rsidR="006A64FD" w:rsidRPr="002933FF">
        <w:rPr>
          <w:i/>
          <w:iCs/>
          <w:szCs w:val="24"/>
        </w:rPr>
        <w:t xml:space="preserve"> </w:t>
      </w:r>
      <w:r w:rsidR="006A64FD" w:rsidRPr="00AD3161">
        <w:rPr>
          <w:szCs w:val="24"/>
        </w:rPr>
        <w:t xml:space="preserve">The Appellant’s inability to nail </w:t>
      </w:r>
      <w:r w:rsidR="002933FF">
        <w:rPr>
          <w:szCs w:val="24"/>
        </w:rPr>
        <w:t>its colours to the mast on whether</w:t>
      </w:r>
      <w:r w:rsidR="00100012">
        <w:rPr>
          <w:szCs w:val="24"/>
        </w:rPr>
        <w:t>,</w:t>
      </w:r>
      <w:r w:rsidR="002933FF">
        <w:rPr>
          <w:szCs w:val="24"/>
        </w:rPr>
        <w:t xml:space="preserve"> to sequestrate or liquidate</w:t>
      </w:r>
      <w:r w:rsidR="00100012">
        <w:rPr>
          <w:szCs w:val="24"/>
        </w:rPr>
        <w:t xml:space="preserve"> </w:t>
      </w:r>
      <w:r w:rsidR="006A64FD" w:rsidRPr="00AD3161">
        <w:rPr>
          <w:szCs w:val="24"/>
        </w:rPr>
        <w:t>the Respondent</w:t>
      </w:r>
      <w:r w:rsidR="002A337E">
        <w:rPr>
          <w:szCs w:val="24"/>
        </w:rPr>
        <w:t xml:space="preserve">, </w:t>
      </w:r>
      <w:r w:rsidR="00FF6CC4">
        <w:rPr>
          <w:szCs w:val="24"/>
        </w:rPr>
        <w:t>is</w:t>
      </w:r>
      <w:r w:rsidR="006A64FD" w:rsidRPr="00AD3161">
        <w:rPr>
          <w:szCs w:val="24"/>
        </w:rPr>
        <w:t xml:space="preserve"> evident</w:t>
      </w:r>
      <w:r w:rsidR="002933FF">
        <w:rPr>
          <w:szCs w:val="24"/>
        </w:rPr>
        <w:t xml:space="preserve"> </w:t>
      </w:r>
      <w:r w:rsidR="00213B6F">
        <w:rPr>
          <w:szCs w:val="24"/>
        </w:rPr>
        <w:t>i</w:t>
      </w:r>
      <w:r w:rsidR="002933FF">
        <w:rPr>
          <w:szCs w:val="24"/>
        </w:rPr>
        <w:t>n the papers</w:t>
      </w:r>
      <w:r w:rsidR="002A337E">
        <w:rPr>
          <w:szCs w:val="24"/>
        </w:rPr>
        <w:t>. The reason</w:t>
      </w:r>
      <w:r w:rsidR="002933FF">
        <w:rPr>
          <w:szCs w:val="24"/>
        </w:rPr>
        <w:t xml:space="preserve"> for </w:t>
      </w:r>
      <w:r w:rsidR="002A337E">
        <w:rPr>
          <w:szCs w:val="24"/>
        </w:rPr>
        <w:t xml:space="preserve">the Appellant </w:t>
      </w:r>
      <w:r w:rsidR="00213B6F">
        <w:rPr>
          <w:szCs w:val="24"/>
        </w:rPr>
        <w:t xml:space="preserve">seeking an amendment </w:t>
      </w:r>
      <w:r w:rsidR="00100012">
        <w:rPr>
          <w:szCs w:val="24"/>
        </w:rPr>
        <w:t xml:space="preserve">to cater </w:t>
      </w:r>
      <w:r w:rsidR="00213B6F">
        <w:rPr>
          <w:szCs w:val="24"/>
        </w:rPr>
        <w:t xml:space="preserve">for alternate </w:t>
      </w:r>
      <w:r w:rsidR="002933FF">
        <w:rPr>
          <w:szCs w:val="24"/>
        </w:rPr>
        <w:t>relief</w:t>
      </w:r>
      <w:r w:rsidR="002A337E">
        <w:rPr>
          <w:szCs w:val="24"/>
        </w:rPr>
        <w:t xml:space="preserve"> become</w:t>
      </w:r>
      <w:r w:rsidR="001D17EF">
        <w:rPr>
          <w:szCs w:val="24"/>
        </w:rPr>
        <w:t>s</w:t>
      </w:r>
      <w:r w:rsidR="002A337E">
        <w:rPr>
          <w:szCs w:val="24"/>
        </w:rPr>
        <w:t xml:space="preserve"> clearer</w:t>
      </w:r>
      <w:r w:rsidR="002933FF" w:rsidRPr="002933FF">
        <w:rPr>
          <w:i/>
          <w:iCs/>
          <w:szCs w:val="24"/>
        </w:rPr>
        <w:t>.</w:t>
      </w:r>
      <w:r w:rsidR="00FF6CC4">
        <w:rPr>
          <w:szCs w:val="24"/>
        </w:rPr>
        <w:t xml:space="preserve"> </w:t>
      </w:r>
    </w:p>
    <w:p w14:paraId="12DFB689" w14:textId="77777777" w:rsidR="002933FF" w:rsidRPr="002933FF" w:rsidRDefault="002933FF" w:rsidP="002933FF">
      <w:pPr>
        <w:pStyle w:val="WestPleadingpara1"/>
        <w:numPr>
          <w:ilvl w:val="0"/>
          <w:numId w:val="0"/>
        </w:numPr>
        <w:spacing w:line="360" w:lineRule="auto"/>
        <w:rPr>
          <w:i/>
          <w:iCs/>
        </w:rPr>
      </w:pPr>
    </w:p>
    <w:p w14:paraId="2F17A7E6" w14:textId="56FCE65B" w:rsidR="002933FF" w:rsidRDefault="006A2D18" w:rsidP="006A2D18">
      <w:pPr>
        <w:pStyle w:val="WestPleadingpara1"/>
        <w:numPr>
          <w:ilvl w:val="0"/>
          <w:numId w:val="0"/>
        </w:numPr>
        <w:spacing w:line="360" w:lineRule="auto"/>
        <w:ind w:firstLine="284"/>
        <w:rPr>
          <w:szCs w:val="24"/>
        </w:rPr>
      </w:pPr>
      <w:r>
        <w:rPr>
          <w:szCs w:val="24"/>
        </w:rPr>
        <w:t>[4]</w:t>
      </w:r>
      <w:r>
        <w:rPr>
          <w:szCs w:val="24"/>
        </w:rPr>
        <w:tab/>
      </w:r>
      <w:r w:rsidR="002933FF">
        <w:rPr>
          <w:szCs w:val="24"/>
        </w:rPr>
        <w:t>Of significance then</w:t>
      </w:r>
      <w:r w:rsidR="001D17EF">
        <w:rPr>
          <w:szCs w:val="24"/>
        </w:rPr>
        <w:t xml:space="preserve">, the common cause fact </w:t>
      </w:r>
      <w:r w:rsidR="00180AC8">
        <w:rPr>
          <w:szCs w:val="24"/>
        </w:rPr>
        <w:t xml:space="preserve">relied on by the Appellant, in its heads of argument, </w:t>
      </w:r>
      <w:r w:rsidR="002933FF">
        <w:rPr>
          <w:szCs w:val="24"/>
        </w:rPr>
        <w:t xml:space="preserve">that the Respondent is a </w:t>
      </w:r>
      <w:r w:rsidR="002933FF" w:rsidRPr="00FF6CC4">
        <w:rPr>
          <w:i/>
          <w:iCs/>
          <w:szCs w:val="24"/>
        </w:rPr>
        <w:t>universitas personarum</w:t>
      </w:r>
      <w:r w:rsidR="002933FF">
        <w:rPr>
          <w:szCs w:val="24"/>
        </w:rPr>
        <w:t xml:space="preserve"> which falls to be liquidated and not sequestrated. </w:t>
      </w:r>
      <w:r w:rsidR="00213B6F">
        <w:rPr>
          <w:szCs w:val="24"/>
        </w:rPr>
        <w:t xml:space="preserve">In the absence of argument </w:t>
      </w:r>
      <w:r w:rsidR="00180AC8">
        <w:rPr>
          <w:szCs w:val="24"/>
        </w:rPr>
        <w:t xml:space="preserve">to the contrary by </w:t>
      </w:r>
      <w:r w:rsidR="00213B6F">
        <w:rPr>
          <w:szCs w:val="24"/>
        </w:rPr>
        <w:t xml:space="preserve"> the Respondent, t</w:t>
      </w:r>
      <w:r w:rsidR="002933FF">
        <w:rPr>
          <w:szCs w:val="24"/>
        </w:rPr>
        <w:t>his Court deals with the matter on that basis.</w:t>
      </w:r>
      <w:r w:rsidR="002933FF" w:rsidRPr="00AD3161">
        <w:rPr>
          <w:szCs w:val="24"/>
        </w:rPr>
        <w:t xml:space="preserve"> </w:t>
      </w:r>
    </w:p>
    <w:p w14:paraId="578A3146" w14:textId="77777777" w:rsidR="00213B6F" w:rsidRDefault="00213B6F" w:rsidP="00213B6F">
      <w:pPr>
        <w:pStyle w:val="ListParagraph"/>
      </w:pPr>
    </w:p>
    <w:p w14:paraId="733BC890" w14:textId="255C0A1E" w:rsidR="00213B6F" w:rsidRPr="00213B6F" w:rsidRDefault="006A2D18" w:rsidP="006A2D18">
      <w:pPr>
        <w:pStyle w:val="WestPleadingpara1"/>
        <w:numPr>
          <w:ilvl w:val="0"/>
          <w:numId w:val="0"/>
        </w:numPr>
        <w:spacing w:line="360" w:lineRule="auto"/>
        <w:ind w:firstLine="357"/>
        <w:rPr>
          <w:szCs w:val="24"/>
        </w:rPr>
      </w:pPr>
      <w:r w:rsidRPr="00213B6F">
        <w:rPr>
          <w:szCs w:val="24"/>
        </w:rPr>
        <w:t>[5]</w:t>
      </w:r>
      <w:r w:rsidRPr="00213B6F">
        <w:rPr>
          <w:szCs w:val="24"/>
        </w:rPr>
        <w:tab/>
      </w:r>
      <w:r w:rsidR="00213B6F" w:rsidRPr="00213B6F">
        <w:rPr>
          <w:szCs w:val="24"/>
        </w:rPr>
        <w:t>In so doing, and to bring context to the term “winding-up”, the terms is not defined in the Insolvency Act 24 of 1936 [Insolvency Act] nor, for that matter in the Companies Act 71 of 2008 [2008 Act]. The phrase “winding-up order” however, is defined in the Companies Act of 61 of 1973 [</w:t>
      </w:r>
      <w:r w:rsidR="00100012">
        <w:rPr>
          <w:szCs w:val="24"/>
        </w:rPr>
        <w:t>19</w:t>
      </w:r>
      <w:r w:rsidR="00213B6F" w:rsidRPr="00213B6F">
        <w:rPr>
          <w:szCs w:val="24"/>
        </w:rPr>
        <w:t>73</w:t>
      </w:r>
      <w:r w:rsidR="00325620">
        <w:rPr>
          <w:szCs w:val="24"/>
        </w:rPr>
        <w:t xml:space="preserve"> </w:t>
      </w:r>
      <w:r w:rsidR="00213B6F" w:rsidRPr="00213B6F">
        <w:rPr>
          <w:szCs w:val="24"/>
        </w:rPr>
        <w:t xml:space="preserve">Act]. The </w:t>
      </w:r>
      <w:r w:rsidR="00100012">
        <w:rPr>
          <w:szCs w:val="24"/>
        </w:rPr>
        <w:t>19</w:t>
      </w:r>
      <w:r w:rsidR="00213B6F" w:rsidRPr="00213B6F">
        <w:rPr>
          <w:szCs w:val="24"/>
        </w:rPr>
        <w:t xml:space="preserve">73 Act definition refers to the winding-up of “a company” incorporated in terms of Chapter IV only. Notwithstanding the same, Chapter XIV which deals with winding up of companies, specifically extends the definition to include any incorporated body. The Respondent to be wound-up in terms of the provisions of Chapter XIV of the </w:t>
      </w:r>
      <w:r w:rsidR="00100012">
        <w:rPr>
          <w:szCs w:val="24"/>
        </w:rPr>
        <w:t>19</w:t>
      </w:r>
      <w:r w:rsidR="00213B6F" w:rsidRPr="00213B6F">
        <w:rPr>
          <w:szCs w:val="24"/>
        </w:rPr>
        <w:t>73 Act.</w:t>
      </w:r>
    </w:p>
    <w:p w14:paraId="3990FF04" w14:textId="77777777" w:rsidR="002933FF" w:rsidRDefault="002933FF" w:rsidP="002933FF">
      <w:pPr>
        <w:pStyle w:val="ListParagraph"/>
        <w:spacing w:line="360" w:lineRule="auto"/>
        <w:ind w:left="0" w:firstLine="426"/>
        <w:contextualSpacing w:val="0"/>
      </w:pPr>
    </w:p>
    <w:p w14:paraId="20355AF4" w14:textId="77777777" w:rsidR="001C5919" w:rsidRDefault="001C5919" w:rsidP="00515C06">
      <w:pPr>
        <w:pStyle w:val="ListParagraph"/>
        <w:spacing w:line="360" w:lineRule="auto"/>
        <w:ind w:left="0" w:firstLine="426"/>
        <w:contextualSpacing w:val="0"/>
      </w:pPr>
    </w:p>
    <w:p w14:paraId="1222D5B3" w14:textId="4A2916C9" w:rsidR="0011077E" w:rsidRPr="00D062F8" w:rsidRDefault="006A2D18" w:rsidP="006A2D18">
      <w:pPr>
        <w:pStyle w:val="WestPleadingpara1"/>
        <w:numPr>
          <w:ilvl w:val="0"/>
          <w:numId w:val="0"/>
        </w:numPr>
        <w:spacing w:line="360" w:lineRule="auto"/>
        <w:ind w:firstLine="284"/>
        <w:rPr>
          <w:color w:val="FF0000"/>
        </w:rPr>
      </w:pPr>
      <w:r w:rsidRPr="00D062F8">
        <w:rPr>
          <w:szCs w:val="24"/>
        </w:rPr>
        <w:lastRenderedPageBreak/>
        <w:t>[6]</w:t>
      </w:r>
      <w:r w:rsidRPr="00D062F8">
        <w:rPr>
          <w:szCs w:val="24"/>
        </w:rPr>
        <w:tab/>
      </w:r>
      <w:r w:rsidR="00EB0214">
        <w:rPr>
          <w:szCs w:val="24"/>
        </w:rPr>
        <w:t>Central</w:t>
      </w:r>
      <w:r w:rsidR="00D17EA3">
        <w:rPr>
          <w:szCs w:val="24"/>
        </w:rPr>
        <w:t xml:space="preserve"> to</w:t>
      </w:r>
      <w:r w:rsidR="00EB0214">
        <w:rPr>
          <w:szCs w:val="24"/>
        </w:rPr>
        <w:t xml:space="preserve"> this appeal </w:t>
      </w:r>
      <w:r w:rsidR="00D17EA3">
        <w:rPr>
          <w:szCs w:val="24"/>
        </w:rPr>
        <w:t xml:space="preserve">then, </w:t>
      </w:r>
      <w:r w:rsidR="00DA55B9">
        <w:rPr>
          <w:szCs w:val="24"/>
        </w:rPr>
        <w:t xml:space="preserve">is whether </w:t>
      </w:r>
      <w:r w:rsidR="00EB0214">
        <w:rPr>
          <w:szCs w:val="24"/>
        </w:rPr>
        <w:t xml:space="preserve">the Court </w:t>
      </w:r>
      <w:r w:rsidR="00EB0214" w:rsidRPr="00D062F8">
        <w:rPr>
          <w:i/>
          <w:iCs/>
          <w:szCs w:val="24"/>
        </w:rPr>
        <w:t>a quo</w:t>
      </w:r>
      <w:r w:rsidR="00DA55B9" w:rsidRPr="00D062F8">
        <w:rPr>
          <w:i/>
          <w:iCs/>
          <w:szCs w:val="24"/>
        </w:rPr>
        <w:t>,</w:t>
      </w:r>
      <w:r w:rsidR="00EB0214">
        <w:rPr>
          <w:szCs w:val="24"/>
        </w:rPr>
        <w:t xml:space="preserve"> correctly </w:t>
      </w:r>
      <w:r w:rsidR="00D17EA3">
        <w:rPr>
          <w:szCs w:val="24"/>
        </w:rPr>
        <w:t xml:space="preserve">found that the winding up procedure </w:t>
      </w:r>
      <w:r w:rsidR="00213B6F">
        <w:rPr>
          <w:szCs w:val="24"/>
        </w:rPr>
        <w:t xml:space="preserve">against the Respondent </w:t>
      </w:r>
      <w:r w:rsidR="00D17EA3">
        <w:rPr>
          <w:szCs w:val="24"/>
        </w:rPr>
        <w:t xml:space="preserve">was </w:t>
      </w:r>
      <w:r w:rsidR="00D062F8">
        <w:rPr>
          <w:szCs w:val="24"/>
        </w:rPr>
        <w:t>an abuse of process, predic</w:t>
      </w:r>
      <w:r w:rsidR="00100012">
        <w:rPr>
          <w:szCs w:val="24"/>
        </w:rPr>
        <w:t>at</w:t>
      </w:r>
      <w:r w:rsidR="00D062F8">
        <w:rPr>
          <w:szCs w:val="24"/>
        </w:rPr>
        <w:t xml:space="preserve">ed on reasons other than </w:t>
      </w:r>
      <w:r w:rsidR="00D17EA3">
        <w:rPr>
          <w:szCs w:val="24"/>
        </w:rPr>
        <w:t xml:space="preserve">on </w:t>
      </w:r>
      <w:r w:rsidR="00D17EA3" w:rsidRPr="00D062F8">
        <w:rPr>
          <w:i/>
          <w:iCs/>
          <w:szCs w:val="24"/>
        </w:rPr>
        <w:t>bona fide</w:t>
      </w:r>
      <w:r w:rsidR="00D17EA3">
        <w:rPr>
          <w:szCs w:val="24"/>
        </w:rPr>
        <w:t xml:space="preserve"> grounds</w:t>
      </w:r>
      <w:r w:rsidR="009F6F69">
        <w:rPr>
          <w:szCs w:val="24"/>
        </w:rPr>
        <w:t>,</w:t>
      </w:r>
      <w:r w:rsidR="00D17EA3">
        <w:rPr>
          <w:szCs w:val="24"/>
        </w:rPr>
        <w:t xml:space="preserve"> </w:t>
      </w:r>
      <w:r w:rsidR="009F6F69">
        <w:rPr>
          <w:szCs w:val="24"/>
        </w:rPr>
        <w:t xml:space="preserve">when it </w:t>
      </w:r>
      <w:r w:rsidR="00D17EA3">
        <w:rPr>
          <w:szCs w:val="24"/>
        </w:rPr>
        <w:t>exercis</w:t>
      </w:r>
      <w:r w:rsidR="00D062F8">
        <w:rPr>
          <w:szCs w:val="24"/>
        </w:rPr>
        <w:t xml:space="preserve">ed </w:t>
      </w:r>
      <w:r w:rsidR="00D17EA3">
        <w:rPr>
          <w:szCs w:val="24"/>
        </w:rPr>
        <w:t xml:space="preserve">its discretion to </w:t>
      </w:r>
      <w:r w:rsidR="00EB0214">
        <w:rPr>
          <w:szCs w:val="24"/>
        </w:rPr>
        <w:t xml:space="preserve">refuse the </w:t>
      </w:r>
      <w:r w:rsidR="009F6F69">
        <w:rPr>
          <w:szCs w:val="24"/>
        </w:rPr>
        <w:t>relief.</w:t>
      </w:r>
      <w:r w:rsidR="00EB0214">
        <w:rPr>
          <w:szCs w:val="24"/>
        </w:rPr>
        <w:t xml:space="preserve"> </w:t>
      </w:r>
    </w:p>
    <w:p w14:paraId="2EE21497" w14:textId="77777777" w:rsidR="00D062F8" w:rsidRPr="00D062F8" w:rsidRDefault="00D062F8" w:rsidP="00515C06">
      <w:pPr>
        <w:pStyle w:val="WestPleadingpara1"/>
        <w:numPr>
          <w:ilvl w:val="0"/>
          <w:numId w:val="0"/>
        </w:numPr>
        <w:spacing w:line="360" w:lineRule="auto"/>
        <w:ind w:firstLine="426"/>
        <w:rPr>
          <w:color w:val="FF0000"/>
        </w:rPr>
      </w:pPr>
    </w:p>
    <w:p w14:paraId="145039CD" w14:textId="434BB344" w:rsidR="009F6F69" w:rsidRPr="00213B6F" w:rsidRDefault="006A2D18" w:rsidP="006A2D18">
      <w:pPr>
        <w:pStyle w:val="WestPleadingpara1"/>
        <w:numPr>
          <w:ilvl w:val="0"/>
          <w:numId w:val="0"/>
        </w:numPr>
        <w:spacing w:line="360" w:lineRule="auto"/>
        <w:ind w:firstLine="284"/>
      </w:pPr>
      <w:r w:rsidRPr="00213B6F">
        <w:rPr>
          <w:szCs w:val="24"/>
        </w:rPr>
        <w:t>[7]</w:t>
      </w:r>
      <w:r w:rsidRPr="00213B6F">
        <w:rPr>
          <w:szCs w:val="24"/>
        </w:rPr>
        <w:tab/>
      </w:r>
      <w:r w:rsidR="00D062F8">
        <w:rPr>
          <w:szCs w:val="24"/>
        </w:rPr>
        <w:t xml:space="preserve">To </w:t>
      </w:r>
      <w:r w:rsidR="00566275">
        <w:rPr>
          <w:szCs w:val="24"/>
        </w:rPr>
        <w:t>concisely frame</w:t>
      </w:r>
      <w:r w:rsidR="00F26999">
        <w:rPr>
          <w:szCs w:val="24"/>
        </w:rPr>
        <w:t xml:space="preserve"> </w:t>
      </w:r>
      <w:r w:rsidR="0011077E">
        <w:rPr>
          <w:szCs w:val="24"/>
        </w:rPr>
        <w:t xml:space="preserve">the </w:t>
      </w:r>
      <w:r w:rsidR="00AB6C5F">
        <w:rPr>
          <w:szCs w:val="24"/>
        </w:rPr>
        <w:t>Appellant</w:t>
      </w:r>
      <w:r w:rsidR="003D51C8">
        <w:rPr>
          <w:szCs w:val="24"/>
        </w:rPr>
        <w:t>’s</w:t>
      </w:r>
      <w:r w:rsidR="0088355A">
        <w:rPr>
          <w:szCs w:val="24"/>
        </w:rPr>
        <w:t xml:space="preserve"> </w:t>
      </w:r>
      <w:r w:rsidR="00AB6C5F">
        <w:rPr>
          <w:szCs w:val="24"/>
        </w:rPr>
        <w:t>grounds of appeal</w:t>
      </w:r>
      <w:r w:rsidR="00F26999">
        <w:rPr>
          <w:szCs w:val="24"/>
        </w:rPr>
        <w:t>, the Appellant</w:t>
      </w:r>
      <w:r w:rsidR="00C55190">
        <w:rPr>
          <w:szCs w:val="24"/>
        </w:rPr>
        <w:t xml:space="preserve"> </w:t>
      </w:r>
      <w:r w:rsidR="00AB6C5F">
        <w:rPr>
          <w:szCs w:val="24"/>
        </w:rPr>
        <w:t>contend</w:t>
      </w:r>
      <w:r w:rsidR="00F26999">
        <w:rPr>
          <w:szCs w:val="24"/>
        </w:rPr>
        <w:t>s</w:t>
      </w:r>
      <w:r w:rsidR="00AB6C5F">
        <w:rPr>
          <w:szCs w:val="24"/>
        </w:rPr>
        <w:t xml:space="preserve"> that the Court </w:t>
      </w:r>
      <w:r w:rsidR="00AB6C5F" w:rsidRPr="009F6F69">
        <w:rPr>
          <w:i/>
          <w:iCs/>
          <w:szCs w:val="24"/>
        </w:rPr>
        <w:t>a quo</w:t>
      </w:r>
      <w:r w:rsidR="00AB6C5F">
        <w:rPr>
          <w:szCs w:val="24"/>
        </w:rPr>
        <w:t xml:space="preserve"> exercised its discretion in the absence of</w:t>
      </w:r>
      <w:r w:rsidR="00566275">
        <w:rPr>
          <w:szCs w:val="24"/>
        </w:rPr>
        <w:t xml:space="preserve"> </w:t>
      </w:r>
      <w:r w:rsidR="00AB6C5F">
        <w:rPr>
          <w:szCs w:val="24"/>
        </w:rPr>
        <w:t>facts</w:t>
      </w:r>
      <w:r w:rsidR="00D062F8">
        <w:rPr>
          <w:szCs w:val="24"/>
        </w:rPr>
        <w:t xml:space="preserve"> and that a</w:t>
      </w:r>
      <w:r w:rsidR="00541456">
        <w:rPr>
          <w:szCs w:val="24"/>
        </w:rPr>
        <w:t xml:space="preserve"> </w:t>
      </w:r>
      <w:r w:rsidR="0088355A">
        <w:rPr>
          <w:szCs w:val="24"/>
        </w:rPr>
        <w:t xml:space="preserve">disconnect between </w:t>
      </w:r>
      <w:r w:rsidR="00541456">
        <w:rPr>
          <w:szCs w:val="24"/>
        </w:rPr>
        <w:t xml:space="preserve">the </w:t>
      </w:r>
      <w:r w:rsidR="0088355A">
        <w:rPr>
          <w:szCs w:val="24"/>
        </w:rPr>
        <w:t xml:space="preserve">facts and </w:t>
      </w:r>
      <w:r w:rsidR="00F26999">
        <w:rPr>
          <w:szCs w:val="24"/>
        </w:rPr>
        <w:t xml:space="preserve">the </w:t>
      </w:r>
      <w:r w:rsidR="0088355A">
        <w:rPr>
          <w:szCs w:val="24"/>
        </w:rPr>
        <w:t>conclusions</w:t>
      </w:r>
      <w:r w:rsidR="00213B6F">
        <w:rPr>
          <w:szCs w:val="24"/>
        </w:rPr>
        <w:t xml:space="preserve"> exist</w:t>
      </w:r>
      <w:r w:rsidR="00180AC8">
        <w:rPr>
          <w:szCs w:val="24"/>
        </w:rPr>
        <w:t>ed</w:t>
      </w:r>
      <w:r w:rsidR="009F6F69">
        <w:rPr>
          <w:szCs w:val="24"/>
        </w:rPr>
        <w:t>. The Appellant in argument amplified its grounds by contending that the Respondent had failed, in answer, to discharge it onus under the circumstances.</w:t>
      </w:r>
    </w:p>
    <w:p w14:paraId="64C632DB" w14:textId="77777777" w:rsidR="009F6F69" w:rsidRDefault="009F6F69" w:rsidP="009F6F69">
      <w:pPr>
        <w:pStyle w:val="ListParagraph"/>
      </w:pPr>
    </w:p>
    <w:p w14:paraId="1CAC52BD" w14:textId="4BF9A56A" w:rsidR="0084148D" w:rsidRDefault="006A2D18" w:rsidP="006A2D18">
      <w:pPr>
        <w:pStyle w:val="WestPleadingpara1"/>
        <w:numPr>
          <w:ilvl w:val="0"/>
          <w:numId w:val="0"/>
        </w:numPr>
        <w:spacing w:line="360" w:lineRule="auto"/>
        <w:ind w:firstLine="284"/>
        <w:rPr>
          <w:szCs w:val="24"/>
        </w:rPr>
      </w:pPr>
      <w:r>
        <w:rPr>
          <w:szCs w:val="24"/>
        </w:rPr>
        <w:t>[8]</w:t>
      </w:r>
      <w:r>
        <w:rPr>
          <w:szCs w:val="24"/>
        </w:rPr>
        <w:tab/>
      </w:r>
      <w:r w:rsidR="00541456">
        <w:rPr>
          <w:szCs w:val="24"/>
        </w:rPr>
        <w:t xml:space="preserve">It is </w:t>
      </w:r>
      <w:r w:rsidR="009F6F69">
        <w:rPr>
          <w:szCs w:val="24"/>
        </w:rPr>
        <w:t xml:space="preserve">for this reason, that </w:t>
      </w:r>
      <w:r w:rsidR="00541456">
        <w:rPr>
          <w:szCs w:val="24"/>
        </w:rPr>
        <w:t xml:space="preserve">the background facts </w:t>
      </w:r>
      <w:r w:rsidR="009F6F69">
        <w:rPr>
          <w:szCs w:val="24"/>
        </w:rPr>
        <w:t xml:space="preserve">remain a pivotal source in determining whether </w:t>
      </w:r>
      <w:r w:rsidR="00213B6F">
        <w:rPr>
          <w:szCs w:val="24"/>
        </w:rPr>
        <w:t xml:space="preserve">facts and </w:t>
      </w:r>
      <w:r w:rsidR="009F6F69">
        <w:rPr>
          <w:szCs w:val="24"/>
        </w:rPr>
        <w:t xml:space="preserve">a </w:t>
      </w:r>
      <w:r w:rsidR="00541456">
        <w:rPr>
          <w:szCs w:val="24"/>
        </w:rPr>
        <w:t xml:space="preserve">disconnect </w:t>
      </w:r>
      <w:r w:rsidR="009F6F69">
        <w:rPr>
          <w:szCs w:val="24"/>
        </w:rPr>
        <w:t>exists</w:t>
      </w:r>
      <w:r w:rsidR="00541456">
        <w:rPr>
          <w:szCs w:val="24"/>
        </w:rPr>
        <w:t>.</w:t>
      </w:r>
      <w:r w:rsidR="0084148D">
        <w:rPr>
          <w:szCs w:val="24"/>
        </w:rPr>
        <w:t xml:space="preserve"> Having said that, this Court first highlights the applicable legal principles</w:t>
      </w:r>
      <w:r w:rsidR="00B75E24">
        <w:rPr>
          <w:szCs w:val="24"/>
        </w:rPr>
        <w:t xml:space="preserve"> governing the issue. </w:t>
      </w:r>
    </w:p>
    <w:p w14:paraId="19EEE92A" w14:textId="77777777" w:rsidR="0084148D" w:rsidRDefault="0084148D" w:rsidP="00515C06">
      <w:pPr>
        <w:pStyle w:val="ListParagraph"/>
        <w:spacing w:line="360" w:lineRule="auto"/>
        <w:contextualSpacing w:val="0"/>
      </w:pPr>
    </w:p>
    <w:p w14:paraId="5A097C85" w14:textId="7B4AE906" w:rsidR="00BD4025" w:rsidRPr="00BD4025" w:rsidRDefault="00B75E24" w:rsidP="00515C06">
      <w:pPr>
        <w:pStyle w:val="WestPleadingpara1"/>
        <w:numPr>
          <w:ilvl w:val="0"/>
          <w:numId w:val="0"/>
        </w:numPr>
        <w:spacing w:line="360" w:lineRule="auto"/>
        <w:rPr>
          <w:b/>
          <w:bCs/>
          <w:szCs w:val="24"/>
          <w:u w:val="single"/>
        </w:rPr>
      </w:pPr>
      <w:r>
        <w:rPr>
          <w:b/>
          <w:bCs/>
          <w:szCs w:val="24"/>
          <w:u w:val="single"/>
        </w:rPr>
        <w:t xml:space="preserve">APPLICABLE </w:t>
      </w:r>
      <w:r w:rsidR="00BD4025" w:rsidRPr="00BD4025">
        <w:rPr>
          <w:b/>
          <w:bCs/>
          <w:szCs w:val="24"/>
          <w:u w:val="single"/>
        </w:rPr>
        <w:t>LEGAL PRINCIPLES</w:t>
      </w:r>
    </w:p>
    <w:p w14:paraId="38FAD368" w14:textId="77777777" w:rsidR="00BD4025" w:rsidRDefault="00BD4025" w:rsidP="00515C06">
      <w:pPr>
        <w:pStyle w:val="ListParagraph"/>
        <w:spacing w:line="360" w:lineRule="auto"/>
        <w:contextualSpacing w:val="0"/>
      </w:pPr>
    </w:p>
    <w:p w14:paraId="4FB95557" w14:textId="265CAA2F" w:rsidR="00672BF7" w:rsidRDefault="006A2D18" w:rsidP="006A2D18">
      <w:pPr>
        <w:pStyle w:val="WestPleadingpara1"/>
        <w:numPr>
          <w:ilvl w:val="0"/>
          <w:numId w:val="0"/>
        </w:numPr>
        <w:spacing w:line="360" w:lineRule="auto"/>
        <w:ind w:firstLine="284"/>
        <w:rPr>
          <w:szCs w:val="24"/>
        </w:rPr>
      </w:pPr>
      <w:r>
        <w:rPr>
          <w:szCs w:val="24"/>
        </w:rPr>
        <w:t>[9]</w:t>
      </w:r>
      <w:r>
        <w:rPr>
          <w:szCs w:val="24"/>
        </w:rPr>
        <w:tab/>
      </w:r>
      <w:r w:rsidR="0084148D">
        <w:rPr>
          <w:szCs w:val="24"/>
        </w:rPr>
        <w:t xml:space="preserve">While </w:t>
      </w:r>
      <w:r w:rsidR="003D51C8">
        <w:rPr>
          <w:szCs w:val="24"/>
        </w:rPr>
        <w:t>c</w:t>
      </w:r>
      <w:r w:rsidR="0084148D">
        <w:rPr>
          <w:szCs w:val="24"/>
        </w:rPr>
        <w:t>ourts are entitled to prevent any abuse of process</w:t>
      </w:r>
      <w:r w:rsidR="00B75E24">
        <w:rPr>
          <w:szCs w:val="24"/>
        </w:rPr>
        <w:t>,</w:t>
      </w:r>
      <w:r w:rsidR="0084148D">
        <w:rPr>
          <w:szCs w:val="24"/>
        </w:rPr>
        <w:t xml:space="preserve"> it is a power that should be exercised</w:t>
      </w:r>
      <w:r w:rsidR="00B75E24">
        <w:rPr>
          <w:szCs w:val="24"/>
        </w:rPr>
        <w:t xml:space="preserve"> sparingly</w:t>
      </w:r>
      <w:r w:rsidR="003D51C8">
        <w:rPr>
          <w:szCs w:val="24"/>
        </w:rPr>
        <w:t>.</w:t>
      </w:r>
      <w:r w:rsidR="0084148D">
        <w:rPr>
          <w:rStyle w:val="FootnoteReference"/>
          <w:szCs w:val="24"/>
        </w:rPr>
        <w:footnoteReference w:id="1"/>
      </w:r>
      <w:r w:rsidR="0084148D">
        <w:rPr>
          <w:szCs w:val="24"/>
        </w:rPr>
        <w:t xml:space="preserve"> </w:t>
      </w:r>
      <w:r w:rsidR="00B75E24">
        <w:rPr>
          <w:szCs w:val="24"/>
        </w:rPr>
        <w:t xml:space="preserve">This advice was </w:t>
      </w:r>
      <w:r w:rsidR="00672BF7">
        <w:rPr>
          <w:szCs w:val="24"/>
        </w:rPr>
        <w:t xml:space="preserve">voiced </w:t>
      </w:r>
      <w:r w:rsidR="005E02AB">
        <w:rPr>
          <w:szCs w:val="24"/>
        </w:rPr>
        <w:t xml:space="preserve">by the </w:t>
      </w:r>
      <w:r w:rsidR="005E02AB" w:rsidRPr="00A3719D">
        <w:rPr>
          <w:szCs w:val="24"/>
        </w:rPr>
        <w:t xml:space="preserve">Supreme Court of Appeal </w:t>
      </w:r>
      <w:r w:rsidR="005E02AB">
        <w:rPr>
          <w:szCs w:val="24"/>
        </w:rPr>
        <w:t>[</w:t>
      </w:r>
      <w:r w:rsidR="005E02AB" w:rsidRPr="00A3719D">
        <w:rPr>
          <w:szCs w:val="24"/>
        </w:rPr>
        <w:t>SCA</w:t>
      </w:r>
      <w:r w:rsidR="005E02AB">
        <w:rPr>
          <w:szCs w:val="24"/>
        </w:rPr>
        <w:t>] when</w:t>
      </w:r>
      <w:r w:rsidR="00213B6F">
        <w:rPr>
          <w:szCs w:val="24"/>
        </w:rPr>
        <w:t xml:space="preserve"> Wallis </w:t>
      </w:r>
      <w:r w:rsidR="00100012">
        <w:rPr>
          <w:szCs w:val="24"/>
        </w:rPr>
        <w:t xml:space="preserve">JA </w:t>
      </w:r>
      <w:r w:rsidR="00672BF7">
        <w:rPr>
          <w:szCs w:val="24"/>
        </w:rPr>
        <w:t xml:space="preserve">in the </w:t>
      </w:r>
      <w:r w:rsidR="00672BF7" w:rsidRPr="003D51C8">
        <w:rPr>
          <w:szCs w:val="24"/>
          <w:u w:val="single"/>
        </w:rPr>
        <w:t>Mostert and Others v Nash &amp; Another</w:t>
      </w:r>
      <w:r w:rsidR="00672BF7">
        <w:rPr>
          <w:szCs w:val="24"/>
        </w:rPr>
        <w:t xml:space="preserve"> matter</w:t>
      </w:r>
      <w:r w:rsidR="00672BF7">
        <w:rPr>
          <w:rStyle w:val="FootnoteReference"/>
          <w:szCs w:val="24"/>
        </w:rPr>
        <w:footnoteReference w:id="2"/>
      </w:r>
      <w:r w:rsidR="00672BF7">
        <w:rPr>
          <w:szCs w:val="24"/>
        </w:rPr>
        <w:t xml:space="preserve"> </w:t>
      </w:r>
      <w:r w:rsidR="005E02AB">
        <w:rPr>
          <w:szCs w:val="24"/>
        </w:rPr>
        <w:t>stated</w:t>
      </w:r>
      <w:r w:rsidR="00213B6F">
        <w:rPr>
          <w:szCs w:val="24"/>
        </w:rPr>
        <w:t xml:space="preserve"> that </w:t>
      </w:r>
      <w:r w:rsidR="00672BF7">
        <w:rPr>
          <w:szCs w:val="24"/>
        </w:rPr>
        <w:t>the starting point is the constitutional guarantee of the right of courts in s</w:t>
      </w:r>
      <w:r w:rsidR="003D51C8">
        <w:rPr>
          <w:szCs w:val="24"/>
        </w:rPr>
        <w:t>ection</w:t>
      </w:r>
      <w:r w:rsidR="00672BF7">
        <w:rPr>
          <w:szCs w:val="24"/>
        </w:rPr>
        <w:t xml:space="preserve"> 34 of the Constitution. </w:t>
      </w:r>
      <w:r w:rsidR="00B75E24">
        <w:rPr>
          <w:szCs w:val="24"/>
        </w:rPr>
        <w:t>However, a</w:t>
      </w:r>
      <w:r w:rsidR="00672BF7">
        <w:rPr>
          <w:szCs w:val="24"/>
        </w:rPr>
        <w:t>s important as this right is in the adjudication of justiciable disputes, where a procedure is being used to a achieve a purpose other than intended, that amounts to abuse of process.</w:t>
      </w:r>
    </w:p>
    <w:p w14:paraId="64E111A0" w14:textId="77777777" w:rsidR="00D61141" w:rsidRDefault="00D61141" w:rsidP="001F1520">
      <w:pPr>
        <w:spacing w:line="360" w:lineRule="auto"/>
      </w:pPr>
    </w:p>
    <w:p w14:paraId="6A1717EB" w14:textId="76012E5D" w:rsidR="006D34B4" w:rsidRDefault="006A2D18" w:rsidP="006A2D18">
      <w:pPr>
        <w:pStyle w:val="WestPleadingpara1"/>
        <w:numPr>
          <w:ilvl w:val="0"/>
          <w:numId w:val="0"/>
        </w:numPr>
        <w:spacing w:line="360" w:lineRule="auto"/>
        <w:ind w:firstLine="426"/>
      </w:pPr>
      <w:r>
        <w:rPr>
          <w:szCs w:val="24"/>
        </w:rPr>
        <w:t>[10]</w:t>
      </w:r>
      <w:r>
        <w:rPr>
          <w:szCs w:val="24"/>
        </w:rPr>
        <w:tab/>
      </w:r>
      <w:r w:rsidR="00D61141">
        <w:rPr>
          <w:szCs w:val="24"/>
        </w:rPr>
        <w:t>Hi</w:t>
      </w:r>
      <w:r w:rsidR="002C0357">
        <w:rPr>
          <w:szCs w:val="24"/>
        </w:rPr>
        <w:t>e</w:t>
      </w:r>
      <w:r w:rsidR="00D61141">
        <w:rPr>
          <w:szCs w:val="24"/>
        </w:rPr>
        <w:t xml:space="preserve">mstra </w:t>
      </w:r>
      <w:r w:rsidR="00180AC8">
        <w:rPr>
          <w:szCs w:val="24"/>
        </w:rPr>
        <w:t>AJ</w:t>
      </w:r>
      <w:r w:rsidR="00D61141">
        <w:rPr>
          <w:szCs w:val="24"/>
        </w:rPr>
        <w:t xml:space="preserve"> in the Badenhorst matter</w:t>
      </w:r>
      <w:r w:rsidR="00D61141">
        <w:rPr>
          <w:rStyle w:val="FootnoteReference"/>
          <w:szCs w:val="24"/>
        </w:rPr>
        <w:footnoteReference w:id="3"/>
      </w:r>
      <w:r w:rsidR="006D34B4">
        <w:rPr>
          <w:szCs w:val="24"/>
        </w:rPr>
        <w:t xml:space="preserve"> </w:t>
      </w:r>
      <w:r w:rsidR="00337AF5">
        <w:rPr>
          <w:szCs w:val="24"/>
        </w:rPr>
        <w:t>warned that because liquidation of a company affects all the creditors and shareholders</w:t>
      </w:r>
      <w:r w:rsidR="00A3719D">
        <w:rPr>
          <w:szCs w:val="24"/>
        </w:rPr>
        <w:t>,</w:t>
      </w:r>
      <w:r w:rsidR="00337AF5">
        <w:rPr>
          <w:szCs w:val="24"/>
        </w:rPr>
        <w:t xml:space="preserve"> an order should not lightly be granted</w:t>
      </w:r>
      <w:r w:rsidR="00337AF5" w:rsidRPr="00A3719D">
        <w:rPr>
          <w:color w:val="000000" w:themeColor="text1"/>
          <w:szCs w:val="24"/>
        </w:rPr>
        <w:t xml:space="preserve"> by a single </w:t>
      </w:r>
      <w:r w:rsidR="00337AF5">
        <w:rPr>
          <w:szCs w:val="24"/>
        </w:rPr>
        <w:t xml:space="preserve">creditor. He further went on </w:t>
      </w:r>
      <w:r w:rsidR="002A6104">
        <w:rPr>
          <w:szCs w:val="24"/>
        </w:rPr>
        <w:t xml:space="preserve">and </w:t>
      </w:r>
      <w:r w:rsidR="006D34B4">
        <w:rPr>
          <w:szCs w:val="24"/>
        </w:rPr>
        <w:t>s</w:t>
      </w:r>
      <w:r w:rsidR="00337AF5">
        <w:rPr>
          <w:szCs w:val="24"/>
        </w:rPr>
        <w:t>t</w:t>
      </w:r>
      <w:r w:rsidR="006D34B4">
        <w:rPr>
          <w:szCs w:val="24"/>
        </w:rPr>
        <w:t>ated that</w:t>
      </w:r>
      <w:r w:rsidR="002A6104">
        <w:rPr>
          <w:szCs w:val="24"/>
        </w:rPr>
        <w:t>:</w:t>
      </w:r>
      <w:r w:rsidR="006D34B4">
        <w:rPr>
          <w:szCs w:val="24"/>
        </w:rPr>
        <w:t xml:space="preserve"> “</w:t>
      </w:r>
      <w:r w:rsidR="006D34B4" w:rsidRPr="00A3719D">
        <w:rPr>
          <w:i/>
          <w:iCs/>
          <w:szCs w:val="24"/>
        </w:rPr>
        <w:t xml:space="preserve">a </w:t>
      </w:r>
      <w:r w:rsidR="006D34B4" w:rsidRPr="00A3719D">
        <w:rPr>
          <w:i/>
          <w:iCs/>
          <w:szCs w:val="24"/>
        </w:rPr>
        <w:lastRenderedPageBreak/>
        <w:t>winding-up petition is not a legitimate means of seeking to enforce payment of a debt which is bona fide disputed by the company. A petition presented ostensibly for a winding-up order but really to exercise pressure will be dismissed and under circumstances may be stigmatised as a scandalous abuse of the p</w:t>
      </w:r>
      <w:r w:rsidR="00A3719D" w:rsidRPr="00A3719D">
        <w:rPr>
          <w:i/>
          <w:iCs/>
          <w:szCs w:val="24"/>
        </w:rPr>
        <w:t>rocess</w:t>
      </w:r>
      <w:r w:rsidR="006D34B4" w:rsidRPr="00A3719D">
        <w:rPr>
          <w:i/>
          <w:iCs/>
          <w:szCs w:val="24"/>
        </w:rPr>
        <w:t xml:space="preserve"> of the Court</w:t>
      </w:r>
      <w:r w:rsidR="00337AF5" w:rsidRPr="00A3719D">
        <w:rPr>
          <w:i/>
          <w:iCs/>
          <w:szCs w:val="24"/>
        </w:rPr>
        <w:t>.”</w:t>
      </w:r>
      <w:r w:rsidR="00F25871" w:rsidRPr="00A3719D">
        <w:rPr>
          <w:i/>
          <w:iCs/>
          <w:szCs w:val="24"/>
        </w:rPr>
        <w:t xml:space="preserve"> </w:t>
      </w:r>
      <w:r w:rsidR="00F25871" w:rsidRPr="00F25871">
        <w:rPr>
          <w:szCs w:val="24"/>
        </w:rPr>
        <w:t xml:space="preserve">[Badenhorst </w:t>
      </w:r>
      <w:r w:rsidR="00F25871">
        <w:rPr>
          <w:szCs w:val="24"/>
        </w:rPr>
        <w:t>rule</w:t>
      </w:r>
      <w:r w:rsidR="00F25871" w:rsidRPr="00F25871">
        <w:rPr>
          <w:szCs w:val="24"/>
        </w:rPr>
        <w:t>].</w:t>
      </w:r>
      <w:r w:rsidR="00F25871" w:rsidRPr="00A3719D">
        <w:rPr>
          <w:i/>
          <w:iCs/>
          <w:szCs w:val="24"/>
        </w:rPr>
        <w:t xml:space="preserve"> </w:t>
      </w:r>
    </w:p>
    <w:p w14:paraId="5F139581" w14:textId="77777777" w:rsidR="00C2743D" w:rsidRDefault="00C2743D" w:rsidP="00515C06">
      <w:pPr>
        <w:pStyle w:val="WestPleadingpara1"/>
        <w:numPr>
          <w:ilvl w:val="0"/>
          <w:numId w:val="0"/>
        </w:numPr>
        <w:spacing w:line="360" w:lineRule="auto"/>
        <w:ind w:firstLine="426"/>
        <w:rPr>
          <w:szCs w:val="24"/>
        </w:rPr>
      </w:pPr>
    </w:p>
    <w:p w14:paraId="06371A92" w14:textId="6C28D85C" w:rsidR="00C2743D" w:rsidRPr="00100012" w:rsidRDefault="006A2D18" w:rsidP="006A2D18">
      <w:pPr>
        <w:pStyle w:val="WestPleadingpara1"/>
        <w:numPr>
          <w:ilvl w:val="0"/>
          <w:numId w:val="0"/>
        </w:numPr>
        <w:spacing w:line="360" w:lineRule="auto"/>
        <w:ind w:firstLine="426"/>
      </w:pPr>
      <w:r w:rsidRPr="00100012">
        <w:rPr>
          <w:szCs w:val="24"/>
        </w:rPr>
        <w:t>[11]</w:t>
      </w:r>
      <w:r w:rsidRPr="00100012">
        <w:rPr>
          <w:szCs w:val="24"/>
        </w:rPr>
        <w:tab/>
      </w:r>
      <w:r w:rsidR="00F25871" w:rsidRPr="00A3719D">
        <w:rPr>
          <w:szCs w:val="24"/>
        </w:rPr>
        <w:t>The SCA</w:t>
      </w:r>
      <w:r w:rsidR="005E02AB">
        <w:rPr>
          <w:szCs w:val="24"/>
        </w:rPr>
        <w:t xml:space="preserve"> </w:t>
      </w:r>
      <w:r w:rsidR="006139DC">
        <w:rPr>
          <w:szCs w:val="24"/>
        </w:rPr>
        <w:t>applied the Badenhor</w:t>
      </w:r>
      <w:r w:rsidR="003E0715">
        <w:rPr>
          <w:szCs w:val="24"/>
        </w:rPr>
        <w:t>s</w:t>
      </w:r>
      <w:r w:rsidR="006139DC">
        <w:rPr>
          <w:szCs w:val="24"/>
        </w:rPr>
        <w:t xml:space="preserve">t rule </w:t>
      </w:r>
      <w:r w:rsidR="00F25871" w:rsidRPr="00A3719D">
        <w:rPr>
          <w:szCs w:val="24"/>
        </w:rPr>
        <w:t xml:space="preserve">in </w:t>
      </w:r>
      <w:r w:rsidR="00F25871" w:rsidRPr="00100012">
        <w:rPr>
          <w:szCs w:val="24"/>
          <w:u w:val="single"/>
        </w:rPr>
        <w:t>Imobrite (Pty) v DTL Boerdery CC</w:t>
      </w:r>
      <w:r w:rsidR="00F25871">
        <w:rPr>
          <w:rStyle w:val="FootnoteReference"/>
          <w:szCs w:val="24"/>
        </w:rPr>
        <w:footnoteReference w:id="4"/>
      </w:r>
      <w:r w:rsidR="00D61141" w:rsidRPr="00A3719D">
        <w:rPr>
          <w:szCs w:val="24"/>
        </w:rPr>
        <w:t xml:space="preserve"> </w:t>
      </w:r>
      <w:r w:rsidR="006139DC">
        <w:rPr>
          <w:szCs w:val="24"/>
        </w:rPr>
        <w:t xml:space="preserve">when, </w:t>
      </w:r>
      <w:r w:rsidR="00011779" w:rsidRPr="006139DC">
        <w:rPr>
          <w:szCs w:val="24"/>
        </w:rPr>
        <w:t>Molemela</w:t>
      </w:r>
      <w:r w:rsidR="006139DC">
        <w:rPr>
          <w:szCs w:val="24"/>
        </w:rPr>
        <w:t xml:space="preserve"> </w:t>
      </w:r>
      <w:r w:rsidR="00011779" w:rsidRPr="006139DC">
        <w:rPr>
          <w:szCs w:val="24"/>
        </w:rPr>
        <w:t>J</w:t>
      </w:r>
      <w:r w:rsidR="006139DC">
        <w:rPr>
          <w:szCs w:val="24"/>
        </w:rPr>
        <w:t>A</w:t>
      </w:r>
      <w:r w:rsidR="00011779" w:rsidRPr="006139DC">
        <w:rPr>
          <w:szCs w:val="24"/>
        </w:rPr>
        <w:t xml:space="preserve"> </w:t>
      </w:r>
      <w:r w:rsidR="006139DC">
        <w:rPr>
          <w:szCs w:val="24"/>
        </w:rPr>
        <w:t>s</w:t>
      </w:r>
      <w:r w:rsidR="00011779" w:rsidRPr="006139DC">
        <w:rPr>
          <w:szCs w:val="24"/>
        </w:rPr>
        <w:t>tat</w:t>
      </w:r>
      <w:r w:rsidR="006139DC">
        <w:rPr>
          <w:szCs w:val="24"/>
        </w:rPr>
        <w:t>ed</w:t>
      </w:r>
      <w:r w:rsidR="00011779" w:rsidRPr="006139DC">
        <w:rPr>
          <w:szCs w:val="24"/>
        </w:rPr>
        <w:t xml:space="preserve"> that a winding-up order will not be granted where the sole or predominant motive or purpose is not the </w:t>
      </w:r>
      <w:r w:rsidR="00011779" w:rsidRPr="00100012">
        <w:rPr>
          <w:i/>
          <w:iCs/>
          <w:szCs w:val="24"/>
        </w:rPr>
        <w:t>bona fide</w:t>
      </w:r>
      <w:r w:rsidR="00011779" w:rsidRPr="006139DC">
        <w:rPr>
          <w:szCs w:val="24"/>
        </w:rPr>
        <w:t xml:space="preserve"> bringing about of a company’s liquidation and that</w:t>
      </w:r>
      <w:r w:rsidR="005C1FE4" w:rsidRPr="006139DC">
        <w:rPr>
          <w:szCs w:val="24"/>
        </w:rPr>
        <w:t>,</w:t>
      </w:r>
      <w:r w:rsidR="00011779" w:rsidRPr="006139DC">
        <w:rPr>
          <w:szCs w:val="24"/>
        </w:rPr>
        <w:t xml:space="preserve"> an abuse of process </w:t>
      </w:r>
      <w:r w:rsidR="001F1520" w:rsidRPr="006139DC">
        <w:rPr>
          <w:szCs w:val="24"/>
        </w:rPr>
        <w:t xml:space="preserve">would occur </w:t>
      </w:r>
      <w:r w:rsidR="00011779" w:rsidRPr="006139DC">
        <w:rPr>
          <w:szCs w:val="24"/>
        </w:rPr>
        <w:t>whe</w:t>
      </w:r>
      <w:r w:rsidR="001F1520" w:rsidRPr="006139DC">
        <w:rPr>
          <w:szCs w:val="24"/>
        </w:rPr>
        <w:t>n</w:t>
      </w:r>
      <w:r w:rsidR="00011779" w:rsidRPr="006139DC">
        <w:rPr>
          <w:szCs w:val="24"/>
        </w:rPr>
        <w:t xml:space="preserve"> an attempt to enforce payment of the debt</w:t>
      </w:r>
      <w:r w:rsidR="005E02AB">
        <w:rPr>
          <w:szCs w:val="24"/>
        </w:rPr>
        <w:t xml:space="preserve"> was a </w:t>
      </w:r>
      <w:r w:rsidR="00011779" w:rsidRPr="006139DC">
        <w:rPr>
          <w:szCs w:val="24"/>
        </w:rPr>
        <w:t>motive to oppress or to frustrate the rights of the company</w:t>
      </w:r>
      <w:r w:rsidR="002A6104" w:rsidRPr="006139DC">
        <w:rPr>
          <w:szCs w:val="24"/>
        </w:rPr>
        <w:t>.</w:t>
      </w:r>
      <w:r w:rsidR="00011779">
        <w:rPr>
          <w:rStyle w:val="FootnoteReference"/>
          <w:szCs w:val="24"/>
        </w:rPr>
        <w:footnoteReference w:id="5"/>
      </w:r>
      <w:r w:rsidR="00BD4025" w:rsidRPr="006139DC">
        <w:rPr>
          <w:szCs w:val="24"/>
        </w:rPr>
        <w:t xml:space="preserve"> </w:t>
      </w:r>
      <w:r w:rsidR="00100012">
        <w:rPr>
          <w:szCs w:val="24"/>
        </w:rPr>
        <w:t xml:space="preserve">No dispute arose between the parties as the applicability of this rule to the facts before the Court </w:t>
      </w:r>
      <w:r w:rsidR="00100012" w:rsidRPr="00100012">
        <w:rPr>
          <w:i/>
          <w:iCs/>
          <w:szCs w:val="24"/>
        </w:rPr>
        <w:t>a quo</w:t>
      </w:r>
      <w:r w:rsidR="00100012">
        <w:rPr>
          <w:szCs w:val="24"/>
        </w:rPr>
        <w:t>.</w:t>
      </w:r>
    </w:p>
    <w:p w14:paraId="3732A241" w14:textId="77777777" w:rsidR="00100012" w:rsidRDefault="00100012" w:rsidP="00100012">
      <w:pPr>
        <w:pStyle w:val="ListParagraph"/>
      </w:pPr>
    </w:p>
    <w:p w14:paraId="2AD48D04" w14:textId="77777777" w:rsidR="00100012" w:rsidRDefault="00100012" w:rsidP="00100012">
      <w:pPr>
        <w:pStyle w:val="WestPleadingpara1"/>
        <w:numPr>
          <w:ilvl w:val="0"/>
          <w:numId w:val="0"/>
        </w:numPr>
        <w:spacing w:line="360" w:lineRule="auto"/>
        <w:ind w:left="284"/>
      </w:pPr>
    </w:p>
    <w:p w14:paraId="4A9B08FB" w14:textId="1C0AFA16" w:rsidR="00C2743D" w:rsidRPr="00BA3F9C" w:rsidRDefault="006A2D18" w:rsidP="006A2D18">
      <w:pPr>
        <w:pStyle w:val="WestPleadingpara1"/>
        <w:numPr>
          <w:ilvl w:val="0"/>
          <w:numId w:val="0"/>
        </w:numPr>
        <w:spacing w:line="360" w:lineRule="auto"/>
        <w:ind w:firstLine="426"/>
        <w:rPr>
          <w:szCs w:val="24"/>
        </w:rPr>
      </w:pPr>
      <w:r w:rsidRPr="00BA3F9C">
        <w:rPr>
          <w:szCs w:val="24"/>
        </w:rPr>
        <w:t>[12]</w:t>
      </w:r>
      <w:r w:rsidRPr="00BA3F9C">
        <w:rPr>
          <w:szCs w:val="24"/>
        </w:rPr>
        <w:tab/>
      </w:r>
      <w:r w:rsidR="003E0715">
        <w:rPr>
          <w:szCs w:val="24"/>
        </w:rPr>
        <w:t>The Appellant’s Counsel invit</w:t>
      </w:r>
      <w:r w:rsidR="005E02AB">
        <w:rPr>
          <w:szCs w:val="24"/>
        </w:rPr>
        <w:t>ed</w:t>
      </w:r>
      <w:r w:rsidR="003E0715">
        <w:rPr>
          <w:szCs w:val="24"/>
        </w:rPr>
        <w:t xml:space="preserve"> thi</w:t>
      </w:r>
      <w:r w:rsidR="005E02AB">
        <w:rPr>
          <w:szCs w:val="24"/>
        </w:rPr>
        <w:t>s</w:t>
      </w:r>
      <w:r w:rsidR="003E0715">
        <w:rPr>
          <w:szCs w:val="24"/>
        </w:rPr>
        <w:t xml:space="preserve"> Court to </w:t>
      </w:r>
      <w:r w:rsidR="005E02AB">
        <w:rPr>
          <w:szCs w:val="24"/>
        </w:rPr>
        <w:t xml:space="preserve">consider </w:t>
      </w:r>
      <w:r w:rsidR="003E0715">
        <w:rPr>
          <w:szCs w:val="24"/>
        </w:rPr>
        <w:t xml:space="preserve">what </w:t>
      </w:r>
      <w:r w:rsidR="00414155" w:rsidRPr="00414155">
        <w:rPr>
          <w:szCs w:val="24"/>
        </w:rPr>
        <w:t xml:space="preserve">Wallis </w:t>
      </w:r>
      <w:r w:rsidR="00B72D7F">
        <w:rPr>
          <w:szCs w:val="24"/>
        </w:rPr>
        <w:t>JA</w:t>
      </w:r>
      <w:r w:rsidR="00414155" w:rsidRPr="00414155">
        <w:rPr>
          <w:szCs w:val="24"/>
        </w:rPr>
        <w:t xml:space="preserve"> </w:t>
      </w:r>
      <w:r w:rsidR="003E0715">
        <w:rPr>
          <w:szCs w:val="24"/>
        </w:rPr>
        <w:t xml:space="preserve">stated </w:t>
      </w:r>
      <w:r w:rsidR="00414155" w:rsidRPr="00414155">
        <w:rPr>
          <w:szCs w:val="24"/>
        </w:rPr>
        <w:t xml:space="preserve">in the </w:t>
      </w:r>
      <w:r w:rsidR="00414155" w:rsidRPr="002A6104">
        <w:rPr>
          <w:szCs w:val="24"/>
          <w:u w:val="single"/>
        </w:rPr>
        <w:t>Afgri Operations Limited v Mamba Fleet (Pty)</w:t>
      </w:r>
      <w:r w:rsidR="00414155" w:rsidRPr="00414155">
        <w:rPr>
          <w:szCs w:val="24"/>
        </w:rPr>
        <w:t xml:space="preserve"> matter,</w:t>
      </w:r>
      <w:r w:rsidR="00414155">
        <w:rPr>
          <w:rStyle w:val="FootnoteReference"/>
          <w:szCs w:val="24"/>
        </w:rPr>
        <w:footnoteReference w:id="6"/>
      </w:r>
      <w:r w:rsidR="00414155" w:rsidRPr="00414155">
        <w:rPr>
          <w:szCs w:val="24"/>
        </w:rPr>
        <w:t xml:space="preserve"> </w:t>
      </w:r>
      <w:r w:rsidR="003E0715">
        <w:rPr>
          <w:szCs w:val="24"/>
        </w:rPr>
        <w:t xml:space="preserve">when </w:t>
      </w:r>
      <w:r w:rsidR="005E02AB">
        <w:rPr>
          <w:szCs w:val="24"/>
        </w:rPr>
        <w:t xml:space="preserve">he stated that </w:t>
      </w:r>
      <w:r w:rsidR="00414155" w:rsidRPr="00414155">
        <w:rPr>
          <w:szCs w:val="24"/>
        </w:rPr>
        <w:t xml:space="preserve">generally speaking, an </w:t>
      </w:r>
      <w:r w:rsidR="00C2743D" w:rsidRPr="00414155">
        <w:rPr>
          <w:szCs w:val="24"/>
        </w:rPr>
        <w:t xml:space="preserve">unpaid creditor has an </w:t>
      </w:r>
      <w:r w:rsidR="00C2743D" w:rsidRPr="00414155">
        <w:rPr>
          <w:i/>
          <w:iCs/>
          <w:szCs w:val="24"/>
        </w:rPr>
        <w:t>ex debito justitiae</w:t>
      </w:r>
      <w:r w:rsidR="00C2743D" w:rsidRPr="00414155">
        <w:rPr>
          <w:szCs w:val="24"/>
        </w:rPr>
        <w:t xml:space="preserve"> right </w:t>
      </w:r>
      <w:r w:rsidR="00414155" w:rsidRPr="00414155">
        <w:rPr>
          <w:szCs w:val="24"/>
        </w:rPr>
        <w:t>to a winding-up order against a company that has not discharged its debt and that</w:t>
      </w:r>
      <w:r w:rsidR="00BA3F9C">
        <w:rPr>
          <w:szCs w:val="24"/>
        </w:rPr>
        <w:t xml:space="preserve">, </w:t>
      </w:r>
      <w:r w:rsidR="00414155" w:rsidRPr="00414155">
        <w:rPr>
          <w:szCs w:val="24"/>
        </w:rPr>
        <w:t>in practice</w:t>
      </w:r>
      <w:r w:rsidR="00BA3F9C">
        <w:rPr>
          <w:szCs w:val="24"/>
        </w:rPr>
        <w:t>,</w:t>
      </w:r>
      <w:r w:rsidR="00414155" w:rsidRPr="00414155">
        <w:rPr>
          <w:szCs w:val="24"/>
        </w:rPr>
        <w:t xml:space="preserve"> a </w:t>
      </w:r>
      <w:r w:rsidR="002A6104">
        <w:rPr>
          <w:szCs w:val="24"/>
        </w:rPr>
        <w:t>c</w:t>
      </w:r>
      <w:r w:rsidR="00414155" w:rsidRPr="00414155">
        <w:rPr>
          <w:szCs w:val="24"/>
        </w:rPr>
        <w:t xml:space="preserve">ourt will </w:t>
      </w:r>
      <w:r w:rsidR="00BD4025">
        <w:rPr>
          <w:szCs w:val="24"/>
        </w:rPr>
        <w:t xml:space="preserve">rarely </w:t>
      </w:r>
      <w:r w:rsidR="00414155" w:rsidRPr="00414155">
        <w:rPr>
          <w:szCs w:val="24"/>
        </w:rPr>
        <w:t>exercise its narrow discretion</w:t>
      </w:r>
      <w:r w:rsidR="00100012">
        <w:rPr>
          <w:szCs w:val="24"/>
        </w:rPr>
        <w:t xml:space="preserve">. </w:t>
      </w:r>
      <w:r w:rsidR="005E02AB">
        <w:rPr>
          <w:szCs w:val="24"/>
        </w:rPr>
        <w:t xml:space="preserve">Such discretion to be exercised </w:t>
      </w:r>
      <w:r w:rsidR="00BA3F9C">
        <w:rPr>
          <w:szCs w:val="24"/>
        </w:rPr>
        <w:t xml:space="preserve">in </w:t>
      </w:r>
      <w:r w:rsidR="00414155" w:rsidRPr="00414155">
        <w:rPr>
          <w:szCs w:val="24"/>
        </w:rPr>
        <w:t>special and unusual circumstances</w:t>
      </w:r>
      <w:r w:rsidR="003E0715">
        <w:rPr>
          <w:szCs w:val="24"/>
        </w:rPr>
        <w:t xml:space="preserve"> only</w:t>
      </w:r>
      <w:r w:rsidR="00414155">
        <w:rPr>
          <w:szCs w:val="24"/>
        </w:rPr>
        <w:t>.</w:t>
      </w:r>
      <w:r w:rsidR="00BA3F9C">
        <w:rPr>
          <w:szCs w:val="24"/>
        </w:rPr>
        <w:t xml:space="preserve"> The debtor bearing the onus</w:t>
      </w:r>
      <w:r w:rsidR="005E02AB">
        <w:rPr>
          <w:szCs w:val="24"/>
        </w:rPr>
        <w:t xml:space="preserve"> in support thereof</w:t>
      </w:r>
      <w:r w:rsidR="00BA3F9C">
        <w:rPr>
          <w:szCs w:val="24"/>
        </w:rPr>
        <w:t>.</w:t>
      </w:r>
    </w:p>
    <w:p w14:paraId="38B46325" w14:textId="77777777" w:rsidR="00C2743D" w:rsidRDefault="00C2743D" w:rsidP="00515C06">
      <w:pPr>
        <w:pStyle w:val="ListParagraph"/>
        <w:spacing w:line="360" w:lineRule="auto"/>
        <w:ind w:left="0" w:firstLine="426"/>
        <w:contextualSpacing w:val="0"/>
      </w:pPr>
    </w:p>
    <w:p w14:paraId="29DC1626" w14:textId="61768CF8" w:rsidR="00BA3F9C" w:rsidRDefault="006A2D18" w:rsidP="006A2D18">
      <w:pPr>
        <w:pStyle w:val="WestPleadingpara1"/>
        <w:numPr>
          <w:ilvl w:val="0"/>
          <w:numId w:val="0"/>
        </w:numPr>
        <w:spacing w:line="360" w:lineRule="auto"/>
        <w:ind w:firstLine="426"/>
        <w:rPr>
          <w:szCs w:val="24"/>
        </w:rPr>
      </w:pPr>
      <w:r>
        <w:rPr>
          <w:szCs w:val="24"/>
        </w:rPr>
        <w:t>[13]</w:t>
      </w:r>
      <w:r>
        <w:rPr>
          <w:szCs w:val="24"/>
        </w:rPr>
        <w:tab/>
      </w:r>
      <w:r w:rsidR="003E0715">
        <w:rPr>
          <w:szCs w:val="24"/>
        </w:rPr>
        <w:t xml:space="preserve">Both Counsel </w:t>
      </w:r>
      <w:r w:rsidR="005E02AB">
        <w:rPr>
          <w:szCs w:val="24"/>
        </w:rPr>
        <w:t xml:space="preserve">correctly pointed out </w:t>
      </w:r>
      <w:r w:rsidR="003E0715">
        <w:rPr>
          <w:szCs w:val="24"/>
        </w:rPr>
        <w:t>that the Court a</w:t>
      </w:r>
      <w:r w:rsidR="003E0715" w:rsidRPr="003E0715">
        <w:rPr>
          <w:i/>
          <w:iCs/>
          <w:szCs w:val="24"/>
        </w:rPr>
        <w:t xml:space="preserve"> quo’s</w:t>
      </w:r>
      <w:r w:rsidR="003E0715">
        <w:rPr>
          <w:szCs w:val="24"/>
        </w:rPr>
        <w:t xml:space="preserve"> discretion was narrow and that t</w:t>
      </w:r>
      <w:r w:rsidR="00BA3F9C">
        <w:rPr>
          <w:szCs w:val="24"/>
        </w:rPr>
        <w:t xml:space="preserve">he powers of </w:t>
      </w:r>
      <w:r w:rsidR="005E02AB">
        <w:rPr>
          <w:szCs w:val="24"/>
        </w:rPr>
        <w:t>this Court</w:t>
      </w:r>
      <w:r w:rsidR="00BA3F9C">
        <w:rPr>
          <w:szCs w:val="24"/>
        </w:rPr>
        <w:t xml:space="preserve"> to interfere in the exercise </w:t>
      </w:r>
      <w:r w:rsidR="005E02AB">
        <w:rPr>
          <w:szCs w:val="24"/>
        </w:rPr>
        <w:t xml:space="preserve">of the Court </w:t>
      </w:r>
      <w:r w:rsidR="005E02AB" w:rsidRPr="005E02AB">
        <w:rPr>
          <w:i/>
          <w:iCs/>
          <w:szCs w:val="24"/>
        </w:rPr>
        <w:t>a quo’s</w:t>
      </w:r>
      <w:r w:rsidR="005E02AB">
        <w:rPr>
          <w:szCs w:val="24"/>
        </w:rPr>
        <w:t xml:space="preserve"> discretion has been</w:t>
      </w:r>
      <w:r w:rsidR="003E0715">
        <w:rPr>
          <w:szCs w:val="24"/>
        </w:rPr>
        <w:t xml:space="preserve"> aptly set out by the </w:t>
      </w:r>
      <w:r w:rsidR="00BA3F9C" w:rsidRPr="00BD4025">
        <w:rPr>
          <w:color w:val="000000" w:themeColor="text1"/>
          <w:szCs w:val="24"/>
        </w:rPr>
        <w:t>SCA</w:t>
      </w:r>
      <w:r w:rsidR="006139DC">
        <w:rPr>
          <w:color w:val="000000" w:themeColor="text1"/>
          <w:szCs w:val="24"/>
        </w:rPr>
        <w:t xml:space="preserve">, </w:t>
      </w:r>
      <w:r w:rsidR="00BA3F9C" w:rsidRPr="00BA3F9C">
        <w:rPr>
          <w:szCs w:val="24"/>
        </w:rPr>
        <w:t>“</w:t>
      </w:r>
      <w:r w:rsidR="00BA3F9C" w:rsidRPr="00BA3F9C">
        <w:rPr>
          <w:i/>
          <w:iCs/>
          <w:szCs w:val="24"/>
        </w:rPr>
        <w:t xml:space="preserve">A court of appeal is not entitled to set the decision of a lower court granted in the exercise of a strong or a true discretion (ie. a discretion in the strict or narrow sense) merely because the court of appeal would, itself on the facts of the matter before the lower court, have </w:t>
      </w:r>
      <w:r w:rsidR="00BA3F9C" w:rsidRPr="00BA3F9C">
        <w:rPr>
          <w:i/>
          <w:iCs/>
          <w:szCs w:val="24"/>
        </w:rPr>
        <w:lastRenderedPageBreak/>
        <w:t>come to a different conclusion. The court of appeal may interfere only when it appears that the lower court had not exercised its discretion judicially, or that it had been influenced by wrong principles or a misdirection of the facts, or that it had reached a decision which in the result could not reasonably have been made by a court properly directing itself to all the relevant facts and principles.”</w:t>
      </w:r>
      <w:r w:rsidR="00BA3F9C" w:rsidRPr="00BA3F9C">
        <w:rPr>
          <w:rStyle w:val="FootnoteReference"/>
          <w:szCs w:val="24"/>
        </w:rPr>
        <w:t xml:space="preserve"> </w:t>
      </w:r>
      <w:r w:rsidR="00BA3F9C">
        <w:rPr>
          <w:rStyle w:val="FootnoteReference"/>
          <w:szCs w:val="24"/>
        </w:rPr>
        <w:footnoteReference w:id="7"/>
      </w:r>
      <w:r w:rsidR="006139DC">
        <w:rPr>
          <w:szCs w:val="24"/>
        </w:rPr>
        <w:t xml:space="preserve"> This general principle reaffirmed by the Constitutional Court in the </w:t>
      </w:r>
      <w:r w:rsidR="006139DC" w:rsidRPr="00A264BD">
        <w:rPr>
          <w:szCs w:val="24"/>
          <w:u w:val="single"/>
        </w:rPr>
        <w:t>National Coalition for Gay and Lesbian Equality &amp;</w:t>
      </w:r>
      <w:r w:rsidR="00A264BD">
        <w:rPr>
          <w:szCs w:val="24"/>
          <w:u w:val="single"/>
        </w:rPr>
        <w:t xml:space="preserve"> </w:t>
      </w:r>
      <w:r w:rsidR="006139DC" w:rsidRPr="00A264BD">
        <w:rPr>
          <w:szCs w:val="24"/>
          <w:u w:val="single"/>
        </w:rPr>
        <w:t>Others v the Minister of Home Affairs and Others</w:t>
      </w:r>
      <w:r w:rsidR="006139DC" w:rsidRPr="00A264BD">
        <w:rPr>
          <w:rStyle w:val="FootnoteReference"/>
          <w:szCs w:val="24"/>
          <w:u w:val="single"/>
        </w:rPr>
        <w:footnoteReference w:id="8"/>
      </w:r>
      <w:r w:rsidR="006139DC" w:rsidRPr="00A264BD">
        <w:rPr>
          <w:szCs w:val="24"/>
          <w:u w:val="single"/>
        </w:rPr>
        <w:t>.</w:t>
      </w:r>
    </w:p>
    <w:p w14:paraId="6E5C6F30" w14:textId="77777777" w:rsidR="000E2013" w:rsidRDefault="000E2013" w:rsidP="00515C06">
      <w:pPr>
        <w:pStyle w:val="ListParagraph"/>
        <w:spacing w:line="360" w:lineRule="auto"/>
        <w:ind w:left="0" w:firstLine="426"/>
        <w:contextualSpacing w:val="0"/>
      </w:pPr>
    </w:p>
    <w:p w14:paraId="53FCBEEA" w14:textId="2ED5F722" w:rsidR="00175989" w:rsidRDefault="006A2D18" w:rsidP="006A2D18">
      <w:pPr>
        <w:pStyle w:val="WestPleadingpara1"/>
        <w:numPr>
          <w:ilvl w:val="0"/>
          <w:numId w:val="0"/>
        </w:numPr>
        <w:spacing w:line="360" w:lineRule="auto"/>
        <w:ind w:firstLine="426"/>
        <w:rPr>
          <w:szCs w:val="24"/>
        </w:rPr>
      </w:pPr>
      <w:r>
        <w:rPr>
          <w:szCs w:val="24"/>
        </w:rPr>
        <w:t>[14]</w:t>
      </w:r>
      <w:r>
        <w:rPr>
          <w:szCs w:val="24"/>
        </w:rPr>
        <w:tab/>
      </w:r>
      <w:r w:rsidR="00141CC0">
        <w:rPr>
          <w:szCs w:val="24"/>
        </w:rPr>
        <w:t>Against th</w:t>
      </w:r>
      <w:r w:rsidR="00A264BD">
        <w:rPr>
          <w:szCs w:val="24"/>
        </w:rPr>
        <w:t>e</w:t>
      </w:r>
      <w:r w:rsidR="007530D5">
        <w:rPr>
          <w:szCs w:val="24"/>
        </w:rPr>
        <w:t>se</w:t>
      </w:r>
      <w:r w:rsidR="00A264BD">
        <w:rPr>
          <w:szCs w:val="24"/>
        </w:rPr>
        <w:t xml:space="preserve"> legal principles</w:t>
      </w:r>
      <w:r w:rsidR="00175989">
        <w:rPr>
          <w:szCs w:val="24"/>
        </w:rPr>
        <w:t xml:space="preserve">, </w:t>
      </w:r>
      <w:r w:rsidR="007530D5">
        <w:rPr>
          <w:szCs w:val="24"/>
        </w:rPr>
        <w:t xml:space="preserve">the </w:t>
      </w:r>
      <w:r w:rsidR="00175989">
        <w:rPr>
          <w:szCs w:val="24"/>
        </w:rPr>
        <w:t>facts</w:t>
      </w:r>
      <w:r w:rsidR="00A264BD">
        <w:rPr>
          <w:szCs w:val="24"/>
        </w:rPr>
        <w:t>.</w:t>
      </w:r>
    </w:p>
    <w:p w14:paraId="61DE6D09" w14:textId="77777777" w:rsidR="00BA57FE" w:rsidRDefault="00BA57FE" w:rsidP="00515C06">
      <w:pPr>
        <w:pStyle w:val="ListParagraph"/>
        <w:spacing w:line="360" w:lineRule="auto"/>
        <w:contextualSpacing w:val="0"/>
      </w:pPr>
    </w:p>
    <w:p w14:paraId="2D09D1E1" w14:textId="7DF8DBAB" w:rsidR="00BA57FE" w:rsidRPr="00854195" w:rsidRDefault="00100012" w:rsidP="00515C06">
      <w:pPr>
        <w:pStyle w:val="WestPleadingpara1"/>
        <w:numPr>
          <w:ilvl w:val="0"/>
          <w:numId w:val="0"/>
        </w:numPr>
        <w:spacing w:line="360" w:lineRule="auto"/>
        <w:rPr>
          <w:b/>
          <w:bCs/>
          <w:szCs w:val="24"/>
          <w:u w:val="single"/>
        </w:rPr>
      </w:pPr>
      <w:r>
        <w:rPr>
          <w:b/>
          <w:bCs/>
          <w:szCs w:val="24"/>
          <w:u w:val="single"/>
        </w:rPr>
        <w:t xml:space="preserve">THE </w:t>
      </w:r>
      <w:r w:rsidR="00BA57FE">
        <w:rPr>
          <w:b/>
          <w:bCs/>
          <w:szCs w:val="24"/>
          <w:u w:val="single"/>
        </w:rPr>
        <w:t>FACTS</w:t>
      </w:r>
      <w:r w:rsidR="00A264BD">
        <w:rPr>
          <w:b/>
          <w:bCs/>
          <w:szCs w:val="24"/>
          <w:u w:val="single"/>
        </w:rPr>
        <w:t xml:space="preserve"> </w:t>
      </w:r>
    </w:p>
    <w:p w14:paraId="2234FF63" w14:textId="77777777" w:rsidR="00175989" w:rsidRDefault="00175989" w:rsidP="00515C06">
      <w:pPr>
        <w:spacing w:line="360" w:lineRule="auto"/>
      </w:pPr>
    </w:p>
    <w:p w14:paraId="53FE9C4A" w14:textId="0616AC20" w:rsidR="00E5165B" w:rsidRPr="00972BF6" w:rsidRDefault="006A2D18" w:rsidP="006A2D18">
      <w:pPr>
        <w:pStyle w:val="WestPleadingpara1"/>
        <w:numPr>
          <w:ilvl w:val="0"/>
          <w:numId w:val="0"/>
        </w:numPr>
        <w:spacing w:line="360" w:lineRule="auto"/>
        <w:ind w:firstLine="426"/>
      </w:pPr>
      <w:r w:rsidRPr="00972BF6">
        <w:rPr>
          <w:szCs w:val="24"/>
        </w:rPr>
        <w:t>[15]</w:t>
      </w:r>
      <w:r w:rsidRPr="00972BF6">
        <w:rPr>
          <w:szCs w:val="24"/>
        </w:rPr>
        <w:tab/>
      </w:r>
      <w:r w:rsidR="00175989">
        <w:rPr>
          <w:szCs w:val="24"/>
        </w:rPr>
        <w:t xml:space="preserve">The relationship between the Appellant and the Respondent is </w:t>
      </w:r>
      <w:r w:rsidR="00972BF6">
        <w:rPr>
          <w:szCs w:val="24"/>
        </w:rPr>
        <w:t>un</w:t>
      </w:r>
      <w:r w:rsidR="007530D5">
        <w:rPr>
          <w:szCs w:val="24"/>
        </w:rPr>
        <w:t>usual</w:t>
      </w:r>
      <w:r w:rsidR="00BA57FE">
        <w:rPr>
          <w:szCs w:val="24"/>
        </w:rPr>
        <w:t>. I</w:t>
      </w:r>
      <w:r w:rsidR="00695529">
        <w:rPr>
          <w:szCs w:val="24"/>
        </w:rPr>
        <w:t>t</w:t>
      </w:r>
      <w:r w:rsidR="00BA57FE">
        <w:rPr>
          <w:szCs w:val="24"/>
        </w:rPr>
        <w:t xml:space="preserve"> does </w:t>
      </w:r>
      <w:r w:rsidR="00175989">
        <w:rPr>
          <w:szCs w:val="24"/>
        </w:rPr>
        <w:t xml:space="preserve">not </w:t>
      </w:r>
      <w:r w:rsidR="00541456">
        <w:rPr>
          <w:szCs w:val="24"/>
        </w:rPr>
        <w:t>arise, as one would expect, from a conventional debtor</w:t>
      </w:r>
      <w:r w:rsidR="00695529">
        <w:rPr>
          <w:szCs w:val="24"/>
        </w:rPr>
        <w:t>/</w:t>
      </w:r>
      <w:r w:rsidR="00541456">
        <w:rPr>
          <w:szCs w:val="24"/>
        </w:rPr>
        <w:t xml:space="preserve">creditor </w:t>
      </w:r>
      <w:r w:rsidR="001C6F93">
        <w:rPr>
          <w:szCs w:val="24"/>
        </w:rPr>
        <w:t xml:space="preserve">transactional </w:t>
      </w:r>
      <w:r w:rsidR="00541456">
        <w:rPr>
          <w:szCs w:val="24"/>
        </w:rPr>
        <w:t xml:space="preserve">relationship. </w:t>
      </w:r>
      <w:r w:rsidR="00A264BD">
        <w:rPr>
          <w:szCs w:val="24"/>
        </w:rPr>
        <w:t>This is so because t</w:t>
      </w:r>
      <w:r w:rsidR="00E5165B">
        <w:rPr>
          <w:szCs w:val="24"/>
        </w:rPr>
        <w:t xml:space="preserve">he </w:t>
      </w:r>
      <w:r w:rsidR="001C6F93">
        <w:rPr>
          <w:szCs w:val="24"/>
        </w:rPr>
        <w:t>Appellant is a profit driven</w:t>
      </w:r>
      <w:r w:rsidR="00FD23AE">
        <w:rPr>
          <w:szCs w:val="24"/>
        </w:rPr>
        <w:t xml:space="preserve"> </w:t>
      </w:r>
      <w:r w:rsidR="001C6F93">
        <w:rPr>
          <w:szCs w:val="24"/>
        </w:rPr>
        <w:t>property developer</w:t>
      </w:r>
      <w:r w:rsidR="00972BF6">
        <w:rPr>
          <w:szCs w:val="24"/>
        </w:rPr>
        <w:t xml:space="preserve">, </w:t>
      </w:r>
      <w:r w:rsidR="00A264BD">
        <w:rPr>
          <w:szCs w:val="24"/>
        </w:rPr>
        <w:t>developing residential property in Brooklyn, Pretoria</w:t>
      </w:r>
      <w:r w:rsidR="00972BF6">
        <w:rPr>
          <w:szCs w:val="24"/>
        </w:rPr>
        <w:t xml:space="preserve"> [Brooklyn]. W</w:t>
      </w:r>
      <w:r w:rsidR="00A264BD">
        <w:rPr>
          <w:szCs w:val="24"/>
        </w:rPr>
        <w:t>hilst t</w:t>
      </w:r>
      <w:r w:rsidR="001C6F93">
        <w:rPr>
          <w:szCs w:val="24"/>
        </w:rPr>
        <w:t>he Respondent</w:t>
      </w:r>
      <w:r w:rsidR="00FD23AE">
        <w:rPr>
          <w:szCs w:val="24"/>
        </w:rPr>
        <w:t xml:space="preserve"> </w:t>
      </w:r>
      <w:r w:rsidR="001C6F93">
        <w:rPr>
          <w:szCs w:val="24"/>
        </w:rPr>
        <w:t>is a non-profit association of ordinary resident</w:t>
      </w:r>
      <w:r w:rsidR="00972BF6">
        <w:rPr>
          <w:szCs w:val="24"/>
        </w:rPr>
        <w:t xml:space="preserve">s, whose </w:t>
      </w:r>
      <w:r w:rsidR="007530D5">
        <w:rPr>
          <w:szCs w:val="24"/>
        </w:rPr>
        <w:t xml:space="preserve">main </w:t>
      </w:r>
      <w:r w:rsidR="003E0FB3">
        <w:rPr>
          <w:szCs w:val="24"/>
        </w:rPr>
        <w:t>objective, as</w:t>
      </w:r>
      <w:r w:rsidR="00A264BD">
        <w:rPr>
          <w:szCs w:val="24"/>
        </w:rPr>
        <w:t xml:space="preserve"> </w:t>
      </w:r>
      <w:r w:rsidR="00100012">
        <w:rPr>
          <w:szCs w:val="24"/>
        </w:rPr>
        <w:t xml:space="preserve">the </w:t>
      </w:r>
      <w:r w:rsidR="00A264BD">
        <w:rPr>
          <w:szCs w:val="24"/>
        </w:rPr>
        <w:t>members</w:t>
      </w:r>
      <w:r w:rsidR="00965A8C">
        <w:rPr>
          <w:szCs w:val="24"/>
        </w:rPr>
        <w:t xml:space="preserve">, </w:t>
      </w:r>
      <w:r w:rsidR="00972BF6">
        <w:rPr>
          <w:szCs w:val="24"/>
        </w:rPr>
        <w:t xml:space="preserve">is to be </w:t>
      </w:r>
      <w:r w:rsidR="007530D5">
        <w:rPr>
          <w:szCs w:val="24"/>
        </w:rPr>
        <w:t>a</w:t>
      </w:r>
      <w:r w:rsidR="00972BF6">
        <w:rPr>
          <w:szCs w:val="24"/>
        </w:rPr>
        <w:t xml:space="preserve"> watchdog over developments in the Brooklyn and Eastern area of Pretoria</w:t>
      </w:r>
      <w:r w:rsidR="007530D5">
        <w:rPr>
          <w:szCs w:val="24"/>
        </w:rPr>
        <w:t xml:space="preserve"> [suburb]</w:t>
      </w:r>
      <w:r w:rsidR="00972BF6">
        <w:rPr>
          <w:szCs w:val="24"/>
        </w:rPr>
        <w:t>.</w:t>
      </w:r>
      <w:r w:rsidR="00A264BD">
        <w:rPr>
          <w:szCs w:val="24"/>
        </w:rPr>
        <w:t xml:space="preserve"> </w:t>
      </w:r>
    </w:p>
    <w:p w14:paraId="185BA5BF" w14:textId="77777777" w:rsidR="00972BF6" w:rsidRDefault="00972BF6" w:rsidP="00972BF6">
      <w:pPr>
        <w:pStyle w:val="WestPleadingpara1"/>
        <w:numPr>
          <w:ilvl w:val="0"/>
          <w:numId w:val="0"/>
        </w:numPr>
        <w:spacing w:line="360" w:lineRule="auto"/>
        <w:ind w:left="426"/>
      </w:pPr>
    </w:p>
    <w:p w14:paraId="4B3EFE20" w14:textId="45631B2F" w:rsidR="00972BF6" w:rsidRPr="00972BF6" w:rsidRDefault="006A2D18" w:rsidP="006A2D18">
      <w:pPr>
        <w:pStyle w:val="WestPleadingpara1"/>
        <w:numPr>
          <w:ilvl w:val="0"/>
          <w:numId w:val="0"/>
        </w:numPr>
        <w:spacing w:line="360" w:lineRule="auto"/>
        <w:ind w:firstLine="426"/>
      </w:pPr>
      <w:r w:rsidRPr="00972BF6">
        <w:rPr>
          <w:szCs w:val="24"/>
        </w:rPr>
        <w:t>[16]</w:t>
      </w:r>
      <w:r w:rsidRPr="00972BF6">
        <w:rPr>
          <w:szCs w:val="24"/>
        </w:rPr>
        <w:tab/>
      </w:r>
      <w:r w:rsidR="00972BF6">
        <w:rPr>
          <w:szCs w:val="24"/>
        </w:rPr>
        <w:t>T</w:t>
      </w:r>
      <w:r w:rsidR="00FD23AE">
        <w:rPr>
          <w:szCs w:val="24"/>
        </w:rPr>
        <w:t xml:space="preserve">he Respondent’s </w:t>
      </w:r>
      <w:r w:rsidR="00695529">
        <w:rPr>
          <w:szCs w:val="24"/>
        </w:rPr>
        <w:t>c</w:t>
      </w:r>
      <w:r w:rsidR="00FD23AE">
        <w:rPr>
          <w:szCs w:val="24"/>
        </w:rPr>
        <w:t xml:space="preserve">onstitution, </w:t>
      </w:r>
      <w:r w:rsidR="00F07896" w:rsidRPr="00695529">
        <w:rPr>
          <w:i/>
          <w:iCs/>
          <w:szCs w:val="24"/>
        </w:rPr>
        <w:t>inter alia</w:t>
      </w:r>
      <w:r w:rsidR="00F07896">
        <w:rPr>
          <w:szCs w:val="24"/>
        </w:rPr>
        <w:t xml:space="preserve">, </w:t>
      </w:r>
      <w:r w:rsidR="00972BF6">
        <w:rPr>
          <w:szCs w:val="24"/>
        </w:rPr>
        <w:t xml:space="preserve">empowers its members to </w:t>
      </w:r>
      <w:r w:rsidR="003E0FB3">
        <w:rPr>
          <w:szCs w:val="24"/>
        </w:rPr>
        <w:t>oppose rezoning</w:t>
      </w:r>
      <w:r w:rsidR="00380EA4">
        <w:rPr>
          <w:szCs w:val="24"/>
        </w:rPr>
        <w:t xml:space="preserve"> applications</w:t>
      </w:r>
      <w:r w:rsidR="004A702D">
        <w:rPr>
          <w:szCs w:val="24"/>
        </w:rPr>
        <w:t xml:space="preserve"> </w:t>
      </w:r>
      <w:r w:rsidR="002B3164">
        <w:rPr>
          <w:szCs w:val="24"/>
        </w:rPr>
        <w:t>brought by parties in its suburb</w:t>
      </w:r>
      <w:r w:rsidR="00646677">
        <w:rPr>
          <w:szCs w:val="24"/>
        </w:rPr>
        <w:t xml:space="preserve">. </w:t>
      </w:r>
      <w:r w:rsidR="00443E00">
        <w:rPr>
          <w:szCs w:val="24"/>
        </w:rPr>
        <w:t xml:space="preserve">Objections </w:t>
      </w:r>
      <w:r w:rsidR="00646677">
        <w:rPr>
          <w:szCs w:val="24"/>
        </w:rPr>
        <w:t>against the Appellant</w:t>
      </w:r>
      <w:r w:rsidR="00972BF6">
        <w:rPr>
          <w:szCs w:val="24"/>
        </w:rPr>
        <w:t>’s</w:t>
      </w:r>
      <w:r w:rsidR="00646677">
        <w:rPr>
          <w:szCs w:val="24"/>
        </w:rPr>
        <w:t xml:space="preserve"> </w:t>
      </w:r>
      <w:r w:rsidR="00972BF6">
        <w:rPr>
          <w:szCs w:val="24"/>
        </w:rPr>
        <w:t xml:space="preserve">rezoning applications </w:t>
      </w:r>
      <w:r w:rsidR="007530D5">
        <w:rPr>
          <w:szCs w:val="24"/>
        </w:rPr>
        <w:t xml:space="preserve">by the Respondent </w:t>
      </w:r>
      <w:r w:rsidR="00443E00">
        <w:rPr>
          <w:szCs w:val="24"/>
        </w:rPr>
        <w:t>ha</w:t>
      </w:r>
      <w:r w:rsidR="007530D5">
        <w:rPr>
          <w:szCs w:val="24"/>
        </w:rPr>
        <w:t>ve</w:t>
      </w:r>
      <w:r w:rsidR="002B3164">
        <w:rPr>
          <w:szCs w:val="24"/>
        </w:rPr>
        <w:t xml:space="preserve"> </w:t>
      </w:r>
      <w:r w:rsidR="00443E00">
        <w:rPr>
          <w:szCs w:val="24"/>
        </w:rPr>
        <w:t>occurred</w:t>
      </w:r>
      <w:r w:rsidR="002B3164">
        <w:rPr>
          <w:szCs w:val="24"/>
        </w:rPr>
        <w:t xml:space="preserve"> </w:t>
      </w:r>
      <w:r w:rsidR="00972BF6">
        <w:rPr>
          <w:szCs w:val="24"/>
        </w:rPr>
        <w:t>in the past</w:t>
      </w:r>
      <w:r w:rsidR="007530D5">
        <w:rPr>
          <w:szCs w:val="24"/>
        </w:rPr>
        <w:t>,</w:t>
      </w:r>
      <w:r w:rsidR="00972BF6">
        <w:rPr>
          <w:szCs w:val="24"/>
        </w:rPr>
        <w:t xml:space="preserve"> </w:t>
      </w:r>
      <w:r w:rsidR="00965A8C">
        <w:rPr>
          <w:szCs w:val="24"/>
        </w:rPr>
        <w:t>o</w:t>
      </w:r>
      <w:r w:rsidR="002B3164">
        <w:rPr>
          <w:szCs w:val="24"/>
        </w:rPr>
        <w:t>n numerous occasions</w:t>
      </w:r>
      <w:r w:rsidR="00443E00">
        <w:rPr>
          <w:szCs w:val="24"/>
        </w:rPr>
        <w:t xml:space="preserve">. </w:t>
      </w:r>
    </w:p>
    <w:p w14:paraId="4AA7E731" w14:textId="77777777" w:rsidR="00972BF6" w:rsidRDefault="00972BF6" w:rsidP="00972BF6">
      <w:pPr>
        <w:pStyle w:val="ListParagraph"/>
      </w:pPr>
    </w:p>
    <w:p w14:paraId="4A09300E" w14:textId="7DF544F3" w:rsidR="00C45E0F" w:rsidRPr="00443E00" w:rsidRDefault="006A2D18" w:rsidP="006A2D18">
      <w:pPr>
        <w:pStyle w:val="WestPleadingpara1"/>
        <w:numPr>
          <w:ilvl w:val="0"/>
          <w:numId w:val="0"/>
        </w:numPr>
        <w:spacing w:line="360" w:lineRule="auto"/>
        <w:ind w:firstLine="426"/>
      </w:pPr>
      <w:r w:rsidRPr="00443E00">
        <w:rPr>
          <w:szCs w:val="24"/>
        </w:rPr>
        <w:t>[17]</w:t>
      </w:r>
      <w:r w:rsidRPr="00443E00">
        <w:rPr>
          <w:szCs w:val="24"/>
        </w:rPr>
        <w:tab/>
      </w:r>
      <w:r w:rsidR="00972BF6">
        <w:rPr>
          <w:szCs w:val="24"/>
        </w:rPr>
        <w:t>L</w:t>
      </w:r>
      <w:r w:rsidR="00443E00">
        <w:rPr>
          <w:szCs w:val="24"/>
        </w:rPr>
        <w:t>ogical</w:t>
      </w:r>
      <w:r w:rsidR="00972BF6">
        <w:rPr>
          <w:szCs w:val="24"/>
        </w:rPr>
        <w:t>ly</w:t>
      </w:r>
      <w:r w:rsidR="00443E00">
        <w:rPr>
          <w:szCs w:val="24"/>
        </w:rPr>
        <w:t xml:space="preserve"> objections delay </w:t>
      </w:r>
      <w:r w:rsidR="00646677">
        <w:rPr>
          <w:szCs w:val="24"/>
        </w:rPr>
        <w:t xml:space="preserve">anticipated </w:t>
      </w:r>
      <w:r w:rsidR="00443E00">
        <w:rPr>
          <w:szCs w:val="24"/>
        </w:rPr>
        <w:t>developments</w:t>
      </w:r>
      <w:r w:rsidR="00646677">
        <w:rPr>
          <w:szCs w:val="24"/>
        </w:rPr>
        <w:t xml:space="preserve">. </w:t>
      </w:r>
      <w:r w:rsidR="00972BF6">
        <w:rPr>
          <w:szCs w:val="24"/>
        </w:rPr>
        <w:t xml:space="preserve">A fact demonstrated on the papers by the Appellant. Delays </w:t>
      </w:r>
      <w:r w:rsidR="002B3164">
        <w:rPr>
          <w:szCs w:val="24"/>
        </w:rPr>
        <w:t>attract</w:t>
      </w:r>
      <w:r w:rsidR="00646677">
        <w:rPr>
          <w:szCs w:val="24"/>
        </w:rPr>
        <w:t xml:space="preserve"> </w:t>
      </w:r>
      <w:r w:rsidR="002B3164">
        <w:rPr>
          <w:szCs w:val="24"/>
        </w:rPr>
        <w:t xml:space="preserve">conflict. </w:t>
      </w:r>
      <w:r w:rsidR="00443E00">
        <w:rPr>
          <w:szCs w:val="24"/>
        </w:rPr>
        <w:t>Such c</w:t>
      </w:r>
      <w:r w:rsidR="002B3164">
        <w:rPr>
          <w:szCs w:val="24"/>
        </w:rPr>
        <w:t>onflict echoed in the judgment of Ellis AJ</w:t>
      </w:r>
      <w:r w:rsidR="00646677">
        <w:rPr>
          <w:szCs w:val="24"/>
        </w:rPr>
        <w:t xml:space="preserve">, </w:t>
      </w:r>
      <w:r w:rsidR="00972BF6">
        <w:rPr>
          <w:szCs w:val="24"/>
        </w:rPr>
        <w:t xml:space="preserve">an annexure </w:t>
      </w:r>
      <w:r w:rsidR="002B3164">
        <w:rPr>
          <w:szCs w:val="24"/>
        </w:rPr>
        <w:t xml:space="preserve">to the </w:t>
      </w:r>
      <w:r w:rsidR="00443E00">
        <w:rPr>
          <w:szCs w:val="24"/>
        </w:rPr>
        <w:t>Appellant’s f</w:t>
      </w:r>
      <w:r w:rsidR="002B3164">
        <w:rPr>
          <w:szCs w:val="24"/>
        </w:rPr>
        <w:t>ounding papers</w:t>
      </w:r>
      <w:r w:rsidR="00BB499E">
        <w:rPr>
          <w:szCs w:val="24"/>
        </w:rPr>
        <w:t xml:space="preserve">, depicting a history of the </w:t>
      </w:r>
      <w:r w:rsidR="00443E00">
        <w:rPr>
          <w:szCs w:val="24"/>
        </w:rPr>
        <w:t xml:space="preserve">parties </w:t>
      </w:r>
      <w:r w:rsidR="00646677">
        <w:rPr>
          <w:szCs w:val="24"/>
        </w:rPr>
        <w:t>being</w:t>
      </w:r>
      <w:r w:rsidR="00443E00">
        <w:rPr>
          <w:szCs w:val="24"/>
        </w:rPr>
        <w:t xml:space="preserve"> embroiled in </w:t>
      </w:r>
      <w:r w:rsidR="002B3164" w:rsidRPr="00443E00">
        <w:rPr>
          <w:szCs w:val="24"/>
        </w:rPr>
        <w:t>lengthy acrimonious litigation</w:t>
      </w:r>
      <w:r w:rsidR="004E3976">
        <w:rPr>
          <w:szCs w:val="24"/>
        </w:rPr>
        <w:t>.</w:t>
      </w:r>
      <w:r w:rsidR="00443E00">
        <w:rPr>
          <w:szCs w:val="24"/>
        </w:rPr>
        <w:t xml:space="preserve"> In fact, </w:t>
      </w:r>
      <w:r w:rsidR="004A702D" w:rsidRPr="00443E00">
        <w:rPr>
          <w:szCs w:val="24"/>
        </w:rPr>
        <w:t xml:space="preserve">the indebtedness </w:t>
      </w:r>
      <w:r w:rsidR="007530D5">
        <w:rPr>
          <w:szCs w:val="24"/>
        </w:rPr>
        <w:t>relied on in</w:t>
      </w:r>
      <w:r w:rsidR="004A702D" w:rsidRPr="00443E00">
        <w:rPr>
          <w:szCs w:val="24"/>
        </w:rPr>
        <w:t xml:space="preserve"> the winding-up proceedings </w:t>
      </w:r>
      <w:r w:rsidR="00443E00">
        <w:rPr>
          <w:szCs w:val="24"/>
        </w:rPr>
        <w:t xml:space="preserve">before the Court </w:t>
      </w:r>
      <w:r w:rsidR="00443E00" w:rsidRPr="002C0357">
        <w:rPr>
          <w:i/>
          <w:iCs/>
          <w:szCs w:val="24"/>
        </w:rPr>
        <w:t>a quo</w:t>
      </w:r>
      <w:r w:rsidR="00443E00">
        <w:rPr>
          <w:szCs w:val="24"/>
        </w:rPr>
        <w:t xml:space="preserve">, </w:t>
      </w:r>
      <w:r w:rsidR="00BB499E">
        <w:rPr>
          <w:szCs w:val="24"/>
        </w:rPr>
        <w:t>was</w:t>
      </w:r>
      <w:r w:rsidR="00646677">
        <w:rPr>
          <w:szCs w:val="24"/>
        </w:rPr>
        <w:t xml:space="preserve"> for the recovery of taxed</w:t>
      </w:r>
      <w:r w:rsidR="00646677">
        <w:rPr>
          <w:color w:val="000000" w:themeColor="text1"/>
          <w:szCs w:val="24"/>
        </w:rPr>
        <w:t xml:space="preserve"> </w:t>
      </w:r>
      <w:r w:rsidR="00BB499E">
        <w:rPr>
          <w:color w:val="000000" w:themeColor="text1"/>
          <w:szCs w:val="24"/>
        </w:rPr>
        <w:t xml:space="preserve">costs </w:t>
      </w:r>
      <w:r w:rsidR="00C45E0F" w:rsidRPr="00443E00">
        <w:rPr>
          <w:color w:val="000000" w:themeColor="text1"/>
          <w:szCs w:val="24"/>
        </w:rPr>
        <w:t xml:space="preserve">awarded </w:t>
      </w:r>
      <w:r w:rsidR="00380EA4" w:rsidRPr="00443E00">
        <w:rPr>
          <w:color w:val="000000" w:themeColor="text1"/>
          <w:szCs w:val="24"/>
        </w:rPr>
        <w:t>by Ellis AJ on 4 July 2018</w:t>
      </w:r>
      <w:r w:rsidR="00965A8C">
        <w:rPr>
          <w:color w:val="000000" w:themeColor="text1"/>
          <w:szCs w:val="24"/>
        </w:rPr>
        <w:t xml:space="preserve">, </w:t>
      </w:r>
      <w:r w:rsidR="00BB499E">
        <w:rPr>
          <w:color w:val="000000" w:themeColor="text1"/>
          <w:szCs w:val="24"/>
        </w:rPr>
        <w:t>duly</w:t>
      </w:r>
      <w:r w:rsidR="00C45E0F" w:rsidRPr="00443E00">
        <w:rPr>
          <w:color w:val="000000" w:themeColor="text1"/>
          <w:szCs w:val="24"/>
        </w:rPr>
        <w:t xml:space="preserve"> </w:t>
      </w:r>
      <w:r w:rsidR="00C45E0F" w:rsidRPr="00443E00">
        <w:rPr>
          <w:color w:val="000000" w:themeColor="text1"/>
          <w:szCs w:val="24"/>
        </w:rPr>
        <w:lastRenderedPageBreak/>
        <w:t xml:space="preserve">taxed </w:t>
      </w:r>
      <w:r w:rsidR="00965A8C">
        <w:rPr>
          <w:color w:val="000000" w:themeColor="text1"/>
          <w:szCs w:val="24"/>
        </w:rPr>
        <w:t>so</w:t>
      </w:r>
      <w:r w:rsidR="007530D5">
        <w:rPr>
          <w:color w:val="000000" w:themeColor="text1"/>
          <w:szCs w:val="24"/>
        </w:rPr>
        <w:t>m</w:t>
      </w:r>
      <w:r w:rsidR="00965A8C">
        <w:rPr>
          <w:color w:val="000000" w:themeColor="text1"/>
          <w:szCs w:val="24"/>
        </w:rPr>
        <w:t xml:space="preserve">e 2 </w:t>
      </w:r>
      <w:r w:rsidR="007530D5">
        <w:rPr>
          <w:color w:val="000000" w:themeColor="text1"/>
          <w:szCs w:val="24"/>
        </w:rPr>
        <w:t>(</w:t>
      </w:r>
      <w:r w:rsidR="00965A8C">
        <w:rPr>
          <w:color w:val="000000" w:themeColor="text1"/>
          <w:szCs w:val="24"/>
        </w:rPr>
        <w:t xml:space="preserve">two) years later </w:t>
      </w:r>
      <w:r w:rsidR="00C45E0F" w:rsidRPr="00443E00">
        <w:rPr>
          <w:color w:val="000000" w:themeColor="text1"/>
          <w:szCs w:val="24"/>
        </w:rPr>
        <w:t>on the 9 July 2020</w:t>
      </w:r>
      <w:r w:rsidR="007530D5">
        <w:rPr>
          <w:color w:val="000000" w:themeColor="text1"/>
          <w:szCs w:val="24"/>
        </w:rPr>
        <w:t>. The taxed costs</w:t>
      </w:r>
      <w:r w:rsidR="00BB499E">
        <w:rPr>
          <w:color w:val="000000" w:themeColor="text1"/>
          <w:szCs w:val="24"/>
        </w:rPr>
        <w:t xml:space="preserve"> amount</w:t>
      </w:r>
      <w:r w:rsidR="007530D5">
        <w:rPr>
          <w:color w:val="000000" w:themeColor="text1"/>
          <w:szCs w:val="24"/>
        </w:rPr>
        <w:t>ed to</w:t>
      </w:r>
      <w:r w:rsidR="00BB499E" w:rsidRPr="00443E00">
        <w:rPr>
          <w:color w:val="000000" w:themeColor="text1"/>
          <w:szCs w:val="24"/>
        </w:rPr>
        <w:t xml:space="preserve"> R</w:t>
      </w:r>
      <w:r w:rsidR="00BB499E">
        <w:rPr>
          <w:color w:val="000000" w:themeColor="text1"/>
          <w:szCs w:val="24"/>
        </w:rPr>
        <w:t xml:space="preserve"> </w:t>
      </w:r>
      <w:r w:rsidR="00BB499E" w:rsidRPr="00443E00">
        <w:rPr>
          <w:color w:val="000000" w:themeColor="text1"/>
          <w:szCs w:val="24"/>
        </w:rPr>
        <w:t xml:space="preserve">322 794.64 </w:t>
      </w:r>
      <w:r w:rsidR="00380EA4" w:rsidRPr="00443E00">
        <w:rPr>
          <w:color w:val="000000" w:themeColor="text1"/>
          <w:szCs w:val="24"/>
        </w:rPr>
        <w:t>[the debt].</w:t>
      </w:r>
    </w:p>
    <w:p w14:paraId="5D855FC7" w14:textId="77777777" w:rsidR="00C45E0F" w:rsidRDefault="00C45E0F" w:rsidP="00515C06">
      <w:pPr>
        <w:pStyle w:val="ListParagraph"/>
        <w:spacing w:line="360" w:lineRule="auto"/>
        <w:ind w:left="0" w:firstLine="426"/>
        <w:contextualSpacing w:val="0"/>
        <w:rPr>
          <w:color w:val="000000" w:themeColor="text1"/>
        </w:rPr>
      </w:pPr>
    </w:p>
    <w:p w14:paraId="2264B7C7" w14:textId="7FB5D690" w:rsidR="00380EA4" w:rsidRPr="004E3976" w:rsidRDefault="006A2D18" w:rsidP="006A2D18">
      <w:pPr>
        <w:pStyle w:val="WestPleadingpara1"/>
        <w:numPr>
          <w:ilvl w:val="0"/>
          <w:numId w:val="0"/>
        </w:numPr>
        <w:spacing w:line="360" w:lineRule="auto"/>
        <w:ind w:firstLine="426"/>
        <w:rPr>
          <w:color w:val="000000" w:themeColor="text1"/>
          <w:szCs w:val="24"/>
        </w:rPr>
      </w:pPr>
      <w:r w:rsidRPr="004E3976">
        <w:rPr>
          <w:szCs w:val="24"/>
        </w:rPr>
        <w:t>[18]</w:t>
      </w:r>
      <w:r w:rsidRPr="004E3976">
        <w:rPr>
          <w:szCs w:val="24"/>
        </w:rPr>
        <w:tab/>
      </w:r>
      <w:r w:rsidR="00BB499E">
        <w:rPr>
          <w:color w:val="000000" w:themeColor="text1"/>
          <w:szCs w:val="24"/>
        </w:rPr>
        <w:t>Delayed developments</w:t>
      </w:r>
      <w:r w:rsidR="00646677">
        <w:rPr>
          <w:color w:val="000000" w:themeColor="text1"/>
          <w:szCs w:val="24"/>
        </w:rPr>
        <w:t xml:space="preserve"> and the </w:t>
      </w:r>
      <w:r w:rsidR="003F7644" w:rsidRPr="00657EF5">
        <w:rPr>
          <w:color w:val="000000" w:themeColor="text1"/>
          <w:szCs w:val="24"/>
        </w:rPr>
        <w:t>Appellant</w:t>
      </w:r>
      <w:r w:rsidR="00657EF5" w:rsidRPr="00657EF5">
        <w:rPr>
          <w:color w:val="000000" w:themeColor="text1"/>
          <w:szCs w:val="24"/>
        </w:rPr>
        <w:t>’s frustration</w:t>
      </w:r>
      <w:r w:rsidR="00965A8C">
        <w:rPr>
          <w:color w:val="000000" w:themeColor="text1"/>
          <w:szCs w:val="24"/>
        </w:rPr>
        <w:t xml:space="preserve"> as a result of</w:t>
      </w:r>
      <w:r w:rsidR="00BB499E">
        <w:rPr>
          <w:color w:val="000000" w:themeColor="text1"/>
          <w:szCs w:val="24"/>
        </w:rPr>
        <w:t xml:space="preserve"> it </w:t>
      </w:r>
      <w:r w:rsidR="00646677">
        <w:rPr>
          <w:color w:val="000000" w:themeColor="text1"/>
          <w:szCs w:val="24"/>
        </w:rPr>
        <w:t xml:space="preserve">spilled over into the founding papers when the deponent, a director of the Appellant, stated the following in </w:t>
      </w:r>
      <w:r w:rsidR="00657EF5" w:rsidRPr="00657EF5">
        <w:rPr>
          <w:color w:val="000000" w:themeColor="text1"/>
          <w:szCs w:val="24"/>
        </w:rPr>
        <w:t>paragraph 36</w:t>
      </w:r>
      <w:r w:rsidR="004E3976">
        <w:rPr>
          <w:color w:val="000000" w:themeColor="text1"/>
          <w:szCs w:val="24"/>
        </w:rPr>
        <w:t>: “</w:t>
      </w:r>
      <w:r w:rsidR="003F7644" w:rsidRPr="00F43A25">
        <w:rPr>
          <w:i/>
          <w:iCs/>
          <w:szCs w:val="24"/>
        </w:rPr>
        <w:t>In addition to the aforesaid</w:t>
      </w:r>
      <w:r w:rsidR="003F7644" w:rsidRPr="004E3976">
        <w:rPr>
          <w:i/>
          <w:iCs/>
          <w:szCs w:val="24"/>
        </w:rPr>
        <w:t xml:space="preserve"> </w:t>
      </w:r>
      <w:r w:rsidR="002E2FAB" w:rsidRPr="004E3976">
        <w:rPr>
          <w:i/>
          <w:iCs/>
          <w:szCs w:val="24"/>
        </w:rPr>
        <w:t>i</w:t>
      </w:r>
      <w:r w:rsidR="003F7644" w:rsidRPr="004E3976">
        <w:rPr>
          <w:i/>
          <w:iCs/>
          <w:szCs w:val="24"/>
        </w:rPr>
        <w:t>t is evident that the respondent acts to the detriment of, for instance, developers like the applicant and the structure of a so-called ‘Citizens Association’ is abused to delay, prevent and frustrate development</w:t>
      </w:r>
      <w:r w:rsidR="00657EF5" w:rsidRPr="005A1481">
        <w:rPr>
          <w:szCs w:val="24"/>
        </w:rPr>
        <w:t>”</w:t>
      </w:r>
      <w:r w:rsidR="005A1481" w:rsidRPr="005A1481">
        <w:rPr>
          <w:szCs w:val="24"/>
        </w:rPr>
        <w:t>.</w:t>
      </w:r>
    </w:p>
    <w:p w14:paraId="26E5CEFB" w14:textId="77777777" w:rsidR="00646677" w:rsidRPr="00646677" w:rsidRDefault="00646677" w:rsidP="00515C06">
      <w:pPr>
        <w:pStyle w:val="WestPleadingpara1"/>
        <w:numPr>
          <w:ilvl w:val="0"/>
          <w:numId w:val="0"/>
        </w:numPr>
        <w:spacing w:line="360" w:lineRule="auto"/>
        <w:ind w:firstLine="426"/>
        <w:rPr>
          <w:szCs w:val="24"/>
        </w:rPr>
      </w:pPr>
    </w:p>
    <w:p w14:paraId="7B9EFCD8" w14:textId="4194ACCC" w:rsidR="002E2FAB" w:rsidRDefault="006A2D18" w:rsidP="006A2D18">
      <w:pPr>
        <w:pStyle w:val="WestPleadingpara1"/>
        <w:numPr>
          <w:ilvl w:val="0"/>
          <w:numId w:val="0"/>
        </w:numPr>
        <w:spacing w:line="360" w:lineRule="auto"/>
        <w:ind w:firstLine="426"/>
        <w:rPr>
          <w:szCs w:val="24"/>
        </w:rPr>
      </w:pPr>
      <w:r>
        <w:rPr>
          <w:szCs w:val="24"/>
        </w:rPr>
        <w:t>[19]</w:t>
      </w:r>
      <w:r>
        <w:rPr>
          <w:szCs w:val="24"/>
        </w:rPr>
        <w:tab/>
      </w:r>
      <w:r w:rsidR="002E2FAB">
        <w:rPr>
          <w:szCs w:val="24"/>
        </w:rPr>
        <w:t>It is a common cause that the winding</w:t>
      </w:r>
      <w:r w:rsidR="005A1481">
        <w:rPr>
          <w:szCs w:val="24"/>
        </w:rPr>
        <w:t>-</w:t>
      </w:r>
      <w:r w:rsidR="002E2FAB">
        <w:rPr>
          <w:szCs w:val="24"/>
        </w:rPr>
        <w:t xml:space="preserve">up application was brought after the Respondent had formally </w:t>
      </w:r>
      <w:r w:rsidR="00BB499E">
        <w:rPr>
          <w:szCs w:val="24"/>
        </w:rPr>
        <w:t xml:space="preserve">lodged an </w:t>
      </w:r>
      <w:r w:rsidR="002E2FAB">
        <w:rPr>
          <w:szCs w:val="24"/>
        </w:rPr>
        <w:t>object</w:t>
      </w:r>
      <w:r w:rsidR="00F43A25">
        <w:rPr>
          <w:szCs w:val="24"/>
        </w:rPr>
        <w:t>ion</w:t>
      </w:r>
      <w:r w:rsidR="002E2FAB">
        <w:rPr>
          <w:szCs w:val="24"/>
        </w:rPr>
        <w:t xml:space="preserve"> to the </w:t>
      </w:r>
      <w:r w:rsidR="00BB499E">
        <w:rPr>
          <w:szCs w:val="24"/>
        </w:rPr>
        <w:t xml:space="preserve">Appellant’s </w:t>
      </w:r>
      <w:r w:rsidR="002E2FAB">
        <w:rPr>
          <w:szCs w:val="24"/>
        </w:rPr>
        <w:t xml:space="preserve">latest rezoning application </w:t>
      </w:r>
      <w:r w:rsidR="00BB499E">
        <w:rPr>
          <w:szCs w:val="24"/>
        </w:rPr>
        <w:t>in the Brooklyn area. Chronologically,</w:t>
      </w:r>
      <w:r w:rsidR="002E2FAB">
        <w:rPr>
          <w:szCs w:val="24"/>
        </w:rPr>
        <w:t xml:space="preserve"> the Respondent’s formal objection was lodged on 25 November 2020 and the application issued on 15 February 2021</w:t>
      </w:r>
      <w:r w:rsidR="00E05366">
        <w:rPr>
          <w:szCs w:val="24"/>
        </w:rPr>
        <w:t xml:space="preserve"> [the objection]</w:t>
      </w:r>
      <w:r w:rsidR="002E2FAB">
        <w:rPr>
          <w:szCs w:val="24"/>
        </w:rPr>
        <w:t>.</w:t>
      </w:r>
      <w:r w:rsidR="00E05366">
        <w:rPr>
          <w:szCs w:val="24"/>
        </w:rPr>
        <w:t xml:space="preserve"> Th</w:t>
      </w:r>
      <w:r w:rsidR="00B72D7F">
        <w:rPr>
          <w:szCs w:val="24"/>
        </w:rPr>
        <w:t>is</w:t>
      </w:r>
      <w:r w:rsidR="00BB499E">
        <w:rPr>
          <w:szCs w:val="24"/>
        </w:rPr>
        <w:t xml:space="preserve"> </w:t>
      </w:r>
      <w:r w:rsidR="00E05366">
        <w:rPr>
          <w:szCs w:val="24"/>
        </w:rPr>
        <w:t xml:space="preserve">objection </w:t>
      </w:r>
      <w:r w:rsidR="00F43A25">
        <w:rPr>
          <w:szCs w:val="24"/>
        </w:rPr>
        <w:t>was</w:t>
      </w:r>
      <w:r w:rsidR="007530D5">
        <w:rPr>
          <w:szCs w:val="24"/>
        </w:rPr>
        <w:t xml:space="preserve"> t</w:t>
      </w:r>
      <w:r w:rsidR="00E05366">
        <w:rPr>
          <w:szCs w:val="24"/>
        </w:rPr>
        <w:t xml:space="preserve">he trigger event </w:t>
      </w:r>
      <w:r w:rsidR="00BB499E">
        <w:rPr>
          <w:szCs w:val="24"/>
        </w:rPr>
        <w:t xml:space="preserve">relied on by the Respondent as the </w:t>
      </w:r>
      <w:r w:rsidR="007530D5">
        <w:rPr>
          <w:szCs w:val="24"/>
        </w:rPr>
        <w:t>predominate motive</w:t>
      </w:r>
      <w:r w:rsidR="00BB499E">
        <w:rPr>
          <w:szCs w:val="24"/>
        </w:rPr>
        <w:t xml:space="preserve"> for setting </w:t>
      </w:r>
      <w:r w:rsidR="00E05366">
        <w:rPr>
          <w:szCs w:val="24"/>
        </w:rPr>
        <w:t xml:space="preserve">the winding up </w:t>
      </w:r>
      <w:r w:rsidR="007530D5">
        <w:rPr>
          <w:szCs w:val="24"/>
        </w:rPr>
        <w:t>proceedings</w:t>
      </w:r>
      <w:r w:rsidR="00E05366">
        <w:rPr>
          <w:szCs w:val="24"/>
        </w:rPr>
        <w:t xml:space="preserve"> in</w:t>
      </w:r>
      <w:r w:rsidR="00F43A25">
        <w:rPr>
          <w:szCs w:val="24"/>
        </w:rPr>
        <w:t>to</w:t>
      </w:r>
      <w:r w:rsidR="007530D5">
        <w:rPr>
          <w:szCs w:val="24"/>
        </w:rPr>
        <w:t xml:space="preserve"> </w:t>
      </w:r>
      <w:r w:rsidR="00E05366">
        <w:rPr>
          <w:szCs w:val="24"/>
        </w:rPr>
        <w:t>motion.</w:t>
      </w:r>
    </w:p>
    <w:p w14:paraId="5DF6C495" w14:textId="77777777" w:rsidR="00BB499E" w:rsidRDefault="00BB499E" w:rsidP="00BB499E">
      <w:pPr>
        <w:pStyle w:val="ListParagraph"/>
      </w:pPr>
    </w:p>
    <w:p w14:paraId="62A421F6" w14:textId="711EB1B7" w:rsidR="00E05366" w:rsidRPr="00D17DC4" w:rsidRDefault="006A2D18" w:rsidP="006A2D18">
      <w:pPr>
        <w:pStyle w:val="WestPleadingpara1"/>
        <w:numPr>
          <w:ilvl w:val="0"/>
          <w:numId w:val="0"/>
        </w:numPr>
        <w:spacing w:line="360" w:lineRule="auto"/>
        <w:ind w:firstLine="426"/>
      </w:pPr>
      <w:r w:rsidRPr="00D17DC4">
        <w:rPr>
          <w:szCs w:val="24"/>
        </w:rPr>
        <w:t>[20]</w:t>
      </w:r>
      <w:r w:rsidRPr="00D17DC4">
        <w:rPr>
          <w:szCs w:val="24"/>
        </w:rPr>
        <w:tab/>
      </w:r>
      <w:r w:rsidR="00BB499E">
        <w:rPr>
          <w:szCs w:val="24"/>
        </w:rPr>
        <w:t xml:space="preserve">To consider the </w:t>
      </w:r>
      <w:r w:rsidR="007530D5">
        <w:rPr>
          <w:szCs w:val="24"/>
        </w:rPr>
        <w:t xml:space="preserve">alleged </w:t>
      </w:r>
      <w:r w:rsidR="00BB499E">
        <w:rPr>
          <w:szCs w:val="24"/>
        </w:rPr>
        <w:t xml:space="preserve">trigger </w:t>
      </w:r>
      <w:r w:rsidR="00F43A25">
        <w:rPr>
          <w:szCs w:val="24"/>
        </w:rPr>
        <w:t>event i</w:t>
      </w:r>
      <w:r w:rsidR="00BB499E">
        <w:rPr>
          <w:szCs w:val="24"/>
        </w:rPr>
        <w:t>n isolation is a futile exercise. Every application is pre</w:t>
      </w:r>
      <w:r w:rsidR="00D17DC4">
        <w:rPr>
          <w:szCs w:val="24"/>
        </w:rPr>
        <w:t>ceded by a process, a paper trail</w:t>
      </w:r>
      <w:r w:rsidR="00BB499E">
        <w:rPr>
          <w:szCs w:val="24"/>
        </w:rPr>
        <w:t xml:space="preserve"> </w:t>
      </w:r>
      <w:r w:rsidR="00D17DC4">
        <w:rPr>
          <w:szCs w:val="24"/>
        </w:rPr>
        <w:t>giving rise to reasons and support to necessary allegations</w:t>
      </w:r>
      <w:r w:rsidR="00965A8C">
        <w:rPr>
          <w:szCs w:val="24"/>
        </w:rPr>
        <w:t>.</w:t>
      </w:r>
    </w:p>
    <w:p w14:paraId="6EDEF156" w14:textId="77777777" w:rsidR="00D17DC4" w:rsidRDefault="00D17DC4" w:rsidP="00D17DC4">
      <w:pPr>
        <w:pStyle w:val="ListParagraph"/>
      </w:pPr>
    </w:p>
    <w:p w14:paraId="4679CDA0" w14:textId="4EDF8C85" w:rsidR="004E3976" w:rsidRPr="004E3976" w:rsidRDefault="006A2D18" w:rsidP="006A2D18">
      <w:pPr>
        <w:pStyle w:val="WestPleadingpara1"/>
        <w:numPr>
          <w:ilvl w:val="0"/>
          <w:numId w:val="0"/>
        </w:numPr>
        <w:spacing w:line="360" w:lineRule="auto"/>
        <w:ind w:firstLine="426"/>
      </w:pPr>
      <w:r w:rsidRPr="004E3976">
        <w:rPr>
          <w:szCs w:val="24"/>
        </w:rPr>
        <w:t>[21]</w:t>
      </w:r>
      <w:r w:rsidRPr="004E3976">
        <w:rPr>
          <w:szCs w:val="24"/>
        </w:rPr>
        <w:tab/>
      </w:r>
      <w:r w:rsidR="002C6DF6" w:rsidRPr="00D17DC4">
        <w:rPr>
          <w:szCs w:val="24"/>
        </w:rPr>
        <w:t xml:space="preserve">On the facts, the Appellant was aware of the Respondent’s intention to object to </w:t>
      </w:r>
      <w:r w:rsidR="00E05366" w:rsidRPr="00D17DC4">
        <w:rPr>
          <w:szCs w:val="24"/>
        </w:rPr>
        <w:t xml:space="preserve">the </w:t>
      </w:r>
      <w:r w:rsidR="002C6DF6" w:rsidRPr="00D17DC4">
        <w:rPr>
          <w:szCs w:val="24"/>
        </w:rPr>
        <w:t xml:space="preserve">new proposed development </w:t>
      </w:r>
      <w:r w:rsidR="00D17DC4">
        <w:rPr>
          <w:szCs w:val="24"/>
        </w:rPr>
        <w:t xml:space="preserve">a year before the formal objection </w:t>
      </w:r>
      <w:r w:rsidR="007530D5">
        <w:rPr>
          <w:szCs w:val="24"/>
        </w:rPr>
        <w:t>was lodged.</w:t>
      </w:r>
      <w:r w:rsidR="00920B26">
        <w:rPr>
          <w:szCs w:val="24"/>
        </w:rPr>
        <w:t xml:space="preserve"> This is so</w:t>
      </w:r>
      <w:r w:rsidR="00965A8C">
        <w:rPr>
          <w:szCs w:val="24"/>
        </w:rPr>
        <w:t>,</w:t>
      </w:r>
      <w:r w:rsidR="00920B26">
        <w:rPr>
          <w:szCs w:val="24"/>
        </w:rPr>
        <w:t xml:space="preserve"> as in</w:t>
      </w:r>
      <w:r w:rsidR="00D17DC4">
        <w:rPr>
          <w:szCs w:val="24"/>
        </w:rPr>
        <w:t xml:space="preserve"> </w:t>
      </w:r>
      <w:r w:rsidR="000A361D" w:rsidRPr="00D17DC4">
        <w:rPr>
          <w:szCs w:val="24"/>
        </w:rPr>
        <w:t>February 2020</w:t>
      </w:r>
      <w:r w:rsidR="002C6DF6" w:rsidRPr="00D17DC4">
        <w:rPr>
          <w:szCs w:val="24"/>
        </w:rPr>
        <w:t xml:space="preserve"> </w:t>
      </w:r>
      <w:r w:rsidR="00952010" w:rsidRPr="00D17DC4">
        <w:rPr>
          <w:szCs w:val="24"/>
        </w:rPr>
        <w:t xml:space="preserve">Prof Wegelin, a retired professor in architecture and </w:t>
      </w:r>
      <w:r w:rsidR="005A1481" w:rsidRPr="00D17DC4">
        <w:rPr>
          <w:szCs w:val="24"/>
        </w:rPr>
        <w:t xml:space="preserve">a </w:t>
      </w:r>
      <w:r w:rsidR="00952010" w:rsidRPr="00D17DC4">
        <w:rPr>
          <w:szCs w:val="24"/>
        </w:rPr>
        <w:t>member of the Respondent</w:t>
      </w:r>
      <w:r w:rsidR="005A1481" w:rsidRPr="00D17DC4">
        <w:rPr>
          <w:szCs w:val="24"/>
        </w:rPr>
        <w:t>,</w:t>
      </w:r>
      <w:r w:rsidR="00952010" w:rsidRPr="00D17DC4">
        <w:rPr>
          <w:szCs w:val="24"/>
        </w:rPr>
        <w:t xml:space="preserve"> </w:t>
      </w:r>
      <w:r w:rsidR="00D17DC4">
        <w:rPr>
          <w:szCs w:val="24"/>
        </w:rPr>
        <w:t xml:space="preserve">attended a meeting with the Appellant, during which, he </w:t>
      </w:r>
      <w:r w:rsidR="00952010" w:rsidRPr="00D17DC4">
        <w:rPr>
          <w:szCs w:val="24"/>
        </w:rPr>
        <w:t xml:space="preserve">pointed out </w:t>
      </w:r>
      <w:r w:rsidR="00D17DC4">
        <w:rPr>
          <w:szCs w:val="24"/>
        </w:rPr>
        <w:t xml:space="preserve">that </w:t>
      </w:r>
      <w:r w:rsidR="00B24863" w:rsidRPr="00D17DC4">
        <w:rPr>
          <w:szCs w:val="24"/>
        </w:rPr>
        <w:t>the</w:t>
      </w:r>
      <w:r w:rsidR="009B7462" w:rsidRPr="00D17DC4">
        <w:rPr>
          <w:szCs w:val="24"/>
        </w:rPr>
        <w:t xml:space="preserve"> new</w:t>
      </w:r>
      <w:r w:rsidR="00B24863" w:rsidRPr="00D17DC4">
        <w:rPr>
          <w:szCs w:val="24"/>
        </w:rPr>
        <w:t xml:space="preserve"> proposed development offended the Provincial Heritage Resources Authority </w:t>
      </w:r>
      <w:r w:rsidR="009B7462" w:rsidRPr="00D17DC4">
        <w:rPr>
          <w:szCs w:val="24"/>
        </w:rPr>
        <w:t xml:space="preserve">of </w:t>
      </w:r>
      <w:r w:rsidR="00B24863" w:rsidRPr="00D17DC4">
        <w:rPr>
          <w:szCs w:val="24"/>
        </w:rPr>
        <w:t>Gauteng.</w:t>
      </w:r>
      <w:r w:rsidR="00920B26">
        <w:rPr>
          <w:szCs w:val="24"/>
        </w:rPr>
        <w:t xml:space="preserve"> </w:t>
      </w:r>
      <w:r w:rsidR="00965A8C">
        <w:rPr>
          <w:szCs w:val="24"/>
        </w:rPr>
        <w:t xml:space="preserve">Thereafter, </w:t>
      </w:r>
      <w:r w:rsidR="00920B26">
        <w:rPr>
          <w:szCs w:val="24"/>
        </w:rPr>
        <w:t>National Lockdown</w:t>
      </w:r>
      <w:r w:rsidR="007530D5">
        <w:rPr>
          <w:szCs w:val="24"/>
        </w:rPr>
        <w:t xml:space="preserve">, </w:t>
      </w:r>
      <w:r w:rsidR="00920B26">
        <w:rPr>
          <w:szCs w:val="24"/>
        </w:rPr>
        <w:t>as a result of the Coronavirus</w:t>
      </w:r>
      <w:r w:rsidR="00965A8C">
        <w:rPr>
          <w:szCs w:val="24"/>
        </w:rPr>
        <w:t>,</w:t>
      </w:r>
      <w:r w:rsidR="00920B26">
        <w:rPr>
          <w:szCs w:val="24"/>
        </w:rPr>
        <w:t xml:space="preserve"> followed.</w:t>
      </w:r>
    </w:p>
    <w:p w14:paraId="23D3F1EC" w14:textId="77777777" w:rsidR="004E3976" w:rsidRPr="004E3976" w:rsidRDefault="004E3976" w:rsidP="00515C06">
      <w:pPr>
        <w:pStyle w:val="WestPleadingpara1"/>
        <w:numPr>
          <w:ilvl w:val="0"/>
          <w:numId w:val="0"/>
        </w:numPr>
        <w:spacing w:line="360" w:lineRule="auto"/>
        <w:ind w:firstLine="426"/>
      </w:pPr>
    </w:p>
    <w:p w14:paraId="0A1F7E4E" w14:textId="4756253E" w:rsidR="004E3976" w:rsidRPr="004E3976" w:rsidRDefault="006A2D18" w:rsidP="006A2D18">
      <w:pPr>
        <w:pStyle w:val="WestPleadingpara1"/>
        <w:numPr>
          <w:ilvl w:val="0"/>
          <w:numId w:val="0"/>
        </w:numPr>
        <w:spacing w:line="360" w:lineRule="auto"/>
        <w:ind w:firstLine="426"/>
      </w:pPr>
      <w:r w:rsidRPr="004E3976">
        <w:rPr>
          <w:szCs w:val="24"/>
        </w:rPr>
        <w:t>[22]</w:t>
      </w:r>
      <w:r w:rsidRPr="004E3976">
        <w:rPr>
          <w:szCs w:val="24"/>
        </w:rPr>
        <w:tab/>
      </w:r>
      <w:r w:rsidR="004749C3">
        <w:rPr>
          <w:szCs w:val="24"/>
        </w:rPr>
        <w:t xml:space="preserve">On the </w:t>
      </w:r>
      <w:r w:rsidR="00920B26">
        <w:rPr>
          <w:szCs w:val="24"/>
        </w:rPr>
        <w:t xml:space="preserve">22 June 2020 the Respondent received its first warning </w:t>
      </w:r>
      <w:r w:rsidR="00965A8C">
        <w:rPr>
          <w:szCs w:val="24"/>
        </w:rPr>
        <w:t xml:space="preserve">from the Appellant </w:t>
      </w:r>
      <w:r w:rsidR="00920B26">
        <w:rPr>
          <w:szCs w:val="24"/>
        </w:rPr>
        <w:t xml:space="preserve">[June letter]. The </w:t>
      </w:r>
      <w:r w:rsidR="004749C3">
        <w:rPr>
          <w:szCs w:val="24"/>
        </w:rPr>
        <w:t xml:space="preserve">Appellant </w:t>
      </w:r>
      <w:r w:rsidR="00920B26">
        <w:rPr>
          <w:szCs w:val="24"/>
        </w:rPr>
        <w:t xml:space="preserve">in this letter, </w:t>
      </w:r>
      <w:r w:rsidR="004749C3">
        <w:rPr>
          <w:szCs w:val="24"/>
        </w:rPr>
        <w:t>warn</w:t>
      </w:r>
      <w:r w:rsidR="00920B26">
        <w:rPr>
          <w:szCs w:val="24"/>
        </w:rPr>
        <w:t xml:space="preserve">ed of an intended action for damages against the </w:t>
      </w:r>
      <w:r w:rsidR="004749C3">
        <w:rPr>
          <w:szCs w:val="24"/>
        </w:rPr>
        <w:t xml:space="preserve">Respondent and to its members </w:t>
      </w:r>
      <w:r w:rsidR="00965A8C">
        <w:rPr>
          <w:szCs w:val="24"/>
        </w:rPr>
        <w:t xml:space="preserve">personally </w:t>
      </w:r>
      <w:r w:rsidR="00920B26">
        <w:rPr>
          <w:szCs w:val="24"/>
        </w:rPr>
        <w:t xml:space="preserve">arising from </w:t>
      </w:r>
      <w:r w:rsidR="00F43A25">
        <w:rPr>
          <w:szCs w:val="24"/>
        </w:rPr>
        <w:t xml:space="preserve">the </w:t>
      </w:r>
      <w:r w:rsidR="004749C3">
        <w:rPr>
          <w:szCs w:val="24"/>
        </w:rPr>
        <w:t xml:space="preserve">delays </w:t>
      </w:r>
      <w:r w:rsidR="00920B26">
        <w:rPr>
          <w:szCs w:val="24"/>
        </w:rPr>
        <w:t xml:space="preserve">caused </w:t>
      </w:r>
      <w:r w:rsidR="004749C3">
        <w:rPr>
          <w:szCs w:val="24"/>
        </w:rPr>
        <w:t xml:space="preserve">as a result of </w:t>
      </w:r>
      <w:r w:rsidR="00F43A25">
        <w:rPr>
          <w:szCs w:val="24"/>
        </w:rPr>
        <w:t xml:space="preserve">previous </w:t>
      </w:r>
      <w:r w:rsidR="004749C3">
        <w:rPr>
          <w:szCs w:val="24"/>
        </w:rPr>
        <w:t>objections</w:t>
      </w:r>
      <w:r w:rsidR="00920B26">
        <w:rPr>
          <w:szCs w:val="24"/>
        </w:rPr>
        <w:t>.</w:t>
      </w:r>
      <w:r w:rsidR="004749C3">
        <w:rPr>
          <w:szCs w:val="24"/>
        </w:rPr>
        <w:t xml:space="preserve"> </w:t>
      </w:r>
      <w:r w:rsidR="004E3976">
        <w:rPr>
          <w:szCs w:val="24"/>
        </w:rPr>
        <w:t xml:space="preserve">The June letter was </w:t>
      </w:r>
      <w:r w:rsidR="00BA57FE">
        <w:rPr>
          <w:szCs w:val="24"/>
        </w:rPr>
        <w:t xml:space="preserve">not only </w:t>
      </w:r>
      <w:r w:rsidR="00920B26">
        <w:rPr>
          <w:szCs w:val="24"/>
        </w:rPr>
        <w:lastRenderedPageBreak/>
        <w:t xml:space="preserve">marked for the attention of and </w:t>
      </w:r>
      <w:r w:rsidR="00BA57FE">
        <w:rPr>
          <w:szCs w:val="24"/>
        </w:rPr>
        <w:t>sent to the Respondent’s Chairperson</w:t>
      </w:r>
      <w:r w:rsidR="007530D5">
        <w:rPr>
          <w:szCs w:val="24"/>
        </w:rPr>
        <w:t xml:space="preserve"> </w:t>
      </w:r>
      <w:r w:rsidR="00920B26">
        <w:rPr>
          <w:szCs w:val="24"/>
        </w:rPr>
        <w:t>but</w:t>
      </w:r>
      <w:r w:rsidR="00F43A25">
        <w:rPr>
          <w:szCs w:val="24"/>
        </w:rPr>
        <w:t>,</w:t>
      </w:r>
      <w:r w:rsidR="004E3976">
        <w:rPr>
          <w:szCs w:val="24"/>
        </w:rPr>
        <w:t xml:space="preserve"> </w:t>
      </w:r>
      <w:r w:rsidR="00920B26">
        <w:rPr>
          <w:szCs w:val="24"/>
        </w:rPr>
        <w:t xml:space="preserve">to </w:t>
      </w:r>
      <w:r w:rsidR="004E3976">
        <w:rPr>
          <w:szCs w:val="24"/>
        </w:rPr>
        <w:t>Prof Wegelin</w:t>
      </w:r>
      <w:r w:rsidR="00BA57FE">
        <w:rPr>
          <w:szCs w:val="24"/>
        </w:rPr>
        <w:t xml:space="preserve"> </w:t>
      </w:r>
      <w:r w:rsidR="00F43A25">
        <w:rPr>
          <w:szCs w:val="24"/>
        </w:rPr>
        <w:t>personally.</w:t>
      </w:r>
      <w:r w:rsidR="004E3976">
        <w:rPr>
          <w:szCs w:val="24"/>
        </w:rPr>
        <w:t xml:space="preserve"> </w:t>
      </w:r>
    </w:p>
    <w:p w14:paraId="753D3473" w14:textId="77777777" w:rsidR="004E3976" w:rsidRDefault="004E3976" w:rsidP="00515C06">
      <w:pPr>
        <w:pStyle w:val="ListParagraph"/>
        <w:spacing w:line="360" w:lineRule="auto"/>
        <w:ind w:left="0" w:firstLine="426"/>
        <w:contextualSpacing w:val="0"/>
      </w:pPr>
    </w:p>
    <w:p w14:paraId="760AE510" w14:textId="7320AB3D" w:rsidR="00920B26" w:rsidRPr="00920B26" w:rsidRDefault="006A2D18" w:rsidP="006A2D18">
      <w:pPr>
        <w:pStyle w:val="WestPleadingpara1"/>
        <w:numPr>
          <w:ilvl w:val="0"/>
          <w:numId w:val="0"/>
        </w:numPr>
        <w:spacing w:line="360" w:lineRule="auto"/>
        <w:ind w:firstLine="426"/>
      </w:pPr>
      <w:r w:rsidRPr="00920B26">
        <w:rPr>
          <w:szCs w:val="24"/>
        </w:rPr>
        <w:t>[23]</w:t>
      </w:r>
      <w:r w:rsidRPr="00920B26">
        <w:rPr>
          <w:szCs w:val="24"/>
        </w:rPr>
        <w:tab/>
      </w:r>
      <w:r w:rsidR="004E3976">
        <w:rPr>
          <w:szCs w:val="24"/>
        </w:rPr>
        <w:t>In the</w:t>
      </w:r>
      <w:r w:rsidR="00703810">
        <w:rPr>
          <w:szCs w:val="24"/>
        </w:rPr>
        <w:t xml:space="preserve"> June letter</w:t>
      </w:r>
      <w:r w:rsidR="005A1481">
        <w:rPr>
          <w:szCs w:val="24"/>
        </w:rPr>
        <w:t>,</w:t>
      </w:r>
      <w:r w:rsidR="00703810">
        <w:rPr>
          <w:szCs w:val="24"/>
        </w:rPr>
        <w:t xml:space="preserve"> the Appellant </w:t>
      </w:r>
      <w:r w:rsidR="00920B26">
        <w:rPr>
          <w:szCs w:val="24"/>
        </w:rPr>
        <w:t xml:space="preserve">called for </w:t>
      </w:r>
      <w:r w:rsidR="00703810">
        <w:rPr>
          <w:szCs w:val="24"/>
        </w:rPr>
        <w:t xml:space="preserve">the personal </w:t>
      </w:r>
      <w:r w:rsidR="009B7462" w:rsidRPr="00703810">
        <w:rPr>
          <w:szCs w:val="24"/>
        </w:rPr>
        <w:t>particulars</w:t>
      </w:r>
      <w:r w:rsidR="00920B26">
        <w:rPr>
          <w:szCs w:val="24"/>
        </w:rPr>
        <w:t xml:space="preserve">, </w:t>
      </w:r>
      <w:r w:rsidR="00703810">
        <w:rPr>
          <w:szCs w:val="24"/>
        </w:rPr>
        <w:t>contact details of</w:t>
      </w:r>
      <w:r w:rsidR="009B7462" w:rsidRPr="00703810">
        <w:rPr>
          <w:szCs w:val="24"/>
        </w:rPr>
        <w:t xml:space="preserve"> the Respondent </w:t>
      </w:r>
      <w:r w:rsidR="0096235E" w:rsidRPr="00703810">
        <w:rPr>
          <w:szCs w:val="24"/>
        </w:rPr>
        <w:t>managing members</w:t>
      </w:r>
      <w:r w:rsidR="00920B26">
        <w:rPr>
          <w:szCs w:val="24"/>
        </w:rPr>
        <w:t xml:space="preserve"> (period </w:t>
      </w:r>
      <w:r w:rsidR="0096235E" w:rsidRPr="00703810">
        <w:rPr>
          <w:szCs w:val="24"/>
        </w:rPr>
        <w:t>1 June 2015 to 9 November 2018</w:t>
      </w:r>
      <w:r w:rsidR="00920B26">
        <w:rPr>
          <w:szCs w:val="24"/>
        </w:rPr>
        <w:t>)</w:t>
      </w:r>
      <w:r w:rsidR="0096235E" w:rsidRPr="00703810">
        <w:rPr>
          <w:szCs w:val="24"/>
        </w:rPr>
        <w:t xml:space="preserve"> </w:t>
      </w:r>
      <w:r w:rsidR="00A66131" w:rsidRPr="00703810">
        <w:rPr>
          <w:szCs w:val="24"/>
        </w:rPr>
        <w:t>and minutes of meetings pertaining to any objections lodged or decisions taken in anticipation of or pursuant to any litigation against the Appellant</w:t>
      </w:r>
      <w:r w:rsidR="00920B26">
        <w:rPr>
          <w:szCs w:val="24"/>
        </w:rPr>
        <w:t xml:space="preserve"> [furnish</w:t>
      </w:r>
      <w:r w:rsidR="00B21595">
        <w:rPr>
          <w:szCs w:val="24"/>
        </w:rPr>
        <w:t>ed information].</w:t>
      </w:r>
      <w:r w:rsidR="0096235E" w:rsidRPr="00703810">
        <w:rPr>
          <w:szCs w:val="24"/>
        </w:rPr>
        <w:t xml:space="preserve"> </w:t>
      </w:r>
    </w:p>
    <w:p w14:paraId="6C296033" w14:textId="77777777" w:rsidR="004E3976" w:rsidRDefault="004E3976" w:rsidP="00B21595">
      <w:pPr>
        <w:pStyle w:val="WestPleadingpara1"/>
        <w:numPr>
          <w:ilvl w:val="0"/>
          <w:numId w:val="0"/>
        </w:numPr>
        <w:spacing w:line="360" w:lineRule="auto"/>
      </w:pPr>
    </w:p>
    <w:p w14:paraId="412709B5" w14:textId="1843910F" w:rsidR="00380EA4" w:rsidRDefault="006A2D18" w:rsidP="006A2D18">
      <w:pPr>
        <w:pStyle w:val="WestPleadingpara1"/>
        <w:numPr>
          <w:ilvl w:val="0"/>
          <w:numId w:val="0"/>
        </w:numPr>
        <w:spacing w:line="360" w:lineRule="auto"/>
        <w:ind w:firstLine="426"/>
        <w:rPr>
          <w:szCs w:val="24"/>
        </w:rPr>
      </w:pPr>
      <w:r>
        <w:rPr>
          <w:szCs w:val="24"/>
        </w:rPr>
        <w:t>[24]</w:t>
      </w:r>
      <w:r>
        <w:rPr>
          <w:szCs w:val="24"/>
        </w:rPr>
        <w:tab/>
      </w:r>
      <w:r w:rsidR="00A66131">
        <w:rPr>
          <w:szCs w:val="24"/>
        </w:rPr>
        <w:t xml:space="preserve">The </w:t>
      </w:r>
      <w:r w:rsidR="00B21595">
        <w:rPr>
          <w:szCs w:val="24"/>
        </w:rPr>
        <w:t>Appellant attached the J</w:t>
      </w:r>
      <w:r w:rsidR="00703810">
        <w:rPr>
          <w:szCs w:val="24"/>
        </w:rPr>
        <w:t xml:space="preserve">une letter </w:t>
      </w:r>
      <w:r w:rsidR="00B21595">
        <w:rPr>
          <w:szCs w:val="24"/>
        </w:rPr>
        <w:t xml:space="preserve">to its </w:t>
      </w:r>
      <w:r w:rsidR="00703810">
        <w:rPr>
          <w:szCs w:val="24"/>
        </w:rPr>
        <w:t xml:space="preserve">founding papers and </w:t>
      </w:r>
      <w:r w:rsidR="00B21595">
        <w:rPr>
          <w:szCs w:val="24"/>
        </w:rPr>
        <w:t>relied on the</w:t>
      </w:r>
      <w:r w:rsidR="00703810">
        <w:rPr>
          <w:szCs w:val="24"/>
        </w:rPr>
        <w:t xml:space="preserve"> </w:t>
      </w:r>
      <w:r w:rsidR="00A66131">
        <w:rPr>
          <w:szCs w:val="24"/>
        </w:rPr>
        <w:t xml:space="preserve">Respondents refusal to furnish </w:t>
      </w:r>
      <w:r w:rsidR="00B21595">
        <w:rPr>
          <w:szCs w:val="24"/>
        </w:rPr>
        <w:t xml:space="preserve">the information </w:t>
      </w:r>
      <w:r w:rsidR="007B41F3">
        <w:rPr>
          <w:szCs w:val="24"/>
        </w:rPr>
        <w:t>by insisting,</w:t>
      </w:r>
      <w:r w:rsidR="00B21595">
        <w:rPr>
          <w:szCs w:val="24"/>
        </w:rPr>
        <w:t xml:space="preserve"> under </w:t>
      </w:r>
      <w:r w:rsidR="00E231E1">
        <w:rPr>
          <w:szCs w:val="24"/>
        </w:rPr>
        <w:t xml:space="preserve">the heading: </w:t>
      </w:r>
      <w:r w:rsidR="00E231E1" w:rsidRPr="005A1481">
        <w:rPr>
          <w:i/>
          <w:iCs/>
          <w:szCs w:val="24"/>
        </w:rPr>
        <w:t>“INABILITY TO PAY AND REFUSAL TO FURNISH INFORMATION</w:t>
      </w:r>
      <w:r w:rsidR="00E231E1">
        <w:rPr>
          <w:szCs w:val="24"/>
        </w:rPr>
        <w:t>”</w:t>
      </w:r>
      <w:r w:rsidR="00703810">
        <w:rPr>
          <w:szCs w:val="24"/>
        </w:rPr>
        <w:t xml:space="preserve"> </w:t>
      </w:r>
      <w:r w:rsidR="00E231E1">
        <w:rPr>
          <w:szCs w:val="24"/>
        </w:rPr>
        <w:t xml:space="preserve">that the Court </w:t>
      </w:r>
      <w:r w:rsidR="00E231E1" w:rsidRPr="00DD0B3F">
        <w:rPr>
          <w:i/>
          <w:iCs/>
          <w:szCs w:val="24"/>
        </w:rPr>
        <w:t>a quo</w:t>
      </w:r>
      <w:r w:rsidR="00F43A25">
        <w:rPr>
          <w:i/>
          <w:iCs/>
          <w:szCs w:val="24"/>
        </w:rPr>
        <w:t>,</w:t>
      </w:r>
      <w:r w:rsidR="00E231E1">
        <w:rPr>
          <w:szCs w:val="24"/>
        </w:rPr>
        <w:t xml:space="preserve"> </w:t>
      </w:r>
      <w:r w:rsidR="007B41F3">
        <w:rPr>
          <w:szCs w:val="24"/>
        </w:rPr>
        <w:t xml:space="preserve">over and above the Respondent’s inability to pay the debt, </w:t>
      </w:r>
      <w:r w:rsidR="003E7052">
        <w:rPr>
          <w:szCs w:val="24"/>
        </w:rPr>
        <w:t xml:space="preserve">also </w:t>
      </w:r>
      <w:r w:rsidR="00E231E1">
        <w:rPr>
          <w:szCs w:val="24"/>
        </w:rPr>
        <w:t xml:space="preserve">take </w:t>
      </w:r>
      <w:r w:rsidR="003E7052">
        <w:rPr>
          <w:szCs w:val="24"/>
        </w:rPr>
        <w:t xml:space="preserve">the Respondent’s </w:t>
      </w:r>
      <w:r w:rsidR="00E231E1">
        <w:rPr>
          <w:szCs w:val="24"/>
        </w:rPr>
        <w:t>conduct</w:t>
      </w:r>
      <w:r w:rsidR="00703810">
        <w:rPr>
          <w:szCs w:val="24"/>
        </w:rPr>
        <w:t xml:space="preserve"> </w:t>
      </w:r>
      <w:r w:rsidR="00E231E1">
        <w:rPr>
          <w:szCs w:val="24"/>
        </w:rPr>
        <w:t>into account</w:t>
      </w:r>
      <w:r w:rsidR="007B41F3">
        <w:rPr>
          <w:szCs w:val="24"/>
        </w:rPr>
        <w:t xml:space="preserve">. This insistence was coupled with a </w:t>
      </w:r>
      <w:r w:rsidR="00B21595">
        <w:rPr>
          <w:szCs w:val="24"/>
        </w:rPr>
        <w:t xml:space="preserve">warning </w:t>
      </w:r>
      <w:r w:rsidR="00DD0B3F">
        <w:rPr>
          <w:szCs w:val="24"/>
        </w:rPr>
        <w:t xml:space="preserve">of the likelihood of further proceedings </w:t>
      </w:r>
      <w:r w:rsidR="00B21595">
        <w:rPr>
          <w:szCs w:val="24"/>
        </w:rPr>
        <w:t xml:space="preserve">against the Respondent </w:t>
      </w:r>
      <w:r w:rsidR="00C7221B">
        <w:rPr>
          <w:szCs w:val="24"/>
        </w:rPr>
        <w:t xml:space="preserve">emanating from </w:t>
      </w:r>
      <w:r w:rsidR="00DD0B3F">
        <w:rPr>
          <w:szCs w:val="24"/>
        </w:rPr>
        <w:t>such conduct</w:t>
      </w:r>
      <w:r w:rsidR="007B41F3">
        <w:rPr>
          <w:szCs w:val="24"/>
        </w:rPr>
        <w:t xml:space="preserve">. This the appellant set out </w:t>
      </w:r>
      <w:r w:rsidR="00E231E1">
        <w:rPr>
          <w:szCs w:val="24"/>
        </w:rPr>
        <w:t>in paragraph 38</w:t>
      </w:r>
      <w:r w:rsidR="007B41F3">
        <w:rPr>
          <w:szCs w:val="24"/>
        </w:rPr>
        <w:t xml:space="preserve"> of its founding papers</w:t>
      </w:r>
      <w:r w:rsidR="00E231E1">
        <w:rPr>
          <w:szCs w:val="24"/>
        </w:rPr>
        <w:t>:</w:t>
      </w:r>
      <w:r w:rsidR="004E3976">
        <w:rPr>
          <w:szCs w:val="24"/>
        </w:rPr>
        <w:t xml:space="preserve"> </w:t>
      </w:r>
      <w:r w:rsidR="00E231E1" w:rsidRPr="004E3976">
        <w:rPr>
          <w:szCs w:val="24"/>
        </w:rPr>
        <w:t>“</w:t>
      </w:r>
      <w:r w:rsidR="00E231E1" w:rsidRPr="004E3976">
        <w:rPr>
          <w:i/>
          <w:iCs/>
          <w:szCs w:val="24"/>
        </w:rPr>
        <w:t xml:space="preserve">The aforesaid </w:t>
      </w:r>
      <w:r w:rsidR="00E231E1" w:rsidRPr="004E3976">
        <w:rPr>
          <w:i/>
          <w:iCs/>
          <w:szCs w:val="24"/>
          <w:u w:val="single"/>
        </w:rPr>
        <w:t xml:space="preserve">conduct of the Respondent </w:t>
      </w:r>
      <w:r w:rsidR="00E231E1" w:rsidRPr="004E3976">
        <w:rPr>
          <w:b/>
          <w:bCs/>
          <w:i/>
          <w:iCs/>
          <w:szCs w:val="24"/>
          <w:u w:val="single"/>
        </w:rPr>
        <w:t>must</w:t>
      </w:r>
      <w:r w:rsidR="00E231E1" w:rsidRPr="004E3976">
        <w:rPr>
          <w:i/>
          <w:iCs/>
          <w:szCs w:val="24"/>
          <w:u w:val="single"/>
        </w:rPr>
        <w:t>,</w:t>
      </w:r>
      <w:r w:rsidR="00E231E1" w:rsidRPr="004E3976">
        <w:rPr>
          <w:i/>
          <w:iCs/>
          <w:szCs w:val="24"/>
        </w:rPr>
        <w:t xml:space="preserve"> (inability to pay and refusal to furnish information-own emphasis)</w:t>
      </w:r>
      <w:r w:rsidR="00B84F03" w:rsidRPr="004E3976">
        <w:rPr>
          <w:i/>
          <w:iCs/>
          <w:szCs w:val="24"/>
        </w:rPr>
        <w:t xml:space="preserve"> </w:t>
      </w:r>
      <w:r w:rsidR="00E231E1" w:rsidRPr="004E3976">
        <w:rPr>
          <w:i/>
          <w:iCs/>
          <w:szCs w:val="24"/>
        </w:rPr>
        <w:t xml:space="preserve">therefore be considered and taken into account in the matrix and context of </w:t>
      </w:r>
      <w:r w:rsidR="00E231E1" w:rsidRPr="004E3976">
        <w:rPr>
          <w:i/>
          <w:iCs/>
          <w:szCs w:val="24"/>
          <w:u w:val="single"/>
        </w:rPr>
        <w:t>this application pursuant to which</w:t>
      </w:r>
      <w:r w:rsidR="00E231E1" w:rsidRPr="004E3976">
        <w:rPr>
          <w:i/>
          <w:iCs/>
          <w:szCs w:val="24"/>
        </w:rPr>
        <w:t xml:space="preserve"> </w:t>
      </w:r>
      <w:r w:rsidR="00E231E1" w:rsidRPr="004E3976">
        <w:rPr>
          <w:i/>
          <w:iCs/>
          <w:szCs w:val="24"/>
          <w:u w:val="single"/>
        </w:rPr>
        <w:t>proceedings will, in all likelihood, emanate</w:t>
      </w:r>
      <w:r w:rsidR="00E231E1" w:rsidRPr="00D307F9">
        <w:rPr>
          <w:szCs w:val="24"/>
        </w:rPr>
        <w:t>”</w:t>
      </w:r>
      <w:r w:rsidR="00D307F9" w:rsidRPr="00D307F9">
        <w:rPr>
          <w:szCs w:val="24"/>
        </w:rPr>
        <w:t>.</w:t>
      </w:r>
      <w:r w:rsidR="00E231E1" w:rsidRPr="00D307F9">
        <w:rPr>
          <w:szCs w:val="24"/>
        </w:rPr>
        <w:t xml:space="preserve"> </w:t>
      </w:r>
      <w:r w:rsidR="00DD0B3F" w:rsidRPr="00D307F9">
        <w:rPr>
          <w:szCs w:val="24"/>
        </w:rPr>
        <w:t>(own emphasis)</w:t>
      </w:r>
    </w:p>
    <w:p w14:paraId="5A76D195" w14:textId="77777777" w:rsidR="007B41F3" w:rsidRDefault="007B41F3" w:rsidP="007B41F3">
      <w:pPr>
        <w:pStyle w:val="ListParagraph"/>
      </w:pPr>
    </w:p>
    <w:p w14:paraId="34B70EA5" w14:textId="2477855A" w:rsidR="006D7A11" w:rsidRPr="007B41F3" w:rsidRDefault="006A2D18" w:rsidP="006A2D18">
      <w:pPr>
        <w:pStyle w:val="WestPleadingpara1"/>
        <w:numPr>
          <w:ilvl w:val="0"/>
          <w:numId w:val="0"/>
        </w:numPr>
        <w:spacing w:line="360" w:lineRule="auto"/>
        <w:ind w:firstLine="426"/>
        <w:rPr>
          <w:szCs w:val="24"/>
        </w:rPr>
      </w:pPr>
      <w:r w:rsidRPr="007B41F3">
        <w:rPr>
          <w:szCs w:val="24"/>
        </w:rPr>
        <w:t>[25]</w:t>
      </w:r>
      <w:r w:rsidRPr="007B41F3">
        <w:rPr>
          <w:szCs w:val="24"/>
        </w:rPr>
        <w:tab/>
      </w:r>
      <w:r w:rsidR="00B21595">
        <w:t>T</w:t>
      </w:r>
      <w:r w:rsidR="006D7A11">
        <w:t>he June lette</w:t>
      </w:r>
      <w:r w:rsidR="00F43A25">
        <w:t>r</w:t>
      </w:r>
      <w:r w:rsidR="007B41F3">
        <w:t xml:space="preserve"> did not </w:t>
      </w:r>
      <w:r w:rsidR="00B21595">
        <w:t xml:space="preserve">mention </w:t>
      </w:r>
      <w:r w:rsidR="007B41F3">
        <w:t>the Appellant’s</w:t>
      </w:r>
      <w:r w:rsidR="00C57953">
        <w:t xml:space="preserve"> intention to </w:t>
      </w:r>
      <w:r w:rsidR="00B21595">
        <w:t>recover the debt</w:t>
      </w:r>
      <w:r w:rsidR="00C57953">
        <w:t xml:space="preserve">. </w:t>
      </w:r>
      <w:r w:rsidR="007B41F3">
        <w:t>As mentioned t</w:t>
      </w:r>
      <w:r w:rsidR="00C57953">
        <w:t xml:space="preserve">he </w:t>
      </w:r>
      <w:r w:rsidR="00E14852">
        <w:t xml:space="preserve">costs were only taxed </w:t>
      </w:r>
      <w:r w:rsidR="007B41F3">
        <w:t>in</w:t>
      </w:r>
      <w:r w:rsidR="00C57953">
        <w:t xml:space="preserve"> July 2020</w:t>
      </w:r>
      <w:r w:rsidR="008B66BC">
        <w:t xml:space="preserve">, </w:t>
      </w:r>
      <w:r w:rsidR="00965A8C">
        <w:t>a</w:t>
      </w:r>
      <w:r w:rsidR="00E14852">
        <w:t xml:space="preserve"> date after the Respondent </w:t>
      </w:r>
      <w:r w:rsidR="007B41F3">
        <w:t xml:space="preserve">failed to provide the </w:t>
      </w:r>
      <w:r w:rsidR="00E14852">
        <w:t>furnish</w:t>
      </w:r>
      <w:r w:rsidR="007B41F3">
        <w:t>ed</w:t>
      </w:r>
      <w:r w:rsidR="00E14852">
        <w:t xml:space="preserve"> information.</w:t>
      </w:r>
    </w:p>
    <w:p w14:paraId="6DB991A7" w14:textId="77777777" w:rsidR="006D7A11" w:rsidRDefault="006D7A11" w:rsidP="00515C06">
      <w:pPr>
        <w:pStyle w:val="ListParagraph"/>
        <w:spacing w:line="360" w:lineRule="auto"/>
        <w:ind w:left="0" w:firstLine="426"/>
        <w:contextualSpacing w:val="0"/>
      </w:pPr>
    </w:p>
    <w:p w14:paraId="02702B37" w14:textId="70D48822" w:rsidR="003E7052" w:rsidRDefault="006A2D18" w:rsidP="006A2D18">
      <w:pPr>
        <w:pStyle w:val="WestPleadingpara1"/>
        <w:numPr>
          <w:ilvl w:val="0"/>
          <w:numId w:val="0"/>
        </w:numPr>
        <w:spacing w:line="360" w:lineRule="auto"/>
        <w:ind w:firstLine="426"/>
      </w:pPr>
      <w:r>
        <w:rPr>
          <w:szCs w:val="24"/>
        </w:rPr>
        <w:t>[26]</w:t>
      </w:r>
      <w:r>
        <w:rPr>
          <w:szCs w:val="24"/>
        </w:rPr>
        <w:tab/>
      </w:r>
      <w:r w:rsidR="008B66BC">
        <w:t xml:space="preserve">On the </w:t>
      </w:r>
      <w:r w:rsidR="00DE581F">
        <w:t xml:space="preserve">30 July 2020, the </w:t>
      </w:r>
      <w:r w:rsidR="00E14852">
        <w:t>A</w:t>
      </w:r>
      <w:r w:rsidR="008B66BC">
        <w:t xml:space="preserve">ppellant </w:t>
      </w:r>
      <w:r w:rsidR="008E4F24">
        <w:t xml:space="preserve">demanded payment of the </w:t>
      </w:r>
      <w:r w:rsidR="004C65F8">
        <w:t>debt</w:t>
      </w:r>
      <w:r w:rsidR="008B66BC">
        <w:t xml:space="preserve"> from the Respondent for </w:t>
      </w:r>
      <w:r w:rsidR="008E4F24">
        <w:t xml:space="preserve">the </w:t>
      </w:r>
      <w:r w:rsidR="00BF521D">
        <w:t xml:space="preserve">first and </w:t>
      </w:r>
      <w:r w:rsidR="00BA57FE">
        <w:t xml:space="preserve">the </w:t>
      </w:r>
      <w:r w:rsidR="00BF521D">
        <w:t xml:space="preserve">last </w:t>
      </w:r>
      <w:r w:rsidR="008B66BC">
        <w:t>time</w:t>
      </w:r>
      <w:r w:rsidR="00BF521D">
        <w:t xml:space="preserve"> </w:t>
      </w:r>
      <w:r w:rsidR="004C65F8">
        <w:t>[July letter].</w:t>
      </w:r>
      <w:r w:rsidR="008E4F24">
        <w:t xml:space="preserve"> The time period </w:t>
      </w:r>
      <w:r w:rsidR="008B66BC">
        <w:t xml:space="preserve">expressed in the July letter does not comply with </w:t>
      </w:r>
      <w:r w:rsidR="008E4F24">
        <w:t xml:space="preserve">the 3 </w:t>
      </w:r>
      <w:r w:rsidR="00DF1BC7">
        <w:t xml:space="preserve">(three) </w:t>
      </w:r>
      <w:r w:rsidR="008E4F24">
        <w:t>week</w:t>
      </w:r>
      <w:r w:rsidR="008B66BC">
        <w:t xml:space="preserve"> statutory period </w:t>
      </w:r>
      <w:r w:rsidR="008E4F24">
        <w:t>provided for in section 345 of the 1973 Act</w:t>
      </w:r>
      <w:r w:rsidR="008B66BC">
        <w:t xml:space="preserve">. The Respondent was </w:t>
      </w:r>
      <w:r w:rsidR="007B41F3">
        <w:t xml:space="preserve">only </w:t>
      </w:r>
      <w:r w:rsidR="008B66BC">
        <w:t>afforded</w:t>
      </w:r>
      <w:r w:rsidR="008E4F24">
        <w:t xml:space="preserve"> 7 (seven) days, </w:t>
      </w:r>
      <w:r w:rsidR="007B41F3">
        <w:t xml:space="preserve">and was warned that default of payment within </w:t>
      </w:r>
      <w:r w:rsidR="00F43A25">
        <w:t xml:space="preserve">such </w:t>
      </w:r>
      <w:r w:rsidR="007B41F3">
        <w:t xml:space="preserve">7 (seven) days would cause </w:t>
      </w:r>
      <w:r w:rsidR="008E4F24">
        <w:t xml:space="preserve">a writ </w:t>
      </w:r>
      <w:r w:rsidR="007B41F3">
        <w:t xml:space="preserve">to </w:t>
      </w:r>
      <w:r w:rsidR="008E4F24">
        <w:t>be issued and executed.</w:t>
      </w:r>
    </w:p>
    <w:p w14:paraId="4234D6FF" w14:textId="77777777" w:rsidR="003E7052" w:rsidRDefault="003E7052" w:rsidP="00515C06">
      <w:pPr>
        <w:pStyle w:val="WestPleadingpara1"/>
        <w:numPr>
          <w:ilvl w:val="0"/>
          <w:numId w:val="0"/>
        </w:numPr>
        <w:spacing w:line="360" w:lineRule="auto"/>
        <w:ind w:firstLine="426"/>
      </w:pPr>
    </w:p>
    <w:p w14:paraId="471ED50E" w14:textId="11B53C3C" w:rsidR="00377118" w:rsidRPr="008B66BC" w:rsidRDefault="006A2D18" w:rsidP="006A2D18">
      <w:pPr>
        <w:pStyle w:val="WestPleadingpara1"/>
        <w:numPr>
          <w:ilvl w:val="0"/>
          <w:numId w:val="0"/>
        </w:numPr>
        <w:spacing w:line="360" w:lineRule="auto"/>
        <w:ind w:firstLine="426"/>
        <w:rPr>
          <w:color w:val="FF0000"/>
        </w:rPr>
      </w:pPr>
      <w:r w:rsidRPr="008B66BC">
        <w:rPr>
          <w:szCs w:val="24"/>
        </w:rPr>
        <w:t>[27]</w:t>
      </w:r>
      <w:r w:rsidRPr="008B66BC">
        <w:rPr>
          <w:szCs w:val="24"/>
        </w:rPr>
        <w:tab/>
      </w:r>
      <w:r w:rsidR="008B0CAB">
        <w:t>Notably</w:t>
      </w:r>
      <w:r w:rsidR="00D5454E">
        <w:t xml:space="preserve"> </w:t>
      </w:r>
      <w:r w:rsidR="008B66BC">
        <w:t>the Appellant’s attorney</w:t>
      </w:r>
      <w:r w:rsidR="00D5454E">
        <w:t xml:space="preserve"> </w:t>
      </w:r>
      <w:r w:rsidR="008E4F24">
        <w:t>in the July letter</w:t>
      </w:r>
      <w:r w:rsidR="008B66BC">
        <w:t xml:space="preserve"> </w:t>
      </w:r>
      <w:r w:rsidR="00F43A25">
        <w:t xml:space="preserve">and </w:t>
      </w:r>
      <w:r w:rsidR="005F5E5D">
        <w:t>at paragraph 6</w:t>
      </w:r>
      <w:r w:rsidR="008B66BC">
        <w:t xml:space="preserve"> states that</w:t>
      </w:r>
      <w:r w:rsidR="00DF1BC7">
        <w:t>:</w:t>
      </w:r>
      <w:r w:rsidR="005F5E5D">
        <w:t xml:space="preserve"> “</w:t>
      </w:r>
      <w:r w:rsidR="005F5E5D" w:rsidRPr="000A5B65">
        <w:rPr>
          <w:i/>
          <w:iCs/>
        </w:rPr>
        <w:t xml:space="preserve">We will, obviously, pursue an application for sequestration of the </w:t>
      </w:r>
      <w:r w:rsidR="005F5E5D" w:rsidRPr="000A5B65">
        <w:rPr>
          <w:i/>
          <w:iCs/>
        </w:rPr>
        <w:lastRenderedPageBreak/>
        <w:t>association should we be instructed to do so</w:t>
      </w:r>
      <w:r w:rsidR="00DF1BC7" w:rsidRPr="00DF1BC7">
        <w:t>”</w:t>
      </w:r>
      <w:r w:rsidR="004C65F8" w:rsidRPr="00DF1BC7">
        <w:t xml:space="preserve">. </w:t>
      </w:r>
      <w:r w:rsidR="00F43A25">
        <w:t>A further</w:t>
      </w:r>
      <w:r w:rsidR="008B66BC">
        <w:t xml:space="preserve"> </w:t>
      </w:r>
      <w:r w:rsidR="00BF521D">
        <w:t xml:space="preserve">warning </w:t>
      </w:r>
      <w:r w:rsidR="00E14852">
        <w:t>given</w:t>
      </w:r>
      <w:r w:rsidR="00F43A25">
        <w:t xml:space="preserve"> </w:t>
      </w:r>
      <w:r w:rsidR="00BF521D">
        <w:t>without a</w:t>
      </w:r>
      <w:r w:rsidR="007B41F3">
        <w:t>n expressed</w:t>
      </w:r>
      <w:r w:rsidR="00BF521D">
        <w:t xml:space="preserve"> mandate</w:t>
      </w:r>
      <w:r w:rsidR="007B41F3">
        <w:t xml:space="preserve"> at that time</w:t>
      </w:r>
      <w:r w:rsidR="00F43A25">
        <w:t xml:space="preserve"> to do </w:t>
      </w:r>
      <w:r w:rsidR="003E0FB3">
        <w:t>so.</w:t>
      </w:r>
      <w:r w:rsidR="00BF521D">
        <w:t xml:space="preserve"> </w:t>
      </w:r>
    </w:p>
    <w:p w14:paraId="1F597D0B" w14:textId="77777777" w:rsidR="00377118" w:rsidRDefault="00377118" w:rsidP="00515C06">
      <w:pPr>
        <w:pStyle w:val="WestPleadingpara1"/>
        <w:numPr>
          <w:ilvl w:val="0"/>
          <w:numId w:val="0"/>
        </w:numPr>
        <w:spacing w:line="360" w:lineRule="auto"/>
        <w:ind w:firstLine="426"/>
      </w:pPr>
    </w:p>
    <w:p w14:paraId="6C8A4ADC" w14:textId="35978AD1" w:rsidR="00B71C6D" w:rsidRDefault="006A2D18" w:rsidP="006A2D18">
      <w:pPr>
        <w:pStyle w:val="WestPleadingpara1"/>
        <w:numPr>
          <w:ilvl w:val="0"/>
          <w:numId w:val="0"/>
        </w:numPr>
        <w:spacing w:line="360" w:lineRule="auto"/>
        <w:ind w:firstLine="426"/>
      </w:pPr>
      <w:r>
        <w:rPr>
          <w:szCs w:val="24"/>
        </w:rPr>
        <w:t>[28]</w:t>
      </w:r>
      <w:r>
        <w:rPr>
          <w:szCs w:val="24"/>
        </w:rPr>
        <w:tab/>
      </w:r>
      <w:r w:rsidR="005F5E5D">
        <w:t>On 24 August 2020, a w</w:t>
      </w:r>
      <w:r w:rsidR="00EF6EE7">
        <w:t>rit</w:t>
      </w:r>
      <w:r w:rsidR="005F5E5D">
        <w:t xml:space="preserve"> of execution </w:t>
      </w:r>
      <w:r w:rsidR="00377118">
        <w:t>was</w:t>
      </w:r>
      <w:r w:rsidR="005F5E5D">
        <w:t xml:space="preserve"> issued</w:t>
      </w:r>
      <w:r w:rsidR="00EF6EE7">
        <w:t xml:space="preserve">. </w:t>
      </w:r>
      <w:r w:rsidR="008B0CAB">
        <w:t>T</w:t>
      </w:r>
      <w:r w:rsidR="00EF6EE7">
        <w:t>he Sheriff</w:t>
      </w:r>
      <w:r w:rsidR="00113DEE">
        <w:t>, on 14 September 2020 issued</w:t>
      </w:r>
      <w:r w:rsidR="008B0CAB">
        <w:t xml:space="preserve"> a </w:t>
      </w:r>
      <w:r w:rsidR="008B0CAB" w:rsidRPr="00B71C6D">
        <w:rPr>
          <w:i/>
          <w:iCs/>
        </w:rPr>
        <w:t>nulla bona</w:t>
      </w:r>
      <w:r w:rsidR="00377118">
        <w:t xml:space="preserve"> return</w:t>
      </w:r>
      <w:r w:rsidR="00113DEE">
        <w:t xml:space="preserve">. </w:t>
      </w:r>
      <w:r w:rsidR="00A15CF7">
        <w:t xml:space="preserve">Section </w:t>
      </w:r>
      <w:r w:rsidR="00B71C6D">
        <w:t>345(1)(b)</w:t>
      </w:r>
      <w:r w:rsidR="00E05366">
        <w:t xml:space="preserve"> of </w:t>
      </w:r>
      <w:r w:rsidR="00C03F58">
        <w:t xml:space="preserve">1973 Act </w:t>
      </w:r>
      <w:r w:rsidR="00A15CF7">
        <w:t xml:space="preserve">provides </w:t>
      </w:r>
      <w:r w:rsidR="00C03F58">
        <w:t xml:space="preserve">that the </w:t>
      </w:r>
      <w:r w:rsidR="00B71C6D">
        <w:t xml:space="preserve">Sheriff </w:t>
      </w:r>
      <w:r w:rsidR="00A15CF7">
        <w:t>must state</w:t>
      </w:r>
      <w:r w:rsidR="00B71C6D">
        <w:t xml:space="preserve"> that he/she could not find sufficient disposable property to satisfy the judgment</w:t>
      </w:r>
      <w:r w:rsidR="00DF1BC7">
        <w:t>,</w:t>
      </w:r>
      <w:r w:rsidR="00B71C6D">
        <w:t xml:space="preserve"> </w:t>
      </w:r>
      <w:r w:rsidR="00F43A25">
        <w:t xml:space="preserve">namely, </w:t>
      </w:r>
      <w:r w:rsidR="008B66BC">
        <w:t xml:space="preserve">to satisfy </w:t>
      </w:r>
      <w:r w:rsidR="00B71C6D">
        <w:t>the recoverable taxe</w:t>
      </w:r>
      <w:r w:rsidR="00A15CF7">
        <w:t>d</w:t>
      </w:r>
      <w:r w:rsidR="00B71C6D">
        <w:t xml:space="preserve"> costs </w:t>
      </w:r>
      <w:r w:rsidR="008B66BC">
        <w:t xml:space="preserve">in the amount of </w:t>
      </w:r>
      <w:r w:rsidR="00377118" w:rsidRPr="00443E00">
        <w:rPr>
          <w:color w:val="000000" w:themeColor="text1"/>
          <w:szCs w:val="24"/>
        </w:rPr>
        <w:t>R</w:t>
      </w:r>
      <w:r w:rsidR="008B66BC">
        <w:rPr>
          <w:color w:val="000000" w:themeColor="text1"/>
          <w:szCs w:val="24"/>
        </w:rPr>
        <w:t xml:space="preserve"> </w:t>
      </w:r>
      <w:r w:rsidR="00377118" w:rsidRPr="00443E00">
        <w:rPr>
          <w:color w:val="000000" w:themeColor="text1"/>
          <w:szCs w:val="24"/>
        </w:rPr>
        <w:t>322 794.64</w:t>
      </w:r>
      <w:r w:rsidR="001E6D17">
        <w:t>.</w:t>
      </w:r>
      <w:r w:rsidR="00A15CF7">
        <w:t xml:space="preserve"> </w:t>
      </w:r>
    </w:p>
    <w:p w14:paraId="1066C034" w14:textId="77777777" w:rsidR="00B71C6D" w:rsidRDefault="00B71C6D" w:rsidP="00515C06">
      <w:pPr>
        <w:pStyle w:val="ListParagraph"/>
        <w:spacing w:line="360" w:lineRule="auto"/>
        <w:ind w:left="0" w:firstLine="426"/>
        <w:contextualSpacing w:val="0"/>
      </w:pPr>
    </w:p>
    <w:p w14:paraId="74AF3332" w14:textId="6C989BA2" w:rsidR="00E618CB" w:rsidRDefault="006A2D18" w:rsidP="006A2D18">
      <w:pPr>
        <w:pStyle w:val="WestPleadingpara1"/>
        <w:numPr>
          <w:ilvl w:val="0"/>
          <w:numId w:val="0"/>
        </w:numPr>
        <w:spacing w:line="360" w:lineRule="auto"/>
        <w:ind w:firstLine="426"/>
      </w:pPr>
      <w:r>
        <w:rPr>
          <w:szCs w:val="24"/>
        </w:rPr>
        <w:t>[29]</w:t>
      </w:r>
      <w:r>
        <w:rPr>
          <w:szCs w:val="24"/>
        </w:rPr>
        <w:tab/>
      </w:r>
      <w:r w:rsidR="00A15CF7">
        <w:t>The Respondent’s</w:t>
      </w:r>
      <w:r w:rsidR="008B66BC">
        <w:t xml:space="preserve"> inability</w:t>
      </w:r>
      <w:r w:rsidR="00A15CF7">
        <w:t xml:space="preserve"> to satisfy the the debt, as set out by the Sheriff, remain</w:t>
      </w:r>
      <w:r w:rsidR="008B66BC">
        <w:t>ed</w:t>
      </w:r>
      <w:r w:rsidR="00A15CF7">
        <w:t xml:space="preserve"> un</w:t>
      </w:r>
      <w:r w:rsidR="00377118">
        <w:t>disturbed</w:t>
      </w:r>
      <w:r w:rsidR="00BF521D">
        <w:t xml:space="preserve"> on the papers</w:t>
      </w:r>
      <w:r w:rsidR="00E14852">
        <w:t>,</w:t>
      </w:r>
      <w:r w:rsidR="008B66BC">
        <w:t xml:space="preserve"> this is even having regard to the new evidence. </w:t>
      </w:r>
      <w:r w:rsidR="00090A70">
        <w:t xml:space="preserve">As a matter of fact, Ms JJ De Villiers, the pensioner who, in her capacity as the secretary of the Respondent, stated </w:t>
      </w:r>
      <w:r w:rsidR="00BF521D">
        <w:t>as</w:t>
      </w:r>
      <w:r w:rsidR="00090A70">
        <w:t xml:space="preserve"> much in the answering affidavit. Reading the evidence as a whole</w:t>
      </w:r>
      <w:r w:rsidR="00E618CB">
        <w:t>,</w:t>
      </w:r>
      <w:r w:rsidR="00FF5976">
        <w:t xml:space="preserve"> including the specific paragraphs relied on by the Appellant</w:t>
      </w:r>
      <w:r w:rsidR="008D7FAA">
        <w:t xml:space="preserve"> in the new evidence</w:t>
      </w:r>
      <w:r w:rsidR="00090A70">
        <w:t>, she simply state</w:t>
      </w:r>
      <w:r w:rsidR="00DF1BC7">
        <w:t>d</w:t>
      </w:r>
      <w:r w:rsidR="00090A70">
        <w:t xml:space="preserve"> that the Appellant w</w:t>
      </w:r>
      <w:r w:rsidR="00DF1BC7">
        <w:t>ould</w:t>
      </w:r>
      <w:r w:rsidR="00090A70">
        <w:t xml:space="preserve"> not be in a position to recover its debt by means of winding</w:t>
      </w:r>
      <w:r w:rsidR="00DF1BC7">
        <w:t>-</w:t>
      </w:r>
      <w:r w:rsidR="00090A70">
        <w:t xml:space="preserve">up procedures as the Respondent is an association which does not operate for gain </w:t>
      </w:r>
      <w:r w:rsidR="00FF5976">
        <w:t>nor</w:t>
      </w:r>
      <w:r w:rsidR="00090A70">
        <w:t xml:space="preserve"> possess</w:t>
      </w:r>
      <w:r w:rsidR="00DF1BC7">
        <w:t>es</w:t>
      </w:r>
      <w:r w:rsidR="00090A70">
        <w:t xml:space="preserve"> assets of value</w:t>
      </w:r>
      <w:r w:rsidR="00FF5976">
        <w:t xml:space="preserve"> </w:t>
      </w:r>
      <w:r w:rsidR="00E14852">
        <w:t xml:space="preserve">which could </w:t>
      </w:r>
      <w:r w:rsidR="00FF5976">
        <w:t xml:space="preserve">satisfy </w:t>
      </w:r>
      <w:r w:rsidR="00E618CB">
        <w:t>the</w:t>
      </w:r>
      <w:r w:rsidR="00FF5976">
        <w:t xml:space="preserve"> debt</w:t>
      </w:r>
      <w:r w:rsidR="00090A70">
        <w:t xml:space="preserve">. </w:t>
      </w:r>
    </w:p>
    <w:p w14:paraId="004BEB98" w14:textId="77777777" w:rsidR="00E618CB" w:rsidRDefault="00E618CB" w:rsidP="00E618CB">
      <w:pPr>
        <w:pStyle w:val="ListParagraph"/>
      </w:pPr>
    </w:p>
    <w:p w14:paraId="013A7A3C" w14:textId="07A1FDF7" w:rsidR="008D7FAA" w:rsidRDefault="006A2D18" w:rsidP="006A2D18">
      <w:pPr>
        <w:pStyle w:val="WestPleadingpara1"/>
        <w:numPr>
          <w:ilvl w:val="0"/>
          <w:numId w:val="0"/>
        </w:numPr>
        <w:spacing w:line="360" w:lineRule="auto"/>
        <w:ind w:firstLine="426"/>
      </w:pPr>
      <w:r>
        <w:rPr>
          <w:szCs w:val="24"/>
        </w:rPr>
        <w:t>[30]</w:t>
      </w:r>
      <w:r>
        <w:rPr>
          <w:szCs w:val="24"/>
        </w:rPr>
        <w:tab/>
      </w:r>
      <w:r w:rsidR="00090A70">
        <w:t xml:space="preserve">The new evidence </w:t>
      </w:r>
      <w:r w:rsidR="008D7FAA">
        <w:t>referred to,</w:t>
      </w:r>
      <w:r w:rsidR="00FF5976">
        <w:t xml:space="preserve"> arose as a result of an email which indicated that as at 31 October 2022 the Respondent still had R50 000</w:t>
      </w:r>
      <w:r w:rsidR="00DF1BC7">
        <w:t>.00</w:t>
      </w:r>
      <w:r w:rsidR="00FF5976">
        <w:t xml:space="preserve"> in its bank account</w:t>
      </w:r>
      <w:r w:rsidR="00E618CB">
        <w:t>. The Appellant argued</w:t>
      </w:r>
      <w:r w:rsidR="001B1292">
        <w:t xml:space="preserve">, </w:t>
      </w:r>
      <w:r w:rsidR="001B1292" w:rsidRPr="001B1292">
        <w:rPr>
          <w:i/>
          <w:iCs/>
        </w:rPr>
        <w:t>inter alia</w:t>
      </w:r>
      <w:r w:rsidR="001B1292">
        <w:t>,</w:t>
      </w:r>
      <w:r w:rsidR="00E618CB">
        <w:t xml:space="preserve"> that this</w:t>
      </w:r>
      <w:r w:rsidR="00FF5976">
        <w:t xml:space="preserve"> </w:t>
      </w:r>
      <w:r w:rsidR="00E618CB">
        <w:t xml:space="preserve">email, </w:t>
      </w:r>
      <w:r w:rsidR="00FF5976">
        <w:t>illustrat</w:t>
      </w:r>
      <w:r w:rsidR="00E618CB">
        <w:t>ed</w:t>
      </w:r>
      <w:r w:rsidR="006F7031">
        <w:t xml:space="preserve"> that</w:t>
      </w:r>
      <w:r w:rsidR="00FF5976">
        <w:t xml:space="preserve"> </w:t>
      </w:r>
      <w:r w:rsidR="008D7FAA">
        <w:t>the Respondent’s</w:t>
      </w:r>
      <w:r w:rsidR="005C12B7">
        <w:t xml:space="preserve"> </w:t>
      </w:r>
      <w:r w:rsidR="008D7FAA">
        <w:t xml:space="preserve">allegations in its answering affidavit </w:t>
      </w:r>
      <w:r w:rsidR="001B1292">
        <w:t xml:space="preserve">to the affect </w:t>
      </w:r>
      <w:r w:rsidR="008D7FAA">
        <w:t>that</w:t>
      </w:r>
      <w:r w:rsidR="00E618CB">
        <w:t xml:space="preserve">, </w:t>
      </w:r>
      <w:r w:rsidR="008D7FAA">
        <w:t xml:space="preserve">it </w:t>
      </w:r>
      <w:r w:rsidR="00FF5976">
        <w:t>possess</w:t>
      </w:r>
      <w:r w:rsidR="008D7FAA">
        <w:t>ed no</w:t>
      </w:r>
      <w:r w:rsidR="00FF5976">
        <w:t xml:space="preserve"> assets</w:t>
      </w:r>
      <w:r w:rsidR="008D7FAA">
        <w:t xml:space="preserve">, </w:t>
      </w:r>
      <w:r w:rsidR="00E618CB">
        <w:t>w</w:t>
      </w:r>
      <w:r w:rsidR="001B1292">
        <w:t xml:space="preserve">as </w:t>
      </w:r>
      <w:r w:rsidR="003E0FB3">
        <w:t>untrue</w:t>
      </w:r>
      <w:r w:rsidR="00E618CB">
        <w:t>. A fact it wished to highlight by re-opening the case moving for a punitive cost order against the author of the e-mail, the Chairperson of the Respondent, a Senior Counsel of this Division. An unfortunate event as, at</w:t>
      </w:r>
      <w:r w:rsidR="00090A70">
        <w:t xml:space="preserve"> </w:t>
      </w:r>
      <w:r w:rsidR="00FF5976">
        <w:t>b</w:t>
      </w:r>
      <w:r w:rsidR="00090A70">
        <w:t>est,</w:t>
      </w:r>
      <w:r w:rsidR="008D7FAA">
        <w:t xml:space="preserve"> </w:t>
      </w:r>
      <w:r w:rsidR="00E618CB">
        <w:t xml:space="preserve">the new evidence was </w:t>
      </w:r>
      <w:r w:rsidR="00090A70">
        <w:t>a neutral factor</w:t>
      </w:r>
      <w:r w:rsidR="008D7FAA">
        <w:t xml:space="preserve"> for the reasons already explained</w:t>
      </w:r>
      <w:r w:rsidR="00E618CB">
        <w:t xml:space="preserve"> and one which did not advance the Appellant’s </w:t>
      </w:r>
      <w:r w:rsidR="00F43A25">
        <w:t>case, the Respondent could still not pay the debt.</w:t>
      </w:r>
      <w:r w:rsidR="006F7031">
        <w:t xml:space="preserve"> </w:t>
      </w:r>
      <w:r w:rsidR="0023798D">
        <w:t xml:space="preserve">Conversely </w:t>
      </w:r>
      <w:r w:rsidR="006F7031">
        <w:t xml:space="preserve">it is </w:t>
      </w:r>
      <w:r w:rsidR="0023798D">
        <w:t>an illustration of its own motive</w:t>
      </w:r>
      <w:r w:rsidR="001B1292">
        <w:t xml:space="preserve"> and purpose.</w:t>
      </w:r>
    </w:p>
    <w:p w14:paraId="08128A86" w14:textId="77777777" w:rsidR="00377118" w:rsidRDefault="00377118" w:rsidP="0023798D">
      <w:pPr>
        <w:pStyle w:val="WestPleadingpara1"/>
        <w:numPr>
          <w:ilvl w:val="0"/>
          <w:numId w:val="0"/>
        </w:numPr>
        <w:spacing w:line="360" w:lineRule="auto"/>
      </w:pPr>
    </w:p>
    <w:p w14:paraId="450623D2" w14:textId="0F06817B" w:rsidR="00472517" w:rsidRDefault="006A2D18" w:rsidP="006A2D18">
      <w:pPr>
        <w:pStyle w:val="WestPleadingpara1"/>
        <w:numPr>
          <w:ilvl w:val="0"/>
          <w:numId w:val="0"/>
        </w:numPr>
        <w:spacing w:line="360" w:lineRule="auto"/>
        <w:ind w:firstLine="426"/>
      </w:pPr>
      <w:r>
        <w:rPr>
          <w:szCs w:val="24"/>
        </w:rPr>
        <w:t>[31]</w:t>
      </w:r>
      <w:r>
        <w:rPr>
          <w:szCs w:val="24"/>
        </w:rPr>
        <w:tab/>
      </w:r>
      <w:r w:rsidR="008D7FAA">
        <w:t>So w</w:t>
      </w:r>
      <w:r w:rsidR="00FF5976">
        <w:t>hat was the motive if the evidence did not advance the Appellant’s</w:t>
      </w:r>
      <w:r w:rsidR="008D7FAA">
        <w:t xml:space="preserve"> main application?</w:t>
      </w:r>
      <w:r w:rsidR="00FF5976">
        <w:t xml:space="preserve"> </w:t>
      </w:r>
      <w:r w:rsidR="003808EA">
        <w:t xml:space="preserve">The </w:t>
      </w:r>
      <w:r w:rsidR="00830282">
        <w:t xml:space="preserve">motive appears to </w:t>
      </w:r>
      <w:r w:rsidR="008D7FAA">
        <w:t>be an attempt to</w:t>
      </w:r>
      <w:r w:rsidR="00FF5976">
        <w:t xml:space="preserve"> </w:t>
      </w:r>
      <w:r w:rsidR="00377118">
        <w:t>introduce the common law principle of the doctrine of unclean hands</w:t>
      </w:r>
      <w:r w:rsidR="001B1292">
        <w:t>. The</w:t>
      </w:r>
      <w:r w:rsidR="0023798D">
        <w:t xml:space="preserve"> Appellant’s Counsel </w:t>
      </w:r>
      <w:r w:rsidR="001B1292">
        <w:t>advanced it in</w:t>
      </w:r>
      <w:r w:rsidR="0023798D">
        <w:t xml:space="preserve"> argument.</w:t>
      </w:r>
    </w:p>
    <w:p w14:paraId="12853AB5" w14:textId="77777777" w:rsidR="00D5454E" w:rsidRDefault="00D5454E" w:rsidP="00515C06">
      <w:pPr>
        <w:pStyle w:val="WestPleadingpara1"/>
        <w:numPr>
          <w:ilvl w:val="0"/>
          <w:numId w:val="0"/>
        </w:numPr>
        <w:spacing w:line="360" w:lineRule="auto"/>
        <w:ind w:firstLine="426"/>
      </w:pPr>
    </w:p>
    <w:p w14:paraId="0EB09AE9" w14:textId="7924ACCF" w:rsidR="000A1D24" w:rsidRDefault="006A2D18" w:rsidP="006A2D18">
      <w:pPr>
        <w:pStyle w:val="WestPleadingpara1"/>
        <w:numPr>
          <w:ilvl w:val="0"/>
          <w:numId w:val="0"/>
        </w:numPr>
        <w:spacing w:line="360" w:lineRule="auto"/>
        <w:ind w:firstLine="426"/>
      </w:pPr>
      <w:r>
        <w:rPr>
          <w:szCs w:val="24"/>
        </w:rPr>
        <w:t>[32]</w:t>
      </w:r>
      <w:r>
        <w:rPr>
          <w:szCs w:val="24"/>
        </w:rPr>
        <w:tab/>
      </w:r>
      <w:r w:rsidR="00472517">
        <w:t xml:space="preserve">The doctrine of unclean hands </w:t>
      </w:r>
      <w:r w:rsidR="0078256C">
        <w:t xml:space="preserve">means that a party seeking relief </w:t>
      </w:r>
      <w:r w:rsidR="00CC06E6">
        <w:t>cannot</w:t>
      </w:r>
      <w:r w:rsidR="0078256C">
        <w:t xml:space="preserve"> have acted unethically or unjust in its own matter.</w:t>
      </w:r>
      <w:r w:rsidR="00472517">
        <w:t xml:space="preserve"> The Chai</w:t>
      </w:r>
      <w:r w:rsidR="005C12B7">
        <w:t xml:space="preserve">rperson’s email hardly  illustrates that the Respondent was untruthful </w:t>
      </w:r>
      <w:r w:rsidR="00D5454E">
        <w:t>in its answer when it stated</w:t>
      </w:r>
      <w:r w:rsidR="0023798D">
        <w:t xml:space="preserve"> that</w:t>
      </w:r>
      <w:r w:rsidR="001B1292">
        <w:t xml:space="preserve"> it,</w:t>
      </w:r>
      <w:r w:rsidR="0023798D">
        <w:t xml:space="preserve"> at that</w:t>
      </w:r>
      <w:r w:rsidR="00D5454E">
        <w:t xml:space="preserve"> time</w:t>
      </w:r>
      <w:r w:rsidR="0023798D">
        <w:t>,</w:t>
      </w:r>
      <w:r w:rsidR="00D5454E">
        <w:t xml:space="preserve"> </w:t>
      </w:r>
      <w:r w:rsidR="005C12B7">
        <w:t xml:space="preserve">did not have assets of value to satisfy the </w:t>
      </w:r>
      <w:r w:rsidR="00E618CB">
        <w:t xml:space="preserve">amount of </w:t>
      </w:r>
      <w:r w:rsidR="00E618CB" w:rsidRPr="00E618CB">
        <w:rPr>
          <w:color w:val="000000" w:themeColor="text1"/>
          <w:szCs w:val="24"/>
        </w:rPr>
        <w:t>R 322 794.64</w:t>
      </w:r>
      <w:r w:rsidR="001B1292">
        <w:rPr>
          <w:color w:val="000000" w:themeColor="text1"/>
          <w:szCs w:val="24"/>
        </w:rPr>
        <w:t xml:space="preserve"> this is having regard to the R 50 000. </w:t>
      </w:r>
      <w:r w:rsidR="0023798D">
        <w:t>A fact which remained undisturbed in October 2022. T</w:t>
      </w:r>
      <w:r w:rsidR="005C12B7">
        <w:t xml:space="preserve">he </w:t>
      </w:r>
      <w:r w:rsidR="005F5E48">
        <w:t xml:space="preserve">necessity to introduce the doctrine of unclean hands, the manner </w:t>
      </w:r>
      <w:r w:rsidR="00E618CB">
        <w:t>of its introduction</w:t>
      </w:r>
      <w:r w:rsidR="005F5E48">
        <w:t xml:space="preserve"> and the call for a punitive cost order are themselves </w:t>
      </w:r>
      <w:r w:rsidR="0078256C">
        <w:t>f</w:t>
      </w:r>
      <w:r w:rsidR="005C12B7">
        <w:t>actors for consideration.</w:t>
      </w:r>
      <w:r w:rsidR="005F5E48">
        <w:t xml:space="preserve"> </w:t>
      </w:r>
    </w:p>
    <w:p w14:paraId="1043B3A8" w14:textId="77777777" w:rsidR="00E618CB" w:rsidRDefault="00E618CB" w:rsidP="00DF0366">
      <w:pPr>
        <w:pStyle w:val="WestPleadingpara1"/>
        <w:numPr>
          <w:ilvl w:val="0"/>
          <w:numId w:val="0"/>
        </w:numPr>
        <w:spacing w:line="360" w:lineRule="auto"/>
      </w:pPr>
    </w:p>
    <w:p w14:paraId="472C6F24" w14:textId="3871347F" w:rsidR="000A1D24" w:rsidRPr="000A1D24" w:rsidRDefault="001B1292" w:rsidP="00515C06">
      <w:pPr>
        <w:pStyle w:val="WestPleadingpara1"/>
        <w:numPr>
          <w:ilvl w:val="0"/>
          <w:numId w:val="0"/>
        </w:numPr>
        <w:spacing w:line="360" w:lineRule="auto"/>
        <w:rPr>
          <w:b/>
          <w:bCs/>
          <w:u w:val="single"/>
        </w:rPr>
      </w:pPr>
      <w:r>
        <w:rPr>
          <w:b/>
          <w:bCs/>
          <w:u w:val="single"/>
        </w:rPr>
        <w:t xml:space="preserve">VALUATION OF THE </w:t>
      </w:r>
      <w:r w:rsidR="0023798D">
        <w:rPr>
          <w:b/>
          <w:bCs/>
          <w:u w:val="single"/>
        </w:rPr>
        <w:t xml:space="preserve">EVIDENCE </w:t>
      </w:r>
    </w:p>
    <w:p w14:paraId="5D88B813" w14:textId="77777777" w:rsidR="000A1D24" w:rsidRDefault="000A1D24" w:rsidP="00515C06">
      <w:pPr>
        <w:pStyle w:val="ListParagraph"/>
        <w:spacing w:line="360" w:lineRule="auto"/>
        <w:contextualSpacing w:val="0"/>
      </w:pPr>
    </w:p>
    <w:p w14:paraId="5AD32D01" w14:textId="61CC63FC" w:rsidR="00805999" w:rsidRDefault="006A2D18" w:rsidP="006A2D18">
      <w:pPr>
        <w:pStyle w:val="WestPleadingpara1"/>
        <w:numPr>
          <w:ilvl w:val="0"/>
          <w:numId w:val="0"/>
        </w:numPr>
        <w:spacing w:line="360" w:lineRule="auto"/>
        <w:ind w:firstLine="357"/>
      </w:pPr>
      <w:r>
        <w:rPr>
          <w:szCs w:val="24"/>
        </w:rPr>
        <w:t>[33]</w:t>
      </w:r>
      <w:r>
        <w:rPr>
          <w:szCs w:val="24"/>
        </w:rPr>
        <w:tab/>
      </w:r>
      <w:r w:rsidR="00DF0366">
        <w:t xml:space="preserve">In considering the </w:t>
      </w:r>
      <w:r w:rsidR="00805999">
        <w:t xml:space="preserve">Appellants </w:t>
      </w:r>
      <w:r w:rsidR="00AA4C55">
        <w:t xml:space="preserve">argument </w:t>
      </w:r>
      <w:r w:rsidR="00805999">
        <w:t xml:space="preserve">of </w:t>
      </w:r>
      <w:r w:rsidR="006F7031">
        <w:t xml:space="preserve">an apparent </w:t>
      </w:r>
      <w:r w:rsidR="00805999">
        <w:t>disconnect</w:t>
      </w:r>
      <w:r w:rsidR="00DF0366">
        <w:t xml:space="preserve"> </w:t>
      </w:r>
      <w:r w:rsidR="006F7031">
        <w:t xml:space="preserve">between the facts and conclusions, </w:t>
      </w:r>
      <w:r w:rsidR="00DF0366">
        <w:t xml:space="preserve">and lack of factual foundation </w:t>
      </w:r>
      <w:r w:rsidR="006F7031">
        <w:t xml:space="preserve">from which </w:t>
      </w:r>
      <w:r w:rsidR="00AA4C55">
        <w:t xml:space="preserve">the Court </w:t>
      </w:r>
      <w:r w:rsidR="00AA4C55" w:rsidRPr="0023798D">
        <w:rPr>
          <w:i/>
          <w:iCs/>
        </w:rPr>
        <w:t>a quo’s</w:t>
      </w:r>
      <w:r w:rsidR="00AA4C55">
        <w:t xml:space="preserve"> </w:t>
      </w:r>
      <w:r w:rsidR="006F7031">
        <w:t xml:space="preserve">could exercise its </w:t>
      </w:r>
      <w:r w:rsidR="00AA4C55">
        <w:t xml:space="preserve">discretion, </w:t>
      </w:r>
      <w:r w:rsidR="00DF0366">
        <w:t xml:space="preserve">this Court turns to the evidence. </w:t>
      </w:r>
    </w:p>
    <w:p w14:paraId="1421F34A" w14:textId="77777777" w:rsidR="00CF6406" w:rsidRDefault="00CF6406" w:rsidP="00CF6406">
      <w:pPr>
        <w:pStyle w:val="WestPleadingpara1"/>
        <w:numPr>
          <w:ilvl w:val="0"/>
          <w:numId w:val="0"/>
        </w:numPr>
        <w:spacing w:line="360" w:lineRule="auto"/>
        <w:ind w:left="357"/>
      </w:pPr>
    </w:p>
    <w:p w14:paraId="7F7CFAC1" w14:textId="395A8C7D" w:rsidR="00DF0366" w:rsidRDefault="006A2D18" w:rsidP="006A2D18">
      <w:pPr>
        <w:pStyle w:val="WestPleadingpara1"/>
        <w:numPr>
          <w:ilvl w:val="0"/>
          <w:numId w:val="0"/>
        </w:numPr>
        <w:spacing w:line="360" w:lineRule="auto"/>
        <w:ind w:firstLine="357"/>
      </w:pPr>
      <w:r>
        <w:rPr>
          <w:szCs w:val="24"/>
        </w:rPr>
        <w:t>[34]</w:t>
      </w:r>
      <w:r>
        <w:rPr>
          <w:szCs w:val="24"/>
        </w:rPr>
        <w:tab/>
      </w:r>
      <w:r w:rsidR="00AA4C55">
        <w:t>T</w:t>
      </w:r>
      <w:r w:rsidR="00DF0366">
        <w:t xml:space="preserve">he </w:t>
      </w:r>
      <w:r w:rsidR="00AA4C55">
        <w:t xml:space="preserve">thrust of the </w:t>
      </w:r>
      <w:r w:rsidR="00DF0366">
        <w:t>Respondent</w:t>
      </w:r>
      <w:r w:rsidR="00AA4C55">
        <w:t xml:space="preserve">’s </w:t>
      </w:r>
      <w:r w:rsidR="0023798D">
        <w:t xml:space="preserve">case </w:t>
      </w:r>
      <w:r w:rsidR="006F7031">
        <w:t>is that</w:t>
      </w:r>
      <w:r w:rsidR="001B1292">
        <w:t xml:space="preserve"> the actions </w:t>
      </w:r>
      <w:r w:rsidR="00AA4C55">
        <w:t xml:space="preserve">employed by the Appellant </w:t>
      </w:r>
      <w:r w:rsidR="006F7031">
        <w:t xml:space="preserve">is </w:t>
      </w:r>
      <w:r w:rsidR="00AA4C55">
        <w:t xml:space="preserve">to intimate </w:t>
      </w:r>
      <w:r w:rsidR="0023798D">
        <w:t>and deter them from their objectives</w:t>
      </w:r>
      <w:r w:rsidR="006F7031">
        <w:t>. These actions it advances,</w:t>
      </w:r>
      <w:r w:rsidR="001B1292">
        <w:t xml:space="preserve"> demonstrat</w:t>
      </w:r>
      <w:r w:rsidR="006F7031">
        <w:t>es</w:t>
      </w:r>
      <w:r w:rsidR="001B1292">
        <w:t xml:space="preserve"> a motive other than the </w:t>
      </w:r>
      <w:r w:rsidR="001B1292" w:rsidRPr="00CF6406">
        <w:rPr>
          <w:i/>
          <w:iCs/>
        </w:rPr>
        <w:t>bona fide</w:t>
      </w:r>
      <w:r w:rsidR="001B1292">
        <w:t xml:space="preserve"> bringing about of their liquidation. T</w:t>
      </w:r>
      <w:r w:rsidR="0023798D">
        <w:t xml:space="preserve">he trigger event, </w:t>
      </w:r>
      <w:r w:rsidR="001B1292">
        <w:t>the</w:t>
      </w:r>
      <w:r w:rsidR="0023798D">
        <w:t xml:space="preserve"> </w:t>
      </w:r>
      <w:r w:rsidR="00CF6406">
        <w:t xml:space="preserve">possibility of yet another </w:t>
      </w:r>
      <w:r w:rsidR="00DF0366">
        <w:t>objection</w:t>
      </w:r>
      <w:r w:rsidR="00CF6406">
        <w:t xml:space="preserve"> </w:t>
      </w:r>
      <w:r w:rsidR="006F7031">
        <w:t xml:space="preserve">which could </w:t>
      </w:r>
      <w:r w:rsidR="00CF6406">
        <w:t>caus</w:t>
      </w:r>
      <w:r w:rsidR="006F7031">
        <w:t>e</w:t>
      </w:r>
      <w:r w:rsidR="00CF6406">
        <w:t xml:space="preserve"> another delay</w:t>
      </w:r>
      <w:r w:rsidR="00AA4C55">
        <w:t xml:space="preserve">. </w:t>
      </w:r>
      <w:r w:rsidR="00DF0366">
        <w:t>I</w:t>
      </w:r>
      <w:r w:rsidR="00041DB9">
        <w:t>n so doing</w:t>
      </w:r>
      <w:r w:rsidR="00CF6406">
        <w:t>,</w:t>
      </w:r>
      <w:r w:rsidR="00041DB9">
        <w:t xml:space="preserve"> </w:t>
      </w:r>
      <w:r w:rsidR="00AA4C55">
        <w:t xml:space="preserve">the </w:t>
      </w:r>
      <w:r w:rsidR="0023798D">
        <w:t>R</w:t>
      </w:r>
      <w:r w:rsidR="00AA4C55">
        <w:t xml:space="preserve">espondent </w:t>
      </w:r>
      <w:r w:rsidR="001B1292">
        <w:t>in their answering affidavit, f</w:t>
      </w:r>
      <w:r w:rsidR="00AA4C55">
        <w:t>rom</w:t>
      </w:r>
      <w:r w:rsidR="00DF0366">
        <w:t xml:space="preserve"> paragraphs 2-23</w:t>
      </w:r>
      <w:r w:rsidR="001B1292">
        <w:t xml:space="preserve">, </w:t>
      </w:r>
      <w:r w:rsidR="00EA28A4">
        <w:t xml:space="preserve">set out the </w:t>
      </w:r>
      <w:r w:rsidR="006F7031">
        <w:t>Appellant’s actions and r</w:t>
      </w:r>
      <w:r w:rsidR="00EA28A4">
        <w:t>eason</w:t>
      </w:r>
      <w:r w:rsidR="00AA4C55">
        <w:t>s</w:t>
      </w:r>
      <w:r w:rsidR="00EA28A4">
        <w:t xml:space="preserve"> </w:t>
      </w:r>
      <w:r w:rsidR="00CF6406">
        <w:t>upon which they rel</w:t>
      </w:r>
      <w:r w:rsidR="006F7031">
        <w:t>ied</w:t>
      </w:r>
      <w:r w:rsidR="00CF6406">
        <w:t xml:space="preserve">. </w:t>
      </w:r>
    </w:p>
    <w:p w14:paraId="015593AA" w14:textId="77777777" w:rsidR="00CF6406" w:rsidRDefault="00CF6406" w:rsidP="00067065">
      <w:pPr>
        <w:pStyle w:val="WestPleadingpara1"/>
        <w:numPr>
          <w:ilvl w:val="0"/>
          <w:numId w:val="0"/>
        </w:numPr>
        <w:spacing w:line="360" w:lineRule="auto"/>
      </w:pPr>
    </w:p>
    <w:p w14:paraId="15338501" w14:textId="12574764" w:rsidR="00DF0366" w:rsidRPr="00EA28A4" w:rsidRDefault="006A2D18" w:rsidP="006A2D18">
      <w:pPr>
        <w:pStyle w:val="WestPleadingpara1"/>
        <w:numPr>
          <w:ilvl w:val="0"/>
          <w:numId w:val="0"/>
        </w:numPr>
        <w:spacing w:line="360" w:lineRule="auto"/>
        <w:ind w:firstLine="357"/>
      </w:pPr>
      <w:r w:rsidRPr="00EA28A4">
        <w:rPr>
          <w:szCs w:val="24"/>
        </w:rPr>
        <w:t>[35]</w:t>
      </w:r>
      <w:r w:rsidRPr="00EA28A4">
        <w:rPr>
          <w:szCs w:val="24"/>
        </w:rPr>
        <w:tab/>
      </w:r>
      <w:r w:rsidR="00DF0366">
        <w:t>The Appellant</w:t>
      </w:r>
      <w:r w:rsidR="00AA4C55">
        <w:t>, instead of explaining the</w:t>
      </w:r>
      <w:r w:rsidR="006F7031">
        <w:t xml:space="preserve">ir actions </w:t>
      </w:r>
      <w:r w:rsidR="00325620">
        <w:t>to demonstrate a contrary conclusion,</w:t>
      </w:r>
      <w:r w:rsidR="006F7031">
        <w:t xml:space="preserve"> </w:t>
      </w:r>
      <w:r w:rsidR="00AA4C55">
        <w:t>simply replied</w:t>
      </w:r>
      <w:r w:rsidR="00DF0366">
        <w:t>: “-</w:t>
      </w:r>
      <w:r w:rsidR="00DF0366" w:rsidRPr="00EA28A4">
        <w:rPr>
          <w:i/>
          <w:iCs/>
        </w:rPr>
        <w:t>paragraphs 2-23 of the answering affidavit do not assist the Respondent in the issues for determination by this Court and the content of those paragraphs are not only</w:t>
      </w:r>
      <w:r w:rsidR="00DF0366">
        <w:t xml:space="preserve"> </w:t>
      </w:r>
      <w:r w:rsidR="00DF0366" w:rsidRPr="00EA28A4">
        <w:rPr>
          <w:i/>
          <w:iCs/>
        </w:rPr>
        <w:t>irrelevant but also denied</w:t>
      </w:r>
      <w:r w:rsidR="00AA4C55">
        <w:rPr>
          <w:i/>
          <w:iCs/>
        </w:rPr>
        <w:t>.</w:t>
      </w:r>
      <w:r w:rsidR="00DF0366" w:rsidRPr="00EA28A4">
        <w:rPr>
          <w:i/>
          <w:iCs/>
        </w:rPr>
        <w:t>”</w:t>
      </w:r>
    </w:p>
    <w:p w14:paraId="40D0BCC6" w14:textId="77777777" w:rsidR="00EA28A4" w:rsidRDefault="00EA28A4" w:rsidP="00EA28A4">
      <w:pPr>
        <w:pStyle w:val="WestPleadingpara1"/>
        <w:numPr>
          <w:ilvl w:val="0"/>
          <w:numId w:val="0"/>
        </w:numPr>
        <w:spacing w:line="360" w:lineRule="auto"/>
      </w:pPr>
    </w:p>
    <w:p w14:paraId="7223E3A4" w14:textId="7A5E650B" w:rsidR="006E384C" w:rsidRDefault="006A2D18" w:rsidP="006A2D18">
      <w:pPr>
        <w:pStyle w:val="WestPleadingpara1"/>
        <w:numPr>
          <w:ilvl w:val="0"/>
          <w:numId w:val="0"/>
        </w:numPr>
        <w:spacing w:line="360" w:lineRule="auto"/>
        <w:ind w:firstLine="357"/>
      </w:pPr>
      <w:r>
        <w:rPr>
          <w:szCs w:val="24"/>
        </w:rPr>
        <w:t>[36]</w:t>
      </w:r>
      <w:r>
        <w:rPr>
          <w:szCs w:val="24"/>
        </w:rPr>
        <w:tab/>
      </w:r>
      <w:r w:rsidR="00DF0366">
        <w:t>Astoundingl</w:t>
      </w:r>
      <w:r w:rsidR="0081046F">
        <w:t>y,</w:t>
      </w:r>
      <w:r w:rsidR="00DF0366">
        <w:t xml:space="preserve"> th</w:t>
      </w:r>
      <w:r w:rsidR="00AA4C55">
        <w:t xml:space="preserve">e bare denial </w:t>
      </w:r>
      <w:r w:rsidR="006F7031">
        <w:t>of</w:t>
      </w:r>
      <w:r w:rsidR="00AE45E4">
        <w:t xml:space="preserve"> </w:t>
      </w:r>
      <w:r w:rsidR="006F7031">
        <w:t xml:space="preserve">material </w:t>
      </w:r>
      <w:r w:rsidR="00AE45E4">
        <w:t xml:space="preserve">facts </w:t>
      </w:r>
      <w:r w:rsidR="00AA4C55">
        <w:t xml:space="preserve">was then </w:t>
      </w:r>
      <w:r w:rsidR="0081046F">
        <w:t>bolstered by</w:t>
      </w:r>
      <w:r w:rsidR="00182074">
        <w:t xml:space="preserve"> asserting </w:t>
      </w:r>
      <w:r w:rsidR="00AA4C55">
        <w:t xml:space="preserve">yet </w:t>
      </w:r>
      <w:r w:rsidR="00DF0366">
        <w:t xml:space="preserve">a further possible threat to the individual members of the Respondent stating </w:t>
      </w:r>
      <w:r w:rsidR="006E384C">
        <w:t xml:space="preserve">in </w:t>
      </w:r>
      <w:r w:rsidR="00DF0366">
        <w:t>paragraphs 9 and 10: “</w:t>
      </w:r>
      <w:r w:rsidR="00DF0366" w:rsidRPr="00182074">
        <w:rPr>
          <w:i/>
          <w:iCs/>
        </w:rPr>
        <w:t xml:space="preserve">Even though the Respondent might not have any money (which Applicant disputes because the Respondent failed to provide a full and frank financial disclosure of its bank statement and financial statement) the </w:t>
      </w:r>
      <w:r w:rsidR="00DF0366" w:rsidRPr="00182074">
        <w:rPr>
          <w:i/>
          <w:iCs/>
          <w:u w:val="single"/>
        </w:rPr>
        <w:lastRenderedPageBreak/>
        <w:t xml:space="preserve">individuals responsible for the dispositions can ultimately </w:t>
      </w:r>
      <w:r w:rsidR="00206136">
        <w:rPr>
          <w:i/>
          <w:iCs/>
          <w:u w:val="single"/>
        </w:rPr>
        <w:t>b</w:t>
      </w:r>
      <w:r w:rsidR="00DF0366" w:rsidRPr="00182074">
        <w:rPr>
          <w:i/>
          <w:iCs/>
          <w:u w:val="single"/>
        </w:rPr>
        <w:t>e held liable in terms of the body of law relating to insolvency. The aforementioned aspect is important since the Respondent appears to be run by a few individuals who seek refuge behind the “legal persona” of the Respondent to avoid personal obligations</w:t>
      </w:r>
      <w:r w:rsidR="003E0FB3" w:rsidRPr="00182074">
        <w:rPr>
          <w:i/>
          <w:iCs/>
        </w:rPr>
        <w:t>”. (</w:t>
      </w:r>
      <w:r w:rsidR="006E384C" w:rsidRPr="00182074">
        <w:rPr>
          <w:i/>
          <w:iCs/>
        </w:rPr>
        <w:t>own-emphasis)</w:t>
      </w:r>
      <w:r w:rsidR="006E384C" w:rsidRPr="00206136">
        <w:rPr>
          <w:i/>
          <w:iCs/>
        </w:rPr>
        <w:t xml:space="preserve">. </w:t>
      </w:r>
      <w:r w:rsidR="00182074" w:rsidRPr="00182074">
        <w:t xml:space="preserve">No real dispute </w:t>
      </w:r>
      <w:r w:rsidR="00AE45E4">
        <w:t xml:space="preserve">of fact </w:t>
      </w:r>
      <w:r w:rsidR="00CF6406">
        <w:t>was r</w:t>
      </w:r>
      <w:r w:rsidR="00182074" w:rsidRPr="00182074">
        <w:t>aised on the papers</w:t>
      </w:r>
      <w:r w:rsidR="00182074">
        <w:t xml:space="preserve"> and the </w:t>
      </w:r>
      <w:r w:rsidR="00AE45E4">
        <w:t xml:space="preserve">relevance of </w:t>
      </w:r>
      <w:r w:rsidR="00CF6406">
        <w:t xml:space="preserve">such </w:t>
      </w:r>
      <w:r w:rsidR="00AE45E4">
        <w:t xml:space="preserve">facts in the determination of the Respondent’s case, </w:t>
      </w:r>
      <w:r w:rsidR="00CF6406">
        <w:t xml:space="preserve">are indeed </w:t>
      </w:r>
      <w:r w:rsidR="00AE45E4">
        <w:t>self-evident</w:t>
      </w:r>
      <w:r w:rsidR="006F7031">
        <w:t xml:space="preserve"> and material.</w:t>
      </w:r>
    </w:p>
    <w:p w14:paraId="42112741" w14:textId="77777777" w:rsidR="00182074" w:rsidRDefault="00182074" w:rsidP="00182074">
      <w:pPr>
        <w:pStyle w:val="WestPleadingpara1"/>
        <w:numPr>
          <w:ilvl w:val="0"/>
          <w:numId w:val="0"/>
        </w:numPr>
        <w:spacing w:line="360" w:lineRule="auto"/>
      </w:pPr>
    </w:p>
    <w:p w14:paraId="64129681" w14:textId="2415FB82" w:rsidR="00AE45E4" w:rsidRDefault="006A2D18" w:rsidP="006A2D18">
      <w:pPr>
        <w:pStyle w:val="WestPleadingpara1"/>
        <w:numPr>
          <w:ilvl w:val="0"/>
          <w:numId w:val="0"/>
        </w:numPr>
        <w:spacing w:line="360" w:lineRule="auto"/>
        <w:ind w:firstLine="357"/>
      </w:pPr>
      <w:r>
        <w:rPr>
          <w:szCs w:val="24"/>
        </w:rPr>
        <w:t>[37]</w:t>
      </w:r>
      <w:r>
        <w:rPr>
          <w:szCs w:val="24"/>
        </w:rPr>
        <w:tab/>
      </w:r>
      <w:r w:rsidR="00182074">
        <w:t>Having regard to the evidence</w:t>
      </w:r>
      <w:r w:rsidR="006F7031">
        <w:t>,</w:t>
      </w:r>
      <w:r w:rsidR="00182074">
        <w:t xml:space="preserve"> little doubt exists that </w:t>
      </w:r>
      <w:r w:rsidR="00CF6406">
        <w:t xml:space="preserve">special and unusual </w:t>
      </w:r>
      <w:r w:rsidR="00182074">
        <w:t xml:space="preserve">circumstances </w:t>
      </w:r>
      <w:r w:rsidR="006F7031">
        <w:t>referred to by Wallis JA</w:t>
      </w:r>
      <w:r w:rsidR="00F22482">
        <w:rPr>
          <w:rStyle w:val="FootnoteReference"/>
        </w:rPr>
        <w:footnoteReference w:id="9"/>
      </w:r>
      <w:r w:rsidR="006F7031">
        <w:t xml:space="preserve"> </w:t>
      </w:r>
      <w:r w:rsidR="00CF6406">
        <w:t xml:space="preserve">exist. </w:t>
      </w:r>
      <w:r w:rsidR="00AE45E4">
        <w:t>The</w:t>
      </w:r>
      <w:r w:rsidR="00182074">
        <w:t xml:space="preserve"> actions </w:t>
      </w:r>
      <w:r w:rsidR="00F22482">
        <w:t xml:space="preserve">taken </w:t>
      </w:r>
      <w:r w:rsidR="00182074">
        <w:t xml:space="preserve">by the Appellant </w:t>
      </w:r>
      <w:r w:rsidR="00F22482">
        <w:t>from</w:t>
      </w:r>
      <w:r w:rsidR="00AE45E4">
        <w:t xml:space="preserve"> the time of its </w:t>
      </w:r>
      <w:r w:rsidR="00F22482">
        <w:t xml:space="preserve">gained </w:t>
      </w:r>
      <w:r w:rsidR="00AE45E4">
        <w:t xml:space="preserve">knowledge in February 2020 </w:t>
      </w:r>
      <w:r w:rsidR="00F22482">
        <w:t xml:space="preserve">of a possible objection </w:t>
      </w:r>
      <w:r w:rsidR="00AE45E4">
        <w:t>to</w:t>
      </w:r>
      <w:r w:rsidR="00325620">
        <w:t>,</w:t>
      </w:r>
      <w:r w:rsidR="00AE45E4">
        <w:t xml:space="preserve"> </w:t>
      </w:r>
      <w:r w:rsidR="00F22482">
        <w:t>when</w:t>
      </w:r>
      <w:r w:rsidR="00AE45E4">
        <w:t xml:space="preserve"> the objection was finally lodged </w:t>
      </w:r>
      <w:r w:rsidR="00CF6406">
        <w:t xml:space="preserve">in 2021 </w:t>
      </w:r>
      <w:r w:rsidR="00F22482">
        <w:t>culminated</w:t>
      </w:r>
      <w:r w:rsidR="00325620">
        <w:t xml:space="preserve">, </w:t>
      </w:r>
      <w:r w:rsidR="00F22482">
        <w:t xml:space="preserve">with the repeated </w:t>
      </w:r>
      <w:r w:rsidR="003E0FB3">
        <w:t xml:space="preserve">warnings </w:t>
      </w:r>
      <w:r w:rsidR="00325620">
        <w:t xml:space="preserve">to the Appellant </w:t>
      </w:r>
      <w:r w:rsidR="003E0FB3">
        <w:t>in</w:t>
      </w:r>
      <w:r w:rsidR="00F22482">
        <w:t xml:space="preserve"> their papers</w:t>
      </w:r>
      <w:r w:rsidR="00325620">
        <w:t xml:space="preserve"> against the Respondent</w:t>
      </w:r>
      <w:r w:rsidR="00F22482">
        <w:t>, its members and Chairperson, all i</w:t>
      </w:r>
      <w:r w:rsidR="00C44C16">
        <w:t>n support of winding-up application</w:t>
      </w:r>
      <w:r w:rsidR="00325620">
        <w:t xml:space="preserve"> </w:t>
      </w:r>
      <w:r w:rsidR="00AE45E4">
        <w:t>demonstrate</w:t>
      </w:r>
      <w:r w:rsidR="004C5CF6">
        <w:t xml:space="preserve"> a</w:t>
      </w:r>
      <w:r w:rsidR="00AE45E4">
        <w:t xml:space="preserve"> </w:t>
      </w:r>
      <w:r w:rsidR="00182074">
        <w:t>predominant</w:t>
      </w:r>
      <w:r w:rsidR="00AE45E4">
        <w:t xml:space="preserve"> motive</w:t>
      </w:r>
      <w:r w:rsidR="00182074">
        <w:t xml:space="preserve"> </w:t>
      </w:r>
      <w:r w:rsidR="00CF6406">
        <w:t xml:space="preserve">and </w:t>
      </w:r>
      <w:r w:rsidR="003E0FB3">
        <w:t xml:space="preserve">purposes </w:t>
      </w:r>
      <w:r w:rsidR="00CF6406">
        <w:t xml:space="preserve">other than a </w:t>
      </w:r>
      <w:r w:rsidR="00CF6406" w:rsidRPr="00C44C16">
        <w:rPr>
          <w:i/>
          <w:iCs/>
        </w:rPr>
        <w:t>bona fide</w:t>
      </w:r>
      <w:r w:rsidR="00CF6406">
        <w:t xml:space="preserve"> bringing about of the Respondent’s liquidation.</w:t>
      </w:r>
      <w:r w:rsidR="00C44C16">
        <w:t xml:space="preserve"> </w:t>
      </w:r>
      <w:r w:rsidR="00F22482">
        <w:t xml:space="preserve">The predominant motive is to oppress and to intimidate the Respondent and its members. The </w:t>
      </w:r>
      <w:r w:rsidR="004C5CF6">
        <w:t xml:space="preserve">Court </w:t>
      </w:r>
      <w:r w:rsidR="004C5CF6" w:rsidRPr="004C5CF6">
        <w:rPr>
          <w:i/>
          <w:iCs/>
        </w:rPr>
        <w:t>a quo</w:t>
      </w:r>
      <w:r w:rsidR="004C5CF6">
        <w:t xml:space="preserve"> correctly found that the </w:t>
      </w:r>
      <w:r w:rsidR="00F22482">
        <w:t xml:space="preserve">winding-up procedure </w:t>
      </w:r>
      <w:r w:rsidR="004C5CF6">
        <w:t xml:space="preserve">was </w:t>
      </w:r>
      <w:r w:rsidR="00F22482">
        <w:t xml:space="preserve">an </w:t>
      </w:r>
      <w:r w:rsidR="00C44C16">
        <w:t>abuse of process.</w:t>
      </w:r>
    </w:p>
    <w:p w14:paraId="714021AE" w14:textId="77777777" w:rsidR="00CF6406" w:rsidRDefault="00CF6406" w:rsidP="00CF6406">
      <w:pPr>
        <w:pStyle w:val="WestPleadingpara1"/>
        <w:numPr>
          <w:ilvl w:val="0"/>
          <w:numId w:val="0"/>
        </w:numPr>
        <w:spacing w:line="360" w:lineRule="auto"/>
      </w:pPr>
    </w:p>
    <w:p w14:paraId="4BFE5CC1" w14:textId="33ADD828" w:rsidR="00AB6C00" w:rsidRDefault="006A2D18" w:rsidP="006A2D18">
      <w:pPr>
        <w:pStyle w:val="WestPleadingpara1"/>
        <w:numPr>
          <w:ilvl w:val="0"/>
          <w:numId w:val="0"/>
        </w:numPr>
        <w:spacing w:line="360" w:lineRule="auto"/>
        <w:ind w:firstLine="357"/>
      </w:pPr>
      <w:r>
        <w:rPr>
          <w:szCs w:val="24"/>
        </w:rPr>
        <w:t>[38]</w:t>
      </w:r>
      <w:r>
        <w:rPr>
          <w:szCs w:val="24"/>
        </w:rPr>
        <w:tab/>
      </w:r>
      <w:r w:rsidR="00C44C16">
        <w:t>Furthermore, the founding</w:t>
      </w:r>
      <w:r w:rsidR="00AE45E4">
        <w:t xml:space="preserve"> papers </w:t>
      </w:r>
      <w:r w:rsidR="00C44C16">
        <w:t xml:space="preserve">in support of compliance </w:t>
      </w:r>
      <w:r w:rsidR="009F76AD">
        <w:t xml:space="preserve">of the </w:t>
      </w:r>
      <w:r w:rsidR="00F22482">
        <w:t>19</w:t>
      </w:r>
      <w:r w:rsidR="009F76AD">
        <w:t xml:space="preserve">73 Act </w:t>
      </w:r>
      <w:r w:rsidR="00C44C16">
        <w:t xml:space="preserve">were not cured in reply by simply requesting </w:t>
      </w:r>
      <w:r w:rsidR="00AB6C00">
        <w:t>to replace the word “sequestration” where it appeared with the phrase “winding-up or sequestration</w:t>
      </w:r>
      <w:r w:rsidR="0032142C">
        <w:t>”.</w:t>
      </w:r>
      <w:r w:rsidR="00AB6C00">
        <w:t xml:space="preserve"> Th</w:t>
      </w:r>
      <w:r w:rsidR="0032142C">
        <w:t>is resulted in a</w:t>
      </w:r>
      <w:r w:rsidR="00AB6C00">
        <w:t xml:space="preserve"> confusing </w:t>
      </w:r>
      <w:r w:rsidR="0032142C">
        <w:t>and careless disconnect between the evidence</w:t>
      </w:r>
      <w:r w:rsidR="00AB6C00">
        <w:t xml:space="preserve"> </w:t>
      </w:r>
      <w:r w:rsidR="0032142C">
        <w:t xml:space="preserve">relied on and the material allegations required to sustain a winding-up order in compliance </w:t>
      </w:r>
      <w:r w:rsidR="00AB6C00">
        <w:t xml:space="preserve">of the </w:t>
      </w:r>
      <w:r w:rsidR="004C5CF6">
        <w:t>19</w:t>
      </w:r>
      <w:r w:rsidR="00AB6C00">
        <w:t xml:space="preserve">73 Act in the </w:t>
      </w:r>
      <w:r w:rsidR="0032142C">
        <w:t>Appellant’s f</w:t>
      </w:r>
      <w:r w:rsidR="00AB6C00">
        <w:t xml:space="preserve">ounding papers. </w:t>
      </w:r>
    </w:p>
    <w:p w14:paraId="71376386" w14:textId="77777777" w:rsidR="00AB6C00" w:rsidRDefault="00AB6C00" w:rsidP="00AB6C00">
      <w:pPr>
        <w:pStyle w:val="WestPleadingpara1"/>
        <w:numPr>
          <w:ilvl w:val="0"/>
          <w:numId w:val="0"/>
        </w:numPr>
        <w:spacing w:line="360" w:lineRule="auto"/>
      </w:pPr>
    </w:p>
    <w:p w14:paraId="2A726D12" w14:textId="3B3D247E" w:rsidR="004068ED" w:rsidRDefault="006A2D18" w:rsidP="006A2D18">
      <w:pPr>
        <w:pStyle w:val="WestPleadingpara1"/>
        <w:numPr>
          <w:ilvl w:val="0"/>
          <w:numId w:val="0"/>
        </w:numPr>
        <w:spacing w:line="360" w:lineRule="auto"/>
        <w:ind w:firstLine="357"/>
      </w:pPr>
      <w:r>
        <w:rPr>
          <w:szCs w:val="24"/>
        </w:rPr>
        <w:t>[39]</w:t>
      </w:r>
      <w:r>
        <w:rPr>
          <w:szCs w:val="24"/>
        </w:rPr>
        <w:tab/>
      </w:r>
      <w:r w:rsidR="00182074">
        <w:t>T</w:t>
      </w:r>
      <w:r w:rsidR="00DF0366">
        <w:t xml:space="preserve">he </w:t>
      </w:r>
      <w:r w:rsidR="0081046F">
        <w:t xml:space="preserve">Court </w:t>
      </w:r>
      <w:r w:rsidR="0081046F" w:rsidRPr="0081046F">
        <w:rPr>
          <w:i/>
          <w:iCs/>
        </w:rPr>
        <w:t>a quo</w:t>
      </w:r>
      <w:r w:rsidR="0081046F">
        <w:t xml:space="preserve"> correctly considered all the </w:t>
      </w:r>
      <w:r w:rsidR="00182074">
        <w:t>evidence, a factual basis existed</w:t>
      </w:r>
      <w:r w:rsidR="009F76AD">
        <w:t xml:space="preserve"> from which it could exercise its discretion and </w:t>
      </w:r>
      <w:r w:rsidR="00182074">
        <w:t xml:space="preserve">no disconnect between the facts and the conclusions drawn </w:t>
      </w:r>
      <w:r w:rsidR="00AB6C00">
        <w:t xml:space="preserve">are </w:t>
      </w:r>
      <w:r w:rsidR="00182074">
        <w:t xml:space="preserve">apparent. </w:t>
      </w:r>
      <w:r w:rsidR="00F51C96">
        <w:t xml:space="preserve">The conclusions drawn </w:t>
      </w:r>
      <w:r w:rsidR="004C5CF6">
        <w:t xml:space="preserve">were </w:t>
      </w:r>
      <w:r w:rsidR="00F51C96">
        <w:t>well founded</w:t>
      </w:r>
      <w:r w:rsidR="004C5CF6">
        <w:t xml:space="preserve"> and reasoned.</w:t>
      </w:r>
    </w:p>
    <w:p w14:paraId="1125E229" w14:textId="77777777" w:rsidR="004C2A3D" w:rsidRDefault="004C2A3D" w:rsidP="00515C06">
      <w:pPr>
        <w:pStyle w:val="ListParagraph"/>
        <w:spacing w:line="360" w:lineRule="auto"/>
        <w:ind w:left="0" w:firstLine="426"/>
        <w:contextualSpacing w:val="0"/>
      </w:pPr>
    </w:p>
    <w:p w14:paraId="20DB716A" w14:textId="61F97CFF" w:rsidR="008B3B2F" w:rsidRDefault="006A2D18" w:rsidP="006A2D18">
      <w:pPr>
        <w:pStyle w:val="WestPleadingpara1"/>
        <w:numPr>
          <w:ilvl w:val="0"/>
          <w:numId w:val="0"/>
        </w:numPr>
        <w:spacing w:line="360" w:lineRule="auto"/>
        <w:ind w:firstLine="426"/>
      </w:pPr>
      <w:r>
        <w:rPr>
          <w:szCs w:val="24"/>
        </w:rPr>
        <w:t>[40]</w:t>
      </w:r>
      <w:r>
        <w:rPr>
          <w:szCs w:val="24"/>
        </w:rPr>
        <w:tab/>
      </w:r>
      <w:r w:rsidR="00F74037">
        <w:t xml:space="preserve">In consequence, </w:t>
      </w:r>
      <w:r w:rsidR="00F51C96">
        <w:t>t</w:t>
      </w:r>
      <w:r w:rsidR="004C2A3D">
        <w:t xml:space="preserve">his Court will not interfere in the exercise </w:t>
      </w:r>
      <w:r w:rsidR="00597605">
        <w:t xml:space="preserve">of the </w:t>
      </w:r>
      <w:r w:rsidR="004C2A3D">
        <w:t xml:space="preserve">Court </w:t>
      </w:r>
      <w:r w:rsidR="004C2A3D" w:rsidRPr="002C0357">
        <w:rPr>
          <w:i/>
          <w:iCs/>
        </w:rPr>
        <w:t>a quo</w:t>
      </w:r>
      <w:r w:rsidR="00597605">
        <w:t>’s</w:t>
      </w:r>
      <w:r w:rsidR="004C2A3D">
        <w:t xml:space="preserve"> </w:t>
      </w:r>
      <w:r w:rsidR="008B3B2F">
        <w:t xml:space="preserve">discretion and </w:t>
      </w:r>
      <w:r w:rsidR="00F51C96">
        <w:t>it follows that t</w:t>
      </w:r>
      <w:r w:rsidR="008B3B2F">
        <w:t>he appeal must fail.</w:t>
      </w:r>
    </w:p>
    <w:p w14:paraId="1D9ABF29" w14:textId="77777777" w:rsidR="008B3B2F" w:rsidRDefault="008B3B2F" w:rsidP="00515C06">
      <w:pPr>
        <w:pStyle w:val="ListParagraph"/>
        <w:spacing w:line="360" w:lineRule="auto"/>
        <w:ind w:left="0" w:firstLine="426"/>
        <w:contextualSpacing w:val="0"/>
      </w:pPr>
    </w:p>
    <w:p w14:paraId="3FACFDCB" w14:textId="32DCF6EC" w:rsidR="008B3B2F" w:rsidRDefault="006A2D18" w:rsidP="006A2D18">
      <w:pPr>
        <w:pStyle w:val="WestPleadingpara1"/>
        <w:numPr>
          <w:ilvl w:val="0"/>
          <w:numId w:val="0"/>
        </w:numPr>
        <w:spacing w:line="360" w:lineRule="auto"/>
        <w:ind w:firstLine="426"/>
      </w:pPr>
      <w:r>
        <w:rPr>
          <w:szCs w:val="24"/>
        </w:rPr>
        <w:t>[41]</w:t>
      </w:r>
      <w:r>
        <w:rPr>
          <w:szCs w:val="24"/>
        </w:rPr>
        <w:tab/>
      </w:r>
      <w:r w:rsidR="008B3B2F">
        <w:t>There appears no reason why the costs should not follow the result.</w:t>
      </w:r>
    </w:p>
    <w:p w14:paraId="7EEDE099" w14:textId="77777777" w:rsidR="008B3B2F" w:rsidRDefault="008B3B2F" w:rsidP="00515C06">
      <w:pPr>
        <w:pStyle w:val="WestPleadingpara1"/>
        <w:numPr>
          <w:ilvl w:val="0"/>
          <w:numId w:val="0"/>
        </w:numPr>
        <w:spacing w:line="360" w:lineRule="auto"/>
        <w:ind w:firstLine="426"/>
      </w:pPr>
    </w:p>
    <w:p w14:paraId="62BD9417" w14:textId="3CDAD9A9" w:rsidR="008B3B2F" w:rsidRDefault="006A2D18" w:rsidP="006A2D18">
      <w:pPr>
        <w:pStyle w:val="WestPleadingpara1"/>
        <w:numPr>
          <w:ilvl w:val="0"/>
          <w:numId w:val="0"/>
        </w:numPr>
        <w:spacing w:line="360" w:lineRule="auto"/>
        <w:ind w:firstLine="426"/>
      </w:pPr>
      <w:r>
        <w:rPr>
          <w:szCs w:val="24"/>
        </w:rPr>
        <w:t>[42]</w:t>
      </w:r>
      <w:r>
        <w:rPr>
          <w:szCs w:val="24"/>
        </w:rPr>
        <w:tab/>
      </w:r>
      <w:r w:rsidR="008B3B2F">
        <w:t>The following order</w:t>
      </w:r>
      <w:r w:rsidR="004C5CF6">
        <w:t xml:space="preserve"> is made</w:t>
      </w:r>
      <w:r w:rsidR="008B3B2F">
        <w:t>:</w:t>
      </w:r>
    </w:p>
    <w:p w14:paraId="1DE70F5F" w14:textId="77777777" w:rsidR="008B3B2F" w:rsidRDefault="008B3B2F" w:rsidP="00515C06">
      <w:pPr>
        <w:pStyle w:val="ListParagraph"/>
        <w:spacing w:line="360" w:lineRule="auto"/>
        <w:contextualSpacing w:val="0"/>
      </w:pPr>
    </w:p>
    <w:p w14:paraId="60A770A2" w14:textId="47199E4D" w:rsidR="000D391C" w:rsidRDefault="006A2D18" w:rsidP="006A2D18">
      <w:pPr>
        <w:pStyle w:val="RetiefPleadingpara1"/>
        <w:tabs>
          <w:tab w:val="left" w:pos="1418"/>
        </w:tabs>
        <w:spacing w:line="360" w:lineRule="auto"/>
        <w:ind w:left="1418" w:hanging="709"/>
      </w:pPr>
      <w:r>
        <w:t>1.</w:t>
      </w:r>
      <w:r>
        <w:tab/>
      </w:r>
      <w:r w:rsidR="00597605">
        <w:t xml:space="preserve">Appeal </w:t>
      </w:r>
      <w:r w:rsidR="00BC345C">
        <w:t xml:space="preserve">is </w:t>
      </w:r>
      <w:r w:rsidR="00597605">
        <w:t>dismissed with costs</w:t>
      </w:r>
      <w:r w:rsidR="00017FB1">
        <w:t>, inclusive of two Counsel.</w:t>
      </w:r>
    </w:p>
    <w:p w14:paraId="0E22EA1A" w14:textId="77777777" w:rsidR="000D391C" w:rsidRDefault="000D391C" w:rsidP="00515C06">
      <w:pPr>
        <w:pStyle w:val="RetiefPleadingpara1"/>
        <w:tabs>
          <w:tab w:val="left" w:pos="851"/>
        </w:tabs>
        <w:spacing w:line="360" w:lineRule="auto"/>
        <w:ind w:left="851"/>
      </w:pPr>
    </w:p>
    <w:p w14:paraId="5BD1BE39" w14:textId="77777777" w:rsidR="00DF0942" w:rsidRDefault="00DF0942" w:rsidP="00515C06">
      <w:pPr>
        <w:pStyle w:val="RetiefPleadingpara1"/>
        <w:tabs>
          <w:tab w:val="left" w:pos="851"/>
        </w:tabs>
        <w:spacing w:line="360" w:lineRule="auto"/>
        <w:ind w:left="851"/>
      </w:pPr>
    </w:p>
    <w:p w14:paraId="5DF2F5E5" w14:textId="77777777" w:rsidR="000D391C" w:rsidRDefault="000D391C" w:rsidP="00515C06">
      <w:pPr>
        <w:pStyle w:val="RetiefPleadingpara1"/>
        <w:tabs>
          <w:tab w:val="left" w:pos="851"/>
        </w:tabs>
        <w:spacing w:line="360" w:lineRule="auto"/>
        <w:ind w:left="851"/>
      </w:pPr>
    </w:p>
    <w:p w14:paraId="666C967F" w14:textId="18459DEB" w:rsidR="003B59B3" w:rsidRDefault="003B59B3" w:rsidP="00515C06">
      <w:pPr>
        <w:pStyle w:val="RetiefPleadingpara1"/>
        <w:tabs>
          <w:tab w:val="left" w:pos="5103"/>
        </w:tabs>
        <w:spacing w:line="360" w:lineRule="auto"/>
        <w:ind w:left="0"/>
      </w:pPr>
      <w:r>
        <w:t xml:space="preserve"> </w:t>
      </w:r>
      <w:r w:rsidR="00781C35">
        <w:tab/>
      </w:r>
      <w:r>
        <w:t>___________________________</w:t>
      </w:r>
    </w:p>
    <w:p w14:paraId="6ED68331" w14:textId="77777777" w:rsidR="003B59B3" w:rsidRDefault="003B59B3" w:rsidP="00515C06">
      <w:pPr>
        <w:tabs>
          <w:tab w:val="left" w:pos="5103"/>
        </w:tabs>
        <w:spacing w:line="360" w:lineRule="auto"/>
        <w:ind w:right="-8"/>
        <w:rPr>
          <w:rFonts w:ascii="Arial" w:hAnsi="Arial" w:cs="Arial"/>
          <w:b/>
          <w:bCs/>
        </w:rPr>
      </w:pPr>
      <w:r>
        <w:rPr>
          <w:rFonts w:ascii="Arial" w:hAnsi="Arial" w:cs="Arial"/>
        </w:rPr>
        <w:tab/>
      </w:r>
      <w:r>
        <w:rPr>
          <w:rFonts w:ascii="Arial" w:hAnsi="Arial" w:cs="Arial"/>
          <w:b/>
          <w:bCs/>
        </w:rPr>
        <w:t>L.A. RETIEF</w:t>
      </w:r>
    </w:p>
    <w:p w14:paraId="3673CEB6" w14:textId="77777777" w:rsidR="003B59B3" w:rsidRDefault="003B59B3" w:rsidP="00515C06">
      <w:pPr>
        <w:tabs>
          <w:tab w:val="left" w:pos="5103"/>
        </w:tabs>
        <w:spacing w:line="360" w:lineRule="auto"/>
        <w:ind w:right="-8"/>
        <w:rPr>
          <w:rFonts w:ascii="Arial" w:hAnsi="Arial" w:cs="Arial"/>
          <w:b/>
          <w:bCs/>
        </w:rPr>
      </w:pPr>
      <w:r>
        <w:rPr>
          <w:rFonts w:ascii="Arial" w:hAnsi="Arial" w:cs="Arial"/>
          <w:b/>
          <w:bCs/>
        </w:rPr>
        <w:tab/>
        <w:t xml:space="preserve">Judge of the High Court </w:t>
      </w:r>
    </w:p>
    <w:p w14:paraId="13CDE2C7" w14:textId="448F5153" w:rsidR="003B59B3" w:rsidRDefault="003B59B3" w:rsidP="00515C06">
      <w:pPr>
        <w:tabs>
          <w:tab w:val="left" w:pos="5103"/>
        </w:tabs>
        <w:spacing w:line="360" w:lineRule="auto"/>
        <w:ind w:right="-8"/>
        <w:rPr>
          <w:rFonts w:ascii="Arial" w:hAnsi="Arial" w:cs="Arial"/>
          <w:b/>
          <w:bCs/>
        </w:rPr>
      </w:pPr>
      <w:r>
        <w:rPr>
          <w:rFonts w:ascii="Arial" w:hAnsi="Arial" w:cs="Arial"/>
          <w:b/>
          <w:bCs/>
        </w:rPr>
        <w:tab/>
        <w:t>Gauteng Division</w:t>
      </w:r>
      <w:r w:rsidR="00154614">
        <w:rPr>
          <w:rFonts w:ascii="Arial" w:hAnsi="Arial" w:cs="Arial"/>
          <w:b/>
          <w:bCs/>
        </w:rPr>
        <w:t>, Pretoria</w:t>
      </w:r>
    </w:p>
    <w:p w14:paraId="0DF7A0D4" w14:textId="77777777" w:rsidR="00F34AA6" w:rsidRDefault="00F34AA6" w:rsidP="00515C06">
      <w:pPr>
        <w:tabs>
          <w:tab w:val="left" w:pos="5103"/>
        </w:tabs>
        <w:spacing w:line="360" w:lineRule="auto"/>
        <w:ind w:right="-8"/>
        <w:rPr>
          <w:rFonts w:ascii="Arial" w:hAnsi="Arial" w:cs="Arial"/>
          <w:b/>
          <w:bCs/>
        </w:rPr>
      </w:pPr>
    </w:p>
    <w:p w14:paraId="3FF9A509" w14:textId="72BD4ACB" w:rsidR="00F34AA6" w:rsidRPr="00F34AA6" w:rsidRDefault="00F34AA6" w:rsidP="00515C06">
      <w:pPr>
        <w:tabs>
          <w:tab w:val="left" w:pos="5103"/>
        </w:tabs>
        <w:spacing w:line="360" w:lineRule="auto"/>
        <w:ind w:right="-8"/>
        <w:rPr>
          <w:rFonts w:ascii="Arial" w:hAnsi="Arial" w:cs="Arial"/>
        </w:rPr>
      </w:pPr>
      <w:r w:rsidRPr="00F34AA6">
        <w:rPr>
          <w:rFonts w:ascii="Arial" w:hAnsi="Arial" w:cs="Arial"/>
        </w:rPr>
        <w:t xml:space="preserve">I agree, </w:t>
      </w:r>
    </w:p>
    <w:p w14:paraId="73B92775" w14:textId="77777777" w:rsidR="00F34AA6" w:rsidRPr="00F34AA6" w:rsidRDefault="00F34AA6" w:rsidP="00515C06">
      <w:pPr>
        <w:tabs>
          <w:tab w:val="left" w:pos="5103"/>
        </w:tabs>
        <w:spacing w:line="360" w:lineRule="auto"/>
        <w:ind w:right="-8"/>
        <w:rPr>
          <w:rFonts w:ascii="Arial" w:hAnsi="Arial" w:cs="Arial"/>
        </w:rPr>
      </w:pPr>
    </w:p>
    <w:p w14:paraId="24F8D429" w14:textId="29FCA02F" w:rsidR="00F34AA6" w:rsidRPr="00F34AA6" w:rsidRDefault="00F34AA6" w:rsidP="00515C06">
      <w:pPr>
        <w:tabs>
          <w:tab w:val="left" w:pos="5103"/>
        </w:tabs>
        <w:spacing w:line="360" w:lineRule="auto"/>
        <w:ind w:right="-8"/>
        <w:rPr>
          <w:rFonts w:ascii="Arial" w:hAnsi="Arial" w:cs="Arial"/>
        </w:rPr>
      </w:pPr>
      <w:r w:rsidRPr="00F34AA6">
        <w:rPr>
          <w:rFonts w:ascii="Arial" w:hAnsi="Arial" w:cs="Arial"/>
        </w:rPr>
        <w:tab/>
        <w:t>___________________________</w:t>
      </w:r>
    </w:p>
    <w:p w14:paraId="3D23290B" w14:textId="5EE13CEC" w:rsidR="00F34AA6" w:rsidRDefault="00F34AA6" w:rsidP="00515C06">
      <w:pPr>
        <w:tabs>
          <w:tab w:val="left" w:pos="5103"/>
        </w:tabs>
        <w:spacing w:line="360" w:lineRule="auto"/>
        <w:ind w:right="-8"/>
        <w:rPr>
          <w:rFonts w:ascii="Arial" w:hAnsi="Arial" w:cs="Arial"/>
          <w:b/>
          <w:bCs/>
          <w:kern w:val="32"/>
        </w:rPr>
      </w:pPr>
      <w:r>
        <w:rPr>
          <w:rFonts w:ascii="Arial" w:hAnsi="Arial" w:cs="Arial"/>
          <w:b/>
          <w:bCs/>
        </w:rPr>
        <w:tab/>
      </w:r>
      <w:r>
        <w:rPr>
          <w:rFonts w:ascii="Arial" w:hAnsi="Arial" w:cs="Arial"/>
          <w:b/>
          <w:bCs/>
          <w:kern w:val="32"/>
        </w:rPr>
        <w:t>NYATHI J</w:t>
      </w:r>
    </w:p>
    <w:p w14:paraId="3164DF86" w14:textId="5BAC368F" w:rsidR="00F34AA6" w:rsidRDefault="00F34AA6" w:rsidP="00515C06">
      <w:pPr>
        <w:tabs>
          <w:tab w:val="left" w:pos="5103"/>
        </w:tabs>
        <w:spacing w:line="360" w:lineRule="auto"/>
        <w:ind w:right="-8"/>
        <w:rPr>
          <w:rFonts w:ascii="Arial" w:hAnsi="Arial" w:cs="Arial"/>
          <w:b/>
          <w:bCs/>
          <w:kern w:val="32"/>
        </w:rPr>
      </w:pPr>
      <w:r>
        <w:rPr>
          <w:rFonts w:ascii="Arial" w:hAnsi="Arial" w:cs="Arial"/>
          <w:b/>
          <w:bCs/>
          <w:kern w:val="32"/>
        </w:rPr>
        <w:tab/>
        <w:t>Judge of the High Court</w:t>
      </w:r>
    </w:p>
    <w:p w14:paraId="77960D06" w14:textId="15E8393B" w:rsidR="00F34AA6" w:rsidRDefault="00F34AA6" w:rsidP="00515C06">
      <w:pPr>
        <w:tabs>
          <w:tab w:val="left" w:pos="5103"/>
        </w:tabs>
        <w:spacing w:line="360" w:lineRule="auto"/>
        <w:ind w:right="-8"/>
        <w:rPr>
          <w:rFonts w:ascii="Arial" w:hAnsi="Arial" w:cs="Arial"/>
          <w:b/>
          <w:bCs/>
          <w:kern w:val="32"/>
        </w:rPr>
      </w:pPr>
      <w:r>
        <w:rPr>
          <w:rFonts w:ascii="Arial" w:hAnsi="Arial" w:cs="Arial"/>
          <w:b/>
          <w:bCs/>
          <w:kern w:val="32"/>
        </w:rPr>
        <w:tab/>
      </w:r>
      <w:r w:rsidR="00FF473C">
        <w:rPr>
          <w:rFonts w:ascii="Arial" w:hAnsi="Arial" w:cs="Arial"/>
          <w:b/>
          <w:bCs/>
          <w:kern w:val="32"/>
        </w:rPr>
        <w:t xml:space="preserve">Gauteng </w:t>
      </w:r>
      <w:r>
        <w:rPr>
          <w:rFonts w:ascii="Arial" w:hAnsi="Arial" w:cs="Arial"/>
          <w:b/>
          <w:bCs/>
          <w:kern w:val="32"/>
        </w:rPr>
        <w:t>Division</w:t>
      </w:r>
      <w:r w:rsidR="00FB2858">
        <w:rPr>
          <w:rFonts w:ascii="Arial" w:hAnsi="Arial" w:cs="Arial"/>
          <w:b/>
          <w:bCs/>
          <w:kern w:val="32"/>
        </w:rPr>
        <w:t>, Pretoria</w:t>
      </w:r>
    </w:p>
    <w:p w14:paraId="3F06345D" w14:textId="77777777" w:rsidR="00F34AA6" w:rsidRDefault="00F34AA6" w:rsidP="00515C06">
      <w:pPr>
        <w:tabs>
          <w:tab w:val="left" w:pos="5103"/>
        </w:tabs>
        <w:spacing w:line="360" w:lineRule="auto"/>
        <w:ind w:right="-8"/>
        <w:rPr>
          <w:rFonts w:ascii="Arial" w:hAnsi="Arial" w:cs="Arial"/>
          <w:b/>
          <w:bCs/>
          <w:kern w:val="32"/>
        </w:rPr>
      </w:pPr>
    </w:p>
    <w:p w14:paraId="1742CC9D" w14:textId="77777777" w:rsidR="00F34AA6" w:rsidRPr="00F34AA6" w:rsidRDefault="00F34AA6" w:rsidP="00515C06">
      <w:pPr>
        <w:tabs>
          <w:tab w:val="left" w:pos="5103"/>
        </w:tabs>
        <w:spacing w:line="360" w:lineRule="auto"/>
        <w:ind w:right="-8"/>
        <w:rPr>
          <w:rFonts w:ascii="Arial" w:hAnsi="Arial" w:cs="Arial"/>
        </w:rPr>
      </w:pPr>
      <w:r w:rsidRPr="00F34AA6">
        <w:rPr>
          <w:rFonts w:ascii="Arial" w:hAnsi="Arial" w:cs="Arial"/>
        </w:rPr>
        <w:t xml:space="preserve">I agree, </w:t>
      </w:r>
    </w:p>
    <w:p w14:paraId="78B0698A" w14:textId="77777777" w:rsidR="00F34AA6" w:rsidRPr="00F34AA6" w:rsidRDefault="00F34AA6" w:rsidP="00515C06">
      <w:pPr>
        <w:tabs>
          <w:tab w:val="left" w:pos="5103"/>
        </w:tabs>
        <w:spacing w:line="360" w:lineRule="auto"/>
        <w:ind w:right="-8"/>
        <w:rPr>
          <w:rFonts w:ascii="Arial" w:hAnsi="Arial" w:cs="Arial"/>
        </w:rPr>
      </w:pPr>
    </w:p>
    <w:p w14:paraId="22CDD06A" w14:textId="528E17E8" w:rsidR="00F34AA6" w:rsidRPr="00F34AA6" w:rsidRDefault="00F14A80" w:rsidP="00515C06">
      <w:pPr>
        <w:tabs>
          <w:tab w:val="left" w:pos="5103"/>
        </w:tabs>
        <w:spacing w:line="360" w:lineRule="auto"/>
        <w:ind w:right="-8"/>
        <w:rPr>
          <w:rFonts w:ascii="Arial" w:hAnsi="Arial" w:cs="Arial"/>
        </w:rPr>
      </w:pPr>
      <w:r>
        <w:rPr>
          <w:rFonts w:ascii="Arial" w:hAnsi="Arial" w:cs="Arial"/>
        </w:rPr>
        <w:tab/>
      </w:r>
      <w:r w:rsidR="00F34AA6" w:rsidRPr="00F34AA6">
        <w:rPr>
          <w:rFonts w:ascii="Arial" w:hAnsi="Arial" w:cs="Arial"/>
        </w:rPr>
        <w:t>___________________________</w:t>
      </w:r>
    </w:p>
    <w:p w14:paraId="4CC140F5" w14:textId="7B1A3C3A" w:rsidR="00F34AA6" w:rsidRDefault="00F34AA6" w:rsidP="00515C06">
      <w:pPr>
        <w:tabs>
          <w:tab w:val="left" w:pos="5103"/>
        </w:tabs>
        <w:spacing w:line="360" w:lineRule="auto"/>
        <w:ind w:right="-8"/>
        <w:rPr>
          <w:rFonts w:ascii="Arial" w:hAnsi="Arial" w:cs="Arial"/>
          <w:b/>
          <w:bCs/>
          <w:kern w:val="32"/>
        </w:rPr>
      </w:pPr>
      <w:r>
        <w:rPr>
          <w:rFonts w:ascii="Arial" w:hAnsi="Arial" w:cs="Arial"/>
          <w:b/>
          <w:bCs/>
        </w:rPr>
        <w:tab/>
      </w:r>
      <w:r>
        <w:rPr>
          <w:rFonts w:ascii="Arial" w:hAnsi="Arial" w:cs="Arial"/>
          <w:b/>
          <w:bCs/>
          <w:kern w:val="32"/>
        </w:rPr>
        <w:t>KOOVERJIE J</w:t>
      </w:r>
    </w:p>
    <w:p w14:paraId="2CE5D7AA" w14:textId="77777777" w:rsidR="00F34AA6" w:rsidRDefault="00F34AA6" w:rsidP="00515C06">
      <w:pPr>
        <w:tabs>
          <w:tab w:val="left" w:pos="5103"/>
        </w:tabs>
        <w:spacing w:line="360" w:lineRule="auto"/>
        <w:ind w:right="-8"/>
        <w:rPr>
          <w:rFonts w:ascii="Arial" w:hAnsi="Arial" w:cs="Arial"/>
          <w:b/>
          <w:bCs/>
          <w:kern w:val="32"/>
        </w:rPr>
      </w:pPr>
      <w:r>
        <w:rPr>
          <w:rFonts w:ascii="Arial" w:hAnsi="Arial" w:cs="Arial"/>
          <w:b/>
          <w:bCs/>
          <w:kern w:val="32"/>
        </w:rPr>
        <w:tab/>
        <w:t>Judge of the High Court</w:t>
      </w:r>
    </w:p>
    <w:p w14:paraId="49F2E50E" w14:textId="0FC81B02" w:rsidR="00F34AA6" w:rsidRDefault="00F34AA6" w:rsidP="00515C06">
      <w:pPr>
        <w:tabs>
          <w:tab w:val="left" w:pos="5103"/>
        </w:tabs>
        <w:spacing w:line="360" w:lineRule="auto"/>
        <w:ind w:right="-8"/>
        <w:rPr>
          <w:rFonts w:ascii="Arial" w:hAnsi="Arial" w:cs="Arial"/>
          <w:b/>
          <w:bCs/>
        </w:rPr>
      </w:pPr>
      <w:r>
        <w:rPr>
          <w:rFonts w:ascii="Arial" w:hAnsi="Arial" w:cs="Arial"/>
          <w:b/>
          <w:bCs/>
          <w:kern w:val="32"/>
        </w:rPr>
        <w:tab/>
      </w:r>
      <w:r w:rsidR="00FF473C">
        <w:rPr>
          <w:rFonts w:ascii="Arial" w:hAnsi="Arial" w:cs="Arial"/>
          <w:b/>
          <w:bCs/>
          <w:kern w:val="32"/>
        </w:rPr>
        <w:t>Gauteng D</w:t>
      </w:r>
      <w:r>
        <w:rPr>
          <w:rFonts w:ascii="Arial" w:hAnsi="Arial" w:cs="Arial"/>
          <w:b/>
          <w:bCs/>
          <w:kern w:val="32"/>
        </w:rPr>
        <w:t>ivision</w:t>
      </w:r>
      <w:r w:rsidR="00154614">
        <w:rPr>
          <w:rFonts w:ascii="Arial" w:hAnsi="Arial" w:cs="Arial"/>
          <w:b/>
          <w:bCs/>
          <w:kern w:val="32"/>
        </w:rPr>
        <w:t>, Pretoria</w:t>
      </w:r>
    </w:p>
    <w:p w14:paraId="33F49DFA" w14:textId="77777777" w:rsidR="00FE2D11" w:rsidRDefault="00FE2D11" w:rsidP="00515C06">
      <w:pPr>
        <w:tabs>
          <w:tab w:val="left" w:pos="5103"/>
        </w:tabs>
        <w:spacing w:line="360" w:lineRule="auto"/>
        <w:ind w:right="-8"/>
        <w:rPr>
          <w:rFonts w:ascii="Arial" w:hAnsi="Arial" w:cs="Arial"/>
          <w:b/>
          <w:bCs/>
        </w:rPr>
      </w:pPr>
    </w:p>
    <w:p w14:paraId="7AEC3290" w14:textId="77777777" w:rsidR="00FE2D11" w:rsidRDefault="00FE2D11" w:rsidP="00515C06">
      <w:pPr>
        <w:tabs>
          <w:tab w:val="left" w:pos="5103"/>
        </w:tabs>
        <w:spacing w:line="360" w:lineRule="auto"/>
        <w:ind w:right="-8"/>
        <w:rPr>
          <w:rFonts w:ascii="Arial" w:hAnsi="Arial" w:cs="Arial"/>
          <w:b/>
          <w:bCs/>
        </w:rPr>
      </w:pPr>
    </w:p>
    <w:p w14:paraId="31BCEE19" w14:textId="77777777" w:rsidR="004068ED" w:rsidRDefault="004068ED" w:rsidP="00515C06">
      <w:pPr>
        <w:tabs>
          <w:tab w:val="left" w:pos="5103"/>
        </w:tabs>
        <w:spacing w:line="360" w:lineRule="auto"/>
        <w:ind w:right="-8"/>
        <w:rPr>
          <w:rFonts w:ascii="Arial" w:hAnsi="Arial" w:cs="Arial"/>
          <w:b/>
          <w:bCs/>
        </w:rPr>
      </w:pPr>
    </w:p>
    <w:p w14:paraId="22EAA5D6" w14:textId="77777777" w:rsidR="00325620" w:rsidRDefault="00325620" w:rsidP="00515C06">
      <w:pPr>
        <w:tabs>
          <w:tab w:val="left" w:pos="5103"/>
        </w:tabs>
        <w:spacing w:line="360" w:lineRule="auto"/>
        <w:ind w:right="-8"/>
        <w:rPr>
          <w:rFonts w:ascii="Arial" w:hAnsi="Arial" w:cs="Arial"/>
          <w:b/>
          <w:bCs/>
        </w:rPr>
      </w:pPr>
    </w:p>
    <w:p w14:paraId="646368D2" w14:textId="77777777" w:rsidR="00325620" w:rsidRDefault="00325620" w:rsidP="00515C06">
      <w:pPr>
        <w:tabs>
          <w:tab w:val="left" w:pos="5103"/>
        </w:tabs>
        <w:spacing w:line="360" w:lineRule="auto"/>
        <w:ind w:right="-8"/>
        <w:rPr>
          <w:rFonts w:ascii="Arial" w:hAnsi="Arial" w:cs="Arial"/>
          <w:b/>
          <w:bCs/>
        </w:rPr>
      </w:pPr>
    </w:p>
    <w:p w14:paraId="5C81AAC8" w14:textId="77777777" w:rsidR="003B59B3" w:rsidRDefault="003B59B3" w:rsidP="00515C06">
      <w:pPr>
        <w:tabs>
          <w:tab w:val="left" w:pos="5103"/>
        </w:tabs>
        <w:spacing w:line="360" w:lineRule="auto"/>
        <w:ind w:right="-8"/>
        <w:rPr>
          <w:rFonts w:ascii="Arial" w:hAnsi="Arial" w:cs="Arial"/>
        </w:rPr>
      </w:pPr>
    </w:p>
    <w:p w14:paraId="22F230E4" w14:textId="77777777" w:rsidR="00ED67CA" w:rsidRDefault="00ED67CA" w:rsidP="00515C06">
      <w:pPr>
        <w:tabs>
          <w:tab w:val="left" w:pos="5103"/>
        </w:tabs>
        <w:spacing w:line="360" w:lineRule="auto"/>
        <w:ind w:right="-8"/>
        <w:rPr>
          <w:rFonts w:ascii="Arial" w:hAnsi="Arial" w:cs="Arial"/>
          <w:b/>
          <w:bCs/>
          <w:u w:val="single"/>
        </w:rPr>
      </w:pPr>
    </w:p>
    <w:p w14:paraId="7581A739" w14:textId="322A7C60" w:rsidR="003B59B3" w:rsidRDefault="003B59B3" w:rsidP="00515C06">
      <w:pPr>
        <w:tabs>
          <w:tab w:val="left" w:pos="5103"/>
        </w:tabs>
        <w:spacing w:line="360" w:lineRule="auto"/>
        <w:ind w:right="-8"/>
        <w:rPr>
          <w:rFonts w:ascii="Arial" w:hAnsi="Arial" w:cs="Arial"/>
          <w:b/>
          <w:bCs/>
        </w:rPr>
      </w:pPr>
      <w:r>
        <w:rPr>
          <w:rFonts w:ascii="Arial" w:hAnsi="Arial" w:cs="Arial"/>
          <w:b/>
          <w:bCs/>
          <w:u w:val="single"/>
        </w:rPr>
        <w:lastRenderedPageBreak/>
        <w:t>Appearances</w:t>
      </w:r>
      <w:r>
        <w:rPr>
          <w:rFonts w:ascii="Arial" w:hAnsi="Arial" w:cs="Arial"/>
          <w:b/>
          <w:bCs/>
        </w:rPr>
        <w:t>:</w:t>
      </w:r>
    </w:p>
    <w:p w14:paraId="09F93D7B" w14:textId="77777777" w:rsidR="003B59B3" w:rsidRDefault="003B59B3" w:rsidP="00515C06">
      <w:pPr>
        <w:tabs>
          <w:tab w:val="left" w:pos="2552"/>
        </w:tabs>
        <w:spacing w:line="360" w:lineRule="auto"/>
        <w:ind w:right="-8"/>
        <w:rPr>
          <w:rFonts w:ascii="Arial" w:hAnsi="Arial" w:cs="Arial"/>
        </w:rPr>
      </w:pPr>
    </w:p>
    <w:p w14:paraId="4CF73A26" w14:textId="6CBFAAD7" w:rsidR="004C5CF6" w:rsidRDefault="003B59B3" w:rsidP="00515C06">
      <w:pPr>
        <w:tabs>
          <w:tab w:val="left" w:pos="3686"/>
        </w:tabs>
        <w:spacing w:line="360" w:lineRule="auto"/>
        <w:ind w:right="-8"/>
        <w:rPr>
          <w:rFonts w:ascii="Arial" w:hAnsi="Arial" w:cs="Arial"/>
        </w:rPr>
      </w:pPr>
      <w:r>
        <w:rPr>
          <w:rFonts w:ascii="Arial" w:hAnsi="Arial" w:cs="Arial"/>
        </w:rPr>
        <w:t>For the app</w:t>
      </w:r>
      <w:r w:rsidR="000D391C">
        <w:rPr>
          <w:rFonts w:ascii="Arial" w:hAnsi="Arial" w:cs="Arial"/>
        </w:rPr>
        <w:t>ellant</w:t>
      </w:r>
      <w:r w:rsidR="00A23220">
        <w:rPr>
          <w:rFonts w:ascii="Arial" w:hAnsi="Arial" w:cs="Arial"/>
        </w:rPr>
        <w:t>:</w:t>
      </w:r>
      <w:r>
        <w:rPr>
          <w:rFonts w:ascii="Arial" w:hAnsi="Arial" w:cs="Arial"/>
        </w:rPr>
        <w:tab/>
      </w:r>
      <w:r w:rsidR="00795246">
        <w:rPr>
          <w:rFonts w:ascii="Arial" w:hAnsi="Arial" w:cs="Arial"/>
        </w:rPr>
        <w:t xml:space="preserve">Adv. </w:t>
      </w:r>
      <w:r w:rsidR="004C5CF6">
        <w:rPr>
          <w:rFonts w:ascii="Arial" w:hAnsi="Arial" w:cs="Arial"/>
        </w:rPr>
        <w:t>KW Luderitz SC</w:t>
      </w:r>
    </w:p>
    <w:p w14:paraId="7F26993E" w14:textId="37021D98" w:rsidR="004C5CF6" w:rsidRPr="00F94CC2" w:rsidRDefault="004C5CF6" w:rsidP="004C5CF6">
      <w:pPr>
        <w:tabs>
          <w:tab w:val="left" w:pos="3686"/>
        </w:tabs>
        <w:spacing w:line="360" w:lineRule="auto"/>
        <w:ind w:right="-8"/>
        <w:rPr>
          <w:rFonts w:ascii="Arial" w:hAnsi="Arial" w:cs="Arial"/>
        </w:rPr>
      </w:pPr>
      <w:r>
        <w:rPr>
          <w:rFonts w:ascii="Arial" w:hAnsi="Arial" w:cs="Arial"/>
        </w:rPr>
        <w:tab/>
        <w:t xml:space="preserve">Cell:  </w:t>
      </w:r>
      <w:r w:rsidRPr="00F94CC2">
        <w:rPr>
          <w:rFonts w:ascii="Arial" w:hAnsi="Arial" w:cs="Arial"/>
        </w:rPr>
        <w:t>06</w:t>
      </w:r>
      <w:r>
        <w:rPr>
          <w:rFonts w:ascii="Arial" w:hAnsi="Arial" w:cs="Arial"/>
        </w:rPr>
        <w:t>82 492 4459</w:t>
      </w:r>
    </w:p>
    <w:p w14:paraId="79C7436C" w14:textId="6C0E07CE" w:rsidR="004C5CF6" w:rsidRDefault="004C5CF6" w:rsidP="004C5CF6">
      <w:pPr>
        <w:tabs>
          <w:tab w:val="left" w:pos="3686"/>
        </w:tabs>
        <w:spacing w:line="360" w:lineRule="auto"/>
        <w:ind w:right="-8"/>
        <w:rPr>
          <w:rFonts w:ascii="Arial" w:hAnsi="Arial" w:cs="Arial"/>
        </w:rPr>
      </w:pPr>
      <w:r>
        <w:rPr>
          <w:rFonts w:ascii="Arial" w:hAnsi="Arial" w:cs="Arial"/>
        </w:rPr>
        <w:tab/>
        <w:t xml:space="preserve">Email: </w:t>
      </w:r>
      <w:hyperlink r:id="rId9" w:history="1">
        <w:r w:rsidR="00795246" w:rsidRPr="00854F41">
          <w:rPr>
            <w:rStyle w:val="Hyperlink"/>
            <w:rFonts w:ascii="Arial" w:hAnsi="Arial" w:cs="Arial"/>
          </w:rPr>
          <w:t>wluderitz@maisels.co.za</w:t>
        </w:r>
      </w:hyperlink>
      <w:r w:rsidR="00795246">
        <w:rPr>
          <w:rFonts w:ascii="Arial" w:hAnsi="Arial" w:cs="Arial"/>
        </w:rPr>
        <w:t xml:space="preserve"> </w:t>
      </w:r>
    </w:p>
    <w:p w14:paraId="077255B8" w14:textId="77777777" w:rsidR="0060724B" w:rsidRDefault="004C5CF6" w:rsidP="00515C06">
      <w:pPr>
        <w:tabs>
          <w:tab w:val="left" w:pos="3686"/>
        </w:tabs>
        <w:spacing w:line="360" w:lineRule="auto"/>
        <w:ind w:right="-8"/>
        <w:rPr>
          <w:rFonts w:ascii="Arial" w:hAnsi="Arial" w:cs="Arial"/>
        </w:rPr>
      </w:pPr>
      <w:r>
        <w:rPr>
          <w:rFonts w:ascii="Arial" w:hAnsi="Arial" w:cs="Arial"/>
        </w:rPr>
        <w:tab/>
      </w:r>
    </w:p>
    <w:p w14:paraId="0552206D" w14:textId="484F1FD4" w:rsidR="00597605" w:rsidRDefault="0060724B" w:rsidP="00515C06">
      <w:pPr>
        <w:tabs>
          <w:tab w:val="left" w:pos="3686"/>
        </w:tabs>
        <w:spacing w:line="360" w:lineRule="auto"/>
        <w:ind w:right="-8"/>
        <w:rPr>
          <w:rFonts w:ascii="Arial" w:hAnsi="Arial" w:cs="Arial"/>
        </w:rPr>
      </w:pPr>
      <w:r>
        <w:rPr>
          <w:rFonts w:ascii="Arial" w:hAnsi="Arial" w:cs="Arial"/>
        </w:rPr>
        <w:tab/>
      </w:r>
      <w:r w:rsidR="00597605">
        <w:rPr>
          <w:rFonts w:ascii="Arial" w:hAnsi="Arial" w:cs="Arial"/>
        </w:rPr>
        <w:t>Adv</w:t>
      </w:r>
      <w:r w:rsidR="00795246">
        <w:rPr>
          <w:rFonts w:ascii="Arial" w:hAnsi="Arial" w:cs="Arial"/>
        </w:rPr>
        <w:t>.</w:t>
      </w:r>
      <w:r w:rsidR="00597605">
        <w:rPr>
          <w:rFonts w:ascii="Arial" w:hAnsi="Arial" w:cs="Arial"/>
        </w:rPr>
        <w:t xml:space="preserve"> H</w:t>
      </w:r>
      <w:r w:rsidR="006947A4">
        <w:rPr>
          <w:rFonts w:ascii="Arial" w:hAnsi="Arial" w:cs="Arial"/>
        </w:rPr>
        <w:t xml:space="preserve"> </w:t>
      </w:r>
      <w:r w:rsidR="00597605">
        <w:rPr>
          <w:rFonts w:ascii="Arial" w:hAnsi="Arial" w:cs="Arial"/>
        </w:rPr>
        <w:t>P Wessels</w:t>
      </w:r>
    </w:p>
    <w:p w14:paraId="69596FCA" w14:textId="2A635049" w:rsidR="00F94CC2" w:rsidRPr="00F94CC2" w:rsidRDefault="00597605" w:rsidP="00F94CC2">
      <w:pPr>
        <w:tabs>
          <w:tab w:val="left" w:pos="3686"/>
        </w:tabs>
        <w:spacing w:line="360" w:lineRule="auto"/>
        <w:ind w:right="-8"/>
        <w:rPr>
          <w:rFonts w:ascii="Arial" w:hAnsi="Arial" w:cs="Arial"/>
        </w:rPr>
      </w:pPr>
      <w:r>
        <w:rPr>
          <w:rFonts w:ascii="Arial" w:hAnsi="Arial" w:cs="Arial"/>
        </w:rPr>
        <w:tab/>
        <w:t xml:space="preserve">Cell:  </w:t>
      </w:r>
      <w:r w:rsidR="00F94CC2" w:rsidRPr="00F94CC2">
        <w:rPr>
          <w:rFonts w:ascii="Arial" w:hAnsi="Arial" w:cs="Arial"/>
        </w:rPr>
        <w:t>060 528 6860</w:t>
      </w:r>
    </w:p>
    <w:p w14:paraId="541C477C" w14:textId="46419406" w:rsidR="00597605" w:rsidRDefault="00F94CC2" w:rsidP="00515C06">
      <w:pPr>
        <w:tabs>
          <w:tab w:val="left" w:pos="3686"/>
        </w:tabs>
        <w:spacing w:line="360" w:lineRule="auto"/>
        <w:ind w:right="-8"/>
        <w:rPr>
          <w:rFonts w:ascii="Arial" w:hAnsi="Arial" w:cs="Arial"/>
        </w:rPr>
      </w:pPr>
      <w:r>
        <w:rPr>
          <w:rFonts w:ascii="Arial" w:hAnsi="Arial" w:cs="Arial"/>
        </w:rPr>
        <w:tab/>
        <w:t xml:space="preserve">Email: </w:t>
      </w:r>
      <w:hyperlink r:id="rId10" w:history="1">
        <w:r w:rsidR="00461368" w:rsidRPr="00854F41">
          <w:rPr>
            <w:rStyle w:val="Hyperlink"/>
            <w:rFonts w:ascii="Arial" w:hAnsi="Arial" w:cs="Arial"/>
          </w:rPr>
          <w:t>hpwessels@group33advocates.com</w:t>
        </w:r>
      </w:hyperlink>
      <w:r w:rsidR="00461368">
        <w:rPr>
          <w:rFonts w:ascii="Arial" w:hAnsi="Arial" w:cs="Arial"/>
        </w:rPr>
        <w:t xml:space="preserve"> </w:t>
      </w:r>
    </w:p>
    <w:p w14:paraId="5CCD2E6B" w14:textId="77777777" w:rsidR="00325620" w:rsidRDefault="00325620" w:rsidP="00515C06">
      <w:pPr>
        <w:tabs>
          <w:tab w:val="left" w:pos="3686"/>
        </w:tabs>
        <w:spacing w:line="360" w:lineRule="auto"/>
        <w:ind w:right="-8"/>
        <w:rPr>
          <w:rFonts w:ascii="Arial" w:hAnsi="Arial" w:cs="Arial"/>
        </w:rPr>
      </w:pPr>
    </w:p>
    <w:p w14:paraId="0A173F1F" w14:textId="77777777" w:rsidR="00A23220" w:rsidRDefault="00A23220" w:rsidP="00515C06">
      <w:pPr>
        <w:tabs>
          <w:tab w:val="left" w:pos="3686"/>
        </w:tabs>
        <w:spacing w:line="360" w:lineRule="auto"/>
        <w:ind w:right="-8"/>
        <w:rPr>
          <w:rFonts w:ascii="Arial" w:hAnsi="Arial" w:cs="Arial"/>
        </w:rPr>
      </w:pPr>
    </w:p>
    <w:p w14:paraId="270438DD" w14:textId="4B02F59A" w:rsidR="00A23220" w:rsidRDefault="00A23220" w:rsidP="00515C06">
      <w:pPr>
        <w:tabs>
          <w:tab w:val="left" w:pos="3686"/>
        </w:tabs>
        <w:spacing w:line="360" w:lineRule="auto"/>
        <w:ind w:right="-8"/>
        <w:rPr>
          <w:rFonts w:ascii="Arial" w:hAnsi="Arial" w:cs="Arial"/>
        </w:rPr>
      </w:pPr>
      <w:r>
        <w:rPr>
          <w:rFonts w:ascii="Arial" w:hAnsi="Arial" w:cs="Arial"/>
        </w:rPr>
        <w:t>Instructed by attorneys:</w:t>
      </w:r>
      <w:r>
        <w:rPr>
          <w:rFonts w:ascii="Arial" w:hAnsi="Arial" w:cs="Arial"/>
        </w:rPr>
        <w:tab/>
      </w:r>
      <w:r w:rsidR="00597605">
        <w:rPr>
          <w:rFonts w:ascii="Arial" w:hAnsi="Arial" w:cs="Arial"/>
        </w:rPr>
        <w:t>Van Der Merwe &amp; Associates</w:t>
      </w:r>
    </w:p>
    <w:p w14:paraId="01A75B45" w14:textId="795EAF58" w:rsidR="00BE02B1" w:rsidRPr="00BE02B1" w:rsidRDefault="00A23220" w:rsidP="00BE02B1">
      <w:pPr>
        <w:tabs>
          <w:tab w:val="left" w:pos="3686"/>
        </w:tabs>
        <w:spacing w:line="360" w:lineRule="auto"/>
        <w:ind w:right="-8"/>
        <w:rPr>
          <w:rFonts w:ascii="Arial" w:hAnsi="Arial" w:cs="Arial"/>
        </w:rPr>
      </w:pPr>
      <w:r>
        <w:rPr>
          <w:rFonts w:ascii="Arial" w:hAnsi="Arial" w:cs="Arial"/>
        </w:rPr>
        <w:tab/>
        <w:t>Tel:</w:t>
      </w:r>
      <w:r w:rsidR="00BE02B1">
        <w:rPr>
          <w:rFonts w:ascii="Arial" w:hAnsi="Arial" w:cs="Arial"/>
        </w:rPr>
        <w:t xml:space="preserve"> </w:t>
      </w:r>
      <w:r w:rsidR="00BE02B1" w:rsidRPr="00BE02B1">
        <w:rPr>
          <w:rFonts w:ascii="Arial" w:hAnsi="Arial" w:cs="Arial"/>
        </w:rPr>
        <w:t>087 654 0209</w:t>
      </w:r>
    </w:p>
    <w:p w14:paraId="1F596D4E" w14:textId="39FDDEA3" w:rsidR="007922E8" w:rsidRDefault="007922E8" w:rsidP="007922E8">
      <w:pPr>
        <w:tabs>
          <w:tab w:val="left" w:pos="3686"/>
        </w:tabs>
        <w:spacing w:line="360" w:lineRule="auto"/>
        <w:ind w:right="-8"/>
        <w:rPr>
          <w:rFonts w:ascii="Arial" w:hAnsi="Arial" w:cs="Arial"/>
        </w:rPr>
      </w:pPr>
      <w:r>
        <w:rPr>
          <w:rFonts w:ascii="Arial" w:hAnsi="Arial" w:cs="Arial"/>
        </w:rPr>
        <w:tab/>
      </w:r>
      <w:r w:rsidR="00A23220">
        <w:rPr>
          <w:rFonts w:ascii="Arial" w:hAnsi="Arial" w:cs="Arial"/>
        </w:rPr>
        <w:t>Email:</w:t>
      </w:r>
      <w:r w:rsidR="003B59B3">
        <w:rPr>
          <w:rFonts w:ascii="Arial" w:hAnsi="Arial" w:cs="Arial"/>
        </w:rPr>
        <w:t xml:space="preserve"> </w:t>
      </w:r>
      <w:hyperlink r:id="rId11" w:history="1">
        <w:r w:rsidR="00461368" w:rsidRPr="00854F41">
          <w:rPr>
            <w:rStyle w:val="Hyperlink"/>
            <w:rFonts w:ascii="Arial" w:hAnsi="Arial" w:cs="Arial"/>
          </w:rPr>
          <w:t>simone@vdmass.co.za</w:t>
        </w:r>
      </w:hyperlink>
      <w:r w:rsidR="00461368">
        <w:rPr>
          <w:rFonts w:ascii="Arial" w:hAnsi="Arial" w:cs="Arial"/>
        </w:rPr>
        <w:t xml:space="preserve"> </w:t>
      </w:r>
    </w:p>
    <w:p w14:paraId="624FF5A1" w14:textId="4F57B865" w:rsidR="003B59B3" w:rsidRDefault="007922E8" w:rsidP="007922E8">
      <w:pPr>
        <w:tabs>
          <w:tab w:val="left" w:pos="3686"/>
        </w:tabs>
        <w:spacing w:line="360" w:lineRule="auto"/>
        <w:ind w:right="-8"/>
        <w:rPr>
          <w:rFonts w:ascii="Arial" w:hAnsi="Arial" w:cs="Arial"/>
        </w:rPr>
      </w:pPr>
      <w:r>
        <w:rPr>
          <w:rFonts w:ascii="Arial" w:hAnsi="Arial" w:cs="Arial"/>
        </w:rPr>
        <w:tab/>
      </w:r>
      <w:r>
        <w:rPr>
          <w:rFonts w:ascii="Arial" w:hAnsi="Arial" w:cs="Arial"/>
        </w:rPr>
        <w:tab/>
        <w:t xml:space="preserve">  </w:t>
      </w:r>
      <w:hyperlink r:id="rId12" w:history="1">
        <w:r w:rsidR="00461368" w:rsidRPr="00854F41">
          <w:rPr>
            <w:rStyle w:val="Hyperlink"/>
            <w:rFonts w:ascii="Arial" w:hAnsi="Arial" w:cs="Arial"/>
          </w:rPr>
          <w:t>legal2@vdmass.co.za</w:t>
        </w:r>
      </w:hyperlink>
      <w:r w:rsidR="00461368">
        <w:rPr>
          <w:rFonts w:ascii="Arial" w:hAnsi="Arial" w:cs="Arial"/>
        </w:rPr>
        <w:t xml:space="preserve"> </w:t>
      </w:r>
    </w:p>
    <w:p w14:paraId="308F0944" w14:textId="0573A375" w:rsidR="003B59B3" w:rsidRDefault="00D9797D" w:rsidP="00515C06">
      <w:pPr>
        <w:tabs>
          <w:tab w:val="left" w:pos="3686"/>
        </w:tabs>
        <w:spacing w:line="360" w:lineRule="auto"/>
        <w:ind w:right="-8"/>
        <w:rPr>
          <w:rFonts w:ascii="Arial" w:hAnsi="Arial" w:cs="Arial"/>
        </w:rPr>
      </w:pPr>
      <w:r>
        <w:rPr>
          <w:rFonts w:ascii="Arial" w:hAnsi="Arial" w:cs="Arial"/>
        </w:rPr>
        <w:tab/>
        <w:t>Ref: GT Van Der Merwe/st/U193</w:t>
      </w:r>
    </w:p>
    <w:p w14:paraId="35291A53" w14:textId="77777777" w:rsidR="00D9797D" w:rsidRDefault="00D9797D" w:rsidP="00515C06">
      <w:pPr>
        <w:tabs>
          <w:tab w:val="left" w:pos="3686"/>
        </w:tabs>
        <w:spacing w:line="360" w:lineRule="auto"/>
        <w:ind w:right="-8"/>
        <w:rPr>
          <w:rFonts w:ascii="Arial" w:hAnsi="Arial" w:cs="Arial"/>
        </w:rPr>
      </w:pPr>
    </w:p>
    <w:p w14:paraId="30E034F6" w14:textId="77777777" w:rsidR="00207179" w:rsidRDefault="00207179" w:rsidP="00515C06">
      <w:pPr>
        <w:tabs>
          <w:tab w:val="left" w:pos="3686"/>
        </w:tabs>
        <w:spacing w:line="360" w:lineRule="auto"/>
        <w:ind w:right="-8"/>
        <w:rPr>
          <w:rFonts w:ascii="Arial" w:hAnsi="Arial" w:cs="Arial"/>
        </w:rPr>
      </w:pPr>
    </w:p>
    <w:p w14:paraId="06ED7741" w14:textId="35425991" w:rsidR="00597605" w:rsidRDefault="003B59B3" w:rsidP="00515C06">
      <w:pPr>
        <w:tabs>
          <w:tab w:val="left" w:pos="3686"/>
        </w:tabs>
        <w:spacing w:line="360" w:lineRule="auto"/>
        <w:ind w:right="-8"/>
        <w:rPr>
          <w:rFonts w:ascii="Arial" w:hAnsi="Arial" w:cs="Arial"/>
        </w:rPr>
      </w:pPr>
      <w:r>
        <w:rPr>
          <w:rFonts w:ascii="Arial" w:hAnsi="Arial" w:cs="Arial"/>
        </w:rPr>
        <w:t>For the respondent:</w:t>
      </w:r>
      <w:r>
        <w:rPr>
          <w:rFonts w:ascii="Arial" w:hAnsi="Arial" w:cs="Arial"/>
        </w:rPr>
        <w:tab/>
      </w:r>
      <w:r w:rsidR="00A74B33">
        <w:rPr>
          <w:rFonts w:ascii="Arial" w:hAnsi="Arial" w:cs="Arial"/>
        </w:rPr>
        <w:t xml:space="preserve">Adv. </w:t>
      </w:r>
      <w:r w:rsidR="00597605">
        <w:rPr>
          <w:rFonts w:ascii="Arial" w:hAnsi="Arial" w:cs="Arial"/>
        </w:rPr>
        <w:t>M</w:t>
      </w:r>
      <w:r w:rsidR="007277CD">
        <w:rPr>
          <w:rFonts w:ascii="Arial" w:hAnsi="Arial" w:cs="Arial"/>
        </w:rPr>
        <w:t xml:space="preserve"> </w:t>
      </w:r>
      <w:r w:rsidR="00597605">
        <w:rPr>
          <w:rFonts w:ascii="Arial" w:hAnsi="Arial" w:cs="Arial"/>
        </w:rPr>
        <w:t xml:space="preserve">P </w:t>
      </w:r>
      <w:r w:rsidR="003E0FB3">
        <w:rPr>
          <w:rFonts w:ascii="Arial" w:hAnsi="Arial" w:cs="Arial"/>
        </w:rPr>
        <w:t>van</w:t>
      </w:r>
      <w:r w:rsidR="00597605">
        <w:rPr>
          <w:rFonts w:ascii="Arial" w:hAnsi="Arial" w:cs="Arial"/>
        </w:rPr>
        <w:t xml:space="preserve"> Der Merwe SC</w:t>
      </w:r>
    </w:p>
    <w:p w14:paraId="4C79D57D" w14:textId="51C1F38E" w:rsidR="003B59B3" w:rsidRDefault="003B59B3" w:rsidP="00515C06">
      <w:pPr>
        <w:tabs>
          <w:tab w:val="left" w:pos="3686"/>
        </w:tabs>
        <w:spacing w:line="360" w:lineRule="auto"/>
        <w:ind w:right="-8"/>
        <w:rPr>
          <w:rFonts w:ascii="Arial" w:hAnsi="Arial" w:cs="Arial"/>
        </w:rPr>
      </w:pPr>
      <w:r>
        <w:rPr>
          <w:rFonts w:ascii="Arial" w:hAnsi="Arial" w:cs="Arial"/>
        </w:rPr>
        <w:tab/>
        <w:t xml:space="preserve">Cell:  </w:t>
      </w:r>
      <w:r w:rsidR="002E0A78">
        <w:rPr>
          <w:rFonts w:ascii="Arial" w:hAnsi="Arial" w:cs="Arial"/>
        </w:rPr>
        <w:t>082 920 4228</w:t>
      </w:r>
    </w:p>
    <w:p w14:paraId="79000A07" w14:textId="3B4C0ADC" w:rsidR="003B59B3" w:rsidRDefault="003B59B3" w:rsidP="00515C06">
      <w:pPr>
        <w:tabs>
          <w:tab w:val="left" w:pos="3686"/>
        </w:tabs>
        <w:spacing w:line="360" w:lineRule="auto"/>
        <w:ind w:right="-8"/>
        <w:rPr>
          <w:rFonts w:ascii="Arial" w:hAnsi="Arial" w:cs="Arial"/>
        </w:rPr>
      </w:pPr>
      <w:r>
        <w:rPr>
          <w:rFonts w:ascii="Arial" w:hAnsi="Arial" w:cs="Arial"/>
        </w:rPr>
        <w:tab/>
        <w:t xml:space="preserve">Email: </w:t>
      </w:r>
      <w:hyperlink r:id="rId13" w:history="1">
        <w:r w:rsidR="005A3832" w:rsidRPr="00854F41">
          <w:rPr>
            <w:rStyle w:val="Hyperlink"/>
            <w:rFonts w:ascii="Arial" w:hAnsi="Arial" w:cs="Arial"/>
          </w:rPr>
          <w:t>mp@lawcircle.co.za</w:t>
        </w:r>
      </w:hyperlink>
    </w:p>
    <w:p w14:paraId="4D04F828" w14:textId="77777777" w:rsidR="00795246" w:rsidRDefault="005A3832" w:rsidP="00515C06">
      <w:pPr>
        <w:tabs>
          <w:tab w:val="left" w:pos="3686"/>
        </w:tabs>
        <w:spacing w:line="360" w:lineRule="auto"/>
        <w:ind w:right="-8"/>
        <w:rPr>
          <w:rFonts w:ascii="Arial" w:hAnsi="Arial" w:cs="Arial"/>
        </w:rPr>
      </w:pPr>
      <w:r>
        <w:rPr>
          <w:rFonts w:ascii="Arial" w:hAnsi="Arial" w:cs="Arial"/>
        </w:rPr>
        <w:tab/>
      </w:r>
    </w:p>
    <w:p w14:paraId="1E9F21B7" w14:textId="01106CE6" w:rsidR="005A3832" w:rsidRDefault="0060724B" w:rsidP="00515C06">
      <w:pPr>
        <w:tabs>
          <w:tab w:val="left" w:pos="3686"/>
        </w:tabs>
        <w:spacing w:line="360" w:lineRule="auto"/>
        <w:ind w:right="-8"/>
        <w:rPr>
          <w:rFonts w:ascii="Arial" w:hAnsi="Arial" w:cs="Arial"/>
        </w:rPr>
      </w:pPr>
      <w:r>
        <w:rPr>
          <w:rFonts w:ascii="Arial" w:hAnsi="Arial" w:cs="Arial"/>
        </w:rPr>
        <w:tab/>
      </w:r>
      <w:r w:rsidR="005A3832">
        <w:rPr>
          <w:rFonts w:ascii="Arial" w:hAnsi="Arial" w:cs="Arial"/>
        </w:rPr>
        <w:t>Adv</w:t>
      </w:r>
      <w:r w:rsidR="00A74B33">
        <w:rPr>
          <w:rFonts w:ascii="Arial" w:hAnsi="Arial" w:cs="Arial"/>
        </w:rPr>
        <w:t>.</w:t>
      </w:r>
      <w:r w:rsidR="005A3832">
        <w:rPr>
          <w:rFonts w:ascii="Arial" w:hAnsi="Arial" w:cs="Arial"/>
        </w:rPr>
        <w:t xml:space="preserve"> P Eil</w:t>
      </w:r>
      <w:r w:rsidR="00FB2110">
        <w:rPr>
          <w:rFonts w:ascii="Arial" w:hAnsi="Arial" w:cs="Arial"/>
        </w:rPr>
        <w:t>ers</w:t>
      </w:r>
    </w:p>
    <w:p w14:paraId="0014A6AA" w14:textId="77A6996B" w:rsidR="00FB2110" w:rsidRDefault="00FB2110" w:rsidP="00515C06">
      <w:pPr>
        <w:tabs>
          <w:tab w:val="left" w:pos="3686"/>
        </w:tabs>
        <w:spacing w:line="360" w:lineRule="auto"/>
        <w:ind w:right="-8"/>
        <w:rPr>
          <w:rFonts w:ascii="Arial" w:hAnsi="Arial" w:cs="Arial"/>
        </w:rPr>
      </w:pPr>
      <w:r>
        <w:rPr>
          <w:rFonts w:ascii="Arial" w:hAnsi="Arial" w:cs="Arial"/>
        </w:rPr>
        <w:tab/>
        <w:t xml:space="preserve">Cell: </w:t>
      </w:r>
      <w:r w:rsidR="00D379D7">
        <w:rPr>
          <w:rFonts w:ascii="Arial" w:hAnsi="Arial" w:cs="Arial"/>
        </w:rPr>
        <w:t>076 024 0359</w:t>
      </w:r>
    </w:p>
    <w:p w14:paraId="5506F240" w14:textId="0E5AEF35" w:rsidR="007277CD" w:rsidRDefault="007277CD" w:rsidP="00515C06">
      <w:pPr>
        <w:tabs>
          <w:tab w:val="left" w:pos="3686"/>
        </w:tabs>
        <w:spacing w:line="360" w:lineRule="auto"/>
        <w:ind w:right="-8"/>
        <w:rPr>
          <w:rFonts w:ascii="Arial" w:hAnsi="Arial" w:cs="Arial"/>
        </w:rPr>
      </w:pPr>
      <w:r>
        <w:rPr>
          <w:rFonts w:ascii="Arial" w:hAnsi="Arial" w:cs="Arial"/>
        </w:rPr>
        <w:tab/>
        <w:t xml:space="preserve">Email: </w:t>
      </w:r>
      <w:hyperlink r:id="rId14" w:history="1">
        <w:r w:rsidR="00461368" w:rsidRPr="00854F41">
          <w:rPr>
            <w:rStyle w:val="Hyperlink"/>
            <w:rFonts w:ascii="Arial" w:hAnsi="Arial" w:cs="Arial"/>
          </w:rPr>
          <w:t>paul.eilers@lawcircle.co.za</w:t>
        </w:r>
      </w:hyperlink>
      <w:r w:rsidR="00461368">
        <w:rPr>
          <w:rFonts w:ascii="Arial" w:hAnsi="Arial" w:cs="Arial"/>
        </w:rPr>
        <w:t xml:space="preserve"> </w:t>
      </w:r>
    </w:p>
    <w:p w14:paraId="118DA4C8" w14:textId="77777777" w:rsidR="003B59B3" w:rsidRDefault="003B59B3" w:rsidP="00515C06">
      <w:pPr>
        <w:tabs>
          <w:tab w:val="left" w:pos="3686"/>
        </w:tabs>
        <w:spacing w:line="360" w:lineRule="auto"/>
        <w:ind w:right="-8"/>
        <w:rPr>
          <w:rFonts w:ascii="Arial" w:hAnsi="Arial" w:cs="Arial"/>
        </w:rPr>
      </w:pPr>
    </w:p>
    <w:p w14:paraId="2C1A1CC0" w14:textId="4672C53A" w:rsidR="00766A6A" w:rsidRPr="00766A6A" w:rsidRDefault="00A23220" w:rsidP="00766A6A">
      <w:pPr>
        <w:tabs>
          <w:tab w:val="left" w:pos="3686"/>
        </w:tabs>
        <w:spacing w:line="360" w:lineRule="auto"/>
        <w:ind w:right="-8"/>
        <w:rPr>
          <w:rFonts w:ascii="Arial" w:hAnsi="Arial" w:cs="Arial"/>
        </w:rPr>
      </w:pPr>
      <w:r>
        <w:rPr>
          <w:rFonts w:ascii="Arial" w:hAnsi="Arial" w:cs="Arial"/>
        </w:rPr>
        <w:t>Instructed by attorneys:</w:t>
      </w:r>
      <w:r>
        <w:rPr>
          <w:rFonts w:ascii="Arial" w:hAnsi="Arial" w:cs="Arial"/>
        </w:rPr>
        <w:tab/>
      </w:r>
      <w:r w:rsidR="00766A6A" w:rsidRPr="00766A6A">
        <w:rPr>
          <w:rFonts w:ascii="Arial" w:hAnsi="Arial" w:cs="Arial"/>
        </w:rPr>
        <w:t>JV Rensburg Kinsella Inc Attorneys</w:t>
      </w:r>
    </w:p>
    <w:p w14:paraId="00CDC7C6" w14:textId="36D8B375" w:rsidR="00766A6A" w:rsidRPr="00766A6A" w:rsidRDefault="0059547B" w:rsidP="00766A6A">
      <w:pPr>
        <w:tabs>
          <w:tab w:val="left" w:pos="3686"/>
        </w:tabs>
        <w:spacing w:line="360" w:lineRule="auto"/>
        <w:ind w:right="-8"/>
        <w:rPr>
          <w:rFonts w:ascii="Arial" w:hAnsi="Arial" w:cs="Arial"/>
        </w:rPr>
      </w:pPr>
      <w:r>
        <w:rPr>
          <w:rFonts w:ascii="Arial" w:hAnsi="Arial" w:cs="Arial"/>
        </w:rPr>
        <w:tab/>
        <w:t xml:space="preserve">Tel: </w:t>
      </w:r>
      <w:r w:rsidR="00766A6A" w:rsidRPr="00766A6A">
        <w:rPr>
          <w:rFonts w:ascii="Arial" w:hAnsi="Arial" w:cs="Arial"/>
        </w:rPr>
        <w:t>(012) 346 1278</w:t>
      </w:r>
    </w:p>
    <w:p w14:paraId="3E172C44" w14:textId="19CFD9C9" w:rsidR="00A23220" w:rsidRDefault="0059547B" w:rsidP="00766A6A">
      <w:pPr>
        <w:tabs>
          <w:tab w:val="left" w:pos="3686"/>
        </w:tabs>
        <w:spacing w:line="360" w:lineRule="auto"/>
        <w:ind w:right="-8"/>
        <w:rPr>
          <w:rFonts w:ascii="Arial" w:hAnsi="Arial" w:cs="Arial"/>
        </w:rPr>
      </w:pPr>
      <w:r>
        <w:rPr>
          <w:rFonts w:ascii="Arial" w:hAnsi="Arial" w:cs="Arial"/>
        </w:rPr>
        <w:tab/>
        <w:t xml:space="preserve">Email: </w:t>
      </w:r>
      <w:hyperlink r:id="rId15" w:history="1">
        <w:r w:rsidR="00461368" w:rsidRPr="00854F41">
          <w:rPr>
            <w:rStyle w:val="Hyperlink"/>
            <w:rFonts w:ascii="Arial" w:hAnsi="Arial" w:cs="Arial"/>
          </w:rPr>
          <w:t>sean@jvrkinc.co.za</w:t>
        </w:r>
      </w:hyperlink>
      <w:r w:rsidR="00461368">
        <w:rPr>
          <w:rFonts w:ascii="Arial" w:hAnsi="Arial" w:cs="Arial"/>
        </w:rPr>
        <w:t xml:space="preserve"> </w:t>
      </w:r>
    </w:p>
    <w:p w14:paraId="76F7A6C4" w14:textId="76ED01C8" w:rsidR="003B59B3" w:rsidRDefault="00A23220" w:rsidP="00515C06">
      <w:pPr>
        <w:tabs>
          <w:tab w:val="left" w:pos="3686"/>
        </w:tabs>
        <w:spacing w:line="360" w:lineRule="auto"/>
        <w:ind w:right="-8"/>
        <w:rPr>
          <w:rFonts w:ascii="Arial" w:hAnsi="Arial" w:cs="Arial"/>
        </w:rPr>
      </w:pPr>
      <w:r>
        <w:rPr>
          <w:rFonts w:ascii="Arial" w:hAnsi="Arial" w:cs="Arial"/>
        </w:rPr>
        <w:tab/>
      </w:r>
    </w:p>
    <w:p w14:paraId="3F1A4D23" w14:textId="2AE20699" w:rsidR="003B59B3" w:rsidRDefault="00A23220" w:rsidP="00515C06">
      <w:pPr>
        <w:tabs>
          <w:tab w:val="left" w:pos="3686"/>
        </w:tabs>
        <w:spacing w:line="360" w:lineRule="auto"/>
        <w:ind w:right="-8"/>
        <w:rPr>
          <w:rFonts w:ascii="Arial" w:hAnsi="Arial" w:cs="Arial"/>
        </w:rPr>
      </w:pPr>
      <w:r>
        <w:rPr>
          <w:rFonts w:ascii="Arial" w:hAnsi="Arial" w:cs="Arial"/>
        </w:rPr>
        <w:t>Date of hearing</w:t>
      </w:r>
      <w:r w:rsidR="003B59B3">
        <w:rPr>
          <w:rFonts w:ascii="Arial" w:hAnsi="Arial" w:cs="Arial"/>
        </w:rPr>
        <w:t xml:space="preserve">: </w:t>
      </w:r>
      <w:r w:rsidR="003B59B3">
        <w:rPr>
          <w:rFonts w:ascii="Arial" w:hAnsi="Arial" w:cs="Arial"/>
        </w:rPr>
        <w:tab/>
      </w:r>
      <w:r w:rsidR="00D9797D">
        <w:rPr>
          <w:rFonts w:ascii="Arial" w:hAnsi="Arial" w:cs="Arial"/>
        </w:rPr>
        <w:t xml:space="preserve">22 November </w:t>
      </w:r>
      <w:r w:rsidR="003B59B3">
        <w:rPr>
          <w:rFonts w:ascii="Arial" w:hAnsi="Arial" w:cs="Arial"/>
        </w:rPr>
        <w:t>202</w:t>
      </w:r>
      <w:r w:rsidR="00FF7FEB">
        <w:rPr>
          <w:rFonts w:ascii="Arial" w:hAnsi="Arial" w:cs="Arial"/>
        </w:rPr>
        <w:t>3</w:t>
      </w:r>
      <w:r w:rsidR="003B59B3">
        <w:rPr>
          <w:rFonts w:ascii="Arial" w:hAnsi="Arial" w:cs="Arial"/>
        </w:rPr>
        <w:t xml:space="preserve"> </w:t>
      </w:r>
      <w:r w:rsidR="003B59B3">
        <w:rPr>
          <w:rFonts w:ascii="Arial" w:hAnsi="Arial" w:cs="Arial"/>
        </w:rPr>
        <w:tab/>
      </w:r>
    </w:p>
    <w:p w14:paraId="6EB32D8D" w14:textId="62919381" w:rsidR="005E4EC4" w:rsidRDefault="003B59B3" w:rsidP="001A58C1">
      <w:pPr>
        <w:tabs>
          <w:tab w:val="left" w:pos="3686"/>
        </w:tabs>
        <w:spacing w:line="360" w:lineRule="auto"/>
        <w:ind w:right="-8"/>
      </w:pPr>
      <w:r>
        <w:rPr>
          <w:rFonts w:ascii="Arial" w:hAnsi="Arial" w:cs="Arial"/>
        </w:rPr>
        <w:t>Date judgment</w:t>
      </w:r>
      <w:r w:rsidR="00A23220">
        <w:rPr>
          <w:rFonts w:ascii="Arial" w:hAnsi="Arial" w:cs="Arial"/>
        </w:rPr>
        <w:t xml:space="preserve"> delivered</w:t>
      </w:r>
      <w:r>
        <w:rPr>
          <w:rFonts w:ascii="Arial" w:hAnsi="Arial" w:cs="Arial"/>
        </w:rPr>
        <w:t xml:space="preserve">: </w:t>
      </w:r>
      <w:r w:rsidR="00A23220">
        <w:rPr>
          <w:rFonts w:ascii="Arial" w:hAnsi="Arial" w:cs="Arial"/>
        </w:rPr>
        <w:tab/>
      </w:r>
      <w:r w:rsidR="00ED67CA">
        <w:rPr>
          <w:rFonts w:ascii="Arial" w:hAnsi="Arial" w:cs="Arial"/>
        </w:rPr>
        <w:t xml:space="preserve">07 </w:t>
      </w:r>
      <w:r w:rsidR="00D50D74">
        <w:rPr>
          <w:rFonts w:ascii="Arial" w:hAnsi="Arial" w:cs="Arial"/>
        </w:rPr>
        <w:t xml:space="preserve">February </w:t>
      </w:r>
      <w:r w:rsidR="00A23220">
        <w:rPr>
          <w:rFonts w:ascii="Arial" w:hAnsi="Arial" w:cs="Arial"/>
        </w:rPr>
        <w:t>2</w:t>
      </w:r>
      <w:r>
        <w:rPr>
          <w:rFonts w:ascii="Arial" w:hAnsi="Arial" w:cs="Arial"/>
        </w:rPr>
        <w:t>02</w:t>
      </w:r>
      <w:r w:rsidR="00D9797D">
        <w:rPr>
          <w:rFonts w:ascii="Arial" w:hAnsi="Arial" w:cs="Arial"/>
        </w:rPr>
        <w:t>4</w:t>
      </w:r>
      <w:bookmarkEnd w:id="0"/>
    </w:p>
    <w:sectPr w:rsidR="005E4EC4" w:rsidSect="00261F22">
      <w:headerReference w:type="even" r:id="rId16"/>
      <w:headerReference w:type="default" r:id="rId17"/>
      <w:pgSz w:w="11900" w:h="16840"/>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90F35" w14:textId="77777777" w:rsidR="0012039C" w:rsidRDefault="0012039C" w:rsidP="005D5D46">
      <w:r>
        <w:separator/>
      </w:r>
    </w:p>
  </w:endnote>
  <w:endnote w:type="continuationSeparator" w:id="0">
    <w:p w14:paraId="1F72497B" w14:textId="77777777" w:rsidR="0012039C" w:rsidRDefault="0012039C" w:rsidP="005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36BF5" w14:textId="77777777" w:rsidR="0012039C" w:rsidRDefault="0012039C" w:rsidP="005D5D46">
      <w:r>
        <w:separator/>
      </w:r>
    </w:p>
  </w:footnote>
  <w:footnote w:type="continuationSeparator" w:id="0">
    <w:p w14:paraId="261F692A" w14:textId="77777777" w:rsidR="0012039C" w:rsidRDefault="0012039C" w:rsidP="005D5D46">
      <w:r>
        <w:continuationSeparator/>
      </w:r>
    </w:p>
  </w:footnote>
  <w:footnote w:id="1">
    <w:p w14:paraId="69926C91" w14:textId="3E155BD6" w:rsidR="0084148D" w:rsidRPr="00A66F84" w:rsidRDefault="0084148D" w:rsidP="00D307F9">
      <w:pPr>
        <w:pStyle w:val="FootnoteText"/>
        <w:tabs>
          <w:tab w:val="left" w:pos="567"/>
        </w:tabs>
        <w:spacing w:after="120"/>
        <w:ind w:left="567" w:hanging="567"/>
        <w:jc w:val="both"/>
        <w:rPr>
          <w:rFonts w:ascii="Arial" w:hAnsi="Arial" w:cs="Arial"/>
          <w:lang w:val="en-US"/>
        </w:rPr>
      </w:pPr>
      <w:r w:rsidRPr="00A66F84">
        <w:rPr>
          <w:rStyle w:val="FootnoteReference"/>
          <w:rFonts w:ascii="Arial" w:hAnsi="Arial" w:cs="Arial"/>
        </w:rPr>
        <w:footnoteRef/>
      </w:r>
      <w:r w:rsidRPr="00A66F84">
        <w:rPr>
          <w:rFonts w:ascii="Arial" w:hAnsi="Arial" w:cs="Arial"/>
        </w:rPr>
        <w:t xml:space="preserve"> </w:t>
      </w:r>
      <w:r w:rsidRPr="00A66F84">
        <w:rPr>
          <w:rFonts w:ascii="Arial" w:hAnsi="Arial" w:cs="Arial"/>
          <w:lang w:val="en-US"/>
        </w:rPr>
        <w:t xml:space="preserve"> </w:t>
      </w:r>
      <w:r w:rsidR="00F14A80" w:rsidRPr="00A66F84">
        <w:rPr>
          <w:rFonts w:ascii="Arial" w:hAnsi="Arial" w:cs="Arial"/>
          <w:lang w:val="en-US"/>
        </w:rPr>
        <w:tab/>
      </w:r>
      <w:r w:rsidRPr="00A66F84">
        <w:rPr>
          <w:rFonts w:ascii="Arial" w:hAnsi="Arial" w:cs="Arial"/>
          <w:b/>
          <w:bCs/>
          <w:i/>
          <w:iCs/>
          <w:lang w:val="en-US"/>
        </w:rPr>
        <w:t>Mostert and Others v Nash &amp; Another</w:t>
      </w:r>
      <w:r w:rsidRPr="00A66F84">
        <w:rPr>
          <w:rFonts w:ascii="Arial" w:hAnsi="Arial" w:cs="Arial"/>
          <w:lang w:val="en-US"/>
        </w:rPr>
        <w:t xml:space="preserve"> (604/2017 and 597</w:t>
      </w:r>
      <w:r w:rsidR="00F25871" w:rsidRPr="00A66F84">
        <w:rPr>
          <w:rFonts w:ascii="Arial" w:hAnsi="Arial" w:cs="Arial"/>
          <w:lang w:val="en-US"/>
        </w:rPr>
        <w:t xml:space="preserve"> (</w:t>
      </w:r>
      <w:r w:rsidRPr="00A66F84">
        <w:rPr>
          <w:rFonts w:ascii="Arial" w:hAnsi="Arial" w:cs="Arial"/>
          <w:lang w:val="en-US"/>
        </w:rPr>
        <w:t>2017)</w:t>
      </w:r>
      <w:r w:rsidR="00F25871" w:rsidRPr="00A66F84">
        <w:rPr>
          <w:rFonts w:ascii="Arial" w:hAnsi="Arial" w:cs="Arial"/>
          <w:lang w:val="en-US"/>
        </w:rPr>
        <w:t xml:space="preserve"> </w:t>
      </w:r>
      <w:r w:rsidRPr="00A66F84">
        <w:rPr>
          <w:rFonts w:ascii="Arial" w:hAnsi="Arial" w:cs="Arial"/>
          <w:lang w:val="en-US"/>
        </w:rPr>
        <w:t>[2018</w:t>
      </w:r>
      <w:r w:rsidR="003E0FB3" w:rsidRPr="00A66F84">
        <w:rPr>
          <w:rFonts w:ascii="Arial" w:hAnsi="Arial" w:cs="Arial"/>
          <w:lang w:val="en-US"/>
        </w:rPr>
        <w:t>] ZASCA</w:t>
      </w:r>
      <w:r w:rsidRPr="00A66F84">
        <w:rPr>
          <w:rFonts w:ascii="Arial" w:hAnsi="Arial" w:cs="Arial"/>
          <w:lang w:val="en-US"/>
        </w:rPr>
        <w:t xml:space="preserve"> 62 (21 May 2018), </w:t>
      </w:r>
      <w:r w:rsidRPr="00A66F84">
        <w:rPr>
          <w:rFonts w:ascii="Arial" w:hAnsi="Arial" w:cs="Arial"/>
          <w:b/>
          <w:bCs/>
          <w:i/>
          <w:iCs/>
          <w:lang w:val="en-US"/>
        </w:rPr>
        <w:t>L.F. Boshoff Investments (Pty) Ltd v Cape Town Municipality: Cape Town Municipality v L.F. Boshoff Investments (Pty) Ltd</w:t>
      </w:r>
      <w:r w:rsidRPr="00A66F84">
        <w:rPr>
          <w:rFonts w:ascii="Arial" w:hAnsi="Arial" w:cs="Arial"/>
          <w:lang w:val="en-US"/>
        </w:rPr>
        <w:t xml:space="preserve"> 1969</w:t>
      </w:r>
      <w:r w:rsidR="00F14A80" w:rsidRPr="00A66F84">
        <w:rPr>
          <w:rFonts w:ascii="Arial" w:hAnsi="Arial" w:cs="Arial"/>
          <w:lang w:val="en-US"/>
        </w:rPr>
        <w:t xml:space="preserve"> </w:t>
      </w:r>
      <w:r w:rsidRPr="00A66F84">
        <w:rPr>
          <w:rFonts w:ascii="Arial" w:hAnsi="Arial" w:cs="Arial"/>
          <w:lang w:val="en-US"/>
        </w:rPr>
        <w:t>(2) SA 256 (C) at 275B-D (Boshoff Investments).</w:t>
      </w:r>
    </w:p>
  </w:footnote>
  <w:footnote w:id="2">
    <w:p w14:paraId="32F3787B" w14:textId="2E8FF5F2" w:rsidR="00672BF7" w:rsidRPr="00A66F84" w:rsidRDefault="00672BF7" w:rsidP="00D307F9">
      <w:pPr>
        <w:pStyle w:val="FootnoteText"/>
        <w:tabs>
          <w:tab w:val="left" w:pos="567"/>
        </w:tabs>
        <w:spacing w:after="120"/>
        <w:ind w:left="567" w:hanging="567"/>
        <w:jc w:val="both"/>
        <w:rPr>
          <w:rFonts w:ascii="Arial" w:hAnsi="Arial" w:cs="Arial"/>
          <w:lang w:val="en-US"/>
        </w:rPr>
      </w:pPr>
      <w:r w:rsidRPr="00A66F84">
        <w:rPr>
          <w:rStyle w:val="FootnoteReference"/>
          <w:rFonts w:ascii="Arial" w:hAnsi="Arial" w:cs="Arial"/>
        </w:rPr>
        <w:footnoteRef/>
      </w:r>
      <w:r w:rsidRPr="00A66F84">
        <w:rPr>
          <w:rFonts w:ascii="Arial" w:hAnsi="Arial" w:cs="Arial"/>
        </w:rPr>
        <w:t xml:space="preserve"> </w:t>
      </w:r>
      <w:r w:rsidR="00F14A80" w:rsidRPr="00A66F84">
        <w:rPr>
          <w:rFonts w:ascii="Arial" w:hAnsi="Arial" w:cs="Arial"/>
        </w:rPr>
        <w:tab/>
      </w:r>
      <w:r w:rsidRPr="00A66F84">
        <w:rPr>
          <w:rFonts w:ascii="Arial" w:hAnsi="Arial" w:cs="Arial"/>
          <w:i/>
          <w:iCs/>
          <w:lang w:val="en-US"/>
        </w:rPr>
        <w:t>Supra</w:t>
      </w:r>
      <w:r w:rsidR="00A3719D" w:rsidRPr="00A66F84">
        <w:rPr>
          <w:rFonts w:ascii="Arial" w:hAnsi="Arial" w:cs="Arial"/>
          <w:lang w:val="en-US"/>
        </w:rPr>
        <w:t>.</w:t>
      </w:r>
    </w:p>
  </w:footnote>
  <w:footnote w:id="3">
    <w:p w14:paraId="58FD2A3D" w14:textId="0B500E91" w:rsidR="00D61141" w:rsidRPr="00A66F84" w:rsidRDefault="00D61141" w:rsidP="00D307F9">
      <w:pPr>
        <w:pStyle w:val="FootnoteText"/>
        <w:tabs>
          <w:tab w:val="left" w:pos="567"/>
        </w:tabs>
        <w:spacing w:after="120"/>
        <w:ind w:left="567" w:hanging="567"/>
        <w:jc w:val="both"/>
        <w:rPr>
          <w:rFonts w:ascii="Arial" w:hAnsi="Arial" w:cs="Arial"/>
          <w:lang w:val="en-US"/>
        </w:rPr>
      </w:pPr>
      <w:r w:rsidRPr="00A66F84">
        <w:rPr>
          <w:rStyle w:val="FootnoteReference"/>
          <w:rFonts w:ascii="Arial" w:hAnsi="Arial" w:cs="Arial"/>
        </w:rPr>
        <w:footnoteRef/>
      </w:r>
      <w:r w:rsidRPr="00A66F84">
        <w:rPr>
          <w:rFonts w:ascii="Arial" w:hAnsi="Arial" w:cs="Arial"/>
        </w:rPr>
        <w:t xml:space="preserve"> </w:t>
      </w:r>
      <w:r w:rsidRPr="00A66F84">
        <w:rPr>
          <w:rFonts w:ascii="Arial" w:hAnsi="Arial" w:cs="Arial"/>
        </w:rPr>
        <w:tab/>
      </w:r>
      <w:r w:rsidRPr="00A66F84">
        <w:rPr>
          <w:rFonts w:ascii="Arial" w:hAnsi="Arial" w:cs="Arial"/>
          <w:b/>
          <w:bCs/>
          <w:i/>
          <w:iCs/>
        </w:rPr>
        <w:t>Badenhorst v Northern Construction Enterprises (Pty) Limited</w:t>
      </w:r>
      <w:r w:rsidRPr="00A66F84">
        <w:rPr>
          <w:rFonts w:ascii="Arial" w:hAnsi="Arial" w:cs="Arial"/>
        </w:rPr>
        <w:t xml:space="preserve"> 1956 (2) SA 346 (T)</w:t>
      </w:r>
      <w:r w:rsidR="00337AF5" w:rsidRPr="00A66F84">
        <w:rPr>
          <w:rFonts w:ascii="Arial" w:hAnsi="Arial" w:cs="Arial"/>
        </w:rPr>
        <w:t xml:space="preserve"> </w:t>
      </w:r>
      <w:r w:rsidR="003E0FB3" w:rsidRPr="00A66F84">
        <w:rPr>
          <w:rFonts w:ascii="Arial" w:hAnsi="Arial" w:cs="Arial"/>
        </w:rPr>
        <w:t>at 346</w:t>
      </w:r>
      <w:r w:rsidR="00337AF5" w:rsidRPr="00A66F84">
        <w:rPr>
          <w:rFonts w:ascii="Arial" w:hAnsi="Arial" w:cs="Arial"/>
        </w:rPr>
        <w:t xml:space="preserve"> G-H and at 348 A-B.</w:t>
      </w:r>
    </w:p>
  </w:footnote>
  <w:footnote w:id="4">
    <w:p w14:paraId="3E5B00EB" w14:textId="60D8DD57" w:rsidR="00F25871" w:rsidRPr="00A66F84" w:rsidRDefault="00F25871" w:rsidP="00D307F9">
      <w:pPr>
        <w:pStyle w:val="FootnoteText"/>
        <w:tabs>
          <w:tab w:val="left" w:pos="567"/>
        </w:tabs>
        <w:spacing w:after="120"/>
        <w:ind w:left="567" w:hanging="567"/>
        <w:jc w:val="both"/>
        <w:rPr>
          <w:rFonts w:ascii="Arial" w:hAnsi="Arial" w:cs="Arial"/>
          <w:lang w:val="en-US"/>
        </w:rPr>
      </w:pPr>
      <w:r w:rsidRPr="00A66F84">
        <w:rPr>
          <w:rStyle w:val="FootnoteReference"/>
          <w:rFonts w:ascii="Arial" w:hAnsi="Arial" w:cs="Arial"/>
        </w:rPr>
        <w:footnoteRef/>
      </w:r>
      <w:r w:rsidRPr="00A66F84">
        <w:rPr>
          <w:rFonts w:ascii="Arial" w:hAnsi="Arial" w:cs="Arial"/>
        </w:rPr>
        <w:t xml:space="preserve"> </w:t>
      </w:r>
      <w:r w:rsidRPr="00A66F84">
        <w:rPr>
          <w:rFonts w:ascii="Arial" w:hAnsi="Arial" w:cs="Arial"/>
          <w:lang w:val="en-US"/>
        </w:rPr>
        <w:t xml:space="preserve"> </w:t>
      </w:r>
      <w:r w:rsidR="00F14A80" w:rsidRPr="00A66F84">
        <w:rPr>
          <w:rFonts w:ascii="Arial" w:hAnsi="Arial" w:cs="Arial"/>
          <w:lang w:val="en-US"/>
        </w:rPr>
        <w:tab/>
      </w:r>
      <w:r w:rsidRPr="00A66F84">
        <w:rPr>
          <w:rFonts w:ascii="Arial" w:hAnsi="Arial" w:cs="Arial"/>
          <w:lang w:val="en-US"/>
        </w:rPr>
        <w:t>(1007/20) [2022] ZASCA 67 (May 2022) at para 15.</w:t>
      </w:r>
    </w:p>
  </w:footnote>
  <w:footnote w:id="5">
    <w:p w14:paraId="0B184EB0" w14:textId="0F35EE51" w:rsidR="00011779" w:rsidRPr="00A66F84" w:rsidRDefault="00011779" w:rsidP="00D307F9">
      <w:pPr>
        <w:pStyle w:val="FootnoteText"/>
        <w:tabs>
          <w:tab w:val="left" w:pos="567"/>
        </w:tabs>
        <w:spacing w:after="120"/>
        <w:ind w:left="567" w:hanging="567"/>
        <w:jc w:val="both"/>
        <w:rPr>
          <w:rFonts w:ascii="Arial" w:hAnsi="Arial" w:cs="Arial"/>
          <w:lang w:val="en-US"/>
        </w:rPr>
      </w:pPr>
      <w:r w:rsidRPr="00A66F84">
        <w:rPr>
          <w:rStyle w:val="FootnoteReference"/>
          <w:rFonts w:ascii="Arial" w:hAnsi="Arial" w:cs="Arial"/>
        </w:rPr>
        <w:footnoteRef/>
      </w:r>
      <w:r w:rsidRPr="00A66F84">
        <w:rPr>
          <w:rFonts w:ascii="Arial" w:hAnsi="Arial" w:cs="Arial"/>
        </w:rPr>
        <w:t xml:space="preserve"> </w:t>
      </w:r>
      <w:r w:rsidRPr="00A66F84">
        <w:rPr>
          <w:rFonts w:ascii="Arial" w:hAnsi="Arial" w:cs="Arial"/>
          <w:lang w:val="en-US"/>
        </w:rPr>
        <w:t xml:space="preserve"> </w:t>
      </w:r>
      <w:r w:rsidR="00F14A80" w:rsidRPr="00A66F84">
        <w:rPr>
          <w:rFonts w:ascii="Arial" w:hAnsi="Arial" w:cs="Arial"/>
          <w:lang w:val="en-US"/>
        </w:rPr>
        <w:tab/>
      </w:r>
      <w:r w:rsidRPr="00A66F84">
        <w:rPr>
          <w:rFonts w:ascii="Arial" w:hAnsi="Arial" w:cs="Arial"/>
          <w:i/>
          <w:iCs/>
          <w:lang w:val="en-US"/>
        </w:rPr>
        <w:t>Supra</w:t>
      </w:r>
      <w:r w:rsidRPr="00A66F84">
        <w:rPr>
          <w:rFonts w:ascii="Arial" w:hAnsi="Arial" w:cs="Arial"/>
          <w:lang w:val="en-US"/>
        </w:rPr>
        <w:t xml:space="preserve"> footnote </w:t>
      </w:r>
      <w:r w:rsidR="007530D5" w:rsidRPr="00A66F84">
        <w:rPr>
          <w:rFonts w:ascii="Arial" w:hAnsi="Arial" w:cs="Arial"/>
          <w:lang w:val="en-US"/>
        </w:rPr>
        <w:t>4</w:t>
      </w:r>
      <w:r w:rsidRPr="00A66F84">
        <w:rPr>
          <w:rFonts w:ascii="Arial" w:hAnsi="Arial" w:cs="Arial"/>
          <w:lang w:val="en-US"/>
        </w:rPr>
        <w:t>, Henochsberg on the Companies Act issue 23 at 694</w:t>
      </w:r>
      <w:r w:rsidR="00BD4025" w:rsidRPr="00A66F84">
        <w:rPr>
          <w:rFonts w:ascii="Arial" w:hAnsi="Arial" w:cs="Arial"/>
          <w:lang w:val="en-US"/>
        </w:rPr>
        <w:t xml:space="preserve"> and Henochsberg in the</w:t>
      </w:r>
      <w:r w:rsidR="00F14A80" w:rsidRPr="00A66F84">
        <w:rPr>
          <w:rFonts w:ascii="Arial" w:hAnsi="Arial" w:cs="Arial"/>
          <w:lang w:val="en-US"/>
        </w:rPr>
        <w:t xml:space="preserve"> </w:t>
      </w:r>
      <w:r w:rsidR="00BD4025" w:rsidRPr="00A66F84">
        <w:rPr>
          <w:rFonts w:ascii="Arial" w:hAnsi="Arial" w:cs="Arial"/>
          <w:lang w:val="en-US"/>
        </w:rPr>
        <w:t>Companies Act 71 of 2008 Volume 2 APP1-46</w:t>
      </w:r>
      <w:r w:rsidR="00F14A80" w:rsidRPr="00A66F84">
        <w:rPr>
          <w:rFonts w:ascii="Arial" w:hAnsi="Arial" w:cs="Arial"/>
          <w:lang w:val="en-US"/>
        </w:rPr>
        <w:t>;</w:t>
      </w:r>
      <w:r w:rsidR="00BD4025" w:rsidRPr="00A66F84">
        <w:rPr>
          <w:rFonts w:ascii="Arial" w:hAnsi="Arial" w:cs="Arial"/>
          <w:lang w:val="en-US"/>
        </w:rPr>
        <w:t xml:space="preserve"> and </w:t>
      </w:r>
      <w:r w:rsidR="00F14A80" w:rsidRPr="00A66F84">
        <w:rPr>
          <w:rFonts w:ascii="Arial" w:hAnsi="Arial" w:cs="Arial"/>
          <w:lang w:val="en-US"/>
        </w:rPr>
        <w:t>s</w:t>
      </w:r>
      <w:r w:rsidR="00BD4025" w:rsidRPr="00A66F84">
        <w:rPr>
          <w:rFonts w:ascii="Arial" w:hAnsi="Arial" w:cs="Arial"/>
          <w:lang w:val="en-US"/>
        </w:rPr>
        <w:t xml:space="preserve">ee </w:t>
      </w:r>
      <w:r w:rsidR="00BD4025" w:rsidRPr="00A66F84">
        <w:rPr>
          <w:rFonts w:ascii="Arial" w:hAnsi="Arial" w:cs="Arial"/>
          <w:b/>
          <w:bCs/>
          <w:i/>
          <w:iCs/>
          <w:lang w:val="en-US"/>
        </w:rPr>
        <w:t xml:space="preserve">Re Surrey Garden Village Trust, Limited </w:t>
      </w:r>
      <w:r w:rsidR="00BD4025" w:rsidRPr="00A66F84">
        <w:rPr>
          <w:rFonts w:ascii="Arial" w:hAnsi="Arial" w:cs="Arial"/>
          <w:lang w:val="en-US"/>
        </w:rPr>
        <w:t>(1964) 3 All E.R. 962</w:t>
      </w:r>
    </w:p>
  </w:footnote>
  <w:footnote w:id="6">
    <w:p w14:paraId="188A09CD" w14:textId="11C9659F" w:rsidR="00414155" w:rsidRPr="00A66F84" w:rsidRDefault="00414155" w:rsidP="00D307F9">
      <w:pPr>
        <w:pStyle w:val="FootnoteText"/>
        <w:tabs>
          <w:tab w:val="left" w:pos="567"/>
        </w:tabs>
        <w:spacing w:after="120"/>
        <w:ind w:left="567" w:hanging="567"/>
        <w:jc w:val="both"/>
        <w:rPr>
          <w:rFonts w:ascii="Arial" w:hAnsi="Arial" w:cs="Arial"/>
          <w:lang w:val="en-US"/>
        </w:rPr>
      </w:pPr>
      <w:r w:rsidRPr="00A66F84">
        <w:rPr>
          <w:rStyle w:val="FootnoteReference"/>
          <w:rFonts w:ascii="Arial" w:hAnsi="Arial" w:cs="Arial"/>
        </w:rPr>
        <w:footnoteRef/>
      </w:r>
      <w:r w:rsidRPr="00A66F84">
        <w:rPr>
          <w:rFonts w:ascii="Arial" w:hAnsi="Arial" w:cs="Arial"/>
        </w:rPr>
        <w:t xml:space="preserve"> </w:t>
      </w:r>
      <w:r w:rsidR="00F14A80" w:rsidRPr="00A66F84">
        <w:rPr>
          <w:rFonts w:ascii="Arial" w:hAnsi="Arial" w:cs="Arial"/>
        </w:rPr>
        <w:tab/>
      </w:r>
      <w:r w:rsidRPr="00A66F84">
        <w:rPr>
          <w:rFonts w:ascii="Arial" w:hAnsi="Arial" w:cs="Arial"/>
          <w:b/>
          <w:bCs/>
          <w:i/>
          <w:iCs/>
          <w:lang w:val="en-US"/>
        </w:rPr>
        <w:t>Afgri Operations Limited v Hamba Fleet (Pry) Ltd</w:t>
      </w:r>
      <w:r w:rsidRPr="00A66F84">
        <w:rPr>
          <w:rFonts w:ascii="Arial" w:hAnsi="Arial" w:cs="Arial"/>
          <w:lang w:val="en-US"/>
        </w:rPr>
        <w:t xml:space="preserve"> [2017] ZASCA 24; 2022 (1) SA 91 (SCA) para 12-13.</w:t>
      </w:r>
    </w:p>
  </w:footnote>
  <w:footnote w:id="7">
    <w:p w14:paraId="7B4A806D" w14:textId="1505C1B6" w:rsidR="00BA3F9C" w:rsidRPr="00A66F84" w:rsidRDefault="00BA3F9C" w:rsidP="00D307F9">
      <w:pPr>
        <w:pStyle w:val="FootnoteText"/>
        <w:tabs>
          <w:tab w:val="left" w:pos="567"/>
        </w:tabs>
        <w:spacing w:after="120"/>
        <w:ind w:left="567" w:hanging="567"/>
        <w:jc w:val="both"/>
        <w:rPr>
          <w:rFonts w:ascii="Arial" w:hAnsi="Arial" w:cs="Arial"/>
        </w:rPr>
      </w:pPr>
      <w:r w:rsidRPr="00A66F84">
        <w:rPr>
          <w:rStyle w:val="FootnoteReference"/>
          <w:rFonts w:ascii="Arial" w:hAnsi="Arial" w:cs="Arial"/>
        </w:rPr>
        <w:footnoteRef/>
      </w:r>
      <w:r w:rsidRPr="00A66F84">
        <w:rPr>
          <w:rFonts w:ascii="Arial" w:hAnsi="Arial" w:cs="Arial"/>
        </w:rPr>
        <w:t xml:space="preserve"> </w:t>
      </w:r>
      <w:r w:rsidRPr="00A66F84">
        <w:rPr>
          <w:rFonts w:ascii="Arial" w:hAnsi="Arial" w:cs="Arial"/>
        </w:rPr>
        <w:tab/>
        <w:t>S</w:t>
      </w:r>
      <w:r w:rsidR="003E0715" w:rsidRPr="00A66F84">
        <w:rPr>
          <w:rFonts w:ascii="Arial" w:hAnsi="Arial" w:cs="Arial"/>
        </w:rPr>
        <w:t xml:space="preserve">upra </w:t>
      </w:r>
      <w:r w:rsidRPr="00A66F84">
        <w:rPr>
          <w:rFonts w:ascii="Arial" w:hAnsi="Arial" w:cs="Arial"/>
        </w:rPr>
        <w:t>at par 11.</w:t>
      </w:r>
    </w:p>
  </w:footnote>
  <w:footnote w:id="8">
    <w:p w14:paraId="28182CDB" w14:textId="7F217F88" w:rsidR="006139DC" w:rsidRPr="00A66F84" w:rsidRDefault="006139DC">
      <w:pPr>
        <w:pStyle w:val="FootnoteText"/>
        <w:rPr>
          <w:rFonts w:ascii="Arial" w:hAnsi="Arial" w:cs="Arial"/>
          <w:lang w:val="en-US"/>
        </w:rPr>
      </w:pPr>
      <w:r w:rsidRPr="00A66F84">
        <w:rPr>
          <w:rStyle w:val="FootnoteReference"/>
          <w:rFonts w:ascii="Arial" w:hAnsi="Arial" w:cs="Arial"/>
        </w:rPr>
        <w:footnoteRef/>
      </w:r>
      <w:r w:rsidRPr="00A66F84">
        <w:rPr>
          <w:rFonts w:ascii="Arial" w:hAnsi="Arial" w:cs="Arial"/>
        </w:rPr>
        <w:t xml:space="preserve"> </w:t>
      </w:r>
      <w:r w:rsidRPr="00A66F84">
        <w:rPr>
          <w:rFonts w:ascii="Arial" w:hAnsi="Arial" w:cs="Arial"/>
          <w:lang w:val="en-US"/>
        </w:rPr>
        <w:t xml:space="preserve">        2000 (2) SA 1 (CC) para 11.</w:t>
      </w:r>
    </w:p>
  </w:footnote>
  <w:footnote w:id="9">
    <w:p w14:paraId="374149A9" w14:textId="01E55BD8" w:rsidR="00F22482" w:rsidRPr="00A66F84" w:rsidRDefault="00F22482">
      <w:pPr>
        <w:pStyle w:val="FootnoteText"/>
        <w:rPr>
          <w:rFonts w:ascii="Arial" w:hAnsi="Arial" w:cs="Arial"/>
          <w:lang w:val="en-US"/>
        </w:rPr>
      </w:pPr>
      <w:r w:rsidRPr="00A66F84">
        <w:rPr>
          <w:rStyle w:val="FootnoteReference"/>
          <w:rFonts w:ascii="Arial" w:hAnsi="Arial" w:cs="Arial"/>
        </w:rPr>
        <w:footnoteRef/>
      </w:r>
      <w:r w:rsidRPr="00A66F84">
        <w:rPr>
          <w:rFonts w:ascii="Arial" w:hAnsi="Arial" w:cs="Arial"/>
        </w:rPr>
        <w:t xml:space="preserve"> </w:t>
      </w:r>
      <w:r w:rsidRPr="00A66F84">
        <w:rPr>
          <w:rFonts w:ascii="Arial" w:hAnsi="Arial" w:cs="Arial"/>
          <w:lang w:val="en-US"/>
        </w:rPr>
        <w:t xml:space="preserve">    See para.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5802240"/>
      <w:docPartObj>
        <w:docPartGallery w:val="Page Numbers (Top of Page)"/>
        <w:docPartUnique/>
      </w:docPartObj>
    </w:sdtPr>
    <w:sdtEndPr>
      <w:rPr>
        <w:rStyle w:val="PageNumber"/>
      </w:rPr>
    </w:sdtEndPr>
    <w:sdtContent>
      <w:p w14:paraId="44E2A2A2" w14:textId="77777777" w:rsidR="00502ACA" w:rsidRDefault="00502ACA" w:rsidP="005D5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5F273" w14:textId="77777777" w:rsidR="00502ACA" w:rsidRDefault="00502ACA" w:rsidP="005D5D4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6602095"/>
      <w:docPartObj>
        <w:docPartGallery w:val="Page Numbers (Top of Page)"/>
        <w:docPartUnique/>
      </w:docPartObj>
    </w:sdtPr>
    <w:sdtEndPr>
      <w:rPr>
        <w:rStyle w:val="PageNumber"/>
        <w:rFonts w:ascii="Arial" w:hAnsi="Arial" w:cs="Arial"/>
      </w:rPr>
    </w:sdtEndPr>
    <w:sdtContent>
      <w:p w14:paraId="72E88EDF" w14:textId="32128D44" w:rsidR="00502ACA" w:rsidRPr="00483C25" w:rsidRDefault="00502ACA" w:rsidP="005D5D46">
        <w:pPr>
          <w:pStyle w:val="Header"/>
          <w:framePr w:wrap="none" w:vAnchor="text" w:hAnchor="margin" w:xAlign="right" w:y="1"/>
          <w:rPr>
            <w:rStyle w:val="PageNumber"/>
            <w:rFonts w:ascii="Arial" w:hAnsi="Arial" w:cs="Arial"/>
          </w:rPr>
        </w:pPr>
        <w:r w:rsidRPr="00483C25">
          <w:rPr>
            <w:rStyle w:val="PageNumber"/>
            <w:rFonts w:ascii="Arial" w:hAnsi="Arial" w:cs="Arial"/>
          </w:rPr>
          <w:fldChar w:fldCharType="begin"/>
        </w:r>
        <w:r w:rsidRPr="00483C25">
          <w:rPr>
            <w:rStyle w:val="PageNumber"/>
            <w:rFonts w:ascii="Arial" w:hAnsi="Arial" w:cs="Arial"/>
          </w:rPr>
          <w:instrText xml:space="preserve"> PAGE </w:instrText>
        </w:r>
        <w:r w:rsidRPr="00483C25">
          <w:rPr>
            <w:rStyle w:val="PageNumber"/>
            <w:rFonts w:ascii="Arial" w:hAnsi="Arial" w:cs="Arial"/>
          </w:rPr>
          <w:fldChar w:fldCharType="separate"/>
        </w:r>
        <w:r w:rsidR="006A2D18">
          <w:rPr>
            <w:rStyle w:val="PageNumber"/>
            <w:rFonts w:ascii="Arial" w:hAnsi="Arial" w:cs="Arial"/>
            <w:noProof/>
          </w:rPr>
          <w:t>11</w:t>
        </w:r>
        <w:r w:rsidRPr="00483C25">
          <w:rPr>
            <w:rStyle w:val="PageNumber"/>
            <w:rFonts w:ascii="Arial" w:hAnsi="Arial" w:cs="Arial"/>
          </w:rPr>
          <w:fldChar w:fldCharType="end"/>
        </w:r>
      </w:p>
    </w:sdtContent>
  </w:sdt>
  <w:p w14:paraId="5EBDF2C0" w14:textId="77777777" w:rsidR="00502ACA" w:rsidRPr="00483C25" w:rsidRDefault="00502ACA" w:rsidP="001F02A6">
    <w:pPr>
      <w:pStyle w:val="Header"/>
      <w:tabs>
        <w:tab w:val="clear" w:pos="4680"/>
        <w:tab w:val="clear" w:pos="9360"/>
        <w:tab w:val="left" w:pos="7576"/>
      </w:tabs>
      <w:ind w:right="360"/>
    </w:pPr>
    <w:r w:rsidRPr="00483C2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2DF"/>
    <w:multiLevelType w:val="multilevel"/>
    <w:tmpl w:val="5F8CF9D2"/>
    <w:lvl w:ilvl="0">
      <w:start w:val="1"/>
      <w:numFmt w:val="decimal"/>
      <w:pStyle w:val="BGHeading1AltQ"/>
      <w:lvlText w:val="%1."/>
      <w:lvlJc w:val="left"/>
      <w:pPr>
        <w:tabs>
          <w:tab w:val="num" w:pos="720"/>
        </w:tabs>
        <w:ind w:left="720" w:hanging="720"/>
      </w:pPr>
      <w:rPr>
        <w:rFonts w:ascii="Arial" w:hAnsi="Arial" w:cs="Arial" w:hint="default"/>
        <w:b w:val="0"/>
        <w:sz w:val="22"/>
        <w:szCs w:val="22"/>
      </w:rPr>
    </w:lvl>
    <w:lvl w:ilvl="1">
      <w:start w:val="1"/>
      <w:numFmt w:val="decimal"/>
      <w:pStyle w:val="BGHeading2AltA"/>
      <w:lvlText w:val="%1.%2"/>
      <w:lvlJc w:val="left"/>
      <w:pPr>
        <w:tabs>
          <w:tab w:val="num" w:pos="1440"/>
        </w:tabs>
        <w:ind w:left="1440" w:hanging="1440"/>
      </w:pPr>
      <w:rPr>
        <w:rFonts w:ascii="Arial" w:hAnsi="Arial" w:cs="Arial" w:hint="default"/>
        <w:b w:val="0"/>
        <w:sz w:val="22"/>
        <w:szCs w:val="22"/>
      </w:rPr>
    </w:lvl>
    <w:lvl w:ilvl="2">
      <w:start w:val="1"/>
      <w:numFmt w:val="decimal"/>
      <w:pStyle w:val="BGHeading3AltZ"/>
      <w:lvlText w:val="%1.%2.%3"/>
      <w:lvlJc w:val="left"/>
      <w:pPr>
        <w:tabs>
          <w:tab w:val="num" w:pos="2160"/>
        </w:tabs>
        <w:ind w:left="2160" w:hanging="2160"/>
      </w:pPr>
      <w:rPr>
        <w:rFonts w:ascii="Times New Roman" w:hAnsi="Times New Roman" w:cs="Times New Roman" w:hint="default"/>
        <w:sz w:val="24"/>
        <w:szCs w:val="24"/>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2EC32EAB"/>
    <w:multiLevelType w:val="multilevel"/>
    <w:tmpl w:val="EF04025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2D2351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C94623"/>
    <w:multiLevelType w:val="multilevel"/>
    <w:tmpl w:val="C6AE8180"/>
    <w:lvl w:ilvl="0">
      <w:start w:val="1"/>
      <w:numFmt w:val="decimal"/>
      <w:pStyle w:val="ClaireNew"/>
      <w:lvlText w:val="%1."/>
      <w:lvlJc w:val="left"/>
      <w:pPr>
        <w:tabs>
          <w:tab w:val="num" w:pos="680"/>
        </w:tabs>
        <w:ind w:left="680" w:hanging="680"/>
      </w:pPr>
      <w:rPr>
        <w:rFonts w:ascii="Arial" w:hAnsi="Arial" w:cs="Arial" w:hint="default"/>
        <w:b w:val="0"/>
        <w:sz w:val="22"/>
        <w:szCs w:val="22"/>
      </w:rPr>
    </w:lvl>
    <w:lvl w:ilvl="1">
      <w:start w:val="1"/>
      <w:numFmt w:val="decimal"/>
      <w:lvlText w:val="%1.%2."/>
      <w:lvlJc w:val="left"/>
      <w:pPr>
        <w:tabs>
          <w:tab w:val="num" w:pos="1418"/>
        </w:tabs>
        <w:ind w:left="1418" w:hanging="1418"/>
      </w:pPr>
      <w:rPr>
        <w:rFonts w:ascii="Arial" w:hAnsi="Arial" w:cs="Arial" w:hint="default"/>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6" w15:restartNumberingAfterBreak="0">
    <w:nsid w:val="6071096E"/>
    <w:multiLevelType w:val="multilevel"/>
    <w:tmpl w:val="7FB83B8C"/>
    <w:styleLink w:val="Style1"/>
    <w:lvl w:ilvl="0">
      <w:start w:val="1"/>
      <w:numFmt w:val="decimal"/>
      <w:isLgl/>
      <w:lvlText w:val="%1."/>
      <w:lvlJc w:val="left"/>
      <w:pPr>
        <w:ind w:left="360" w:hanging="360"/>
      </w:pPr>
      <w:rPr>
        <w:rFonts w:hint="default"/>
        <w:color w:val="000000" w:themeColor="tex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5262ACD"/>
    <w:multiLevelType w:val="multilevel"/>
    <w:tmpl w:val="776E221E"/>
    <w:lvl w:ilvl="0">
      <w:start w:val="1"/>
      <w:numFmt w:val="decimal"/>
      <w:pStyle w:val="WestPleadingpara1"/>
      <w:lvlText w:val="[%1]"/>
      <w:lvlJc w:val="right"/>
      <w:pPr>
        <w:ind w:left="-73" w:firstLine="357"/>
      </w:pPr>
      <w:rPr>
        <w:rFonts w:ascii="Arial" w:hAnsi="Arial" w:cs="Arial" w:hint="default"/>
        <w:b w:val="0"/>
        <w:i w:val="0"/>
        <w:color w:val="auto"/>
        <w:sz w:val="24"/>
        <w:szCs w:val="24"/>
      </w:rPr>
    </w:lvl>
    <w:lvl w:ilvl="1">
      <w:start w:val="1"/>
      <w:numFmt w:val="decimal"/>
      <w:pStyle w:val="WestPleadingpara2"/>
      <w:lvlText w:val="%1.%2."/>
      <w:lvlJc w:val="left"/>
      <w:pPr>
        <w:tabs>
          <w:tab w:val="num" w:pos="1418"/>
        </w:tabs>
        <w:ind w:left="1418" w:hanging="698"/>
      </w:pPr>
      <w:rPr>
        <w:rFonts w:ascii="Arial" w:hAnsi="Arial" w:cs="Arial" w:hint="default"/>
        <w:b w:val="0"/>
        <w:i w:val="0"/>
        <w:sz w:val="24"/>
        <w:szCs w:val="24"/>
      </w:rPr>
    </w:lvl>
    <w:lvl w:ilvl="2">
      <w:start w:val="1"/>
      <w:numFmt w:val="decimal"/>
      <w:pStyle w:val="WestPleadingpara3"/>
      <w:lvlText w:val="%1.%2.%3."/>
      <w:lvlJc w:val="left"/>
      <w:pPr>
        <w:tabs>
          <w:tab w:val="num" w:pos="2268"/>
        </w:tabs>
        <w:ind w:left="2268" w:hanging="850"/>
      </w:pPr>
      <w:rPr>
        <w:rFonts w:ascii="Arial" w:hAnsi="Arial" w:hint="default"/>
        <w:b w:val="0"/>
        <w:i w:val="0"/>
        <w:sz w:val="24"/>
        <w:szCs w:val="24"/>
      </w:rPr>
    </w:lvl>
    <w:lvl w:ilvl="3">
      <w:start w:val="1"/>
      <w:numFmt w:val="decimal"/>
      <w:pStyle w:val="Pleadingpara4"/>
      <w:lvlText w:val="%1.%2.%3.%4."/>
      <w:lvlJc w:val="left"/>
      <w:pPr>
        <w:tabs>
          <w:tab w:val="num" w:pos="2160"/>
        </w:tabs>
        <w:ind w:left="1728" w:hanging="648"/>
      </w:pPr>
      <w:rPr>
        <w:rFonts w:hint="default"/>
      </w:rPr>
    </w:lvl>
    <w:lvl w:ilvl="4">
      <w:start w:val="1"/>
      <w:numFmt w:val="decimal"/>
      <w:pStyle w:val="Pleadingpara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8" w15:restartNumberingAfterBreak="0">
    <w:nsid w:val="722C52AF"/>
    <w:multiLevelType w:val="hybridMultilevel"/>
    <w:tmpl w:val="FDAC4BAE"/>
    <w:lvl w:ilvl="0" w:tplc="6D969A7C">
      <w:start w:val="1"/>
      <w:numFmt w:val="decimal"/>
      <w:lvlText w:val="(%1)"/>
      <w:lvlJc w:val="left"/>
      <w:pPr>
        <w:ind w:left="1470" w:hanging="48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9" w15:restartNumberingAfterBreak="0">
    <w:nsid w:val="75D114F1"/>
    <w:multiLevelType w:val="multilevel"/>
    <w:tmpl w:val="D534BFC2"/>
    <w:lvl w:ilvl="0">
      <w:start w:val="1"/>
      <w:numFmt w:val="decimal"/>
      <w:lvlText w:val="[%1]"/>
      <w:lvlJc w:val="right"/>
      <w:pPr>
        <w:ind w:left="0" w:firstLine="357"/>
      </w:pPr>
      <w:rPr>
        <w:rFonts w:hint="default"/>
        <w:b w:val="0"/>
        <w:bCs w:val="0"/>
        <w:color w:val="auto"/>
      </w:rPr>
    </w:lvl>
    <w:lvl w:ilvl="1">
      <w:start w:val="1"/>
      <w:numFmt w:val="decimal"/>
      <w:lvlText w:val="%1.%2"/>
      <w:lvlJc w:val="left"/>
      <w:pPr>
        <w:tabs>
          <w:tab w:val="num" w:pos="1418"/>
        </w:tabs>
        <w:ind w:left="1418" w:hanging="698"/>
      </w:pPr>
      <w:rPr>
        <w:rFonts w:hint="default"/>
        <w:b w:val="0"/>
        <w:bCs w:val="0"/>
      </w:rPr>
    </w:lvl>
    <w:lvl w:ilvl="2">
      <w:start w:val="1"/>
      <w:numFmt w:val="none"/>
      <w:lvlRestart w:val="1"/>
      <w:isLgl/>
      <w:lvlText w:val="%1.1.1"/>
      <w:lvlJc w:val="left"/>
      <w:pPr>
        <w:tabs>
          <w:tab w:val="num" w:pos="2268"/>
        </w:tabs>
        <w:ind w:left="2268" w:hanging="850"/>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0" w15:restartNumberingAfterBreak="0">
    <w:nsid w:val="76A203A9"/>
    <w:multiLevelType w:val="multilevel"/>
    <w:tmpl w:val="7FB83B8C"/>
    <w:numStyleLink w:val="Style1"/>
  </w:abstractNum>
  <w:num w:numId="1">
    <w:abstractNumId w:val="6"/>
  </w:num>
  <w:num w:numId="2">
    <w:abstractNumId w:val="5"/>
  </w:num>
  <w:num w:numId="3">
    <w:abstractNumId w:val="10"/>
    <w:lvlOverride w:ilvl="0">
      <w:lvl w:ilvl="0">
        <w:start w:val="1"/>
        <w:numFmt w:val="decimal"/>
        <w:isLgl/>
        <w:lvlText w:val="%1."/>
        <w:lvlJc w:val="left"/>
        <w:pPr>
          <w:ind w:left="360" w:hanging="360"/>
        </w:pPr>
        <w:rPr>
          <w:rFonts w:ascii="Arial" w:hAnsi="Arial" w:cs="Arial" w:hint="default"/>
          <w:b w:val="0"/>
          <w:bCs w:val="0"/>
          <w:i w:val="0"/>
          <w:iCs w:val="0"/>
          <w:color w:val="000000" w:themeColor="text1"/>
          <w:sz w:val="24"/>
        </w:rPr>
      </w:lvl>
    </w:lvlOverride>
  </w:num>
  <w:num w:numId="4">
    <w:abstractNumId w:val="0"/>
  </w:num>
  <w:num w:numId="5">
    <w:abstractNumId w:val="7"/>
  </w:num>
  <w:num w:numId="6">
    <w:abstractNumId w:val="4"/>
  </w:num>
  <w:num w:numId="7">
    <w:abstractNumId w:val="0"/>
  </w:num>
  <w:num w:numId="8">
    <w:abstractNumId w:val="2"/>
  </w:num>
  <w:num w:numId="9">
    <w:abstractNumId w:val="7"/>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8"/>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4096" w:nlCheck="1" w:checkStyle="1"/>
  <w:activeWritingStyle w:appName="MSWord" w:lang="en-GB"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ZA" w:vendorID="64" w:dllVersion="0" w:nlCheck="1" w:checkStyle="0"/>
  <w:activeWritingStyle w:appName="MSWord" w:lang="en-GB" w:vendorID="64" w:dllVersion="0"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05"/>
    <w:rsid w:val="00000257"/>
    <w:rsid w:val="000063A5"/>
    <w:rsid w:val="0000740F"/>
    <w:rsid w:val="00007549"/>
    <w:rsid w:val="00011281"/>
    <w:rsid w:val="00011779"/>
    <w:rsid w:val="000167A0"/>
    <w:rsid w:val="00017049"/>
    <w:rsid w:val="00017257"/>
    <w:rsid w:val="00017FB1"/>
    <w:rsid w:val="00020A9F"/>
    <w:rsid w:val="00023FD2"/>
    <w:rsid w:val="00024ABE"/>
    <w:rsid w:val="00026820"/>
    <w:rsid w:val="00027054"/>
    <w:rsid w:val="00030FC0"/>
    <w:rsid w:val="000312B0"/>
    <w:rsid w:val="0003406E"/>
    <w:rsid w:val="00037399"/>
    <w:rsid w:val="00040BFA"/>
    <w:rsid w:val="00041DB9"/>
    <w:rsid w:val="0004765E"/>
    <w:rsid w:val="000539B3"/>
    <w:rsid w:val="000549CE"/>
    <w:rsid w:val="00055391"/>
    <w:rsid w:val="000559EA"/>
    <w:rsid w:val="00062297"/>
    <w:rsid w:val="00062323"/>
    <w:rsid w:val="00063152"/>
    <w:rsid w:val="00066E12"/>
    <w:rsid w:val="000710A5"/>
    <w:rsid w:val="00072CA7"/>
    <w:rsid w:val="000755BD"/>
    <w:rsid w:val="000763DF"/>
    <w:rsid w:val="000779CC"/>
    <w:rsid w:val="00082BE4"/>
    <w:rsid w:val="00086EDE"/>
    <w:rsid w:val="00090558"/>
    <w:rsid w:val="00090A70"/>
    <w:rsid w:val="000918A8"/>
    <w:rsid w:val="00094483"/>
    <w:rsid w:val="000974C0"/>
    <w:rsid w:val="00097AB1"/>
    <w:rsid w:val="000A11C3"/>
    <w:rsid w:val="000A1D24"/>
    <w:rsid w:val="000A2E18"/>
    <w:rsid w:val="000A361D"/>
    <w:rsid w:val="000A5B65"/>
    <w:rsid w:val="000A76E3"/>
    <w:rsid w:val="000B0AD1"/>
    <w:rsid w:val="000B2313"/>
    <w:rsid w:val="000B2F38"/>
    <w:rsid w:val="000B3D3E"/>
    <w:rsid w:val="000B5410"/>
    <w:rsid w:val="000C1879"/>
    <w:rsid w:val="000C4A2B"/>
    <w:rsid w:val="000C78F1"/>
    <w:rsid w:val="000D0A87"/>
    <w:rsid w:val="000D16AF"/>
    <w:rsid w:val="000D244B"/>
    <w:rsid w:val="000D245E"/>
    <w:rsid w:val="000D391C"/>
    <w:rsid w:val="000E2013"/>
    <w:rsid w:val="000E4512"/>
    <w:rsid w:val="000E53D3"/>
    <w:rsid w:val="000F02B2"/>
    <w:rsid w:val="000F069B"/>
    <w:rsid w:val="000F0F1B"/>
    <w:rsid w:val="000F2A5B"/>
    <w:rsid w:val="000F56EF"/>
    <w:rsid w:val="000F72C4"/>
    <w:rsid w:val="00100012"/>
    <w:rsid w:val="00101A8B"/>
    <w:rsid w:val="0011077E"/>
    <w:rsid w:val="00111F5B"/>
    <w:rsid w:val="00113DEE"/>
    <w:rsid w:val="00113E08"/>
    <w:rsid w:val="001145F5"/>
    <w:rsid w:val="0012039C"/>
    <w:rsid w:val="0012065C"/>
    <w:rsid w:val="00122FEE"/>
    <w:rsid w:val="001242A3"/>
    <w:rsid w:val="001244DC"/>
    <w:rsid w:val="00124FCE"/>
    <w:rsid w:val="00126BE7"/>
    <w:rsid w:val="00127826"/>
    <w:rsid w:val="0013564B"/>
    <w:rsid w:val="00137365"/>
    <w:rsid w:val="00140CA8"/>
    <w:rsid w:val="00141CC0"/>
    <w:rsid w:val="00142326"/>
    <w:rsid w:val="00143005"/>
    <w:rsid w:val="0014360B"/>
    <w:rsid w:val="001536BB"/>
    <w:rsid w:val="00154614"/>
    <w:rsid w:val="00154E0C"/>
    <w:rsid w:val="00156301"/>
    <w:rsid w:val="001565B5"/>
    <w:rsid w:val="00161809"/>
    <w:rsid w:val="00161B13"/>
    <w:rsid w:val="001629D8"/>
    <w:rsid w:val="00164214"/>
    <w:rsid w:val="00165700"/>
    <w:rsid w:val="00165E42"/>
    <w:rsid w:val="0017057E"/>
    <w:rsid w:val="00175989"/>
    <w:rsid w:val="00176713"/>
    <w:rsid w:val="00176E3A"/>
    <w:rsid w:val="00180AC8"/>
    <w:rsid w:val="00182074"/>
    <w:rsid w:val="00187237"/>
    <w:rsid w:val="00192A4D"/>
    <w:rsid w:val="001942A9"/>
    <w:rsid w:val="001A1A86"/>
    <w:rsid w:val="001A58C1"/>
    <w:rsid w:val="001A6837"/>
    <w:rsid w:val="001A79CD"/>
    <w:rsid w:val="001B0CDF"/>
    <w:rsid w:val="001B1292"/>
    <w:rsid w:val="001B27C9"/>
    <w:rsid w:val="001B3B2F"/>
    <w:rsid w:val="001B4B34"/>
    <w:rsid w:val="001B7A14"/>
    <w:rsid w:val="001C025B"/>
    <w:rsid w:val="001C23C2"/>
    <w:rsid w:val="001C4548"/>
    <w:rsid w:val="001C5919"/>
    <w:rsid w:val="001C6F93"/>
    <w:rsid w:val="001D17EF"/>
    <w:rsid w:val="001D26E4"/>
    <w:rsid w:val="001D2AB3"/>
    <w:rsid w:val="001D7ABD"/>
    <w:rsid w:val="001E12E0"/>
    <w:rsid w:val="001E4DA4"/>
    <w:rsid w:val="001E6D17"/>
    <w:rsid w:val="001F02A6"/>
    <w:rsid w:val="001F094E"/>
    <w:rsid w:val="001F1520"/>
    <w:rsid w:val="001F2B56"/>
    <w:rsid w:val="001F3B8D"/>
    <w:rsid w:val="001F3BF0"/>
    <w:rsid w:val="00200331"/>
    <w:rsid w:val="00200F16"/>
    <w:rsid w:val="002016D8"/>
    <w:rsid w:val="00202AF7"/>
    <w:rsid w:val="0020465F"/>
    <w:rsid w:val="00204735"/>
    <w:rsid w:val="00204DE0"/>
    <w:rsid w:val="00205C58"/>
    <w:rsid w:val="00206136"/>
    <w:rsid w:val="00207179"/>
    <w:rsid w:val="00210BF6"/>
    <w:rsid w:val="00212C28"/>
    <w:rsid w:val="00213B6F"/>
    <w:rsid w:val="0021594E"/>
    <w:rsid w:val="002172C0"/>
    <w:rsid w:val="00224F80"/>
    <w:rsid w:val="002263D8"/>
    <w:rsid w:val="00232456"/>
    <w:rsid w:val="00233BDD"/>
    <w:rsid w:val="002341EB"/>
    <w:rsid w:val="00235C5F"/>
    <w:rsid w:val="0023798D"/>
    <w:rsid w:val="0024272C"/>
    <w:rsid w:val="00245EDB"/>
    <w:rsid w:val="00250327"/>
    <w:rsid w:val="002569A8"/>
    <w:rsid w:val="00256FC3"/>
    <w:rsid w:val="00261F22"/>
    <w:rsid w:val="00262C5C"/>
    <w:rsid w:val="002657C7"/>
    <w:rsid w:val="00265EEB"/>
    <w:rsid w:val="00267D77"/>
    <w:rsid w:val="00272852"/>
    <w:rsid w:val="00273867"/>
    <w:rsid w:val="00273AF0"/>
    <w:rsid w:val="00276B7E"/>
    <w:rsid w:val="00277D71"/>
    <w:rsid w:val="00277E44"/>
    <w:rsid w:val="00280E78"/>
    <w:rsid w:val="00285D5D"/>
    <w:rsid w:val="00287811"/>
    <w:rsid w:val="002933FF"/>
    <w:rsid w:val="002A0EAA"/>
    <w:rsid w:val="002A19F3"/>
    <w:rsid w:val="002A3303"/>
    <w:rsid w:val="002A337E"/>
    <w:rsid w:val="002A5349"/>
    <w:rsid w:val="002A6104"/>
    <w:rsid w:val="002A7672"/>
    <w:rsid w:val="002B3164"/>
    <w:rsid w:val="002B5801"/>
    <w:rsid w:val="002C0357"/>
    <w:rsid w:val="002C49C2"/>
    <w:rsid w:val="002C5C7A"/>
    <w:rsid w:val="002C6DF6"/>
    <w:rsid w:val="002C76B4"/>
    <w:rsid w:val="002D2316"/>
    <w:rsid w:val="002D2C13"/>
    <w:rsid w:val="002D3D67"/>
    <w:rsid w:val="002D46E7"/>
    <w:rsid w:val="002D4CC7"/>
    <w:rsid w:val="002D6579"/>
    <w:rsid w:val="002E08A6"/>
    <w:rsid w:val="002E0A78"/>
    <w:rsid w:val="002E10C9"/>
    <w:rsid w:val="002E1C48"/>
    <w:rsid w:val="002E2FAB"/>
    <w:rsid w:val="002E3593"/>
    <w:rsid w:val="002E6434"/>
    <w:rsid w:val="002E70C5"/>
    <w:rsid w:val="002E7792"/>
    <w:rsid w:val="002F0A46"/>
    <w:rsid w:val="002F1BA9"/>
    <w:rsid w:val="00302EC3"/>
    <w:rsid w:val="0030377B"/>
    <w:rsid w:val="00303994"/>
    <w:rsid w:val="003110F4"/>
    <w:rsid w:val="0031389D"/>
    <w:rsid w:val="00313A49"/>
    <w:rsid w:val="00315088"/>
    <w:rsid w:val="00316F3F"/>
    <w:rsid w:val="0032142C"/>
    <w:rsid w:val="00325620"/>
    <w:rsid w:val="00330AA5"/>
    <w:rsid w:val="00333023"/>
    <w:rsid w:val="00337AF5"/>
    <w:rsid w:val="00344A1D"/>
    <w:rsid w:val="0034595E"/>
    <w:rsid w:val="00346DEB"/>
    <w:rsid w:val="00346FAC"/>
    <w:rsid w:val="0035055E"/>
    <w:rsid w:val="00351076"/>
    <w:rsid w:val="0035137E"/>
    <w:rsid w:val="00353F67"/>
    <w:rsid w:val="003544F0"/>
    <w:rsid w:val="003547F2"/>
    <w:rsid w:val="003608EB"/>
    <w:rsid w:val="00361196"/>
    <w:rsid w:val="00364579"/>
    <w:rsid w:val="003657F5"/>
    <w:rsid w:val="003715CD"/>
    <w:rsid w:val="003726E3"/>
    <w:rsid w:val="003733E2"/>
    <w:rsid w:val="003762A3"/>
    <w:rsid w:val="00376A46"/>
    <w:rsid w:val="00376B70"/>
    <w:rsid w:val="00377118"/>
    <w:rsid w:val="00380626"/>
    <w:rsid w:val="003808EA"/>
    <w:rsid w:val="00380EA4"/>
    <w:rsid w:val="00381EEC"/>
    <w:rsid w:val="003827B6"/>
    <w:rsid w:val="0038740C"/>
    <w:rsid w:val="0039014E"/>
    <w:rsid w:val="00390985"/>
    <w:rsid w:val="00391159"/>
    <w:rsid w:val="00391AA7"/>
    <w:rsid w:val="00393CAC"/>
    <w:rsid w:val="00395931"/>
    <w:rsid w:val="003A022A"/>
    <w:rsid w:val="003A4DD9"/>
    <w:rsid w:val="003A66E5"/>
    <w:rsid w:val="003A78E1"/>
    <w:rsid w:val="003B3EF4"/>
    <w:rsid w:val="003B59B3"/>
    <w:rsid w:val="003B5A3F"/>
    <w:rsid w:val="003C0A5D"/>
    <w:rsid w:val="003C39AD"/>
    <w:rsid w:val="003C3AF5"/>
    <w:rsid w:val="003C4C4D"/>
    <w:rsid w:val="003C597B"/>
    <w:rsid w:val="003C5D8C"/>
    <w:rsid w:val="003C725C"/>
    <w:rsid w:val="003C77EA"/>
    <w:rsid w:val="003D51C8"/>
    <w:rsid w:val="003D71A2"/>
    <w:rsid w:val="003E0715"/>
    <w:rsid w:val="003E0FB3"/>
    <w:rsid w:val="003E1D63"/>
    <w:rsid w:val="003E7052"/>
    <w:rsid w:val="003F18D8"/>
    <w:rsid w:val="003F24DF"/>
    <w:rsid w:val="003F7644"/>
    <w:rsid w:val="003F7851"/>
    <w:rsid w:val="004002AE"/>
    <w:rsid w:val="004068ED"/>
    <w:rsid w:val="004111BD"/>
    <w:rsid w:val="00414155"/>
    <w:rsid w:val="00417A9F"/>
    <w:rsid w:val="004200EF"/>
    <w:rsid w:val="00422BA6"/>
    <w:rsid w:val="004247BB"/>
    <w:rsid w:val="0043031B"/>
    <w:rsid w:val="00431F19"/>
    <w:rsid w:val="004352F9"/>
    <w:rsid w:val="004433B3"/>
    <w:rsid w:val="00443960"/>
    <w:rsid w:val="00443E00"/>
    <w:rsid w:val="00445251"/>
    <w:rsid w:val="004476B4"/>
    <w:rsid w:val="0045187C"/>
    <w:rsid w:val="004533FC"/>
    <w:rsid w:val="00457BB7"/>
    <w:rsid w:val="00461368"/>
    <w:rsid w:val="00462F88"/>
    <w:rsid w:val="00466C37"/>
    <w:rsid w:val="00467C54"/>
    <w:rsid w:val="00472517"/>
    <w:rsid w:val="004749C3"/>
    <w:rsid w:val="00475763"/>
    <w:rsid w:val="004770C3"/>
    <w:rsid w:val="00477DBA"/>
    <w:rsid w:val="0048278C"/>
    <w:rsid w:val="004831C0"/>
    <w:rsid w:val="0048368A"/>
    <w:rsid w:val="00483C25"/>
    <w:rsid w:val="00484FC7"/>
    <w:rsid w:val="00490261"/>
    <w:rsid w:val="00493AC1"/>
    <w:rsid w:val="00494A54"/>
    <w:rsid w:val="0049652E"/>
    <w:rsid w:val="004A2472"/>
    <w:rsid w:val="004A3B37"/>
    <w:rsid w:val="004A3E07"/>
    <w:rsid w:val="004A60A3"/>
    <w:rsid w:val="004A702D"/>
    <w:rsid w:val="004A7E96"/>
    <w:rsid w:val="004C124E"/>
    <w:rsid w:val="004C2A3D"/>
    <w:rsid w:val="004C358A"/>
    <w:rsid w:val="004C5CF6"/>
    <w:rsid w:val="004C65F8"/>
    <w:rsid w:val="004C79D3"/>
    <w:rsid w:val="004E3976"/>
    <w:rsid w:val="004E5C46"/>
    <w:rsid w:val="004F021D"/>
    <w:rsid w:val="004F3DFC"/>
    <w:rsid w:val="004F4564"/>
    <w:rsid w:val="004F6945"/>
    <w:rsid w:val="00502ACA"/>
    <w:rsid w:val="00503986"/>
    <w:rsid w:val="005111F9"/>
    <w:rsid w:val="005130E0"/>
    <w:rsid w:val="0051380E"/>
    <w:rsid w:val="00515C06"/>
    <w:rsid w:val="0051687E"/>
    <w:rsid w:val="005177EB"/>
    <w:rsid w:val="005218FF"/>
    <w:rsid w:val="005254FA"/>
    <w:rsid w:val="00533628"/>
    <w:rsid w:val="00534986"/>
    <w:rsid w:val="00534F2C"/>
    <w:rsid w:val="00535563"/>
    <w:rsid w:val="0053768C"/>
    <w:rsid w:val="00541456"/>
    <w:rsid w:val="00544247"/>
    <w:rsid w:val="00544B65"/>
    <w:rsid w:val="0054715C"/>
    <w:rsid w:val="00564148"/>
    <w:rsid w:val="0056526F"/>
    <w:rsid w:val="00566275"/>
    <w:rsid w:val="00566ED5"/>
    <w:rsid w:val="005705B3"/>
    <w:rsid w:val="0057431B"/>
    <w:rsid w:val="00575647"/>
    <w:rsid w:val="00577ADC"/>
    <w:rsid w:val="00577F14"/>
    <w:rsid w:val="00582E0B"/>
    <w:rsid w:val="00591910"/>
    <w:rsid w:val="0059547B"/>
    <w:rsid w:val="00595D30"/>
    <w:rsid w:val="00596538"/>
    <w:rsid w:val="00596725"/>
    <w:rsid w:val="00596746"/>
    <w:rsid w:val="00597217"/>
    <w:rsid w:val="00597605"/>
    <w:rsid w:val="005A058B"/>
    <w:rsid w:val="005A1481"/>
    <w:rsid w:val="005A3832"/>
    <w:rsid w:val="005C12B7"/>
    <w:rsid w:val="005C1FE4"/>
    <w:rsid w:val="005C3D87"/>
    <w:rsid w:val="005C5DDC"/>
    <w:rsid w:val="005C60DE"/>
    <w:rsid w:val="005D34AC"/>
    <w:rsid w:val="005D4DB3"/>
    <w:rsid w:val="005D5D46"/>
    <w:rsid w:val="005E02AB"/>
    <w:rsid w:val="005E4EC4"/>
    <w:rsid w:val="005E6A9D"/>
    <w:rsid w:val="005F28BE"/>
    <w:rsid w:val="005F5194"/>
    <w:rsid w:val="005F5E48"/>
    <w:rsid w:val="005F5E5D"/>
    <w:rsid w:val="00600448"/>
    <w:rsid w:val="00601700"/>
    <w:rsid w:val="0060724B"/>
    <w:rsid w:val="00610A75"/>
    <w:rsid w:val="006139DC"/>
    <w:rsid w:val="00627F6A"/>
    <w:rsid w:val="00633F14"/>
    <w:rsid w:val="00636A24"/>
    <w:rsid w:val="006445CC"/>
    <w:rsid w:val="00646677"/>
    <w:rsid w:val="00647514"/>
    <w:rsid w:val="00654E61"/>
    <w:rsid w:val="00657EF5"/>
    <w:rsid w:val="00662014"/>
    <w:rsid w:val="0066608E"/>
    <w:rsid w:val="00667B05"/>
    <w:rsid w:val="00671D3D"/>
    <w:rsid w:val="00671DB2"/>
    <w:rsid w:val="00672BF7"/>
    <w:rsid w:val="00672CF3"/>
    <w:rsid w:val="00676FC0"/>
    <w:rsid w:val="006829C5"/>
    <w:rsid w:val="00685112"/>
    <w:rsid w:val="006906AE"/>
    <w:rsid w:val="006947A4"/>
    <w:rsid w:val="00695529"/>
    <w:rsid w:val="00695BAE"/>
    <w:rsid w:val="00695C49"/>
    <w:rsid w:val="006977F5"/>
    <w:rsid w:val="006A086B"/>
    <w:rsid w:val="006A165B"/>
    <w:rsid w:val="006A2D18"/>
    <w:rsid w:val="006A4D39"/>
    <w:rsid w:val="006A64FD"/>
    <w:rsid w:val="006B52C3"/>
    <w:rsid w:val="006B7FCD"/>
    <w:rsid w:val="006C00FB"/>
    <w:rsid w:val="006D0B77"/>
    <w:rsid w:val="006D34B4"/>
    <w:rsid w:val="006D41BD"/>
    <w:rsid w:val="006D557A"/>
    <w:rsid w:val="006D5B10"/>
    <w:rsid w:val="006D737E"/>
    <w:rsid w:val="006D7A11"/>
    <w:rsid w:val="006E288B"/>
    <w:rsid w:val="006E2B5D"/>
    <w:rsid w:val="006E384C"/>
    <w:rsid w:val="006E4695"/>
    <w:rsid w:val="006E5038"/>
    <w:rsid w:val="006F18FB"/>
    <w:rsid w:val="006F4498"/>
    <w:rsid w:val="006F4539"/>
    <w:rsid w:val="006F7031"/>
    <w:rsid w:val="006F7AD0"/>
    <w:rsid w:val="00703810"/>
    <w:rsid w:val="00703B18"/>
    <w:rsid w:val="00704240"/>
    <w:rsid w:val="00705246"/>
    <w:rsid w:val="007108EC"/>
    <w:rsid w:val="00712044"/>
    <w:rsid w:val="00712734"/>
    <w:rsid w:val="00712CEA"/>
    <w:rsid w:val="007145AA"/>
    <w:rsid w:val="0071724E"/>
    <w:rsid w:val="00726594"/>
    <w:rsid w:val="007277CD"/>
    <w:rsid w:val="00733BE6"/>
    <w:rsid w:val="00743808"/>
    <w:rsid w:val="00744690"/>
    <w:rsid w:val="00744748"/>
    <w:rsid w:val="00745F44"/>
    <w:rsid w:val="007471A7"/>
    <w:rsid w:val="0075014B"/>
    <w:rsid w:val="00750B82"/>
    <w:rsid w:val="007530D5"/>
    <w:rsid w:val="0075615F"/>
    <w:rsid w:val="007577CE"/>
    <w:rsid w:val="0076157B"/>
    <w:rsid w:val="00763DF7"/>
    <w:rsid w:val="00766060"/>
    <w:rsid w:val="00766A6A"/>
    <w:rsid w:val="00770F06"/>
    <w:rsid w:val="007724EA"/>
    <w:rsid w:val="00781B16"/>
    <w:rsid w:val="00781C35"/>
    <w:rsid w:val="00781D55"/>
    <w:rsid w:val="0078256C"/>
    <w:rsid w:val="00782A98"/>
    <w:rsid w:val="007901F7"/>
    <w:rsid w:val="00790FFF"/>
    <w:rsid w:val="007915A2"/>
    <w:rsid w:val="00791878"/>
    <w:rsid w:val="007922E8"/>
    <w:rsid w:val="00793230"/>
    <w:rsid w:val="00793965"/>
    <w:rsid w:val="00795246"/>
    <w:rsid w:val="00797391"/>
    <w:rsid w:val="007A4D40"/>
    <w:rsid w:val="007A61A6"/>
    <w:rsid w:val="007A71E6"/>
    <w:rsid w:val="007B41F3"/>
    <w:rsid w:val="007B69EA"/>
    <w:rsid w:val="007B703C"/>
    <w:rsid w:val="007C7B7D"/>
    <w:rsid w:val="007D20FB"/>
    <w:rsid w:val="007D24E3"/>
    <w:rsid w:val="007E3E32"/>
    <w:rsid w:val="007F0E86"/>
    <w:rsid w:val="007F33DA"/>
    <w:rsid w:val="007F609F"/>
    <w:rsid w:val="00801D65"/>
    <w:rsid w:val="00805016"/>
    <w:rsid w:val="00805999"/>
    <w:rsid w:val="00807AE2"/>
    <w:rsid w:val="0081046F"/>
    <w:rsid w:val="00816B37"/>
    <w:rsid w:val="00816E2E"/>
    <w:rsid w:val="00816F26"/>
    <w:rsid w:val="00825BF9"/>
    <w:rsid w:val="00830282"/>
    <w:rsid w:val="008321EE"/>
    <w:rsid w:val="00832E7E"/>
    <w:rsid w:val="00836EBD"/>
    <w:rsid w:val="00837050"/>
    <w:rsid w:val="0083778B"/>
    <w:rsid w:val="008404D6"/>
    <w:rsid w:val="00840580"/>
    <w:rsid w:val="0084148D"/>
    <w:rsid w:val="00847558"/>
    <w:rsid w:val="008478C0"/>
    <w:rsid w:val="00847BAC"/>
    <w:rsid w:val="00847F80"/>
    <w:rsid w:val="0085034E"/>
    <w:rsid w:val="00852A66"/>
    <w:rsid w:val="00854195"/>
    <w:rsid w:val="00856DF7"/>
    <w:rsid w:val="0086035E"/>
    <w:rsid w:val="00862D66"/>
    <w:rsid w:val="00866CDD"/>
    <w:rsid w:val="0086715D"/>
    <w:rsid w:val="00876C96"/>
    <w:rsid w:val="008807D5"/>
    <w:rsid w:val="00881E4B"/>
    <w:rsid w:val="00882233"/>
    <w:rsid w:val="0088355A"/>
    <w:rsid w:val="0088464E"/>
    <w:rsid w:val="008861AD"/>
    <w:rsid w:val="00886344"/>
    <w:rsid w:val="008902A4"/>
    <w:rsid w:val="00897630"/>
    <w:rsid w:val="00897B7E"/>
    <w:rsid w:val="008A10BC"/>
    <w:rsid w:val="008A287F"/>
    <w:rsid w:val="008A4801"/>
    <w:rsid w:val="008A7032"/>
    <w:rsid w:val="008B07E8"/>
    <w:rsid w:val="008B0CAB"/>
    <w:rsid w:val="008B2C65"/>
    <w:rsid w:val="008B3465"/>
    <w:rsid w:val="008B3B2F"/>
    <w:rsid w:val="008B4CC8"/>
    <w:rsid w:val="008B66BC"/>
    <w:rsid w:val="008C1EF4"/>
    <w:rsid w:val="008C3356"/>
    <w:rsid w:val="008C5C1C"/>
    <w:rsid w:val="008D0B44"/>
    <w:rsid w:val="008D7503"/>
    <w:rsid w:val="008D7C77"/>
    <w:rsid w:val="008D7FAA"/>
    <w:rsid w:val="008E1971"/>
    <w:rsid w:val="008E4B68"/>
    <w:rsid w:val="008E4F24"/>
    <w:rsid w:val="008F13C1"/>
    <w:rsid w:val="008F1D80"/>
    <w:rsid w:val="008F1F58"/>
    <w:rsid w:val="008F22A2"/>
    <w:rsid w:val="008F4289"/>
    <w:rsid w:val="008F4E2D"/>
    <w:rsid w:val="009006D2"/>
    <w:rsid w:val="00903BD9"/>
    <w:rsid w:val="0090408C"/>
    <w:rsid w:val="009062CC"/>
    <w:rsid w:val="00920B26"/>
    <w:rsid w:val="0092274B"/>
    <w:rsid w:val="009244DD"/>
    <w:rsid w:val="00925E0B"/>
    <w:rsid w:val="009341B0"/>
    <w:rsid w:val="009401DC"/>
    <w:rsid w:val="00945697"/>
    <w:rsid w:val="009463BC"/>
    <w:rsid w:val="00950ACE"/>
    <w:rsid w:val="00952010"/>
    <w:rsid w:val="00956C0D"/>
    <w:rsid w:val="0096235E"/>
    <w:rsid w:val="009642A2"/>
    <w:rsid w:val="00965A8C"/>
    <w:rsid w:val="00966A7A"/>
    <w:rsid w:val="0096788B"/>
    <w:rsid w:val="0097277B"/>
    <w:rsid w:val="00972BF6"/>
    <w:rsid w:val="00974C29"/>
    <w:rsid w:val="0097792C"/>
    <w:rsid w:val="00981BE9"/>
    <w:rsid w:val="00983D55"/>
    <w:rsid w:val="00984B12"/>
    <w:rsid w:val="0098687C"/>
    <w:rsid w:val="00992DA9"/>
    <w:rsid w:val="00993F1C"/>
    <w:rsid w:val="009A2E99"/>
    <w:rsid w:val="009A5AED"/>
    <w:rsid w:val="009A7AD2"/>
    <w:rsid w:val="009B7462"/>
    <w:rsid w:val="009B7F64"/>
    <w:rsid w:val="009C2229"/>
    <w:rsid w:val="009C6503"/>
    <w:rsid w:val="009D0D37"/>
    <w:rsid w:val="009D2048"/>
    <w:rsid w:val="009D65CF"/>
    <w:rsid w:val="009E36D6"/>
    <w:rsid w:val="009E3E53"/>
    <w:rsid w:val="009E5FC9"/>
    <w:rsid w:val="009E787D"/>
    <w:rsid w:val="009F0869"/>
    <w:rsid w:val="009F1BEC"/>
    <w:rsid w:val="009F2C1B"/>
    <w:rsid w:val="009F4E02"/>
    <w:rsid w:val="009F6F69"/>
    <w:rsid w:val="009F76AD"/>
    <w:rsid w:val="00A01031"/>
    <w:rsid w:val="00A04809"/>
    <w:rsid w:val="00A056F7"/>
    <w:rsid w:val="00A059CC"/>
    <w:rsid w:val="00A063CD"/>
    <w:rsid w:val="00A12F56"/>
    <w:rsid w:val="00A1300D"/>
    <w:rsid w:val="00A1359E"/>
    <w:rsid w:val="00A15CF7"/>
    <w:rsid w:val="00A23220"/>
    <w:rsid w:val="00A264BD"/>
    <w:rsid w:val="00A304BD"/>
    <w:rsid w:val="00A3102C"/>
    <w:rsid w:val="00A311AE"/>
    <w:rsid w:val="00A339D1"/>
    <w:rsid w:val="00A3719D"/>
    <w:rsid w:val="00A41E39"/>
    <w:rsid w:val="00A41F49"/>
    <w:rsid w:val="00A438D1"/>
    <w:rsid w:val="00A45BC8"/>
    <w:rsid w:val="00A477BB"/>
    <w:rsid w:val="00A50DAD"/>
    <w:rsid w:val="00A54070"/>
    <w:rsid w:val="00A545E8"/>
    <w:rsid w:val="00A55570"/>
    <w:rsid w:val="00A564F6"/>
    <w:rsid w:val="00A575CC"/>
    <w:rsid w:val="00A61053"/>
    <w:rsid w:val="00A6141A"/>
    <w:rsid w:val="00A61DE8"/>
    <w:rsid w:val="00A66131"/>
    <w:rsid w:val="00A66F84"/>
    <w:rsid w:val="00A74B33"/>
    <w:rsid w:val="00A75A13"/>
    <w:rsid w:val="00A76642"/>
    <w:rsid w:val="00A86276"/>
    <w:rsid w:val="00A87AB9"/>
    <w:rsid w:val="00A927AE"/>
    <w:rsid w:val="00A97CE7"/>
    <w:rsid w:val="00AA02A3"/>
    <w:rsid w:val="00AA2B04"/>
    <w:rsid w:val="00AA4A1D"/>
    <w:rsid w:val="00AA4C55"/>
    <w:rsid w:val="00AA51E0"/>
    <w:rsid w:val="00AB2FEF"/>
    <w:rsid w:val="00AB65B8"/>
    <w:rsid w:val="00AB6C00"/>
    <w:rsid w:val="00AB6C5F"/>
    <w:rsid w:val="00AB70EA"/>
    <w:rsid w:val="00AC0DAD"/>
    <w:rsid w:val="00AC274B"/>
    <w:rsid w:val="00AC3AF2"/>
    <w:rsid w:val="00AC7336"/>
    <w:rsid w:val="00AD01DC"/>
    <w:rsid w:val="00AD0C91"/>
    <w:rsid w:val="00AD3161"/>
    <w:rsid w:val="00AE3862"/>
    <w:rsid w:val="00AE45E4"/>
    <w:rsid w:val="00AE7478"/>
    <w:rsid w:val="00AF256A"/>
    <w:rsid w:val="00AF5832"/>
    <w:rsid w:val="00B02125"/>
    <w:rsid w:val="00B03140"/>
    <w:rsid w:val="00B033F2"/>
    <w:rsid w:val="00B0355F"/>
    <w:rsid w:val="00B048E9"/>
    <w:rsid w:val="00B0542B"/>
    <w:rsid w:val="00B1311D"/>
    <w:rsid w:val="00B1415D"/>
    <w:rsid w:val="00B21595"/>
    <w:rsid w:val="00B21CF8"/>
    <w:rsid w:val="00B2245C"/>
    <w:rsid w:val="00B23C7C"/>
    <w:rsid w:val="00B24852"/>
    <w:rsid w:val="00B24863"/>
    <w:rsid w:val="00B3181C"/>
    <w:rsid w:val="00B34515"/>
    <w:rsid w:val="00B366C2"/>
    <w:rsid w:val="00B379DD"/>
    <w:rsid w:val="00B37D8F"/>
    <w:rsid w:val="00B417AA"/>
    <w:rsid w:val="00B41815"/>
    <w:rsid w:val="00B45956"/>
    <w:rsid w:val="00B479A3"/>
    <w:rsid w:val="00B51C1F"/>
    <w:rsid w:val="00B5372A"/>
    <w:rsid w:val="00B55570"/>
    <w:rsid w:val="00B55EB9"/>
    <w:rsid w:val="00B71C6D"/>
    <w:rsid w:val="00B72D7F"/>
    <w:rsid w:val="00B75E24"/>
    <w:rsid w:val="00B84F03"/>
    <w:rsid w:val="00B86090"/>
    <w:rsid w:val="00B90605"/>
    <w:rsid w:val="00B91E16"/>
    <w:rsid w:val="00B966E6"/>
    <w:rsid w:val="00B96DE8"/>
    <w:rsid w:val="00BA26B7"/>
    <w:rsid w:val="00BA36BB"/>
    <w:rsid w:val="00BA3F9C"/>
    <w:rsid w:val="00BA466A"/>
    <w:rsid w:val="00BA4A76"/>
    <w:rsid w:val="00BA525A"/>
    <w:rsid w:val="00BA5788"/>
    <w:rsid w:val="00BA57FE"/>
    <w:rsid w:val="00BA5D1C"/>
    <w:rsid w:val="00BA7FD3"/>
    <w:rsid w:val="00BB37D6"/>
    <w:rsid w:val="00BB499E"/>
    <w:rsid w:val="00BC0D9E"/>
    <w:rsid w:val="00BC2529"/>
    <w:rsid w:val="00BC345C"/>
    <w:rsid w:val="00BD4025"/>
    <w:rsid w:val="00BD6DE6"/>
    <w:rsid w:val="00BD6F3C"/>
    <w:rsid w:val="00BE02B1"/>
    <w:rsid w:val="00BE3DA8"/>
    <w:rsid w:val="00BE420C"/>
    <w:rsid w:val="00BF1F84"/>
    <w:rsid w:val="00BF37FC"/>
    <w:rsid w:val="00BF3A5A"/>
    <w:rsid w:val="00BF521D"/>
    <w:rsid w:val="00BF67CB"/>
    <w:rsid w:val="00C03F58"/>
    <w:rsid w:val="00C076C3"/>
    <w:rsid w:val="00C12B0F"/>
    <w:rsid w:val="00C16556"/>
    <w:rsid w:val="00C20049"/>
    <w:rsid w:val="00C21631"/>
    <w:rsid w:val="00C24A8A"/>
    <w:rsid w:val="00C266E1"/>
    <w:rsid w:val="00C2743D"/>
    <w:rsid w:val="00C32CB4"/>
    <w:rsid w:val="00C348EA"/>
    <w:rsid w:val="00C40F4B"/>
    <w:rsid w:val="00C44C16"/>
    <w:rsid w:val="00C458F1"/>
    <w:rsid w:val="00C45E0F"/>
    <w:rsid w:val="00C53B24"/>
    <w:rsid w:val="00C55190"/>
    <w:rsid w:val="00C560D2"/>
    <w:rsid w:val="00C57953"/>
    <w:rsid w:val="00C647EE"/>
    <w:rsid w:val="00C64A68"/>
    <w:rsid w:val="00C67CEC"/>
    <w:rsid w:val="00C7139E"/>
    <w:rsid w:val="00C7221B"/>
    <w:rsid w:val="00C74E13"/>
    <w:rsid w:val="00C909E2"/>
    <w:rsid w:val="00C92A3F"/>
    <w:rsid w:val="00C92CE0"/>
    <w:rsid w:val="00C9382E"/>
    <w:rsid w:val="00C953DE"/>
    <w:rsid w:val="00C96FE8"/>
    <w:rsid w:val="00CA4715"/>
    <w:rsid w:val="00CA4DCD"/>
    <w:rsid w:val="00CA558A"/>
    <w:rsid w:val="00CB154C"/>
    <w:rsid w:val="00CB1759"/>
    <w:rsid w:val="00CB21A6"/>
    <w:rsid w:val="00CB4BB1"/>
    <w:rsid w:val="00CB6831"/>
    <w:rsid w:val="00CC06E6"/>
    <w:rsid w:val="00CC08F4"/>
    <w:rsid w:val="00CC0BD4"/>
    <w:rsid w:val="00CC4521"/>
    <w:rsid w:val="00CC7C6D"/>
    <w:rsid w:val="00CD124A"/>
    <w:rsid w:val="00CD2E4C"/>
    <w:rsid w:val="00CD52F2"/>
    <w:rsid w:val="00CE0371"/>
    <w:rsid w:val="00CF086B"/>
    <w:rsid w:val="00CF0D42"/>
    <w:rsid w:val="00CF1B43"/>
    <w:rsid w:val="00CF2477"/>
    <w:rsid w:val="00CF6406"/>
    <w:rsid w:val="00CF6AEF"/>
    <w:rsid w:val="00CF791D"/>
    <w:rsid w:val="00D03F2B"/>
    <w:rsid w:val="00D062F8"/>
    <w:rsid w:val="00D1108D"/>
    <w:rsid w:val="00D16FAA"/>
    <w:rsid w:val="00D17628"/>
    <w:rsid w:val="00D17DC4"/>
    <w:rsid w:val="00D17EA3"/>
    <w:rsid w:val="00D20BCF"/>
    <w:rsid w:val="00D23C38"/>
    <w:rsid w:val="00D26052"/>
    <w:rsid w:val="00D26BE0"/>
    <w:rsid w:val="00D272CC"/>
    <w:rsid w:val="00D30280"/>
    <w:rsid w:val="00D307F9"/>
    <w:rsid w:val="00D32202"/>
    <w:rsid w:val="00D379D7"/>
    <w:rsid w:val="00D40F51"/>
    <w:rsid w:val="00D45721"/>
    <w:rsid w:val="00D459A8"/>
    <w:rsid w:val="00D47C0E"/>
    <w:rsid w:val="00D50D74"/>
    <w:rsid w:val="00D5454E"/>
    <w:rsid w:val="00D55FC5"/>
    <w:rsid w:val="00D56081"/>
    <w:rsid w:val="00D576E5"/>
    <w:rsid w:val="00D606EC"/>
    <w:rsid w:val="00D61141"/>
    <w:rsid w:val="00D62774"/>
    <w:rsid w:val="00D63205"/>
    <w:rsid w:val="00D64F16"/>
    <w:rsid w:val="00D71E67"/>
    <w:rsid w:val="00D75B42"/>
    <w:rsid w:val="00D8154B"/>
    <w:rsid w:val="00D85491"/>
    <w:rsid w:val="00D85CC1"/>
    <w:rsid w:val="00D9285C"/>
    <w:rsid w:val="00D9516D"/>
    <w:rsid w:val="00D9797D"/>
    <w:rsid w:val="00D97F31"/>
    <w:rsid w:val="00DA18C6"/>
    <w:rsid w:val="00DA55B9"/>
    <w:rsid w:val="00DA596F"/>
    <w:rsid w:val="00DA6F71"/>
    <w:rsid w:val="00DA7145"/>
    <w:rsid w:val="00DB1221"/>
    <w:rsid w:val="00DB1724"/>
    <w:rsid w:val="00DB31FA"/>
    <w:rsid w:val="00DB44F3"/>
    <w:rsid w:val="00DB5519"/>
    <w:rsid w:val="00DB605B"/>
    <w:rsid w:val="00DB7DD3"/>
    <w:rsid w:val="00DC323F"/>
    <w:rsid w:val="00DC3F09"/>
    <w:rsid w:val="00DC4FB5"/>
    <w:rsid w:val="00DC6F94"/>
    <w:rsid w:val="00DC76A3"/>
    <w:rsid w:val="00DD0B3F"/>
    <w:rsid w:val="00DD3197"/>
    <w:rsid w:val="00DD669E"/>
    <w:rsid w:val="00DD775A"/>
    <w:rsid w:val="00DE1A38"/>
    <w:rsid w:val="00DE39CE"/>
    <w:rsid w:val="00DE581F"/>
    <w:rsid w:val="00DE7A1C"/>
    <w:rsid w:val="00DE7A73"/>
    <w:rsid w:val="00DF0366"/>
    <w:rsid w:val="00DF0942"/>
    <w:rsid w:val="00DF1BC7"/>
    <w:rsid w:val="00DF377A"/>
    <w:rsid w:val="00E00B7E"/>
    <w:rsid w:val="00E01016"/>
    <w:rsid w:val="00E0198A"/>
    <w:rsid w:val="00E02D0E"/>
    <w:rsid w:val="00E05366"/>
    <w:rsid w:val="00E108F9"/>
    <w:rsid w:val="00E13AC8"/>
    <w:rsid w:val="00E1482F"/>
    <w:rsid w:val="00E14852"/>
    <w:rsid w:val="00E14F59"/>
    <w:rsid w:val="00E15453"/>
    <w:rsid w:val="00E16D08"/>
    <w:rsid w:val="00E2225E"/>
    <w:rsid w:val="00E231E1"/>
    <w:rsid w:val="00E24F45"/>
    <w:rsid w:val="00E27D56"/>
    <w:rsid w:val="00E31442"/>
    <w:rsid w:val="00E35E51"/>
    <w:rsid w:val="00E4072F"/>
    <w:rsid w:val="00E41669"/>
    <w:rsid w:val="00E43455"/>
    <w:rsid w:val="00E43A0A"/>
    <w:rsid w:val="00E45D7D"/>
    <w:rsid w:val="00E47347"/>
    <w:rsid w:val="00E515A6"/>
    <w:rsid w:val="00E5165B"/>
    <w:rsid w:val="00E618C7"/>
    <w:rsid w:val="00E618CB"/>
    <w:rsid w:val="00E70310"/>
    <w:rsid w:val="00E72C99"/>
    <w:rsid w:val="00E73C9C"/>
    <w:rsid w:val="00E76A4E"/>
    <w:rsid w:val="00E81B03"/>
    <w:rsid w:val="00E84063"/>
    <w:rsid w:val="00E85FFF"/>
    <w:rsid w:val="00E87629"/>
    <w:rsid w:val="00E91F71"/>
    <w:rsid w:val="00E92038"/>
    <w:rsid w:val="00E94183"/>
    <w:rsid w:val="00E94EE9"/>
    <w:rsid w:val="00EA219F"/>
    <w:rsid w:val="00EA28A4"/>
    <w:rsid w:val="00EA3E27"/>
    <w:rsid w:val="00EA6EB1"/>
    <w:rsid w:val="00EB0214"/>
    <w:rsid w:val="00EB4CAF"/>
    <w:rsid w:val="00EB65C2"/>
    <w:rsid w:val="00EC22EA"/>
    <w:rsid w:val="00EC2FB1"/>
    <w:rsid w:val="00EC6B52"/>
    <w:rsid w:val="00EC6E10"/>
    <w:rsid w:val="00ED1211"/>
    <w:rsid w:val="00ED3C19"/>
    <w:rsid w:val="00ED4524"/>
    <w:rsid w:val="00ED67CA"/>
    <w:rsid w:val="00ED7FBB"/>
    <w:rsid w:val="00EE5457"/>
    <w:rsid w:val="00EF0B46"/>
    <w:rsid w:val="00EF5F66"/>
    <w:rsid w:val="00EF6EE7"/>
    <w:rsid w:val="00EF7BAF"/>
    <w:rsid w:val="00F07896"/>
    <w:rsid w:val="00F130BD"/>
    <w:rsid w:val="00F14A80"/>
    <w:rsid w:val="00F162D4"/>
    <w:rsid w:val="00F21F6B"/>
    <w:rsid w:val="00F22482"/>
    <w:rsid w:val="00F229C8"/>
    <w:rsid w:val="00F25871"/>
    <w:rsid w:val="00F25F2C"/>
    <w:rsid w:val="00F26999"/>
    <w:rsid w:val="00F27714"/>
    <w:rsid w:val="00F329B4"/>
    <w:rsid w:val="00F34AA6"/>
    <w:rsid w:val="00F3656A"/>
    <w:rsid w:val="00F42D6A"/>
    <w:rsid w:val="00F43A25"/>
    <w:rsid w:val="00F43AC4"/>
    <w:rsid w:val="00F502C2"/>
    <w:rsid w:val="00F51C96"/>
    <w:rsid w:val="00F52239"/>
    <w:rsid w:val="00F53416"/>
    <w:rsid w:val="00F54CD3"/>
    <w:rsid w:val="00F55E63"/>
    <w:rsid w:val="00F578A5"/>
    <w:rsid w:val="00F615E1"/>
    <w:rsid w:val="00F62D7C"/>
    <w:rsid w:val="00F639B9"/>
    <w:rsid w:val="00F66CD6"/>
    <w:rsid w:val="00F704E0"/>
    <w:rsid w:val="00F71206"/>
    <w:rsid w:val="00F74037"/>
    <w:rsid w:val="00F74E0D"/>
    <w:rsid w:val="00F756DC"/>
    <w:rsid w:val="00F85DF6"/>
    <w:rsid w:val="00F86FD7"/>
    <w:rsid w:val="00F903BB"/>
    <w:rsid w:val="00F94CC2"/>
    <w:rsid w:val="00F96720"/>
    <w:rsid w:val="00F96912"/>
    <w:rsid w:val="00FB2110"/>
    <w:rsid w:val="00FB2858"/>
    <w:rsid w:val="00FB65DC"/>
    <w:rsid w:val="00FB6FB9"/>
    <w:rsid w:val="00FC1273"/>
    <w:rsid w:val="00FC62D0"/>
    <w:rsid w:val="00FC7362"/>
    <w:rsid w:val="00FD1E6D"/>
    <w:rsid w:val="00FD23AE"/>
    <w:rsid w:val="00FD32E0"/>
    <w:rsid w:val="00FD4163"/>
    <w:rsid w:val="00FD539B"/>
    <w:rsid w:val="00FE0D3F"/>
    <w:rsid w:val="00FE2D11"/>
    <w:rsid w:val="00FE391C"/>
    <w:rsid w:val="00FE4938"/>
    <w:rsid w:val="00FE56E1"/>
    <w:rsid w:val="00FE5DA7"/>
    <w:rsid w:val="00FE6363"/>
    <w:rsid w:val="00FF022B"/>
    <w:rsid w:val="00FF21D5"/>
    <w:rsid w:val="00FF473C"/>
    <w:rsid w:val="00FF57FE"/>
    <w:rsid w:val="00FF5976"/>
    <w:rsid w:val="00FF5CC6"/>
    <w:rsid w:val="00FF6760"/>
    <w:rsid w:val="00FF67F5"/>
    <w:rsid w:val="00FF6CC4"/>
    <w:rsid w:val="00FF7F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6AFCA"/>
  <w15:chartTrackingRefBased/>
  <w15:docId w15:val="{AE18B426-9CFE-B54E-A2F0-1E8236D2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6B"/>
    <w:rPr>
      <w:rFonts w:ascii="Times New Roman" w:eastAsia="Times New Roman" w:hAnsi="Times New Roman" w:cs="Times New Roman"/>
    </w:rPr>
  </w:style>
  <w:style w:type="paragraph" w:styleId="Heading1">
    <w:name w:val="heading 1"/>
    <w:basedOn w:val="Normal"/>
    <w:next w:val="Normal"/>
    <w:link w:val="Heading1Char"/>
    <w:uiPriority w:val="9"/>
    <w:qFormat/>
    <w:rsid w:val="00672CF3"/>
    <w:pPr>
      <w:keepNext/>
      <w:spacing w:before="480" w:after="240" w:line="480" w:lineRule="auto"/>
      <w:jc w:val="both"/>
      <w:outlineLvl w:val="0"/>
    </w:pPr>
    <w:rPr>
      <w:rFonts w:ascii="Arial" w:hAnsi="Arial" w:cs="Arial"/>
      <w:b/>
      <w:bCs/>
      <w:sz w:val="22"/>
      <w:szCs w:val="22"/>
    </w:rPr>
  </w:style>
  <w:style w:type="paragraph" w:styleId="Heading2">
    <w:name w:val="heading 2"/>
    <w:basedOn w:val="WestPleadingpara1"/>
    <w:next w:val="Normal"/>
    <w:link w:val="Heading2Char"/>
    <w:uiPriority w:val="9"/>
    <w:unhideWhenUsed/>
    <w:qFormat/>
    <w:rsid w:val="00A55570"/>
    <w:pPr>
      <w:numPr>
        <w:numId w:val="0"/>
      </w:numPr>
      <w:tabs>
        <w:tab w:val="left" w:pos="567"/>
      </w:tabs>
      <w:ind w:left="624" w:hanging="624"/>
      <w:outlineLvl w:val="1"/>
    </w:pPr>
    <w:rPr>
      <w:b/>
      <w:bCs/>
      <w:u w:val="single"/>
    </w:rPr>
  </w:style>
  <w:style w:type="paragraph" w:styleId="Heading3">
    <w:name w:val="heading 3"/>
    <w:basedOn w:val="Normal"/>
    <w:next w:val="Normal"/>
    <w:link w:val="Heading3Char"/>
    <w:uiPriority w:val="9"/>
    <w:semiHidden/>
    <w:unhideWhenUsed/>
    <w:qFormat/>
    <w:rsid w:val="00F25F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5F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5F2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F3"/>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A55570"/>
    <w:rPr>
      <w:rFonts w:ascii="Arial" w:eastAsia="Times New Roman" w:hAnsi="Arial" w:cs="Arial"/>
      <w:b/>
      <w:bCs/>
      <w:kern w:val="32"/>
      <w:sz w:val="22"/>
      <w:szCs w:val="22"/>
      <w:u w:val="single"/>
    </w:rPr>
  </w:style>
  <w:style w:type="numbering" w:customStyle="1" w:styleId="Style1">
    <w:name w:val="Style1"/>
    <w:uiPriority w:val="99"/>
    <w:rsid w:val="007B69EA"/>
    <w:pPr>
      <w:numPr>
        <w:numId w:val="1"/>
      </w:numPr>
    </w:pPr>
  </w:style>
  <w:style w:type="paragraph" w:customStyle="1" w:styleId="WestPleadingpara1">
    <w:name w:val="West Pleading para 1"/>
    <w:basedOn w:val="BGHeading1AltQ"/>
    <w:link w:val="WestPleadingpara1Char"/>
    <w:qFormat/>
    <w:rsid w:val="00CF086B"/>
    <w:pPr>
      <w:widowControl/>
      <w:numPr>
        <w:numId w:val="5"/>
      </w:numPr>
      <w:spacing w:line="480" w:lineRule="auto"/>
      <w:ind w:left="0"/>
    </w:pPr>
    <w:rPr>
      <w:caps w:val="0"/>
      <w:sz w:val="24"/>
    </w:rPr>
  </w:style>
  <w:style w:type="paragraph" w:styleId="ListParagraph">
    <w:name w:val="List Paragraph"/>
    <w:basedOn w:val="Normal"/>
    <w:link w:val="ListParagraphChar"/>
    <w:uiPriority w:val="34"/>
    <w:qFormat/>
    <w:rsid w:val="002B5801"/>
    <w:pPr>
      <w:ind w:left="720"/>
      <w:contextualSpacing/>
    </w:pPr>
  </w:style>
  <w:style w:type="paragraph" w:customStyle="1" w:styleId="WestPleadingpara2">
    <w:name w:val="West Pleading para 2"/>
    <w:basedOn w:val="BGHeading1AltQ"/>
    <w:link w:val="WestPleadingpara2Char"/>
    <w:qFormat/>
    <w:rsid w:val="00CF086B"/>
    <w:pPr>
      <w:widowControl/>
      <w:numPr>
        <w:ilvl w:val="1"/>
        <w:numId w:val="5"/>
      </w:numPr>
      <w:tabs>
        <w:tab w:val="left" w:pos="1418"/>
      </w:tabs>
      <w:spacing w:line="480" w:lineRule="auto"/>
    </w:pPr>
    <w:rPr>
      <w:caps w:val="0"/>
      <w:sz w:val="24"/>
    </w:rPr>
  </w:style>
  <w:style w:type="paragraph" w:customStyle="1" w:styleId="WestPleadingpara3">
    <w:name w:val="West Pleading para 3"/>
    <w:basedOn w:val="BGHeading1AltQ"/>
    <w:qFormat/>
    <w:rsid w:val="008F1F58"/>
    <w:pPr>
      <w:widowControl/>
      <w:numPr>
        <w:ilvl w:val="2"/>
        <w:numId w:val="5"/>
      </w:numPr>
      <w:tabs>
        <w:tab w:val="left" w:pos="2268"/>
      </w:tabs>
      <w:spacing w:line="240" w:lineRule="auto"/>
    </w:pPr>
    <w:rPr>
      <w:caps w:val="0"/>
      <w:sz w:val="24"/>
    </w:rPr>
  </w:style>
  <w:style w:type="table" w:styleId="TableGrid">
    <w:name w:val="Table Grid"/>
    <w:basedOn w:val="TableNormal"/>
    <w:uiPriority w:val="39"/>
    <w:rsid w:val="0086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D46"/>
    <w:pPr>
      <w:tabs>
        <w:tab w:val="center" w:pos="4680"/>
        <w:tab w:val="right" w:pos="9360"/>
      </w:tabs>
    </w:pPr>
  </w:style>
  <w:style w:type="character" w:customStyle="1" w:styleId="HeaderChar">
    <w:name w:val="Header Char"/>
    <w:basedOn w:val="DefaultParagraphFont"/>
    <w:link w:val="Header"/>
    <w:uiPriority w:val="99"/>
    <w:rsid w:val="005D5D46"/>
    <w:rPr>
      <w:rFonts w:ascii="Arial" w:hAnsi="Arial"/>
      <w:lang w:val="en-GB"/>
    </w:rPr>
  </w:style>
  <w:style w:type="paragraph" w:styleId="Footer">
    <w:name w:val="footer"/>
    <w:basedOn w:val="Normal"/>
    <w:link w:val="FooterChar"/>
    <w:uiPriority w:val="99"/>
    <w:unhideWhenUsed/>
    <w:rsid w:val="005D5D46"/>
    <w:pPr>
      <w:tabs>
        <w:tab w:val="center" w:pos="4680"/>
        <w:tab w:val="right" w:pos="9360"/>
      </w:tabs>
    </w:pPr>
  </w:style>
  <w:style w:type="character" w:customStyle="1" w:styleId="FooterChar">
    <w:name w:val="Footer Char"/>
    <w:basedOn w:val="DefaultParagraphFont"/>
    <w:link w:val="Footer"/>
    <w:uiPriority w:val="99"/>
    <w:rsid w:val="005D5D46"/>
    <w:rPr>
      <w:rFonts w:ascii="Arial" w:hAnsi="Arial"/>
      <w:lang w:val="en-GB"/>
    </w:rPr>
  </w:style>
  <w:style w:type="character" w:styleId="PageNumber">
    <w:name w:val="page number"/>
    <w:basedOn w:val="DefaultParagraphFont"/>
    <w:uiPriority w:val="99"/>
    <w:semiHidden/>
    <w:unhideWhenUsed/>
    <w:rsid w:val="005D5D46"/>
  </w:style>
  <w:style w:type="paragraph" w:styleId="BalloonText">
    <w:name w:val="Balloon Text"/>
    <w:basedOn w:val="Normal"/>
    <w:link w:val="BalloonTextChar"/>
    <w:uiPriority w:val="99"/>
    <w:unhideWhenUsed/>
    <w:rsid w:val="005D5D46"/>
    <w:rPr>
      <w:sz w:val="18"/>
      <w:szCs w:val="18"/>
    </w:rPr>
  </w:style>
  <w:style w:type="character" w:customStyle="1" w:styleId="BalloonTextChar">
    <w:name w:val="Balloon Text Char"/>
    <w:basedOn w:val="DefaultParagraphFont"/>
    <w:link w:val="BalloonText"/>
    <w:uiPriority w:val="99"/>
    <w:rsid w:val="005D5D46"/>
    <w:rPr>
      <w:rFonts w:ascii="Times New Roman" w:hAnsi="Times New Roman" w:cs="Times New Roman"/>
      <w:sz w:val="18"/>
      <w:szCs w:val="18"/>
      <w:lang w:val="en-GB"/>
    </w:rPr>
  </w:style>
  <w:style w:type="paragraph" w:customStyle="1" w:styleId="XClause1Head">
    <w:name w:val="XClause1Head"/>
    <w:basedOn w:val="Normal"/>
    <w:link w:val="XClause1HeadChar"/>
    <w:qFormat/>
    <w:rsid w:val="00B37D8F"/>
    <w:pPr>
      <w:numPr>
        <w:numId w:val="2"/>
      </w:numPr>
      <w:spacing w:line="360" w:lineRule="atLeast"/>
    </w:pPr>
    <w:rPr>
      <w:sz w:val="20"/>
      <w:szCs w:val="20"/>
      <w:lang w:eastAsia="en-GB"/>
    </w:rPr>
  </w:style>
  <w:style w:type="paragraph" w:customStyle="1" w:styleId="XClause2Sub">
    <w:name w:val="XClause2Sub"/>
    <w:basedOn w:val="Normal"/>
    <w:qFormat/>
    <w:rsid w:val="00B37D8F"/>
    <w:pPr>
      <w:numPr>
        <w:ilvl w:val="1"/>
        <w:numId w:val="2"/>
      </w:numPr>
      <w:spacing w:line="360" w:lineRule="atLeast"/>
    </w:pPr>
    <w:rPr>
      <w:sz w:val="20"/>
      <w:szCs w:val="20"/>
      <w:lang w:eastAsia="en-GB"/>
    </w:rPr>
  </w:style>
  <w:style w:type="paragraph" w:customStyle="1" w:styleId="XClause3Sub">
    <w:name w:val="XClause3Sub"/>
    <w:basedOn w:val="Normal"/>
    <w:qFormat/>
    <w:rsid w:val="00B37D8F"/>
    <w:pPr>
      <w:numPr>
        <w:ilvl w:val="2"/>
        <w:numId w:val="2"/>
      </w:numPr>
      <w:spacing w:line="360" w:lineRule="atLeast"/>
    </w:pPr>
    <w:rPr>
      <w:sz w:val="20"/>
      <w:szCs w:val="20"/>
      <w:lang w:eastAsia="en-GB"/>
    </w:rPr>
  </w:style>
  <w:style w:type="paragraph" w:customStyle="1" w:styleId="XClause4Sub">
    <w:name w:val="XClause4Sub"/>
    <w:basedOn w:val="Normal"/>
    <w:rsid w:val="00B37D8F"/>
    <w:pPr>
      <w:numPr>
        <w:ilvl w:val="3"/>
        <w:numId w:val="2"/>
      </w:numPr>
      <w:spacing w:line="360" w:lineRule="atLeast"/>
    </w:pPr>
    <w:rPr>
      <w:sz w:val="20"/>
      <w:szCs w:val="20"/>
      <w:lang w:eastAsia="en-GB"/>
    </w:rPr>
  </w:style>
  <w:style w:type="paragraph" w:customStyle="1" w:styleId="XClause5Sub">
    <w:name w:val="XClause5Sub"/>
    <w:basedOn w:val="Normal"/>
    <w:rsid w:val="00B37D8F"/>
    <w:pPr>
      <w:numPr>
        <w:ilvl w:val="4"/>
        <w:numId w:val="2"/>
      </w:numPr>
      <w:spacing w:line="360" w:lineRule="atLeast"/>
    </w:pPr>
    <w:rPr>
      <w:sz w:val="20"/>
      <w:szCs w:val="20"/>
      <w:lang w:eastAsia="en-GB"/>
    </w:rPr>
  </w:style>
  <w:style w:type="paragraph" w:customStyle="1" w:styleId="XClause6Sub">
    <w:name w:val="XClause6Sub"/>
    <w:basedOn w:val="Normal"/>
    <w:rsid w:val="00B37D8F"/>
    <w:pPr>
      <w:numPr>
        <w:ilvl w:val="5"/>
        <w:numId w:val="2"/>
      </w:numPr>
      <w:spacing w:line="360" w:lineRule="atLeast"/>
    </w:pPr>
    <w:rPr>
      <w:sz w:val="20"/>
      <w:szCs w:val="20"/>
      <w:lang w:eastAsia="en-GB"/>
    </w:rPr>
  </w:style>
  <w:style w:type="paragraph" w:customStyle="1" w:styleId="XClause7Sub">
    <w:name w:val="XClause7Sub"/>
    <w:basedOn w:val="Normal"/>
    <w:rsid w:val="00B37D8F"/>
    <w:pPr>
      <w:numPr>
        <w:ilvl w:val="6"/>
        <w:numId w:val="2"/>
      </w:numPr>
      <w:spacing w:line="360" w:lineRule="atLeast"/>
    </w:pPr>
    <w:rPr>
      <w:sz w:val="20"/>
      <w:szCs w:val="20"/>
      <w:lang w:eastAsia="en-GB"/>
    </w:rPr>
  </w:style>
  <w:style w:type="paragraph" w:customStyle="1" w:styleId="XClause8Sub">
    <w:name w:val="XClause8Sub"/>
    <w:basedOn w:val="Normal"/>
    <w:rsid w:val="00B37D8F"/>
    <w:pPr>
      <w:numPr>
        <w:ilvl w:val="7"/>
        <w:numId w:val="2"/>
      </w:numPr>
      <w:spacing w:line="360" w:lineRule="atLeast"/>
    </w:pPr>
    <w:rPr>
      <w:sz w:val="20"/>
      <w:szCs w:val="20"/>
      <w:lang w:eastAsia="en-GB"/>
    </w:rPr>
  </w:style>
  <w:style w:type="paragraph" w:customStyle="1" w:styleId="XClause9Sub">
    <w:name w:val="XClause9Sub"/>
    <w:basedOn w:val="Normal"/>
    <w:rsid w:val="00B37D8F"/>
    <w:pPr>
      <w:numPr>
        <w:ilvl w:val="8"/>
        <w:numId w:val="2"/>
      </w:numPr>
      <w:spacing w:line="360" w:lineRule="atLeast"/>
    </w:pPr>
    <w:rPr>
      <w:sz w:val="20"/>
      <w:szCs w:val="20"/>
      <w:lang w:eastAsia="en-GB"/>
    </w:rPr>
  </w:style>
  <w:style w:type="character" w:customStyle="1" w:styleId="XClause1HeadChar">
    <w:name w:val="XClause1Head Char"/>
    <w:basedOn w:val="DefaultParagraphFont"/>
    <w:link w:val="XClause1Head"/>
    <w:locked/>
    <w:rsid w:val="00B37D8F"/>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1D26E4"/>
    <w:pPr>
      <w:spacing w:before="100" w:beforeAutospacing="1" w:after="100" w:afterAutospacing="1"/>
    </w:pPr>
  </w:style>
  <w:style w:type="character" w:styleId="CommentReference">
    <w:name w:val="annotation reference"/>
    <w:basedOn w:val="DefaultParagraphFont"/>
    <w:uiPriority w:val="99"/>
    <w:semiHidden/>
    <w:unhideWhenUsed/>
    <w:rsid w:val="00C12B0F"/>
    <w:rPr>
      <w:sz w:val="16"/>
      <w:szCs w:val="16"/>
    </w:rPr>
  </w:style>
  <w:style w:type="paragraph" w:styleId="CommentText">
    <w:name w:val="annotation text"/>
    <w:basedOn w:val="Normal"/>
    <w:link w:val="CommentTextChar"/>
    <w:uiPriority w:val="99"/>
    <w:semiHidden/>
    <w:unhideWhenUsed/>
    <w:rsid w:val="00C12B0F"/>
    <w:rPr>
      <w:sz w:val="20"/>
      <w:szCs w:val="20"/>
    </w:rPr>
  </w:style>
  <w:style w:type="character" w:customStyle="1" w:styleId="CommentTextChar">
    <w:name w:val="Comment Text Char"/>
    <w:basedOn w:val="DefaultParagraphFont"/>
    <w:link w:val="CommentText"/>
    <w:uiPriority w:val="99"/>
    <w:semiHidden/>
    <w:rsid w:val="00C12B0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2B0F"/>
    <w:rPr>
      <w:b/>
      <w:bCs/>
    </w:rPr>
  </w:style>
  <w:style w:type="character" w:customStyle="1" w:styleId="CommentSubjectChar">
    <w:name w:val="Comment Subject Char"/>
    <w:basedOn w:val="CommentTextChar"/>
    <w:link w:val="CommentSubject"/>
    <w:uiPriority w:val="99"/>
    <w:semiHidden/>
    <w:rsid w:val="00C12B0F"/>
    <w:rPr>
      <w:rFonts w:ascii="Arial" w:hAnsi="Arial"/>
      <w:b/>
      <w:bCs/>
      <w:sz w:val="20"/>
      <w:szCs w:val="20"/>
      <w:lang w:val="en-GB"/>
    </w:rPr>
  </w:style>
  <w:style w:type="paragraph" w:styleId="FootnoteText">
    <w:name w:val="footnote text"/>
    <w:aliases w:val=" Char Char Char, Char Char Char Char Char Char, Char Char Char Char Char Char Char, Char Char Char Char Char Char Char Char Char Char Char, Char Char Char Char Char,Footnote Text Char Char Char,Footnote Text Char Char,Footnote Text Char1"/>
    <w:basedOn w:val="Normal"/>
    <w:link w:val="FootnoteTextChar"/>
    <w:uiPriority w:val="99"/>
    <w:unhideWhenUsed/>
    <w:qFormat/>
    <w:rsid w:val="00AA02A3"/>
    <w:rPr>
      <w:sz w:val="20"/>
      <w:szCs w:val="20"/>
    </w:rPr>
  </w:style>
  <w:style w:type="character" w:customStyle="1" w:styleId="FootnoteTextChar">
    <w:name w:val="Footnote Text Char"/>
    <w:aliases w:val=" Char Char Char Char, Char Char Char Char Char Char Char1, Char Char Char Char Char Char Char Char, Char Char Char Char Char Char Char Char Char Char Char Char, Char Char Char Char Char Char1,Footnote Text Char Char Char Char"/>
    <w:basedOn w:val="DefaultParagraphFont"/>
    <w:link w:val="FootnoteText"/>
    <w:uiPriority w:val="99"/>
    <w:rsid w:val="00AA02A3"/>
    <w:rPr>
      <w:rFonts w:ascii="Arial" w:hAnsi="Arial"/>
      <w:sz w:val="20"/>
      <w:szCs w:val="20"/>
      <w:lang w:val="en-GB"/>
    </w:rPr>
  </w:style>
  <w:style w:type="character" w:styleId="FootnoteReference">
    <w:name w:val="footnote reference"/>
    <w:aliases w:val="(NECG) Footnote Reference,Footnotes refss,Appel note de bas de page,Ref,de nota al pie,註腳內容,Footnote Reference + Superscript,Footnote Reference in text,Footnote Reference Superscript,Footnote symbol,Style 12,fr"/>
    <w:basedOn w:val="DefaultParagraphFont"/>
    <w:uiPriority w:val="99"/>
    <w:unhideWhenUsed/>
    <w:rsid w:val="00AA02A3"/>
    <w:rPr>
      <w:vertAlign w:val="superscript"/>
    </w:rPr>
  </w:style>
  <w:style w:type="character" w:customStyle="1" w:styleId="ListParagraphChar">
    <w:name w:val="List Paragraph Char"/>
    <w:basedOn w:val="DefaultParagraphFont"/>
    <w:link w:val="ListParagraph"/>
    <w:uiPriority w:val="34"/>
    <w:rsid w:val="000A11C3"/>
    <w:rPr>
      <w:rFonts w:ascii="Arial" w:hAnsi="Arial"/>
      <w:lang w:val="en-GB"/>
    </w:rPr>
  </w:style>
  <w:style w:type="character" w:customStyle="1" w:styleId="WestPleadingpara1Char">
    <w:name w:val="West Pleading para 1 Char"/>
    <w:basedOn w:val="ListParagraphChar"/>
    <w:link w:val="WestPleadingpara1"/>
    <w:rsid w:val="00CF086B"/>
    <w:rPr>
      <w:rFonts w:ascii="Arial" w:eastAsia="Times New Roman" w:hAnsi="Arial" w:cs="Arial"/>
      <w:kern w:val="32"/>
      <w:szCs w:val="22"/>
      <w:lang w:val="en-GB"/>
    </w:rPr>
  </w:style>
  <w:style w:type="character" w:customStyle="1" w:styleId="WestPleadingpara2Char">
    <w:name w:val="West Pleading para 2 Char"/>
    <w:basedOn w:val="WestPleadingpara1Char"/>
    <w:link w:val="WestPleadingpara2"/>
    <w:rsid w:val="00CF086B"/>
    <w:rPr>
      <w:rFonts w:ascii="Arial" w:eastAsia="Times New Roman" w:hAnsi="Arial" w:cs="Arial"/>
      <w:kern w:val="32"/>
      <w:szCs w:val="22"/>
      <w:lang w:val="en-GB"/>
    </w:rPr>
  </w:style>
  <w:style w:type="character" w:customStyle="1" w:styleId="apple-converted-space">
    <w:name w:val="apple-converted-space"/>
    <w:basedOn w:val="DefaultParagraphFont"/>
    <w:rsid w:val="00CF1B43"/>
  </w:style>
  <w:style w:type="character" w:styleId="Hyperlink">
    <w:name w:val="Hyperlink"/>
    <w:basedOn w:val="DefaultParagraphFont"/>
    <w:uiPriority w:val="99"/>
    <w:unhideWhenUsed/>
    <w:rsid w:val="00DC3F09"/>
    <w:rPr>
      <w:color w:val="0000FF"/>
      <w:u w:val="single"/>
    </w:rPr>
  </w:style>
  <w:style w:type="paragraph" w:customStyle="1" w:styleId="BGHeading1AltQ">
    <w:name w:val="BGHeading1 Alt+Q"/>
    <w:basedOn w:val="Heading1"/>
    <w:next w:val="BalloonText"/>
    <w:rsid w:val="00F25F2C"/>
    <w:pPr>
      <w:keepNext w:val="0"/>
      <w:widowControl w:val="0"/>
      <w:numPr>
        <w:numId w:val="4"/>
      </w:numPr>
      <w:spacing w:before="0" w:after="0" w:line="360" w:lineRule="auto"/>
    </w:pPr>
    <w:rPr>
      <w:b w:val="0"/>
      <w:bCs w:val="0"/>
      <w:caps/>
      <w:kern w:val="32"/>
    </w:rPr>
  </w:style>
  <w:style w:type="paragraph" w:customStyle="1" w:styleId="BGHeading2AltA">
    <w:name w:val="BGHeading2 Alt+A"/>
    <w:basedOn w:val="Heading2"/>
    <w:qFormat/>
    <w:rsid w:val="00F25F2C"/>
    <w:pPr>
      <w:widowControl w:val="0"/>
      <w:numPr>
        <w:ilvl w:val="1"/>
        <w:numId w:val="4"/>
      </w:numPr>
      <w:tabs>
        <w:tab w:val="clear" w:pos="1440"/>
        <w:tab w:val="num" w:pos="360"/>
      </w:tabs>
      <w:spacing w:line="360" w:lineRule="auto"/>
      <w:ind w:left="0" w:firstLine="0"/>
    </w:pPr>
    <w:rPr>
      <w:b w:val="0"/>
      <w:bCs w:val="0"/>
      <w:iCs/>
      <w:u w:val="none"/>
    </w:rPr>
  </w:style>
  <w:style w:type="paragraph" w:customStyle="1" w:styleId="BGHeading3AltZ">
    <w:name w:val="BGHeading3 Alt+Z"/>
    <w:basedOn w:val="Heading3"/>
    <w:rsid w:val="00F25F2C"/>
    <w:pPr>
      <w:keepNext w:val="0"/>
      <w:keepLines w:val="0"/>
      <w:widowControl w:val="0"/>
      <w:numPr>
        <w:ilvl w:val="2"/>
        <w:numId w:val="4"/>
      </w:numPr>
      <w:tabs>
        <w:tab w:val="clear" w:pos="2160"/>
        <w:tab w:val="num" w:pos="360"/>
      </w:tabs>
      <w:spacing w:before="0" w:line="360" w:lineRule="auto"/>
      <w:ind w:left="0" w:firstLine="0"/>
      <w:jc w:val="both"/>
    </w:pPr>
    <w:rPr>
      <w:rFonts w:ascii="Arial" w:eastAsia="Times New Roman" w:hAnsi="Arial" w:cs="Arial"/>
      <w:b/>
      <w:color w:val="auto"/>
      <w:sz w:val="22"/>
      <w:szCs w:val="22"/>
      <w:lang w:val="en-GB"/>
    </w:rPr>
  </w:style>
  <w:style w:type="paragraph" w:customStyle="1" w:styleId="BGHeading4AltX">
    <w:name w:val="BGHeading4 Alt+X"/>
    <w:basedOn w:val="Heading4"/>
    <w:rsid w:val="00F25F2C"/>
    <w:pPr>
      <w:keepNext w:val="0"/>
      <w:keepLines w:val="0"/>
      <w:widowControl w:val="0"/>
      <w:numPr>
        <w:ilvl w:val="3"/>
        <w:numId w:val="4"/>
      </w:numPr>
      <w:tabs>
        <w:tab w:val="clear" w:pos="2880"/>
        <w:tab w:val="num" w:pos="360"/>
      </w:tabs>
      <w:spacing w:before="0" w:after="60" w:line="360" w:lineRule="auto"/>
      <w:ind w:left="0" w:firstLine="0"/>
      <w:jc w:val="both"/>
    </w:pPr>
    <w:rPr>
      <w:rFonts w:ascii="Arial" w:eastAsia="Times New Roman" w:hAnsi="Arial" w:cs="Times New Roman"/>
      <w:b/>
      <w:color w:val="auto"/>
      <w:sz w:val="22"/>
      <w:szCs w:val="22"/>
      <w:lang w:val="en-GB"/>
    </w:rPr>
  </w:style>
  <w:style w:type="paragraph" w:customStyle="1" w:styleId="BGHeading5AltC">
    <w:name w:val="BGHeading5 Alt+C"/>
    <w:basedOn w:val="Heading5"/>
    <w:rsid w:val="00F25F2C"/>
    <w:pPr>
      <w:keepNext w:val="0"/>
      <w:keepLines w:val="0"/>
      <w:widowControl w:val="0"/>
      <w:numPr>
        <w:ilvl w:val="4"/>
        <w:numId w:val="4"/>
      </w:numPr>
      <w:tabs>
        <w:tab w:val="clear" w:pos="3600"/>
        <w:tab w:val="num" w:pos="360"/>
      </w:tabs>
      <w:spacing w:before="0" w:line="360" w:lineRule="auto"/>
      <w:ind w:left="0" w:firstLine="0"/>
      <w:jc w:val="both"/>
    </w:pPr>
    <w:rPr>
      <w:rFonts w:ascii="Arial" w:eastAsia="Times New Roman" w:hAnsi="Arial" w:cs="Times New Roman"/>
      <w:bCs/>
      <w:iCs/>
      <w:color w:val="auto"/>
      <w:sz w:val="22"/>
      <w:szCs w:val="22"/>
      <w:lang w:val="en-GB"/>
    </w:rPr>
  </w:style>
  <w:style w:type="character" w:customStyle="1" w:styleId="Heading3Char">
    <w:name w:val="Heading 3 Char"/>
    <w:basedOn w:val="DefaultParagraphFont"/>
    <w:link w:val="Heading3"/>
    <w:uiPriority w:val="9"/>
    <w:semiHidden/>
    <w:rsid w:val="00F25F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25F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5F2C"/>
    <w:rPr>
      <w:rFonts w:asciiTheme="majorHAnsi" w:eastAsiaTheme="majorEastAsia" w:hAnsiTheme="majorHAnsi" w:cstheme="majorBidi"/>
      <w:color w:val="2F5496" w:themeColor="accent1" w:themeShade="BF"/>
    </w:rPr>
  </w:style>
  <w:style w:type="paragraph" w:customStyle="1" w:styleId="ClaireNew">
    <w:name w:val="Claire New"/>
    <w:basedOn w:val="Heading1"/>
    <w:rsid w:val="00E94183"/>
    <w:pPr>
      <w:keepNext w:val="0"/>
      <w:numPr>
        <w:numId w:val="6"/>
      </w:numPr>
      <w:spacing w:after="0" w:line="360" w:lineRule="auto"/>
    </w:pPr>
    <w:rPr>
      <w:rFonts w:ascii="Tahoma" w:hAnsi="Tahoma"/>
      <w:b w:val="0"/>
      <w:bCs w:val="0"/>
      <w:caps/>
      <w:kern w:val="32"/>
    </w:rPr>
  </w:style>
  <w:style w:type="paragraph" w:customStyle="1" w:styleId="1">
    <w:name w:val="1"/>
    <w:basedOn w:val="Normal"/>
    <w:qFormat/>
    <w:rsid w:val="00AA2B04"/>
    <w:pPr>
      <w:numPr>
        <w:numId w:val="8"/>
      </w:numPr>
      <w:spacing w:before="240"/>
      <w:jc w:val="both"/>
    </w:pPr>
    <w:rPr>
      <w:rFonts w:ascii="Arial" w:eastAsiaTheme="minorHAnsi" w:hAnsi="Arial" w:cstheme="minorBidi"/>
      <w:iCs/>
      <w:color w:val="000000"/>
      <w:szCs w:val="22"/>
      <w:lang w:val="en-GB"/>
    </w:rPr>
  </w:style>
  <w:style w:type="paragraph" w:customStyle="1" w:styleId="2">
    <w:name w:val="2"/>
    <w:basedOn w:val="1"/>
    <w:qFormat/>
    <w:rsid w:val="00AA2B04"/>
    <w:pPr>
      <w:numPr>
        <w:ilvl w:val="1"/>
      </w:numPr>
    </w:pPr>
  </w:style>
  <w:style w:type="paragraph" w:customStyle="1" w:styleId="3">
    <w:name w:val="3"/>
    <w:basedOn w:val="2"/>
    <w:qFormat/>
    <w:rsid w:val="00AA2B04"/>
    <w:pPr>
      <w:numPr>
        <w:ilvl w:val="2"/>
      </w:numPr>
    </w:pPr>
  </w:style>
  <w:style w:type="paragraph" w:customStyle="1" w:styleId="4">
    <w:name w:val="4"/>
    <w:basedOn w:val="2"/>
    <w:qFormat/>
    <w:rsid w:val="00AA2B04"/>
    <w:pPr>
      <w:numPr>
        <w:ilvl w:val="3"/>
      </w:numPr>
    </w:pPr>
    <w:rPr>
      <w:iCs w:val="0"/>
    </w:rPr>
  </w:style>
  <w:style w:type="paragraph" w:customStyle="1" w:styleId="5">
    <w:name w:val="5"/>
    <w:basedOn w:val="4"/>
    <w:qFormat/>
    <w:rsid w:val="00AA2B04"/>
    <w:pPr>
      <w:numPr>
        <w:ilvl w:val="4"/>
      </w:numPr>
    </w:pPr>
    <w:rPr>
      <w:iCs/>
      <w:szCs w:val="16"/>
      <w:lang w:eastAsia="en-ZA"/>
    </w:rPr>
  </w:style>
  <w:style w:type="paragraph" w:customStyle="1" w:styleId="Default">
    <w:name w:val="Default"/>
    <w:rsid w:val="00AA2B04"/>
    <w:pPr>
      <w:autoSpaceDE w:val="0"/>
      <w:autoSpaceDN w:val="0"/>
      <w:adjustRightInd w:val="0"/>
    </w:pPr>
    <w:rPr>
      <w:rFonts w:ascii="Arial" w:hAnsi="Arial" w:cs="Arial"/>
      <w:color w:val="000000"/>
      <w:lang w:val="en-GB"/>
    </w:rPr>
  </w:style>
  <w:style w:type="paragraph" w:customStyle="1" w:styleId="Pleadingpara4">
    <w:name w:val="Pleading para 4"/>
    <w:basedOn w:val="BGHeading1AltQ"/>
    <w:qFormat/>
    <w:rsid w:val="0097277B"/>
    <w:pPr>
      <w:numPr>
        <w:ilvl w:val="3"/>
        <w:numId w:val="5"/>
      </w:numPr>
      <w:tabs>
        <w:tab w:val="left" w:pos="1418"/>
      </w:tabs>
      <w:spacing w:line="240" w:lineRule="auto"/>
    </w:pPr>
    <w:rPr>
      <w:caps w:val="0"/>
      <w:sz w:val="24"/>
    </w:rPr>
  </w:style>
  <w:style w:type="paragraph" w:customStyle="1" w:styleId="Pleadingpara5">
    <w:name w:val="Pleading para 5"/>
    <w:basedOn w:val="BGHeading1AltQ"/>
    <w:qFormat/>
    <w:rsid w:val="0097277B"/>
    <w:pPr>
      <w:numPr>
        <w:ilvl w:val="4"/>
        <w:numId w:val="5"/>
      </w:numPr>
      <w:tabs>
        <w:tab w:val="left" w:pos="1701"/>
      </w:tabs>
      <w:spacing w:line="240" w:lineRule="auto"/>
    </w:pPr>
    <w:rPr>
      <w:caps w:val="0"/>
      <w:sz w:val="24"/>
    </w:rPr>
  </w:style>
  <w:style w:type="paragraph" w:styleId="BodyText">
    <w:name w:val="Body Text"/>
    <w:basedOn w:val="Normal"/>
    <w:link w:val="BodyTextChar"/>
    <w:uiPriority w:val="99"/>
    <w:semiHidden/>
    <w:unhideWhenUsed/>
    <w:rsid w:val="005E4EC4"/>
    <w:pPr>
      <w:tabs>
        <w:tab w:val="left" w:pos="851"/>
      </w:tabs>
      <w:spacing w:line="480" w:lineRule="auto"/>
      <w:jc w:val="both"/>
    </w:pPr>
    <w:rPr>
      <w:rFonts w:ascii="Arial" w:eastAsiaTheme="minorHAnsi" w:hAnsi="Arial" w:cs="Arial"/>
    </w:rPr>
  </w:style>
  <w:style w:type="character" w:customStyle="1" w:styleId="BodyTextChar">
    <w:name w:val="Body Text Char"/>
    <w:basedOn w:val="DefaultParagraphFont"/>
    <w:link w:val="BodyText"/>
    <w:uiPriority w:val="99"/>
    <w:semiHidden/>
    <w:rsid w:val="005E4EC4"/>
    <w:rPr>
      <w:rFonts w:ascii="Arial" w:hAnsi="Arial" w:cs="Arial"/>
    </w:rPr>
  </w:style>
  <w:style w:type="paragraph" w:customStyle="1" w:styleId="western">
    <w:name w:val="western"/>
    <w:basedOn w:val="Normal"/>
    <w:rsid w:val="005E4EC4"/>
    <w:pPr>
      <w:spacing w:before="100" w:beforeAutospacing="1" w:after="100" w:afterAutospacing="1"/>
    </w:pPr>
    <w:rPr>
      <w:lang w:eastAsia="en-ZA"/>
    </w:rPr>
  </w:style>
  <w:style w:type="paragraph" w:customStyle="1" w:styleId="RetiefPleadingpara1">
    <w:name w:val="Retief Pleading para 1"/>
    <w:basedOn w:val="BGHeading1AltQ"/>
    <w:link w:val="RetiefPleadingpara1Char"/>
    <w:qFormat/>
    <w:rsid w:val="003B59B3"/>
    <w:pPr>
      <w:widowControl/>
      <w:numPr>
        <w:numId w:val="0"/>
      </w:numPr>
      <w:spacing w:line="480" w:lineRule="auto"/>
      <w:ind w:left="4253"/>
    </w:pPr>
    <w:rPr>
      <w:rFonts w:eastAsiaTheme="minorHAnsi"/>
      <w:caps w:val="0"/>
      <w:sz w:val="24"/>
      <w:lang w:val="en-GB"/>
    </w:rPr>
  </w:style>
  <w:style w:type="paragraph" w:customStyle="1" w:styleId="RetiefPleadingpara2">
    <w:name w:val="Retief Pleading para 2"/>
    <w:basedOn w:val="BGHeading1AltQ"/>
    <w:qFormat/>
    <w:rsid w:val="003B59B3"/>
    <w:pPr>
      <w:widowControl/>
      <w:numPr>
        <w:numId w:val="0"/>
      </w:numPr>
      <w:tabs>
        <w:tab w:val="left" w:pos="851"/>
      </w:tabs>
      <w:spacing w:before="360" w:after="360" w:line="480" w:lineRule="auto"/>
      <w:ind w:left="851" w:hanging="851"/>
    </w:pPr>
    <w:rPr>
      <w:rFonts w:eastAsiaTheme="minorHAnsi"/>
      <w:caps w:val="0"/>
      <w:sz w:val="24"/>
    </w:rPr>
  </w:style>
  <w:style w:type="paragraph" w:customStyle="1" w:styleId="RetiefPleadingpara3">
    <w:name w:val="Retief Pleading para 3"/>
    <w:basedOn w:val="BGHeading1AltQ"/>
    <w:qFormat/>
    <w:rsid w:val="003B59B3"/>
    <w:pPr>
      <w:widowControl/>
      <w:numPr>
        <w:numId w:val="0"/>
      </w:numPr>
      <w:tabs>
        <w:tab w:val="left" w:pos="1701"/>
        <w:tab w:val="num" w:pos="3119"/>
      </w:tabs>
      <w:spacing w:before="360" w:after="360" w:line="480" w:lineRule="auto"/>
      <w:ind w:left="1702" w:hanging="851"/>
    </w:pPr>
    <w:rPr>
      <w:rFonts w:eastAsiaTheme="minorHAnsi"/>
      <w:caps w:val="0"/>
      <w:sz w:val="24"/>
    </w:rPr>
  </w:style>
  <w:style w:type="character" w:customStyle="1" w:styleId="RetiefPleadingpara1Char">
    <w:name w:val="Retief Pleading para 1 Char"/>
    <w:basedOn w:val="ListParagraphChar"/>
    <w:link w:val="RetiefPleadingpara1"/>
    <w:rsid w:val="003B59B3"/>
    <w:rPr>
      <w:rFonts w:ascii="Arial" w:hAnsi="Arial" w:cs="Arial"/>
      <w:kern w:val="32"/>
      <w:szCs w:val="22"/>
      <w:lang w:val="en-GB"/>
    </w:rPr>
  </w:style>
  <w:style w:type="character" w:customStyle="1" w:styleId="UnresolvedMention">
    <w:name w:val="Unresolved Mention"/>
    <w:basedOn w:val="DefaultParagraphFont"/>
    <w:uiPriority w:val="99"/>
    <w:semiHidden/>
    <w:unhideWhenUsed/>
    <w:rsid w:val="005A3832"/>
    <w:rPr>
      <w:color w:val="605E5C"/>
      <w:shd w:val="clear" w:color="auto" w:fill="E1DFDD"/>
    </w:rPr>
  </w:style>
  <w:style w:type="character" w:styleId="FollowedHyperlink">
    <w:name w:val="FollowedHyperlink"/>
    <w:basedOn w:val="DefaultParagraphFont"/>
    <w:uiPriority w:val="99"/>
    <w:semiHidden/>
    <w:unhideWhenUsed/>
    <w:rsid w:val="004C5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6198">
      <w:bodyDiv w:val="1"/>
      <w:marLeft w:val="0"/>
      <w:marRight w:val="0"/>
      <w:marTop w:val="0"/>
      <w:marBottom w:val="0"/>
      <w:divBdr>
        <w:top w:val="none" w:sz="0" w:space="0" w:color="auto"/>
        <w:left w:val="none" w:sz="0" w:space="0" w:color="auto"/>
        <w:bottom w:val="none" w:sz="0" w:space="0" w:color="auto"/>
        <w:right w:val="none" w:sz="0" w:space="0" w:color="auto"/>
      </w:divBdr>
    </w:div>
    <w:div w:id="91826945">
      <w:bodyDiv w:val="1"/>
      <w:marLeft w:val="0"/>
      <w:marRight w:val="0"/>
      <w:marTop w:val="0"/>
      <w:marBottom w:val="0"/>
      <w:divBdr>
        <w:top w:val="none" w:sz="0" w:space="0" w:color="auto"/>
        <w:left w:val="none" w:sz="0" w:space="0" w:color="auto"/>
        <w:bottom w:val="none" w:sz="0" w:space="0" w:color="auto"/>
        <w:right w:val="none" w:sz="0" w:space="0" w:color="auto"/>
      </w:divBdr>
    </w:div>
    <w:div w:id="162666017">
      <w:bodyDiv w:val="1"/>
      <w:marLeft w:val="0"/>
      <w:marRight w:val="0"/>
      <w:marTop w:val="0"/>
      <w:marBottom w:val="0"/>
      <w:divBdr>
        <w:top w:val="none" w:sz="0" w:space="0" w:color="auto"/>
        <w:left w:val="none" w:sz="0" w:space="0" w:color="auto"/>
        <w:bottom w:val="none" w:sz="0" w:space="0" w:color="auto"/>
        <w:right w:val="none" w:sz="0" w:space="0" w:color="auto"/>
      </w:divBdr>
      <w:divsChild>
        <w:div w:id="340595306">
          <w:marLeft w:val="0"/>
          <w:marRight w:val="0"/>
          <w:marTop w:val="0"/>
          <w:marBottom w:val="0"/>
          <w:divBdr>
            <w:top w:val="none" w:sz="0" w:space="0" w:color="auto"/>
            <w:left w:val="none" w:sz="0" w:space="0" w:color="auto"/>
            <w:bottom w:val="none" w:sz="0" w:space="0" w:color="auto"/>
            <w:right w:val="none" w:sz="0" w:space="0" w:color="auto"/>
          </w:divBdr>
          <w:divsChild>
            <w:div w:id="1990858621">
              <w:marLeft w:val="0"/>
              <w:marRight w:val="0"/>
              <w:marTop w:val="0"/>
              <w:marBottom w:val="0"/>
              <w:divBdr>
                <w:top w:val="none" w:sz="0" w:space="0" w:color="auto"/>
                <w:left w:val="none" w:sz="0" w:space="0" w:color="auto"/>
                <w:bottom w:val="none" w:sz="0" w:space="0" w:color="auto"/>
                <w:right w:val="none" w:sz="0" w:space="0" w:color="auto"/>
              </w:divBdr>
              <w:divsChild>
                <w:div w:id="1312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716">
      <w:bodyDiv w:val="1"/>
      <w:marLeft w:val="0"/>
      <w:marRight w:val="0"/>
      <w:marTop w:val="0"/>
      <w:marBottom w:val="0"/>
      <w:divBdr>
        <w:top w:val="none" w:sz="0" w:space="0" w:color="auto"/>
        <w:left w:val="none" w:sz="0" w:space="0" w:color="auto"/>
        <w:bottom w:val="none" w:sz="0" w:space="0" w:color="auto"/>
        <w:right w:val="none" w:sz="0" w:space="0" w:color="auto"/>
      </w:divBdr>
      <w:divsChild>
        <w:div w:id="1747875028">
          <w:marLeft w:val="0"/>
          <w:marRight w:val="0"/>
          <w:marTop w:val="0"/>
          <w:marBottom w:val="0"/>
          <w:divBdr>
            <w:top w:val="none" w:sz="0" w:space="0" w:color="auto"/>
            <w:left w:val="none" w:sz="0" w:space="0" w:color="auto"/>
            <w:bottom w:val="none" w:sz="0" w:space="0" w:color="auto"/>
            <w:right w:val="none" w:sz="0" w:space="0" w:color="auto"/>
          </w:divBdr>
          <w:divsChild>
            <w:div w:id="1797597710">
              <w:marLeft w:val="0"/>
              <w:marRight w:val="0"/>
              <w:marTop w:val="0"/>
              <w:marBottom w:val="0"/>
              <w:divBdr>
                <w:top w:val="none" w:sz="0" w:space="0" w:color="auto"/>
                <w:left w:val="none" w:sz="0" w:space="0" w:color="auto"/>
                <w:bottom w:val="none" w:sz="0" w:space="0" w:color="auto"/>
                <w:right w:val="none" w:sz="0" w:space="0" w:color="auto"/>
              </w:divBdr>
              <w:divsChild>
                <w:div w:id="15395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2036">
      <w:bodyDiv w:val="1"/>
      <w:marLeft w:val="0"/>
      <w:marRight w:val="0"/>
      <w:marTop w:val="0"/>
      <w:marBottom w:val="0"/>
      <w:divBdr>
        <w:top w:val="none" w:sz="0" w:space="0" w:color="auto"/>
        <w:left w:val="none" w:sz="0" w:space="0" w:color="auto"/>
        <w:bottom w:val="none" w:sz="0" w:space="0" w:color="auto"/>
        <w:right w:val="none" w:sz="0" w:space="0" w:color="auto"/>
      </w:divBdr>
    </w:div>
    <w:div w:id="537468759">
      <w:bodyDiv w:val="1"/>
      <w:marLeft w:val="0"/>
      <w:marRight w:val="0"/>
      <w:marTop w:val="0"/>
      <w:marBottom w:val="0"/>
      <w:divBdr>
        <w:top w:val="none" w:sz="0" w:space="0" w:color="auto"/>
        <w:left w:val="none" w:sz="0" w:space="0" w:color="auto"/>
        <w:bottom w:val="none" w:sz="0" w:space="0" w:color="auto"/>
        <w:right w:val="none" w:sz="0" w:space="0" w:color="auto"/>
      </w:divBdr>
      <w:divsChild>
        <w:div w:id="1798723390">
          <w:marLeft w:val="0"/>
          <w:marRight w:val="0"/>
          <w:marTop w:val="120"/>
          <w:marBottom w:val="0"/>
          <w:divBdr>
            <w:top w:val="none" w:sz="0" w:space="0" w:color="auto"/>
            <w:left w:val="none" w:sz="0" w:space="0" w:color="auto"/>
            <w:bottom w:val="none" w:sz="0" w:space="0" w:color="auto"/>
            <w:right w:val="none" w:sz="0" w:space="0" w:color="auto"/>
          </w:divBdr>
        </w:div>
        <w:div w:id="224723852">
          <w:marLeft w:val="1134"/>
          <w:marRight w:val="0"/>
          <w:marTop w:val="60"/>
          <w:marBottom w:val="0"/>
          <w:divBdr>
            <w:top w:val="none" w:sz="0" w:space="0" w:color="auto"/>
            <w:left w:val="none" w:sz="0" w:space="0" w:color="auto"/>
            <w:bottom w:val="none" w:sz="0" w:space="0" w:color="auto"/>
            <w:right w:val="none" w:sz="0" w:space="0" w:color="auto"/>
          </w:divBdr>
        </w:div>
        <w:div w:id="637691181">
          <w:marLeft w:val="1134"/>
          <w:marRight w:val="0"/>
          <w:marTop w:val="60"/>
          <w:marBottom w:val="0"/>
          <w:divBdr>
            <w:top w:val="none" w:sz="0" w:space="0" w:color="auto"/>
            <w:left w:val="none" w:sz="0" w:space="0" w:color="auto"/>
            <w:bottom w:val="none" w:sz="0" w:space="0" w:color="auto"/>
            <w:right w:val="none" w:sz="0" w:space="0" w:color="auto"/>
          </w:divBdr>
        </w:div>
      </w:divsChild>
    </w:div>
    <w:div w:id="569657738">
      <w:bodyDiv w:val="1"/>
      <w:marLeft w:val="0"/>
      <w:marRight w:val="0"/>
      <w:marTop w:val="0"/>
      <w:marBottom w:val="0"/>
      <w:divBdr>
        <w:top w:val="none" w:sz="0" w:space="0" w:color="auto"/>
        <w:left w:val="none" w:sz="0" w:space="0" w:color="auto"/>
        <w:bottom w:val="none" w:sz="0" w:space="0" w:color="auto"/>
        <w:right w:val="none" w:sz="0" w:space="0" w:color="auto"/>
      </w:divBdr>
    </w:div>
    <w:div w:id="805708141">
      <w:bodyDiv w:val="1"/>
      <w:marLeft w:val="0"/>
      <w:marRight w:val="0"/>
      <w:marTop w:val="0"/>
      <w:marBottom w:val="0"/>
      <w:divBdr>
        <w:top w:val="none" w:sz="0" w:space="0" w:color="auto"/>
        <w:left w:val="none" w:sz="0" w:space="0" w:color="auto"/>
        <w:bottom w:val="none" w:sz="0" w:space="0" w:color="auto"/>
        <w:right w:val="none" w:sz="0" w:space="0" w:color="auto"/>
      </w:divBdr>
    </w:div>
    <w:div w:id="86213085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63">
          <w:marLeft w:val="0"/>
          <w:marRight w:val="0"/>
          <w:marTop w:val="0"/>
          <w:marBottom w:val="0"/>
          <w:divBdr>
            <w:top w:val="none" w:sz="0" w:space="0" w:color="auto"/>
            <w:left w:val="none" w:sz="0" w:space="0" w:color="auto"/>
            <w:bottom w:val="none" w:sz="0" w:space="0" w:color="auto"/>
            <w:right w:val="none" w:sz="0" w:space="0" w:color="auto"/>
          </w:divBdr>
          <w:divsChild>
            <w:div w:id="1456019110">
              <w:marLeft w:val="0"/>
              <w:marRight w:val="0"/>
              <w:marTop w:val="0"/>
              <w:marBottom w:val="0"/>
              <w:divBdr>
                <w:top w:val="none" w:sz="0" w:space="0" w:color="auto"/>
                <w:left w:val="none" w:sz="0" w:space="0" w:color="auto"/>
                <w:bottom w:val="none" w:sz="0" w:space="0" w:color="auto"/>
                <w:right w:val="none" w:sz="0" w:space="0" w:color="auto"/>
              </w:divBdr>
              <w:divsChild>
                <w:div w:id="641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349">
      <w:bodyDiv w:val="1"/>
      <w:marLeft w:val="0"/>
      <w:marRight w:val="0"/>
      <w:marTop w:val="0"/>
      <w:marBottom w:val="0"/>
      <w:divBdr>
        <w:top w:val="none" w:sz="0" w:space="0" w:color="auto"/>
        <w:left w:val="none" w:sz="0" w:space="0" w:color="auto"/>
        <w:bottom w:val="none" w:sz="0" w:space="0" w:color="auto"/>
        <w:right w:val="none" w:sz="0" w:space="0" w:color="auto"/>
      </w:divBdr>
      <w:divsChild>
        <w:div w:id="468401831">
          <w:marLeft w:val="0"/>
          <w:marRight w:val="0"/>
          <w:marTop w:val="0"/>
          <w:marBottom w:val="0"/>
          <w:divBdr>
            <w:top w:val="none" w:sz="0" w:space="0" w:color="auto"/>
            <w:left w:val="none" w:sz="0" w:space="0" w:color="auto"/>
            <w:bottom w:val="none" w:sz="0" w:space="0" w:color="auto"/>
            <w:right w:val="none" w:sz="0" w:space="0" w:color="auto"/>
          </w:divBdr>
          <w:divsChild>
            <w:div w:id="325398065">
              <w:marLeft w:val="0"/>
              <w:marRight w:val="0"/>
              <w:marTop w:val="0"/>
              <w:marBottom w:val="0"/>
              <w:divBdr>
                <w:top w:val="none" w:sz="0" w:space="0" w:color="auto"/>
                <w:left w:val="none" w:sz="0" w:space="0" w:color="auto"/>
                <w:bottom w:val="none" w:sz="0" w:space="0" w:color="auto"/>
                <w:right w:val="none" w:sz="0" w:space="0" w:color="auto"/>
              </w:divBdr>
              <w:divsChild>
                <w:div w:id="1730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0740">
      <w:bodyDiv w:val="1"/>
      <w:marLeft w:val="0"/>
      <w:marRight w:val="0"/>
      <w:marTop w:val="0"/>
      <w:marBottom w:val="0"/>
      <w:divBdr>
        <w:top w:val="none" w:sz="0" w:space="0" w:color="auto"/>
        <w:left w:val="none" w:sz="0" w:space="0" w:color="auto"/>
        <w:bottom w:val="none" w:sz="0" w:space="0" w:color="auto"/>
        <w:right w:val="none" w:sz="0" w:space="0" w:color="auto"/>
      </w:divBdr>
    </w:div>
    <w:div w:id="992610114">
      <w:bodyDiv w:val="1"/>
      <w:marLeft w:val="0"/>
      <w:marRight w:val="0"/>
      <w:marTop w:val="0"/>
      <w:marBottom w:val="0"/>
      <w:divBdr>
        <w:top w:val="none" w:sz="0" w:space="0" w:color="auto"/>
        <w:left w:val="none" w:sz="0" w:space="0" w:color="auto"/>
        <w:bottom w:val="none" w:sz="0" w:space="0" w:color="auto"/>
        <w:right w:val="none" w:sz="0" w:space="0" w:color="auto"/>
      </w:divBdr>
      <w:divsChild>
        <w:div w:id="1791581395">
          <w:marLeft w:val="0"/>
          <w:marRight w:val="0"/>
          <w:marTop w:val="0"/>
          <w:marBottom w:val="0"/>
          <w:divBdr>
            <w:top w:val="none" w:sz="0" w:space="0" w:color="auto"/>
            <w:left w:val="none" w:sz="0" w:space="0" w:color="auto"/>
            <w:bottom w:val="none" w:sz="0" w:space="0" w:color="auto"/>
            <w:right w:val="none" w:sz="0" w:space="0" w:color="auto"/>
          </w:divBdr>
          <w:divsChild>
            <w:div w:id="77488064">
              <w:marLeft w:val="0"/>
              <w:marRight w:val="0"/>
              <w:marTop w:val="0"/>
              <w:marBottom w:val="0"/>
              <w:divBdr>
                <w:top w:val="none" w:sz="0" w:space="0" w:color="auto"/>
                <w:left w:val="none" w:sz="0" w:space="0" w:color="auto"/>
                <w:bottom w:val="none" w:sz="0" w:space="0" w:color="auto"/>
                <w:right w:val="none" w:sz="0" w:space="0" w:color="auto"/>
              </w:divBdr>
              <w:divsChild>
                <w:div w:id="13592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657">
      <w:bodyDiv w:val="1"/>
      <w:marLeft w:val="0"/>
      <w:marRight w:val="0"/>
      <w:marTop w:val="0"/>
      <w:marBottom w:val="0"/>
      <w:divBdr>
        <w:top w:val="none" w:sz="0" w:space="0" w:color="auto"/>
        <w:left w:val="none" w:sz="0" w:space="0" w:color="auto"/>
        <w:bottom w:val="none" w:sz="0" w:space="0" w:color="auto"/>
        <w:right w:val="none" w:sz="0" w:space="0" w:color="auto"/>
      </w:divBdr>
    </w:div>
    <w:div w:id="1240016363">
      <w:bodyDiv w:val="1"/>
      <w:marLeft w:val="0"/>
      <w:marRight w:val="0"/>
      <w:marTop w:val="0"/>
      <w:marBottom w:val="0"/>
      <w:divBdr>
        <w:top w:val="none" w:sz="0" w:space="0" w:color="auto"/>
        <w:left w:val="none" w:sz="0" w:space="0" w:color="auto"/>
        <w:bottom w:val="none" w:sz="0" w:space="0" w:color="auto"/>
        <w:right w:val="none" w:sz="0" w:space="0" w:color="auto"/>
      </w:divBdr>
      <w:divsChild>
        <w:div w:id="544365723">
          <w:marLeft w:val="0"/>
          <w:marRight w:val="0"/>
          <w:marTop w:val="0"/>
          <w:marBottom w:val="0"/>
          <w:divBdr>
            <w:top w:val="none" w:sz="0" w:space="0" w:color="auto"/>
            <w:left w:val="none" w:sz="0" w:space="0" w:color="auto"/>
            <w:bottom w:val="none" w:sz="0" w:space="0" w:color="auto"/>
            <w:right w:val="none" w:sz="0" w:space="0" w:color="auto"/>
          </w:divBdr>
          <w:divsChild>
            <w:div w:id="1176655242">
              <w:marLeft w:val="0"/>
              <w:marRight w:val="0"/>
              <w:marTop w:val="0"/>
              <w:marBottom w:val="0"/>
              <w:divBdr>
                <w:top w:val="none" w:sz="0" w:space="0" w:color="auto"/>
                <w:left w:val="none" w:sz="0" w:space="0" w:color="auto"/>
                <w:bottom w:val="none" w:sz="0" w:space="0" w:color="auto"/>
                <w:right w:val="none" w:sz="0" w:space="0" w:color="auto"/>
              </w:divBdr>
              <w:divsChild>
                <w:div w:id="69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6835">
      <w:bodyDiv w:val="1"/>
      <w:marLeft w:val="0"/>
      <w:marRight w:val="0"/>
      <w:marTop w:val="0"/>
      <w:marBottom w:val="0"/>
      <w:divBdr>
        <w:top w:val="none" w:sz="0" w:space="0" w:color="auto"/>
        <w:left w:val="none" w:sz="0" w:space="0" w:color="auto"/>
        <w:bottom w:val="none" w:sz="0" w:space="0" w:color="auto"/>
        <w:right w:val="none" w:sz="0" w:space="0" w:color="auto"/>
      </w:divBdr>
    </w:div>
    <w:div w:id="1545672996">
      <w:bodyDiv w:val="1"/>
      <w:marLeft w:val="0"/>
      <w:marRight w:val="0"/>
      <w:marTop w:val="0"/>
      <w:marBottom w:val="0"/>
      <w:divBdr>
        <w:top w:val="none" w:sz="0" w:space="0" w:color="auto"/>
        <w:left w:val="none" w:sz="0" w:space="0" w:color="auto"/>
        <w:bottom w:val="none" w:sz="0" w:space="0" w:color="auto"/>
        <w:right w:val="none" w:sz="0" w:space="0" w:color="auto"/>
      </w:divBdr>
    </w:div>
    <w:div w:id="1810630094">
      <w:bodyDiv w:val="1"/>
      <w:marLeft w:val="0"/>
      <w:marRight w:val="0"/>
      <w:marTop w:val="0"/>
      <w:marBottom w:val="0"/>
      <w:divBdr>
        <w:top w:val="none" w:sz="0" w:space="0" w:color="auto"/>
        <w:left w:val="none" w:sz="0" w:space="0" w:color="auto"/>
        <w:bottom w:val="none" w:sz="0" w:space="0" w:color="auto"/>
        <w:right w:val="none" w:sz="0" w:space="0" w:color="auto"/>
      </w:divBdr>
      <w:divsChild>
        <w:div w:id="2055502793">
          <w:marLeft w:val="0"/>
          <w:marRight w:val="0"/>
          <w:marTop w:val="0"/>
          <w:marBottom w:val="0"/>
          <w:divBdr>
            <w:top w:val="none" w:sz="0" w:space="0" w:color="auto"/>
            <w:left w:val="none" w:sz="0" w:space="0" w:color="auto"/>
            <w:bottom w:val="none" w:sz="0" w:space="0" w:color="auto"/>
            <w:right w:val="none" w:sz="0" w:space="0" w:color="auto"/>
          </w:divBdr>
          <w:divsChild>
            <w:div w:id="823282072">
              <w:marLeft w:val="0"/>
              <w:marRight w:val="0"/>
              <w:marTop w:val="0"/>
              <w:marBottom w:val="0"/>
              <w:divBdr>
                <w:top w:val="none" w:sz="0" w:space="0" w:color="auto"/>
                <w:left w:val="none" w:sz="0" w:space="0" w:color="auto"/>
                <w:bottom w:val="none" w:sz="0" w:space="0" w:color="auto"/>
                <w:right w:val="none" w:sz="0" w:space="0" w:color="auto"/>
              </w:divBdr>
              <w:divsChild>
                <w:div w:id="753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1894">
      <w:bodyDiv w:val="1"/>
      <w:marLeft w:val="0"/>
      <w:marRight w:val="0"/>
      <w:marTop w:val="0"/>
      <w:marBottom w:val="0"/>
      <w:divBdr>
        <w:top w:val="none" w:sz="0" w:space="0" w:color="auto"/>
        <w:left w:val="none" w:sz="0" w:space="0" w:color="auto"/>
        <w:bottom w:val="none" w:sz="0" w:space="0" w:color="auto"/>
        <w:right w:val="none" w:sz="0" w:space="0" w:color="auto"/>
      </w:divBdr>
      <w:divsChild>
        <w:div w:id="367490266">
          <w:marLeft w:val="0"/>
          <w:marRight w:val="0"/>
          <w:marTop w:val="0"/>
          <w:marBottom w:val="0"/>
          <w:divBdr>
            <w:top w:val="none" w:sz="0" w:space="0" w:color="auto"/>
            <w:left w:val="none" w:sz="0" w:space="0" w:color="auto"/>
            <w:bottom w:val="none" w:sz="0" w:space="0" w:color="auto"/>
            <w:right w:val="none" w:sz="0" w:space="0" w:color="auto"/>
          </w:divBdr>
          <w:divsChild>
            <w:div w:id="1980761539">
              <w:marLeft w:val="0"/>
              <w:marRight w:val="0"/>
              <w:marTop w:val="0"/>
              <w:marBottom w:val="0"/>
              <w:divBdr>
                <w:top w:val="none" w:sz="0" w:space="0" w:color="auto"/>
                <w:left w:val="none" w:sz="0" w:space="0" w:color="auto"/>
                <w:bottom w:val="none" w:sz="0" w:space="0" w:color="auto"/>
                <w:right w:val="none" w:sz="0" w:space="0" w:color="auto"/>
              </w:divBdr>
              <w:divsChild>
                <w:div w:id="717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365">
      <w:bodyDiv w:val="1"/>
      <w:marLeft w:val="0"/>
      <w:marRight w:val="0"/>
      <w:marTop w:val="0"/>
      <w:marBottom w:val="0"/>
      <w:divBdr>
        <w:top w:val="none" w:sz="0" w:space="0" w:color="auto"/>
        <w:left w:val="none" w:sz="0" w:space="0" w:color="auto"/>
        <w:bottom w:val="none" w:sz="0" w:space="0" w:color="auto"/>
        <w:right w:val="none" w:sz="0" w:space="0" w:color="auto"/>
      </w:divBdr>
      <w:divsChild>
        <w:div w:id="1773477769">
          <w:marLeft w:val="0"/>
          <w:marRight w:val="0"/>
          <w:marTop w:val="0"/>
          <w:marBottom w:val="0"/>
          <w:divBdr>
            <w:top w:val="none" w:sz="0" w:space="0" w:color="auto"/>
            <w:left w:val="none" w:sz="0" w:space="0" w:color="auto"/>
            <w:bottom w:val="none" w:sz="0" w:space="0" w:color="auto"/>
            <w:right w:val="none" w:sz="0" w:space="0" w:color="auto"/>
          </w:divBdr>
          <w:divsChild>
            <w:div w:id="824861142">
              <w:marLeft w:val="0"/>
              <w:marRight w:val="0"/>
              <w:marTop w:val="0"/>
              <w:marBottom w:val="0"/>
              <w:divBdr>
                <w:top w:val="none" w:sz="0" w:space="0" w:color="auto"/>
                <w:left w:val="none" w:sz="0" w:space="0" w:color="auto"/>
                <w:bottom w:val="none" w:sz="0" w:space="0" w:color="auto"/>
                <w:right w:val="none" w:sz="0" w:space="0" w:color="auto"/>
              </w:divBdr>
              <w:divsChild>
                <w:div w:id="1154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5939">
      <w:bodyDiv w:val="1"/>
      <w:marLeft w:val="0"/>
      <w:marRight w:val="0"/>
      <w:marTop w:val="0"/>
      <w:marBottom w:val="0"/>
      <w:divBdr>
        <w:top w:val="none" w:sz="0" w:space="0" w:color="auto"/>
        <w:left w:val="none" w:sz="0" w:space="0" w:color="auto"/>
        <w:bottom w:val="none" w:sz="0" w:space="0" w:color="auto"/>
        <w:right w:val="none" w:sz="0" w:space="0" w:color="auto"/>
      </w:divBdr>
      <w:divsChild>
        <w:div w:id="1018041405">
          <w:marLeft w:val="0"/>
          <w:marRight w:val="0"/>
          <w:marTop w:val="0"/>
          <w:marBottom w:val="0"/>
          <w:divBdr>
            <w:top w:val="none" w:sz="0" w:space="0" w:color="auto"/>
            <w:left w:val="none" w:sz="0" w:space="0" w:color="auto"/>
            <w:bottom w:val="none" w:sz="0" w:space="0" w:color="auto"/>
            <w:right w:val="none" w:sz="0" w:space="0" w:color="auto"/>
          </w:divBdr>
          <w:divsChild>
            <w:div w:id="1975211466">
              <w:marLeft w:val="0"/>
              <w:marRight w:val="0"/>
              <w:marTop w:val="0"/>
              <w:marBottom w:val="0"/>
              <w:divBdr>
                <w:top w:val="none" w:sz="0" w:space="0" w:color="auto"/>
                <w:left w:val="none" w:sz="0" w:space="0" w:color="auto"/>
                <w:bottom w:val="none" w:sz="0" w:space="0" w:color="auto"/>
                <w:right w:val="none" w:sz="0" w:space="0" w:color="auto"/>
              </w:divBdr>
              <w:divsChild>
                <w:div w:id="76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741">
      <w:bodyDiv w:val="1"/>
      <w:marLeft w:val="0"/>
      <w:marRight w:val="0"/>
      <w:marTop w:val="0"/>
      <w:marBottom w:val="0"/>
      <w:divBdr>
        <w:top w:val="none" w:sz="0" w:space="0" w:color="auto"/>
        <w:left w:val="none" w:sz="0" w:space="0" w:color="auto"/>
        <w:bottom w:val="none" w:sz="0" w:space="0" w:color="auto"/>
        <w:right w:val="none" w:sz="0" w:space="0" w:color="auto"/>
      </w:divBdr>
      <w:divsChild>
        <w:div w:id="441460094">
          <w:marLeft w:val="0"/>
          <w:marRight w:val="0"/>
          <w:marTop w:val="0"/>
          <w:marBottom w:val="0"/>
          <w:divBdr>
            <w:top w:val="none" w:sz="0" w:space="0" w:color="auto"/>
            <w:left w:val="none" w:sz="0" w:space="0" w:color="auto"/>
            <w:bottom w:val="none" w:sz="0" w:space="0" w:color="auto"/>
            <w:right w:val="none" w:sz="0" w:space="0" w:color="auto"/>
          </w:divBdr>
          <w:divsChild>
            <w:div w:id="2073654467">
              <w:marLeft w:val="0"/>
              <w:marRight w:val="0"/>
              <w:marTop w:val="0"/>
              <w:marBottom w:val="0"/>
              <w:divBdr>
                <w:top w:val="none" w:sz="0" w:space="0" w:color="auto"/>
                <w:left w:val="none" w:sz="0" w:space="0" w:color="auto"/>
                <w:bottom w:val="none" w:sz="0" w:space="0" w:color="auto"/>
                <w:right w:val="none" w:sz="0" w:space="0" w:color="auto"/>
              </w:divBdr>
              <w:divsChild>
                <w:div w:id="472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lawcircle.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gal2@vdmass.co.z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e@vdmass.co.za" TargetMode="External"/><Relationship Id="rId5" Type="http://schemas.openxmlformats.org/officeDocument/2006/relationships/webSettings" Target="webSettings.xml"/><Relationship Id="rId15" Type="http://schemas.openxmlformats.org/officeDocument/2006/relationships/hyperlink" Target="mailto:sean@jvrkinc.co.za" TargetMode="External"/><Relationship Id="rId10" Type="http://schemas.openxmlformats.org/officeDocument/2006/relationships/hyperlink" Target="mailto:hpwessels@group33advocat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luderitz@maisels.co.za" TargetMode="External"/><Relationship Id="rId14" Type="http://schemas.openxmlformats.org/officeDocument/2006/relationships/hyperlink" Target="mailto:paul.eilers@lawcircl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85BF-B7DC-4E9A-9F9D-CA15E685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Sathish</cp:lastModifiedBy>
  <cp:revision>5</cp:revision>
  <cp:lastPrinted>2024-02-07T10:51:00Z</cp:lastPrinted>
  <dcterms:created xsi:type="dcterms:W3CDTF">2024-02-07T10:49:00Z</dcterms:created>
  <dcterms:modified xsi:type="dcterms:W3CDTF">2024-02-17T16:47:00Z</dcterms:modified>
</cp:coreProperties>
</file>