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1283" w14:textId="6B904DC8" w:rsidR="00AE39D3" w:rsidRPr="00C71BA3" w:rsidRDefault="00842028" w:rsidP="00BC3FB8">
      <w:pPr>
        <w:spacing w:line="360" w:lineRule="auto"/>
        <w:jc w:val="center"/>
        <w:rPr>
          <w:rFonts w:ascii="Arial" w:hAnsi="Arial" w:cs="Arial"/>
          <w:b/>
        </w:rPr>
      </w:pPr>
      <w:r w:rsidRPr="00C71BA3">
        <w:rPr>
          <w:rFonts w:ascii="Arial" w:hAnsi="Arial" w:cs="Arial"/>
          <w:b/>
          <w:noProof/>
          <w:lang w:eastAsia="en-ZA"/>
        </w:rPr>
        <w:drawing>
          <wp:inline distT="0" distB="0" distL="0" distR="0" wp14:anchorId="003A3757" wp14:editId="3B3496F7">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2450833" w14:textId="77777777" w:rsidR="00BC3FB8" w:rsidRPr="00C71BA3" w:rsidRDefault="00BC3FB8" w:rsidP="00BC3FB8">
      <w:pPr>
        <w:spacing w:line="360" w:lineRule="auto"/>
        <w:jc w:val="center"/>
        <w:rPr>
          <w:rFonts w:ascii="Arial" w:hAnsi="Arial" w:cs="Arial"/>
          <w:b/>
        </w:rPr>
      </w:pP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5835E0EC"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DA32C6">
        <w:rPr>
          <w:rFonts w:ascii="Arial" w:hAnsi="Arial" w:cs="Arial"/>
          <w:b/>
        </w:rPr>
        <w:t>PRETORIA</w:t>
      </w:r>
    </w:p>
    <w:p w14:paraId="1978BE20" w14:textId="77777777"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6096"/>
        <w:gridCol w:w="2943"/>
      </w:tblGrid>
      <w:tr w:rsidR="00BC3FB8" w:rsidRPr="00C71BA3" w14:paraId="60105E9D" w14:textId="77777777" w:rsidTr="00460767">
        <w:tc>
          <w:tcPr>
            <w:tcW w:w="5871" w:type="dxa"/>
            <w:shd w:val="clear" w:color="auto" w:fill="auto"/>
          </w:tcPr>
          <w:p w14:paraId="48228A0C" w14:textId="41947CCA" w:rsidR="00BC3FB8" w:rsidRPr="00C71BA3" w:rsidRDefault="00842028" w:rsidP="000F670B">
            <w:pPr>
              <w:spacing w:line="360" w:lineRule="auto"/>
              <w:jc w:val="both"/>
              <w:rPr>
                <w:rFonts w:ascii="Arial" w:hAnsi="Arial" w:cs="Arial"/>
                <w:b/>
              </w:rPr>
            </w:pPr>
            <w:r>
              <w:rPr>
                <w:noProof/>
              </w:rPr>
              <mc:AlternateContent>
                <mc:Choice Requires="wps">
                  <w:drawing>
                    <wp:anchor distT="45720" distB="45720" distL="114300" distR="114300" simplePos="0" relativeHeight="251657728" behindDoc="0" locked="0" layoutInCell="1" allowOverlap="1" wp14:anchorId="2ADB77D2" wp14:editId="42B7D9F5">
                      <wp:simplePos x="0" y="0"/>
                      <wp:positionH relativeFrom="column">
                        <wp:posOffset>-67310</wp:posOffset>
                      </wp:positionH>
                      <wp:positionV relativeFrom="paragraph">
                        <wp:posOffset>451485</wp:posOffset>
                      </wp:positionV>
                      <wp:extent cx="3717290" cy="1192530"/>
                      <wp:effectExtent l="0" t="0" r="1651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1192530"/>
                              </a:xfrm>
                              <a:prstGeom prst="rect">
                                <a:avLst/>
                              </a:prstGeom>
                              <a:solidFill>
                                <a:srgbClr val="FFFFFF"/>
                              </a:solidFill>
                              <a:ln w="9525">
                                <a:solidFill>
                                  <a:srgbClr val="000000"/>
                                </a:solidFill>
                                <a:miter lim="800000"/>
                                <a:headEnd/>
                                <a:tailEnd/>
                              </a:ln>
                            </wps:spPr>
                            <wps:txb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0888E5DE"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5E479D">
                                    <w:rPr>
                                      <w:rFonts w:ascii="Arial" w:hAnsi="Arial" w:cs="Arial"/>
                                      <w:sz w:val="20"/>
                                      <w:szCs w:val="20"/>
                                    </w:rPr>
                                    <w:t xml:space="preserve"> </w:t>
                                  </w:r>
                                  <w:r w:rsidR="003E6199">
                                    <w:rPr>
                                      <w:rFonts w:ascii="Arial" w:hAnsi="Arial" w:cs="Arial"/>
                                      <w:sz w:val="20"/>
                                      <w:szCs w:val="20"/>
                                    </w:rPr>
                                    <w:t>2</w:t>
                                  </w:r>
                                  <w:r w:rsidR="00266B9C">
                                    <w:rPr>
                                      <w:rFonts w:ascii="Arial" w:hAnsi="Arial" w:cs="Arial"/>
                                      <w:sz w:val="20"/>
                                      <w:szCs w:val="20"/>
                                    </w:rPr>
                                    <w:t>0</w:t>
                                  </w:r>
                                  <w:r w:rsidR="003E6199">
                                    <w:rPr>
                                      <w:rFonts w:ascii="Arial" w:hAnsi="Arial" w:cs="Arial"/>
                                      <w:sz w:val="20"/>
                                      <w:szCs w:val="20"/>
                                    </w:rPr>
                                    <w:t xml:space="preserve"> </w:t>
                                  </w:r>
                                  <w:r w:rsidR="00266B9C">
                                    <w:rPr>
                                      <w:rFonts w:ascii="Arial" w:hAnsi="Arial" w:cs="Arial"/>
                                      <w:sz w:val="20"/>
                                      <w:szCs w:val="20"/>
                                    </w:rPr>
                                    <w:t>February</w:t>
                                  </w:r>
                                  <w:r w:rsidR="003962D2">
                                    <w:rPr>
                                      <w:rFonts w:ascii="Arial" w:hAnsi="Arial" w:cs="Arial"/>
                                      <w:sz w:val="20"/>
                                      <w:szCs w:val="20"/>
                                    </w:rPr>
                                    <w:t xml:space="preserve"> 202</w:t>
                                  </w:r>
                                  <w:r w:rsidR="00266B9C">
                                    <w:rPr>
                                      <w:rFonts w:ascii="Arial" w:hAnsi="Arial" w:cs="Arial"/>
                                      <w:sz w:val="20"/>
                                      <w:szCs w:val="20"/>
                                    </w:rPr>
                                    <w:t>4</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B77D2" id="_x0000_t202" coordsize="21600,21600" o:spt="202" path="m,l,21600r21600,l21600,xe">
                      <v:stroke joinstyle="miter"/>
                      <v:path gradientshapeok="t" o:connecttype="rect"/>
                    </v:shapetype>
                    <v:shape id="Text Box 7" o:spid="_x0000_s1026" type="#_x0000_t202" style="position:absolute;left:0;text-align:left;margin-left:-5.3pt;margin-top:35.55pt;width:292.7pt;height:93.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">
                      <v:textbo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0888E5DE"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5E479D">
                              <w:rPr>
                                <w:rFonts w:ascii="Arial" w:hAnsi="Arial" w:cs="Arial"/>
                                <w:sz w:val="20"/>
                                <w:szCs w:val="20"/>
                              </w:rPr>
                              <w:t xml:space="preserve"> </w:t>
                            </w:r>
                            <w:r w:rsidR="003E6199">
                              <w:rPr>
                                <w:rFonts w:ascii="Arial" w:hAnsi="Arial" w:cs="Arial"/>
                                <w:sz w:val="20"/>
                                <w:szCs w:val="20"/>
                              </w:rPr>
                              <w:t>2</w:t>
                            </w:r>
                            <w:r w:rsidR="00266B9C">
                              <w:rPr>
                                <w:rFonts w:ascii="Arial" w:hAnsi="Arial" w:cs="Arial"/>
                                <w:sz w:val="20"/>
                                <w:szCs w:val="20"/>
                              </w:rPr>
                              <w:t>0</w:t>
                            </w:r>
                            <w:r w:rsidR="003E6199">
                              <w:rPr>
                                <w:rFonts w:ascii="Arial" w:hAnsi="Arial" w:cs="Arial"/>
                                <w:sz w:val="20"/>
                                <w:szCs w:val="20"/>
                              </w:rPr>
                              <w:t xml:space="preserve"> </w:t>
                            </w:r>
                            <w:r w:rsidR="00266B9C">
                              <w:rPr>
                                <w:rFonts w:ascii="Arial" w:hAnsi="Arial" w:cs="Arial"/>
                                <w:sz w:val="20"/>
                                <w:szCs w:val="20"/>
                              </w:rPr>
                              <w:t>February</w:t>
                            </w:r>
                            <w:r w:rsidR="003962D2">
                              <w:rPr>
                                <w:rFonts w:ascii="Arial" w:hAnsi="Arial" w:cs="Arial"/>
                                <w:sz w:val="20"/>
                                <w:szCs w:val="20"/>
                              </w:rPr>
                              <w:t xml:space="preserve"> 202</w:t>
                            </w:r>
                            <w:r w:rsidR="00266B9C">
                              <w:rPr>
                                <w:rFonts w:ascii="Arial" w:hAnsi="Arial" w:cs="Arial"/>
                                <w:sz w:val="20"/>
                                <w:szCs w:val="20"/>
                              </w:rPr>
                              <w:t>4</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v:textbox>
                      <w10:wrap type="square"/>
                    </v:shape>
                  </w:pict>
                </mc:Fallback>
              </mc:AlternateContent>
            </w:r>
          </w:p>
          <w:p w14:paraId="7016BF94" w14:textId="77777777" w:rsidR="00BB2C54" w:rsidRPr="00C71BA3" w:rsidRDefault="00BB2C54" w:rsidP="00BB2C54">
            <w:pPr>
              <w:spacing w:line="360" w:lineRule="auto"/>
              <w:jc w:val="both"/>
              <w:rPr>
                <w:rFonts w:ascii="Arial" w:hAnsi="Arial" w:cs="Arial"/>
                <w:b/>
              </w:rPr>
            </w:pPr>
          </w:p>
        </w:tc>
        <w:tc>
          <w:tcPr>
            <w:tcW w:w="3168" w:type="dxa"/>
            <w:shd w:val="clear" w:color="auto" w:fill="auto"/>
          </w:tcPr>
          <w:p w14:paraId="33C08D13" w14:textId="3DBE02EA" w:rsidR="00FF0EE0" w:rsidRPr="00C71BA3"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 xml:space="preserve">CASE NO: </w:t>
            </w:r>
            <w:r w:rsidR="0070030B">
              <w:rPr>
                <w:rFonts w:cs="Arial"/>
                <w:b/>
                <w:sz w:val="24"/>
                <w:szCs w:val="24"/>
              </w:rPr>
              <w:t>030942</w:t>
            </w:r>
            <w:r w:rsidR="003E6199">
              <w:rPr>
                <w:rFonts w:cs="Arial"/>
                <w:b/>
                <w:sz w:val="24"/>
                <w:szCs w:val="24"/>
              </w:rPr>
              <w:t>/2</w:t>
            </w:r>
            <w:r w:rsidR="0070030B">
              <w:rPr>
                <w:rFonts w:cs="Arial"/>
                <w:b/>
                <w:sz w:val="24"/>
                <w:szCs w:val="24"/>
              </w:rPr>
              <w:t>2</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14:paraId="7CF0D290" w14:textId="77777777" w:rsidR="00BC3FB8" w:rsidRPr="00C71BA3" w:rsidRDefault="00BC3FB8" w:rsidP="00812EBA">
            <w:pPr>
              <w:spacing w:line="360" w:lineRule="auto"/>
              <w:rPr>
                <w:rFonts w:ascii="Arial" w:hAnsi="Arial" w:cs="Arial"/>
              </w:rPr>
            </w:pPr>
          </w:p>
          <w:p w14:paraId="3DCAD526" w14:textId="77777777" w:rsidR="00BB2C54" w:rsidRPr="00C71BA3" w:rsidRDefault="00BB2C54" w:rsidP="00812EBA">
            <w:pPr>
              <w:spacing w:line="360" w:lineRule="auto"/>
              <w:rPr>
                <w:rFonts w:ascii="Arial" w:hAnsi="Arial" w:cs="Arial"/>
              </w:rPr>
            </w:pPr>
          </w:p>
          <w:p w14:paraId="295FEFF1" w14:textId="77777777" w:rsidR="00BB2C54" w:rsidRPr="00C71BA3" w:rsidRDefault="00BB2C54" w:rsidP="00812EBA">
            <w:pPr>
              <w:spacing w:line="360" w:lineRule="auto"/>
              <w:rPr>
                <w:rFonts w:ascii="Arial" w:hAnsi="Arial" w:cs="Arial"/>
              </w:rPr>
            </w:pPr>
          </w:p>
          <w:p w14:paraId="6084C1EC" w14:textId="77777777" w:rsidR="00812EBA" w:rsidRPr="00C71BA3" w:rsidRDefault="00812EBA" w:rsidP="00812EBA">
            <w:pPr>
              <w:spacing w:line="360" w:lineRule="auto"/>
              <w:rPr>
                <w:rFonts w:ascii="Arial" w:hAnsi="Arial" w:cs="Arial"/>
              </w:rPr>
            </w:pPr>
          </w:p>
        </w:tc>
      </w:tr>
    </w:tbl>
    <w:p w14:paraId="6F0A8BBE" w14:textId="77777777"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14:paraId="5DBDC441" w14:textId="1707C435" w:rsidR="00B02684" w:rsidRDefault="0070030B"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DREYER: JIENIE-MICHELLE</w:t>
      </w:r>
      <w:r w:rsidR="00B02684">
        <w:rPr>
          <w:rFonts w:ascii="Arial" w:eastAsia="Times New Roman" w:hAnsi="Arial" w:cs="Arial"/>
          <w:b/>
          <w:lang w:val="en-ZA" w:eastAsia="en-GB"/>
        </w:rPr>
        <w:tab/>
      </w:r>
      <w:r w:rsidR="00C314C6">
        <w:rPr>
          <w:rFonts w:ascii="Arial" w:eastAsia="Times New Roman" w:hAnsi="Arial" w:cs="Arial"/>
          <w:b/>
          <w:lang w:val="en-ZA" w:eastAsia="en-GB"/>
        </w:rPr>
        <w:t>APPLICANT</w:t>
      </w:r>
    </w:p>
    <w:p w14:paraId="029FE8A5" w14:textId="3AC3C8AD" w:rsidR="00574219" w:rsidRDefault="00574219" w:rsidP="00D84A04">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ab/>
      </w:r>
    </w:p>
    <w:p w14:paraId="4BACB5B7" w14:textId="01D1A5E4" w:rsidR="00574219" w:rsidRDefault="00D84A04" w:rsidP="00574219">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w:t>
      </w:r>
      <w:r w:rsidR="00574219">
        <w:rPr>
          <w:rFonts w:ascii="Arial" w:eastAsia="Times New Roman" w:hAnsi="Arial" w:cs="Arial"/>
          <w:lang w:val="en-ZA" w:eastAsia="en-GB"/>
        </w:rPr>
        <w:t>nd</w:t>
      </w:r>
    </w:p>
    <w:p w14:paraId="21D2D2A9" w14:textId="77777777" w:rsidR="00D84A04" w:rsidRPr="00710D62" w:rsidRDefault="00D84A04" w:rsidP="00574219">
      <w:pPr>
        <w:tabs>
          <w:tab w:val="left" w:pos="5868"/>
        </w:tabs>
        <w:spacing w:line="360" w:lineRule="auto"/>
        <w:ind w:left="936" w:hanging="936"/>
        <w:jc w:val="both"/>
        <w:rPr>
          <w:rFonts w:ascii="Arial" w:eastAsia="Times New Roman" w:hAnsi="Arial" w:cs="Arial"/>
          <w:lang w:val="en-ZA" w:eastAsia="en-GB"/>
        </w:rPr>
      </w:pPr>
    </w:p>
    <w:p w14:paraId="02A34093" w14:textId="05BC2C16" w:rsidR="00463D50" w:rsidRDefault="0070030B" w:rsidP="005A17DB">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AFRISTAT INVESTMENT HOLDINGS</w:t>
      </w:r>
      <w:r w:rsidR="00D84A04">
        <w:rPr>
          <w:rFonts w:ascii="Arial" w:eastAsia="Times New Roman" w:hAnsi="Arial" w:cs="Arial"/>
          <w:b/>
          <w:lang w:val="en-ZA" w:eastAsia="en-GB"/>
        </w:rPr>
        <w:tab/>
        <w:t>RESPONDENT</w:t>
      </w:r>
    </w:p>
    <w:p w14:paraId="0E84D8FB" w14:textId="16EB0879" w:rsidR="0070030B" w:rsidRDefault="0070030B" w:rsidP="005A17DB">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(Registration No: 1998/03215/06)</w:t>
      </w:r>
    </w:p>
    <w:p w14:paraId="03D62335" w14:textId="79ED7CB4" w:rsidR="0070030B" w:rsidRDefault="0070030B" w:rsidP="005A17DB">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w:t>
      </w:r>
      <w:proofErr w:type="gramStart"/>
      <w:r>
        <w:rPr>
          <w:rFonts w:ascii="Arial" w:eastAsia="Times New Roman" w:hAnsi="Arial" w:cs="Arial"/>
          <w:b/>
          <w:lang w:val="en-ZA" w:eastAsia="en-GB"/>
        </w:rPr>
        <w:t>previously</w:t>
      </w:r>
      <w:proofErr w:type="gramEnd"/>
      <w:r>
        <w:rPr>
          <w:rFonts w:ascii="Arial" w:eastAsia="Times New Roman" w:hAnsi="Arial" w:cs="Arial"/>
          <w:b/>
          <w:lang w:val="en-ZA" w:eastAsia="en-GB"/>
        </w:rPr>
        <w:t xml:space="preserve"> ECSPONENT LIMITED</w:t>
      </w:r>
    </w:p>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C4545B" w14:textId="713F5B2E" w:rsidR="00041F40" w:rsidRPr="00A9533D"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w:t>
      </w:r>
      <w:r w:rsidR="00C314C6">
        <w:rPr>
          <w:rFonts w:ascii="Arial" w:eastAsia="Times New Roman" w:hAnsi="Arial" w:cs="Arial"/>
          <w:b/>
          <w:lang w:val="en-ZA" w:eastAsia="en-GB"/>
        </w:rPr>
        <w:t>E</w:t>
      </w:r>
      <w:r>
        <w:rPr>
          <w:rFonts w:ascii="Arial" w:eastAsia="Times New Roman" w:hAnsi="Arial" w:cs="Arial"/>
          <w:b/>
          <w:lang w:val="en-ZA" w:eastAsia="en-GB"/>
        </w:rPr>
        <w:t>MENT</w:t>
      </w:r>
    </w:p>
    <w:p w14:paraId="47E502B2" w14:textId="77777777" w:rsidR="00574219" w:rsidRDefault="00574219" w:rsidP="00574219">
      <w:pPr>
        <w:tabs>
          <w:tab w:val="left" w:pos="5868"/>
        </w:tabs>
        <w:spacing w:line="360" w:lineRule="auto"/>
        <w:jc w:val="both"/>
        <w:rPr>
          <w:rFonts w:ascii="Arial" w:eastAsia="Times New Roman" w:hAnsi="Arial" w:cs="Arial"/>
          <w:b/>
          <w:u w:val="single"/>
          <w:lang w:val="en-ZA" w:eastAsia="en-GB"/>
        </w:rPr>
      </w:pPr>
    </w:p>
    <w:p w14:paraId="66517741" w14:textId="1C73306B" w:rsidR="007245C5" w:rsidRDefault="00574219" w:rsidP="00E56817">
      <w:pPr>
        <w:tabs>
          <w:tab w:val="left" w:pos="5868"/>
        </w:tabs>
        <w:spacing w:line="360" w:lineRule="auto"/>
        <w:jc w:val="both"/>
        <w:rPr>
          <w:rFonts w:ascii="Arial" w:eastAsia="Times New Roman" w:hAnsi="Arial" w:cs="Arial"/>
          <w:b/>
          <w:u w:val="single"/>
          <w:lang w:val="en-ZA" w:eastAsia="en-GB"/>
        </w:rPr>
      </w:pPr>
      <w:r w:rsidRPr="00A9533D">
        <w:rPr>
          <w:rFonts w:ascii="Arial" w:eastAsia="Times New Roman" w:hAnsi="Arial" w:cs="Arial"/>
          <w:b/>
          <w:u w:val="single"/>
          <w:lang w:val="en-ZA" w:eastAsia="en-GB"/>
        </w:rPr>
        <w:t>ALLY AJ</w:t>
      </w:r>
    </w:p>
    <w:p w14:paraId="35744B88" w14:textId="092EE728" w:rsidR="00B205D1" w:rsidRDefault="00B205D1" w:rsidP="00E56817">
      <w:pPr>
        <w:tabs>
          <w:tab w:val="left" w:pos="5868"/>
        </w:tabs>
        <w:spacing w:line="360" w:lineRule="auto"/>
        <w:jc w:val="both"/>
        <w:rPr>
          <w:rFonts w:ascii="Arial" w:eastAsia="Times New Roman" w:hAnsi="Arial" w:cs="Arial"/>
          <w:b/>
          <w:u w:val="single"/>
          <w:lang w:val="en-ZA" w:eastAsia="en-GB"/>
        </w:rPr>
      </w:pPr>
      <w:r>
        <w:rPr>
          <w:rFonts w:ascii="Arial" w:eastAsia="Times New Roman" w:hAnsi="Arial" w:cs="Arial"/>
          <w:b/>
          <w:u w:val="single"/>
          <w:lang w:val="en-ZA" w:eastAsia="en-GB"/>
        </w:rPr>
        <w:t>INTRODUCTION</w:t>
      </w:r>
    </w:p>
    <w:p w14:paraId="0A153F15" w14:textId="77777777" w:rsidR="00D138F2" w:rsidRPr="00D138F2" w:rsidRDefault="00D138F2" w:rsidP="00E56817">
      <w:pPr>
        <w:tabs>
          <w:tab w:val="left" w:pos="5868"/>
        </w:tabs>
        <w:spacing w:line="360" w:lineRule="auto"/>
        <w:jc w:val="both"/>
        <w:rPr>
          <w:rFonts w:ascii="Arial" w:eastAsia="Times New Roman" w:hAnsi="Arial" w:cs="Arial"/>
          <w:b/>
          <w:u w:val="single"/>
          <w:lang w:val="en-ZA" w:eastAsia="en-GB"/>
        </w:rPr>
      </w:pPr>
    </w:p>
    <w:p w14:paraId="7F42CB99" w14:textId="5CF3E2F1" w:rsidR="003B1185" w:rsidRDefault="00574219" w:rsidP="00B205D1">
      <w:pPr>
        <w:spacing w:after="200"/>
        <w:rPr>
          <w:rFonts w:ascii="Arial" w:eastAsia="Calibri" w:hAnsi="Arial" w:cs="Arial"/>
          <w:lang w:val="en-ZA"/>
        </w:rPr>
      </w:pPr>
      <w:r>
        <w:rPr>
          <w:rFonts w:ascii="Arial" w:eastAsia="Calibri" w:hAnsi="Arial" w:cs="Arial"/>
          <w:lang w:val="en-ZA"/>
        </w:rPr>
        <w:t>[1]</w:t>
      </w:r>
      <w:r>
        <w:rPr>
          <w:rFonts w:ascii="Arial" w:eastAsia="Calibri" w:hAnsi="Arial" w:cs="Arial"/>
          <w:lang w:val="en-ZA"/>
        </w:rPr>
        <w:tab/>
      </w:r>
      <w:r w:rsidR="00B02684">
        <w:rPr>
          <w:rFonts w:ascii="Arial" w:eastAsia="Calibri" w:hAnsi="Arial" w:cs="Arial"/>
          <w:lang w:val="en-ZA"/>
        </w:rPr>
        <w:t xml:space="preserve">This is an </w:t>
      </w:r>
      <w:r w:rsidR="00680BCA">
        <w:rPr>
          <w:rFonts w:ascii="Arial" w:eastAsia="Calibri" w:hAnsi="Arial" w:cs="Arial"/>
          <w:lang w:val="en-ZA"/>
        </w:rPr>
        <w:t xml:space="preserve">opposed </w:t>
      </w:r>
      <w:r w:rsidR="00B02684">
        <w:rPr>
          <w:rFonts w:ascii="Arial" w:eastAsia="Calibri" w:hAnsi="Arial" w:cs="Arial"/>
          <w:lang w:val="en-ZA"/>
        </w:rPr>
        <w:t>application for</w:t>
      </w:r>
      <w:r w:rsidR="00B205D1">
        <w:rPr>
          <w:rFonts w:ascii="Arial" w:eastAsia="Calibri" w:hAnsi="Arial" w:cs="Arial"/>
          <w:lang w:val="en-ZA"/>
        </w:rPr>
        <w:t xml:space="preserve"> the winding up of the Respondent.</w:t>
      </w:r>
      <w:r w:rsidR="001920C1">
        <w:rPr>
          <w:rFonts w:ascii="Arial" w:eastAsia="Calibri" w:hAnsi="Arial" w:cs="Arial"/>
          <w:lang w:val="en-ZA"/>
        </w:rPr>
        <w:t xml:space="preserve"> The Applicant was represented by Adv. </w:t>
      </w:r>
      <w:proofErr w:type="spellStart"/>
      <w:r w:rsidR="001920C1">
        <w:rPr>
          <w:rFonts w:ascii="Arial" w:eastAsia="Calibri" w:hAnsi="Arial" w:cs="Arial"/>
          <w:lang w:val="en-ZA"/>
        </w:rPr>
        <w:t>Berdou</w:t>
      </w:r>
      <w:proofErr w:type="spellEnd"/>
      <w:r w:rsidR="001920C1">
        <w:rPr>
          <w:rFonts w:ascii="Arial" w:eastAsia="Calibri" w:hAnsi="Arial" w:cs="Arial"/>
          <w:lang w:val="en-ZA"/>
        </w:rPr>
        <w:t xml:space="preserve"> and the Respondent by Adv. J. Klopper.</w:t>
      </w:r>
    </w:p>
    <w:p w14:paraId="3A38B3A7" w14:textId="77777777" w:rsidR="00680BCA" w:rsidRDefault="00680BCA" w:rsidP="00680BCA">
      <w:pPr>
        <w:spacing w:after="200"/>
        <w:ind w:firstLine="720"/>
        <w:rPr>
          <w:rFonts w:ascii="Arial" w:eastAsia="Calibri" w:hAnsi="Arial" w:cs="Arial"/>
          <w:lang w:val="en-ZA"/>
        </w:rPr>
      </w:pPr>
    </w:p>
    <w:p w14:paraId="1490233F" w14:textId="37E34DA9" w:rsidR="00D4049F" w:rsidRDefault="003B1185" w:rsidP="00680BCA">
      <w:pPr>
        <w:spacing w:after="200"/>
        <w:ind w:left="720" w:hanging="720"/>
        <w:rPr>
          <w:rFonts w:ascii="Arial" w:eastAsia="Calibri" w:hAnsi="Arial" w:cs="Arial"/>
          <w:lang w:val="en-ZA"/>
        </w:rPr>
      </w:pPr>
      <w:r>
        <w:rPr>
          <w:rFonts w:ascii="Arial" w:eastAsia="Calibri" w:hAnsi="Arial" w:cs="Arial"/>
          <w:lang w:val="en-ZA"/>
        </w:rPr>
        <w:t>[2]</w:t>
      </w:r>
      <w:r>
        <w:rPr>
          <w:rFonts w:ascii="Arial" w:eastAsia="Calibri" w:hAnsi="Arial" w:cs="Arial"/>
          <w:lang w:val="en-ZA"/>
        </w:rPr>
        <w:tab/>
      </w:r>
      <w:r w:rsidR="00D4049F">
        <w:rPr>
          <w:rFonts w:ascii="Arial" w:eastAsia="Calibri" w:hAnsi="Arial" w:cs="Arial"/>
          <w:lang w:val="en-ZA"/>
        </w:rPr>
        <w:t>At the outset the Court had to deal with certain preliminary issues: Firstly, documents had been uploaded on CaseLines without the leave of the Court. Secondly, there were various applications to strike out and thirdly the issue of whether this matter had been determined to be urgent or not.</w:t>
      </w:r>
    </w:p>
    <w:p w14:paraId="3790B515" w14:textId="6FF0059D" w:rsidR="00D4049F" w:rsidRDefault="00D4049F" w:rsidP="00680BCA">
      <w:pPr>
        <w:spacing w:after="200"/>
        <w:ind w:left="720" w:hanging="720"/>
        <w:rPr>
          <w:rFonts w:ascii="Arial" w:eastAsia="Calibri" w:hAnsi="Arial" w:cs="Arial"/>
          <w:lang w:val="en-ZA"/>
        </w:rPr>
      </w:pPr>
      <w:r>
        <w:rPr>
          <w:rFonts w:ascii="Arial" w:eastAsia="Calibri" w:hAnsi="Arial" w:cs="Arial"/>
          <w:lang w:val="en-ZA"/>
        </w:rPr>
        <w:t>[3]</w:t>
      </w:r>
      <w:r>
        <w:rPr>
          <w:rFonts w:ascii="Arial" w:eastAsia="Calibri" w:hAnsi="Arial" w:cs="Arial"/>
          <w:lang w:val="en-ZA"/>
        </w:rPr>
        <w:tab/>
        <w:t xml:space="preserve">On the first issue, it was resolved that documents uploaded without the leave of the Court will not form part of the documents before Court. These documents included all confirmatory affidavits, the so-called improved Rule 35(12) and any supplementary affidavits filed by the Applicant. The Applicant was of the view as stated by Counsel that the disregarding of the said documents </w:t>
      </w:r>
      <w:r w:rsidR="001920C1">
        <w:rPr>
          <w:rFonts w:ascii="Arial" w:eastAsia="Calibri" w:hAnsi="Arial" w:cs="Arial"/>
          <w:lang w:val="en-ZA"/>
        </w:rPr>
        <w:t>was</w:t>
      </w:r>
      <w:r>
        <w:rPr>
          <w:rFonts w:ascii="Arial" w:eastAsia="Calibri" w:hAnsi="Arial" w:cs="Arial"/>
          <w:lang w:val="en-ZA"/>
        </w:rPr>
        <w:t xml:space="preserve"> not fatal to the Applicant’s case and did want a postponement for the Respondent to engage with the said documents.</w:t>
      </w:r>
    </w:p>
    <w:p w14:paraId="5CD047AC" w14:textId="2D1F7E67" w:rsidR="00D4049F" w:rsidRDefault="00D4049F" w:rsidP="00680BCA">
      <w:pPr>
        <w:spacing w:after="200"/>
        <w:ind w:left="720" w:hanging="720"/>
        <w:rPr>
          <w:rFonts w:ascii="Arial" w:eastAsia="Calibri" w:hAnsi="Arial" w:cs="Arial"/>
          <w:lang w:val="en-ZA"/>
        </w:rPr>
      </w:pPr>
      <w:r>
        <w:rPr>
          <w:rFonts w:ascii="Arial" w:eastAsia="Calibri" w:hAnsi="Arial" w:cs="Arial"/>
          <w:lang w:val="en-ZA"/>
        </w:rPr>
        <w:t>[4]</w:t>
      </w:r>
      <w:r>
        <w:rPr>
          <w:rFonts w:ascii="Arial" w:eastAsia="Calibri" w:hAnsi="Arial" w:cs="Arial"/>
          <w:lang w:val="en-ZA"/>
        </w:rPr>
        <w:tab/>
      </w:r>
      <w:r w:rsidR="001920C1">
        <w:rPr>
          <w:rFonts w:ascii="Arial" w:eastAsia="Calibri" w:hAnsi="Arial" w:cs="Arial"/>
          <w:lang w:val="en-ZA"/>
        </w:rPr>
        <w:t>In respect of the second issue, it was agreed between the parties that the applications to strike out would not be proceeded with.</w:t>
      </w:r>
    </w:p>
    <w:p w14:paraId="55A89785" w14:textId="34325F75" w:rsidR="001920C1" w:rsidRDefault="001920C1" w:rsidP="00680BCA">
      <w:pPr>
        <w:spacing w:after="200"/>
        <w:ind w:left="720" w:hanging="720"/>
        <w:rPr>
          <w:rFonts w:ascii="Arial" w:eastAsia="Calibri" w:hAnsi="Arial" w:cs="Arial"/>
          <w:lang w:val="en-ZA"/>
        </w:rPr>
      </w:pPr>
      <w:r>
        <w:rPr>
          <w:rFonts w:ascii="Arial" w:eastAsia="Calibri" w:hAnsi="Arial" w:cs="Arial"/>
          <w:lang w:val="en-ZA"/>
        </w:rPr>
        <w:t>[5]</w:t>
      </w:r>
      <w:r>
        <w:rPr>
          <w:rFonts w:ascii="Arial" w:eastAsia="Calibri" w:hAnsi="Arial" w:cs="Arial"/>
          <w:lang w:val="en-ZA"/>
        </w:rPr>
        <w:tab/>
        <w:t>The third issue which related to whether the matter before Court had already been determined as urgent, required argument from Counsel for the Respondent. Counsel for the Respondent submitted that his interpretation of the Order,</w:t>
      </w:r>
      <w:r>
        <w:rPr>
          <w:rStyle w:val="FootnoteReference"/>
          <w:rFonts w:ascii="Arial" w:eastAsia="Calibri" w:hAnsi="Arial" w:cs="Arial"/>
          <w:lang w:val="en-ZA"/>
        </w:rPr>
        <w:footnoteReference w:id="1"/>
      </w:r>
      <w:r>
        <w:rPr>
          <w:rFonts w:ascii="Arial" w:eastAsia="Calibri" w:hAnsi="Arial" w:cs="Arial"/>
          <w:lang w:val="en-ZA"/>
        </w:rPr>
        <w:t xml:space="preserve"> by </w:t>
      </w:r>
      <w:proofErr w:type="spellStart"/>
      <w:r>
        <w:rPr>
          <w:rFonts w:ascii="Arial" w:eastAsia="Calibri" w:hAnsi="Arial" w:cs="Arial"/>
          <w:lang w:val="en-ZA"/>
        </w:rPr>
        <w:t>Mokose</w:t>
      </w:r>
      <w:proofErr w:type="spellEnd"/>
      <w:r>
        <w:rPr>
          <w:rFonts w:ascii="Arial" w:eastAsia="Calibri" w:hAnsi="Arial" w:cs="Arial"/>
          <w:lang w:val="en-ZA"/>
        </w:rPr>
        <w:t xml:space="preserve"> J was that the issue of whether the matter was urgent was not decided and that the parties would make submissions on same during the hearing. The Court pointed out to Mr Klopper that the order was clear and that the matter had already been determined as urgent and as </w:t>
      </w:r>
      <w:r>
        <w:rPr>
          <w:rFonts w:ascii="Arial" w:eastAsia="Calibri" w:hAnsi="Arial" w:cs="Arial"/>
          <w:lang w:val="en-ZA"/>
        </w:rPr>
        <w:lastRenderedPageBreak/>
        <w:t>such my ruling was that the matter was urgent</w:t>
      </w:r>
      <w:r w:rsidR="00F019BD">
        <w:rPr>
          <w:rFonts w:ascii="Arial" w:eastAsia="Calibri" w:hAnsi="Arial" w:cs="Arial"/>
          <w:lang w:val="en-ZA"/>
        </w:rPr>
        <w:t xml:space="preserve"> and this Court did not need to make such determination.</w:t>
      </w:r>
      <w:r>
        <w:rPr>
          <w:rFonts w:ascii="Arial" w:eastAsia="Calibri" w:hAnsi="Arial" w:cs="Arial"/>
          <w:lang w:val="en-ZA"/>
        </w:rPr>
        <w:t xml:space="preserve"> </w:t>
      </w:r>
    </w:p>
    <w:p w14:paraId="67FECAC4" w14:textId="77777777" w:rsidR="00D4049F" w:rsidRDefault="00D4049F" w:rsidP="00680BCA">
      <w:pPr>
        <w:spacing w:after="200"/>
        <w:ind w:left="720" w:hanging="720"/>
        <w:rPr>
          <w:rFonts w:ascii="Arial" w:eastAsia="Calibri" w:hAnsi="Arial" w:cs="Arial"/>
          <w:lang w:val="en-ZA"/>
        </w:rPr>
      </w:pPr>
    </w:p>
    <w:p w14:paraId="6BCBAA7F" w14:textId="2D7EBA0F" w:rsidR="00C15C86" w:rsidRDefault="00D4049F" w:rsidP="00680BCA">
      <w:pPr>
        <w:spacing w:after="200"/>
        <w:ind w:left="720" w:hanging="720"/>
        <w:rPr>
          <w:rFonts w:ascii="Arial" w:eastAsia="Calibri" w:hAnsi="Arial" w:cs="Arial"/>
          <w:lang w:val="en-ZA"/>
        </w:rPr>
      </w:pPr>
      <w:r>
        <w:rPr>
          <w:rFonts w:ascii="Arial" w:eastAsia="Calibri" w:hAnsi="Arial" w:cs="Arial"/>
          <w:lang w:val="en-ZA"/>
        </w:rPr>
        <w:t xml:space="preserve">  </w:t>
      </w:r>
      <w:r w:rsidR="00B03359">
        <w:rPr>
          <w:rFonts w:ascii="Arial" w:eastAsia="Calibri" w:hAnsi="Arial" w:cs="Arial"/>
          <w:lang w:val="en-ZA"/>
        </w:rPr>
        <w:t>[6]</w:t>
      </w:r>
      <w:r w:rsidR="00B03359">
        <w:rPr>
          <w:rFonts w:ascii="Arial" w:eastAsia="Calibri" w:hAnsi="Arial" w:cs="Arial"/>
          <w:lang w:val="en-ZA"/>
        </w:rPr>
        <w:tab/>
      </w:r>
      <w:r w:rsidR="00FF772E">
        <w:rPr>
          <w:rFonts w:ascii="Arial" w:eastAsia="Calibri" w:hAnsi="Arial" w:cs="Arial"/>
          <w:lang w:val="en-ZA"/>
        </w:rPr>
        <w:t>The Applicant has launched these proceedings relying on Section 81</w:t>
      </w:r>
      <w:r w:rsidR="00C15C86">
        <w:rPr>
          <w:rFonts w:ascii="Arial" w:eastAsia="Calibri" w:hAnsi="Arial" w:cs="Arial"/>
          <w:lang w:val="en-ZA"/>
        </w:rPr>
        <w:t>(1)(c) (ii) and Section 81(1)(e)</w:t>
      </w:r>
      <w:r w:rsidR="00FF772E">
        <w:rPr>
          <w:rFonts w:ascii="Arial" w:eastAsia="Calibri" w:hAnsi="Arial" w:cs="Arial"/>
          <w:lang w:val="en-ZA"/>
        </w:rPr>
        <w:t xml:space="preserve"> of the Companies Act, as amended</w:t>
      </w:r>
      <w:r w:rsidR="007A737B">
        <w:rPr>
          <w:rFonts w:ascii="Arial" w:eastAsia="Calibri" w:hAnsi="Arial" w:cs="Arial"/>
          <w:lang w:val="en-ZA"/>
        </w:rPr>
        <w:t>, hereinafter referred to as ‘the Act’</w:t>
      </w:r>
      <w:r w:rsidR="00FF772E">
        <w:rPr>
          <w:rStyle w:val="FootnoteReference"/>
          <w:rFonts w:ascii="Arial" w:eastAsia="Calibri" w:hAnsi="Arial" w:cs="Arial"/>
          <w:lang w:val="en-ZA"/>
        </w:rPr>
        <w:footnoteReference w:id="2"/>
      </w:r>
      <w:r w:rsidR="00FF772E">
        <w:rPr>
          <w:rFonts w:ascii="Arial" w:eastAsia="Calibri" w:hAnsi="Arial" w:cs="Arial"/>
          <w:lang w:val="en-ZA"/>
        </w:rPr>
        <w:t>.</w:t>
      </w:r>
    </w:p>
    <w:p w14:paraId="4C84DD26" w14:textId="5845F8CB" w:rsidR="00C15C86" w:rsidRDefault="003A5D7B" w:rsidP="00680BCA">
      <w:pPr>
        <w:spacing w:after="200"/>
        <w:ind w:left="720" w:hanging="720"/>
        <w:rPr>
          <w:rFonts w:ascii="Arial" w:eastAsia="Calibri" w:hAnsi="Arial" w:cs="Arial"/>
          <w:b/>
          <w:bCs/>
          <w:lang w:val="en-ZA"/>
        </w:rPr>
      </w:pPr>
      <w:r>
        <w:rPr>
          <w:rFonts w:ascii="Arial" w:eastAsia="Calibri" w:hAnsi="Arial" w:cs="Arial"/>
          <w:b/>
          <w:bCs/>
          <w:lang w:val="en-ZA"/>
        </w:rPr>
        <w:t>ANAYLSIS AND FACTUAL BACKGROUND</w:t>
      </w:r>
    </w:p>
    <w:p w14:paraId="0FAE2471" w14:textId="77777777" w:rsidR="00E96C61" w:rsidRDefault="00C15C86" w:rsidP="00E96C61">
      <w:pPr>
        <w:spacing w:after="200"/>
        <w:ind w:left="720" w:hanging="720"/>
        <w:rPr>
          <w:rFonts w:ascii="Arial" w:eastAsia="Calibri" w:hAnsi="Arial" w:cs="Arial"/>
          <w:lang w:val="en-ZA"/>
        </w:rPr>
      </w:pPr>
      <w:r>
        <w:rPr>
          <w:rFonts w:ascii="Arial" w:eastAsia="Calibri" w:hAnsi="Arial" w:cs="Arial"/>
          <w:lang w:val="en-ZA"/>
        </w:rPr>
        <w:t>[</w:t>
      </w:r>
      <w:r w:rsidR="00B03359">
        <w:rPr>
          <w:rFonts w:ascii="Arial" w:eastAsia="Calibri" w:hAnsi="Arial" w:cs="Arial"/>
          <w:lang w:val="en-ZA"/>
        </w:rPr>
        <w:t>7</w:t>
      </w:r>
      <w:r>
        <w:rPr>
          <w:rFonts w:ascii="Arial" w:eastAsia="Calibri" w:hAnsi="Arial" w:cs="Arial"/>
          <w:lang w:val="en-ZA"/>
        </w:rPr>
        <w:t>]</w:t>
      </w:r>
      <w:r w:rsidR="0086585F">
        <w:rPr>
          <w:rFonts w:ascii="Arial" w:eastAsia="Calibri" w:hAnsi="Arial" w:cs="Arial"/>
          <w:lang w:val="en-ZA"/>
        </w:rPr>
        <w:tab/>
      </w:r>
      <w:r w:rsidR="00E96C61">
        <w:rPr>
          <w:rFonts w:ascii="Arial" w:eastAsia="Calibri" w:hAnsi="Arial" w:cs="Arial"/>
          <w:lang w:val="en-ZA"/>
        </w:rPr>
        <w:t>It is common cause that the Respondent Company was established in 1988 as ED Holdings Limited and converted into a public company on 9 July 1988. The Company was then listed on the venture capital market at the Johannesburg Stock Exchange, hereinafter referred to as ‘the JSE’ on 6 August 1988.</w:t>
      </w:r>
    </w:p>
    <w:p w14:paraId="34FF19D1" w14:textId="6A260A48" w:rsidR="00E96C61" w:rsidRDefault="00E96C61" w:rsidP="00E96C61">
      <w:pPr>
        <w:spacing w:after="200"/>
        <w:ind w:left="720" w:hanging="720"/>
        <w:rPr>
          <w:rFonts w:ascii="Arial" w:eastAsia="Calibri" w:hAnsi="Arial" w:cs="Arial"/>
          <w:lang w:val="en-ZA"/>
        </w:rPr>
      </w:pPr>
      <w:r>
        <w:rPr>
          <w:rFonts w:ascii="Arial" w:eastAsia="Calibri" w:hAnsi="Arial" w:cs="Arial"/>
          <w:lang w:val="en-ZA"/>
        </w:rPr>
        <w:t>[8]</w:t>
      </w:r>
      <w:r>
        <w:rPr>
          <w:rFonts w:ascii="Arial" w:eastAsia="Calibri" w:hAnsi="Arial" w:cs="Arial"/>
          <w:lang w:val="en-ZA"/>
        </w:rPr>
        <w:tab/>
      </w:r>
      <w:r>
        <w:rPr>
          <w:rFonts w:ascii="Arial" w:eastAsia="Calibri" w:hAnsi="Arial" w:cs="Arial"/>
          <w:lang w:val="en-ZA"/>
        </w:rPr>
        <w:t>It is further common cause that the Respondent company entered into an underwriting agreement with Exponent Capital (RF) Limited, a major shareholder in the said company</w:t>
      </w:r>
      <w:r>
        <w:rPr>
          <w:rFonts w:ascii="Arial" w:eastAsia="Calibri" w:hAnsi="Arial" w:cs="Arial"/>
          <w:lang w:val="en-ZA"/>
        </w:rPr>
        <w:t>.</w:t>
      </w:r>
    </w:p>
    <w:p w14:paraId="5D963B9E" w14:textId="35BB17D4" w:rsidR="00E96C61" w:rsidRDefault="00E96C61" w:rsidP="00E96C61">
      <w:pPr>
        <w:spacing w:after="200"/>
        <w:ind w:left="720" w:hanging="720"/>
        <w:rPr>
          <w:rFonts w:ascii="Arial" w:eastAsia="Calibri" w:hAnsi="Arial" w:cs="Arial"/>
          <w:lang w:val="en-ZA"/>
        </w:rPr>
      </w:pPr>
      <w:r>
        <w:rPr>
          <w:rFonts w:ascii="Arial" w:eastAsia="Calibri" w:hAnsi="Arial" w:cs="Arial"/>
          <w:lang w:val="en-ZA"/>
        </w:rPr>
        <w:t>[9]</w:t>
      </w:r>
      <w:r>
        <w:rPr>
          <w:rFonts w:ascii="Arial" w:eastAsia="Calibri" w:hAnsi="Arial" w:cs="Arial"/>
          <w:lang w:val="en-ZA"/>
        </w:rPr>
        <w:tab/>
      </w:r>
      <w:r>
        <w:rPr>
          <w:rFonts w:ascii="Arial" w:eastAsia="Calibri" w:hAnsi="Arial" w:cs="Arial"/>
          <w:lang w:val="en-ZA"/>
        </w:rPr>
        <w:t>In a nutshell, the Respondent company was incorporated with the primary objective of eliciting funds from the public.</w:t>
      </w:r>
    </w:p>
    <w:p w14:paraId="591A8E5B" w14:textId="211F5DA8" w:rsidR="00E96C61" w:rsidRDefault="00E96C61" w:rsidP="00E96C61">
      <w:pPr>
        <w:spacing w:after="200"/>
        <w:ind w:left="720" w:hanging="720"/>
        <w:rPr>
          <w:rFonts w:ascii="Arial" w:eastAsia="Calibri" w:hAnsi="Arial" w:cs="Arial"/>
          <w:lang w:val="en-ZA"/>
        </w:rPr>
      </w:pPr>
      <w:r>
        <w:rPr>
          <w:rFonts w:ascii="Arial" w:eastAsia="Calibri" w:hAnsi="Arial" w:cs="Arial"/>
          <w:lang w:val="en-ZA"/>
        </w:rPr>
        <w:t>[10]</w:t>
      </w:r>
      <w:r>
        <w:rPr>
          <w:rFonts w:ascii="Arial" w:eastAsia="Calibri" w:hAnsi="Arial" w:cs="Arial"/>
          <w:lang w:val="en-ZA"/>
        </w:rPr>
        <w:tab/>
      </w:r>
      <w:r>
        <w:rPr>
          <w:rFonts w:ascii="Arial" w:eastAsia="Calibri" w:hAnsi="Arial" w:cs="Arial"/>
          <w:lang w:val="en-ZA"/>
        </w:rPr>
        <w:t xml:space="preserve">It is common cause </w:t>
      </w:r>
      <w:r>
        <w:rPr>
          <w:rFonts w:ascii="Arial" w:eastAsia="Calibri" w:hAnsi="Arial" w:cs="Arial"/>
          <w:lang w:val="en-ZA"/>
        </w:rPr>
        <w:t xml:space="preserve">also </w:t>
      </w:r>
      <w:r>
        <w:rPr>
          <w:rFonts w:ascii="Arial" w:eastAsia="Calibri" w:hAnsi="Arial" w:cs="Arial"/>
          <w:lang w:val="en-ZA"/>
        </w:rPr>
        <w:t>that the Respondent company was suspended on 5 August 2022 because audited annual financial statements of the company had not been filed with ‘the JSE’ in terms of the rules of the ‘JSE’.</w:t>
      </w:r>
    </w:p>
    <w:p w14:paraId="4BCABBF1" w14:textId="3086A718" w:rsidR="0086585F" w:rsidRDefault="00E96C61" w:rsidP="00E96C61">
      <w:pPr>
        <w:spacing w:after="200"/>
        <w:ind w:left="720" w:hanging="720"/>
        <w:rPr>
          <w:rFonts w:ascii="Arial" w:eastAsia="Calibri" w:hAnsi="Arial" w:cs="Arial"/>
          <w:lang w:val="en-ZA"/>
        </w:rPr>
      </w:pPr>
      <w:r>
        <w:rPr>
          <w:rFonts w:ascii="Arial" w:eastAsia="Calibri" w:hAnsi="Arial" w:cs="Arial"/>
          <w:lang w:val="en-ZA"/>
        </w:rPr>
        <w:lastRenderedPageBreak/>
        <w:t>[11]</w:t>
      </w:r>
      <w:r>
        <w:rPr>
          <w:rFonts w:ascii="Arial" w:eastAsia="Calibri" w:hAnsi="Arial" w:cs="Arial"/>
          <w:lang w:val="en-ZA"/>
        </w:rPr>
        <w:tab/>
        <w:t xml:space="preserve">It is common cause that the Applicant is a minority shareholder. Much was made on the papers whether the Applicant was a preferent or ordinary shareholder. I do not deem it necessary to determine this issue. </w:t>
      </w:r>
    </w:p>
    <w:p w14:paraId="29E9595E" w14:textId="43C5DA57" w:rsidR="00B03359" w:rsidRDefault="00E96C61" w:rsidP="00680BCA">
      <w:pPr>
        <w:spacing w:after="200"/>
        <w:ind w:left="720" w:hanging="720"/>
        <w:rPr>
          <w:rFonts w:ascii="Arial" w:eastAsia="Calibri" w:hAnsi="Arial" w:cs="Arial"/>
          <w:lang w:val="en-ZA"/>
        </w:rPr>
      </w:pPr>
      <w:r>
        <w:rPr>
          <w:rFonts w:ascii="Arial" w:eastAsia="Calibri" w:hAnsi="Arial" w:cs="Arial"/>
          <w:lang w:val="en-ZA"/>
        </w:rPr>
        <w:t>[12]</w:t>
      </w:r>
      <w:r>
        <w:rPr>
          <w:rFonts w:ascii="Arial" w:eastAsia="Calibri" w:hAnsi="Arial" w:cs="Arial"/>
          <w:lang w:val="en-ZA"/>
        </w:rPr>
        <w:tab/>
        <w:t>Now i</w:t>
      </w:r>
      <w:r w:rsidR="00B03359">
        <w:rPr>
          <w:rFonts w:ascii="Arial" w:eastAsia="Calibri" w:hAnsi="Arial" w:cs="Arial"/>
          <w:lang w:val="en-ZA"/>
        </w:rPr>
        <w:t>t is apt at this point to set out the provisions of Section 81 relevant to this matter:</w:t>
      </w:r>
    </w:p>
    <w:p w14:paraId="6A45A255" w14:textId="6DF7AA34" w:rsidR="00B03359" w:rsidRDefault="00B03359" w:rsidP="00680BCA">
      <w:pPr>
        <w:spacing w:after="200"/>
        <w:ind w:left="720" w:hanging="720"/>
      </w:pPr>
      <w:r>
        <w:rPr>
          <w:rFonts w:ascii="Arial" w:eastAsia="Calibri" w:hAnsi="Arial" w:cs="Arial"/>
          <w:lang w:val="en-ZA"/>
        </w:rPr>
        <w:tab/>
      </w:r>
      <w:r w:rsidR="006B35A4">
        <w:rPr>
          <w:rFonts w:ascii="Arial" w:eastAsia="Calibri" w:hAnsi="Arial" w:cs="Arial"/>
          <w:lang w:val="en-ZA"/>
        </w:rPr>
        <w:t>“</w:t>
      </w:r>
      <w:r w:rsidRPr="00B03359">
        <w:rPr>
          <w:rFonts w:ascii="Arial" w:hAnsi="Arial" w:cs="Arial"/>
          <w:b/>
          <w:bCs/>
          <w:i/>
          <w:iCs/>
          <w:sz w:val="22"/>
          <w:szCs w:val="22"/>
        </w:rPr>
        <w:t>Winding-up of solvent companies by court order</w:t>
      </w:r>
      <w:r>
        <w:t xml:space="preserve">. </w:t>
      </w:r>
    </w:p>
    <w:p w14:paraId="7E56F9EE" w14:textId="464A8402" w:rsidR="00B03359" w:rsidRDefault="006B35A4" w:rsidP="00B03359">
      <w:pPr>
        <w:spacing w:after="200"/>
        <w:ind w:left="720"/>
        <w:rPr>
          <w:rFonts w:ascii="Arial" w:hAnsi="Arial" w:cs="Arial"/>
          <w:i/>
          <w:iCs/>
          <w:sz w:val="22"/>
          <w:szCs w:val="22"/>
        </w:rPr>
      </w:pPr>
      <w:r w:rsidRPr="006B35A4">
        <w:rPr>
          <w:rFonts w:ascii="Arial" w:hAnsi="Arial" w:cs="Arial"/>
          <w:b/>
          <w:bCs/>
          <w:i/>
          <w:iCs/>
          <w:sz w:val="22"/>
          <w:szCs w:val="22"/>
        </w:rPr>
        <w:t>81</w:t>
      </w:r>
      <w:r>
        <w:rPr>
          <w:rFonts w:ascii="Arial" w:hAnsi="Arial" w:cs="Arial"/>
          <w:b/>
          <w:bCs/>
          <w:i/>
          <w:iCs/>
          <w:sz w:val="22"/>
          <w:szCs w:val="22"/>
        </w:rPr>
        <w:t>.</w:t>
      </w:r>
      <w:r>
        <w:rPr>
          <w:rFonts w:ascii="Arial" w:hAnsi="Arial" w:cs="Arial"/>
          <w:b/>
          <w:bCs/>
          <w:i/>
          <w:iCs/>
          <w:sz w:val="22"/>
          <w:szCs w:val="22"/>
        </w:rPr>
        <w:tab/>
      </w:r>
      <w:r w:rsidR="00B03359" w:rsidRPr="00B03359">
        <w:rPr>
          <w:rFonts w:ascii="Arial" w:hAnsi="Arial" w:cs="Arial"/>
          <w:i/>
          <w:iCs/>
          <w:sz w:val="22"/>
          <w:szCs w:val="22"/>
        </w:rPr>
        <w:t xml:space="preserve">(1) A court may order a solvent company to be wound up if— </w:t>
      </w:r>
    </w:p>
    <w:p w14:paraId="628DC154" w14:textId="77777777" w:rsidR="00B03359" w:rsidRDefault="00B03359" w:rsidP="00B23568">
      <w:pPr>
        <w:spacing w:after="200"/>
        <w:ind w:left="1440" w:firstLine="720"/>
        <w:rPr>
          <w:rFonts w:ascii="Arial" w:hAnsi="Arial" w:cs="Arial"/>
          <w:i/>
          <w:iCs/>
          <w:sz w:val="22"/>
          <w:szCs w:val="22"/>
        </w:rPr>
      </w:pPr>
      <w:r w:rsidRPr="00B03359">
        <w:rPr>
          <w:rFonts w:ascii="Arial" w:hAnsi="Arial" w:cs="Arial"/>
          <w:i/>
          <w:iCs/>
          <w:sz w:val="22"/>
          <w:szCs w:val="22"/>
        </w:rPr>
        <w:t xml:space="preserve">(a) the company has— </w:t>
      </w:r>
    </w:p>
    <w:p w14:paraId="4717104D" w14:textId="77777777" w:rsidR="00B03359" w:rsidRDefault="00B03359" w:rsidP="00B23568">
      <w:pPr>
        <w:spacing w:after="200"/>
        <w:ind w:left="2880"/>
        <w:rPr>
          <w:rFonts w:ascii="Arial" w:hAnsi="Arial" w:cs="Arial"/>
          <w:i/>
          <w:iCs/>
          <w:sz w:val="22"/>
          <w:szCs w:val="22"/>
        </w:rPr>
      </w:pPr>
      <w:r w:rsidRPr="00B03359">
        <w:rPr>
          <w:rFonts w:ascii="Arial" w:hAnsi="Arial" w:cs="Arial"/>
          <w:i/>
          <w:iCs/>
          <w:sz w:val="22"/>
          <w:szCs w:val="22"/>
        </w:rPr>
        <w:t>(</w:t>
      </w:r>
      <w:proofErr w:type="spellStart"/>
      <w:r w:rsidRPr="00B03359">
        <w:rPr>
          <w:rFonts w:ascii="Arial" w:hAnsi="Arial" w:cs="Arial"/>
          <w:i/>
          <w:iCs/>
          <w:sz w:val="22"/>
          <w:szCs w:val="22"/>
        </w:rPr>
        <w:t>i</w:t>
      </w:r>
      <w:proofErr w:type="spellEnd"/>
      <w:r w:rsidRPr="00B03359">
        <w:rPr>
          <w:rFonts w:ascii="Arial" w:hAnsi="Arial" w:cs="Arial"/>
          <w:i/>
          <w:iCs/>
          <w:sz w:val="22"/>
          <w:szCs w:val="22"/>
        </w:rPr>
        <w:t xml:space="preserve">) resolved, by special resolution, that it be wound up by the court; or </w:t>
      </w:r>
    </w:p>
    <w:p w14:paraId="5971C690" w14:textId="77777777" w:rsidR="00B03359" w:rsidRDefault="00B03359" w:rsidP="00B23568">
      <w:pPr>
        <w:spacing w:after="200"/>
        <w:ind w:left="2880"/>
        <w:rPr>
          <w:rFonts w:ascii="Arial" w:hAnsi="Arial" w:cs="Arial"/>
          <w:i/>
          <w:iCs/>
          <w:sz w:val="22"/>
          <w:szCs w:val="22"/>
        </w:rPr>
      </w:pPr>
      <w:r w:rsidRPr="00B03359">
        <w:rPr>
          <w:rFonts w:ascii="Arial" w:hAnsi="Arial" w:cs="Arial"/>
          <w:i/>
          <w:iCs/>
          <w:sz w:val="22"/>
          <w:szCs w:val="22"/>
        </w:rPr>
        <w:t>(ii) applied to the court to have its voluntary winding-up continued by the court;</w:t>
      </w:r>
    </w:p>
    <w:p w14:paraId="1A312705" w14:textId="77777777" w:rsidR="00B03359" w:rsidRDefault="00B03359" w:rsidP="00B23568">
      <w:pPr>
        <w:spacing w:after="200"/>
        <w:ind w:left="2160"/>
        <w:rPr>
          <w:rFonts w:ascii="Arial" w:hAnsi="Arial" w:cs="Arial"/>
          <w:i/>
          <w:iCs/>
          <w:sz w:val="22"/>
          <w:szCs w:val="22"/>
        </w:rPr>
      </w:pPr>
      <w:r w:rsidRPr="00B03359">
        <w:rPr>
          <w:rFonts w:ascii="Arial" w:hAnsi="Arial" w:cs="Arial"/>
          <w:i/>
          <w:iCs/>
          <w:sz w:val="22"/>
          <w:szCs w:val="22"/>
        </w:rPr>
        <w:t xml:space="preserve">(b) the practitioner of a company appointed during business rescue proceedings has applied for liquidation in terms of section 141(2)(a), on the grounds that there is no reasonable prospect of the company being rescued; or </w:t>
      </w:r>
    </w:p>
    <w:p w14:paraId="6549688F" w14:textId="77777777" w:rsidR="00B03359" w:rsidRDefault="00B03359" w:rsidP="00B23568">
      <w:pPr>
        <w:spacing w:after="200"/>
        <w:ind w:left="2160"/>
        <w:rPr>
          <w:rFonts w:ascii="Arial" w:hAnsi="Arial" w:cs="Arial"/>
          <w:i/>
          <w:iCs/>
          <w:sz w:val="22"/>
          <w:szCs w:val="22"/>
        </w:rPr>
      </w:pPr>
      <w:r w:rsidRPr="00B03359">
        <w:rPr>
          <w:rFonts w:ascii="Arial" w:hAnsi="Arial" w:cs="Arial"/>
          <w:i/>
          <w:iCs/>
          <w:sz w:val="22"/>
          <w:szCs w:val="22"/>
        </w:rPr>
        <w:t xml:space="preserve">(c) one or more of the company’s creditors have applied to the court for an order to wind up the company on the grounds that— </w:t>
      </w:r>
    </w:p>
    <w:p w14:paraId="21A5E2A0" w14:textId="77777777" w:rsidR="00B03359" w:rsidRDefault="00B03359" w:rsidP="00B23568">
      <w:pPr>
        <w:spacing w:after="200"/>
        <w:ind w:left="2880"/>
        <w:rPr>
          <w:rFonts w:ascii="Arial" w:hAnsi="Arial" w:cs="Arial"/>
          <w:i/>
          <w:iCs/>
          <w:sz w:val="22"/>
          <w:szCs w:val="22"/>
        </w:rPr>
      </w:pPr>
      <w:r w:rsidRPr="00B03359">
        <w:rPr>
          <w:rFonts w:ascii="Arial" w:hAnsi="Arial" w:cs="Arial"/>
          <w:i/>
          <w:iCs/>
          <w:sz w:val="22"/>
          <w:szCs w:val="22"/>
        </w:rPr>
        <w:t>(</w:t>
      </w:r>
      <w:proofErr w:type="spellStart"/>
      <w:r w:rsidRPr="00B03359">
        <w:rPr>
          <w:rFonts w:ascii="Arial" w:hAnsi="Arial" w:cs="Arial"/>
          <w:i/>
          <w:iCs/>
          <w:sz w:val="22"/>
          <w:szCs w:val="22"/>
        </w:rPr>
        <w:t>i</w:t>
      </w:r>
      <w:proofErr w:type="spellEnd"/>
      <w:r w:rsidRPr="00B03359">
        <w:rPr>
          <w:rFonts w:ascii="Arial" w:hAnsi="Arial" w:cs="Arial"/>
          <w:i/>
          <w:iCs/>
          <w:sz w:val="22"/>
          <w:szCs w:val="22"/>
        </w:rPr>
        <w:t>) the company’s business rescue proceedings have ended in the manner contemplated in section 132(2)(b) or (c)(</w:t>
      </w:r>
      <w:proofErr w:type="spellStart"/>
      <w:r w:rsidRPr="00B03359">
        <w:rPr>
          <w:rFonts w:ascii="Arial" w:hAnsi="Arial" w:cs="Arial"/>
          <w:i/>
          <w:iCs/>
          <w:sz w:val="22"/>
          <w:szCs w:val="22"/>
        </w:rPr>
        <w:t>i</w:t>
      </w:r>
      <w:proofErr w:type="spellEnd"/>
      <w:r w:rsidRPr="00B03359">
        <w:rPr>
          <w:rFonts w:ascii="Arial" w:hAnsi="Arial" w:cs="Arial"/>
          <w:i/>
          <w:iCs/>
          <w:sz w:val="22"/>
          <w:szCs w:val="22"/>
        </w:rPr>
        <w:t xml:space="preserve">) and it appears to the court that it is just and equitable in the circumstances for the company to be wound up; or </w:t>
      </w:r>
    </w:p>
    <w:p w14:paraId="6DC3C802" w14:textId="77777777" w:rsidR="00B03359" w:rsidRDefault="00B03359" w:rsidP="00B23568">
      <w:pPr>
        <w:spacing w:after="200"/>
        <w:ind w:left="2880"/>
        <w:rPr>
          <w:rFonts w:ascii="Arial" w:hAnsi="Arial" w:cs="Arial"/>
          <w:i/>
          <w:iCs/>
          <w:sz w:val="22"/>
          <w:szCs w:val="22"/>
        </w:rPr>
      </w:pPr>
      <w:r w:rsidRPr="00B03359">
        <w:rPr>
          <w:rFonts w:ascii="Arial" w:hAnsi="Arial" w:cs="Arial"/>
          <w:i/>
          <w:iCs/>
          <w:sz w:val="22"/>
          <w:szCs w:val="22"/>
        </w:rPr>
        <w:lastRenderedPageBreak/>
        <w:t>(ii) it is otherwise just and equitable for the company to be wound up;</w:t>
      </w:r>
    </w:p>
    <w:p w14:paraId="31344329" w14:textId="77777777" w:rsidR="00B03359" w:rsidRDefault="00B03359" w:rsidP="00B23568">
      <w:pPr>
        <w:spacing w:after="200"/>
        <w:ind w:left="2160"/>
        <w:rPr>
          <w:rFonts w:ascii="Arial" w:hAnsi="Arial" w:cs="Arial"/>
          <w:i/>
          <w:iCs/>
          <w:sz w:val="22"/>
          <w:szCs w:val="22"/>
        </w:rPr>
      </w:pPr>
      <w:r w:rsidRPr="00B03359">
        <w:rPr>
          <w:rFonts w:ascii="Arial" w:hAnsi="Arial" w:cs="Arial"/>
          <w:i/>
          <w:iCs/>
          <w:sz w:val="22"/>
          <w:szCs w:val="22"/>
        </w:rPr>
        <w:t xml:space="preserve">(d) the company, one or more directors or one or more shareholders have applied to the court for an order to wind up the company on the grounds that— </w:t>
      </w:r>
    </w:p>
    <w:p w14:paraId="4C95623A" w14:textId="77777777" w:rsidR="00935959" w:rsidRDefault="00B03359" w:rsidP="00B23568">
      <w:pPr>
        <w:spacing w:after="200"/>
        <w:ind w:left="2880"/>
        <w:rPr>
          <w:rFonts w:ascii="Arial" w:hAnsi="Arial" w:cs="Arial"/>
          <w:i/>
          <w:iCs/>
          <w:sz w:val="22"/>
          <w:szCs w:val="22"/>
        </w:rPr>
      </w:pPr>
      <w:r w:rsidRPr="00B03359">
        <w:rPr>
          <w:rFonts w:ascii="Arial" w:hAnsi="Arial" w:cs="Arial"/>
          <w:i/>
          <w:iCs/>
          <w:sz w:val="22"/>
          <w:szCs w:val="22"/>
        </w:rPr>
        <w:t>(</w:t>
      </w:r>
      <w:proofErr w:type="spellStart"/>
      <w:r w:rsidRPr="00B03359">
        <w:rPr>
          <w:rFonts w:ascii="Arial" w:hAnsi="Arial" w:cs="Arial"/>
          <w:i/>
          <w:iCs/>
          <w:sz w:val="22"/>
          <w:szCs w:val="22"/>
        </w:rPr>
        <w:t>i</w:t>
      </w:r>
      <w:proofErr w:type="spellEnd"/>
      <w:r w:rsidRPr="00B03359">
        <w:rPr>
          <w:rFonts w:ascii="Arial" w:hAnsi="Arial" w:cs="Arial"/>
          <w:i/>
          <w:iCs/>
          <w:sz w:val="22"/>
          <w:szCs w:val="22"/>
        </w:rPr>
        <w:t xml:space="preserve">) the directors are deadlocked in the management of the company, and the shareholders are unable to break the deadlock, and— </w:t>
      </w:r>
    </w:p>
    <w:p w14:paraId="2FE030C3" w14:textId="77777777" w:rsidR="00935959" w:rsidRDefault="00B03359" w:rsidP="00B23568">
      <w:pPr>
        <w:spacing w:after="200"/>
        <w:ind w:left="3600"/>
        <w:rPr>
          <w:rFonts w:ascii="Arial" w:hAnsi="Arial" w:cs="Arial"/>
          <w:i/>
          <w:iCs/>
          <w:sz w:val="22"/>
          <w:szCs w:val="22"/>
        </w:rPr>
      </w:pPr>
      <w:r w:rsidRPr="00B03359">
        <w:rPr>
          <w:rFonts w:ascii="Arial" w:hAnsi="Arial" w:cs="Arial"/>
          <w:i/>
          <w:iCs/>
          <w:sz w:val="22"/>
          <w:szCs w:val="22"/>
        </w:rPr>
        <w:t xml:space="preserve">(aa) irreparable injury to the company is resulting, or may result, from the deadlock; or </w:t>
      </w:r>
    </w:p>
    <w:p w14:paraId="6293F5BA" w14:textId="77777777" w:rsidR="006B35A4" w:rsidRDefault="00B03359" w:rsidP="00B23568">
      <w:pPr>
        <w:spacing w:after="200"/>
        <w:ind w:left="3600"/>
        <w:rPr>
          <w:rFonts w:ascii="Arial" w:hAnsi="Arial" w:cs="Arial"/>
          <w:i/>
          <w:iCs/>
          <w:sz w:val="22"/>
          <w:szCs w:val="22"/>
        </w:rPr>
      </w:pPr>
      <w:r w:rsidRPr="00B03359">
        <w:rPr>
          <w:rFonts w:ascii="Arial" w:hAnsi="Arial" w:cs="Arial"/>
          <w:i/>
          <w:iCs/>
          <w:sz w:val="22"/>
          <w:szCs w:val="22"/>
        </w:rPr>
        <w:t xml:space="preserve">(bb) the company’s business cannot be conducted to the advantage of shareholders generally, </w:t>
      </w:r>
      <w:proofErr w:type="gramStart"/>
      <w:r w:rsidRPr="00B03359">
        <w:rPr>
          <w:rFonts w:ascii="Arial" w:hAnsi="Arial" w:cs="Arial"/>
          <w:i/>
          <w:iCs/>
          <w:sz w:val="22"/>
          <w:szCs w:val="22"/>
        </w:rPr>
        <w:t>as a result of</w:t>
      </w:r>
      <w:proofErr w:type="gramEnd"/>
      <w:r w:rsidRPr="00B03359">
        <w:rPr>
          <w:rFonts w:ascii="Arial" w:hAnsi="Arial" w:cs="Arial"/>
          <w:i/>
          <w:iCs/>
          <w:sz w:val="22"/>
          <w:szCs w:val="22"/>
        </w:rPr>
        <w:t xml:space="preserve"> the deadlock;  </w:t>
      </w:r>
    </w:p>
    <w:p w14:paraId="7F69F712" w14:textId="77777777" w:rsidR="006B35A4" w:rsidRDefault="00B03359" w:rsidP="00B23568">
      <w:pPr>
        <w:spacing w:after="200"/>
        <w:ind w:left="2880"/>
        <w:rPr>
          <w:rFonts w:ascii="Arial" w:hAnsi="Arial" w:cs="Arial"/>
          <w:i/>
          <w:iCs/>
          <w:sz w:val="22"/>
          <w:szCs w:val="22"/>
        </w:rPr>
      </w:pPr>
      <w:r w:rsidRPr="00B03359">
        <w:rPr>
          <w:rFonts w:ascii="Arial" w:hAnsi="Arial" w:cs="Arial"/>
          <w:i/>
          <w:iCs/>
          <w:sz w:val="22"/>
          <w:szCs w:val="22"/>
        </w:rPr>
        <w:t xml:space="preserve">(ii) the shareholders are deadlocked in voting power, and have failed for a period that includes at least two consecutive annual general meeting dates, to elect successors to directors whose terms have expired; or </w:t>
      </w:r>
    </w:p>
    <w:p w14:paraId="23A36E76" w14:textId="77777777" w:rsidR="00B23568" w:rsidRDefault="00B03359" w:rsidP="00B23568">
      <w:pPr>
        <w:spacing w:after="200"/>
        <w:ind w:left="2880"/>
        <w:rPr>
          <w:rFonts w:ascii="Arial" w:hAnsi="Arial" w:cs="Arial"/>
          <w:i/>
          <w:iCs/>
          <w:sz w:val="22"/>
          <w:szCs w:val="22"/>
        </w:rPr>
      </w:pPr>
      <w:r w:rsidRPr="00B03359">
        <w:rPr>
          <w:rFonts w:ascii="Arial" w:hAnsi="Arial" w:cs="Arial"/>
          <w:i/>
          <w:iCs/>
          <w:sz w:val="22"/>
          <w:szCs w:val="22"/>
        </w:rPr>
        <w:t>(iii) it is otherwise just and equitable for the company to be wound up;</w:t>
      </w:r>
    </w:p>
    <w:p w14:paraId="5299CE68" w14:textId="77777777" w:rsidR="00B23568" w:rsidRDefault="00B03359" w:rsidP="00B23568">
      <w:pPr>
        <w:spacing w:after="200"/>
        <w:ind w:left="2160"/>
        <w:rPr>
          <w:rFonts w:ascii="Arial" w:hAnsi="Arial" w:cs="Arial"/>
          <w:i/>
          <w:iCs/>
          <w:sz w:val="22"/>
          <w:szCs w:val="22"/>
        </w:rPr>
      </w:pPr>
      <w:r w:rsidRPr="00B03359">
        <w:rPr>
          <w:rFonts w:ascii="Arial" w:hAnsi="Arial" w:cs="Arial"/>
          <w:i/>
          <w:iCs/>
          <w:sz w:val="22"/>
          <w:szCs w:val="22"/>
        </w:rPr>
        <w:t xml:space="preserve">(e) a shareholder has applied, with leave of the court, for an order to wind up the company on the grounds that— </w:t>
      </w:r>
    </w:p>
    <w:p w14:paraId="30F01F45" w14:textId="77777777" w:rsidR="00B23568" w:rsidRDefault="00B03359" w:rsidP="00B23568">
      <w:pPr>
        <w:spacing w:after="200"/>
        <w:ind w:left="2880"/>
        <w:rPr>
          <w:rFonts w:ascii="Arial" w:hAnsi="Arial" w:cs="Arial"/>
          <w:i/>
          <w:iCs/>
          <w:sz w:val="22"/>
          <w:szCs w:val="22"/>
        </w:rPr>
      </w:pPr>
      <w:r w:rsidRPr="00B03359">
        <w:rPr>
          <w:rFonts w:ascii="Arial" w:hAnsi="Arial" w:cs="Arial"/>
          <w:i/>
          <w:iCs/>
          <w:sz w:val="22"/>
          <w:szCs w:val="22"/>
        </w:rPr>
        <w:t>(</w:t>
      </w:r>
      <w:proofErr w:type="spellStart"/>
      <w:r w:rsidRPr="00B03359">
        <w:rPr>
          <w:rFonts w:ascii="Arial" w:hAnsi="Arial" w:cs="Arial"/>
          <w:i/>
          <w:iCs/>
          <w:sz w:val="22"/>
          <w:szCs w:val="22"/>
        </w:rPr>
        <w:t>i</w:t>
      </w:r>
      <w:proofErr w:type="spellEnd"/>
      <w:r w:rsidRPr="00B03359">
        <w:rPr>
          <w:rFonts w:ascii="Arial" w:hAnsi="Arial" w:cs="Arial"/>
          <w:i/>
          <w:iCs/>
          <w:sz w:val="22"/>
          <w:szCs w:val="22"/>
        </w:rPr>
        <w:t xml:space="preserve">) the directors, prescribed </w:t>
      </w:r>
      <w:proofErr w:type="gramStart"/>
      <w:r w:rsidRPr="00B03359">
        <w:rPr>
          <w:rFonts w:ascii="Arial" w:hAnsi="Arial" w:cs="Arial"/>
          <w:i/>
          <w:iCs/>
          <w:sz w:val="22"/>
          <w:szCs w:val="22"/>
        </w:rPr>
        <w:t>officers</w:t>
      </w:r>
      <w:proofErr w:type="gramEnd"/>
      <w:r w:rsidRPr="00B03359">
        <w:rPr>
          <w:rFonts w:ascii="Arial" w:hAnsi="Arial" w:cs="Arial"/>
          <w:i/>
          <w:iCs/>
          <w:sz w:val="22"/>
          <w:szCs w:val="22"/>
        </w:rPr>
        <w:t xml:space="preserve"> or other persons in control of the company are acting in a manner that is fraudulent or otherwise illegal; or </w:t>
      </w:r>
    </w:p>
    <w:p w14:paraId="36EE0B0D" w14:textId="77777777" w:rsidR="00B23568" w:rsidRDefault="00B03359" w:rsidP="00B23568">
      <w:pPr>
        <w:spacing w:after="200"/>
        <w:ind w:left="2160" w:firstLine="720"/>
        <w:rPr>
          <w:rFonts w:ascii="Arial" w:hAnsi="Arial" w:cs="Arial"/>
          <w:i/>
          <w:iCs/>
          <w:sz w:val="22"/>
          <w:szCs w:val="22"/>
        </w:rPr>
      </w:pPr>
      <w:r w:rsidRPr="00B03359">
        <w:rPr>
          <w:rFonts w:ascii="Arial" w:hAnsi="Arial" w:cs="Arial"/>
          <w:i/>
          <w:iCs/>
          <w:sz w:val="22"/>
          <w:szCs w:val="22"/>
        </w:rPr>
        <w:lastRenderedPageBreak/>
        <w:t xml:space="preserve">(ii) the company’s assets are being misapplied or wasted; or </w:t>
      </w:r>
    </w:p>
    <w:p w14:paraId="449F58EF" w14:textId="1C6726C0" w:rsidR="00B23568" w:rsidRDefault="00B03359" w:rsidP="00B23568">
      <w:pPr>
        <w:spacing w:after="200"/>
        <w:ind w:left="1440" w:firstLine="720"/>
        <w:rPr>
          <w:rFonts w:ascii="Arial" w:hAnsi="Arial" w:cs="Arial"/>
          <w:i/>
          <w:iCs/>
          <w:sz w:val="22"/>
          <w:szCs w:val="22"/>
        </w:rPr>
      </w:pPr>
      <w:r w:rsidRPr="00B03359">
        <w:rPr>
          <w:rFonts w:ascii="Arial" w:hAnsi="Arial" w:cs="Arial"/>
          <w:i/>
          <w:iCs/>
          <w:sz w:val="22"/>
          <w:szCs w:val="22"/>
        </w:rPr>
        <w:t xml:space="preserve">(f) </w:t>
      </w:r>
      <w:r w:rsidR="00B23568">
        <w:rPr>
          <w:rFonts w:ascii="Arial" w:hAnsi="Arial" w:cs="Arial"/>
          <w:i/>
          <w:iCs/>
          <w:sz w:val="22"/>
          <w:szCs w:val="22"/>
        </w:rPr>
        <w:t>…..</w:t>
      </w:r>
    </w:p>
    <w:p w14:paraId="73E73709" w14:textId="3A2D59D2" w:rsidR="00B23568" w:rsidRDefault="00B03359" w:rsidP="00B23568">
      <w:pPr>
        <w:spacing w:after="200"/>
        <w:ind w:left="1440"/>
        <w:rPr>
          <w:rFonts w:ascii="Arial" w:hAnsi="Arial" w:cs="Arial"/>
          <w:i/>
          <w:iCs/>
          <w:sz w:val="22"/>
          <w:szCs w:val="22"/>
        </w:rPr>
      </w:pPr>
      <w:r w:rsidRPr="00B03359">
        <w:rPr>
          <w:rFonts w:ascii="Arial" w:hAnsi="Arial" w:cs="Arial"/>
          <w:i/>
          <w:iCs/>
          <w:sz w:val="22"/>
          <w:szCs w:val="22"/>
        </w:rPr>
        <w:t xml:space="preserve">(2) A shareholder may not apply to a court as contemplated in subsection (1)(d) or (e) unless the shareholder— </w:t>
      </w:r>
    </w:p>
    <w:p w14:paraId="4B187581" w14:textId="77777777" w:rsidR="00B23568" w:rsidRDefault="00B03359" w:rsidP="00B23568">
      <w:pPr>
        <w:spacing w:after="200"/>
        <w:ind w:left="2160"/>
        <w:rPr>
          <w:rFonts w:ascii="Arial" w:hAnsi="Arial" w:cs="Arial"/>
          <w:i/>
          <w:iCs/>
          <w:sz w:val="22"/>
          <w:szCs w:val="22"/>
        </w:rPr>
      </w:pPr>
      <w:r w:rsidRPr="00B03359">
        <w:rPr>
          <w:rFonts w:ascii="Arial" w:hAnsi="Arial" w:cs="Arial"/>
          <w:i/>
          <w:iCs/>
          <w:sz w:val="22"/>
          <w:szCs w:val="22"/>
        </w:rPr>
        <w:t xml:space="preserve">(a) has been a shareholder continuously for at least six months immediately before the date of the application; or </w:t>
      </w:r>
    </w:p>
    <w:p w14:paraId="0B1F0B21" w14:textId="77777777" w:rsidR="00B23568" w:rsidRDefault="00B03359" w:rsidP="00B23568">
      <w:pPr>
        <w:spacing w:after="200"/>
        <w:ind w:left="1440" w:firstLine="720"/>
        <w:rPr>
          <w:rFonts w:ascii="Arial" w:hAnsi="Arial" w:cs="Arial"/>
          <w:i/>
          <w:iCs/>
          <w:sz w:val="22"/>
          <w:szCs w:val="22"/>
        </w:rPr>
      </w:pPr>
      <w:r w:rsidRPr="00B03359">
        <w:rPr>
          <w:rFonts w:ascii="Arial" w:hAnsi="Arial" w:cs="Arial"/>
          <w:i/>
          <w:iCs/>
          <w:sz w:val="22"/>
          <w:szCs w:val="22"/>
        </w:rPr>
        <w:t xml:space="preserve">(b) became a shareholder </w:t>
      </w:r>
      <w:proofErr w:type="gramStart"/>
      <w:r w:rsidRPr="00B03359">
        <w:rPr>
          <w:rFonts w:ascii="Arial" w:hAnsi="Arial" w:cs="Arial"/>
          <w:i/>
          <w:iCs/>
          <w:sz w:val="22"/>
          <w:szCs w:val="22"/>
        </w:rPr>
        <w:t>as a result of</w:t>
      </w:r>
      <w:proofErr w:type="gramEnd"/>
      <w:r w:rsidRPr="00B03359">
        <w:rPr>
          <w:rFonts w:ascii="Arial" w:hAnsi="Arial" w:cs="Arial"/>
          <w:i/>
          <w:iCs/>
          <w:sz w:val="22"/>
          <w:szCs w:val="22"/>
        </w:rPr>
        <w:t xml:space="preserve">— </w:t>
      </w:r>
    </w:p>
    <w:p w14:paraId="0340FF54" w14:textId="77777777" w:rsidR="00B23568" w:rsidRDefault="00B03359" w:rsidP="00B23568">
      <w:pPr>
        <w:spacing w:after="200"/>
        <w:ind w:left="2160" w:firstLine="720"/>
        <w:rPr>
          <w:rFonts w:ascii="Arial" w:hAnsi="Arial" w:cs="Arial"/>
          <w:i/>
          <w:iCs/>
          <w:sz w:val="22"/>
          <w:szCs w:val="22"/>
        </w:rPr>
      </w:pPr>
      <w:r w:rsidRPr="00B03359">
        <w:rPr>
          <w:rFonts w:ascii="Arial" w:hAnsi="Arial" w:cs="Arial"/>
          <w:i/>
          <w:iCs/>
          <w:sz w:val="22"/>
          <w:szCs w:val="22"/>
        </w:rPr>
        <w:t>(</w:t>
      </w:r>
      <w:proofErr w:type="spellStart"/>
      <w:r w:rsidRPr="00B03359">
        <w:rPr>
          <w:rFonts w:ascii="Arial" w:hAnsi="Arial" w:cs="Arial"/>
          <w:i/>
          <w:iCs/>
          <w:sz w:val="22"/>
          <w:szCs w:val="22"/>
        </w:rPr>
        <w:t>i</w:t>
      </w:r>
      <w:proofErr w:type="spellEnd"/>
      <w:r w:rsidRPr="00B03359">
        <w:rPr>
          <w:rFonts w:ascii="Arial" w:hAnsi="Arial" w:cs="Arial"/>
          <w:i/>
          <w:iCs/>
          <w:sz w:val="22"/>
          <w:szCs w:val="22"/>
        </w:rPr>
        <w:t xml:space="preserve">) acquiring another shareholder; or </w:t>
      </w:r>
    </w:p>
    <w:p w14:paraId="7C8CC016" w14:textId="77777777" w:rsidR="00B23568" w:rsidRDefault="00B03359" w:rsidP="00B23568">
      <w:pPr>
        <w:spacing w:after="200"/>
        <w:ind w:left="2880"/>
        <w:rPr>
          <w:rFonts w:ascii="Arial" w:hAnsi="Arial" w:cs="Arial"/>
          <w:i/>
          <w:iCs/>
          <w:sz w:val="22"/>
          <w:szCs w:val="22"/>
        </w:rPr>
      </w:pPr>
      <w:r w:rsidRPr="00B03359">
        <w:rPr>
          <w:rFonts w:ascii="Arial" w:hAnsi="Arial" w:cs="Arial"/>
          <w:i/>
          <w:iCs/>
          <w:sz w:val="22"/>
          <w:szCs w:val="22"/>
        </w:rPr>
        <w:t xml:space="preserve">(ii) the distribution of the estate of a former shareholder, and the present shareholder, and other or former shareholder, in aggregate, satisfied the requirements of paragraph (a). </w:t>
      </w:r>
    </w:p>
    <w:p w14:paraId="1F1307C1" w14:textId="6B639804" w:rsidR="00B03359" w:rsidRDefault="00B03359" w:rsidP="00B23568">
      <w:pPr>
        <w:spacing w:after="200"/>
        <w:ind w:left="720" w:firstLine="720"/>
        <w:rPr>
          <w:rFonts w:ascii="Arial" w:hAnsi="Arial" w:cs="Arial"/>
          <w:i/>
          <w:iCs/>
          <w:sz w:val="22"/>
          <w:szCs w:val="22"/>
        </w:rPr>
      </w:pPr>
      <w:r w:rsidRPr="00B03359">
        <w:rPr>
          <w:rFonts w:ascii="Arial" w:hAnsi="Arial" w:cs="Arial"/>
          <w:i/>
          <w:iCs/>
          <w:sz w:val="22"/>
          <w:szCs w:val="22"/>
        </w:rPr>
        <w:t xml:space="preserve">(3) </w:t>
      </w:r>
      <w:r w:rsidR="00B23568">
        <w:rPr>
          <w:rFonts w:ascii="Arial" w:hAnsi="Arial" w:cs="Arial"/>
          <w:i/>
          <w:iCs/>
          <w:sz w:val="22"/>
          <w:szCs w:val="22"/>
        </w:rPr>
        <w:t>….</w:t>
      </w:r>
    </w:p>
    <w:p w14:paraId="06A6EF03" w14:textId="176D28A6" w:rsidR="00B03359" w:rsidRPr="00E96C61" w:rsidRDefault="00B23568" w:rsidP="00E96C61">
      <w:pPr>
        <w:spacing w:after="200"/>
        <w:ind w:left="720" w:firstLine="720"/>
        <w:rPr>
          <w:rFonts w:ascii="Arial" w:eastAsia="Calibri" w:hAnsi="Arial" w:cs="Arial"/>
          <w:i/>
          <w:iCs/>
          <w:sz w:val="22"/>
          <w:szCs w:val="22"/>
          <w:lang w:val="en-ZA"/>
        </w:rPr>
      </w:pPr>
      <w:r>
        <w:rPr>
          <w:rFonts w:ascii="Arial" w:hAnsi="Arial" w:cs="Arial"/>
          <w:i/>
          <w:iCs/>
          <w:sz w:val="22"/>
          <w:szCs w:val="22"/>
        </w:rPr>
        <w:t>(4) ….”</w:t>
      </w:r>
    </w:p>
    <w:p w14:paraId="77435863" w14:textId="42D101B3" w:rsidR="00BF710F" w:rsidRDefault="00BF710F" w:rsidP="00680BCA">
      <w:pPr>
        <w:spacing w:after="200"/>
        <w:ind w:left="720" w:hanging="720"/>
        <w:rPr>
          <w:rFonts w:ascii="Arial" w:eastAsia="Calibri" w:hAnsi="Arial" w:cs="Arial"/>
          <w:lang w:val="en-ZA"/>
        </w:rPr>
      </w:pPr>
      <w:r>
        <w:rPr>
          <w:rFonts w:ascii="Arial" w:eastAsia="Calibri" w:hAnsi="Arial" w:cs="Arial"/>
          <w:lang w:val="en-ZA"/>
        </w:rPr>
        <w:t>[</w:t>
      </w:r>
      <w:r w:rsidR="00E96C61">
        <w:rPr>
          <w:rFonts w:ascii="Arial" w:eastAsia="Calibri" w:hAnsi="Arial" w:cs="Arial"/>
          <w:lang w:val="en-ZA"/>
        </w:rPr>
        <w:t>13</w:t>
      </w:r>
      <w:r>
        <w:rPr>
          <w:rFonts w:ascii="Arial" w:eastAsia="Calibri" w:hAnsi="Arial" w:cs="Arial"/>
          <w:lang w:val="en-ZA"/>
        </w:rPr>
        <w:t>]</w:t>
      </w:r>
      <w:r>
        <w:rPr>
          <w:rFonts w:ascii="Arial" w:eastAsia="Calibri" w:hAnsi="Arial" w:cs="Arial"/>
          <w:lang w:val="en-ZA"/>
        </w:rPr>
        <w:tab/>
        <w:t>The reason for setting out the provisions of Section 81 of ‘the Act’ is that a Court in a civil matter is bound by the pleadings of the parties and cannot go beyond same</w:t>
      </w:r>
      <w:r w:rsidR="002F2600">
        <w:rPr>
          <w:rFonts w:ascii="Arial" w:eastAsia="Calibri" w:hAnsi="Arial" w:cs="Arial"/>
          <w:lang w:val="en-ZA"/>
        </w:rPr>
        <w:t xml:space="preserve"> – the object thereof being to delineate the issues to enable the other party to know the case to be met</w:t>
      </w:r>
      <w:r w:rsidR="002F2600">
        <w:rPr>
          <w:rStyle w:val="FootnoteReference"/>
          <w:rFonts w:ascii="Arial" w:eastAsia="Calibri" w:hAnsi="Arial" w:cs="Arial"/>
          <w:lang w:val="en-ZA"/>
        </w:rPr>
        <w:footnoteReference w:id="3"/>
      </w:r>
      <w:r w:rsidR="002F2600">
        <w:rPr>
          <w:rFonts w:ascii="Arial" w:eastAsia="Calibri" w:hAnsi="Arial" w:cs="Arial"/>
          <w:lang w:val="en-ZA"/>
        </w:rPr>
        <w:t>.</w:t>
      </w:r>
      <w:r>
        <w:rPr>
          <w:rFonts w:ascii="Arial" w:eastAsia="Calibri" w:hAnsi="Arial" w:cs="Arial"/>
          <w:lang w:val="en-ZA"/>
        </w:rPr>
        <w:t xml:space="preserve"> It is impermissible to plead one issue and pursue another at the hearing</w:t>
      </w:r>
      <w:r>
        <w:rPr>
          <w:rStyle w:val="FootnoteReference"/>
          <w:rFonts w:ascii="Arial" w:eastAsia="Calibri" w:hAnsi="Arial" w:cs="Arial"/>
          <w:lang w:val="en-ZA"/>
        </w:rPr>
        <w:footnoteReference w:id="4"/>
      </w:r>
      <w:r>
        <w:rPr>
          <w:rFonts w:ascii="Arial" w:eastAsia="Calibri" w:hAnsi="Arial" w:cs="Arial"/>
          <w:lang w:val="en-ZA"/>
        </w:rPr>
        <w:t xml:space="preserve">.  </w:t>
      </w:r>
    </w:p>
    <w:p w14:paraId="5DD456D7" w14:textId="774D1B6F" w:rsidR="002F2600" w:rsidRDefault="002F2600" w:rsidP="00680BCA">
      <w:pPr>
        <w:spacing w:after="200"/>
        <w:ind w:left="720" w:hanging="720"/>
        <w:rPr>
          <w:rFonts w:ascii="Arial" w:eastAsia="Calibri" w:hAnsi="Arial" w:cs="Arial"/>
          <w:lang w:val="en-ZA"/>
        </w:rPr>
      </w:pPr>
      <w:r>
        <w:rPr>
          <w:rFonts w:ascii="Arial" w:eastAsia="Calibri" w:hAnsi="Arial" w:cs="Arial"/>
          <w:lang w:val="en-ZA"/>
        </w:rPr>
        <w:lastRenderedPageBreak/>
        <w:t>[</w:t>
      </w:r>
      <w:r w:rsidR="007A737B">
        <w:rPr>
          <w:rFonts w:ascii="Arial" w:eastAsia="Calibri" w:hAnsi="Arial" w:cs="Arial"/>
          <w:lang w:val="en-ZA"/>
        </w:rPr>
        <w:t>14</w:t>
      </w:r>
      <w:r>
        <w:rPr>
          <w:rFonts w:ascii="Arial" w:eastAsia="Calibri" w:hAnsi="Arial" w:cs="Arial"/>
          <w:lang w:val="en-ZA"/>
        </w:rPr>
        <w:t>]</w:t>
      </w:r>
      <w:r>
        <w:rPr>
          <w:rFonts w:ascii="Arial" w:eastAsia="Calibri" w:hAnsi="Arial" w:cs="Arial"/>
          <w:lang w:val="en-ZA"/>
        </w:rPr>
        <w:tab/>
        <w:t xml:space="preserve">In this matter the Notice of Motion </w:t>
      </w:r>
      <w:r w:rsidR="007A737B">
        <w:rPr>
          <w:rFonts w:ascii="Arial" w:eastAsia="Calibri" w:hAnsi="Arial" w:cs="Arial"/>
          <w:lang w:val="en-ZA"/>
        </w:rPr>
        <w:t xml:space="preserve">filed of record </w:t>
      </w:r>
      <w:r>
        <w:rPr>
          <w:rFonts w:ascii="Arial" w:eastAsia="Calibri" w:hAnsi="Arial" w:cs="Arial"/>
          <w:lang w:val="en-ZA"/>
        </w:rPr>
        <w:t>does not set out which section of ‘the Act’ is being relied upon.</w:t>
      </w:r>
    </w:p>
    <w:p w14:paraId="0DD36978" w14:textId="16F74A8D" w:rsidR="005937F9" w:rsidRDefault="002F2600" w:rsidP="00680BCA">
      <w:pPr>
        <w:spacing w:after="200"/>
        <w:ind w:left="720" w:hanging="720"/>
        <w:rPr>
          <w:rFonts w:ascii="Arial" w:eastAsia="Calibri" w:hAnsi="Arial" w:cs="Arial"/>
          <w:lang w:val="en-ZA"/>
        </w:rPr>
      </w:pPr>
      <w:r>
        <w:rPr>
          <w:rFonts w:ascii="Arial" w:eastAsia="Calibri" w:hAnsi="Arial" w:cs="Arial"/>
          <w:lang w:val="en-ZA"/>
        </w:rPr>
        <w:t>[1</w:t>
      </w:r>
      <w:r w:rsidR="007A737B">
        <w:rPr>
          <w:rFonts w:ascii="Arial" w:eastAsia="Calibri" w:hAnsi="Arial" w:cs="Arial"/>
          <w:lang w:val="en-ZA"/>
        </w:rPr>
        <w:t>5</w:t>
      </w:r>
      <w:r>
        <w:rPr>
          <w:rFonts w:ascii="Arial" w:eastAsia="Calibri" w:hAnsi="Arial" w:cs="Arial"/>
          <w:lang w:val="en-ZA"/>
        </w:rPr>
        <w:t>]</w:t>
      </w:r>
      <w:r>
        <w:rPr>
          <w:rFonts w:ascii="Arial" w:eastAsia="Calibri" w:hAnsi="Arial" w:cs="Arial"/>
          <w:lang w:val="en-ZA"/>
        </w:rPr>
        <w:tab/>
        <w:t xml:space="preserve">The Applicant does, however, set out in her founding affidavit, firstly, that the application is being brought </w:t>
      </w:r>
      <w:proofErr w:type="gramStart"/>
      <w:r>
        <w:rPr>
          <w:rFonts w:ascii="Arial" w:eastAsia="Calibri" w:hAnsi="Arial" w:cs="Arial"/>
          <w:lang w:val="en-ZA"/>
        </w:rPr>
        <w:t>on the basis of</w:t>
      </w:r>
      <w:proofErr w:type="gramEnd"/>
      <w:r>
        <w:rPr>
          <w:rFonts w:ascii="Arial" w:eastAsia="Calibri" w:hAnsi="Arial" w:cs="Arial"/>
          <w:lang w:val="en-ZA"/>
        </w:rPr>
        <w:t xml:space="preserve"> urgency and that a rule </w:t>
      </w:r>
      <w:r>
        <w:rPr>
          <w:rFonts w:ascii="Arial" w:eastAsia="Calibri" w:hAnsi="Arial" w:cs="Arial"/>
          <w:i/>
          <w:iCs/>
          <w:lang w:val="en-ZA"/>
        </w:rPr>
        <w:t>nisi</w:t>
      </w:r>
      <w:r>
        <w:rPr>
          <w:rFonts w:ascii="Arial" w:eastAsia="Calibri" w:hAnsi="Arial" w:cs="Arial"/>
          <w:lang w:val="en-ZA"/>
        </w:rPr>
        <w:t xml:space="preserve"> be issued winding up the Respondent</w:t>
      </w:r>
      <w:r w:rsidR="005937F9">
        <w:rPr>
          <w:rStyle w:val="FootnoteReference"/>
          <w:rFonts w:ascii="Arial" w:eastAsia="Calibri" w:hAnsi="Arial" w:cs="Arial"/>
          <w:lang w:val="en-ZA"/>
        </w:rPr>
        <w:footnoteReference w:id="5"/>
      </w:r>
      <w:r w:rsidR="005937F9">
        <w:rPr>
          <w:rFonts w:ascii="Arial" w:eastAsia="Calibri" w:hAnsi="Arial" w:cs="Arial"/>
          <w:lang w:val="en-ZA"/>
        </w:rPr>
        <w:t>.</w:t>
      </w:r>
    </w:p>
    <w:p w14:paraId="16AB10A1" w14:textId="09E88052" w:rsidR="005937F9" w:rsidRDefault="005937F9" w:rsidP="00680BCA">
      <w:pPr>
        <w:spacing w:after="200"/>
        <w:ind w:left="720" w:hanging="720"/>
        <w:rPr>
          <w:rFonts w:ascii="Arial" w:eastAsia="Calibri" w:hAnsi="Arial" w:cs="Arial"/>
          <w:lang w:val="en-ZA"/>
        </w:rPr>
      </w:pPr>
      <w:r>
        <w:rPr>
          <w:rFonts w:ascii="Arial" w:eastAsia="Calibri" w:hAnsi="Arial" w:cs="Arial"/>
          <w:lang w:val="en-ZA"/>
        </w:rPr>
        <w:t>[1</w:t>
      </w:r>
      <w:r w:rsidR="007A737B">
        <w:rPr>
          <w:rFonts w:ascii="Arial" w:eastAsia="Calibri" w:hAnsi="Arial" w:cs="Arial"/>
          <w:lang w:val="en-ZA"/>
        </w:rPr>
        <w:t>6</w:t>
      </w:r>
      <w:r>
        <w:rPr>
          <w:rFonts w:ascii="Arial" w:eastAsia="Calibri" w:hAnsi="Arial" w:cs="Arial"/>
          <w:lang w:val="en-ZA"/>
        </w:rPr>
        <w:t>]</w:t>
      </w:r>
      <w:r>
        <w:rPr>
          <w:rFonts w:ascii="Arial" w:eastAsia="Calibri" w:hAnsi="Arial" w:cs="Arial"/>
          <w:lang w:val="en-ZA"/>
        </w:rPr>
        <w:tab/>
        <w:t>The Applicant then goes further and set</w:t>
      </w:r>
      <w:r w:rsidR="007A737B">
        <w:rPr>
          <w:rFonts w:ascii="Arial" w:eastAsia="Calibri" w:hAnsi="Arial" w:cs="Arial"/>
          <w:lang w:val="en-ZA"/>
        </w:rPr>
        <w:t>s</w:t>
      </w:r>
      <w:r>
        <w:rPr>
          <w:rFonts w:ascii="Arial" w:eastAsia="Calibri" w:hAnsi="Arial" w:cs="Arial"/>
          <w:lang w:val="en-ZA"/>
        </w:rPr>
        <w:t xml:space="preserve"> out the sections of ‘the Act’ she is relying on to launch the application. She specifically states that:</w:t>
      </w:r>
    </w:p>
    <w:p w14:paraId="2DC0400C" w14:textId="4365D231" w:rsidR="00336F53" w:rsidRDefault="005937F9" w:rsidP="00680BCA">
      <w:pPr>
        <w:spacing w:after="200"/>
        <w:ind w:left="720" w:hanging="720"/>
        <w:rPr>
          <w:rFonts w:ascii="Arial" w:eastAsia="Calibri" w:hAnsi="Arial" w:cs="Arial"/>
          <w:i/>
          <w:iCs/>
          <w:sz w:val="22"/>
          <w:szCs w:val="22"/>
          <w:lang w:val="en-ZA"/>
        </w:rPr>
      </w:pPr>
      <w:r>
        <w:rPr>
          <w:rFonts w:ascii="Arial" w:eastAsia="Calibri" w:hAnsi="Arial" w:cs="Arial"/>
          <w:lang w:val="en-ZA"/>
        </w:rPr>
        <w:tab/>
      </w:r>
      <w:r>
        <w:rPr>
          <w:rFonts w:ascii="Arial" w:eastAsia="Calibri" w:hAnsi="Arial" w:cs="Arial"/>
          <w:i/>
          <w:iCs/>
          <w:sz w:val="22"/>
          <w:szCs w:val="22"/>
          <w:lang w:val="en-ZA"/>
        </w:rPr>
        <w:t>“Such application is made in terms of Section 81 (1) (c) (ii) that it is “Just and Equitable” read with Section 81 (e) (</w:t>
      </w:r>
      <w:proofErr w:type="spellStart"/>
      <w:r>
        <w:rPr>
          <w:rFonts w:ascii="Arial" w:eastAsia="Calibri" w:hAnsi="Arial" w:cs="Arial"/>
          <w:i/>
          <w:iCs/>
          <w:sz w:val="22"/>
          <w:szCs w:val="22"/>
          <w:lang w:val="en-ZA"/>
        </w:rPr>
        <w:t>i</w:t>
      </w:r>
      <w:proofErr w:type="spellEnd"/>
      <w:r>
        <w:rPr>
          <w:rFonts w:ascii="Arial" w:eastAsia="Calibri" w:hAnsi="Arial" w:cs="Arial"/>
          <w:i/>
          <w:iCs/>
          <w:sz w:val="22"/>
          <w:szCs w:val="22"/>
          <w:lang w:val="en-ZA"/>
        </w:rPr>
        <w:t>) and (ii) of the Act, that with the leave of the above Honourable Court, on the basis that the Directors have acted in a manner that has been fraudulent or otherwise illegal, alternatively the assets are or have been misapplied or wasted justifying an Order to wind up the Respondent.</w:t>
      </w:r>
      <w:r w:rsidR="00336F53">
        <w:rPr>
          <w:rStyle w:val="FootnoteReference"/>
          <w:rFonts w:ascii="Arial" w:eastAsia="Calibri" w:hAnsi="Arial" w:cs="Arial"/>
          <w:i/>
          <w:iCs/>
          <w:sz w:val="22"/>
          <w:szCs w:val="22"/>
          <w:lang w:val="en-ZA"/>
        </w:rPr>
        <w:footnoteReference w:id="6"/>
      </w:r>
      <w:r>
        <w:rPr>
          <w:rFonts w:ascii="Arial" w:eastAsia="Calibri" w:hAnsi="Arial" w:cs="Arial"/>
          <w:i/>
          <w:iCs/>
          <w:sz w:val="22"/>
          <w:szCs w:val="22"/>
          <w:lang w:val="en-ZA"/>
        </w:rPr>
        <w:t>”</w:t>
      </w:r>
    </w:p>
    <w:p w14:paraId="0E89FB42" w14:textId="51BCAC70" w:rsidR="00692921" w:rsidRDefault="00336F53" w:rsidP="00680BCA">
      <w:pPr>
        <w:spacing w:after="200"/>
        <w:ind w:left="720" w:hanging="720"/>
        <w:rPr>
          <w:rFonts w:ascii="Arial" w:eastAsia="Calibri" w:hAnsi="Arial" w:cs="Arial"/>
          <w:lang w:val="en-ZA"/>
        </w:rPr>
      </w:pPr>
      <w:r>
        <w:rPr>
          <w:rFonts w:ascii="Arial" w:eastAsia="Calibri" w:hAnsi="Arial" w:cs="Arial"/>
          <w:lang w:val="en-ZA"/>
        </w:rPr>
        <w:t>[1</w:t>
      </w:r>
      <w:r w:rsidR="007A737B">
        <w:rPr>
          <w:rFonts w:ascii="Arial" w:eastAsia="Calibri" w:hAnsi="Arial" w:cs="Arial"/>
          <w:lang w:val="en-ZA"/>
        </w:rPr>
        <w:t>7</w:t>
      </w:r>
      <w:r>
        <w:rPr>
          <w:rFonts w:ascii="Arial" w:eastAsia="Calibri" w:hAnsi="Arial" w:cs="Arial"/>
          <w:lang w:val="en-ZA"/>
        </w:rPr>
        <w:t>]</w:t>
      </w:r>
      <w:r>
        <w:rPr>
          <w:rFonts w:ascii="Arial" w:eastAsia="Calibri" w:hAnsi="Arial" w:cs="Arial"/>
          <w:lang w:val="en-ZA"/>
        </w:rPr>
        <w:tab/>
      </w:r>
      <w:r w:rsidR="00692921">
        <w:rPr>
          <w:rFonts w:ascii="Arial" w:eastAsia="Calibri" w:hAnsi="Arial" w:cs="Arial"/>
          <w:lang w:val="en-ZA"/>
        </w:rPr>
        <w:t>It is important to state that an applicant must make out its case in its founding affidavit</w:t>
      </w:r>
      <w:r w:rsidR="00692921">
        <w:rPr>
          <w:rStyle w:val="FootnoteReference"/>
          <w:rFonts w:ascii="Arial" w:eastAsia="Calibri" w:hAnsi="Arial" w:cs="Arial"/>
          <w:lang w:val="en-ZA"/>
        </w:rPr>
        <w:footnoteReference w:id="7"/>
      </w:r>
      <w:r w:rsidR="00692921">
        <w:rPr>
          <w:rFonts w:ascii="Arial" w:eastAsia="Calibri" w:hAnsi="Arial" w:cs="Arial"/>
          <w:lang w:val="en-ZA"/>
        </w:rPr>
        <w:t xml:space="preserve">. The Applicant in this case is not permitted to rely on Section 81 (1) (d) (iii) </w:t>
      </w:r>
      <w:r w:rsidR="00A8325D">
        <w:rPr>
          <w:rFonts w:ascii="Arial" w:eastAsia="Calibri" w:hAnsi="Arial" w:cs="Arial"/>
          <w:lang w:val="en-ZA"/>
        </w:rPr>
        <w:t xml:space="preserve">as </w:t>
      </w:r>
      <w:r w:rsidR="00692921">
        <w:rPr>
          <w:rFonts w:ascii="Arial" w:eastAsia="Calibri" w:hAnsi="Arial" w:cs="Arial"/>
          <w:lang w:val="en-ZA"/>
        </w:rPr>
        <w:t>no mention of this subsection appears from the founding affidavit.</w:t>
      </w:r>
      <w:r w:rsidR="00A8325D">
        <w:rPr>
          <w:rFonts w:ascii="Arial" w:eastAsia="Calibri" w:hAnsi="Arial" w:cs="Arial"/>
          <w:lang w:val="en-ZA"/>
        </w:rPr>
        <w:t xml:space="preserve"> What is mentioned specifically is as set out hereunder.</w:t>
      </w:r>
      <w:r w:rsidR="00692921">
        <w:rPr>
          <w:rFonts w:ascii="Arial" w:eastAsia="Calibri" w:hAnsi="Arial" w:cs="Arial"/>
          <w:lang w:val="en-ZA"/>
        </w:rPr>
        <w:t xml:space="preserve"> </w:t>
      </w:r>
    </w:p>
    <w:p w14:paraId="45D754A1" w14:textId="6B90012D" w:rsidR="00736CDA" w:rsidRDefault="00336F53" w:rsidP="00692921">
      <w:pPr>
        <w:spacing w:after="200"/>
        <w:ind w:left="720"/>
        <w:rPr>
          <w:rFonts w:ascii="Arial" w:eastAsia="Calibri" w:hAnsi="Arial" w:cs="Arial"/>
          <w:lang w:val="en-ZA"/>
        </w:rPr>
      </w:pPr>
      <w:r>
        <w:rPr>
          <w:rFonts w:ascii="Arial" w:eastAsia="Calibri" w:hAnsi="Arial" w:cs="Arial"/>
          <w:lang w:val="en-ZA"/>
        </w:rPr>
        <w:t xml:space="preserve">Firstly, the reference to Section 81 (1) (c) (ii) in paragraph 4.2. of the Applicant’s Founding Affidavit cannot be used by the Applicant as </w:t>
      </w:r>
      <w:r w:rsidR="007A737B">
        <w:rPr>
          <w:rFonts w:ascii="Arial" w:eastAsia="Calibri" w:hAnsi="Arial" w:cs="Arial"/>
          <w:lang w:val="en-ZA"/>
        </w:rPr>
        <w:t>a basis</w:t>
      </w:r>
      <w:r>
        <w:rPr>
          <w:rFonts w:ascii="Arial" w:eastAsia="Calibri" w:hAnsi="Arial" w:cs="Arial"/>
          <w:lang w:val="en-ZA"/>
        </w:rPr>
        <w:t xml:space="preserve"> </w:t>
      </w:r>
      <w:r w:rsidR="007A737B">
        <w:rPr>
          <w:rFonts w:ascii="Arial" w:eastAsia="Calibri" w:hAnsi="Arial" w:cs="Arial"/>
          <w:lang w:val="en-ZA"/>
        </w:rPr>
        <w:t>to secure</w:t>
      </w:r>
      <w:r>
        <w:rPr>
          <w:rFonts w:ascii="Arial" w:eastAsia="Calibri" w:hAnsi="Arial" w:cs="Arial"/>
          <w:lang w:val="en-ZA"/>
        </w:rPr>
        <w:t xml:space="preserve"> the winding up of the Respondent. The Applicant has not made out a </w:t>
      </w:r>
      <w:r>
        <w:rPr>
          <w:rFonts w:ascii="Arial" w:eastAsia="Calibri" w:hAnsi="Arial" w:cs="Arial"/>
          <w:lang w:val="en-ZA"/>
        </w:rPr>
        <w:lastRenderedPageBreak/>
        <w:t>case that she is a creditor</w:t>
      </w:r>
      <w:r w:rsidR="004B79AB">
        <w:rPr>
          <w:rFonts w:ascii="Arial" w:eastAsia="Calibri" w:hAnsi="Arial" w:cs="Arial"/>
          <w:lang w:val="en-ZA"/>
        </w:rPr>
        <w:t xml:space="preserve"> of the Respondent. Section 81 (1) (c) (ii) is prefixed by “one or more of the company’s creditors have applied to the court”. Counsel for the Respondent made this point clear in his submissions to the Court and stated that the Applicant is bound by the case made out in the founding affidavit. Accordingly, the said section of ‘the Act’ does not assist the Applicant and reliance </w:t>
      </w:r>
      <w:r w:rsidR="007A737B">
        <w:rPr>
          <w:rFonts w:ascii="Arial" w:eastAsia="Calibri" w:hAnsi="Arial" w:cs="Arial"/>
          <w:lang w:val="en-ZA"/>
        </w:rPr>
        <w:t xml:space="preserve">thereupon </w:t>
      </w:r>
      <w:r w:rsidR="004B79AB">
        <w:rPr>
          <w:rFonts w:ascii="Arial" w:eastAsia="Calibri" w:hAnsi="Arial" w:cs="Arial"/>
          <w:lang w:val="en-ZA"/>
        </w:rPr>
        <w:t>for the winding of the Respondent on this ground must fail.</w:t>
      </w:r>
      <w:r w:rsidR="0054259D">
        <w:rPr>
          <w:rFonts w:ascii="Arial" w:eastAsia="Calibri" w:hAnsi="Arial" w:cs="Arial"/>
          <w:lang w:val="en-ZA"/>
        </w:rPr>
        <w:t xml:space="preserve"> This includes reliance on “just and equitable” in the context of this subsection.</w:t>
      </w:r>
      <w:r w:rsidR="007A737B">
        <w:rPr>
          <w:rFonts w:ascii="Arial" w:eastAsia="Calibri" w:hAnsi="Arial" w:cs="Arial"/>
          <w:lang w:val="en-ZA"/>
        </w:rPr>
        <w:t xml:space="preserve"> In my view, the just and equitable requirement in Section 81 of ‘the Act’ must not be taken out of context to fit the circumstances of a given applicant.</w:t>
      </w:r>
      <w:r w:rsidR="00F622C0">
        <w:rPr>
          <w:rFonts w:ascii="Arial" w:eastAsia="Calibri" w:hAnsi="Arial" w:cs="Arial"/>
          <w:lang w:val="en-ZA"/>
        </w:rPr>
        <w:t xml:space="preserve"> It does not stand alone as a requirement and the subsection relied upon must be proven as a whole and not only as to a particular aspect.</w:t>
      </w:r>
    </w:p>
    <w:p w14:paraId="08F60142" w14:textId="037C04D6" w:rsidR="004B79AB" w:rsidRDefault="00736CDA" w:rsidP="00680BCA">
      <w:pPr>
        <w:spacing w:after="200"/>
        <w:ind w:left="720" w:hanging="720"/>
        <w:rPr>
          <w:rFonts w:ascii="Arial" w:eastAsia="Calibri" w:hAnsi="Arial" w:cs="Arial"/>
          <w:lang w:val="en-ZA"/>
        </w:rPr>
      </w:pPr>
      <w:r>
        <w:rPr>
          <w:rFonts w:ascii="Arial" w:eastAsia="Calibri" w:hAnsi="Arial" w:cs="Arial"/>
          <w:lang w:val="en-ZA"/>
        </w:rPr>
        <w:t>[1</w:t>
      </w:r>
      <w:r w:rsidR="00F622C0">
        <w:rPr>
          <w:rFonts w:ascii="Arial" w:eastAsia="Calibri" w:hAnsi="Arial" w:cs="Arial"/>
          <w:lang w:val="en-ZA"/>
        </w:rPr>
        <w:t>8</w:t>
      </w:r>
      <w:r>
        <w:rPr>
          <w:rFonts w:ascii="Arial" w:eastAsia="Calibri" w:hAnsi="Arial" w:cs="Arial"/>
          <w:lang w:val="en-ZA"/>
        </w:rPr>
        <w:t>]</w:t>
      </w:r>
      <w:r>
        <w:rPr>
          <w:rFonts w:ascii="Arial" w:eastAsia="Calibri" w:hAnsi="Arial" w:cs="Arial"/>
          <w:lang w:val="en-ZA"/>
        </w:rPr>
        <w:tab/>
      </w:r>
      <w:r w:rsidR="004B79AB">
        <w:rPr>
          <w:rFonts w:ascii="Arial" w:eastAsia="Calibri" w:hAnsi="Arial" w:cs="Arial"/>
          <w:lang w:val="en-ZA"/>
        </w:rPr>
        <w:t>The Applicant in relying on Section 81 (1) (c) (ii) states that the said section must be read with Section 81(1)</w:t>
      </w:r>
      <w:r>
        <w:rPr>
          <w:rFonts w:ascii="Arial" w:eastAsia="Calibri" w:hAnsi="Arial" w:cs="Arial"/>
          <w:lang w:val="en-ZA"/>
        </w:rPr>
        <w:t xml:space="preserve"> (e) (</w:t>
      </w:r>
      <w:proofErr w:type="spellStart"/>
      <w:r>
        <w:rPr>
          <w:rFonts w:ascii="Arial" w:eastAsia="Calibri" w:hAnsi="Arial" w:cs="Arial"/>
          <w:lang w:val="en-ZA"/>
        </w:rPr>
        <w:t>i</w:t>
      </w:r>
      <w:proofErr w:type="spellEnd"/>
      <w:r>
        <w:rPr>
          <w:rFonts w:ascii="Arial" w:eastAsia="Calibri" w:hAnsi="Arial" w:cs="Arial"/>
          <w:lang w:val="en-ZA"/>
        </w:rPr>
        <w:t xml:space="preserve">) and (ii). However, the two subsections in the circumstances of this case cannot be placed together or read together because of the specific mention of </w:t>
      </w:r>
      <w:r w:rsidR="00F622C0">
        <w:rPr>
          <w:rFonts w:ascii="Arial" w:eastAsia="Calibri" w:hAnsi="Arial" w:cs="Arial"/>
          <w:lang w:val="en-ZA"/>
        </w:rPr>
        <w:t>‘</w:t>
      </w:r>
      <w:r>
        <w:rPr>
          <w:rFonts w:ascii="Arial" w:eastAsia="Calibri" w:hAnsi="Arial" w:cs="Arial"/>
          <w:lang w:val="en-ZA"/>
        </w:rPr>
        <w:t>creditors</w:t>
      </w:r>
      <w:r w:rsidR="00F622C0">
        <w:rPr>
          <w:rFonts w:ascii="Arial" w:eastAsia="Calibri" w:hAnsi="Arial" w:cs="Arial"/>
          <w:lang w:val="en-ZA"/>
        </w:rPr>
        <w:t>’</w:t>
      </w:r>
      <w:r>
        <w:rPr>
          <w:rFonts w:ascii="Arial" w:eastAsia="Calibri" w:hAnsi="Arial" w:cs="Arial"/>
          <w:lang w:val="en-ZA"/>
        </w:rPr>
        <w:t xml:space="preserve"> in the former section.  </w:t>
      </w:r>
    </w:p>
    <w:p w14:paraId="141B32B1" w14:textId="5392FE6C" w:rsidR="00736CDA" w:rsidRDefault="004B79AB" w:rsidP="00680BCA">
      <w:pPr>
        <w:spacing w:after="200"/>
        <w:ind w:left="720" w:hanging="720"/>
        <w:rPr>
          <w:rFonts w:ascii="Arial" w:eastAsia="Calibri" w:hAnsi="Arial" w:cs="Arial"/>
          <w:lang w:val="en-ZA"/>
        </w:rPr>
      </w:pPr>
      <w:r>
        <w:rPr>
          <w:rFonts w:ascii="Arial" w:eastAsia="Calibri" w:hAnsi="Arial" w:cs="Arial"/>
          <w:lang w:val="en-ZA"/>
        </w:rPr>
        <w:t>[1</w:t>
      </w:r>
      <w:r w:rsidR="00F622C0">
        <w:rPr>
          <w:rFonts w:ascii="Arial" w:eastAsia="Calibri" w:hAnsi="Arial" w:cs="Arial"/>
          <w:lang w:val="en-ZA"/>
        </w:rPr>
        <w:t>9</w:t>
      </w:r>
      <w:r>
        <w:rPr>
          <w:rFonts w:ascii="Arial" w:eastAsia="Calibri" w:hAnsi="Arial" w:cs="Arial"/>
          <w:lang w:val="en-ZA"/>
        </w:rPr>
        <w:t>]</w:t>
      </w:r>
      <w:r>
        <w:rPr>
          <w:rFonts w:ascii="Arial" w:eastAsia="Calibri" w:hAnsi="Arial" w:cs="Arial"/>
          <w:lang w:val="en-ZA"/>
        </w:rPr>
        <w:tab/>
        <w:t>This, however, is not the end of the matter. The Applicant has also relied on</w:t>
      </w:r>
      <w:r w:rsidR="00736CDA">
        <w:rPr>
          <w:rFonts w:ascii="Arial" w:eastAsia="Calibri" w:hAnsi="Arial" w:cs="Arial"/>
          <w:lang w:val="en-ZA"/>
        </w:rPr>
        <w:t xml:space="preserve"> Section 81 (1) (e) (</w:t>
      </w:r>
      <w:proofErr w:type="spellStart"/>
      <w:r w:rsidR="00736CDA">
        <w:rPr>
          <w:rFonts w:ascii="Arial" w:eastAsia="Calibri" w:hAnsi="Arial" w:cs="Arial"/>
          <w:lang w:val="en-ZA"/>
        </w:rPr>
        <w:t>i</w:t>
      </w:r>
      <w:proofErr w:type="spellEnd"/>
      <w:r w:rsidR="00736CDA">
        <w:rPr>
          <w:rFonts w:ascii="Arial" w:eastAsia="Calibri" w:hAnsi="Arial" w:cs="Arial"/>
          <w:lang w:val="en-ZA"/>
        </w:rPr>
        <w:t xml:space="preserve">) and (ii) and I am of the view that although the Applicant has placed the two subsections together for the purpose of making out a case for winding up of the Respondent, which I have already held </w:t>
      </w:r>
      <w:r w:rsidR="00F622C0">
        <w:rPr>
          <w:rFonts w:ascii="Arial" w:eastAsia="Calibri" w:hAnsi="Arial" w:cs="Arial"/>
          <w:lang w:val="en-ZA"/>
        </w:rPr>
        <w:t>is impermissible</w:t>
      </w:r>
      <w:r w:rsidR="00736CDA">
        <w:rPr>
          <w:rFonts w:ascii="Arial" w:eastAsia="Calibri" w:hAnsi="Arial" w:cs="Arial"/>
          <w:lang w:val="en-ZA"/>
        </w:rPr>
        <w:t xml:space="preserve">, Section 81(1) (e) on its own may be of assistance to the Applicant. </w:t>
      </w:r>
    </w:p>
    <w:p w14:paraId="6B8E47B2" w14:textId="7A40B310" w:rsidR="00912FA5" w:rsidRDefault="00912FA5" w:rsidP="00912FA5">
      <w:pPr>
        <w:spacing w:after="200"/>
        <w:ind w:left="720" w:hanging="720"/>
        <w:rPr>
          <w:rFonts w:ascii="Arial" w:eastAsia="Calibri" w:hAnsi="Arial" w:cs="Arial"/>
          <w:lang w:val="en-ZA"/>
        </w:rPr>
      </w:pPr>
      <w:r>
        <w:rPr>
          <w:rFonts w:ascii="Arial" w:eastAsia="Calibri" w:hAnsi="Arial" w:cs="Arial"/>
          <w:lang w:val="en-ZA"/>
        </w:rPr>
        <w:t>[</w:t>
      </w:r>
      <w:r w:rsidR="00F622C0">
        <w:rPr>
          <w:rFonts w:ascii="Arial" w:eastAsia="Calibri" w:hAnsi="Arial" w:cs="Arial"/>
          <w:lang w:val="en-ZA"/>
        </w:rPr>
        <w:t>20</w:t>
      </w:r>
      <w:r w:rsidR="00736CDA">
        <w:rPr>
          <w:rFonts w:ascii="Arial" w:eastAsia="Calibri" w:hAnsi="Arial" w:cs="Arial"/>
          <w:lang w:val="en-ZA"/>
        </w:rPr>
        <w:t>]</w:t>
      </w:r>
      <w:r w:rsidR="00736CDA">
        <w:rPr>
          <w:rFonts w:ascii="Arial" w:eastAsia="Calibri" w:hAnsi="Arial" w:cs="Arial"/>
          <w:lang w:val="en-ZA"/>
        </w:rPr>
        <w:tab/>
        <w:t xml:space="preserve">Before analysing the requirements of Section 81(1) </w:t>
      </w:r>
      <w:r>
        <w:rPr>
          <w:rFonts w:ascii="Arial" w:eastAsia="Calibri" w:hAnsi="Arial" w:cs="Arial"/>
          <w:lang w:val="en-ZA"/>
        </w:rPr>
        <w:t>(e), it should be noted that Section 81 of ‘the Act’ limits itself to ‘solvent</w:t>
      </w:r>
      <w:r w:rsidR="00F622C0">
        <w:rPr>
          <w:rFonts w:ascii="Arial" w:eastAsia="Calibri" w:hAnsi="Arial" w:cs="Arial"/>
          <w:lang w:val="en-ZA"/>
        </w:rPr>
        <w:t>’</w:t>
      </w:r>
      <w:r>
        <w:rPr>
          <w:rFonts w:ascii="Arial" w:eastAsia="Calibri" w:hAnsi="Arial" w:cs="Arial"/>
          <w:lang w:val="en-ZA"/>
        </w:rPr>
        <w:t xml:space="preserve"> </w:t>
      </w:r>
      <w:r w:rsidR="00F622C0">
        <w:rPr>
          <w:rFonts w:ascii="Arial" w:eastAsia="Calibri" w:hAnsi="Arial" w:cs="Arial"/>
          <w:lang w:val="en-ZA"/>
        </w:rPr>
        <w:t>companies</w:t>
      </w:r>
      <w:r>
        <w:rPr>
          <w:rFonts w:ascii="Arial" w:eastAsia="Calibri" w:hAnsi="Arial" w:cs="Arial"/>
          <w:lang w:val="en-ZA"/>
        </w:rPr>
        <w:t xml:space="preserve">. An Applicant </w:t>
      </w:r>
      <w:r>
        <w:rPr>
          <w:rFonts w:ascii="Arial" w:eastAsia="Calibri" w:hAnsi="Arial" w:cs="Arial"/>
          <w:lang w:val="en-ZA"/>
        </w:rPr>
        <w:lastRenderedPageBreak/>
        <w:t xml:space="preserve">relying on this section therefore is bound by such limitation. This issue will be dealt with further in this judgement. </w:t>
      </w:r>
    </w:p>
    <w:p w14:paraId="0351FD47" w14:textId="1468E64E" w:rsidR="006136B1" w:rsidRDefault="00912FA5" w:rsidP="00912FA5">
      <w:pPr>
        <w:spacing w:after="200"/>
        <w:ind w:left="720" w:hanging="720"/>
        <w:rPr>
          <w:rFonts w:ascii="Arial" w:eastAsia="Calibri" w:hAnsi="Arial" w:cs="Arial"/>
          <w:lang w:val="en-ZA"/>
        </w:rPr>
      </w:pPr>
      <w:r>
        <w:rPr>
          <w:rFonts w:ascii="Arial" w:eastAsia="Calibri" w:hAnsi="Arial" w:cs="Arial"/>
          <w:lang w:val="en-ZA"/>
        </w:rPr>
        <w:t>[</w:t>
      </w:r>
      <w:r w:rsidR="00F622C0">
        <w:rPr>
          <w:rFonts w:ascii="Arial" w:eastAsia="Calibri" w:hAnsi="Arial" w:cs="Arial"/>
          <w:lang w:val="en-ZA"/>
        </w:rPr>
        <w:t>21</w:t>
      </w:r>
      <w:r>
        <w:rPr>
          <w:rFonts w:ascii="Arial" w:eastAsia="Calibri" w:hAnsi="Arial" w:cs="Arial"/>
          <w:lang w:val="en-ZA"/>
        </w:rPr>
        <w:t>]</w:t>
      </w:r>
      <w:r>
        <w:rPr>
          <w:rFonts w:ascii="Arial" w:eastAsia="Calibri" w:hAnsi="Arial" w:cs="Arial"/>
          <w:lang w:val="en-ZA"/>
        </w:rPr>
        <w:tab/>
        <w:t xml:space="preserve">Now Section 81(1) (e) requires of an applicant to prove either </w:t>
      </w:r>
      <w:r w:rsidR="006136B1">
        <w:rPr>
          <w:rFonts w:ascii="Arial" w:eastAsia="Calibri" w:hAnsi="Arial" w:cs="Arial"/>
          <w:lang w:val="en-ZA"/>
        </w:rPr>
        <w:t>subsection (</w:t>
      </w:r>
      <w:proofErr w:type="spellStart"/>
      <w:r w:rsidR="006136B1">
        <w:rPr>
          <w:rFonts w:ascii="Arial" w:eastAsia="Calibri" w:hAnsi="Arial" w:cs="Arial"/>
          <w:lang w:val="en-ZA"/>
        </w:rPr>
        <w:t>i</w:t>
      </w:r>
      <w:proofErr w:type="spellEnd"/>
      <w:r w:rsidR="006136B1">
        <w:rPr>
          <w:rFonts w:ascii="Arial" w:eastAsia="Calibri" w:hAnsi="Arial" w:cs="Arial"/>
          <w:lang w:val="en-ZA"/>
        </w:rPr>
        <w:t>) or subsection (ii). In my view, the Applicant has failed to prove the requirements of subsection (</w:t>
      </w:r>
      <w:proofErr w:type="spellStart"/>
      <w:r w:rsidR="006136B1">
        <w:rPr>
          <w:rFonts w:ascii="Arial" w:eastAsia="Calibri" w:hAnsi="Arial" w:cs="Arial"/>
          <w:lang w:val="en-ZA"/>
        </w:rPr>
        <w:t>i</w:t>
      </w:r>
      <w:proofErr w:type="spellEnd"/>
      <w:r w:rsidR="006136B1">
        <w:rPr>
          <w:rFonts w:ascii="Arial" w:eastAsia="Calibri" w:hAnsi="Arial" w:cs="Arial"/>
          <w:lang w:val="en-ZA"/>
        </w:rPr>
        <w:t xml:space="preserve">). In other words, the Applicant has failed to prove that the directors, prescribed </w:t>
      </w:r>
      <w:proofErr w:type="gramStart"/>
      <w:r w:rsidR="006136B1">
        <w:rPr>
          <w:rFonts w:ascii="Arial" w:eastAsia="Calibri" w:hAnsi="Arial" w:cs="Arial"/>
          <w:lang w:val="en-ZA"/>
        </w:rPr>
        <w:t>officers</w:t>
      </w:r>
      <w:proofErr w:type="gramEnd"/>
      <w:r w:rsidR="006136B1">
        <w:rPr>
          <w:rFonts w:ascii="Arial" w:eastAsia="Calibri" w:hAnsi="Arial" w:cs="Arial"/>
          <w:lang w:val="en-ZA"/>
        </w:rPr>
        <w:t xml:space="preserve"> or a person in control of the company acted in a manner that is fraudulent or otherwise illegal.</w:t>
      </w:r>
    </w:p>
    <w:p w14:paraId="10AFC3C0" w14:textId="50AAB7F6" w:rsidR="006136B1" w:rsidRDefault="006136B1" w:rsidP="00912FA5">
      <w:pPr>
        <w:spacing w:after="200"/>
        <w:ind w:left="720" w:hanging="720"/>
        <w:rPr>
          <w:rFonts w:ascii="Arial" w:eastAsia="Calibri" w:hAnsi="Arial" w:cs="Arial"/>
          <w:lang w:val="en-ZA"/>
        </w:rPr>
      </w:pPr>
      <w:r>
        <w:rPr>
          <w:rFonts w:ascii="Arial" w:eastAsia="Calibri" w:hAnsi="Arial" w:cs="Arial"/>
          <w:lang w:val="en-ZA"/>
        </w:rPr>
        <w:t>[</w:t>
      </w:r>
      <w:r w:rsidR="00F622C0">
        <w:rPr>
          <w:rFonts w:ascii="Arial" w:eastAsia="Calibri" w:hAnsi="Arial" w:cs="Arial"/>
          <w:lang w:val="en-ZA"/>
        </w:rPr>
        <w:t>22</w:t>
      </w:r>
      <w:r>
        <w:rPr>
          <w:rFonts w:ascii="Arial" w:eastAsia="Calibri" w:hAnsi="Arial" w:cs="Arial"/>
          <w:lang w:val="en-ZA"/>
        </w:rPr>
        <w:t>]</w:t>
      </w:r>
      <w:r>
        <w:rPr>
          <w:rFonts w:ascii="Arial" w:eastAsia="Calibri" w:hAnsi="Arial" w:cs="Arial"/>
          <w:lang w:val="en-ZA"/>
        </w:rPr>
        <w:tab/>
        <w:t>With regards to Section 81(1) (e) (ii), however, demands further investigation.</w:t>
      </w:r>
    </w:p>
    <w:p w14:paraId="4163E8B6" w14:textId="34869016" w:rsidR="006136B1" w:rsidRDefault="006136B1" w:rsidP="00912FA5">
      <w:pPr>
        <w:spacing w:after="200"/>
        <w:ind w:left="720" w:hanging="720"/>
        <w:rPr>
          <w:rFonts w:ascii="Arial" w:eastAsia="Calibri" w:hAnsi="Arial" w:cs="Arial"/>
          <w:lang w:val="en-ZA"/>
        </w:rPr>
      </w:pPr>
      <w:r>
        <w:rPr>
          <w:rFonts w:ascii="Arial" w:eastAsia="Calibri" w:hAnsi="Arial" w:cs="Arial"/>
          <w:lang w:val="en-ZA"/>
        </w:rPr>
        <w:t>[</w:t>
      </w:r>
      <w:r w:rsidR="00F622C0">
        <w:rPr>
          <w:rFonts w:ascii="Arial" w:eastAsia="Calibri" w:hAnsi="Arial" w:cs="Arial"/>
          <w:lang w:val="en-ZA"/>
        </w:rPr>
        <w:t>23</w:t>
      </w:r>
      <w:r>
        <w:rPr>
          <w:rFonts w:ascii="Arial" w:eastAsia="Calibri" w:hAnsi="Arial" w:cs="Arial"/>
          <w:lang w:val="en-ZA"/>
        </w:rPr>
        <w:t>]</w:t>
      </w:r>
      <w:r>
        <w:rPr>
          <w:rFonts w:ascii="Arial" w:eastAsia="Calibri" w:hAnsi="Arial" w:cs="Arial"/>
          <w:lang w:val="en-ZA"/>
        </w:rPr>
        <w:tab/>
        <w:t>It is appropriate</w:t>
      </w:r>
      <w:r w:rsidR="00B15F11">
        <w:rPr>
          <w:rFonts w:ascii="Arial" w:eastAsia="Calibri" w:hAnsi="Arial" w:cs="Arial"/>
          <w:lang w:val="en-ZA"/>
        </w:rPr>
        <w:t>,</w:t>
      </w:r>
      <w:r>
        <w:rPr>
          <w:rFonts w:ascii="Arial" w:eastAsia="Calibri" w:hAnsi="Arial" w:cs="Arial"/>
          <w:lang w:val="en-ZA"/>
        </w:rPr>
        <w:t xml:space="preserve"> </w:t>
      </w:r>
      <w:proofErr w:type="gramStart"/>
      <w:r>
        <w:rPr>
          <w:rFonts w:ascii="Arial" w:eastAsia="Calibri" w:hAnsi="Arial" w:cs="Arial"/>
          <w:lang w:val="en-ZA"/>
        </w:rPr>
        <w:t>at this time</w:t>
      </w:r>
      <w:proofErr w:type="gramEnd"/>
      <w:r w:rsidR="00B15F11">
        <w:rPr>
          <w:rFonts w:ascii="Arial" w:eastAsia="Calibri" w:hAnsi="Arial" w:cs="Arial"/>
          <w:lang w:val="en-ZA"/>
        </w:rPr>
        <w:t>,</w:t>
      </w:r>
      <w:r>
        <w:rPr>
          <w:rFonts w:ascii="Arial" w:eastAsia="Calibri" w:hAnsi="Arial" w:cs="Arial"/>
          <w:lang w:val="en-ZA"/>
        </w:rPr>
        <w:t xml:space="preserve"> to also interrogate whether the Applicant has complied with the requirement of Section 81 of ‘the Act’ itself, namely, the that the Respondent is a ‘solvent’ company. Respondent’s Counsel submitted during the hearing that the trend of the Applicant’s submissions was that the company was insolvent and as a result reliance cannot be placed on Section 81 of ‘the Act’ for a winding up Order.</w:t>
      </w:r>
    </w:p>
    <w:p w14:paraId="3628165D" w14:textId="3BE481C6" w:rsidR="007C4444" w:rsidRDefault="006136B1" w:rsidP="00912FA5">
      <w:pPr>
        <w:spacing w:after="200"/>
        <w:ind w:left="720" w:hanging="720"/>
        <w:rPr>
          <w:rFonts w:ascii="Arial" w:eastAsia="Calibri" w:hAnsi="Arial" w:cs="Arial"/>
          <w:lang w:val="en-ZA"/>
        </w:rPr>
      </w:pPr>
      <w:r>
        <w:rPr>
          <w:rFonts w:ascii="Arial" w:eastAsia="Calibri" w:hAnsi="Arial" w:cs="Arial"/>
          <w:lang w:val="en-ZA"/>
        </w:rPr>
        <w:t>[</w:t>
      </w:r>
      <w:r w:rsidR="00F622C0">
        <w:rPr>
          <w:rFonts w:ascii="Arial" w:eastAsia="Calibri" w:hAnsi="Arial" w:cs="Arial"/>
          <w:lang w:val="en-ZA"/>
        </w:rPr>
        <w:t>24</w:t>
      </w:r>
      <w:r>
        <w:rPr>
          <w:rFonts w:ascii="Arial" w:eastAsia="Calibri" w:hAnsi="Arial" w:cs="Arial"/>
          <w:lang w:val="en-ZA"/>
        </w:rPr>
        <w:t>]</w:t>
      </w:r>
      <w:r>
        <w:rPr>
          <w:rFonts w:ascii="Arial" w:eastAsia="Calibri" w:hAnsi="Arial" w:cs="Arial"/>
          <w:lang w:val="en-ZA"/>
        </w:rPr>
        <w:tab/>
      </w:r>
      <w:r w:rsidR="007C4444">
        <w:rPr>
          <w:rFonts w:ascii="Arial" w:eastAsia="Calibri" w:hAnsi="Arial" w:cs="Arial"/>
          <w:lang w:val="en-ZA"/>
        </w:rPr>
        <w:t>The Supreme Court of Appeal</w:t>
      </w:r>
      <w:r w:rsidR="007C4444">
        <w:rPr>
          <w:rStyle w:val="FootnoteReference"/>
          <w:rFonts w:ascii="Arial" w:eastAsia="Calibri" w:hAnsi="Arial" w:cs="Arial"/>
          <w:lang w:val="en-ZA"/>
        </w:rPr>
        <w:footnoteReference w:id="8"/>
      </w:r>
      <w:r w:rsidR="007C4444">
        <w:rPr>
          <w:rFonts w:ascii="Arial" w:eastAsia="Calibri" w:hAnsi="Arial" w:cs="Arial"/>
          <w:lang w:val="en-ZA"/>
        </w:rPr>
        <w:t xml:space="preserve"> had the </w:t>
      </w:r>
      <w:r w:rsidR="001217EA">
        <w:rPr>
          <w:rFonts w:ascii="Arial" w:eastAsia="Calibri" w:hAnsi="Arial" w:cs="Arial"/>
          <w:lang w:val="en-ZA"/>
        </w:rPr>
        <w:t>opportunity of dealing with the question of ‘solvency’ as set out in Section</w:t>
      </w:r>
      <w:r w:rsidR="007C4444">
        <w:rPr>
          <w:rFonts w:ascii="Arial" w:eastAsia="Calibri" w:hAnsi="Arial" w:cs="Arial"/>
          <w:lang w:val="en-ZA"/>
        </w:rPr>
        <w:t xml:space="preserve">s 80 and </w:t>
      </w:r>
      <w:r w:rsidR="001217EA">
        <w:rPr>
          <w:rFonts w:ascii="Arial" w:eastAsia="Calibri" w:hAnsi="Arial" w:cs="Arial"/>
          <w:lang w:val="en-ZA"/>
        </w:rPr>
        <w:t>81</w:t>
      </w:r>
      <w:r w:rsidR="007C4444">
        <w:rPr>
          <w:rFonts w:ascii="Arial" w:eastAsia="Calibri" w:hAnsi="Arial" w:cs="Arial"/>
          <w:lang w:val="en-ZA"/>
        </w:rPr>
        <w:t>:</w:t>
      </w:r>
    </w:p>
    <w:p w14:paraId="3E03E43E" w14:textId="77777777" w:rsidR="007C4444" w:rsidRDefault="007C4444" w:rsidP="00912FA5">
      <w:pPr>
        <w:spacing w:after="200"/>
        <w:ind w:left="720" w:hanging="720"/>
        <w:rPr>
          <w:rFonts w:ascii="Arial" w:eastAsia="Calibri" w:hAnsi="Arial" w:cs="Arial"/>
          <w:i/>
          <w:iCs/>
          <w:sz w:val="22"/>
          <w:szCs w:val="22"/>
          <w:lang w:val="en-ZA"/>
        </w:rPr>
      </w:pPr>
      <w:r>
        <w:rPr>
          <w:rFonts w:ascii="Arial" w:eastAsia="Calibri" w:hAnsi="Arial" w:cs="Arial"/>
          <w:lang w:val="en-ZA"/>
        </w:rPr>
        <w:tab/>
      </w:r>
      <w:r>
        <w:rPr>
          <w:rFonts w:ascii="Arial" w:eastAsia="Calibri" w:hAnsi="Arial" w:cs="Arial"/>
          <w:i/>
          <w:iCs/>
          <w:sz w:val="22"/>
          <w:szCs w:val="22"/>
          <w:lang w:val="en-ZA"/>
        </w:rPr>
        <w:t>“Consequently, in order for a solvent company to be wound up in terms of either s 80 or 81 of the new Act, it must be commercially solvent….”</w:t>
      </w:r>
    </w:p>
    <w:p w14:paraId="1A9CA8B1" w14:textId="4300C5BA" w:rsidR="006A6FFB" w:rsidRDefault="007C4444" w:rsidP="00912FA5">
      <w:pPr>
        <w:spacing w:after="200"/>
        <w:ind w:left="720" w:hanging="720"/>
        <w:rPr>
          <w:rFonts w:ascii="Arial" w:eastAsia="Calibri" w:hAnsi="Arial" w:cs="Arial"/>
          <w:lang w:val="en-ZA"/>
        </w:rPr>
      </w:pPr>
      <w:r>
        <w:rPr>
          <w:rFonts w:ascii="Arial" w:eastAsia="Calibri" w:hAnsi="Arial" w:cs="Arial"/>
          <w:lang w:val="en-ZA"/>
        </w:rPr>
        <w:t>[2</w:t>
      </w:r>
      <w:r w:rsidR="00F622C0">
        <w:rPr>
          <w:rFonts w:ascii="Arial" w:eastAsia="Calibri" w:hAnsi="Arial" w:cs="Arial"/>
          <w:lang w:val="en-ZA"/>
        </w:rPr>
        <w:t>5</w:t>
      </w:r>
      <w:r>
        <w:rPr>
          <w:rFonts w:ascii="Arial" w:eastAsia="Calibri" w:hAnsi="Arial" w:cs="Arial"/>
          <w:lang w:val="en-ZA"/>
        </w:rPr>
        <w:t>]</w:t>
      </w:r>
      <w:r>
        <w:rPr>
          <w:rFonts w:ascii="Arial" w:eastAsia="Calibri" w:hAnsi="Arial" w:cs="Arial"/>
          <w:lang w:val="en-ZA"/>
        </w:rPr>
        <w:tab/>
        <w:t>The Respondent</w:t>
      </w:r>
      <w:r w:rsidR="00F622C0">
        <w:rPr>
          <w:rFonts w:ascii="Arial" w:eastAsia="Calibri" w:hAnsi="Arial" w:cs="Arial"/>
          <w:lang w:val="en-ZA"/>
        </w:rPr>
        <w:t xml:space="preserve"> submits</w:t>
      </w:r>
      <w:r>
        <w:rPr>
          <w:rFonts w:ascii="Arial" w:eastAsia="Calibri" w:hAnsi="Arial" w:cs="Arial"/>
          <w:lang w:val="en-ZA"/>
        </w:rPr>
        <w:t>, as I understand the submission,</w:t>
      </w:r>
      <w:r w:rsidR="00F622C0">
        <w:rPr>
          <w:rFonts w:ascii="Arial" w:eastAsia="Calibri" w:hAnsi="Arial" w:cs="Arial"/>
          <w:lang w:val="en-ZA"/>
        </w:rPr>
        <w:t xml:space="preserve"> that the Applicant</w:t>
      </w:r>
      <w:r>
        <w:rPr>
          <w:rFonts w:ascii="Arial" w:eastAsia="Calibri" w:hAnsi="Arial" w:cs="Arial"/>
          <w:lang w:val="en-ZA"/>
        </w:rPr>
        <w:t xml:space="preserve"> has tried to show to the Court, the insolvent circumstances of the </w:t>
      </w:r>
      <w:r>
        <w:rPr>
          <w:rFonts w:ascii="Arial" w:eastAsia="Calibri" w:hAnsi="Arial" w:cs="Arial"/>
          <w:lang w:val="en-ZA"/>
        </w:rPr>
        <w:lastRenderedPageBreak/>
        <w:t xml:space="preserve">Respondent, and accordingly is barred from relying on Section 81 </w:t>
      </w:r>
      <w:r w:rsidR="001352EF">
        <w:rPr>
          <w:rFonts w:ascii="Arial" w:eastAsia="Calibri" w:hAnsi="Arial" w:cs="Arial"/>
          <w:lang w:val="en-ZA"/>
        </w:rPr>
        <w:t xml:space="preserve">for the winding up of the Respondent. However, in my view, the two issues are not mutually exclusive. The conduct of the company in conducting its business and not paying certain creditors can be relied on to prove insolvency but may also be relied on to prove, </w:t>
      </w:r>
      <w:r w:rsidR="001352EF">
        <w:rPr>
          <w:rFonts w:ascii="Arial" w:eastAsia="Calibri" w:hAnsi="Arial" w:cs="Arial"/>
          <w:i/>
          <w:iCs/>
          <w:lang w:val="en-ZA"/>
        </w:rPr>
        <w:t>prima facie</w:t>
      </w:r>
      <w:r w:rsidR="001352EF">
        <w:rPr>
          <w:rFonts w:ascii="Arial" w:eastAsia="Calibri" w:hAnsi="Arial" w:cs="Arial"/>
          <w:lang w:val="en-ZA"/>
        </w:rPr>
        <w:t xml:space="preserve">, the misapplication of assets or wastage thereof. The Applicant has submitted that </w:t>
      </w:r>
      <w:r w:rsidR="006A6FFB">
        <w:rPr>
          <w:rFonts w:ascii="Arial" w:eastAsia="Calibri" w:hAnsi="Arial" w:cs="Arial"/>
          <w:lang w:val="en-ZA"/>
        </w:rPr>
        <w:t>the Respondent itself has made out to the public that it is solvent. The Applicant references in this regard the Annual Financial Statements of the Respondent dated 21 March 2021</w:t>
      </w:r>
      <w:r w:rsidR="006A6FFB">
        <w:rPr>
          <w:rStyle w:val="FootnoteReference"/>
          <w:rFonts w:ascii="Arial" w:eastAsia="Calibri" w:hAnsi="Arial" w:cs="Arial"/>
          <w:lang w:val="en-ZA"/>
        </w:rPr>
        <w:footnoteReference w:id="9"/>
      </w:r>
      <w:r w:rsidR="006A6FFB">
        <w:rPr>
          <w:rFonts w:ascii="Arial" w:eastAsia="Calibri" w:hAnsi="Arial" w:cs="Arial"/>
          <w:lang w:val="en-ZA"/>
        </w:rPr>
        <w:t>.</w:t>
      </w:r>
      <w:r w:rsidR="0054259D">
        <w:rPr>
          <w:rFonts w:ascii="Arial" w:eastAsia="Calibri" w:hAnsi="Arial" w:cs="Arial"/>
          <w:lang w:val="en-ZA"/>
        </w:rPr>
        <w:t xml:space="preserve"> On this basis, in my view, the Applicant is permitted to rely on Section 81 for the winding up of the Respondent.</w:t>
      </w:r>
    </w:p>
    <w:p w14:paraId="14234FD3" w14:textId="2EDEF37F" w:rsidR="001F09C2" w:rsidRDefault="006A6FFB" w:rsidP="00912FA5">
      <w:pPr>
        <w:spacing w:after="200"/>
        <w:ind w:left="720" w:hanging="720"/>
        <w:rPr>
          <w:rFonts w:ascii="Arial" w:eastAsia="Calibri" w:hAnsi="Arial" w:cs="Arial"/>
          <w:lang w:val="en-ZA"/>
        </w:rPr>
      </w:pPr>
      <w:r>
        <w:rPr>
          <w:rFonts w:ascii="Arial" w:eastAsia="Calibri" w:hAnsi="Arial" w:cs="Arial"/>
          <w:lang w:val="en-ZA"/>
        </w:rPr>
        <w:t>[2</w:t>
      </w:r>
      <w:r w:rsidR="00F622C0">
        <w:rPr>
          <w:rFonts w:ascii="Arial" w:eastAsia="Calibri" w:hAnsi="Arial" w:cs="Arial"/>
          <w:lang w:val="en-ZA"/>
        </w:rPr>
        <w:t>6</w:t>
      </w:r>
      <w:r>
        <w:rPr>
          <w:rFonts w:ascii="Arial" w:eastAsia="Calibri" w:hAnsi="Arial" w:cs="Arial"/>
          <w:lang w:val="en-ZA"/>
        </w:rPr>
        <w:t>]</w:t>
      </w:r>
      <w:r>
        <w:rPr>
          <w:rFonts w:ascii="Arial" w:eastAsia="Calibri" w:hAnsi="Arial" w:cs="Arial"/>
          <w:lang w:val="en-ZA"/>
        </w:rPr>
        <w:tab/>
      </w:r>
      <w:r w:rsidR="0054259D">
        <w:rPr>
          <w:rFonts w:ascii="Arial" w:eastAsia="Calibri" w:hAnsi="Arial" w:cs="Arial"/>
          <w:lang w:val="en-ZA"/>
        </w:rPr>
        <w:t xml:space="preserve">I indicated hereinabove that it necessary to interrogate whether this application can be regarded as falling within the realm of Section 81(1) (e) (ii). This subsection requires an applicant to show that the Respondent has been ‘misapplying or wasting </w:t>
      </w:r>
      <w:proofErr w:type="gramStart"/>
      <w:r w:rsidR="0054259D">
        <w:rPr>
          <w:rFonts w:ascii="Arial" w:eastAsia="Calibri" w:hAnsi="Arial" w:cs="Arial"/>
          <w:lang w:val="en-ZA"/>
        </w:rPr>
        <w:t>assets’</w:t>
      </w:r>
      <w:proofErr w:type="gramEnd"/>
      <w:r w:rsidR="001F09C2">
        <w:rPr>
          <w:rFonts w:ascii="Arial" w:eastAsia="Calibri" w:hAnsi="Arial" w:cs="Arial"/>
          <w:lang w:val="en-ZA"/>
        </w:rPr>
        <w:t>.</w:t>
      </w:r>
    </w:p>
    <w:p w14:paraId="61D55978" w14:textId="77777777" w:rsidR="000017AA" w:rsidRDefault="001F09C2" w:rsidP="00912FA5">
      <w:pPr>
        <w:spacing w:after="200"/>
        <w:ind w:left="720" w:hanging="720"/>
        <w:rPr>
          <w:rFonts w:ascii="Arial" w:eastAsia="Calibri" w:hAnsi="Arial" w:cs="Arial"/>
          <w:lang w:val="en-ZA"/>
        </w:rPr>
      </w:pPr>
      <w:r>
        <w:rPr>
          <w:rFonts w:ascii="Arial" w:eastAsia="Calibri" w:hAnsi="Arial" w:cs="Arial"/>
          <w:lang w:val="en-ZA"/>
        </w:rPr>
        <w:t>[2</w:t>
      </w:r>
      <w:r w:rsidR="00F622C0">
        <w:rPr>
          <w:rFonts w:ascii="Arial" w:eastAsia="Calibri" w:hAnsi="Arial" w:cs="Arial"/>
          <w:lang w:val="en-ZA"/>
        </w:rPr>
        <w:t>7</w:t>
      </w:r>
      <w:r>
        <w:rPr>
          <w:rFonts w:ascii="Arial" w:eastAsia="Calibri" w:hAnsi="Arial" w:cs="Arial"/>
          <w:lang w:val="en-ZA"/>
        </w:rPr>
        <w:t>]</w:t>
      </w:r>
      <w:r>
        <w:rPr>
          <w:rFonts w:ascii="Arial" w:eastAsia="Calibri" w:hAnsi="Arial" w:cs="Arial"/>
          <w:lang w:val="en-ZA"/>
        </w:rPr>
        <w:tab/>
        <w:t xml:space="preserve">Can it be thus be said that the Respondent has been ‘misapplying or wasting </w:t>
      </w:r>
      <w:proofErr w:type="gramStart"/>
      <w:r>
        <w:rPr>
          <w:rFonts w:ascii="Arial" w:eastAsia="Calibri" w:hAnsi="Arial" w:cs="Arial"/>
          <w:lang w:val="en-ZA"/>
        </w:rPr>
        <w:t>assets’</w:t>
      </w:r>
      <w:proofErr w:type="gramEnd"/>
      <w:r>
        <w:rPr>
          <w:rFonts w:ascii="Arial" w:eastAsia="Calibri" w:hAnsi="Arial" w:cs="Arial"/>
          <w:lang w:val="en-ZA"/>
        </w:rPr>
        <w:t>? It should be remembered that the onus is on the Applicant to prove this requirement. The Applicant makes mention of the Respondent’s investment in ‘</w:t>
      </w:r>
      <w:proofErr w:type="spellStart"/>
      <w:r>
        <w:rPr>
          <w:rFonts w:ascii="Arial" w:eastAsia="Calibri" w:hAnsi="Arial" w:cs="Arial"/>
          <w:lang w:val="en-ZA"/>
        </w:rPr>
        <w:t>MyBucks</w:t>
      </w:r>
      <w:proofErr w:type="spellEnd"/>
      <w:r>
        <w:rPr>
          <w:rFonts w:ascii="Arial" w:eastAsia="Calibri" w:hAnsi="Arial" w:cs="Arial"/>
          <w:lang w:val="en-ZA"/>
        </w:rPr>
        <w:t xml:space="preserve">’ as an example of the misapplication or wasting. The question rightfully posed by the Respondent is whether the misapplication is judged at the beginning of such investment or </w:t>
      </w:r>
      <w:r>
        <w:rPr>
          <w:rFonts w:ascii="Arial" w:eastAsia="Calibri" w:hAnsi="Arial" w:cs="Arial"/>
          <w:i/>
          <w:iCs/>
          <w:lang w:val="en-ZA"/>
        </w:rPr>
        <w:t>ex post facto</w:t>
      </w:r>
      <w:r>
        <w:rPr>
          <w:rFonts w:ascii="Arial" w:eastAsia="Calibri" w:hAnsi="Arial" w:cs="Arial"/>
          <w:lang w:val="en-ZA"/>
        </w:rPr>
        <w:t xml:space="preserve">. </w:t>
      </w:r>
    </w:p>
    <w:p w14:paraId="6CF0D4B8" w14:textId="7F6D0B3E" w:rsidR="001F09C2" w:rsidRDefault="000017AA" w:rsidP="00912FA5">
      <w:pPr>
        <w:spacing w:after="200"/>
        <w:ind w:left="720" w:hanging="720"/>
        <w:rPr>
          <w:rFonts w:ascii="Arial" w:eastAsia="Calibri" w:hAnsi="Arial" w:cs="Arial"/>
          <w:lang w:val="en-ZA"/>
        </w:rPr>
      </w:pPr>
      <w:r>
        <w:rPr>
          <w:rFonts w:ascii="Arial" w:eastAsia="Calibri" w:hAnsi="Arial" w:cs="Arial"/>
          <w:lang w:val="en-ZA"/>
        </w:rPr>
        <w:t>[28]</w:t>
      </w:r>
      <w:r>
        <w:rPr>
          <w:rFonts w:ascii="Arial" w:eastAsia="Calibri" w:hAnsi="Arial" w:cs="Arial"/>
          <w:lang w:val="en-ZA"/>
        </w:rPr>
        <w:tab/>
      </w:r>
      <w:r w:rsidR="001F09C2">
        <w:rPr>
          <w:rFonts w:ascii="Arial" w:eastAsia="Calibri" w:hAnsi="Arial" w:cs="Arial"/>
          <w:lang w:val="en-ZA"/>
        </w:rPr>
        <w:t>In my view, an investment of the kind made in ‘</w:t>
      </w:r>
      <w:proofErr w:type="spellStart"/>
      <w:r w:rsidR="001F09C2">
        <w:rPr>
          <w:rFonts w:ascii="Arial" w:eastAsia="Calibri" w:hAnsi="Arial" w:cs="Arial"/>
          <w:lang w:val="en-ZA"/>
        </w:rPr>
        <w:t>MyBucks</w:t>
      </w:r>
      <w:proofErr w:type="spellEnd"/>
      <w:r w:rsidR="001F09C2">
        <w:rPr>
          <w:rFonts w:ascii="Arial" w:eastAsia="Calibri" w:hAnsi="Arial" w:cs="Arial"/>
          <w:lang w:val="en-ZA"/>
        </w:rPr>
        <w:t>’ must be judged at the time such investment is made</w:t>
      </w:r>
      <w:r>
        <w:rPr>
          <w:rFonts w:ascii="Arial" w:eastAsia="Calibri" w:hAnsi="Arial" w:cs="Arial"/>
          <w:lang w:val="en-ZA"/>
        </w:rPr>
        <w:t xml:space="preserve"> because it is at that time that one must </w:t>
      </w:r>
      <w:r>
        <w:rPr>
          <w:rFonts w:ascii="Arial" w:eastAsia="Calibri" w:hAnsi="Arial" w:cs="Arial"/>
          <w:lang w:val="en-ZA"/>
        </w:rPr>
        <w:lastRenderedPageBreak/>
        <w:t>consider whether it was a good investment or not</w:t>
      </w:r>
      <w:r w:rsidR="001F09C2">
        <w:rPr>
          <w:rFonts w:ascii="Arial" w:eastAsia="Calibri" w:hAnsi="Arial" w:cs="Arial"/>
          <w:lang w:val="en-ZA"/>
        </w:rPr>
        <w:t>. Applying that test, I am of the view that the Applicant has failed to discharge her onus of proving a misapplication or was</w:t>
      </w:r>
      <w:r>
        <w:rPr>
          <w:rFonts w:ascii="Arial" w:eastAsia="Calibri" w:hAnsi="Arial" w:cs="Arial"/>
          <w:lang w:val="en-ZA"/>
        </w:rPr>
        <w:t>t</w:t>
      </w:r>
      <w:r w:rsidR="001F09C2">
        <w:rPr>
          <w:rFonts w:ascii="Arial" w:eastAsia="Calibri" w:hAnsi="Arial" w:cs="Arial"/>
          <w:lang w:val="en-ZA"/>
        </w:rPr>
        <w:t>age of assets.</w:t>
      </w:r>
    </w:p>
    <w:p w14:paraId="72B7D9AB" w14:textId="04089599" w:rsidR="001F09C2" w:rsidRDefault="001F09C2" w:rsidP="00912FA5">
      <w:pPr>
        <w:spacing w:after="200"/>
        <w:ind w:left="720" w:hanging="720"/>
        <w:rPr>
          <w:rFonts w:ascii="Arial" w:eastAsia="Calibri" w:hAnsi="Arial" w:cs="Arial"/>
          <w:lang w:val="en-ZA"/>
        </w:rPr>
      </w:pPr>
      <w:r>
        <w:rPr>
          <w:rFonts w:ascii="Arial" w:eastAsia="Calibri" w:hAnsi="Arial" w:cs="Arial"/>
          <w:lang w:val="en-ZA"/>
        </w:rPr>
        <w:t>[2</w:t>
      </w:r>
      <w:r w:rsidR="000017AA">
        <w:rPr>
          <w:rFonts w:ascii="Arial" w:eastAsia="Calibri" w:hAnsi="Arial" w:cs="Arial"/>
          <w:lang w:val="en-ZA"/>
        </w:rPr>
        <w:t>9</w:t>
      </w:r>
      <w:r>
        <w:rPr>
          <w:rFonts w:ascii="Arial" w:eastAsia="Calibri" w:hAnsi="Arial" w:cs="Arial"/>
          <w:lang w:val="en-ZA"/>
        </w:rPr>
        <w:t>]</w:t>
      </w:r>
      <w:r>
        <w:rPr>
          <w:rFonts w:ascii="Arial" w:eastAsia="Calibri" w:hAnsi="Arial" w:cs="Arial"/>
          <w:lang w:val="en-ZA"/>
        </w:rPr>
        <w:tab/>
        <w:t>It bears repeating what I stated hereinabove. An Applicant is bound by the pleadings and cannot change the case pleaded at the hearing of the matter unless an amendment of the pleadings has been sought. In this matter, no such amendment was sought.</w:t>
      </w:r>
    </w:p>
    <w:p w14:paraId="03EDA5FC" w14:textId="77777777" w:rsidR="000017AA" w:rsidRDefault="001F09C2" w:rsidP="00912FA5">
      <w:pPr>
        <w:spacing w:after="200"/>
        <w:ind w:left="720" w:hanging="720"/>
        <w:rPr>
          <w:rFonts w:ascii="Arial" w:eastAsia="Calibri" w:hAnsi="Arial" w:cs="Arial"/>
          <w:lang w:val="en-ZA"/>
        </w:rPr>
      </w:pPr>
      <w:r>
        <w:rPr>
          <w:rFonts w:ascii="Arial" w:eastAsia="Calibri" w:hAnsi="Arial" w:cs="Arial"/>
          <w:lang w:val="en-ZA"/>
        </w:rPr>
        <w:t>[</w:t>
      </w:r>
      <w:r w:rsidR="000017AA">
        <w:rPr>
          <w:rFonts w:ascii="Arial" w:eastAsia="Calibri" w:hAnsi="Arial" w:cs="Arial"/>
          <w:lang w:val="en-ZA"/>
        </w:rPr>
        <w:t>30</w:t>
      </w:r>
      <w:r>
        <w:rPr>
          <w:rFonts w:ascii="Arial" w:eastAsia="Calibri" w:hAnsi="Arial" w:cs="Arial"/>
          <w:lang w:val="en-ZA"/>
        </w:rPr>
        <w:t>]</w:t>
      </w:r>
      <w:r>
        <w:rPr>
          <w:rFonts w:ascii="Arial" w:eastAsia="Calibri" w:hAnsi="Arial" w:cs="Arial"/>
          <w:lang w:val="en-ZA"/>
        </w:rPr>
        <w:tab/>
        <w:t xml:space="preserve">The Applicant cannot, in my view, at the hearing indicate that it is clear from the evidence before Court that something is amiss in the Respondent and thus this Court should </w:t>
      </w:r>
      <w:r w:rsidR="0086585F">
        <w:rPr>
          <w:rFonts w:ascii="Arial" w:eastAsia="Calibri" w:hAnsi="Arial" w:cs="Arial"/>
          <w:lang w:val="en-ZA"/>
        </w:rPr>
        <w:t xml:space="preserve">use its discretion </w:t>
      </w:r>
      <w:r w:rsidR="000017AA">
        <w:rPr>
          <w:rFonts w:ascii="Arial" w:eastAsia="Calibri" w:hAnsi="Arial" w:cs="Arial"/>
          <w:lang w:val="en-ZA"/>
        </w:rPr>
        <w:t xml:space="preserve">on a just and equitable basis </w:t>
      </w:r>
      <w:r w:rsidR="0086585F">
        <w:rPr>
          <w:rFonts w:ascii="Arial" w:eastAsia="Calibri" w:hAnsi="Arial" w:cs="Arial"/>
          <w:lang w:val="en-ZA"/>
        </w:rPr>
        <w:t xml:space="preserve">to wind up the Respondent. </w:t>
      </w:r>
    </w:p>
    <w:p w14:paraId="72E275F4" w14:textId="1477510B" w:rsidR="000017AA" w:rsidRDefault="000017AA" w:rsidP="00912FA5">
      <w:pPr>
        <w:spacing w:after="200"/>
        <w:ind w:left="720" w:hanging="720"/>
        <w:rPr>
          <w:rFonts w:ascii="Arial" w:eastAsia="Calibri" w:hAnsi="Arial" w:cs="Arial"/>
          <w:lang w:val="en-ZA"/>
        </w:rPr>
      </w:pPr>
      <w:r>
        <w:rPr>
          <w:rFonts w:ascii="Arial" w:eastAsia="Calibri" w:hAnsi="Arial" w:cs="Arial"/>
          <w:lang w:val="en-ZA"/>
        </w:rPr>
        <w:t>[31]</w:t>
      </w:r>
      <w:r>
        <w:rPr>
          <w:rFonts w:ascii="Arial" w:eastAsia="Calibri" w:hAnsi="Arial" w:cs="Arial"/>
          <w:lang w:val="en-ZA"/>
        </w:rPr>
        <w:tab/>
      </w:r>
      <w:r w:rsidR="0086585F">
        <w:rPr>
          <w:rFonts w:ascii="Arial" w:eastAsia="Calibri" w:hAnsi="Arial" w:cs="Arial"/>
          <w:lang w:val="en-ZA"/>
        </w:rPr>
        <w:t xml:space="preserve">A Respondent must know what case it </w:t>
      </w:r>
      <w:proofErr w:type="gramStart"/>
      <w:r w:rsidR="0086585F">
        <w:rPr>
          <w:rFonts w:ascii="Arial" w:eastAsia="Calibri" w:hAnsi="Arial" w:cs="Arial"/>
          <w:lang w:val="en-ZA"/>
        </w:rPr>
        <w:t>has to</w:t>
      </w:r>
      <w:proofErr w:type="gramEnd"/>
      <w:r w:rsidR="0086585F">
        <w:rPr>
          <w:rFonts w:ascii="Arial" w:eastAsia="Calibri" w:hAnsi="Arial" w:cs="Arial"/>
          <w:lang w:val="en-ZA"/>
        </w:rPr>
        <w:t xml:space="preserve"> meet in any given case and to at a hearing to want to change the basis on which ones seeks a winding is impermissible, in my view.</w:t>
      </w:r>
      <w:r>
        <w:rPr>
          <w:rFonts w:ascii="Arial" w:eastAsia="Calibri" w:hAnsi="Arial" w:cs="Arial"/>
          <w:lang w:val="en-ZA"/>
        </w:rPr>
        <w:t xml:space="preserve"> I have already dealt with the ‘just and equitable’ requirement above. This requirement needs to be placed in context and cannot be extracted and used as an overall additional requirement.</w:t>
      </w:r>
      <w:r w:rsidR="0086585F">
        <w:rPr>
          <w:rFonts w:ascii="Arial" w:eastAsia="Calibri" w:hAnsi="Arial" w:cs="Arial"/>
          <w:lang w:val="en-ZA"/>
        </w:rPr>
        <w:t xml:space="preserve"> </w:t>
      </w:r>
    </w:p>
    <w:p w14:paraId="42B852C6" w14:textId="35CF2136" w:rsidR="0086585F" w:rsidRDefault="000017AA" w:rsidP="00912FA5">
      <w:pPr>
        <w:spacing w:after="200"/>
        <w:ind w:left="720" w:hanging="720"/>
        <w:rPr>
          <w:rFonts w:ascii="Arial" w:eastAsia="Calibri" w:hAnsi="Arial" w:cs="Arial"/>
          <w:lang w:val="en-ZA"/>
        </w:rPr>
      </w:pPr>
      <w:r>
        <w:rPr>
          <w:rFonts w:ascii="Arial" w:eastAsia="Calibri" w:hAnsi="Arial" w:cs="Arial"/>
          <w:lang w:val="en-ZA"/>
        </w:rPr>
        <w:t>[32]</w:t>
      </w:r>
      <w:r>
        <w:rPr>
          <w:rFonts w:ascii="Arial" w:eastAsia="Calibri" w:hAnsi="Arial" w:cs="Arial"/>
          <w:lang w:val="en-ZA"/>
        </w:rPr>
        <w:tab/>
      </w:r>
      <w:r w:rsidR="0086585F">
        <w:rPr>
          <w:rFonts w:ascii="Arial" w:eastAsia="Calibri" w:hAnsi="Arial" w:cs="Arial"/>
          <w:lang w:val="en-ZA"/>
        </w:rPr>
        <w:t>Th</w:t>
      </w:r>
      <w:r>
        <w:rPr>
          <w:rFonts w:ascii="Arial" w:eastAsia="Calibri" w:hAnsi="Arial" w:cs="Arial"/>
          <w:lang w:val="en-ZA"/>
        </w:rPr>
        <w:t>e case made out by the Applicant</w:t>
      </w:r>
      <w:r w:rsidR="0086585F">
        <w:rPr>
          <w:rFonts w:ascii="Arial" w:eastAsia="Calibri" w:hAnsi="Arial" w:cs="Arial"/>
          <w:lang w:val="en-ZA"/>
        </w:rPr>
        <w:t xml:space="preserve"> is also relevant to the suspension of the Respondent from trading on the Johannesburg Stock Exchange as well as the resignation of the auditors of the Respondent.</w:t>
      </w:r>
      <w:r>
        <w:rPr>
          <w:rFonts w:ascii="Arial" w:eastAsia="Calibri" w:hAnsi="Arial" w:cs="Arial"/>
          <w:lang w:val="en-ZA"/>
        </w:rPr>
        <w:t xml:space="preserve"> These factors, in my view, are not relevant to the misapplication and wastage of assets in Section 81(1)(e)(ii).</w:t>
      </w:r>
    </w:p>
    <w:p w14:paraId="1F86B547" w14:textId="047AB4E1" w:rsidR="00F045D4" w:rsidRDefault="00F045D4" w:rsidP="00912FA5">
      <w:pPr>
        <w:spacing w:after="200"/>
        <w:ind w:left="720" w:hanging="720"/>
        <w:rPr>
          <w:rFonts w:ascii="Arial" w:eastAsia="Calibri" w:hAnsi="Arial" w:cs="Arial"/>
          <w:lang w:val="en-ZA"/>
        </w:rPr>
      </w:pPr>
      <w:r>
        <w:rPr>
          <w:rFonts w:ascii="Arial" w:eastAsia="Calibri" w:hAnsi="Arial" w:cs="Arial"/>
          <w:lang w:val="en-ZA"/>
        </w:rPr>
        <w:t>[33]</w:t>
      </w:r>
      <w:r>
        <w:rPr>
          <w:rFonts w:ascii="Arial" w:eastAsia="Calibri" w:hAnsi="Arial" w:cs="Arial"/>
          <w:lang w:val="en-ZA"/>
        </w:rPr>
        <w:tab/>
        <w:t xml:space="preserve">Even if I am wrong in holding that this Court cannot have regard to the provisions of Section 81(1)(d)(iii) </w:t>
      </w:r>
      <w:proofErr w:type="gramStart"/>
      <w:r>
        <w:rPr>
          <w:rFonts w:ascii="Arial" w:eastAsia="Calibri" w:hAnsi="Arial" w:cs="Arial"/>
          <w:lang w:val="en-ZA"/>
        </w:rPr>
        <w:t>for the reason that</w:t>
      </w:r>
      <w:proofErr w:type="gramEnd"/>
      <w:r>
        <w:rPr>
          <w:rFonts w:ascii="Arial" w:eastAsia="Calibri" w:hAnsi="Arial" w:cs="Arial"/>
          <w:lang w:val="en-ZA"/>
        </w:rPr>
        <w:t xml:space="preserve"> the Applicant has not </w:t>
      </w:r>
      <w:r>
        <w:rPr>
          <w:rFonts w:ascii="Arial" w:eastAsia="Calibri" w:hAnsi="Arial" w:cs="Arial"/>
          <w:lang w:val="en-ZA"/>
        </w:rPr>
        <w:lastRenderedPageBreak/>
        <w:t>mentioned same in her founding affidavit, the Applicant has not convinced this Court that it should exercise its discretion in her favour to wind up the Respondent on the basis that it is ‘just and equitable’.</w:t>
      </w:r>
    </w:p>
    <w:p w14:paraId="634BE024" w14:textId="4814AB60" w:rsidR="000017AA" w:rsidRDefault="0086585F" w:rsidP="00E96C61">
      <w:pPr>
        <w:spacing w:after="200"/>
        <w:ind w:left="720" w:hanging="720"/>
        <w:rPr>
          <w:rFonts w:ascii="Arial" w:eastAsia="Calibri" w:hAnsi="Arial" w:cs="Arial"/>
          <w:lang w:val="en-ZA"/>
        </w:rPr>
      </w:pPr>
      <w:r>
        <w:rPr>
          <w:rFonts w:ascii="Arial" w:eastAsia="Calibri" w:hAnsi="Arial" w:cs="Arial"/>
          <w:lang w:val="en-ZA"/>
        </w:rPr>
        <w:t>[</w:t>
      </w:r>
      <w:r w:rsidR="000017AA">
        <w:rPr>
          <w:rFonts w:ascii="Arial" w:eastAsia="Calibri" w:hAnsi="Arial" w:cs="Arial"/>
          <w:lang w:val="en-ZA"/>
        </w:rPr>
        <w:t>3</w:t>
      </w:r>
      <w:r w:rsidR="00F045D4">
        <w:rPr>
          <w:rFonts w:ascii="Arial" w:eastAsia="Calibri" w:hAnsi="Arial" w:cs="Arial"/>
          <w:lang w:val="en-ZA"/>
        </w:rPr>
        <w:t>4</w:t>
      </w:r>
      <w:r>
        <w:rPr>
          <w:rFonts w:ascii="Arial" w:eastAsia="Calibri" w:hAnsi="Arial" w:cs="Arial"/>
          <w:lang w:val="en-ZA"/>
        </w:rPr>
        <w:t>]</w:t>
      </w:r>
      <w:r>
        <w:rPr>
          <w:rFonts w:ascii="Arial" w:eastAsia="Calibri" w:hAnsi="Arial" w:cs="Arial"/>
          <w:lang w:val="en-ZA"/>
        </w:rPr>
        <w:tab/>
        <w:t>Respondent’s Counsel made much of the fact that the Applicant is a single shareholder and, on that basis, should not be permitted to apply for the winding up of the Respondent. I mentioned to Counsel</w:t>
      </w:r>
      <w:r w:rsidR="00045835">
        <w:rPr>
          <w:rFonts w:ascii="Arial" w:eastAsia="Calibri" w:hAnsi="Arial" w:cs="Arial"/>
          <w:lang w:val="en-ZA"/>
        </w:rPr>
        <w:t xml:space="preserve"> during the hearing</w:t>
      </w:r>
      <w:r>
        <w:rPr>
          <w:rFonts w:ascii="Arial" w:eastAsia="Calibri" w:hAnsi="Arial" w:cs="Arial"/>
          <w:lang w:val="en-ZA"/>
        </w:rPr>
        <w:t xml:space="preserve"> that the authorities do not bar such an application and have not barred a single or minority shareholder from bringing an application to wind up a company. The test in any given circumstance is whether an applicant </w:t>
      </w:r>
      <w:r w:rsidR="00045835">
        <w:rPr>
          <w:rFonts w:ascii="Arial" w:eastAsia="Calibri" w:hAnsi="Arial" w:cs="Arial"/>
          <w:lang w:val="en-ZA"/>
        </w:rPr>
        <w:t>can</w:t>
      </w:r>
      <w:r>
        <w:rPr>
          <w:rFonts w:ascii="Arial" w:eastAsia="Calibri" w:hAnsi="Arial" w:cs="Arial"/>
          <w:lang w:val="en-ZA"/>
        </w:rPr>
        <w:t xml:space="preserve"> prove their case and not the status of such applicant.</w:t>
      </w:r>
      <w:r w:rsidR="000017AA">
        <w:rPr>
          <w:rFonts w:ascii="Arial" w:eastAsia="Calibri" w:hAnsi="Arial" w:cs="Arial"/>
          <w:lang w:val="en-ZA"/>
        </w:rPr>
        <w:t xml:space="preserve"> Insofar as is necessary, the Applicant qualifie</w:t>
      </w:r>
      <w:r w:rsidR="00045835">
        <w:rPr>
          <w:rFonts w:ascii="Arial" w:eastAsia="Calibri" w:hAnsi="Arial" w:cs="Arial"/>
          <w:lang w:val="en-ZA"/>
        </w:rPr>
        <w:t>d</w:t>
      </w:r>
      <w:r w:rsidR="000017AA">
        <w:rPr>
          <w:rFonts w:ascii="Arial" w:eastAsia="Calibri" w:hAnsi="Arial" w:cs="Arial"/>
          <w:lang w:val="en-ZA"/>
        </w:rPr>
        <w:t xml:space="preserve"> to launch</w:t>
      </w:r>
      <w:r w:rsidR="00045835">
        <w:rPr>
          <w:rFonts w:ascii="Arial" w:eastAsia="Calibri" w:hAnsi="Arial" w:cs="Arial"/>
          <w:lang w:val="en-ZA"/>
        </w:rPr>
        <w:t xml:space="preserve"> these proceedings having been a shareholder of the Respondent for at least six months before the launching of the application.</w:t>
      </w:r>
      <w:r w:rsidR="000017AA">
        <w:rPr>
          <w:rFonts w:ascii="Arial" w:eastAsia="Calibri" w:hAnsi="Arial" w:cs="Arial"/>
          <w:lang w:val="en-ZA"/>
        </w:rPr>
        <w:t xml:space="preserve"> </w:t>
      </w:r>
    </w:p>
    <w:p w14:paraId="13C82BD9" w14:textId="25653051" w:rsidR="009A21FE" w:rsidRDefault="009A21FE" w:rsidP="00E96C61">
      <w:pPr>
        <w:spacing w:after="200"/>
        <w:ind w:left="720" w:hanging="720"/>
        <w:rPr>
          <w:rFonts w:ascii="Arial" w:eastAsia="Calibri" w:hAnsi="Arial" w:cs="Arial"/>
          <w:b/>
          <w:bCs/>
          <w:lang w:val="en-ZA"/>
        </w:rPr>
      </w:pPr>
      <w:r>
        <w:rPr>
          <w:rFonts w:ascii="Arial" w:eastAsia="Calibri" w:hAnsi="Arial" w:cs="Arial"/>
          <w:b/>
          <w:bCs/>
          <w:lang w:val="en-ZA"/>
        </w:rPr>
        <w:t>CONCLUSION</w:t>
      </w:r>
    </w:p>
    <w:p w14:paraId="3B54BFF2" w14:textId="6C7463E9" w:rsidR="009A21FE" w:rsidRDefault="000017AA" w:rsidP="00E96C61">
      <w:pPr>
        <w:spacing w:after="200"/>
        <w:ind w:left="720" w:hanging="720"/>
        <w:rPr>
          <w:rFonts w:ascii="Arial" w:eastAsia="Calibri" w:hAnsi="Arial" w:cs="Arial"/>
          <w:lang w:val="en-ZA"/>
        </w:rPr>
      </w:pPr>
      <w:r>
        <w:rPr>
          <w:rFonts w:ascii="Arial" w:eastAsia="Calibri" w:hAnsi="Arial" w:cs="Arial"/>
          <w:lang w:val="en-ZA"/>
        </w:rPr>
        <w:t>[3</w:t>
      </w:r>
      <w:r w:rsidR="00F045D4">
        <w:rPr>
          <w:rFonts w:ascii="Arial" w:eastAsia="Calibri" w:hAnsi="Arial" w:cs="Arial"/>
          <w:lang w:val="en-ZA"/>
        </w:rPr>
        <w:t>5</w:t>
      </w:r>
      <w:r>
        <w:rPr>
          <w:rFonts w:ascii="Arial" w:eastAsia="Calibri" w:hAnsi="Arial" w:cs="Arial"/>
          <w:lang w:val="en-ZA"/>
        </w:rPr>
        <w:t>]</w:t>
      </w:r>
      <w:r w:rsidR="009A21FE">
        <w:rPr>
          <w:rFonts w:ascii="Arial" w:eastAsia="Calibri" w:hAnsi="Arial" w:cs="Arial"/>
          <w:lang w:val="en-ZA"/>
        </w:rPr>
        <w:tab/>
        <w:t>For the reasons outlined above, the application for the winding up of the Respondent must fail.</w:t>
      </w:r>
    </w:p>
    <w:p w14:paraId="695F1972" w14:textId="77777777" w:rsidR="009A21FE" w:rsidRDefault="009A21FE" w:rsidP="00E96C61">
      <w:pPr>
        <w:spacing w:after="200"/>
        <w:ind w:left="720" w:hanging="720"/>
        <w:rPr>
          <w:rFonts w:ascii="Arial" w:eastAsia="Calibri" w:hAnsi="Arial" w:cs="Arial"/>
          <w:b/>
          <w:bCs/>
          <w:lang w:val="en-ZA"/>
        </w:rPr>
      </w:pPr>
      <w:r>
        <w:rPr>
          <w:rFonts w:ascii="Arial" w:eastAsia="Calibri" w:hAnsi="Arial" w:cs="Arial"/>
          <w:b/>
          <w:bCs/>
          <w:lang w:val="en-ZA"/>
        </w:rPr>
        <w:t>COSTS</w:t>
      </w:r>
    </w:p>
    <w:p w14:paraId="33BCA757" w14:textId="092EDA91" w:rsidR="009A21FE" w:rsidRDefault="009A21FE" w:rsidP="00E96C61">
      <w:pPr>
        <w:spacing w:after="200"/>
        <w:ind w:left="720" w:hanging="720"/>
        <w:rPr>
          <w:rFonts w:ascii="Arial" w:eastAsia="Calibri" w:hAnsi="Arial" w:cs="Arial"/>
          <w:lang w:val="en-ZA"/>
        </w:rPr>
      </w:pPr>
      <w:r>
        <w:rPr>
          <w:rFonts w:ascii="Arial" w:eastAsia="Calibri" w:hAnsi="Arial" w:cs="Arial"/>
          <w:lang w:val="en-ZA"/>
        </w:rPr>
        <w:t>[3</w:t>
      </w:r>
      <w:r w:rsidR="00F045D4">
        <w:rPr>
          <w:rFonts w:ascii="Arial" w:eastAsia="Calibri" w:hAnsi="Arial" w:cs="Arial"/>
          <w:lang w:val="en-ZA"/>
        </w:rPr>
        <w:t>6</w:t>
      </w:r>
      <w:r>
        <w:rPr>
          <w:rFonts w:ascii="Arial" w:eastAsia="Calibri" w:hAnsi="Arial" w:cs="Arial"/>
          <w:lang w:val="en-ZA"/>
        </w:rPr>
        <w:t>]</w:t>
      </w:r>
      <w:r>
        <w:rPr>
          <w:rFonts w:ascii="Arial" w:eastAsia="Calibri" w:hAnsi="Arial" w:cs="Arial"/>
          <w:lang w:val="en-ZA"/>
        </w:rPr>
        <w:tab/>
        <w:t xml:space="preserve">Applicant’s Counsel submitted that this Court must make a determination as to the relevance of some of the documentation filed by the Respondent when considering the question of costs. At the outset of the hearing, after I raised the preliminary issues and indicated my </w:t>
      </w:r>
      <w:r>
        <w:rPr>
          <w:rFonts w:ascii="Arial" w:eastAsia="Calibri" w:hAnsi="Arial" w:cs="Arial"/>
          <w:i/>
          <w:iCs/>
          <w:lang w:val="en-ZA"/>
        </w:rPr>
        <w:t xml:space="preserve">prima facie </w:t>
      </w:r>
      <w:r>
        <w:rPr>
          <w:rFonts w:ascii="Arial" w:eastAsia="Calibri" w:hAnsi="Arial" w:cs="Arial"/>
          <w:lang w:val="en-ZA"/>
        </w:rPr>
        <w:t xml:space="preserve">view and Applicant’s Counsel having consulted with the Applicant, I ruled as in paragraphs 4 and 5 above. </w:t>
      </w:r>
    </w:p>
    <w:p w14:paraId="154A40B3" w14:textId="0578ABC9" w:rsidR="009A21FE" w:rsidRDefault="009A21FE" w:rsidP="00E96C61">
      <w:pPr>
        <w:spacing w:after="200"/>
        <w:ind w:left="720" w:hanging="720"/>
        <w:rPr>
          <w:rFonts w:ascii="Arial" w:eastAsia="Calibri" w:hAnsi="Arial" w:cs="Arial"/>
          <w:lang w:val="en-ZA"/>
        </w:rPr>
      </w:pPr>
      <w:r>
        <w:rPr>
          <w:rFonts w:ascii="Arial" w:eastAsia="Calibri" w:hAnsi="Arial" w:cs="Arial"/>
          <w:lang w:val="en-ZA"/>
        </w:rPr>
        <w:lastRenderedPageBreak/>
        <w:t>[3</w:t>
      </w:r>
      <w:r w:rsidR="00F045D4">
        <w:rPr>
          <w:rFonts w:ascii="Arial" w:eastAsia="Calibri" w:hAnsi="Arial" w:cs="Arial"/>
          <w:lang w:val="en-ZA"/>
        </w:rPr>
        <w:t>7</w:t>
      </w:r>
      <w:r>
        <w:rPr>
          <w:rFonts w:ascii="Arial" w:eastAsia="Calibri" w:hAnsi="Arial" w:cs="Arial"/>
          <w:lang w:val="en-ZA"/>
        </w:rPr>
        <w:t>]</w:t>
      </w:r>
      <w:r>
        <w:rPr>
          <w:rFonts w:ascii="Arial" w:eastAsia="Calibri" w:hAnsi="Arial" w:cs="Arial"/>
          <w:lang w:val="en-ZA"/>
        </w:rPr>
        <w:tab/>
        <w:t>In my view, accordingly, the applications for striking out not having been adjudicated, and the complexity of the matter, the Applicant cannot now want to resuscitate the issue of the Respondent’s documentation filed of record.</w:t>
      </w:r>
    </w:p>
    <w:p w14:paraId="491F9414" w14:textId="498A2152" w:rsidR="00426D1A" w:rsidRDefault="009A21FE" w:rsidP="00E96C61">
      <w:pPr>
        <w:spacing w:after="200"/>
        <w:ind w:left="720" w:hanging="720"/>
        <w:rPr>
          <w:rFonts w:ascii="Arial" w:eastAsia="Calibri" w:hAnsi="Arial" w:cs="Arial"/>
          <w:lang w:val="en-ZA"/>
        </w:rPr>
      </w:pPr>
      <w:r>
        <w:rPr>
          <w:rFonts w:ascii="Arial" w:eastAsia="Calibri" w:hAnsi="Arial" w:cs="Arial"/>
          <w:lang w:val="en-ZA"/>
        </w:rPr>
        <w:t>[3</w:t>
      </w:r>
      <w:r w:rsidR="00F045D4">
        <w:rPr>
          <w:rFonts w:ascii="Arial" w:eastAsia="Calibri" w:hAnsi="Arial" w:cs="Arial"/>
          <w:lang w:val="en-ZA"/>
        </w:rPr>
        <w:t>8</w:t>
      </w:r>
      <w:r>
        <w:rPr>
          <w:rFonts w:ascii="Arial" w:eastAsia="Calibri" w:hAnsi="Arial" w:cs="Arial"/>
          <w:lang w:val="en-ZA"/>
        </w:rPr>
        <w:t>]</w:t>
      </w:r>
      <w:r>
        <w:rPr>
          <w:rFonts w:ascii="Arial" w:eastAsia="Calibri" w:hAnsi="Arial" w:cs="Arial"/>
          <w:lang w:val="en-ZA"/>
        </w:rPr>
        <w:tab/>
        <w:t>It is trite that a Court is vested with a discretion when considering the questions of costs. This discretion, however, must be exercised judicially.</w:t>
      </w:r>
      <w:r w:rsidR="00426D1A">
        <w:rPr>
          <w:rFonts w:ascii="Arial" w:eastAsia="Calibri" w:hAnsi="Arial" w:cs="Arial"/>
          <w:lang w:val="en-ZA"/>
        </w:rPr>
        <w:t xml:space="preserve"> The norm is that costs follow the result unless exceptional circumstances are shown to order otherwise.</w:t>
      </w:r>
    </w:p>
    <w:p w14:paraId="0CE0A8BC" w14:textId="73649E70" w:rsidR="00F045D4" w:rsidRPr="00B47797" w:rsidRDefault="00426D1A" w:rsidP="00B47797">
      <w:pPr>
        <w:spacing w:after="200"/>
        <w:ind w:left="720" w:hanging="720"/>
        <w:rPr>
          <w:rFonts w:ascii="Arial" w:eastAsia="Calibri" w:hAnsi="Arial" w:cs="Arial"/>
          <w:lang w:val="en-ZA"/>
        </w:rPr>
      </w:pPr>
      <w:r>
        <w:rPr>
          <w:rFonts w:ascii="Arial" w:eastAsia="Calibri" w:hAnsi="Arial" w:cs="Arial"/>
          <w:lang w:val="en-ZA"/>
        </w:rPr>
        <w:t>[3</w:t>
      </w:r>
      <w:r w:rsidR="00F045D4">
        <w:rPr>
          <w:rFonts w:ascii="Arial" w:eastAsia="Calibri" w:hAnsi="Arial" w:cs="Arial"/>
          <w:lang w:val="en-ZA"/>
        </w:rPr>
        <w:t>9</w:t>
      </w:r>
      <w:r>
        <w:rPr>
          <w:rFonts w:ascii="Arial" w:eastAsia="Calibri" w:hAnsi="Arial" w:cs="Arial"/>
          <w:lang w:val="en-ZA"/>
        </w:rPr>
        <w:t>]</w:t>
      </w:r>
      <w:r>
        <w:rPr>
          <w:rFonts w:ascii="Arial" w:eastAsia="Calibri" w:hAnsi="Arial" w:cs="Arial"/>
          <w:lang w:val="en-ZA"/>
        </w:rPr>
        <w:tab/>
        <w:t>The are no exceptional circumstances in this case to deviate from the norm. Accordingly, the Applicant must pay the costs of this application.</w:t>
      </w:r>
    </w:p>
    <w:p w14:paraId="01B51C87" w14:textId="4C3E4B6E" w:rsidR="00426D1A" w:rsidRDefault="00426D1A" w:rsidP="00E96C61">
      <w:pPr>
        <w:spacing w:after="200"/>
        <w:ind w:left="720" w:hanging="720"/>
        <w:rPr>
          <w:rFonts w:ascii="Arial" w:eastAsia="Calibri" w:hAnsi="Arial" w:cs="Arial"/>
          <w:lang w:val="en-ZA"/>
        </w:rPr>
      </w:pPr>
      <w:r>
        <w:rPr>
          <w:rFonts w:ascii="Arial" w:eastAsia="Calibri" w:hAnsi="Arial" w:cs="Arial"/>
          <w:b/>
          <w:bCs/>
          <w:lang w:val="en-ZA"/>
        </w:rPr>
        <w:t xml:space="preserve">Accordingly, </w:t>
      </w:r>
      <w:r>
        <w:rPr>
          <w:rFonts w:ascii="Arial" w:eastAsia="Calibri" w:hAnsi="Arial" w:cs="Arial"/>
          <w:lang w:val="en-ZA"/>
        </w:rPr>
        <w:t>the following Order shall issue:</w:t>
      </w:r>
    </w:p>
    <w:p w14:paraId="2DB2D2EC" w14:textId="77777777" w:rsidR="00426D1A" w:rsidRDefault="00426D1A" w:rsidP="00E96C61">
      <w:pPr>
        <w:spacing w:after="200"/>
        <w:ind w:left="720" w:hanging="720"/>
        <w:rPr>
          <w:rFonts w:ascii="Arial" w:eastAsia="Calibri" w:hAnsi="Arial" w:cs="Arial"/>
          <w:lang w:val="en-ZA"/>
        </w:rPr>
      </w:pPr>
      <w:r>
        <w:rPr>
          <w:rFonts w:ascii="Arial" w:eastAsia="Calibri" w:hAnsi="Arial" w:cs="Arial"/>
          <w:b/>
          <w:bCs/>
          <w:lang w:val="en-ZA"/>
        </w:rPr>
        <w:tab/>
      </w:r>
      <w:r>
        <w:rPr>
          <w:rFonts w:ascii="Arial" w:eastAsia="Calibri" w:hAnsi="Arial" w:cs="Arial"/>
          <w:lang w:val="en-ZA"/>
        </w:rPr>
        <w:t>a).</w:t>
      </w:r>
      <w:r>
        <w:rPr>
          <w:rFonts w:ascii="Arial" w:eastAsia="Calibri" w:hAnsi="Arial" w:cs="Arial"/>
          <w:lang w:val="en-ZA"/>
        </w:rPr>
        <w:tab/>
        <w:t>The application is dismissed;</w:t>
      </w:r>
    </w:p>
    <w:p w14:paraId="1DAE9E01" w14:textId="725B29BE" w:rsidR="006E3B98" w:rsidRPr="00F04DF1" w:rsidRDefault="00426D1A" w:rsidP="00426D1A">
      <w:pPr>
        <w:spacing w:after="200"/>
        <w:ind w:left="720"/>
        <w:rPr>
          <w:rFonts w:ascii="Arial" w:eastAsia="Calibri" w:hAnsi="Arial" w:cs="Arial"/>
          <w:lang w:val="en-ZA"/>
        </w:rPr>
      </w:pPr>
      <w:r>
        <w:rPr>
          <w:rFonts w:ascii="Arial" w:eastAsia="Calibri" w:hAnsi="Arial" w:cs="Arial"/>
          <w:lang w:val="en-ZA"/>
        </w:rPr>
        <w:t>b).</w:t>
      </w:r>
      <w:r>
        <w:rPr>
          <w:rFonts w:ascii="Arial" w:eastAsia="Calibri" w:hAnsi="Arial" w:cs="Arial"/>
          <w:lang w:val="en-ZA"/>
        </w:rPr>
        <w:tab/>
        <w:t>The Applicant is to pay the costs of the Respondent in this application.</w:t>
      </w:r>
    </w:p>
    <w:p w14:paraId="7F0187CF" w14:textId="77777777" w:rsidR="00FE172A" w:rsidRDefault="00FE172A" w:rsidP="00AB16B4">
      <w:pPr>
        <w:pStyle w:val="ListParagraph"/>
        <w:spacing w:after="200"/>
        <w:ind w:left="0"/>
        <w:contextualSpacing/>
        <w:jc w:val="right"/>
        <w:rPr>
          <w:rFonts w:ascii="Vivaldi" w:hAnsi="Vivaldi" w:cs="Arial"/>
          <w:b/>
        </w:rPr>
      </w:pPr>
    </w:p>
    <w:p w14:paraId="241C4197" w14:textId="0900CE93" w:rsidR="004417F7" w:rsidRPr="00FC2384" w:rsidRDefault="00DC1551" w:rsidP="00AB16B4">
      <w:pPr>
        <w:pStyle w:val="ListParagraph"/>
        <w:spacing w:after="200"/>
        <w:ind w:left="0"/>
        <w:contextualSpacing/>
        <w:jc w:val="right"/>
        <w:rPr>
          <w:rFonts w:ascii="Vivaldi" w:hAnsi="Vivaldi" w:cs="Arial"/>
          <w:b/>
        </w:rPr>
      </w:pPr>
      <w:r>
        <w:rPr>
          <w:rFonts w:ascii="Vivaldi" w:hAnsi="Vivaldi" w:cs="Arial"/>
          <w:b/>
        </w:rPr>
        <w:t>G ALLY</w:t>
      </w:r>
      <w:r w:rsidR="004417F7" w:rsidRPr="00FC2384">
        <w:rPr>
          <w:rFonts w:ascii="Vivaldi" w:hAnsi="Vivaldi" w:cs="Arial"/>
          <w:b/>
        </w:rPr>
        <w:t xml:space="preserve"> </w:t>
      </w:r>
    </w:p>
    <w:p w14:paraId="6B0D05EF" w14:textId="77777777" w:rsidR="00AB16B4" w:rsidRPr="00C71BA3" w:rsidRDefault="00DC1551" w:rsidP="00AB16B4">
      <w:pPr>
        <w:pStyle w:val="ListParagraph"/>
        <w:spacing w:after="200"/>
        <w:ind w:left="0"/>
        <w:contextualSpacing/>
        <w:jc w:val="right"/>
        <w:rPr>
          <w:rFonts w:ascii="Arial" w:hAnsi="Arial" w:cs="Arial"/>
          <w:b/>
        </w:rPr>
      </w:pPr>
      <w:r>
        <w:rPr>
          <w:rFonts w:ascii="Arial" w:hAnsi="Arial" w:cs="Arial"/>
          <w:b/>
        </w:rPr>
        <w:t xml:space="preserve">ACTING </w:t>
      </w:r>
      <w:r w:rsidR="00AB16B4" w:rsidRPr="00C71BA3">
        <w:rPr>
          <w:rFonts w:ascii="Arial" w:hAnsi="Arial" w:cs="Arial"/>
          <w:b/>
        </w:rPr>
        <w:t>JUDGE OF THE HIGH COURT</w:t>
      </w:r>
    </w:p>
    <w:p w14:paraId="6DA997FC" w14:textId="18939D86" w:rsidR="00AB16B4" w:rsidRPr="00C71BA3" w:rsidRDefault="00AB16B4" w:rsidP="00AB16B4">
      <w:pPr>
        <w:pStyle w:val="ListParagraph"/>
        <w:spacing w:after="200"/>
        <w:ind w:left="0"/>
        <w:contextualSpacing/>
        <w:jc w:val="right"/>
        <w:rPr>
          <w:rFonts w:ascii="Arial" w:hAnsi="Arial" w:cs="Arial"/>
          <w:b/>
        </w:rPr>
      </w:pPr>
      <w:r w:rsidRPr="00C71BA3">
        <w:rPr>
          <w:rFonts w:ascii="Arial" w:hAnsi="Arial" w:cs="Arial"/>
          <w:b/>
        </w:rPr>
        <w:t xml:space="preserve">GAUTENG DIVISION OF THE HIGH COURT, </w:t>
      </w:r>
      <w:r w:rsidR="003E6FEA">
        <w:rPr>
          <w:rFonts w:ascii="Arial" w:hAnsi="Arial" w:cs="Arial"/>
          <w:b/>
        </w:rPr>
        <w:t>PRETORIA</w:t>
      </w:r>
    </w:p>
    <w:p w14:paraId="152F2C55" w14:textId="2E5D4919" w:rsidR="00C71BA3" w:rsidRPr="00426D1A" w:rsidRDefault="00AB16B4" w:rsidP="00426D1A">
      <w:pPr>
        <w:pStyle w:val="ListParagraph"/>
        <w:spacing w:after="200"/>
        <w:ind w:left="0"/>
        <w:contextualSpacing/>
        <w:jc w:val="right"/>
        <w:rPr>
          <w:rFonts w:ascii="Arial" w:hAnsi="Arial" w:cs="Arial"/>
          <w:b/>
          <w:i/>
          <w:iCs/>
        </w:rPr>
      </w:pPr>
      <w:r w:rsidRPr="00C71BA3">
        <w:rPr>
          <w:rFonts w:ascii="Arial" w:hAnsi="Arial" w:cs="Arial"/>
          <w:b/>
          <w:i/>
          <w:iCs/>
        </w:rPr>
        <w:t>Electronically submitted</w:t>
      </w:r>
      <w:r w:rsidR="00781D20">
        <w:rPr>
          <w:rFonts w:ascii="Arial" w:hAnsi="Arial" w:cs="Arial"/>
          <w:b/>
          <w:i/>
          <w:iCs/>
        </w:rPr>
        <w:t xml:space="preserve"> therefore unsigned</w:t>
      </w:r>
    </w:p>
    <w:p w14:paraId="58EF01C4" w14:textId="77777777" w:rsidR="00A8325D" w:rsidRDefault="00A8325D" w:rsidP="00F86E29">
      <w:pPr>
        <w:pStyle w:val="ListParagraph"/>
        <w:spacing w:after="200"/>
        <w:ind w:left="0"/>
        <w:contextualSpacing/>
        <w:rPr>
          <w:rFonts w:ascii="Arial" w:eastAsia="Arial Unicode MS" w:hAnsi="Arial" w:cs="Arial"/>
          <w:bCs/>
        </w:rPr>
      </w:pPr>
    </w:p>
    <w:p w14:paraId="4DC4660F" w14:textId="23FC4F3C" w:rsidR="00F86E29" w:rsidRPr="00C71BA3" w:rsidRDefault="00F86E29" w:rsidP="00F86E29">
      <w:pPr>
        <w:pStyle w:val="ListParagraph"/>
        <w:spacing w:after="200"/>
        <w:ind w:left="0"/>
        <w:contextualSpacing/>
        <w:rPr>
          <w:rFonts w:ascii="Arial" w:hAnsi="Arial" w:cs="Arial"/>
          <w:b/>
          <w:i/>
          <w:iCs/>
        </w:rPr>
      </w:pPr>
      <w:r w:rsidRPr="00C71BA3">
        <w:rPr>
          <w:rFonts w:ascii="Arial" w:eastAsia="Arial Unicode MS" w:hAnsi="Arial" w:cs="Arial"/>
          <w:bCs/>
        </w:rPr>
        <w:t xml:space="preserve">Delivered:  This judgement </w:t>
      </w:r>
      <w:r w:rsidR="003805CB">
        <w:rPr>
          <w:rFonts w:ascii="Arial" w:eastAsia="Arial Unicode MS" w:hAnsi="Arial" w:cs="Arial"/>
          <w:bCs/>
        </w:rPr>
        <w:t xml:space="preserve">was prepared and authored by the Judge whose name is reflected and </w:t>
      </w:r>
      <w:r w:rsidRPr="00C71BA3">
        <w:rPr>
          <w:rFonts w:ascii="Arial" w:eastAsia="Arial Unicode MS" w:hAnsi="Arial" w:cs="Arial"/>
          <w:bCs/>
        </w:rPr>
        <w:t>is handed down electronically by circulation to the Parties/their legal representatives by email</w:t>
      </w:r>
      <w:r w:rsidR="004417F7">
        <w:rPr>
          <w:rFonts w:ascii="Arial" w:eastAsia="Arial Unicode MS" w:hAnsi="Arial" w:cs="Arial"/>
          <w:bCs/>
        </w:rPr>
        <w:t xml:space="preserve"> and</w:t>
      </w:r>
      <w:r w:rsidR="005D5DE6">
        <w:rPr>
          <w:rFonts w:ascii="Arial" w:eastAsia="Arial Unicode MS" w:hAnsi="Arial" w:cs="Arial"/>
          <w:bCs/>
        </w:rPr>
        <w:t xml:space="preserve"> by</w:t>
      </w:r>
      <w:r w:rsidR="004417F7">
        <w:rPr>
          <w:rFonts w:ascii="Arial" w:eastAsia="Arial Unicode MS" w:hAnsi="Arial" w:cs="Arial"/>
          <w:bCs/>
        </w:rPr>
        <w:t xml:space="preserve"> upload</w:t>
      </w:r>
      <w:r w:rsidR="005D5DE6">
        <w:rPr>
          <w:rFonts w:ascii="Arial" w:eastAsia="Arial Unicode MS" w:hAnsi="Arial" w:cs="Arial"/>
          <w:bCs/>
        </w:rPr>
        <w:t>ing it</w:t>
      </w:r>
      <w:r w:rsidR="004417F7">
        <w:rPr>
          <w:rFonts w:ascii="Arial" w:eastAsia="Arial Unicode MS" w:hAnsi="Arial" w:cs="Arial"/>
          <w:bCs/>
        </w:rPr>
        <w:t xml:space="preserve"> to the electronic file of this matter on CaseLines</w:t>
      </w:r>
      <w:r w:rsidRPr="00C71BA3">
        <w:rPr>
          <w:rFonts w:ascii="Arial" w:eastAsia="Arial Unicode MS" w:hAnsi="Arial" w:cs="Arial"/>
          <w:bCs/>
        </w:rPr>
        <w:t>.  The date for hand-down is deemed to</w:t>
      </w:r>
      <w:r w:rsidR="00350F08" w:rsidRPr="00C71BA3">
        <w:rPr>
          <w:rFonts w:ascii="Arial" w:eastAsia="Arial Unicode MS" w:hAnsi="Arial" w:cs="Arial"/>
          <w:bCs/>
        </w:rPr>
        <w:t xml:space="preserve"> be</w:t>
      </w:r>
      <w:r w:rsidR="005D5DE6">
        <w:rPr>
          <w:rFonts w:ascii="Arial" w:eastAsia="Arial Unicode MS" w:hAnsi="Arial" w:cs="Arial"/>
          <w:bCs/>
        </w:rPr>
        <w:t xml:space="preserve"> </w:t>
      </w:r>
      <w:r w:rsidR="00A03AC5">
        <w:rPr>
          <w:rFonts w:ascii="Arial" w:eastAsia="Arial Unicode MS" w:hAnsi="Arial" w:cs="Arial"/>
          <w:b/>
        </w:rPr>
        <w:t>2</w:t>
      </w:r>
      <w:r w:rsidR="00A8325D">
        <w:rPr>
          <w:rFonts w:ascii="Arial" w:eastAsia="Arial Unicode MS" w:hAnsi="Arial" w:cs="Arial"/>
          <w:b/>
        </w:rPr>
        <w:t>0</w:t>
      </w:r>
      <w:r w:rsidR="00F04DF1" w:rsidRPr="00AA747F">
        <w:rPr>
          <w:rFonts w:ascii="Arial" w:eastAsia="Arial Unicode MS" w:hAnsi="Arial" w:cs="Arial"/>
          <w:b/>
        </w:rPr>
        <w:t xml:space="preserve"> </w:t>
      </w:r>
      <w:r w:rsidR="00A8325D">
        <w:rPr>
          <w:rFonts w:ascii="Arial" w:eastAsia="Arial Unicode MS" w:hAnsi="Arial" w:cs="Arial"/>
          <w:b/>
        </w:rPr>
        <w:t>February</w:t>
      </w:r>
      <w:r w:rsidRPr="00AA747F">
        <w:rPr>
          <w:rFonts w:ascii="Arial" w:eastAsia="Arial Unicode MS" w:hAnsi="Arial" w:cs="Arial"/>
          <w:b/>
        </w:rPr>
        <w:t xml:space="preserve"> 202</w:t>
      </w:r>
      <w:r w:rsidR="00A8325D">
        <w:rPr>
          <w:rFonts w:ascii="Arial" w:eastAsia="Arial Unicode MS" w:hAnsi="Arial" w:cs="Arial"/>
          <w:b/>
        </w:rPr>
        <w:t>4</w:t>
      </w:r>
      <w:r w:rsidR="00350F08" w:rsidRPr="00AA747F">
        <w:rPr>
          <w:rFonts w:ascii="Arial" w:eastAsia="Arial Unicode MS" w:hAnsi="Arial" w:cs="Arial"/>
          <w:b/>
        </w:rPr>
        <w:t>.</w:t>
      </w:r>
    </w:p>
    <w:p w14:paraId="4D622942" w14:textId="77777777" w:rsidR="00426D1A" w:rsidRDefault="00426D1A" w:rsidP="004B0905">
      <w:pPr>
        <w:pStyle w:val="Default"/>
      </w:pPr>
    </w:p>
    <w:p w14:paraId="2282532B" w14:textId="77777777" w:rsidR="00B47797" w:rsidRDefault="00B47797" w:rsidP="004B0905">
      <w:pPr>
        <w:pStyle w:val="Default"/>
      </w:pPr>
    </w:p>
    <w:p w14:paraId="4DA12059" w14:textId="761F1C01" w:rsidR="0014506E" w:rsidRPr="00C71BA3" w:rsidRDefault="0014506E" w:rsidP="004B0905">
      <w:pPr>
        <w:pStyle w:val="Default"/>
      </w:pPr>
      <w:r w:rsidRPr="00C71BA3">
        <w:t xml:space="preserve">Date of </w:t>
      </w:r>
      <w:r w:rsidR="00287A07">
        <w:t xml:space="preserve">virtual </w:t>
      </w:r>
      <w:r w:rsidRPr="00C71BA3">
        <w:t xml:space="preserve">hearing: </w:t>
      </w:r>
      <w:r w:rsidR="00426D1A">
        <w:t>8</w:t>
      </w:r>
      <w:r w:rsidR="00F045D4">
        <w:t xml:space="preserve"> and 9</w:t>
      </w:r>
      <w:r w:rsidR="00426D1A">
        <w:t xml:space="preserve"> June</w:t>
      </w:r>
      <w:r w:rsidR="00287A07">
        <w:t xml:space="preserve"> 202</w:t>
      </w:r>
      <w:r w:rsidR="00426D1A">
        <w:t>3</w:t>
      </w:r>
    </w:p>
    <w:p w14:paraId="581AE12F" w14:textId="152D7A65" w:rsidR="002F0430" w:rsidRPr="00FE172A" w:rsidRDefault="0014506E" w:rsidP="00FE172A">
      <w:pPr>
        <w:pStyle w:val="ListParagraph"/>
        <w:spacing w:after="200"/>
        <w:ind w:left="0"/>
        <w:contextualSpacing/>
        <w:rPr>
          <w:rFonts w:ascii="Arial" w:hAnsi="Arial" w:cs="Arial"/>
        </w:rPr>
      </w:pPr>
      <w:r w:rsidRPr="00C71BA3">
        <w:rPr>
          <w:rFonts w:ascii="Arial" w:hAnsi="Arial" w:cs="Arial"/>
        </w:rPr>
        <w:t xml:space="preserve">Date of judgment: </w:t>
      </w:r>
      <w:r w:rsidR="00426D1A">
        <w:rPr>
          <w:rFonts w:ascii="Arial" w:hAnsi="Arial" w:cs="Arial"/>
        </w:rPr>
        <w:t>20</w:t>
      </w:r>
      <w:r w:rsidR="00B76203">
        <w:rPr>
          <w:rFonts w:ascii="Arial" w:hAnsi="Arial" w:cs="Arial"/>
        </w:rPr>
        <w:t xml:space="preserve"> </w:t>
      </w:r>
      <w:r w:rsidR="00426D1A">
        <w:rPr>
          <w:rFonts w:ascii="Arial" w:hAnsi="Arial" w:cs="Arial"/>
        </w:rPr>
        <w:t>February</w:t>
      </w:r>
      <w:r w:rsidR="00287A07">
        <w:rPr>
          <w:rFonts w:ascii="Arial" w:hAnsi="Arial" w:cs="Arial"/>
        </w:rPr>
        <w:t xml:space="preserve"> 202</w:t>
      </w:r>
      <w:r w:rsidR="00426D1A">
        <w:rPr>
          <w:rFonts w:ascii="Arial" w:hAnsi="Arial" w:cs="Arial"/>
        </w:rPr>
        <w:t>4</w:t>
      </w:r>
    </w:p>
    <w:p w14:paraId="4EA11934" w14:textId="77777777" w:rsidR="00F045D4" w:rsidRDefault="00F045D4" w:rsidP="004B0905">
      <w:pPr>
        <w:pStyle w:val="Default"/>
        <w:rPr>
          <w:b/>
          <w:bCs/>
        </w:rPr>
      </w:pPr>
    </w:p>
    <w:p w14:paraId="06F47C98" w14:textId="3617EB0D" w:rsidR="0080370D" w:rsidRPr="00C71BA3" w:rsidRDefault="0080370D" w:rsidP="004B0905">
      <w:pPr>
        <w:pStyle w:val="Default"/>
      </w:pPr>
      <w:r w:rsidRPr="00C71BA3">
        <w:rPr>
          <w:b/>
          <w:bCs/>
        </w:rPr>
        <w:t xml:space="preserve">Appearances: </w:t>
      </w:r>
    </w:p>
    <w:p w14:paraId="6C5C9694" w14:textId="77777777" w:rsidR="00551231" w:rsidRPr="00C71BA3" w:rsidRDefault="00551231" w:rsidP="004B0905">
      <w:pPr>
        <w:pStyle w:val="Default"/>
      </w:pPr>
    </w:p>
    <w:p w14:paraId="370990EB" w14:textId="252A7A1F" w:rsidR="008C369D" w:rsidRDefault="00C71BA3" w:rsidP="004B0905">
      <w:pPr>
        <w:pStyle w:val="Default"/>
        <w:rPr>
          <w:b/>
          <w:bCs/>
        </w:rPr>
      </w:pPr>
      <w:r>
        <w:t>Attorneys for the Applicant</w:t>
      </w:r>
      <w:r w:rsidR="007863A9">
        <w:t>:</w:t>
      </w:r>
      <w:r w:rsidR="007863A9">
        <w:tab/>
      </w:r>
      <w:r w:rsidR="00A8325D">
        <w:rPr>
          <w:b/>
          <w:bCs/>
        </w:rPr>
        <w:t>FRANCOIS BURGER ATTORNEYS</w:t>
      </w:r>
    </w:p>
    <w:p w14:paraId="0509699B" w14:textId="7CD2975E" w:rsidR="007863A9" w:rsidRDefault="00A8325D" w:rsidP="004B0905">
      <w:pPr>
        <w:pStyle w:val="Default"/>
      </w:pPr>
      <w:r>
        <w:rPr>
          <w:b/>
          <w:bCs/>
        </w:rPr>
        <w:tab/>
      </w:r>
      <w:r>
        <w:rPr>
          <w:b/>
          <w:bCs/>
        </w:rPr>
        <w:tab/>
      </w:r>
      <w:r>
        <w:rPr>
          <w:b/>
          <w:bCs/>
        </w:rPr>
        <w:tab/>
      </w:r>
      <w:r>
        <w:rPr>
          <w:b/>
          <w:bCs/>
        </w:rPr>
        <w:tab/>
      </w:r>
      <w:r>
        <w:rPr>
          <w:b/>
          <w:bCs/>
        </w:rPr>
        <w:tab/>
      </w:r>
      <w:hyperlink r:id="rId9" w:history="1">
        <w:r w:rsidRPr="00D80948">
          <w:rPr>
            <w:rStyle w:val="Hyperlink"/>
          </w:rPr>
          <w:t>francois@franlaw.co.za</w:t>
        </w:r>
      </w:hyperlink>
      <w:r w:rsidR="007863A9">
        <w:tab/>
      </w:r>
      <w:r w:rsidR="007863A9">
        <w:tab/>
      </w:r>
      <w:r w:rsidR="007863A9">
        <w:tab/>
      </w:r>
      <w:r w:rsidR="007863A9">
        <w:tab/>
      </w:r>
    </w:p>
    <w:p w14:paraId="56EC9189" w14:textId="0E037557" w:rsidR="003A0583" w:rsidRPr="007863A9" w:rsidRDefault="00C71BA3" w:rsidP="002972D2">
      <w:pPr>
        <w:pStyle w:val="Default"/>
        <w:ind w:left="4320" w:hanging="4320"/>
        <w:rPr>
          <w:b/>
        </w:rPr>
      </w:pPr>
      <w:r>
        <w:t xml:space="preserve">Counsel for the Applicant:  </w:t>
      </w:r>
      <w:r w:rsidR="00646B52">
        <w:t xml:space="preserve">           </w:t>
      </w:r>
      <w:r w:rsidR="00A8325D">
        <w:rPr>
          <w:b/>
        </w:rPr>
        <w:t xml:space="preserve">Adv. </w:t>
      </w:r>
      <w:r w:rsidR="00F045D4">
        <w:rPr>
          <w:b/>
        </w:rPr>
        <w:t xml:space="preserve">J.T.H. </w:t>
      </w:r>
      <w:proofErr w:type="spellStart"/>
      <w:r w:rsidR="00F045D4">
        <w:rPr>
          <w:b/>
        </w:rPr>
        <w:t>Berdou</w:t>
      </w:r>
      <w:proofErr w:type="spellEnd"/>
    </w:p>
    <w:p w14:paraId="0B0F1208" w14:textId="35B930D2" w:rsidR="008C369D" w:rsidRPr="00C71BA3" w:rsidRDefault="00646B52" w:rsidP="004B0905">
      <w:pPr>
        <w:pStyle w:val="Default"/>
      </w:pPr>
      <w:r>
        <w:tab/>
      </w:r>
      <w:r>
        <w:tab/>
      </w:r>
      <w:r>
        <w:tab/>
      </w:r>
      <w:r>
        <w:tab/>
      </w:r>
      <w:r>
        <w:tab/>
        <w:t xml:space="preserve">  </w:t>
      </w:r>
      <w:r>
        <w:tab/>
      </w:r>
    </w:p>
    <w:p w14:paraId="5C33685D" w14:textId="36D4C6B3" w:rsidR="00671F90" w:rsidRDefault="00AB1F4A" w:rsidP="007863A9">
      <w:pPr>
        <w:pStyle w:val="Default"/>
        <w:rPr>
          <w:b/>
          <w:bCs/>
        </w:rPr>
      </w:pPr>
      <w:r>
        <w:t>Attorney for the</w:t>
      </w:r>
      <w:r w:rsidR="0083204B">
        <w:t xml:space="preserve"> Respondent</w:t>
      </w:r>
      <w:r w:rsidR="002F0430">
        <w:t>s</w:t>
      </w:r>
      <w:r w:rsidR="0083204B">
        <w:t>:</w:t>
      </w:r>
      <w:r w:rsidR="0083204B">
        <w:tab/>
      </w:r>
      <w:r w:rsidR="00F045D4">
        <w:rPr>
          <w:b/>
          <w:bCs/>
        </w:rPr>
        <w:t>CAVANAGH &amp; RICHARDS ATTORNEYS</w:t>
      </w:r>
    </w:p>
    <w:p w14:paraId="545D2430" w14:textId="3D6736A5" w:rsidR="002972D2" w:rsidRPr="00F045D4" w:rsidRDefault="00F045D4" w:rsidP="007863A9">
      <w:pPr>
        <w:pStyle w:val="Default"/>
        <w:rPr>
          <w:b/>
          <w:bCs/>
        </w:rPr>
      </w:pPr>
      <w:r>
        <w:rPr>
          <w:b/>
          <w:bCs/>
        </w:rPr>
        <w:tab/>
      </w:r>
      <w:r>
        <w:rPr>
          <w:b/>
          <w:bCs/>
        </w:rPr>
        <w:tab/>
      </w:r>
      <w:r>
        <w:rPr>
          <w:b/>
          <w:bCs/>
        </w:rPr>
        <w:tab/>
      </w:r>
      <w:r>
        <w:rPr>
          <w:b/>
          <w:bCs/>
        </w:rPr>
        <w:tab/>
      </w:r>
      <w:r>
        <w:rPr>
          <w:b/>
          <w:bCs/>
        </w:rPr>
        <w:tab/>
      </w:r>
      <w:hyperlink r:id="rId10" w:history="1">
        <w:r w:rsidRPr="00D80948">
          <w:rPr>
            <w:rStyle w:val="Hyperlink"/>
          </w:rPr>
          <w:t>stella@crlawchambers.co.za</w:t>
        </w:r>
      </w:hyperlink>
      <w:r w:rsidR="002972D2">
        <w:rPr>
          <w:b/>
          <w:bCs/>
        </w:rPr>
        <w:tab/>
      </w:r>
      <w:r w:rsidR="002972D2">
        <w:rPr>
          <w:b/>
          <w:bCs/>
        </w:rPr>
        <w:tab/>
      </w:r>
      <w:r w:rsidR="002972D2">
        <w:tab/>
      </w:r>
    </w:p>
    <w:p w14:paraId="60741E36" w14:textId="59541302" w:rsidR="002972D2" w:rsidRDefault="002972D2" w:rsidP="007863A9">
      <w:pPr>
        <w:pStyle w:val="Default"/>
        <w:rPr>
          <w:b/>
          <w:bCs/>
        </w:rPr>
      </w:pPr>
      <w:r>
        <w:t>Counsel for the Respondent:</w:t>
      </w:r>
      <w:r>
        <w:tab/>
      </w:r>
      <w:r w:rsidR="00646B52">
        <w:t xml:space="preserve"> </w:t>
      </w:r>
      <w:r w:rsidR="00646B52">
        <w:rPr>
          <w:b/>
          <w:bCs/>
        </w:rPr>
        <w:t xml:space="preserve">Adv. </w:t>
      </w:r>
      <w:r w:rsidR="00F045D4">
        <w:rPr>
          <w:b/>
          <w:bCs/>
        </w:rPr>
        <w:t>J Klopper</w:t>
      </w:r>
    </w:p>
    <w:p w14:paraId="7163D338" w14:textId="096A24F2" w:rsidR="00646B52" w:rsidRPr="003E6199" w:rsidRDefault="00646B52" w:rsidP="007863A9">
      <w:pPr>
        <w:pStyle w:val="Default"/>
      </w:pPr>
      <w:r>
        <w:rPr>
          <w:b/>
          <w:bCs/>
        </w:rPr>
        <w:tab/>
      </w:r>
      <w:r>
        <w:rPr>
          <w:b/>
          <w:bCs/>
        </w:rPr>
        <w:tab/>
      </w:r>
      <w:r>
        <w:rPr>
          <w:b/>
          <w:bCs/>
        </w:rPr>
        <w:tab/>
      </w:r>
      <w:r>
        <w:rPr>
          <w:b/>
          <w:bCs/>
        </w:rPr>
        <w:tab/>
      </w:r>
      <w:r>
        <w:rPr>
          <w:b/>
          <w:bCs/>
        </w:rPr>
        <w:tab/>
      </w:r>
      <w:r w:rsidR="003E6199">
        <w:tab/>
      </w:r>
    </w:p>
    <w:p w14:paraId="17B9A8F8" w14:textId="5AEF0A2D" w:rsidR="00232D89" w:rsidRDefault="0083204B" w:rsidP="007863A9">
      <w:pPr>
        <w:pStyle w:val="Default"/>
      </w:pPr>
      <w:r>
        <w:rPr>
          <w:b/>
        </w:rPr>
        <w:tab/>
      </w:r>
      <w:r>
        <w:rPr>
          <w:b/>
        </w:rPr>
        <w:tab/>
      </w:r>
      <w:r>
        <w:rPr>
          <w:b/>
        </w:rPr>
        <w:tab/>
      </w:r>
      <w:r>
        <w:rPr>
          <w:b/>
        </w:rPr>
        <w:tab/>
      </w:r>
      <w:r>
        <w:rPr>
          <w:b/>
        </w:rPr>
        <w:tab/>
      </w:r>
      <w:r w:rsidR="002F0430">
        <w:rPr>
          <w:b/>
        </w:rPr>
        <w:tab/>
      </w:r>
    </w:p>
    <w:p w14:paraId="5FDFE184" w14:textId="3DE4890D" w:rsidR="0083204B" w:rsidRPr="0083204B" w:rsidRDefault="0083204B" w:rsidP="007863A9">
      <w:pPr>
        <w:pStyle w:val="Default"/>
        <w:rPr>
          <w:b/>
        </w:rPr>
      </w:pPr>
    </w:p>
    <w:sectPr w:rsidR="0083204B" w:rsidRPr="0083204B" w:rsidSect="00F64F6C">
      <w:headerReference w:type="even" r:id="rId11"/>
      <w:headerReference w:type="default" r:id="rId12"/>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74C0" w14:textId="77777777" w:rsidR="00F64F6C" w:rsidRDefault="00F64F6C">
      <w:r>
        <w:separator/>
      </w:r>
    </w:p>
  </w:endnote>
  <w:endnote w:type="continuationSeparator" w:id="0">
    <w:p w14:paraId="08616CC4" w14:textId="77777777" w:rsidR="00F64F6C" w:rsidRDefault="00F6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valdi">
    <w:altName w:val="Calibri"/>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6EDC" w14:textId="77777777" w:rsidR="00F64F6C" w:rsidRDefault="00F64F6C">
      <w:r>
        <w:separator/>
      </w:r>
    </w:p>
  </w:footnote>
  <w:footnote w:type="continuationSeparator" w:id="0">
    <w:p w14:paraId="1C3EEEEB" w14:textId="77777777" w:rsidR="00F64F6C" w:rsidRDefault="00F64F6C">
      <w:r>
        <w:continuationSeparator/>
      </w:r>
    </w:p>
  </w:footnote>
  <w:footnote w:id="1">
    <w:p w14:paraId="242E33B9" w14:textId="4A6CD99A" w:rsidR="001920C1" w:rsidRPr="001920C1" w:rsidRDefault="001920C1">
      <w:pPr>
        <w:pStyle w:val="FootnoteText"/>
        <w:rPr>
          <w:rFonts w:ascii="Arial" w:hAnsi="Arial" w:cs="Arial"/>
        </w:rPr>
      </w:pPr>
      <w:r w:rsidRPr="001920C1">
        <w:rPr>
          <w:rStyle w:val="FootnoteReference"/>
          <w:rFonts w:ascii="Arial" w:hAnsi="Arial" w:cs="Arial"/>
        </w:rPr>
        <w:footnoteRef/>
      </w:r>
      <w:r w:rsidRPr="001920C1">
        <w:rPr>
          <w:rFonts w:ascii="Arial" w:hAnsi="Arial" w:cs="Arial"/>
        </w:rPr>
        <w:t xml:space="preserve"> </w:t>
      </w:r>
      <w:r>
        <w:rPr>
          <w:rFonts w:ascii="Arial" w:hAnsi="Arial" w:cs="Arial"/>
        </w:rPr>
        <w:t>Section 01-13</w:t>
      </w:r>
    </w:p>
  </w:footnote>
  <w:footnote w:id="2">
    <w:p w14:paraId="18A803DF" w14:textId="4932380B" w:rsidR="00FF772E" w:rsidRPr="00C15C86" w:rsidRDefault="00FF772E">
      <w:pPr>
        <w:pStyle w:val="FootnoteText"/>
        <w:rPr>
          <w:rFonts w:ascii="Arial" w:hAnsi="Arial" w:cs="Arial"/>
        </w:rPr>
      </w:pPr>
      <w:r w:rsidRPr="00C15C86">
        <w:rPr>
          <w:rStyle w:val="FootnoteReference"/>
          <w:rFonts w:ascii="Arial" w:hAnsi="Arial" w:cs="Arial"/>
        </w:rPr>
        <w:footnoteRef/>
      </w:r>
      <w:r w:rsidRPr="00C15C86">
        <w:rPr>
          <w:rFonts w:ascii="Arial" w:hAnsi="Arial" w:cs="Arial"/>
        </w:rPr>
        <w:t xml:space="preserve"> Act </w:t>
      </w:r>
      <w:r w:rsidR="00C15C86">
        <w:rPr>
          <w:rFonts w:ascii="Arial" w:hAnsi="Arial" w:cs="Arial"/>
        </w:rPr>
        <w:t>71 of 2008</w:t>
      </w:r>
    </w:p>
  </w:footnote>
  <w:footnote w:id="3">
    <w:p w14:paraId="6EBA6907" w14:textId="7BE0CBC3" w:rsidR="002F2600" w:rsidRPr="002F2600" w:rsidRDefault="002F2600">
      <w:pPr>
        <w:pStyle w:val="FootnoteText"/>
        <w:rPr>
          <w:rFonts w:ascii="Arial" w:hAnsi="Arial" w:cs="Arial"/>
        </w:rPr>
      </w:pPr>
      <w:r w:rsidRPr="002F2600">
        <w:rPr>
          <w:rStyle w:val="FootnoteReference"/>
          <w:rFonts w:ascii="Arial" w:hAnsi="Arial" w:cs="Arial"/>
        </w:rPr>
        <w:footnoteRef/>
      </w:r>
      <w:r w:rsidRPr="002F2600">
        <w:rPr>
          <w:rFonts w:ascii="Arial" w:hAnsi="Arial" w:cs="Arial"/>
        </w:rPr>
        <w:t xml:space="preserve"> </w:t>
      </w:r>
      <w:r>
        <w:rPr>
          <w:rFonts w:ascii="Arial" w:hAnsi="Arial" w:cs="Arial"/>
        </w:rPr>
        <w:t>Gusha v Road Accident Fund 2012 (2) SA 371 (SCA) para 7</w:t>
      </w:r>
    </w:p>
  </w:footnote>
  <w:footnote w:id="4">
    <w:p w14:paraId="03FEB4B1" w14:textId="21B9D6BB" w:rsidR="00BF710F" w:rsidRPr="00BF710F" w:rsidRDefault="00BF710F">
      <w:pPr>
        <w:pStyle w:val="FootnoteText"/>
        <w:rPr>
          <w:rFonts w:ascii="Arial" w:hAnsi="Arial" w:cs="Arial"/>
        </w:rPr>
      </w:pPr>
      <w:r w:rsidRPr="00BF710F">
        <w:rPr>
          <w:rStyle w:val="FootnoteReference"/>
          <w:rFonts w:ascii="Arial" w:hAnsi="Arial" w:cs="Arial"/>
        </w:rPr>
        <w:footnoteRef/>
      </w:r>
      <w:r w:rsidRPr="00BF710F">
        <w:rPr>
          <w:rFonts w:ascii="Arial" w:hAnsi="Arial" w:cs="Arial"/>
        </w:rPr>
        <w:t xml:space="preserve"> </w:t>
      </w:r>
      <w:r w:rsidR="002F2600">
        <w:rPr>
          <w:rFonts w:ascii="Arial" w:hAnsi="Arial" w:cs="Arial"/>
        </w:rPr>
        <w:t>Imprefed (Pty) Ltd v National Transport Commission 1993 (3) SA 94 (A) at 107G-H</w:t>
      </w:r>
    </w:p>
  </w:footnote>
  <w:footnote w:id="5">
    <w:p w14:paraId="5A5CE9E6" w14:textId="018B56F5" w:rsidR="005937F9" w:rsidRPr="005937F9" w:rsidRDefault="005937F9">
      <w:pPr>
        <w:pStyle w:val="FootnoteText"/>
        <w:rPr>
          <w:rFonts w:ascii="Arial" w:hAnsi="Arial" w:cs="Arial"/>
        </w:rPr>
      </w:pPr>
      <w:r w:rsidRPr="005937F9">
        <w:rPr>
          <w:rStyle w:val="FootnoteReference"/>
          <w:rFonts w:ascii="Arial" w:hAnsi="Arial" w:cs="Arial"/>
        </w:rPr>
        <w:footnoteRef/>
      </w:r>
      <w:r w:rsidRPr="005937F9">
        <w:rPr>
          <w:rFonts w:ascii="Arial" w:hAnsi="Arial" w:cs="Arial"/>
        </w:rPr>
        <w:t xml:space="preserve"> </w:t>
      </w:r>
      <w:r>
        <w:rPr>
          <w:rFonts w:ascii="Arial" w:hAnsi="Arial" w:cs="Arial"/>
        </w:rPr>
        <w:t>Founding Affidavit at para 4.1</w:t>
      </w:r>
    </w:p>
  </w:footnote>
  <w:footnote w:id="6">
    <w:p w14:paraId="343D86BB" w14:textId="602C773C" w:rsidR="00336F53" w:rsidRPr="00336F53" w:rsidRDefault="00336F53">
      <w:pPr>
        <w:pStyle w:val="FootnoteText"/>
        <w:rPr>
          <w:rFonts w:ascii="Arial" w:hAnsi="Arial" w:cs="Arial"/>
        </w:rPr>
      </w:pPr>
      <w:r w:rsidRPr="00336F53">
        <w:rPr>
          <w:rStyle w:val="FootnoteReference"/>
          <w:rFonts w:ascii="Arial" w:hAnsi="Arial" w:cs="Arial"/>
        </w:rPr>
        <w:footnoteRef/>
      </w:r>
      <w:r w:rsidRPr="00336F53">
        <w:rPr>
          <w:rFonts w:ascii="Arial" w:hAnsi="Arial" w:cs="Arial"/>
        </w:rPr>
        <w:t xml:space="preserve"> </w:t>
      </w:r>
      <w:r>
        <w:rPr>
          <w:rFonts w:ascii="Arial" w:hAnsi="Arial" w:cs="Arial"/>
        </w:rPr>
        <w:t>Founding Affidavit at para 4.2</w:t>
      </w:r>
    </w:p>
  </w:footnote>
  <w:footnote w:id="7">
    <w:p w14:paraId="5D4200B4" w14:textId="1617F546" w:rsidR="00692921" w:rsidRPr="00692921" w:rsidRDefault="00692921">
      <w:pPr>
        <w:pStyle w:val="FootnoteText"/>
        <w:rPr>
          <w:rFonts w:ascii="Arial" w:hAnsi="Arial" w:cs="Arial"/>
        </w:rPr>
      </w:pPr>
      <w:r w:rsidRPr="00692921">
        <w:rPr>
          <w:rStyle w:val="FootnoteReference"/>
          <w:rFonts w:ascii="Arial" w:hAnsi="Arial" w:cs="Arial"/>
        </w:rPr>
        <w:footnoteRef/>
      </w:r>
      <w:r w:rsidRPr="00692921">
        <w:rPr>
          <w:rFonts w:ascii="Arial" w:hAnsi="Arial" w:cs="Arial"/>
        </w:rPr>
        <w:t xml:space="preserve"> </w:t>
      </w:r>
      <w:r>
        <w:rPr>
          <w:rFonts w:ascii="Arial" w:hAnsi="Arial" w:cs="Arial"/>
        </w:rPr>
        <w:t>Mari Haywood &amp; Others v Foresta Timber and Board</w:t>
      </w:r>
      <w:r w:rsidR="00A8325D">
        <w:rPr>
          <w:rFonts w:ascii="Arial" w:hAnsi="Arial" w:cs="Arial"/>
        </w:rPr>
        <w:t xml:space="preserve"> (unreported) 2023 GPJHC @ para 21 and the authorities cited therein </w:t>
      </w:r>
    </w:p>
  </w:footnote>
  <w:footnote w:id="8">
    <w:p w14:paraId="09DFFFAE" w14:textId="0137C9F6" w:rsidR="007C4444" w:rsidRPr="007C4444" w:rsidRDefault="007C4444">
      <w:pPr>
        <w:pStyle w:val="FootnoteText"/>
        <w:rPr>
          <w:rFonts w:ascii="Arial" w:hAnsi="Arial" w:cs="Arial"/>
        </w:rPr>
      </w:pPr>
      <w:r w:rsidRPr="007C4444">
        <w:rPr>
          <w:rStyle w:val="FootnoteReference"/>
          <w:rFonts w:ascii="Arial" w:hAnsi="Arial" w:cs="Arial"/>
        </w:rPr>
        <w:footnoteRef/>
      </w:r>
      <w:r w:rsidRPr="007C4444">
        <w:rPr>
          <w:rFonts w:ascii="Arial" w:hAnsi="Arial" w:cs="Arial"/>
        </w:rPr>
        <w:t xml:space="preserve"> </w:t>
      </w:r>
      <w:proofErr w:type="spellStart"/>
      <w:r>
        <w:rPr>
          <w:rFonts w:ascii="Arial" w:hAnsi="Arial" w:cs="Arial"/>
        </w:rPr>
        <w:t>Boschpoort</w:t>
      </w:r>
      <w:proofErr w:type="spellEnd"/>
      <w:r>
        <w:rPr>
          <w:rFonts w:ascii="Arial" w:hAnsi="Arial" w:cs="Arial"/>
        </w:rPr>
        <w:t xml:space="preserve"> </w:t>
      </w:r>
      <w:proofErr w:type="spellStart"/>
      <w:r>
        <w:rPr>
          <w:rFonts w:ascii="Arial" w:hAnsi="Arial" w:cs="Arial"/>
        </w:rPr>
        <w:t>Ondernemings</w:t>
      </w:r>
      <w:proofErr w:type="spellEnd"/>
      <w:r>
        <w:rPr>
          <w:rFonts w:ascii="Arial" w:hAnsi="Arial" w:cs="Arial"/>
        </w:rPr>
        <w:t xml:space="preserve"> (Pty) Ltd v ABSA Bank Ltd 2014 (2) SA 518 at para 22</w:t>
      </w:r>
    </w:p>
  </w:footnote>
  <w:footnote w:id="9">
    <w:p w14:paraId="257F8A74" w14:textId="37E1C2A6" w:rsidR="006A6FFB" w:rsidRPr="006A6FFB" w:rsidRDefault="006A6FFB">
      <w:pPr>
        <w:pStyle w:val="FootnoteText"/>
        <w:rPr>
          <w:rFonts w:ascii="Arial" w:hAnsi="Arial" w:cs="Arial"/>
        </w:rPr>
      </w:pPr>
      <w:r w:rsidRPr="006A6FFB">
        <w:rPr>
          <w:rStyle w:val="FootnoteReference"/>
          <w:rFonts w:ascii="Arial" w:hAnsi="Arial" w:cs="Arial"/>
        </w:rPr>
        <w:footnoteRef/>
      </w:r>
      <w:r w:rsidRPr="006A6FFB">
        <w:rPr>
          <w:rFonts w:ascii="Arial" w:hAnsi="Arial" w:cs="Arial"/>
        </w:rPr>
        <w:t xml:space="preserve"> </w:t>
      </w:r>
      <w:r>
        <w:rPr>
          <w:rFonts w:ascii="Arial" w:hAnsi="Arial" w:cs="Arial"/>
        </w:rPr>
        <w:t>See Annexure FA21: Caselines: Section 04A-170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0994" w14:textId="777777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09436A" w:rsidRDefault="00094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5964" w14:textId="777777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DF1">
      <w:rPr>
        <w:rStyle w:val="PageNumber"/>
        <w:noProof/>
      </w:rPr>
      <w:t>5</w:t>
    </w:r>
    <w:r>
      <w:rPr>
        <w:rStyle w:val="PageNumber"/>
      </w:rPr>
      <w:fldChar w:fldCharType="end"/>
    </w:r>
  </w:p>
  <w:p w14:paraId="793830A2" w14:textId="77777777" w:rsidR="0009436A" w:rsidRDefault="00094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704F"/>
    <w:multiLevelType w:val="multilevel"/>
    <w:tmpl w:val="FFFFFFFF"/>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29044282"/>
    <w:multiLevelType w:val="hybridMultilevel"/>
    <w:tmpl w:val="E4D42DE0"/>
    <w:lvl w:ilvl="0" w:tplc="6D3E8006">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B0B53B3"/>
    <w:multiLevelType w:val="hybridMultilevel"/>
    <w:tmpl w:val="1BAE59DC"/>
    <w:lvl w:ilvl="0" w:tplc="45A2C90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96801974">
    <w:abstractNumId w:val="1"/>
  </w:num>
  <w:num w:numId="2" w16cid:durableId="612173915">
    <w:abstractNumId w:val="0"/>
  </w:num>
  <w:num w:numId="3" w16cid:durableId="455956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98"/>
    <w:rsid w:val="0000002C"/>
    <w:rsid w:val="0000039C"/>
    <w:rsid w:val="000017AA"/>
    <w:rsid w:val="00001C92"/>
    <w:rsid w:val="000030E1"/>
    <w:rsid w:val="000077EC"/>
    <w:rsid w:val="00011772"/>
    <w:rsid w:val="00014037"/>
    <w:rsid w:val="00014183"/>
    <w:rsid w:val="00022700"/>
    <w:rsid w:val="00022A39"/>
    <w:rsid w:val="0002395B"/>
    <w:rsid w:val="000275BC"/>
    <w:rsid w:val="00032AFB"/>
    <w:rsid w:val="00032CEC"/>
    <w:rsid w:val="000339BD"/>
    <w:rsid w:val="00034224"/>
    <w:rsid w:val="00034B2A"/>
    <w:rsid w:val="000355D7"/>
    <w:rsid w:val="00036640"/>
    <w:rsid w:val="00037B19"/>
    <w:rsid w:val="00040B72"/>
    <w:rsid w:val="00041B0C"/>
    <w:rsid w:val="00041F40"/>
    <w:rsid w:val="0004230A"/>
    <w:rsid w:val="00043BC7"/>
    <w:rsid w:val="00044412"/>
    <w:rsid w:val="00045415"/>
    <w:rsid w:val="00045835"/>
    <w:rsid w:val="00047C36"/>
    <w:rsid w:val="00051DC7"/>
    <w:rsid w:val="00052108"/>
    <w:rsid w:val="00052D92"/>
    <w:rsid w:val="00053BE4"/>
    <w:rsid w:val="00055EF2"/>
    <w:rsid w:val="000567DE"/>
    <w:rsid w:val="00056A40"/>
    <w:rsid w:val="000604FE"/>
    <w:rsid w:val="00061E99"/>
    <w:rsid w:val="00063E38"/>
    <w:rsid w:val="00065794"/>
    <w:rsid w:val="000721EE"/>
    <w:rsid w:val="00073D5C"/>
    <w:rsid w:val="000746E0"/>
    <w:rsid w:val="0007485B"/>
    <w:rsid w:val="00074F96"/>
    <w:rsid w:val="00075A8C"/>
    <w:rsid w:val="000773E4"/>
    <w:rsid w:val="00077F28"/>
    <w:rsid w:val="0008125B"/>
    <w:rsid w:val="00081530"/>
    <w:rsid w:val="000836C1"/>
    <w:rsid w:val="00084292"/>
    <w:rsid w:val="00087CB6"/>
    <w:rsid w:val="000900D4"/>
    <w:rsid w:val="0009040F"/>
    <w:rsid w:val="00093E3F"/>
    <w:rsid w:val="0009436A"/>
    <w:rsid w:val="00094983"/>
    <w:rsid w:val="00094E87"/>
    <w:rsid w:val="00095C40"/>
    <w:rsid w:val="00096EC1"/>
    <w:rsid w:val="00097351"/>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B6FB4"/>
    <w:rsid w:val="000C011F"/>
    <w:rsid w:val="000C1490"/>
    <w:rsid w:val="000C1ACC"/>
    <w:rsid w:val="000C2E43"/>
    <w:rsid w:val="000C6E60"/>
    <w:rsid w:val="000D01B0"/>
    <w:rsid w:val="000D0B70"/>
    <w:rsid w:val="000D3F7A"/>
    <w:rsid w:val="000D4FC8"/>
    <w:rsid w:val="000D62A7"/>
    <w:rsid w:val="000E2402"/>
    <w:rsid w:val="000E311B"/>
    <w:rsid w:val="000E32A6"/>
    <w:rsid w:val="000E4F7D"/>
    <w:rsid w:val="000E5B34"/>
    <w:rsid w:val="000E6102"/>
    <w:rsid w:val="000E71BF"/>
    <w:rsid w:val="000F0FE9"/>
    <w:rsid w:val="000F47A9"/>
    <w:rsid w:val="000F5071"/>
    <w:rsid w:val="000F670B"/>
    <w:rsid w:val="000F77D5"/>
    <w:rsid w:val="000F7935"/>
    <w:rsid w:val="000F7A3F"/>
    <w:rsid w:val="00100336"/>
    <w:rsid w:val="00100BA1"/>
    <w:rsid w:val="00102FC8"/>
    <w:rsid w:val="00103176"/>
    <w:rsid w:val="00103465"/>
    <w:rsid w:val="00104F78"/>
    <w:rsid w:val="00105D09"/>
    <w:rsid w:val="00106F33"/>
    <w:rsid w:val="00111A0B"/>
    <w:rsid w:val="00111FFA"/>
    <w:rsid w:val="0011244F"/>
    <w:rsid w:val="001131B4"/>
    <w:rsid w:val="001137B1"/>
    <w:rsid w:val="00114E95"/>
    <w:rsid w:val="00116005"/>
    <w:rsid w:val="00117959"/>
    <w:rsid w:val="001203D7"/>
    <w:rsid w:val="00120C65"/>
    <w:rsid w:val="001217EA"/>
    <w:rsid w:val="00123195"/>
    <w:rsid w:val="001242A4"/>
    <w:rsid w:val="001245A8"/>
    <w:rsid w:val="00124876"/>
    <w:rsid w:val="00124E64"/>
    <w:rsid w:val="00124ECB"/>
    <w:rsid w:val="00125ABA"/>
    <w:rsid w:val="00127459"/>
    <w:rsid w:val="0013334C"/>
    <w:rsid w:val="0013349B"/>
    <w:rsid w:val="00134545"/>
    <w:rsid w:val="001347BA"/>
    <w:rsid w:val="001352EF"/>
    <w:rsid w:val="00137924"/>
    <w:rsid w:val="00142481"/>
    <w:rsid w:val="00143719"/>
    <w:rsid w:val="001439DB"/>
    <w:rsid w:val="0014425D"/>
    <w:rsid w:val="00144B80"/>
    <w:rsid w:val="0014506E"/>
    <w:rsid w:val="00145DE7"/>
    <w:rsid w:val="00146F88"/>
    <w:rsid w:val="001472EA"/>
    <w:rsid w:val="0014793F"/>
    <w:rsid w:val="00150C1D"/>
    <w:rsid w:val="00152029"/>
    <w:rsid w:val="001539FA"/>
    <w:rsid w:val="00153D97"/>
    <w:rsid w:val="001541B6"/>
    <w:rsid w:val="00154297"/>
    <w:rsid w:val="0015600E"/>
    <w:rsid w:val="001569E4"/>
    <w:rsid w:val="00156BA5"/>
    <w:rsid w:val="00156BCC"/>
    <w:rsid w:val="0015759C"/>
    <w:rsid w:val="001619D3"/>
    <w:rsid w:val="00163F09"/>
    <w:rsid w:val="001663DF"/>
    <w:rsid w:val="001716EC"/>
    <w:rsid w:val="00171B36"/>
    <w:rsid w:val="00174F8B"/>
    <w:rsid w:val="00176368"/>
    <w:rsid w:val="00181375"/>
    <w:rsid w:val="00182061"/>
    <w:rsid w:val="00182133"/>
    <w:rsid w:val="00183D18"/>
    <w:rsid w:val="00186AA0"/>
    <w:rsid w:val="001920C1"/>
    <w:rsid w:val="00193457"/>
    <w:rsid w:val="001934B8"/>
    <w:rsid w:val="001943AC"/>
    <w:rsid w:val="00195AE8"/>
    <w:rsid w:val="0019618C"/>
    <w:rsid w:val="001965FB"/>
    <w:rsid w:val="001977E7"/>
    <w:rsid w:val="001A18BF"/>
    <w:rsid w:val="001A393D"/>
    <w:rsid w:val="001A399B"/>
    <w:rsid w:val="001A3D9A"/>
    <w:rsid w:val="001A3F8A"/>
    <w:rsid w:val="001A42CF"/>
    <w:rsid w:val="001A4DA8"/>
    <w:rsid w:val="001A50ED"/>
    <w:rsid w:val="001A54A1"/>
    <w:rsid w:val="001A5C7B"/>
    <w:rsid w:val="001B14DE"/>
    <w:rsid w:val="001B170B"/>
    <w:rsid w:val="001B2982"/>
    <w:rsid w:val="001B3808"/>
    <w:rsid w:val="001B646A"/>
    <w:rsid w:val="001C0076"/>
    <w:rsid w:val="001C05CC"/>
    <w:rsid w:val="001C40D7"/>
    <w:rsid w:val="001D0CA7"/>
    <w:rsid w:val="001D2759"/>
    <w:rsid w:val="001D2C57"/>
    <w:rsid w:val="001D3123"/>
    <w:rsid w:val="001D51F0"/>
    <w:rsid w:val="001D6261"/>
    <w:rsid w:val="001E0958"/>
    <w:rsid w:val="001E0ECB"/>
    <w:rsid w:val="001E1388"/>
    <w:rsid w:val="001E17DB"/>
    <w:rsid w:val="001E2687"/>
    <w:rsid w:val="001E34F6"/>
    <w:rsid w:val="001E3EA2"/>
    <w:rsid w:val="001E4A04"/>
    <w:rsid w:val="001E5219"/>
    <w:rsid w:val="001E7803"/>
    <w:rsid w:val="001F020F"/>
    <w:rsid w:val="001F0343"/>
    <w:rsid w:val="001F09C2"/>
    <w:rsid w:val="001F1439"/>
    <w:rsid w:val="001F3038"/>
    <w:rsid w:val="001F4B4F"/>
    <w:rsid w:val="001F5A53"/>
    <w:rsid w:val="001F7547"/>
    <w:rsid w:val="00202467"/>
    <w:rsid w:val="002042F2"/>
    <w:rsid w:val="00205490"/>
    <w:rsid w:val="00210212"/>
    <w:rsid w:val="00210C7B"/>
    <w:rsid w:val="00211EBF"/>
    <w:rsid w:val="00213188"/>
    <w:rsid w:val="00215A91"/>
    <w:rsid w:val="00217358"/>
    <w:rsid w:val="00217816"/>
    <w:rsid w:val="00217A60"/>
    <w:rsid w:val="0022028F"/>
    <w:rsid w:val="002218BC"/>
    <w:rsid w:val="00221FFC"/>
    <w:rsid w:val="00222D58"/>
    <w:rsid w:val="00222E19"/>
    <w:rsid w:val="002231EF"/>
    <w:rsid w:val="00223F23"/>
    <w:rsid w:val="00225E81"/>
    <w:rsid w:val="00227756"/>
    <w:rsid w:val="00230493"/>
    <w:rsid w:val="00232D89"/>
    <w:rsid w:val="002338BB"/>
    <w:rsid w:val="00234758"/>
    <w:rsid w:val="00234879"/>
    <w:rsid w:val="00235FE2"/>
    <w:rsid w:val="00236B83"/>
    <w:rsid w:val="00237744"/>
    <w:rsid w:val="002415DC"/>
    <w:rsid w:val="002421FE"/>
    <w:rsid w:val="002430E1"/>
    <w:rsid w:val="00245804"/>
    <w:rsid w:val="00245AF2"/>
    <w:rsid w:val="002509C8"/>
    <w:rsid w:val="0025197C"/>
    <w:rsid w:val="002532BC"/>
    <w:rsid w:val="002545C2"/>
    <w:rsid w:val="00256F8B"/>
    <w:rsid w:val="00260BBD"/>
    <w:rsid w:val="00261289"/>
    <w:rsid w:val="00263180"/>
    <w:rsid w:val="00263BF2"/>
    <w:rsid w:val="002640AE"/>
    <w:rsid w:val="0026480F"/>
    <w:rsid w:val="0026606C"/>
    <w:rsid w:val="00266A0D"/>
    <w:rsid w:val="00266B9C"/>
    <w:rsid w:val="002672C1"/>
    <w:rsid w:val="002713EE"/>
    <w:rsid w:val="00271BFE"/>
    <w:rsid w:val="00272A1C"/>
    <w:rsid w:val="002734D3"/>
    <w:rsid w:val="002744BB"/>
    <w:rsid w:val="00274E28"/>
    <w:rsid w:val="002766FF"/>
    <w:rsid w:val="00277DE7"/>
    <w:rsid w:val="0028009C"/>
    <w:rsid w:val="0028108B"/>
    <w:rsid w:val="00281AB1"/>
    <w:rsid w:val="00281DC4"/>
    <w:rsid w:val="002825AB"/>
    <w:rsid w:val="00283AFC"/>
    <w:rsid w:val="00284999"/>
    <w:rsid w:val="00284CDA"/>
    <w:rsid w:val="002868FA"/>
    <w:rsid w:val="00287A07"/>
    <w:rsid w:val="0029204E"/>
    <w:rsid w:val="002931B5"/>
    <w:rsid w:val="0029391D"/>
    <w:rsid w:val="00294E0D"/>
    <w:rsid w:val="002960E0"/>
    <w:rsid w:val="002968A1"/>
    <w:rsid w:val="002972D2"/>
    <w:rsid w:val="002A0162"/>
    <w:rsid w:val="002A12EE"/>
    <w:rsid w:val="002A2596"/>
    <w:rsid w:val="002A3B1A"/>
    <w:rsid w:val="002A4803"/>
    <w:rsid w:val="002A5BEB"/>
    <w:rsid w:val="002A6741"/>
    <w:rsid w:val="002B02B0"/>
    <w:rsid w:val="002B24DD"/>
    <w:rsid w:val="002B25C2"/>
    <w:rsid w:val="002B3059"/>
    <w:rsid w:val="002B407C"/>
    <w:rsid w:val="002B4B64"/>
    <w:rsid w:val="002B4F72"/>
    <w:rsid w:val="002B667D"/>
    <w:rsid w:val="002C0C0B"/>
    <w:rsid w:val="002C3120"/>
    <w:rsid w:val="002C4DDC"/>
    <w:rsid w:val="002C528E"/>
    <w:rsid w:val="002C597D"/>
    <w:rsid w:val="002C5A94"/>
    <w:rsid w:val="002C5E3C"/>
    <w:rsid w:val="002C69DD"/>
    <w:rsid w:val="002C7887"/>
    <w:rsid w:val="002C7F31"/>
    <w:rsid w:val="002D0800"/>
    <w:rsid w:val="002D1B75"/>
    <w:rsid w:val="002D1BDF"/>
    <w:rsid w:val="002D1F47"/>
    <w:rsid w:val="002D233C"/>
    <w:rsid w:val="002D2A3F"/>
    <w:rsid w:val="002D480B"/>
    <w:rsid w:val="002D52EE"/>
    <w:rsid w:val="002D7E04"/>
    <w:rsid w:val="002E1369"/>
    <w:rsid w:val="002E224B"/>
    <w:rsid w:val="002E2ED7"/>
    <w:rsid w:val="002E332B"/>
    <w:rsid w:val="002E6059"/>
    <w:rsid w:val="002E716E"/>
    <w:rsid w:val="002E719A"/>
    <w:rsid w:val="002E7894"/>
    <w:rsid w:val="002E78B0"/>
    <w:rsid w:val="002E7D55"/>
    <w:rsid w:val="002E7DC0"/>
    <w:rsid w:val="002F0430"/>
    <w:rsid w:val="002F17BB"/>
    <w:rsid w:val="002F1EB6"/>
    <w:rsid w:val="002F2487"/>
    <w:rsid w:val="002F2600"/>
    <w:rsid w:val="002F3D0D"/>
    <w:rsid w:val="002F4537"/>
    <w:rsid w:val="002F4BF4"/>
    <w:rsid w:val="002F5191"/>
    <w:rsid w:val="002F56D1"/>
    <w:rsid w:val="002F6C0C"/>
    <w:rsid w:val="003006A4"/>
    <w:rsid w:val="00300E0A"/>
    <w:rsid w:val="00301354"/>
    <w:rsid w:val="00301C77"/>
    <w:rsid w:val="00302413"/>
    <w:rsid w:val="00302BC4"/>
    <w:rsid w:val="003033FD"/>
    <w:rsid w:val="00310885"/>
    <w:rsid w:val="00311C7B"/>
    <w:rsid w:val="00315C3F"/>
    <w:rsid w:val="0032073D"/>
    <w:rsid w:val="00322FCD"/>
    <w:rsid w:val="00323075"/>
    <w:rsid w:val="0032352D"/>
    <w:rsid w:val="00323EFB"/>
    <w:rsid w:val="00323FA7"/>
    <w:rsid w:val="00324C28"/>
    <w:rsid w:val="00326524"/>
    <w:rsid w:val="003266CE"/>
    <w:rsid w:val="00326D5B"/>
    <w:rsid w:val="0032704A"/>
    <w:rsid w:val="00327C65"/>
    <w:rsid w:val="003303CB"/>
    <w:rsid w:val="00331B63"/>
    <w:rsid w:val="00332B8C"/>
    <w:rsid w:val="00332EC5"/>
    <w:rsid w:val="003332D9"/>
    <w:rsid w:val="00336F53"/>
    <w:rsid w:val="00337F63"/>
    <w:rsid w:val="003406CD"/>
    <w:rsid w:val="003418B5"/>
    <w:rsid w:val="00344470"/>
    <w:rsid w:val="0034483D"/>
    <w:rsid w:val="003476B3"/>
    <w:rsid w:val="00350F08"/>
    <w:rsid w:val="00354540"/>
    <w:rsid w:val="0035547B"/>
    <w:rsid w:val="0035716C"/>
    <w:rsid w:val="00360CB2"/>
    <w:rsid w:val="00360E31"/>
    <w:rsid w:val="00361A3D"/>
    <w:rsid w:val="00361D69"/>
    <w:rsid w:val="00363826"/>
    <w:rsid w:val="00363F18"/>
    <w:rsid w:val="00365760"/>
    <w:rsid w:val="00365AEC"/>
    <w:rsid w:val="00366132"/>
    <w:rsid w:val="00366343"/>
    <w:rsid w:val="00367120"/>
    <w:rsid w:val="003702A8"/>
    <w:rsid w:val="00370429"/>
    <w:rsid w:val="0037088F"/>
    <w:rsid w:val="003709D5"/>
    <w:rsid w:val="00371530"/>
    <w:rsid w:val="003725C4"/>
    <w:rsid w:val="00373DCA"/>
    <w:rsid w:val="00373FC3"/>
    <w:rsid w:val="0037402E"/>
    <w:rsid w:val="00374B54"/>
    <w:rsid w:val="00374FB0"/>
    <w:rsid w:val="00375C02"/>
    <w:rsid w:val="00375CA3"/>
    <w:rsid w:val="00377FB6"/>
    <w:rsid w:val="003805CB"/>
    <w:rsid w:val="00382393"/>
    <w:rsid w:val="003824BC"/>
    <w:rsid w:val="00382B1C"/>
    <w:rsid w:val="00384306"/>
    <w:rsid w:val="00386A27"/>
    <w:rsid w:val="003910D1"/>
    <w:rsid w:val="0039304A"/>
    <w:rsid w:val="003949CC"/>
    <w:rsid w:val="00395602"/>
    <w:rsid w:val="003962D2"/>
    <w:rsid w:val="00396BCF"/>
    <w:rsid w:val="00396DDA"/>
    <w:rsid w:val="003A0583"/>
    <w:rsid w:val="003A09D9"/>
    <w:rsid w:val="003A22F1"/>
    <w:rsid w:val="003A2562"/>
    <w:rsid w:val="003A3305"/>
    <w:rsid w:val="003A5D7B"/>
    <w:rsid w:val="003A6677"/>
    <w:rsid w:val="003A6799"/>
    <w:rsid w:val="003A6BF8"/>
    <w:rsid w:val="003A6C33"/>
    <w:rsid w:val="003A7B36"/>
    <w:rsid w:val="003B0FB6"/>
    <w:rsid w:val="003B1185"/>
    <w:rsid w:val="003B3D03"/>
    <w:rsid w:val="003B40F8"/>
    <w:rsid w:val="003B67C6"/>
    <w:rsid w:val="003B6D76"/>
    <w:rsid w:val="003B7213"/>
    <w:rsid w:val="003C0F75"/>
    <w:rsid w:val="003C12C6"/>
    <w:rsid w:val="003C1DBC"/>
    <w:rsid w:val="003C248A"/>
    <w:rsid w:val="003C403B"/>
    <w:rsid w:val="003C6032"/>
    <w:rsid w:val="003C6D3D"/>
    <w:rsid w:val="003C6FB6"/>
    <w:rsid w:val="003C7267"/>
    <w:rsid w:val="003C7B1A"/>
    <w:rsid w:val="003D39F8"/>
    <w:rsid w:val="003D3C6B"/>
    <w:rsid w:val="003D4190"/>
    <w:rsid w:val="003D5FB9"/>
    <w:rsid w:val="003D6AF1"/>
    <w:rsid w:val="003E3709"/>
    <w:rsid w:val="003E4B26"/>
    <w:rsid w:val="003E56B3"/>
    <w:rsid w:val="003E571E"/>
    <w:rsid w:val="003E6199"/>
    <w:rsid w:val="003E6612"/>
    <w:rsid w:val="003E6FEA"/>
    <w:rsid w:val="003E77AB"/>
    <w:rsid w:val="003F2243"/>
    <w:rsid w:val="003F2C42"/>
    <w:rsid w:val="003F3334"/>
    <w:rsid w:val="003F3B65"/>
    <w:rsid w:val="003F54AC"/>
    <w:rsid w:val="003F5581"/>
    <w:rsid w:val="00400EE7"/>
    <w:rsid w:val="0040264C"/>
    <w:rsid w:val="00403F54"/>
    <w:rsid w:val="004044CD"/>
    <w:rsid w:val="00405195"/>
    <w:rsid w:val="00405823"/>
    <w:rsid w:val="00405B84"/>
    <w:rsid w:val="00411998"/>
    <w:rsid w:val="00411ED8"/>
    <w:rsid w:val="004124AB"/>
    <w:rsid w:val="00412C47"/>
    <w:rsid w:val="0041410D"/>
    <w:rsid w:val="0041493F"/>
    <w:rsid w:val="00415AC0"/>
    <w:rsid w:val="0041732B"/>
    <w:rsid w:val="00420B41"/>
    <w:rsid w:val="0042283D"/>
    <w:rsid w:val="00422ACD"/>
    <w:rsid w:val="00422C10"/>
    <w:rsid w:val="00423F70"/>
    <w:rsid w:val="00424AD4"/>
    <w:rsid w:val="004254F6"/>
    <w:rsid w:val="00425CDD"/>
    <w:rsid w:val="00426D1A"/>
    <w:rsid w:val="00427186"/>
    <w:rsid w:val="0043002F"/>
    <w:rsid w:val="00430F3D"/>
    <w:rsid w:val="00433038"/>
    <w:rsid w:val="004341F3"/>
    <w:rsid w:val="00434963"/>
    <w:rsid w:val="00441476"/>
    <w:rsid w:val="004417F7"/>
    <w:rsid w:val="00442465"/>
    <w:rsid w:val="00442B8B"/>
    <w:rsid w:val="00443CF1"/>
    <w:rsid w:val="0044495E"/>
    <w:rsid w:val="00445A56"/>
    <w:rsid w:val="00447EF8"/>
    <w:rsid w:val="00450B8F"/>
    <w:rsid w:val="004511BA"/>
    <w:rsid w:val="00453FF8"/>
    <w:rsid w:val="0045416C"/>
    <w:rsid w:val="004541FE"/>
    <w:rsid w:val="004548FD"/>
    <w:rsid w:val="00455CB9"/>
    <w:rsid w:val="00460767"/>
    <w:rsid w:val="00460A24"/>
    <w:rsid w:val="00461C80"/>
    <w:rsid w:val="004629CC"/>
    <w:rsid w:val="00462F44"/>
    <w:rsid w:val="00463D50"/>
    <w:rsid w:val="00465486"/>
    <w:rsid w:val="00465A9F"/>
    <w:rsid w:val="00466AE9"/>
    <w:rsid w:val="00466DCA"/>
    <w:rsid w:val="004711BE"/>
    <w:rsid w:val="00471DD5"/>
    <w:rsid w:val="004726AF"/>
    <w:rsid w:val="0047495D"/>
    <w:rsid w:val="004773CE"/>
    <w:rsid w:val="0048142B"/>
    <w:rsid w:val="00482A48"/>
    <w:rsid w:val="00483582"/>
    <w:rsid w:val="00483A30"/>
    <w:rsid w:val="00484792"/>
    <w:rsid w:val="0049069C"/>
    <w:rsid w:val="0049145A"/>
    <w:rsid w:val="00493F00"/>
    <w:rsid w:val="0049451C"/>
    <w:rsid w:val="00494986"/>
    <w:rsid w:val="00497BAA"/>
    <w:rsid w:val="004A08BF"/>
    <w:rsid w:val="004A0BE2"/>
    <w:rsid w:val="004A258E"/>
    <w:rsid w:val="004A3025"/>
    <w:rsid w:val="004A3BFD"/>
    <w:rsid w:val="004A49C6"/>
    <w:rsid w:val="004A5FC2"/>
    <w:rsid w:val="004A7249"/>
    <w:rsid w:val="004A7BF5"/>
    <w:rsid w:val="004A7FF4"/>
    <w:rsid w:val="004B00EB"/>
    <w:rsid w:val="004B0905"/>
    <w:rsid w:val="004B145F"/>
    <w:rsid w:val="004B1C8A"/>
    <w:rsid w:val="004B1E81"/>
    <w:rsid w:val="004B2127"/>
    <w:rsid w:val="004B30D6"/>
    <w:rsid w:val="004B3433"/>
    <w:rsid w:val="004B4C4C"/>
    <w:rsid w:val="004B53D5"/>
    <w:rsid w:val="004B63E8"/>
    <w:rsid w:val="004B64EF"/>
    <w:rsid w:val="004B7562"/>
    <w:rsid w:val="004B79AB"/>
    <w:rsid w:val="004B7BD8"/>
    <w:rsid w:val="004C016A"/>
    <w:rsid w:val="004C0F84"/>
    <w:rsid w:val="004C106F"/>
    <w:rsid w:val="004C14EB"/>
    <w:rsid w:val="004C1E79"/>
    <w:rsid w:val="004C21B8"/>
    <w:rsid w:val="004C2AB2"/>
    <w:rsid w:val="004C2E09"/>
    <w:rsid w:val="004C3D5C"/>
    <w:rsid w:val="004C4DF2"/>
    <w:rsid w:val="004C5532"/>
    <w:rsid w:val="004C6761"/>
    <w:rsid w:val="004C7488"/>
    <w:rsid w:val="004D3584"/>
    <w:rsid w:val="004D4291"/>
    <w:rsid w:val="004D48FB"/>
    <w:rsid w:val="004D72FD"/>
    <w:rsid w:val="004E0186"/>
    <w:rsid w:val="004E0AC9"/>
    <w:rsid w:val="004E35F0"/>
    <w:rsid w:val="004E50DF"/>
    <w:rsid w:val="004E5E1A"/>
    <w:rsid w:val="004E5FCE"/>
    <w:rsid w:val="004E671A"/>
    <w:rsid w:val="004E70AE"/>
    <w:rsid w:val="004E7701"/>
    <w:rsid w:val="004E7EF7"/>
    <w:rsid w:val="004F110F"/>
    <w:rsid w:val="004F13CA"/>
    <w:rsid w:val="004F13DB"/>
    <w:rsid w:val="004F1CDD"/>
    <w:rsid w:val="004F7807"/>
    <w:rsid w:val="005002D7"/>
    <w:rsid w:val="00500AAF"/>
    <w:rsid w:val="00500CE8"/>
    <w:rsid w:val="00501540"/>
    <w:rsid w:val="0050215E"/>
    <w:rsid w:val="0050307A"/>
    <w:rsid w:val="00503ED9"/>
    <w:rsid w:val="005040E6"/>
    <w:rsid w:val="005049C3"/>
    <w:rsid w:val="00514FE0"/>
    <w:rsid w:val="0051751B"/>
    <w:rsid w:val="00521273"/>
    <w:rsid w:val="0052286F"/>
    <w:rsid w:val="00523245"/>
    <w:rsid w:val="005238AC"/>
    <w:rsid w:val="005252E1"/>
    <w:rsid w:val="005253F5"/>
    <w:rsid w:val="005273ED"/>
    <w:rsid w:val="00527C3D"/>
    <w:rsid w:val="00527EA0"/>
    <w:rsid w:val="005313FB"/>
    <w:rsid w:val="00536891"/>
    <w:rsid w:val="0054259D"/>
    <w:rsid w:val="00542CE7"/>
    <w:rsid w:val="00545EE6"/>
    <w:rsid w:val="00546085"/>
    <w:rsid w:val="0054767C"/>
    <w:rsid w:val="00551231"/>
    <w:rsid w:val="00551DB2"/>
    <w:rsid w:val="0055242D"/>
    <w:rsid w:val="005525B3"/>
    <w:rsid w:val="00553F51"/>
    <w:rsid w:val="00555602"/>
    <w:rsid w:val="005575C8"/>
    <w:rsid w:val="00561ED7"/>
    <w:rsid w:val="00561FE4"/>
    <w:rsid w:val="00563790"/>
    <w:rsid w:val="00563D23"/>
    <w:rsid w:val="00563D95"/>
    <w:rsid w:val="005640D9"/>
    <w:rsid w:val="00565114"/>
    <w:rsid w:val="00566788"/>
    <w:rsid w:val="00570338"/>
    <w:rsid w:val="00570FB8"/>
    <w:rsid w:val="00572CA8"/>
    <w:rsid w:val="00572D06"/>
    <w:rsid w:val="00574219"/>
    <w:rsid w:val="005751B9"/>
    <w:rsid w:val="005756A7"/>
    <w:rsid w:val="00575A4E"/>
    <w:rsid w:val="005779A8"/>
    <w:rsid w:val="00581B35"/>
    <w:rsid w:val="00582BB0"/>
    <w:rsid w:val="00582BB6"/>
    <w:rsid w:val="00584D83"/>
    <w:rsid w:val="00584F6F"/>
    <w:rsid w:val="0059031F"/>
    <w:rsid w:val="00590AFF"/>
    <w:rsid w:val="00591785"/>
    <w:rsid w:val="005937F9"/>
    <w:rsid w:val="0059690E"/>
    <w:rsid w:val="00597016"/>
    <w:rsid w:val="005974A2"/>
    <w:rsid w:val="0059767B"/>
    <w:rsid w:val="005A0758"/>
    <w:rsid w:val="005A17DB"/>
    <w:rsid w:val="005A30EE"/>
    <w:rsid w:val="005A4BF3"/>
    <w:rsid w:val="005A5805"/>
    <w:rsid w:val="005B06C7"/>
    <w:rsid w:val="005B09D0"/>
    <w:rsid w:val="005B1354"/>
    <w:rsid w:val="005B6CFB"/>
    <w:rsid w:val="005B775D"/>
    <w:rsid w:val="005C19F1"/>
    <w:rsid w:val="005C2242"/>
    <w:rsid w:val="005C266F"/>
    <w:rsid w:val="005C2B2E"/>
    <w:rsid w:val="005C334D"/>
    <w:rsid w:val="005C59A5"/>
    <w:rsid w:val="005C5CF1"/>
    <w:rsid w:val="005C6642"/>
    <w:rsid w:val="005C6721"/>
    <w:rsid w:val="005C7EC0"/>
    <w:rsid w:val="005D1302"/>
    <w:rsid w:val="005D2920"/>
    <w:rsid w:val="005D324F"/>
    <w:rsid w:val="005D36BE"/>
    <w:rsid w:val="005D370B"/>
    <w:rsid w:val="005D3AC1"/>
    <w:rsid w:val="005D4DB4"/>
    <w:rsid w:val="005D5DE6"/>
    <w:rsid w:val="005D5FA9"/>
    <w:rsid w:val="005D6CC7"/>
    <w:rsid w:val="005E0005"/>
    <w:rsid w:val="005E24B9"/>
    <w:rsid w:val="005E31F5"/>
    <w:rsid w:val="005E479D"/>
    <w:rsid w:val="005E6443"/>
    <w:rsid w:val="005E64F0"/>
    <w:rsid w:val="005E6EE5"/>
    <w:rsid w:val="005E7777"/>
    <w:rsid w:val="005E7C39"/>
    <w:rsid w:val="005F1379"/>
    <w:rsid w:val="005F1CF1"/>
    <w:rsid w:val="005F2D57"/>
    <w:rsid w:val="005F3FB1"/>
    <w:rsid w:val="005F43BA"/>
    <w:rsid w:val="005F465D"/>
    <w:rsid w:val="005F4CD7"/>
    <w:rsid w:val="005F668C"/>
    <w:rsid w:val="005F70F3"/>
    <w:rsid w:val="005F7365"/>
    <w:rsid w:val="0060010A"/>
    <w:rsid w:val="006024C5"/>
    <w:rsid w:val="006046E1"/>
    <w:rsid w:val="00604BE9"/>
    <w:rsid w:val="00605432"/>
    <w:rsid w:val="006058E0"/>
    <w:rsid w:val="00606A2E"/>
    <w:rsid w:val="00610237"/>
    <w:rsid w:val="006110C1"/>
    <w:rsid w:val="00611860"/>
    <w:rsid w:val="00611DA3"/>
    <w:rsid w:val="0061203E"/>
    <w:rsid w:val="006136B1"/>
    <w:rsid w:val="00614940"/>
    <w:rsid w:val="006153EE"/>
    <w:rsid w:val="00616842"/>
    <w:rsid w:val="00616D82"/>
    <w:rsid w:val="0061791A"/>
    <w:rsid w:val="00617BA4"/>
    <w:rsid w:val="00621964"/>
    <w:rsid w:val="006233A2"/>
    <w:rsid w:val="00627832"/>
    <w:rsid w:val="00627F27"/>
    <w:rsid w:val="00630413"/>
    <w:rsid w:val="00630EE1"/>
    <w:rsid w:val="006328ED"/>
    <w:rsid w:val="00633FC6"/>
    <w:rsid w:val="006342C4"/>
    <w:rsid w:val="006350CD"/>
    <w:rsid w:val="00636CC4"/>
    <w:rsid w:val="00636F6D"/>
    <w:rsid w:val="006415B6"/>
    <w:rsid w:val="00646B52"/>
    <w:rsid w:val="0065008E"/>
    <w:rsid w:val="00652566"/>
    <w:rsid w:val="006546FF"/>
    <w:rsid w:val="0065526A"/>
    <w:rsid w:val="00655FFB"/>
    <w:rsid w:val="006605D6"/>
    <w:rsid w:val="006615C6"/>
    <w:rsid w:val="0066603E"/>
    <w:rsid w:val="00670AF0"/>
    <w:rsid w:val="00671F90"/>
    <w:rsid w:val="00675EA3"/>
    <w:rsid w:val="006766C4"/>
    <w:rsid w:val="0067711E"/>
    <w:rsid w:val="006779A6"/>
    <w:rsid w:val="0068081A"/>
    <w:rsid w:val="00680BCA"/>
    <w:rsid w:val="00680E1F"/>
    <w:rsid w:val="00680F77"/>
    <w:rsid w:val="0068490D"/>
    <w:rsid w:val="00685ABD"/>
    <w:rsid w:val="00690910"/>
    <w:rsid w:val="00690D25"/>
    <w:rsid w:val="006924E2"/>
    <w:rsid w:val="00692921"/>
    <w:rsid w:val="00693147"/>
    <w:rsid w:val="0069671E"/>
    <w:rsid w:val="006A0C61"/>
    <w:rsid w:val="006A0F74"/>
    <w:rsid w:val="006A27B0"/>
    <w:rsid w:val="006A44E4"/>
    <w:rsid w:val="006A52B7"/>
    <w:rsid w:val="006A6FFB"/>
    <w:rsid w:val="006B146B"/>
    <w:rsid w:val="006B217C"/>
    <w:rsid w:val="006B35A4"/>
    <w:rsid w:val="006B4910"/>
    <w:rsid w:val="006B52A4"/>
    <w:rsid w:val="006B67A1"/>
    <w:rsid w:val="006B6CBE"/>
    <w:rsid w:val="006B7BB6"/>
    <w:rsid w:val="006C0580"/>
    <w:rsid w:val="006C2987"/>
    <w:rsid w:val="006C51D5"/>
    <w:rsid w:val="006C5E11"/>
    <w:rsid w:val="006C6391"/>
    <w:rsid w:val="006C6A54"/>
    <w:rsid w:val="006D00D5"/>
    <w:rsid w:val="006D10C9"/>
    <w:rsid w:val="006D2C3E"/>
    <w:rsid w:val="006D2F61"/>
    <w:rsid w:val="006D423E"/>
    <w:rsid w:val="006D700F"/>
    <w:rsid w:val="006D73BC"/>
    <w:rsid w:val="006D7E9D"/>
    <w:rsid w:val="006E059F"/>
    <w:rsid w:val="006E10F2"/>
    <w:rsid w:val="006E1A60"/>
    <w:rsid w:val="006E1CB0"/>
    <w:rsid w:val="006E1EE7"/>
    <w:rsid w:val="006E2062"/>
    <w:rsid w:val="006E24AE"/>
    <w:rsid w:val="006E2DF1"/>
    <w:rsid w:val="006E3B98"/>
    <w:rsid w:val="006E4EDF"/>
    <w:rsid w:val="006E5D35"/>
    <w:rsid w:val="006E755D"/>
    <w:rsid w:val="006E7F7F"/>
    <w:rsid w:val="006F00E2"/>
    <w:rsid w:val="006F06B9"/>
    <w:rsid w:val="006F0D63"/>
    <w:rsid w:val="006F1173"/>
    <w:rsid w:val="006F1E24"/>
    <w:rsid w:val="006F3677"/>
    <w:rsid w:val="006F3E13"/>
    <w:rsid w:val="006F6FEF"/>
    <w:rsid w:val="006F7FDC"/>
    <w:rsid w:val="0070030B"/>
    <w:rsid w:val="0070148C"/>
    <w:rsid w:val="00702100"/>
    <w:rsid w:val="00702A32"/>
    <w:rsid w:val="0070423B"/>
    <w:rsid w:val="0070424F"/>
    <w:rsid w:val="00704809"/>
    <w:rsid w:val="00705678"/>
    <w:rsid w:val="00705B85"/>
    <w:rsid w:val="00707330"/>
    <w:rsid w:val="00707E2C"/>
    <w:rsid w:val="007103E8"/>
    <w:rsid w:val="007111BD"/>
    <w:rsid w:val="00712A4F"/>
    <w:rsid w:val="00712C12"/>
    <w:rsid w:val="00713E98"/>
    <w:rsid w:val="007177D4"/>
    <w:rsid w:val="00717E8E"/>
    <w:rsid w:val="00720094"/>
    <w:rsid w:val="007205E2"/>
    <w:rsid w:val="007210CB"/>
    <w:rsid w:val="00721543"/>
    <w:rsid w:val="007216B1"/>
    <w:rsid w:val="007245C5"/>
    <w:rsid w:val="00725BAC"/>
    <w:rsid w:val="0072707B"/>
    <w:rsid w:val="00727902"/>
    <w:rsid w:val="00731438"/>
    <w:rsid w:val="00731AB1"/>
    <w:rsid w:val="00733195"/>
    <w:rsid w:val="007331EC"/>
    <w:rsid w:val="007335E7"/>
    <w:rsid w:val="00733AE3"/>
    <w:rsid w:val="00733E93"/>
    <w:rsid w:val="00734406"/>
    <w:rsid w:val="00736CDA"/>
    <w:rsid w:val="00737076"/>
    <w:rsid w:val="007374A3"/>
    <w:rsid w:val="007412A4"/>
    <w:rsid w:val="00743089"/>
    <w:rsid w:val="00744C86"/>
    <w:rsid w:val="007451F6"/>
    <w:rsid w:val="00747306"/>
    <w:rsid w:val="007501ED"/>
    <w:rsid w:val="00750459"/>
    <w:rsid w:val="00750BF7"/>
    <w:rsid w:val="0075234C"/>
    <w:rsid w:val="00753D92"/>
    <w:rsid w:val="007549B6"/>
    <w:rsid w:val="00755AD5"/>
    <w:rsid w:val="007569AE"/>
    <w:rsid w:val="00757ABB"/>
    <w:rsid w:val="00760624"/>
    <w:rsid w:val="00760C66"/>
    <w:rsid w:val="00761DE1"/>
    <w:rsid w:val="00761EB6"/>
    <w:rsid w:val="007636DC"/>
    <w:rsid w:val="00763CA1"/>
    <w:rsid w:val="0076477B"/>
    <w:rsid w:val="00770A5D"/>
    <w:rsid w:val="00770D8A"/>
    <w:rsid w:val="00772462"/>
    <w:rsid w:val="00772BEF"/>
    <w:rsid w:val="00774FC8"/>
    <w:rsid w:val="0077641F"/>
    <w:rsid w:val="00777C07"/>
    <w:rsid w:val="007803FC"/>
    <w:rsid w:val="00780877"/>
    <w:rsid w:val="007817F3"/>
    <w:rsid w:val="00781D20"/>
    <w:rsid w:val="00782856"/>
    <w:rsid w:val="0078286D"/>
    <w:rsid w:val="00782BCA"/>
    <w:rsid w:val="00785D7F"/>
    <w:rsid w:val="007863A9"/>
    <w:rsid w:val="00786D5C"/>
    <w:rsid w:val="00787AFC"/>
    <w:rsid w:val="007929B5"/>
    <w:rsid w:val="00792DB9"/>
    <w:rsid w:val="00792FE9"/>
    <w:rsid w:val="00793920"/>
    <w:rsid w:val="00794158"/>
    <w:rsid w:val="00794A36"/>
    <w:rsid w:val="00794E41"/>
    <w:rsid w:val="007955DB"/>
    <w:rsid w:val="0079588A"/>
    <w:rsid w:val="00795D82"/>
    <w:rsid w:val="007A1491"/>
    <w:rsid w:val="007A1511"/>
    <w:rsid w:val="007A2900"/>
    <w:rsid w:val="007A37F7"/>
    <w:rsid w:val="007A4BCB"/>
    <w:rsid w:val="007A5149"/>
    <w:rsid w:val="007A737B"/>
    <w:rsid w:val="007B2BEB"/>
    <w:rsid w:val="007B335C"/>
    <w:rsid w:val="007B3440"/>
    <w:rsid w:val="007B36C0"/>
    <w:rsid w:val="007B4A53"/>
    <w:rsid w:val="007B6181"/>
    <w:rsid w:val="007B6586"/>
    <w:rsid w:val="007B6E7E"/>
    <w:rsid w:val="007B75A1"/>
    <w:rsid w:val="007B79E4"/>
    <w:rsid w:val="007C1B98"/>
    <w:rsid w:val="007C42D5"/>
    <w:rsid w:val="007C4444"/>
    <w:rsid w:val="007D0011"/>
    <w:rsid w:val="007D1C75"/>
    <w:rsid w:val="007D251D"/>
    <w:rsid w:val="007D25A5"/>
    <w:rsid w:val="007D345A"/>
    <w:rsid w:val="007D37B5"/>
    <w:rsid w:val="007D4AD9"/>
    <w:rsid w:val="007D66CB"/>
    <w:rsid w:val="007D79C8"/>
    <w:rsid w:val="007E0A7F"/>
    <w:rsid w:val="007E1468"/>
    <w:rsid w:val="007E2C2D"/>
    <w:rsid w:val="007E2ECA"/>
    <w:rsid w:val="007E2F47"/>
    <w:rsid w:val="007E3439"/>
    <w:rsid w:val="007E5536"/>
    <w:rsid w:val="007E5F08"/>
    <w:rsid w:val="007E6480"/>
    <w:rsid w:val="007E6C4A"/>
    <w:rsid w:val="007E700D"/>
    <w:rsid w:val="007F472C"/>
    <w:rsid w:val="007F7921"/>
    <w:rsid w:val="0080041C"/>
    <w:rsid w:val="008006BD"/>
    <w:rsid w:val="00801536"/>
    <w:rsid w:val="00802A16"/>
    <w:rsid w:val="0080370D"/>
    <w:rsid w:val="008048C0"/>
    <w:rsid w:val="00805987"/>
    <w:rsid w:val="00805A9C"/>
    <w:rsid w:val="00805FAF"/>
    <w:rsid w:val="008061C0"/>
    <w:rsid w:val="0080733E"/>
    <w:rsid w:val="008079D7"/>
    <w:rsid w:val="00807FFD"/>
    <w:rsid w:val="008117F5"/>
    <w:rsid w:val="00812EBA"/>
    <w:rsid w:val="0081436C"/>
    <w:rsid w:val="00814492"/>
    <w:rsid w:val="0081468E"/>
    <w:rsid w:val="00814959"/>
    <w:rsid w:val="00814F3C"/>
    <w:rsid w:val="00815022"/>
    <w:rsid w:val="00816040"/>
    <w:rsid w:val="0082108A"/>
    <w:rsid w:val="0082172A"/>
    <w:rsid w:val="008249C0"/>
    <w:rsid w:val="0082569E"/>
    <w:rsid w:val="00826853"/>
    <w:rsid w:val="0082788D"/>
    <w:rsid w:val="00831E14"/>
    <w:rsid w:val="0083204B"/>
    <w:rsid w:val="00832288"/>
    <w:rsid w:val="00832CD5"/>
    <w:rsid w:val="00833BBC"/>
    <w:rsid w:val="008357C6"/>
    <w:rsid w:val="00835C20"/>
    <w:rsid w:val="00835D8D"/>
    <w:rsid w:val="008365F4"/>
    <w:rsid w:val="0083673D"/>
    <w:rsid w:val="00837649"/>
    <w:rsid w:val="0083775D"/>
    <w:rsid w:val="0084198E"/>
    <w:rsid w:val="00842028"/>
    <w:rsid w:val="00843C57"/>
    <w:rsid w:val="008440D6"/>
    <w:rsid w:val="00844147"/>
    <w:rsid w:val="00845B19"/>
    <w:rsid w:val="00850E40"/>
    <w:rsid w:val="00851D6B"/>
    <w:rsid w:val="0085399D"/>
    <w:rsid w:val="00853E1B"/>
    <w:rsid w:val="00853F28"/>
    <w:rsid w:val="0085466C"/>
    <w:rsid w:val="008568C2"/>
    <w:rsid w:val="00856BB2"/>
    <w:rsid w:val="0086218F"/>
    <w:rsid w:val="008623B6"/>
    <w:rsid w:val="00863E7B"/>
    <w:rsid w:val="008644E0"/>
    <w:rsid w:val="0086585F"/>
    <w:rsid w:val="00866933"/>
    <w:rsid w:val="008673EE"/>
    <w:rsid w:val="0086783F"/>
    <w:rsid w:val="0086794A"/>
    <w:rsid w:val="00870318"/>
    <w:rsid w:val="00871C22"/>
    <w:rsid w:val="00873AA9"/>
    <w:rsid w:val="00875960"/>
    <w:rsid w:val="00875EEC"/>
    <w:rsid w:val="00877C3F"/>
    <w:rsid w:val="00880922"/>
    <w:rsid w:val="00881161"/>
    <w:rsid w:val="008818C5"/>
    <w:rsid w:val="008823BD"/>
    <w:rsid w:val="00885534"/>
    <w:rsid w:val="0088584E"/>
    <w:rsid w:val="00886007"/>
    <w:rsid w:val="008875E5"/>
    <w:rsid w:val="008877A6"/>
    <w:rsid w:val="0089094D"/>
    <w:rsid w:val="00891BCF"/>
    <w:rsid w:val="008937F1"/>
    <w:rsid w:val="0089442D"/>
    <w:rsid w:val="00895246"/>
    <w:rsid w:val="0089552B"/>
    <w:rsid w:val="0089637C"/>
    <w:rsid w:val="00897D09"/>
    <w:rsid w:val="008A0904"/>
    <w:rsid w:val="008A1248"/>
    <w:rsid w:val="008A1A10"/>
    <w:rsid w:val="008A23AD"/>
    <w:rsid w:val="008A25C7"/>
    <w:rsid w:val="008A2A92"/>
    <w:rsid w:val="008A2B05"/>
    <w:rsid w:val="008A6953"/>
    <w:rsid w:val="008A6FE9"/>
    <w:rsid w:val="008B0DAA"/>
    <w:rsid w:val="008B0EAE"/>
    <w:rsid w:val="008B19B7"/>
    <w:rsid w:val="008B7159"/>
    <w:rsid w:val="008C3020"/>
    <w:rsid w:val="008C369D"/>
    <w:rsid w:val="008C3C1E"/>
    <w:rsid w:val="008C5361"/>
    <w:rsid w:val="008D00D4"/>
    <w:rsid w:val="008D1AE7"/>
    <w:rsid w:val="008D215D"/>
    <w:rsid w:val="008D624D"/>
    <w:rsid w:val="008E0199"/>
    <w:rsid w:val="008E0B21"/>
    <w:rsid w:val="008E0C5A"/>
    <w:rsid w:val="008E24DF"/>
    <w:rsid w:val="008E2F28"/>
    <w:rsid w:val="008E3531"/>
    <w:rsid w:val="008E47A6"/>
    <w:rsid w:val="008E6718"/>
    <w:rsid w:val="008E6F82"/>
    <w:rsid w:val="008E7B5C"/>
    <w:rsid w:val="008F2C95"/>
    <w:rsid w:val="008F30C3"/>
    <w:rsid w:val="008F450B"/>
    <w:rsid w:val="008F55A3"/>
    <w:rsid w:val="00900301"/>
    <w:rsid w:val="00900782"/>
    <w:rsid w:val="0090080B"/>
    <w:rsid w:val="00900839"/>
    <w:rsid w:val="0090125E"/>
    <w:rsid w:val="00901C73"/>
    <w:rsid w:val="009036C3"/>
    <w:rsid w:val="009046D3"/>
    <w:rsid w:val="00904806"/>
    <w:rsid w:val="00904DBF"/>
    <w:rsid w:val="00907202"/>
    <w:rsid w:val="00910A34"/>
    <w:rsid w:val="0091107D"/>
    <w:rsid w:val="00912FA5"/>
    <w:rsid w:val="009138BE"/>
    <w:rsid w:val="0091449E"/>
    <w:rsid w:val="0091594C"/>
    <w:rsid w:val="00916AB4"/>
    <w:rsid w:val="00917366"/>
    <w:rsid w:val="00917C22"/>
    <w:rsid w:val="00920B36"/>
    <w:rsid w:val="00920B7E"/>
    <w:rsid w:val="009220FE"/>
    <w:rsid w:val="00922B25"/>
    <w:rsid w:val="009232FB"/>
    <w:rsid w:val="00924358"/>
    <w:rsid w:val="009254CB"/>
    <w:rsid w:val="00927267"/>
    <w:rsid w:val="00932932"/>
    <w:rsid w:val="00934A6B"/>
    <w:rsid w:val="00934C9C"/>
    <w:rsid w:val="00935959"/>
    <w:rsid w:val="00935A2C"/>
    <w:rsid w:val="00936FF0"/>
    <w:rsid w:val="00937A9A"/>
    <w:rsid w:val="00937E2D"/>
    <w:rsid w:val="0094027F"/>
    <w:rsid w:val="00940F95"/>
    <w:rsid w:val="00942989"/>
    <w:rsid w:val="009433EA"/>
    <w:rsid w:val="0094389C"/>
    <w:rsid w:val="00944044"/>
    <w:rsid w:val="00945FA9"/>
    <w:rsid w:val="0094779F"/>
    <w:rsid w:val="009500DA"/>
    <w:rsid w:val="009501C1"/>
    <w:rsid w:val="00951807"/>
    <w:rsid w:val="009532A1"/>
    <w:rsid w:val="0095333A"/>
    <w:rsid w:val="009533D5"/>
    <w:rsid w:val="009547DF"/>
    <w:rsid w:val="00956D56"/>
    <w:rsid w:val="00957F8A"/>
    <w:rsid w:val="0096046F"/>
    <w:rsid w:val="00963E70"/>
    <w:rsid w:val="00972138"/>
    <w:rsid w:val="009735D9"/>
    <w:rsid w:val="00974430"/>
    <w:rsid w:val="0097447B"/>
    <w:rsid w:val="0097571E"/>
    <w:rsid w:val="00975BE4"/>
    <w:rsid w:val="00976632"/>
    <w:rsid w:val="00976B1F"/>
    <w:rsid w:val="00977303"/>
    <w:rsid w:val="009808FF"/>
    <w:rsid w:val="009813FA"/>
    <w:rsid w:val="00990A02"/>
    <w:rsid w:val="00990CF8"/>
    <w:rsid w:val="00991E11"/>
    <w:rsid w:val="00993489"/>
    <w:rsid w:val="00993C96"/>
    <w:rsid w:val="00995AC4"/>
    <w:rsid w:val="0099643E"/>
    <w:rsid w:val="00996C27"/>
    <w:rsid w:val="009A08C1"/>
    <w:rsid w:val="009A133E"/>
    <w:rsid w:val="009A1723"/>
    <w:rsid w:val="009A21FE"/>
    <w:rsid w:val="009A247F"/>
    <w:rsid w:val="009A24B7"/>
    <w:rsid w:val="009A2540"/>
    <w:rsid w:val="009A5239"/>
    <w:rsid w:val="009A5947"/>
    <w:rsid w:val="009A6D72"/>
    <w:rsid w:val="009A76AC"/>
    <w:rsid w:val="009A7B9E"/>
    <w:rsid w:val="009B17D6"/>
    <w:rsid w:val="009B26D3"/>
    <w:rsid w:val="009B2AC4"/>
    <w:rsid w:val="009B33A1"/>
    <w:rsid w:val="009B5258"/>
    <w:rsid w:val="009C19C3"/>
    <w:rsid w:val="009C3C3C"/>
    <w:rsid w:val="009C50E6"/>
    <w:rsid w:val="009C5992"/>
    <w:rsid w:val="009C6954"/>
    <w:rsid w:val="009C6A91"/>
    <w:rsid w:val="009D18BB"/>
    <w:rsid w:val="009D1A4D"/>
    <w:rsid w:val="009D2527"/>
    <w:rsid w:val="009D3BB6"/>
    <w:rsid w:val="009D493B"/>
    <w:rsid w:val="009D5040"/>
    <w:rsid w:val="009D55F8"/>
    <w:rsid w:val="009D69EE"/>
    <w:rsid w:val="009D6BA0"/>
    <w:rsid w:val="009D735A"/>
    <w:rsid w:val="009D73CF"/>
    <w:rsid w:val="009E0A3F"/>
    <w:rsid w:val="009E25C7"/>
    <w:rsid w:val="009E7896"/>
    <w:rsid w:val="009F44C0"/>
    <w:rsid w:val="009F67B3"/>
    <w:rsid w:val="009F680A"/>
    <w:rsid w:val="009F693B"/>
    <w:rsid w:val="009F69CA"/>
    <w:rsid w:val="009F7169"/>
    <w:rsid w:val="009F75B9"/>
    <w:rsid w:val="00A00576"/>
    <w:rsid w:val="00A006CC"/>
    <w:rsid w:val="00A00C23"/>
    <w:rsid w:val="00A02DEE"/>
    <w:rsid w:val="00A0375B"/>
    <w:rsid w:val="00A03AC5"/>
    <w:rsid w:val="00A04039"/>
    <w:rsid w:val="00A0610B"/>
    <w:rsid w:val="00A10E8A"/>
    <w:rsid w:val="00A1120F"/>
    <w:rsid w:val="00A1148A"/>
    <w:rsid w:val="00A12036"/>
    <w:rsid w:val="00A12AA3"/>
    <w:rsid w:val="00A1346D"/>
    <w:rsid w:val="00A13FE4"/>
    <w:rsid w:val="00A14976"/>
    <w:rsid w:val="00A14A32"/>
    <w:rsid w:val="00A169A8"/>
    <w:rsid w:val="00A20E63"/>
    <w:rsid w:val="00A2123D"/>
    <w:rsid w:val="00A230F2"/>
    <w:rsid w:val="00A24C5C"/>
    <w:rsid w:val="00A24F36"/>
    <w:rsid w:val="00A26E9B"/>
    <w:rsid w:val="00A30D0B"/>
    <w:rsid w:val="00A32282"/>
    <w:rsid w:val="00A36D70"/>
    <w:rsid w:val="00A37048"/>
    <w:rsid w:val="00A44236"/>
    <w:rsid w:val="00A45935"/>
    <w:rsid w:val="00A47057"/>
    <w:rsid w:val="00A47737"/>
    <w:rsid w:val="00A47B15"/>
    <w:rsid w:val="00A502A5"/>
    <w:rsid w:val="00A51884"/>
    <w:rsid w:val="00A51A28"/>
    <w:rsid w:val="00A51DF3"/>
    <w:rsid w:val="00A52A74"/>
    <w:rsid w:val="00A543F5"/>
    <w:rsid w:val="00A56E82"/>
    <w:rsid w:val="00A646D7"/>
    <w:rsid w:val="00A72511"/>
    <w:rsid w:val="00A73041"/>
    <w:rsid w:val="00A75C6E"/>
    <w:rsid w:val="00A77BCC"/>
    <w:rsid w:val="00A80BC0"/>
    <w:rsid w:val="00A810AE"/>
    <w:rsid w:val="00A816C5"/>
    <w:rsid w:val="00A8254D"/>
    <w:rsid w:val="00A8325D"/>
    <w:rsid w:val="00A87845"/>
    <w:rsid w:val="00A90AE3"/>
    <w:rsid w:val="00A9209D"/>
    <w:rsid w:val="00A92521"/>
    <w:rsid w:val="00A92D60"/>
    <w:rsid w:val="00A93060"/>
    <w:rsid w:val="00A93D35"/>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0BC"/>
    <w:rsid w:val="00AA5594"/>
    <w:rsid w:val="00AA5646"/>
    <w:rsid w:val="00AA6C85"/>
    <w:rsid w:val="00AA6CDE"/>
    <w:rsid w:val="00AA747F"/>
    <w:rsid w:val="00AA7BEE"/>
    <w:rsid w:val="00AB0D35"/>
    <w:rsid w:val="00AB16B4"/>
    <w:rsid w:val="00AB1762"/>
    <w:rsid w:val="00AB1F4A"/>
    <w:rsid w:val="00AB27F2"/>
    <w:rsid w:val="00AB2A87"/>
    <w:rsid w:val="00AB2BA4"/>
    <w:rsid w:val="00AB2D9E"/>
    <w:rsid w:val="00AB30F2"/>
    <w:rsid w:val="00AB44AE"/>
    <w:rsid w:val="00AB4BC9"/>
    <w:rsid w:val="00AB57EC"/>
    <w:rsid w:val="00AB7EB2"/>
    <w:rsid w:val="00AC0B40"/>
    <w:rsid w:val="00AC1440"/>
    <w:rsid w:val="00AC1C3F"/>
    <w:rsid w:val="00AC39AA"/>
    <w:rsid w:val="00AC5DBB"/>
    <w:rsid w:val="00AC61BC"/>
    <w:rsid w:val="00AC6B41"/>
    <w:rsid w:val="00AC6BC5"/>
    <w:rsid w:val="00AC7DFB"/>
    <w:rsid w:val="00AD139F"/>
    <w:rsid w:val="00AD183B"/>
    <w:rsid w:val="00AD38A2"/>
    <w:rsid w:val="00AD5B2B"/>
    <w:rsid w:val="00AD78CE"/>
    <w:rsid w:val="00AE0263"/>
    <w:rsid w:val="00AE0C36"/>
    <w:rsid w:val="00AE1E00"/>
    <w:rsid w:val="00AE358E"/>
    <w:rsid w:val="00AE36C6"/>
    <w:rsid w:val="00AE39D3"/>
    <w:rsid w:val="00AE4F0B"/>
    <w:rsid w:val="00AE4FCC"/>
    <w:rsid w:val="00AE5E1E"/>
    <w:rsid w:val="00AE60DF"/>
    <w:rsid w:val="00AE701B"/>
    <w:rsid w:val="00AE7219"/>
    <w:rsid w:val="00AF01C7"/>
    <w:rsid w:val="00AF110B"/>
    <w:rsid w:val="00AF22E8"/>
    <w:rsid w:val="00AF26DF"/>
    <w:rsid w:val="00AF3214"/>
    <w:rsid w:val="00AF3E75"/>
    <w:rsid w:val="00B00FE0"/>
    <w:rsid w:val="00B0247E"/>
    <w:rsid w:val="00B02684"/>
    <w:rsid w:val="00B02847"/>
    <w:rsid w:val="00B03359"/>
    <w:rsid w:val="00B041BE"/>
    <w:rsid w:val="00B04640"/>
    <w:rsid w:val="00B054F1"/>
    <w:rsid w:val="00B06C6A"/>
    <w:rsid w:val="00B1181D"/>
    <w:rsid w:val="00B14735"/>
    <w:rsid w:val="00B15F11"/>
    <w:rsid w:val="00B160E9"/>
    <w:rsid w:val="00B17D44"/>
    <w:rsid w:val="00B205D1"/>
    <w:rsid w:val="00B23568"/>
    <w:rsid w:val="00B23DA7"/>
    <w:rsid w:val="00B252BA"/>
    <w:rsid w:val="00B25CA2"/>
    <w:rsid w:val="00B26470"/>
    <w:rsid w:val="00B2659C"/>
    <w:rsid w:val="00B27181"/>
    <w:rsid w:val="00B30C31"/>
    <w:rsid w:val="00B30FF5"/>
    <w:rsid w:val="00B32154"/>
    <w:rsid w:val="00B321FB"/>
    <w:rsid w:val="00B33DED"/>
    <w:rsid w:val="00B33E6E"/>
    <w:rsid w:val="00B369BB"/>
    <w:rsid w:val="00B37E85"/>
    <w:rsid w:val="00B4137C"/>
    <w:rsid w:val="00B41710"/>
    <w:rsid w:val="00B42C5E"/>
    <w:rsid w:val="00B43B6B"/>
    <w:rsid w:val="00B4587B"/>
    <w:rsid w:val="00B47797"/>
    <w:rsid w:val="00B47C94"/>
    <w:rsid w:val="00B50DDF"/>
    <w:rsid w:val="00B55ACC"/>
    <w:rsid w:val="00B56C0F"/>
    <w:rsid w:val="00B57FB4"/>
    <w:rsid w:val="00B6056B"/>
    <w:rsid w:val="00B60B49"/>
    <w:rsid w:val="00B61201"/>
    <w:rsid w:val="00B6145F"/>
    <w:rsid w:val="00B63554"/>
    <w:rsid w:val="00B63896"/>
    <w:rsid w:val="00B64F9C"/>
    <w:rsid w:val="00B670F4"/>
    <w:rsid w:val="00B706C9"/>
    <w:rsid w:val="00B70721"/>
    <w:rsid w:val="00B70AEE"/>
    <w:rsid w:val="00B71797"/>
    <w:rsid w:val="00B72ABC"/>
    <w:rsid w:val="00B744A2"/>
    <w:rsid w:val="00B758DB"/>
    <w:rsid w:val="00B76203"/>
    <w:rsid w:val="00B7674E"/>
    <w:rsid w:val="00B80510"/>
    <w:rsid w:val="00B827B6"/>
    <w:rsid w:val="00B862AB"/>
    <w:rsid w:val="00B875FE"/>
    <w:rsid w:val="00B932DE"/>
    <w:rsid w:val="00B934F2"/>
    <w:rsid w:val="00B94130"/>
    <w:rsid w:val="00B94552"/>
    <w:rsid w:val="00B945EE"/>
    <w:rsid w:val="00B94C44"/>
    <w:rsid w:val="00B95100"/>
    <w:rsid w:val="00B971EA"/>
    <w:rsid w:val="00BA322F"/>
    <w:rsid w:val="00BA6F87"/>
    <w:rsid w:val="00BB2C54"/>
    <w:rsid w:val="00BB2E1D"/>
    <w:rsid w:val="00BB30B3"/>
    <w:rsid w:val="00BB3844"/>
    <w:rsid w:val="00BB69A1"/>
    <w:rsid w:val="00BC00A0"/>
    <w:rsid w:val="00BC0B14"/>
    <w:rsid w:val="00BC1ADF"/>
    <w:rsid w:val="00BC1BBA"/>
    <w:rsid w:val="00BC2E77"/>
    <w:rsid w:val="00BC3ADC"/>
    <w:rsid w:val="00BC3FB8"/>
    <w:rsid w:val="00BC3FCA"/>
    <w:rsid w:val="00BC5248"/>
    <w:rsid w:val="00BC5A7A"/>
    <w:rsid w:val="00BD0978"/>
    <w:rsid w:val="00BD3E35"/>
    <w:rsid w:val="00BD63A1"/>
    <w:rsid w:val="00BD73DB"/>
    <w:rsid w:val="00BE00F7"/>
    <w:rsid w:val="00BE09D6"/>
    <w:rsid w:val="00BE2968"/>
    <w:rsid w:val="00BE3802"/>
    <w:rsid w:val="00BE4793"/>
    <w:rsid w:val="00BE5DF3"/>
    <w:rsid w:val="00BF192E"/>
    <w:rsid w:val="00BF21FD"/>
    <w:rsid w:val="00BF293F"/>
    <w:rsid w:val="00BF2C48"/>
    <w:rsid w:val="00BF3DEA"/>
    <w:rsid w:val="00BF46DD"/>
    <w:rsid w:val="00BF4B7B"/>
    <w:rsid w:val="00BF5EE1"/>
    <w:rsid w:val="00BF710F"/>
    <w:rsid w:val="00C0091C"/>
    <w:rsid w:val="00C00E78"/>
    <w:rsid w:val="00C036DE"/>
    <w:rsid w:val="00C03744"/>
    <w:rsid w:val="00C03E64"/>
    <w:rsid w:val="00C04060"/>
    <w:rsid w:val="00C04A15"/>
    <w:rsid w:val="00C05363"/>
    <w:rsid w:val="00C0679E"/>
    <w:rsid w:val="00C11670"/>
    <w:rsid w:val="00C125D4"/>
    <w:rsid w:val="00C13454"/>
    <w:rsid w:val="00C13846"/>
    <w:rsid w:val="00C13A20"/>
    <w:rsid w:val="00C15C86"/>
    <w:rsid w:val="00C16BDF"/>
    <w:rsid w:val="00C209AD"/>
    <w:rsid w:val="00C20B90"/>
    <w:rsid w:val="00C2283F"/>
    <w:rsid w:val="00C22868"/>
    <w:rsid w:val="00C2386F"/>
    <w:rsid w:val="00C245D5"/>
    <w:rsid w:val="00C271EA"/>
    <w:rsid w:val="00C30FB4"/>
    <w:rsid w:val="00C314C6"/>
    <w:rsid w:val="00C32279"/>
    <w:rsid w:val="00C32FCA"/>
    <w:rsid w:val="00C37F91"/>
    <w:rsid w:val="00C40E61"/>
    <w:rsid w:val="00C40F4A"/>
    <w:rsid w:val="00C41BED"/>
    <w:rsid w:val="00C41ECD"/>
    <w:rsid w:val="00C42551"/>
    <w:rsid w:val="00C42ECE"/>
    <w:rsid w:val="00C457EA"/>
    <w:rsid w:val="00C45E0E"/>
    <w:rsid w:val="00C4682E"/>
    <w:rsid w:val="00C5132F"/>
    <w:rsid w:val="00C5172B"/>
    <w:rsid w:val="00C52F66"/>
    <w:rsid w:val="00C53D07"/>
    <w:rsid w:val="00C54601"/>
    <w:rsid w:val="00C54A3B"/>
    <w:rsid w:val="00C558F3"/>
    <w:rsid w:val="00C56634"/>
    <w:rsid w:val="00C56909"/>
    <w:rsid w:val="00C56EA6"/>
    <w:rsid w:val="00C578E0"/>
    <w:rsid w:val="00C57CE8"/>
    <w:rsid w:val="00C60DDD"/>
    <w:rsid w:val="00C65206"/>
    <w:rsid w:val="00C65DA8"/>
    <w:rsid w:val="00C66F74"/>
    <w:rsid w:val="00C66FC7"/>
    <w:rsid w:val="00C71BA3"/>
    <w:rsid w:val="00C72A6D"/>
    <w:rsid w:val="00C737B2"/>
    <w:rsid w:val="00C7518F"/>
    <w:rsid w:val="00C7799A"/>
    <w:rsid w:val="00C809EF"/>
    <w:rsid w:val="00C80DDB"/>
    <w:rsid w:val="00C8153C"/>
    <w:rsid w:val="00C81A62"/>
    <w:rsid w:val="00C82225"/>
    <w:rsid w:val="00C84B58"/>
    <w:rsid w:val="00C85354"/>
    <w:rsid w:val="00C86560"/>
    <w:rsid w:val="00C92A5A"/>
    <w:rsid w:val="00C92F6F"/>
    <w:rsid w:val="00C9338F"/>
    <w:rsid w:val="00C93E1A"/>
    <w:rsid w:val="00C946EC"/>
    <w:rsid w:val="00C950A7"/>
    <w:rsid w:val="00C96828"/>
    <w:rsid w:val="00C968F5"/>
    <w:rsid w:val="00C96D42"/>
    <w:rsid w:val="00C96E9C"/>
    <w:rsid w:val="00CA1D31"/>
    <w:rsid w:val="00CA3385"/>
    <w:rsid w:val="00CA409F"/>
    <w:rsid w:val="00CA55B1"/>
    <w:rsid w:val="00CA62F5"/>
    <w:rsid w:val="00CA6653"/>
    <w:rsid w:val="00CA735E"/>
    <w:rsid w:val="00CA789A"/>
    <w:rsid w:val="00CA7F9C"/>
    <w:rsid w:val="00CB183B"/>
    <w:rsid w:val="00CB4408"/>
    <w:rsid w:val="00CB5673"/>
    <w:rsid w:val="00CB5DBF"/>
    <w:rsid w:val="00CB620F"/>
    <w:rsid w:val="00CB6431"/>
    <w:rsid w:val="00CB671B"/>
    <w:rsid w:val="00CB6EA0"/>
    <w:rsid w:val="00CB7366"/>
    <w:rsid w:val="00CB7EA3"/>
    <w:rsid w:val="00CC0E73"/>
    <w:rsid w:val="00CC23B8"/>
    <w:rsid w:val="00CC564A"/>
    <w:rsid w:val="00CC67C5"/>
    <w:rsid w:val="00CD4F79"/>
    <w:rsid w:val="00CD5C06"/>
    <w:rsid w:val="00CD6419"/>
    <w:rsid w:val="00CD6E62"/>
    <w:rsid w:val="00CD71B7"/>
    <w:rsid w:val="00CD7620"/>
    <w:rsid w:val="00CE1270"/>
    <w:rsid w:val="00CE2935"/>
    <w:rsid w:val="00CE2F26"/>
    <w:rsid w:val="00CE3BFC"/>
    <w:rsid w:val="00CE3CCD"/>
    <w:rsid w:val="00CE5BDC"/>
    <w:rsid w:val="00CE65A7"/>
    <w:rsid w:val="00CE6FA5"/>
    <w:rsid w:val="00CE7FC9"/>
    <w:rsid w:val="00CF1ACB"/>
    <w:rsid w:val="00D0005F"/>
    <w:rsid w:val="00D019BD"/>
    <w:rsid w:val="00D0249E"/>
    <w:rsid w:val="00D03E2F"/>
    <w:rsid w:val="00D0664B"/>
    <w:rsid w:val="00D06A30"/>
    <w:rsid w:val="00D07BCE"/>
    <w:rsid w:val="00D10D5D"/>
    <w:rsid w:val="00D1186C"/>
    <w:rsid w:val="00D138F2"/>
    <w:rsid w:val="00D139B0"/>
    <w:rsid w:val="00D14C42"/>
    <w:rsid w:val="00D16CC8"/>
    <w:rsid w:val="00D17480"/>
    <w:rsid w:val="00D250B9"/>
    <w:rsid w:val="00D3078E"/>
    <w:rsid w:val="00D32E06"/>
    <w:rsid w:val="00D350CB"/>
    <w:rsid w:val="00D36152"/>
    <w:rsid w:val="00D37B82"/>
    <w:rsid w:val="00D40456"/>
    <w:rsid w:val="00D4049F"/>
    <w:rsid w:val="00D404F0"/>
    <w:rsid w:val="00D41B4F"/>
    <w:rsid w:val="00D429ED"/>
    <w:rsid w:val="00D431C5"/>
    <w:rsid w:val="00D445C9"/>
    <w:rsid w:val="00D45BF4"/>
    <w:rsid w:val="00D45F1D"/>
    <w:rsid w:val="00D46054"/>
    <w:rsid w:val="00D519DF"/>
    <w:rsid w:val="00D51CFE"/>
    <w:rsid w:val="00D51F29"/>
    <w:rsid w:val="00D53B49"/>
    <w:rsid w:val="00D54B98"/>
    <w:rsid w:val="00D550FB"/>
    <w:rsid w:val="00D60837"/>
    <w:rsid w:val="00D62209"/>
    <w:rsid w:val="00D628A0"/>
    <w:rsid w:val="00D63378"/>
    <w:rsid w:val="00D64421"/>
    <w:rsid w:val="00D65F65"/>
    <w:rsid w:val="00D66567"/>
    <w:rsid w:val="00D6667C"/>
    <w:rsid w:val="00D6678B"/>
    <w:rsid w:val="00D67C29"/>
    <w:rsid w:val="00D70527"/>
    <w:rsid w:val="00D72D53"/>
    <w:rsid w:val="00D7502D"/>
    <w:rsid w:val="00D77022"/>
    <w:rsid w:val="00D8056C"/>
    <w:rsid w:val="00D8080B"/>
    <w:rsid w:val="00D80DCF"/>
    <w:rsid w:val="00D81167"/>
    <w:rsid w:val="00D815EF"/>
    <w:rsid w:val="00D82EBA"/>
    <w:rsid w:val="00D8346E"/>
    <w:rsid w:val="00D84A04"/>
    <w:rsid w:val="00D85570"/>
    <w:rsid w:val="00D8574D"/>
    <w:rsid w:val="00D85C2F"/>
    <w:rsid w:val="00D864DA"/>
    <w:rsid w:val="00D8666E"/>
    <w:rsid w:val="00D86779"/>
    <w:rsid w:val="00D86B5B"/>
    <w:rsid w:val="00D87E7D"/>
    <w:rsid w:val="00D92B8C"/>
    <w:rsid w:val="00D9318B"/>
    <w:rsid w:val="00D938CD"/>
    <w:rsid w:val="00D95668"/>
    <w:rsid w:val="00D9578C"/>
    <w:rsid w:val="00D97BD0"/>
    <w:rsid w:val="00DA2E89"/>
    <w:rsid w:val="00DA32C6"/>
    <w:rsid w:val="00DA37E3"/>
    <w:rsid w:val="00DA3DA5"/>
    <w:rsid w:val="00DA5BF1"/>
    <w:rsid w:val="00DA6871"/>
    <w:rsid w:val="00DA6A03"/>
    <w:rsid w:val="00DB0DD9"/>
    <w:rsid w:val="00DB38E1"/>
    <w:rsid w:val="00DB3E36"/>
    <w:rsid w:val="00DB6D65"/>
    <w:rsid w:val="00DB7FCC"/>
    <w:rsid w:val="00DC1551"/>
    <w:rsid w:val="00DC30EC"/>
    <w:rsid w:val="00DC4593"/>
    <w:rsid w:val="00DC4CAF"/>
    <w:rsid w:val="00DD1351"/>
    <w:rsid w:val="00DD196B"/>
    <w:rsid w:val="00DD22AC"/>
    <w:rsid w:val="00DD31CA"/>
    <w:rsid w:val="00DD4CAF"/>
    <w:rsid w:val="00DD69EA"/>
    <w:rsid w:val="00DD6BEE"/>
    <w:rsid w:val="00DE0402"/>
    <w:rsid w:val="00DE1DC2"/>
    <w:rsid w:val="00DE502A"/>
    <w:rsid w:val="00DE7D4F"/>
    <w:rsid w:val="00DF0726"/>
    <w:rsid w:val="00DF1EEB"/>
    <w:rsid w:val="00DF2223"/>
    <w:rsid w:val="00DF3F16"/>
    <w:rsid w:val="00DF41C8"/>
    <w:rsid w:val="00DF4FE9"/>
    <w:rsid w:val="00E000E1"/>
    <w:rsid w:val="00E0103B"/>
    <w:rsid w:val="00E017F1"/>
    <w:rsid w:val="00E02EA9"/>
    <w:rsid w:val="00E03341"/>
    <w:rsid w:val="00E04274"/>
    <w:rsid w:val="00E044C5"/>
    <w:rsid w:val="00E046AB"/>
    <w:rsid w:val="00E05A7A"/>
    <w:rsid w:val="00E10579"/>
    <w:rsid w:val="00E107DE"/>
    <w:rsid w:val="00E1267E"/>
    <w:rsid w:val="00E12D61"/>
    <w:rsid w:val="00E12D63"/>
    <w:rsid w:val="00E12DF8"/>
    <w:rsid w:val="00E16CE2"/>
    <w:rsid w:val="00E17822"/>
    <w:rsid w:val="00E20571"/>
    <w:rsid w:val="00E21C3D"/>
    <w:rsid w:val="00E21DF3"/>
    <w:rsid w:val="00E22D9E"/>
    <w:rsid w:val="00E238A5"/>
    <w:rsid w:val="00E25FC7"/>
    <w:rsid w:val="00E26AB2"/>
    <w:rsid w:val="00E271DD"/>
    <w:rsid w:val="00E27630"/>
    <w:rsid w:val="00E3060D"/>
    <w:rsid w:val="00E31572"/>
    <w:rsid w:val="00E34223"/>
    <w:rsid w:val="00E344C7"/>
    <w:rsid w:val="00E34D84"/>
    <w:rsid w:val="00E36E31"/>
    <w:rsid w:val="00E37D90"/>
    <w:rsid w:val="00E37E9F"/>
    <w:rsid w:val="00E40DC9"/>
    <w:rsid w:val="00E41077"/>
    <w:rsid w:val="00E414FF"/>
    <w:rsid w:val="00E41CE2"/>
    <w:rsid w:val="00E428D6"/>
    <w:rsid w:val="00E438E8"/>
    <w:rsid w:val="00E47AC4"/>
    <w:rsid w:val="00E545BA"/>
    <w:rsid w:val="00E5493D"/>
    <w:rsid w:val="00E55D0A"/>
    <w:rsid w:val="00E564F2"/>
    <w:rsid w:val="00E56817"/>
    <w:rsid w:val="00E572A9"/>
    <w:rsid w:val="00E578BC"/>
    <w:rsid w:val="00E57B02"/>
    <w:rsid w:val="00E60D8B"/>
    <w:rsid w:val="00E61728"/>
    <w:rsid w:val="00E64F0C"/>
    <w:rsid w:val="00E659F3"/>
    <w:rsid w:val="00E674CA"/>
    <w:rsid w:val="00E7573E"/>
    <w:rsid w:val="00E766CA"/>
    <w:rsid w:val="00E80341"/>
    <w:rsid w:val="00E82610"/>
    <w:rsid w:val="00E84AC3"/>
    <w:rsid w:val="00E84DDD"/>
    <w:rsid w:val="00E90216"/>
    <w:rsid w:val="00E930E1"/>
    <w:rsid w:val="00E9404A"/>
    <w:rsid w:val="00E946E4"/>
    <w:rsid w:val="00E95ECE"/>
    <w:rsid w:val="00E96C61"/>
    <w:rsid w:val="00EA0264"/>
    <w:rsid w:val="00EA0D60"/>
    <w:rsid w:val="00EA1832"/>
    <w:rsid w:val="00EA1F60"/>
    <w:rsid w:val="00EA2125"/>
    <w:rsid w:val="00EA2263"/>
    <w:rsid w:val="00EA280F"/>
    <w:rsid w:val="00EA5952"/>
    <w:rsid w:val="00EA637C"/>
    <w:rsid w:val="00EA7529"/>
    <w:rsid w:val="00EB2ACE"/>
    <w:rsid w:val="00EB3D0B"/>
    <w:rsid w:val="00EB4EB2"/>
    <w:rsid w:val="00EB6438"/>
    <w:rsid w:val="00EB73C7"/>
    <w:rsid w:val="00EC00AE"/>
    <w:rsid w:val="00EC101C"/>
    <w:rsid w:val="00EC1384"/>
    <w:rsid w:val="00EC2363"/>
    <w:rsid w:val="00EC2BD7"/>
    <w:rsid w:val="00EC683A"/>
    <w:rsid w:val="00EC6A71"/>
    <w:rsid w:val="00EC77F8"/>
    <w:rsid w:val="00ED1B29"/>
    <w:rsid w:val="00ED1BC7"/>
    <w:rsid w:val="00ED3298"/>
    <w:rsid w:val="00ED4618"/>
    <w:rsid w:val="00ED7042"/>
    <w:rsid w:val="00EE05BF"/>
    <w:rsid w:val="00EE0955"/>
    <w:rsid w:val="00EE140D"/>
    <w:rsid w:val="00EE36BD"/>
    <w:rsid w:val="00EE41AA"/>
    <w:rsid w:val="00EE468A"/>
    <w:rsid w:val="00EE4A8C"/>
    <w:rsid w:val="00EE4E23"/>
    <w:rsid w:val="00EE76F6"/>
    <w:rsid w:val="00EF0B4B"/>
    <w:rsid w:val="00EF0F01"/>
    <w:rsid w:val="00EF13C3"/>
    <w:rsid w:val="00EF5FBF"/>
    <w:rsid w:val="00EF7214"/>
    <w:rsid w:val="00F01208"/>
    <w:rsid w:val="00F019BD"/>
    <w:rsid w:val="00F02123"/>
    <w:rsid w:val="00F0266E"/>
    <w:rsid w:val="00F02718"/>
    <w:rsid w:val="00F03E2E"/>
    <w:rsid w:val="00F045D4"/>
    <w:rsid w:val="00F04DF1"/>
    <w:rsid w:val="00F07D34"/>
    <w:rsid w:val="00F1020A"/>
    <w:rsid w:val="00F1331D"/>
    <w:rsid w:val="00F15CF1"/>
    <w:rsid w:val="00F2180F"/>
    <w:rsid w:val="00F21884"/>
    <w:rsid w:val="00F2620A"/>
    <w:rsid w:val="00F26CC1"/>
    <w:rsid w:val="00F326BB"/>
    <w:rsid w:val="00F339B6"/>
    <w:rsid w:val="00F34609"/>
    <w:rsid w:val="00F350DB"/>
    <w:rsid w:val="00F372FA"/>
    <w:rsid w:val="00F37755"/>
    <w:rsid w:val="00F402B2"/>
    <w:rsid w:val="00F420F4"/>
    <w:rsid w:val="00F4378B"/>
    <w:rsid w:val="00F448AC"/>
    <w:rsid w:val="00F44D10"/>
    <w:rsid w:val="00F450F5"/>
    <w:rsid w:val="00F45406"/>
    <w:rsid w:val="00F45DA4"/>
    <w:rsid w:val="00F50453"/>
    <w:rsid w:val="00F51A7E"/>
    <w:rsid w:val="00F51D2F"/>
    <w:rsid w:val="00F53647"/>
    <w:rsid w:val="00F53CD2"/>
    <w:rsid w:val="00F54D14"/>
    <w:rsid w:val="00F55C32"/>
    <w:rsid w:val="00F55E06"/>
    <w:rsid w:val="00F567ED"/>
    <w:rsid w:val="00F56EBA"/>
    <w:rsid w:val="00F61EE0"/>
    <w:rsid w:val="00F622C0"/>
    <w:rsid w:val="00F63D22"/>
    <w:rsid w:val="00F6460C"/>
    <w:rsid w:val="00F64F6C"/>
    <w:rsid w:val="00F66069"/>
    <w:rsid w:val="00F67223"/>
    <w:rsid w:val="00F678D9"/>
    <w:rsid w:val="00F732C5"/>
    <w:rsid w:val="00F74C2A"/>
    <w:rsid w:val="00F767F8"/>
    <w:rsid w:val="00F803FE"/>
    <w:rsid w:val="00F8397D"/>
    <w:rsid w:val="00F86C4B"/>
    <w:rsid w:val="00F86E29"/>
    <w:rsid w:val="00F90212"/>
    <w:rsid w:val="00F918BE"/>
    <w:rsid w:val="00F9236D"/>
    <w:rsid w:val="00F92829"/>
    <w:rsid w:val="00F949F9"/>
    <w:rsid w:val="00F95618"/>
    <w:rsid w:val="00F96F7F"/>
    <w:rsid w:val="00F97221"/>
    <w:rsid w:val="00FA0164"/>
    <w:rsid w:val="00FA02A9"/>
    <w:rsid w:val="00FA0766"/>
    <w:rsid w:val="00FA220A"/>
    <w:rsid w:val="00FA2292"/>
    <w:rsid w:val="00FA2DFB"/>
    <w:rsid w:val="00FA4BCF"/>
    <w:rsid w:val="00FA5C5E"/>
    <w:rsid w:val="00FB1396"/>
    <w:rsid w:val="00FB1F72"/>
    <w:rsid w:val="00FB3574"/>
    <w:rsid w:val="00FB4578"/>
    <w:rsid w:val="00FB5593"/>
    <w:rsid w:val="00FB6BB2"/>
    <w:rsid w:val="00FB755D"/>
    <w:rsid w:val="00FC1418"/>
    <w:rsid w:val="00FC1548"/>
    <w:rsid w:val="00FC2384"/>
    <w:rsid w:val="00FC3059"/>
    <w:rsid w:val="00FC369C"/>
    <w:rsid w:val="00FC3BEF"/>
    <w:rsid w:val="00FC5707"/>
    <w:rsid w:val="00FC7AB9"/>
    <w:rsid w:val="00FD285A"/>
    <w:rsid w:val="00FD367A"/>
    <w:rsid w:val="00FD4E8D"/>
    <w:rsid w:val="00FD7688"/>
    <w:rsid w:val="00FE08B7"/>
    <w:rsid w:val="00FE172A"/>
    <w:rsid w:val="00FE221B"/>
    <w:rsid w:val="00FE2A5F"/>
    <w:rsid w:val="00FE3479"/>
    <w:rsid w:val="00FE71F6"/>
    <w:rsid w:val="00FF02E4"/>
    <w:rsid w:val="00FF05F7"/>
    <w:rsid w:val="00FF06E6"/>
    <w:rsid w:val="00FF0EE0"/>
    <w:rsid w:val="00FF1818"/>
    <w:rsid w:val="00FF1848"/>
    <w:rsid w:val="00FF2527"/>
    <w:rsid w:val="00FF2994"/>
    <w:rsid w:val="00FF2A61"/>
    <w:rsid w:val="00FF48A0"/>
    <w:rsid w:val="00FF5843"/>
    <w:rsid w:val="00FF734E"/>
    <w:rsid w:val="00FF73AE"/>
    <w:rsid w:val="00FF77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ZA" w:eastAsia="en-ZA" w:bidi="ar-SA"/>
      </w:rPr>
    </w:rPrDefault>
    <w:pPrDefault>
      <w:pPr>
        <w:spacing w:line="48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basedOn w:val="Normal"/>
    <w:link w:val="FootnoteTextChar"/>
    <w:uiPriority w:val="99"/>
    <w:rsid w:val="00C245D5"/>
    <w:rPr>
      <w:sz w:val="20"/>
      <w:szCs w:val="20"/>
    </w:rPr>
  </w:style>
  <w:style w:type="character" w:customStyle="1" w:styleId="FootnoteTextChar">
    <w:name w:val="Footnote Text Char"/>
    <w:link w:val="FootnoteText"/>
    <w:uiPriority w:val="99"/>
    <w:rsid w:val="00C245D5"/>
    <w:rPr>
      <w:lang w:val="en-GB" w:eastAsia="zh-CN"/>
    </w:rPr>
  </w:style>
  <w:style w:type="character" w:styleId="FootnoteReference">
    <w:name w:val="footnote reference"/>
    <w:uiPriority w:val="99"/>
    <w:rsid w:val="00C245D5"/>
    <w:rPr>
      <w:vertAlign w:val="superscript"/>
    </w:rPr>
  </w:style>
  <w:style w:type="paragraph" w:customStyle="1" w:styleId="Default">
    <w:name w:val="Default"/>
    <w:rsid w:val="0080370D"/>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character" w:styleId="UnresolvedMention">
    <w:name w:val="Unresolved Mention"/>
    <w:basedOn w:val="DefaultParagraphFont"/>
    <w:uiPriority w:val="99"/>
    <w:semiHidden/>
    <w:unhideWhenUsed/>
    <w:rsid w:val="00322FCD"/>
    <w:rPr>
      <w:color w:val="605E5C"/>
      <w:shd w:val="clear" w:color="auto" w:fill="E1DFDD"/>
    </w:rPr>
  </w:style>
  <w:style w:type="character" w:styleId="CommentReference">
    <w:name w:val="annotation reference"/>
    <w:basedOn w:val="DefaultParagraphFont"/>
    <w:rsid w:val="00A51DF3"/>
    <w:rPr>
      <w:sz w:val="16"/>
      <w:szCs w:val="16"/>
    </w:rPr>
  </w:style>
  <w:style w:type="paragraph" w:styleId="CommentText">
    <w:name w:val="annotation text"/>
    <w:basedOn w:val="Normal"/>
    <w:link w:val="CommentTextChar"/>
    <w:rsid w:val="00A51DF3"/>
    <w:pPr>
      <w:spacing w:line="240" w:lineRule="auto"/>
    </w:pPr>
    <w:rPr>
      <w:sz w:val="20"/>
      <w:szCs w:val="20"/>
    </w:rPr>
  </w:style>
  <w:style w:type="character" w:customStyle="1" w:styleId="CommentTextChar">
    <w:name w:val="Comment Text Char"/>
    <w:basedOn w:val="DefaultParagraphFont"/>
    <w:link w:val="CommentText"/>
    <w:rsid w:val="00A51DF3"/>
    <w:rPr>
      <w:lang w:val="en-GB" w:eastAsia="zh-CN"/>
    </w:rPr>
  </w:style>
  <w:style w:type="paragraph" w:styleId="CommentSubject">
    <w:name w:val="annotation subject"/>
    <w:basedOn w:val="CommentText"/>
    <w:next w:val="CommentText"/>
    <w:link w:val="CommentSubjectChar"/>
    <w:rsid w:val="00A51DF3"/>
    <w:rPr>
      <w:b/>
      <w:bCs/>
    </w:rPr>
  </w:style>
  <w:style w:type="character" w:customStyle="1" w:styleId="CommentSubjectChar">
    <w:name w:val="Comment Subject Char"/>
    <w:basedOn w:val="CommentTextChar"/>
    <w:link w:val="CommentSubject"/>
    <w:rsid w:val="00A51DF3"/>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lla@crlawchambers.co.za" TargetMode="External"/><Relationship Id="rId4" Type="http://schemas.openxmlformats.org/officeDocument/2006/relationships/settings" Target="settings.xml"/><Relationship Id="rId9" Type="http://schemas.openxmlformats.org/officeDocument/2006/relationships/hyperlink" Target="mailto:francois@franlaw.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2D93-2642-47D5-B727-7F768BDE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14</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17121</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Gregory Ally</cp:lastModifiedBy>
  <cp:revision>10</cp:revision>
  <cp:lastPrinted>2023-02-09T14:26:00Z</cp:lastPrinted>
  <dcterms:created xsi:type="dcterms:W3CDTF">2024-02-05T07:23:00Z</dcterms:created>
  <dcterms:modified xsi:type="dcterms:W3CDTF">2024-02-20T12:32:00Z</dcterms:modified>
</cp:coreProperties>
</file>