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05" w:rsidRDefault="00D82005" w:rsidP="00D82005">
      <w:pPr>
        <w:rPr>
          <w:b/>
          <w:sz w:val="32"/>
          <w:szCs w:val="32"/>
        </w:rPr>
      </w:pPr>
      <w:bookmarkStart w:id="0" w:name="_GoBack"/>
      <w:r>
        <w:rPr>
          <w:b/>
          <w:noProof/>
          <w:sz w:val="32"/>
          <w:szCs w:val="32"/>
          <w:lang w:val="en-US"/>
        </w:rPr>
        <w:drawing>
          <wp:inline distT="0" distB="0" distL="0" distR="0">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bookmarkEnd w:id="0"/>
    </w:p>
    <w:p w:rsidR="009722C3" w:rsidRPr="00284984" w:rsidRDefault="009722C3" w:rsidP="009722C3">
      <w:pPr>
        <w:jc w:val="center"/>
        <w:rPr>
          <w:b/>
          <w:sz w:val="32"/>
          <w:szCs w:val="32"/>
        </w:rPr>
      </w:pPr>
      <w:r w:rsidRPr="00284984">
        <w:rPr>
          <w:b/>
          <w:sz w:val="32"/>
          <w:szCs w:val="32"/>
        </w:rPr>
        <w:t>REPUBLIC OF SOUTH AFRICA</w:t>
      </w:r>
    </w:p>
    <w:p w:rsidR="009722C3" w:rsidRDefault="009722C3" w:rsidP="009722C3">
      <w:pPr>
        <w:jc w:val="center"/>
      </w:pPr>
      <w:r>
        <w:rPr>
          <w:noProof/>
          <w:lang w:val="en-US"/>
        </w:rPr>
        <w:drawing>
          <wp:inline distT="0" distB="0" distL="0" distR="0" wp14:anchorId="1A487F01" wp14:editId="6A3CFF3C">
            <wp:extent cx="1371600" cy="11525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rsidR="009722C3" w:rsidRPr="00284984" w:rsidRDefault="009722C3" w:rsidP="009722C3">
      <w:pPr>
        <w:jc w:val="center"/>
        <w:rPr>
          <w:b/>
          <w:sz w:val="32"/>
          <w:szCs w:val="32"/>
        </w:rPr>
      </w:pPr>
      <w:r w:rsidRPr="00284984">
        <w:rPr>
          <w:b/>
          <w:sz w:val="32"/>
          <w:szCs w:val="32"/>
        </w:rPr>
        <w:t>IN THE HIGH COURT OF SOUTH AFRICA</w:t>
      </w:r>
    </w:p>
    <w:p w:rsidR="009722C3" w:rsidRPr="00284984" w:rsidRDefault="009722C3" w:rsidP="009722C3">
      <w:pPr>
        <w:jc w:val="center"/>
        <w:rPr>
          <w:b/>
          <w:sz w:val="32"/>
          <w:szCs w:val="32"/>
        </w:rPr>
      </w:pPr>
      <w:r w:rsidRPr="00284984">
        <w:rPr>
          <w:b/>
          <w:sz w:val="32"/>
          <w:szCs w:val="32"/>
        </w:rPr>
        <w:t>(GAUTENG DIVISION, PRETORIA)</w:t>
      </w:r>
    </w:p>
    <w:tbl>
      <w:tblPr>
        <w:tblStyle w:val="TableGrid"/>
        <w:tblW w:w="0" w:type="auto"/>
        <w:tblLook w:val="04A0" w:firstRow="1" w:lastRow="0" w:firstColumn="1" w:lastColumn="0" w:noHBand="0" w:noVBand="1"/>
      </w:tblPr>
      <w:tblGrid>
        <w:gridCol w:w="4928"/>
      </w:tblGrid>
      <w:tr w:rsidR="009722C3" w:rsidTr="00232097">
        <w:tc>
          <w:tcPr>
            <w:tcW w:w="4928" w:type="dxa"/>
          </w:tcPr>
          <w:p w:rsidR="009722C3" w:rsidRDefault="009722C3" w:rsidP="009722C3">
            <w:pPr>
              <w:pStyle w:val="ListParagraph"/>
              <w:numPr>
                <w:ilvl w:val="0"/>
                <w:numId w:val="1"/>
              </w:numPr>
            </w:pPr>
            <w:r>
              <w:t>REPORTABLE:    YES / NO</w:t>
            </w:r>
          </w:p>
          <w:p w:rsidR="009722C3" w:rsidRDefault="009722C3" w:rsidP="009722C3">
            <w:pPr>
              <w:pStyle w:val="ListParagraph"/>
              <w:numPr>
                <w:ilvl w:val="0"/>
                <w:numId w:val="1"/>
              </w:numPr>
            </w:pPr>
            <w:r>
              <w:t>OF INTEREST TO OTHER JUDGES:   YES / NO</w:t>
            </w:r>
          </w:p>
          <w:p w:rsidR="009722C3" w:rsidRDefault="009722C3" w:rsidP="009722C3">
            <w:pPr>
              <w:pStyle w:val="ListParagraph"/>
              <w:numPr>
                <w:ilvl w:val="0"/>
                <w:numId w:val="1"/>
              </w:numPr>
            </w:pPr>
            <w:r>
              <w:t>REVISED:</w:t>
            </w:r>
          </w:p>
          <w:p w:rsidR="009722C3" w:rsidRDefault="009722C3" w:rsidP="00232097"/>
          <w:p w:rsidR="009722C3" w:rsidRDefault="00072DC7" w:rsidP="00232097">
            <w:r>
              <w:t xml:space="preserve">18 February 2024          </w:t>
            </w:r>
          </w:p>
          <w:p w:rsidR="009722C3" w:rsidRDefault="009722C3" w:rsidP="00232097">
            <w:r>
              <w:t>DATE                                   SIGNATURE</w:t>
            </w:r>
          </w:p>
          <w:p w:rsidR="009722C3" w:rsidRDefault="009722C3" w:rsidP="00232097"/>
        </w:tc>
      </w:tr>
    </w:tbl>
    <w:p w:rsidR="00537F48" w:rsidRDefault="00537F48">
      <w:pPr>
        <w:rPr>
          <w:sz w:val="28"/>
          <w:szCs w:val="28"/>
        </w:rPr>
      </w:pPr>
    </w:p>
    <w:p w:rsidR="00537F48" w:rsidRDefault="00537F48">
      <w:pPr>
        <w:rPr>
          <w:b/>
          <w:sz w:val="28"/>
          <w:szCs w:val="28"/>
        </w:rPr>
      </w:pPr>
      <w:r w:rsidRPr="00537F48">
        <w:rPr>
          <w:b/>
          <w:sz w:val="28"/>
          <w:szCs w:val="28"/>
        </w:rPr>
        <w:t xml:space="preserve">                                                           </w:t>
      </w:r>
      <w:r>
        <w:rPr>
          <w:b/>
          <w:sz w:val="28"/>
          <w:szCs w:val="28"/>
        </w:rPr>
        <w:t xml:space="preserve">    </w:t>
      </w:r>
      <w:r w:rsidR="009202CD">
        <w:rPr>
          <w:b/>
          <w:sz w:val="28"/>
          <w:szCs w:val="28"/>
        </w:rPr>
        <w:t xml:space="preserve">                                         CASE NO:  203/2022</w:t>
      </w:r>
    </w:p>
    <w:p w:rsidR="00537F48" w:rsidRDefault="00537F48">
      <w:pPr>
        <w:rPr>
          <w:sz w:val="28"/>
          <w:szCs w:val="28"/>
        </w:rPr>
      </w:pPr>
      <w:r>
        <w:rPr>
          <w:sz w:val="28"/>
          <w:szCs w:val="28"/>
        </w:rPr>
        <w:t>In the matter between:</w:t>
      </w:r>
    </w:p>
    <w:p w:rsidR="00537F48" w:rsidRPr="00537F48" w:rsidRDefault="009202CD">
      <w:pPr>
        <w:rPr>
          <w:b/>
          <w:sz w:val="28"/>
          <w:szCs w:val="28"/>
        </w:rPr>
      </w:pPr>
      <w:r>
        <w:rPr>
          <w:b/>
          <w:sz w:val="28"/>
          <w:szCs w:val="28"/>
        </w:rPr>
        <w:t>N S</w:t>
      </w:r>
      <w:r w:rsidR="00EB43BA">
        <w:rPr>
          <w:b/>
          <w:sz w:val="28"/>
          <w:szCs w:val="28"/>
        </w:rPr>
        <w:t>[…]</w:t>
      </w:r>
      <w:r>
        <w:rPr>
          <w:b/>
          <w:sz w:val="28"/>
          <w:szCs w:val="28"/>
        </w:rPr>
        <w:t xml:space="preserve"> obo CJW S</w:t>
      </w:r>
      <w:r w:rsidR="00EB43BA">
        <w:rPr>
          <w:b/>
          <w:sz w:val="28"/>
          <w:szCs w:val="28"/>
        </w:rPr>
        <w:t>[...]</w:t>
      </w:r>
      <w:r>
        <w:rPr>
          <w:b/>
          <w:sz w:val="28"/>
          <w:szCs w:val="28"/>
        </w:rPr>
        <w:t xml:space="preserve">                                                       Applicant</w:t>
      </w:r>
    </w:p>
    <w:p w:rsidR="00537F48" w:rsidRDefault="00537F48">
      <w:pPr>
        <w:rPr>
          <w:sz w:val="28"/>
          <w:szCs w:val="28"/>
        </w:rPr>
      </w:pPr>
    </w:p>
    <w:p w:rsidR="00537F48" w:rsidRDefault="00537F48">
      <w:pPr>
        <w:rPr>
          <w:sz w:val="28"/>
          <w:szCs w:val="28"/>
        </w:rPr>
      </w:pPr>
      <w:r>
        <w:rPr>
          <w:sz w:val="28"/>
          <w:szCs w:val="28"/>
        </w:rPr>
        <w:t>and</w:t>
      </w:r>
    </w:p>
    <w:p w:rsidR="00537F48" w:rsidRDefault="00537F48">
      <w:pPr>
        <w:rPr>
          <w:sz w:val="28"/>
          <w:szCs w:val="28"/>
        </w:rPr>
      </w:pPr>
    </w:p>
    <w:p w:rsidR="00537F48" w:rsidRDefault="00537F48">
      <w:pPr>
        <w:rPr>
          <w:b/>
          <w:sz w:val="28"/>
          <w:szCs w:val="28"/>
        </w:rPr>
      </w:pPr>
      <w:r>
        <w:rPr>
          <w:b/>
          <w:sz w:val="28"/>
          <w:szCs w:val="28"/>
        </w:rPr>
        <w:t xml:space="preserve">PROFESSIONAL PROVIDENT FUND SOCIETY                 </w:t>
      </w:r>
      <w:r w:rsidR="009202CD">
        <w:rPr>
          <w:b/>
          <w:sz w:val="28"/>
          <w:szCs w:val="28"/>
        </w:rPr>
        <w:t xml:space="preserve">                First Respondent</w:t>
      </w:r>
    </w:p>
    <w:p w:rsidR="00537F48" w:rsidRDefault="00537F48">
      <w:pPr>
        <w:rPr>
          <w:b/>
          <w:sz w:val="28"/>
          <w:szCs w:val="28"/>
        </w:rPr>
      </w:pPr>
      <w:r>
        <w:rPr>
          <w:b/>
          <w:sz w:val="28"/>
          <w:szCs w:val="28"/>
        </w:rPr>
        <w:t>SANLAM LIFE INSURANCE LIMITED                                          Second Respondent</w:t>
      </w:r>
    </w:p>
    <w:p w:rsidR="00537F48" w:rsidRDefault="00537F48">
      <w:pPr>
        <w:rPr>
          <w:b/>
          <w:sz w:val="28"/>
          <w:szCs w:val="28"/>
        </w:rPr>
      </w:pPr>
      <w:r>
        <w:rPr>
          <w:b/>
          <w:sz w:val="28"/>
          <w:szCs w:val="28"/>
        </w:rPr>
        <w:t>PENSION FUND ADJUDICATOR                                                      Third Respondent</w:t>
      </w:r>
    </w:p>
    <w:p w:rsidR="00537F48" w:rsidRDefault="00537F48">
      <w:pPr>
        <w:rPr>
          <w:b/>
          <w:sz w:val="28"/>
          <w:szCs w:val="28"/>
        </w:rPr>
      </w:pPr>
      <w:r>
        <w:rPr>
          <w:b/>
          <w:sz w:val="28"/>
          <w:szCs w:val="28"/>
        </w:rPr>
        <w:t xml:space="preserve">FINANCIAL SERVICES TRIBUNAL AND </w:t>
      </w:r>
    </w:p>
    <w:p w:rsidR="00537F48" w:rsidRDefault="00537F48">
      <w:pPr>
        <w:rPr>
          <w:b/>
          <w:sz w:val="28"/>
          <w:szCs w:val="28"/>
        </w:rPr>
      </w:pPr>
      <w:r>
        <w:rPr>
          <w:b/>
          <w:sz w:val="28"/>
          <w:szCs w:val="28"/>
        </w:rPr>
        <w:t>DEPUTY CHAIRPOESRON LTC HARMS                                       Fourth Respondent</w:t>
      </w:r>
    </w:p>
    <w:p w:rsidR="009202CD" w:rsidRDefault="00EB43BA">
      <w:pPr>
        <w:rPr>
          <w:b/>
          <w:sz w:val="28"/>
          <w:szCs w:val="28"/>
        </w:rPr>
      </w:pPr>
      <w:r>
        <w:rPr>
          <w:b/>
          <w:sz w:val="28"/>
          <w:szCs w:val="28"/>
        </w:rPr>
        <w:lastRenderedPageBreak/>
        <w:t>E[…]</w:t>
      </w:r>
      <w:r w:rsidR="00537F48">
        <w:rPr>
          <w:b/>
          <w:sz w:val="28"/>
          <w:szCs w:val="28"/>
        </w:rPr>
        <w:t xml:space="preserve"> S</w:t>
      </w:r>
      <w:r>
        <w:rPr>
          <w:b/>
          <w:sz w:val="28"/>
          <w:szCs w:val="28"/>
        </w:rPr>
        <w:t>[…]</w:t>
      </w:r>
      <w:r w:rsidR="00537F48">
        <w:rPr>
          <w:b/>
          <w:sz w:val="28"/>
          <w:szCs w:val="28"/>
        </w:rPr>
        <w:t xml:space="preserve">                                                             </w:t>
      </w:r>
      <w:r w:rsidR="009202CD">
        <w:rPr>
          <w:b/>
          <w:sz w:val="28"/>
          <w:szCs w:val="28"/>
        </w:rPr>
        <w:t xml:space="preserve">                </w:t>
      </w:r>
      <w:r>
        <w:rPr>
          <w:b/>
          <w:sz w:val="28"/>
          <w:szCs w:val="28"/>
        </w:rPr>
        <w:tab/>
      </w:r>
      <w:r w:rsidR="009202CD">
        <w:rPr>
          <w:b/>
          <w:sz w:val="28"/>
          <w:szCs w:val="28"/>
        </w:rPr>
        <w:t xml:space="preserve">Fifth Respondent </w:t>
      </w:r>
    </w:p>
    <w:p w:rsidR="00537F48" w:rsidRDefault="00754223">
      <w:pPr>
        <w:rPr>
          <w:b/>
          <w:sz w:val="28"/>
          <w:szCs w:val="28"/>
        </w:rPr>
      </w:pPr>
      <w:r>
        <w:rPr>
          <w:b/>
          <w:sz w:val="28"/>
          <w:szCs w:val="28"/>
        </w:rPr>
        <w:t>________________________________________________________________</w:t>
      </w:r>
    </w:p>
    <w:p w:rsidR="00537F48" w:rsidRDefault="00537F48">
      <w:pPr>
        <w:rPr>
          <w:b/>
          <w:sz w:val="28"/>
          <w:szCs w:val="28"/>
        </w:rPr>
      </w:pPr>
      <w:r>
        <w:rPr>
          <w:b/>
          <w:sz w:val="28"/>
          <w:szCs w:val="28"/>
        </w:rPr>
        <w:t xml:space="preserve">                                                               JUDGMENT</w:t>
      </w:r>
    </w:p>
    <w:p w:rsidR="00754223" w:rsidRDefault="00754223">
      <w:pPr>
        <w:rPr>
          <w:b/>
          <w:sz w:val="28"/>
          <w:szCs w:val="28"/>
        </w:rPr>
      </w:pPr>
      <w:r>
        <w:rPr>
          <w:b/>
          <w:sz w:val="28"/>
          <w:szCs w:val="28"/>
        </w:rPr>
        <w:t>________________________________________________________________</w:t>
      </w:r>
    </w:p>
    <w:p w:rsidR="00537F48" w:rsidRDefault="00537F48">
      <w:pPr>
        <w:rPr>
          <w:b/>
          <w:sz w:val="28"/>
          <w:szCs w:val="28"/>
        </w:rPr>
      </w:pPr>
    </w:p>
    <w:p w:rsidR="00537F48" w:rsidRDefault="00537F48" w:rsidP="00754223">
      <w:pPr>
        <w:jc w:val="both"/>
        <w:rPr>
          <w:i/>
          <w:sz w:val="28"/>
          <w:szCs w:val="28"/>
        </w:rPr>
      </w:pPr>
      <w:r>
        <w:rPr>
          <w:i/>
          <w:sz w:val="28"/>
          <w:szCs w:val="28"/>
        </w:rPr>
        <w:t>(The matter was heard /argued in open court on 14 November 2023, and having heard both counsel for the parties, judgment was reserved. The reserved judgment was uploaded onto CaseLines and the date of uploading onto CaseLines is deemed to be the date of the judgment)</w:t>
      </w:r>
    </w:p>
    <w:p w:rsidR="00B51B5F" w:rsidRDefault="00B51B5F" w:rsidP="00754223">
      <w:pPr>
        <w:jc w:val="both"/>
        <w:rPr>
          <w:i/>
          <w:sz w:val="28"/>
          <w:szCs w:val="28"/>
        </w:rPr>
      </w:pPr>
    </w:p>
    <w:p w:rsidR="00B51B5F" w:rsidRDefault="00B51B5F" w:rsidP="00754223">
      <w:pPr>
        <w:jc w:val="both"/>
        <w:rPr>
          <w:b/>
          <w:sz w:val="28"/>
          <w:szCs w:val="28"/>
        </w:rPr>
      </w:pPr>
      <w:r>
        <w:rPr>
          <w:sz w:val="28"/>
          <w:szCs w:val="28"/>
        </w:rPr>
        <w:t xml:space="preserve">BEFORE: </w:t>
      </w:r>
      <w:r>
        <w:rPr>
          <w:b/>
          <w:sz w:val="28"/>
          <w:szCs w:val="28"/>
        </w:rPr>
        <w:t>HOLLAND-MUTER J:</w:t>
      </w:r>
    </w:p>
    <w:p w:rsidR="00B51B5F" w:rsidRDefault="00B51B5F" w:rsidP="00754223">
      <w:pPr>
        <w:jc w:val="both"/>
        <w:rPr>
          <w:b/>
          <w:sz w:val="28"/>
          <w:szCs w:val="28"/>
        </w:rPr>
      </w:pPr>
    </w:p>
    <w:p w:rsidR="00B51B5F" w:rsidRDefault="00B51B5F" w:rsidP="00754223">
      <w:pPr>
        <w:jc w:val="both"/>
        <w:rPr>
          <w:sz w:val="28"/>
          <w:szCs w:val="28"/>
        </w:rPr>
      </w:pPr>
      <w:r>
        <w:rPr>
          <w:sz w:val="28"/>
          <w:szCs w:val="28"/>
        </w:rPr>
        <w:t xml:space="preserve">[1] The applicant, in her capacity as </w:t>
      </w:r>
      <w:r w:rsidR="00BC4805">
        <w:rPr>
          <w:sz w:val="28"/>
          <w:szCs w:val="28"/>
        </w:rPr>
        <w:t>guardian of her minor son, moves for an order that the relevant decision, made by the fourth respondent in dismissing her complaint in terms of section 230 of the Financial Sector Regulation Act, 9 of 2017 (“FSR-Act”),</w:t>
      </w:r>
      <w:r w:rsidR="005F1A70">
        <w:rPr>
          <w:sz w:val="28"/>
          <w:szCs w:val="28"/>
        </w:rPr>
        <w:t xml:space="preserve"> be reviewed and referr</w:t>
      </w:r>
      <w:r w:rsidR="00BC4805">
        <w:rPr>
          <w:sz w:val="28"/>
          <w:szCs w:val="28"/>
        </w:rPr>
        <w:t xml:space="preserve">ed back to the fourth respondent for re-consideration of her initial complaint. </w:t>
      </w:r>
    </w:p>
    <w:p w:rsidR="00BC4805" w:rsidRDefault="00BC4805" w:rsidP="00754223">
      <w:pPr>
        <w:jc w:val="both"/>
        <w:rPr>
          <w:sz w:val="28"/>
          <w:szCs w:val="28"/>
        </w:rPr>
      </w:pPr>
    </w:p>
    <w:p w:rsidR="005F1A70" w:rsidRDefault="00BC4805" w:rsidP="00754223">
      <w:pPr>
        <w:jc w:val="both"/>
        <w:rPr>
          <w:sz w:val="28"/>
          <w:szCs w:val="28"/>
        </w:rPr>
      </w:pPr>
      <w:r>
        <w:rPr>
          <w:sz w:val="28"/>
          <w:szCs w:val="28"/>
        </w:rPr>
        <w:t xml:space="preserve">[2] The </w:t>
      </w:r>
      <w:r w:rsidR="005F1A70">
        <w:rPr>
          <w:sz w:val="28"/>
          <w:szCs w:val="28"/>
        </w:rPr>
        <w:t>fourth respondent’s refusal to adjudicate the complaint was squarely because of the non-joinder of the fifth respondent to the initial proceedings.   The fourth respondent did not find on the merits of the complaint and indicated that it will abide with the decision of the court.</w:t>
      </w:r>
    </w:p>
    <w:p w:rsidR="005F1A70" w:rsidRDefault="005F1A70" w:rsidP="00754223">
      <w:pPr>
        <w:jc w:val="both"/>
        <w:rPr>
          <w:sz w:val="28"/>
          <w:szCs w:val="28"/>
        </w:rPr>
      </w:pPr>
    </w:p>
    <w:p w:rsidR="00BC4805" w:rsidRDefault="005F1A70" w:rsidP="00754223">
      <w:pPr>
        <w:jc w:val="both"/>
        <w:rPr>
          <w:sz w:val="28"/>
          <w:szCs w:val="28"/>
        </w:rPr>
      </w:pPr>
      <w:r>
        <w:rPr>
          <w:sz w:val="28"/>
          <w:szCs w:val="28"/>
        </w:rPr>
        <w:t xml:space="preserve">[3] The applicant applies for condonation for failure to bring her application within the 180 days provided for in section 7(1)(b) of the Promotion of Administrative Justice Act, 3 of 2000 (“PAJA”).   </w:t>
      </w:r>
    </w:p>
    <w:p w:rsidR="00BC4805" w:rsidRDefault="00BC4805" w:rsidP="00754223">
      <w:pPr>
        <w:jc w:val="both"/>
        <w:rPr>
          <w:sz w:val="28"/>
          <w:szCs w:val="28"/>
        </w:rPr>
      </w:pPr>
    </w:p>
    <w:p w:rsidR="00D0288E" w:rsidRDefault="005F1A70" w:rsidP="00754223">
      <w:pPr>
        <w:jc w:val="both"/>
        <w:rPr>
          <w:sz w:val="28"/>
          <w:szCs w:val="28"/>
        </w:rPr>
      </w:pPr>
      <w:r>
        <w:rPr>
          <w:sz w:val="28"/>
          <w:szCs w:val="28"/>
        </w:rPr>
        <w:lastRenderedPageBreak/>
        <w:t xml:space="preserve">[4] It is </w:t>
      </w:r>
      <w:r w:rsidR="006D6E2A">
        <w:rPr>
          <w:sz w:val="28"/>
          <w:szCs w:val="28"/>
        </w:rPr>
        <w:t xml:space="preserve">clear that </w:t>
      </w:r>
      <w:r>
        <w:rPr>
          <w:sz w:val="28"/>
          <w:szCs w:val="28"/>
        </w:rPr>
        <w:t>the application</w:t>
      </w:r>
      <w:r w:rsidR="006D6E2A">
        <w:rPr>
          <w:sz w:val="28"/>
          <w:szCs w:val="28"/>
        </w:rPr>
        <w:t xml:space="preserve"> was served on 5 January 2022 and that the applicant</w:t>
      </w:r>
      <w:r w:rsidR="00D0288E">
        <w:rPr>
          <w:sz w:val="28"/>
          <w:szCs w:val="28"/>
        </w:rPr>
        <w:t>’s attorney</w:t>
      </w:r>
      <w:r w:rsidR="006D6E2A">
        <w:rPr>
          <w:sz w:val="28"/>
          <w:szCs w:val="28"/>
        </w:rPr>
        <w:t xml:space="preserve"> received notice of the fourth respondent’s dismissal of her complaint on 7 July 2</w:t>
      </w:r>
      <w:r w:rsidR="00D0288E">
        <w:rPr>
          <w:sz w:val="28"/>
          <w:szCs w:val="28"/>
        </w:rPr>
        <w:t xml:space="preserve">021. The attorney forwarded the notice to the applicant on 14 July 2021. If accepted that she, via her attorney, received the notice on 7 July 2021, her review application was three days beyond the 180 days provided the review application was delivered inside the 180 days. </w:t>
      </w:r>
    </w:p>
    <w:p w:rsidR="00D0288E" w:rsidRDefault="00D0288E" w:rsidP="00754223">
      <w:pPr>
        <w:jc w:val="both"/>
        <w:rPr>
          <w:sz w:val="28"/>
          <w:szCs w:val="28"/>
        </w:rPr>
      </w:pPr>
    </w:p>
    <w:p w:rsidR="00D0288E" w:rsidRDefault="00D0288E" w:rsidP="00754223">
      <w:pPr>
        <w:jc w:val="both"/>
        <w:rPr>
          <w:sz w:val="28"/>
          <w:szCs w:val="28"/>
        </w:rPr>
      </w:pPr>
      <w:r>
        <w:rPr>
          <w:sz w:val="28"/>
          <w:szCs w:val="28"/>
        </w:rPr>
        <w:t>[5] At worst for the applicant her review application was served three days outside the 180 days. The condonation application deals with this aspect. If the court is satisfied that the review application was three days outside the 180 days, the court has to consider whether the delay was reasonable and whether the court can extend the 180 days as provided for in section 9 of PAJA.</w:t>
      </w:r>
    </w:p>
    <w:p w:rsidR="00D0288E" w:rsidRDefault="00D0288E" w:rsidP="00754223">
      <w:pPr>
        <w:jc w:val="both"/>
        <w:rPr>
          <w:sz w:val="28"/>
          <w:szCs w:val="28"/>
        </w:rPr>
      </w:pPr>
    </w:p>
    <w:p w:rsidR="008219F1" w:rsidRDefault="00D0288E" w:rsidP="00754223">
      <w:pPr>
        <w:jc w:val="both"/>
        <w:rPr>
          <w:sz w:val="28"/>
          <w:szCs w:val="28"/>
        </w:rPr>
      </w:pPr>
      <w:r>
        <w:rPr>
          <w:sz w:val="28"/>
          <w:szCs w:val="28"/>
        </w:rPr>
        <w:t xml:space="preserve">[6] In </w:t>
      </w:r>
      <w:r>
        <w:rPr>
          <w:b/>
          <w:sz w:val="28"/>
          <w:szCs w:val="28"/>
        </w:rPr>
        <w:t xml:space="preserve">City of Cape Town v Aurecon SA (Pty) Ltd [2017] ZACC 5 (28/02/2017) at par [41] </w:t>
      </w:r>
      <w:r w:rsidR="008219F1">
        <w:rPr>
          <w:sz w:val="28"/>
          <w:szCs w:val="28"/>
        </w:rPr>
        <w:t xml:space="preserve">and in </w:t>
      </w:r>
      <w:r w:rsidR="008219F1">
        <w:rPr>
          <w:b/>
          <w:sz w:val="28"/>
          <w:szCs w:val="28"/>
        </w:rPr>
        <w:t xml:space="preserve">Asia Construction (Pty) Ltd v Buffalo </w:t>
      </w:r>
      <w:r w:rsidR="008219F1" w:rsidRPr="008219F1">
        <w:rPr>
          <w:b/>
          <w:sz w:val="28"/>
          <w:szCs w:val="28"/>
        </w:rPr>
        <w:t>City Metropolitan</w:t>
      </w:r>
      <w:r w:rsidR="008219F1">
        <w:rPr>
          <w:sz w:val="28"/>
          <w:szCs w:val="28"/>
        </w:rPr>
        <w:t xml:space="preserve"> </w:t>
      </w:r>
      <w:r w:rsidR="008219F1" w:rsidRPr="008219F1">
        <w:rPr>
          <w:b/>
          <w:sz w:val="28"/>
          <w:szCs w:val="28"/>
        </w:rPr>
        <w:t>Mu</w:t>
      </w:r>
      <w:r w:rsidR="008219F1">
        <w:rPr>
          <w:b/>
          <w:sz w:val="28"/>
          <w:szCs w:val="28"/>
        </w:rPr>
        <w:t xml:space="preserve">nicipality [2017] ZASCA 23 (24/03/2017) at par [7] </w:t>
      </w:r>
      <w:r w:rsidR="008219F1">
        <w:rPr>
          <w:sz w:val="28"/>
          <w:szCs w:val="28"/>
        </w:rPr>
        <w:t>it was held that section 7(1) of PAJA refers to the date on which the reasons for administrative action became known or ought reasonably to have become known to the party seeking the judicial review. On this premises, it is clear that the applicant is deemed to have obtained notice of the decision of the fourth respondent on 7 July 2021. The review application was therefore 3 days out of time.</w:t>
      </w:r>
    </w:p>
    <w:p w:rsidR="008219F1" w:rsidRDefault="008219F1" w:rsidP="00754223">
      <w:pPr>
        <w:jc w:val="both"/>
        <w:rPr>
          <w:sz w:val="28"/>
          <w:szCs w:val="28"/>
        </w:rPr>
      </w:pPr>
    </w:p>
    <w:p w:rsidR="008219F1" w:rsidRDefault="008219F1" w:rsidP="00754223">
      <w:pPr>
        <w:jc w:val="both"/>
        <w:rPr>
          <w:sz w:val="28"/>
          <w:szCs w:val="28"/>
        </w:rPr>
      </w:pPr>
      <w:r>
        <w:rPr>
          <w:sz w:val="28"/>
          <w:szCs w:val="28"/>
        </w:rPr>
        <w:t>[7] To exercise its discretion to extend the 180 days, the applicant ought to convince the court that the delay was reasonable and that there are facts and circumstances justifying the court to condone the non-compliance of the 180 day time limit. The relevant factors</w:t>
      </w:r>
      <w:r w:rsidR="00D0288E" w:rsidRPr="008219F1">
        <w:rPr>
          <w:b/>
          <w:sz w:val="28"/>
          <w:szCs w:val="28"/>
        </w:rPr>
        <w:t xml:space="preserve"> </w:t>
      </w:r>
      <w:r>
        <w:rPr>
          <w:sz w:val="28"/>
          <w:szCs w:val="28"/>
        </w:rPr>
        <w:t>include:</w:t>
      </w:r>
    </w:p>
    <w:p w:rsidR="00B014F8" w:rsidRDefault="00B014F8" w:rsidP="00754223">
      <w:pPr>
        <w:jc w:val="both"/>
        <w:rPr>
          <w:b/>
          <w:sz w:val="28"/>
          <w:szCs w:val="28"/>
        </w:rPr>
      </w:pPr>
    </w:p>
    <w:p w:rsidR="008219F1" w:rsidRDefault="008219F1" w:rsidP="00754223">
      <w:pPr>
        <w:jc w:val="both"/>
        <w:rPr>
          <w:sz w:val="28"/>
          <w:szCs w:val="28"/>
        </w:rPr>
      </w:pPr>
      <w:r>
        <w:rPr>
          <w:b/>
          <w:sz w:val="28"/>
          <w:szCs w:val="28"/>
        </w:rPr>
        <w:t xml:space="preserve">* </w:t>
      </w:r>
      <w:r>
        <w:rPr>
          <w:sz w:val="28"/>
          <w:szCs w:val="28"/>
        </w:rPr>
        <w:t>the nature of the relief sought;</w:t>
      </w:r>
    </w:p>
    <w:p w:rsidR="00B014F8" w:rsidRDefault="00B014F8" w:rsidP="00754223">
      <w:pPr>
        <w:jc w:val="both"/>
        <w:rPr>
          <w:sz w:val="28"/>
          <w:szCs w:val="28"/>
        </w:rPr>
      </w:pPr>
    </w:p>
    <w:p w:rsidR="008219F1" w:rsidRDefault="008219F1" w:rsidP="00754223">
      <w:pPr>
        <w:jc w:val="both"/>
        <w:rPr>
          <w:sz w:val="28"/>
          <w:szCs w:val="28"/>
        </w:rPr>
      </w:pPr>
      <w:r>
        <w:rPr>
          <w:sz w:val="28"/>
          <w:szCs w:val="28"/>
        </w:rPr>
        <w:t>* the extent and cause of the delay;</w:t>
      </w:r>
    </w:p>
    <w:p w:rsidR="00B014F8" w:rsidRDefault="00B014F8" w:rsidP="00754223">
      <w:pPr>
        <w:jc w:val="both"/>
        <w:rPr>
          <w:sz w:val="28"/>
          <w:szCs w:val="28"/>
        </w:rPr>
      </w:pPr>
    </w:p>
    <w:p w:rsidR="008219F1" w:rsidRDefault="008219F1" w:rsidP="00754223">
      <w:pPr>
        <w:jc w:val="both"/>
        <w:rPr>
          <w:sz w:val="28"/>
          <w:szCs w:val="28"/>
        </w:rPr>
      </w:pPr>
      <w:r>
        <w:rPr>
          <w:sz w:val="28"/>
          <w:szCs w:val="28"/>
        </w:rPr>
        <w:t>*its effect on the administration of justice and the other litigants;</w:t>
      </w:r>
    </w:p>
    <w:p w:rsidR="00B014F8" w:rsidRDefault="00B014F8" w:rsidP="00754223">
      <w:pPr>
        <w:jc w:val="both"/>
        <w:rPr>
          <w:sz w:val="28"/>
          <w:szCs w:val="28"/>
        </w:rPr>
      </w:pPr>
    </w:p>
    <w:p w:rsidR="008219F1" w:rsidRDefault="008219F1" w:rsidP="00754223">
      <w:pPr>
        <w:jc w:val="both"/>
        <w:rPr>
          <w:sz w:val="28"/>
          <w:szCs w:val="28"/>
        </w:rPr>
      </w:pPr>
      <w:r>
        <w:rPr>
          <w:sz w:val="28"/>
          <w:szCs w:val="28"/>
        </w:rPr>
        <w:t>* the reasonableness of the explanation for the delay;</w:t>
      </w:r>
    </w:p>
    <w:p w:rsidR="00B014F8" w:rsidRDefault="00B014F8" w:rsidP="00754223">
      <w:pPr>
        <w:jc w:val="both"/>
        <w:rPr>
          <w:sz w:val="28"/>
          <w:szCs w:val="28"/>
        </w:rPr>
      </w:pPr>
    </w:p>
    <w:p w:rsidR="008219F1" w:rsidRDefault="008219F1" w:rsidP="00754223">
      <w:pPr>
        <w:jc w:val="both"/>
        <w:rPr>
          <w:sz w:val="28"/>
          <w:szCs w:val="28"/>
        </w:rPr>
      </w:pPr>
      <w:r>
        <w:rPr>
          <w:sz w:val="28"/>
          <w:szCs w:val="28"/>
        </w:rPr>
        <w:t>*the importance of the issue to be raised; and</w:t>
      </w:r>
    </w:p>
    <w:p w:rsidR="00B014F8" w:rsidRDefault="00B014F8" w:rsidP="00754223">
      <w:pPr>
        <w:jc w:val="both"/>
        <w:rPr>
          <w:sz w:val="28"/>
          <w:szCs w:val="28"/>
        </w:rPr>
      </w:pPr>
    </w:p>
    <w:p w:rsidR="008219F1" w:rsidRDefault="008219F1" w:rsidP="00754223">
      <w:pPr>
        <w:jc w:val="both"/>
        <w:rPr>
          <w:sz w:val="28"/>
          <w:szCs w:val="28"/>
        </w:rPr>
      </w:pPr>
      <w:r>
        <w:rPr>
          <w:sz w:val="28"/>
          <w:szCs w:val="28"/>
        </w:rPr>
        <w:t>* the prospects of success.</w:t>
      </w:r>
    </w:p>
    <w:p w:rsidR="008219F1" w:rsidRDefault="008219F1" w:rsidP="00754223">
      <w:pPr>
        <w:jc w:val="both"/>
        <w:rPr>
          <w:sz w:val="28"/>
          <w:szCs w:val="28"/>
        </w:rPr>
      </w:pPr>
    </w:p>
    <w:p w:rsidR="009D232F" w:rsidRDefault="008219F1" w:rsidP="00754223">
      <w:pPr>
        <w:jc w:val="both"/>
        <w:rPr>
          <w:sz w:val="28"/>
          <w:szCs w:val="28"/>
        </w:rPr>
      </w:pPr>
      <w:r>
        <w:rPr>
          <w:sz w:val="28"/>
          <w:szCs w:val="28"/>
        </w:rPr>
        <w:t xml:space="preserve">[8] </w:t>
      </w:r>
      <w:r w:rsidR="009D232F">
        <w:rPr>
          <w:sz w:val="28"/>
          <w:szCs w:val="28"/>
        </w:rPr>
        <w:t>The applicant addressed the following:</w:t>
      </w:r>
    </w:p>
    <w:p w:rsidR="00B014F8" w:rsidRDefault="00B014F8" w:rsidP="00754223">
      <w:pPr>
        <w:jc w:val="both"/>
        <w:rPr>
          <w:sz w:val="28"/>
          <w:szCs w:val="28"/>
        </w:rPr>
      </w:pPr>
    </w:p>
    <w:p w:rsidR="009D232F" w:rsidRDefault="009D232F" w:rsidP="00754223">
      <w:pPr>
        <w:jc w:val="both"/>
        <w:rPr>
          <w:sz w:val="28"/>
          <w:szCs w:val="28"/>
        </w:rPr>
      </w:pPr>
      <w:r>
        <w:rPr>
          <w:sz w:val="28"/>
          <w:szCs w:val="28"/>
        </w:rPr>
        <w:t>* the concern of the minor child in the issue;</w:t>
      </w:r>
    </w:p>
    <w:p w:rsidR="00B014F8" w:rsidRDefault="00B014F8" w:rsidP="00754223">
      <w:pPr>
        <w:jc w:val="both"/>
        <w:rPr>
          <w:sz w:val="28"/>
          <w:szCs w:val="28"/>
        </w:rPr>
      </w:pPr>
    </w:p>
    <w:p w:rsidR="009D232F" w:rsidRDefault="009D232F" w:rsidP="00754223">
      <w:pPr>
        <w:jc w:val="both"/>
        <w:rPr>
          <w:sz w:val="28"/>
          <w:szCs w:val="28"/>
        </w:rPr>
      </w:pPr>
      <w:r>
        <w:rPr>
          <w:sz w:val="28"/>
          <w:szCs w:val="28"/>
        </w:rPr>
        <w:t xml:space="preserve">* the delay was truly minimal under the circumstances;  </w:t>
      </w:r>
    </w:p>
    <w:p w:rsidR="00B014F8" w:rsidRDefault="00B014F8" w:rsidP="00754223">
      <w:pPr>
        <w:jc w:val="both"/>
        <w:rPr>
          <w:sz w:val="28"/>
          <w:szCs w:val="28"/>
        </w:rPr>
      </w:pPr>
    </w:p>
    <w:p w:rsidR="009D232F" w:rsidRDefault="009D232F" w:rsidP="00754223">
      <w:pPr>
        <w:jc w:val="both"/>
        <w:rPr>
          <w:sz w:val="28"/>
          <w:szCs w:val="28"/>
        </w:rPr>
      </w:pPr>
      <w:r>
        <w:rPr>
          <w:sz w:val="28"/>
          <w:szCs w:val="28"/>
        </w:rPr>
        <w:t xml:space="preserve">* that the decision taken was not on the merits but only because the fifth respondent was not a party thereto; and </w:t>
      </w:r>
    </w:p>
    <w:p w:rsidR="00B014F8" w:rsidRDefault="00B014F8" w:rsidP="00754223">
      <w:pPr>
        <w:jc w:val="both"/>
        <w:rPr>
          <w:sz w:val="28"/>
          <w:szCs w:val="28"/>
        </w:rPr>
      </w:pPr>
    </w:p>
    <w:p w:rsidR="009D232F" w:rsidRDefault="009D232F" w:rsidP="00754223">
      <w:pPr>
        <w:jc w:val="both"/>
        <w:rPr>
          <w:sz w:val="28"/>
          <w:szCs w:val="28"/>
        </w:rPr>
      </w:pPr>
      <w:r>
        <w:rPr>
          <w:sz w:val="28"/>
          <w:szCs w:val="28"/>
        </w:rPr>
        <w:t>* that the prospects of success are very good.</w:t>
      </w:r>
    </w:p>
    <w:p w:rsidR="009D232F" w:rsidRDefault="009D232F" w:rsidP="00754223">
      <w:pPr>
        <w:jc w:val="both"/>
        <w:rPr>
          <w:sz w:val="28"/>
          <w:szCs w:val="28"/>
        </w:rPr>
      </w:pPr>
    </w:p>
    <w:p w:rsidR="009D232F" w:rsidRDefault="009D232F" w:rsidP="00754223">
      <w:pPr>
        <w:jc w:val="both"/>
        <w:rPr>
          <w:sz w:val="28"/>
          <w:szCs w:val="28"/>
        </w:rPr>
      </w:pPr>
      <w:r>
        <w:rPr>
          <w:sz w:val="28"/>
          <w:szCs w:val="28"/>
        </w:rPr>
        <w:t>[9] I am of the view that the reasons advan</w:t>
      </w:r>
      <w:r w:rsidR="00530DE2">
        <w:rPr>
          <w:sz w:val="28"/>
          <w:szCs w:val="28"/>
        </w:rPr>
        <w:t>ced by the applicant is not even</w:t>
      </w:r>
      <w:r>
        <w:rPr>
          <w:sz w:val="28"/>
          <w:szCs w:val="28"/>
        </w:rPr>
        <w:t xml:space="preserve">, it I may use the term, the ‘bare’ necessities required. No explanation is given for what prevented the applicant to file the application within the 180 days. </w:t>
      </w:r>
      <w:r w:rsidR="00530DE2">
        <w:rPr>
          <w:sz w:val="28"/>
          <w:szCs w:val="28"/>
        </w:rPr>
        <w:t>Nothing was stated in the founding affidavit what caused the delay and nothing said to determine whether the del</w:t>
      </w:r>
      <w:r w:rsidR="004D7E1A">
        <w:rPr>
          <w:sz w:val="28"/>
          <w:szCs w:val="28"/>
        </w:rPr>
        <w:t xml:space="preserve">ay was reasonable. Not a single fact </w:t>
      </w:r>
      <w:r w:rsidR="004D7E1A">
        <w:rPr>
          <w:sz w:val="28"/>
          <w:szCs w:val="28"/>
        </w:rPr>
        <w:lastRenderedPageBreak/>
        <w:t xml:space="preserve">was advanced by </w:t>
      </w:r>
      <w:r w:rsidR="00530DE2">
        <w:rPr>
          <w:sz w:val="28"/>
          <w:szCs w:val="28"/>
        </w:rPr>
        <w:t>the appli</w:t>
      </w:r>
      <w:r w:rsidR="004D7E1A">
        <w:rPr>
          <w:sz w:val="28"/>
          <w:szCs w:val="28"/>
        </w:rPr>
        <w:t xml:space="preserve">cant in </w:t>
      </w:r>
      <w:r w:rsidR="00530DE2">
        <w:rPr>
          <w:sz w:val="28"/>
          <w:szCs w:val="28"/>
        </w:rPr>
        <w:t>her application</w:t>
      </w:r>
      <w:r>
        <w:rPr>
          <w:sz w:val="28"/>
          <w:szCs w:val="28"/>
        </w:rPr>
        <w:t xml:space="preserve"> </w:t>
      </w:r>
      <w:r w:rsidR="004D7E1A">
        <w:rPr>
          <w:sz w:val="28"/>
          <w:szCs w:val="28"/>
        </w:rPr>
        <w:t xml:space="preserve">to indicate why the application was not brought </w:t>
      </w:r>
      <w:r>
        <w:rPr>
          <w:sz w:val="28"/>
          <w:szCs w:val="28"/>
        </w:rPr>
        <w:t>within</w:t>
      </w:r>
      <w:r w:rsidR="00530DE2">
        <w:rPr>
          <w:sz w:val="28"/>
          <w:szCs w:val="28"/>
        </w:rPr>
        <w:t xml:space="preserve"> the 180 days.</w:t>
      </w:r>
      <w:r w:rsidR="00B014F8">
        <w:rPr>
          <w:sz w:val="28"/>
          <w:szCs w:val="28"/>
        </w:rPr>
        <w:t xml:space="preserve"> There in further nothing in the application that deals with the prospects of success. To merely mention that the prospect of success in very good without any factual averments to justify such claim does not take the matter any further. It has to be remembered that condonation is not there for the taking but that sufficient cause be shown to persuade a court </w:t>
      </w:r>
      <w:r w:rsidR="004D7E1A">
        <w:rPr>
          <w:sz w:val="28"/>
          <w:szCs w:val="28"/>
        </w:rPr>
        <w:t xml:space="preserve">to assist in a condonation application. </w:t>
      </w:r>
      <w:r w:rsidR="00B014F8">
        <w:rPr>
          <w:sz w:val="28"/>
          <w:szCs w:val="28"/>
        </w:rPr>
        <w:t xml:space="preserve">All in all I </w:t>
      </w:r>
      <w:r w:rsidR="004D7E1A">
        <w:rPr>
          <w:sz w:val="28"/>
          <w:szCs w:val="28"/>
        </w:rPr>
        <w:t>am not convinced that there is</w:t>
      </w:r>
      <w:r w:rsidR="00B014F8">
        <w:rPr>
          <w:sz w:val="28"/>
          <w:szCs w:val="28"/>
        </w:rPr>
        <w:t xml:space="preserve"> sufficient cause to grant condonation. </w:t>
      </w:r>
      <w:r w:rsidR="00530DE2">
        <w:rPr>
          <w:sz w:val="28"/>
          <w:szCs w:val="28"/>
        </w:rPr>
        <w:t xml:space="preserve"> </w:t>
      </w:r>
    </w:p>
    <w:p w:rsidR="009D232F" w:rsidRDefault="009D232F" w:rsidP="00754223">
      <w:pPr>
        <w:jc w:val="both"/>
        <w:rPr>
          <w:sz w:val="28"/>
          <w:szCs w:val="28"/>
        </w:rPr>
      </w:pPr>
      <w:r>
        <w:rPr>
          <w:sz w:val="28"/>
          <w:szCs w:val="28"/>
        </w:rPr>
        <w:t xml:space="preserve"> </w:t>
      </w:r>
    </w:p>
    <w:p w:rsidR="00D927E2" w:rsidRDefault="009D232F" w:rsidP="00754223">
      <w:pPr>
        <w:jc w:val="both"/>
        <w:rPr>
          <w:sz w:val="28"/>
          <w:szCs w:val="28"/>
        </w:rPr>
      </w:pPr>
      <w:r>
        <w:rPr>
          <w:sz w:val="28"/>
          <w:szCs w:val="28"/>
        </w:rPr>
        <w:t>[10] The fourth respondent clearly mentioned the lack of compliance with basic rules of litigation the failure to join the fifth respondent to the matter.</w:t>
      </w:r>
      <w:r w:rsidR="00B014F8">
        <w:rPr>
          <w:sz w:val="28"/>
          <w:szCs w:val="28"/>
        </w:rPr>
        <w:t xml:space="preserve"> </w:t>
      </w:r>
      <w:r>
        <w:rPr>
          <w:sz w:val="28"/>
          <w:szCs w:val="28"/>
        </w:rPr>
        <w:t>This lacklustre attitude is pre</w:t>
      </w:r>
      <w:r w:rsidR="004D7E1A">
        <w:rPr>
          <w:sz w:val="28"/>
          <w:szCs w:val="28"/>
        </w:rPr>
        <w:t>sent in the current application and the fifth respondent</w:t>
      </w:r>
      <w:r>
        <w:rPr>
          <w:sz w:val="28"/>
          <w:szCs w:val="28"/>
        </w:rPr>
        <w:t xml:space="preserve"> </w:t>
      </w:r>
      <w:r w:rsidR="004D7E1A">
        <w:rPr>
          <w:sz w:val="28"/>
          <w:szCs w:val="28"/>
        </w:rPr>
        <w:t xml:space="preserve">(as mentioned) has not been joined at all. </w:t>
      </w:r>
    </w:p>
    <w:p w:rsidR="00D927E2" w:rsidRDefault="00D927E2" w:rsidP="00754223">
      <w:pPr>
        <w:jc w:val="both"/>
        <w:rPr>
          <w:sz w:val="28"/>
          <w:szCs w:val="28"/>
        </w:rPr>
      </w:pPr>
    </w:p>
    <w:p w:rsidR="004B496A" w:rsidRDefault="00D927E2" w:rsidP="00754223">
      <w:pPr>
        <w:jc w:val="both"/>
        <w:rPr>
          <w:sz w:val="28"/>
          <w:szCs w:val="28"/>
        </w:rPr>
      </w:pPr>
      <w:r>
        <w:rPr>
          <w:sz w:val="28"/>
          <w:szCs w:val="28"/>
        </w:rPr>
        <w:t xml:space="preserve">[11] </w:t>
      </w:r>
      <w:r w:rsidR="009D232F">
        <w:rPr>
          <w:sz w:val="28"/>
          <w:szCs w:val="28"/>
        </w:rPr>
        <w:t>Although certain relief is sought against the fifth respondent</w:t>
      </w:r>
      <w:r>
        <w:rPr>
          <w:sz w:val="28"/>
          <w:szCs w:val="28"/>
        </w:rPr>
        <w:t xml:space="preserve"> in the Notice of Motion</w:t>
      </w:r>
      <w:r w:rsidR="009D232F">
        <w:rPr>
          <w:sz w:val="28"/>
          <w:szCs w:val="28"/>
        </w:rPr>
        <w:t>,</w:t>
      </w:r>
      <w:r>
        <w:rPr>
          <w:sz w:val="28"/>
          <w:szCs w:val="28"/>
        </w:rPr>
        <w:t xml:space="preserve"> no specific joinder of the fifth respondent is sought. I could not find any </w:t>
      </w:r>
      <w:r w:rsidR="009D232F">
        <w:rPr>
          <w:sz w:val="28"/>
          <w:szCs w:val="28"/>
        </w:rPr>
        <w:t xml:space="preserve">interlocutory </w:t>
      </w:r>
      <w:r>
        <w:rPr>
          <w:sz w:val="28"/>
          <w:szCs w:val="28"/>
        </w:rPr>
        <w:t xml:space="preserve">or other </w:t>
      </w:r>
      <w:r w:rsidR="009D232F">
        <w:rPr>
          <w:sz w:val="28"/>
          <w:szCs w:val="28"/>
        </w:rPr>
        <w:t xml:space="preserve">application </w:t>
      </w:r>
      <w:r w:rsidR="004B496A">
        <w:rPr>
          <w:sz w:val="28"/>
          <w:szCs w:val="28"/>
        </w:rPr>
        <w:t xml:space="preserve">on CaseLines (the electronic file of the matter) </w:t>
      </w:r>
      <w:r w:rsidR="009D232F">
        <w:rPr>
          <w:sz w:val="28"/>
          <w:szCs w:val="28"/>
        </w:rPr>
        <w:t xml:space="preserve">to formally join the fifth respondent to the matter. In the replying affidavit </w:t>
      </w:r>
      <w:r w:rsidR="004B496A">
        <w:rPr>
          <w:sz w:val="28"/>
          <w:szCs w:val="28"/>
        </w:rPr>
        <w:t>vague averments in this regard are made but no formal joinder has taken place</w:t>
      </w:r>
      <w:r w:rsidR="004D7E1A">
        <w:rPr>
          <w:sz w:val="28"/>
          <w:szCs w:val="28"/>
        </w:rPr>
        <w:t xml:space="preserve"> and no court order granting such joinder can be found</w:t>
      </w:r>
      <w:r w:rsidR="004B496A">
        <w:rPr>
          <w:sz w:val="28"/>
          <w:szCs w:val="28"/>
        </w:rPr>
        <w:t xml:space="preserve">. If this is so, the fifth respondent is still not a party to the issue and the decision by the fourth respondent still applies. </w:t>
      </w:r>
    </w:p>
    <w:p w:rsidR="004B496A" w:rsidRDefault="004B496A" w:rsidP="00754223">
      <w:pPr>
        <w:jc w:val="both"/>
        <w:rPr>
          <w:sz w:val="28"/>
          <w:szCs w:val="28"/>
        </w:rPr>
      </w:pPr>
    </w:p>
    <w:p w:rsidR="00D927E2" w:rsidRDefault="00D927E2" w:rsidP="00754223">
      <w:pPr>
        <w:jc w:val="both"/>
        <w:rPr>
          <w:sz w:val="28"/>
          <w:szCs w:val="28"/>
        </w:rPr>
      </w:pPr>
      <w:r>
        <w:rPr>
          <w:sz w:val="28"/>
          <w:szCs w:val="28"/>
        </w:rPr>
        <w:t>[12</w:t>
      </w:r>
      <w:r w:rsidR="004B496A">
        <w:rPr>
          <w:sz w:val="28"/>
          <w:szCs w:val="28"/>
        </w:rPr>
        <w:t>]</w:t>
      </w:r>
      <w:r>
        <w:rPr>
          <w:sz w:val="28"/>
          <w:szCs w:val="28"/>
        </w:rPr>
        <w:t xml:space="preserve"> It will serve no purpose to set aside the fourth respondent’s dismissal of the complaint and remit it back for re-consideration in view of the lacuna above.</w:t>
      </w:r>
    </w:p>
    <w:p w:rsidR="00D927E2" w:rsidRDefault="00D927E2" w:rsidP="00754223">
      <w:pPr>
        <w:jc w:val="both"/>
        <w:rPr>
          <w:sz w:val="28"/>
          <w:szCs w:val="28"/>
        </w:rPr>
      </w:pPr>
      <w:r>
        <w:rPr>
          <w:sz w:val="28"/>
          <w:szCs w:val="28"/>
        </w:rPr>
        <w:t xml:space="preserve"> </w:t>
      </w:r>
    </w:p>
    <w:p w:rsidR="00BC4805" w:rsidRDefault="00D927E2" w:rsidP="00754223">
      <w:pPr>
        <w:jc w:val="both"/>
        <w:rPr>
          <w:sz w:val="28"/>
          <w:szCs w:val="28"/>
        </w:rPr>
      </w:pPr>
      <w:r>
        <w:rPr>
          <w:sz w:val="28"/>
          <w:szCs w:val="28"/>
        </w:rPr>
        <w:t xml:space="preserve">[13] Although the parties indicated that this court adjudicate the merits as well, I find no purpose to do so. I don’t have all the facts and I have indicated that no condonation be granted. In any event, the fourth respondent did not decide on the merits and it is not for this court to substitute the decision of the </w:t>
      </w:r>
      <w:r>
        <w:rPr>
          <w:sz w:val="28"/>
          <w:szCs w:val="28"/>
        </w:rPr>
        <w:lastRenderedPageBreak/>
        <w:t>fourth respondent with court’s decision. By doing</w:t>
      </w:r>
      <w:r w:rsidR="004B496A">
        <w:rPr>
          <w:sz w:val="28"/>
          <w:szCs w:val="28"/>
        </w:rPr>
        <w:t xml:space="preserve"> </w:t>
      </w:r>
      <w:r w:rsidR="00E5548B">
        <w:rPr>
          <w:sz w:val="28"/>
          <w:szCs w:val="28"/>
        </w:rPr>
        <w:t xml:space="preserve">so, </w:t>
      </w:r>
      <w:r>
        <w:rPr>
          <w:sz w:val="28"/>
          <w:szCs w:val="28"/>
        </w:rPr>
        <w:t xml:space="preserve">it will amount to usurping the powers of the fourth respondent, such usurping </w:t>
      </w:r>
      <w:r w:rsidR="00E5548B">
        <w:rPr>
          <w:sz w:val="28"/>
          <w:szCs w:val="28"/>
        </w:rPr>
        <w:t>of power not allowed under a constitutional rule of law. There is very limited scope for such usu</w:t>
      </w:r>
      <w:r w:rsidR="00B014F8">
        <w:rPr>
          <w:sz w:val="28"/>
          <w:szCs w:val="28"/>
        </w:rPr>
        <w:t>rping of power by the judiciary and the present matter does not warrant such interference.</w:t>
      </w:r>
      <w:r w:rsidR="00E5548B">
        <w:rPr>
          <w:sz w:val="28"/>
          <w:szCs w:val="28"/>
        </w:rPr>
        <w:t xml:space="preserve"> </w:t>
      </w:r>
      <w:r w:rsidR="005F1A70">
        <w:rPr>
          <w:sz w:val="28"/>
          <w:szCs w:val="28"/>
        </w:rPr>
        <w:t xml:space="preserve"> </w:t>
      </w:r>
    </w:p>
    <w:p w:rsidR="00E5548B" w:rsidRDefault="00E5548B" w:rsidP="00754223">
      <w:pPr>
        <w:jc w:val="both"/>
        <w:rPr>
          <w:sz w:val="28"/>
          <w:szCs w:val="28"/>
        </w:rPr>
      </w:pPr>
    </w:p>
    <w:p w:rsidR="00E5548B" w:rsidRDefault="00E5548B" w:rsidP="00754223">
      <w:pPr>
        <w:jc w:val="both"/>
        <w:rPr>
          <w:sz w:val="28"/>
          <w:szCs w:val="28"/>
        </w:rPr>
      </w:pPr>
      <w:r>
        <w:rPr>
          <w:sz w:val="28"/>
          <w:szCs w:val="28"/>
        </w:rPr>
        <w:t>[14] In my view the application should be dismissed and I make the following order:</w:t>
      </w:r>
    </w:p>
    <w:p w:rsidR="00E5548B" w:rsidRDefault="00E5548B" w:rsidP="00754223">
      <w:pPr>
        <w:jc w:val="both"/>
        <w:rPr>
          <w:sz w:val="28"/>
          <w:szCs w:val="28"/>
        </w:rPr>
      </w:pPr>
    </w:p>
    <w:p w:rsidR="00E5548B" w:rsidRDefault="00E5548B" w:rsidP="00754223">
      <w:pPr>
        <w:jc w:val="both"/>
        <w:rPr>
          <w:b/>
          <w:sz w:val="28"/>
          <w:szCs w:val="28"/>
        </w:rPr>
      </w:pPr>
      <w:r>
        <w:rPr>
          <w:b/>
          <w:sz w:val="28"/>
          <w:szCs w:val="28"/>
        </w:rPr>
        <w:t>ORDER:</w:t>
      </w:r>
    </w:p>
    <w:p w:rsidR="00E5548B" w:rsidRDefault="00E5548B" w:rsidP="00754223">
      <w:pPr>
        <w:jc w:val="both"/>
        <w:rPr>
          <w:b/>
          <w:sz w:val="28"/>
          <w:szCs w:val="28"/>
        </w:rPr>
      </w:pPr>
    </w:p>
    <w:p w:rsidR="0067409A" w:rsidRDefault="00E5548B" w:rsidP="00754223">
      <w:pPr>
        <w:jc w:val="both"/>
        <w:rPr>
          <w:sz w:val="28"/>
          <w:szCs w:val="28"/>
        </w:rPr>
      </w:pPr>
      <w:r>
        <w:rPr>
          <w:sz w:val="28"/>
          <w:szCs w:val="28"/>
        </w:rPr>
        <w:t xml:space="preserve">The application is dismissed with </w:t>
      </w:r>
      <w:r w:rsidR="0067409A">
        <w:rPr>
          <w:sz w:val="28"/>
          <w:szCs w:val="28"/>
        </w:rPr>
        <w:t>costs on a part and party scale, the applicant to pay the costs of the parties opposing the application.</w:t>
      </w:r>
    </w:p>
    <w:p w:rsidR="0067409A" w:rsidRDefault="0067409A" w:rsidP="00754223">
      <w:pPr>
        <w:jc w:val="both"/>
        <w:rPr>
          <w:sz w:val="28"/>
          <w:szCs w:val="28"/>
        </w:rPr>
      </w:pPr>
    </w:p>
    <w:p w:rsidR="0067409A" w:rsidRDefault="0067409A" w:rsidP="00754223">
      <w:pPr>
        <w:jc w:val="both"/>
        <w:rPr>
          <w:sz w:val="28"/>
          <w:szCs w:val="28"/>
        </w:rPr>
      </w:pPr>
    </w:p>
    <w:p w:rsidR="0067409A" w:rsidRDefault="0067409A" w:rsidP="00754223">
      <w:pPr>
        <w:jc w:val="both"/>
        <w:rPr>
          <w:sz w:val="28"/>
          <w:szCs w:val="28"/>
        </w:rPr>
      </w:pPr>
      <w:r>
        <w:rPr>
          <w:sz w:val="28"/>
          <w:szCs w:val="28"/>
        </w:rPr>
        <w:t>J HOLLAND-MUTER</w:t>
      </w:r>
    </w:p>
    <w:p w:rsidR="0067409A" w:rsidRDefault="0067409A" w:rsidP="00754223">
      <w:pPr>
        <w:jc w:val="both"/>
        <w:rPr>
          <w:sz w:val="28"/>
          <w:szCs w:val="28"/>
        </w:rPr>
      </w:pPr>
      <w:r>
        <w:rPr>
          <w:sz w:val="28"/>
          <w:szCs w:val="28"/>
        </w:rPr>
        <w:t>Judge of the Pretoria High Court</w:t>
      </w:r>
    </w:p>
    <w:p w:rsidR="0067409A" w:rsidRDefault="00C611F4" w:rsidP="00754223">
      <w:pPr>
        <w:jc w:val="both"/>
        <w:rPr>
          <w:sz w:val="28"/>
          <w:szCs w:val="28"/>
        </w:rPr>
      </w:pPr>
      <w:r>
        <w:rPr>
          <w:sz w:val="28"/>
          <w:szCs w:val="28"/>
        </w:rPr>
        <w:t>17</w:t>
      </w:r>
      <w:r w:rsidR="0039600E">
        <w:rPr>
          <w:sz w:val="28"/>
          <w:szCs w:val="28"/>
        </w:rPr>
        <w:t xml:space="preserve"> February 20</w:t>
      </w:r>
      <w:r w:rsidR="0067409A">
        <w:rPr>
          <w:sz w:val="28"/>
          <w:szCs w:val="28"/>
        </w:rPr>
        <w:t>24</w:t>
      </w:r>
    </w:p>
    <w:p w:rsidR="0067409A" w:rsidRDefault="0067409A" w:rsidP="00754223">
      <w:pPr>
        <w:jc w:val="both"/>
        <w:rPr>
          <w:sz w:val="28"/>
          <w:szCs w:val="28"/>
        </w:rPr>
      </w:pPr>
    </w:p>
    <w:p w:rsidR="0067409A" w:rsidRDefault="0067409A" w:rsidP="00754223">
      <w:pPr>
        <w:jc w:val="both"/>
        <w:rPr>
          <w:sz w:val="28"/>
          <w:szCs w:val="28"/>
        </w:rPr>
      </w:pPr>
      <w:r>
        <w:rPr>
          <w:sz w:val="28"/>
          <w:szCs w:val="28"/>
        </w:rPr>
        <w:t>Matter heard on 14 November 2023</w:t>
      </w:r>
    </w:p>
    <w:p w:rsidR="0067409A" w:rsidRDefault="0067409A" w:rsidP="00754223">
      <w:pPr>
        <w:jc w:val="both"/>
        <w:rPr>
          <w:sz w:val="28"/>
          <w:szCs w:val="28"/>
        </w:rPr>
      </w:pPr>
      <w:r>
        <w:rPr>
          <w:sz w:val="28"/>
          <w:szCs w:val="28"/>
        </w:rPr>
        <w:t>Judgment handed down on 19 February 2024</w:t>
      </w:r>
    </w:p>
    <w:p w:rsidR="0067409A" w:rsidRDefault="0067409A" w:rsidP="00754223">
      <w:pPr>
        <w:jc w:val="both"/>
        <w:rPr>
          <w:sz w:val="28"/>
          <w:szCs w:val="28"/>
        </w:rPr>
      </w:pPr>
    </w:p>
    <w:p w:rsidR="004D7E1A" w:rsidRDefault="004D7E1A" w:rsidP="00754223">
      <w:pPr>
        <w:jc w:val="both"/>
        <w:rPr>
          <w:sz w:val="28"/>
          <w:szCs w:val="28"/>
        </w:rPr>
      </w:pPr>
    </w:p>
    <w:p w:rsidR="0067409A" w:rsidRDefault="0067409A" w:rsidP="00754223">
      <w:pPr>
        <w:jc w:val="both"/>
        <w:rPr>
          <w:sz w:val="28"/>
          <w:szCs w:val="28"/>
        </w:rPr>
      </w:pPr>
    </w:p>
    <w:p w:rsidR="004D7E1A" w:rsidRDefault="004D7E1A" w:rsidP="00754223">
      <w:pPr>
        <w:jc w:val="both"/>
        <w:rPr>
          <w:sz w:val="28"/>
          <w:szCs w:val="28"/>
        </w:rPr>
      </w:pPr>
    </w:p>
    <w:p w:rsidR="004D7E1A" w:rsidRDefault="004D7E1A" w:rsidP="00754223">
      <w:pPr>
        <w:jc w:val="both"/>
        <w:rPr>
          <w:sz w:val="28"/>
          <w:szCs w:val="28"/>
        </w:rPr>
      </w:pPr>
    </w:p>
    <w:p w:rsidR="004D7E1A" w:rsidRDefault="004D7E1A" w:rsidP="00754223">
      <w:pPr>
        <w:jc w:val="both"/>
        <w:rPr>
          <w:sz w:val="28"/>
          <w:szCs w:val="28"/>
        </w:rPr>
      </w:pPr>
    </w:p>
    <w:p w:rsidR="0067409A" w:rsidRDefault="0067409A" w:rsidP="00754223">
      <w:pPr>
        <w:jc w:val="both"/>
        <w:rPr>
          <w:sz w:val="28"/>
          <w:szCs w:val="28"/>
        </w:rPr>
      </w:pPr>
      <w:r>
        <w:rPr>
          <w:sz w:val="28"/>
          <w:szCs w:val="28"/>
        </w:rPr>
        <w:t xml:space="preserve">TO:  </w:t>
      </w:r>
    </w:p>
    <w:p w:rsidR="0067409A" w:rsidRDefault="0067409A" w:rsidP="00754223">
      <w:pPr>
        <w:jc w:val="both"/>
        <w:rPr>
          <w:sz w:val="28"/>
          <w:szCs w:val="28"/>
        </w:rPr>
      </w:pPr>
      <w:r w:rsidRPr="0067409A">
        <w:rPr>
          <w:b/>
          <w:sz w:val="28"/>
          <w:szCs w:val="28"/>
        </w:rPr>
        <w:t>FOR THE APPLICANT</w:t>
      </w:r>
      <w:r>
        <w:rPr>
          <w:sz w:val="28"/>
          <w:szCs w:val="28"/>
        </w:rPr>
        <w:t>:</w:t>
      </w:r>
    </w:p>
    <w:p w:rsidR="0067409A" w:rsidRDefault="0067409A" w:rsidP="00754223">
      <w:pPr>
        <w:jc w:val="both"/>
        <w:rPr>
          <w:sz w:val="28"/>
          <w:szCs w:val="28"/>
        </w:rPr>
      </w:pPr>
      <w:r>
        <w:rPr>
          <w:sz w:val="28"/>
          <w:szCs w:val="28"/>
        </w:rPr>
        <w:t xml:space="preserve"> Adv  J Van Wyk</w:t>
      </w:r>
    </w:p>
    <w:p w:rsidR="0067409A" w:rsidRDefault="0067409A" w:rsidP="00754223">
      <w:pPr>
        <w:jc w:val="both"/>
        <w:rPr>
          <w:sz w:val="28"/>
          <w:szCs w:val="28"/>
        </w:rPr>
      </w:pPr>
      <w:r>
        <w:rPr>
          <w:sz w:val="28"/>
          <w:szCs w:val="28"/>
        </w:rPr>
        <w:t xml:space="preserve"> </w:t>
      </w:r>
      <w:hyperlink r:id="rId9" w:history="1">
        <w:r w:rsidRPr="0044715E">
          <w:rPr>
            <w:rStyle w:val="Hyperlink"/>
            <w:sz w:val="28"/>
            <w:szCs w:val="28"/>
          </w:rPr>
          <w:t>wjvanwyk@me.com</w:t>
        </w:r>
      </w:hyperlink>
    </w:p>
    <w:p w:rsidR="0067409A" w:rsidRDefault="0067409A" w:rsidP="00754223">
      <w:pPr>
        <w:jc w:val="both"/>
        <w:rPr>
          <w:sz w:val="28"/>
          <w:szCs w:val="28"/>
        </w:rPr>
      </w:pPr>
    </w:p>
    <w:p w:rsidR="0067409A" w:rsidRDefault="0067409A" w:rsidP="00754223">
      <w:pPr>
        <w:jc w:val="both"/>
        <w:rPr>
          <w:sz w:val="28"/>
          <w:szCs w:val="28"/>
        </w:rPr>
      </w:pPr>
      <w:r>
        <w:rPr>
          <w:sz w:val="28"/>
          <w:szCs w:val="28"/>
        </w:rPr>
        <w:t>VOGES INC ATTORNEYS</w:t>
      </w:r>
    </w:p>
    <w:p w:rsidR="0067409A" w:rsidRDefault="00677E48" w:rsidP="00754223">
      <w:pPr>
        <w:jc w:val="both"/>
        <w:rPr>
          <w:sz w:val="28"/>
          <w:szCs w:val="28"/>
        </w:rPr>
      </w:pPr>
      <w:hyperlink r:id="rId10" w:history="1">
        <w:r w:rsidR="0067409A" w:rsidRPr="0044715E">
          <w:rPr>
            <w:rStyle w:val="Hyperlink"/>
            <w:sz w:val="28"/>
            <w:szCs w:val="28"/>
          </w:rPr>
          <w:t>Melissa@jvlaw.co.za</w:t>
        </w:r>
      </w:hyperlink>
    </w:p>
    <w:p w:rsidR="0067409A" w:rsidRDefault="0067409A" w:rsidP="00754223">
      <w:pPr>
        <w:jc w:val="both"/>
        <w:rPr>
          <w:sz w:val="28"/>
          <w:szCs w:val="28"/>
        </w:rPr>
      </w:pPr>
    </w:p>
    <w:p w:rsidR="0067409A" w:rsidRDefault="0067409A" w:rsidP="00754223">
      <w:pPr>
        <w:jc w:val="both"/>
        <w:rPr>
          <w:sz w:val="28"/>
          <w:szCs w:val="28"/>
        </w:rPr>
      </w:pPr>
    </w:p>
    <w:p w:rsidR="0067409A" w:rsidRPr="0067409A" w:rsidRDefault="0067409A" w:rsidP="00754223">
      <w:pPr>
        <w:jc w:val="both"/>
        <w:rPr>
          <w:b/>
          <w:sz w:val="28"/>
          <w:szCs w:val="28"/>
        </w:rPr>
      </w:pPr>
      <w:r w:rsidRPr="0067409A">
        <w:rPr>
          <w:b/>
          <w:sz w:val="28"/>
          <w:szCs w:val="28"/>
        </w:rPr>
        <w:t xml:space="preserve">FOR </w:t>
      </w:r>
      <w:r>
        <w:rPr>
          <w:b/>
          <w:sz w:val="28"/>
          <w:szCs w:val="28"/>
        </w:rPr>
        <w:t xml:space="preserve">THE </w:t>
      </w:r>
      <w:r w:rsidRPr="0067409A">
        <w:rPr>
          <w:b/>
          <w:sz w:val="28"/>
          <w:szCs w:val="28"/>
        </w:rPr>
        <w:t>FIFTH RESPONDENT:</w:t>
      </w:r>
    </w:p>
    <w:p w:rsidR="0067409A" w:rsidRDefault="0067409A" w:rsidP="00754223">
      <w:pPr>
        <w:jc w:val="both"/>
        <w:rPr>
          <w:sz w:val="28"/>
          <w:szCs w:val="28"/>
        </w:rPr>
      </w:pPr>
      <w:r>
        <w:rPr>
          <w:sz w:val="28"/>
          <w:szCs w:val="28"/>
        </w:rPr>
        <w:t>Adv J Eastes</w:t>
      </w:r>
    </w:p>
    <w:p w:rsidR="0067409A" w:rsidRDefault="00677E48" w:rsidP="00754223">
      <w:pPr>
        <w:jc w:val="both"/>
        <w:rPr>
          <w:sz w:val="28"/>
          <w:szCs w:val="28"/>
        </w:rPr>
      </w:pPr>
      <w:hyperlink r:id="rId11" w:history="1">
        <w:r w:rsidR="0067409A" w:rsidRPr="0044715E">
          <w:rPr>
            <w:rStyle w:val="Hyperlink"/>
            <w:sz w:val="28"/>
            <w:szCs w:val="28"/>
          </w:rPr>
          <w:t>eastes@lawcircle.co.za</w:t>
        </w:r>
      </w:hyperlink>
    </w:p>
    <w:p w:rsidR="0067409A" w:rsidRDefault="0067409A" w:rsidP="00754223">
      <w:pPr>
        <w:jc w:val="both"/>
        <w:rPr>
          <w:sz w:val="28"/>
          <w:szCs w:val="28"/>
        </w:rPr>
      </w:pPr>
    </w:p>
    <w:p w:rsidR="0067409A" w:rsidRDefault="0067409A" w:rsidP="00754223">
      <w:pPr>
        <w:jc w:val="both"/>
        <w:rPr>
          <w:sz w:val="28"/>
          <w:szCs w:val="28"/>
        </w:rPr>
      </w:pPr>
      <w:r>
        <w:rPr>
          <w:sz w:val="28"/>
          <w:szCs w:val="28"/>
        </w:rPr>
        <w:t>MORNE COETZEE ATTORNEYS</w:t>
      </w:r>
    </w:p>
    <w:p w:rsidR="0067409A" w:rsidRDefault="0067409A" w:rsidP="00754223">
      <w:pPr>
        <w:jc w:val="both"/>
        <w:rPr>
          <w:sz w:val="28"/>
          <w:szCs w:val="28"/>
        </w:rPr>
      </w:pPr>
      <w:r>
        <w:rPr>
          <w:sz w:val="28"/>
          <w:szCs w:val="28"/>
        </w:rPr>
        <w:t>marli@mcoetzee.co.za</w:t>
      </w:r>
    </w:p>
    <w:p w:rsidR="00E5548B" w:rsidRPr="00E5548B" w:rsidRDefault="00E5548B" w:rsidP="00754223">
      <w:pPr>
        <w:jc w:val="both"/>
        <w:rPr>
          <w:sz w:val="28"/>
          <w:szCs w:val="28"/>
        </w:rPr>
      </w:pPr>
      <w:r>
        <w:rPr>
          <w:sz w:val="28"/>
          <w:szCs w:val="28"/>
        </w:rPr>
        <w:t xml:space="preserve"> </w:t>
      </w:r>
    </w:p>
    <w:sectPr w:rsidR="00E5548B" w:rsidRPr="00E5548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48" w:rsidRDefault="00677E48" w:rsidP="009722C3">
      <w:pPr>
        <w:spacing w:after="0" w:line="240" w:lineRule="auto"/>
      </w:pPr>
      <w:r>
        <w:separator/>
      </w:r>
    </w:p>
  </w:endnote>
  <w:endnote w:type="continuationSeparator" w:id="0">
    <w:p w:rsidR="00677E48" w:rsidRDefault="00677E48" w:rsidP="0097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48" w:rsidRDefault="00677E48" w:rsidP="009722C3">
      <w:pPr>
        <w:spacing w:after="0" w:line="240" w:lineRule="auto"/>
      </w:pPr>
      <w:r>
        <w:separator/>
      </w:r>
    </w:p>
  </w:footnote>
  <w:footnote w:type="continuationSeparator" w:id="0">
    <w:p w:rsidR="00677E48" w:rsidRDefault="00677E48" w:rsidP="0097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0025"/>
      <w:docPartObj>
        <w:docPartGallery w:val="Page Numbers (Top of Page)"/>
        <w:docPartUnique/>
      </w:docPartObj>
    </w:sdtPr>
    <w:sdtEndPr>
      <w:rPr>
        <w:noProof/>
      </w:rPr>
    </w:sdtEndPr>
    <w:sdtContent>
      <w:p w:rsidR="009722C3" w:rsidRDefault="009722C3">
        <w:pPr>
          <w:pStyle w:val="Header"/>
          <w:jc w:val="right"/>
        </w:pPr>
        <w:r>
          <w:fldChar w:fldCharType="begin"/>
        </w:r>
        <w:r>
          <w:instrText xml:space="preserve"> PAGE   \* MERGEFORMAT </w:instrText>
        </w:r>
        <w:r>
          <w:fldChar w:fldCharType="separate"/>
        </w:r>
        <w:r w:rsidR="00D82005">
          <w:rPr>
            <w:noProof/>
          </w:rPr>
          <w:t>1</w:t>
        </w:r>
        <w:r>
          <w:rPr>
            <w:noProof/>
          </w:rPr>
          <w:fldChar w:fldCharType="end"/>
        </w:r>
      </w:p>
    </w:sdtContent>
  </w:sdt>
  <w:p w:rsidR="009722C3" w:rsidRDefault="009722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3236A"/>
    <w:multiLevelType w:val="hybridMultilevel"/>
    <w:tmpl w:val="7E74B88C"/>
    <w:lvl w:ilvl="0" w:tplc="AF98E5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48"/>
    <w:rsid w:val="00072DC7"/>
    <w:rsid w:val="00074E13"/>
    <w:rsid w:val="00194CB9"/>
    <w:rsid w:val="002F3380"/>
    <w:rsid w:val="0039600E"/>
    <w:rsid w:val="003E7ED8"/>
    <w:rsid w:val="00475315"/>
    <w:rsid w:val="004B496A"/>
    <w:rsid w:val="004D7E1A"/>
    <w:rsid w:val="00530DE2"/>
    <w:rsid w:val="00537F48"/>
    <w:rsid w:val="005F1A70"/>
    <w:rsid w:val="00654DD5"/>
    <w:rsid w:val="0067409A"/>
    <w:rsid w:val="00677E48"/>
    <w:rsid w:val="006D6E2A"/>
    <w:rsid w:val="006E5C0F"/>
    <w:rsid w:val="00754223"/>
    <w:rsid w:val="008219F1"/>
    <w:rsid w:val="009202CD"/>
    <w:rsid w:val="009722C3"/>
    <w:rsid w:val="009D232F"/>
    <w:rsid w:val="00A8063E"/>
    <w:rsid w:val="00B014F8"/>
    <w:rsid w:val="00B51B5F"/>
    <w:rsid w:val="00B67633"/>
    <w:rsid w:val="00BC4805"/>
    <w:rsid w:val="00C00724"/>
    <w:rsid w:val="00C611F4"/>
    <w:rsid w:val="00D0288E"/>
    <w:rsid w:val="00D242C3"/>
    <w:rsid w:val="00D7093D"/>
    <w:rsid w:val="00D82005"/>
    <w:rsid w:val="00D82DBB"/>
    <w:rsid w:val="00D87088"/>
    <w:rsid w:val="00D927E2"/>
    <w:rsid w:val="00DE737A"/>
    <w:rsid w:val="00E309C5"/>
    <w:rsid w:val="00E40037"/>
    <w:rsid w:val="00E5548B"/>
    <w:rsid w:val="00EB43BA"/>
    <w:rsid w:val="00EC6C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3AED"/>
  <w15:docId w15:val="{40767022-A285-4FAD-A492-D71E9CB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C3"/>
  </w:style>
  <w:style w:type="paragraph" w:styleId="Footer">
    <w:name w:val="footer"/>
    <w:basedOn w:val="Normal"/>
    <w:link w:val="FooterChar"/>
    <w:uiPriority w:val="99"/>
    <w:unhideWhenUsed/>
    <w:rsid w:val="00972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C3"/>
  </w:style>
  <w:style w:type="table" w:styleId="TableGrid">
    <w:name w:val="Table Grid"/>
    <w:basedOn w:val="TableNormal"/>
    <w:uiPriority w:val="59"/>
    <w:rsid w:val="0097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2C3"/>
    <w:pPr>
      <w:ind w:left="720"/>
      <w:contextualSpacing/>
    </w:pPr>
  </w:style>
  <w:style w:type="paragraph" w:styleId="BalloonText">
    <w:name w:val="Balloon Text"/>
    <w:basedOn w:val="Normal"/>
    <w:link w:val="BalloonTextChar"/>
    <w:uiPriority w:val="99"/>
    <w:semiHidden/>
    <w:unhideWhenUsed/>
    <w:rsid w:val="0097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2C3"/>
    <w:rPr>
      <w:rFonts w:ascii="Tahoma" w:hAnsi="Tahoma" w:cs="Tahoma"/>
      <w:sz w:val="16"/>
      <w:szCs w:val="16"/>
    </w:rPr>
  </w:style>
  <w:style w:type="character" w:styleId="Hyperlink">
    <w:name w:val="Hyperlink"/>
    <w:basedOn w:val="DefaultParagraphFont"/>
    <w:uiPriority w:val="99"/>
    <w:unhideWhenUsed/>
    <w:rsid w:val="00674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es@lawcircle.co.za" TargetMode="External"/><Relationship Id="rId5" Type="http://schemas.openxmlformats.org/officeDocument/2006/relationships/footnotes" Target="footnotes.xml"/><Relationship Id="rId10" Type="http://schemas.openxmlformats.org/officeDocument/2006/relationships/hyperlink" Target="mailto:Melissa@jvlaw.co.za" TargetMode="External"/><Relationship Id="rId4" Type="http://schemas.openxmlformats.org/officeDocument/2006/relationships/webSettings" Target="webSettings.xml"/><Relationship Id="rId9" Type="http://schemas.openxmlformats.org/officeDocument/2006/relationships/hyperlink" Target="mailto:wjvanwyk@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331</dc:creator>
  <cp:lastModifiedBy>Sathish</cp:lastModifiedBy>
  <cp:revision>5</cp:revision>
  <cp:lastPrinted>2024-02-20T06:45:00Z</cp:lastPrinted>
  <dcterms:created xsi:type="dcterms:W3CDTF">2024-02-20T07:34:00Z</dcterms:created>
  <dcterms:modified xsi:type="dcterms:W3CDTF">2024-02-26T19:50:00Z</dcterms:modified>
</cp:coreProperties>
</file>