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3148" w14:textId="77777777" w:rsidR="00AE5429" w:rsidRDefault="00AE5429" w:rsidP="00AE5429">
      <w:pPr>
        <w:widowControl w:val="0"/>
        <w:ind w:left="-284" w:right="-284"/>
        <w:jc w:val="center"/>
        <w:outlineLvl w:val="0"/>
        <w:rPr>
          <w:rFonts w:ascii="Arial" w:hAnsi="Arial" w:cs="Arial"/>
          <w:b/>
          <w:szCs w:val="26"/>
          <w:lang w:val="en-ZA"/>
        </w:rPr>
      </w:pPr>
      <w:r>
        <w:rPr>
          <w:rFonts w:ascii="Arial" w:hAnsi="Arial" w:cs="Arial"/>
          <w:b/>
          <w:szCs w:val="26"/>
          <w:lang w:val="en-ZA"/>
        </w:rPr>
        <w:t>REPUBLIC OF SOUTH AFRICA</w:t>
      </w:r>
    </w:p>
    <w:p w14:paraId="0DE24757" w14:textId="77777777" w:rsidR="00AE5429" w:rsidRDefault="00AE5429" w:rsidP="00AE5429">
      <w:pPr>
        <w:ind w:left="-284" w:right="-284"/>
        <w:rPr>
          <w:rFonts w:ascii="Arial" w:hAnsi="Arial"/>
          <w:szCs w:val="20"/>
          <w:lang w:val="en-ZA"/>
        </w:rPr>
      </w:pPr>
    </w:p>
    <w:p w14:paraId="3CD78037" w14:textId="29A04185" w:rsidR="00AE5429" w:rsidRDefault="000A04EA" w:rsidP="00AE5429">
      <w:pPr>
        <w:ind w:left="-284" w:right="-284"/>
        <w:jc w:val="center"/>
        <w:rPr>
          <w:rFonts w:ascii="Arial" w:hAnsi="Arial" w:cs="Arial"/>
          <w:noProof/>
          <w:sz w:val="30"/>
          <w:szCs w:val="30"/>
        </w:rPr>
      </w:pPr>
      <w:r>
        <w:rPr>
          <w:rFonts w:ascii="Arial" w:hAnsi="Arial" w:cs="Arial"/>
          <w:noProof/>
          <w:sz w:val="30"/>
          <w:szCs w:val="30"/>
          <w:lang w:val="en-ZA" w:eastAsia="en-ZA"/>
        </w:rPr>
        <w:drawing>
          <wp:inline distT="0" distB="0" distL="0" distR="0" wp14:anchorId="06DB304B" wp14:editId="7A40F913">
            <wp:extent cx="1257300" cy="119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193800"/>
                    </a:xfrm>
                    <a:prstGeom prst="rect">
                      <a:avLst/>
                    </a:prstGeom>
                    <a:noFill/>
                    <a:ln>
                      <a:noFill/>
                    </a:ln>
                  </pic:spPr>
                </pic:pic>
              </a:graphicData>
            </a:graphic>
          </wp:inline>
        </w:drawing>
      </w:r>
    </w:p>
    <w:p w14:paraId="325E8CE2" w14:textId="77777777" w:rsidR="00AE5429" w:rsidRDefault="00AE5429" w:rsidP="00AE5429">
      <w:pPr>
        <w:ind w:left="-284" w:right="-284"/>
        <w:jc w:val="center"/>
        <w:rPr>
          <w:rFonts w:ascii="Arial" w:hAnsi="Arial" w:cs="Arial"/>
          <w:b/>
          <w:szCs w:val="20"/>
        </w:rPr>
      </w:pPr>
    </w:p>
    <w:p w14:paraId="704F77D7" w14:textId="77777777" w:rsidR="00AE5429" w:rsidRDefault="00AE5429" w:rsidP="00AE5429">
      <w:pPr>
        <w:ind w:left="-284" w:right="-284"/>
        <w:jc w:val="center"/>
        <w:rPr>
          <w:rFonts w:ascii="Arial" w:hAnsi="Arial" w:cs="Arial"/>
          <w:b/>
          <w:szCs w:val="20"/>
        </w:rPr>
      </w:pPr>
      <w:r>
        <w:rPr>
          <w:rFonts w:ascii="Arial" w:hAnsi="Arial" w:cs="Arial"/>
          <w:b/>
          <w:szCs w:val="20"/>
        </w:rPr>
        <w:t>IN THE HIGH COURT OF SOUTH AFRICA</w:t>
      </w:r>
    </w:p>
    <w:p w14:paraId="33B566B9" w14:textId="77777777" w:rsidR="00AE5429" w:rsidRDefault="00AE5429" w:rsidP="00AE5429">
      <w:pPr>
        <w:ind w:left="-284" w:right="-284"/>
        <w:jc w:val="center"/>
        <w:rPr>
          <w:rFonts w:ascii="Arial" w:hAnsi="Arial" w:cs="Arial"/>
          <w:b/>
          <w:szCs w:val="20"/>
        </w:rPr>
      </w:pPr>
      <w:r>
        <w:rPr>
          <w:rFonts w:ascii="Arial" w:hAnsi="Arial" w:cs="Arial"/>
          <w:b/>
          <w:szCs w:val="20"/>
        </w:rPr>
        <w:t>GAUTENG DIVISION, PRETORIA</w:t>
      </w:r>
    </w:p>
    <w:p w14:paraId="5132852C" w14:textId="77777777" w:rsidR="00AE5429" w:rsidRPr="00F8484B" w:rsidRDefault="00AE5429" w:rsidP="00F8484B">
      <w:pPr>
        <w:spacing w:line="360" w:lineRule="auto"/>
        <w:jc w:val="right"/>
        <w:rPr>
          <w:rFonts w:ascii="Arial" w:hAnsi="Arial"/>
          <w:b/>
          <w:szCs w:val="20"/>
          <w:lang w:val="en-GB"/>
        </w:rPr>
      </w:pPr>
    </w:p>
    <w:p w14:paraId="1A2BCB25" w14:textId="77777777" w:rsidR="00AE5429" w:rsidRDefault="00AE5429" w:rsidP="00AE5429">
      <w:pPr>
        <w:jc w:val="both"/>
        <w:rPr>
          <w:rFonts w:ascii="Arial" w:hAnsi="Arial"/>
          <w:b/>
          <w:szCs w:val="20"/>
          <w:u w:val="single"/>
          <w:lang w:val="en-GB"/>
        </w:rPr>
      </w:pPr>
    </w:p>
    <w:p w14:paraId="1D1CFBF9" w14:textId="1B323BC9" w:rsidR="00AE5429" w:rsidRDefault="006522F1" w:rsidP="00AE5429">
      <w:pPr>
        <w:jc w:val="both"/>
        <w:rPr>
          <w:rFonts w:ascii="Arial" w:hAnsi="Arial"/>
          <w:b/>
          <w:szCs w:val="20"/>
          <w:u w:val="single"/>
          <w:lang w:val="en-GB"/>
        </w:rPr>
      </w:pPr>
      <w:r>
        <w:rPr>
          <w:noProof/>
        </w:rPr>
        <mc:AlternateContent>
          <mc:Choice Requires="wps">
            <w:drawing>
              <wp:anchor distT="0" distB="0" distL="114300" distR="114300" simplePos="0" relativeHeight="251657728" behindDoc="0" locked="0" layoutInCell="1" allowOverlap="1" wp14:anchorId="101B70E3" wp14:editId="7AA15B23">
                <wp:simplePos x="0" y="0"/>
                <wp:positionH relativeFrom="margin">
                  <wp:align>left</wp:align>
                </wp:positionH>
                <wp:positionV relativeFrom="paragraph">
                  <wp:posOffset>38735</wp:posOffset>
                </wp:positionV>
                <wp:extent cx="3679825" cy="1654175"/>
                <wp:effectExtent l="0" t="0" r="0" b="3175"/>
                <wp:wrapNone/>
                <wp:docPr id="5444821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1654175"/>
                        </a:xfrm>
                        <a:prstGeom prst="rect">
                          <a:avLst/>
                        </a:prstGeom>
                        <a:solidFill>
                          <a:srgbClr val="FFFFFF"/>
                        </a:solidFill>
                        <a:ln w="9525">
                          <a:solidFill>
                            <a:srgbClr val="000000"/>
                          </a:solidFill>
                          <a:miter lim="800000"/>
                          <a:headEnd/>
                          <a:tailEnd/>
                        </a:ln>
                      </wps:spPr>
                      <wps:txbx>
                        <w:txbxContent>
                          <w:p w14:paraId="3D524406" w14:textId="77777777" w:rsidR="001420A8" w:rsidRDefault="001420A8" w:rsidP="00AE5429">
                            <w:pPr>
                              <w:spacing w:after="120"/>
                              <w:jc w:val="center"/>
                              <w:rPr>
                                <w:rFonts w:ascii="Century Gothic" w:hAnsi="Century Gothic"/>
                                <w:b/>
                              </w:rPr>
                            </w:pPr>
                          </w:p>
                          <w:p w14:paraId="180864A9" w14:textId="77777777" w:rsidR="001420A8" w:rsidRDefault="001420A8" w:rsidP="00AE5429">
                            <w:pPr>
                              <w:numPr>
                                <w:ilvl w:val="0"/>
                                <w:numId w:val="9"/>
                              </w:numPr>
                              <w:rPr>
                                <w:rFonts w:ascii="Century Gothic" w:hAnsi="Century Gothic"/>
                              </w:rPr>
                            </w:pPr>
                            <w:r>
                              <w:rPr>
                                <w:rFonts w:ascii="Century Gothic" w:hAnsi="Century Gothic"/>
                              </w:rPr>
                              <w:t>REPORTABLE: NO</w:t>
                            </w:r>
                          </w:p>
                          <w:p w14:paraId="150A7001" w14:textId="77777777" w:rsidR="001420A8" w:rsidRDefault="001420A8" w:rsidP="00AE5429">
                            <w:pPr>
                              <w:numPr>
                                <w:ilvl w:val="0"/>
                                <w:numId w:val="9"/>
                              </w:numPr>
                              <w:rPr>
                                <w:rFonts w:ascii="Century Gothic" w:hAnsi="Century Gothic"/>
                              </w:rPr>
                            </w:pPr>
                            <w:r>
                              <w:rPr>
                                <w:rFonts w:ascii="Century Gothic" w:hAnsi="Century Gothic"/>
                              </w:rPr>
                              <w:t>OF INTEREST TO OTHER JUDGES: NO</w:t>
                            </w:r>
                          </w:p>
                          <w:p w14:paraId="4C778A37" w14:textId="77777777" w:rsidR="001420A8" w:rsidRDefault="001420A8" w:rsidP="00AE5429">
                            <w:pPr>
                              <w:numPr>
                                <w:ilvl w:val="0"/>
                                <w:numId w:val="9"/>
                              </w:numPr>
                              <w:rPr>
                                <w:rFonts w:ascii="Century Gothic" w:hAnsi="Century Gothic"/>
                              </w:rPr>
                            </w:pPr>
                            <w:r>
                              <w:rPr>
                                <w:rFonts w:ascii="Century Gothic" w:hAnsi="Century Gothic"/>
                              </w:rPr>
                              <w:t xml:space="preserve">REVISED. </w:t>
                            </w:r>
                          </w:p>
                          <w:p w14:paraId="20FE2E22" w14:textId="77777777" w:rsidR="001420A8" w:rsidRDefault="001420A8" w:rsidP="00AE5429">
                            <w:pPr>
                              <w:spacing w:after="120"/>
                              <w:rPr>
                                <w:rFonts w:ascii="Century Gothic" w:hAnsi="Century Gothic"/>
                                <w:b/>
                                <w:sz w:val="18"/>
                                <w:szCs w:val="18"/>
                              </w:rPr>
                            </w:pPr>
                          </w:p>
                          <w:p w14:paraId="523C9323" w14:textId="3E3693D4" w:rsidR="001420A8" w:rsidRDefault="001420A8" w:rsidP="00AE5429">
                            <w:pPr>
                              <w:rPr>
                                <w:rFonts w:ascii="Century Gothic" w:hAnsi="Century Gothic"/>
                                <w:b/>
                                <w:sz w:val="18"/>
                                <w:szCs w:val="18"/>
                              </w:rPr>
                            </w:pPr>
                            <w:r>
                              <w:rPr>
                                <w:rFonts w:ascii="Century Gothic" w:hAnsi="Century Gothic"/>
                                <w:b/>
                                <w:sz w:val="18"/>
                                <w:szCs w:val="18"/>
                              </w:rPr>
                              <w:t xml:space="preserve">     </w:t>
                            </w:r>
                            <w:r w:rsidR="00F65145" w:rsidRPr="00F65145">
                              <w:rPr>
                                <w:rFonts w:ascii="Century Gothic" w:hAnsi="Century Gothic"/>
                                <w:b/>
                                <w:sz w:val="18"/>
                                <w:szCs w:val="18"/>
                                <w:u w:val="single"/>
                              </w:rPr>
                              <w:t>20 February 2024</w:t>
                            </w:r>
                            <w:r>
                              <w:rPr>
                                <w:rFonts w:ascii="Century Gothic" w:hAnsi="Century Gothic"/>
                                <w:b/>
                                <w:sz w:val="18"/>
                                <w:szCs w:val="18"/>
                              </w:rPr>
                              <w:tab/>
                              <w:t>______________________</w:t>
                            </w:r>
                          </w:p>
                          <w:p w14:paraId="78E575CF" w14:textId="06C5637D" w:rsidR="001420A8" w:rsidRDefault="001420A8" w:rsidP="00AE5429">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B70E3" id="_x0000_t202" coordsize="21600,21600" o:spt="202" path="m,l,21600r21600,l21600,xe">
                <v:stroke joinstyle="miter"/>
                <v:path gradientshapeok="t" o:connecttype="rect"/>
              </v:shapetype>
              <v:shape id="Text Box 1" o:spid="_x0000_s1026" type="#_x0000_t202" style="position:absolute;left:0;text-align:left;margin-left:0;margin-top:3.05pt;width:289.75pt;height:130.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">
                <v:textbox>
                  <w:txbxContent>
                    <w:p w14:paraId="3D524406" w14:textId="77777777" w:rsidR="001420A8" w:rsidRDefault="001420A8" w:rsidP="00AE5429">
                      <w:pPr>
                        <w:spacing w:after="120"/>
                        <w:jc w:val="center"/>
                        <w:rPr>
                          <w:rFonts w:ascii="Century Gothic" w:hAnsi="Century Gothic"/>
                          <w:b/>
                        </w:rPr>
                      </w:pPr>
                    </w:p>
                    <w:p w14:paraId="180864A9" w14:textId="77777777" w:rsidR="001420A8" w:rsidRDefault="001420A8" w:rsidP="00AE5429">
                      <w:pPr>
                        <w:numPr>
                          <w:ilvl w:val="0"/>
                          <w:numId w:val="9"/>
                        </w:numPr>
                        <w:rPr>
                          <w:rFonts w:ascii="Century Gothic" w:hAnsi="Century Gothic"/>
                        </w:rPr>
                      </w:pPr>
                      <w:r>
                        <w:rPr>
                          <w:rFonts w:ascii="Century Gothic" w:hAnsi="Century Gothic"/>
                        </w:rPr>
                        <w:t>REPORTABLE: NO</w:t>
                      </w:r>
                    </w:p>
                    <w:p w14:paraId="150A7001" w14:textId="77777777" w:rsidR="001420A8" w:rsidRDefault="001420A8" w:rsidP="00AE5429">
                      <w:pPr>
                        <w:numPr>
                          <w:ilvl w:val="0"/>
                          <w:numId w:val="9"/>
                        </w:numPr>
                        <w:rPr>
                          <w:rFonts w:ascii="Century Gothic" w:hAnsi="Century Gothic"/>
                        </w:rPr>
                      </w:pPr>
                      <w:r>
                        <w:rPr>
                          <w:rFonts w:ascii="Century Gothic" w:hAnsi="Century Gothic"/>
                        </w:rPr>
                        <w:t>OF INTEREST TO OTHER JUDGES: NO</w:t>
                      </w:r>
                    </w:p>
                    <w:p w14:paraId="4C778A37" w14:textId="77777777" w:rsidR="001420A8" w:rsidRDefault="001420A8" w:rsidP="00AE5429">
                      <w:pPr>
                        <w:numPr>
                          <w:ilvl w:val="0"/>
                          <w:numId w:val="9"/>
                        </w:numPr>
                        <w:rPr>
                          <w:rFonts w:ascii="Century Gothic" w:hAnsi="Century Gothic"/>
                        </w:rPr>
                      </w:pPr>
                      <w:r>
                        <w:rPr>
                          <w:rFonts w:ascii="Century Gothic" w:hAnsi="Century Gothic"/>
                        </w:rPr>
                        <w:t xml:space="preserve">REVISED. </w:t>
                      </w:r>
                    </w:p>
                    <w:p w14:paraId="20FE2E22" w14:textId="77777777" w:rsidR="001420A8" w:rsidRDefault="001420A8" w:rsidP="00AE5429">
                      <w:pPr>
                        <w:spacing w:after="120"/>
                        <w:rPr>
                          <w:rFonts w:ascii="Century Gothic" w:hAnsi="Century Gothic"/>
                          <w:b/>
                          <w:sz w:val="18"/>
                          <w:szCs w:val="18"/>
                        </w:rPr>
                      </w:pPr>
                    </w:p>
                    <w:p w14:paraId="523C9323" w14:textId="3E3693D4" w:rsidR="001420A8" w:rsidRDefault="001420A8" w:rsidP="00AE5429">
                      <w:pPr>
                        <w:rPr>
                          <w:rFonts w:ascii="Century Gothic" w:hAnsi="Century Gothic"/>
                          <w:b/>
                          <w:sz w:val="18"/>
                          <w:szCs w:val="18"/>
                        </w:rPr>
                      </w:pPr>
                      <w:r>
                        <w:rPr>
                          <w:rFonts w:ascii="Century Gothic" w:hAnsi="Century Gothic"/>
                          <w:b/>
                          <w:sz w:val="18"/>
                          <w:szCs w:val="18"/>
                        </w:rPr>
                        <w:t xml:space="preserve">     </w:t>
                      </w:r>
                      <w:r w:rsidR="00F65145" w:rsidRPr="00F65145">
                        <w:rPr>
                          <w:rFonts w:ascii="Century Gothic" w:hAnsi="Century Gothic"/>
                          <w:b/>
                          <w:sz w:val="18"/>
                          <w:szCs w:val="18"/>
                          <w:u w:val="single"/>
                        </w:rPr>
                        <w:t>20 February 2024</w:t>
                      </w:r>
                      <w:r>
                        <w:rPr>
                          <w:rFonts w:ascii="Century Gothic" w:hAnsi="Century Gothic"/>
                          <w:b/>
                          <w:sz w:val="18"/>
                          <w:szCs w:val="18"/>
                        </w:rPr>
                        <w:tab/>
                        <w:t>______________________</w:t>
                      </w:r>
                    </w:p>
                    <w:p w14:paraId="78E575CF" w14:textId="06C5637D" w:rsidR="001420A8" w:rsidRDefault="001420A8" w:rsidP="00AE5429">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w10:wrap anchorx="margin"/>
              </v:shape>
            </w:pict>
          </mc:Fallback>
        </mc:AlternateContent>
      </w:r>
    </w:p>
    <w:p w14:paraId="7BFB3567" w14:textId="77777777" w:rsidR="00AE5429" w:rsidRDefault="00AE5429" w:rsidP="00AE5429">
      <w:pPr>
        <w:jc w:val="both"/>
        <w:rPr>
          <w:rFonts w:ascii="Arial" w:hAnsi="Arial"/>
          <w:b/>
          <w:szCs w:val="20"/>
          <w:u w:val="single"/>
          <w:lang w:val="en-GB"/>
        </w:rPr>
      </w:pPr>
    </w:p>
    <w:p w14:paraId="6F3CA83A" w14:textId="77777777" w:rsidR="00AE5429" w:rsidRDefault="00AE5429" w:rsidP="00AE5429">
      <w:pPr>
        <w:jc w:val="both"/>
        <w:rPr>
          <w:rFonts w:ascii="Arial" w:hAnsi="Arial"/>
          <w:b/>
          <w:szCs w:val="20"/>
          <w:u w:val="single"/>
          <w:lang w:val="en-GB"/>
        </w:rPr>
      </w:pPr>
    </w:p>
    <w:p w14:paraId="050EA3FF" w14:textId="77777777" w:rsidR="00AE5429" w:rsidRDefault="00AE5429" w:rsidP="00AE5429">
      <w:pPr>
        <w:jc w:val="both"/>
        <w:rPr>
          <w:rFonts w:ascii="Arial" w:hAnsi="Arial"/>
          <w:b/>
          <w:szCs w:val="20"/>
          <w:u w:val="single"/>
          <w:lang w:val="en-GB"/>
        </w:rPr>
      </w:pPr>
    </w:p>
    <w:p w14:paraId="1DB628E8" w14:textId="77777777" w:rsidR="00AE5429" w:rsidRDefault="00AE5429" w:rsidP="00AE5429">
      <w:pPr>
        <w:jc w:val="both"/>
        <w:rPr>
          <w:rFonts w:ascii="Arial" w:hAnsi="Arial"/>
          <w:b/>
          <w:szCs w:val="20"/>
          <w:u w:val="single"/>
          <w:lang w:val="en-GB"/>
        </w:rPr>
      </w:pPr>
    </w:p>
    <w:p w14:paraId="704C19C1" w14:textId="77777777" w:rsidR="00AE5429" w:rsidRDefault="00AE5429" w:rsidP="00AE5429">
      <w:pPr>
        <w:jc w:val="both"/>
        <w:rPr>
          <w:rFonts w:ascii="Arial" w:hAnsi="Arial"/>
          <w:b/>
          <w:szCs w:val="20"/>
          <w:u w:val="single"/>
          <w:lang w:val="en-GB"/>
        </w:rPr>
      </w:pPr>
    </w:p>
    <w:p w14:paraId="3284FA46" w14:textId="77777777" w:rsidR="00AE5429" w:rsidRDefault="00AE5429" w:rsidP="00AE5429">
      <w:pPr>
        <w:jc w:val="both"/>
        <w:rPr>
          <w:rFonts w:ascii="Arial" w:hAnsi="Arial"/>
          <w:b/>
          <w:szCs w:val="20"/>
          <w:u w:val="single"/>
          <w:lang w:val="en-GB"/>
        </w:rPr>
      </w:pPr>
    </w:p>
    <w:p w14:paraId="32821E55" w14:textId="77777777" w:rsidR="00AE5429" w:rsidRDefault="00AE5429" w:rsidP="00AE5429">
      <w:pPr>
        <w:jc w:val="both"/>
        <w:rPr>
          <w:rFonts w:ascii="Arial" w:hAnsi="Arial"/>
          <w:b/>
          <w:szCs w:val="20"/>
          <w:u w:val="single"/>
          <w:lang w:val="en-GB"/>
        </w:rPr>
      </w:pPr>
    </w:p>
    <w:p w14:paraId="44D2609F" w14:textId="77777777" w:rsidR="00AE5429" w:rsidRDefault="00AE5429" w:rsidP="00AE5429">
      <w:pPr>
        <w:jc w:val="both"/>
        <w:rPr>
          <w:rFonts w:ascii="Arial" w:hAnsi="Arial"/>
          <w:b/>
          <w:szCs w:val="20"/>
          <w:u w:val="single"/>
          <w:lang w:val="en-GB"/>
        </w:rPr>
      </w:pPr>
    </w:p>
    <w:p w14:paraId="55D18103" w14:textId="77777777" w:rsidR="00AE5429" w:rsidRDefault="00AE5429" w:rsidP="00AE5429">
      <w:pPr>
        <w:jc w:val="both"/>
        <w:rPr>
          <w:rFonts w:ascii="Arial" w:hAnsi="Arial"/>
          <w:b/>
          <w:szCs w:val="20"/>
          <w:u w:val="single"/>
          <w:lang w:val="en-GB"/>
        </w:rPr>
      </w:pPr>
    </w:p>
    <w:p w14:paraId="614F3458" w14:textId="77777777" w:rsidR="00AE5429" w:rsidRDefault="00AE5429" w:rsidP="00AE5429">
      <w:pPr>
        <w:jc w:val="both"/>
        <w:rPr>
          <w:rFonts w:ascii="Arial" w:hAnsi="Arial"/>
          <w:b/>
          <w:szCs w:val="20"/>
          <w:u w:val="single"/>
          <w:lang w:val="en-GB"/>
        </w:rPr>
      </w:pPr>
    </w:p>
    <w:p w14:paraId="4586E9C6" w14:textId="77777777" w:rsidR="008E63FE" w:rsidRPr="008E63FE" w:rsidRDefault="008E63FE" w:rsidP="008E63FE">
      <w:pPr>
        <w:spacing w:line="360" w:lineRule="auto"/>
        <w:jc w:val="both"/>
        <w:rPr>
          <w:rFonts w:ascii="Arial" w:eastAsiaTheme="minorHAnsi" w:hAnsi="Arial" w:cs="Arial"/>
          <w:b/>
          <w:bCs/>
          <w:kern w:val="2"/>
          <w14:ligatures w14:val="standardContextual"/>
        </w:rPr>
      </w:pPr>
    </w:p>
    <w:p w14:paraId="63C3248C" w14:textId="18984B7F" w:rsidR="008E63FE" w:rsidRPr="008E63FE" w:rsidRDefault="008E63FE" w:rsidP="008E63FE">
      <w:pPr>
        <w:spacing w:line="360" w:lineRule="auto"/>
        <w:jc w:val="both"/>
        <w:rPr>
          <w:rFonts w:ascii="Arial" w:eastAsiaTheme="minorHAnsi" w:hAnsi="Arial" w:cs="Arial"/>
          <w:b/>
          <w:bCs/>
          <w:kern w:val="2"/>
          <w14:ligatures w14:val="standardContextual"/>
        </w:rPr>
      </w:pPr>
      <w:r w:rsidRPr="008E63FE">
        <w:rPr>
          <w:rFonts w:ascii="Arial" w:eastAsiaTheme="minorHAnsi" w:hAnsi="Arial" w:cs="Arial"/>
          <w:b/>
          <w:bCs/>
          <w:kern w:val="2"/>
          <w14:ligatures w14:val="standardContextual"/>
        </w:rPr>
        <w:tab/>
      </w:r>
      <w:r w:rsidRPr="008E63FE">
        <w:rPr>
          <w:rFonts w:ascii="Arial" w:eastAsiaTheme="minorHAnsi" w:hAnsi="Arial" w:cs="Arial"/>
          <w:b/>
          <w:bCs/>
          <w:kern w:val="2"/>
          <w14:ligatures w14:val="standardContextual"/>
        </w:rPr>
        <w:tab/>
      </w:r>
      <w:r w:rsidRPr="008E63FE">
        <w:rPr>
          <w:rFonts w:ascii="Arial" w:eastAsiaTheme="minorHAnsi" w:hAnsi="Arial" w:cs="Arial"/>
          <w:b/>
          <w:bCs/>
          <w:kern w:val="2"/>
          <w14:ligatures w14:val="standardContextual"/>
        </w:rPr>
        <w:tab/>
      </w:r>
      <w:r w:rsidRPr="008E63FE">
        <w:rPr>
          <w:rFonts w:ascii="Arial" w:eastAsiaTheme="minorHAnsi" w:hAnsi="Arial" w:cs="Arial"/>
          <w:b/>
          <w:bCs/>
          <w:kern w:val="2"/>
          <w14:ligatures w14:val="standardContextual"/>
        </w:rPr>
        <w:tab/>
      </w:r>
      <w:r w:rsidRPr="008E63FE">
        <w:rPr>
          <w:rFonts w:ascii="Arial" w:eastAsiaTheme="minorHAnsi" w:hAnsi="Arial" w:cs="Arial"/>
          <w:b/>
          <w:bCs/>
          <w:kern w:val="2"/>
          <w14:ligatures w14:val="standardContextual"/>
        </w:rPr>
        <w:tab/>
      </w:r>
      <w:r w:rsidRPr="008E63FE">
        <w:rPr>
          <w:rFonts w:ascii="Arial" w:eastAsiaTheme="minorHAnsi" w:hAnsi="Arial" w:cs="Arial"/>
          <w:b/>
          <w:bCs/>
          <w:kern w:val="2"/>
          <w14:ligatures w14:val="standardContextual"/>
        </w:rPr>
        <w:tab/>
      </w:r>
      <w:r w:rsidRPr="008E63FE">
        <w:rPr>
          <w:rFonts w:ascii="Arial" w:eastAsiaTheme="minorHAnsi" w:hAnsi="Arial" w:cs="Arial"/>
          <w:b/>
          <w:bCs/>
          <w:kern w:val="2"/>
          <w14:ligatures w14:val="standardContextual"/>
        </w:rPr>
        <w:tab/>
      </w:r>
      <w:r w:rsidRPr="008E63FE">
        <w:rPr>
          <w:rFonts w:ascii="Arial" w:eastAsiaTheme="minorHAnsi" w:hAnsi="Arial" w:cs="Arial"/>
          <w:b/>
          <w:bCs/>
          <w:kern w:val="2"/>
          <w14:ligatures w14:val="standardContextual"/>
        </w:rPr>
        <w:tab/>
        <w:t xml:space="preserve">     </w:t>
      </w:r>
      <w:r w:rsidR="00545267">
        <w:rPr>
          <w:rFonts w:ascii="Arial" w:eastAsiaTheme="minorHAnsi" w:hAnsi="Arial" w:cs="Arial"/>
          <w:b/>
          <w:bCs/>
          <w:kern w:val="2"/>
          <w14:ligatures w14:val="standardContextual"/>
        </w:rPr>
        <w:t xml:space="preserve"> </w:t>
      </w:r>
      <w:r w:rsidRPr="008E63FE">
        <w:rPr>
          <w:rFonts w:ascii="Arial" w:eastAsiaTheme="minorHAnsi" w:hAnsi="Arial" w:cs="Arial"/>
          <w:b/>
          <w:bCs/>
          <w:kern w:val="2"/>
          <w14:ligatures w14:val="standardContextual"/>
        </w:rPr>
        <w:t>CASE NO: 30198/2022</w:t>
      </w:r>
    </w:p>
    <w:p w14:paraId="505E03F9" w14:textId="77777777" w:rsidR="008E63FE" w:rsidRPr="008E63FE" w:rsidRDefault="008E63FE" w:rsidP="008E63FE">
      <w:pPr>
        <w:spacing w:line="360" w:lineRule="auto"/>
        <w:jc w:val="both"/>
        <w:rPr>
          <w:rFonts w:ascii="Arial" w:eastAsiaTheme="minorHAnsi" w:hAnsi="Arial" w:cs="Arial"/>
          <w:b/>
          <w:bCs/>
          <w:kern w:val="2"/>
          <w14:ligatures w14:val="standardContextual"/>
        </w:rPr>
      </w:pPr>
    </w:p>
    <w:p w14:paraId="41CB3DA0" w14:textId="77777777" w:rsidR="008E63FE" w:rsidRPr="008E63FE" w:rsidRDefault="008E63FE" w:rsidP="008E63FE">
      <w:pPr>
        <w:spacing w:line="360" w:lineRule="auto"/>
        <w:jc w:val="both"/>
        <w:rPr>
          <w:rFonts w:ascii="Arial" w:eastAsiaTheme="minorHAnsi" w:hAnsi="Arial" w:cs="Arial"/>
          <w:kern w:val="2"/>
          <w14:ligatures w14:val="standardContextual"/>
        </w:rPr>
      </w:pPr>
      <w:r w:rsidRPr="008E63FE">
        <w:rPr>
          <w:rFonts w:ascii="Arial" w:eastAsiaTheme="minorHAnsi" w:hAnsi="Arial" w:cs="Arial"/>
          <w:kern w:val="2"/>
          <w14:ligatures w14:val="standardContextual"/>
        </w:rPr>
        <w:t>In the matter between:</w:t>
      </w:r>
    </w:p>
    <w:p w14:paraId="2D07F89F" w14:textId="77777777" w:rsidR="008E63FE" w:rsidRPr="008E63FE" w:rsidRDefault="008E63FE" w:rsidP="008E63FE">
      <w:pPr>
        <w:spacing w:line="360" w:lineRule="auto"/>
        <w:jc w:val="both"/>
        <w:rPr>
          <w:rFonts w:ascii="Arial" w:eastAsiaTheme="minorHAnsi" w:hAnsi="Arial" w:cs="Arial"/>
          <w:b/>
          <w:bCs/>
          <w:kern w:val="2"/>
          <w14:ligatures w14:val="standardContextual"/>
        </w:rPr>
      </w:pPr>
    </w:p>
    <w:p w14:paraId="25D9A8E8" w14:textId="3BF38318" w:rsidR="008E63FE" w:rsidRPr="008E63FE" w:rsidRDefault="00545267" w:rsidP="008E63FE">
      <w:pPr>
        <w:spacing w:line="360" w:lineRule="auto"/>
        <w:jc w:val="both"/>
        <w:rPr>
          <w:rFonts w:ascii="Arial" w:eastAsiaTheme="minorHAnsi" w:hAnsi="Arial" w:cs="Arial"/>
          <w:b/>
          <w:bCs/>
          <w:kern w:val="2"/>
          <w14:ligatures w14:val="standardContextual"/>
        </w:rPr>
      </w:pPr>
      <w:r>
        <w:rPr>
          <w:rFonts w:ascii="Arial" w:eastAsiaTheme="minorHAnsi" w:hAnsi="Arial" w:cs="Arial"/>
          <w:b/>
          <w:bCs/>
          <w:kern w:val="2"/>
          <w14:ligatures w14:val="standardContextual"/>
        </w:rPr>
        <w:t xml:space="preserve">THE </w:t>
      </w:r>
      <w:r w:rsidR="008E63FE" w:rsidRPr="008E63FE">
        <w:rPr>
          <w:rFonts w:ascii="Arial" w:eastAsiaTheme="minorHAnsi" w:hAnsi="Arial" w:cs="Arial"/>
          <w:b/>
          <w:bCs/>
          <w:kern w:val="2"/>
          <w14:ligatures w14:val="standardContextual"/>
        </w:rPr>
        <w:t>MINISTER OF POLICE</w:t>
      </w:r>
      <w:r w:rsidR="008E63FE" w:rsidRPr="008E63FE">
        <w:rPr>
          <w:rFonts w:ascii="Arial" w:eastAsiaTheme="minorHAnsi" w:hAnsi="Arial" w:cs="Arial"/>
          <w:b/>
          <w:bCs/>
          <w:kern w:val="2"/>
          <w14:ligatures w14:val="standardContextual"/>
        </w:rPr>
        <w:tab/>
      </w:r>
      <w:r w:rsidR="008E63FE" w:rsidRPr="008E63FE">
        <w:rPr>
          <w:rFonts w:ascii="Arial" w:eastAsiaTheme="minorHAnsi" w:hAnsi="Arial" w:cs="Arial"/>
          <w:b/>
          <w:bCs/>
          <w:kern w:val="2"/>
          <w14:ligatures w14:val="standardContextual"/>
        </w:rPr>
        <w:tab/>
      </w:r>
      <w:r w:rsidR="008E63FE" w:rsidRPr="008E63FE">
        <w:rPr>
          <w:rFonts w:ascii="Arial" w:eastAsiaTheme="minorHAnsi" w:hAnsi="Arial" w:cs="Arial"/>
          <w:b/>
          <w:bCs/>
          <w:kern w:val="2"/>
          <w14:ligatures w14:val="standardContextual"/>
        </w:rPr>
        <w:tab/>
      </w:r>
      <w:r w:rsidR="008E63FE" w:rsidRPr="008E63FE">
        <w:rPr>
          <w:rFonts w:ascii="Arial" w:eastAsiaTheme="minorHAnsi" w:hAnsi="Arial" w:cs="Arial"/>
          <w:b/>
          <w:bCs/>
          <w:kern w:val="2"/>
          <w14:ligatures w14:val="standardContextual"/>
        </w:rPr>
        <w:tab/>
        <w:t xml:space="preserve">                      APPLICANT</w:t>
      </w:r>
    </w:p>
    <w:p w14:paraId="2A318827" w14:textId="77777777" w:rsidR="008E63FE" w:rsidRPr="008E63FE" w:rsidRDefault="008E63FE" w:rsidP="008E63FE">
      <w:pPr>
        <w:spacing w:line="360" w:lineRule="auto"/>
        <w:jc w:val="both"/>
        <w:rPr>
          <w:rFonts w:ascii="Arial" w:eastAsiaTheme="minorHAnsi" w:hAnsi="Arial" w:cs="Arial"/>
          <w:b/>
          <w:bCs/>
          <w:kern w:val="2"/>
          <w14:ligatures w14:val="standardContextual"/>
        </w:rPr>
      </w:pPr>
    </w:p>
    <w:p w14:paraId="4940F8AA" w14:textId="77777777" w:rsidR="008E63FE" w:rsidRPr="008E63FE" w:rsidRDefault="008E63FE" w:rsidP="008E63FE">
      <w:pPr>
        <w:spacing w:line="360" w:lineRule="auto"/>
        <w:jc w:val="both"/>
        <w:rPr>
          <w:rFonts w:ascii="Arial" w:eastAsiaTheme="minorHAnsi" w:hAnsi="Arial" w:cs="Arial"/>
          <w:kern w:val="2"/>
          <w14:ligatures w14:val="standardContextual"/>
        </w:rPr>
      </w:pPr>
      <w:r w:rsidRPr="008E63FE">
        <w:rPr>
          <w:rFonts w:ascii="Arial" w:eastAsiaTheme="minorHAnsi" w:hAnsi="Arial" w:cs="Arial"/>
          <w:kern w:val="2"/>
          <w14:ligatures w14:val="standardContextual"/>
        </w:rPr>
        <w:t>and</w:t>
      </w:r>
    </w:p>
    <w:p w14:paraId="5C9069F2" w14:textId="77777777" w:rsidR="008E63FE" w:rsidRPr="008E63FE" w:rsidRDefault="008E63FE" w:rsidP="008E63FE">
      <w:pPr>
        <w:spacing w:line="360" w:lineRule="auto"/>
        <w:jc w:val="both"/>
        <w:rPr>
          <w:rFonts w:ascii="Arial" w:eastAsiaTheme="minorHAnsi" w:hAnsi="Arial" w:cs="Arial"/>
          <w:b/>
          <w:bCs/>
          <w:kern w:val="2"/>
          <w14:ligatures w14:val="standardContextual"/>
        </w:rPr>
      </w:pPr>
    </w:p>
    <w:p w14:paraId="2B3D611A" w14:textId="05132210" w:rsidR="008E63FE" w:rsidRPr="008E63FE" w:rsidRDefault="008E63FE" w:rsidP="008E63FE">
      <w:pPr>
        <w:spacing w:line="360" w:lineRule="auto"/>
        <w:jc w:val="both"/>
        <w:rPr>
          <w:rFonts w:ascii="Arial" w:eastAsiaTheme="minorHAnsi" w:hAnsi="Arial" w:cs="Arial"/>
          <w:b/>
          <w:bCs/>
          <w:kern w:val="2"/>
          <w14:ligatures w14:val="standardContextual"/>
        </w:rPr>
      </w:pPr>
      <w:r w:rsidRPr="008E63FE">
        <w:rPr>
          <w:rFonts w:ascii="Arial" w:eastAsiaTheme="minorHAnsi" w:hAnsi="Arial" w:cs="Arial"/>
          <w:b/>
          <w:bCs/>
          <w:kern w:val="2"/>
          <w14:ligatures w14:val="standardContextual"/>
        </w:rPr>
        <w:t>LUKIE MARIA MAHLANGU</w:t>
      </w:r>
      <w:r w:rsidRPr="008E63FE">
        <w:rPr>
          <w:rFonts w:ascii="Arial" w:eastAsiaTheme="minorHAnsi" w:hAnsi="Arial" w:cs="Arial"/>
          <w:b/>
          <w:bCs/>
          <w:kern w:val="2"/>
          <w14:ligatures w14:val="standardContextual"/>
        </w:rPr>
        <w:tab/>
      </w:r>
      <w:r w:rsidRPr="008E63FE">
        <w:rPr>
          <w:rFonts w:ascii="Arial" w:eastAsiaTheme="minorHAnsi" w:hAnsi="Arial" w:cs="Arial"/>
          <w:b/>
          <w:bCs/>
          <w:kern w:val="2"/>
          <w14:ligatures w14:val="standardContextual"/>
        </w:rPr>
        <w:tab/>
      </w:r>
      <w:r w:rsidRPr="008E63FE">
        <w:rPr>
          <w:rFonts w:ascii="Arial" w:eastAsiaTheme="minorHAnsi" w:hAnsi="Arial" w:cs="Arial"/>
          <w:b/>
          <w:bCs/>
          <w:kern w:val="2"/>
          <w14:ligatures w14:val="standardContextual"/>
        </w:rPr>
        <w:tab/>
      </w:r>
      <w:r w:rsidRPr="008E63FE">
        <w:rPr>
          <w:rFonts w:ascii="Arial" w:eastAsiaTheme="minorHAnsi" w:hAnsi="Arial" w:cs="Arial"/>
          <w:b/>
          <w:bCs/>
          <w:kern w:val="2"/>
          <w14:ligatures w14:val="standardContextual"/>
        </w:rPr>
        <w:tab/>
      </w:r>
      <w:r w:rsidR="00545267">
        <w:rPr>
          <w:rFonts w:ascii="Arial" w:eastAsiaTheme="minorHAnsi" w:hAnsi="Arial" w:cs="Arial"/>
          <w:b/>
          <w:bCs/>
          <w:kern w:val="2"/>
          <w14:ligatures w14:val="standardContextual"/>
        </w:rPr>
        <w:t xml:space="preserve">       </w:t>
      </w:r>
      <w:r w:rsidRPr="008E63FE">
        <w:rPr>
          <w:rFonts w:ascii="Arial" w:eastAsiaTheme="minorHAnsi" w:hAnsi="Arial" w:cs="Arial"/>
          <w:b/>
          <w:bCs/>
          <w:kern w:val="2"/>
          <w14:ligatures w14:val="standardContextual"/>
        </w:rPr>
        <w:t>FIRST RESPONDENT</w:t>
      </w:r>
    </w:p>
    <w:p w14:paraId="6CC2E368" w14:textId="77777777" w:rsidR="008E63FE" w:rsidRPr="008E63FE" w:rsidRDefault="008E63FE" w:rsidP="008E63FE">
      <w:pPr>
        <w:spacing w:line="360" w:lineRule="auto"/>
        <w:jc w:val="both"/>
        <w:rPr>
          <w:rFonts w:ascii="Arial" w:eastAsiaTheme="minorHAnsi" w:hAnsi="Arial" w:cs="Arial"/>
          <w:b/>
          <w:bCs/>
          <w:kern w:val="2"/>
          <w14:ligatures w14:val="standardContextual"/>
        </w:rPr>
      </w:pPr>
    </w:p>
    <w:p w14:paraId="0B9AF922" w14:textId="60F00284" w:rsidR="008E63FE" w:rsidRPr="008E63FE" w:rsidRDefault="008E63FE" w:rsidP="008E63FE">
      <w:pPr>
        <w:spacing w:line="360" w:lineRule="auto"/>
        <w:jc w:val="both"/>
        <w:rPr>
          <w:rFonts w:ascii="Arial" w:eastAsiaTheme="minorHAnsi" w:hAnsi="Arial" w:cs="Arial"/>
          <w:b/>
          <w:bCs/>
          <w:kern w:val="2"/>
          <w14:ligatures w14:val="standardContextual"/>
        </w:rPr>
      </w:pPr>
      <w:r w:rsidRPr="008E63FE">
        <w:rPr>
          <w:rFonts w:ascii="Arial" w:eastAsiaTheme="minorHAnsi" w:hAnsi="Arial" w:cs="Arial"/>
          <w:b/>
          <w:bCs/>
          <w:kern w:val="2"/>
          <w14:ligatures w14:val="standardContextual"/>
        </w:rPr>
        <w:t>MPALENG MATRON DIKOTOBE</w:t>
      </w:r>
      <w:r w:rsidRPr="008E63FE">
        <w:rPr>
          <w:rFonts w:ascii="Arial" w:eastAsiaTheme="minorHAnsi" w:hAnsi="Arial" w:cs="Arial"/>
          <w:b/>
          <w:bCs/>
          <w:kern w:val="2"/>
          <w14:ligatures w14:val="standardContextual"/>
        </w:rPr>
        <w:tab/>
      </w:r>
      <w:r w:rsidRPr="008E63FE">
        <w:rPr>
          <w:rFonts w:ascii="Arial" w:eastAsiaTheme="minorHAnsi" w:hAnsi="Arial" w:cs="Arial"/>
          <w:b/>
          <w:bCs/>
          <w:kern w:val="2"/>
          <w14:ligatures w14:val="standardContextual"/>
        </w:rPr>
        <w:tab/>
      </w:r>
      <w:r w:rsidRPr="008E63FE">
        <w:rPr>
          <w:rFonts w:ascii="Arial" w:eastAsiaTheme="minorHAnsi" w:hAnsi="Arial" w:cs="Arial"/>
          <w:b/>
          <w:bCs/>
          <w:kern w:val="2"/>
          <w14:ligatures w14:val="standardContextual"/>
        </w:rPr>
        <w:tab/>
        <w:t xml:space="preserve">  SECOND RESPONDENT</w:t>
      </w:r>
    </w:p>
    <w:p w14:paraId="1B2F18B6" w14:textId="77777777" w:rsidR="00F8484B" w:rsidRPr="00596A96" w:rsidRDefault="00F8484B" w:rsidP="00596A96">
      <w:pPr>
        <w:pStyle w:val="NoSpacing"/>
        <w:spacing w:line="480" w:lineRule="auto"/>
        <w:jc w:val="both"/>
        <w:rPr>
          <w:rFonts w:ascii="Arial" w:hAnsi="Arial" w:cs="Arial"/>
          <w:lang w:val="en-ZA"/>
        </w:rPr>
      </w:pPr>
    </w:p>
    <w:p w14:paraId="7F25F794" w14:textId="7B91DD78" w:rsidR="00390C84" w:rsidRDefault="00AE5429" w:rsidP="00390C84">
      <w:pPr>
        <w:pBdr>
          <w:bottom w:val="single" w:sz="12" w:space="1" w:color="auto"/>
        </w:pBdr>
        <w:spacing w:line="480" w:lineRule="auto"/>
        <w:jc w:val="both"/>
        <w:rPr>
          <w:rFonts w:ascii="Arial" w:hAnsi="Arial" w:cs="Arial"/>
        </w:rPr>
      </w:pPr>
      <w:r w:rsidRPr="00596A96">
        <w:rPr>
          <w:rFonts w:ascii="Arial" w:hAnsi="Arial" w:cs="Arial"/>
          <w:b/>
          <w:bCs/>
        </w:rPr>
        <w:lastRenderedPageBreak/>
        <w:t xml:space="preserve">Delivered. </w:t>
      </w:r>
      <w:r w:rsidRPr="00596A96">
        <w:rPr>
          <w:rFonts w:ascii="Arial" w:hAnsi="Arial" w:cs="Arial"/>
        </w:rPr>
        <w:t>This judgment was handed down electronically by circulation to the parties’ representatives by email. The date and time for hand down is deemed to be 10h00 on</w:t>
      </w:r>
      <w:r w:rsidR="00DB13AA">
        <w:rPr>
          <w:rFonts w:ascii="Arial" w:hAnsi="Arial" w:cs="Arial"/>
        </w:rPr>
        <w:t xml:space="preserve"> </w:t>
      </w:r>
      <w:r w:rsidR="00A131C5">
        <w:rPr>
          <w:rFonts w:ascii="Arial" w:hAnsi="Arial" w:cs="Arial"/>
        </w:rPr>
        <w:t>20</w:t>
      </w:r>
      <w:r w:rsidR="008B7469" w:rsidRPr="00596A96">
        <w:rPr>
          <w:rFonts w:ascii="Arial" w:hAnsi="Arial" w:cs="Arial"/>
        </w:rPr>
        <w:t xml:space="preserve"> </w:t>
      </w:r>
      <w:r w:rsidR="00884442" w:rsidRPr="00596A96">
        <w:rPr>
          <w:rFonts w:ascii="Arial" w:hAnsi="Arial" w:cs="Arial"/>
        </w:rPr>
        <w:t>February 2024</w:t>
      </w:r>
      <w:r w:rsidRPr="00596A96">
        <w:rPr>
          <w:rFonts w:ascii="Arial" w:hAnsi="Arial" w:cs="Arial"/>
        </w:rPr>
        <w:t>.</w:t>
      </w:r>
    </w:p>
    <w:p w14:paraId="4F5F1A24" w14:textId="77777777" w:rsidR="00390C84" w:rsidRDefault="00390C84" w:rsidP="005E69BC">
      <w:pPr>
        <w:jc w:val="center"/>
        <w:rPr>
          <w:rFonts w:ascii="Arial" w:hAnsi="Arial" w:cs="Arial"/>
        </w:rPr>
      </w:pPr>
    </w:p>
    <w:p w14:paraId="02B1FF90" w14:textId="0269EB76" w:rsidR="005E69BC" w:rsidRPr="000D0D65" w:rsidRDefault="005E69BC" w:rsidP="005E69BC">
      <w:pPr>
        <w:pBdr>
          <w:bottom w:val="single" w:sz="12" w:space="1" w:color="auto"/>
        </w:pBdr>
        <w:jc w:val="center"/>
        <w:rPr>
          <w:rFonts w:ascii="Arial" w:hAnsi="Arial" w:cs="Arial"/>
          <w:b/>
          <w:bCs/>
        </w:rPr>
      </w:pPr>
      <w:r w:rsidRPr="000D0D65">
        <w:rPr>
          <w:rFonts w:ascii="Arial" w:hAnsi="Arial" w:cs="Arial"/>
          <w:b/>
          <w:bCs/>
        </w:rPr>
        <w:t>JUDGMENT</w:t>
      </w:r>
    </w:p>
    <w:p w14:paraId="15159EE3" w14:textId="77777777" w:rsidR="005E69BC" w:rsidRDefault="005E69BC" w:rsidP="005E69BC">
      <w:pPr>
        <w:pBdr>
          <w:bottom w:val="single" w:sz="12" w:space="1" w:color="auto"/>
        </w:pBdr>
        <w:jc w:val="center"/>
        <w:rPr>
          <w:rFonts w:ascii="Arial" w:hAnsi="Arial" w:cs="Arial"/>
        </w:rPr>
      </w:pPr>
    </w:p>
    <w:p w14:paraId="61B82674" w14:textId="0B4096F9" w:rsidR="00596A96" w:rsidRPr="00596A96" w:rsidRDefault="007B6F5F" w:rsidP="00596A96">
      <w:pPr>
        <w:spacing w:before="100" w:beforeAutospacing="1" w:after="100" w:afterAutospacing="1" w:line="480" w:lineRule="auto"/>
        <w:jc w:val="both"/>
        <w:rPr>
          <w:rFonts w:ascii="Arial" w:hAnsi="Arial" w:cs="Arial"/>
          <w:b/>
          <w:bCs/>
          <w:color w:val="000000"/>
          <w:u w:val="single"/>
          <w:lang w:val="en-GB" w:eastAsia="en-GB"/>
        </w:rPr>
      </w:pPr>
      <w:r w:rsidRPr="007B6F5F">
        <w:rPr>
          <w:rFonts w:ascii="Arial" w:hAnsi="Arial" w:cs="Arial"/>
          <w:b/>
          <w:bCs/>
          <w:u w:val="single"/>
        </w:rPr>
        <w:t>M</w:t>
      </w:r>
      <w:r w:rsidR="002453E8">
        <w:rPr>
          <w:rFonts w:ascii="Arial" w:hAnsi="Arial" w:cs="Arial"/>
          <w:b/>
          <w:bCs/>
          <w:u w:val="single"/>
        </w:rPr>
        <w:t>BOWENI</w:t>
      </w:r>
      <w:r w:rsidRPr="007B6F5F">
        <w:rPr>
          <w:rFonts w:ascii="Arial" w:hAnsi="Arial" w:cs="Arial"/>
          <w:b/>
          <w:bCs/>
          <w:u w:val="single"/>
        </w:rPr>
        <w:t xml:space="preserve"> AJ</w:t>
      </w:r>
    </w:p>
    <w:p w14:paraId="70A81FC8" w14:textId="309A6BC6" w:rsidR="00596A96" w:rsidRDefault="00596A96" w:rsidP="00596A96">
      <w:pPr>
        <w:spacing w:before="100" w:beforeAutospacing="1" w:after="100" w:afterAutospacing="1" w:line="480" w:lineRule="auto"/>
        <w:jc w:val="both"/>
        <w:rPr>
          <w:rFonts w:ascii="Arial" w:hAnsi="Arial" w:cs="Arial"/>
          <w:color w:val="000000"/>
          <w:lang w:val="en-ZA" w:eastAsia="en-GB"/>
        </w:rPr>
      </w:pPr>
      <w:r w:rsidRPr="00596A96">
        <w:rPr>
          <w:rFonts w:ascii="Arial" w:hAnsi="Arial" w:cs="Arial"/>
          <w:b/>
          <w:bCs/>
          <w:color w:val="000000"/>
          <w:u w:val="single"/>
          <w:lang w:eastAsia="en-GB"/>
        </w:rPr>
        <w:t>Introduction</w:t>
      </w:r>
      <w:r w:rsidRPr="00596A96">
        <w:rPr>
          <w:rFonts w:ascii="Arial" w:hAnsi="Arial" w:cs="Arial"/>
          <w:color w:val="000000"/>
          <w:lang w:val="en-ZA" w:eastAsia="en-GB"/>
        </w:rPr>
        <w:t> </w:t>
      </w:r>
    </w:p>
    <w:p w14:paraId="646D6C46" w14:textId="274FB894" w:rsidR="00545267" w:rsidRPr="00545267" w:rsidRDefault="00545267" w:rsidP="002212C2">
      <w:pPr>
        <w:spacing w:line="480" w:lineRule="auto"/>
        <w:ind w:left="709" w:hanging="720"/>
        <w:jc w:val="both"/>
        <w:rPr>
          <w:rFonts w:ascii="Arial" w:eastAsiaTheme="minorHAnsi" w:hAnsi="Arial" w:cs="Arial"/>
          <w:kern w:val="2"/>
          <w14:ligatures w14:val="standardContextual"/>
        </w:rPr>
      </w:pPr>
      <w:r w:rsidRPr="00545267">
        <w:rPr>
          <w:rFonts w:ascii="Arial" w:hAnsi="Arial" w:cs="Arial"/>
          <w:color w:val="242121"/>
          <w:lang w:eastAsia="en-GB"/>
        </w:rPr>
        <w:t xml:space="preserve">[1] </w:t>
      </w:r>
      <w:r w:rsidRPr="00545267">
        <w:rPr>
          <w:rFonts w:ascii="Arial" w:hAnsi="Arial" w:cs="Arial"/>
          <w:color w:val="242121"/>
          <w:lang w:eastAsia="en-GB"/>
        </w:rPr>
        <w:tab/>
        <w:t>This is an application for condonation for the late filing of the transcripts in</w:t>
      </w:r>
      <w:r w:rsidR="00A131C5">
        <w:rPr>
          <w:rFonts w:ascii="Arial" w:hAnsi="Arial" w:cs="Arial"/>
          <w:color w:val="242121"/>
          <w:lang w:eastAsia="en-GB"/>
        </w:rPr>
        <w:t xml:space="preserve"> </w:t>
      </w:r>
      <w:r w:rsidRPr="00545267">
        <w:rPr>
          <w:rFonts w:ascii="Arial" w:hAnsi="Arial" w:cs="Arial"/>
          <w:color w:val="242121"/>
          <w:lang w:eastAsia="en-GB"/>
        </w:rPr>
        <w:t xml:space="preserve">the application for leave to appeal. </w:t>
      </w:r>
      <w:r w:rsidRPr="00545267">
        <w:rPr>
          <w:rFonts w:ascii="Arial" w:eastAsiaTheme="minorHAnsi" w:hAnsi="Arial" w:cs="Arial"/>
          <w:kern w:val="2"/>
          <w14:ligatures w14:val="standardContextual"/>
        </w:rPr>
        <w:t>The first and second respondents were police reservists at the time of their arrest on 20 April 2015.They were arrested following allegations that they stole money during the search and seizure that took place on 13 March 2015 at Winterveld.</w:t>
      </w:r>
    </w:p>
    <w:p w14:paraId="54DFB848" w14:textId="77777777" w:rsidR="00545267" w:rsidRPr="00545267" w:rsidRDefault="00545267" w:rsidP="00545267">
      <w:pPr>
        <w:spacing w:line="480" w:lineRule="auto"/>
        <w:ind w:left="720" w:hanging="720"/>
        <w:jc w:val="both"/>
        <w:rPr>
          <w:rFonts w:ascii="Arial" w:eastAsiaTheme="minorHAnsi" w:hAnsi="Arial" w:cs="Arial"/>
          <w:kern w:val="2"/>
          <w14:ligatures w14:val="standardContextual"/>
        </w:rPr>
      </w:pPr>
    </w:p>
    <w:p w14:paraId="25AD8FDA" w14:textId="0B152C7E" w:rsidR="00545267" w:rsidRPr="00545267" w:rsidRDefault="00545267" w:rsidP="00545267">
      <w:pPr>
        <w:spacing w:line="480" w:lineRule="auto"/>
        <w:ind w:left="720" w:hanging="720"/>
        <w:jc w:val="both"/>
        <w:rPr>
          <w:rFonts w:ascii="Arial" w:eastAsiaTheme="minorHAnsi" w:hAnsi="Arial" w:cs="Arial"/>
          <w:kern w:val="2"/>
          <w14:ligatures w14:val="standardContextual"/>
        </w:rPr>
      </w:pPr>
      <w:r w:rsidRPr="00545267">
        <w:rPr>
          <w:rFonts w:ascii="Arial" w:eastAsiaTheme="minorHAnsi" w:hAnsi="Arial" w:cs="Arial"/>
          <w:kern w:val="2"/>
          <w14:ligatures w14:val="standardContextual"/>
        </w:rPr>
        <w:t>[2]</w:t>
      </w:r>
      <w:r w:rsidRPr="00545267">
        <w:rPr>
          <w:rFonts w:ascii="Arial" w:eastAsiaTheme="minorHAnsi" w:hAnsi="Arial" w:cs="Arial"/>
          <w:kern w:val="2"/>
          <w14:ligatures w14:val="standardContextual"/>
        </w:rPr>
        <w:tab/>
        <w:t>Subsequently, the respondents instituted claims for unlawful arrest and detention for three days each. The Magistrate awarded damages in an amount of R200 000.00 each to the respondents. It is the applicant</w:t>
      </w:r>
      <w:r w:rsidR="000C5A6D">
        <w:rPr>
          <w:rFonts w:ascii="Arial" w:eastAsiaTheme="minorHAnsi" w:hAnsi="Arial" w:cs="Arial"/>
          <w:kern w:val="2"/>
          <w14:ligatures w14:val="standardContextual"/>
        </w:rPr>
        <w:t>’</w:t>
      </w:r>
      <w:r w:rsidRPr="00545267">
        <w:rPr>
          <w:rFonts w:ascii="Arial" w:eastAsiaTheme="minorHAnsi" w:hAnsi="Arial" w:cs="Arial"/>
          <w:kern w:val="2"/>
          <w14:ligatures w14:val="standardContextual"/>
        </w:rPr>
        <w:t>s case that the amount awarded to the respondents forms the basis of the appeal,</w:t>
      </w:r>
      <w:r w:rsidR="002212C2">
        <w:rPr>
          <w:rFonts w:ascii="Arial" w:eastAsiaTheme="minorHAnsi" w:hAnsi="Arial" w:cs="Arial"/>
          <w:kern w:val="2"/>
          <w14:ligatures w14:val="standardContextual"/>
        </w:rPr>
        <w:t xml:space="preserve"> </w:t>
      </w:r>
      <w:r w:rsidRPr="00545267">
        <w:rPr>
          <w:rFonts w:ascii="Arial" w:eastAsiaTheme="minorHAnsi" w:hAnsi="Arial" w:cs="Arial"/>
          <w:kern w:val="2"/>
          <w14:ligatures w14:val="standardContextual"/>
        </w:rPr>
        <w:t>it is excessive and out of kilter with the caselaw,</w:t>
      </w:r>
      <w:r w:rsidR="009D46AB">
        <w:rPr>
          <w:rFonts w:ascii="Arial" w:eastAsiaTheme="minorHAnsi" w:hAnsi="Arial" w:cs="Arial"/>
          <w:kern w:val="2"/>
          <w14:ligatures w14:val="standardContextual"/>
        </w:rPr>
        <w:t xml:space="preserve"> </w:t>
      </w:r>
      <w:r w:rsidRPr="00545267">
        <w:rPr>
          <w:rFonts w:ascii="Arial" w:eastAsiaTheme="minorHAnsi" w:hAnsi="Arial" w:cs="Arial"/>
          <w:kern w:val="2"/>
          <w14:ligatures w14:val="standardContextual"/>
        </w:rPr>
        <w:t>it Magistrates</w:t>
      </w:r>
      <w:r w:rsidR="009D46AB">
        <w:rPr>
          <w:rFonts w:ascii="Arial" w:eastAsiaTheme="minorHAnsi" w:hAnsi="Arial" w:cs="Arial"/>
          <w:kern w:val="2"/>
          <w14:ligatures w14:val="standardContextual"/>
        </w:rPr>
        <w:t>’</w:t>
      </w:r>
      <w:r w:rsidRPr="00545267">
        <w:rPr>
          <w:rFonts w:ascii="Arial" w:eastAsiaTheme="minorHAnsi" w:hAnsi="Arial" w:cs="Arial"/>
          <w:kern w:val="2"/>
          <w14:ligatures w14:val="standardContextual"/>
        </w:rPr>
        <w:t xml:space="preserve"> </w:t>
      </w:r>
      <w:r w:rsidR="009D46AB">
        <w:rPr>
          <w:rFonts w:ascii="Arial" w:eastAsiaTheme="minorHAnsi" w:hAnsi="Arial" w:cs="Arial"/>
          <w:kern w:val="2"/>
          <w14:ligatures w14:val="standardContextual"/>
        </w:rPr>
        <w:t>C</w:t>
      </w:r>
      <w:r w:rsidRPr="00545267">
        <w:rPr>
          <w:rFonts w:ascii="Arial" w:eastAsiaTheme="minorHAnsi" w:hAnsi="Arial" w:cs="Arial"/>
          <w:kern w:val="2"/>
          <w14:ligatures w14:val="standardContextual"/>
        </w:rPr>
        <w:t>ourt judgment was attached.</w:t>
      </w:r>
    </w:p>
    <w:p w14:paraId="0E74750A" w14:textId="77777777" w:rsidR="00545267" w:rsidRPr="00545267" w:rsidRDefault="00545267" w:rsidP="00545267">
      <w:pPr>
        <w:spacing w:line="480" w:lineRule="auto"/>
        <w:jc w:val="both"/>
        <w:rPr>
          <w:rFonts w:ascii="Arial" w:eastAsiaTheme="minorHAnsi" w:hAnsi="Arial" w:cs="Arial"/>
          <w:kern w:val="2"/>
          <w14:ligatures w14:val="standardContextual"/>
        </w:rPr>
      </w:pPr>
    </w:p>
    <w:p w14:paraId="24BAC81E" w14:textId="4A495A71" w:rsidR="00545267" w:rsidRPr="00545267" w:rsidRDefault="00545267" w:rsidP="00545267">
      <w:pPr>
        <w:spacing w:line="480" w:lineRule="auto"/>
        <w:ind w:left="720" w:hanging="720"/>
        <w:jc w:val="both"/>
        <w:rPr>
          <w:rFonts w:ascii="Arial" w:eastAsiaTheme="minorHAnsi" w:hAnsi="Arial" w:cs="Arial"/>
          <w:kern w:val="2"/>
          <w14:ligatures w14:val="standardContextual"/>
        </w:rPr>
      </w:pPr>
      <w:r w:rsidRPr="00545267">
        <w:rPr>
          <w:rFonts w:ascii="Arial" w:eastAsiaTheme="minorHAnsi" w:hAnsi="Arial" w:cs="Arial"/>
          <w:kern w:val="2"/>
          <w14:ligatures w14:val="standardContextual"/>
        </w:rPr>
        <w:t>[3]</w:t>
      </w:r>
      <w:r w:rsidRPr="00545267">
        <w:rPr>
          <w:rFonts w:ascii="Arial" w:eastAsiaTheme="minorHAnsi" w:hAnsi="Arial" w:cs="Arial"/>
          <w:kern w:val="2"/>
          <w14:ligatures w14:val="standardContextual"/>
        </w:rPr>
        <w:tab/>
        <w:t>The applicant submitted that the judgment was received on or about 08 January 2020.</w:t>
      </w:r>
      <w:r w:rsidR="00F54089">
        <w:rPr>
          <w:rFonts w:ascii="Arial" w:eastAsiaTheme="minorHAnsi" w:hAnsi="Arial" w:cs="Arial"/>
          <w:kern w:val="2"/>
          <w14:ligatures w14:val="standardContextual"/>
        </w:rPr>
        <w:t xml:space="preserve"> </w:t>
      </w:r>
      <w:r w:rsidRPr="00545267">
        <w:rPr>
          <w:rFonts w:ascii="Arial" w:eastAsiaTheme="minorHAnsi" w:hAnsi="Arial" w:cs="Arial"/>
          <w:kern w:val="2"/>
          <w14:ligatures w14:val="standardContextual"/>
        </w:rPr>
        <w:t>Upon receiving the judgment,</w:t>
      </w:r>
      <w:r w:rsidR="00F54089">
        <w:rPr>
          <w:rFonts w:ascii="Arial" w:eastAsiaTheme="minorHAnsi" w:hAnsi="Arial" w:cs="Arial"/>
          <w:kern w:val="2"/>
          <w14:ligatures w14:val="standardContextual"/>
        </w:rPr>
        <w:t xml:space="preserve"> </w:t>
      </w:r>
      <w:r w:rsidRPr="00545267">
        <w:rPr>
          <w:rFonts w:ascii="Arial" w:eastAsiaTheme="minorHAnsi" w:hAnsi="Arial" w:cs="Arial"/>
          <w:kern w:val="2"/>
          <w14:ligatures w14:val="standardContextual"/>
        </w:rPr>
        <w:t xml:space="preserve">the judgment was immediately </w:t>
      </w:r>
      <w:r w:rsidRPr="00545267">
        <w:rPr>
          <w:rFonts w:ascii="Arial" w:eastAsiaTheme="minorHAnsi" w:hAnsi="Arial" w:cs="Arial"/>
          <w:kern w:val="2"/>
          <w14:ligatures w14:val="standardContextual"/>
        </w:rPr>
        <w:lastRenderedPageBreak/>
        <w:t xml:space="preserve">sent to client who gave instructions that the judgment should be appealed, and Counsel should be appointed. </w:t>
      </w:r>
    </w:p>
    <w:p w14:paraId="2C9BE551" w14:textId="77777777" w:rsidR="00545267" w:rsidRPr="00545267" w:rsidRDefault="00545267" w:rsidP="00545267">
      <w:pPr>
        <w:spacing w:before="144" w:line="480" w:lineRule="atLeast"/>
        <w:ind w:left="720" w:hanging="737"/>
        <w:jc w:val="both"/>
        <w:rPr>
          <w:rFonts w:ascii="Arial" w:hAnsi="Arial" w:cs="Arial"/>
          <w:color w:val="242121"/>
          <w:lang w:eastAsia="en-GB"/>
        </w:rPr>
      </w:pPr>
      <w:r w:rsidRPr="00545267">
        <w:rPr>
          <w:rFonts w:ascii="Arial" w:hAnsi="Arial" w:cs="Arial"/>
          <w:color w:val="242121"/>
          <w:lang w:eastAsia="en-GB"/>
        </w:rPr>
        <w:t>[4]</w:t>
      </w:r>
      <w:r w:rsidRPr="00545267">
        <w:rPr>
          <w:rFonts w:ascii="Arial" w:hAnsi="Arial" w:cs="Arial"/>
          <w:color w:val="242121"/>
          <w:lang w:eastAsia="en-GB"/>
        </w:rPr>
        <w:tab/>
        <w:t>The applicant launched an application for leave to appeal against the award of damages on 03 February 2020.</w:t>
      </w:r>
    </w:p>
    <w:p w14:paraId="1E34464A" w14:textId="417B5250" w:rsidR="00545267" w:rsidRDefault="00ED148F" w:rsidP="00ED148F">
      <w:pPr>
        <w:spacing w:line="360" w:lineRule="auto"/>
        <w:jc w:val="both"/>
        <w:rPr>
          <w:rFonts w:ascii="Arial" w:eastAsiaTheme="minorHAnsi" w:hAnsi="Arial" w:cs="Arial"/>
          <w:kern w:val="2"/>
          <w14:ligatures w14:val="standardContextual"/>
        </w:rPr>
      </w:pPr>
      <w:r>
        <w:rPr>
          <w:rFonts w:ascii="Arial" w:eastAsiaTheme="minorHAnsi" w:hAnsi="Arial" w:cs="Arial"/>
          <w:kern w:val="2"/>
          <w14:ligatures w14:val="standardContextual"/>
        </w:rPr>
        <w:t xml:space="preserve">  </w:t>
      </w:r>
    </w:p>
    <w:p w14:paraId="44E3C046" w14:textId="77777777" w:rsidR="00ED148F" w:rsidRPr="00545267" w:rsidRDefault="00ED148F" w:rsidP="00ED148F">
      <w:pPr>
        <w:spacing w:line="360" w:lineRule="auto"/>
        <w:jc w:val="both"/>
        <w:rPr>
          <w:rFonts w:ascii="Arial" w:eastAsiaTheme="minorHAnsi" w:hAnsi="Arial" w:cs="Arial"/>
          <w:kern w:val="2"/>
          <w14:ligatures w14:val="standardContextual"/>
        </w:rPr>
      </w:pPr>
    </w:p>
    <w:p w14:paraId="56793D27" w14:textId="113C1029" w:rsidR="00545267" w:rsidRPr="00545267" w:rsidRDefault="00545267" w:rsidP="00545267">
      <w:pPr>
        <w:spacing w:line="480" w:lineRule="auto"/>
        <w:ind w:left="720" w:hanging="720"/>
        <w:jc w:val="both"/>
        <w:rPr>
          <w:rFonts w:ascii="Arial" w:eastAsiaTheme="minorHAnsi" w:hAnsi="Arial" w:cs="Arial"/>
          <w:kern w:val="2"/>
          <w14:ligatures w14:val="standardContextual"/>
        </w:rPr>
      </w:pPr>
      <w:r w:rsidRPr="00545267">
        <w:rPr>
          <w:rFonts w:ascii="Arial" w:eastAsiaTheme="minorHAnsi" w:hAnsi="Arial" w:cs="Arial"/>
          <w:kern w:val="2"/>
          <w14:ligatures w14:val="standardContextual"/>
        </w:rPr>
        <w:t>[5]</w:t>
      </w:r>
      <w:r w:rsidRPr="00545267">
        <w:rPr>
          <w:rFonts w:ascii="Arial" w:eastAsiaTheme="minorHAnsi" w:hAnsi="Arial" w:cs="Arial"/>
          <w:kern w:val="2"/>
          <w14:ligatures w14:val="standardContextual"/>
        </w:rPr>
        <w:tab/>
        <w:t>Mr. Zulu attended to their internal State Attorney processes to appoint Counsel towards the end of January 2020.</w:t>
      </w:r>
      <w:r w:rsidR="0040711F">
        <w:rPr>
          <w:rFonts w:ascii="Arial" w:eastAsiaTheme="minorHAnsi" w:hAnsi="Arial" w:cs="Arial"/>
          <w:kern w:val="2"/>
          <w14:ligatures w14:val="standardContextual"/>
        </w:rPr>
        <w:t xml:space="preserve"> </w:t>
      </w:r>
      <w:r w:rsidRPr="00545267">
        <w:rPr>
          <w:rFonts w:ascii="Arial" w:eastAsiaTheme="minorHAnsi" w:hAnsi="Arial" w:cs="Arial"/>
          <w:kern w:val="2"/>
          <w14:ligatures w14:val="standardContextual"/>
        </w:rPr>
        <w:t>Counsel sought further supporting documentation and proceeded to prepare an opinion. Counsel</w:t>
      </w:r>
      <w:r w:rsidR="0040711F">
        <w:rPr>
          <w:rFonts w:ascii="Arial" w:eastAsiaTheme="minorHAnsi" w:hAnsi="Arial" w:cs="Arial"/>
          <w:kern w:val="2"/>
          <w14:ligatures w14:val="standardContextual"/>
        </w:rPr>
        <w:t>’</w:t>
      </w:r>
      <w:r w:rsidRPr="00545267">
        <w:rPr>
          <w:rFonts w:ascii="Arial" w:eastAsiaTheme="minorHAnsi" w:hAnsi="Arial" w:cs="Arial"/>
          <w:kern w:val="2"/>
          <w14:ligatures w14:val="standardContextual"/>
        </w:rPr>
        <w:t>s opinion was only provided in March 2020,</w:t>
      </w:r>
      <w:r w:rsidR="0040711F">
        <w:rPr>
          <w:rFonts w:ascii="Arial" w:eastAsiaTheme="minorHAnsi" w:hAnsi="Arial" w:cs="Arial"/>
          <w:kern w:val="2"/>
          <w14:ligatures w14:val="standardContextual"/>
        </w:rPr>
        <w:t xml:space="preserve"> </w:t>
      </w:r>
      <w:r w:rsidRPr="00545267">
        <w:rPr>
          <w:rFonts w:ascii="Arial" w:eastAsiaTheme="minorHAnsi" w:hAnsi="Arial" w:cs="Arial"/>
          <w:kern w:val="2"/>
          <w14:ligatures w14:val="standardContextual"/>
        </w:rPr>
        <w:t>no specific date is provided.</w:t>
      </w:r>
    </w:p>
    <w:p w14:paraId="042BEAD2" w14:textId="77777777" w:rsidR="00545267" w:rsidRPr="00545267" w:rsidRDefault="00545267" w:rsidP="00545267">
      <w:pPr>
        <w:spacing w:line="480" w:lineRule="auto"/>
        <w:jc w:val="both"/>
        <w:rPr>
          <w:rFonts w:ascii="Arial" w:eastAsiaTheme="minorHAnsi" w:hAnsi="Arial" w:cs="Arial"/>
          <w:kern w:val="2"/>
          <w14:ligatures w14:val="standardContextual"/>
        </w:rPr>
      </w:pPr>
    </w:p>
    <w:p w14:paraId="23DC321D" w14:textId="4844BB67" w:rsidR="00545267" w:rsidRDefault="00545267" w:rsidP="00545267">
      <w:pPr>
        <w:spacing w:line="480" w:lineRule="auto"/>
        <w:ind w:left="720" w:hanging="720"/>
        <w:jc w:val="both"/>
        <w:rPr>
          <w:rFonts w:ascii="Arial" w:eastAsiaTheme="minorHAnsi" w:hAnsi="Arial" w:cs="Arial"/>
          <w:kern w:val="2"/>
          <w14:ligatures w14:val="standardContextual"/>
        </w:rPr>
      </w:pPr>
      <w:r w:rsidRPr="00545267">
        <w:rPr>
          <w:rFonts w:ascii="Arial" w:eastAsiaTheme="minorHAnsi" w:hAnsi="Arial" w:cs="Arial"/>
          <w:kern w:val="2"/>
          <w14:ligatures w14:val="standardContextual"/>
        </w:rPr>
        <w:t>[6]</w:t>
      </w:r>
      <w:r w:rsidRPr="00545267">
        <w:rPr>
          <w:rFonts w:ascii="Arial" w:eastAsiaTheme="minorHAnsi" w:hAnsi="Arial" w:cs="Arial"/>
          <w:kern w:val="2"/>
          <w14:ligatures w14:val="standardContextual"/>
        </w:rPr>
        <w:tab/>
        <w:t>It is common cause that the country was placed under lockdown level five (5) on 27 March 2020. The transcripts were only requested on 01 July 2020,</w:t>
      </w:r>
      <w:r w:rsidR="0040711F">
        <w:rPr>
          <w:rFonts w:ascii="Arial" w:eastAsiaTheme="minorHAnsi" w:hAnsi="Arial" w:cs="Arial"/>
          <w:kern w:val="2"/>
          <w14:ligatures w14:val="standardContextual"/>
        </w:rPr>
        <w:t xml:space="preserve"> </w:t>
      </w:r>
      <w:r w:rsidRPr="00545267">
        <w:rPr>
          <w:rFonts w:ascii="Arial" w:eastAsiaTheme="minorHAnsi" w:hAnsi="Arial" w:cs="Arial"/>
          <w:kern w:val="2"/>
          <w14:ligatures w14:val="standardContextual"/>
        </w:rPr>
        <w:t>three months after the discussion of the matter with Counsel. The applicant submitted that the transcribers could not access the court due to the Covid-19 protocols. As a result, the transcribers could not access the recordings.</w:t>
      </w:r>
    </w:p>
    <w:p w14:paraId="27C8F2B2" w14:textId="77777777" w:rsidR="0040711F" w:rsidRPr="00545267" w:rsidRDefault="0040711F" w:rsidP="00545267">
      <w:pPr>
        <w:spacing w:line="480" w:lineRule="auto"/>
        <w:ind w:left="720" w:hanging="720"/>
        <w:jc w:val="both"/>
        <w:rPr>
          <w:rFonts w:ascii="Arial" w:eastAsiaTheme="minorHAnsi" w:hAnsi="Arial" w:cs="Arial"/>
          <w:kern w:val="2"/>
          <w14:ligatures w14:val="standardContextual"/>
        </w:rPr>
      </w:pPr>
    </w:p>
    <w:p w14:paraId="517B4260" w14:textId="7715ACFA" w:rsidR="00545267" w:rsidRPr="00545267" w:rsidRDefault="00545267" w:rsidP="00545267">
      <w:pPr>
        <w:spacing w:line="480" w:lineRule="auto"/>
        <w:ind w:left="720" w:hanging="720"/>
        <w:jc w:val="both"/>
        <w:rPr>
          <w:rFonts w:ascii="Arial" w:eastAsiaTheme="minorHAnsi" w:hAnsi="Arial" w:cs="Arial"/>
          <w:kern w:val="2"/>
          <w14:ligatures w14:val="standardContextual"/>
        </w:rPr>
      </w:pPr>
      <w:r w:rsidRPr="00545267">
        <w:rPr>
          <w:rFonts w:ascii="Arial" w:eastAsiaTheme="minorHAnsi" w:hAnsi="Arial" w:cs="Arial"/>
          <w:kern w:val="2"/>
          <w14:ligatures w14:val="standardContextual"/>
        </w:rPr>
        <w:t>[7]</w:t>
      </w:r>
      <w:r w:rsidRPr="00545267">
        <w:rPr>
          <w:rFonts w:ascii="Arial" w:eastAsiaTheme="minorHAnsi" w:hAnsi="Arial" w:cs="Arial"/>
          <w:kern w:val="2"/>
          <w14:ligatures w14:val="standardContextual"/>
        </w:rPr>
        <w:tab/>
        <w:t>There were a few email follow</w:t>
      </w:r>
      <w:r w:rsidR="0040711F">
        <w:rPr>
          <w:rFonts w:ascii="Arial" w:eastAsiaTheme="minorHAnsi" w:hAnsi="Arial" w:cs="Arial"/>
          <w:kern w:val="2"/>
          <w14:ligatures w14:val="standardContextual"/>
        </w:rPr>
        <w:t>-</w:t>
      </w:r>
      <w:r w:rsidRPr="00545267">
        <w:rPr>
          <w:rFonts w:ascii="Arial" w:eastAsiaTheme="minorHAnsi" w:hAnsi="Arial" w:cs="Arial"/>
          <w:kern w:val="2"/>
          <w14:ligatures w14:val="standardContextual"/>
        </w:rPr>
        <w:t>ups to the transcribers that was attached to the application for condonation regarding the availability of the transcripts.</w:t>
      </w:r>
    </w:p>
    <w:p w14:paraId="00AE2D6D" w14:textId="77777777" w:rsidR="00545267" w:rsidRPr="00545267" w:rsidRDefault="00545267" w:rsidP="00545267">
      <w:pPr>
        <w:spacing w:line="480" w:lineRule="auto"/>
        <w:ind w:left="720"/>
        <w:jc w:val="both"/>
        <w:rPr>
          <w:rFonts w:ascii="Arial" w:eastAsiaTheme="minorHAnsi" w:hAnsi="Arial" w:cs="Arial"/>
          <w:kern w:val="2"/>
          <w14:ligatures w14:val="standardContextual"/>
        </w:rPr>
      </w:pPr>
      <w:r w:rsidRPr="00545267">
        <w:rPr>
          <w:rFonts w:ascii="Arial" w:eastAsiaTheme="minorHAnsi" w:hAnsi="Arial" w:cs="Arial"/>
          <w:kern w:val="2"/>
          <w14:ligatures w14:val="standardContextual"/>
        </w:rPr>
        <w:t>The dates of the emails are as follows:</w:t>
      </w:r>
    </w:p>
    <w:p w14:paraId="35116C31" w14:textId="77777777" w:rsidR="00545267" w:rsidRPr="00545267" w:rsidRDefault="00545267" w:rsidP="00545267">
      <w:pPr>
        <w:numPr>
          <w:ilvl w:val="0"/>
          <w:numId w:val="31"/>
        </w:numPr>
        <w:spacing w:line="480" w:lineRule="auto"/>
        <w:contextualSpacing/>
        <w:jc w:val="both"/>
        <w:rPr>
          <w:rFonts w:ascii="Arial" w:eastAsiaTheme="minorHAnsi" w:hAnsi="Arial" w:cs="Arial"/>
          <w:kern w:val="2"/>
          <w14:ligatures w14:val="standardContextual"/>
        </w:rPr>
      </w:pPr>
      <w:r w:rsidRPr="00545267">
        <w:rPr>
          <w:rFonts w:ascii="Arial" w:eastAsiaTheme="minorHAnsi" w:hAnsi="Arial" w:cs="Arial"/>
          <w:kern w:val="2"/>
          <w14:ligatures w14:val="standardContextual"/>
        </w:rPr>
        <w:t>31 March 2021</w:t>
      </w:r>
    </w:p>
    <w:p w14:paraId="7870531D" w14:textId="77777777" w:rsidR="00545267" w:rsidRPr="00545267" w:rsidRDefault="00545267" w:rsidP="00545267">
      <w:pPr>
        <w:numPr>
          <w:ilvl w:val="0"/>
          <w:numId w:val="31"/>
        </w:numPr>
        <w:spacing w:line="480" w:lineRule="auto"/>
        <w:contextualSpacing/>
        <w:jc w:val="both"/>
        <w:rPr>
          <w:rFonts w:ascii="Arial" w:eastAsiaTheme="minorHAnsi" w:hAnsi="Arial" w:cs="Arial"/>
          <w:kern w:val="2"/>
          <w14:ligatures w14:val="standardContextual"/>
        </w:rPr>
      </w:pPr>
      <w:r w:rsidRPr="00545267">
        <w:rPr>
          <w:rFonts w:ascii="Arial" w:eastAsiaTheme="minorHAnsi" w:hAnsi="Arial" w:cs="Arial"/>
          <w:kern w:val="2"/>
          <w14:ligatures w14:val="standardContextual"/>
        </w:rPr>
        <w:t>24 February 2022</w:t>
      </w:r>
    </w:p>
    <w:p w14:paraId="08317789" w14:textId="77777777" w:rsidR="00545267" w:rsidRPr="00545267" w:rsidRDefault="00545267" w:rsidP="00545267">
      <w:pPr>
        <w:numPr>
          <w:ilvl w:val="0"/>
          <w:numId w:val="31"/>
        </w:numPr>
        <w:spacing w:line="480" w:lineRule="auto"/>
        <w:contextualSpacing/>
        <w:jc w:val="both"/>
        <w:rPr>
          <w:rFonts w:ascii="Arial" w:eastAsiaTheme="minorHAnsi" w:hAnsi="Arial" w:cs="Arial"/>
          <w:kern w:val="2"/>
          <w14:ligatures w14:val="standardContextual"/>
        </w:rPr>
      </w:pPr>
      <w:r w:rsidRPr="00545267">
        <w:rPr>
          <w:rFonts w:ascii="Arial" w:eastAsiaTheme="minorHAnsi" w:hAnsi="Arial" w:cs="Arial"/>
          <w:kern w:val="2"/>
          <w14:ligatures w14:val="standardContextual"/>
        </w:rPr>
        <w:t>28 April 2022</w:t>
      </w:r>
    </w:p>
    <w:p w14:paraId="6CC38587" w14:textId="77777777" w:rsidR="00545267" w:rsidRPr="00545267" w:rsidRDefault="00545267" w:rsidP="00545267">
      <w:pPr>
        <w:numPr>
          <w:ilvl w:val="0"/>
          <w:numId w:val="31"/>
        </w:numPr>
        <w:spacing w:line="480" w:lineRule="auto"/>
        <w:contextualSpacing/>
        <w:jc w:val="both"/>
        <w:rPr>
          <w:rFonts w:ascii="Arial" w:eastAsiaTheme="minorHAnsi" w:hAnsi="Arial" w:cs="Arial"/>
          <w:kern w:val="2"/>
          <w14:ligatures w14:val="standardContextual"/>
        </w:rPr>
      </w:pPr>
      <w:r w:rsidRPr="00545267">
        <w:rPr>
          <w:rFonts w:ascii="Arial" w:eastAsiaTheme="minorHAnsi" w:hAnsi="Arial" w:cs="Arial"/>
          <w:kern w:val="2"/>
          <w14:ligatures w14:val="standardContextual"/>
        </w:rPr>
        <w:t>02 June 2022</w:t>
      </w:r>
    </w:p>
    <w:p w14:paraId="23E6862E" w14:textId="1D306489" w:rsidR="00545267" w:rsidRPr="00545267" w:rsidRDefault="00545267" w:rsidP="00545267">
      <w:pPr>
        <w:spacing w:line="480" w:lineRule="auto"/>
        <w:ind w:left="720"/>
        <w:jc w:val="both"/>
        <w:rPr>
          <w:rFonts w:ascii="Arial" w:eastAsiaTheme="minorHAnsi" w:hAnsi="Arial" w:cs="Arial"/>
          <w:kern w:val="2"/>
          <w14:ligatures w14:val="standardContextual"/>
        </w:rPr>
      </w:pPr>
      <w:r w:rsidRPr="00545267">
        <w:rPr>
          <w:rFonts w:ascii="Arial" w:eastAsiaTheme="minorHAnsi" w:hAnsi="Arial" w:cs="Arial"/>
          <w:kern w:val="2"/>
          <w14:ligatures w14:val="standardContextual"/>
        </w:rPr>
        <w:lastRenderedPageBreak/>
        <w:t xml:space="preserve"> The transcripts were received by the Applicant on 28 April 2022.</w:t>
      </w:r>
    </w:p>
    <w:p w14:paraId="5DB6492F" w14:textId="77777777" w:rsidR="00545267" w:rsidRPr="00545267" w:rsidRDefault="00545267" w:rsidP="00545267">
      <w:pPr>
        <w:spacing w:line="480" w:lineRule="auto"/>
        <w:ind w:left="720" w:hanging="720"/>
        <w:jc w:val="both"/>
        <w:rPr>
          <w:rFonts w:ascii="Arial" w:eastAsiaTheme="minorHAnsi" w:hAnsi="Arial" w:cs="Arial"/>
          <w:kern w:val="2"/>
          <w14:ligatures w14:val="standardContextual"/>
        </w:rPr>
      </w:pPr>
    </w:p>
    <w:p w14:paraId="35226BF0" w14:textId="77777777" w:rsidR="00545267" w:rsidRPr="00545267" w:rsidRDefault="00545267" w:rsidP="00545267">
      <w:pPr>
        <w:spacing w:line="480" w:lineRule="auto"/>
        <w:ind w:left="720" w:hanging="720"/>
        <w:jc w:val="both"/>
        <w:rPr>
          <w:rFonts w:ascii="Arial" w:eastAsiaTheme="minorHAnsi" w:hAnsi="Arial" w:cs="Arial"/>
          <w:kern w:val="2"/>
          <w14:ligatures w14:val="standardContextual"/>
        </w:rPr>
      </w:pPr>
      <w:r w:rsidRPr="00545267">
        <w:rPr>
          <w:rFonts w:ascii="Arial" w:eastAsiaTheme="minorHAnsi" w:hAnsi="Arial" w:cs="Arial"/>
          <w:kern w:val="2"/>
          <w14:ligatures w14:val="standardContextual"/>
        </w:rPr>
        <w:t>[8]</w:t>
      </w:r>
      <w:r w:rsidRPr="00545267">
        <w:rPr>
          <w:rFonts w:ascii="Arial" w:eastAsiaTheme="minorHAnsi" w:hAnsi="Arial" w:cs="Arial"/>
          <w:kern w:val="2"/>
          <w14:ligatures w14:val="standardContextual"/>
        </w:rPr>
        <w:tab/>
        <w:t>There is no explanation provided why no further follow-up was made in the year 2020.</w:t>
      </w:r>
    </w:p>
    <w:p w14:paraId="0493A431" w14:textId="77777777" w:rsidR="00545267" w:rsidRPr="00545267" w:rsidRDefault="00545267" w:rsidP="00545267">
      <w:pPr>
        <w:spacing w:line="480" w:lineRule="auto"/>
        <w:ind w:left="720" w:hanging="720"/>
        <w:jc w:val="both"/>
        <w:rPr>
          <w:rFonts w:ascii="Arial" w:eastAsiaTheme="minorHAnsi" w:hAnsi="Arial" w:cs="Arial"/>
          <w:kern w:val="2"/>
          <w14:ligatures w14:val="standardContextual"/>
        </w:rPr>
      </w:pPr>
    </w:p>
    <w:p w14:paraId="2F0EA2A6" w14:textId="648D9CA8" w:rsidR="00545267" w:rsidRPr="00545267" w:rsidRDefault="00545267" w:rsidP="00545267">
      <w:pPr>
        <w:spacing w:line="480" w:lineRule="auto"/>
        <w:ind w:left="720" w:hanging="720"/>
        <w:jc w:val="both"/>
        <w:rPr>
          <w:rFonts w:ascii="Arial" w:eastAsiaTheme="minorHAnsi" w:hAnsi="Arial" w:cs="Arial"/>
          <w:kern w:val="2"/>
          <w14:ligatures w14:val="standardContextual"/>
        </w:rPr>
      </w:pPr>
      <w:r w:rsidRPr="00545267">
        <w:rPr>
          <w:rFonts w:ascii="Arial" w:eastAsiaTheme="minorHAnsi" w:hAnsi="Arial" w:cs="Arial"/>
          <w:kern w:val="2"/>
          <w14:ligatures w14:val="standardContextual"/>
        </w:rPr>
        <w:t>[9]</w:t>
      </w:r>
      <w:r w:rsidRPr="00545267">
        <w:rPr>
          <w:rFonts w:ascii="Arial" w:eastAsiaTheme="minorHAnsi" w:hAnsi="Arial" w:cs="Arial"/>
          <w:kern w:val="2"/>
          <w14:ligatures w14:val="standardContextual"/>
        </w:rPr>
        <w:tab/>
        <w:t>Only one follow up was made in the year 2021.</w:t>
      </w:r>
      <w:r w:rsidR="0029127E">
        <w:rPr>
          <w:rFonts w:ascii="Arial" w:eastAsiaTheme="minorHAnsi" w:hAnsi="Arial" w:cs="Arial"/>
          <w:kern w:val="2"/>
          <w14:ligatures w14:val="standardContextual"/>
        </w:rPr>
        <w:t xml:space="preserve"> </w:t>
      </w:r>
      <w:r w:rsidRPr="00545267">
        <w:rPr>
          <w:rFonts w:ascii="Arial" w:eastAsiaTheme="minorHAnsi" w:hAnsi="Arial" w:cs="Arial"/>
          <w:kern w:val="2"/>
          <w14:ligatures w14:val="standardContextual"/>
        </w:rPr>
        <w:t>Almost a year passed before another follow up was made on 24 February 2022.</w:t>
      </w:r>
    </w:p>
    <w:p w14:paraId="5F8292A5" w14:textId="77777777" w:rsidR="00545267" w:rsidRPr="00545267" w:rsidRDefault="00545267" w:rsidP="00545267">
      <w:pPr>
        <w:spacing w:line="480" w:lineRule="auto"/>
        <w:jc w:val="both"/>
        <w:rPr>
          <w:rFonts w:ascii="Arial" w:eastAsiaTheme="minorHAnsi" w:hAnsi="Arial" w:cs="Arial"/>
          <w:kern w:val="2"/>
          <w14:ligatures w14:val="standardContextual"/>
        </w:rPr>
      </w:pPr>
    </w:p>
    <w:p w14:paraId="2F40A3B3" w14:textId="01F892C6" w:rsidR="00545267" w:rsidRPr="00545267" w:rsidRDefault="00545267" w:rsidP="00545267">
      <w:pPr>
        <w:spacing w:line="480" w:lineRule="auto"/>
        <w:ind w:left="720" w:hanging="720"/>
        <w:jc w:val="both"/>
        <w:rPr>
          <w:rFonts w:ascii="Arial" w:eastAsiaTheme="minorHAnsi" w:hAnsi="Arial" w:cs="Arial"/>
          <w:kern w:val="2"/>
          <w14:ligatures w14:val="standardContextual"/>
        </w:rPr>
      </w:pPr>
      <w:r w:rsidRPr="00545267">
        <w:rPr>
          <w:rFonts w:ascii="Arial" w:eastAsiaTheme="minorHAnsi" w:hAnsi="Arial" w:cs="Arial"/>
          <w:kern w:val="2"/>
          <w14:ligatures w14:val="standardContextual"/>
        </w:rPr>
        <w:t>[10]</w:t>
      </w:r>
      <w:r w:rsidRPr="00545267">
        <w:rPr>
          <w:rFonts w:ascii="Arial" w:eastAsiaTheme="minorHAnsi" w:hAnsi="Arial" w:cs="Arial"/>
          <w:kern w:val="2"/>
          <w14:ligatures w14:val="standardContextual"/>
        </w:rPr>
        <w:tab/>
        <w:t xml:space="preserve">On 28 April 2022 the transcribers indicated that the transcripts together with the invoice was sent in October to the State </w:t>
      </w:r>
      <w:r w:rsidR="0029127E">
        <w:rPr>
          <w:rFonts w:ascii="Arial" w:eastAsiaTheme="minorHAnsi" w:hAnsi="Arial" w:cs="Arial"/>
          <w:kern w:val="2"/>
          <w14:ligatures w14:val="standardContextual"/>
        </w:rPr>
        <w:t>A</w:t>
      </w:r>
      <w:r w:rsidRPr="00545267">
        <w:rPr>
          <w:rFonts w:ascii="Arial" w:eastAsiaTheme="minorHAnsi" w:hAnsi="Arial" w:cs="Arial"/>
          <w:kern w:val="2"/>
          <w14:ligatures w14:val="standardContextual"/>
        </w:rPr>
        <w:t>ttorney and by that date no payment has been received for the services rendered.</w:t>
      </w:r>
    </w:p>
    <w:p w14:paraId="5DD4E91C" w14:textId="77777777" w:rsidR="00545267" w:rsidRPr="00545267" w:rsidRDefault="00545267" w:rsidP="00545267">
      <w:pPr>
        <w:spacing w:line="480" w:lineRule="auto"/>
        <w:ind w:left="720" w:hanging="720"/>
        <w:jc w:val="both"/>
        <w:rPr>
          <w:rFonts w:ascii="Arial" w:eastAsiaTheme="minorHAnsi" w:hAnsi="Arial" w:cs="Arial"/>
          <w:kern w:val="2"/>
          <w14:ligatures w14:val="standardContextual"/>
        </w:rPr>
      </w:pPr>
    </w:p>
    <w:p w14:paraId="4BFFC444" w14:textId="77777777" w:rsidR="00545267" w:rsidRPr="00545267" w:rsidRDefault="00545267" w:rsidP="00545267">
      <w:pPr>
        <w:spacing w:line="480" w:lineRule="auto"/>
        <w:ind w:left="720" w:hanging="720"/>
        <w:jc w:val="both"/>
        <w:rPr>
          <w:rFonts w:ascii="Arial" w:eastAsiaTheme="minorHAnsi" w:hAnsi="Arial" w:cs="Arial"/>
          <w:kern w:val="2"/>
          <w14:ligatures w14:val="standardContextual"/>
        </w:rPr>
      </w:pPr>
      <w:r w:rsidRPr="00545267">
        <w:rPr>
          <w:rFonts w:ascii="Arial" w:eastAsiaTheme="minorHAnsi" w:hAnsi="Arial" w:cs="Arial"/>
          <w:kern w:val="2"/>
          <w14:ligatures w14:val="standardContextual"/>
        </w:rPr>
        <w:t>[11]</w:t>
      </w:r>
      <w:r w:rsidRPr="00545267">
        <w:rPr>
          <w:rFonts w:ascii="Arial" w:eastAsiaTheme="minorHAnsi" w:hAnsi="Arial" w:cs="Arial"/>
          <w:kern w:val="2"/>
          <w14:ligatures w14:val="standardContextual"/>
        </w:rPr>
        <w:tab/>
        <w:t>The only reasonable inference that can be drawn is that the transcriber is referring to October 2021 when the transcripts were already transmitted to the State Attorneys offices.</w:t>
      </w:r>
    </w:p>
    <w:p w14:paraId="2E195087" w14:textId="77777777" w:rsidR="00545267" w:rsidRPr="00545267" w:rsidRDefault="00545267" w:rsidP="00545267">
      <w:pPr>
        <w:spacing w:line="480" w:lineRule="auto"/>
        <w:ind w:left="720" w:hanging="720"/>
        <w:jc w:val="both"/>
        <w:rPr>
          <w:rFonts w:ascii="Arial" w:eastAsiaTheme="minorHAnsi" w:hAnsi="Arial" w:cs="Arial"/>
          <w:kern w:val="2"/>
          <w14:ligatures w14:val="standardContextual"/>
        </w:rPr>
      </w:pPr>
    </w:p>
    <w:p w14:paraId="1C330D22" w14:textId="441FBE06" w:rsidR="00545267" w:rsidRPr="00545267" w:rsidRDefault="00545267" w:rsidP="00545267">
      <w:pPr>
        <w:spacing w:line="480" w:lineRule="auto"/>
        <w:ind w:left="720" w:hanging="720"/>
        <w:jc w:val="both"/>
        <w:rPr>
          <w:rFonts w:ascii="Arial" w:eastAsiaTheme="minorHAnsi" w:hAnsi="Arial" w:cs="Arial"/>
          <w:b/>
          <w:bCs/>
          <w:kern w:val="2"/>
          <w:u w:val="single"/>
          <w14:ligatures w14:val="standardContextual"/>
        </w:rPr>
      </w:pPr>
      <w:r w:rsidRPr="00545267">
        <w:rPr>
          <w:rFonts w:ascii="Arial" w:eastAsiaTheme="minorHAnsi" w:hAnsi="Arial" w:cs="Arial"/>
          <w:kern w:val="2"/>
          <w14:ligatures w14:val="standardContextual"/>
        </w:rPr>
        <w:t>[12]</w:t>
      </w:r>
      <w:r w:rsidRPr="00545267">
        <w:rPr>
          <w:rFonts w:ascii="Arial" w:eastAsiaTheme="minorHAnsi" w:hAnsi="Arial" w:cs="Arial"/>
          <w:kern w:val="2"/>
          <w14:ligatures w14:val="standardContextual"/>
        </w:rPr>
        <w:tab/>
        <w:t>The transcripts were filed effective two years after the application for leave to appeal was lodged.</w:t>
      </w:r>
      <w:r w:rsidRPr="00545267">
        <w:rPr>
          <w:rFonts w:ascii="Arial" w:hAnsi="Arial" w:cs="Arial"/>
          <w:color w:val="242121"/>
          <w:lang w:eastAsia="en-GB"/>
        </w:rPr>
        <w:t xml:space="preserve"> The explanation proffered by the applicant relates to the delay by the transcribers</w:t>
      </w:r>
      <w:r w:rsidRPr="00545267">
        <w:rPr>
          <w:rFonts w:ascii="Arial" w:hAnsi="Arial" w:cs="Arial"/>
          <w:color w:val="242121"/>
          <w:lang w:val="en-ZA" w:eastAsia="en-GB"/>
        </w:rPr>
        <w:t>. On behalf of the respondent it was contended that the delay is not adequately explained however one interpret</w:t>
      </w:r>
      <w:r w:rsidR="009C7C2E">
        <w:rPr>
          <w:rFonts w:ascii="Arial" w:hAnsi="Arial" w:cs="Arial"/>
          <w:color w:val="242121"/>
          <w:lang w:val="en-ZA" w:eastAsia="en-GB"/>
        </w:rPr>
        <w:t>s</w:t>
      </w:r>
      <w:r w:rsidRPr="00545267">
        <w:rPr>
          <w:rFonts w:ascii="Arial" w:hAnsi="Arial" w:cs="Arial"/>
          <w:color w:val="242121"/>
          <w:lang w:val="en-ZA" w:eastAsia="en-GB"/>
        </w:rPr>
        <w:t xml:space="preserve"> the period of the delay. This behoves no argument as there are periods that are unexplained or not explained in any detail.</w:t>
      </w:r>
    </w:p>
    <w:p w14:paraId="3C2C65BA" w14:textId="5561E288" w:rsidR="0042556B" w:rsidRDefault="00545267" w:rsidP="0042556B">
      <w:pPr>
        <w:spacing w:before="144" w:line="480" w:lineRule="auto"/>
        <w:ind w:left="720" w:hanging="640"/>
        <w:jc w:val="both"/>
        <w:rPr>
          <w:rFonts w:ascii="Arial" w:hAnsi="Arial" w:cs="Arial"/>
          <w:color w:val="242121"/>
          <w:lang w:eastAsia="en-GB"/>
        </w:rPr>
      </w:pPr>
      <w:r w:rsidRPr="00545267">
        <w:rPr>
          <w:rFonts w:ascii="Verdana" w:hAnsi="Verdana"/>
          <w:color w:val="242121"/>
          <w:lang w:val="en-ZA" w:eastAsia="en-GB"/>
        </w:rPr>
        <w:lastRenderedPageBreak/>
        <w:t>[13]</w:t>
      </w:r>
      <w:r w:rsidRPr="00545267">
        <w:rPr>
          <w:rFonts w:ascii="Verdana" w:hAnsi="Verdana"/>
          <w:color w:val="242121"/>
          <w:lang w:val="en-ZA" w:eastAsia="en-GB"/>
        </w:rPr>
        <w:tab/>
      </w:r>
      <w:r w:rsidRPr="00545267">
        <w:rPr>
          <w:rFonts w:ascii="Arial" w:hAnsi="Arial" w:cs="Arial"/>
          <w:color w:val="242121"/>
          <w:lang w:eastAsia="en-GB"/>
        </w:rPr>
        <w:t>The law with regard to condonation is well established. The applicant in his heads of argument refers to a number of decisions, including those by this Court dealing with condonation and some need not be rehashed herein. With regard to the factors to be considered in an application for condonation it need to be emphasized that the degree of lateness in this matter is not sufficiently explained in detail.</w:t>
      </w:r>
    </w:p>
    <w:p w14:paraId="4B354F79" w14:textId="77777777" w:rsidR="0042556B" w:rsidRPr="00545267" w:rsidRDefault="0042556B" w:rsidP="0042556B">
      <w:pPr>
        <w:spacing w:before="144"/>
        <w:ind w:left="720" w:hanging="640"/>
        <w:jc w:val="both"/>
        <w:rPr>
          <w:rFonts w:ascii="Verdana" w:hAnsi="Verdana"/>
          <w:color w:val="242121"/>
          <w:lang w:val="en-ZA" w:eastAsia="en-GB"/>
        </w:rPr>
      </w:pPr>
    </w:p>
    <w:p w14:paraId="4201A93C" w14:textId="36D9E1F1" w:rsidR="00545267" w:rsidRPr="00545267" w:rsidRDefault="00545267" w:rsidP="00895329">
      <w:pPr>
        <w:spacing w:before="144" w:line="480" w:lineRule="atLeast"/>
        <w:ind w:left="720" w:hanging="657"/>
        <w:jc w:val="both"/>
        <w:rPr>
          <w:rFonts w:ascii="Arial" w:hAnsi="Arial" w:cs="Arial"/>
          <w:color w:val="242121"/>
          <w:lang w:eastAsia="en-GB"/>
        </w:rPr>
      </w:pPr>
      <w:r w:rsidRPr="00545267">
        <w:rPr>
          <w:rFonts w:ascii="Arial" w:hAnsi="Arial" w:cs="Arial"/>
          <w:color w:val="242121"/>
          <w:lang w:eastAsia="en-GB"/>
        </w:rPr>
        <w:t>[14]</w:t>
      </w:r>
      <w:r w:rsidRPr="00545267">
        <w:rPr>
          <w:rFonts w:ascii="Arial" w:hAnsi="Arial" w:cs="Arial"/>
          <w:color w:val="242121"/>
          <w:lang w:eastAsia="en-GB"/>
        </w:rPr>
        <w:tab/>
        <w:t xml:space="preserve"> In </w:t>
      </w:r>
      <w:r w:rsidRPr="00545267">
        <w:rPr>
          <w:rFonts w:ascii="Arial" w:hAnsi="Arial" w:cs="Arial"/>
          <w:b/>
          <w:bCs/>
          <w:color w:val="242121"/>
          <w:lang w:eastAsia="en-GB"/>
        </w:rPr>
        <w:t>Bertie van Zyl v Minister of Safety and Security</w:t>
      </w:r>
      <w:r w:rsidRPr="00545267">
        <w:rPr>
          <w:rFonts w:ascii="Arial" w:hAnsi="Arial" w:cs="Arial"/>
          <w:color w:val="242121"/>
          <w:lang w:val="en-ZA" w:eastAsia="en-GB"/>
        </w:rPr>
        <w:t> </w:t>
      </w:r>
      <w:hyperlink r:id="rId12" w:tooltip="View LawCiteRecord" w:history="1">
        <w:r w:rsidRPr="00545267">
          <w:rPr>
            <w:rFonts w:ascii="Arial" w:hAnsi="Arial" w:cs="Arial"/>
            <w:b/>
            <w:bCs/>
            <w:color w:val="0B4B0B"/>
            <w:u w:val="single"/>
            <w:lang w:eastAsia="en-GB"/>
          </w:rPr>
          <w:t>2010 (2) SA 181</w:t>
        </w:r>
      </w:hyperlink>
      <w:r w:rsidRPr="00545267">
        <w:rPr>
          <w:rFonts w:ascii="Arial" w:hAnsi="Arial" w:cs="Arial"/>
          <w:color w:val="242121"/>
          <w:lang w:eastAsia="en-GB"/>
        </w:rPr>
        <w:t> (CC) the following is stated:</w:t>
      </w:r>
    </w:p>
    <w:p w14:paraId="5381515A" w14:textId="349C0F48" w:rsidR="00545267" w:rsidRPr="00AD4E12" w:rsidRDefault="00545267" w:rsidP="00336041">
      <w:pPr>
        <w:shd w:val="clear" w:color="auto" w:fill="FFFFFF"/>
        <w:spacing w:before="144" w:line="360" w:lineRule="auto"/>
        <w:ind w:left="1843" w:hanging="567"/>
        <w:jc w:val="both"/>
        <w:rPr>
          <w:rFonts w:ascii="Arial" w:hAnsi="Arial" w:cs="Arial"/>
          <w:color w:val="242121"/>
          <w:sz w:val="22"/>
          <w:szCs w:val="22"/>
          <w:lang w:val="en-ZA" w:eastAsia="en-GB"/>
        </w:rPr>
      </w:pPr>
      <w:bookmarkStart w:id="0" w:name="sdfootnote7anc"/>
      <w:bookmarkEnd w:id="0"/>
      <w:r w:rsidRPr="00545267">
        <w:rPr>
          <w:rFonts w:ascii="Verdana" w:hAnsi="Verdana"/>
          <w:color w:val="242121"/>
          <w:sz w:val="22"/>
          <w:szCs w:val="22"/>
          <w:lang w:val="en-ZA" w:eastAsia="en-GB"/>
        </w:rPr>
        <w:t>“</w:t>
      </w:r>
      <w:r w:rsidRPr="00545267">
        <w:rPr>
          <w:rFonts w:ascii="Arial" w:hAnsi="Arial" w:cs="Arial"/>
          <w:color w:val="242121"/>
          <w:sz w:val="22"/>
          <w:szCs w:val="22"/>
          <w:lang w:val="en-ZA" w:eastAsia="en-GB"/>
        </w:rPr>
        <w:t>[13]  The application for condonation relates only to the applicants’ application for leave to appeal against the High Court’s order regarding section 20(1)(a). The first applicant lodged its condonation application about one month late. The second applicant, who filed its application for leave to appeal even later, gives no reasons for the delay other than that it was “unfortunately impossible” for it to attend the consultation with the applicants’ counsel on 17 October 2008.</w:t>
      </w:r>
      <w:hyperlink r:id="rId13" w:anchor="sdfootnote7sym" w:history="1">
        <w:r w:rsidRPr="00545267">
          <w:rPr>
            <w:rFonts w:ascii="Arial" w:hAnsi="Arial" w:cs="Arial"/>
            <w:b/>
            <w:bCs/>
            <w:color w:val="242121"/>
            <w:sz w:val="22"/>
            <w:szCs w:val="22"/>
            <w:u w:val="single"/>
            <w:vertAlign w:val="superscript"/>
            <w:lang w:val="en-ZA" w:eastAsia="en-GB"/>
          </w:rPr>
          <w:t>7</w:t>
        </w:r>
      </w:hyperlink>
      <w:r w:rsidRPr="00545267">
        <w:rPr>
          <w:rFonts w:ascii="Arial" w:hAnsi="Arial" w:cs="Arial"/>
          <w:color w:val="242121"/>
          <w:sz w:val="22"/>
          <w:szCs w:val="22"/>
          <w:lang w:val="en-ZA" w:eastAsia="en-GB"/>
        </w:rPr>
        <w:t> This despite, the second applicant’s submission that it has “always been unhappy with the finding of the High Court.” There is no explanation for why there was no attempt at an earlier filing. The limited justifications for late filing offered by the applicants are inadequate and, generally, would militate against granting condonation.</w:t>
      </w:r>
    </w:p>
    <w:p w14:paraId="77C63D1F" w14:textId="77777777" w:rsidR="00336041" w:rsidRPr="00545267" w:rsidRDefault="00336041" w:rsidP="00336041">
      <w:pPr>
        <w:shd w:val="clear" w:color="auto" w:fill="FFFFFF"/>
        <w:spacing w:before="144" w:line="360" w:lineRule="auto"/>
        <w:ind w:left="1843" w:hanging="567"/>
        <w:jc w:val="both"/>
        <w:rPr>
          <w:rFonts w:ascii="Verdana" w:hAnsi="Verdana"/>
          <w:color w:val="242121"/>
          <w:sz w:val="22"/>
          <w:szCs w:val="22"/>
          <w:lang w:val="en-ZA" w:eastAsia="en-GB"/>
        </w:rPr>
      </w:pPr>
    </w:p>
    <w:p w14:paraId="56DD18A5" w14:textId="32C10597" w:rsidR="00545267" w:rsidRDefault="00545267" w:rsidP="0042556B">
      <w:pPr>
        <w:shd w:val="clear" w:color="auto" w:fill="FFFFFF"/>
        <w:spacing w:before="144" w:line="360" w:lineRule="auto"/>
        <w:ind w:left="1843" w:hanging="567"/>
        <w:jc w:val="both"/>
        <w:rPr>
          <w:rFonts w:ascii="Verdana" w:hAnsi="Verdana"/>
          <w:color w:val="242121"/>
          <w:sz w:val="22"/>
          <w:szCs w:val="22"/>
          <w:lang w:val="en-ZA" w:eastAsia="en-GB"/>
        </w:rPr>
      </w:pPr>
      <w:bookmarkStart w:id="1" w:name="sdfootnote8anc"/>
      <w:bookmarkEnd w:id="1"/>
      <w:r w:rsidRPr="00545267">
        <w:rPr>
          <w:rFonts w:ascii="Arial" w:hAnsi="Arial" w:cs="Arial"/>
          <w:color w:val="242121"/>
          <w:sz w:val="22"/>
          <w:szCs w:val="22"/>
          <w:lang w:val="en-ZA" w:eastAsia="en-GB"/>
        </w:rPr>
        <w:t>[14]   However, in determining whether condonation may be granted, lateness is not the only consideration. The test for condonation is whether it is in the interests of justice to grant condonation.</w:t>
      </w:r>
      <w:hyperlink r:id="rId14" w:anchor="sdfootnote8sym" w:history="1">
        <w:r w:rsidRPr="00545267">
          <w:rPr>
            <w:rFonts w:ascii="Arial" w:hAnsi="Arial" w:cs="Arial"/>
            <w:b/>
            <w:bCs/>
            <w:color w:val="242121"/>
            <w:sz w:val="22"/>
            <w:szCs w:val="22"/>
            <w:u w:val="single"/>
            <w:vertAlign w:val="superscript"/>
            <w:lang w:val="en-ZA" w:eastAsia="en-GB"/>
          </w:rPr>
          <w:t>8</w:t>
        </w:r>
      </w:hyperlink>
      <w:r w:rsidRPr="00545267">
        <w:rPr>
          <w:rFonts w:ascii="Arial" w:hAnsi="Arial" w:cs="Arial"/>
          <w:color w:val="242121"/>
          <w:sz w:val="22"/>
          <w:szCs w:val="22"/>
          <w:lang w:val="en-ZA" w:eastAsia="en-GB"/>
        </w:rPr>
        <w:t xml:space="preserve"> In this case, the interpretation of section 28 is already before us for confirmation. The questions relating to section 20 (1) (a) raise similar interpretative questions. Furthermore, the lateness of the applications does not appear to have caused substantial prejudice to the </w:t>
      </w:r>
      <w:r w:rsidRPr="00545267">
        <w:rPr>
          <w:rFonts w:ascii="Arial" w:hAnsi="Arial" w:cs="Arial"/>
          <w:color w:val="242121"/>
          <w:sz w:val="22"/>
          <w:szCs w:val="22"/>
          <w:lang w:val="en-ZA" w:eastAsia="en-GB"/>
        </w:rPr>
        <w:lastRenderedPageBreak/>
        <w:t>respondents, who do not oppose the condonation application. The respondents are already familiar with the issues articulated in the court a quo. More importantly, for purposes of legal certainty it is opportune to resolve the question of the proper construction of section 20(1)(a) with a view to settling the dispute between the parties. For these reasons, condonation is granted in the interests of justice.”</w:t>
      </w:r>
    </w:p>
    <w:p w14:paraId="4BE6F111" w14:textId="77777777" w:rsidR="0042556B" w:rsidRPr="00545267" w:rsidRDefault="0042556B" w:rsidP="0042556B">
      <w:pPr>
        <w:shd w:val="clear" w:color="auto" w:fill="FFFFFF"/>
        <w:spacing w:before="144"/>
        <w:ind w:left="1843" w:hanging="567"/>
        <w:jc w:val="both"/>
        <w:rPr>
          <w:rFonts w:ascii="Verdana" w:hAnsi="Verdana"/>
          <w:color w:val="242121"/>
          <w:sz w:val="22"/>
          <w:szCs w:val="22"/>
          <w:lang w:val="en-ZA" w:eastAsia="en-GB"/>
        </w:rPr>
      </w:pPr>
    </w:p>
    <w:p w14:paraId="2E3C53C8" w14:textId="217944ED" w:rsidR="00336041" w:rsidRPr="00545267" w:rsidRDefault="00545267" w:rsidP="00545267">
      <w:pPr>
        <w:spacing w:before="144" w:line="480" w:lineRule="atLeast"/>
        <w:jc w:val="both"/>
        <w:rPr>
          <w:rFonts w:ascii="Arial" w:hAnsi="Arial" w:cs="Arial"/>
          <w:color w:val="242121"/>
          <w:lang w:eastAsia="en-GB"/>
        </w:rPr>
      </w:pPr>
      <w:r w:rsidRPr="00545267">
        <w:rPr>
          <w:rFonts w:ascii="Arial" w:hAnsi="Arial" w:cs="Arial"/>
          <w:color w:val="242121"/>
          <w:lang w:eastAsia="en-GB"/>
        </w:rPr>
        <w:t>[15]</w:t>
      </w:r>
      <w:r w:rsidRPr="00545267">
        <w:rPr>
          <w:rFonts w:ascii="Arial" w:hAnsi="Arial" w:cs="Arial"/>
          <w:color w:val="242121"/>
          <w:lang w:eastAsia="en-GB"/>
        </w:rPr>
        <w:tab/>
        <w:t xml:space="preserve"> In </w:t>
      </w:r>
      <w:r w:rsidRPr="00545267">
        <w:rPr>
          <w:rFonts w:ascii="Arial" w:hAnsi="Arial" w:cs="Arial"/>
          <w:b/>
          <w:bCs/>
          <w:color w:val="242121"/>
          <w:lang w:eastAsia="en-GB"/>
        </w:rPr>
        <w:t>Ferris v FirstRand Bank </w:t>
      </w:r>
      <w:hyperlink r:id="rId15" w:tooltip="View LawCiteRecord" w:history="1">
        <w:r w:rsidRPr="00545267">
          <w:rPr>
            <w:rFonts w:ascii="Arial" w:hAnsi="Arial" w:cs="Arial"/>
            <w:b/>
            <w:bCs/>
            <w:color w:val="0B4B0B"/>
            <w:u w:val="single"/>
            <w:lang w:eastAsia="en-GB"/>
          </w:rPr>
          <w:t>2014 (3) SA 39</w:t>
        </w:r>
      </w:hyperlink>
      <w:r w:rsidRPr="00545267">
        <w:rPr>
          <w:rFonts w:ascii="Arial" w:hAnsi="Arial" w:cs="Arial"/>
          <w:color w:val="242121"/>
          <w:lang w:eastAsia="en-GB"/>
        </w:rPr>
        <w:t> (CC) the following is stated:</w:t>
      </w:r>
    </w:p>
    <w:p w14:paraId="5F14DC70" w14:textId="77777777" w:rsidR="00545267" w:rsidRPr="00545267" w:rsidRDefault="00545267" w:rsidP="00336041">
      <w:pPr>
        <w:shd w:val="clear" w:color="auto" w:fill="FFFFFF"/>
        <w:spacing w:before="144" w:line="360" w:lineRule="auto"/>
        <w:ind w:left="1843" w:hanging="567"/>
        <w:jc w:val="both"/>
        <w:rPr>
          <w:rFonts w:ascii="Verdana" w:hAnsi="Verdana"/>
          <w:color w:val="242121"/>
          <w:sz w:val="22"/>
          <w:szCs w:val="22"/>
          <w:lang w:val="en-ZA" w:eastAsia="en-GB"/>
        </w:rPr>
      </w:pPr>
      <w:r w:rsidRPr="00545267">
        <w:rPr>
          <w:rFonts w:ascii="Verdana" w:hAnsi="Verdana"/>
          <w:color w:val="242121"/>
          <w:sz w:val="22"/>
          <w:szCs w:val="22"/>
          <w:lang w:val="en-ZA" w:eastAsia="en-GB"/>
        </w:rPr>
        <w:t>“</w:t>
      </w:r>
      <w:r w:rsidRPr="00545267">
        <w:rPr>
          <w:rFonts w:ascii="Arial" w:hAnsi="Arial" w:cs="Arial"/>
          <w:color w:val="242121"/>
          <w:sz w:val="22"/>
          <w:szCs w:val="22"/>
          <w:lang w:val="en-ZA" w:eastAsia="en-GB"/>
        </w:rPr>
        <w:t>[10] In Bertie Van Zyl this Court held that lateness is not the only consideration in determining whether condonation may be granted. It held further that the test for condonation is whether it is in the interests of justice to grant it. As the interests of justice test is a requirement for condonation and granting leave to appeal, there is an overlap between these enquiries. For both enquiries, an applicant’s prospects of success and the importance of the issue to be determined are relevant factors.</w:t>
      </w:r>
    </w:p>
    <w:p w14:paraId="3E59AD9F" w14:textId="77777777" w:rsidR="00545267" w:rsidRPr="00545267" w:rsidRDefault="00545267" w:rsidP="00336041">
      <w:pPr>
        <w:shd w:val="clear" w:color="auto" w:fill="FFFFFF"/>
        <w:spacing w:before="144" w:line="360" w:lineRule="auto"/>
        <w:ind w:left="1843" w:hanging="567"/>
        <w:jc w:val="both"/>
        <w:rPr>
          <w:rFonts w:ascii="Verdana" w:hAnsi="Verdana"/>
          <w:color w:val="242121"/>
          <w:sz w:val="22"/>
          <w:szCs w:val="22"/>
          <w:lang w:val="en-ZA" w:eastAsia="en-GB"/>
        </w:rPr>
      </w:pPr>
      <w:r w:rsidRPr="00545267">
        <w:rPr>
          <w:rFonts w:ascii="Verdana" w:hAnsi="Verdana"/>
          <w:color w:val="242121"/>
          <w:sz w:val="22"/>
          <w:szCs w:val="22"/>
          <w:lang w:val="en-ZA" w:eastAsia="en-GB"/>
        </w:rPr>
        <w:t> </w:t>
      </w:r>
    </w:p>
    <w:p w14:paraId="11668D0C" w14:textId="77777777" w:rsidR="00545267" w:rsidRPr="00545267" w:rsidRDefault="00545267" w:rsidP="00336041">
      <w:pPr>
        <w:shd w:val="clear" w:color="auto" w:fill="FFFFFF"/>
        <w:spacing w:before="144" w:line="360" w:lineRule="auto"/>
        <w:ind w:left="1843" w:hanging="567"/>
        <w:jc w:val="both"/>
        <w:rPr>
          <w:rFonts w:ascii="Verdana" w:hAnsi="Verdana"/>
          <w:color w:val="242121"/>
          <w:sz w:val="22"/>
          <w:szCs w:val="22"/>
          <w:lang w:val="en-ZA" w:eastAsia="en-GB"/>
        </w:rPr>
      </w:pPr>
      <w:r w:rsidRPr="00545267">
        <w:rPr>
          <w:rFonts w:ascii="Arial" w:hAnsi="Arial" w:cs="Arial"/>
          <w:color w:val="242121"/>
          <w:sz w:val="22"/>
          <w:szCs w:val="22"/>
          <w:lang w:val="en-ZA" w:eastAsia="en-GB"/>
        </w:rPr>
        <w:t>[11]   Mr and Mrs Ferris blame their late filing of the application on their correspondent attorney. In my view this explanation is less than satisfactory. Further, Mr and Mrs Ferris do not have prospects of success, as will appear below. I note that FirstRand does not oppose the application for condonation, nor is there an indication that the late filing has caused any prejudice. However, the mere fact that there is no opposition and no apparent prejudice does not necessarily warrant granting condonation. Condonation cannot be had for the mere asking.</w:t>
      </w:r>
    </w:p>
    <w:p w14:paraId="263DC87F" w14:textId="77777777" w:rsidR="00545267" w:rsidRPr="00545267" w:rsidRDefault="00545267" w:rsidP="00336041">
      <w:pPr>
        <w:shd w:val="clear" w:color="auto" w:fill="FFFFFF"/>
        <w:spacing w:before="144" w:line="360" w:lineRule="auto"/>
        <w:jc w:val="both"/>
        <w:rPr>
          <w:rFonts w:ascii="Verdana" w:hAnsi="Verdana"/>
          <w:color w:val="242121"/>
          <w:sz w:val="22"/>
          <w:szCs w:val="22"/>
          <w:lang w:val="en-ZA" w:eastAsia="en-GB"/>
        </w:rPr>
      </w:pPr>
      <w:r w:rsidRPr="00545267">
        <w:rPr>
          <w:rFonts w:ascii="Verdana" w:hAnsi="Verdana"/>
          <w:color w:val="242121"/>
          <w:sz w:val="22"/>
          <w:szCs w:val="22"/>
          <w:lang w:val="en-ZA" w:eastAsia="en-GB"/>
        </w:rPr>
        <w:t> </w:t>
      </w:r>
    </w:p>
    <w:p w14:paraId="2B418063" w14:textId="77777777" w:rsidR="00545267" w:rsidRPr="00545267" w:rsidRDefault="00545267" w:rsidP="00336041">
      <w:pPr>
        <w:shd w:val="clear" w:color="auto" w:fill="FFFFFF"/>
        <w:spacing w:before="144" w:line="360" w:lineRule="auto"/>
        <w:ind w:left="1843" w:hanging="567"/>
        <w:jc w:val="both"/>
        <w:rPr>
          <w:rFonts w:ascii="Verdana" w:hAnsi="Verdana"/>
          <w:color w:val="242121"/>
          <w:sz w:val="22"/>
          <w:szCs w:val="22"/>
          <w:lang w:val="en-ZA" w:eastAsia="en-GB"/>
        </w:rPr>
      </w:pPr>
      <w:r w:rsidRPr="00545267">
        <w:rPr>
          <w:rFonts w:ascii="Arial" w:hAnsi="Arial" w:cs="Arial"/>
          <w:color w:val="242121"/>
          <w:sz w:val="22"/>
          <w:szCs w:val="22"/>
          <w:lang w:val="en-ZA" w:eastAsia="en-GB"/>
        </w:rPr>
        <w:t xml:space="preserve">[12]   Nonetheless, FirstRand stated that the issues raised are important to the banking sector and its customers because a pronouncement by this Court will bring certainty on when a credit provider may enforce a loan that is subject to a debt-restructuring order that has been </w:t>
      </w:r>
      <w:r w:rsidRPr="00545267">
        <w:rPr>
          <w:rFonts w:ascii="Arial" w:hAnsi="Arial" w:cs="Arial"/>
          <w:color w:val="242121"/>
          <w:sz w:val="22"/>
          <w:szCs w:val="22"/>
          <w:lang w:val="en-ZA" w:eastAsia="en-GB"/>
        </w:rPr>
        <w:lastRenderedPageBreak/>
        <w:t>breached. On balance, I am of the view that it is in the interests of justice to grant condonation.”</w:t>
      </w:r>
    </w:p>
    <w:p w14:paraId="0AE71E0D" w14:textId="77777777" w:rsidR="00545267" w:rsidRPr="00545267" w:rsidRDefault="00545267" w:rsidP="00545267">
      <w:pPr>
        <w:spacing w:before="144" w:line="480" w:lineRule="atLeast"/>
        <w:jc w:val="both"/>
        <w:rPr>
          <w:rFonts w:ascii="Verdana" w:hAnsi="Verdana"/>
          <w:color w:val="242121"/>
          <w:lang w:val="en-ZA" w:eastAsia="en-GB"/>
        </w:rPr>
      </w:pPr>
      <w:r w:rsidRPr="00545267">
        <w:rPr>
          <w:rFonts w:ascii="Verdana" w:hAnsi="Verdana"/>
          <w:color w:val="242121"/>
          <w:lang w:val="en-ZA" w:eastAsia="en-GB"/>
        </w:rPr>
        <w:t> </w:t>
      </w:r>
    </w:p>
    <w:p w14:paraId="5F788228" w14:textId="77777777" w:rsidR="00545267" w:rsidRPr="00545267" w:rsidRDefault="00545267" w:rsidP="00545267">
      <w:pPr>
        <w:spacing w:before="144" w:line="480" w:lineRule="atLeast"/>
        <w:jc w:val="both"/>
        <w:rPr>
          <w:rFonts w:ascii="Arial" w:hAnsi="Arial" w:cs="Arial"/>
          <w:b/>
          <w:bCs/>
          <w:color w:val="242121"/>
          <w:lang w:val="en-ZA" w:eastAsia="en-GB"/>
        </w:rPr>
      </w:pPr>
      <w:r w:rsidRPr="00545267">
        <w:rPr>
          <w:rFonts w:ascii="Arial" w:hAnsi="Arial" w:cs="Arial"/>
          <w:color w:val="242121"/>
          <w:lang w:eastAsia="en-GB"/>
        </w:rPr>
        <w:t xml:space="preserve">[16] </w:t>
      </w:r>
      <w:r w:rsidRPr="00545267">
        <w:rPr>
          <w:rFonts w:ascii="Arial" w:hAnsi="Arial" w:cs="Arial"/>
          <w:color w:val="242121"/>
          <w:lang w:eastAsia="en-GB"/>
        </w:rPr>
        <w:tab/>
        <w:t>In </w:t>
      </w:r>
      <w:r w:rsidRPr="00545267">
        <w:rPr>
          <w:rFonts w:ascii="Arial" w:hAnsi="Arial" w:cs="Arial"/>
          <w:b/>
          <w:bCs/>
          <w:color w:val="242121"/>
          <w:lang w:val="en-ZA" w:eastAsia="en-GB"/>
        </w:rPr>
        <w:t xml:space="preserve">Dengetenge Holdings (Pty) Ltd v Southern Sphere Mining and </w:t>
      </w:r>
    </w:p>
    <w:p w14:paraId="2B2DDA92" w14:textId="6CFFBE0D" w:rsidR="00545267" w:rsidRPr="00545267" w:rsidRDefault="00545267" w:rsidP="00AD4E12">
      <w:pPr>
        <w:spacing w:before="144" w:line="480" w:lineRule="atLeast"/>
        <w:ind w:left="720"/>
        <w:jc w:val="both"/>
        <w:rPr>
          <w:rFonts w:ascii="Verdana" w:hAnsi="Verdana"/>
          <w:color w:val="242121"/>
          <w:lang w:val="en-ZA" w:eastAsia="en-GB"/>
        </w:rPr>
      </w:pPr>
      <w:r w:rsidRPr="00545267">
        <w:rPr>
          <w:rFonts w:ascii="Arial" w:hAnsi="Arial" w:cs="Arial"/>
          <w:b/>
          <w:bCs/>
          <w:color w:val="242121"/>
          <w:lang w:val="en-ZA" w:eastAsia="en-GB"/>
        </w:rPr>
        <w:t>Development Company Ltd &amp; others</w:t>
      </w:r>
      <w:r w:rsidRPr="00545267">
        <w:rPr>
          <w:rFonts w:ascii="Arial" w:hAnsi="Arial" w:cs="Arial"/>
          <w:color w:val="242121"/>
          <w:lang w:val="en-ZA" w:eastAsia="en-GB"/>
        </w:rPr>
        <w:t> (619/12)  </w:t>
      </w:r>
      <w:hyperlink r:id="rId16" w:tooltip="View LawCiteRecord" w:history="1">
        <w:r w:rsidRPr="00545267">
          <w:rPr>
            <w:rFonts w:ascii="Arial" w:hAnsi="Arial" w:cs="Arial"/>
            <w:b/>
            <w:bCs/>
            <w:color w:val="0B4B0B"/>
            <w:u w:val="single"/>
            <w:lang w:val="en-ZA" w:eastAsia="en-GB"/>
          </w:rPr>
          <w:t>[2013] ZASCA 5</w:t>
        </w:r>
      </w:hyperlink>
      <w:r w:rsidRPr="00545267">
        <w:rPr>
          <w:rFonts w:ascii="Arial" w:hAnsi="Arial" w:cs="Arial"/>
          <w:color w:val="242121"/>
          <w:lang w:val="en-ZA" w:eastAsia="en-GB"/>
        </w:rPr>
        <w:t> (11 March  2013) the following is stated:</w:t>
      </w:r>
    </w:p>
    <w:p w14:paraId="1926D56E" w14:textId="77777777" w:rsidR="00545267" w:rsidRPr="00545267" w:rsidRDefault="00545267" w:rsidP="00336041">
      <w:pPr>
        <w:spacing w:before="144" w:line="360" w:lineRule="auto"/>
        <w:ind w:left="1843" w:hanging="567"/>
        <w:jc w:val="both"/>
        <w:rPr>
          <w:rFonts w:ascii="Verdana" w:hAnsi="Verdana"/>
          <w:color w:val="242121"/>
          <w:sz w:val="22"/>
          <w:szCs w:val="22"/>
          <w:lang w:val="en-ZA" w:eastAsia="en-GB"/>
        </w:rPr>
      </w:pPr>
      <w:r w:rsidRPr="00545267">
        <w:rPr>
          <w:rFonts w:ascii="Verdana" w:hAnsi="Verdana"/>
          <w:color w:val="242121"/>
          <w:sz w:val="22"/>
          <w:szCs w:val="22"/>
          <w:lang w:val="en-ZA" w:eastAsia="en-GB"/>
        </w:rPr>
        <w:t>“</w:t>
      </w:r>
      <w:r w:rsidRPr="00545267">
        <w:rPr>
          <w:rFonts w:ascii="Arial" w:hAnsi="Arial" w:cs="Arial"/>
          <w:color w:val="242121"/>
          <w:sz w:val="22"/>
          <w:szCs w:val="22"/>
          <w:lang w:val="en-ZA" w:eastAsia="en-GB"/>
        </w:rPr>
        <w:t>[11]  Factors which usually weigh with this court in considering an application for condonation include the degree of non-compliance, the explanation therefor, the importance of the case, a respondent’s interest in the finality of the judgment of the court below, the convenience of this court and the avoidance of unnecessary delay in the administration of justice (per Holmes JA in Federated Employers Fire &amp; General Insurance Co Ltd &amp; another v McKenzie  </w:t>
      </w:r>
      <w:hyperlink r:id="rId17" w:tooltip="View LawCiteRecord" w:history="1">
        <w:r w:rsidRPr="00545267">
          <w:rPr>
            <w:rFonts w:ascii="Arial" w:hAnsi="Arial" w:cs="Arial"/>
            <w:b/>
            <w:bCs/>
            <w:color w:val="0B4B0B"/>
            <w:sz w:val="22"/>
            <w:szCs w:val="22"/>
            <w:u w:val="single"/>
            <w:lang w:val="en-ZA" w:eastAsia="en-GB"/>
          </w:rPr>
          <w:t>1969 (3) SA 360</w:t>
        </w:r>
      </w:hyperlink>
      <w:r w:rsidRPr="00545267">
        <w:rPr>
          <w:rFonts w:ascii="Arial" w:hAnsi="Arial" w:cs="Arial"/>
          <w:color w:val="242121"/>
          <w:sz w:val="22"/>
          <w:szCs w:val="22"/>
          <w:lang w:val="en-ZA" w:eastAsia="en-GB"/>
        </w:rPr>
        <w:t xml:space="preserve"> (A) at 362F-G). I shall assume in </w:t>
      </w:r>
      <w:proofErr w:type="spellStart"/>
      <w:r w:rsidRPr="00545267">
        <w:rPr>
          <w:rFonts w:ascii="Arial" w:hAnsi="Arial" w:cs="Arial"/>
          <w:color w:val="242121"/>
          <w:sz w:val="22"/>
          <w:szCs w:val="22"/>
          <w:lang w:val="en-ZA" w:eastAsia="en-GB"/>
        </w:rPr>
        <w:t>Dentenge’s</w:t>
      </w:r>
      <w:proofErr w:type="spellEnd"/>
      <w:r w:rsidRPr="00545267">
        <w:rPr>
          <w:rFonts w:ascii="Arial" w:hAnsi="Arial" w:cs="Arial"/>
          <w:color w:val="242121"/>
          <w:sz w:val="22"/>
          <w:szCs w:val="22"/>
          <w:lang w:val="en-ZA" w:eastAsia="en-GB"/>
        </w:rPr>
        <w:t xml:space="preserve"> favour that the matter is of substantial importance to it. I also accept that there has been no or minimal inconvenience to the court. I, however, cannot be as charitable to the appellant in respect of the remaining factors.</w:t>
      </w:r>
    </w:p>
    <w:p w14:paraId="01D68DE5" w14:textId="77777777" w:rsidR="00545267" w:rsidRPr="00545267" w:rsidRDefault="00545267" w:rsidP="00336041">
      <w:pPr>
        <w:spacing w:before="144" w:line="360" w:lineRule="auto"/>
        <w:ind w:left="1843" w:hanging="567"/>
        <w:jc w:val="both"/>
        <w:rPr>
          <w:rFonts w:ascii="Verdana" w:hAnsi="Verdana"/>
          <w:color w:val="242121"/>
          <w:sz w:val="22"/>
          <w:szCs w:val="22"/>
          <w:lang w:val="en-ZA" w:eastAsia="en-GB"/>
        </w:rPr>
      </w:pPr>
      <w:r w:rsidRPr="00545267">
        <w:rPr>
          <w:rFonts w:ascii="Verdana" w:hAnsi="Verdana"/>
          <w:color w:val="242121"/>
          <w:sz w:val="22"/>
          <w:szCs w:val="22"/>
          <w:lang w:val="en-ZA" w:eastAsia="en-GB"/>
        </w:rPr>
        <w:t> </w:t>
      </w:r>
    </w:p>
    <w:p w14:paraId="7E249487" w14:textId="2236E68A" w:rsidR="00545267" w:rsidRPr="00545267" w:rsidRDefault="00545267" w:rsidP="00336041">
      <w:pPr>
        <w:spacing w:before="144" w:line="360" w:lineRule="auto"/>
        <w:ind w:left="1843" w:hanging="567"/>
        <w:jc w:val="both"/>
        <w:rPr>
          <w:rFonts w:ascii="Verdana" w:hAnsi="Verdana"/>
          <w:color w:val="242121"/>
          <w:sz w:val="22"/>
          <w:szCs w:val="22"/>
          <w:lang w:val="en-ZA" w:eastAsia="en-GB"/>
        </w:rPr>
      </w:pPr>
      <w:r w:rsidRPr="00545267">
        <w:rPr>
          <w:rFonts w:ascii="Arial" w:hAnsi="Arial" w:cs="Arial"/>
          <w:color w:val="242121"/>
          <w:sz w:val="22"/>
          <w:szCs w:val="22"/>
          <w:lang w:val="en-ZA" w:eastAsia="en-GB"/>
        </w:rPr>
        <w:t>[12]   In Uitenhage Transitional Local Council v South African Revenue Service </w:t>
      </w:r>
      <w:hyperlink r:id="rId18" w:tooltip="View LawCiteRecord" w:history="1">
        <w:r w:rsidRPr="00545267">
          <w:rPr>
            <w:rFonts w:ascii="Arial" w:hAnsi="Arial" w:cs="Arial"/>
            <w:b/>
            <w:bCs/>
            <w:color w:val="0B4B0B"/>
            <w:sz w:val="22"/>
            <w:szCs w:val="22"/>
            <w:u w:val="single"/>
            <w:lang w:val="en-ZA" w:eastAsia="en-GB"/>
          </w:rPr>
          <w:t>2004 (1) SA 292</w:t>
        </w:r>
      </w:hyperlink>
      <w:r w:rsidRPr="00545267">
        <w:rPr>
          <w:rFonts w:ascii="Arial" w:hAnsi="Arial" w:cs="Arial"/>
          <w:color w:val="242121"/>
          <w:sz w:val="22"/>
          <w:szCs w:val="22"/>
          <w:lang w:val="en-ZA" w:eastAsia="en-GB"/>
        </w:rPr>
        <w:t> (SCA) para 6 this court stated:</w:t>
      </w:r>
    </w:p>
    <w:p w14:paraId="6010E62D" w14:textId="69C49923" w:rsidR="00545267" w:rsidRPr="00545267" w:rsidRDefault="00545267" w:rsidP="00AD4E12">
      <w:pPr>
        <w:spacing w:before="144" w:line="276" w:lineRule="auto"/>
        <w:ind w:left="2410"/>
        <w:jc w:val="both"/>
        <w:rPr>
          <w:rFonts w:ascii="Verdana" w:hAnsi="Verdana"/>
          <w:color w:val="242121"/>
          <w:sz w:val="20"/>
          <w:szCs w:val="20"/>
          <w:lang w:val="en-ZA" w:eastAsia="en-GB"/>
        </w:rPr>
      </w:pPr>
      <w:r w:rsidRPr="00545267">
        <w:rPr>
          <w:rFonts w:ascii="Arial" w:hAnsi="Arial" w:cs="Arial"/>
          <w:color w:val="242121"/>
          <w:sz w:val="20"/>
          <w:szCs w:val="20"/>
          <w:lang w:val="en-ZA" w:eastAsia="en-GB"/>
        </w:rPr>
        <w:t>'One would have hoped that the many admonitions concerning what is required of an applicant in a condonation application would be trite knowledge among practitioners who are entrusted with the preparation of appeals to this Court: condonation is not to be had merely for the asking; a full, detailed and accurate account of the causes of the delay and their effects must be furnished so as to enable the Court to understand clearly the reasons and to assess the responsibility. It must be obvious that, if the non-compliance is time-related then the date,</w:t>
      </w:r>
      <w:r w:rsidR="00AD4E12">
        <w:rPr>
          <w:rFonts w:ascii="Verdana" w:hAnsi="Verdana"/>
          <w:color w:val="242121"/>
          <w:sz w:val="20"/>
          <w:szCs w:val="20"/>
          <w:lang w:val="en-ZA" w:eastAsia="en-GB"/>
        </w:rPr>
        <w:t xml:space="preserve"> </w:t>
      </w:r>
      <w:r w:rsidRPr="00545267">
        <w:rPr>
          <w:rFonts w:ascii="Arial" w:hAnsi="Arial" w:cs="Arial"/>
          <w:color w:val="242121"/>
          <w:sz w:val="20"/>
          <w:szCs w:val="20"/>
          <w:lang w:val="en-ZA" w:eastAsia="en-GB"/>
        </w:rPr>
        <w:t>duration and extent of any obstacle on which reliance is placed must be spelled out.'”</w:t>
      </w:r>
      <w:r w:rsidRPr="00545267">
        <w:rPr>
          <w:rFonts w:ascii="Verdana" w:hAnsi="Verdana"/>
          <w:color w:val="242121"/>
          <w:lang w:val="en-ZA" w:eastAsia="en-GB"/>
        </w:rPr>
        <w:t> </w:t>
      </w:r>
    </w:p>
    <w:p w14:paraId="5D3635B1" w14:textId="5A9CD44F" w:rsidR="00545267" w:rsidRPr="00545267" w:rsidRDefault="00545267" w:rsidP="00336041">
      <w:pPr>
        <w:spacing w:before="144" w:line="480" w:lineRule="atLeast"/>
        <w:ind w:left="720" w:hanging="737"/>
        <w:jc w:val="both"/>
        <w:rPr>
          <w:rFonts w:ascii="Verdana" w:hAnsi="Verdana"/>
          <w:color w:val="242121"/>
          <w:lang w:eastAsia="en-GB"/>
        </w:rPr>
      </w:pPr>
      <w:r w:rsidRPr="00545267">
        <w:rPr>
          <w:rFonts w:ascii="Arial" w:hAnsi="Arial" w:cs="Arial"/>
          <w:color w:val="242121"/>
          <w:lang w:eastAsia="en-GB"/>
        </w:rPr>
        <w:lastRenderedPageBreak/>
        <w:t>[17]</w:t>
      </w:r>
      <w:r w:rsidRPr="00545267">
        <w:rPr>
          <w:rFonts w:ascii="Arial" w:hAnsi="Arial" w:cs="Arial"/>
          <w:color w:val="242121"/>
          <w:lang w:eastAsia="en-GB"/>
        </w:rPr>
        <w:tab/>
        <w:t xml:space="preserve"> In </w:t>
      </w:r>
      <w:r w:rsidRPr="00545267">
        <w:rPr>
          <w:rFonts w:ascii="Arial" w:hAnsi="Arial" w:cs="Arial"/>
          <w:b/>
          <w:bCs/>
          <w:color w:val="242121"/>
          <w:lang w:eastAsia="en-GB"/>
        </w:rPr>
        <w:t>Mtshali &amp; others v Buffalo Conservation 97 (Pty) Ltd</w:t>
      </w:r>
      <w:r w:rsidRPr="00545267">
        <w:rPr>
          <w:rFonts w:ascii="Arial" w:hAnsi="Arial" w:cs="Arial"/>
          <w:color w:val="242121"/>
          <w:lang w:eastAsia="en-GB"/>
        </w:rPr>
        <w:t> (250/2017)  </w:t>
      </w:r>
      <w:hyperlink r:id="rId19" w:tooltip="View LawCiteRecord" w:history="1">
        <w:r w:rsidRPr="00545267">
          <w:rPr>
            <w:rFonts w:ascii="Arial" w:hAnsi="Arial" w:cs="Arial"/>
            <w:b/>
            <w:bCs/>
            <w:color w:val="0B4B0B"/>
            <w:u w:val="single"/>
            <w:lang w:eastAsia="en-GB"/>
          </w:rPr>
          <w:t>[2017] ZASCA 127</w:t>
        </w:r>
      </w:hyperlink>
      <w:r w:rsidRPr="00545267">
        <w:rPr>
          <w:rFonts w:ascii="Arial" w:hAnsi="Arial" w:cs="Arial"/>
          <w:color w:val="242121"/>
          <w:lang w:eastAsia="en-GB"/>
        </w:rPr>
        <w:t> (29 September 2017) the following is stated:</w:t>
      </w:r>
    </w:p>
    <w:p w14:paraId="03B6A963" w14:textId="0C489A54" w:rsidR="00545267" w:rsidRPr="00545267" w:rsidRDefault="00545267" w:rsidP="00336041">
      <w:pPr>
        <w:spacing w:before="144" w:after="288" w:line="360" w:lineRule="auto"/>
        <w:ind w:left="1843" w:hanging="567"/>
        <w:jc w:val="both"/>
        <w:rPr>
          <w:rFonts w:ascii="Verdana" w:hAnsi="Verdana"/>
          <w:color w:val="242121"/>
          <w:sz w:val="22"/>
          <w:szCs w:val="22"/>
          <w:lang w:val="en-ZA" w:eastAsia="en-GB"/>
        </w:rPr>
      </w:pPr>
      <w:r w:rsidRPr="00545267">
        <w:rPr>
          <w:rFonts w:ascii="Verdana" w:hAnsi="Verdana"/>
          <w:color w:val="242121"/>
          <w:sz w:val="22"/>
          <w:szCs w:val="22"/>
          <w:lang w:val="en-ZA" w:eastAsia="en-GB"/>
        </w:rPr>
        <w:t>“</w:t>
      </w:r>
      <w:r w:rsidRPr="00545267">
        <w:rPr>
          <w:rFonts w:ascii="Arial" w:hAnsi="Arial" w:cs="Arial"/>
          <w:color w:val="242121"/>
          <w:sz w:val="22"/>
          <w:szCs w:val="22"/>
          <w:lang w:val="en-ZA" w:eastAsia="en-GB"/>
        </w:rPr>
        <w:t>[37] </w:t>
      </w:r>
      <w:r w:rsidR="0042556B">
        <w:rPr>
          <w:rFonts w:ascii="Arial" w:hAnsi="Arial" w:cs="Arial"/>
          <w:color w:val="242121"/>
          <w:sz w:val="22"/>
          <w:szCs w:val="22"/>
          <w:lang w:val="en-ZA" w:eastAsia="en-GB"/>
        </w:rPr>
        <w:tab/>
      </w:r>
      <w:r w:rsidRPr="00545267">
        <w:rPr>
          <w:rFonts w:ascii="Arial" w:hAnsi="Arial" w:cs="Arial"/>
          <w:color w:val="242121"/>
          <w:sz w:val="22"/>
          <w:szCs w:val="22"/>
          <w:lang w:val="en-ZA" w:eastAsia="en-GB"/>
        </w:rPr>
        <w:t>The approach of this court to condonation in circumstances such as the present is ell-known. In Dengetenge Holdings (Pty) Ltd v Southern Sphere Mining and Development Company Ltd &amp; others Ponnan JA held that factors relevant to the discretion to grant or refuse condonation include ‘the degree of non-compliance, the explanation therefor, the importance of the case, a respondent’s interest in the finality of the judgment of the court below, the convenience of this court and the avoidance of unnecessary delay in the administration of justice’.</w:t>
      </w:r>
    </w:p>
    <w:p w14:paraId="118CE587" w14:textId="77777777" w:rsidR="00545267" w:rsidRPr="00545267" w:rsidRDefault="00545267" w:rsidP="00336041">
      <w:pPr>
        <w:spacing w:before="144" w:after="288" w:line="360" w:lineRule="auto"/>
        <w:ind w:left="1843" w:hanging="567"/>
        <w:jc w:val="both"/>
        <w:rPr>
          <w:rFonts w:ascii="Verdana" w:hAnsi="Verdana"/>
          <w:color w:val="242121"/>
          <w:sz w:val="22"/>
          <w:szCs w:val="22"/>
          <w:lang w:val="en-ZA" w:eastAsia="en-GB"/>
        </w:rPr>
      </w:pPr>
      <w:r w:rsidRPr="00545267">
        <w:rPr>
          <w:rFonts w:ascii="Verdana" w:hAnsi="Verdana"/>
          <w:color w:val="242121"/>
          <w:sz w:val="22"/>
          <w:szCs w:val="22"/>
          <w:lang w:val="en-ZA" w:eastAsia="en-GB"/>
        </w:rPr>
        <w:t> </w:t>
      </w:r>
    </w:p>
    <w:p w14:paraId="0218F79D" w14:textId="00B58F07" w:rsidR="00545267" w:rsidRPr="00545267" w:rsidRDefault="00545267" w:rsidP="00336041">
      <w:pPr>
        <w:spacing w:before="144" w:after="288" w:line="360" w:lineRule="auto"/>
        <w:ind w:left="1843" w:hanging="567"/>
        <w:jc w:val="both"/>
        <w:rPr>
          <w:rFonts w:ascii="Verdana" w:hAnsi="Verdana"/>
          <w:color w:val="242121"/>
          <w:sz w:val="22"/>
          <w:szCs w:val="22"/>
          <w:lang w:val="en-ZA" w:eastAsia="en-GB"/>
        </w:rPr>
      </w:pPr>
      <w:r w:rsidRPr="00545267">
        <w:rPr>
          <w:rFonts w:ascii="Arial" w:hAnsi="Arial" w:cs="Arial"/>
          <w:color w:val="242121"/>
          <w:sz w:val="22"/>
          <w:szCs w:val="22"/>
          <w:lang w:val="en-ZA" w:eastAsia="en-GB"/>
        </w:rPr>
        <w:t>[38]   In Darries v Sheriff, Magistrate’s Court, Wynberg &amp; another these general considerations were fleshed out by Plewman JA when he stated:</w:t>
      </w:r>
    </w:p>
    <w:p w14:paraId="322E530B" w14:textId="5EE43D6E" w:rsidR="00545267" w:rsidRPr="00545267" w:rsidRDefault="00545267" w:rsidP="00337984">
      <w:pPr>
        <w:spacing w:before="144" w:after="288" w:line="276" w:lineRule="auto"/>
        <w:ind w:left="2410"/>
        <w:jc w:val="both"/>
        <w:rPr>
          <w:rFonts w:ascii="Verdana" w:hAnsi="Verdana"/>
          <w:color w:val="242121"/>
          <w:sz w:val="20"/>
          <w:szCs w:val="20"/>
          <w:lang w:val="en-ZA" w:eastAsia="en-GB"/>
        </w:rPr>
      </w:pPr>
      <w:r w:rsidRPr="00545267">
        <w:rPr>
          <w:rFonts w:ascii="Verdana" w:hAnsi="Verdana"/>
          <w:color w:val="242121"/>
          <w:sz w:val="20"/>
          <w:szCs w:val="20"/>
          <w:lang w:val="en-ZA" w:eastAsia="en-GB"/>
        </w:rPr>
        <w:t>‘</w:t>
      </w:r>
      <w:r w:rsidRPr="00545267">
        <w:rPr>
          <w:rFonts w:ascii="Arial" w:hAnsi="Arial" w:cs="Arial"/>
          <w:color w:val="242121"/>
          <w:sz w:val="20"/>
          <w:szCs w:val="20"/>
          <w:lang w:val="en-ZA" w:eastAsia="en-GB"/>
        </w:rPr>
        <w:t>Condonation of the non-observance of the Rules of this Court is not a mere formality. In all cases, some acceptable explanation, not only of, for example, the delay in noting an appeal, but also, where this is the case, any delay in seeking condonation, must be given. An appellant should whenever he realises that he has not complied with a Rule of Court apply for condonation as soon as possible. Nor should it simply be assumed that, where non-compliance was due entirely to the neglect of the appellant’s attorney, condonation will be granted. In applications of this sort the applicant’s prospects of success are in general an important though not decisive consideration. When application is made for condonation it is advisable that the petition should set forth briefly and succinctly such essential information as may enable the Court to assess the appellant’s prospects of success. But appellant’s prospect of success is but one of the factors relevant to the exercise of the Court’s discretion, unless the cumulative effect of the other relevant factors in the case is such as to render the application for condonation obviously unworthy of consideration. Where non-observance of the Rules has been flagrant and gross an application for condonation should not be granted, whatever the prospects of success might be.’ </w:t>
      </w:r>
    </w:p>
    <w:p w14:paraId="3634ACC1" w14:textId="77777777" w:rsidR="00545267" w:rsidRPr="00545267" w:rsidRDefault="00545267" w:rsidP="00336041">
      <w:pPr>
        <w:spacing w:before="144" w:after="288" w:line="360" w:lineRule="auto"/>
        <w:ind w:left="1843" w:hanging="567"/>
        <w:jc w:val="both"/>
        <w:rPr>
          <w:rFonts w:ascii="Verdana" w:hAnsi="Verdana"/>
          <w:color w:val="242121"/>
          <w:sz w:val="22"/>
          <w:szCs w:val="22"/>
          <w:lang w:val="en-ZA" w:eastAsia="en-GB"/>
        </w:rPr>
      </w:pPr>
      <w:r w:rsidRPr="00545267">
        <w:rPr>
          <w:rFonts w:ascii="Arial" w:hAnsi="Arial" w:cs="Arial"/>
          <w:color w:val="242121"/>
          <w:sz w:val="22"/>
          <w:szCs w:val="22"/>
          <w:lang w:val="en-ZA" w:eastAsia="en-GB"/>
        </w:rPr>
        <w:lastRenderedPageBreak/>
        <w:t>[39]   Reference was made in the passage I have cited above to it being an erroneous assumption that if the cause of the delay in complying with the rules is the conduct of the appellant’s attorney, condonation will be granted. That assumption was dispelled in no uncertain terms in Saloojee &amp; another NNO v Minister of Community Development. In that matter the notice of appeal, the record and the condonation application were filed some eight months late. After considering the explanation given for the delay and concluding that it was not even ‘remotely satisfactory’ Steyn CJ proceeded to hold: </w:t>
      </w:r>
    </w:p>
    <w:p w14:paraId="73BC3642" w14:textId="32B3C344" w:rsidR="00545267" w:rsidRPr="00545267" w:rsidRDefault="00545267" w:rsidP="0042556B">
      <w:pPr>
        <w:spacing w:before="144" w:after="288" w:line="360" w:lineRule="auto"/>
        <w:ind w:left="1843"/>
        <w:jc w:val="both"/>
        <w:rPr>
          <w:rFonts w:ascii="Verdana" w:hAnsi="Verdana"/>
          <w:color w:val="242121"/>
          <w:sz w:val="22"/>
          <w:szCs w:val="22"/>
          <w:lang w:val="en-ZA" w:eastAsia="en-GB"/>
        </w:rPr>
      </w:pPr>
      <w:r w:rsidRPr="00545267">
        <w:rPr>
          <w:rFonts w:ascii="Verdana" w:hAnsi="Verdana"/>
          <w:color w:val="242121"/>
          <w:sz w:val="22"/>
          <w:szCs w:val="22"/>
          <w:lang w:val="en-ZA" w:eastAsia="en-GB"/>
        </w:rPr>
        <w:t>‘</w:t>
      </w:r>
      <w:r w:rsidRPr="00545267">
        <w:rPr>
          <w:rFonts w:ascii="Arial" w:hAnsi="Arial" w:cs="Arial"/>
          <w:color w:val="242121"/>
          <w:sz w:val="22"/>
          <w:szCs w:val="22"/>
          <w:lang w:val="en-ZA" w:eastAsia="en-GB"/>
        </w:rPr>
        <w:t>I should point out, however, that it has not at any time been held that condonation will not in any circumstances be withheld if the blame lies with the attorney. There is a limit beyond which a litigant cannot escape the results of his attorney's lack of diligence or the insufficiency of the explanation tendered. To hold otherwise might have a disastrous effect upon the observance of the Rules of this Court. Considerations ad misericordiam should not be allowed to become an invitation to laxity. In fact this Court has lately been burdened with an undue and increasing number of applications for condonation in which the failure to comply with the Rules of this Court was due to neglect on the part of the attorney. The attorney, after all, is the representative whom the litigant has chosen for himself, and there is little reason why, in regard to condonation of a failure to comply with a Rule of Court, the litigant should be absolved from the normal consequences of such a relationship, no matter what the circumstances of the failure are.’ </w:t>
      </w:r>
    </w:p>
    <w:p w14:paraId="167A6DCD" w14:textId="77777777" w:rsidR="00545267" w:rsidRPr="00545267" w:rsidRDefault="00545267" w:rsidP="00336041">
      <w:pPr>
        <w:spacing w:before="144" w:after="288" w:line="360" w:lineRule="auto"/>
        <w:ind w:left="1843" w:hanging="567"/>
        <w:jc w:val="both"/>
        <w:rPr>
          <w:rFonts w:ascii="Verdana" w:hAnsi="Verdana"/>
          <w:color w:val="242121"/>
          <w:sz w:val="22"/>
          <w:szCs w:val="22"/>
          <w:lang w:val="en-ZA" w:eastAsia="en-GB"/>
        </w:rPr>
      </w:pPr>
      <w:r w:rsidRPr="00545267">
        <w:rPr>
          <w:rFonts w:ascii="Arial" w:hAnsi="Arial" w:cs="Arial"/>
          <w:color w:val="242121"/>
          <w:sz w:val="22"/>
          <w:szCs w:val="22"/>
          <w:lang w:val="en-ZA" w:eastAsia="en-GB"/>
        </w:rPr>
        <w:t xml:space="preserve">[40]   While the various factors that have been listed in the cases should be weighed against each other, there are instances in which condonation ought not to be granted even if, for instance, there are reasonable prospects of success on the merits. This was alluded to in the passage that I cited from the Darries matter. In Tshivhase Royal Council &amp; another v Tshivhase &amp; another; Tshivhase &amp; another v Tshivhase &amp; another Nestadt JA said that this court ‘has often said that in cases of flagrant breaches of the Rules, especially where there is no acceptable </w:t>
      </w:r>
      <w:r w:rsidRPr="00545267">
        <w:rPr>
          <w:rFonts w:ascii="Arial" w:hAnsi="Arial" w:cs="Arial"/>
          <w:color w:val="242121"/>
          <w:sz w:val="22"/>
          <w:szCs w:val="22"/>
          <w:lang w:val="en-ZA" w:eastAsia="en-GB"/>
        </w:rPr>
        <w:lastRenderedPageBreak/>
        <w:t>explanation therefor, the indulgence of condonation may be refused whatever the merits of the appeal are’ and that this applies ‘even where the blame lies solely with the attorney’.</w:t>
      </w:r>
    </w:p>
    <w:p w14:paraId="17301DE8" w14:textId="4115221C" w:rsidR="0042556B" w:rsidRPr="00545267" w:rsidRDefault="00545267" w:rsidP="004C1B64">
      <w:pPr>
        <w:spacing w:before="144" w:after="288" w:line="360" w:lineRule="auto"/>
        <w:ind w:left="1843" w:hanging="567"/>
        <w:jc w:val="both"/>
        <w:rPr>
          <w:rFonts w:ascii="Arial" w:hAnsi="Arial" w:cs="Arial"/>
          <w:color w:val="242121"/>
          <w:sz w:val="22"/>
          <w:szCs w:val="22"/>
          <w:lang w:val="en-ZA" w:eastAsia="en-GB"/>
        </w:rPr>
      </w:pPr>
      <w:r w:rsidRPr="00545267">
        <w:rPr>
          <w:rFonts w:ascii="Arial" w:hAnsi="Arial" w:cs="Arial"/>
          <w:color w:val="242121"/>
          <w:sz w:val="22"/>
          <w:szCs w:val="22"/>
          <w:lang w:val="en-ZA" w:eastAsia="en-GB"/>
        </w:rPr>
        <w:t>[41]   In the present case we did not hear argument on the merits. Counsel were asked to make their submissions on the assumption that an appeal would have reasonable prospects of success. The appellants’ counsel went further, submitting that his clients’ prospects of success on the merits – the peremption point aside – were strong. An assumption to this effect does not change the outcome on the particular facts of this case.”</w:t>
      </w:r>
    </w:p>
    <w:p w14:paraId="5D60E963" w14:textId="77777777" w:rsidR="00545267" w:rsidRPr="00545267" w:rsidRDefault="00545267" w:rsidP="00545267">
      <w:pPr>
        <w:spacing w:before="144" w:after="288" w:line="480" w:lineRule="atLeast"/>
        <w:ind w:left="720" w:hanging="720"/>
        <w:jc w:val="both"/>
        <w:rPr>
          <w:rFonts w:ascii="Arial" w:hAnsi="Arial" w:cs="Arial"/>
          <w:color w:val="242121"/>
          <w:lang w:val="en-ZA" w:eastAsia="en-GB"/>
        </w:rPr>
      </w:pPr>
      <w:r w:rsidRPr="00545267">
        <w:rPr>
          <w:rFonts w:ascii="Arial" w:hAnsi="Arial" w:cs="Arial"/>
          <w:color w:val="242121"/>
          <w:lang w:val="en-ZA" w:eastAsia="en-GB"/>
        </w:rPr>
        <w:t>[18]</w:t>
      </w:r>
      <w:r w:rsidRPr="00545267">
        <w:rPr>
          <w:rFonts w:ascii="Arial" w:hAnsi="Arial" w:cs="Arial"/>
          <w:color w:val="242121"/>
          <w:lang w:val="en-ZA" w:eastAsia="en-GB"/>
        </w:rPr>
        <w:tab/>
        <w:t xml:space="preserve"> In </w:t>
      </w:r>
      <w:r w:rsidRPr="00545267">
        <w:rPr>
          <w:rFonts w:ascii="Arial" w:hAnsi="Arial" w:cs="Arial"/>
          <w:b/>
          <w:bCs/>
          <w:color w:val="242121"/>
          <w:lang w:val="en-ZA" w:eastAsia="en-GB"/>
        </w:rPr>
        <w:t>Mathibela v The State</w:t>
      </w:r>
      <w:r w:rsidRPr="00545267">
        <w:rPr>
          <w:rFonts w:ascii="Arial" w:hAnsi="Arial" w:cs="Arial"/>
          <w:color w:val="242121"/>
          <w:lang w:val="en-ZA" w:eastAsia="en-GB"/>
        </w:rPr>
        <w:t> (714/2017)  </w:t>
      </w:r>
      <w:hyperlink r:id="rId20" w:tooltip="View LawCiteRecord" w:history="1">
        <w:r w:rsidRPr="00545267">
          <w:rPr>
            <w:rFonts w:ascii="Arial" w:hAnsi="Arial" w:cs="Arial"/>
            <w:b/>
            <w:bCs/>
            <w:color w:val="0B4B0B"/>
            <w:u w:val="single"/>
            <w:lang w:val="en-ZA" w:eastAsia="en-GB"/>
          </w:rPr>
          <w:t>[2017] ZASCA 162</w:t>
        </w:r>
      </w:hyperlink>
      <w:r w:rsidRPr="00545267">
        <w:rPr>
          <w:rFonts w:ascii="Arial" w:hAnsi="Arial" w:cs="Arial"/>
          <w:color w:val="242121"/>
          <w:lang w:val="en-ZA" w:eastAsia="en-GB"/>
        </w:rPr>
        <w:t> (27 November 2017) </w:t>
      </w:r>
    </w:p>
    <w:p w14:paraId="442AD630" w14:textId="71983259" w:rsidR="00545267" w:rsidRPr="00545267" w:rsidRDefault="00545267" w:rsidP="00C25CE7">
      <w:pPr>
        <w:spacing w:before="144" w:after="288" w:line="360" w:lineRule="auto"/>
        <w:ind w:left="1843" w:hanging="567"/>
        <w:jc w:val="both"/>
        <w:rPr>
          <w:rFonts w:ascii="Verdana" w:hAnsi="Verdana"/>
          <w:color w:val="242121"/>
          <w:sz w:val="22"/>
          <w:szCs w:val="22"/>
          <w:lang w:val="en-ZA" w:eastAsia="en-GB"/>
        </w:rPr>
      </w:pPr>
      <w:r w:rsidRPr="00545267">
        <w:rPr>
          <w:rFonts w:ascii="Verdana" w:hAnsi="Verdana"/>
          <w:color w:val="242121"/>
          <w:sz w:val="22"/>
          <w:szCs w:val="22"/>
          <w:lang w:val="en-ZA" w:eastAsia="en-GB"/>
        </w:rPr>
        <w:t>“</w:t>
      </w:r>
      <w:r w:rsidRPr="00545267">
        <w:rPr>
          <w:rFonts w:ascii="Arial" w:hAnsi="Arial" w:cs="Arial"/>
          <w:color w:val="242121"/>
          <w:sz w:val="22"/>
          <w:szCs w:val="22"/>
          <w:lang w:val="en-ZA" w:eastAsia="en-GB"/>
        </w:rPr>
        <w:t>[5]    This Court recently stated the following in Mulaudzi v Old Mutual Life Insurance Company Limited &amp; others, National Director of Public Prosecutions &amp; another v Mulaudzi: </w:t>
      </w:r>
    </w:p>
    <w:p w14:paraId="3A67D80A" w14:textId="77777777" w:rsidR="00545267" w:rsidRPr="00545267" w:rsidRDefault="00545267" w:rsidP="00AD4E12">
      <w:pPr>
        <w:spacing w:before="144" w:after="288" w:line="276" w:lineRule="auto"/>
        <w:ind w:left="2160"/>
        <w:jc w:val="both"/>
        <w:rPr>
          <w:rFonts w:ascii="Verdana" w:hAnsi="Verdana"/>
          <w:color w:val="242121"/>
          <w:sz w:val="20"/>
          <w:szCs w:val="20"/>
          <w:lang w:val="en-ZA" w:eastAsia="en-GB"/>
        </w:rPr>
      </w:pPr>
      <w:r w:rsidRPr="00545267">
        <w:rPr>
          <w:rFonts w:ascii="Verdana" w:hAnsi="Verdana"/>
          <w:color w:val="242121"/>
          <w:sz w:val="20"/>
          <w:szCs w:val="20"/>
          <w:lang w:val="en-ZA" w:eastAsia="en-GB"/>
        </w:rPr>
        <w:t>‘</w:t>
      </w:r>
      <w:r w:rsidRPr="00545267">
        <w:rPr>
          <w:rFonts w:ascii="Arial" w:hAnsi="Arial" w:cs="Arial"/>
          <w:color w:val="242121"/>
          <w:sz w:val="20"/>
          <w:szCs w:val="20"/>
          <w:lang w:val="en-ZA" w:eastAsia="en-GB"/>
        </w:rPr>
        <w:t>[34]  In applications of this sort the prospects of success are in general an important, although not decisive, consideration. As was stated in Rennie v Kamby Farms (Pty) Ltd, it is advisable, where application for condonation is made; that the application should set forth briefly and succinctly such essential information as may enable the court to assess an applicant's prospects of success. This was not done in the present case: indeed, the application does not contain even a bare averment that the appeal enjoys any prospect of success. It has been pointed out that the court is bound to make an assessment of an applicant's prospects of success as one of the factors relevant to the exercise of its discretion, unless the cumulative effect of the other relevant factors in the case is such as to render the application for condonation obviously unworthy of consideration.’ </w:t>
      </w:r>
    </w:p>
    <w:p w14:paraId="3CD7C0FD" w14:textId="77777777" w:rsidR="00545267" w:rsidRPr="00545267" w:rsidRDefault="00545267" w:rsidP="00336041">
      <w:pPr>
        <w:spacing w:before="144" w:after="288" w:line="360" w:lineRule="auto"/>
        <w:ind w:left="2977"/>
        <w:jc w:val="both"/>
        <w:rPr>
          <w:rFonts w:ascii="Verdana" w:hAnsi="Verdana"/>
          <w:color w:val="242121"/>
          <w:sz w:val="22"/>
          <w:szCs w:val="22"/>
          <w:lang w:val="en-ZA" w:eastAsia="en-GB"/>
        </w:rPr>
      </w:pPr>
      <w:r w:rsidRPr="00545267">
        <w:rPr>
          <w:rFonts w:ascii="Arial" w:hAnsi="Arial" w:cs="Arial"/>
          <w:color w:val="242121"/>
          <w:sz w:val="22"/>
          <w:szCs w:val="22"/>
          <w:lang w:val="en-ZA" w:eastAsia="en-GB"/>
        </w:rPr>
        <w:t>(My emphasis) </w:t>
      </w:r>
    </w:p>
    <w:p w14:paraId="52B259EE" w14:textId="0C8BC7D5" w:rsidR="00545267" w:rsidRPr="00545267" w:rsidRDefault="00545267" w:rsidP="00AD4E12">
      <w:pPr>
        <w:spacing w:before="144" w:after="288" w:line="360" w:lineRule="auto"/>
        <w:ind w:left="1440"/>
        <w:jc w:val="both"/>
        <w:rPr>
          <w:rFonts w:ascii="Verdana" w:hAnsi="Verdana"/>
          <w:color w:val="242121"/>
          <w:sz w:val="22"/>
          <w:szCs w:val="22"/>
          <w:lang w:val="en-ZA" w:eastAsia="en-GB"/>
        </w:rPr>
      </w:pPr>
      <w:r w:rsidRPr="00545267">
        <w:rPr>
          <w:rFonts w:ascii="Arial" w:hAnsi="Arial" w:cs="Arial"/>
          <w:color w:val="242121"/>
          <w:sz w:val="22"/>
          <w:szCs w:val="22"/>
          <w:lang w:val="en-ZA" w:eastAsia="en-GB"/>
        </w:rPr>
        <w:t>[6]        The same principles apply in the context of criminal cases as restated in Mogorosi v State where this Court said: </w:t>
      </w:r>
    </w:p>
    <w:p w14:paraId="3334EC4E" w14:textId="6C04788F" w:rsidR="00545267" w:rsidRDefault="00545267" w:rsidP="004C1B64">
      <w:pPr>
        <w:spacing w:before="144" w:after="288" w:line="276" w:lineRule="auto"/>
        <w:ind w:left="2127"/>
        <w:jc w:val="both"/>
        <w:rPr>
          <w:rFonts w:ascii="Verdana" w:hAnsi="Verdana"/>
          <w:color w:val="242121"/>
          <w:sz w:val="20"/>
          <w:szCs w:val="20"/>
          <w:lang w:val="en-ZA" w:eastAsia="en-GB"/>
        </w:rPr>
      </w:pPr>
      <w:r w:rsidRPr="00545267">
        <w:rPr>
          <w:rFonts w:ascii="Verdana" w:hAnsi="Verdana"/>
          <w:color w:val="242121"/>
          <w:sz w:val="20"/>
          <w:szCs w:val="20"/>
          <w:lang w:val="en-ZA" w:eastAsia="en-GB"/>
        </w:rPr>
        <w:t>‘</w:t>
      </w:r>
      <w:r w:rsidRPr="00545267">
        <w:rPr>
          <w:rFonts w:ascii="Arial" w:hAnsi="Arial" w:cs="Arial"/>
          <w:color w:val="242121"/>
          <w:sz w:val="20"/>
          <w:szCs w:val="20"/>
          <w:lang w:val="en-ZA" w:eastAsia="en-GB"/>
        </w:rPr>
        <w:t>[3]     . . . [G]iven that the appellant was seeking an indulgence he had to show good cause for condonation to be granted. In S v Mantsha  </w:t>
      </w:r>
      <w:hyperlink r:id="rId21" w:tooltip="View LawCiteRecord" w:history="1">
        <w:r w:rsidRPr="00545267">
          <w:rPr>
            <w:rFonts w:ascii="Arial" w:hAnsi="Arial" w:cs="Arial"/>
            <w:b/>
            <w:bCs/>
            <w:color w:val="0B4B0B"/>
            <w:sz w:val="20"/>
            <w:szCs w:val="20"/>
            <w:u w:val="single"/>
            <w:lang w:val="en-ZA" w:eastAsia="en-GB"/>
          </w:rPr>
          <w:t xml:space="preserve">2009 (1) </w:t>
        </w:r>
        <w:r w:rsidRPr="00545267">
          <w:rPr>
            <w:rFonts w:ascii="Arial" w:hAnsi="Arial" w:cs="Arial"/>
            <w:b/>
            <w:bCs/>
            <w:color w:val="0B4B0B"/>
            <w:sz w:val="20"/>
            <w:szCs w:val="20"/>
            <w:u w:val="single"/>
            <w:lang w:val="en-ZA" w:eastAsia="en-GB"/>
          </w:rPr>
          <w:lastRenderedPageBreak/>
          <w:t>SACR 414</w:t>
        </w:r>
      </w:hyperlink>
      <w:r w:rsidRPr="00545267">
        <w:rPr>
          <w:rFonts w:ascii="Arial" w:hAnsi="Arial" w:cs="Arial"/>
          <w:color w:val="242121"/>
          <w:sz w:val="20"/>
          <w:szCs w:val="20"/>
          <w:lang w:val="en-ZA" w:eastAsia="en-GB"/>
        </w:rPr>
        <w:t> (SCA) para 5 Jafta JA stated that “good (or sufficient) cause has two requirements. The first is that the applicant must furnish a satisfactory and acceptable explanation for the delay. Secondly, he or she must show that he or she has reasonable prospects of success on the merits of the appeal’ </w:t>
      </w:r>
    </w:p>
    <w:p w14:paraId="35BE069B" w14:textId="18FDA382" w:rsidR="00337984" w:rsidRPr="00545267" w:rsidRDefault="00337984" w:rsidP="00337984">
      <w:pPr>
        <w:spacing w:before="144" w:after="288" w:line="276" w:lineRule="auto"/>
        <w:ind w:left="2410"/>
        <w:jc w:val="both"/>
        <w:rPr>
          <w:rFonts w:ascii="Verdana" w:hAnsi="Verdana"/>
          <w:color w:val="242121"/>
          <w:sz w:val="20"/>
          <w:szCs w:val="20"/>
          <w:lang w:val="en-ZA" w:eastAsia="en-GB"/>
        </w:rPr>
      </w:pPr>
      <w:r>
        <w:rPr>
          <w:rFonts w:ascii="Verdana" w:hAnsi="Verdana"/>
          <w:color w:val="242121"/>
          <w:sz w:val="20"/>
          <w:szCs w:val="20"/>
          <w:lang w:val="en-ZA" w:eastAsia="en-GB"/>
        </w:rPr>
        <w:t>…</w:t>
      </w:r>
    </w:p>
    <w:p w14:paraId="7120AB14" w14:textId="0EE89CF8" w:rsidR="00545267" w:rsidRPr="00545267" w:rsidRDefault="00545267" w:rsidP="004C1B64">
      <w:pPr>
        <w:spacing w:before="144" w:after="288" w:line="276" w:lineRule="auto"/>
        <w:ind w:left="2127"/>
        <w:jc w:val="both"/>
        <w:rPr>
          <w:rFonts w:ascii="Verdana" w:hAnsi="Verdana"/>
          <w:color w:val="242121"/>
          <w:sz w:val="20"/>
          <w:szCs w:val="20"/>
          <w:lang w:val="en-ZA" w:eastAsia="en-GB"/>
        </w:rPr>
      </w:pPr>
      <w:r w:rsidRPr="00545267">
        <w:rPr>
          <w:rFonts w:ascii="Arial" w:hAnsi="Arial" w:cs="Arial"/>
          <w:i/>
          <w:iCs/>
          <w:color w:val="242121"/>
          <w:sz w:val="20"/>
          <w:szCs w:val="20"/>
          <w:lang w:val="en-ZA" w:eastAsia="en-GB"/>
        </w:rPr>
        <w:t>[8]     A court considering an application for condonation must take into account a range of considerations. Relevant considerations include the extent of non-compliance and the explanation given for it; the prospects of success on the merits; the importance of the case; the respondent's interest in the finality of the judgment; the convenience of the court and the avoidance of unnecessary delay in the administration of justice. (See S v Di Blasi  </w:t>
      </w:r>
      <w:hyperlink r:id="rId22" w:tooltip="View LawCiteRecord" w:history="1">
        <w:r w:rsidRPr="00545267">
          <w:rPr>
            <w:rFonts w:ascii="Arial" w:hAnsi="Arial" w:cs="Arial"/>
            <w:b/>
            <w:bCs/>
            <w:color w:val="0B4B0B"/>
            <w:sz w:val="20"/>
            <w:szCs w:val="20"/>
            <w:u w:val="single"/>
            <w:lang w:val="en-ZA" w:eastAsia="en-GB"/>
          </w:rPr>
          <w:t>1996 (1) SACR 1</w:t>
        </w:r>
      </w:hyperlink>
      <w:r w:rsidRPr="00545267">
        <w:rPr>
          <w:rFonts w:ascii="Arial" w:hAnsi="Arial" w:cs="Arial"/>
          <w:i/>
          <w:iCs/>
          <w:color w:val="242121"/>
          <w:sz w:val="20"/>
          <w:szCs w:val="20"/>
          <w:lang w:val="en-ZA" w:eastAsia="en-GB"/>
        </w:rPr>
        <w:t>(A) at 3g.)’ </w:t>
      </w:r>
    </w:p>
    <w:p w14:paraId="54BF1E00" w14:textId="73AAEA66" w:rsidR="00545267" w:rsidRPr="00545267" w:rsidRDefault="00545267" w:rsidP="00337984">
      <w:pPr>
        <w:spacing w:before="144" w:after="288" w:line="360" w:lineRule="auto"/>
        <w:ind w:left="1843" w:hanging="567"/>
        <w:jc w:val="both"/>
        <w:rPr>
          <w:rFonts w:ascii="Verdana" w:hAnsi="Verdana"/>
          <w:color w:val="242121"/>
          <w:sz w:val="22"/>
          <w:szCs w:val="22"/>
          <w:lang w:val="en-ZA" w:eastAsia="en-GB"/>
        </w:rPr>
      </w:pPr>
      <w:r w:rsidRPr="00545267">
        <w:rPr>
          <w:rFonts w:ascii="Arial" w:hAnsi="Arial" w:cs="Arial"/>
          <w:color w:val="242121"/>
          <w:sz w:val="22"/>
          <w:szCs w:val="22"/>
          <w:lang w:val="en-ZA" w:eastAsia="en-GB"/>
        </w:rPr>
        <w:t xml:space="preserve">[7]     The appellant provided no reasonable explanation for his non-compliance with the rules of this Court. The delay in prosecuting his appeal in this Court alone amounted to one year and one month. In total </w:t>
      </w:r>
      <w:proofErr w:type="spellStart"/>
      <w:r w:rsidRPr="00545267">
        <w:rPr>
          <w:rFonts w:ascii="Arial" w:hAnsi="Arial" w:cs="Arial"/>
          <w:color w:val="242121"/>
          <w:sz w:val="22"/>
          <w:szCs w:val="22"/>
          <w:lang w:val="en-ZA" w:eastAsia="en-GB"/>
        </w:rPr>
        <w:t>ie</w:t>
      </w:r>
      <w:proofErr w:type="spellEnd"/>
      <w:r w:rsidRPr="00545267">
        <w:rPr>
          <w:rFonts w:ascii="Arial" w:hAnsi="Arial" w:cs="Arial"/>
          <w:color w:val="242121"/>
          <w:sz w:val="22"/>
          <w:szCs w:val="22"/>
          <w:lang w:val="en-ZA" w:eastAsia="en-GB"/>
        </w:rPr>
        <w:t xml:space="preserve"> in both the court a quo and this Court it took the appellant eight years and one month to prosecute his appeal. Even if I take into account the fact that he was unrepresented at times during the prosecution of his appeal, that can hardly compensate for the inordinate delay in his application. </w:t>
      </w:r>
    </w:p>
    <w:p w14:paraId="42EEBC2B" w14:textId="77777777" w:rsidR="00545267" w:rsidRPr="00545267" w:rsidRDefault="00545267" w:rsidP="00336041">
      <w:pPr>
        <w:spacing w:before="144" w:after="288" w:line="360" w:lineRule="auto"/>
        <w:ind w:left="1843" w:hanging="567"/>
        <w:jc w:val="both"/>
        <w:rPr>
          <w:rFonts w:ascii="Verdana" w:hAnsi="Verdana"/>
          <w:color w:val="242121"/>
          <w:sz w:val="22"/>
          <w:szCs w:val="22"/>
          <w:lang w:val="en-ZA" w:eastAsia="en-GB"/>
        </w:rPr>
      </w:pPr>
      <w:r w:rsidRPr="00545267">
        <w:rPr>
          <w:rFonts w:ascii="Arial" w:hAnsi="Arial" w:cs="Arial"/>
          <w:color w:val="242121"/>
          <w:sz w:val="22"/>
          <w:szCs w:val="22"/>
          <w:lang w:val="en-ZA" w:eastAsia="en-GB"/>
        </w:rPr>
        <w:t>[8]     As pointed out in Uitenhage Transitional Local Council v South African Revenue Service the requirements for granting an application for condonation are the following: </w:t>
      </w:r>
    </w:p>
    <w:p w14:paraId="3B5098DD" w14:textId="68BCE3F2" w:rsidR="00545267" w:rsidRPr="00545267" w:rsidRDefault="00545267" w:rsidP="004C1B64">
      <w:pPr>
        <w:spacing w:before="144" w:after="288" w:line="276" w:lineRule="auto"/>
        <w:ind w:left="2127"/>
        <w:jc w:val="both"/>
        <w:rPr>
          <w:rFonts w:ascii="Verdana" w:hAnsi="Verdana"/>
          <w:color w:val="242121"/>
          <w:sz w:val="20"/>
          <w:szCs w:val="20"/>
          <w:lang w:val="en-ZA" w:eastAsia="en-GB"/>
        </w:rPr>
      </w:pPr>
      <w:r w:rsidRPr="00545267">
        <w:rPr>
          <w:rFonts w:ascii="Verdana" w:hAnsi="Verdana"/>
          <w:color w:val="242121"/>
          <w:sz w:val="20"/>
          <w:szCs w:val="20"/>
          <w:lang w:val="en-ZA" w:eastAsia="en-GB"/>
        </w:rPr>
        <w:t>‘</w:t>
      </w:r>
      <w:r w:rsidRPr="00545267">
        <w:rPr>
          <w:rFonts w:ascii="Arial" w:hAnsi="Arial" w:cs="Arial"/>
          <w:i/>
          <w:iCs/>
          <w:color w:val="242121"/>
          <w:sz w:val="20"/>
          <w:szCs w:val="20"/>
          <w:lang w:val="en-ZA" w:eastAsia="en-GB"/>
        </w:rPr>
        <w:t>One would have hoped that the many admonitions concerning what is required of an applicant in a condonation application would be trite knowledge among practitioners who are entrusted with the preparation of appeals to this Court: condonation is not to be had merely for the asking: a full, detailed and accurate account of the causes of the delay and its effects must be furnished so as to enable the Court to understand clearly the reasons and to assess the responsibility. It must be obvious that, if the non-compliance is time related then the date, duration and extent of any obstacle on which reliance is placed must be spelled out.’</w:t>
      </w:r>
    </w:p>
    <w:p w14:paraId="48D4A4A2" w14:textId="2CC37B59" w:rsidR="00545267" w:rsidRPr="00545267" w:rsidRDefault="00545267" w:rsidP="00337984">
      <w:pPr>
        <w:spacing w:before="144" w:after="288" w:line="360" w:lineRule="auto"/>
        <w:ind w:left="1985" w:hanging="709"/>
        <w:jc w:val="both"/>
        <w:rPr>
          <w:rFonts w:ascii="Verdana" w:hAnsi="Verdana"/>
          <w:color w:val="242121"/>
          <w:sz w:val="22"/>
          <w:szCs w:val="22"/>
          <w:lang w:val="en-ZA" w:eastAsia="en-GB"/>
        </w:rPr>
      </w:pPr>
      <w:r w:rsidRPr="00545267">
        <w:rPr>
          <w:rFonts w:ascii="Arial" w:hAnsi="Arial" w:cs="Arial"/>
          <w:color w:val="242121"/>
          <w:sz w:val="22"/>
          <w:szCs w:val="22"/>
          <w:lang w:val="en-ZA" w:eastAsia="en-GB"/>
        </w:rPr>
        <w:t xml:space="preserve">[9]      As was the case in Mulaudzi, as is apparent, the founding affidavit is singularly unhelpful in explaining the long delay. The explanation is not in the least satisfactory. Even worse, no explanation was provided </w:t>
      </w:r>
      <w:r w:rsidRPr="00545267">
        <w:rPr>
          <w:rFonts w:ascii="Arial" w:hAnsi="Arial" w:cs="Arial"/>
          <w:color w:val="242121"/>
          <w:sz w:val="22"/>
          <w:szCs w:val="22"/>
          <w:lang w:val="en-ZA" w:eastAsia="en-GB"/>
        </w:rPr>
        <w:lastRenderedPageBreak/>
        <w:t>for the third application for condonation and reinstatement of the appeal. This delay is unreasonable and there is no cogent explanation for it. It remains to consider whether the prospects of success on the merits justify the granting of condonation.”</w:t>
      </w:r>
    </w:p>
    <w:p w14:paraId="20BCACAD" w14:textId="77777777" w:rsidR="00545267" w:rsidRPr="00545267" w:rsidRDefault="00545267" w:rsidP="00545267">
      <w:pPr>
        <w:spacing w:before="144" w:line="480" w:lineRule="atLeast"/>
        <w:ind w:left="720" w:hanging="720"/>
        <w:jc w:val="both"/>
        <w:rPr>
          <w:rFonts w:ascii="Arial" w:hAnsi="Arial" w:cs="Arial"/>
          <w:color w:val="242121"/>
          <w:lang w:eastAsia="en-GB"/>
        </w:rPr>
      </w:pPr>
      <w:r w:rsidRPr="00545267">
        <w:rPr>
          <w:rFonts w:ascii="Arial" w:hAnsi="Arial" w:cs="Arial"/>
          <w:color w:val="242121"/>
          <w:lang w:eastAsia="en-GB"/>
        </w:rPr>
        <w:t>[19]</w:t>
      </w:r>
      <w:r w:rsidRPr="00545267">
        <w:rPr>
          <w:rFonts w:ascii="Arial" w:hAnsi="Arial" w:cs="Arial"/>
          <w:color w:val="242121"/>
          <w:lang w:eastAsia="en-GB"/>
        </w:rPr>
        <w:tab/>
        <w:t xml:space="preserve"> Insofar as the prospects of success are concerned the following is worth noting. This application for leave to appeal is only against the award for damages.</w:t>
      </w:r>
    </w:p>
    <w:p w14:paraId="013929D1" w14:textId="77777777" w:rsidR="00545267" w:rsidRPr="00545267" w:rsidRDefault="00545267" w:rsidP="00545267">
      <w:pPr>
        <w:spacing w:before="144" w:line="480" w:lineRule="atLeast"/>
        <w:jc w:val="both"/>
        <w:rPr>
          <w:rFonts w:ascii="Verdana" w:hAnsi="Verdana"/>
          <w:color w:val="242121"/>
          <w:lang w:val="en-ZA" w:eastAsia="en-GB"/>
        </w:rPr>
      </w:pPr>
    </w:p>
    <w:p w14:paraId="4004855D" w14:textId="58864E89" w:rsidR="00545267" w:rsidRPr="00545267" w:rsidRDefault="00545267" w:rsidP="00337984">
      <w:pPr>
        <w:spacing w:before="144" w:line="480" w:lineRule="atLeast"/>
        <w:ind w:left="720" w:hanging="720"/>
        <w:jc w:val="both"/>
        <w:rPr>
          <w:rFonts w:ascii="Verdana" w:hAnsi="Verdana"/>
          <w:color w:val="242121"/>
          <w:lang w:val="en-ZA" w:eastAsia="en-GB"/>
        </w:rPr>
      </w:pPr>
      <w:r w:rsidRPr="00545267">
        <w:rPr>
          <w:rFonts w:ascii="Arial" w:hAnsi="Arial" w:cs="Arial"/>
          <w:color w:val="000000"/>
          <w:lang w:val="en-ZA" w:eastAsia="en-GB"/>
        </w:rPr>
        <w:t xml:space="preserve">[20] </w:t>
      </w:r>
      <w:r w:rsidRPr="00545267">
        <w:rPr>
          <w:rFonts w:ascii="Arial" w:hAnsi="Arial" w:cs="Arial"/>
          <w:color w:val="000000"/>
          <w:lang w:val="en-ZA" w:eastAsia="en-GB"/>
        </w:rPr>
        <w:tab/>
        <w:t>This being an application for leave to appeal, this Court is guided by the prescripts of Section 17 of </w:t>
      </w:r>
      <w:hyperlink r:id="rId23" w:history="1">
        <w:r w:rsidRPr="00545267">
          <w:rPr>
            <w:rFonts w:ascii="Arial" w:hAnsi="Arial" w:cs="Arial"/>
            <w:b/>
            <w:bCs/>
            <w:color w:val="0B4B0B"/>
            <w:u w:val="single"/>
            <w:lang w:val="en-ZA" w:eastAsia="en-GB"/>
          </w:rPr>
          <w:t>Superior Courts Act 10 of 2013</w:t>
        </w:r>
      </w:hyperlink>
      <w:r w:rsidRPr="00545267">
        <w:rPr>
          <w:rFonts w:ascii="Arial" w:hAnsi="Arial" w:cs="Arial"/>
          <w:color w:val="000000"/>
          <w:lang w:val="en-ZA" w:eastAsia="en-GB"/>
        </w:rPr>
        <w:t>, which provides:</w:t>
      </w:r>
    </w:p>
    <w:p w14:paraId="087D1139" w14:textId="77777777" w:rsidR="00545267" w:rsidRPr="00545267" w:rsidRDefault="00545267" w:rsidP="00337984">
      <w:pPr>
        <w:spacing w:before="144" w:after="288" w:line="360" w:lineRule="auto"/>
        <w:ind w:firstLine="720"/>
        <w:jc w:val="both"/>
        <w:rPr>
          <w:rFonts w:ascii="Verdana" w:hAnsi="Verdana"/>
          <w:color w:val="242121"/>
          <w:sz w:val="22"/>
          <w:szCs w:val="22"/>
          <w:lang w:val="en-ZA" w:eastAsia="en-GB"/>
        </w:rPr>
      </w:pPr>
      <w:r w:rsidRPr="00545267">
        <w:rPr>
          <w:rFonts w:ascii="Verdana" w:hAnsi="Verdana"/>
          <w:color w:val="242121"/>
          <w:sz w:val="22"/>
          <w:szCs w:val="22"/>
          <w:lang w:val="en-ZA" w:eastAsia="en-GB"/>
        </w:rPr>
        <w:t>“</w:t>
      </w:r>
      <w:r w:rsidRPr="00545267">
        <w:rPr>
          <w:rFonts w:ascii="Arial" w:hAnsi="Arial" w:cs="Arial"/>
          <w:i/>
          <w:iCs/>
          <w:color w:val="242121"/>
          <w:sz w:val="22"/>
          <w:szCs w:val="22"/>
          <w:lang w:val="en-ZA" w:eastAsia="en-GB"/>
        </w:rPr>
        <w:t>Leave to appeal      </w:t>
      </w:r>
    </w:p>
    <w:p w14:paraId="410A7DFD" w14:textId="77777777" w:rsidR="00545267" w:rsidRPr="00545267" w:rsidRDefault="00545267" w:rsidP="00337984">
      <w:pPr>
        <w:spacing w:before="144" w:after="288" w:line="360" w:lineRule="auto"/>
        <w:ind w:left="720"/>
        <w:jc w:val="both"/>
        <w:rPr>
          <w:rFonts w:ascii="Verdana" w:hAnsi="Verdana"/>
          <w:color w:val="242121"/>
          <w:sz w:val="22"/>
          <w:szCs w:val="22"/>
          <w:lang w:val="en-ZA" w:eastAsia="en-GB"/>
        </w:rPr>
      </w:pPr>
      <w:r w:rsidRPr="00545267">
        <w:rPr>
          <w:rFonts w:ascii="Arial" w:hAnsi="Arial" w:cs="Arial"/>
          <w:i/>
          <w:iCs/>
          <w:color w:val="242121"/>
          <w:sz w:val="22"/>
          <w:szCs w:val="22"/>
          <w:lang w:val="en-ZA" w:eastAsia="en-GB"/>
        </w:rPr>
        <w:t>17. (1) Leave to appeal may only be given where the judge or judges concerned are of the opinion that—         </w:t>
      </w:r>
    </w:p>
    <w:p w14:paraId="4A903B49" w14:textId="77777777" w:rsidR="00545267" w:rsidRPr="00545267" w:rsidRDefault="00545267" w:rsidP="00337984">
      <w:pPr>
        <w:spacing w:before="144" w:after="288" w:line="360" w:lineRule="auto"/>
        <w:ind w:left="720" w:firstLine="720"/>
        <w:jc w:val="both"/>
        <w:rPr>
          <w:rFonts w:ascii="Verdana" w:hAnsi="Verdana"/>
          <w:color w:val="242121"/>
          <w:sz w:val="22"/>
          <w:szCs w:val="22"/>
          <w:lang w:val="en-ZA" w:eastAsia="en-GB"/>
        </w:rPr>
      </w:pPr>
      <w:r w:rsidRPr="00545267">
        <w:rPr>
          <w:rFonts w:ascii="Arial" w:hAnsi="Arial" w:cs="Arial"/>
          <w:i/>
          <w:iCs/>
          <w:color w:val="242121"/>
          <w:sz w:val="22"/>
          <w:szCs w:val="22"/>
          <w:lang w:val="en-ZA" w:eastAsia="en-GB"/>
        </w:rPr>
        <w:t>(a) (i) the appeal </w:t>
      </w:r>
      <w:r w:rsidRPr="00545267">
        <w:rPr>
          <w:rFonts w:ascii="Arial" w:hAnsi="Arial" w:cs="Arial"/>
          <w:b/>
          <w:bCs/>
          <w:i/>
          <w:iCs/>
          <w:color w:val="242121"/>
          <w:sz w:val="22"/>
          <w:szCs w:val="22"/>
          <w:lang w:val="en-ZA" w:eastAsia="en-GB"/>
        </w:rPr>
        <w:t>would</w:t>
      </w:r>
      <w:r w:rsidRPr="00545267">
        <w:rPr>
          <w:rFonts w:ascii="Arial" w:hAnsi="Arial" w:cs="Arial"/>
          <w:i/>
          <w:iCs/>
          <w:color w:val="242121"/>
          <w:sz w:val="22"/>
          <w:szCs w:val="22"/>
          <w:lang w:val="en-ZA" w:eastAsia="en-GB"/>
        </w:rPr>
        <w:t> have a reasonable prospect of success; or</w:t>
      </w:r>
    </w:p>
    <w:p w14:paraId="1A3F3A56" w14:textId="5AA7432E" w:rsidR="00545267" w:rsidRPr="00545267" w:rsidRDefault="00545267" w:rsidP="00337984">
      <w:pPr>
        <w:spacing w:before="144" w:after="288" w:line="360" w:lineRule="auto"/>
        <w:ind w:left="1440"/>
        <w:jc w:val="both"/>
        <w:rPr>
          <w:rFonts w:ascii="Verdana" w:hAnsi="Verdana"/>
          <w:color w:val="242121"/>
          <w:sz w:val="22"/>
          <w:szCs w:val="22"/>
          <w:lang w:val="en-ZA" w:eastAsia="en-GB"/>
        </w:rPr>
      </w:pPr>
      <w:r w:rsidRPr="00545267">
        <w:rPr>
          <w:rFonts w:ascii="Arial" w:hAnsi="Arial" w:cs="Arial"/>
          <w:i/>
          <w:iCs/>
          <w:color w:val="242121"/>
          <w:sz w:val="22"/>
          <w:szCs w:val="22"/>
          <w:lang w:val="en-ZA" w:eastAsia="en-GB"/>
        </w:rPr>
        <w:t>(ii)  there is some other compelling reason why the appeal should be heard, including conflicting judgments on the matter under consideration;</w:t>
      </w:r>
    </w:p>
    <w:p w14:paraId="06ADAE6B" w14:textId="77777777" w:rsidR="00545267" w:rsidRPr="00545267" w:rsidRDefault="00545267" w:rsidP="00337984">
      <w:pPr>
        <w:spacing w:before="144" w:after="288" w:line="360" w:lineRule="auto"/>
        <w:ind w:left="1440"/>
        <w:jc w:val="both"/>
        <w:rPr>
          <w:rFonts w:ascii="Verdana" w:hAnsi="Verdana"/>
          <w:color w:val="242121"/>
          <w:sz w:val="22"/>
          <w:szCs w:val="22"/>
          <w:lang w:val="en-ZA" w:eastAsia="en-GB"/>
        </w:rPr>
      </w:pPr>
      <w:r w:rsidRPr="00545267">
        <w:rPr>
          <w:rFonts w:ascii="Arial" w:hAnsi="Arial" w:cs="Arial"/>
          <w:i/>
          <w:iCs/>
          <w:color w:val="242121"/>
          <w:sz w:val="22"/>
          <w:szCs w:val="22"/>
          <w:lang w:val="en-ZA" w:eastAsia="en-GB"/>
        </w:rPr>
        <w:t>(b)   the decision sought on appeal does not fall within the ambit of </w:t>
      </w:r>
      <w:hyperlink r:id="rId24" w:anchor="s16" w:history="1">
        <w:r w:rsidRPr="00545267">
          <w:rPr>
            <w:rFonts w:ascii="Arial" w:hAnsi="Arial" w:cs="Arial"/>
            <w:b/>
            <w:bCs/>
            <w:color w:val="0B4B0B"/>
            <w:sz w:val="22"/>
            <w:szCs w:val="22"/>
            <w:u w:val="single"/>
            <w:lang w:val="en-ZA" w:eastAsia="en-GB"/>
          </w:rPr>
          <w:t>section 16(2)(a)</w:t>
        </w:r>
      </w:hyperlink>
      <w:r w:rsidRPr="00545267">
        <w:rPr>
          <w:rFonts w:ascii="Arial" w:hAnsi="Arial" w:cs="Arial"/>
          <w:i/>
          <w:iCs/>
          <w:color w:val="242121"/>
          <w:sz w:val="22"/>
          <w:szCs w:val="22"/>
          <w:lang w:val="en-ZA" w:eastAsia="en-GB"/>
        </w:rPr>
        <w:t>; and        </w:t>
      </w:r>
    </w:p>
    <w:p w14:paraId="5008E2B0" w14:textId="77777777" w:rsidR="00545267" w:rsidRPr="00545267" w:rsidRDefault="00545267" w:rsidP="00337984">
      <w:pPr>
        <w:spacing w:before="144" w:after="288" w:line="360" w:lineRule="auto"/>
        <w:ind w:left="1440"/>
        <w:jc w:val="both"/>
        <w:rPr>
          <w:rFonts w:ascii="Verdana" w:hAnsi="Verdana"/>
          <w:color w:val="242121"/>
          <w:sz w:val="22"/>
          <w:szCs w:val="22"/>
          <w:lang w:val="en-ZA" w:eastAsia="en-GB"/>
        </w:rPr>
      </w:pPr>
      <w:r w:rsidRPr="00545267">
        <w:rPr>
          <w:rFonts w:ascii="Arial" w:hAnsi="Arial" w:cs="Arial"/>
          <w:i/>
          <w:iCs/>
          <w:color w:val="242121"/>
          <w:sz w:val="22"/>
          <w:szCs w:val="22"/>
          <w:lang w:val="en-ZA" w:eastAsia="en-GB"/>
        </w:rPr>
        <w:t>(c)   where the decision sought to be appealed does not dispose of all the issues in the case, the appeal would lead to a just and prompt resolution of the real issues between the parties.”</w:t>
      </w:r>
    </w:p>
    <w:p w14:paraId="7FED4D08" w14:textId="77777777" w:rsidR="00545267" w:rsidRPr="00545267" w:rsidRDefault="00545267" w:rsidP="00545267">
      <w:pPr>
        <w:spacing w:before="144" w:after="288" w:line="480" w:lineRule="atLeast"/>
        <w:ind w:left="2977"/>
        <w:jc w:val="both"/>
        <w:rPr>
          <w:rFonts w:ascii="Verdana" w:hAnsi="Verdana"/>
          <w:color w:val="242121"/>
          <w:lang w:val="en-ZA" w:eastAsia="en-GB"/>
        </w:rPr>
      </w:pPr>
      <w:r w:rsidRPr="00545267">
        <w:rPr>
          <w:rFonts w:ascii="Verdana" w:hAnsi="Verdana"/>
          <w:color w:val="242121"/>
          <w:lang w:val="en-ZA" w:eastAsia="en-GB"/>
        </w:rPr>
        <w:t>                                   </w:t>
      </w:r>
      <w:r w:rsidRPr="00545267">
        <w:rPr>
          <w:rFonts w:ascii="Arial" w:hAnsi="Arial" w:cs="Arial"/>
          <w:i/>
          <w:iCs/>
          <w:color w:val="242121"/>
          <w:lang w:val="en-ZA" w:eastAsia="en-GB"/>
        </w:rPr>
        <w:t>(emphasis added)</w:t>
      </w:r>
    </w:p>
    <w:p w14:paraId="4DB1169B" w14:textId="77777777" w:rsidR="00545267" w:rsidRPr="00545267" w:rsidRDefault="00545267" w:rsidP="00545267">
      <w:pPr>
        <w:spacing w:before="144" w:line="480" w:lineRule="atLeast"/>
        <w:ind w:left="720" w:hanging="720"/>
        <w:jc w:val="both"/>
        <w:rPr>
          <w:rFonts w:ascii="Verdana" w:hAnsi="Verdana"/>
          <w:color w:val="242121"/>
          <w:lang w:val="en-ZA" w:eastAsia="en-GB"/>
        </w:rPr>
      </w:pPr>
      <w:r w:rsidRPr="00545267">
        <w:rPr>
          <w:rFonts w:ascii="Arial" w:hAnsi="Arial" w:cs="Arial"/>
          <w:color w:val="000000"/>
          <w:lang w:val="en-ZA" w:eastAsia="en-GB"/>
        </w:rPr>
        <w:lastRenderedPageBreak/>
        <w:t xml:space="preserve">[21] </w:t>
      </w:r>
      <w:r w:rsidRPr="00545267">
        <w:rPr>
          <w:rFonts w:ascii="Arial" w:hAnsi="Arial" w:cs="Arial"/>
          <w:color w:val="000000"/>
          <w:lang w:val="en-ZA" w:eastAsia="en-GB"/>
        </w:rPr>
        <w:tab/>
        <w:t>Bearing in mind the stringent test that now applies to applications for leave to appeal and having considered all the submissions made on behalf of the applicant, this Court is of the considered view that there are no reasonable prospects of success on appeal. No other court </w:t>
      </w:r>
      <w:r w:rsidRPr="00545267">
        <w:rPr>
          <w:rFonts w:ascii="Arial" w:hAnsi="Arial" w:cs="Arial"/>
          <w:b/>
          <w:bCs/>
          <w:color w:val="000000"/>
          <w:lang w:val="en-ZA" w:eastAsia="en-GB"/>
        </w:rPr>
        <w:t>would</w:t>
      </w:r>
      <w:r w:rsidRPr="00545267">
        <w:rPr>
          <w:rFonts w:ascii="Arial" w:hAnsi="Arial" w:cs="Arial"/>
          <w:color w:val="000000"/>
          <w:lang w:val="en-ZA" w:eastAsia="en-GB"/>
        </w:rPr>
        <w:t> come to a different decision than what this Court had arrived at. There being no prospects of success on appeal, the application for condonation for the late noting and prosecuting of the application for leave to appeal should resultantly also fail.</w:t>
      </w:r>
    </w:p>
    <w:p w14:paraId="1DBD04F6" w14:textId="77777777" w:rsidR="00545267" w:rsidRPr="00545267" w:rsidRDefault="00545267" w:rsidP="00545267">
      <w:pPr>
        <w:spacing w:before="144" w:line="480" w:lineRule="atLeast"/>
        <w:jc w:val="both"/>
        <w:rPr>
          <w:rFonts w:ascii="Verdana" w:hAnsi="Verdana"/>
          <w:color w:val="242121"/>
          <w:lang w:val="en-ZA" w:eastAsia="en-GB"/>
        </w:rPr>
      </w:pPr>
      <w:r w:rsidRPr="00545267">
        <w:rPr>
          <w:rFonts w:ascii="Verdana" w:hAnsi="Verdana"/>
          <w:color w:val="242121"/>
          <w:lang w:val="en-ZA" w:eastAsia="en-GB"/>
        </w:rPr>
        <w:t> </w:t>
      </w:r>
    </w:p>
    <w:p w14:paraId="3D9F0DF4" w14:textId="235AEA06" w:rsidR="00545267" w:rsidRPr="00545267" w:rsidRDefault="00545267" w:rsidP="00545267">
      <w:pPr>
        <w:spacing w:before="144" w:line="480" w:lineRule="atLeast"/>
        <w:jc w:val="both"/>
        <w:rPr>
          <w:rFonts w:ascii="Verdana" w:hAnsi="Verdana"/>
          <w:color w:val="242121"/>
          <w:lang w:eastAsia="en-GB"/>
        </w:rPr>
      </w:pPr>
      <w:r w:rsidRPr="00545267">
        <w:rPr>
          <w:rFonts w:ascii="Arial" w:hAnsi="Arial" w:cs="Arial"/>
          <w:b/>
          <w:bCs/>
          <w:color w:val="242121"/>
          <w:u w:val="single"/>
          <w:lang w:eastAsia="en-GB"/>
        </w:rPr>
        <w:t>Order:</w:t>
      </w:r>
      <w:r w:rsidRPr="00545267">
        <w:rPr>
          <w:rFonts w:ascii="Verdana" w:hAnsi="Verdana"/>
          <w:color w:val="242121"/>
          <w:lang w:val="en-ZA" w:eastAsia="en-GB"/>
        </w:rPr>
        <w:t> </w:t>
      </w:r>
    </w:p>
    <w:p w14:paraId="532C38A6" w14:textId="5F5C4C7A" w:rsidR="00545267" w:rsidRPr="00545267" w:rsidRDefault="00545267" w:rsidP="00545267">
      <w:pPr>
        <w:spacing w:before="144" w:line="480" w:lineRule="atLeast"/>
        <w:jc w:val="both"/>
        <w:rPr>
          <w:rFonts w:ascii="Verdana" w:hAnsi="Verdana"/>
          <w:color w:val="242121"/>
          <w:lang w:eastAsia="en-GB"/>
        </w:rPr>
      </w:pPr>
      <w:r w:rsidRPr="00545267">
        <w:rPr>
          <w:rFonts w:ascii="Arial" w:hAnsi="Arial" w:cs="Arial"/>
          <w:color w:val="242121"/>
          <w:lang w:eastAsia="en-GB"/>
        </w:rPr>
        <w:t>[22]</w:t>
      </w:r>
      <w:r w:rsidR="00337984">
        <w:rPr>
          <w:rFonts w:ascii="Arial" w:hAnsi="Arial" w:cs="Arial"/>
          <w:color w:val="242121"/>
          <w:lang w:eastAsia="en-GB"/>
        </w:rPr>
        <w:tab/>
      </w:r>
      <w:r w:rsidRPr="00545267">
        <w:rPr>
          <w:rFonts w:ascii="Arial" w:hAnsi="Arial" w:cs="Arial"/>
          <w:color w:val="242121"/>
          <w:lang w:eastAsia="en-GB"/>
        </w:rPr>
        <w:t>Consequently, the following order is made:</w:t>
      </w:r>
    </w:p>
    <w:p w14:paraId="6286148A" w14:textId="7F944CC5" w:rsidR="00545267" w:rsidRDefault="00545267" w:rsidP="00545267">
      <w:pPr>
        <w:numPr>
          <w:ilvl w:val="0"/>
          <w:numId w:val="32"/>
        </w:numPr>
        <w:spacing w:before="144" w:line="480" w:lineRule="atLeast"/>
        <w:contextualSpacing/>
        <w:jc w:val="both"/>
        <w:rPr>
          <w:rFonts w:ascii="Arial" w:hAnsi="Arial" w:cs="Arial"/>
          <w:color w:val="242121"/>
          <w:lang w:eastAsia="en-GB"/>
        </w:rPr>
      </w:pPr>
      <w:r w:rsidRPr="00545267">
        <w:rPr>
          <w:rFonts w:ascii="Arial" w:hAnsi="Arial" w:cs="Arial"/>
          <w:color w:val="242121"/>
          <w:lang w:eastAsia="en-GB"/>
        </w:rPr>
        <w:t>The application for condonation for leave to appeal is refused.</w:t>
      </w:r>
    </w:p>
    <w:p w14:paraId="22DB2BDA" w14:textId="0D12E76F" w:rsidR="00B04E5F" w:rsidRPr="00545267" w:rsidRDefault="00B04E5F" w:rsidP="00545267">
      <w:pPr>
        <w:numPr>
          <w:ilvl w:val="0"/>
          <w:numId w:val="32"/>
        </w:numPr>
        <w:spacing w:before="144" w:line="480" w:lineRule="atLeast"/>
        <w:contextualSpacing/>
        <w:jc w:val="both"/>
        <w:rPr>
          <w:rFonts w:ascii="Arial" w:hAnsi="Arial" w:cs="Arial"/>
          <w:color w:val="242121"/>
          <w:lang w:eastAsia="en-GB"/>
        </w:rPr>
      </w:pPr>
      <w:r>
        <w:rPr>
          <w:rFonts w:ascii="Arial" w:hAnsi="Arial" w:cs="Arial"/>
          <w:color w:val="242121"/>
          <w:lang w:eastAsia="en-GB"/>
        </w:rPr>
        <w:t>The applicants to pay the costs of this application.</w:t>
      </w:r>
    </w:p>
    <w:p w14:paraId="2450EDB7" w14:textId="2134C22B" w:rsidR="00545267" w:rsidRPr="00545267" w:rsidRDefault="00545267" w:rsidP="00545267">
      <w:pPr>
        <w:spacing w:before="144" w:line="360" w:lineRule="atLeast"/>
        <w:jc w:val="both"/>
        <w:rPr>
          <w:rFonts w:ascii="Verdana" w:hAnsi="Verdana"/>
          <w:color w:val="242121"/>
          <w:lang w:eastAsia="en-GB"/>
        </w:rPr>
      </w:pPr>
    </w:p>
    <w:p w14:paraId="4FBC4A44" w14:textId="77777777" w:rsidR="00545267" w:rsidRPr="00545267" w:rsidRDefault="00545267" w:rsidP="00545267">
      <w:pPr>
        <w:spacing w:before="144" w:line="360" w:lineRule="atLeast"/>
        <w:jc w:val="both"/>
        <w:rPr>
          <w:rFonts w:ascii="Verdana" w:hAnsi="Verdana"/>
          <w:color w:val="242121"/>
          <w:lang w:val="en-ZA" w:eastAsia="en-GB"/>
        </w:rPr>
      </w:pPr>
    </w:p>
    <w:p w14:paraId="78ECBF4B" w14:textId="4B7F56E5" w:rsidR="00545267" w:rsidRPr="002E7292" w:rsidRDefault="00016AD3" w:rsidP="002E7292">
      <w:pPr>
        <w:jc w:val="both"/>
        <w:rPr>
          <w:rFonts w:ascii="Verdana" w:hAnsi="Verdana"/>
          <w:lang w:val="en-ZA" w:eastAsia="en-GB"/>
        </w:rPr>
      </w:pPr>
      <w:r>
        <w:rPr>
          <w:noProof/>
          <w:lang w:val="en-ZA" w:eastAsia="en-GB"/>
          <w14:ligatures w14:val="standardContextual"/>
        </w:rPr>
        <w:pict w14:anchorId="79058933">
          <v:rect id="_x0000_i1025" alt="" style="width:430.1pt;height:.05pt;mso-width-percent:0;mso-height-percent:0;mso-width-percent:0;mso-height-percent:0" o:hrpct="953" o:hrstd="t" o:hrnoshade="t" o:hr="t" fillcolor="#242121" stroked="f"/>
        </w:pict>
      </w:r>
    </w:p>
    <w:p w14:paraId="40B5D825" w14:textId="6A5C7753" w:rsidR="00596A96" w:rsidRPr="00596A96" w:rsidRDefault="00596A96" w:rsidP="00354A90">
      <w:pPr>
        <w:spacing w:before="100" w:beforeAutospacing="1" w:after="100" w:afterAutospacing="1"/>
        <w:jc w:val="right"/>
        <w:rPr>
          <w:rFonts w:ascii="Arial" w:hAnsi="Arial" w:cs="Arial"/>
          <w:color w:val="000000"/>
          <w:lang w:val="en-ZA" w:eastAsia="en-GB"/>
        </w:rPr>
      </w:pPr>
      <w:r w:rsidRPr="00596A96">
        <w:rPr>
          <w:rFonts w:ascii="Arial" w:hAnsi="Arial" w:cs="Arial"/>
          <w:color w:val="000000"/>
          <w:lang w:val="en-ZA" w:eastAsia="en-GB"/>
        </w:rPr>
        <w:t>  </w:t>
      </w:r>
      <w:r w:rsidR="00354A90">
        <w:rPr>
          <w:rFonts w:ascii="Arial" w:hAnsi="Arial" w:cs="Arial"/>
          <w:color w:val="000000"/>
          <w:lang w:val="en-ZA" w:eastAsia="en-GB"/>
        </w:rPr>
        <w:t>__________________________</w:t>
      </w:r>
    </w:p>
    <w:p w14:paraId="1B31DB1C" w14:textId="71F531BD" w:rsidR="00596A96" w:rsidRPr="00596A96" w:rsidRDefault="00596A96" w:rsidP="00354A90">
      <w:pPr>
        <w:spacing w:before="100" w:beforeAutospacing="1" w:after="100" w:afterAutospacing="1"/>
        <w:ind w:left="6480"/>
        <w:jc w:val="both"/>
        <w:rPr>
          <w:rFonts w:ascii="Arial" w:hAnsi="Arial" w:cs="Arial"/>
          <w:color w:val="000000"/>
          <w:lang w:eastAsia="en-GB"/>
        </w:rPr>
      </w:pPr>
      <w:r w:rsidRPr="00596A96">
        <w:rPr>
          <w:rFonts w:ascii="Arial" w:hAnsi="Arial" w:cs="Arial"/>
          <w:b/>
          <w:bCs/>
          <w:color w:val="000000"/>
          <w:lang w:eastAsia="en-GB"/>
        </w:rPr>
        <w:t xml:space="preserve"> </w:t>
      </w:r>
      <w:r w:rsidR="00354A90">
        <w:rPr>
          <w:rFonts w:ascii="Arial" w:hAnsi="Arial" w:cs="Arial"/>
          <w:b/>
          <w:bCs/>
          <w:color w:val="000000"/>
          <w:lang w:eastAsia="en-GB"/>
        </w:rPr>
        <w:t xml:space="preserve">     </w:t>
      </w:r>
      <w:r w:rsidRPr="00596A96">
        <w:rPr>
          <w:rFonts w:ascii="Arial" w:hAnsi="Arial" w:cs="Arial"/>
          <w:b/>
          <w:bCs/>
          <w:color w:val="000000"/>
          <w:lang w:eastAsia="en-GB"/>
        </w:rPr>
        <w:t xml:space="preserve">  L.J MBOWENI</w:t>
      </w:r>
    </w:p>
    <w:p w14:paraId="62AF8894" w14:textId="6451C077" w:rsidR="00596A96" w:rsidRDefault="00596A96" w:rsidP="00354A90">
      <w:pPr>
        <w:spacing w:before="100" w:beforeAutospacing="1" w:after="100" w:afterAutospacing="1"/>
        <w:ind w:left="5040"/>
        <w:jc w:val="both"/>
        <w:rPr>
          <w:rFonts w:ascii="Arial" w:hAnsi="Arial" w:cs="Arial"/>
          <w:b/>
          <w:bCs/>
          <w:color w:val="000000"/>
          <w:lang w:eastAsia="en-GB"/>
        </w:rPr>
      </w:pPr>
      <w:r w:rsidRPr="00596A96">
        <w:rPr>
          <w:rFonts w:ascii="Arial" w:hAnsi="Arial" w:cs="Arial"/>
          <w:b/>
          <w:bCs/>
          <w:color w:val="000000"/>
          <w:lang w:eastAsia="en-GB"/>
        </w:rPr>
        <w:t xml:space="preserve"> Acting </w:t>
      </w:r>
      <w:r w:rsidR="00B04E5F">
        <w:rPr>
          <w:rFonts w:ascii="Arial" w:hAnsi="Arial" w:cs="Arial"/>
          <w:b/>
          <w:bCs/>
          <w:color w:val="000000"/>
          <w:lang w:eastAsia="en-GB"/>
        </w:rPr>
        <w:t>J</w:t>
      </w:r>
      <w:r w:rsidRPr="00596A96">
        <w:rPr>
          <w:rFonts w:ascii="Arial" w:hAnsi="Arial" w:cs="Arial"/>
          <w:b/>
          <w:bCs/>
          <w:color w:val="000000"/>
          <w:lang w:eastAsia="en-GB"/>
        </w:rPr>
        <w:t>udge of the High Court</w:t>
      </w:r>
      <w:r w:rsidR="00354A90">
        <w:rPr>
          <w:rFonts w:ascii="Arial" w:hAnsi="Arial" w:cs="Arial"/>
          <w:b/>
          <w:bCs/>
          <w:color w:val="000000"/>
          <w:lang w:eastAsia="en-GB"/>
        </w:rPr>
        <w:t>,</w:t>
      </w:r>
    </w:p>
    <w:p w14:paraId="390991EB" w14:textId="35E00C80" w:rsidR="00354A90" w:rsidRDefault="00354A90" w:rsidP="00354A90">
      <w:pPr>
        <w:spacing w:before="100" w:beforeAutospacing="1" w:after="100" w:afterAutospacing="1"/>
        <w:ind w:left="5040"/>
        <w:jc w:val="both"/>
        <w:rPr>
          <w:rFonts w:ascii="Arial" w:hAnsi="Arial" w:cs="Arial"/>
          <w:b/>
          <w:bCs/>
          <w:color w:val="000000"/>
          <w:lang w:eastAsia="en-GB"/>
        </w:rPr>
      </w:pPr>
      <w:r>
        <w:rPr>
          <w:rFonts w:ascii="Arial" w:hAnsi="Arial" w:cs="Arial"/>
          <w:b/>
          <w:bCs/>
          <w:color w:val="000000"/>
          <w:lang w:eastAsia="en-GB"/>
        </w:rPr>
        <w:t xml:space="preserve">         Gauteng Division, Pretoria</w:t>
      </w:r>
    </w:p>
    <w:p w14:paraId="10BB054A" w14:textId="77777777" w:rsidR="00354A90" w:rsidRDefault="00354A90" w:rsidP="00354A90">
      <w:pPr>
        <w:spacing w:before="100" w:beforeAutospacing="1" w:after="100" w:afterAutospacing="1"/>
        <w:ind w:left="5040"/>
        <w:jc w:val="both"/>
        <w:rPr>
          <w:rFonts w:ascii="Arial" w:hAnsi="Arial" w:cs="Arial"/>
          <w:b/>
          <w:bCs/>
          <w:color w:val="000000"/>
          <w:lang w:eastAsia="en-GB"/>
        </w:rPr>
      </w:pPr>
    </w:p>
    <w:p w14:paraId="456560D9" w14:textId="77777777" w:rsidR="005934DA" w:rsidRDefault="005934DA" w:rsidP="00354A90">
      <w:pPr>
        <w:spacing w:before="100" w:beforeAutospacing="1" w:after="100" w:afterAutospacing="1"/>
        <w:ind w:left="5040"/>
        <w:jc w:val="both"/>
        <w:rPr>
          <w:rFonts w:ascii="Arial" w:hAnsi="Arial" w:cs="Arial"/>
          <w:b/>
          <w:bCs/>
          <w:color w:val="000000"/>
          <w:lang w:eastAsia="en-GB"/>
        </w:rPr>
      </w:pPr>
    </w:p>
    <w:p w14:paraId="2B953814" w14:textId="77777777" w:rsidR="005934DA" w:rsidRDefault="005934DA" w:rsidP="00354A90">
      <w:pPr>
        <w:spacing w:before="100" w:beforeAutospacing="1" w:after="100" w:afterAutospacing="1"/>
        <w:ind w:left="5040"/>
        <w:jc w:val="both"/>
        <w:rPr>
          <w:rFonts w:ascii="Arial" w:hAnsi="Arial" w:cs="Arial"/>
          <w:b/>
          <w:bCs/>
          <w:color w:val="000000"/>
          <w:lang w:eastAsia="en-GB"/>
        </w:rPr>
      </w:pPr>
    </w:p>
    <w:p w14:paraId="74308E7D" w14:textId="77777777" w:rsidR="005934DA" w:rsidRDefault="005934DA" w:rsidP="00354A90">
      <w:pPr>
        <w:spacing w:before="100" w:beforeAutospacing="1" w:after="100" w:afterAutospacing="1"/>
        <w:ind w:left="5040"/>
        <w:jc w:val="both"/>
        <w:rPr>
          <w:rFonts w:ascii="Arial" w:hAnsi="Arial" w:cs="Arial"/>
          <w:b/>
          <w:bCs/>
          <w:color w:val="000000"/>
          <w:lang w:eastAsia="en-GB"/>
        </w:rPr>
      </w:pPr>
    </w:p>
    <w:p w14:paraId="290EF8AF" w14:textId="77777777" w:rsidR="005934DA" w:rsidRDefault="005934DA" w:rsidP="00F65145">
      <w:pPr>
        <w:spacing w:before="100" w:beforeAutospacing="1" w:after="100" w:afterAutospacing="1"/>
        <w:jc w:val="both"/>
        <w:rPr>
          <w:rFonts w:ascii="Arial" w:hAnsi="Arial" w:cs="Arial"/>
          <w:b/>
          <w:bCs/>
          <w:color w:val="000000"/>
          <w:lang w:eastAsia="en-GB"/>
        </w:rPr>
      </w:pPr>
    </w:p>
    <w:p w14:paraId="778797A7" w14:textId="683854CA" w:rsidR="00354A90" w:rsidRDefault="00354A90" w:rsidP="000D0D65">
      <w:pPr>
        <w:spacing w:before="100" w:beforeAutospacing="1" w:after="100" w:afterAutospacing="1"/>
        <w:rPr>
          <w:rFonts w:ascii="Arial" w:hAnsi="Arial" w:cs="Arial"/>
          <w:b/>
          <w:bCs/>
          <w:color w:val="000000"/>
          <w:lang w:eastAsia="en-GB"/>
        </w:rPr>
      </w:pPr>
      <w:r>
        <w:rPr>
          <w:rFonts w:ascii="Arial" w:hAnsi="Arial" w:cs="Arial"/>
          <w:b/>
          <w:bCs/>
          <w:color w:val="000000"/>
          <w:lang w:eastAsia="en-GB"/>
        </w:rPr>
        <w:lastRenderedPageBreak/>
        <w:t>Date of Hearing:</w:t>
      </w:r>
      <w:r>
        <w:rPr>
          <w:rFonts w:ascii="Arial" w:hAnsi="Arial" w:cs="Arial"/>
          <w:b/>
          <w:bCs/>
          <w:color w:val="000000"/>
          <w:lang w:eastAsia="en-GB"/>
        </w:rPr>
        <w:tab/>
      </w:r>
      <w:r>
        <w:rPr>
          <w:rFonts w:ascii="Arial" w:hAnsi="Arial" w:cs="Arial"/>
          <w:b/>
          <w:bCs/>
          <w:color w:val="000000"/>
          <w:lang w:eastAsia="en-GB"/>
        </w:rPr>
        <w:tab/>
      </w:r>
      <w:r>
        <w:rPr>
          <w:rFonts w:ascii="Arial" w:hAnsi="Arial" w:cs="Arial"/>
          <w:b/>
          <w:bCs/>
          <w:color w:val="000000"/>
          <w:lang w:eastAsia="en-GB"/>
        </w:rPr>
        <w:tab/>
      </w:r>
      <w:r>
        <w:rPr>
          <w:rFonts w:ascii="Arial" w:hAnsi="Arial" w:cs="Arial"/>
          <w:b/>
          <w:bCs/>
          <w:color w:val="000000"/>
          <w:lang w:eastAsia="en-GB"/>
        </w:rPr>
        <w:tab/>
      </w:r>
      <w:r>
        <w:rPr>
          <w:rFonts w:ascii="Arial" w:hAnsi="Arial" w:cs="Arial"/>
          <w:b/>
          <w:bCs/>
          <w:color w:val="000000"/>
          <w:lang w:eastAsia="en-GB"/>
        </w:rPr>
        <w:tab/>
      </w:r>
      <w:r w:rsidR="00BE780F">
        <w:rPr>
          <w:rFonts w:ascii="Arial" w:hAnsi="Arial" w:cs="Arial"/>
          <w:b/>
          <w:bCs/>
          <w:color w:val="000000"/>
          <w:lang w:eastAsia="en-GB"/>
        </w:rPr>
        <w:t>0</w:t>
      </w:r>
      <w:r w:rsidR="002E7292">
        <w:rPr>
          <w:rFonts w:ascii="Arial" w:hAnsi="Arial" w:cs="Arial"/>
          <w:b/>
          <w:bCs/>
          <w:color w:val="000000"/>
          <w:lang w:eastAsia="en-GB"/>
        </w:rPr>
        <w:t>5</w:t>
      </w:r>
      <w:r w:rsidR="00BE780F">
        <w:rPr>
          <w:rFonts w:ascii="Arial" w:hAnsi="Arial" w:cs="Arial"/>
          <w:b/>
          <w:bCs/>
          <w:color w:val="000000"/>
          <w:lang w:eastAsia="en-GB"/>
        </w:rPr>
        <w:t xml:space="preserve"> February 2024</w:t>
      </w:r>
    </w:p>
    <w:p w14:paraId="4829A822" w14:textId="16BC0816" w:rsidR="00BE780F" w:rsidRDefault="00BE780F" w:rsidP="00354A90">
      <w:pPr>
        <w:spacing w:before="100" w:beforeAutospacing="1" w:after="100" w:afterAutospacing="1"/>
        <w:rPr>
          <w:rFonts w:ascii="Arial" w:hAnsi="Arial" w:cs="Arial"/>
          <w:b/>
          <w:bCs/>
          <w:color w:val="000000"/>
          <w:lang w:eastAsia="en-GB"/>
        </w:rPr>
      </w:pPr>
      <w:r>
        <w:rPr>
          <w:rFonts w:ascii="Arial" w:hAnsi="Arial" w:cs="Arial"/>
          <w:b/>
          <w:bCs/>
          <w:color w:val="000000"/>
          <w:lang w:eastAsia="en-GB"/>
        </w:rPr>
        <w:t>Date of Judgment:</w:t>
      </w:r>
      <w:r>
        <w:rPr>
          <w:rFonts w:ascii="Arial" w:hAnsi="Arial" w:cs="Arial"/>
          <w:b/>
          <w:bCs/>
          <w:color w:val="000000"/>
          <w:lang w:eastAsia="en-GB"/>
        </w:rPr>
        <w:tab/>
      </w:r>
      <w:r>
        <w:rPr>
          <w:rFonts w:ascii="Arial" w:hAnsi="Arial" w:cs="Arial"/>
          <w:b/>
          <w:bCs/>
          <w:color w:val="000000"/>
          <w:lang w:eastAsia="en-GB"/>
        </w:rPr>
        <w:tab/>
      </w:r>
      <w:r>
        <w:rPr>
          <w:rFonts w:ascii="Arial" w:hAnsi="Arial" w:cs="Arial"/>
          <w:b/>
          <w:bCs/>
          <w:color w:val="000000"/>
          <w:lang w:eastAsia="en-GB"/>
        </w:rPr>
        <w:tab/>
      </w:r>
      <w:r>
        <w:rPr>
          <w:rFonts w:ascii="Arial" w:hAnsi="Arial" w:cs="Arial"/>
          <w:b/>
          <w:bCs/>
          <w:color w:val="000000"/>
          <w:lang w:eastAsia="en-GB"/>
        </w:rPr>
        <w:tab/>
      </w:r>
      <w:r>
        <w:rPr>
          <w:rFonts w:ascii="Arial" w:hAnsi="Arial" w:cs="Arial"/>
          <w:b/>
          <w:bCs/>
          <w:color w:val="000000"/>
          <w:lang w:eastAsia="en-GB"/>
        </w:rPr>
        <w:tab/>
      </w:r>
      <w:r w:rsidR="002E7292">
        <w:rPr>
          <w:rFonts w:ascii="Arial" w:hAnsi="Arial" w:cs="Arial"/>
          <w:b/>
          <w:bCs/>
          <w:color w:val="000000"/>
          <w:lang w:eastAsia="en-GB"/>
        </w:rPr>
        <w:t>20</w:t>
      </w:r>
      <w:r>
        <w:rPr>
          <w:rFonts w:ascii="Arial" w:hAnsi="Arial" w:cs="Arial"/>
          <w:b/>
          <w:bCs/>
          <w:color w:val="000000"/>
          <w:lang w:eastAsia="en-GB"/>
        </w:rPr>
        <w:t xml:space="preserve"> February 2024</w:t>
      </w:r>
    </w:p>
    <w:p w14:paraId="13B55BFD" w14:textId="77777777" w:rsidR="005934DA" w:rsidRPr="00596A96" w:rsidRDefault="005934DA" w:rsidP="00354A90">
      <w:pPr>
        <w:spacing w:before="100" w:beforeAutospacing="1" w:after="100" w:afterAutospacing="1"/>
        <w:rPr>
          <w:rFonts w:ascii="Arial" w:hAnsi="Arial" w:cs="Arial"/>
          <w:b/>
          <w:bCs/>
          <w:color w:val="000000"/>
          <w:lang w:eastAsia="en-GB"/>
        </w:rPr>
      </w:pPr>
    </w:p>
    <w:p w14:paraId="03177394" w14:textId="77777777" w:rsidR="00596A96" w:rsidRPr="00596A96" w:rsidRDefault="00596A96" w:rsidP="00214E58">
      <w:pPr>
        <w:spacing w:before="100" w:beforeAutospacing="1" w:after="100" w:afterAutospacing="1" w:line="360" w:lineRule="auto"/>
        <w:jc w:val="both"/>
        <w:rPr>
          <w:rFonts w:ascii="Arial" w:hAnsi="Arial" w:cs="Arial"/>
          <w:color w:val="000000"/>
          <w:lang w:eastAsia="en-GB"/>
        </w:rPr>
      </w:pPr>
      <w:r w:rsidRPr="00596A96">
        <w:rPr>
          <w:rFonts w:ascii="Arial" w:hAnsi="Arial" w:cs="Arial"/>
          <w:b/>
          <w:bCs/>
          <w:color w:val="000000"/>
          <w:u w:val="single"/>
          <w:lang w:eastAsia="en-GB"/>
        </w:rPr>
        <w:t>Appearances:</w:t>
      </w:r>
    </w:p>
    <w:p w14:paraId="6DF5E677" w14:textId="72347AE8" w:rsidR="00546BAB" w:rsidRDefault="00596A96" w:rsidP="007C226D">
      <w:pPr>
        <w:spacing w:before="100" w:beforeAutospacing="1" w:after="100" w:afterAutospacing="1" w:line="360" w:lineRule="auto"/>
        <w:jc w:val="both"/>
        <w:rPr>
          <w:rFonts w:ascii="Arial" w:hAnsi="Arial" w:cs="Arial"/>
          <w:b/>
          <w:bCs/>
          <w:color w:val="000000"/>
          <w:lang w:eastAsia="en-GB"/>
        </w:rPr>
      </w:pPr>
      <w:r w:rsidRPr="00596A96">
        <w:rPr>
          <w:rFonts w:ascii="Arial" w:hAnsi="Arial" w:cs="Arial"/>
          <w:b/>
          <w:bCs/>
          <w:color w:val="000000"/>
          <w:lang w:eastAsia="en-GB"/>
        </w:rPr>
        <w:t xml:space="preserve">For the applicant: </w:t>
      </w:r>
      <w:r w:rsidR="00A868F0">
        <w:rPr>
          <w:rFonts w:ascii="Arial" w:hAnsi="Arial" w:cs="Arial"/>
          <w:b/>
          <w:bCs/>
          <w:color w:val="000000"/>
          <w:lang w:eastAsia="en-GB"/>
        </w:rPr>
        <w:tab/>
      </w:r>
      <w:r w:rsidR="00A868F0">
        <w:rPr>
          <w:rFonts w:ascii="Arial" w:hAnsi="Arial" w:cs="Arial"/>
          <w:b/>
          <w:bCs/>
          <w:color w:val="000000"/>
          <w:lang w:eastAsia="en-GB"/>
        </w:rPr>
        <w:tab/>
      </w:r>
      <w:r w:rsidR="007C226D">
        <w:rPr>
          <w:rFonts w:ascii="Arial" w:hAnsi="Arial" w:cs="Arial"/>
          <w:b/>
          <w:bCs/>
          <w:color w:val="000000"/>
          <w:lang w:eastAsia="en-GB"/>
        </w:rPr>
        <w:tab/>
      </w:r>
      <w:r w:rsidR="007C226D">
        <w:rPr>
          <w:rFonts w:ascii="Arial" w:hAnsi="Arial" w:cs="Arial"/>
          <w:b/>
          <w:bCs/>
          <w:color w:val="000000"/>
          <w:lang w:eastAsia="en-GB"/>
        </w:rPr>
        <w:tab/>
      </w:r>
      <w:r w:rsidR="007C226D">
        <w:rPr>
          <w:rFonts w:ascii="Arial" w:hAnsi="Arial" w:cs="Arial"/>
          <w:b/>
          <w:bCs/>
          <w:color w:val="000000"/>
          <w:lang w:eastAsia="en-GB"/>
        </w:rPr>
        <w:tab/>
      </w:r>
      <w:r w:rsidR="007C226D" w:rsidRPr="005934DA">
        <w:rPr>
          <w:rFonts w:ascii="Arial" w:hAnsi="Arial" w:cs="Arial"/>
          <w:color w:val="000000"/>
          <w:lang w:eastAsia="en-GB"/>
        </w:rPr>
        <w:t xml:space="preserve">Adv M </w:t>
      </w:r>
      <w:proofErr w:type="spellStart"/>
      <w:r w:rsidR="007C226D" w:rsidRPr="005934DA">
        <w:rPr>
          <w:rFonts w:ascii="Arial" w:hAnsi="Arial" w:cs="Arial"/>
          <w:color w:val="000000"/>
          <w:lang w:eastAsia="en-GB"/>
        </w:rPr>
        <w:t>Vimbi</w:t>
      </w:r>
      <w:proofErr w:type="spellEnd"/>
    </w:p>
    <w:p w14:paraId="7E3CAE61" w14:textId="1AB512F3" w:rsidR="007C226D" w:rsidRPr="005934DA" w:rsidRDefault="007C226D" w:rsidP="007C226D">
      <w:pPr>
        <w:spacing w:before="100" w:beforeAutospacing="1" w:after="100" w:afterAutospacing="1" w:line="360" w:lineRule="auto"/>
        <w:jc w:val="both"/>
        <w:rPr>
          <w:rFonts w:ascii="Arial" w:hAnsi="Arial" w:cs="Arial"/>
          <w:color w:val="000000"/>
          <w:lang w:eastAsia="en-GB"/>
        </w:rPr>
      </w:pPr>
      <w:r>
        <w:rPr>
          <w:rFonts w:ascii="Arial" w:hAnsi="Arial" w:cs="Arial"/>
          <w:b/>
          <w:bCs/>
          <w:color w:val="000000"/>
          <w:lang w:eastAsia="en-GB"/>
        </w:rPr>
        <w:tab/>
      </w:r>
      <w:r>
        <w:rPr>
          <w:rFonts w:ascii="Arial" w:hAnsi="Arial" w:cs="Arial"/>
          <w:b/>
          <w:bCs/>
          <w:color w:val="000000"/>
          <w:lang w:eastAsia="en-GB"/>
        </w:rPr>
        <w:tab/>
      </w:r>
      <w:r>
        <w:rPr>
          <w:rFonts w:ascii="Arial" w:hAnsi="Arial" w:cs="Arial"/>
          <w:b/>
          <w:bCs/>
          <w:color w:val="000000"/>
          <w:lang w:eastAsia="en-GB"/>
        </w:rPr>
        <w:tab/>
      </w:r>
      <w:r>
        <w:rPr>
          <w:rFonts w:ascii="Arial" w:hAnsi="Arial" w:cs="Arial"/>
          <w:b/>
          <w:bCs/>
          <w:color w:val="000000"/>
          <w:lang w:eastAsia="en-GB"/>
        </w:rPr>
        <w:tab/>
      </w:r>
      <w:r>
        <w:rPr>
          <w:rFonts w:ascii="Arial" w:hAnsi="Arial" w:cs="Arial"/>
          <w:b/>
          <w:bCs/>
          <w:color w:val="000000"/>
          <w:lang w:eastAsia="en-GB"/>
        </w:rPr>
        <w:tab/>
      </w:r>
      <w:r>
        <w:rPr>
          <w:rFonts w:ascii="Arial" w:hAnsi="Arial" w:cs="Arial"/>
          <w:b/>
          <w:bCs/>
          <w:color w:val="000000"/>
          <w:lang w:eastAsia="en-GB"/>
        </w:rPr>
        <w:tab/>
      </w:r>
      <w:r>
        <w:rPr>
          <w:rFonts w:ascii="Arial" w:hAnsi="Arial" w:cs="Arial"/>
          <w:b/>
          <w:bCs/>
          <w:color w:val="000000"/>
          <w:lang w:eastAsia="en-GB"/>
        </w:rPr>
        <w:tab/>
      </w:r>
      <w:r w:rsidRPr="005934DA">
        <w:rPr>
          <w:rFonts w:ascii="Arial" w:hAnsi="Arial" w:cs="Arial"/>
          <w:color w:val="000000"/>
          <w:lang w:eastAsia="en-GB"/>
        </w:rPr>
        <w:t>Instructed by the State Attorney</w:t>
      </w:r>
    </w:p>
    <w:p w14:paraId="647F3C87" w14:textId="1821CF9A" w:rsidR="000E3EB9" w:rsidRPr="005934DA" w:rsidRDefault="000E3EB9" w:rsidP="007C226D">
      <w:pPr>
        <w:spacing w:before="100" w:beforeAutospacing="1" w:after="100" w:afterAutospacing="1" w:line="360" w:lineRule="auto"/>
        <w:jc w:val="both"/>
        <w:rPr>
          <w:rFonts w:ascii="Arial" w:hAnsi="Arial" w:cs="Arial"/>
          <w:color w:val="000000"/>
          <w:lang w:eastAsia="en-GB"/>
        </w:rPr>
      </w:pPr>
      <w:r w:rsidRPr="005934DA">
        <w:rPr>
          <w:rFonts w:ascii="Arial" w:hAnsi="Arial" w:cs="Arial"/>
          <w:color w:val="000000"/>
          <w:lang w:eastAsia="en-GB"/>
        </w:rPr>
        <w:tab/>
      </w:r>
      <w:r w:rsidRPr="005934DA">
        <w:rPr>
          <w:rFonts w:ascii="Arial" w:hAnsi="Arial" w:cs="Arial"/>
          <w:color w:val="000000"/>
          <w:lang w:eastAsia="en-GB"/>
        </w:rPr>
        <w:tab/>
      </w:r>
      <w:r w:rsidRPr="005934DA">
        <w:rPr>
          <w:rFonts w:ascii="Arial" w:hAnsi="Arial" w:cs="Arial"/>
          <w:color w:val="000000"/>
          <w:lang w:eastAsia="en-GB"/>
        </w:rPr>
        <w:tab/>
      </w:r>
      <w:r w:rsidRPr="005934DA">
        <w:rPr>
          <w:rFonts w:ascii="Arial" w:hAnsi="Arial" w:cs="Arial"/>
          <w:color w:val="000000"/>
          <w:lang w:eastAsia="en-GB"/>
        </w:rPr>
        <w:tab/>
      </w:r>
      <w:r w:rsidRPr="005934DA">
        <w:rPr>
          <w:rFonts w:ascii="Arial" w:hAnsi="Arial" w:cs="Arial"/>
          <w:color w:val="000000"/>
          <w:lang w:eastAsia="en-GB"/>
        </w:rPr>
        <w:tab/>
      </w:r>
      <w:r w:rsidRPr="005934DA">
        <w:rPr>
          <w:rFonts w:ascii="Arial" w:hAnsi="Arial" w:cs="Arial"/>
          <w:color w:val="000000"/>
          <w:lang w:eastAsia="en-GB"/>
        </w:rPr>
        <w:tab/>
      </w:r>
      <w:r w:rsidRPr="005934DA">
        <w:rPr>
          <w:rFonts w:ascii="Arial" w:hAnsi="Arial" w:cs="Arial"/>
          <w:color w:val="000000"/>
          <w:lang w:eastAsia="en-GB"/>
        </w:rPr>
        <w:tab/>
      </w:r>
      <w:r w:rsidR="005934DA" w:rsidRPr="005934DA">
        <w:rPr>
          <w:rFonts w:ascii="Arial" w:hAnsi="Arial" w:cs="Arial"/>
          <w:color w:val="000000"/>
          <w:lang w:eastAsia="en-GB"/>
        </w:rPr>
        <w:t>Salu Building</w:t>
      </w:r>
    </w:p>
    <w:p w14:paraId="1FDF7497" w14:textId="03BD081D" w:rsidR="005934DA" w:rsidRPr="005934DA" w:rsidRDefault="005934DA" w:rsidP="007C226D">
      <w:pPr>
        <w:spacing w:before="100" w:beforeAutospacing="1" w:after="100" w:afterAutospacing="1" w:line="360" w:lineRule="auto"/>
        <w:jc w:val="both"/>
        <w:rPr>
          <w:rFonts w:ascii="Arial" w:hAnsi="Arial" w:cs="Arial"/>
          <w:color w:val="000000"/>
          <w:lang w:eastAsia="en-GB"/>
        </w:rPr>
      </w:pPr>
      <w:r w:rsidRPr="005934DA">
        <w:rPr>
          <w:rFonts w:ascii="Arial" w:hAnsi="Arial" w:cs="Arial"/>
          <w:color w:val="000000"/>
          <w:lang w:eastAsia="en-GB"/>
        </w:rPr>
        <w:tab/>
      </w:r>
      <w:r w:rsidRPr="005934DA">
        <w:rPr>
          <w:rFonts w:ascii="Arial" w:hAnsi="Arial" w:cs="Arial"/>
          <w:color w:val="000000"/>
          <w:lang w:eastAsia="en-GB"/>
        </w:rPr>
        <w:tab/>
      </w:r>
      <w:r w:rsidRPr="005934DA">
        <w:rPr>
          <w:rFonts w:ascii="Arial" w:hAnsi="Arial" w:cs="Arial"/>
          <w:color w:val="000000"/>
          <w:lang w:eastAsia="en-GB"/>
        </w:rPr>
        <w:tab/>
      </w:r>
      <w:r w:rsidRPr="005934DA">
        <w:rPr>
          <w:rFonts w:ascii="Arial" w:hAnsi="Arial" w:cs="Arial"/>
          <w:color w:val="000000"/>
          <w:lang w:eastAsia="en-GB"/>
        </w:rPr>
        <w:tab/>
      </w:r>
      <w:r w:rsidRPr="005934DA">
        <w:rPr>
          <w:rFonts w:ascii="Arial" w:hAnsi="Arial" w:cs="Arial"/>
          <w:color w:val="000000"/>
          <w:lang w:eastAsia="en-GB"/>
        </w:rPr>
        <w:tab/>
      </w:r>
      <w:r w:rsidRPr="005934DA">
        <w:rPr>
          <w:rFonts w:ascii="Arial" w:hAnsi="Arial" w:cs="Arial"/>
          <w:color w:val="000000"/>
          <w:lang w:eastAsia="en-GB"/>
        </w:rPr>
        <w:tab/>
      </w:r>
      <w:r w:rsidRPr="005934DA">
        <w:rPr>
          <w:rFonts w:ascii="Arial" w:hAnsi="Arial" w:cs="Arial"/>
          <w:color w:val="000000"/>
          <w:lang w:eastAsia="en-GB"/>
        </w:rPr>
        <w:tab/>
        <w:t>316 Thabo Sehume Street</w:t>
      </w:r>
    </w:p>
    <w:p w14:paraId="6C79DE5B" w14:textId="0BD14593" w:rsidR="005934DA" w:rsidRPr="005934DA" w:rsidRDefault="005934DA" w:rsidP="007C226D">
      <w:pPr>
        <w:spacing w:before="100" w:beforeAutospacing="1" w:after="100" w:afterAutospacing="1" w:line="360" w:lineRule="auto"/>
        <w:jc w:val="both"/>
        <w:rPr>
          <w:rFonts w:ascii="Arial" w:hAnsi="Arial" w:cs="Arial"/>
          <w:color w:val="000000"/>
          <w:lang w:eastAsia="en-GB"/>
        </w:rPr>
      </w:pPr>
      <w:r w:rsidRPr="005934DA">
        <w:rPr>
          <w:rFonts w:ascii="Arial" w:hAnsi="Arial" w:cs="Arial"/>
          <w:color w:val="000000"/>
          <w:lang w:eastAsia="en-GB"/>
        </w:rPr>
        <w:tab/>
      </w:r>
      <w:r w:rsidRPr="005934DA">
        <w:rPr>
          <w:rFonts w:ascii="Arial" w:hAnsi="Arial" w:cs="Arial"/>
          <w:color w:val="000000"/>
          <w:lang w:eastAsia="en-GB"/>
        </w:rPr>
        <w:tab/>
      </w:r>
      <w:r w:rsidRPr="005934DA">
        <w:rPr>
          <w:rFonts w:ascii="Arial" w:hAnsi="Arial" w:cs="Arial"/>
          <w:color w:val="000000"/>
          <w:lang w:eastAsia="en-GB"/>
        </w:rPr>
        <w:tab/>
      </w:r>
      <w:r w:rsidRPr="005934DA">
        <w:rPr>
          <w:rFonts w:ascii="Arial" w:hAnsi="Arial" w:cs="Arial"/>
          <w:color w:val="000000"/>
          <w:lang w:eastAsia="en-GB"/>
        </w:rPr>
        <w:tab/>
      </w:r>
      <w:r w:rsidRPr="005934DA">
        <w:rPr>
          <w:rFonts w:ascii="Arial" w:hAnsi="Arial" w:cs="Arial"/>
          <w:color w:val="000000"/>
          <w:lang w:eastAsia="en-GB"/>
        </w:rPr>
        <w:tab/>
      </w:r>
      <w:r w:rsidRPr="005934DA">
        <w:rPr>
          <w:rFonts w:ascii="Arial" w:hAnsi="Arial" w:cs="Arial"/>
          <w:color w:val="000000"/>
          <w:lang w:eastAsia="en-GB"/>
        </w:rPr>
        <w:tab/>
      </w:r>
      <w:r w:rsidRPr="005934DA">
        <w:rPr>
          <w:rFonts w:ascii="Arial" w:hAnsi="Arial" w:cs="Arial"/>
          <w:color w:val="000000"/>
          <w:lang w:eastAsia="en-GB"/>
        </w:rPr>
        <w:tab/>
        <w:t>Pretoria</w:t>
      </w:r>
    </w:p>
    <w:p w14:paraId="698B1CE7" w14:textId="2CC05E4D" w:rsidR="003E5020" w:rsidRPr="00966F2C" w:rsidRDefault="00596A96" w:rsidP="007C226D">
      <w:pPr>
        <w:spacing w:before="100" w:beforeAutospacing="1" w:after="100" w:afterAutospacing="1"/>
        <w:ind w:left="5040" w:hanging="5040"/>
        <w:jc w:val="both"/>
        <w:rPr>
          <w:rFonts w:ascii="Arial" w:hAnsi="Arial" w:cs="Arial"/>
          <w:color w:val="000000"/>
          <w:lang w:eastAsia="en-GB"/>
        </w:rPr>
      </w:pPr>
      <w:r w:rsidRPr="00596A96">
        <w:rPr>
          <w:rFonts w:ascii="Arial" w:hAnsi="Arial" w:cs="Arial"/>
          <w:b/>
          <w:bCs/>
          <w:color w:val="000000"/>
          <w:lang w:eastAsia="en-GB"/>
        </w:rPr>
        <w:t>For the first</w:t>
      </w:r>
      <w:r w:rsidR="007C226D">
        <w:rPr>
          <w:rFonts w:ascii="Arial" w:hAnsi="Arial" w:cs="Arial"/>
          <w:b/>
          <w:bCs/>
          <w:color w:val="000000"/>
          <w:lang w:eastAsia="en-GB"/>
        </w:rPr>
        <w:t xml:space="preserve"> &amp; second</w:t>
      </w:r>
      <w:r w:rsidRPr="00596A96">
        <w:rPr>
          <w:rFonts w:ascii="Arial" w:hAnsi="Arial" w:cs="Arial"/>
          <w:b/>
          <w:bCs/>
          <w:color w:val="000000"/>
          <w:lang w:eastAsia="en-GB"/>
        </w:rPr>
        <w:t xml:space="preserve"> respondent</w:t>
      </w:r>
      <w:r w:rsidR="007C226D">
        <w:rPr>
          <w:rFonts w:ascii="Arial" w:hAnsi="Arial" w:cs="Arial"/>
          <w:b/>
          <w:bCs/>
          <w:color w:val="000000"/>
          <w:lang w:eastAsia="en-GB"/>
        </w:rPr>
        <w:t>s</w:t>
      </w:r>
      <w:r w:rsidRPr="00596A96">
        <w:rPr>
          <w:rFonts w:ascii="Arial" w:hAnsi="Arial" w:cs="Arial"/>
          <w:color w:val="000000"/>
          <w:lang w:eastAsia="en-GB"/>
        </w:rPr>
        <w:t xml:space="preserve">: </w:t>
      </w:r>
      <w:r w:rsidR="00A868F0">
        <w:rPr>
          <w:rFonts w:ascii="Arial" w:hAnsi="Arial" w:cs="Arial"/>
          <w:color w:val="000000"/>
          <w:lang w:eastAsia="en-GB"/>
        </w:rPr>
        <w:tab/>
      </w:r>
      <w:proofErr w:type="spellStart"/>
      <w:r w:rsidR="007C226D">
        <w:rPr>
          <w:rFonts w:ascii="Arial" w:hAnsi="Arial" w:cs="Arial"/>
          <w:color w:val="000000"/>
          <w:lang w:eastAsia="en-GB"/>
        </w:rPr>
        <w:t>Mr</w:t>
      </w:r>
      <w:proofErr w:type="spellEnd"/>
      <w:r w:rsidR="007C226D">
        <w:rPr>
          <w:rFonts w:ascii="Arial" w:hAnsi="Arial" w:cs="Arial"/>
          <w:color w:val="000000"/>
          <w:lang w:eastAsia="en-GB"/>
        </w:rPr>
        <w:t xml:space="preserve"> M </w:t>
      </w:r>
      <w:proofErr w:type="spellStart"/>
      <w:r w:rsidR="007C226D">
        <w:rPr>
          <w:rFonts w:ascii="Arial" w:hAnsi="Arial" w:cs="Arial"/>
          <w:color w:val="000000"/>
          <w:lang w:eastAsia="en-GB"/>
        </w:rPr>
        <w:t>Mushwana</w:t>
      </w:r>
      <w:proofErr w:type="spellEnd"/>
    </w:p>
    <w:p w14:paraId="3D5D226C" w14:textId="5326204F" w:rsidR="004544C2" w:rsidRDefault="004544C2" w:rsidP="007427F8">
      <w:pPr>
        <w:spacing w:before="100" w:beforeAutospacing="1" w:after="100" w:afterAutospacing="1"/>
        <w:ind w:left="5040" w:hanging="5040"/>
        <w:jc w:val="both"/>
        <w:rPr>
          <w:rFonts w:ascii="Arial" w:hAnsi="Arial" w:cs="Arial"/>
          <w:color w:val="000000"/>
          <w:lang w:eastAsia="en-GB"/>
        </w:rPr>
      </w:pPr>
      <w:r w:rsidRPr="00966F2C">
        <w:rPr>
          <w:rFonts w:ascii="Arial" w:hAnsi="Arial" w:cs="Arial"/>
          <w:color w:val="000000"/>
          <w:lang w:eastAsia="en-GB"/>
        </w:rPr>
        <w:tab/>
      </w:r>
      <w:r w:rsidR="002513B8">
        <w:rPr>
          <w:rFonts w:ascii="Arial" w:hAnsi="Arial" w:cs="Arial"/>
          <w:color w:val="000000"/>
          <w:lang w:eastAsia="en-GB"/>
        </w:rPr>
        <w:t>Corporate Park 66</w:t>
      </w:r>
    </w:p>
    <w:p w14:paraId="6D9A3ADA" w14:textId="5B86F1D9" w:rsidR="002513B8" w:rsidRDefault="002513B8" w:rsidP="007427F8">
      <w:pPr>
        <w:spacing w:before="100" w:beforeAutospacing="1" w:after="100" w:afterAutospacing="1"/>
        <w:ind w:left="5040" w:hanging="5040"/>
        <w:jc w:val="both"/>
        <w:rPr>
          <w:rFonts w:ascii="Arial" w:hAnsi="Arial" w:cs="Arial"/>
          <w:color w:val="000000"/>
          <w:lang w:eastAsia="en-GB"/>
        </w:rPr>
      </w:pPr>
      <w:r>
        <w:rPr>
          <w:rFonts w:ascii="Arial" w:hAnsi="Arial" w:cs="Arial"/>
          <w:color w:val="000000"/>
          <w:lang w:eastAsia="en-GB"/>
        </w:rPr>
        <w:tab/>
        <w:t>296 Von Willich Avenue</w:t>
      </w:r>
    </w:p>
    <w:p w14:paraId="0489BF3C" w14:textId="26F1EAA9" w:rsidR="002513B8" w:rsidRPr="00F65145" w:rsidRDefault="002513B8" w:rsidP="007427F8">
      <w:pPr>
        <w:spacing w:before="100" w:beforeAutospacing="1" w:after="100" w:afterAutospacing="1"/>
        <w:ind w:left="5040" w:hanging="5040"/>
        <w:jc w:val="both"/>
        <w:rPr>
          <w:rFonts w:ascii="Arial" w:hAnsi="Arial" w:cs="Arial"/>
          <w:color w:val="000000"/>
          <w:lang w:val="en-ZA" w:eastAsia="en-GB"/>
        </w:rPr>
      </w:pPr>
      <w:r>
        <w:rPr>
          <w:rFonts w:ascii="Arial" w:hAnsi="Arial" w:cs="Arial"/>
          <w:color w:val="000000"/>
          <w:lang w:eastAsia="en-GB"/>
        </w:rPr>
        <w:tab/>
      </w:r>
      <w:r w:rsidR="00214CBB" w:rsidRPr="00F65145">
        <w:rPr>
          <w:rFonts w:ascii="Arial" w:hAnsi="Arial" w:cs="Arial"/>
          <w:color w:val="000000"/>
          <w:lang w:val="en-ZA" w:eastAsia="en-GB"/>
        </w:rPr>
        <w:t>Block E, Suite No 12E</w:t>
      </w:r>
    </w:p>
    <w:p w14:paraId="659A0ADF" w14:textId="09291B55" w:rsidR="00214CBB" w:rsidRPr="00214CBB" w:rsidRDefault="00214CBB" w:rsidP="007427F8">
      <w:pPr>
        <w:spacing w:before="100" w:beforeAutospacing="1" w:after="100" w:afterAutospacing="1"/>
        <w:ind w:left="5040" w:hanging="5040"/>
        <w:jc w:val="both"/>
        <w:rPr>
          <w:rFonts w:ascii="Arial" w:hAnsi="Arial" w:cs="Arial"/>
          <w:color w:val="000000"/>
          <w:lang w:val="es-ES" w:eastAsia="en-GB"/>
        </w:rPr>
      </w:pPr>
      <w:r w:rsidRPr="00F65145">
        <w:rPr>
          <w:rFonts w:ascii="Arial" w:hAnsi="Arial" w:cs="Arial"/>
          <w:color w:val="000000"/>
          <w:lang w:val="en-ZA" w:eastAsia="en-GB"/>
        </w:rPr>
        <w:tab/>
      </w:r>
      <w:proofErr w:type="spellStart"/>
      <w:r>
        <w:rPr>
          <w:rFonts w:ascii="Arial" w:hAnsi="Arial" w:cs="Arial"/>
          <w:color w:val="000000"/>
          <w:lang w:val="es-ES" w:eastAsia="en-GB"/>
        </w:rPr>
        <w:t>Centurion</w:t>
      </w:r>
      <w:proofErr w:type="spellEnd"/>
      <w:r>
        <w:rPr>
          <w:rFonts w:ascii="Arial" w:hAnsi="Arial" w:cs="Arial"/>
          <w:color w:val="000000"/>
          <w:lang w:val="es-ES" w:eastAsia="en-GB"/>
        </w:rPr>
        <w:t>, Pretoria</w:t>
      </w:r>
    </w:p>
    <w:p w14:paraId="5501A294" w14:textId="77777777" w:rsidR="00966F2C" w:rsidRPr="00214CBB" w:rsidRDefault="00966F2C" w:rsidP="00966F2C">
      <w:pPr>
        <w:spacing w:before="100" w:beforeAutospacing="1" w:after="100" w:afterAutospacing="1" w:line="360" w:lineRule="auto"/>
        <w:ind w:left="5040" w:hanging="5040"/>
        <w:jc w:val="both"/>
        <w:rPr>
          <w:rFonts w:ascii="Arial" w:hAnsi="Arial" w:cs="Arial"/>
          <w:color w:val="000000"/>
          <w:lang w:val="es-ES" w:eastAsia="en-GB"/>
        </w:rPr>
      </w:pPr>
    </w:p>
    <w:p w14:paraId="24613361" w14:textId="77777777" w:rsidR="00596A96" w:rsidRPr="00214CBB" w:rsidRDefault="00596A96" w:rsidP="00596A96">
      <w:pPr>
        <w:spacing w:before="100" w:beforeAutospacing="1" w:line="480" w:lineRule="auto"/>
        <w:jc w:val="both"/>
        <w:rPr>
          <w:rFonts w:ascii="Arial" w:hAnsi="Arial" w:cs="Arial"/>
          <w:color w:val="000000"/>
          <w:lang w:val="es-ES" w:eastAsia="en-GB"/>
        </w:rPr>
      </w:pPr>
    </w:p>
    <w:p w14:paraId="3FFCD818" w14:textId="77777777" w:rsidR="00596A96" w:rsidRPr="00596A96" w:rsidRDefault="00016AD3" w:rsidP="00596A96">
      <w:pPr>
        <w:spacing w:line="480" w:lineRule="auto"/>
        <w:jc w:val="both"/>
        <w:rPr>
          <w:rFonts w:ascii="Arial" w:hAnsi="Arial" w:cs="Arial"/>
          <w:lang w:val="en-ZA" w:eastAsia="en-GB"/>
        </w:rPr>
      </w:pPr>
      <w:r>
        <w:rPr>
          <w:rFonts w:ascii="Arial" w:hAnsi="Arial" w:cs="Arial"/>
          <w:noProof/>
          <w:lang w:val="en-ZA" w:eastAsia="en-GB"/>
          <w14:ligatures w14:val="standardContextual"/>
        </w:rPr>
        <w:pict w14:anchorId="12A07AF2">
          <v:rect id="_x0000_i1026" alt="" style="width:426.95pt;height:.05pt;mso-width-percent:0;mso-height-percent:0;mso-width-percent:0;mso-height-percent:0" o:hrpct="946" o:hralign="center" o:hrstd="t" o:hrnoshade="t" o:hr="t" fillcolor="black" stroked="f"/>
        </w:pict>
      </w:r>
    </w:p>
    <w:p w14:paraId="61FAF1F9" w14:textId="77777777" w:rsidR="00596A96" w:rsidRPr="00596A96" w:rsidRDefault="00596A96" w:rsidP="00596A96">
      <w:pPr>
        <w:spacing w:line="480" w:lineRule="auto"/>
        <w:jc w:val="both"/>
        <w:rPr>
          <w:rFonts w:ascii="Arial" w:eastAsiaTheme="minorHAnsi" w:hAnsi="Arial" w:cs="Arial"/>
          <w:kern w:val="2"/>
          <w:lang w:val="en-ZA"/>
          <w14:ligatures w14:val="standardContextual"/>
        </w:rPr>
      </w:pPr>
    </w:p>
    <w:p w14:paraId="359CA075" w14:textId="7321D4D1" w:rsidR="004170D5" w:rsidRPr="00596A96" w:rsidRDefault="004170D5" w:rsidP="00596A96">
      <w:pPr>
        <w:autoSpaceDE w:val="0"/>
        <w:autoSpaceDN w:val="0"/>
        <w:adjustRightInd w:val="0"/>
        <w:spacing w:line="480" w:lineRule="auto"/>
        <w:jc w:val="both"/>
        <w:rPr>
          <w:rFonts w:ascii="Arial" w:hAnsi="Arial" w:cs="Arial"/>
          <w:bCs/>
        </w:rPr>
      </w:pPr>
    </w:p>
    <w:p w14:paraId="48DECC60" w14:textId="34BD0EFF" w:rsidR="00C467A2" w:rsidRPr="00596A96" w:rsidRDefault="000A4ABD" w:rsidP="00596A96">
      <w:pPr>
        <w:spacing w:line="480" w:lineRule="auto"/>
        <w:jc w:val="both"/>
        <w:rPr>
          <w:rFonts w:ascii="Arial" w:hAnsi="Arial" w:cs="Arial"/>
          <w:bCs/>
        </w:rPr>
      </w:pPr>
      <w:r w:rsidRPr="00596A96">
        <w:rPr>
          <w:rFonts w:ascii="Arial" w:hAnsi="Arial" w:cs="Arial"/>
          <w:bCs/>
        </w:rPr>
        <w:tab/>
      </w:r>
    </w:p>
    <w:p w14:paraId="798FBFD3" w14:textId="1C935D73" w:rsidR="00414E48" w:rsidRPr="005431B9" w:rsidRDefault="00414E48" w:rsidP="005431B9">
      <w:pPr>
        <w:spacing w:line="480" w:lineRule="auto"/>
        <w:jc w:val="both"/>
        <w:rPr>
          <w:rFonts w:ascii="Arial" w:hAnsi="Arial" w:cs="Arial"/>
        </w:rPr>
      </w:pPr>
    </w:p>
    <w:sectPr w:rsidR="00414E48" w:rsidRPr="005431B9" w:rsidSect="00244E8E">
      <w:headerReference w:type="even" r:id="rId25"/>
      <w:headerReference w:type="default" r:id="rId2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E661" w14:textId="77777777" w:rsidR="00244E8E" w:rsidRDefault="00244E8E">
      <w:r>
        <w:separator/>
      </w:r>
    </w:p>
  </w:endnote>
  <w:endnote w:type="continuationSeparator" w:id="0">
    <w:p w14:paraId="51AB02AA" w14:textId="77777777" w:rsidR="00244E8E" w:rsidRDefault="0024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F64A4" w14:textId="77777777" w:rsidR="00244E8E" w:rsidRDefault="00244E8E">
      <w:r>
        <w:separator/>
      </w:r>
    </w:p>
  </w:footnote>
  <w:footnote w:type="continuationSeparator" w:id="0">
    <w:p w14:paraId="03CCF165" w14:textId="77777777" w:rsidR="00244E8E" w:rsidRDefault="0024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F3B6" w14:textId="77777777" w:rsidR="001420A8" w:rsidRDefault="001420A8" w:rsidP="00A034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76A7A" w14:textId="77777777" w:rsidR="001420A8" w:rsidRDefault="00142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B51A" w14:textId="206D9CAB" w:rsidR="001420A8" w:rsidRDefault="001420A8" w:rsidP="00A034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7667">
      <w:rPr>
        <w:rStyle w:val="PageNumber"/>
        <w:noProof/>
      </w:rPr>
      <w:t>2</w:t>
    </w:r>
    <w:r>
      <w:rPr>
        <w:rStyle w:val="PageNumber"/>
      </w:rPr>
      <w:fldChar w:fldCharType="end"/>
    </w:r>
  </w:p>
  <w:p w14:paraId="77535FEA" w14:textId="77777777" w:rsidR="001420A8" w:rsidRDefault="00142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D89"/>
    <w:multiLevelType w:val="multilevel"/>
    <w:tmpl w:val="2DD46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9F1025"/>
    <w:multiLevelType w:val="hybridMultilevel"/>
    <w:tmpl w:val="C95A30E0"/>
    <w:lvl w:ilvl="0" w:tplc="184674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B64C5"/>
    <w:multiLevelType w:val="hybridMultilevel"/>
    <w:tmpl w:val="95B4C9EC"/>
    <w:lvl w:ilvl="0" w:tplc="05527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A4AC5"/>
    <w:multiLevelType w:val="multilevel"/>
    <w:tmpl w:val="37588846"/>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5772F5"/>
    <w:multiLevelType w:val="hybridMultilevel"/>
    <w:tmpl w:val="0090F3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74E6242"/>
    <w:multiLevelType w:val="hybridMultilevel"/>
    <w:tmpl w:val="92F2EC38"/>
    <w:lvl w:ilvl="0" w:tplc="DDDA8CEA">
      <w:start w:val="1"/>
      <w:numFmt w:val="lowerLetter"/>
      <w:lvlText w:val="(%1)"/>
      <w:lvlJc w:val="left"/>
      <w:pPr>
        <w:ind w:left="1800" w:hanging="360"/>
      </w:pPr>
      <w:rPr>
        <w:rFonts w:hint="default"/>
        <w:sz w:val="2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7" w15:restartNumberingAfterBreak="0">
    <w:nsid w:val="0E2F64A2"/>
    <w:multiLevelType w:val="hybridMultilevel"/>
    <w:tmpl w:val="EA1E13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1617700"/>
    <w:multiLevelType w:val="hybridMultilevel"/>
    <w:tmpl w:val="BB1CAC56"/>
    <w:lvl w:ilvl="0" w:tplc="B3565BF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3C522BF"/>
    <w:multiLevelType w:val="multilevel"/>
    <w:tmpl w:val="2E666C6C"/>
    <w:lvl w:ilvl="0">
      <w:start w:val="11"/>
      <w:numFmt w:val="decimal"/>
      <w:lvlText w:val="%1"/>
      <w:lvlJc w:val="left"/>
      <w:pPr>
        <w:ind w:left="460" w:hanging="460"/>
      </w:pPr>
      <w:rPr>
        <w:rFonts w:hint="default"/>
      </w:rPr>
    </w:lvl>
    <w:lvl w:ilvl="1">
      <w:start w:val="2"/>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7E4969"/>
    <w:multiLevelType w:val="multilevel"/>
    <w:tmpl w:val="D9E4ABF4"/>
    <w:lvl w:ilvl="0">
      <w:start w:val="1"/>
      <w:numFmt w:val="decimal"/>
      <w:lvlText w:val="%1."/>
      <w:lvlJc w:val="left"/>
      <w:pPr>
        <w:ind w:left="460" w:hanging="460"/>
      </w:pPr>
      <w:rPr>
        <w:rFonts w:ascii="Arial" w:eastAsia="Times New Roman" w:hAnsi="Arial" w:cs="Arial"/>
      </w:rPr>
    </w:lvl>
    <w:lvl w:ilvl="1">
      <w:start w:val="1"/>
      <w:numFmt w:val="decimal"/>
      <w:lvlText w:val="%21.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4926679"/>
    <w:multiLevelType w:val="multilevel"/>
    <w:tmpl w:val="AACE4F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72036C"/>
    <w:multiLevelType w:val="hybridMultilevel"/>
    <w:tmpl w:val="2B04AEE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C701D00"/>
    <w:multiLevelType w:val="hybridMultilevel"/>
    <w:tmpl w:val="6400AF0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320F1E16"/>
    <w:multiLevelType w:val="multilevel"/>
    <w:tmpl w:val="ED789E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3812097"/>
    <w:multiLevelType w:val="hybridMultilevel"/>
    <w:tmpl w:val="FA16B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B34A29"/>
    <w:multiLevelType w:val="multilevel"/>
    <w:tmpl w:val="5BA41FE4"/>
    <w:lvl w:ilvl="0">
      <w:start w:val="1"/>
      <w:numFmt w:val="decimal"/>
      <w:lvlText w:val="%1."/>
      <w:lvlJc w:val="left"/>
      <w:pPr>
        <w:ind w:left="1480" w:hanging="1120"/>
      </w:pPr>
      <w:rPr>
        <w:rFonts w:ascii="Arial" w:hAnsi="Arial" w:cs="Arial" w:hint="default"/>
        <w:b w:val="0"/>
        <w:bCs w:val="0"/>
        <w:i w:val="0"/>
        <w:iCs w:val="0"/>
        <w:color w:val="auto"/>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17" w15:restartNumberingAfterBreak="0">
    <w:nsid w:val="3B0E4205"/>
    <w:multiLevelType w:val="multilevel"/>
    <w:tmpl w:val="D5DE5F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F056D8D"/>
    <w:multiLevelType w:val="hybridMultilevel"/>
    <w:tmpl w:val="14F8E6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1506132"/>
    <w:multiLevelType w:val="hybridMultilevel"/>
    <w:tmpl w:val="DFEACE00"/>
    <w:lvl w:ilvl="0" w:tplc="83D4C2E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3B81B67"/>
    <w:multiLevelType w:val="hybridMultilevel"/>
    <w:tmpl w:val="F258DDA8"/>
    <w:lvl w:ilvl="0" w:tplc="8B3010A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3152E7"/>
    <w:multiLevelType w:val="hybridMultilevel"/>
    <w:tmpl w:val="9C3C2DBA"/>
    <w:lvl w:ilvl="0" w:tplc="FC04E898">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436C7D"/>
    <w:multiLevelType w:val="multilevel"/>
    <w:tmpl w:val="AACE4F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09E09DB"/>
    <w:multiLevelType w:val="hybridMultilevel"/>
    <w:tmpl w:val="CF56A9E0"/>
    <w:lvl w:ilvl="0" w:tplc="9EE09104">
      <w:start w:val="1"/>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4" w15:restartNumberingAfterBreak="0">
    <w:nsid w:val="5ABE6B60"/>
    <w:multiLevelType w:val="multilevel"/>
    <w:tmpl w:val="AACE4F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04F1195"/>
    <w:multiLevelType w:val="hybridMultilevel"/>
    <w:tmpl w:val="61BA89F2"/>
    <w:lvl w:ilvl="0" w:tplc="F5124CC4">
      <w:start w:val="1"/>
      <w:numFmt w:val="upp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6" w15:restartNumberingAfterBreak="0">
    <w:nsid w:val="6176313B"/>
    <w:multiLevelType w:val="hybridMultilevel"/>
    <w:tmpl w:val="B99653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92202CC"/>
    <w:multiLevelType w:val="hybridMultilevel"/>
    <w:tmpl w:val="E87C8F90"/>
    <w:lvl w:ilvl="0" w:tplc="323A4D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B4F1742"/>
    <w:multiLevelType w:val="hybridMultilevel"/>
    <w:tmpl w:val="05BC67F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710F11F0"/>
    <w:multiLevelType w:val="hybridMultilevel"/>
    <w:tmpl w:val="3A425F78"/>
    <w:lvl w:ilvl="0" w:tplc="0C1A8C06">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BB6376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426C64"/>
    <w:multiLevelType w:val="hybridMultilevel"/>
    <w:tmpl w:val="708C034C"/>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597905287">
    <w:abstractNumId w:val="22"/>
  </w:num>
  <w:num w:numId="2" w16cid:durableId="2043625604">
    <w:abstractNumId w:val="24"/>
  </w:num>
  <w:num w:numId="3" w16cid:durableId="1438016510">
    <w:abstractNumId w:val="11"/>
  </w:num>
  <w:num w:numId="4" w16cid:durableId="113260132">
    <w:abstractNumId w:val="20"/>
  </w:num>
  <w:num w:numId="5" w16cid:durableId="1696689504">
    <w:abstractNumId w:val="12"/>
  </w:num>
  <w:num w:numId="6" w16cid:durableId="1197617308">
    <w:abstractNumId w:val="29"/>
  </w:num>
  <w:num w:numId="7" w16cid:durableId="1694989577">
    <w:abstractNumId w:val="2"/>
  </w:num>
  <w:num w:numId="8" w16cid:durableId="1527206612">
    <w:abstractNumId w:val="1"/>
  </w:num>
  <w:num w:numId="9" w16cid:durableId="769004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9819578">
    <w:abstractNumId w:val="18"/>
  </w:num>
  <w:num w:numId="11" w16cid:durableId="13654571">
    <w:abstractNumId w:val="26"/>
  </w:num>
  <w:num w:numId="12" w16cid:durableId="1411465462">
    <w:abstractNumId w:val="13"/>
  </w:num>
  <w:num w:numId="13" w16cid:durableId="1993673417">
    <w:abstractNumId w:val="27"/>
  </w:num>
  <w:num w:numId="14" w16cid:durableId="1578202937">
    <w:abstractNumId w:val="8"/>
  </w:num>
  <w:num w:numId="15" w16cid:durableId="717120534">
    <w:abstractNumId w:val="5"/>
  </w:num>
  <w:num w:numId="16" w16cid:durableId="1995798064">
    <w:abstractNumId w:val="30"/>
  </w:num>
  <w:num w:numId="17" w16cid:durableId="1927419953">
    <w:abstractNumId w:val="19"/>
  </w:num>
  <w:num w:numId="18" w16cid:durableId="227880086">
    <w:abstractNumId w:val="31"/>
  </w:num>
  <w:num w:numId="19" w16cid:durableId="607852772">
    <w:abstractNumId w:val="4"/>
  </w:num>
  <w:num w:numId="20" w16cid:durableId="1838689685">
    <w:abstractNumId w:val="28"/>
  </w:num>
  <w:num w:numId="21" w16cid:durableId="1799647069">
    <w:abstractNumId w:val="7"/>
  </w:num>
  <w:num w:numId="22" w16cid:durableId="2041582879">
    <w:abstractNumId w:val="25"/>
  </w:num>
  <w:num w:numId="23" w16cid:durableId="1779717290">
    <w:abstractNumId w:val="23"/>
  </w:num>
  <w:num w:numId="24" w16cid:durableId="2087409139">
    <w:abstractNumId w:val="16"/>
  </w:num>
  <w:num w:numId="25" w16cid:durableId="332496277">
    <w:abstractNumId w:val="17"/>
  </w:num>
  <w:num w:numId="26" w16cid:durableId="945649727">
    <w:abstractNumId w:val="0"/>
  </w:num>
  <w:num w:numId="27" w16cid:durableId="2080785673">
    <w:abstractNumId w:val="14"/>
  </w:num>
  <w:num w:numId="28" w16cid:durableId="869149528">
    <w:abstractNumId w:val="3"/>
  </w:num>
  <w:num w:numId="29" w16cid:durableId="65230795">
    <w:abstractNumId w:val="10"/>
  </w:num>
  <w:num w:numId="30" w16cid:durableId="862792127">
    <w:abstractNumId w:val="9"/>
  </w:num>
  <w:num w:numId="31" w16cid:durableId="297927016">
    <w:abstractNumId w:val="15"/>
  </w:num>
  <w:num w:numId="32" w16cid:durableId="11262382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3D"/>
    <w:rsid w:val="000001A9"/>
    <w:rsid w:val="0000054B"/>
    <w:rsid w:val="00000AA3"/>
    <w:rsid w:val="00001C82"/>
    <w:rsid w:val="000023A3"/>
    <w:rsid w:val="00002F08"/>
    <w:rsid w:val="00004460"/>
    <w:rsid w:val="00005B37"/>
    <w:rsid w:val="00006569"/>
    <w:rsid w:val="0000682D"/>
    <w:rsid w:val="00006A46"/>
    <w:rsid w:val="0000727A"/>
    <w:rsid w:val="00007405"/>
    <w:rsid w:val="00007B7B"/>
    <w:rsid w:val="000136E5"/>
    <w:rsid w:val="00013FA5"/>
    <w:rsid w:val="00014016"/>
    <w:rsid w:val="0001536C"/>
    <w:rsid w:val="000166F2"/>
    <w:rsid w:val="00016AD3"/>
    <w:rsid w:val="00017B08"/>
    <w:rsid w:val="000206E3"/>
    <w:rsid w:val="000215A0"/>
    <w:rsid w:val="00024557"/>
    <w:rsid w:val="000262C3"/>
    <w:rsid w:val="00026A02"/>
    <w:rsid w:val="000354A3"/>
    <w:rsid w:val="0003718E"/>
    <w:rsid w:val="00037819"/>
    <w:rsid w:val="000417E3"/>
    <w:rsid w:val="00043F3A"/>
    <w:rsid w:val="000442CE"/>
    <w:rsid w:val="00047CB6"/>
    <w:rsid w:val="00050283"/>
    <w:rsid w:val="00051825"/>
    <w:rsid w:val="0005217A"/>
    <w:rsid w:val="00053486"/>
    <w:rsid w:val="00055EFF"/>
    <w:rsid w:val="00057C25"/>
    <w:rsid w:val="0006074B"/>
    <w:rsid w:val="00061257"/>
    <w:rsid w:val="00061D48"/>
    <w:rsid w:val="00064061"/>
    <w:rsid w:val="00064487"/>
    <w:rsid w:val="000644FA"/>
    <w:rsid w:val="00064D3F"/>
    <w:rsid w:val="00065B5C"/>
    <w:rsid w:val="00066116"/>
    <w:rsid w:val="000673E2"/>
    <w:rsid w:val="00070D58"/>
    <w:rsid w:val="00070E13"/>
    <w:rsid w:val="00070E92"/>
    <w:rsid w:val="00071911"/>
    <w:rsid w:val="00071BCF"/>
    <w:rsid w:val="00075E52"/>
    <w:rsid w:val="000760B1"/>
    <w:rsid w:val="000766A7"/>
    <w:rsid w:val="0007713E"/>
    <w:rsid w:val="00077215"/>
    <w:rsid w:val="0007790E"/>
    <w:rsid w:val="00077E93"/>
    <w:rsid w:val="00083609"/>
    <w:rsid w:val="00094CEB"/>
    <w:rsid w:val="000952F5"/>
    <w:rsid w:val="000962B5"/>
    <w:rsid w:val="000969F8"/>
    <w:rsid w:val="00097282"/>
    <w:rsid w:val="000A04EA"/>
    <w:rsid w:val="000A17EA"/>
    <w:rsid w:val="000A18B4"/>
    <w:rsid w:val="000A24A3"/>
    <w:rsid w:val="000A2C4D"/>
    <w:rsid w:val="000A2D62"/>
    <w:rsid w:val="000A31EA"/>
    <w:rsid w:val="000A4ABD"/>
    <w:rsid w:val="000A6374"/>
    <w:rsid w:val="000A671A"/>
    <w:rsid w:val="000A672C"/>
    <w:rsid w:val="000A70E6"/>
    <w:rsid w:val="000A753D"/>
    <w:rsid w:val="000B0765"/>
    <w:rsid w:val="000B0AAC"/>
    <w:rsid w:val="000B140D"/>
    <w:rsid w:val="000B3C1C"/>
    <w:rsid w:val="000B606A"/>
    <w:rsid w:val="000B6140"/>
    <w:rsid w:val="000B7215"/>
    <w:rsid w:val="000C04E7"/>
    <w:rsid w:val="000C4721"/>
    <w:rsid w:val="000C4AFB"/>
    <w:rsid w:val="000C5A6D"/>
    <w:rsid w:val="000C722D"/>
    <w:rsid w:val="000C7380"/>
    <w:rsid w:val="000D0D65"/>
    <w:rsid w:val="000D1670"/>
    <w:rsid w:val="000D1765"/>
    <w:rsid w:val="000D370D"/>
    <w:rsid w:val="000D4D89"/>
    <w:rsid w:val="000D5106"/>
    <w:rsid w:val="000D577A"/>
    <w:rsid w:val="000E33E8"/>
    <w:rsid w:val="000E3D85"/>
    <w:rsid w:val="000E3EB9"/>
    <w:rsid w:val="000E4A13"/>
    <w:rsid w:val="000E6EE9"/>
    <w:rsid w:val="000E7B18"/>
    <w:rsid w:val="000F1F76"/>
    <w:rsid w:val="000F2D00"/>
    <w:rsid w:val="000F3A45"/>
    <w:rsid w:val="000F6593"/>
    <w:rsid w:val="000F66B8"/>
    <w:rsid w:val="001016F5"/>
    <w:rsid w:val="001018E2"/>
    <w:rsid w:val="00104356"/>
    <w:rsid w:val="00110727"/>
    <w:rsid w:val="001140A2"/>
    <w:rsid w:val="0011497B"/>
    <w:rsid w:val="00114D74"/>
    <w:rsid w:val="001159DA"/>
    <w:rsid w:val="00120FF7"/>
    <w:rsid w:val="00123BC3"/>
    <w:rsid w:val="001243B2"/>
    <w:rsid w:val="00125279"/>
    <w:rsid w:val="0012566E"/>
    <w:rsid w:val="001267B8"/>
    <w:rsid w:val="0013298B"/>
    <w:rsid w:val="0013340F"/>
    <w:rsid w:val="00136DA6"/>
    <w:rsid w:val="00141F7F"/>
    <w:rsid w:val="001420A8"/>
    <w:rsid w:val="00147AA3"/>
    <w:rsid w:val="00147B6F"/>
    <w:rsid w:val="001508BC"/>
    <w:rsid w:val="001519FD"/>
    <w:rsid w:val="00152384"/>
    <w:rsid w:val="00152579"/>
    <w:rsid w:val="00152674"/>
    <w:rsid w:val="0015287B"/>
    <w:rsid w:val="001541E1"/>
    <w:rsid w:val="0015475D"/>
    <w:rsid w:val="001556AF"/>
    <w:rsid w:val="00157680"/>
    <w:rsid w:val="00163A25"/>
    <w:rsid w:val="00165B28"/>
    <w:rsid w:val="00165E3B"/>
    <w:rsid w:val="001663A8"/>
    <w:rsid w:val="00166ABC"/>
    <w:rsid w:val="001675B0"/>
    <w:rsid w:val="001720F1"/>
    <w:rsid w:val="0017215F"/>
    <w:rsid w:val="001726AB"/>
    <w:rsid w:val="00174740"/>
    <w:rsid w:val="001751BE"/>
    <w:rsid w:val="0017590D"/>
    <w:rsid w:val="00177709"/>
    <w:rsid w:val="00181589"/>
    <w:rsid w:val="0018212C"/>
    <w:rsid w:val="001835B5"/>
    <w:rsid w:val="00184689"/>
    <w:rsid w:val="001879C1"/>
    <w:rsid w:val="00187B18"/>
    <w:rsid w:val="00192699"/>
    <w:rsid w:val="00192E8E"/>
    <w:rsid w:val="001934AB"/>
    <w:rsid w:val="00196850"/>
    <w:rsid w:val="001972CD"/>
    <w:rsid w:val="0019737C"/>
    <w:rsid w:val="001A0C52"/>
    <w:rsid w:val="001A140E"/>
    <w:rsid w:val="001A1F46"/>
    <w:rsid w:val="001A22B9"/>
    <w:rsid w:val="001A4626"/>
    <w:rsid w:val="001A4EB4"/>
    <w:rsid w:val="001A61AF"/>
    <w:rsid w:val="001A61C1"/>
    <w:rsid w:val="001A73D5"/>
    <w:rsid w:val="001B07B3"/>
    <w:rsid w:val="001B40D3"/>
    <w:rsid w:val="001B56BE"/>
    <w:rsid w:val="001B5AD6"/>
    <w:rsid w:val="001C19E7"/>
    <w:rsid w:val="001C2208"/>
    <w:rsid w:val="001C3440"/>
    <w:rsid w:val="001C3A69"/>
    <w:rsid w:val="001C4235"/>
    <w:rsid w:val="001C46EF"/>
    <w:rsid w:val="001C5997"/>
    <w:rsid w:val="001C7048"/>
    <w:rsid w:val="001D0960"/>
    <w:rsid w:val="001D281E"/>
    <w:rsid w:val="001D30EB"/>
    <w:rsid w:val="001D314B"/>
    <w:rsid w:val="001D3163"/>
    <w:rsid w:val="001D6B03"/>
    <w:rsid w:val="001D7667"/>
    <w:rsid w:val="001E2A21"/>
    <w:rsid w:val="001E2F30"/>
    <w:rsid w:val="001E3A72"/>
    <w:rsid w:val="001E443F"/>
    <w:rsid w:val="001E4BDC"/>
    <w:rsid w:val="001E5A79"/>
    <w:rsid w:val="001E5CA5"/>
    <w:rsid w:val="001E6DD8"/>
    <w:rsid w:val="001E7C0E"/>
    <w:rsid w:val="001F3AD6"/>
    <w:rsid w:val="001F51CF"/>
    <w:rsid w:val="001F6520"/>
    <w:rsid w:val="001F6AC3"/>
    <w:rsid w:val="001F76F6"/>
    <w:rsid w:val="00200564"/>
    <w:rsid w:val="00201647"/>
    <w:rsid w:val="00202183"/>
    <w:rsid w:val="00202A87"/>
    <w:rsid w:val="002030DE"/>
    <w:rsid w:val="0020599C"/>
    <w:rsid w:val="00205BD6"/>
    <w:rsid w:val="00205D82"/>
    <w:rsid w:val="00206624"/>
    <w:rsid w:val="0020694E"/>
    <w:rsid w:val="00206F3F"/>
    <w:rsid w:val="00210A01"/>
    <w:rsid w:val="00210F30"/>
    <w:rsid w:val="002131EC"/>
    <w:rsid w:val="00214CBB"/>
    <w:rsid w:val="00214E58"/>
    <w:rsid w:val="0021534D"/>
    <w:rsid w:val="00215497"/>
    <w:rsid w:val="00216136"/>
    <w:rsid w:val="002174D6"/>
    <w:rsid w:val="002212C2"/>
    <w:rsid w:val="00222335"/>
    <w:rsid w:val="002229FE"/>
    <w:rsid w:val="00222D5A"/>
    <w:rsid w:val="00224A34"/>
    <w:rsid w:val="00224E1F"/>
    <w:rsid w:val="00226833"/>
    <w:rsid w:val="00226CEA"/>
    <w:rsid w:val="00227116"/>
    <w:rsid w:val="00232F1B"/>
    <w:rsid w:val="0023589F"/>
    <w:rsid w:val="0024037A"/>
    <w:rsid w:val="00243C46"/>
    <w:rsid w:val="00244E3E"/>
    <w:rsid w:val="00244E8E"/>
    <w:rsid w:val="002453A8"/>
    <w:rsid w:val="002453E8"/>
    <w:rsid w:val="0024715F"/>
    <w:rsid w:val="00250B8C"/>
    <w:rsid w:val="002513B8"/>
    <w:rsid w:val="00252A53"/>
    <w:rsid w:val="00252A87"/>
    <w:rsid w:val="00253CD1"/>
    <w:rsid w:val="00256896"/>
    <w:rsid w:val="00256BAF"/>
    <w:rsid w:val="0025706B"/>
    <w:rsid w:val="002624E1"/>
    <w:rsid w:val="002636FA"/>
    <w:rsid w:val="00271065"/>
    <w:rsid w:val="002710C0"/>
    <w:rsid w:val="002722B7"/>
    <w:rsid w:val="0027293C"/>
    <w:rsid w:val="00272952"/>
    <w:rsid w:val="00274D3A"/>
    <w:rsid w:val="00277645"/>
    <w:rsid w:val="00277F45"/>
    <w:rsid w:val="00283421"/>
    <w:rsid w:val="0028415A"/>
    <w:rsid w:val="00284587"/>
    <w:rsid w:val="00286C66"/>
    <w:rsid w:val="002870F8"/>
    <w:rsid w:val="0029127E"/>
    <w:rsid w:val="00294743"/>
    <w:rsid w:val="00295D78"/>
    <w:rsid w:val="002A0BCC"/>
    <w:rsid w:val="002A0FAA"/>
    <w:rsid w:val="002A1487"/>
    <w:rsid w:val="002A1A01"/>
    <w:rsid w:val="002A1F73"/>
    <w:rsid w:val="002A2575"/>
    <w:rsid w:val="002A4A6D"/>
    <w:rsid w:val="002A5419"/>
    <w:rsid w:val="002A72FB"/>
    <w:rsid w:val="002B1415"/>
    <w:rsid w:val="002B1AF1"/>
    <w:rsid w:val="002B1C54"/>
    <w:rsid w:val="002B29FB"/>
    <w:rsid w:val="002B2F8E"/>
    <w:rsid w:val="002B5FB0"/>
    <w:rsid w:val="002B6D67"/>
    <w:rsid w:val="002C134F"/>
    <w:rsid w:val="002C2B14"/>
    <w:rsid w:val="002C4400"/>
    <w:rsid w:val="002C670C"/>
    <w:rsid w:val="002C798F"/>
    <w:rsid w:val="002D013B"/>
    <w:rsid w:val="002D0F15"/>
    <w:rsid w:val="002D1FF8"/>
    <w:rsid w:val="002D39EE"/>
    <w:rsid w:val="002D3C66"/>
    <w:rsid w:val="002D4067"/>
    <w:rsid w:val="002D47F0"/>
    <w:rsid w:val="002D7AEB"/>
    <w:rsid w:val="002E4C2D"/>
    <w:rsid w:val="002E7292"/>
    <w:rsid w:val="002F0085"/>
    <w:rsid w:val="002F1497"/>
    <w:rsid w:val="002F1CFC"/>
    <w:rsid w:val="002F2050"/>
    <w:rsid w:val="002F3D2F"/>
    <w:rsid w:val="002F415A"/>
    <w:rsid w:val="002F45EB"/>
    <w:rsid w:val="002F4B1A"/>
    <w:rsid w:val="002F5BDA"/>
    <w:rsid w:val="002F6B1F"/>
    <w:rsid w:val="00300B52"/>
    <w:rsid w:val="0030202E"/>
    <w:rsid w:val="00304F4D"/>
    <w:rsid w:val="00305D74"/>
    <w:rsid w:val="00306C39"/>
    <w:rsid w:val="00311098"/>
    <w:rsid w:val="00311994"/>
    <w:rsid w:val="00312DED"/>
    <w:rsid w:val="003150C7"/>
    <w:rsid w:val="00316C03"/>
    <w:rsid w:val="00317451"/>
    <w:rsid w:val="003178DC"/>
    <w:rsid w:val="00320A2E"/>
    <w:rsid w:val="003214B4"/>
    <w:rsid w:val="003240B9"/>
    <w:rsid w:val="00325430"/>
    <w:rsid w:val="00326374"/>
    <w:rsid w:val="00326EF0"/>
    <w:rsid w:val="00330F8C"/>
    <w:rsid w:val="003318E8"/>
    <w:rsid w:val="00332030"/>
    <w:rsid w:val="003340C5"/>
    <w:rsid w:val="00334390"/>
    <w:rsid w:val="0033488C"/>
    <w:rsid w:val="00334C67"/>
    <w:rsid w:val="0033515D"/>
    <w:rsid w:val="00336041"/>
    <w:rsid w:val="00336994"/>
    <w:rsid w:val="00336B5B"/>
    <w:rsid w:val="00336CDC"/>
    <w:rsid w:val="00337984"/>
    <w:rsid w:val="00337F9C"/>
    <w:rsid w:val="00346B31"/>
    <w:rsid w:val="00346CFA"/>
    <w:rsid w:val="00350D8B"/>
    <w:rsid w:val="00353AC3"/>
    <w:rsid w:val="00354A90"/>
    <w:rsid w:val="00354F0A"/>
    <w:rsid w:val="00355BA9"/>
    <w:rsid w:val="00356D6F"/>
    <w:rsid w:val="003578C1"/>
    <w:rsid w:val="00360560"/>
    <w:rsid w:val="00361C61"/>
    <w:rsid w:val="00361EDC"/>
    <w:rsid w:val="003645AC"/>
    <w:rsid w:val="003646BE"/>
    <w:rsid w:val="00364B7C"/>
    <w:rsid w:val="00366398"/>
    <w:rsid w:val="003740E5"/>
    <w:rsid w:val="003750B0"/>
    <w:rsid w:val="00377310"/>
    <w:rsid w:val="00380588"/>
    <w:rsid w:val="00380A94"/>
    <w:rsid w:val="0038155B"/>
    <w:rsid w:val="00381D88"/>
    <w:rsid w:val="00381DA8"/>
    <w:rsid w:val="00383148"/>
    <w:rsid w:val="00383546"/>
    <w:rsid w:val="00385FD5"/>
    <w:rsid w:val="00387B51"/>
    <w:rsid w:val="00387EE7"/>
    <w:rsid w:val="00390C84"/>
    <w:rsid w:val="003914B8"/>
    <w:rsid w:val="003947DC"/>
    <w:rsid w:val="003A0EBA"/>
    <w:rsid w:val="003A1DDB"/>
    <w:rsid w:val="003A1F72"/>
    <w:rsid w:val="003A2098"/>
    <w:rsid w:val="003A20FB"/>
    <w:rsid w:val="003A2DFA"/>
    <w:rsid w:val="003A2F62"/>
    <w:rsid w:val="003A4EF5"/>
    <w:rsid w:val="003A67E3"/>
    <w:rsid w:val="003B12B2"/>
    <w:rsid w:val="003B1A53"/>
    <w:rsid w:val="003B3FCE"/>
    <w:rsid w:val="003B52D8"/>
    <w:rsid w:val="003B6002"/>
    <w:rsid w:val="003B6312"/>
    <w:rsid w:val="003B6C31"/>
    <w:rsid w:val="003B6C98"/>
    <w:rsid w:val="003B70EB"/>
    <w:rsid w:val="003C00AB"/>
    <w:rsid w:val="003C0129"/>
    <w:rsid w:val="003C0342"/>
    <w:rsid w:val="003C06A4"/>
    <w:rsid w:val="003C1A87"/>
    <w:rsid w:val="003C22F0"/>
    <w:rsid w:val="003C4089"/>
    <w:rsid w:val="003C6195"/>
    <w:rsid w:val="003C6A42"/>
    <w:rsid w:val="003D3C6E"/>
    <w:rsid w:val="003D771E"/>
    <w:rsid w:val="003D7A99"/>
    <w:rsid w:val="003E2251"/>
    <w:rsid w:val="003E5020"/>
    <w:rsid w:val="003E6ED3"/>
    <w:rsid w:val="003F092B"/>
    <w:rsid w:val="003F13A8"/>
    <w:rsid w:val="003F19A8"/>
    <w:rsid w:val="003F26E4"/>
    <w:rsid w:val="003F2F76"/>
    <w:rsid w:val="003F3A4D"/>
    <w:rsid w:val="003F3FDA"/>
    <w:rsid w:val="003F406D"/>
    <w:rsid w:val="003F4088"/>
    <w:rsid w:val="003F43C6"/>
    <w:rsid w:val="003F5F57"/>
    <w:rsid w:val="003F630F"/>
    <w:rsid w:val="003F63FE"/>
    <w:rsid w:val="003F74B6"/>
    <w:rsid w:val="004031D4"/>
    <w:rsid w:val="004038F0"/>
    <w:rsid w:val="004047F7"/>
    <w:rsid w:val="00405936"/>
    <w:rsid w:val="00406A9B"/>
    <w:rsid w:val="00406F8F"/>
    <w:rsid w:val="0040711F"/>
    <w:rsid w:val="00407ADD"/>
    <w:rsid w:val="00411DD2"/>
    <w:rsid w:val="0041233E"/>
    <w:rsid w:val="00414E48"/>
    <w:rsid w:val="00415837"/>
    <w:rsid w:val="004170D5"/>
    <w:rsid w:val="00420F47"/>
    <w:rsid w:val="00421230"/>
    <w:rsid w:val="00422B79"/>
    <w:rsid w:val="0042556B"/>
    <w:rsid w:val="00425AF0"/>
    <w:rsid w:val="00425BB2"/>
    <w:rsid w:val="004274E4"/>
    <w:rsid w:val="00427D6B"/>
    <w:rsid w:val="00431E7B"/>
    <w:rsid w:val="00434E3E"/>
    <w:rsid w:val="00440A18"/>
    <w:rsid w:val="0044153F"/>
    <w:rsid w:val="004426B0"/>
    <w:rsid w:val="0045083C"/>
    <w:rsid w:val="00450A7A"/>
    <w:rsid w:val="00450A98"/>
    <w:rsid w:val="00453D21"/>
    <w:rsid w:val="004544C2"/>
    <w:rsid w:val="00454CF2"/>
    <w:rsid w:val="00454DF9"/>
    <w:rsid w:val="004550A6"/>
    <w:rsid w:val="00455151"/>
    <w:rsid w:val="00455844"/>
    <w:rsid w:val="004576A1"/>
    <w:rsid w:val="00457F0A"/>
    <w:rsid w:val="0046186B"/>
    <w:rsid w:val="0046186F"/>
    <w:rsid w:val="00462594"/>
    <w:rsid w:val="00462963"/>
    <w:rsid w:val="004629EE"/>
    <w:rsid w:val="004632F0"/>
    <w:rsid w:val="004635CE"/>
    <w:rsid w:val="0047370C"/>
    <w:rsid w:val="0047457C"/>
    <w:rsid w:val="0047587F"/>
    <w:rsid w:val="004769B3"/>
    <w:rsid w:val="004772EC"/>
    <w:rsid w:val="004844FF"/>
    <w:rsid w:val="00484772"/>
    <w:rsid w:val="004850C4"/>
    <w:rsid w:val="00485525"/>
    <w:rsid w:val="00490357"/>
    <w:rsid w:val="00492791"/>
    <w:rsid w:val="0049310E"/>
    <w:rsid w:val="004938E3"/>
    <w:rsid w:val="00494AA5"/>
    <w:rsid w:val="00495020"/>
    <w:rsid w:val="004956C0"/>
    <w:rsid w:val="00495BA2"/>
    <w:rsid w:val="00497293"/>
    <w:rsid w:val="004A223E"/>
    <w:rsid w:val="004A4356"/>
    <w:rsid w:val="004A472F"/>
    <w:rsid w:val="004A4B46"/>
    <w:rsid w:val="004A5A6F"/>
    <w:rsid w:val="004A6626"/>
    <w:rsid w:val="004B0EE4"/>
    <w:rsid w:val="004B1036"/>
    <w:rsid w:val="004B33DA"/>
    <w:rsid w:val="004B42F3"/>
    <w:rsid w:val="004B5442"/>
    <w:rsid w:val="004C1B64"/>
    <w:rsid w:val="004C4708"/>
    <w:rsid w:val="004C53DB"/>
    <w:rsid w:val="004C63AB"/>
    <w:rsid w:val="004C70C8"/>
    <w:rsid w:val="004C7342"/>
    <w:rsid w:val="004D18BD"/>
    <w:rsid w:val="004D34AB"/>
    <w:rsid w:val="004D4574"/>
    <w:rsid w:val="004D4BBD"/>
    <w:rsid w:val="004D588D"/>
    <w:rsid w:val="004E01A9"/>
    <w:rsid w:val="004E06BA"/>
    <w:rsid w:val="004E138A"/>
    <w:rsid w:val="004E1570"/>
    <w:rsid w:val="004E1782"/>
    <w:rsid w:val="004E1852"/>
    <w:rsid w:val="004E378B"/>
    <w:rsid w:val="004E3882"/>
    <w:rsid w:val="004E6612"/>
    <w:rsid w:val="004E75F3"/>
    <w:rsid w:val="004E7836"/>
    <w:rsid w:val="004F118E"/>
    <w:rsid w:val="004F1606"/>
    <w:rsid w:val="004F31EC"/>
    <w:rsid w:val="004F3647"/>
    <w:rsid w:val="004F4FED"/>
    <w:rsid w:val="004F6DB6"/>
    <w:rsid w:val="005008A7"/>
    <w:rsid w:val="00503AA0"/>
    <w:rsid w:val="00504C4D"/>
    <w:rsid w:val="00505A79"/>
    <w:rsid w:val="0050707A"/>
    <w:rsid w:val="0051025A"/>
    <w:rsid w:val="0051260B"/>
    <w:rsid w:val="00514149"/>
    <w:rsid w:val="00514292"/>
    <w:rsid w:val="005159CD"/>
    <w:rsid w:val="005166D2"/>
    <w:rsid w:val="00517E83"/>
    <w:rsid w:val="005202C5"/>
    <w:rsid w:val="00521110"/>
    <w:rsid w:val="0052142C"/>
    <w:rsid w:val="00521D1B"/>
    <w:rsid w:val="0052319A"/>
    <w:rsid w:val="00523575"/>
    <w:rsid w:val="00523F29"/>
    <w:rsid w:val="00524681"/>
    <w:rsid w:val="00524BD9"/>
    <w:rsid w:val="00525AE0"/>
    <w:rsid w:val="00526456"/>
    <w:rsid w:val="00526BDC"/>
    <w:rsid w:val="00527142"/>
    <w:rsid w:val="005274E3"/>
    <w:rsid w:val="00527CEB"/>
    <w:rsid w:val="00530741"/>
    <w:rsid w:val="00531112"/>
    <w:rsid w:val="00532ADC"/>
    <w:rsid w:val="00533475"/>
    <w:rsid w:val="00537E0E"/>
    <w:rsid w:val="00541C57"/>
    <w:rsid w:val="0054221C"/>
    <w:rsid w:val="005431B9"/>
    <w:rsid w:val="00544353"/>
    <w:rsid w:val="00545267"/>
    <w:rsid w:val="005458ED"/>
    <w:rsid w:val="00545B76"/>
    <w:rsid w:val="00546BAB"/>
    <w:rsid w:val="00551B64"/>
    <w:rsid w:val="00552C64"/>
    <w:rsid w:val="00553638"/>
    <w:rsid w:val="005543E6"/>
    <w:rsid w:val="00561484"/>
    <w:rsid w:val="00561EAD"/>
    <w:rsid w:val="00563762"/>
    <w:rsid w:val="00564167"/>
    <w:rsid w:val="005657D7"/>
    <w:rsid w:val="0056596D"/>
    <w:rsid w:val="00571043"/>
    <w:rsid w:val="00572B60"/>
    <w:rsid w:val="00572C11"/>
    <w:rsid w:val="0057482A"/>
    <w:rsid w:val="00575F1E"/>
    <w:rsid w:val="00577E53"/>
    <w:rsid w:val="005809C0"/>
    <w:rsid w:val="005906A3"/>
    <w:rsid w:val="00591280"/>
    <w:rsid w:val="00591D9B"/>
    <w:rsid w:val="00591E0C"/>
    <w:rsid w:val="00592C5D"/>
    <w:rsid w:val="005934DA"/>
    <w:rsid w:val="00593B55"/>
    <w:rsid w:val="00594C81"/>
    <w:rsid w:val="00596A79"/>
    <w:rsid w:val="00596A96"/>
    <w:rsid w:val="00596E77"/>
    <w:rsid w:val="0059788C"/>
    <w:rsid w:val="005A1CB7"/>
    <w:rsid w:val="005A2ABB"/>
    <w:rsid w:val="005A2B0F"/>
    <w:rsid w:val="005A4CAD"/>
    <w:rsid w:val="005A5B27"/>
    <w:rsid w:val="005A6523"/>
    <w:rsid w:val="005B05E4"/>
    <w:rsid w:val="005B17B6"/>
    <w:rsid w:val="005B2AA0"/>
    <w:rsid w:val="005B359A"/>
    <w:rsid w:val="005B47B5"/>
    <w:rsid w:val="005B530D"/>
    <w:rsid w:val="005B5351"/>
    <w:rsid w:val="005C1444"/>
    <w:rsid w:val="005C58CC"/>
    <w:rsid w:val="005C5D22"/>
    <w:rsid w:val="005C672B"/>
    <w:rsid w:val="005C7BAB"/>
    <w:rsid w:val="005D0607"/>
    <w:rsid w:val="005D2C73"/>
    <w:rsid w:val="005D40E1"/>
    <w:rsid w:val="005D4624"/>
    <w:rsid w:val="005D56C6"/>
    <w:rsid w:val="005D6672"/>
    <w:rsid w:val="005D7FC4"/>
    <w:rsid w:val="005E01C4"/>
    <w:rsid w:val="005E288B"/>
    <w:rsid w:val="005E5C6A"/>
    <w:rsid w:val="005E69BC"/>
    <w:rsid w:val="005E7E1D"/>
    <w:rsid w:val="005F1B4E"/>
    <w:rsid w:val="005F4171"/>
    <w:rsid w:val="005F46C4"/>
    <w:rsid w:val="0060049A"/>
    <w:rsid w:val="00602FE3"/>
    <w:rsid w:val="00605386"/>
    <w:rsid w:val="006056B7"/>
    <w:rsid w:val="00611239"/>
    <w:rsid w:val="0061185A"/>
    <w:rsid w:val="00611941"/>
    <w:rsid w:val="006120E9"/>
    <w:rsid w:val="00612301"/>
    <w:rsid w:val="006124A0"/>
    <w:rsid w:val="0061265B"/>
    <w:rsid w:val="00612BE8"/>
    <w:rsid w:val="00613499"/>
    <w:rsid w:val="00620174"/>
    <w:rsid w:val="006202CC"/>
    <w:rsid w:val="00621ECD"/>
    <w:rsid w:val="00622B6D"/>
    <w:rsid w:val="00622BCE"/>
    <w:rsid w:val="006234BB"/>
    <w:rsid w:val="00624E71"/>
    <w:rsid w:val="006274BC"/>
    <w:rsid w:val="0063135A"/>
    <w:rsid w:val="0063208A"/>
    <w:rsid w:val="0063208C"/>
    <w:rsid w:val="006328D1"/>
    <w:rsid w:val="00633945"/>
    <w:rsid w:val="0063466B"/>
    <w:rsid w:val="00634742"/>
    <w:rsid w:val="00635BE2"/>
    <w:rsid w:val="00635CB1"/>
    <w:rsid w:val="00636828"/>
    <w:rsid w:val="00636E7D"/>
    <w:rsid w:val="0063786F"/>
    <w:rsid w:val="006405BE"/>
    <w:rsid w:val="00640830"/>
    <w:rsid w:val="0064170E"/>
    <w:rsid w:val="00642584"/>
    <w:rsid w:val="00642EC8"/>
    <w:rsid w:val="00643433"/>
    <w:rsid w:val="006437F4"/>
    <w:rsid w:val="00644543"/>
    <w:rsid w:val="00647403"/>
    <w:rsid w:val="0065020A"/>
    <w:rsid w:val="00651963"/>
    <w:rsid w:val="006522F1"/>
    <w:rsid w:val="006538F8"/>
    <w:rsid w:val="006541DD"/>
    <w:rsid w:val="006553F2"/>
    <w:rsid w:val="006561A1"/>
    <w:rsid w:val="00657DF3"/>
    <w:rsid w:val="00662B83"/>
    <w:rsid w:val="006643ED"/>
    <w:rsid w:val="006647AF"/>
    <w:rsid w:val="00666F31"/>
    <w:rsid w:val="00667D76"/>
    <w:rsid w:val="00672F38"/>
    <w:rsid w:val="00675044"/>
    <w:rsid w:val="00675E45"/>
    <w:rsid w:val="00676788"/>
    <w:rsid w:val="006768C3"/>
    <w:rsid w:val="00676D92"/>
    <w:rsid w:val="0068142D"/>
    <w:rsid w:val="00681ECA"/>
    <w:rsid w:val="006847D9"/>
    <w:rsid w:val="00684808"/>
    <w:rsid w:val="00684F5F"/>
    <w:rsid w:val="00684FF9"/>
    <w:rsid w:val="006855E8"/>
    <w:rsid w:val="00685D60"/>
    <w:rsid w:val="00690E99"/>
    <w:rsid w:val="00693416"/>
    <w:rsid w:val="00693669"/>
    <w:rsid w:val="00693CBF"/>
    <w:rsid w:val="00694853"/>
    <w:rsid w:val="006965F7"/>
    <w:rsid w:val="0069799F"/>
    <w:rsid w:val="006A046E"/>
    <w:rsid w:val="006A210B"/>
    <w:rsid w:val="006A4196"/>
    <w:rsid w:val="006A48C5"/>
    <w:rsid w:val="006A5D41"/>
    <w:rsid w:val="006A6B89"/>
    <w:rsid w:val="006A78D2"/>
    <w:rsid w:val="006A7B40"/>
    <w:rsid w:val="006B0BF1"/>
    <w:rsid w:val="006B0C85"/>
    <w:rsid w:val="006B1D6B"/>
    <w:rsid w:val="006B3AED"/>
    <w:rsid w:val="006B4F0B"/>
    <w:rsid w:val="006B5942"/>
    <w:rsid w:val="006B70EF"/>
    <w:rsid w:val="006B7978"/>
    <w:rsid w:val="006C049C"/>
    <w:rsid w:val="006C0969"/>
    <w:rsid w:val="006C15C6"/>
    <w:rsid w:val="006C1F52"/>
    <w:rsid w:val="006C2D3A"/>
    <w:rsid w:val="006C351B"/>
    <w:rsid w:val="006C4AE0"/>
    <w:rsid w:val="006C5099"/>
    <w:rsid w:val="006C5CA4"/>
    <w:rsid w:val="006C5CE5"/>
    <w:rsid w:val="006C684E"/>
    <w:rsid w:val="006C6A00"/>
    <w:rsid w:val="006C7C91"/>
    <w:rsid w:val="006D0047"/>
    <w:rsid w:val="006D27A5"/>
    <w:rsid w:val="006D293F"/>
    <w:rsid w:val="006D29C5"/>
    <w:rsid w:val="006D2C41"/>
    <w:rsid w:val="006D2CA0"/>
    <w:rsid w:val="006D2ECC"/>
    <w:rsid w:val="006D3460"/>
    <w:rsid w:val="006D3A6F"/>
    <w:rsid w:val="006D3D60"/>
    <w:rsid w:val="006D479D"/>
    <w:rsid w:val="006D4907"/>
    <w:rsid w:val="006D50B2"/>
    <w:rsid w:val="006D5F44"/>
    <w:rsid w:val="006E0688"/>
    <w:rsid w:val="006E09B6"/>
    <w:rsid w:val="006E3BAC"/>
    <w:rsid w:val="006E438F"/>
    <w:rsid w:val="006E6F0D"/>
    <w:rsid w:val="006E7F88"/>
    <w:rsid w:val="006F1210"/>
    <w:rsid w:val="006F1212"/>
    <w:rsid w:val="006F1A32"/>
    <w:rsid w:val="006F2531"/>
    <w:rsid w:val="006F268B"/>
    <w:rsid w:val="006F2C01"/>
    <w:rsid w:val="006F3F3A"/>
    <w:rsid w:val="006F6370"/>
    <w:rsid w:val="006F6FBB"/>
    <w:rsid w:val="00701C28"/>
    <w:rsid w:val="007038DF"/>
    <w:rsid w:val="00704FBB"/>
    <w:rsid w:val="00707A74"/>
    <w:rsid w:val="00710822"/>
    <w:rsid w:val="00712426"/>
    <w:rsid w:val="00712541"/>
    <w:rsid w:val="00713BCA"/>
    <w:rsid w:val="00716187"/>
    <w:rsid w:val="007166A3"/>
    <w:rsid w:val="00725996"/>
    <w:rsid w:val="007269C1"/>
    <w:rsid w:val="0072759E"/>
    <w:rsid w:val="00727762"/>
    <w:rsid w:val="00727F62"/>
    <w:rsid w:val="007305E2"/>
    <w:rsid w:val="00732B27"/>
    <w:rsid w:val="00733388"/>
    <w:rsid w:val="007340A5"/>
    <w:rsid w:val="00735745"/>
    <w:rsid w:val="00737A0A"/>
    <w:rsid w:val="007427F8"/>
    <w:rsid w:val="007447FF"/>
    <w:rsid w:val="00747A8F"/>
    <w:rsid w:val="00747DD0"/>
    <w:rsid w:val="00752FC1"/>
    <w:rsid w:val="00753FF9"/>
    <w:rsid w:val="0076089C"/>
    <w:rsid w:val="007608B8"/>
    <w:rsid w:val="0076126F"/>
    <w:rsid w:val="00767CB7"/>
    <w:rsid w:val="00770B02"/>
    <w:rsid w:val="00770CA0"/>
    <w:rsid w:val="00770EDB"/>
    <w:rsid w:val="007715EA"/>
    <w:rsid w:val="00773B6D"/>
    <w:rsid w:val="0077563C"/>
    <w:rsid w:val="007767C2"/>
    <w:rsid w:val="00777A38"/>
    <w:rsid w:val="00781309"/>
    <w:rsid w:val="00781504"/>
    <w:rsid w:val="007823E9"/>
    <w:rsid w:val="00783CE3"/>
    <w:rsid w:val="00783FF2"/>
    <w:rsid w:val="00784E08"/>
    <w:rsid w:val="00784EBD"/>
    <w:rsid w:val="00786C04"/>
    <w:rsid w:val="00786FA7"/>
    <w:rsid w:val="007872CD"/>
    <w:rsid w:val="00793304"/>
    <w:rsid w:val="00795F54"/>
    <w:rsid w:val="007A0EEA"/>
    <w:rsid w:val="007A196D"/>
    <w:rsid w:val="007A76B5"/>
    <w:rsid w:val="007B047E"/>
    <w:rsid w:val="007B05E0"/>
    <w:rsid w:val="007B23D2"/>
    <w:rsid w:val="007B48A5"/>
    <w:rsid w:val="007B56BD"/>
    <w:rsid w:val="007B5A65"/>
    <w:rsid w:val="007B6243"/>
    <w:rsid w:val="007B6AA6"/>
    <w:rsid w:val="007B6F5F"/>
    <w:rsid w:val="007C12D0"/>
    <w:rsid w:val="007C15E1"/>
    <w:rsid w:val="007C1897"/>
    <w:rsid w:val="007C226D"/>
    <w:rsid w:val="007C4C62"/>
    <w:rsid w:val="007C4D70"/>
    <w:rsid w:val="007D0AE4"/>
    <w:rsid w:val="007D0BCE"/>
    <w:rsid w:val="007D1145"/>
    <w:rsid w:val="007D4DBB"/>
    <w:rsid w:val="007D4ED4"/>
    <w:rsid w:val="007D4F1C"/>
    <w:rsid w:val="007D53DF"/>
    <w:rsid w:val="007D688A"/>
    <w:rsid w:val="007E1809"/>
    <w:rsid w:val="007E1E31"/>
    <w:rsid w:val="007E2731"/>
    <w:rsid w:val="007E36E3"/>
    <w:rsid w:val="007E496A"/>
    <w:rsid w:val="007E5F3E"/>
    <w:rsid w:val="007E62C0"/>
    <w:rsid w:val="007E6CD4"/>
    <w:rsid w:val="007E6F10"/>
    <w:rsid w:val="007E772C"/>
    <w:rsid w:val="007F1EE4"/>
    <w:rsid w:val="007F2C42"/>
    <w:rsid w:val="007F2FB0"/>
    <w:rsid w:val="007F3519"/>
    <w:rsid w:val="007F3B46"/>
    <w:rsid w:val="007F3F35"/>
    <w:rsid w:val="007F4F4E"/>
    <w:rsid w:val="007F5A25"/>
    <w:rsid w:val="007F6B12"/>
    <w:rsid w:val="00800103"/>
    <w:rsid w:val="008006EF"/>
    <w:rsid w:val="008009C5"/>
    <w:rsid w:val="00801606"/>
    <w:rsid w:val="00801A2E"/>
    <w:rsid w:val="008044C8"/>
    <w:rsid w:val="00804E99"/>
    <w:rsid w:val="00806154"/>
    <w:rsid w:val="00806682"/>
    <w:rsid w:val="00810408"/>
    <w:rsid w:val="008148F1"/>
    <w:rsid w:val="00814D9B"/>
    <w:rsid w:val="00815125"/>
    <w:rsid w:val="0081754D"/>
    <w:rsid w:val="00817925"/>
    <w:rsid w:val="0082126C"/>
    <w:rsid w:val="008225E0"/>
    <w:rsid w:val="008240AB"/>
    <w:rsid w:val="008247FC"/>
    <w:rsid w:val="0082545D"/>
    <w:rsid w:val="008264D8"/>
    <w:rsid w:val="00826E75"/>
    <w:rsid w:val="00827015"/>
    <w:rsid w:val="008303DF"/>
    <w:rsid w:val="0083228C"/>
    <w:rsid w:val="00833E12"/>
    <w:rsid w:val="0083526D"/>
    <w:rsid w:val="008423D7"/>
    <w:rsid w:val="008435FA"/>
    <w:rsid w:val="008456DD"/>
    <w:rsid w:val="00845B8B"/>
    <w:rsid w:val="00845BEC"/>
    <w:rsid w:val="008461ED"/>
    <w:rsid w:val="00852C80"/>
    <w:rsid w:val="0085505F"/>
    <w:rsid w:val="0085587A"/>
    <w:rsid w:val="008560C7"/>
    <w:rsid w:val="00856B5C"/>
    <w:rsid w:val="00856FCA"/>
    <w:rsid w:val="00857262"/>
    <w:rsid w:val="0085729E"/>
    <w:rsid w:val="008573C5"/>
    <w:rsid w:val="00857A30"/>
    <w:rsid w:val="008601CA"/>
    <w:rsid w:val="00861819"/>
    <w:rsid w:val="0086251B"/>
    <w:rsid w:val="00863679"/>
    <w:rsid w:val="00863F0A"/>
    <w:rsid w:val="0086426E"/>
    <w:rsid w:val="00864A69"/>
    <w:rsid w:val="00864CBB"/>
    <w:rsid w:val="00866408"/>
    <w:rsid w:val="008713BD"/>
    <w:rsid w:val="00871B47"/>
    <w:rsid w:val="00871CBC"/>
    <w:rsid w:val="00872F98"/>
    <w:rsid w:val="00873F9D"/>
    <w:rsid w:val="008743AD"/>
    <w:rsid w:val="008748CC"/>
    <w:rsid w:val="008755AF"/>
    <w:rsid w:val="00875F4B"/>
    <w:rsid w:val="0087675D"/>
    <w:rsid w:val="00877769"/>
    <w:rsid w:val="00880969"/>
    <w:rsid w:val="008816F7"/>
    <w:rsid w:val="008831EB"/>
    <w:rsid w:val="008840F3"/>
    <w:rsid w:val="008842CE"/>
    <w:rsid w:val="00884442"/>
    <w:rsid w:val="0088465E"/>
    <w:rsid w:val="008847B7"/>
    <w:rsid w:val="008853A3"/>
    <w:rsid w:val="00887EBD"/>
    <w:rsid w:val="0089036E"/>
    <w:rsid w:val="00890772"/>
    <w:rsid w:val="00890B8E"/>
    <w:rsid w:val="00891620"/>
    <w:rsid w:val="00893527"/>
    <w:rsid w:val="00893560"/>
    <w:rsid w:val="00895329"/>
    <w:rsid w:val="00897274"/>
    <w:rsid w:val="00897B48"/>
    <w:rsid w:val="008A00C9"/>
    <w:rsid w:val="008A0267"/>
    <w:rsid w:val="008A097A"/>
    <w:rsid w:val="008A1313"/>
    <w:rsid w:val="008A3584"/>
    <w:rsid w:val="008A4CEF"/>
    <w:rsid w:val="008A6253"/>
    <w:rsid w:val="008B26B1"/>
    <w:rsid w:val="008B3779"/>
    <w:rsid w:val="008B5483"/>
    <w:rsid w:val="008B7469"/>
    <w:rsid w:val="008B7CAD"/>
    <w:rsid w:val="008C01F8"/>
    <w:rsid w:val="008C0BFE"/>
    <w:rsid w:val="008C2A30"/>
    <w:rsid w:val="008C3655"/>
    <w:rsid w:val="008C4ED6"/>
    <w:rsid w:val="008C58DF"/>
    <w:rsid w:val="008D2064"/>
    <w:rsid w:val="008D3DED"/>
    <w:rsid w:val="008D5C85"/>
    <w:rsid w:val="008D6709"/>
    <w:rsid w:val="008E01F8"/>
    <w:rsid w:val="008E39F4"/>
    <w:rsid w:val="008E505B"/>
    <w:rsid w:val="008E5327"/>
    <w:rsid w:val="008E63FE"/>
    <w:rsid w:val="008E67A0"/>
    <w:rsid w:val="008F1258"/>
    <w:rsid w:val="008F5DDF"/>
    <w:rsid w:val="008F6381"/>
    <w:rsid w:val="008F6E3A"/>
    <w:rsid w:val="008F7251"/>
    <w:rsid w:val="00900222"/>
    <w:rsid w:val="0090052F"/>
    <w:rsid w:val="00900912"/>
    <w:rsid w:val="00900E84"/>
    <w:rsid w:val="00902228"/>
    <w:rsid w:val="00903E56"/>
    <w:rsid w:val="00903E5C"/>
    <w:rsid w:val="00904D8F"/>
    <w:rsid w:val="009111A8"/>
    <w:rsid w:val="00911E33"/>
    <w:rsid w:val="009161CE"/>
    <w:rsid w:val="0091688E"/>
    <w:rsid w:val="00916AC4"/>
    <w:rsid w:val="00916B0D"/>
    <w:rsid w:val="00916D3E"/>
    <w:rsid w:val="009200A0"/>
    <w:rsid w:val="009237F3"/>
    <w:rsid w:val="00925250"/>
    <w:rsid w:val="00930A01"/>
    <w:rsid w:val="00930DB0"/>
    <w:rsid w:val="009316A9"/>
    <w:rsid w:val="00933580"/>
    <w:rsid w:val="00936164"/>
    <w:rsid w:val="0094121C"/>
    <w:rsid w:val="00941CDC"/>
    <w:rsid w:val="0094320C"/>
    <w:rsid w:val="0094339A"/>
    <w:rsid w:val="0094341C"/>
    <w:rsid w:val="00944151"/>
    <w:rsid w:val="00944873"/>
    <w:rsid w:val="00945DFC"/>
    <w:rsid w:val="00947283"/>
    <w:rsid w:val="00947C3E"/>
    <w:rsid w:val="00956858"/>
    <w:rsid w:val="00960366"/>
    <w:rsid w:val="00960D82"/>
    <w:rsid w:val="00962310"/>
    <w:rsid w:val="009626A9"/>
    <w:rsid w:val="00963CB9"/>
    <w:rsid w:val="00964174"/>
    <w:rsid w:val="009643AA"/>
    <w:rsid w:val="00965F4F"/>
    <w:rsid w:val="00966F2C"/>
    <w:rsid w:val="00967102"/>
    <w:rsid w:val="0096725C"/>
    <w:rsid w:val="009729CC"/>
    <w:rsid w:val="00972EE8"/>
    <w:rsid w:val="00974F61"/>
    <w:rsid w:val="0097659A"/>
    <w:rsid w:val="00976D0B"/>
    <w:rsid w:val="00980A2E"/>
    <w:rsid w:val="009812AE"/>
    <w:rsid w:val="00982C8D"/>
    <w:rsid w:val="009831D6"/>
    <w:rsid w:val="00984021"/>
    <w:rsid w:val="00985FA6"/>
    <w:rsid w:val="0098661D"/>
    <w:rsid w:val="00986BFD"/>
    <w:rsid w:val="0098739E"/>
    <w:rsid w:val="0098777A"/>
    <w:rsid w:val="00990FA6"/>
    <w:rsid w:val="00991898"/>
    <w:rsid w:val="00995A57"/>
    <w:rsid w:val="00995DDE"/>
    <w:rsid w:val="00995F13"/>
    <w:rsid w:val="009A04E0"/>
    <w:rsid w:val="009A04F0"/>
    <w:rsid w:val="009A186B"/>
    <w:rsid w:val="009A1FCF"/>
    <w:rsid w:val="009A1FE8"/>
    <w:rsid w:val="009A7B80"/>
    <w:rsid w:val="009A7C40"/>
    <w:rsid w:val="009A7D43"/>
    <w:rsid w:val="009B11B2"/>
    <w:rsid w:val="009B3E7C"/>
    <w:rsid w:val="009B4475"/>
    <w:rsid w:val="009B4EE1"/>
    <w:rsid w:val="009B4F62"/>
    <w:rsid w:val="009B5664"/>
    <w:rsid w:val="009B7178"/>
    <w:rsid w:val="009B7CAF"/>
    <w:rsid w:val="009C165A"/>
    <w:rsid w:val="009C21B2"/>
    <w:rsid w:val="009C2470"/>
    <w:rsid w:val="009C3CE0"/>
    <w:rsid w:val="009C56EB"/>
    <w:rsid w:val="009C5DDE"/>
    <w:rsid w:val="009C6045"/>
    <w:rsid w:val="009C7C2E"/>
    <w:rsid w:val="009D0179"/>
    <w:rsid w:val="009D172E"/>
    <w:rsid w:val="009D2D5F"/>
    <w:rsid w:val="009D46AB"/>
    <w:rsid w:val="009D49D3"/>
    <w:rsid w:val="009D6C26"/>
    <w:rsid w:val="009D765A"/>
    <w:rsid w:val="009E0CF8"/>
    <w:rsid w:val="009E2D23"/>
    <w:rsid w:val="009E33DF"/>
    <w:rsid w:val="009E4074"/>
    <w:rsid w:val="009E45B7"/>
    <w:rsid w:val="009E49BB"/>
    <w:rsid w:val="009E5875"/>
    <w:rsid w:val="009E5F96"/>
    <w:rsid w:val="009E67ED"/>
    <w:rsid w:val="009E6E33"/>
    <w:rsid w:val="009E7391"/>
    <w:rsid w:val="009E76B2"/>
    <w:rsid w:val="009F025C"/>
    <w:rsid w:val="009F0828"/>
    <w:rsid w:val="009F0A19"/>
    <w:rsid w:val="009F15AB"/>
    <w:rsid w:val="009F1CE6"/>
    <w:rsid w:val="009F20F5"/>
    <w:rsid w:val="009F4CEA"/>
    <w:rsid w:val="009F6DB5"/>
    <w:rsid w:val="00A00445"/>
    <w:rsid w:val="00A016B5"/>
    <w:rsid w:val="00A03419"/>
    <w:rsid w:val="00A066AB"/>
    <w:rsid w:val="00A07C1B"/>
    <w:rsid w:val="00A10C23"/>
    <w:rsid w:val="00A10F5F"/>
    <w:rsid w:val="00A11394"/>
    <w:rsid w:val="00A11EE3"/>
    <w:rsid w:val="00A12120"/>
    <w:rsid w:val="00A1235B"/>
    <w:rsid w:val="00A131C5"/>
    <w:rsid w:val="00A1324A"/>
    <w:rsid w:val="00A138C9"/>
    <w:rsid w:val="00A13931"/>
    <w:rsid w:val="00A14997"/>
    <w:rsid w:val="00A15EEF"/>
    <w:rsid w:val="00A1662F"/>
    <w:rsid w:val="00A202FB"/>
    <w:rsid w:val="00A21F0D"/>
    <w:rsid w:val="00A225E4"/>
    <w:rsid w:val="00A22789"/>
    <w:rsid w:val="00A2543A"/>
    <w:rsid w:val="00A256E7"/>
    <w:rsid w:val="00A2641B"/>
    <w:rsid w:val="00A31786"/>
    <w:rsid w:val="00A327A1"/>
    <w:rsid w:val="00A3323D"/>
    <w:rsid w:val="00A33B49"/>
    <w:rsid w:val="00A34770"/>
    <w:rsid w:val="00A3590F"/>
    <w:rsid w:val="00A40690"/>
    <w:rsid w:val="00A40C14"/>
    <w:rsid w:val="00A42E88"/>
    <w:rsid w:val="00A431D2"/>
    <w:rsid w:val="00A46EE1"/>
    <w:rsid w:val="00A52748"/>
    <w:rsid w:val="00A573D5"/>
    <w:rsid w:val="00A601AB"/>
    <w:rsid w:val="00A60B80"/>
    <w:rsid w:val="00A63A2F"/>
    <w:rsid w:val="00A64388"/>
    <w:rsid w:val="00A64B13"/>
    <w:rsid w:val="00A6778B"/>
    <w:rsid w:val="00A702DF"/>
    <w:rsid w:val="00A705CD"/>
    <w:rsid w:val="00A71628"/>
    <w:rsid w:val="00A73CD1"/>
    <w:rsid w:val="00A74DF4"/>
    <w:rsid w:val="00A751A1"/>
    <w:rsid w:val="00A752D1"/>
    <w:rsid w:val="00A76367"/>
    <w:rsid w:val="00A76389"/>
    <w:rsid w:val="00A7745E"/>
    <w:rsid w:val="00A7779E"/>
    <w:rsid w:val="00A800BA"/>
    <w:rsid w:val="00A81487"/>
    <w:rsid w:val="00A841E0"/>
    <w:rsid w:val="00A86246"/>
    <w:rsid w:val="00A868F0"/>
    <w:rsid w:val="00A869CC"/>
    <w:rsid w:val="00A8785D"/>
    <w:rsid w:val="00A90A42"/>
    <w:rsid w:val="00A92FC4"/>
    <w:rsid w:val="00A95D7A"/>
    <w:rsid w:val="00A961EC"/>
    <w:rsid w:val="00A967BD"/>
    <w:rsid w:val="00AA21C0"/>
    <w:rsid w:val="00AA6E6D"/>
    <w:rsid w:val="00AA7483"/>
    <w:rsid w:val="00AA7AA0"/>
    <w:rsid w:val="00AA7E9D"/>
    <w:rsid w:val="00AB0D6F"/>
    <w:rsid w:val="00AB330C"/>
    <w:rsid w:val="00AB3463"/>
    <w:rsid w:val="00AB39B1"/>
    <w:rsid w:val="00AB5D84"/>
    <w:rsid w:val="00AC083C"/>
    <w:rsid w:val="00AC0A2C"/>
    <w:rsid w:val="00AC257F"/>
    <w:rsid w:val="00AC2A5B"/>
    <w:rsid w:val="00AC2DD4"/>
    <w:rsid w:val="00AC5AA4"/>
    <w:rsid w:val="00AC64BA"/>
    <w:rsid w:val="00AC653E"/>
    <w:rsid w:val="00AC67D3"/>
    <w:rsid w:val="00AD11C8"/>
    <w:rsid w:val="00AD15D0"/>
    <w:rsid w:val="00AD3838"/>
    <w:rsid w:val="00AD4028"/>
    <w:rsid w:val="00AD4E12"/>
    <w:rsid w:val="00AD6985"/>
    <w:rsid w:val="00AE0DBB"/>
    <w:rsid w:val="00AE1118"/>
    <w:rsid w:val="00AE15CC"/>
    <w:rsid w:val="00AE39CB"/>
    <w:rsid w:val="00AE5429"/>
    <w:rsid w:val="00AE63DA"/>
    <w:rsid w:val="00AE6491"/>
    <w:rsid w:val="00AF04CE"/>
    <w:rsid w:val="00AF148D"/>
    <w:rsid w:val="00AF1B31"/>
    <w:rsid w:val="00AF617D"/>
    <w:rsid w:val="00B009F1"/>
    <w:rsid w:val="00B03736"/>
    <w:rsid w:val="00B04E5F"/>
    <w:rsid w:val="00B052AC"/>
    <w:rsid w:val="00B054C7"/>
    <w:rsid w:val="00B073BA"/>
    <w:rsid w:val="00B07E71"/>
    <w:rsid w:val="00B1221E"/>
    <w:rsid w:val="00B124C2"/>
    <w:rsid w:val="00B128C1"/>
    <w:rsid w:val="00B12CC3"/>
    <w:rsid w:val="00B14997"/>
    <w:rsid w:val="00B1585D"/>
    <w:rsid w:val="00B20844"/>
    <w:rsid w:val="00B20FD3"/>
    <w:rsid w:val="00B210B6"/>
    <w:rsid w:val="00B210D3"/>
    <w:rsid w:val="00B227D5"/>
    <w:rsid w:val="00B22DF3"/>
    <w:rsid w:val="00B2574F"/>
    <w:rsid w:val="00B26C71"/>
    <w:rsid w:val="00B27040"/>
    <w:rsid w:val="00B27076"/>
    <w:rsid w:val="00B279AC"/>
    <w:rsid w:val="00B27F87"/>
    <w:rsid w:val="00B27FA1"/>
    <w:rsid w:val="00B30603"/>
    <w:rsid w:val="00B32EF0"/>
    <w:rsid w:val="00B342A8"/>
    <w:rsid w:val="00B35C5B"/>
    <w:rsid w:val="00B37C5E"/>
    <w:rsid w:val="00B437B0"/>
    <w:rsid w:val="00B4575E"/>
    <w:rsid w:val="00B45B9E"/>
    <w:rsid w:val="00B467A9"/>
    <w:rsid w:val="00B46A08"/>
    <w:rsid w:val="00B479CD"/>
    <w:rsid w:val="00B50BC7"/>
    <w:rsid w:val="00B51412"/>
    <w:rsid w:val="00B522A6"/>
    <w:rsid w:val="00B554E8"/>
    <w:rsid w:val="00B5553D"/>
    <w:rsid w:val="00B55ABF"/>
    <w:rsid w:val="00B57972"/>
    <w:rsid w:val="00B605DC"/>
    <w:rsid w:val="00B626F0"/>
    <w:rsid w:val="00B62B44"/>
    <w:rsid w:val="00B652CF"/>
    <w:rsid w:val="00B65A4F"/>
    <w:rsid w:val="00B65AAD"/>
    <w:rsid w:val="00B6661C"/>
    <w:rsid w:val="00B66C5D"/>
    <w:rsid w:val="00B711A3"/>
    <w:rsid w:val="00B71326"/>
    <w:rsid w:val="00B7151B"/>
    <w:rsid w:val="00B738DF"/>
    <w:rsid w:val="00B742B8"/>
    <w:rsid w:val="00B75A09"/>
    <w:rsid w:val="00B76D55"/>
    <w:rsid w:val="00B76E1D"/>
    <w:rsid w:val="00B77156"/>
    <w:rsid w:val="00B77DD4"/>
    <w:rsid w:val="00B814BC"/>
    <w:rsid w:val="00B8245D"/>
    <w:rsid w:val="00B844A8"/>
    <w:rsid w:val="00B84FF6"/>
    <w:rsid w:val="00B860A3"/>
    <w:rsid w:val="00B87F8E"/>
    <w:rsid w:val="00B91B07"/>
    <w:rsid w:val="00B9217E"/>
    <w:rsid w:val="00B93F05"/>
    <w:rsid w:val="00B94589"/>
    <w:rsid w:val="00B95C2E"/>
    <w:rsid w:val="00B97137"/>
    <w:rsid w:val="00BA0065"/>
    <w:rsid w:val="00BA10EF"/>
    <w:rsid w:val="00BA3E2F"/>
    <w:rsid w:val="00BA4E78"/>
    <w:rsid w:val="00BA4F0C"/>
    <w:rsid w:val="00BA6369"/>
    <w:rsid w:val="00BA761F"/>
    <w:rsid w:val="00BB276B"/>
    <w:rsid w:val="00BB27C8"/>
    <w:rsid w:val="00BB51B8"/>
    <w:rsid w:val="00BB5906"/>
    <w:rsid w:val="00BB6629"/>
    <w:rsid w:val="00BB7FDA"/>
    <w:rsid w:val="00BC0591"/>
    <w:rsid w:val="00BC21EB"/>
    <w:rsid w:val="00BC3B14"/>
    <w:rsid w:val="00BC5A21"/>
    <w:rsid w:val="00BC5E30"/>
    <w:rsid w:val="00BC7040"/>
    <w:rsid w:val="00BC73A2"/>
    <w:rsid w:val="00BC7520"/>
    <w:rsid w:val="00BC7735"/>
    <w:rsid w:val="00BD03DC"/>
    <w:rsid w:val="00BD1245"/>
    <w:rsid w:val="00BD2962"/>
    <w:rsid w:val="00BD3114"/>
    <w:rsid w:val="00BD42E3"/>
    <w:rsid w:val="00BD47F2"/>
    <w:rsid w:val="00BD62AC"/>
    <w:rsid w:val="00BD64AE"/>
    <w:rsid w:val="00BD7DC5"/>
    <w:rsid w:val="00BE05B9"/>
    <w:rsid w:val="00BE307B"/>
    <w:rsid w:val="00BE3800"/>
    <w:rsid w:val="00BE3CB8"/>
    <w:rsid w:val="00BE550D"/>
    <w:rsid w:val="00BE5B45"/>
    <w:rsid w:val="00BE5D05"/>
    <w:rsid w:val="00BE668C"/>
    <w:rsid w:val="00BE69E0"/>
    <w:rsid w:val="00BE780F"/>
    <w:rsid w:val="00BF0346"/>
    <w:rsid w:val="00BF5FAE"/>
    <w:rsid w:val="00BF6706"/>
    <w:rsid w:val="00BF715B"/>
    <w:rsid w:val="00BF779E"/>
    <w:rsid w:val="00C0030D"/>
    <w:rsid w:val="00C029DE"/>
    <w:rsid w:val="00C02AF0"/>
    <w:rsid w:val="00C02BF4"/>
    <w:rsid w:val="00C02F48"/>
    <w:rsid w:val="00C03FA3"/>
    <w:rsid w:val="00C04234"/>
    <w:rsid w:val="00C04C41"/>
    <w:rsid w:val="00C06228"/>
    <w:rsid w:val="00C06C0D"/>
    <w:rsid w:val="00C1047C"/>
    <w:rsid w:val="00C115D5"/>
    <w:rsid w:val="00C118B2"/>
    <w:rsid w:val="00C12AC7"/>
    <w:rsid w:val="00C13997"/>
    <w:rsid w:val="00C139DE"/>
    <w:rsid w:val="00C13CE0"/>
    <w:rsid w:val="00C15862"/>
    <w:rsid w:val="00C159CD"/>
    <w:rsid w:val="00C17402"/>
    <w:rsid w:val="00C20C6D"/>
    <w:rsid w:val="00C244D2"/>
    <w:rsid w:val="00C25CE7"/>
    <w:rsid w:val="00C26942"/>
    <w:rsid w:val="00C27525"/>
    <w:rsid w:val="00C30CAC"/>
    <w:rsid w:val="00C3362A"/>
    <w:rsid w:val="00C34CAE"/>
    <w:rsid w:val="00C35ADE"/>
    <w:rsid w:val="00C36E37"/>
    <w:rsid w:val="00C40C5C"/>
    <w:rsid w:val="00C44640"/>
    <w:rsid w:val="00C448FE"/>
    <w:rsid w:val="00C467A2"/>
    <w:rsid w:val="00C468C6"/>
    <w:rsid w:val="00C51C8F"/>
    <w:rsid w:val="00C52768"/>
    <w:rsid w:val="00C52A3B"/>
    <w:rsid w:val="00C57078"/>
    <w:rsid w:val="00C605DB"/>
    <w:rsid w:val="00C61D9A"/>
    <w:rsid w:val="00C62D1C"/>
    <w:rsid w:val="00C64221"/>
    <w:rsid w:val="00C646C8"/>
    <w:rsid w:val="00C6473C"/>
    <w:rsid w:val="00C6488A"/>
    <w:rsid w:val="00C66CCE"/>
    <w:rsid w:val="00C67F3C"/>
    <w:rsid w:val="00C703F1"/>
    <w:rsid w:val="00C76F59"/>
    <w:rsid w:val="00C800F9"/>
    <w:rsid w:val="00C81D4C"/>
    <w:rsid w:val="00C8402E"/>
    <w:rsid w:val="00C845BE"/>
    <w:rsid w:val="00C84AB5"/>
    <w:rsid w:val="00C84E6D"/>
    <w:rsid w:val="00C85766"/>
    <w:rsid w:val="00C864D1"/>
    <w:rsid w:val="00C86CBD"/>
    <w:rsid w:val="00C87955"/>
    <w:rsid w:val="00C928D6"/>
    <w:rsid w:val="00C9373C"/>
    <w:rsid w:val="00C93F3E"/>
    <w:rsid w:val="00C940F7"/>
    <w:rsid w:val="00C96F53"/>
    <w:rsid w:val="00CA0AD5"/>
    <w:rsid w:val="00CA218D"/>
    <w:rsid w:val="00CA2AE8"/>
    <w:rsid w:val="00CA4B26"/>
    <w:rsid w:val="00CB1B98"/>
    <w:rsid w:val="00CB28F1"/>
    <w:rsid w:val="00CB4055"/>
    <w:rsid w:val="00CB40C9"/>
    <w:rsid w:val="00CB6DE2"/>
    <w:rsid w:val="00CB798C"/>
    <w:rsid w:val="00CC1E77"/>
    <w:rsid w:val="00CC2FA2"/>
    <w:rsid w:val="00CC4F80"/>
    <w:rsid w:val="00CC6067"/>
    <w:rsid w:val="00CC67A7"/>
    <w:rsid w:val="00CD3ADF"/>
    <w:rsid w:val="00CD55D1"/>
    <w:rsid w:val="00CD6271"/>
    <w:rsid w:val="00CD717C"/>
    <w:rsid w:val="00CE04A4"/>
    <w:rsid w:val="00CE1DEE"/>
    <w:rsid w:val="00CE1F34"/>
    <w:rsid w:val="00CE3D4B"/>
    <w:rsid w:val="00CE4F2A"/>
    <w:rsid w:val="00CE583E"/>
    <w:rsid w:val="00CE68B0"/>
    <w:rsid w:val="00CE690B"/>
    <w:rsid w:val="00CE7136"/>
    <w:rsid w:val="00CE721A"/>
    <w:rsid w:val="00CE790A"/>
    <w:rsid w:val="00CF0973"/>
    <w:rsid w:val="00CF0A2A"/>
    <w:rsid w:val="00CF36B2"/>
    <w:rsid w:val="00CF443A"/>
    <w:rsid w:val="00CF45D7"/>
    <w:rsid w:val="00CF7294"/>
    <w:rsid w:val="00CF74E3"/>
    <w:rsid w:val="00CF7C5B"/>
    <w:rsid w:val="00D01DFE"/>
    <w:rsid w:val="00D027A1"/>
    <w:rsid w:val="00D028F4"/>
    <w:rsid w:val="00D03006"/>
    <w:rsid w:val="00D07593"/>
    <w:rsid w:val="00D11280"/>
    <w:rsid w:val="00D114BB"/>
    <w:rsid w:val="00D140B3"/>
    <w:rsid w:val="00D15A36"/>
    <w:rsid w:val="00D20653"/>
    <w:rsid w:val="00D21EF7"/>
    <w:rsid w:val="00D22E3A"/>
    <w:rsid w:val="00D24458"/>
    <w:rsid w:val="00D24A39"/>
    <w:rsid w:val="00D264E4"/>
    <w:rsid w:val="00D309AB"/>
    <w:rsid w:val="00D31BA4"/>
    <w:rsid w:val="00D329F3"/>
    <w:rsid w:val="00D35685"/>
    <w:rsid w:val="00D35835"/>
    <w:rsid w:val="00D36143"/>
    <w:rsid w:val="00D36429"/>
    <w:rsid w:val="00D411DB"/>
    <w:rsid w:val="00D413D1"/>
    <w:rsid w:val="00D41D2F"/>
    <w:rsid w:val="00D4280B"/>
    <w:rsid w:val="00D44F25"/>
    <w:rsid w:val="00D4639E"/>
    <w:rsid w:val="00D5083A"/>
    <w:rsid w:val="00D5281C"/>
    <w:rsid w:val="00D54F82"/>
    <w:rsid w:val="00D55602"/>
    <w:rsid w:val="00D6017F"/>
    <w:rsid w:val="00D60F07"/>
    <w:rsid w:val="00D6404F"/>
    <w:rsid w:val="00D6424E"/>
    <w:rsid w:val="00D6589C"/>
    <w:rsid w:val="00D65A0F"/>
    <w:rsid w:val="00D65BC2"/>
    <w:rsid w:val="00D711DE"/>
    <w:rsid w:val="00D71324"/>
    <w:rsid w:val="00D7348C"/>
    <w:rsid w:val="00D736E3"/>
    <w:rsid w:val="00D8046C"/>
    <w:rsid w:val="00D80B70"/>
    <w:rsid w:val="00D81C5C"/>
    <w:rsid w:val="00D82124"/>
    <w:rsid w:val="00D82C45"/>
    <w:rsid w:val="00D82C66"/>
    <w:rsid w:val="00D861D8"/>
    <w:rsid w:val="00D86626"/>
    <w:rsid w:val="00D91B01"/>
    <w:rsid w:val="00D92675"/>
    <w:rsid w:val="00D928C3"/>
    <w:rsid w:val="00D935EA"/>
    <w:rsid w:val="00D9417A"/>
    <w:rsid w:val="00D957A2"/>
    <w:rsid w:val="00D95ABC"/>
    <w:rsid w:val="00D964DB"/>
    <w:rsid w:val="00D97675"/>
    <w:rsid w:val="00D97D25"/>
    <w:rsid w:val="00DA16F5"/>
    <w:rsid w:val="00DA59A5"/>
    <w:rsid w:val="00DA6216"/>
    <w:rsid w:val="00DB03ED"/>
    <w:rsid w:val="00DB13AA"/>
    <w:rsid w:val="00DB15B9"/>
    <w:rsid w:val="00DB324A"/>
    <w:rsid w:val="00DB487C"/>
    <w:rsid w:val="00DB7D85"/>
    <w:rsid w:val="00DB7ED1"/>
    <w:rsid w:val="00DC0C94"/>
    <w:rsid w:val="00DC177D"/>
    <w:rsid w:val="00DC1D98"/>
    <w:rsid w:val="00DC3280"/>
    <w:rsid w:val="00DC4115"/>
    <w:rsid w:val="00DC4554"/>
    <w:rsid w:val="00DC4C90"/>
    <w:rsid w:val="00DC5DB0"/>
    <w:rsid w:val="00DC6193"/>
    <w:rsid w:val="00DC7627"/>
    <w:rsid w:val="00DD18E9"/>
    <w:rsid w:val="00DD2215"/>
    <w:rsid w:val="00DD2E0E"/>
    <w:rsid w:val="00DD41CE"/>
    <w:rsid w:val="00DD4857"/>
    <w:rsid w:val="00DD5B58"/>
    <w:rsid w:val="00DD5FD5"/>
    <w:rsid w:val="00DD6DC0"/>
    <w:rsid w:val="00DD77DE"/>
    <w:rsid w:val="00DD7885"/>
    <w:rsid w:val="00DE0EFC"/>
    <w:rsid w:val="00DE0F78"/>
    <w:rsid w:val="00DE29A0"/>
    <w:rsid w:val="00DE3082"/>
    <w:rsid w:val="00DE4B5F"/>
    <w:rsid w:val="00DE4CB8"/>
    <w:rsid w:val="00DE5869"/>
    <w:rsid w:val="00DE7023"/>
    <w:rsid w:val="00DF16DB"/>
    <w:rsid w:val="00DF1BF0"/>
    <w:rsid w:val="00DF3643"/>
    <w:rsid w:val="00DF4BA2"/>
    <w:rsid w:val="00DF4E8C"/>
    <w:rsid w:val="00DF4F2C"/>
    <w:rsid w:val="00DF6581"/>
    <w:rsid w:val="00DF6B05"/>
    <w:rsid w:val="00E017C0"/>
    <w:rsid w:val="00E04169"/>
    <w:rsid w:val="00E044E7"/>
    <w:rsid w:val="00E04E4B"/>
    <w:rsid w:val="00E06449"/>
    <w:rsid w:val="00E0799E"/>
    <w:rsid w:val="00E10C54"/>
    <w:rsid w:val="00E12946"/>
    <w:rsid w:val="00E13730"/>
    <w:rsid w:val="00E142B0"/>
    <w:rsid w:val="00E16364"/>
    <w:rsid w:val="00E17F98"/>
    <w:rsid w:val="00E20836"/>
    <w:rsid w:val="00E21DCE"/>
    <w:rsid w:val="00E21F58"/>
    <w:rsid w:val="00E23900"/>
    <w:rsid w:val="00E23BC6"/>
    <w:rsid w:val="00E24AF6"/>
    <w:rsid w:val="00E2511D"/>
    <w:rsid w:val="00E2604F"/>
    <w:rsid w:val="00E27E04"/>
    <w:rsid w:val="00E335FB"/>
    <w:rsid w:val="00E33604"/>
    <w:rsid w:val="00E341A3"/>
    <w:rsid w:val="00E36082"/>
    <w:rsid w:val="00E36E86"/>
    <w:rsid w:val="00E37A38"/>
    <w:rsid w:val="00E414D1"/>
    <w:rsid w:val="00E42BB6"/>
    <w:rsid w:val="00E451EB"/>
    <w:rsid w:val="00E4568B"/>
    <w:rsid w:val="00E45C3E"/>
    <w:rsid w:val="00E45F11"/>
    <w:rsid w:val="00E4653E"/>
    <w:rsid w:val="00E515FF"/>
    <w:rsid w:val="00E52414"/>
    <w:rsid w:val="00E526FF"/>
    <w:rsid w:val="00E549B9"/>
    <w:rsid w:val="00E54C76"/>
    <w:rsid w:val="00E5590F"/>
    <w:rsid w:val="00E56396"/>
    <w:rsid w:val="00E613FF"/>
    <w:rsid w:val="00E618CC"/>
    <w:rsid w:val="00E6277D"/>
    <w:rsid w:val="00E62BAF"/>
    <w:rsid w:val="00E62DB7"/>
    <w:rsid w:val="00E62DBF"/>
    <w:rsid w:val="00E631F4"/>
    <w:rsid w:val="00E63DBC"/>
    <w:rsid w:val="00E652E9"/>
    <w:rsid w:val="00E66B90"/>
    <w:rsid w:val="00E66EFF"/>
    <w:rsid w:val="00E73147"/>
    <w:rsid w:val="00E74B29"/>
    <w:rsid w:val="00E7528E"/>
    <w:rsid w:val="00E82C71"/>
    <w:rsid w:val="00E837E2"/>
    <w:rsid w:val="00E852DF"/>
    <w:rsid w:val="00E910EF"/>
    <w:rsid w:val="00E95703"/>
    <w:rsid w:val="00E967A2"/>
    <w:rsid w:val="00E9743B"/>
    <w:rsid w:val="00E979FA"/>
    <w:rsid w:val="00E97C9B"/>
    <w:rsid w:val="00EA0E8A"/>
    <w:rsid w:val="00EA1D06"/>
    <w:rsid w:val="00EA26EF"/>
    <w:rsid w:val="00EA66AE"/>
    <w:rsid w:val="00EB0EE6"/>
    <w:rsid w:val="00EB18C2"/>
    <w:rsid w:val="00EB453F"/>
    <w:rsid w:val="00EB68B2"/>
    <w:rsid w:val="00EB7C34"/>
    <w:rsid w:val="00EC0723"/>
    <w:rsid w:val="00EC2710"/>
    <w:rsid w:val="00EC54FF"/>
    <w:rsid w:val="00EC5E4F"/>
    <w:rsid w:val="00EC700D"/>
    <w:rsid w:val="00EC718E"/>
    <w:rsid w:val="00ED148F"/>
    <w:rsid w:val="00ED1B51"/>
    <w:rsid w:val="00ED2146"/>
    <w:rsid w:val="00ED4007"/>
    <w:rsid w:val="00ED6FA7"/>
    <w:rsid w:val="00EE05B6"/>
    <w:rsid w:val="00EE1729"/>
    <w:rsid w:val="00EE1A06"/>
    <w:rsid w:val="00EE1D89"/>
    <w:rsid w:val="00EE392D"/>
    <w:rsid w:val="00EE4276"/>
    <w:rsid w:val="00EE42F7"/>
    <w:rsid w:val="00EE75F0"/>
    <w:rsid w:val="00EF0CF8"/>
    <w:rsid w:val="00EF1650"/>
    <w:rsid w:val="00EF238F"/>
    <w:rsid w:val="00EF315A"/>
    <w:rsid w:val="00EF39E1"/>
    <w:rsid w:val="00EF5863"/>
    <w:rsid w:val="00F007C7"/>
    <w:rsid w:val="00F01DFE"/>
    <w:rsid w:val="00F02D14"/>
    <w:rsid w:val="00F052A7"/>
    <w:rsid w:val="00F055A1"/>
    <w:rsid w:val="00F069F4"/>
    <w:rsid w:val="00F06ECC"/>
    <w:rsid w:val="00F10862"/>
    <w:rsid w:val="00F10C38"/>
    <w:rsid w:val="00F117E3"/>
    <w:rsid w:val="00F11A99"/>
    <w:rsid w:val="00F12065"/>
    <w:rsid w:val="00F126FD"/>
    <w:rsid w:val="00F166A4"/>
    <w:rsid w:val="00F16BFB"/>
    <w:rsid w:val="00F17EA3"/>
    <w:rsid w:val="00F212D4"/>
    <w:rsid w:val="00F2263E"/>
    <w:rsid w:val="00F246EC"/>
    <w:rsid w:val="00F30A94"/>
    <w:rsid w:val="00F31B3F"/>
    <w:rsid w:val="00F31C2F"/>
    <w:rsid w:val="00F32C17"/>
    <w:rsid w:val="00F33244"/>
    <w:rsid w:val="00F3366D"/>
    <w:rsid w:val="00F379B2"/>
    <w:rsid w:val="00F37D98"/>
    <w:rsid w:val="00F41837"/>
    <w:rsid w:val="00F418FD"/>
    <w:rsid w:val="00F42C5B"/>
    <w:rsid w:val="00F42FC0"/>
    <w:rsid w:val="00F434AB"/>
    <w:rsid w:val="00F44350"/>
    <w:rsid w:val="00F45A3F"/>
    <w:rsid w:val="00F47010"/>
    <w:rsid w:val="00F47106"/>
    <w:rsid w:val="00F47470"/>
    <w:rsid w:val="00F47879"/>
    <w:rsid w:val="00F50FBD"/>
    <w:rsid w:val="00F51556"/>
    <w:rsid w:val="00F51609"/>
    <w:rsid w:val="00F523CB"/>
    <w:rsid w:val="00F54089"/>
    <w:rsid w:val="00F5455E"/>
    <w:rsid w:val="00F54C65"/>
    <w:rsid w:val="00F55976"/>
    <w:rsid w:val="00F55F85"/>
    <w:rsid w:val="00F6400A"/>
    <w:rsid w:val="00F65145"/>
    <w:rsid w:val="00F66606"/>
    <w:rsid w:val="00F70BA7"/>
    <w:rsid w:val="00F71B8E"/>
    <w:rsid w:val="00F744B4"/>
    <w:rsid w:val="00F747AD"/>
    <w:rsid w:val="00F753CF"/>
    <w:rsid w:val="00F778EB"/>
    <w:rsid w:val="00F81237"/>
    <w:rsid w:val="00F82A04"/>
    <w:rsid w:val="00F8484B"/>
    <w:rsid w:val="00F87440"/>
    <w:rsid w:val="00F92B73"/>
    <w:rsid w:val="00F961B8"/>
    <w:rsid w:val="00F9718E"/>
    <w:rsid w:val="00F97215"/>
    <w:rsid w:val="00FA048E"/>
    <w:rsid w:val="00FA05C4"/>
    <w:rsid w:val="00FA362B"/>
    <w:rsid w:val="00FA37FF"/>
    <w:rsid w:val="00FA3A21"/>
    <w:rsid w:val="00FA437F"/>
    <w:rsid w:val="00FA452E"/>
    <w:rsid w:val="00FB2522"/>
    <w:rsid w:val="00FB3ED6"/>
    <w:rsid w:val="00FC0C59"/>
    <w:rsid w:val="00FC7637"/>
    <w:rsid w:val="00FD177E"/>
    <w:rsid w:val="00FD27CC"/>
    <w:rsid w:val="00FD2BEE"/>
    <w:rsid w:val="00FD5145"/>
    <w:rsid w:val="00FD74F6"/>
    <w:rsid w:val="00FD75D1"/>
    <w:rsid w:val="00FD7998"/>
    <w:rsid w:val="00FE01D7"/>
    <w:rsid w:val="00FE2318"/>
    <w:rsid w:val="00FE2CFF"/>
    <w:rsid w:val="00FE453D"/>
    <w:rsid w:val="00FE67E9"/>
    <w:rsid w:val="00FF0523"/>
    <w:rsid w:val="00FF0C8E"/>
    <w:rsid w:val="00FF1122"/>
    <w:rsid w:val="00FF11B1"/>
    <w:rsid w:val="00FF2D6A"/>
    <w:rsid w:val="00FF322D"/>
    <w:rsid w:val="00FF4EB3"/>
    <w:rsid w:val="00FF4F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1635A8"/>
  <w15:docId w15:val="{D47AB843-92BA-4020-A7E4-2257DC67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5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53D"/>
    <w:pPr>
      <w:tabs>
        <w:tab w:val="center" w:pos="4320"/>
        <w:tab w:val="right" w:pos="8640"/>
      </w:tabs>
    </w:pPr>
  </w:style>
  <w:style w:type="character" w:styleId="PageNumber">
    <w:name w:val="page number"/>
    <w:basedOn w:val="DefaultParagraphFont"/>
    <w:rsid w:val="00FE453D"/>
  </w:style>
  <w:style w:type="paragraph" w:styleId="BalloonText">
    <w:name w:val="Balloon Text"/>
    <w:basedOn w:val="Normal"/>
    <w:semiHidden/>
    <w:rsid w:val="0082545D"/>
    <w:rPr>
      <w:rFonts w:ascii="Tahoma" w:hAnsi="Tahoma" w:cs="Tahoma"/>
      <w:sz w:val="16"/>
      <w:szCs w:val="16"/>
    </w:rPr>
  </w:style>
  <w:style w:type="paragraph" w:styleId="FootnoteText">
    <w:name w:val="footnote text"/>
    <w:basedOn w:val="Normal"/>
    <w:link w:val="FootnoteTextChar"/>
    <w:rsid w:val="00002F08"/>
    <w:rPr>
      <w:sz w:val="20"/>
      <w:szCs w:val="20"/>
    </w:rPr>
  </w:style>
  <w:style w:type="character" w:customStyle="1" w:styleId="FootnoteTextChar">
    <w:name w:val="Footnote Text Char"/>
    <w:basedOn w:val="DefaultParagraphFont"/>
    <w:link w:val="FootnoteText"/>
    <w:rsid w:val="00002F08"/>
  </w:style>
  <w:style w:type="character" w:styleId="FootnoteReference">
    <w:name w:val="footnote reference"/>
    <w:rsid w:val="00002F08"/>
    <w:rPr>
      <w:vertAlign w:val="superscript"/>
    </w:rPr>
  </w:style>
  <w:style w:type="paragraph" w:styleId="Footer">
    <w:name w:val="footer"/>
    <w:basedOn w:val="Normal"/>
    <w:link w:val="FooterChar"/>
    <w:rsid w:val="00EC2710"/>
    <w:pPr>
      <w:tabs>
        <w:tab w:val="center" w:pos="4680"/>
        <w:tab w:val="right" w:pos="9360"/>
      </w:tabs>
    </w:pPr>
  </w:style>
  <w:style w:type="character" w:customStyle="1" w:styleId="FooterChar">
    <w:name w:val="Footer Char"/>
    <w:link w:val="Footer"/>
    <w:rsid w:val="00EC2710"/>
    <w:rPr>
      <w:sz w:val="24"/>
      <w:szCs w:val="24"/>
    </w:rPr>
  </w:style>
  <w:style w:type="paragraph" w:styleId="NoSpacing">
    <w:name w:val="No Spacing"/>
    <w:uiPriority w:val="1"/>
    <w:qFormat/>
    <w:rsid w:val="00205BD6"/>
    <w:rPr>
      <w:sz w:val="24"/>
      <w:szCs w:val="24"/>
      <w:lang w:val="en-US" w:eastAsia="en-US"/>
    </w:rPr>
  </w:style>
  <w:style w:type="paragraph" w:styleId="ListParagraph">
    <w:name w:val="List Paragraph"/>
    <w:basedOn w:val="Normal"/>
    <w:uiPriority w:val="34"/>
    <w:qFormat/>
    <w:rsid w:val="00CB798C"/>
    <w:pPr>
      <w:ind w:left="720"/>
    </w:pPr>
  </w:style>
  <w:style w:type="paragraph" w:styleId="EndnoteText">
    <w:name w:val="endnote text"/>
    <w:basedOn w:val="Normal"/>
    <w:link w:val="EndnoteTextChar"/>
    <w:rsid w:val="008B5483"/>
    <w:rPr>
      <w:sz w:val="20"/>
      <w:szCs w:val="20"/>
    </w:rPr>
  </w:style>
  <w:style w:type="character" w:customStyle="1" w:styleId="EndnoteTextChar">
    <w:name w:val="Endnote Text Char"/>
    <w:link w:val="EndnoteText"/>
    <w:rsid w:val="008B5483"/>
    <w:rPr>
      <w:lang w:val="en-US" w:eastAsia="en-US"/>
    </w:rPr>
  </w:style>
  <w:style w:type="character" w:styleId="EndnoteReference">
    <w:name w:val="endnote reference"/>
    <w:rsid w:val="008B5483"/>
    <w:rPr>
      <w:vertAlign w:val="superscript"/>
    </w:rPr>
  </w:style>
  <w:style w:type="table" w:styleId="TableGrid">
    <w:name w:val="Table Grid"/>
    <w:basedOn w:val="TableNormal"/>
    <w:rsid w:val="00C6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D07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68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lii.org/za/cases/ZACC/2009/11.html" TargetMode="External"/><Relationship Id="rId18" Type="http://schemas.openxmlformats.org/officeDocument/2006/relationships/hyperlink" Target="https://www.saflii.org/cgi-bin/LawCite?cit=2004%20%281%29%20SA%2029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saflii.org/cgi-bin/LawCite?cit=2009%20%281%29%20SACR%20414" TargetMode="External"/><Relationship Id="rId7" Type="http://schemas.openxmlformats.org/officeDocument/2006/relationships/settings" Target="settings.xml"/><Relationship Id="rId12" Type="http://schemas.openxmlformats.org/officeDocument/2006/relationships/hyperlink" Target="https://www.saflii.org/cgi-bin/LawCite?cit=2010%20%282%29%20SA%20181" TargetMode="External"/><Relationship Id="rId17" Type="http://schemas.openxmlformats.org/officeDocument/2006/relationships/hyperlink" Target="https://www.saflii.org/cgi-bin/LawCite?cit=1969%20%283%29%20SA%2036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aflii.org/cgi-bin/LawCite?cit=%5b2013%5d%20ZASCA%205" TargetMode="External"/><Relationship Id="rId20" Type="http://schemas.openxmlformats.org/officeDocument/2006/relationships/hyperlink" Target="https://www.saflii.org/cgi-bin/LawCite?cit=%5b2017%5d%20ZASCA%2016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aflii.org/za/legis/consol_act/sca2013224/index.html" TargetMode="External"/><Relationship Id="rId5" Type="http://schemas.openxmlformats.org/officeDocument/2006/relationships/numbering" Target="numbering.xml"/><Relationship Id="rId15" Type="http://schemas.openxmlformats.org/officeDocument/2006/relationships/hyperlink" Target="https://www.saflii.org/cgi-bin/LawCite?cit=2014%20%283%29%20SA%2039" TargetMode="External"/><Relationship Id="rId23" Type="http://schemas.openxmlformats.org/officeDocument/2006/relationships/hyperlink" Target="http://www.saflii.org/za/legis/consol_act/sca2013224/"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aflii.org/cgi-bin/LawCite?cit=%5b2017%5d%20ZASCA%201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lii.org/za/cases/ZACC/2009/11.html" TargetMode="External"/><Relationship Id="rId22" Type="http://schemas.openxmlformats.org/officeDocument/2006/relationships/hyperlink" Target="https://www.saflii.org/cgi-bin/LawCite?cit=1996%20%281%29%20SACR%20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7" ma:contentTypeDescription="Create a new document." ma:contentTypeScope="" ma:versionID="01ade1f1f7f94d30ce2beb01614a8079">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1c92d1c2e3106726b130a0815248fef0"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Props1.xml><?xml version="1.0" encoding="utf-8"?>
<ds:datastoreItem xmlns:ds="http://schemas.openxmlformats.org/officeDocument/2006/customXml" ds:itemID="{0FD33288-72F7-441B-90E7-5F3A48D2B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A5146-A6E9-4AB5-A4F1-2B0BC844FB99}">
  <ds:schemaRefs>
    <ds:schemaRef ds:uri="http://schemas.openxmlformats.org/officeDocument/2006/bibliography"/>
  </ds:schemaRefs>
</ds:datastoreItem>
</file>

<file path=customXml/itemProps3.xml><?xml version="1.0" encoding="utf-8"?>
<ds:datastoreItem xmlns:ds="http://schemas.openxmlformats.org/officeDocument/2006/customXml" ds:itemID="{EB3ADB2B-604B-4D85-9B83-B9458834CC9D}">
  <ds:schemaRefs>
    <ds:schemaRef ds:uri="http://schemas.microsoft.com/sharepoint/v3/contenttype/forms"/>
  </ds:schemaRefs>
</ds:datastoreItem>
</file>

<file path=customXml/itemProps4.xml><?xml version="1.0" encoding="utf-8"?>
<ds:datastoreItem xmlns:ds="http://schemas.openxmlformats.org/officeDocument/2006/customXml" ds:itemID="{E22F329F-0EDC-474A-B377-BF9E29CA4712}">
  <ds:schemaRefs>
    <ds:schemaRef ds:uri="http://schemas.microsoft.com/office/2006/metadata/properties"/>
    <ds:schemaRef ds:uri="http://schemas.microsoft.com/office/infopath/2007/PartnerControls"/>
    <ds:schemaRef ds:uri="51d8eaa0-293e-4b49-b7e8-af365508532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3237</Words>
  <Characters>18452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IN THE LABOUR COURT OF SOUTH AFRICA</vt:lpstr>
    </vt:vector>
  </TitlesOfParts>
  <Company>Private</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LABOUR COURT OF SOUTH AFRICA</dc:title>
  <dc:subject/>
  <dc:creator>N Ranchod</dc:creator>
  <cp:keywords/>
  <dc:description/>
  <cp:lastModifiedBy>Thobile Ngcobo</cp:lastModifiedBy>
  <cp:revision>2</cp:revision>
  <cp:lastPrinted>2021-05-19T08:13:00Z</cp:lastPrinted>
  <dcterms:created xsi:type="dcterms:W3CDTF">2024-02-20T11:12:00Z</dcterms:created>
  <dcterms:modified xsi:type="dcterms:W3CDTF">2024-02-20T11:12:00Z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ies>
</file>