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2511BB" w14:textId="77777777" w:rsidR="00B973C3" w:rsidRPr="00B973C3" w:rsidRDefault="00B973C3" w:rsidP="00B973C3">
      <w:pPr>
        <w:pStyle w:val="BodyA"/>
        <w:rPr>
          <w:rFonts w:ascii="Times New Roman" w:hAnsi="Times New Roman" w:cs="Times New Roman"/>
          <w:b/>
          <w:bCs/>
          <w:sz w:val="24"/>
          <w:szCs w:val="24"/>
        </w:rPr>
      </w:pPr>
      <w:bookmarkStart w:id="0" w:name="_Hlk151726039"/>
    </w:p>
    <w:p w14:paraId="36261E62" w14:textId="77777777" w:rsidR="00B973C3" w:rsidRPr="00B973C3" w:rsidRDefault="00B973C3" w:rsidP="00B973C3">
      <w:pPr>
        <w:pStyle w:val="BodyA"/>
        <w:jc w:val="center"/>
        <w:rPr>
          <w:rFonts w:ascii="Times New Roman" w:hAnsi="Times New Roman" w:cs="Times New Roman"/>
          <w:b/>
          <w:bCs/>
          <w:sz w:val="24"/>
          <w:szCs w:val="24"/>
        </w:rPr>
      </w:pPr>
      <w:r w:rsidRPr="00B973C3">
        <w:rPr>
          <w:rFonts w:ascii="Times New Roman" w:hAnsi="Times New Roman" w:cs="Times New Roman"/>
          <w:b/>
          <w:bCs/>
          <w:noProof/>
          <w:sz w:val="24"/>
          <w:szCs w:val="24"/>
          <w:lang w:val="en-ZA" w:eastAsia="en-ZA"/>
        </w:rPr>
        <w:drawing>
          <wp:inline distT="0" distB="0" distL="0" distR="0" wp14:anchorId="0AB48D45" wp14:editId="4B9C5779">
            <wp:extent cx="1018718" cy="1018718"/>
            <wp:effectExtent l="0" t="0" r="0" b="0"/>
            <wp:docPr id="1073741825" name="officeArt object" descr="Description: cid:image001.png@01D076AF.8E67B520"/>
            <wp:cNvGraphicFramePr/>
            <a:graphic xmlns:a="http://schemas.openxmlformats.org/drawingml/2006/main">
              <a:graphicData uri="http://schemas.openxmlformats.org/drawingml/2006/picture">
                <pic:pic xmlns:pic="http://schemas.openxmlformats.org/drawingml/2006/picture">
                  <pic:nvPicPr>
                    <pic:cNvPr id="1073741825" name="Description: cid:image001.png@01D076AF.8E67B520" descr="Description: cid:image001.png@01D076AF.8E67B520"/>
                    <pic:cNvPicPr>
                      <a:picLocks noChangeAspect="1"/>
                    </pic:cNvPicPr>
                  </pic:nvPicPr>
                  <pic:blipFill>
                    <a:blip r:embed="rId8"/>
                    <a:stretch>
                      <a:fillRect/>
                    </a:stretch>
                  </pic:blipFill>
                  <pic:spPr>
                    <a:xfrm>
                      <a:off x="0" y="0"/>
                      <a:ext cx="1018718" cy="1018718"/>
                    </a:xfrm>
                    <a:prstGeom prst="rect">
                      <a:avLst/>
                    </a:prstGeom>
                    <a:ln w="12700" cap="flat">
                      <a:noFill/>
                      <a:miter lim="400000"/>
                    </a:ln>
                    <a:effectLst/>
                  </pic:spPr>
                </pic:pic>
              </a:graphicData>
            </a:graphic>
          </wp:inline>
        </w:drawing>
      </w:r>
    </w:p>
    <w:p w14:paraId="6F685B5B" w14:textId="77777777" w:rsidR="00B973C3" w:rsidRPr="00B973C3" w:rsidRDefault="00B973C3" w:rsidP="00B973C3">
      <w:pPr>
        <w:pStyle w:val="BodyA"/>
        <w:jc w:val="center"/>
        <w:rPr>
          <w:rFonts w:ascii="Times New Roman" w:eastAsia="Arial" w:hAnsi="Times New Roman" w:cs="Times New Roman"/>
          <w:b/>
          <w:bCs/>
          <w:sz w:val="24"/>
          <w:szCs w:val="24"/>
        </w:rPr>
      </w:pPr>
      <w:r w:rsidRPr="00B973C3">
        <w:rPr>
          <w:rFonts w:ascii="Times New Roman" w:hAnsi="Times New Roman" w:cs="Times New Roman"/>
          <w:b/>
          <w:bCs/>
          <w:sz w:val="24"/>
          <w:szCs w:val="24"/>
        </w:rPr>
        <w:t>IN THE HIGH COURT OF SOUTH AFRICA</w:t>
      </w:r>
    </w:p>
    <w:p w14:paraId="51B29F0C" w14:textId="79D39723" w:rsidR="00B973C3" w:rsidRPr="00B973C3" w:rsidRDefault="00B973C3" w:rsidP="00B973C3">
      <w:pPr>
        <w:pStyle w:val="BodyA"/>
        <w:jc w:val="center"/>
        <w:rPr>
          <w:rFonts w:ascii="Times New Roman" w:eastAsia="Arial" w:hAnsi="Times New Roman" w:cs="Times New Roman"/>
          <w:b/>
          <w:bCs/>
          <w:sz w:val="24"/>
          <w:szCs w:val="24"/>
        </w:rPr>
      </w:pPr>
      <w:r w:rsidRPr="00B973C3">
        <w:rPr>
          <w:rFonts w:ascii="Times New Roman" w:hAnsi="Times New Roman" w:cs="Times New Roman"/>
          <w:b/>
          <w:bCs/>
          <w:sz w:val="24"/>
          <w:szCs w:val="24"/>
          <w:lang w:val="de-DE"/>
        </w:rPr>
        <w:t>GAUTENG DIVISION, PRETORIA</w:t>
      </w:r>
    </w:p>
    <w:p w14:paraId="4C8C7A35" w14:textId="5BC1FC1A" w:rsidR="00B973C3" w:rsidRPr="00B973C3" w:rsidRDefault="006B6001" w:rsidP="00B973C3">
      <w:pPr>
        <w:pStyle w:val="BodyA"/>
        <w:jc w:val="right"/>
        <w:rPr>
          <w:rFonts w:ascii="Times New Roman" w:eastAsia="Arial" w:hAnsi="Times New Roman" w:cs="Times New Roman"/>
          <w:b/>
          <w:bCs/>
          <w:sz w:val="24"/>
          <w:szCs w:val="24"/>
        </w:rPr>
      </w:pPr>
      <w:bookmarkStart w:id="1" w:name="_Hlk154046624"/>
      <w:r>
        <w:rPr>
          <w:noProof/>
          <w:lang w:val="en-ZA" w:eastAsia="en-ZA"/>
        </w:rPr>
        <mc:AlternateContent>
          <mc:Choice Requires="wps">
            <w:drawing>
              <wp:anchor distT="0" distB="0" distL="0" distR="0" simplePos="0" relativeHeight="251659264" behindDoc="0" locked="0" layoutInCell="1" allowOverlap="1" wp14:anchorId="1178FE0D" wp14:editId="1939DC37">
                <wp:simplePos x="0" y="0"/>
                <wp:positionH relativeFrom="column">
                  <wp:posOffset>-41275</wp:posOffset>
                </wp:positionH>
                <wp:positionV relativeFrom="line">
                  <wp:posOffset>193675</wp:posOffset>
                </wp:positionV>
                <wp:extent cx="3220720" cy="1400175"/>
                <wp:effectExtent l="6350" t="8890" r="11430" b="10160"/>
                <wp:wrapNone/>
                <wp:docPr id="1596816060" name="officeArt object" descr="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720" cy="1400175"/>
                        </a:xfrm>
                        <a:prstGeom prst="rect">
                          <a:avLst/>
                        </a:prstGeom>
                        <a:solidFill>
                          <a:srgbClr val="FFFFFF"/>
                        </a:solidFill>
                        <a:ln w="9525">
                          <a:solidFill>
                            <a:srgbClr val="000000"/>
                          </a:solidFill>
                          <a:miter lim="800000"/>
                          <a:headEnd/>
                          <a:tailEnd/>
                        </a:ln>
                      </wps:spPr>
                      <wps:txbx>
                        <w:txbxContent>
                          <w:p w14:paraId="395B42BF" w14:textId="77777777" w:rsidR="00B973C3" w:rsidRDefault="00B973C3" w:rsidP="00B973C3">
                            <w:pPr>
                              <w:pStyle w:val="BodyA"/>
                              <w:numPr>
                                <w:ilvl w:val="0"/>
                                <w:numId w:val="2"/>
                              </w:numPr>
                              <w:spacing w:after="0" w:line="240" w:lineRule="auto"/>
                              <w:rPr>
                                <w:rFonts w:ascii="Century Gothic" w:hAnsi="Century Gothic"/>
                                <w:sz w:val="20"/>
                                <w:szCs w:val="20"/>
                              </w:rPr>
                            </w:pPr>
                            <w:r>
                              <w:rPr>
                                <w:rFonts w:ascii="Century Gothic" w:hAnsi="Century Gothic"/>
                                <w:sz w:val="20"/>
                                <w:szCs w:val="20"/>
                              </w:rPr>
                              <w:t>REPORTABLE: NO</w:t>
                            </w:r>
                          </w:p>
                          <w:p w14:paraId="7D1C7BB0" w14:textId="77777777" w:rsidR="00B973C3" w:rsidRDefault="00B973C3" w:rsidP="00B973C3">
                            <w:pPr>
                              <w:pStyle w:val="BodyA"/>
                              <w:numPr>
                                <w:ilvl w:val="0"/>
                                <w:numId w:val="2"/>
                              </w:numPr>
                              <w:spacing w:after="0" w:line="240" w:lineRule="auto"/>
                              <w:rPr>
                                <w:rFonts w:ascii="Century Gothic" w:hAnsi="Century Gothic"/>
                                <w:sz w:val="20"/>
                                <w:szCs w:val="20"/>
                                <w:lang w:val="de-DE"/>
                              </w:rPr>
                            </w:pPr>
                            <w:r>
                              <w:rPr>
                                <w:rFonts w:ascii="Century Gothic" w:hAnsi="Century Gothic"/>
                                <w:sz w:val="20"/>
                                <w:szCs w:val="20"/>
                                <w:lang w:val="de-DE"/>
                              </w:rPr>
                              <w:t>OF INTEREST TO OTHER JUDGES: NO</w:t>
                            </w:r>
                          </w:p>
                          <w:p w14:paraId="48C21B21" w14:textId="0231EAC1" w:rsidR="00B973C3" w:rsidRDefault="00B973C3" w:rsidP="00B973C3">
                            <w:pPr>
                              <w:pStyle w:val="BodyA"/>
                              <w:numPr>
                                <w:ilvl w:val="0"/>
                                <w:numId w:val="2"/>
                              </w:numPr>
                              <w:spacing w:after="0" w:line="240" w:lineRule="auto"/>
                              <w:rPr>
                                <w:rFonts w:ascii="Century Gothic" w:hAnsi="Century Gothic"/>
                                <w:sz w:val="20"/>
                                <w:szCs w:val="20"/>
                              </w:rPr>
                            </w:pPr>
                            <w:r>
                              <w:rPr>
                                <w:rFonts w:ascii="Century Gothic" w:hAnsi="Century Gothic"/>
                                <w:sz w:val="20"/>
                                <w:szCs w:val="20"/>
                              </w:rPr>
                              <w:t xml:space="preserve">REVISED. </w:t>
                            </w:r>
                          </w:p>
                          <w:p w14:paraId="59979522" w14:textId="034E627B" w:rsidR="00B973C3" w:rsidRDefault="007164E6" w:rsidP="00B973C3">
                            <w:pPr>
                              <w:pStyle w:val="BodyA"/>
                              <w:spacing w:after="0" w:line="240" w:lineRule="auto"/>
                              <w:ind w:left="90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w:t>
                            </w:r>
                          </w:p>
                          <w:p w14:paraId="27411285" w14:textId="79D8703F" w:rsidR="00B973C3" w:rsidRDefault="00B973C3" w:rsidP="00B973C3">
                            <w:pPr>
                              <w:pStyle w:val="BodyA"/>
                              <w:rPr>
                                <w:rFonts w:ascii="Century Gothic" w:eastAsia="Century Gothic" w:hAnsi="Century Gothic" w:cs="Century Gothic"/>
                                <w:b/>
                                <w:bCs/>
                                <w:sz w:val="18"/>
                                <w:szCs w:val="18"/>
                              </w:rPr>
                            </w:pPr>
                            <w:r>
                              <w:rPr>
                                <w:rFonts w:ascii="Century Gothic" w:hAnsi="Century Gothic"/>
                                <w:b/>
                                <w:bCs/>
                                <w:sz w:val="18"/>
                                <w:szCs w:val="18"/>
                              </w:rPr>
                              <w:t xml:space="preserve">       </w:t>
                            </w:r>
                            <w:r>
                              <w:rPr>
                                <w:rFonts w:ascii="Century Gothic" w:hAnsi="Century Gothic"/>
                                <w:b/>
                                <w:bCs/>
                                <w:sz w:val="18"/>
                                <w:szCs w:val="18"/>
                              </w:rPr>
                              <w:tab/>
                              <w:t xml:space="preserve"> </w:t>
                            </w:r>
                            <w:r>
                              <w:rPr>
                                <w:rFonts w:ascii="Century Gothic" w:hAnsi="Century Gothic"/>
                                <w:b/>
                                <w:bCs/>
                                <w:sz w:val="18"/>
                                <w:szCs w:val="18"/>
                              </w:rPr>
                              <w:tab/>
                            </w:r>
                            <w:r>
                              <w:rPr>
                                <w:rFonts w:ascii="Century Gothic" w:hAnsi="Century Gothic"/>
                                <w:b/>
                                <w:bCs/>
                                <w:sz w:val="18"/>
                                <w:szCs w:val="18"/>
                              </w:rPr>
                              <w:tab/>
                            </w:r>
                            <w:r>
                              <w:rPr>
                                <w:rFonts w:ascii="Century Gothic" w:hAnsi="Century Gothic"/>
                                <w:b/>
                                <w:bCs/>
                                <w:sz w:val="18"/>
                                <w:szCs w:val="18"/>
                              </w:rPr>
                              <w:tab/>
                              <w:t>………………………...</w:t>
                            </w:r>
                          </w:p>
                          <w:p w14:paraId="067031A4" w14:textId="5E34B014" w:rsidR="00B973C3" w:rsidRDefault="009D5804" w:rsidP="00B973C3">
                            <w:pPr>
                              <w:pStyle w:val="BodyA"/>
                            </w:pPr>
                            <w:r>
                              <w:rPr>
                                <w:rFonts w:ascii="Century Gothic" w:hAnsi="Century Gothic"/>
                                <w:sz w:val="18"/>
                                <w:szCs w:val="18"/>
                              </w:rPr>
                              <w:t xml:space="preserve">        </w:t>
                            </w:r>
                            <w:r w:rsidR="00B973C3">
                              <w:rPr>
                                <w:rFonts w:ascii="Century Gothic" w:hAnsi="Century Gothic"/>
                                <w:sz w:val="18"/>
                                <w:szCs w:val="18"/>
                              </w:rPr>
                              <w:t xml:space="preserve"> </w:t>
                            </w:r>
                            <w:r>
                              <w:rPr>
                                <w:rFonts w:ascii="Century Gothic" w:hAnsi="Century Gothic"/>
                                <w:sz w:val="18"/>
                                <w:szCs w:val="18"/>
                              </w:rPr>
                              <w:t xml:space="preserve">DATE:    </w:t>
                            </w:r>
                            <w:r w:rsidR="00B973C3">
                              <w:rPr>
                                <w:rFonts w:ascii="Century Gothic" w:hAnsi="Century Gothic"/>
                                <w:sz w:val="18"/>
                                <w:szCs w:val="18"/>
                              </w:rPr>
                              <w:t xml:space="preserve"> </w:t>
                            </w:r>
                            <w:r w:rsidR="007164E6">
                              <w:rPr>
                                <w:rFonts w:ascii="Century Gothic" w:hAnsi="Century Gothic"/>
                                <w:sz w:val="18"/>
                                <w:szCs w:val="18"/>
                              </w:rPr>
                              <w:t>/</w:t>
                            </w:r>
                            <w:r>
                              <w:rPr>
                                <w:rFonts w:ascii="Century Gothic" w:hAnsi="Century Gothic"/>
                                <w:sz w:val="18"/>
                                <w:szCs w:val="18"/>
                              </w:rPr>
                              <w:t xml:space="preserve">      </w:t>
                            </w:r>
                            <w:r w:rsidR="007164E6">
                              <w:rPr>
                                <w:rFonts w:ascii="Century Gothic" w:hAnsi="Century Gothic"/>
                                <w:sz w:val="18"/>
                                <w:szCs w:val="18"/>
                              </w:rPr>
                              <w:t>/2024</w:t>
                            </w:r>
                            <w:r w:rsidR="00B3509B">
                              <w:rPr>
                                <w:rFonts w:ascii="Century Gothic" w:hAnsi="Century Gothic"/>
                                <w:sz w:val="18"/>
                                <w:szCs w:val="18"/>
                              </w:rPr>
                              <w:tab/>
                            </w:r>
                            <w:r w:rsidR="00B973C3">
                              <w:rPr>
                                <w:rFonts w:ascii="Century Gothic" w:hAnsi="Century Gothic"/>
                                <w:sz w:val="18"/>
                                <w:szCs w:val="18"/>
                              </w:rPr>
                              <w:tab/>
                              <w:t xml:space="preserve">      </w:t>
                            </w:r>
                            <w:bookmarkStart w:id="2" w:name="_GoBack"/>
                            <w:bookmarkEnd w:id="2"/>
                            <w:r w:rsidR="00B22416">
                              <w:rPr>
                                <w:rFonts w:ascii="Century Gothic" w:hAnsi="Century Gothic"/>
                                <w:sz w:val="18"/>
                                <w:szCs w:val="18"/>
                              </w:rPr>
                              <w:t>BRAND</w:t>
                            </w:r>
                            <w:r w:rsidR="00B973C3">
                              <w:rPr>
                                <w:rFonts w:ascii="Century Gothic" w:hAnsi="Century Gothic"/>
                                <w:sz w:val="18"/>
                                <w:szCs w:val="18"/>
                              </w:rPr>
                              <w:t xml:space="preserve"> AJ</w:t>
                            </w:r>
                          </w:p>
                        </w:txbxContent>
                      </wps:txbx>
                      <wps:bodyPr rot="0" vert="horz" wrap="square" lIns="45716" tIns="45716" rIns="45716" bIns="4571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78FE0D" id="_x0000_t202" coordsize="21600,21600" o:spt="202" path="m,l,21600r21600,l21600,xe">
                <v:stroke joinstyle="miter"/>
                <v:path gradientshapeok="t" o:connecttype="rect"/>
              </v:shapetype>
              <v:shape id="officeArt object" o:spid="_x0000_s1026" type="#_x0000_t202" alt="Text Box 2" style="position:absolute;left:0;text-align:left;margin-left:-3.25pt;margin-top:15.25pt;width:253.6pt;height:110.25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">
                <v:textbox inset="1.2699mm,1.2699mm,1.2699mm,1.2699mm">
                  <w:txbxContent>
                    <w:p w14:paraId="395B42BF" w14:textId="77777777" w:rsidR="00B973C3" w:rsidRDefault="00B973C3" w:rsidP="00B973C3">
                      <w:pPr>
                        <w:pStyle w:val="BodyA"/>
                        <w:numPr>
                          <w:ilvl w:val="0"/>
                          <w:numId w:val="2"/>
                        </w:numPr>
                        <w:spacing w:after="0" w:line="240" w:lineRule="auto"/>
                        <w:rPr>
                          <w:rFonts w:ascii="Century Gothic" w:hAnsi="Century Gothic"/>
                          <w:sz w:val="20"/>
                          <w:szCs w:val="20"/>
                        </w:rPr>
                      </w:pPr>
                      <w:r>
                        <w:rPr>
                          <w:rFonts w:ascii="Century Gothic" w:hAnsi="Century Gothic"/>
                          <w:sz w:val="20"/>
                          <w:szCs w:val="20"/>
                        </w:rPr>
                        <w:t>REPORTABLE: NO</w:t>
                      </w:r>
                    </w:p>
                    <w:p w14:paraId="7D1C7BB0" w14:textId="77777777" w:rsidR="00B973C3" w:rsidRDefault="00B973C3" w:rsidP="00B973C3">
                      <w:pPr>
                        <w:pStyle w:val="BodyA"/>
                        <w:numPr>
                          <w:ilvl w:val="0"/>
                          <w:numId w:val="2"/>
                        </w:numPr>
                        <w:spacing w:after="0" w:line="240" w:lineRule="auto"/>
                        <w:rPr>
                          <w:rFonts w:ascii="Century Gothic" w:hAnsi="Century Gothic"/>
                          <w:sz w:val="20"/>
                          <w:szCs w:val="20"/>
                          <w:lang w:val="de-DE"/>
                        </w:rPr>
                      </w:pPr>
                      <w:r>
                        <w:rPr>
                          <w:rFonts w:ascii="Century Gothic" w:hAnsi="Century Gothic"/>
                          <w:sz w:val="20"/>
                          <w:szCs w:val="20"/>
                          <w:lang w:val="de-DE"/>
                        </w:rPr>
                        <w:t>OF INTEREST TO OTHER JUDGES: NO</w:t>
                      </w:r>
                    </w:p>
                    <w:p w14:paraId="48C21B21" w14:textId="0231EAC1" w:rsidR="00B973C3" w:rsidRDefault="00B973C3" w:rsidP="00B973C3">
                      <w:pPr>
                        <w:pStyle w:val="BodyA"/>
                        <w:numPr>
                          <w:ilvl w:val="0"/>
                          <w:numId w:val="2"/>
                        </w:numPr>
                        <w:spacing w:after="0" w:line="240" w:lineRule="auto"/>
                        <w:rPr>
                          <w:rFonts w:ascii="Century Gothic" w:hAnsi="Century Gothic"/>
                          <w:sz w:val="20"/>
                          <w:szCs w:val="20"/>
                        </w:rPr>
                      </w:pPr>
                      <w:r>
                        <w:rPr>
                          <w:rFonts w:ascii="Century Gothic" w:hAnsi="Century Gothic"/>
                          <w:sz w:val="20"/>
                          <w:szCs w:val="20"/>
                        </w:rPr>
                        <w:t xml:space="preserve">REVISED. </w:t>
                      </w:r>
                    </w:p>
                    <w:p w14:paraId="59979522" w14:textId="034E627B" w:rsidR="00B973C3" w:rsidRDefault="007164E6" w:rsidP="00B973C3">
                      <w:pPr>
                        <w:pStyle w:val="BodyA"/>
                        <w:spacing w:after="0" w:line="240" w:lineRule="auto"/>
                        <w:ind w:left="90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w:t>
                      </w:r>
                    </w:p>
                    <w:p w14:paraId="27411285" w14:textId="79D8703F" w:rsidR="00B973C3" w:rsidRDefault="00B973C3" w:rsidP="00B973C3">
                      <w:pPr>
                        <w:pStyle w:val="BodyA"/>
                        <w:rPr>
                          <w:rFonts w:ascii="Century Gothic" w:eastAsia="Century Gothic" w:hAnsi="Century Gothic" w:cs="Century Gothic"/>
                          <w:b/>
                          <w:bCs/>
                          <w:sz w:val="18"/>
                          <w:szCs w:val="18"/>
                        </w:rPr>
                      </w:pPr>
                      <w:r>
                        <w:rPr>
                          <w:rFonts w:ascii="Century Gothic" w:hAnsi="Century Gothic"/>
                          <w:b/>
                          <w:bCs/>
                          <w:sz w:val="18"/>
                          <w:szCs w:val="18"/>
                        </w:rPr>
                        <w:t xml:space="preserve">       </w:t>
                      </w:r>
                      <w:r>
                        <w:rPr>
                          <w:rFonts w:ascii="Century Gothic" w:hAnsi="Century Gothic"/>
                          <w:b/>
                          <w:bCs/>
                          <w:sz w:val="18"/>
                          <w:szCs w:val="18"/>
                        </w:rPr>
                        <w:tab/>
                        <w:t xml:space="preserve"> </w:t>
                      </w:r>
                      <w:r>
                        <w:rPr>
                          <w:rFonts w:ascii="Century Gothic" w:hAnsi="Century Gothic"/>
                          <w:b/>
                          <w:bCs/>
                          <w:sz w:val="18"/>
                          <w:szCs w:val="18"/>
                        </w:rPr>
                        <w:tab/>
                      </w:r>
                      <w:r>
                        <w:rPr>
                          <w:rFonts w:ascii="Century Gothic" w:hAnsi="Century Gothic"/>
                          <w:b/>
                          <w:bCs/>
                          <w:sz w:val="18"/>
                          <w:szCs w:val="18"/>
                        </w:rPr>
                        <w:tab/>
                      </w:r>
                      <w:r>
                        <w:rPr>
                          <w:rFonts w:ascii="Century Gothic" w:hAnsi="Century Gothic"/>
                          <w:b/>
                          <w:bCs/>
                          <w:sz w:val="18"/>
                          <w:szCs w:val="18"/>
                        </w:rPr>
                        <w:tab/>
                        <w:t>………………………...</w:t>
                      </w:r>
                    </w:p>
                    <w:p w14:paraId="067031A4" w14:textId="5E34B014" w:rsidR="00B973C3" w:rsidRDefault="009D5804" w:rsidP="00B973C3">
                      <w:pPr>
                        <w:pStyle w:val="BodyA"/>
                      </w:pPr>
                      <w:r>
                        <w:rPr>
                          <w:rFonts w:ascii="Century Gothic" w:hAnsi="Century Gothic"/>
                          <w:sz w:val="18"/>
                          <w:szCs w:val="18"/>
                        </w:rPr>
                        <w:t xml:space="preserve">        </w:t>
                      </w:r>
                      <w:r w:rsidR="00B973C3">
                        <w:rPr>
                          <w:rFonts w:ascii="Century Gothic" w:hAnsi="Century Gothic"/>
                          <w:sz w:val="18"/>
                          <w:szCs w:val="18"/>
                        </w:rPr>
                        <w:t xml:space="preserve"> </w:t>
                      </w:r>
                      <w:r>
                        <w:rPr>
                          <w:rFonts w:ascii="Century Gothic" w:hAnsi="Century Gothic"/>
                          <w:sz w:val="18"/>
                          <w:szCs w:val="18"/>
                        </w:rPr>
                        <w:t xml:space="preserve">DATE:    </w:t>
                      </w:r>
                      <w:r w:rsidR="00B973C3">
                        <w:rPr>
                          <w:rFonts w:ascii="Century Gothic" w:hAnsi="Century Gothic"/>
                          <w:sz w:val="18"/>
                          <w:szCs w:val="18"/>
                        </w:rPr>
                        <w:t xml:space="preserve"> </w:t>
                      </w:r>
                      <w:r w:rsidR="007164E6">
                        <w:rPr>
                          <w:rFonts w:ascii="Century Gothic" w:hAnsi="Century Gothic"/>
                          <w:sz w:val="18"/>
                          <w:szCs w:val="18"/>
                        </w:rPr>
                        <w:t>/</w:t>
                      </w:r>
                      <w:r>
                        <w:rPr>
                          <w:rFonts w:ascii="Century Gothic" w:hAnsi="Century Gothic"/>
                          <w:sz w:val="18"/>
                          <w:szCs w:val="18"/>
                        </w:rPr>
                        <w:t xml:space="preserve">      </w:t>
                      </w:r>
                      <w:r w:rsidR="007164E6">
                        <w:rPr>
                          <w:rFonts w:ascii="Century Gothic" w:hAnsi="Century Gothic"/>
                          <w:sz w:val="18"/>
                          <w:szCs w:val="18"/>
                        </w:rPr>
                        <w:t>/2024</w:t>
                      </w:r>
                      <w:r w:rsidR="00B3509B">
                        <w:rPr>
                          <w:rFonts w:ascii="Century Gothic" w:hAnsi="Century Gothic"/>
                          <w:sz w:val="18"/>
                          <w:szCs w:val="18"/>
                        </w:rPr>
                        <w:tab/>
                      </w:r>
                      <w:r w:rsidR="00B973C3">
                        <w:rPr>
                          <w:rFonts w:ascii="Century Gothic" w:hAnsi="Century Gothic"/>
                          <w:sz w:val="18"/>
                          <w:szCs w:val="18"/>
                        </w:rPr>
                        <w:tab/>
                        <w:t xml:space="preserve">      </w:t>
                      </w:r>
                      <w:bookmarkStart w:id="3" w:name="_GoBack"/>
                      <w:bookmarkEnd w:id="3"/>
                      <w:r w:rsidR="00B22416">
                        <w:rPr>
                          <w:rFonts w:ascii="Century Gothic" w:hAnsi="Century Gothic"/>
                          <w:sz w:val="18"/>
                          <w:szCs w:val="18"/>
                        </w:rPr>
                        <w:t>BRAND</w:t>
                      </w:r>
                      <w:r w:rsidR="00B973C3">
                        <w:rPr>
                          <w:rFonts w:ascii="Century Gothic" w:hAnsi="Century Gothic"/>
                          <w:sz w:val="18"/>
                          <w:szCs w:val="18"/>
                        </w:rPr>
                        <w:t xml:space="preserve"> AJ</w:t>
                      </w:r>
                    </w:p>
                  </w:txbxContent>
                </v:textbox>
                <w10:wrap anchory="line"/>
              </v:shape>
            </w:pict>
          </mc:Fallback>
        </mc:AlternateContent>
      </w:r>
    </w:p>
    <w:p w14:paraId="44391DD8" w14:textId="77777777" w:rsidR="00B973C3" w:rsidRPr="00B973C3" w:rsidRDefault="00B973C3" w:rsidP="00B973C3">
      <w:pPr>
        <w:pStyle w:val="BodyA"/>
        <w:jc w:val="center"/>
        <w:rPr>
          <w:rFonts w:ascii="Times New Roman" w:eastAsia="Arial" w:hAnsi="Times New Roman" w:cs="Times New Roman"/>
          <w:sz w:val="24"/>
          <w:szCs w:val="24"/>
        </w:rPr>
      </w:pPr>
    </w:p>
    <w:bookmarkEnd w:id="1"/>
    <w:p w14:paraId="5E3AB219" w14:textId="77777777" w:rsidR="00B973C3" w:rsidRPr="00B973C3" w:rsidRDefault="00B973C3" w:rsidP="00B973C3">
      <w:pPr>
        <w:pStyle w:val="BodyA"/>
        <w:jc w:val="center"/>
        <w:rPr>
          <w:rFonts w:ascii="Times New Roman" w:eastAsia="Arial" w:hAnsi="Times New Roman" w:cs="Times New Roman"/>
          <w:sz w:val="24"/>
          <w:szCs w:val="24"/>
        </w:rPr>
      </w:pPr>
    </w:p>
    <w:p w14:paraId="0CCF3FA1" w14:textId="77777777" w:rsidR="00B973C3" w:rsidRPr="00B973C3" w:rsidRDefault="00B973C3" w:rsidP="00B973C3">
      <w:pPr>
        <w:pStyle w:val="BodyA"/>
        <w:jc w:val="center"/>
        <w:rPr>
          <w:rFonts w:ascii="Times New Roman" w:eastAsia="Arial" w:hAnsi="Times New Roman" w:cs="Times New Roman"/>
          <w:sz w:val="24"/>
          <w:szCs w:val="24"/>
        </w:rPr>
      </w:pPr>
    </w:p>
    <w:p w14:paraId="05C8AF1A" w14:textId="77777777" w:rsidR="00B973C3" w:rsidRPr="00B973C3" w:rsidRDefault="00B973C3" w:rsidP="00B973C3">
      <w:pPr>
        <w:pStyle w:val="BodyA"/>
        <w:jc w:val="center"/>
        <w:rPr>
          <w:rFonts w:ascii="Times New Roman" w:eastAsia="Arial" w:hAnsi="Times New Roman" w:cs="Times New Roman"/>
          <w:sz w:val="24"/>
          <w:szCs w:val="24"/>
        </w:rPr>
      </w:pPr>
    </w:p>
    <w:p w14:paraId="7EF220FA" w14:textId="77777777" w:rsidR="00B973C3" w:rsidRDefault="00B973C3" w:rsidP="00B973C3">
      <w:pPr>
        <w:pStyle w:val="BodyA"/>
        <w:jc w:val="center"/>
        <w:rPr>
          <w:rFonts w:ascii="Times New Roman" w:eastAsia="Arial" w:hAnsi="Times New Roman" w:cs="Times New Roman"/>
          <w:sz w:val="24"/>
          <w:szCs w:val="24"/>
        </w:rPr>
      </w:pPr>
    </w:p>
    <w:p w14:paraId="7F1CBA65" w14:textId="6FCB1A15" w:rsidR="007C7660" w:rsidRPr="007E3AC1" w:rsidRDefault="007C7660" w:rsidP="007C7660">
      <w:pPr>
        <w:pStyle w:val="Heading2"/>
        <w:kinsoku w:val="0"/>
        <w:overflowPunct w:val="0"/>
        <w:spacing w:line="360" w:lineRule="auto"/>
        <w:ind w:left="0"/>
        <w:jc w:val="right"/>
        <w:rPr>
          <w:rFonts w:ascii="Arial" w:hAnsi="Arial" w:cs="Arial"/>
        </w:rPr>
      </w:pPr>
      <w:r>
        <w:rPr>
          <w:rFonts w:ascii="Arial" w:hAnsi="Arial" w:cs="Arial"/>
        </w:rPr>
        <w:t xml:space="preserve">Case </w:t>
      </w:r>
      <w:r w:rsidRPr="007E3AC1">
        <w:rPr>
          <w:rFonts w:ascii="Arial" w:hAnsi="Arial" w:cs="Arial"/>
        </w:rPr>
        <w:t xml:space="preserve">number: </w:t>
      </w:r>
      <w:r w:rsidR="006E0DFE">
        <w:rPr>
          <w:rFonts w:ascii="Arial" w:hAnsi="Arial" w:cs="Arial"/>
        </w:rPr>
        <w:t>A220</w:t>
      </w:r>
      <w:r w:rsidR="006301C7">
        <w:rPr>
          <w:rFonts w:ascii="Arial" w:hAnsi="Arial" w:cs="Arial"/>
        </w:rPr>
        <w:t>/202</w:t>
      </w:r>
      <w:r w:rsidR="006E0DFE">
        <w:rPr>
          <w:rFonts w:ascii="Arial" w:hAnsi="Arial" w:cs="Arial"/>
        </w:rPr>
        <w:t>3</w:t>
      </w:r>
    </w:p>
    <w:p w14:paraId="60D94AB4" w14:textId="77777777" w:rsidR="007C7660" w:rsidRPr="007E3AC1" w:rsidRDefault="007C7660" w:rsidP="007C7660">
      <w:pPr>
        <w:pStyle w:val="BodyText"/>
        <w:kinsoku w:val="0"/>
        <w:overflowPunct w:val="0"/>
        <w:spacing w:line="360" w:lineRule="auto"/>
        <w:jc w:val="both"/>
        <w:rPr>
          <w:rFonts w:ascii="Arial" w:eastAsiaTheme="minorEastAsia" w:hAnsi="Arial" w:cs="Arial"/>
          <w:b/>
          <w:bCs/>
        </w:rPr>
      </w:pPr>
      <w:r w:rsidRPr="007E3AC1">
        <w:rPr>
          <w:rFonts w:ascii="Arial" w:eastAsiaTheme="minorEastAsia" w:hAnsi="Arial" w:cs="Arial"/>
          <w:b/>
          <w:bCs/>
        </w:rPr>
        <w:t>In the matter between:</w:t>
      </w:r>
    </w:p>
    <w:p w14:paraId="0B13C4AB" w14:textId="77777777" w:rsidR="007C7660" w:rsidRPr="007E3AC1" w:rsidRDefault="007C7660" w:rsidP="007C7660">
      <w:pPr>
        <w:pStyle w:val="BodyText"/>
        <w:kinsoku w:val="0"/>
        <w:overflowPunct w:val="0"/>
        <w:spacing w:line="360" w:lineRule="auto"/>
        <w:jc w:val="both"/>
        <w:rPr>
          <w:rFonts w:ascii="Arial" w:eastAsiaTheme="minorEastAsia" w:hAnsi="Arial" w:cs="Arial"/>
          <w:b/>
          <w:bCs/>
        </w:rPr>
      </w:pPr>
    </w:p>
    <w:p w14:paraId="106C8F78" w14:textId="633E5EF9" w:rsidR="007C7660" w:rsidRDefault="006E0DFE" w:rsidP="007C7660">
      <w:pPr>
        <w:pStyle w:val="BodyText"/>
        <w:kinsoku w:val="0"/>
        <w:overflowPunct w:val="0"/>
        <w:spacing w:line="360" w:lineRule="auto"/>
        <w:jc w:val="both"/>
        <w:rPr>
          <w:rFonts w:ascii="Arial" w:hAnsi="Arial" w:cs="Arial"/>
          <w:b/>
          <w:bCs/>
        </w:rPr>
      </w:pPr>
      <w:r>
        <w:rPr>
          <w:rFonts w:ascii="Arial" w:hAnsi="Arial" w:cs="Arial"/>
          <w:b/>
          <w:bCs/>
        </w:rPr>
        <w:t>COSTA FUNDAMO</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7C7660">
        <w:rPr>
          <w:rFonts w:ascii="Arial" w:hAnsi="Arial" w:cs="Arial"/>
        </w:rPr>
        <w:tab/>
      </w:r>
      <w:r w:rsidR="007C7660">
        <w:rPr>
          <w:rFonts w:ascii="Arial" w:hAnsi="Arial" w:cs="Arial"/>
        </w:rPr>
        <w:tab/>
      </w:r>
      <w:r w:rsidR="007C7660">
        <w:rPr>
          <w:rFonts w:ascii="Arial" w:hAnsi="Arial" w:cs="Arial"/>
        </w:rPr>
        <w:tab/>
      </w:r>
      <w:r w:rsidR="006303A0">
        <w:rPr>
          <w:rFonts w:ascii="Arial" w:hAnsi="Arial" w:cs="Arial"/>
        </w:rPr>
        <w:tab/>
        <w:t xml:space="preserve">     </w:t>
      </w:r>
      <w:r w:rsidR="007C7660" w:rsidRPr="00D211C7">
        <w:rPr>
          <w:rFonts w:ascii="Arial" w:hAnsi="Arial" w:cs="Arial"/>
          <w:b/>
          <w:bCs/>
        </w:rPr>
        <w:t>A</w:t>
      </w:r>
      <w:r>
        <w:rPr>
          <w:rFonts w:ascii="Arial" w:hAnsi="Arial" w:cs="Arial"/>
          <w:b/>
          <w:bCs/>
        </w:rPr>
        <w:t>PPELLANT</w:t>
      </w:r>
    </w:p>
    <w:p w14:paraId="0BFB7D74" w14:textId="77777777" w:rsidR="00DC670A" w:rsidRDefault="00DC670A" w:rsidP="007C7660">
      <w:pPr>
        <w:pStyle w:val="Heading2"/>
        <w:kinsoku w:val="0"/>
        <w:overflowPunct w:val="0"/>
        <w:spacing w:line="360" w:lineRule="auto"/>
        <w:ind w:left="0"/>
        <w:jc w:val="both"/>
        <w:rPr>
          <w:rFonts w:ascii="Arial" w:hAnsi="Arial" w:cs="Arial"/>
        </w:rPr>
      </w:pPr>
    </w:p>
    <w:p w14:paraId="0315E75B" w14:textId="13C1C6FC" w:rsidR="007C7660" w:rsidRPr="007E3AC1" w:rsidRDefault="007C7660" w:rsidP="007C7660">
      <w:pPr>
        <w:pStyle w:val="Heading2"/>
        <w:kinsoku w:val="0"/>
        <w:overflowPunct w:val="0"/>
        <w:spacing w:line="360" w:lineRule="auto"/>
        <w:ind w:left="0"/>
        <w:jc w:val="both"/>
        <w:rPr>
          <w:rFonts w:ascii="Arial" w:hAnsi="Arial" w:cs="Arial"/>
        </w:rPr>
      </w:pPr>
      <w:r w:rsidRPr="007E3AC1">
        <w:rPr>
          <w:rFonts w:ascii="Arial" w:hAnsi="Arial" w:cs="Arial"/>
        </w:rPr>
        <w:t>and</w:t>
      </w:r>
    </w:p>
    <w:p w14:paraId="7A594AD2" w14:textId="77777777" w:rsidR="007C7660" w:rsidRPr="007E3AC1" w:rsidRDefault="007C7660" w:rsidP="007C7660">
      <w:pPr>
        <w:pStyle w:val="BodyText"/>
        <w:kinsoku w:val="0"/>
        <w:overflowPunct w:val="0"/>
        <w:spacing w:line="360" w:lineRule="auto"/>
        <w:jc w:val="both"/>
        <w:rPr>
          <w:rFonts w:ascii="Arial" w:eastAsiaTheme="minorEastAsia" w:hAnsi="Arial" w:cs="Arial"/>
          <w:b/>
          <w:bCs/>
        </w:rPr>
      </w:pPr>
    </w:p>
    <w:p w14:paraId="4E986668" w14:textId="47D90205" w:rsidR="007C7660" w:rsidRPr="007E3AC1" w:rsidRDefault="006E0DFE" w:rsidP="007C7660">
      <w:pPr>
        <w:pStyle w:val="BodyText"/>
        <w:kinsoku w:val="0"/>
        <w:overflowPunct w:val="0"/>
        <w:spacing w:line="360" w:lineRule="auto"/>
        <w:jc w:val="both"/>
        <w:rPr>
          <w:rFonts w:ascii="Arial" w:hAnsi="Arial" w:cs="Arial"/>
          <w:u w:color="4F5358"/>
        </w:rPr>
      </w:pPr>
      <w:r>
        <w:rPr>
          <w:rFonts w:ascii="Arial" w:hAnsi="Arial" w:cs="Arial"/>
          <w:b/>
          <w:bCs/>
          <w:u w:color="4F5358"/>
        </w:rPr>
        <w:t>THE STATE</w:t>
      </w:r>
      <w:r>
        <w:rPr>
          <w:rFonts w:ascii="Arial" w:hAnsi="Arial" w:cs="Arial"/>
          <w:b/>
          <w:bCs/>
          <w:u w:color="4F5358"/>
        </w:rPr>
        <w:tab/>
      </w:r>
      <w:r>
        <w:rPr>
          <w:rFonts w:ascii="Arial" w:hAnsi="Arial" w:cs="Arial"/>
          <w:b/>
          <w:bCs/>
          <w:u w:color="4F5358"/>
        </w:rPr>
        <w:tab/>
      </w:r>
      <w:r>
        <w:rPr>
          <w:rFonts w:ascii="Arial" w:hAnsi="Arial" w:cs="Arial"/>
          <w:b/>
          <w:bCs/>
          <w:u w:color="4F5358"/>
        </w:rPr>
        <w:tab/>
      </w:r>
      <w:r w:rsidR="007C7660" w:rsidRPr="007E3AC1">
        <w:rPr>
          <w:rFonts w:ascii="Arial" w:hAnsi="Arial" w:cs="Arial"/>
          <w:u w:color="4F5358"/>
        </w:rPr>
        <w:tab/>
      </w:r>
      <w:r w:rsidR="007C7660" w:rsidRPr="007E3AC1">
        <w:rPr>
          <w:rFonts w:ascii="Arial" w:hAnsi="Arial" w:cs="Arial"/>
          <w:u w:color="4F5358"/>
        </w:rPr>
        <w:tab/>
      </w:r>
      <w:r w:rsidR="007C7660">
        <w:rPr>
          <w:rFonts w:ascii="Arial" w:hAnsi="Arial" w:cs="Arial"/>
          <w:u w:color="4F5358"/>
        </w:rPr>
        <w:tab/>
      </w:r>
      <w:r w:rsidR="007C7660" w:rsidRPr="007E3AC1">
        <w:rPr>
          <w:rFonts w:ascii="Arial" w:hAnsi="Arial" w:cs="Arial"/>
          <w:u w:color="4F5358"/>
        </w:rPr>
        <w:tab/>
      </w:r>
      <w:r w:rsidR="007C7660">
        <w:rPr>
          <w:rFonts w:ascii="Arial" w:hAnsi="Arial" w:cs="Arial"/>
          <w:u w:color="4F5358"/>
        </w:rPr>
        <w:tab/>
      </w:r>
      <w:r w:rsidR="006303A0">
        <w:rPr>
          <w:rFonts w:ascii="Arial" w:hAnsi="Arial" w:cs="Arial"/>
          <w:u w:color="4F5358"/>
        </w:rPr>
        <w:tab/>
      </w:r>
      <w:r w:rsidR="007C7660" w:rsidRPr="00D211C7">
        <w:rPr>
          <w:rFonts w:ascii="Arial" w:hAnsi="Arial" w:cs="Arial"/>
          <w:b/>
          <w:bCs/>
          <w:u w:color="4F5358"/>
        </w:rPr>
        <w:t>R</w:t>
      </w:r>
      <w:r>
        <w:rPr>
          <w:rFonts w:ascii="Arial" w:hAnsi="Arial" w:cs="Arial"/>
          <w:b/>
          <w:bCs/>
          <w:u w:color="4F5358"/>
        </w:rPr>
        <w:t>ESPONDENT</w:t>
      </w:r>
    </w:p>
    <w:p w14:paraId="479D87F6" w14:textId="77777777" w:rsidR="007C7660" w:rsidRDefault="007C7660" w:rsidP="007C7660">
      <w:pPr>
        <w:pStyle w:val="BodyText"/>
        <w:pBdr>
          <w:bottom w:val="single" w:sz="12" w:space="1" w:color="auto"/>
        </w:pBdr>
        <w:kinsoku w:val="0"/>
        <w:overflowPunct w:val="0"/>
        <w:spacing w:line="360" w:lineRule="auto"/>
        <w:jc w:val="both"/>
        <w:rPr>
          <w:rFonts w:ascii="Arial" w:eastAsiaTheme="minorEastAsia" w:hAnsi="Arial" w:cs="Arial"/>
          <w:b/>
          <w:bCs/>
        </w:rPr>
      </w:pPr>
    </w:p>
    <w:p w14:paraId="0175BC97" w14:textId="77777777" w:rsidR="007C7660" w:rsidRPr="007E3AC1" w:rsidRDefault="007C7660" w:rsidP="007C7660">
      <w:pPr>
        <w:pStyle w:val="BodyText"/>
        <w:kinsoku w:val="0"/>
        <w:overflowPunct w:val="0"/>
        <w:spacing w:line="360" w:lineRule="auto"/>
        <w:jc w:val="both"/>
        <w:rPr>
          <w:rFonts w:ascii="Arial" w:eastAsiaTheme="minorEastAsia" w:hAnsi="Arial" w:cs="Arial"/>
          <w:b/>
          <w:bCs/>
        </w:rPr>
      </w:pPr>
    </w:p>
    <w:p w14:paraId="1CD0A6A1" w14:textId="77777777" w:rsidR="007C7660" w:rsidRPr="007E3AC1" w:rsidRDefault="007C7660" w:rsidP="007C7660">
      <w:pPr>
        <w:pStyle w:val="BodyText"/>
        <w:kinsoku w:val="0"/>
        <w:overflowPunct w:val="0"/>
        <w:spacing w:line="360" w:lineRule="auto"/>
        <w:jc w:val="center"/>
        <w:rPr>
          <w:rFonts w:ascii="Arial" w:eastAsiaTheme="minorEastAsia" w:hAnsi="Arial" w:cs="Arial"/>
          <w:b/>
          <w:bCs/>
        </w:rPr>
      </w:pPr>
      <w:r w:rsidRPr="007E3AC1">
        <w:rPr>
          <w:rFonts w:ascii="Arial" w:eastAsiaTheme="minorEastAsia" w:hAnsi="Arial" w:cs="Arial"/>
          <w:b/>
          <w:bCs/>
        </w:rPr>
        <w:t>JUDGMENT</w:t>
      </w:r>
    </w:p>
    <w:p w14:paraId="0B9523B1" w14:textId="77777777" w:rsidR="007C7660" w:rsidRDefault="007C7660" w:rsidP="007C7660">
      <w:pPr>
        <w:pStyle w:val="BodyText"/>
        <w:pBdr>
          <w:bottom w:val="single" w:sz="12" w:space="1" w:color="auto"/>
        </w:pBdr>
        <w:kinsoku w:val="0"/>
        <w:overflowPunct w:val="0"/>
        <w:spacing w:line="360" w:lineRule="auto"/>
        <w:jc w:val="both"/>
        <w:rPr>
          <w:rFonts w:ascii="Arial" w:eastAsiaTheme="minorEastAsia" w:hAnsi="Arial" w:cs="Arial"/>
          <w:b/>
          <w:bCs/>
          <w:u w:color="404044"/>
        </w:rPr>
      </w:pPr>
    </w:p>
    <w:p w14:paraId="7386FAED" w14:textId="77777777" w:rsidR="007C7660" w:rsidRDefault="007C7660" w:rsidP="007C7660">
      <w:pPr>
        <w:pStyle w:val="BodyText"/>
        <w:kinsoku w:val="0"/>
        <w:overflowPunct w:val="0"/>
        <w:spacing w:line="360" w:lineRule="auto"/>
        <w:jc w:val="both"/>
        <w:rPr>
          <w:rFonts w:ascii="Arial" w:eastAsiaTheme="minorEastAsia" w:hAnsi="Arial" w:cs="Arial"/>
          <w:b/>
          <w:bCs/>
          <w:u w:color="404044"/>
        </w:rPr>
      </w:pPr>
    </w:p>
    <w:p w14:paraId="1C555272" w14:textId="0B410095" w:rsidR="007C7660" w:rsidRPr="005B6E1B" w:rsidRDefault="007C7660" w:rsidP="00A4417B">
      <w:pPr>
        <w:pStyle w:val="BodyText"/>
        <w:kinsoku w:val="0"/>
        <w:overflowPunct w:val="0"/>
        <w:spacing w:after="120" w:line="360" w:lineRule="auto"/>
        <w:jc w:val="both"/>
        <w:rPr>
          <w:rFonts w:ascii="Arial" w:eastAsiaTheme="minorEastAsia" w:hAnsi="Arial" w:cs="Arial"/>
          <w:b/>
          <w:bCs/>
        </w:rPr>
      </w:pPr>
      <w:r w:rsidRPr="005B6E1B">
        <w:rPr>
          <w:rFonts w:ascii="Arial" w:eastAsiaTheme="minorEastAsia" w:hAnsi="Arial" w:cs="Arial"/>
          <w:b/>
          <w:bCs/>
          <w:u w:color="404044"/>
        </w:rPr>
        <w:t>BRAND AJ</w:t>
      </w:r>
      <w:r w:rsidR="006303A0">
        <w:rPr>
          <w:rFonts w:ascii="Arial" w:eastAsiaTheme="minorEastAsia" w:hAnsi="Arial" w:cs="Arial"/>
          <w:b/>
          <w:bCs/>
          <w:u w:color="404044"/>
        </w:rPr>
        <w:t xml:space="preserve"> (with DAVIS J and VAN DER SCHYFF J CONCURRING</w:t>
      </w:r>
      <w:r w:rsidR="006E0DFE">
        <w:rPr>
          <w:rFonts w:ascii="Arial" w:eastAsiaTheme="minorEastAsia" w:hAnsi="Arial" w:cs="Arial"/>
          <w:b/>
          <w:bCs/>
          <w:u w:color="404044"/>
        </w:rPr>
        <w:t>)</w:t>
      </w:r>
    </w:p>
    <w:p w14:paraId="10489058" w14:textId="77777777" w:rsidR="007C7660" w:rsidRDefault="007C7660" w:rsidP="00A4417B">
      <w:pPr>
        <w:pStyle w:val="BodyText"/>
        <w:kinsoku w:val="0"/>
        <w:overflowPunct w:val="0"/>
        <w:spacing w:after="120" w:line="360" w:lineRule="auto"/>
        <w:jc w:val="both"/>
        <w:rPr>
          <w:rFonts w:ascii="Arial" w:eastAsiaTheme="minorEastAsia" w:hAnsi="Arial" w:cs="Arial"/>
          <w:b/>
          <w:bCs/>
        </w:rPr>
      </w:pPr>
    </w:p>
    <w:p w14:paraId="7D4FA5E0" w14:textId="0E37E7B6" w:rsidR="00B33F83" w:rsidRDefault="007C7660" w:rsidP="00A4417B">
      <w:pPr>
        <w:pStyle w:val="BodyText"/>
        <w:kinsoku w:val="0"/>
        <w:overflowPunct w:val="0"/>
        <w:spacing w:after="120" w:line="360" w:lineRule="auto"/>
        <w:jc w:val="both"/>
        <w:rPr>
          <w:rFonts w:ascii="Arial" w:eastAsiaTheme="minorEastAsia" w:hAnsi="Arial" w:cs="Arial"/>
          <w:b/>
          <w:bCs/>
        </w:rPr>
      </w:pPr>
      <w:r>
        <w:rPr>
          <w:rFonts w:ascii="Arial" w:eastAsiaTheme="minorEastAsia" w:hAnsi="Arial" w:cs="Arial"/>
          <w:b/>
          <w:bCs/>
        </w:rPr>
        <w:t>Introduction</w:t>
      </w:r>
    </w:p>
    <w:p w14:paraId="26DA41A8" w14:textId="22B8F8B0" w:rsidR="00621AAA" w:rsidRDefault="00ED0129" w:rsidP="00A4417B">
      <w:pPr>
        <w:pStyle w:val="BodyText"/>
        <w:kinsoku w:val="0"/>
        <w:overflowPunct w:val="0"/>
        <w:spacing w:after="120" w:line="360" w:lineRule="auto"/>
        <w:jc w:val="both"/>
        <w:rPr>
          <w:rFonts w:ascii="Arial" w:eastAsiaTheme="minorEastAsia" w:hAnsi="Arial" w:cs="Arial"/>
        </w:rPr>
      </w:pPr>
      <w:r>
        <w:rPr>
          <w:rFonts w:ascii="Arial" w:eastAsiaTheme="minorEastAsia" w:hAnsi="Arial" w:cs="Arial"/>
        </w:rPr>
        <w:t>[1]</w:t>
      </w:r>
      <w:r>
        <w:rPr>
          <w:rFonts w:ascii="Arial" w:eastAsiaTheme="minorEastAsia" w:hAnsi="Arial" w:cs="Arial"/>
        </w:rPr>
        <w:tab/>
      </w:r>
      <w:r w:rsidR="00621AAA">
        <w:rPr>
          <w:rFonts w:ascii="Arial" w:eastAsiaTheme="minorEastAsia" w:hAnsi="Arial" w:cs="Arial"/>
        </w:rPr>
        <w:t xml:space="preserve">This is an appeal against the conviction of Costa </w:t>
      </w:r>
      <w:r w:rsidR="006303A0">
        <w:rPr>
          <w:rFonts w:ascii="Arial" w:eastAsiaTheme="minorEastAsia" w:hAnsi="Arial" w:cs="Arial"/>
        </w:rPr>
        <w:t>Fundamo (‘the a</w:t>
      </w:r>
      <w:r w:rsidR="00621AAA">
        <w:rPr>
          <w:rFonts w:ascii="Arial" w:eastAsiaTheme="minorEastAsia" w:hAnsi="Arial" w:cs="Arial"/>
        </w:rPr>
        <w:t xml:space="preserve">ppellant’) on one count of murder and one of robbery with aggravating circumstances, in a judgment </w:t>
      </w:r>
      <w:r w:rsidR="00621AAA">
        <w:rPr>
          <w:rFonts w:ascii="Arial" w:eastAsiaTheme="minorEastAsia" w:hAnsi="Arial" w:cs="Arial"/>
        </w:rPr>
        <w:lastRenderedPageBreak/>
        <w:t>handed down in this Court per Bam J on 11 November 2022.</w:t>
      </w:r>
    </w:p>
    <w:p w14:paraId="70CF07CF" w14:textId="77777777" w:rsidR="00621AAA" w:rsidRDefault="00621AAA" w:rsidP="00A4417B">
      <w:pPr>
        <w:pStyle w:val="BodyText"/>
        <w:kinsoku w:val="0"/>
        <w:overflowPunct w:val="0"/>
        <w:spacing w:after="120" w:line="360" w:lineRule="auto"/>
        <w:jc w:val="both"/>
        <w:rPr>
          <w:rFonts w:ascii="Arial" w:eastAsiaTheme="minorEastAsia" w:hAnsi="Arial" w:cs="Arial"/>
        </w:rPr>
      </w:pPr>
    </w:p>
    <w:p w14:paraId="26F70C83" w14:textId="0255CBF2" w:rsidR="00621AAA" w:rsidRPr="00621AAA" w:rsidRDefault="00621AAA" w:rsidP="00A4417B">
      <w:pPr>
        <w:pStyle w:val="BodyText"/>
        <w:kinsoku w:val="0"/>
        <w:overflowPunct w:val="0"/>
        <w:spacing w:after="120" w:line="360" w:lineRule="auto"/>
        <w:jc w:val="both"/>
        <w:rPr>
          <w:rFonts w:ascii="Arial" w:eastAsiaTheme="minorEastAsia" w:hAnsi="Arial" w:cs="Arial"/>
          <w:b/>
          <w:bCs/>
        </w:rPr>
      </w:pPr>
      <w:r w:rsidRPr="00621AAA">
        <w:rPr>
          <w:rFonts w:ascii="Arial" w:eastAsiaTheme="minorEastAsia" w:hAnsi="Arial" w:cs="Arial"/>
          <w:b/>
          <w:bCs/>
        </w:rPr>
        <w:t>Background</w:t>
      </w:r>
    </w:p>
    <w:p w14:paraId="287BE9BE" w14:textId="7123A263" w:rsidR="00ED0129" w:rsidRDefault="00621AAA" w:rsidP="00A4417B">
      <w:pPr>
        <w:pStyle w:val="BodyText"/>
        <w:kinsoku w:val="0"/>
        <w:overflowPunct w:val="0"/>
        <w:spacing w:after="120" w:line="360" w:lineRule="auto"/>
        <w:jc w:val="both"/>
        <w:rPr>
          <w:rFonts w:ascii="Arial" w:eastAsiaTheme="minorEastAsia" w:hAnsi="Arial" w:cs="Arial"/>
        </w:rPr>
      </w:pPr>
      <w:r>
        <w:rPr>
          <w:rFonts w:ascii="Arial" w:eastAsiaTheme="minorEastAsia" w:hAnsi="Arial" w:cs="Arial"/>
        </w:rPr>
        <w:t>[2]</w:t>
      </w:r>
      <w:r>
        <w:rPr>
          <w:rFonts w:ascii="Arial" w:eastAsiaTheme="minorEastAsia" w:hAnsi="Arial" w:cs="Arial"/>
        </w:rPr>
        <w:tab/>
      </w:r>
      <w:r w:rsidR="00ED0129">
        <w:rPr>
          <w:rFonts w:ascii="Arial" w:eastAsiaTheme="minorEastAsia" w:hAnsi="Arial" w:cs="Arial"/>
        </w:rPr>
        <w:t>On the morning of</w:t>
      </w:r>
      <w:r w:rsidR="006303A0">
        <w:rPr>
          <w:rFonts w:ascii="Arial" w:eastAsiaTheme="minorEastAsia" w:hAnsi="Arial" w:cs="Arial"/>
        </w:rPr>
        <w:t xml:space="preserve"> 25 January 2017, two men, the a</w:t>
      </w:r>
      <w:r w:rsidR="00ED0129">
        <w:rPr>
          <w:rFonts w:ascii="Arial" w:eastAsiaTheme="minorEastAsia" w:hAnsi="Arial" w:cs="Arial"/>
        </w:rPr>
        <w:t>ppellant and Eric Pa</w:t>
      </w:r>
      <w:r w:rsidR="006303A0">
        <w:rPr>
          <w:rFonts w:ascii="Arial" w:eastAsiaTheme="minorEastAsia" w:hAnsi="Arial" w:cs="Arial"/>
        </w:rPr>
        <w:t>trick Nhaca (later the a</w:t>
      </w:r>
      <w:r w:rsidR="00ED0129">
        <w:rPr>
          <w:rFonts w:ascii="Arial" w:eastAsiaTheme="minorEastAsia" w:hAnsi="Arial" w:cs="Arial"/>
        </w:rPr>
        <w:t>ppellant’s co-accused</w:t>
      </w:r>
      <w:r w:rsidR="0011042E">
        <w:rPr>
          <w:rFonts w:ascii="Arial" w:eastAsiaTheme="minorEastAsia" w:hAnsi="Arial" w:cs="Arial"/>
        </w:rPr>
        <w:t xml:space="preserve"> – ‘the co-accused’</w:t>
      </w:r>
      <w:r w:rsidR="00ED0129">
        <w:rPr>
          <w:rFonts w:ascii="Arial" w:eastAsiaTheme="minorEastAsia" w:hAnsi="Arial" w:cs="Arial"/>
        </w:rPr>
        <w:t>) reported at the Lyttleton Police Station in Pretoria that they had earlier that day come upon their employer</w:t>
      </w:r>
      <w:r w:rsidR="0011042E">
        <w:rPr>
          <w:rFonts w:ascii="Arial" w:eastAsiaTheme="minorEastAsia" w:hAnsi="Arial" w:cs="Arial"/>
        </w:rPr>
        <w:t>, Emmanuel Tefo Myambo (‘the deceased’)</w:t>
      </w:r>
      <w:r w:rsidR="00ED0129">
        <w:rPr>
          <w:rFonts w:ascii="Arial" w:eastAsiaTheme="minorEastAsia" w:hAnsi="Arial" w:cs="Arial"/>
        </w:rPr>
        <w:t xml:space="preserve"> seemingly murdered in his bed.</w:t>
      </w:r>
    </w:p>
    <w:p w14:paraId="7F19B615" w14:textId="77777777" w:rsidR="004B153F" w:rsidRDefault="004B153F" w:rsidP="00A4417B">
      <w:pPr>
        <w:pStyle w:val="BodyText"/>
        <w:kinsoku w:val="0"/>
        <w:overflowPunct w:val="0"/>
        <w:spacing w:after="120" w:line="360" w:lineRule="auto"/>
        <w:jc w:val="both"/>
        <w:rPr>
          <w:rFonts w:ascii="Arial" w:eastAsiaTheme="minorEastAsia" w:hAnsi="Arial" w:cs="Arial"/>
        </w:rPr>
      </w:pPr>
    </w:p>
    <w:p w14:paraId="3B02D167" w14:textId="3BCE703E" w:rsidR="00ED0129" w:rsidRDefault="00ED0129" w:rsidP="00A4417B">
      <w:pPr>
        <w:pStyle w:val="BodyText"/>
        <w:kinsoku w:val="0"/>
        <w:overflowPunct w:val="0"/>
        <w:spacing w:after="120" w:line="360" w:lineRule="auto"/>
        <w:jc w:val="both"/>
        <w:rPr>
          <w:rFonts w:ascii="Arial" w:eastAsiaTheme="minorEastAsia" w:hAnsi="Arial" w:cs="Arial"/>
        </w:rPr>
      </w:pPr>
      <w:r>
        <w:rPr>
          <w:rFonts w:ascii="Arial" w:eastAsiaTheme="minorEastAsia" w:hAnsi="Arial" w:cs="Arial"/>
        </w:rPr>
        <w:t>[</w:t>
      </w:r>
      <w:r w:rsidR="00621AAA">
        <w:rPr>
          <w:rFonts w:ascii="Arial" w:eastAsiaTheme="minorEastAsia" w:hAnsi="Arial" w:cs="Arial"/>
        </w:rPr>
        <w:t>3</w:t>
      </w:r>
      <w:r>
        <w:rPr>
          <w:rFonts w:ascii="Arial" w:eastAsiaTheme="minorEastAsia" w:hAnsi="Arial" w:cs="Arial"/>
        </w:rPr>
        <w:t>]</w:t>
      </w:r>
      <w:r>
        <w:rPr>
          <w:rFonts w:ascii="Arial" w:eastAsiaTheme="minorEastAsia" w:hAnsi="Arial" w:cs="Arial"/>
        </w:rPr>
        <w:tab/>
        <w:t xml:space="preserve">When members of the police accompanied them to the deceased’s house, they duly found him dead on his bed, bloodied and with several wounds to his head. Although there were no signs of forced entry, the presence of a bolt-cutter and crowbar on the floor of the deceased’s bedroom; the fact that two plasma television sets were found removed from their wall mountings and left on the floor; and the absence of the deceased’s laptop computer, later that day reported by his family, suggested to the police that a robbery had also occurred, in addition to the murder. </w:t>
      </w:r>
    </w:p>
    <w:p w14:paraId="79B4E106" w14:textId="77777777" w:rsidR="004B153F" w:rsidRDefault="004B153F" w:rsidP="00A4417B">
      <w:pPr>
        <w:pStyle w:val="BodyText"/>
        <w:kinsoku w:val="0"/>
        <w:overflowPunct w:val="0"/>
        <w:spacing w:after="120" w:line="360" w:lineRule="auto"/>
        <w:jc w:val="both"/>
        <w:rPr>
          <w:rFonts w:ascii="Arial" w:eastAsiaTheme="minorEastAsia" w:hAnsi="Arial" w:cs="Arial"/>
        </w:rPr>
      </w:pPr>
    </w:p>
    <w:p w14:paraId="34C2E43B" w14:textId="5F8DAFBC" w:rsidR="00ED0129" w:rsidRDefault="00ED0129" w:rsidP="00A4417B">
      <w:pPr>
        <w:pStyle w:val="BodyText"/>
        <w:kinsoku w:val="0"/>
        <w:overflowPunct w:val="0"/>
        <w:spacing w:after="120" w:line="360" w:lineRule="auto"/>
        <w:jc w:val="both"/>
        <w:rPr>
          <w:rFonts w:ascii="Arial" w:eastAsiaTheme="minorEastAsia" w:hAnsi="Arial" w:cs="Arial"/>
        </w:rPr>
      </w:pPr>
      <w:r>
        <w:rPr>
          <w:rFonts w:ascii="Arial" w:eastAsiaTheme="minorEastAsia" w:hAnsi="Arial" w:cs="Arial"/>
        </w:rPr>
        <w:t>[</w:t>
      </w:r>
      <w:r w:rsidR="00621AAA">
        <w:rPr>
          <w:rFonts w:ascii="Arial" w:eastAsiaTheme="minorEastAsia" w:hAnsi="Arial" w:cs="Arial"/>
        </w:rPr>
        <w:t>4</w:t>
      </w:r>
      <w:r w:rsidR="006303A0">
        <w:rPr>
          <w:rFonts w:ascii="Arial" w:eastAsiaTheme="minorEastAsia" w:hAnsi="Arial" w:cs="Arial"/>
        </w:rPr>
        <w:t>]</w:t>
      </w:r>
      <w:r w:rsidR="006303A0">
        <w:rPr>
          <w:rFonts w:ascii="Arial" w:eastAsiaTheme="minorEastAsia" w:hAnsi="Arial" w:cs="Arial"/>
        </w:rPr>
        <w:tab/>
        <w:t>The a</w:t>
      </w:r>
      <w:r>
        <w:rPr>
          <w:rFonts w:ascii="Arial" w:eastAsiaTheme="minorEastAsia" w:hAnsi="Arial" w:cs="Arial"/>
        </w:rPr>
        <w:t>ppellant and his later co-accused where on that day questioned by the police and their shared room on the deceased’s premises was searched</w:t>
      </w:r>
      <w:r w:rsidR="005B36B6">
        <w:rPr>
          <w:rFonts w:ascii="Arial" w:eastAsiaTheme="minorEastAsia" w:hAnsi="Arial" w:cs="Arial"/>
        </w:rPr>
        <w:t>. They both denied any involvement in the murder and supposed robbery</w:t>
      </w:r>
      <w:r w:rsidR="00443AA3">
        <w:rPr>
          <w:rFonts w:ascii="Arial" w:eastAsiaTheme="minorEastAsia" w:hAnsi="Arial" w:cs="Arial"/>
        </w:rPr>
        <w:t>,</w:t>
      </w:r>
      <w:r>
        <w:rPr>
          <w:rFonts w:ascii="Arial" w:eastAsiaTheme="minorEastAsia" w:hAnsi="Arial" w:cs="Arial"/>
        </w:rPr>
        <w:t xml:space="preserve"> </w:t>
      </w:r>
      <w:r w:rsidR="005B36B6">
        <w:rPr>
          <w:rFonts w:ascii="Arial" w:eastAsiaTheme="minorEastAsia" w:hAnsi="Arial" w:cs="Arial"/>
        </w:rPr>
        <w:t>and</w:t>
      </w:r>
      <w:r>
        <w:rPr>
          <w:rFonts w:ascii="Arial" w:eastAsiaTheme="minorEastAsia" w:hAnsi="Arial" w:cs="Arial"/>
        </w:rPr>
        <w:t xml:space="preserve"> nothing was then found to connect them to the </w:t>
      </w:r>
      <w:r w:rsidR="005B36B6">
        <w:rPr>
          <w:rFonts w:ascii="Arial" w:eastAsiaTheme="minorEastAsia" w:hAnsi="Arial" w:cs="Arial"/>
        </w:rPr>
        <w:t>crimes</w:t>
      </w:r>
      <w:r>
        <w:rPr>
          <w:rFonts w:ascii="Arial" w:eastAsiaTheme="minorEastAsia" w:hAnsi="Arial" w:cs="Arial"/>
        </w:rPr>
        <w:t>. Nonetheless, just over two months later, on 27 March 2017, they were arrested and charged with both</w:t>
      </w:r>
      <w:r w:rsidR="006303A0">
        <w:rPr>
          <w:rFonts w:ascii="Arial" w:eastAsiaTheme="minorEastAsia" w:hAnsi="Arial" w:cs="Arial"/>
        </w:rPr>
        <w:t xml:space="preserve"> these offences</w:t>
      </w:r>
      <w:r>
        <w:rPr>
          <w:rFonts w:ascii="Arial" w:eastAsiaTheme="minorEastAsia" w:hAnsi="Arial" w:cs="Arial"/>
        </w:rPr>
        <w:t>. The</w:t>
      </w:r>
      <w:r w:rsidR="00621AAA">
        <w:rPr>
          <w:rFonts w:ascii="Arial" w:eastAsiaTheme="minorEastAsia" w:hAnsi="Arial" w:cs="Arial"/>
        </w:rPr>
        <w:t>ir trial</w:t>
      </w:r>
      <w:r>
        <w:rPr>
          <w:rFonts w:ascii="Arial" w:eastAsiaTheme="minorEastAsia" w:hAnsi="Arial" w:cs="Arial"/>
        </w:rPr>
        <w:t xml:space="preserve"> in the High Court in Pretoria, and </w:t>
      </w:r>
      <w:r w:rsidR="00621AAA">
        <w:rPr>
          <w:rFonts w:ascii="Arial" w:eastAsiaTheme="minorEastAsia" w:hAnsi="Arial" w:cs="Arial"/>
        </w:rPr>
        <w:t xml:space="preserve">conviction of both murder and robbery with aggravating circumstances </w:t>
      </w:r>
      <w:r>
        <w:rPr>
          <w:rFonts w:ascii="Arial" w:eastAsiaTheme="minorEastAsia" w:hAnsi="Arial" w:cs="Arial"/>
        </w:rPr>
        <w:t>on 11 November 2022,</w:t>
      </w:r>
      <w:r w:rsidR="00621AAA">
        <w:rPr>
          <w:rFonts w:ascii="Arial" w:eastAsiaTheme="minorEastAsia" w:hAnsi="Arial" w:cs="Arial"/>
        </w:rPr>
        <w:t xml:space="preserve"> followed</w:t>
      </w:r>
      <w:r>
        <w:rPr>
          <w:rFonts w:ascii="Arial" w:eastAsiaTheme="minorEastAsia" w:hAnsi="Arial" w:cs="Arial"/>
        </w:rPr>
        <w:t xml:space="preserve">. For the murder they were </w:t>
      </w:r>
      <w:r w:rsidR="007D0039">
        <w:rPr>
          <w:rFonts w:ascii="Arial" w:eastAsiaTheme="minorEastAsia" w:hAnsi="Arial" w:cs="Arial"/>
        </w:rPr>
        <w:t xml:space="preserve">each </w:t>
      </w:r>
      <w:r>
        <w:rPr>
          <w:rFonts w:ascii="Arial" w:eastAsiaTheme="minorEastAsia" w:hAnsi="Arial" w:cs="Arial"/>
        </w:rPr>
        <w:t>sentenced to life imprisonment and for the robbery to 15 years.</w:t>
      </w:r>
    </w:p>
    <w:p w14:paraId="599BB635" w14:textId="77777777" w:rsidR="004B153F" w:rsidRDefault="004B153F" w:rsidP="00A4417B">
      <w:pPr>
        <w:pStyle w:val="BodyText"/>
        <w:kinsoku w:val="0"/>
        <w:overflowPunct w:val="0"/>
        <w:spacing w:after="120" w:line="360" w:lineRule="auto"/>
        <w:jc w:val="both"/>
        <w:rPr>
          <w:rFonts w:ascii="Arial" w:eastAsiaTheme="minorEastAsia" w:hAnsi="Arial" w:cs="Arial"/>
        </w:rPr>
      </w:pPr>
    </w:p>
    <w:p w14:paraId="11842881" w14:textId="4BF514DE" w:rsidR="00ED0129" w:rsidRDefault="00ED0129" w:rsidP="00A4417B">
      <w:pPr>
        <w:pStyle w:val="BodyText"/>
        <w:kinsoku w:val="0"/>
        <w:overflowPunct w:val="0"/>
        <w:spacing w:after="120" w:line="360" w:lineRule="auto"/>
        <w:jc w:val="both"/>
        <w:rPr>
          <w:rFonts w:ascii="Arial" w:eastAsiaTheme="minorEastAsia" w:hAnsi="Arial" w:cs="Arial"/>
        </w:rPr>
      </w:pPr>
      <w:r>
        <w:rPr>
          <w:rFonts w:ascii="Arial" w:eastAsiaTheme="minorEastAsia" w:hAnsi="Arial" w:cs="Arial"/>
        </w:rPr>
        <w:t>[</w:t>
      </w:r>
      <w:r w:rsidR="00621AAA">
        <w:rPr>
          <w:rFonts w:ascii="Arial" w:eastAsiaTheme="minorEastAsia" w:hAnsi="Arial" w:cs="Arial"/>
        </w:rPr>
        <w:t>5</w:t>
      </w:r>
      <w:r w:rsidR="006303A0">
        <w:rPr>
          <w:rFonts w:ascii="Arial" w:eastAsiaTheme="minorEastAsia" w:hAnsi="Arial" w:cs="Arial"/>
        </w:rPr>
        <w:t>]</w:t>
      </w:r>
      <w:r w:rsidR="006303A0">
        <w:rPr>
          <w:rFonts w:ascii="Arial" w:eastAsiaTheme="minorEastAsia" w:hAnsi="Arial" w:cs="Arial"/>
        </w:rPr>
        <w:tab/>
        <w:t>The a</w:t>
      </w:r>
      <w:r>
        <w:rPr>
          <w:rFonts w:ascii="Arial" w:eastAsiaTheme="minorEastAsia" w:hAnsi="Arial" w:cs="Arial"/>
        </w:rPr>
        <w:t>ppellant was granted leave to appeal against his conviction on both counts. It is thus his appeal against conviction that is now before us.</w:t>
      </w:r>
      <w:r w:rsidR="006303A0">
        <w:rPr>
          <w:rFonts w:ascii="Arial" w:eastAsiaTheme="minorEastAsia" w:hAnsi="Arial" w:cs="Arial"/>
        </w:rPr>
        <w:t xml:space="preserve"> The a</w:t>
      </w:r>
      <w:r w:rsidR="00621AAA">
        <w:rPr>
          <w:rFonts w:ascii="Arial" w:eastAsiaTheme="minorEastAsia" w:hAnsi="Arial" w:cs="Arial"/>
        </w:rPr>
        <w:t>ppellant’s co-accused has not similarly applied for leave to appeal</w:t>
      </w:r>
      <w:r w:rsidR="001C2FE6">
        <w:rPr>
          <w:rFonts w:ascii="Arial" w:eastAsiaTheme="minorEastAsia" w:hAnsi="Arial" w:cs="Arial"/>
        </w:rPr>
        <w:t xml:space="preserve"> and there is no appeal against his conviction pending.</w:t>
      </w:r>
    </w:p>
    <w:p w14:paraId="17792BD0" w14:textId="77777777" w:rsidR="00621AAA" w:rsidRDefault="00621AAA" w:rsidP="00A4417B">
      <w:pPr>
        <w:pStyle w:val="BodyText"/>
        <w:kinsoku w:val="0"/>
        <w:overflowPunct w:val="0"/>
        <w:spacing w:after="120" w:line="360" w:lineRule="auto"/>
        <w:jc w:val="both"/>
        <w:rPr>
          <w:rFonts w:ascii="Arial" w:eastAsiaTheme="minorEastAsia" w:hAnsi="Arial" w:cs="Arial"/>
        </w:rPr>
      </w:pPr>
    </w:p>
    <w:p w14:paraId="6496393D" w14:textId="20923972" w:rsidR="00D5313E" w:rsidRPr="005F3C1E" w:rsidRDefault="00621AAA" w:rsidP="00A4417B">
      <w:pPr>
        <w:pStyle w:val="BodyText"/>
        <w:kinsoku w:val="0"/>
        <w:overflowPunct w:val="0"/>
        <w:spacing w:after="120" w:line="360" w:lineRule="auto"/>
        <w:jc w:val="both"/>
        <w:rPr>
          <w:rFonts w:ascii="Arial" w:eastAsiaTheme="minorEastAsia" w:hAnsi="Arial" w:cs="Arial"/>
          <w:b/>
          <w:bCs/>
          <w:i/>
          <w:iCs/>
        </w:rPr>
      </w:pPr>
      <w:r>
        <w:rPr>
          <w:rFonts w:ascii="Arial" w:eastAsiaTheme="minorEastAsia" w:hAnsi="Arial" w:cs="Arial"/>
          <w:b/>
          <w:bCs/>
        </w:rPr>
        <w:t>T</w:t>
      </w:r>
      <w:r w:rsidR="005F3C1E">
        <w:rPr>
          <w:rFonts w:ascii="Arial" w:eastAsiaTheme="minorEastAsia" w:hAnsi="Arial" w:cs="Arial"/>
          <w:b/>
          <w:bCs/>
        </w:rPr>
        <w:t xml:space="preserve">he judgment of the court </w:t>
      </w:r>
      <w:r w:rsidR="005F3C1E">
        <w:rPr>
          <w:rFonts w:ascii="Arial" w:eastAsiaTheme="minorEastAsia" w:hAnsi="Arial" w:cs="Arial"/>
          <w:b/>
          <w:bCs/>
          <w:i/>
          <w:iCs/>
        </w:rPr>
        <w:t>a quo</w:t>
      </w:r>
    </w:p>
    <w:p w14:paraId="20061276" w14:textId="35E58B90" w:rsidR="00D561FD" w:rsidRDefault="004B153F" w:rsidP="00A4417B">
      <w:pPr>
        <w:pStyle w:val="BodyText"/>
        <w:kinsoku w:val="0"/>
        <w:overflowPunct w:val="0"/>
        <w:spacing w:after="120" w:line="360" w:lineRule="auto"/>
        <w:jc w:val="both"/>
        <w:rPr>
          <w:rFonts w:ascii="Arial" w:eastAsiaTheme="minorEastAsia" w:hAnsi="Arial" w:cs="Arial"/>
        </w:rPr>
      </w:pPr>
      <w:r>
        <w:rPr>
          <w:rFonts w:ascii="Arial" w:eastAsiaTheme="minorEastAsia" w:hAnsi="Arial" w:cs="Arial"/>
        </w:rPr>
        <w:t>[6</w:t>
      </w:r>
      <w:r w:rsidR="003C2B2C">
        <w:rPr>
          <w:rFonts w:ascii="Arial" w:eastAsiaTheme="minorEastAsia" w:hAnsi="Arial" w:cs="Arial"/>
        </w:rPr>
        <w:t>]</w:t>
      </w:r>
      <w:r w:rsidR="003C2B2C">
        <w:rPr>
          <w:rFonts w:ascii="Arial" w:eastAsiaTheme="minorEastAsia" w:hAnsi="Arial" w:cs="Arial"/>
        </w:rPr>
        <w:tab/>
        <w:t>At t</w:t>
      </w:r>
      <w:r w:rsidR="006303A0">
        <w:rPr>
          <w:rFonts w:ascii="Arial" w:eastAsiaTheme="minorEastAsia" w:hAnsi="Arial" w:cs="Arial"/>
        </w:rPr>
        <w:t>rial, both the a</w:t>
      </w:r>
      <w:r w:rsidR="003C2B2C">
        <w:rPr>
          <w:rFonts w:ascii="Arial" w:eastAsiaTheme="minorEastAsia" w:hAnsi="Arial" w:cs="Arial"/>
        </w:rPr>
        <w:t>ppellant and the co-accused pleaded not guilty</w:t>
      </w:r>
      <w:r w:rsidR="00DD335A">
        <w:rPr>
          <w:rFonts w:ascii="Arial" w:eastAsiaTheme="minorEastAsia" w:hAnsi="Arial" w:cs="Arial"/>
        </w:rPr>
        <w:t>. In broad terms</w:t>
      </w:r>
      <w:r w:rsidR="006303A0">
        <w:rPr>
          <w:rFonts w:ascii="Arial" w:eastAsiaTheme="minorEastAsia" w:hAnsi="Arial" w:cs="Arial"/>
        </w:rPr>
        <w:t>, the a</w:t>
      </w:r>
      <w:r w:rsidR="005B36B6">
        <w:rPr>
          <w:rFonts w:ascii="Arial" w:eastAsiaTheme="minorEastAsia" w:hAnsi="Arial" w:cs="Arial"/>
        </w:rPr>
        <w:t>ppellant denied any knowledge of how the murder and supposed robbery unfolded</w:t>
      </w:r>
      <w:r w:rsidR="00B5063B">
        <w:rPr>
          <w:rFonts w:ascii="Arial" w:eastAsiaTheme="minorEastAsia" w:hAnsi="Arial" w:cs="Arial"/>
        </w:rPr>
        <w:t xml:space="preserve"> and any involvement in it</w:t>
      </w:r>
      <w:r w:rsidR="005B36B6">
        <w:rPr>
          <w:rFonts w:ascii="Arial" w:eastAsiaTheme="minorEastAsia" w:hAnsi="Arial" w:cs="Arial"/>
        </w:rPr>
        <w:t xml:space="preserve">, </w:t>
      </w:r>
      <w:r w:rsidR="00B5063B">
        <w:rPr>
          <w:rFonts w:ascii="Arial" w:eastAsiaTheme="minorEastAsia" w:hAnsi="Arial" w:cs="Arial"/>
        </w:rPr>
        <w:t>testifying</w:t>
      </w:r>
      <w:r w:rsidR="005B36B6">
        <w:rPr>
          <w:rFonts w:ascii="Arial" w:eastAsiaTheme="minorEastAsia" w:hAnsi="Arial" w:cs="Arial"/>
        </w:rPr>
        <w:t xml:space="preserve"> that he slept through the night on the date of the murder and</w:t>
      </w:r>
      <w:r w:rsidR="00B5063B">
        <w:rPr>
          <w:rFonts w:ascii="Arial" w:eastAsiaTheme="minorEastAsia" w:hAnsi="Arial" w:cs="Arial"/>
        </w:rPr>
        <w:t xml:space="preserve"> only</w:t>
      </w:r>
      <w:r w:rsidR="005B36B6">
        <w:rPr>
          <w:rFonts w:ascii="Arial" w:eastAsiaTheme="minorEastAsia" w:hAnsi="Arial" w:cs="Arial"/>
        </w:rPr>
        <w:t xml:space="preserve"> discovered the deceased with the co-accused around 9:00 on the morning of 25 January.</w:t>
      </w:r>
      <w:r w:rsidR="00DD335A">
        <w:rPr>
          <w:rFonts w:ascii="Arial" w:eastAsiaTheme="minorEastAsia" w:hAnsi="Arial" w:cs="Arial"/>
        </w:rPr>
        <w:t xml:space="preserve"> </w:t>
      </w:r>
      <w:r w:rsidR="00B5063B">
        <w:rPr>
          <w:rFonts w:ascii="Arial" w:eastAsiaTheme="minorEastAsia" w:hAnsi="Arial" w:cs="Arial"/>
        </w:rPr>
        <w:t>The co-accused in turn also denied involvement in the murder but professed some knowledge of how it occurred. He testified that he was awoken in the early hours of the morning of 25 January 2024 by a car alarm that had been activated. He got up to investigate and saw two men – one armed with a knife and the other with a firearm - running from the garage in which the bakkie of which the alarm had been activated was parked. When he tried to follow these two men, they turned around and grabbed</w:t>
      </w:r>
      <w:r w:rsidR="00D561FD">
        <w:rPr>
          <w:rFonts w:ascii="Arial" w:eastAsiaTheme="minorEastAsia" w:hAnsi="Arial" w:cs="Arial"/>
        </w:rPr>
        <w:t xml:space="preserve"> and held</w:t>
      </w:r>
      <w:r w:rsidR="00B5063B">
        <w:rPr>
          <w:rFonts w:ascii="Arial" w:eastAsiaTheme="minorEastAsia" w:hAnsi="Arial" w:cs="Arial"/>
        </w:rPr>
        <w:t xml:space="preserve"> him. At that time</w:t>
      </w:r>
      <w:r w:rsidR="00D561FD">
        <w:rPr>
          <w:rFonts w:ascii="Arial" w:eastAsiaTheme="minorEastAsia" w:hAnsi="Arial" w:cs="Arial"/>
        </w:rPr>
        <w:t>,</w:t>
      </w:r>
      <w:r w:rsidR="00B5063B">
        <w:rPr>
          <w:rFonts w:ascii="Arial" w:eastAsiaTheme="minorEastAsia" w:hAnsi="Arial" w:cs="Arial"/>
        </w:rPr>
        <w:t xml:space="preserve"> he saw three more persons emerge from the deceased’s house: the deceased’s estranged wife, Anita Myambo (‘the estranged wife’) and two men. They walked toward a black motorcar parked in the yard and got in. The two men holding the co-accused then said to him that if he told anyone what he had seen, they would kill him.</w:t>
      </w:r>
      <w:r w:rsidR="00D561FD">
        <w:rPr>
          <w:rFonts w:ascii="Arial" w:eastAsiaTheme="minorEastAsia" w:hAnsi="Arial" w:cs="Arial"/>
        </w:rPr>
        <w:t xml:space="preserve"> They released him and also got into the black motorcar, which sped off. The co-accused further testified that he then, after closing the gate to the property returned </w:t>
      </w:r>
      <w:r w:rsidR="006303A0">
        <w:rPr>
          <w:rFonts w:ascii="Arial" w:eastAsiaTheme="minorEastAsia" w:hAnsi="Arial" w:cs="Arial"/>
        </w:rPr>
        <w:t>to the room he shared with the a</w:t>
      </w:r>
      <w:r w:rsidR="00D561FD">
        <w:rPr>
          <w:rFonts w:ascii="Arial" w:eastAsiaTheme="minorEastAsia" w:hAnsi="Arial" w:cs="Arial"/>
        </w:rPr>
        <w:t>ppellant (who was fast asleep), got ba</w:t>
      </w:r>
      <w:r w:rsidR="006303A0">
        <w:rPr>
          <w:rFonts w:ascii="Arial" w:eastAsiaTheme="minorEastAsia" w:hAnsi="Arial" w:cs="Arial"/>
        </w:rPr>
        <w:t>ck into bed without waking the a</w:t>
      </w:r>
      <w:r w:rsidR="00D561FD">
        <w:rPr>
          <w:rFonts w:ascii="Arial" w:eastAsiaTheme="minorEastAsia" w:hAnsi="Arial" w:cs="Arial"/>
        </w:rPr>
        <w:t>ppellant and went back to sle</w:t>
      </w:r>
      <w:r w:rsidR="006303A0">
        <w:rPr>
          <w:rFonts w:ascii="Arial" w:eastAsiaTheme="minorEastAsia" w:hAnsi="Arial" w:cs="Arial"/>
        </w:rPr>
        <w:t>ep. In the morning, he and the a</w:t>
      </w:r>
      <w:r w:rsidR="00D561FD">
        <w:rPr>
          <w:rFonts w:ascii="Arial" w:eastAsiaTheme="minorEastAsia" w:hAnsi="Arial" w:cs="Arial"/>
        </w:rPr>
        <w:t>ppellant then discovered the deceased dead in his bed.</w:t>
      </w:r>
    </w:p>
    <w:p w14:paraId="4227D660" w14:textId="77777777" w:rsidR="004B153F" w:rsidRDefault="004B153F" w:rsidP="00A4417B">
      <w:pPr>
        <w:pStyle w:val="BodyText"/>
        <w:kinsoku w:val="0"/>
        <w:overflowPunct w:val="0"/>
        <w:spacing w:after="120" w:line="360" w:lineRule="auto"/>
        <w:jc w:val="both"/>
        <w:rPr>
          <w:rFonts w:ascii="Arial" w:eastAsiaTheme="minorEastAsia" w:hAnsi="Arial" w:cs="Arial"/>
        </w:rPr>
      </w:pPr>
    </w:p>
    <w:p w14:paraId="6A4A56F2" w14:textId="787B419D" w:rsidR="00D561FD" w:rsidRDefault="004B153F" w:rsidP="00A4417B">
      <w:pPr>
        <w:pStyle w:val="BodyText"/>
        <w:kinsoku w:val="0"/>
        <w:overflowPunct w:val="0"/>
        <w:spacing w:after="120" w:line="360" w:lineRule="auto"/>
        <w:jc w:val="both"/>
        <w:rPr>
          <w:rFonts w:ascii="Arial" w:eastAsiaTheme="minorEastAsia" w:hAnsi="Arial" w:cs="Arial"/>
        </w:rPr>
      </w:pPr>
      <w:r>
        <w:rPr>
          <w:rFonts w:ascii="Arial" w:eastAsiaTheme="minorEastAsia" w:hAnsi="Arial" w:cs="Arial"/>
        </w:rPr>
        <w:t>[7</w:t>
      </w:r>
      <w:r w:rsidR="00D561FD">
        <w:rPr>
          <w:rFonts w:ascii="Arial" w:eastAsiaTheme="minorEastAsia" w:hAnsi="Arial" w:cs="Arial"/>
        </w:rPr>
        <w:t>]</w:t>
      </w:r>
      <w:r w:rsidR="00D561FD">
        <w:rPr>
          <w:rFonts w:ascii="Arial" w:eastAsiaTheme="minorEastAsia" w:hAnsi="Arial" w:cs="Arial"/>
        </w:rPr>
        <w:tab/>
        <w:t xml:space="preserve">The court </w:t>
      </w:r>
      <w:r w:rsidR="00D561FD">
        <w:rPr>
          <w:rFonts w:ascii="Arial" w:eastAsiaTheme="minorEastAsia" w:hAnsi="Arial" w:cs="Arial"/>
          <w:i/>
          <w:iCs/>
        </w:rPr>
        <w:t>a quo</w:t>
      </w:r>
      <w:r w:rsidR="006303A0">
        <w:rPr>
          <w:rFonts w:ascii="Arial" w:eastAsiaTheme="minorEastAsia" w:hAnsi="Arial" w:cs="Arial"/>
        </w:rPr>
        <w:t xml:space="preserve"> convicted the a</w:t>
      </w:r>
      <w:r w:rsidR="00D561FD">
        <w:rPr>
          <w:rFonts w:ascii="Arial" w:eastAsiaTheme="minorEastAsia" w:hAnsi="Arial" w:cs="Arial"/>
        </w:rPr>
        <w:t xml:space="preserve">ppellant and the co-accused despite their disavowals of involvement in the murder and robbery, wholly on the basis of a statement that the co-accused had made two months after the murder, to a family friend of the deceased, </w:t>
      </w:r>
      <w:r w:rsidR="004A5AEF">
        <w:rPr>
          <w:rFonts w:ascii="Arial" w:eastAsiaTheme="minorEastAsia" w:hAnsi="Arial" w:cs="Arial"/>
        </w:rPr>
        <w:t xml:space="preserve">Leotina de Almeida (‘De Almeida’). This statement is central to the judgment of the court </w:t>
      </w:r>
      <w:r w:rsidR="004A5AEF">
        <w:rPr>
          <w:rFonts w:ascii="Arial" w:eastAsiaTheme="minorEastAsia" w:hAnsi="Arial" w:cs="Arial"/>
          <w:i/>
          <w:iCs/>
        </w:rPr>
        <w:t>a quo</w:t>
      </w:r>
      <w:r w:rsidR="004A5AEF">
        <w:rPr>
          <w:rFonts w:ascii="Arial" w:eastAsiaTheme="minorEastAsia" w:hAnsi="Arial" w:cs="Arial"/>
        </w:rPr>
        <w:t xml:space="preserve"> and indeed to this appeal. Accordingly, I describe in some detail below how it came about and what it was about.</w:t>
      </w:r>
      <w:r w:rsidR="00D561FD">
        <w:rPr>
          <w:rFonts w:ascii="Arial" w:eastAsiaTheme="minorEastAsia" w:hAnsi="Arial" w:cs="Arial"/>
        </w:rPr>
        <w:t xml:space="preserve"> </w:t>
      </w:r>
      <w:r w:rsidR="00B5063B">
        <w:rPr>
          <w:rFonts w:ascii="Arial" w:eastAsiaTheme="minorEastAsia" w:hAnsi="Arial" w:cs="Arial"/>
        </w:rPr>
        <w:t xml:space="preserve"> </w:t>
      </w:r>
    </w:p>
    <w:p w14:paraId="2B911195" w14:textId="77777777" w:rsidR="004B153F" w:rsidRDefault="004B153F" w:rsidP="00A4417B">
      <w:pPr>
        <w:pStyle w:val="BodyText"/>
        <w:kinsoku w:val="0"/>
        <w:overflowPunct w:val="0"/>
        <w:spacing w:after="120" w:line="360" w:lineRule="auto"/>
        <w:jc w:val="both"/>
        <w:rPr>
          <w:rFonts w:ascii="Arial" w:eastAsiaTheme="minorEastAsia" w:hAnsi="Arial" w:cs="Arial"/>
        </w:rPr>
      </w:pPr>
    </w:p>
    <w:p w14:paraId="028D4959" w14:textId="46B8AB72" w:rsidR="00ED0129" w:rsidRDefault="004B153F" w:rsidP="00A4417B">
      <w:pPr>
        <w:pStyle w:val="BodyText"/>
        <w:kinsoku w:val="0"/>
        <w:overflowPunct w:val="0"/>
        <w:spacing w:after="120" w:line="360" w:lineRule="auto"/>
        <w:jc w:val="both"/>
        <w:rPr>
          <w:rFonts w:ascii="Arial" w:eastAsiaTheme="minorEastAsia" w:hAnsi="Arial" w:cs="Arial"/>
        </w:rPr>
      </w:pPr>
      <w:r>
        <w:rPr>
          <w:rFonts w:ascii="Arial" w:eastAsiaTheme="minorEastAsia" w:hAnsi="Arial" w:cs="Arial"/>
        </w:rPr>
        <w:t>[8</w:t>
      </w:r>
      <w:r w:rsidR="00E64CAF">
        <w:rPr>
          <w:rFonts w:ascii="Arial" w:eastAsiaTheme="minorEastAsia" w:hAnsi="Arial" w:cs="Arial"/>
        </w:rPr>
        <w:t>]</w:t>
      </w:r>
      <w:r w:rsidR="00E64CAF">
        <w:rPr>
          <w:rFonts w:ascii="Arial" w:eastAsiaTheme="minorEastAsia" w:hAnsi="Arial" w:cs="Arial"/>
        </w:rPr>
        <w:tab/>
      </w:r>
      <w:r w:rsidR="006049EB">
        <w:rPr>
          <w:rFonts w:ascii="Arial" w:eastAsiaTheme="minorEastAsia" w:hAnsi="Arial" w:cs="Arial"/>
        </w:rPr>
        <w:t>The deceased’s brother, Thabang Myambo (‘the brother’) testified that some two months after the murder, on 26 March 2017, an employe</w:t>
      </w:r>
      <w:r w:rsidR="006303A0">
        <w:rPr>
          <w:rFonts w:ascii="Arial" w:eastAsiaTheme="minorEastAsia" w:hAnsi="Arial" w:cs="Arial"/>
        </w:rPr>
        <w:t>e of his informed him that the a</w:t>
      </w:r>
      <w:r w:rsidR="006049EB">
        <w:rPr>
          <w:rFonts w:ascii="Arial" w:eastAsiaTheme="minorEastAsia" w:hAnsi="Arial" w:cs="Arial"/>
        </w:rPr>
        <w:t xml:space="preserve">ppellant knew more of the murder than he had up to then let on and wanted to tell the deceased’s family what he </w:t>
      </w:r>
      <w:r w:rsidR="006303A0">
        <w:rPr>
          <w:rFonts w:ascii="Arial" w:eastAsiaTheme="minorEastAsia" w:hAnsi="Arial" w:cs="Arial"/>
        </w:rPr>
        <w:t>knew. The brother met with the a</w:t>
      </w:r>
      <w:r w:rsidR="006049EB">
        <w:rPr>
          <w:rFonts w:ascii="Arial" w:eastAsiaTheme="minorEastAsia" w:hAnsi="Arial" w:cs="Arial"/>
        </w:rPr>
        <w:t>p</w:t>
      </w:r>
      <w:r w:rsidR="006303A0">
        <w:rPr>
          <w:rFonts w:ascii="Arial" w:eastAsiaTheme="minorEastAsia" w:hAnsi="Arial" w:cs="Arial"/>
        </w:rPr>
        <w:t>pellant and thereafter, at the a</w:t>
      </w:r>
      <w:r w:rsidR="006049EB">
        <w:rPr>
          <w:rFonts w:ascii="Arial" w:eastAsiaTheme="minorEastAsia" w:hAnsi="Arial" w:cs="Arial"/>
        </w:rPr>
        <w:t>ppellant’s suggestion, with the co-accused. They both told more or less the same story to the brother, broadly along the lines of the co-accused’s version later presented at trial: that they had been awoken in the dead of night by an activated car alarm; had gone out to investigate and had seen the deceased’s estranged wife with three men exiting the deceased’s house, getting into a black motorcar parked in the yard and speeding off</w:t>
      </w:r>
      <w:r w:rsidR="00620A8C">
        <w:rPr>
          <w:rFonts w:ascii="Arial" w:eastAsiaTheme="minorEastAsia" w:hAnsi="Arial" w:cs="Arial"/>
        </w:rPr>
        <w:t>. Th</w:t>
      </w:r>
      <w:r w:rsidR="006303A0">
        <w:rPr>
          <w:rFonts w:ascii="Arial" w:eastAsiaTheme="minorEastAsia" w:hAnsi="Arial" w:cs="Arial"/>
        </w:rPr>
        <w:t>e only difficulty was that the a</w:t>
      </w:r>
      <w:r w:rsidR="00620A8C">
        <w:rPr>
          <w:rFonts w:ascii="Arial" w:eastAsiaTheme="minorEastAsia" w:hAnsi="Arial" w:cs="Arial"/>
        </w:rPr>
        <w:t>ppellant and the co-accused each said that they alone saw this happening, while the other was asleep in their shared room. This discrepancy roused the brother’s suspicion. To clear this up, he asked De Almeida, a court interpreter fluent in both Portugues</w:t>
      </w:r>
      <w:r w:rsidR="006303A0">
        <w:rPr>
          <w:rFonts w:ascii="Arial" w:eastAsiaTheme="minorEastAsia" w:hAnsi="Arial" w:cs="Arial"/>
        </w:rPr>
        <w:t>e and Mozambican Shangaan, the a</w:t>
      </w:r>
      <w:r w:rsidR="00620A8C">
        <w:rPr>
          <w:rFonts w:ascii="Arial" w:eastAsiaTheme="minorEastAsia" w:hAnsi="Arial" w:cs="Arial"/>
        </w:rPr>
        <w:t>ppellant’s and co-accused’s home languages, to speak with</w:t>
      </w:r>
      <w:r w:rsidR="006303A0">
        <w:rPr>
          <w:rFonts w:ascii="Arial" w:eastAsiaTheme="minorEastAsia" w:hAnsi="Arial" w:cs="Arial"/>
        </w:rPr>
        <w:t xml:space="preserve"> them. De Almeida met with the a</w:t>
      </w:r>
      <w:r w:rsidR="00620A8C">
        <w:rPr>
          <w:rFonts w:ascii="Arial" w:eastAsiaTheme="minorEastAsia" w:hAnsi="Arial" w:cs="Arial"/>
        </w:rPr>
        <w:t>ppellant and co-accused but soon asked to speak with the co-accused alone. She then called the brother and other family members present closer and said that the co-accused had agreed to give a statement.</w:t>
      </w:r>
    </w:p>
    <w:p w14:paraId="359601D1" w14:textId="77777777" w:rsidR="004B153F" w:rsidRPr="00ED0129" w:rsidRDefault="004B153F" w:rsidP="00A4417B">
      <w:pPr>
        <w:pStyle w:val="BodyText"/>
        <w:kinsoku w:val="0"/>
        <w:overflowPunct w:val="0"/>
        <w:spacing w:after="120" w:line="360" w:lineRule="auto"/>
        <w:jc w:val="both"/>
        <w:rPr>
          <w:rFonts w:ascii="Arial" w:eastAsiaTheme="minorEastAsia" w:hAnsi="Arial" w:cs="Arial"/>
        </w:rPr>
      </w:pPr>
    </w:p>
    <w:p w14:paraId="7102711A" w14:textId="082E6EBC" w:rsidR="00ED0129" w:rsidRDefault="004B153F" w:rsidP="00A4417B">
      <w:pPr>
        <w:pStyle w:val="BodyText"/>
        <w:spacing w:after="120" w:line="360" w:lineRule="auto"/>
        <w:jc w:val="both"/>
        <w:rPr>
          <w:rFonts w:ascii="Arial" w:eastAsiaTheme="minorEastAsia" w:hAnsi="Arial" w:cs="Arial"/>
        </w:rPr>
      </w:pPr>
      <w:r>
        <w:rPr>
          <w:rFonts w:ascii="Arial" w:eastAsiaTheme="minorEastAsia" w:hAnsi="Arial" w:cs="Arial"/>
        </w:rPr>
        <w:t>[9</w:t>
      </w:r>
      <w:r w:rsidR="00ED0129" w:rsidRPr="00ED0129">
        <w:rPr>
          <w:rFonts w:ascii="Arial" w:eastAsiaTheme="minorEastAsia" w:hAnsi="Arial" w:cs="Arial"/>
        </w:rPr>
        <w:t>]</w:t>
      </w:r>
      <w:r w:rsidR="00ED0129">
        <w:rPr>
          <w:rFonts w:ascii="Arial" w:eastAsiaTheme="minorEastAsia" w:hAnsi="Arial" w:cs="Arial"/>
        </w:rPr>
        <w:tab/>
      </w:r>
      <w:r w:rsidR="00ED0129" w:rsidRPr="00ED0129">
        <w:rPr>
          <w:rFonts w:ascii="Arial" w:eastAsiaTheme="minorEastAsia" w:hAnsi="Arial" w:cs="Arial"/>
        </w:rPr>
        <w:t xml:space="preserve">The co-accused </w:t>
      </w:r>
      <w:r w:rsidR="00620A8C">
        <w:rPr>
          <w:rFonts w:ascii="Arial" w:eastAsiaTheme="minorEastAsia" w:hAnsi="Arial" w:cs="Arial"/>
        </w:rPr>
        <w:t xml:space="preserve">proceeded to say </w:t>
      </w:r>
      <w:r w:rsidR="00ED0129" w:rsidRPr="00ED0129">
        <w:rPr>
          <w:rFonts w:ascii="Arial" w:eastAsiaTheme="minorEastAsia" w:hAnsi="Arial" w:cs="Arial"/>
        </w:rPr>
        <w:t>that early on the morning of the murder the estranged wife</w:t>
      </w:r>
      <w:r w:rsidR="00620A8C">
        <w:rPr>
          <w:rFonts w:ascii="Arial" w:eastAsiaTheme="minorEastAsia" w:hAnsi="Arial" w:cs="Arial"/>
        </w:rPr>
        <w:t xml:space="preserve"> called him on the telephone and</w:t>
      </w:r>
      <w:r w:rsidR="00ED0129" w:rsidRPr="00ED0129">
        <w:rPr>
          <w:rFonts w:ascii="Arial" w:eastAsiaTheme="minorEastAsia" w:hAnsi="Arial" w:cs="Arial"/>
        </w:rPr>
        <w:t xml:space="preserve"> asked him to open the gate</w:t>
      </w:r>
      <w:r w:rsidR="00620A8C">
        <w:rPr>
          <w:rFonts w:ascii="Arial" w:eastAsiaTheme="minorEastAsia" w:hAnsi="Arial" w:cs="Arial"/>
        </w:rPr>
        <w:t xml:space="preserve"> to the deceased’s yard</w:t>
      </w:r>
      <w:r w:rsidR="00ED0129" w:rsidRPr="00ED0129">
        <w:rPr>
          <w:rFonts w:ascii="Arial" w:eastAsiaTheme="minorEastAsia" w:hAnsi="Arial" w:cs="Arial"/>
        </w:rPr>
        <w:t xml:space="preserve">. </w:t>
      </w:r>
      <w:r w:rsidR="000E68DD">
        <w:rPr>
          <w:rFonts w:ascii="Arial" w:eastAsiaTheme="minorEastAsia" w:hAnsi="Arial" w:cs="Arial"/>
        </w:rPr>
        <w:t>When he</w:t>
      </w:r>
      <w:r w:rsidR="00ED0129" w:rsidRPr="00ED0129">
        <w:rPr>
          <w:rFonts w:ascii="Arial" w:eastAsiaTheme="minorEastAsia" w:hAnsi="Arial" w:cs="Arial"/>
        </w:rPr>
        <w:t xml:space="preserve"> did so a black </w:t>
      </w:r>
      <w:r w:rsidR="000E68DD">
        <w:rPr>
          <w:rFonts w:ascii="Arial" w:eastAsiaTheme="minorEastAsia" w:hAnsi="Arial" w:cs="Arial"/>
        </w:rPr>
        <w:t xml:space="preserve">motorcar </w:t>
      </w:r>
      <w:r w:rsidR="00ED0129" w:rsidRPr="00ED0129">
        <w:rPr>
          <w:rFonts w:ascii="Arial" w:eastAsiaTheme="minorEastAsia" w:hAnsi="Arial" w:cs="Arial"/>
        </w:rPr>
        <w:t xml:space="preserve">entered, with four male occupants. </w:t>
      </w:r>
      <w:r w:rsidR="000E68DD">
        <w:rPr>
          <w:rFonts w:ascii="Arial" w:eastAsiaTheme="minorEastAsia" w:hAnsi="Arial" w:cs="Arial"/>
        </w:rPr>
        <w:t>T</w:t>
      </w:r>
      <w:r w:rsidR="00ED0129" w:rsidRPr="00ED0129">
        <w:rPr>
          <w:rFonts w:ascii="Arial" w:eastAsiaTheme="minorEastAsia" w:hAnsi="Arial" w:cs="Arial"/>
        </w:rPr>
        <w:t>hree occupants alighted</w:t>
      </w:r>
      <w:r w:rsidR="000E68DD">
        <w:rPr>
          <w:rFonts w:ascii="Arial" w:eastAsiaTheme="minorEastAsia" w:hAnsi="Arial" w:cs="Arial"/>
        </w:rPr>
        <w:t xml:space="preserve"> and entered the deceased’s house with him.</w:t>
      </w:r>
      <w:r w:rsidR="00ED0129" w:rsidRPr="00ED0129">
        <w:rPr>
          <w:rFonts w:ascii="Arial" w:eastAsiaTheme="minorEastAsia" w:hAnsi="Arial" w:cs="Arial"/>
        </w:rPr>
        <w:t xml:space="preserve"> One of the</w:t>
      </w:r>
      <w:r w:rsidR="000E68DD">
        <w:rPr>
          <w:rFonts w:ascii="Arial" w:eastAsiaTheme="minorEastAsia" w:hAnsi="Arial" w:cs="Arial"/>
        </w:rPr>
        <w:t xml:space="preserve"> </w:t>
      </w:r>
      <w:r w:rsidR="00620A8C">
        <w:rPr>
          <w:rFonts w:ascii="Arial" w:eastAsiaTheme="minorEastAsia" w:hAnsi="Arial" w:cs="Arial"/>
        </w:rPr>
        <w:t>m</w:t>
      </w:r>
      <w:r w:rsidR="000E68DD">
        <w:rPr>
          <w:rFonts w:ascii="Arial" w:eastAsiaTheme="minorEastAsia" w:hAnsi="Arial" w:cs="Arial"/>
        </w:rPr>
        <w:t>en</w:t>
      </w:r>
      <w:r w:rsidR="00ED0129" w:rsidRPr="00ED0129">
        <w:rPr>
          <w:rFonts w:ascii="Arial" w:eastAsiaTheme="minorEastAsia" w:hAnsi="Arial" w:cs="Arial"/>
        </w:rPr>
        <w:t xml:space="preserve"> had a firearm, another a knife. Inside, they encounte</w:t>
      </w:r>
      <w:r w:rsidR="006303A0">
        <w:rPr>
          <w:rFonts w:ascii="Arial" w:eastAsiaTheme="minorEastAsia" w:hAnsi="Arial" w:cs="Arial"/>
        </w:rPr>
        <w:t>red the estranged wife and the a</w:t>
      </w:r>
      <w:r w:rsidR="00ED0129" w:rsidRPr="00ED0129">
        <w:rPr>
          <w:rFonts w:ascii="Arial" w:eastAsiaTheme="minorEastAsia" w:hAnsi="Arial" w:cs="Arial"/>
        </w:rPr>
        <w:t>ppellant. The estranged wif</w:t>
      </w:r>
      <w:r w:rsidR="006303A0">
        <w:rPr>
          <w:rFonts w:ascii="Arial" w:eastAsiaTheme="minorEastAsia" w:hAnsi="Arial" w:cs="Arial"/>
        </w:rPr>
        <w:t>e asked the co-accused and the a</w:t>
      </w:r>
      <w:r w:rsidR="00ED0129" w:rsidRPr="00ED0129">
        <w:rPr>
          <w:rFonts w:ascii="Arial" w:eastAsiaTheme="minorEastAsia" w:hAnsi="Arial" w:cs="Arial"/>
        </w:rPr>
        <w:t xml:space="preserve">ppellant whether they wanted money. When they responded yes, she said they should kill the deceased. They were both shocked, </w:t>
      </w:r>
      <w:r w:rsidR="000E68DD">
        <w:rPr>
          <w:rFonts w:ascii="Arial" w:eastAsiaTheme="minorEastAsia" w:hAnsi="Arial" w:cs="Arial"/>
        </w:rPr>
        <w:t xml:space="preserve">and refused, but the estranged wife and the three men continued trying to persuade them to kill the deceased. At some point the estranged wife gave the co-accused </w:t>
      </w:r>
      <w:r w:rsidR="00ED0129" w:rsidRPr="00ED0129">
        <w:rPr>
          <w:rFonts w:ascii="Arial" w:eastAsiaTheme="minorEastAsia" w:hAnsi="Arial" w:cs="Arial"/>
        </w:rPr>
        <w:t>an object that looked like a hammer, with a blunt steel head and wooden handle.</w:t>
      </w:r>
      <w:r w:rsidR="006303A0">
        <w:rPr>
          <w:rFonts w:ascii="Arial" w:eastAsiaTheme="minorEastAsia" w:hAnsi="Arial" w:cs="Arial"/>
        </w:rPr>
        <w:t xml:space="preserve"> Both the co-accused and the a</w:t>
      </w:r>
      <w:r w:rsidR="00ED0129" w:rsidRPr="00ED0129">
        <w:rPr>
          <w:rFonts w:ascii="Arial" w:eastAsiaTheme="minorEastAsia" w:hAnsi="Arial" w:cs="Arial"/>
        </w:rPr>
        <w:t>ppellant were</w:t>
      </w:r>
      <w:r w:rsidR="000E68DD">
        <w:rPr>
          <w:rFonts w:ascii="Arial" w:eastAsiaTheme="minorEastAsia" w:hAnsi="Arial" w:cs="Arial"/>
        </w:rPr>
        <w:t xml:space="preserve"> now</w:t>
      </w:r>
      <w:r w:rsidR="00ED0129" w:rsidRPr="00ED0129">
        <w:rPr>
          <w:rFonts w:ascii="Arial" w:eastAsiaTheme="minorEastAsia" w:hAnsi="Arial" w:cs="Arial"/>
        </w:rPr>
        <w:t xml:space="preserve"> very nervous. The three men started to threaten them</w:t>
      </w:r>
      <w:r w:rsidR="000E68DD">
        <w:rPr>
          <w:rFonts w:ascii="Arial" w:eastAsiaTheme="minorEastAsia" w:hAnsi="Arial" w:cs="Arial"/>
        </w:rPr>
        <w:t>, eventually saying that should they refuse to kill the deceased, they would themselves be killed</w:t>
      </w:r>
      <w:r w:rsidR="00ED0129" w:rsidRPr="00ED0129">
        <w:rPr>
          <w:rFonts w:ascii="Arial" w:eastAsiaTheme="minorEastAsia" w:hAnsi="Arial" w:cs="Arial"/>
        </w:rPr>
        <w:t>. The co-accused then entered the deceased’s bedroom where the deceased was lying on the bed</w:t>
      </w:r>
      <w:r w:rsidR="00620A8C">
        <w:rPr>
          <w:rFonts w:ascii="Arial" w:eastAsiaTheme="minorEastAsia" w:hAnsi="Arial" w:cs="Arial"/>
        </w:rPr>
        <w:t xml:space="preserve"> asleep</w:t>
      </w:r>
      <w:r w:rsidR="00ED0129" w:rsidRPr="00ED0129">
        <w:rPr>
          <w:rFonts w:ascii="Arial" w:eastAsiaTheme="minorEastAsia" w:hAnsi="Arial" w:cs="Arial"/>
        </w:rPr>
        <w:t xml:space="preserve">. </w:t>
      </w:r>
      <w:r w:rsidR="000E68DD">
        <w:rPr>
          <w:rFonts w:ascii="Arial" w:eastAsiaTheme="minorEastAsia" w:hAnsi="Arial" w:cs="Arial"/>
        </w:rPr>
        <w:t>He</w:t>
      </w:r>
      <w:r w:rsidR="00ED0129" w:rsidRPr="00ED0129">
        <w:rPr>
          <w:rFonts w:ascii="Arial" w:eastAsiaTheme="minorEastAsia" w:hAnsi="Arial" w:cs="Arial"/>
        </w:rPr>
        <w:t xml:space="preserve"> struck the deceased on the side of his head multiple times</w:t>
      </w:r>
      <w:r w:rsidR="000E68DD">
        <w:rPr>
          <w:rFonts w:ascii="Arial" w:eastAsiaTheme="minorEastAsia" w:hAnsi="Arial" w:cs="Arial"/>
        </w:rPr>
        <w:t xml:space="preserve"> with the hammer-like object the estranged wife </w:t>
      </w:r>
      <w:r w:rsidR="00D769C7">
        <w:rPr>
          <w:rFonts w:ascii="Arial" w:eastAsiaTheme="minorEastAsia" w:hAnsi="Arial" w:cs="Arial"/>
        </w:rPr>
        <w:t>had given</w:t>
      </w:r>
      <w:r w:rsidR="000E68DD">
        <w:rPr>
          <w:rFonts w:ascii="Arial" w:eastAsiaTheme="minorEastAsia" w:hAnsi="Arial" w:cs="Arial"/>
        </w:rPr>
        <w:t xml:space="preserve"> him</w:t>
      </w:r>
      <w:r w:rsidR="00ED0129" w:rsidRPr="00ED0129">
        <w:rPr>
          <w:rFonts w:ascii="Arial" w:eastAsiaTheme="minorEastAsia" w:hAnsi="Arial" w:cs="Arial"/>
        </w:rPr>
        <w:t>. When he stopped, the estranged wife took a pair of scissors and stabbed or cut at the deceased’s</w:t>
      </w:r>
      <w:r w:rsidR="006303A0">
        <w:rPr>
          <w:rFonts w:ascii="Arial" w:eastAsiaTheme="minorEastAsia" w:hAnsi="Arial" w:cs="Arial"/>
        </w:rPr>
        <w:t xml:space="preserve"> ear. While this happened, the a</w:t>
      </w:r>
      <w:r w:rsidR="00ED0129" w:rsidRPr="00ED0129">
        <w:rPr>
          <w:rFonts w:ascii="Arial" w:eastAsiaTheme="minorEastAsia" w:hAnsi="Arial" w:cs="Arial"/>
        </w:rPr>
        <w:t xml:space="preserve">ppellant stood behind the co-accused and the estranged wife with the three men, watching. After </w:t>
      </w:r>
      <w:r w:rsidR="006303A0">
        <w:rPr>
          <w:rFonts w:ascii="Arial" w:eastAsiaTheme="minorEastAsia" w:hAnsi="Arial" w:cs="Arial"/>
        </w:rPr>
        <w:t>t</w:t>
      </w:r>
      <w:r w:rsidR="000E68DD">
        <w:rPr>
          <w:rFonts w:ascii="Arial" w:eastAsiaTheme="minorEastAsia" w:hAnsi="Arial" w:cs="Arial"/>
        </w:rPr>
        <w:t>he</w:t>
      </w:r>
      <w:r w:rsidR="006303A0">
        <w:rPr>
          <w:rFonts w:ascii="Arial" w:eastAsiaTheme="minorEastAsia" w:hAnsi="Arial" w:cs="Arial"/>
        </w:rPr>
        <w:t xml:space="preserve"> co-accused</w:t>
      </w:r>
      <w:r w:rsidR="000E68DD">
        <w:rPr>
          <w:rFonts w:ascii="Arial" w:eastAsiaTheme="minorEastAsia" w:hAnsi="Arial" w:cs="Arial"/>
        </w:rPr>
        <w:t xml:space="preserve"> had killed the deceased, </w:t>
      </w:r>
      <w:r w:rsidR="00ED0129" w:rsidRPr="00ED0129">
        <w:rPr>
          <w:rFonts w:ascii="Arial" w:eastAsiaTheme="minorEastAsia" w:hAnsi="Arial" w:cs="Arial"/>
        </w:rPr>
        <w:t xml:space="preserve">the three men proceeded to break the flat screen televisions from their mountings on the wall and place them on the floor. One also went outside to try and start the deceased’s bakkie, to load some things on the back </w:t>
      </w:r>
      <w:r w:rsidR="000E68DD">
        <w:rPr>
          <w:rFonts w:ascii="Arial" w:eastAsiaTheme="minorEastAsia" w:hAnsi="Arial" w:cs="Arial"/>
        </w:rPr>
        <w:t>so that it would look like an attempted robbery</w:t>
      </w:r>
      <w:r w:rsidR="00ED0129" w:rsidRPr="00ED0129">
        <w:rPr>
          <w:rFonts w:ascii="Arial" w:eastAsiaTheme="minorEastAsia" w:hAnsi="Arial" w:cs="Arial"/>
        </w:rPr>
        <w:t>. However, the bakkie’s alarm went off, so he abandoned that attempt. Thereupon, the three men and the estranged wife</w:t>
      </w:r>
      <w:r w:rsidR="006303A0">
        <w:rPr>
          <w:rFonts w:ascii="Arial" w:eastAsiaTheme="minorEastAsia" w:hAnsi="Arial" w:cs="Arial"/>
        </w:rPr>
        <w:t xml:space="preserve"> left. Once they had left, the a</w:t>
      </w:r>
      <w:r w:rsidR="00ED0129" w:rsidRPr="00ED0129">
        <w:rPr>
          <w:rFonts w:ascii="Arial" w:eastAsiaTheme="minorEastAsia" w:hAnsi="Arial" w:cs="Arial"/>
        </w:rPr>
        <w:t xml:space="preserve">ppellant and co-accused were very scared and shaken and could not go back to sleep. They spent their time formulating a story to tell the </w:t>
      </w:r>
      <w:r w:rsidR="00D769C7">
        <w:rPr>
          <w:rFonts w:ascii="Arial" w:eastAsiaTheme="minorEastAsia" w:hAnsi="Arial" w:cs="Arial"/>
        </w:rPr>
        <w:t xml:space="preserve">deceased’s </w:t>
      </w:r>
      <w:r w:rsidR="00ED0129" w:rsidRPr="00ED0129">
        <w:rPr>
          <w:rFonts w:ascii="Arial" w:eastAsiaTheme="minorEastAsia" w:hAnsi="Arial" w:cs="Arial"/>
        </w:rPr>
        <w:t>brother when they would call him at 9:00 that morning.</w:t>
      </w:r>
    </w:p>
    <w:p w14:paraId="785ACC2E" w14:textId="77777777" w:rsidR="004B153F" w:rsidRDefault="004B153F" w:rsidP="00A4417B">
      <w:pPr>
        <w:pStyle w:val="BodyText"/>
        <w:spacing w:after="120" w:line="360" w:lineRule="auto"/>
        <w:jc w:val="both"/>
        <w:rPr>
          <w:rFonts w:ascii="Arial" w:eastAsiaTheme="minorEastAsia" w:hAnsi="Arial" w:cs="Arial"/>
        </w:rPr>
      </w:pPr>
    </w:p>
    <w:p w14:paraId="19DB6094" w14:textId="2910C558" w:rsidR="00ED0129" w:rsidRDefault="00ED0129" w:rsidP="00A4417B">
      <w:pPr>
        <w:pStyle w:val="BodyText"/>
        <w:spacing w:after="120" w:line="360" w:lineRule="auto"/>
        <w:jc w:val="both"/>
        <w:rPr>
          <w:rFonts w:ascii="Arial" w:eastAsiaTheme="minorEastAsia" w:hAnsi="Arial" w:cs="Arial"/>
        </w:rPr>
      </w:pPr>
      <w:r>
        <w:rPr>
          <w:rFonts w:ascii="Arial" w:eastAsiaTheme="minorEastAsia" w:hAnsi="Arial" w:cs="Arial"/>
        </w:rPr>
        <w:t>[</w:t>
      </w:r>
      <w:r w:rsidRPr="00ED0129">
        <w:rPr>
          <w:rFonts w:ascii="Arial" w:eastAsiaTheme="minorEastAsia" w:hAnsi="Arial" w:cs="Arial"/>
        </w:rPr>
        <w:t>1</w:t>
      </w:r>
      <w:r w:rsidR="004B153F">
        <w:rPr>
          <w:rFonts w:ascii="Arial" w:eastAsiaTheme="minorEastAsia" w:hAnsi="Arial" w:cs="Arial"/>
        </w:rPr>
        <w:t>0</w:t>
      </w:r>
      <w:r w:rsidRPr="00ED0129">
        <w:rPr>
          <w:rFonts w:ascii="Arial" w:eastAsiaTheme="minorEastAsia" w:hAnsi="Arial" w:cs="Arial"/>
        </w:rPr>
        <w:t>]</w:t>
      </w:r>
      <w:r>
        <w:rPr>
          <w:rFonts w:ascii="Arial" w:eastAsiaTheme="minorEastAsia" w:hAnsi="Arial" w:cs="Arial"/>
        </w:rPr>
        <w:tab/>
      </w:r>
      <w:r w:rsidRPr="00ED0129">
        <w:rPr>
          <w:rFonts w:ascii="Arial" w:eastAsiaTheme="minorEastAsia" w:hAnsi="Arial" w:cs="Arial"/>
        </w:rPr>
        <w:t>Both the brother and Ms de Almeida testified that, although it was</w:t>
      </w:r>
      <w:r w:rsidR="006303A0">
        <w:rPr>
          <w:rFonts w:ascii="Arial" w:eastAsiaTheme="minorEastAsia" w:hAnsi="Arial" w:cs="Arial"/>
        </w:rPr>
        <w:t xml:space="preserve"> the co-accused who spoke, the a</w:t>
      </w:r>
      <w:r w:rsidRPr="00ED0129">
        <w:rPr>
          <w:rFonts w:ascii="Arial" w:eastAsiaTheme="minorEastAsia" w:hAnsi="Arial" w:cs="Arial"/>
        </w:rPr>
        <w:t>ppellant stood by and nodded.</w:t>
      </w:r>
      <w:r>
        <w:rPr>
          <w:rFonts w:ascii="Arial" w:eastAsiaTheme="minorEastAsia" w:hAnsi="Arial" w:cs="Arial"/>
        </w:rPr>
        <w:t xml:space="preserve"> He also added two </w:t>
      </w:r>
      <w:r w:rsidR="0052584D">
        <w:rPr>
          <w:rFonts w:ascii="Arial" w:eastAsiaTheme="minorEastAsia" w:hAnsi="Arial" w:cs="Arial"/>
        </w:rPr>
        <w:t xml:space="preserve">details </w:t>
      </w:r>
      <w:r>
        <w:rPr>
          <w:rFonts w:ascii="Arial" w:eastAsiaTheme="minorEastAsia" w:hAnsi="Arial" w:cs="Arial"/>
        </w:rPr>
        <w:t>to the co-accused’s version: that the estranged wife was wearing old clothes</w:t>
      </w:r>
      <w:r w:rsidR="005F1A19">
        <w:rPr>
          <w:rFonts w:ascii="Arial" w:eastAsiaTheme="minorEastAsia" w:hAnsi="Arial" w:cs="Arial"/>
        </w:rPr>
        <w:t xml:space="preserve"> and was barefoot</w:t>
      </w:r>
      <w:r>
        <w:rPr>
          <w:rFonts w:ascii="Arial" w:eastAsiaTheme="minorEastAsia" w:hAnsi="Arial" w:cs="Arial"/>
        </w:rPr>
        <w:t>; and that, after the deceased had been killed, he felt scared that he would open his eyes and see them, so that he took a pair of spectacles lying next to the deceased’s bed and placed them on his eyes.</w:t>
      </w:r>
    </w:p>
    <w:p w14:paraId="036F860F" w14:textId="77777777" w:rsidR="004B153F" w:rsidRDefault="004B153F" w:rsidP="00A4417B">
      <w:pPr>
        <w:pStyle w:val="BodyText"/>
        <w:spacing w:after="120" w:line="360" w:lineRule="auto"/>
        <w:jc w:val="both"/>
        <w:rPr>
          <w:rFonts w:ascii="Arial" w:eastAsiaTheme="minorEastAsia" w:hAnsi="Arial" w:cs="Arial"/>
        </w:rPr>
      </w:pPr>
    </w:p>
    <w:p w14:paraId="640CD210" w14:textId="4F9EDBDC" w:rsidR="001F0532" w:rsidRDefault="00ED0129" w:rsidP="00A4417B">
      <w:pPr>
        <w:pStyle w:val="BodyText"/>
        <w:spacing w:after="120" w:line="360" w:lineRule="auto"/>
        <w:jc w:val="both"/>
        <w:rPr>
          <w:rFonts w:ascii="Arial" w:eastAsiaTheme="minorEastAsia" w:hAnsi="Arial" w:cs="Arial"/>
        </w:rPr>
      </w:pPr>
      <w:r>
        <w:rPr>
          <w:rFonts w:ascii="Arial" w:eastAsiaTheme="minorEastAsia" w:hAnsi="Arial" w:cs="Arial"/>
        </w:rPr>
        <w:t>[1</w:t>
      </w:r>
      <w:r w:rsidR="004B153F">
        <w:rPr>
          <w:rFonts w:ascii="Arial" w:eastAsiaTheme="minorEastAsia" w:hAnsi="Arial" w:cs="Arial"/>
        </w:rPr>
        <w:t>1</w:t>
      </w:r>
      <w:r>
        <w:rPr>
          <w:rFonts w:ascii="Arial" w:eastAsiaTheme="minorEastAsia" w:hAnsi="Arial" w:cs="Arial"/>
        </w:rPr>
        <w:t>]</w:t>
      </w:r>
      <w:r>
        <w:rPr>
          <w:rFonts w:ascii="Arial" w:eastAsiaTheme="minorEastAsia" w:hAnsi="Arial" w:cs="Arial"/>
        </w:rPr>
        <w:tab/>
      </w:r>
      <w:r w:rsidR="00EE1CD4">
        <w:rPr>
          <w:rFonts w:ascii="Arial" w:eastAsiaTheme="minorEastAsia" w:hAnsi="Arial" w:cs="Arial"/>
        </w:rPr>
        <w:t xml:space="preserve">The co-accused during testimony admitted to making this statement to De Almeida. However, he denied </w:t>
      </w:r>
      <w:r w:rsidR="0052584D">
        <w:rPr>
          <w:rFonts w:ascii="Arial" w:eastAsiaTheme="minorEastAsia" w:hAnsi="Arial" w:cs="Arial"/>
        </w:rPr>
        <w:t>that it was true</w:t>
      </w:r>
      <w:r w:rsidR="00EE1CD4">
        <w:rPr>
          <w:rFonts w:ascii="Arial" w:eastAsiaTheme="minorEastAsia" w:hAnsi="Arial" w:cs="Arial"/>
        </w:rPr>
        <w:t xml:space="preserve">. He said that he had been coerced and threatened into </w:t>
      </w:r>
      <w:r w:rsidR="0006076F">
        <w:rPr>
          <w:rFonts w:ascii="Arial" w:eastAsiaTheme="minorEastAsia" w:hAnsi="Arial" w:cs="Arial"/>
        </w:rPr>
        <w:t>making</w:t>
      </w:r>
      <w:r w:rsidR="00EE1CD4">
        <w:rPr>
          <w:rFonts w:ascii="Arial" w:eastAsiaTheme="minorEastAsia" w:hAnsi="Arial" w:cs="Arial"/>
        </w:rPr>
        <w:t xml:space="preserve"> it, principally by the deceased’s brother</w:t>
      </w:r>
      <w:r w:rsidR="003810C2">
        <w:rPr>
          <w:rFonts w:ascii="Arial" w:eastAsiaTheme="minorEastAsia" w:hAnsi="Arial" w:cs="Arial"/>
        </w:rPr>
        <w:t>, who told him that if he didn’t make the statement, he would go to jail.</w:t>
      </w:r>
    </w:p>
    <w:p w14:paraId="1C656363" w14:textId="77777777" w:rsidR="004B153F" w:rsidRDefault="004B153F" w:rsidP="00A4417B">
      <w:pPr>
        <w:pStyle w:val="BodyText"/>
        <w:spacing w:after="120" w:line="360" w:lineRule="auto"/>
        <w:jc w:val="both"/>
        <w:rPr>
          <w:rFonts w:ascii="Arial" w:eastAsiaTheme="minorEastAsia" w:hAnsi="Arial" w:cs="Arial"/>
        </w:rPr>
      </w:pPr>
    </w:p>
    <w:p w14:paraId="77C71776" w14:textId="77777777" w:rsidR="004B153F" w:rsidRDefault="001F0532" w:rsidP="00A4417B">
      <w:pPr>
        <w:pStyle w:val="BodyText"/>
        <w:spacing w:after="120" w:line="360" w:lineRule="auto"/>
        <w:jc w:val="both"/>
        <w:rPr>
          <w:rFonts w:ascii="Arial" w:eastAsiaTheme="minorEastAsia" w:hAnsi="Arial" w:cs="Arial"/>
        </w:rPr>
      </w:pPr>
      <w:r>
        <w:rPr>
          <w:rFonts w:ascii="Arial" w:eastAsiaTheme="minorEastAsia" w:hAnsi="Arial" w:cs="Arial"/>
        </w:rPr>
        <w:t>[1</w:t>
      </w:r>
      <w:r w:rsidR="004B153F">
        <w:rPr>
          <w:rFonts w:ascii="Arial" w:eastAsiaTheme="minorEastAsia" w:hAnsi="Arial" w:cs="Arial"/>
        </w:rPr>
        <w:t>2</w:t>
      </w:r>
      <w:r>
        <w:rPr>
          <w:rFonts w:ascii="Arial" w:eastAsiaTheme="minorEastAsia" w:hAnsi="Arial" w:cs="Arial"/>
        </w:rPr>
        <w:t>]</w:t>
      </w:r>
      <w:r>
        <w:rPr>
          <w:rFonts w:ascii="Arial" w:eastAsiaTheme="minorEastAsia" w:hAnsi="Arial" w:cs="Arial"/>
        </w:rPr>
        <w:tab/>
      </w:r>
      <w:r w:rsidR="00443AA3">
        <w:rPr>
          <w:rFonts w:ascii="Arial" w:eastAsiaTheme="minorEastAsia" w:hAnsi="Arial" w:cs="Arial"/>
        </w:rPr>
        <w:t>Nonetheless, t</w:t>
      </w:r>
      <w:r w:rsidR="0006076F">
        <w:rPr>
          <w:rFonts w:ascii="Arial" w:eastAsiaTheme="minorEastAsia" w:hAnsi="Arial" w:cs="Arial"/>
        </w:rPr>
        <w:t xml:space="preserve">he court </w:t>
      </w:r>
      <w:r w:rsidR="0006076F">
        <w:rPr>
          <w:rFonts w:ascii="Arial" w:eastAsiaTheme="minorEastAsia" w:hAnsi="Arial" w:cs="Arial"/>
          <w:i/>
          <w:iCs/>
        </w:rPr>
        <w:t xml:space="preserve">a quo </w:t>
      </w:r>
      <w:r w:rsidR="0052584D">
        <w:rPr>
          <w:rFonts w:ascii="Arial" w:eastAsiaTheme="minorEastAsia" w:hAnsi="Arial" w:cs="Arial"/>
        </w:rPr>
        <w:t xml:space="preserve">held that the co-accused’s statement to De Almeida was a confession to the murder. On this basis, </w:t>
      </w:r>
      <w:r w:rsidR="00D769C7">
        <w:rPr>
          <w:rFonts w:ascii="Arial" w:eastAsiaTheme="minorEastAsia" w:hAnsi="Arial" w:cs="Arial"/>
        </w:rPr>
        <w:t>it</w:t>
      </w:r>
      <w:r w:rsidR="0052584D">
        <w:rPr>
          <w:rFonts w:ascii="Arial" w:eastAsiaTheme="minorEastAsia" w:hAnsi="Arial" w:cs="Arial"/>
        </w:rPr>
        <w:t xml:space="preserve"> convicted him of the murder</w:t>
      </w:r>
      <w:r w:rsidR="0006076F">
        <w:rPr>
          <w:rFonts w:ascii="Arial" w:eastAsiaTheme="minorEastAsia" w:hAnsi="Arial" w:cs="Arial"/>
        </w:rPr>
        <w:t>.</w:t>
      </w:r>
    </w:p>
    <w:p w14:paraId="279B449C" w14:textId="554CA0F1" w:rsidR="00ED0129" w:rsidRPr="0006076F" w:rsidRDefault="0006076F" w:rsidP="00A4417B">
      <w:pPr>
        <w:pStyle w:val="BodyText"/>
        <w:spacing w:after="120" w:line="360" w:lineRule="auto"/>
        <w:jc w:val="both"/>
        <w:rPr>
          <w:rFonts w:ascii="Arial" w:eastAsiaTheme="minorEastAsia" w:hAnsi="Arial" w:cs="Arial"/>
        </w:rPr>
      </w:pPr>
      <w:r w:rsidRPr="0006076F">
        <w:rPr>
          <w:rFonts w:ascii="Arial" w:eastAsiaTheme="minorEastAsia" w:hAnsi="Arial" w:cs="Arial"/>
        </w:rPr>
        <w:t xml:space="preserve"> </w:t>
      </w:r>
    </w:p>
    <w:p w14:paraId="07D81987" w14:textId="4E4FF288" w:rsidR="0006076F" w:rsidRDefault="004B153F" w:rsidP="00A4417B">
      <w:pPr>
        <w:pStyle w:val="BodyText"/>
        <w:spacing w:after="120" w:line="360" w:lineRule="auto"/>
        <w:jc w:val="both"/>
        <w:rPr>
          <w:rFonts w:ascii="Arial" w:eastAsiaTheme="minorEastAsia" w:hAnsi="Arial" w:cs="Arial"/>
        </w:rPr>
      </w:pPr>
      <w:r>
        <w:rPr>
          <w:rFonts w:ascii="Arial" w:eastAsiaTheme="minorEastAsia" w:hAnsi="Arial" w:cs="Arial"/>
        </w:rPr>
        <w:t>[13</w:t>
      </w:r>
      <w:r w:rsidR="00912EE6">
        <w:rPr>
          <w:rFonts w:ascii="Arial" w:eastAsiaTheme="minorEastAsia" w:hAnsi="Arial" w:cs="Arial"/>
        </w:rPr>
        <w:t>]</w:t>
      </w:r>
      <w:r w:rsidR="00912EE6">
        <w:rPr>
          <w:rFonts w:ascii="Arial" w:eastAsiaTheme="minorEastAsia" w:hAnsi="Arial" w:cs="Arial"/>
        </w:rPr>
        <w:tab/>
      </w:r>
      <w:r w:rsidR="0052584D">
        <w:rPr>
          <w:rFonts w:ascii="Arial" w:eastAsiaTheme="minorEastAsia" w:hAnsi="Arial" w:cs="Arial"/>
        </w:rPr>
        <w:t xml:space="preserve">More pertinent to this appeal, the court </w:t>
      </w:r>
      <w:r w:rsidR="00423A31">
        <w:rPr>
          <w:rFonts w:ascii="Arial" w:eastAsiaTheme="minorEastAsia" w:hAnsi="Arial" w:cs="Arial"/>
          <w:i/>
          <w:iCs/>
        </w:rPr>
        <w:t>a quo</w:t>
      </w:r>
      <w:r w:rsidR="00423A31">
        <w:rPr>
          <w:rFonts w:ascii="Arial" w:eastAsiaTheme="minorEastAsia" w:hAnsi="Arial" w:cs="Arial"/>
        </w:rPr>
        <w:t xml:space="preserve"> </w:t>
      </w:r>
      <w:r w:rsidR="0052584D">
        <w:rPr>
          <w:rFonts w:ascii="Arial" w:eastAsiaTheme="minorEastAsia" w:hAnsi="Arial" w:cs="Arial"/>
        </w:rPr>
        <w:t xml:space="preserve">also relied on </w:t>
      </w:r>
      <w:r w:rsidR="0059068A">
        <w:rPr>
          <w:rFonts w:ascii="Arial" w:eastAsiaTheme="minorEastAsia" w:hAnsi="Arial" w:cs="Arial"/>
        </w:rPr>
        <w:t xml:space="preserve">the co-accused’s statement </w:t>
      </w:r>
      <w:r w:rsidR="006303A0">
        <w:rPr>
          <w:rFonts w:ascii="Arial" w:eastAsiaTheme="minorEastAsia" w:hAnsi="Arial" w:cs="Arial"/>
        </w:rPr>
        <w:t>to De Almeida to convict the a</w:t>
      </w:r>
      <w:r w:rsidR="0059068A">
        <w:rPr>
          <w:rFonts w:ascii="Arial" w:eastAsiaTheme="minorEastAsia" w:hAnsi="Arial" w:cs="Arial"/>
        </w:rPr>
        <w:t>ppellant of the deceased’s murder. It held that, although it was according to the statem</w:t>
      </w:r>
      <w:r w:rsidR="006303A0">
        <w:rPr>
          <w:rFonts w:ascii="Arial" w:eastAsiaTheme="minorEastAsia" w:hAnsi="Arial" w:cs="Arial"/>
        </w:rPr>
        <w:t>ent the co-accused and not the a</w:t>
      </w:r>
      <w:r w:rsidR="0059068A">
        <w:rPr>
          <w:rFonts w:ascii="Arial" w:eastAsiaTheme="minorEastAsia" w:hAnsi="Arial" w:cs="Arial"/>
        </w:rPr>
        <w:t>ppellant wh</w:t>
      </w:r>
      <w:r w:rsidR="006303A0">
        <w:rPr>
          <w:rFonts w:ascii="Arial" w:eastAsiaTheme="minorEastAsia" w:hAnsi="Arial" w:cs="Arial"/>
        </w:rPr>
        <w:t>o had killed the deceased, the a</w:t>
      </w:r>
      <w:r w:rsidR="0059068A">
        <w:rPr>
          <w:rFonts w:ascii="Arial" w:eastAsiaTheme="minorEastAsia" w:hAnsi="Arial" w:cs="Arial"/>
        </w:rPr>
        <w:t>ppellant was nonetheless guilty of the murder, as he had made common purpose with the co-accused.</w:t>
      </w:r>
    </w:p>
    <w:p w14:paraId="6C18392D" w14:textId="77777777" w:rsidR="004B153F" w:rsidRDefault="004B153F" w:rsidP="00A4417B">
      <w:pPr>
        <w:pStyle w:val="BodyText"/>
        <w:spacing w:after="120" w:line="360" w:lineRule="auto"/>
        <w:jc w:val="both"/>
        <w:rPr>
          <w:rFonts w:ascii="Arial" w:eastAsiaTheme="minorEastAsia" w:hAnsi="Arial" w:cs="Arial"/>
        </w:rPr>
      </w:pPr>
    </w:p>
    <w:p w14:paraId="0C38F072" w14:textId="0817C74D" w:rsidR="0006076F" w:rsidRDefault="004B153F" w:rsidP="00A4417B">
      <w:pPr>
        <w:pStyle w:val="BodyText"/>
        <w:spacing w:after="120" w:line="360" w:lineRule="auto"/>
        <w:jc w:val="both"/>
        <w:rPr>
          <w:rFonts w:ascii="Arial" w:eastAsiaTheme="minorEastAsia" w:hAnsi="Arial" w:cs="Arial"/>
        </w:rPr>
      </w:pPr>
      <w:r>
        <w:rPr>
          <w:rFonts w:ascii="Arial" w:eastAsiaTheme="minorEastAsia" w:hAnsi="Arial" w:cs="Arial"/>
        </w:rPr>
        <w:t>[14</w:t>
      </w:r>
      <w:r w:rsidR="0006076F">
        <w:rPr>
          <w:rFonts w:ascii="Arial" w:eastAsiaTheme="minorEastAsia" w:hAnsi="Arial" w:cs="Arial"/>
        </w:rPr>
        <w:t>]</w:t>
      </w:r>
      <w:r w:rsidR="0006076F">
        <w:rPr>
          <w:rFonts w:ascii="Arial" w:eastAsiaTheme="minorEastAsia" w:hAnsi="Arial" w:cs="Arial"/>
        </w:rPr>
        <w:tab/>
        <w:t>Th</w:t>
      </w:r>
      <w:r w:rsidR="0059068A">
        <w:rPr>
          <w:rFonts w:ascii="Arial" w:eastAsiaTheme="minorEastAsia" w:hAnsi="Arial" w:cs="Arial"/>
        </w:rPr>
        <w:t>us arise</w:t>
      </w:r>
      <w:r w:rsidR="0006076F">
        <w:rPr>
          <w:rFonts w:ascii="Arial" w:eastAsiaTheme="minorEastAsia" w:hAnsi="Arial" w:cs="Arial"/>
        </w:rPr>
        <w:t xml:space="preserve"> the two central issues in this appeal, which are</w:t>
      </w:r>
      <w:r w:rsidR="0059068A">
        <w:rPr>
          <w:rFonts w:ascii="Arial" w:eastAsiaTheme="minorEastAsia" w:hAnsi="Arial" w:cs="Arial"/>
        </w:rPr>
        <w:t xml:space="preserve"> whether the court </w:t>
      </w:r>
      <w:r w:rsidR="0059068A">
        <w:rPr>
          <w:rFonts w:ascii="Arial" w:eastAsiaTheme="minorEastAsia" w:hAnsi="Arial" w:cs="Arial"/>
          <w:i/>
          <w:iCs/>
        </w:rPr>
        <w:t>a quo</w:t>
      </w:r>
      <w:r w:rsidR="0059068A">
        <w:rPr>
          <w:rFonts w:ascii="Arial" w:eastAsiaTheme="minorEastAsia" w:hAnsi="Arial" w:cs="Arial"/>
        </w:rPr>
        <w:t xml:space="preserve"> was correct</w:t>
      </w:r>
      <w:r w:rsidR="0006076F">
        <w:rPr>
          <w:rFonts w:ascii="Arial" w:eastAsiaTheme="minorEastAsia" w:hAnsi="Arial" w:cs="Arial"/>
        </w:rPr>
        <w:t>:</w:t>
      </w:r>
    </w:p>
    <w:p w14:paraId="13459C3C" w14:textId="77777777" w:rsidR="004B153F" w:rsidRDefault="004B153F" w:rsidP="00A4417B">
      <w:pPr>
        <w:pStyle w:val="BodyText"/>
        <w:spacing w:after="120" w:line="360" w:lineRule="auto"/>
        <w:jc w:val="both"/>
        <w:rPr>
          <w:rFonts w:ascii="Arial" w:eastAsiaTheme="minorEastAsia" w:hAnsi="Arial" w:cs="Arial"/>
        </w:rPr>
      </w:pPr>
    </w:p>
    <w:p w14:paraId="5D141A61" w14:textId="5003D5A5" w:rsidR="0006076F" w:rsidRDefault="004B153F" w:rsidP="00A4417B">
      <w:pPr>
        <w:pStyle w:val="BodyText"/>
        <w:spacing w:after="120" w:line="360" w:lineRule="auto"/>
        <w:ind w:firstLine="720"/>
        <w:jc w:val="both"/>
        <w:rPr>
          <w:rFonts w:ascii="Arial" w:eastAsiaTheme="minorEastAsia" w:hAnsi="Arial" w:cs="Arial"/>
        </w:rPr>
      </w:pPr>
      <w:r>
        <w:rPr>
          <w:rFonts w:ascii="Arial" w:eastAsiaTheme="minorEastAsia" w:hAnsi="Arial" w:cs="Arial"/>
        </w:rPr>
        <w:t>[14</w:t>
      </w:r>
      <w:r w:rsidR="0006076F">
        <w:rPr>
          <w:rFonts w:ascii="Arial" w:eastAsiaTheme="minorEastAsia" w:hAnsi="Arial" w:cs="Arial"/>
        </w:rPr>
        <w:t>.1]</w:t>
      </w:r>
      <w:r w:rsidR="0006076F">
        <w:rPr>
          <w:rFonts w:ascii="Arial" w:eastAsiaTheme="minorEastAsia" w:hAnsi="Arial" w:cs="Arial"/>
        </w:rPr>
        <w:tab/>
        <w:t>to rely on the co-accu</w:t>
      </w:r>
      <w:r w:rsidR="006303A0">
        <w:rPr>
          <w:rFonts w:ascii="Arial" w:eastAsiaTheme="minorEastAsia" w:hAnsi="Arial" w:cs="Arial"/>
        </w:rPr>
        <w:t>sed’s statement to convict the a</w:t>
      </w:r>
      <w:r w:rsidR="0006076F">
        <w:rPr>
          <w:rFonts w:ascii="Arial" w:eastAsiaTheme="minorEastAsia" w:hAnsi="Arial" w:cs="Arial"/>
        </w:rPr>
        <w:t>ppellant; and</w:t>
      </w:r>
    </w:p>
    <w:p w14:paraId="5FFE6710" w14:textId="1B0ECA2D" w:rsidR="0006076F" w:rsidRDefault="004B153F" w:rsidP="004B153F">
      <w:pPr>
        <w:pStyle w:val="BodyText"/>
        <w:spacing w:after="120" w:line="360" w:lineRule="auto"/>
        <w:ind w:left="1440" w:hanging="720"/>
        <w:jc w:val="both"/>
        <w:rPr>
          <w:rFonts w:ascii="Arial" w:eastAsiaTheme="minorEastAsia" w:hAnsi="Arial" w:cs="Arial"/>
        </w:rPr>
      </w:pPr>
      <w:r>
        <w:rPr>
          <w:rFonts w:ascii="Arial" w:eastAsiaTheme="minorEastAsia" w:hAnsi="Arial" w:cs="Arial"/>
        </w:rPr>
        <w:t>[14</w:t>
      </w:r>
      <w:r w:rsidR="006303A0">
        <w:rPr>
          <w:rFonts w:ascii="Arial" w:eastAsiaTheme="minorEastAsia" w:hAnsi="Arial" w:cs="Arial"/>
        </w:rPr>
        <w:t>.2]</w:t>
      </w:r>
      <w:r w:rsidR="006303A0">
        <w:rPr>
          <w:rFonts w:ascii="Arial" w:eastAsiaTheme="minorEastAsia" w:hAnsi="Arial" w:cs="Arial"/>
        </w:rPr>
        <w:tab/>
        <w:t>to hold that the a</w:t>
      </w:r>
      <w:r w:rsidR="0006076F">
        <w:rPr>
          <w:rFonts w:ascii="Arial" w:eastAsiaTheme="minorEastAsia" w:hAnsi="Arial" w:cs="Arial"/>
        </w:rPr>
        <w:t>ppellant had acted in common purpose with the co-accused to murder the deceased.</w:t>
      </w:r>
    </w:p>
    <w:p w14:paraId="216ED9F8" w14:textId="77777777" w:rsidR="004B153F" w:rsidRDefault="004B153F" w:rsidP="004B153F">
      <w:pPr>
        <w:pStyle w:val="BodyText"/>
        <w:spacing w:after="120" w:line="360" w:lineRule="auto"/>
        <w:ind w:left="1440" w:hanging="720"/>
        <w:jc w:val="both"/>
        <w:rPr>
          <w:rFonts w:ascii="Arial" w:eastAsiaTheme="minorEastAsia" w:hAnsi="Arial" w:cs="Arial"/>
        </w:rPr>
      </w:pPr>
    </w:p>
    <w:p w14:paraId="27461476" w14:textId="74A63122" w:rsidR="0006076F" w:rsidRPr="00F803B8" w:rsidRDefault="004B153F" w:rsidP="00A4417B">
      <w:pPr>
        <w:pStyle w:val="BodyText"/>
        <w:spacing w:after="120" w:line="360" w:lineRule="auto"/>
        <w:jc w:val="both"/>
        <w:rPr>
          <w:rFonts w:ascii="Arial" w:eastAsiaTheme="minorEastAsia" w:hAnsi="Arial" w:cs="Arial"/>
        </w:rPr>
      </w:pPr>
      <w:r>
        <w:rPr>
          <w:rFonts w:ascii="Arial" w:eastAsiaTheme="minorEastAsia" w:hAnsi="Arial" w:cs="Arial"/>
        </w:rPr>
        <w:t>[15</w:t>
      </w:r>
      <w:r w:rsidR="0006076F">
        <w:rPr>
          <w:rFonts w:ascii="Arial" w:eastAsiaTheme="minorEastAsia" w:hAnsi="Arial" w:cs="Arial"/>
        </w:rPr>
        <w:t>]</w:t>
      </w:r>
      <w:r w:rsidR="0006076F">
        <w:rPr>
          <w:rFonts w:ascii="Arial" w:eastAsiaTheme="minorEastAsia" w:hAnsi="Arial" w:cs="Arial"/>
        </w:rPr>
        <w:tab/>
      </w:r>
      <w:r w:rsidR="0059068A">
        <w:rPr>
          <w:rFonts w:ascii="Arial" w:eastAsiaTheme="minorEastAsia" w:hAnsi="Arial" w:cs="Arial"/>
        </w:rPr>
        <w:t>I</w:t>
      </w:r>
      <w:r w:rsidR="0006076F">
        <w:rPr>
          <w:rFonts w:ascii="Arial" w:eastAsiaTheme="minorEastAsia" w:hAnsi="Arial" w:cs="Arial"/>
        </w:rPr>
        <w:t xml:space="preserve"> turn to these two issues below.</w:t>
      </w:r>
    </w:p>
    <w:p w14:paraId="77C6BFB0" w14:textId="77777777" w:rsidR="00644A7A" w:rsidRDefault="00644A7A" w:rsidP="00A4417B">
      <w:pPr>
        <w:pStyle w:val="BodyText"/>
        <w:spacing w:after="120" w:line="360" w:lineRule="auto"/>
        <w:jc w:val="both"/>
        <w:rPr>
          <w:rFonts w:ascii="Arial" w:eastAsiaTheme="minorEastAsia" w:hAnsi="Arial" w:cs="Arial"/>
          <w:b/>
          <w:bCs/>
        </w:rPr>
      </w:pPr>
    </w:p>
    <w:p w14:paraId="65B7941E" w14:textId="7BD01404" w:rsidR="00136310" w:rsidRPr="00662E0B" w:rsidRDefault="00136310" w:rsidP="00A4417B">
      <w:pPr>
        <w:pStyle w:val="BodyText"/>
        <w:spacing w:after="120" w:line="360" w:lineRule="auto"/>
        <w:jc w:val="both"/>
        <w:rPr>
          <w:rFonts w:ascii="Arial" w:eastAsiaTheme="minorEastAsia" w:hAnsi="Arial" w:cs="Arial"/>
          <w:b/>
          <w:bCs/>
        </w:rPr>
      </w:pPr>
      <w:r>
        <w:rPr>
          <w:rFonts w:ascii="Arial" w:eastAsiaTheme="minorEastAsia" w:hAnsi="Arial" w:cs="Arial"/>
          <w:b/>
          <w:bCs/>
        </w:rPr>
        <w:t xml:space="preserve">The </w:t>
      </w:r>
      <w:r w:rsidR="00662E0B">
        <w:rPr>
          <w:rFonts w:ascii="Arial" w:eastAsiaTheme="minorEastAsia" w:hAnsi="Arial" w:cs="Arial"/>
          <w:b/>
          <w:bCs/>
        </w:rPr>
        <w:t xml:space="preserve">court </w:t>
      </w:r>
      <w:r w:rsidR="00662E0B">
        <w:rPr>
          <w:rFonts w:ascii="Arial" w:eastAsiaTheme="minorEastAsia" w:hAnsi="Arial" w:cs="Arial"/>
          <w:b/>
          <w:bCs/>
          <w:i/>
          <w:iCs/>
        </w:rPr>
        <w:t>a quo</w:t>
      </w:r>
      <w:r w:rsidR="00662E0B">
        <w:rPr>
          <w:rFonts w:ascii="Arial" w:eastAsiaTheme="minorEastAsia" w:hAnsi="Arial" w:cs="Arial"/>
          <w:b/>
          <w:bCs/>
        </w:rPr>
        <w:t>’s reliance on the co-accused’s statemen</w:t>
      </w:r>
      <w:r w:rsidR="006303A0">
        <w:rPr>
          <w:rFonts w:ascii="Arial" w:eastAsiaTheme="minorEastAsia" w:hAnsi="Arial" w:cs="Arial"/>
          <w:b/>
          <w:bCs/>
        </w:rPr>
        <w:t>t to De Almeida to convict the a</w:t>
      </w:r>
      <w:r w:rsidR="00662E0B">
        <w:rPr>
          <w:rFonts w:ascii="Arial" w:eastAsiaTheme="minorEastAsia" w:hAnsi="Arial" w:cs="Arial"/>
          <w:b/>
          <w:bCs/>
        </w:rPr>
        <w:t>ppellant</w:t>
      </w:r>
    </w:p>
    <w:p w14:paraId="7111A228" w14:textId="0751BA39" w:rsidR="00136310" w:rsidRDefault="00136310" w:rsidP="00A4417B">
      <w:pPr>
        <w:pStyle w:val="BodyText"/>
        <w:spacing w:after="120" w:line="360" w:lineRule="auto"/>
        <w:jc w:val="both"/>
        <w:rPr>
          <w:rFonts w:ascii="Arial" w:eastAsiaTheme="minorEastAsia" w:hAnsi="Arial" w:cs="Arial"/>
        </w:rPr>
      </w:pPr>
      <w:r>
        <w:rPr>
          <w:rFonts w:ascii="Arial" w:eastAsiaTheme="minorEastAsia" w:hAnsi="Arial" w:cs="Arial"/>
        </w:rPr>
        <w:t>[1</w:t>
      </w:r>
      <w:r w:rsidR="004B153F">
        <w:rPr>
          <w:rFonts w:ascii="Arial" w:eastAsiaTheme="minorEastAsia" w:hAnsi="Arial" w:cs="Arial"/>
        </w:rPr>
        <w:t>6</w:t>
      </w:r>
      <w:r>
        <w:rPr>
          <w:rFonts w:ascii="Arial" w:eastAsiaTheme="minorEastAsia" w:hAnsi="Arial" w:cs="Arial"/>
        </w:rPr>
        <w:t>]</w:t>
      </w:r>
      <w:r>
        <w:rPr>
          <w:rFonts w:ascii="Arial" w:eastAsiaTheme="minorEastAsia" w:hAnsi="Arial" w:cs="Arial"/>
        </w:rPr>
        <w:tab/>
      </w:r>
      <w:r w:rsidR="00F803B8">
        <w:rPr>
          <w:rFonts w:ascii="Arial" w:eastAsiaTheme="minorEastAsia" w:hAnsi="Arial" w:cs="Arial"/>
        </w:rPr>
        <w:t xml:space="preserve">Was the court </w:t>
      </w:r>
      <w:r w:rsidR="00F803B8">
        <w:rPr>
          <w:rFonts w:ascii="Arial" w:eastAsiaTheme="minorEastAsia" w:hAnsi="Arial" w:cs="Arial"/>
          <w:i/>
          <w:iCs/>
        </w:rPr>
        <w:t xml:space="preserve">a quo </w:t>
      </w:r>
      <w:r w:rsidR="00F803B8">
        <w:rPr>
          <w:rFonts w:ascii="Arial" w:eastAsiaTheme="minorEastAsia" w:hAnsi="Arial" w:cs="Arial"/>
        </w:rPr>
        <w:t>entitled to rely on the co-accused’s statement to De Almeida to determin</w:t>
      </w:r>
      <w:r w:rsidR="006303A0">
        <w:rPr>
          <w:rFonts w:ascii="Arial" w:eastAsiaTheme="minorEastAsia" w:hAnsi="Arial" w:cs="Arial"/>
        </w:rPr>
        <w:t>e the guilt of and convict the a</w:t>
      </w:r>
      <w:r w:rsidR="00F803B8">
        <w:rPr>
          <w:rFonts w:ascii="Arial" w:eastAsiaTheme="minorEastAsia" w:hAnsi="Arial" w:cs="Arial"/>
        </w:rPr>
        <w:t xml:space="preserve">ppellant? </w:t>
      </w:r>
      <w:r w:rsidR="00F265B6">
        <w:rPr>
          <w:rFonts w:ascii="Arial" w:eastAsiaTheme="minorEastAsia" w:hAnsi="Arial" w:cs="Arial"/>
        </w:rPr>
        <w:t xml:space="preserve">The court </w:t>
      </w:r>
      <w:r w:rsidR="00F265B6">
        <w:rPr>
          <w:rFonts w:ascii="Arial" w:eastAsiaTheme="minorEastAsia" w:hAnsi="Arial" w:cs="Arial"/>
          <w:i/>
          <w:iCs/>
        </w:rPr>
        <w:t>a quo</w:t>
      </w:r>
      <w:r w:rsidR="00F265B6">
        <w:rPr>
          <w:rFonts w:ascii="Arial" w:eastAsiaTheme="minorEastAsia" w:hAnsi="Arial" w:cs="Arial"/>
        </w:rPr>
        <w:t xml:space="preserve"> proceeded from the assumption that the statement that the co-accused had made to De Almeida was a confession to the deceased’s murder. It held that the co-accused had in this statement ‘implicated himself in the murder of the deceased’ and had ‘actually confessed to the murder in saying that he had inflicted the injury or an injury to the head of the deceased’.</w:t>
      </w:r>
      <w:r w:rsidR="00F265B6">
        <w:rPr>
          <w:rStyle w:val="FootnoteReference"/>
          <w:rFonts w:ascii="Arial" w:eastAsiaTheme="minorEastAsia" w:hAnsi="Arial" w:cs="Arial"/>
        </w:rPr>
        <w:footnoteReference w:id="1"/>
      </w:r>
    </w:p>
    <w:p w14:paraId="6561D9FF" w14:textId="77777777" w:rsidR="004B153F" w:rsidRDefault="004B153F" w:rsidP="00A4417B">
      <w:pPr>
        <w:pStyle w:val="BodyText"/>
        <w:spacing w:after="120" w:line="360" w:lineRule="auto"/>
        <w:jc w:val="both"/>
        <w:rPr>
          <w:rFonts w:ascii="Arial" w:eastAsiaTheme="minorEastAsia" w:hAnsi="Arial" w:cs="Arial"/>
        </w:rPr>
      </w:pPr>
    </w:p>
    <w:p w14:paraId="4C30E962" w14:textId="346B9559" w:rsidR="005F1A19" w:rsidRDefault="00341101" w:rsidP="00A4417B">
      <w:pPr>
        <w:pStyle w:val="BodyText"/>
        <w:spacing w:after="120" w:line="360" w:lineRule="auto"/>
        <w:jc w:val="both"/>
        <w:rPr>
          <w:rFonts w:ascii="Arial" w:eastAsiaTheme="minorEastAsia" w:hAnsi="Arial" w:cs="Arial"/>
        </w:rPr>
      </w:pPr>
      <w:r>
        <w:rPr>
          <w:rFonts w:ascii="Arial" w:eastAsiaTheme="minorEastAsia" w:hAnsi="Arial" w:cs="Arial"/>
        </w:rPr>
        <w:t>[1</w:t>
      </w:r>
      <w:r w:rsidR="004B153F">
        <w:rPr>
          <w:rFonts w:ascii="Arial" w:eastAsiaTheme="minorEastAsia" w:hAnsi="Arial" w:cs="Arial"/>
        </w:rPr>
        <w:t>7</w:t>
      </w:r>
      <w:r>
        <w:rPr>
          <w:rFonts w:ascii="Arial" w:eastAsiaTheme="minorEastAsia" w:hAnsi="Arial" w:cs="Arial"/>
        </w:rPr>
        <w:t>]</w:t>
      </w:r>
      <w:r>
        <w:rPr>
          <w:rFonts w:ascii="Arial" w:eastAsiaTheme="minorEastAsia" w:hAnsi="Arial" w:cs="Arial"/>
        </w:rPr>
        <w:tab/>
      </w:r>
      <w:r w:rsidR="005F1A19">
        <w:rPr>
          <w:rFonts w:ascii="Arial" w:eastAsiaTheme="minorEastAsia" w:hAnsi="Arial" w:cs="Arial"/>
        </w:rPr>
        <w:t>If indeed the co-accused’s statement to De Almeida was a confession</w:t>
      </w:r>
      <w:r w:rsidR="00EE7C6C">
        <w:rPr>
          <w:rFonts w:ascii="Arial" w:eastAsiaTheme="minorEastAsia" w:hAnsi="Arial" w:cs="Arial"/>
        </w:rPr>
        <w:t xml:space="preserve">, then the court </w:t>
      </w:r>
      <w:r w:rsidR="00EE7C6C">
        <w:rPr>
          <w:rFonts w:ascii="Arial" w:eastAsiaTheme="minorEastAsia" w:hAnsi="Arial" w:cs="Arial"/>
          <w:i/>
          <w:iCs/>
        </w:rPr>
        <w:t xml:space="preserve">a quo </w:t>
      </w:r>
      <w:r w:rsidR="00EE7C6C">
        <w:rPr>
          <w:rFonts w:ascii="Arial" w:eastAsiaTheme="minorEastAsia" w:hAnsi="Arial" w:cs="Arial"/>
        </w:rPr>
        <w:t xml:space="preserve">clearly erred in relying on </w:t>
      </w:r>
      <w:r w:rsidR="006303A0">
        <w:rPr>
          <w:rFonts w:ascii="Arial" w:eastAsiaTheme="minorEastAsia" w:hAnsi="Arial" w:cs="Arial"/>
        </w:rPr>
        <w:t>that confession to convict the a</w:t>
      </w:r>
      <w:r w:rsidR="00EE7C6C">
        <w:rPr>
          <w:rFonts w:ascii="Arial" w:eastAsiaTheme="minorEastAsia" w:hAnsi="Arial" w:cs="Arial"/>
        </w:rPr>
        <w:t xml:space="preserve">ppellant. Section 219 of the Criminal Procedure Act 51 of 1977 determines that </w:t>
      </w:r>
      <w:r w:rsidR="00D74EF6">
        <w:rPr>
          <w:rFonts w:ascii="Arial" w:eastAsiaTheme="minorEastAsia" w:hAnsi="Arial" w:cs="Arial"/>
        </w:rPr>
        <w:t>‘</w:t>
      </w:r>
      <w:r w:rsidR="00D74EF6" w:rsidRPr="00D74EF6">
        <w:rPr>
          <w:rFonts w:ascii="Arial" w:eastAsiaTheme="minorEastAsia" w:hAnsi="Arial" w:cs="Arial"/>
        </w:rPr>
        <w:t>[n]o confession made by any person shall be admissible as evidence against another person</w:t>
      </w:r>
      <w:r w:rsidR="00D74EF6">
        <w:rPr>
          <w:rFonts w:ascii="Arial" w:eastAsiaTheme="minorEastAsia" w:hAnsi="Arial" w:cs="Arial"/>
        </w:rPr>
        <w:t>’. This provision has been interpreted to require a court to refrain from considering at all a confession by one accused when determining the guilt of another</w:t>
      </w:r>
      <w:r w:rsidR="006E638E">
        <w:rPr>
          <w:rFonts w:ascii="Arial" w:eastAsiaTheme="minorEastAsia" w:hAnsi="Arial" w:cs="Arial"/>
        </w:rPr>
        <w:t>;</w:t>
      </w:r>
      <w:r w:rsidR="006E638E">
        <w:rPr>
          <w:rStyle w:val="FootnoteReference"/>
          <w:rFonts w:ascii="Arial" w:eastAsiaTheme="minorEastAsia" w:hAnsi="Arial" w:cs="Arial"/>
        </w:rPr>
        <w:footnoteReference w:id="2"/>
      </w:r>
      <w:r w:rsidR="006E638E">
        <w:rPr>
          <w:rFonts w:ascii="Arial" w:eastAsiaTheme="minorEastAsia" w:hAnsi="Arial" w:cs="Arial"/>
        </w:rPr>
        <w:t xml:space="preserve"> whether directly or indirectly;</w:t>
      </w:r>
      <w:r w:rsidR="006E638E">
        <w:rPr>
          <w:rStyle w:val="FootnoteReference"/>
          <w:rFonts w:ascii="Arial" w:eastAsiaTheme="minorEastAsia" w:hAnsi="Arial" w:cs="Arial"/>
        </w:rPr>
        <w:footnoteReference w:id="3"/>
      </w:r>
      <w:r w:rsidR="006E638E">
        <w:rPr>
          <w:rFonts w:ascii="Arial" w:eastAsiaTheme="minorEastAsia" w:hAnsi="Arial" w:cs="Arial"/>
        </w:rPr>
        <w:t xml:space="preserve"> </w:t>
      </w:r>
      <w:r w:rsidR="006E638E" w:rsidRPr="006E638E">
        <w:rPr>
          <w:rFonts w:ascii="Arial" w:eastAsiaTheme="minorEastAsia" w:hAnsi="Arial" w:cs="Arial"/>
        </w:rPr>
        <w:t xml:space="preserve">as part of a chain of inferences drawn against the </w:t>
      </w:r>
      <w:r w:rsidR="006E638E">
        <w:rPr>
          <w:rFonts w:ascii="Arial" w:eastAsiaTheme="minorEastAsia" w:hAnsi="Arial" w:cs="Arial"/>
        </w:rPr>
        <w:t>non-confessor;</w:t>
      </w:r>
      <w:r w:rsidR="006E638E" w:rsidRPr="006E638E">
        <w:rPr>
          <w:rFonts w:ascii="Arial" w:eastAsiaTheme="minorEastAsia" w:hAnsi="Arial" w:cs="Arial"/>
        </w:rPr>
        <w:t xml:space="preserve"> or </w:t>
      </w:r>
      <w:r w:rsidR="006E638E">
        <w:rPr>
          <w:rFonts w:ascii="Arial" w:eastAsiaTheme="minorEastAsia" w:hAnsi="Arial" w:cs="Arial"/>
        </w:rPr>
        <w:t xml:space="preserve">to </w:t>
      </w:r>
      <w:r w:rsidR="006E638E" w:rsidRPr="006E638E">
        <w:rPr>
          <w:rFonts w:ascii="Arial" w:eastAsiaTheme="minorEastAsia" w:hAnsi="Arial" w:cs="Arial"/>
        </w:rPr>
        <w:t>corroborat</w:t>
      </w:r>
      <w:r w:rsidR="006E638E">
        <w:rPr>
          <w:rFonts w:ascii="Arial" w:eastAsiaTheme="minorEastAsia" w:hAnsi="Arial" w:cs="Arial"/>
        </w:rPr>
        <w:t>e</w:t>
      </w:r>
      <w:r w:rsidR="006E638E" w:rsidRPr="006E638E">
        <w:rPr>
          <w:rFonts w:ascii="Arial" w:eastAsiaTheme="minorEastAsia" w:hAnsi="Arial" w:cs="Arial"/>
        </w:rPr>
        <w:t xml:space="preserve"> other evidence</w:t>
      </w:r>
      <w:r w:rsidR="006E638E">
        <w:rPr>
          <w:rFonts w:ascii="Arial" w:eastAsiaTheme="minorEastAsia" w:hAnsi="Arial" w:cs="Arial"/>
        </w:rPr>
        <w:t>.</w:t>
      </w:r>
      <w:r w:rsidR="00176DFF">
        <w:rPr>
          <w:rStyle w:val="FootnoteReference"/>
          <w:rFonts w:ascii="Arial" w:eastAsiaTheme="minorEastAsia" w:hAnsi="Arial" w:cs="Arial"/>
        </w:rPr>
        <w:footnoteReference w:id="4"/>
      </w:r>
    </w:p>
    <w:p w14:paraId="1E4D3D9E" w14:textId="77777777" w:rsidR="004B153F" w:rsidRDefault="004B153F" w:rsidP="00A4417B">
      <w:pPr>
        <w:pStyle w:val="BodyText"/>
        <w:spacing w:after="120" w:line="360" w:lineRule="auto"/>
        <w:jc w:val="both"/>
        <w:rPr>
          <w:rFonts w:ascii="Arial" w:eastAsiaTheme="minorEastAsia" w:hAnsi="Arial" w:cs="Arial"/>
        </w:rPr>
      </w:pPr>
    </w:p>
    <w:p w14:paraId="30DDFA22" w14:textId="235482FA" w:rsidR="003F6100" w:rsidRDefault="00644A7A" w:rsidP="00A4417B">
      <w:pPr>
        <w:pStyle w:val="BodyText"/>
        <w:spacing w:after="120" w:line="360" w:lineRule="auto"/>
        <w:jc w:val="both"/>
        <w:rPr>
          <w:rFonts w:ascii="Arial" w:eastAsiaTheme="minorEastAsia" w:hAnsi="Arial" w:cs="Arial"/>
        </w:rPr>
      </w:pPr>
      <w:r>
        <w:rPr>
          <w:rFonts w:ascii="Arial" w:eastAsiaTheme="minorEastAsia" w:hAnsi="Arial" w:cs="Arial"/>
        </w:rPr>
        <w:t>[1</w:t>
      </w:r>
      <w:r w:rsidR="004B153F">
        <w:rPr>
          <w:rFonts w:ascii="Arial" w:eastAsiaTheme="minorEastAsia" w:hAnsi="Arial" w:cs="Arial"/>
        </w:rPr>
        <w:t>8</w:t>
      </w:r>
      <w:r>
        <w:rPr>
          <w:rFonts w:ascii="Arial" w:eastAsiaTheme="minorEastAsia" w:hAnsi="Arial" w:cs="Arial"/>
        </w:rPr>
        <w:t>]</w:t>
      </w:r>
      <w:r>
        <w:rPr>
          <w:rFonts w:ascii="Arial" w:eastAsiaTheme="minorEastAsia" w:hAnsi="Arial" w:cs="Arial"/>
        </w:rPr>
        <w:tab/>
        <w:t xml:space="preserve">At best for the court </w:t>
      </w:r>
      <w:r>
        <w:rPr>
          <w:rFonts w:ascii="Arial" w:eastAsiaTheme="minorEastAsia" w:hAnsi="Arial" w:cs="Arial"/>
          <w:i/>
          <w:iCs/>
        </w:rPr>
        <w:t>a quo</w:t>
      </w:r>
      <w:r>
        <w:rPr>
          <w:rFonts w:ascii="Arial" w:eastAsiaTheme="minorEastAsia" w:hAnsi="Arial" w:cs="Arial"/>
        </w:rPr>
        <w:t>, one can assume that it did not rely on the co-accused</w:t>
      </w:r>
      <w:r w:rsidR="006303A0">
        <w:rPr>
          <w:rFonts w:ascii="Arial" w:eastAsiaTheme="minorEastAsia" w:hAnsi="Arial" w:cs="Arial"/>
        </w:rPr>
        <w:t>’s ‘confession’ to convict the a</w:t>
      </w:r>
      <w:r>
        <w:rPr>
          <w:rFonts w:ascii="Arial" w:eastAsiaTheme="minorEastAsia" w:hAnsi="Arial" w:cs="Arial"/>
        </w:rPr>
        <w:t>ppel</w:t>
      </w:r>
      <w:r w:rsidR="006303A0">
        <w:rPr>
          <w:rFonts w:ascii="Arial" w:eastAsiaTheme="minorEastAsia" w:hAnsi="Arial" w:cs="Arial"/>
        </w:rPr>
        <w:t>lant, but instead regarded the a</w:t>
      </w:r>
      <w:r>
        <w:rPr>
          <w:rFonts w:ascii="Arial" w:eastAsiaTheme="minorEastAsia" w:hAnsi="Arial" w:cs="Arial"/>
        </w:rPr>
        <w:t>ppellant’s conduct while the co-accused was making his statement to De Almeida (nodding in seeming agreement and adding in small part to his version) as constituting either a confession or admission of his own.</w:t>
      </w:r>
    </w:p>
    <w:p w14:paraId="7C317DEB" w14:textId="77777777" w:rsidR="004B153F" w:rsidRDefault="004B153F" w:rsidP="00A4417B">
      <w:pPr>
        <w:pStyle w:val="BodyText"/>
        <w:spacing w:after="120" w:line="360" w:lineRule="auto"/>
        <w:jc w:val="both"/>
        <w:rPr>
          <w:rFonts w:ascii="Arial" w:eastAsiaTheme="minorEastAsia" w:hAnsi="Arial" w:cs="Arial"/>
        </w:rPr>
      </w:pPr>
    </w:p>
    <w:p w14:paraId="18500696" w14:textId="1870F2D5" w:rsidR="00644A7A" w:rsidRDefault="003F6100" w:rsidP="00A4417B">
      <w:pPr>
        <w:pStyle w:val="BodyText"/>
        <w:spacing w:after="120" w:line="360" w:lineRule="auto"/>
        <w:jc w:val="both"/>
        <w:rPr>
          <w:rFonts w:ascii="Arial" w:eastAsiaTheme="minorEastAsia" w:hAnsi="Arial" w:cs="Arial"/>
        </w:rPr>
      </w:pPr>
      <w:r>
        <w:rPr>
          <w:rFonts w:ascii="Arial" w:eastAsiaTheme="minorEastAsia" w:hAnsi="Arial" w:cs="Arial"/>
        </w:rPr>
        <w:t>[</w:t>
      </w:r>
      <w:r w:rsidR="004B153F">
        <w:rPr>
          <w:rFonts w:ascii="Arial" w:eastAsiaTheme="minorEastAsia" w:hAnsi="Arial" w:cs="Arial"/>
        </w:rPr>
        <w:t>19</w:t>
      </w:r>
      <w:r>
        <w:rPr>
          <w:rFonts w:ascii="Arial" w:eastAsiaTheme="minorEastAsia" w:hAnsi="Arial" w:cs="Arial"/>
        </w:rPr>
        <w:t xml:space="preserve">] </w:t>
      </w:r>
      <w:r w:rsidR="00644A7A">
        <w:rPr>
          <w:rFonts w:ascii="Arial" w:eastAsiaTheme="minorEastAsia" w:hAnsi="Arial" w:cs="Arial"/>
        </w:rPr>
        <w:t xml:space="preserve">But the facts do not bear this out. </w:t>
      </w:r>
      <w:r w:rsidR="00662E0B">
        <w:rPr>
          <w:rFonts w:ascii="Arial" w:eastAsiaTheme="minorEastAsia" w:hAnsi="Arial" w:cs="Arial"/>
        </w:rPr>
        <w:t>Neither</w:t>
      </w:r>
      <w:r w:rsidR="00644A7A">
        <w:rPr>
          <w:rFonts w:ascii="Arial" w:eastAsiaTheme="minorEastAsia" w:hAnsi="Arial" w:cs="Arial"/>
        </w:rPr>
        <w:t xml:space="preserve"> the deceased’s brother </w:t>
      </w:r>
      <w:r w:rsidR="00662E0B">
        <w:rPr>
          <w:rFonts w:ascii="Arial" w:eastAsiaTheme="minorEastAsia" w:hAnsi="Arial" w:cs="Arial"/>
        </w:rPr>
        <w:t>nor</w:t>
      </w:r>
      <w:r w:rsidR="00644A7A">
        <w:rPr>
          <w:rFonts w:ascii="Arial" w:eastAsiaTheme="minorEastAsia" w:hAnsi="Arial" w:cs="Arial"/>
        </w:rPr>
        <w:t xml:space="preserve"> De Almeida, </w:t>
      </w:r>
      <w:r w:rsidR="00662E0B">
        <w:rPr>
          <w:rFonts w:ascii="Arial" w:eastAsiaTheme="minorEastAsia" w:hAnsi="Arial" w:cs="Arial"/>
        </w:rPr>
        <w:t>although</w:t>
      </w:r>
      <w:r w:rsidR="006303A0">
        <w:rPr>
          <w:rFonts w:ascii="Arial" w:eastAsiaTheme="minorEastAsia" w:hAnsi="Arial" w:cs="Arial"/>
        </w:rPr>
        <w:t xml:space="preserve"> testifying that the a</w:t>
      </w:r>
      <w:r w:rsidR="00644A7A">
        <w:rPr>
          <w:rFonts w:ascii="Arial" w:eastAsiaTheme="minorEastAsia" w:hAnsi="Arial" w:cs="Arial"/>
        </w:rPr>
        <w:t xml:space="preserve">ppellant was </w:t>
      </w:r>
      <w:r>
        <w:rPr>
          <w:rFonts w:ascii="Arial" w:eastAsiaTheme="minorEastAsia" w:hAnsi="Arial" w:cs="Arial"/>
        </w:rPr>
        <w:t>present while the co-accused made his statement and nodded in seeming agreement while he did so, gave an</w:t>
      </w:r>
      <w:r w:rsidR="006303A0">
        <w:rPr>
          <w:rFonts w:ascii="Arial" w:eastAsiaTheme="minorEastAsia" w:hAnsi="Arial" w:cs="Arial"/>
        </w:rPr>
        <w:t>y evidence on what exactly the a</w:t>
      </w:r>
      <w:r>
        <w:rPr>
          <w:rFonts w:ascii="Arial" w:eastAsiaTheme="minorEastAsia" w:hAnsi="Arial" w:cs="Arial"/>
        </w:rPr>
        <w:t>ppellant’s nodding indicat</w:t>
      </w:r>
      <w:r w:rsidR="00E455A7">
        <w:rPr>
          <w:rFonts w:ascii="Arial" w:eastAsiaTheme="minorEastAsia" w:hAnsi="Arial" w:cs="Arial"/>
        </w:rPr>
        <w:t>ed</w:t>
      </w:r>
      <w:r>
        <w:rPr>
          <w:rFonts w:ascii="Arial" w:eastAsiaTheme="minorEastAsia" w:hAnsi="Arial" w:cs="Arial"/>
        </w:rPr>
        <w:t xml:space="preserve"> agreement with and with what intention he was indicating his agreement, there where he did so. Neit</w:t>
      </w:r>
      <w:r w:rsidR="006303A0">
        <w:rPr>
          <w:rFonts w:ascii="Arial" w:eastAsiaTheme="minorEastAsia" w:hAnsi="Arial" w:cs="Arial"/>
        </w:rPr>
        <w:t>her of the two things that the a</w:t>
      </w:r>
      <w:r>
        <w:rPr>
          <w:rFonts w:ascii="Arial" w:eastAsiaTheme="minorEastAsia" w:hAnsi="Arial" w:cs="Arial"/>
        </w:rPr>
        <w:t>ppellant added to the co-accused’s statement (that the estranged wife wore old clothes and was barefoot; and that, once the co-accused had killed the deceased,</w:t>
      </w:r>
      <w:r w:rsidR="006303A0">
        <w:rPr>
          <w:rFonts w:ascii="Arial" w:eastAsiaTheme="minorEastAsia" w:hAnsi="Arial" w:cs="Arial"/>
        </w:rPr>
        <w:t xml:space="preserve"> he (the a</w:t>
      </w:r>
      <w:r>
        <w:rPr>
          <w:rFonts w:ascii="Arial" w:eastAsiaTheme="minorEastAsia" w:hAnsi="Arial" w:cs="Arial"/>
        </w:rPr>
        <w:t>ppellant), unsettled by the deceased’s open eyes, placed his spectacles on his face) indicat</w:t>
      </w:r>
      <w:r w:rsidR="006303A0">
        <w:rPr>
          <w:rFonts w:ascii="Arial" w:eastAsiaTheme="minorEastAsia" w:hAnsi="Arial" w:cs="Arial"/>
        </w:rPr>
        <w:t>e anything other than that the a</w:t>
      </w:r>
      <w:r>
        <w:rPr>
          <w:rFonts w:ascii="Arial" w:eastAsiaTheme="minorEastAsia" w:hAnsi="Arial" w:cs="Arial"/>
        </w:rPr>
        <w:t>ppellant was present when the deceased was killed. This fact, in and of i</w:t>
      </w:r>
      <w:r w:rsidR="006303A0">
        <w:rPr>
          <w:rFonts w:ascii="Arial" w:eastAsiaTheme="minorEastAsia" w:hAnsi="Arial" w:cs="Arial"/>
        </w:rPr>
        <w:t>tself, is no indication of the a</w:t>
      </w:r>
      <w:r>
        <w:rPr>
          <w:rFonts w:ascii="Arial" w:eastAsiaTheme="minorEastAsia" w:hAnsi="Arial" w:cs="Arial"/>
        </w:rPr>
        <w:t>ppellant’s guilt. Indeed, him relating how he placed the deceased</w:t>
      </w:r>
      <w:r w:rsidR="006C2D30">
        <w:rPr>
          <w:rFonts w:ascii="Arial" w:eastAsiaTheme="minorEastAsia" w:hAnsi="Arial" w:cs="Arial"/>
        </w:rPr>
        <w:t>’s</w:t>
      </w:r>
      <w:r>
        <w:rPr>
          <w:rFonts w:ascii="Arial" w:eastAsiaTheme="minorEastAsia" w:hAnsi="Arial" w:cs="Arial"/>
        </w:rPr>
        <w:t xml:space="preserve"> spectacles on his face to hide his eyes is exculpatory: from the record it is clear that he did so because he was frightened and unsettled by what had occurred.</w:t>
      </w:r>
    </w:p>
    <w:p w14:paraId="40209CC9" w14:textId="77777777" w:rsidR="004B153F" w:rsidRPr="00644A7A" w:rsidRDefault="004B153F" w:rsidP="00A4417B">
      <w:pPr>
        <w:pStyle w:val="BodyText"/>
        <w:spacing w:after="120" w:line="360" w:lineRule="auto"/>
        <w:jc w:val="both"/>
        <w:rPr>
          <w:rFonts w:ascii="Arial" w:eastAsiaTheme="minorEastAsia" w:hAnsi="Arial" w:cs="Arial"/>
        </w:rPr>
      </w:pPr>
    </w:p>
    <w:p w14:paraId="3C3A000E" w14:textId="41BA0D02" w:rsidR="00E455A7" w:rsidRDefault="005F1A19" w:rsidP="00A4417B">
      <w:pPr>
        <w:pStyle w:val="BodyText"/>
        <w:spacing w:after="120" w:line="360" w:lineRule="auto"/>
        <w:jc w:val="both"/>
        <w:rPr>
          <w:rFonts w:ascii="Arial" w:eastAsiaTheme="minorEastAsia" w:hAnsi="Arial" w:cs="Arial"/>
        </w:rPr>
      </w:pPr>
      <w:r>
        <w:rPr>
          <w:rFonts w:ascii="Arial" w:eastAsiaTheme="minorEastAsia" w:hAnsi="Arial" w:cs="Arial"/>
        </w:rPr>
        <w:t>[</w:t>
      </w:r>
      <w:r w:rsidR="004B153F">
        <w:rPr>
          <w:rFonts w:ascii="Arial" w:eastAsiaTheme="minorEastAsia" w:hAnsi="Arial" w:cs="Arial"/>
        </w:rPr>
        <w:t>20</w:t>
      </w:r>
      <w:r>
        <w:rPr>
          <w:rFonts w:ascii="Arial" w:eastAsiaTheme="minorEastAsia" w:hAnsi="Arial" w:cs="Arial"/>
        </w:rPr>
        <w:t>]</w:t>
      </w:r>
      <w:r>
        <w:rPr>
          <w:rFonts w:ascii="Arial" w:eastAsiaTheme="minorEastAsia" w:hAnsi="Arial" w:cs="Arial"/>
        </w:rPr>
        <w:tab/>
      </w:r>
      <w:r w:rsidR="006C2D30">
        <w:rPr>
          <w:rFonts w:ascii="Arial" w:eastAsiaTheme="minorEastAsia" w:hAnsi="Arial" w:cs="Arial"/>
        </w:rPr>
        <w:t>However</w:t>
      </w:r>
      <w:r w:rsidR="00E85D60">
        <w:rPr>
          <w:rFonts w:ascii="Arial" w:eastAsiaTheme="minorEastAsia" w:hAnsi="Arial" w:cs="Arial"/>
        </w:rPr>
        <w:t xml:space="preserve">, the court </w:t>
      </w:r>
      <w:r w:rsidR="00E85D60">
        <w:rPr>
          <w:rFonts w:ascii="Arial" w:eastAsiaTheme="minorEastAsia" w:hAnsi="Arial" w:cs="Arial"/>
          <w:i/>
          <w:iCs/>
        </w:rPr>
        <w:t>a quo</w:t>
      </w:r>
      <w:r w:rsidR="00E85D60">
        <w:rPr>
          <w:rFonts w:ascii="Arial" w:eastAsiaTheme="minorEastAsia" w:hAnsi="Arial" w:cs="Arial"/>
        </w:rPr>
        <w:t xml:space="preserve"> also erred in assuming that the co-accused’s</w:t>
      </w:r>
      <w:r w:rsidR="00341101">
        <w:rPr>
          <w:rFonts w:ascii="Arial" w:eastAsiaTheme="minorEastAsia" w:hAnsi="Arial" w:cs="Arial"/>
        </w:rPr>
        <w:t xml:space="preserve"> statement to De Almeida was a confession</w:t>
      </w:r>
      <w:r w:rsidR="00E85D60">
        <w:rPr>
          <w:rFonts w:ascii="Arial" w:eastAsiaTheme="minorEastAsia" w:hAnsi="Arial" w:cs="Arial"/>
        </w:rPr>
        <w:t>.</w:t>
      </w:r>
      <w:r w:rsidR="00341101">
        <w:rPr>
          <w:rFonts w:ascii="Arial" w:eastAsiaTheme="minorEastAsia" w:hAnsi="Arial" w:cs="Arial"/>
        </w:rPr>
        <w:t xml:space="preserve"> </w:t>
      </w:r>
      <w:r w:rsidR="00890271">
        <w:rPr>
          <w:rFonts w:ascii="Arial" w:eastAsiaTheme="minorEastAsia" w:hAnsi="Arial" w:cs="Arial"/>
        </w:rPr>
        <w:t>It has long been accepted that a confession is ‘</w:t>
      </w:r>
      <w:r w:rsidR="00890271" w:rsidRPr="00890271">
        <w:rPr>
          <w:rFonts w:ascii="Arial" w:eastAsiaTheme="minorEastAsia" w:hAnsi="Arial" w:cs="Arial"/>
        </w:rPr>
        <w:t>an unequivocal acknowledgement of guilt, the equivalent of a plea of guilty before a court of law</w:t>
      </w:r>
      <w:r w:rsidR="00890271">
        <w:rPr>
          <w:rFonts w:ascii="Arial" w:eastAsiaTheme="minorEastAsia" w:hAnsi="Arial" w:cs="Arial"/>
        </w:rPr>
        <w:t>’.</w:t>
      </w:r>
      <w:r w:rsidR="003D6CDD">
        <w:rPr>
          <w:rStyle w:val="FootnoteReference"/>
          <w:rFonts w:ascii="Arial" w:eastAsiaTheme="minorEastAsia" w:hAnsi="Arial" w:cs="Arial"/>
        </w:rPr>
        <w:footnoteReference w:id="5"/>
      </w:r>
      <w:r w:rsidR="00890271">
        <w:rPr>
          <w:rFonts w:ascii="Arial" w:eastAsiaTheme="minorEastAsia" w:hAnsi="Arial" w:cs="Arial"/>
        </w:rPr>
        <w:t xml:space="preserve"> In this sense, a confession has been described as an extra-curial admission of all the elements of the crime the confessor has been charged with.</w:t>
      </w:r>
      <w:r w:rsidR="003D6CDD">
        <w:rPr>
          <w:rStyle w:val="FootnoteReference"/>
          <w:rFonts w:ascii="Arial" w:eastAsiaTheme="minorEastAsia" w:hAnsi="Arial" w:cs="Arial"/>
        </w:rPr>
        <w:footnoteReference w:id="6"/>
      </w:r>
      <w:r w:rsidR="00890271">
        <w:rPr>
          <w:rFonts w:ascii="Arial" w:eastAsiaTheme="minorEastAsia" w:hAnsi="Arial" w:cs="Arial"/>
        </w:rPr>
        <w:t xml:space="preserve"> </w:t>
      </w:r>
      <w:r w:rsidR="00E455A7">
        <w:rPr>
          <w:rFonts w:ascii="Arial" w:eastAsiaTheme="minorEastAsia" w:hAnsi="Arial" w:cs="Arial"/>
        </w:rPr>
        <w:t>An admission that seems to relate to all the elements of the relevant crime but that nonetheless leaves any possibility of a defence to that crime for the accused is for that slim reason alone not a confession.</w:t>
      </w:r>
      <w:r w:rsidR="00E455A7">
        <w:rPr>
          <w:rStyle w:val="FootnoteReference"/>
          <w:rFonts w:ascii="Arial" w:eastAsiaTheme="minorEastAsia" w:hAnsi="Arial" w:cs="Arial"/>
        </w:rPr>
        <w:footnoteReference w:id="7"/>
      </w:r>
    </w:p>
    <w:p w14:paraId="1991E4E3" w14:textId="77777777" w:rsidR="004B153F" w:rsidRDefault="004B153F" w:rsidP="00A4417B">
      <w:pPr>
        <w:pStyle w:val="BodyText"/>
        <w:spacing w:after="120" w:line="360" w:lineRule="auto"/>
        <w:jc w:val="both"/>
        <w:rPr>
          <w:rFonts w:ascii="Arial" w:eastAsiaTheme="minorEastAsia" w:hAnsi="Arial" w:cs="Arial"/>
        </w:rPr>
      </w:pPr>
    </w:p>
    <w:p w14:paraId="25ED9DA0" w14:textId="31FA384B" w:rsidR="00930A52" w:rsidRDefault="00662E0B" w:rsidP="00A4417B">
      <w:pPr>
        <w:pStyle w:val="BodyText"/>
        <w:spacing w:after="120" w:line="360" w:lineRule="auto"/>
        <w:jc w:val="both"/>
        <w:rPr>
          <w:rFonts w:ascii="Arial" w:eastAsiaTheme="minorEastAsia" w:hAnsi="Arial" w:cs="Arial"/>
        </w:rPr>
      </w:pPr>
      <w:r>
        <w:rPr>
          <w:rFonts w:ascii="Arial" w:eastAsiaTheme="minorEastAsia" w:hAnsi="Arial" w:cs="Arial"/>
        </w:rPr>
        <w:t>[</w:t>
      </w:r>
      <w:r w:rsidR="004B153F">
        <w:rPr>
          <w:rFonts w:ascii="Arial" w:eastAsiaTheme="minorEastAsia" w:hAnsi="Arial" w:cs="Arial"/>
        </w:rPr>
        <w:t>21</w:t>
      </w:r>
      <w:r>
        <w:rPr>
          <w:rFonts w:ascii="Arial" w:eastAsiaTheme="minorEastAsia" w:hAnsi="Arial" w:cs="Arial"/>
        </w:rPr>
        <w:t>]</w:t>
      </w:r>
      <w:r>
        <w:rPr>
          <w:rFonts w:ascii="Arial" w:eastAsiaTheme="minorEastAsia" w:hAnsi="Arial" w:cs="Arial"/>
        </w:rPr>
        <w:tab/>
      </w:r>
      <w:r w:rsidR="003D6CDD">
        <w:rPr>
          <w:rFonts w:ascii="Arial" w:eastAsiaTheme="minorEastAsia" w:hAnsi="Arial" w:cs="Arial"/>
        </w:rPr>
        <w:t xml:space="preserve">From the record there are strong </w:t>
      </w:r>
      <w:r>
        <w:rPr>
          <w:rFonts w:ascii="Arial" w:eastAsiaTheme="minorEastAsia" w:hAnsi="Arial" w:cs="Arial"/>
        </w:rPr>
        <w:t>indications</w:t>
      </w:r>
      <w:r w:rsidR="003D6CDD">
        <w:rPr>
          <w:rFonts w:ascii="Arial" w:eastAsiaTheme="minorEastAsia" w:hAnsi="Arial" w:cs="Arial"/>
        </w:rPr>
        <w:t xml:space="preserve"> that the co-accused intended his statement not as any acknowledgement of guilt, but instead as exculpatory</w:t>
      </w:r>
      <w:r w:rsidR="00066122">
        <w:rPr>
          <w:rFonts w:ascii="Arial" w:eastAsiaTheme="minorEastAsia" w:hAnsi="Arial" w:cs="Arial"/>
        </w:rPr>
        <w:t xml:space="preserve">. He is at pains to point out, after all, that </w:t>
      </w:r>
      <w:r w:rsidR="00E455A7">
        <w:rPr>
          <w:rFonts w:ascii="Arial" w:eastAsiaTheme="minorEastAsia" w:hAnsi="Arial" w:cs="Arial"/>
        </w:rPr>
        <w:t xml:space="preserve">over an extended period </w:t>
      </w:r>
      <w:r w:rsidR="00066122">
        <w:rPr>
          <w:rFonts w:ascii="Arial" w:eastAsiaTheme="minorEastAsia" w:hAnsi="Arial" w:cs="Arial"/>
        </w:rPr>
        <w:t>he was coerced and indeed forced, with threats</w:t>
      </w:r>
      <w:r w:rsidR="00644A7A">
        <w:rPr>
          <w:rFonts w:ascii="Arial" w:eastAsiaTheme="minorEastAsia" w:hAnsi="Arial" w:cs="Arial"/>
        </w:rPr>
        <w:t xml:space="preserve"> by armed men</w:t>
      </w:r>
      <w:r w:rsidR="00066122">
        <w:rPr>
          <w:rFonts w:ascii="Arial" w:eastAsiaTheme="minorEastAsia" w:hAnsi="Arial" w:cs="Arial"/>
        </w:rPr>
        <w:t xml:space="preserve"> </w:t>
      </w:r>
      <w:r w:rsidR="00644A7A">
        <w:rPr>
          <w:rFonts w:ascii="Arial" w:eastAsiaTheme="minorEastAsia" w:hAnsi="Arial" w:cs="Arial"/>
        </w:rPr>
        <w:t>to his own life</w:t>
      </w:r>
      <w:r w:rsidR="00066122">
        <w:rPr>
          <w:rFonts w:ascii="Arial" w:eastAsiaTheme="minorEastAsia" w:hAnsi="Arial" w:cs="Arial"/>
        </w:rPr>
        <w:t>, to kill the deceased. This</w:t>
      </w:r>
      <w:r>
        <w:rPr>
          <w:rFonts w:ascii="Arial" w:eastAsiaTheme="minorEastAsia" w:hAnsi="Arial" w:cs="Arial"/>
        </w:rPr>
        <w:t xml:space="preserve"> means first that he d</w:t>
      </w:r>
      <w:r w:rsidR="00F719EC">
        <w:rPr>
          <w:rFonts w:ascii="Arial" w:eastAsiaTheme="minorEastAsia" w:hAnsi="Arial" w:cs="Arial"/>
        </w:rPr>
        <w:t>id</w:t>
      </w:r>
      <w:r>
        <w:rPr>
          <w:rFonts w:ascii="Arial" w:eastAsiaTheme="minorEastAsia" w:hAnsi="Arial" w:cs="Arial"/>
        </w:rPr>
        <w:t xml:space="preserve"> not admit to one of the central</w:t>
      </w:r>
      <w:r w:rsidR="00066122">
        <w:rPr>
          <w:rFonts w:ascii="Arial" w:eastAsiaTheme="minorEastAsia" w:hAnsi="Arial" w:cs="Arial"/>
        </w:rPr>
        <w:t xml:space="preserve"> elements of the crime</w:t>
      </w:r>
      <w:r>
        <w:rPr>
          <w:rFonts w:ascii="Arial" w:eastAsiaTheme="minorEastAsia" w:hAnsi="Arial" w:cs="Arial"/>
        </w:rPr>
        <w:t xml:space="preserve"> of murder</w:t>
      </w:r>
      <w:r w:rsidR="00066122">
        <w:rPr>
          <w:rFonts w:ascii="Arial" w:eastAsiaTheme="minorEastAsia" w:hAnsi="Arial" w:cs="Arial"/>
        </w:rPr>
        <w:t xml:space="preserve">, </w:t>
      </w:r>
      <w:r>
        <w:rPr>
          <w:rFonts w:ascii="Arial" w:eastAsiaTheme="minorEastAsia" w:hAnsi="Arial" w:cs="Arial"/>
        </w:rPr>
        <w:t xml:space="preserve">being </w:t>
      </w:r>
      <w:r w:rsidR="00066122">
        <w:rPr>
          <w:rFonts w:ascii="Arial" w:eastAsiaTheme="minorEastAsia" w:hAnsi="Arial" w:cs="Arial"/>
        </w:rPr>
        <w:t xml:space="preserve">the requisite </w:t>
      </w:r>
      <w:r w:rsidR="00066122">
        <w:rPr>
          <w:rFonts w:ascii="Arial" w:eastAsiaTheme="minorEastAsia" w:hAnsi="Arial" w:cs="Arial"/>
          <w:i/>
          <w:iCs/>
        </w:rPr>
        <w:t>mens rea</w:t>
      </w:r>
      <w:r w:rsidR="00066122">
        <w:rPr>
          <w:rFonts w:ascii="Arial" w:eastAsiaTheme="minorEastAsia" w:hAnsi="Arial" w:cs="Arial"/>
        </w:rPr>
        <w:t>.</w:t>
      </w:r>
      <w:r w:rsidR="00930A52">
        <w:rPr>
          <w:rFonts w:ascii="Arial" w:eastAsiaTheme="minorEastAsia" w:hAnsi="Arial" w:cs="Arial"/>
        </w:rPr>
        <w:t xml:space="preserve"> </w:t>
      </w:r>
      <w:r>
        <w:rPr>
          <w:rFonts w:ascii="Arial" w:eastAsiaTheme="minorEastAsia" w:hAnsi="Arial" w:cs="Arial"/>
        </w:rPr>
        <w:t xml:space="preserve">But it also means </w:t>
      </w:r>
      <w:r w:rsidR="00F719EC">
        <w:rPr>
          <w:rFonts w:ascii="Arial" w:eastAsiaTheme="minorEastAsia" w:hAnsi="Arial" w:cs="Arial"/>
        </w:rPr>
        <w:t xml:space="preserve">that (however slim the chances of success with it might have been) he is, despite his statement, left with a possible defence: that he was forced to do it. On both, related counts, his statement </w:t>
      </w:r>
      <w:r w:rsidR="00616CF2">
        <w:rPr>
          <w:rFonts w:ascii="Arial" w:eastAsiaTheme="minorEastAsia" w:hAnsi="Arial" w:cs="Arial"/>
        </w:rPr>
        <w:t>wa</w:t>
      </w:r>
      <w:r w:rsidR="00F719EC">
        <w:rPr>
          <w:rFonts w:ascii="Arial" w:eastAsiaTheme="minorEastAsia" w:hAnsi="Arial" w:cs="Arial"/>
        </w:rPr>
        <w:t>s not a confession.</w:t>
      </w:r>
    </w:p>
    <w:p w14:paraId="674E530F" w14:textId="77777777" w:rsidR="004B153F" w:rsidRDefault="004B153F" w:rsidP="00A4417B">
      <w:pPr>
        <w:pStyle w:val="BodyText"/>
        <w:spacing w:after="120" w:line="360" w:lineRule="auto"/>
        <w:jc w:val="both"/>
        <w:rPr>
          <w:rFonts w:ascii="Arial" w:eastAsiaTheme="minorEastAsia" w:hAnsi="Arial" w:cs="Arial"/>
        </w:rPr>
      </w:pPr>
    </w:p>
    <w:p w14:paraId="1635AF1C" w14:textId="30520511" w:rsidR="00CC1F50" w:rsidRDefault="00F719EC" w:rsidP="00A4417B">
      <w:pPr>
        <w:pStyle w:val="BodyText"/>
        <w:spacing w:after="120" w:line="360" w:lineRule="auto"/>
        <w:jc w:val="both"/>
        <w:rPr>
          <w:rFonts w:ascii="Arial" w:eastAsiaTheme="minorEastAsia" w:hAnsi="Arial" w:cs="Arial"/>
        </w:rPr>
      </w:pPr>
      <w:r>
        <w:rPr>
          <w:rFonts w:ascii="Arial" w:eastAsiaTheme="minorEastAsia" w:hAnsi="Arial" w:cs="Arial"/>
        </w:rPr>
        <w:t>[</w:t>
      </w:r>
      <w:r w:rsidR="004B153F">
        <w:rPr>
          <w:rFonts w:ascii="Arial" w:eastAsiaTheme="minorEastAsia" w:hAnsi="Arial" w:cs="Arial"/>
        </w:rPr>
        <w:t>22</w:t>
      </w:r>
      <w:r>
        <w:rPr>
          <w:rFonts w:ascii="Arial" w:eastAsiaTheme="minorEastAsia" w:hAnsi="Arial" w:cs="Arial"/>
        </w:rPr>
        <w:t>]</w:t>
      </w:r>
      <w:r>
        <w:rPr>
          <w:rFonts w:ascii="Arial" w:eastAsiaTheme="minorEastAsia" w:hAnsi="Arial" w:cs="Arial"/>
        </w:rPr>
        <w:tab/>
      </w:r>
      <w:r w:rsidR="00C46435">
        <w:rPr>
          <w:rFonts w:ascii="Arial" w:eastAsiaTheme="minorEastAsia" w:hAnsi="Arial" w:cs="Arial"/>
        </w:rPr>
        <w:t xml:space="preserve">The </w:t>
      </w:r>
      <w:r>
        <w:rPr>
          <w:rFonts w:ascii="Arial" w:eastAsiaTheme="minorEastAsia" w:hAnsi="Arial" w:cs="Arial"/>
        </w:rPr>
        <w:t xml:space="preserve">statement, instead of a confession, amounts simply to an extra-curial admission: a statement adverse to </w:t>
      </w:r>
      <w:r w:rsidR="00C46435">
        <w:rPr>
          <w:rFonts w:ascii="Arial" w:eastAsiaTheme="minorEastAsia" w:hAnsi="Arial" w:cs="Arial"/>
        </w:rPr>
        <w:t xml:space="preserve">the co-accused’s </w:t>
      </w:r>
      <w:r>
        <w:rPr>
          <w:rFonts w:ascii="Arial" w:eastAsiaTheme="minorEastAsia" w:hAnsi="Arial" w:cs="Arial"/>
        </w:rPr>
        <w:t>case</w:t>
      </w:r>
      <w:r w:rsidR="00751CAC">
        <w:rPr>
          <w:rFonts w:ascii="Arial" w:eastAsiaTheme="minorEastAsia" w:hAnsi="Arial" w:cs="Arial"/>
        </w:rPr>
        <w:t xml:space="preserve"> (in several respects)</w:t>
      </w:r>
      <w:r>
        <w:rPr>
          <w:rFonts w:ascii="Arial" w:eastAsiaTheme="minorEastAsia" w:hAnsi="Arial" w:cs="Arial"/>
        </w:rPr>
        <w:t>, falling short of a confession of all elements of the crime of murder.</w:t>
      </w:r>
      <w:r w:rsidR="00242862">
        <w:rPr>
          <w:rStyle w:val="FootnoteReference"/>
          <w:rFonts w:ascii="Arial" w:eastAsiaTheme="minorEastAsia" w:hAnsi="Arial" w:cs="Arial"/>
        </w:rPr>
        <w:footnoteReference w:id="8"/>
      </w:r>
      <w:r w:rsidR="00616CF2">
        <w:rPr>
          <w:rFonts w:ascii="Arial" w:eastAsiaTheme="minorEastAsia" w:hAnsi="Arial" w:cs="Arial"/>
        </w:rPr>
        <w:t xml:space="preserve"> Even though the absolute exclusion of section</w:t>
      </w:r>
      <w:r w:rsidR="00751CAC">
        <w:rPr>
          <w:rFonts w:ascii="Arial" w:eastAsiaTheme="minorEastAsia" w:hAnsi="Arial" w:cs="Arial"/>
        </w:rPr>
        <w:t xml:space="preserve"> 219 of the CPA does not apply to admissions</w:t>
      </w:r>
      <w:r w:rsidR="00CC1F50">
        <w:rPr>
          <w:rFonts w:ascii="Arial" w:eastAsiaTheme="minorEastAsia" w:hAnsi="Arial" w:cs="Arial"/>
        </w:rPr>
        <w:t xml:space="preserve"> as it does to confessions</w:t>
      </w:r>
      <w:r w:rsidR="00616CF2">
        <w:rPr>
          <w:rFonts w:ascii="Arial" w:eastAsiaTheme="minorEastAsia" w:hAnsi="Arial" w:cs="Arial"/>
        </w:rPr>
        <w:t>, as a general rule also an admission may not be relied on to the detriment of anyone other than its maker. As it relates to anyone other than its maker, an admission is per definition hearsay evidence. As such, it is inadmissible, unless it qualifies as an exception to the hearsay rule</w:t>
      </w:r>
      <w:r w:rsidR="00751CAC">
        <w:rPr>
          <w:rFonts w:ascii="Arial" w:eastAsiaTheme="minorEastAsia" w:hAnsi="Arial" w:cs="Arial"/>
        </w:rPr>
        <w:t>.</w:t>
      </w:r>
      <w:r w:rsidR="00A17C64">
        <w:rPr>
          <w:rStyle w:val="FootnoteReference"/>
          <w:rFonts w:ascii="Arial" w:eastAsiaTheme="minorEastAsia" w:hAnsi="Arial" w:cs="Arial"/>
        </w:rPr>
        <w:footnoteReference w:id="9"/>
      </w:r>
    </w:p>
    <w:p w14:paraId="5599173F" w14:textId="77777777" w:rsidR="004B153F" w:rsidRDefault="004B153F" w:rsidP="00A4417B">
      <w:pPr>
        <w:pStyle w:val="BodyText"/>
        <w:spacing w:after="120" w:line="360" w:lineRule="auto"/>
        <w:jc w:val="both"/>
        <w:rPr>
          <w:rFonts w:ascii="Arial" w:eastAsiaTheme="minorEastAsia" w:hAnsi="Arial" w:cs="Arial"/>
        </w:rPr>
      </w:pPr>
    </w:p>
    <w:p w14:paraId="0F7780FF" w14:textId="708B5FB2" w:rsidR="00F719EC" w:rsidRDefault="00CC1F50" w:rsidP="00A4417B">
      <w:pPr>
        <w:pStyle w:val="BodyText"/>
        <w:spacing w:after="120" w:line="360" w:lineRule="auto"/>
        <w:jc w:val="both"/>
        <w:rPr>
          <w:rFonts w:ascii="Arial" w:eastAsiaTheme="minorEastAsia" w:hAnsi="Arial" w:cs="Arial"/>
        </w:rPr>
      </w:pPr>
      <w:r>
        <w:rPr>
          <w:rFonts w:ascii="Arial" w:eastAsiaTheme="minorEastAsia" w:hAnsi="Arial" w:cs="Arial"/>
        </w:rPr>
        <w:t>[</w:t>
      </w:r>
      <w:r w:rsidR="004B153F">
        <w:rPr>
          <w:rFonts w:ascii="Arial" w:eastAsiaTheme="minorEastAsia" w:hAnsi="Arial" w:cs="Arial"/>
        </w:rPr>
        <w:t>23</w:t>
      </w:r>
      <w:r>
        <w:rPr>
          <w:rFonts w:ascii="Arial" w:eastAsiaTheme="minorEastAsia" w:hAnsi="Arial" w:cs="Arial"/>
        </w:rPr>
        <w:t>]</w:t>
      </w:r>
      <w:r>
        <w:rPr>
          <w:rFonts w:ascii="Arial" w:eastAsiaTheme="minorEastAsia" w:hAnsi="Arial" w:cs="Arial"/>
        </w:rPr>
        <w:tab/>
      </w:r>
      <w:r w:rsidR="00751CAC">
        <w:rPr>
          <w:rFonts w:ascii="Arial" w:eastAsiaTheme="minorEastAsia" w:hAnsi="Arial" w:cs="Arial"/>
        </w:rPr>
        <w:t xml:space="preserve">For the court </w:t>
      </w:r>
      <w:r w:rsidR="00751CAC">
        <w:rPr>
          <w:rFonts w:ascii="Arial" w:eastAsiaTheme="minorEastAsia" w:hAnsi="Arial" w:cs="Arial"/>
          <w:i/>
          <w:iCs/>
        </w:rPr>
        <w:t xml:space="preserve">a quo </w:t>
      </w:r>
      <w:r w:rsidR="00751CAC">
        <w:rPr>
          <w:rFonts w:ascii="Arial" w:eastAsiaTheme="minorEastAsia" w:hAnsi="Arial" w:cs="Arial"/>
        </w:rPr>
        <w:t xml:space="preserve">to have relied upon the statement of the co-accused </w:t>
      </w:r>
      <w:r w:rsidR="003438BB">
        <w:rPr>
          <w:rFonts w:ascii="Arial" w:eastAsiaTheme="minorEastAsia" w:hAnsi="Arial" w:cs="Arial"/>
        </w:rPr>
        <w:t>as an admission to convict the a</w:t>
      </w:r>
      <w:r w:rsidR="00751CAC">
        <w:rPr>
          <w:rFonts w:ascii="Arial" w:eastAsiaTheme="minorEastAsia" w:hAnsi="Arial" w:cs="Arial"/>
        </w:rPr>
        <w:t>ppellant, it would have had to consider and decide whether, in terms of section 3 of the Law of Evidence Amendment Act 45 of 1988</w:t>
      </w:r>
      <w:r w:rsidR="00AD0F25">
        <w:rPr>
          <w:rFonts w:ascii="Arial" w:eastAsiaTheme="minorEastAsia" w:hAnsi="Arial" w:cs="Arial"/>
        </w:rPr>
        <w:t>, the statement was admissible as evidence. In short, this section authorises courts to admit hearsay evidence where it would be in the interest of justice to do so, taking account of several factors.</w:t>
      </w:r>
      <w:r>
        <w:rPr>
          <w:rFonts w:ascii="Arial" w:eastAsiaTheme="minorEastAsia" w:hAnsi="Arial" w:cs="Arial"/>
        </w:rPr>
        <w:t xml:space="preserve"> There is no indication in the judgment of the court </w:t>
      </w:r>
      <w:r>
        <w:rPr>
          <w:rFonts w:ascii="Arial" w:eastAsiaTheme="minorEastAsia" w:hAnsi="Arial" w:cs="Arial"/>
          <w:i/>
          <w:iCs/>
        </w:rPr>
        <w:t>a quo</w:t>
      </w:r>
      <w:r>
        <w:rPr>
          <w:rFonts w:ascii="Arial" w:eastAsiaTheme="minorEastAsia" w:hAnsi="Arial" w:cs="Arial"/>
        </w:rPr>
        <w:t xml:space="preserve"> that this question was at all considered and decided: the admissibility of the co-accused’s statement to De Almeida as an admission</w:t>
      </w:r>
      <w:r w:rsidR="003438BB">
        <w:rPr>
          <w:rFonts w:ascii="Arial" w:eastAsiaTheme="minorEastAsia" w:hAnsi="Arial" w:cs="Arial"/>
        </w:rPr>
        <w:t xml:space="preserve"> against the a</w:t>
      </w:r>
      <w:r w:rsidR="00A17C64">
        <w:rPr>
          <w:rFonts w:ascii="Arial" w:eastAsiaTheme="minorEastAsia" w:hAnsi="Arial" w:cs="Arial"/>
        </w:rPr>
        <w:t>ppellant</w:t>
      </w:r>
      <w:r>
        <w:rPr>
          <w:rFonts w:ascii="Arial" w:eastAsiaTheme="minorEastAsia" w:hAnsi="Arial" w:cs="Arial"/>
        </w:rPr>
        <w:t xml:space="preserve"> was simply assumed. Also as such, the court </w:t>
      </w:r>
      <w:r>
        <w:rPr>
          <w:rFonts w:ascii="Arial" w:eastAsiaTheme="minorEastAsia" w:hAnsi="Arial" w:cs="Arial"/>
          <w:i/>
          <w:iCs/>
        </w:rPr>
        <w:t xml:space="preserve">a quo </w:t>
      </w:r>
      <w:r>
        <w:rPr>
          <w:rFonts w:ascii="Arial" w:eastAsiaTheme="minorEastAsia" w:hAnsi="Arial" w:cs="Arial"/>
        </w:rPr>
        <w:t>erred in relying on the co-accu</w:t>
      </w:r>
      <w:r w:rsidR="003438BB">
        <w:rPr>
          <w:rFonts w:ascii="Arial" w:eastAsiaTheme="minorEastAsia" w:hAnsi="Arial" w:cs="Arial"/>
        </w:rPr>
        <w:t>sed’s statement to convict the a</w:t>
      </w:r>
      <w:r>
        <w:rPr>
          <w:rFonts w:ascii="Arial" w:eastAsiaTheme="minorEastAsia" w:hAnsi="Arial" w:cs="Arial"/>
        </w:rPr>
        <w:t>ppellant.</w:t>
      </w:r>
    </w:p>
    <w:p w14:paraId="2DE33543" w14:textId="77777777" w:rsidR="004B153F" w:rsidRDefault="004B153F" w:rsidP="00A4417B">
      <w:pPr>
        <w:pStyle w:val="BodyText"/>
        <w:spacing w:after="120" w:line="360" w:lineRule="auto"/>
        <w:jc w:val="both"/>
        <w:rPr>
          <w:rFonts w:ascii="Arial" w:eastAsiaTheme="minorEastAsia" w:hAnsi="Arial" w:cs="Arial"/>
        </w:rPr>
      </w:pPr>
    </w:p>
    <w:p w14:paraId="689F3DC9" w14:textId="3FB30F38" w:rsidR="00CC1F50" w:rsidRDefault="00CC1F50" w:rsidP="00A4417B">
      <w:pPr>
        <w:pStyle w:val="BodyText"/>
        <w:spacing w:after="120" w:line="360" w:lineRule="auto"/>
        <w:jc w:val="both"/>
        <w:rPr>
          <w:rFonts w:ascii="Arial" w:eastAsiaTheme="minorEastAsia" w:hAnsi="Arial" w:cs="Arial"/>
        </w:rPr>
      </w:pPr>
      <w:r>
        <w:rPr>
          <w:rFonts w:ascii="Arial" w:eastAsiaTheme="minorEastAsia" w:hAnsi="Arial" w:cs="Arial"/>
        </w:rPr>
        <w:t>[</w:t>
      </w:r>
      <w:r w:rsidR="004B153F">
        <w:rPr>
          <w:rFonts w:ascii="Arial" w:eastAsiaTheme="minorEastAsia" w:hAnsi="Arial" w:cs="Arial"/>
        </w:rPr>
        <w:t>24</w:t>
      </w:r>
      <w:r>
        <w:rPr>
          <w:rFonts w:ascii="Arial" w:eastAsiaTheme="minorEastAsia" w:hAnsi="Arial" w:cs="Arial"/>
        </w:rPr>
        <w:t>]</w:t>
      </w:r>
      <w:r w:rsidR="00D10D79">
        <w:rPr>
          <w:rFonts w:ascii="Arial" w:eastAsiaTheme="minorEastAsia" w:hAnsi="Arial" w:cs="Arial"/>
        </w:rPr>
        <w:tab/>
      </w:r>
      <w:r>
        <w:rPr>
          <w:rFonts w:ascii="Arial" w:eastAsiaTheme="minorEastAsia" w:hAnsi="Arial" w:cs="Arial"/>
        </w:rPr>
        <w:t xml:space="preserve">Again, at best, the judgment of the court </w:t>
      </w:r>
      <w:r>
        <w:rPr>
          <w:rFonts w:ascii="Arial" w:eastAsiaTheme="minorEastAsia" w:hAnsi="Arial" w:cs="Arial"/>
          <w:i/>
          <w:iCs/>
        </w:rPr>
        <w:t>a quo</w:t>
      </w:r>
      <w:r>
        <w:rPr>
          <w:rFonts w:ascii="Arial" w:eastAsiaTheme="minorEastAsia" w:hAnsi="Arial" w:cs="Arial"/>
        </w:rPr>
        <w:t xml:space="preserve"> concernin</w:t>
      </w:r>
      <w:r w:rsidR="003438BB">
        <w:rPr>
          <w:rFonts w:ascii="Arial" w:eastAsiaTheme="minorEastAsia" w:hAnsi="Arial" w:cs="Arial"/>
        </w:rPr>
        <w:t>g this can be read as that the a</w:t>
      </w:r>
      <w:r>
        <w:rPr>
          <w:rFonts w:ascii="Arial" w:eastAsiaTheme="minorEastAsia" w:hAnsi="Arial" w:cs="Arial"/>
        </w:rPr>
        <w:t>ppellant’s conduct while the co-accused made his statement indicated assent to such a degree that he can be regarded as having made admissions of his own concerning the murder</w:t>
      </w:r>
      <w:r w:rsidR="00D10D79">
        <w:rPr>
          <w:rFonts w:ascii="Arial" w:eastAsiaTheme="minorEastAsia" w:hAnsi="Arial" w:cs="Arial"/>
        </w:rPr>
        <w:t>. But also here, the facts do not bear this out</w:t>
      </w:r>
      <w:r w:rsidR="00C46435">
        <w:rPr>
          <w:rFonts w:ascii="Arial" w:eastAsiaTheme="minorEastAsia" w:hAnsi="Arial" w:cs="Arial"/>
        </w:rPr>
        <w:t xml:space="preserve">. </w:t>
      </w:r>
      <w:r w:rsidR="00A17C64">
        <w:rPr>
          <w:rFonts w:ascii="Arial" w:eastAsiaTheme="minorEastAsia" w:hAnsi="Arial" w:cs="Arial"/>
        </w:rPr>
        <w:t>As already set out above, t</w:t>
      </w:r>
      <w:r w:rsidR="00D10D79">
        <w:rPr>
          <w:rFonts w:ascii="Arial" w:eastAsiaTheme="minorEastAsia" w:hAnsi="Arial" w:cs="Arial"/>
        </w:rPr>
        <w:t xml:space="preserve">here was no evidence before the court </w:t>
      </w:r>
      <w:r w:rsidR="00D10D79">
        <w:rPr>
          <w:rFonts w:ascii="Arial" w:eastAsiaTheme="minorEastAsia" w:hAnsi="Arial" w:cs="Arial"/>
          <w:i/>
          <w:iCs/>
        </w:rPr>
        <w:t>a quo</w:t>
      </w:r>
      <w:r w:rsidR="00D10D79">
        <w:rPr>
          <w:rFonts w:ascii="Arial" w:eastAsiaTheme="minorEastAsia" w:hAnsi="Arial" w:cs="Arial"/>
        </w:rPr>
        <w:t xml:space="preserve"> about what exactly in </w:t>
      </w:r>
      <w:r w:rsidR="003438BB">
        <w:rPr>
          <w:rFonts w:ascii="Arial" w:eastAsiaTheme="minorEastAsia" w:hAnsi="Arial" w:cs="Arial"/>
        </w:rPr>
        <w:t>the co-accused’s statement the a</w:t>
      </w:r>
      <w:r w:rsidR="00D10D79">
        <w:rPr>
          <w:rFonts w:ascii="Arial" w:eastAsiaTheme="minorEastAsia" w:hAnsi="Arial" w:cs="Arial"/>
        </w:rPr>
        <w:t>ppellant assented to and for what reason</w:t>
      </w:r>
      <w:r w:rsidR="00C46435">
        <w:rPr>
          <w:rFonts w:ascii="Arial" w:eastAsiaTheme="minorEastAsia" w:hAnsi="Arial" w:cs="Arial"/>
        </w:rPr>
        <w:t>; and the Appellant’s additions to the statement are either unrelated to the question of his guilt, or related, but exculpatory.</w:t>
      </w:r>
    </w:p>
    <w:p w14:paraId="535BB5AD" w14:textId="77777777" w:rsidR="004B153F" w:rsidRDefault="004B153F" w:rsidP="00A4417B">
      <w:pPr>
        <w:pStyle w:val="BodyText"/>
        <w:spacing w:after="120" w:line="360" w:lineRule="auto"/>
        <w:jc w:val="both"/>
        <w:rPr>
          <w:rFonts w:ascii="Arial" w:eastAsiaTheme="minorEastAsia" w:hAnsi="Arial" w:cs="Arial"/>
        </w:rPr>
      </w:pPr>
    </w:p>
    <w:p w14:paraId="5F927E47" w14:textId="0727FD86" w:rsidR="00D10D79" w:rsidRPr="00A17C64" w:rsidRDefault="00D10D79" w:rsidP="00A4417B">
      <w:pPr>
        <w:pStyle w:val="BodyText"/>
        <w:spacing w:after="120" w:line="360" w:lineRule="auto"/>
        <w:jc w:val="both"/>
        <w:rPr>
          <w:rFonts w:ascii="Arial" w:eastAsiaTheme="minorEastAsia" w:hAnsi="Arial" w:cs="Arial"/>
        </w:rPr>
      </w:pPr>
      <w:r>
        <w:rPr>
          <w:rFonts w:ascii="Arial" w:eastAsiaTheme="minorEastAsia" w:hAnsi="Arial" w:cs="Arial"/>
        </w:rPr>
        <w:t>[</w:t>
      </w:r>
      <w:r w:rsidR="004B153F">
        <w:rPr>
          <w:rFonts w:ascii="Arial" w:eastAsiaTheme="minorEastAsia" w:hAnsi="Arial" w:cs="Arial"/>
        </w:rPr>
        <w:t>25</w:t>
      </w:r>
      <w:r>
        <w:rPr>
          <w:rFonts w:ascii="Arial" w:eastAsiaTheme="minorEastAsia" w:hAnsi="Arial" w:cs="Arial"/>
        </w:rPr>
        <w:t>]</w:t>
      </w:r>
      <w:r>
        <w:rPr>
          <w:rFonts w:ascii="Arial" w:eastAsiaTheme="minorEastAsia" w:hAnsi="Arial" w:cs="Arial"/>
        </w:rPr>
        <w:tab/>
        <w:t xml:space="preserve">I conclude that the court </w:t>
      </w:r>
      <w:r>
        <w:rPr>
          <w:rFonts w:ascii="Arial" w:eastAsiaTheme="minorEastAsia" w:hAnsi="Arial" w:cs="Arial"/>
          <w:i/>
          <w:iCs/>
        </w:rPr>
        <w:t>a quo</w:t>
      </w:r>
      <w:r>
        <w:rPr>
          <w:rFonts w:ascii="Arial" w:eastAsiaTheme="minorEastAsia" w:hAnsi="Arial" w:cs="Arial"/>
        </w:rPr>
        <w:t>’s reliance on the co-accused’s statement to De Almeida – whether regarded as a confession</w:t>
      </w:r>
      <w:r w:rsidR="003438BB">
        <w:rPr>
          <w:rFonts w:ascii="Arial" w:eastAsiaTheme="minorEastAsia" w:hAnsi="Arial" w:cs="Arial"/>
        </w:rPr>
        <w:t xml:space="preserve"> or admission - to convict the a</w:t>
      </w:r>
      <w:r>
        <w:rPr>
          <w:rFonts w:ascii="Arial" w:eastAsiaTheme="minorEastAsia" w:hAnsi="Arial" w:cs="Arial"/>
        </w:rPr>
        <w:t>ppellant was in error.</w:t>
      </w:r>
      <w:r w:rsidR="003438BB">
        <w:rPr>
          <w:rFonts w:ascii="Arial" w:eastAsiaTheme="minorEastAsia" w:hAnsi="Arial" w:cs="Arial"/>
        </w:rPr>
        <w:t xml:space="preserve"> Because the a</w:t>
      </w:r>
      <w:r w:rsidR="00A17C64">
        <w:rPr>
          <w:rFonts w:ascii="Arial" w:eastAsiaTheme="minorEastAsia" w:hAnsi="Arial" w:cs="Arial"/>
        </w:rPr>
        <w:t xml:space="preserve">ppellant was convicted solely on the basis of the co-accused’s statement, this means that he was convicted in the absence of any evidence. The appeal should succeed on this ground alone. Nonetheless, I proceed to consider the second question posed above: whether the court </w:t>
      </w:r>
      <w:r w:rsidR="00A17C64">
        <w:rPr>
          <w:rFonts w:ascii="Arial" w:eastAsiaTheme="minorEastAsia" w:hAnsi="Arial" w:cs="Arial"/>
          <w:i/>
          <w:iCs/>
        </w:rPr>
        <w:t>a quo</w:t>
      </w:r>
      <w:r w:rsidR="003438BB">
        <w:rPr>
          <w:rFonts w:ascii="Arial" w:eastAsiaTheme="minorEastAsia" w:hAnsi="Arial" w:cs="Arial"/>
        </w:rPr>
        <w:t xml:space="preserve"> was correct to convict the a</w:t>
      </w:r>
      <w:r w:rsidR="00A17C64">
        <w:rPr>
          <w:rFonts w:ascii="Arial" w:eastAsiaTheme="minorEastAsia" w:hAnsi="Arial" w:cs="Arial"/>
        </w:rPr>
        <w:t>ppellant of murder on the basis of common purpose.</w:t>
      </w:r>
    </w:p>
    <w:p w14:paraId="5CFFFD2F" w14:textId="77777777" w:rsidR="00C46435" w:rsidRDefault="00C46435" w:rsidP="00A4417B">
      <w:pPr>
        <w:pStyle w:val="BodyText"/>
        <w:spacing w:after="120" w:line="360" w:lineRule="auto"/>
        <w:jc w:val="both"/>
        <w:rPr>
          <w:rFonts w:ascii="Arial" w:eastAsiaTheme="minorEastAsia" w:hAnsi="Arial" w:cs="Arial"/>
        </w:rPr>
      </w:pPr>
    </w:p>
    <w:p w14:paraId="2BFF908F" w14:textId="26E8A2C6" w:rsidR="00C46435" w:rsidRDefault="00C46435" w:rsidP="00A4417B">
      <w:pPr>
        <w:pStyle w:val="BodyText"/>
        <w:spacing w:after="120" w:line="360" w:lineRule="auto"/>
        <w:jc w:val="both"/>
        <w:rPr>
          <w:rFonts w:ascii="Arial" w:eastAsiaTheme="minorEastAsia" w:hAnsi="Arial" w:cs="Arial"/>
          <w:b/>
          <w:bCs/>
        </w:rPr>
      </w:pPr>
      <w:r>
        <w:rPr>
          <w:rFonts w:ascii="Arial" w:eastAsiaTheme="minorEastAsia" w:hAnsi="Arial" w:cs="Arial"/>
          <w:b/>
          <w:bCs/>
        </w:rPr>
        <w:t>Common purpose</w:t>
      </w:r>
    </w:p>
    <w:p w14:paraId="3150BEEB" w14:textId="07DB36C0" w:rsidR="00AD5281" w:rsidRDefault="00AD5281" w:rsidP="00A4417B">
      <w:pPr>
        <w:pStyle w:val="BodyText"/>
        <w:spacing w:after="120" w:line="360" w:lineRule="auto"/>
        <w:jc w:val="both"/>
        <w:rPr>
          <w:rFonts w:ascii="Arial" w:eastAsiaTheme="minorEastAsia" w:hAnsi="Arial" w:cs="Arial"/>
        </w:rPr>
      </w:pPr>
      <w:r>
        <w:rPr>
          <w:rFonts w:ascii="Arial" w:eastAsiaTheme="minorEastAsia" w:hAnsi="Arial" w:cs="Arial"/>
        </w:rPr>
        <w:t>[</w:t>
      </w:r>
      <w:r w:rsidR="00AB0245">
        <w:rPr>
          <w:rFonts w:ascii="Arial" w:eastAsiaTheme="minorEastAsia" w:hAnsi="Arial" w:cs="Arial"/>
        </w:rPr>
        <w:t>26</w:t>
      </w:r>
      <w:r>
        <w:rPr>
          <w:rFonts w:ascii="Arial" w:eastAsiaTheme="minorEastAsia" w:hAnsi="Arial" w:cs="Arial"/>
        </w:rPr>
        <w:t>]</w:t>
      </w:r>
      <w:r>
        <w:rPr>
          <w:rFonts w:ascii="Arial" w:eastAsiaTheme="minorEastAsia" w:hAnsi="Arial" w:cs="Arial"/>
        </w:rPr>
        <w:tab/>
        <w:t xml:space="preserve">As set out above, in his statement to De Almeida, the co-accused admitted to killing the deceased </w:t>
      </w:r>
      <w:r w:rsidR="003438BB">
        <w:rPr>
          <w:rFonts w:ascii="Arial" w:eastAsiaTheme="minorEastAsia" w:hAnsi="Arial" w:cs="Arial"/>
        </w:rPr>
        <w:t>himself and mentioned that the a</w:t>
      </w:r>
      <w:r>
        <w:rPr>
          <w:rFonts w:ascii="Arial" w:eastAsiaTheme="minorEastAsia" w:hAnsi="Arial" w:cs="Arial"/>
        </w:rPr>
        <w:t>ppellant was present when</w:t>
      </w:r>
      <w:r w:rsidR="003438BB">
        <w:rPr>
          <w:rFonts w:ascii="Arial" w:eastAsiaTheme="minorEastAsia" w:hAnsi="Arial" w:cs="Arial"/>
        </w:rPr>
        <w:t xml:space="preserve"> he did this. In addition, the a</w:t>
      </w:r>
      <w:r>
        <w:rPr>
          <w:rFonts w:ascii="Arial" w:eastAsiaTheme="minorEastAsia" w:hAnsi="Arial" w:cs="Arial"/>
        </w:rPr>
        <w:t xml:space="preserve">ppellant also admitted that he was present when he related how, after the deceased had been killed, he placed his spectacles on his face to hide his eyes. Other than that, there was no evidence before the court </w:t>
      </w:r>
      <w:r w:rsidRPr="0096035D">
        <w:rPr>
          <w:rFonts w:ascii="Arial" w:eastAsiaTheme="minorEastAsia" w:hAnsi="Arial" w:cs="Arial"/>
          <w:i/>
          <w:iCs/>
        </w:rPr>
        <w:t>a quo</w:t>
      </w:r>
      <w:r w:rsidR="003438BB">
        <w:rPr>
          <w:rFonts w:ascii="Arial" w:eastAsiaTheme="minorEastAsia" w:hAnsi="Arial" w:cs="Arial"/>
        </w:rPr>
        <w:t xml:space="preserve"> linking the a</w:t>
      </w:r>
      <w:r>
        <w:rPr>
          <w:rFonts w:ascii="Arial" w:eastAsiaTheme="minorEastAsia" w:hAnsi="Arial" w:cs="Arial"/>
        </w:rPr>
        <w:t xml:space="preserve">ppellant to the </w:t>
      </w:r>
      <w:r w:rsidR="00545DEB">
        <w:rPr>
          <w:rFonts w:ascii="Arial" w:eastAsiaTheme="minorEastAsia" w:hAnsi="Arial" w:cs="Arial"/>
        </w:rPr>
        <w:t>deceased’s death.</w:t>
      </w:r>
      <w:r w:rsidR="0096035D">
        <w:rPr>
          <w:rFonts w:ascii="Arial" w:eastAsiaTheme="minorEastAsia" w:hAnsi="Arial" w:cs="Arial"/>
        </w:rPr>
        <w:t xml:space="preserve"> Instead, the e</w:t>
      </w:r>
      <w:r w:rsidR="003438BB">
        <w:rPr>
          <w:rFonts w:ascii="Arial" w:eastAsiaTheme="minorEastAsia" w:hAnsi="Arial" w:cs="Arial"/>
        </w:rPr>
        <w:t>vidence clearly shows that the a</w:t>
      </w:r>
      <w:r w:rsidR="0096035D">
        <w:rPr>
          <w:rFonts w:ascii="Arial" w:eastAsiaTheme="minorEastAsia" w:hAnsi="Arial" w:cs="Arial"/>
        </w:rPr>
        <w:t>ppellant did not kill the deceased and only stood by while he was being killed.</w:t>
      </w:r>
      <w:r w:rsidR="00545DEB">
        <w:rPr>
          <w:rFonts w:ascii="Arial" w:eastAsiaTheme="minorEastAsia" w:hAnsi="Arial" w:cs="Arial"/>
        </w:rPr>
        <w:t xml:space="preserve"> Nonetheless, the court </w:t>
      </w:r>
      <w:r w:rsidR="00545DEB">
        <w:rPr>
          <w:rFonts w:ascii="Arial" w:eastAsiaTheme="minorEastAsia" w:hAnsi="Arial" w:cs="Arial"/>
          <w:i/>
          <w:iCs/>
        </w:rPr>
        <w:t>a quo</w:t>
      </w:r>
      <w:r w:rsidR="003438BB">
        <w:rPr>
          <w:rFonts w:ascii="Arial" w:eastAsiaTheme="minorEastAsia" w:hAnsi="Arial" w:cs="Arial"/>
        </w:rPr>
        <w:t xml:space="preserve"> held that the a</w:t>
      </w:r>
      <w:r w:rsidR="00545DEB">
        <w:rPr>
          <w:rFonts w:ascii="Arial" w:eastAsiaTheme="minorEastAsia" w:hAnsi="Arial" w:cs="Arial"/>
        </w:rPr>
        <w:t>ppellant was guilty of the murder of the deceased, together with the co-accused. It reached this conclusion</w:t>
      </w:r>
      <w:r w:rsidR="003438BB">
        <w:rPr>
          <w:rFonts w:ascii="Arial" w:eastAsiaTheme="minorEastAsia" w:hAnsi="Arial" w:cs="Arial"/>
        </w:rPr>
        <w:t xml:space="preserve"> as follows: ‘[A]ccused 2 [the a</w:t>
      </w:r>
      <w:r w:rsidR="00545DEB">
        <w:rPr>
          <w:rFonts w:ascii="Arial" w:eastAsiaTheme="minorEastAsia" w:hAnsi="Arial" w:cs="Arial"/>
        </w:rPr>
        <w:t>ppellant] was present and the only reasonable inference that can be drawn from those facts is that there was a common purpose to kill the deceased’.</w:t>
      </w:r>
      <w:r w:rsidR="00545DEB">
        <w:rPr>
          <w:rStyle w:val="FootnoteReference"/>
          <w:rFonts w:ascii="Arial" w:eastAsiaTheme="minorEastAsia" w:hAnsi="Arial" w:cs="Arial"/>
        </w:rPr>
        <w:footnoteReference w:id="10"/>
      </w:r>
      <w:r w:rsidR="000352DC">
        <w:rPr>
          <w:rFonts w:ascii="Arial" w:eastAsiaTheme="minorEastAsia" w:hAnsi="Arial" w:cs="Arial"/>
        </w:rPr>
        <w:t xml:space="preserve"> Was the court </w:t>
      </w:r>
      <w:r w:rsidR="000352DC">
        <w:rPr>
          <w:rFonts w:ascii="Arial" w:eastAsiaTheme="minorEastAsia" w:hAnsi="Arial" w:cs="Arial"/>
          <w:i/>
          <w:iCs/>
        </w:rPr>
        <w:t xml:space="preserve">a quo </w:t>
      </w:r>
      <w:r w:rsidR="003438BB">
        <w:rPr>
          <w:rFonts w:ascii="Arial" w:eastAsiaTheme="minorEastAsia" w:hAnsi="Arial" w:cs="Arial"/>
        </w:rPr>
        <w:t>correct to convict the a</w:t>
      </w:r>
      <w:r w:rsidR="000352DC">
        <w:rPr>
          <w:rFonts w:ascii="Arial" w:eastAsiaTheme="minorEastAsia" w:hAnsi="Arial" w:cs="Arial"/>
        </w:rPr>
        <w:t>ppellant on the basis of common purpose?</w:t>
      </w:r>
    </w:p>
    <w:p w14:paraId="7FD01859" w14:textId="77777777" w:rsidR="00AB0245" w:rsidRPr="000352DC" w:rsidRDefault="00AB0245" w:rsidP="00A4417B">
      <w:pPr>
        <w:pStyle w:val="BodyText"/>
        <w:spacing w:after="120" w:line="360" w:lineRule="auto"/>
        <w:jc w:val="both"/>
        <w:rPr>
          <w:rFonts w:ascii="Arial" w:eastAsiaTheme="minorEastAsia" w:hAnsi="Arial" w:cs="Arial"/>
        </w:rPr>
      </w:pPr>
    </w:p>
    <w:p w14:paraId="62613188" w14:textId="12C850D0" w:rsidR="00545DEB" w:rsidRDefault="00545DEB" w:rsidP="00A4417B">
      <w:pPr>
        <w:pStyle w:val="BodyText"/>
        <w:spacing w:after="120" w:line="360" w:lineRule="auto"/>
        <w:jc w:val="both"/>
        <w:rPr>
          <w:rFonts w:ascii="Arial" w:eastAsiaTheme="minorEastAsia" w:hAnsi="Arial" w:cs="Arial"/>
        </w:rPr>
      </w:pPr>
      <w:r>
        <w:rPr>
          <w:rFonts w:ascii="Arial" w:eastAsiaTheme="minorEastAsia" w:hAnsi="Arial" w:cs="Arial"/>
        </w:rPr>
        <w:t>[</w:t>
      </w:r>
      <w:r w:rsidR="00AB0245">
        <w:rPr>
          <w:rFonts w:ascii="Arial" w:eastAsiaTheme="minorEastAsia" w:hAnsi="Arial" w:cs="Arial"/>
        </w:rPr>
        <w:t>27</w:t>
      </w:r>
      <w:r>
        <w:rPr>
          <w:rFonts w:ascii="Arial" w:eastAsiaTheme="minorEastAsia" w:hAnsi="Arial" w:cs="Arial"/>
        </w:rPr>
        <w:t>]</w:t>
      </w:r>
      <w:r>
        <w:rPr>
          <w:rFonts w:ascii="Arial" w:eastAsiaTheme="minorEastAsia" w:hAnsi="Arial" w:cs="Arial"/>
        </w:rPr>
        <w:tab/>
        <w:t>The doctrine of common purpose</w:t>
      </w:r>
      <w:r w:rsidR="0096035D">
        <w:rPr>
          <w:rFonts w:ascii="Arial" w:eastAsiaTheme="minorEastAsia" w:hAnsi="Arial" w:cs="Arial"/>
        </w:rPr>
        <w:t xml:space="preserve"> allows a court to attribute ‘criminal liability to </w:t>
      </w:r>
      <w:r w:rsidR="004E60D9">
        <w:rPr>
          <w:rFonts w:ascii="Arial" w:eastAsiaTheme="minorEastAsia" w:hAnsi="Arial" w:cs="Arial"/>
        </w:rPr>
        <w:t xml:space="preserve">a </w:t>
      </w:r>
      <w:r w:rsidR="0096035D">
        <w:rPr>
          <w:rFonts w:ascii="Arial" w:eastAsiaTheme="minorEastAsia" w:hAnsi="Arial" w:cs="Arial"/>
        </w:rPr>
        <w:t>person who undertakes jointly with another person or persons</w:t>
      </w:r>
      <w:r w:rsidR="002D4C38">
        <w:rPr>
          <w:rFonts w:ascii="Arial" w:eastAsiaTheme="minorEastAsia" w:hAnsi="Arial" w:cs="Arial"/>
        </w:rPr>
        <w:t xml:space="preserve"> the commission of a crime’.</w:t>
      </w:r>
      <w:r w:rsidR="002D4C38">
        <w:rPr>
          <w:rStyle w:val="FootnoteReference"/>
          <w:rFonts w:ascii="Arial" w:eastAsiaTheme="minorEastAsia" w:hAnsi="Arial" w:cs="Arial"/>
        </w:rPr>
        <w:footnoteReference w:id="11"/>
      </w:r>
      <w:r w:rsidR="0096035D">
        <w:rPr>
          <w:rFonts w:ascii="Arial" w:eastAsiaTheme="minorEastAsia" w:hAnsi="Arial" w:cs="Arial"/>
        </w:rPr>
        <w:t xml:space="preserve"> </w:t>
      </w:r>
      <w:r w:rsidR="002D4C38">
        <w:rPr>
          <w:rFonts w:ascii="Arial" w:eastAsiaTheme="minorEastAsia" w:hAnsi="Arial" w:cs="Arial"/>
        </w:rPr>
        <w:t>In particular, it allows a court to attribute such liability to persons who had not themselves committed the crime but had shared the intention to do so with the person who had.</w:t>
      </w:r>
    </w:p>
    <w:p w14:paraId="29D0E73F" w14:textId="77777777" w:rsidR="00AB0245" w:rsidRDefault="00AB0245" w:rsidP="00A4417B">
      <w:pPr>
        <w:pStyle w:val="BodyText"/>
        <w:spacing w:after="120" w:line="360" w:lineRule="auto"/>
        <w:jc w:val="both"/>
        <w:rPr>
          <w:rFonts w:ascii="Arial" w:eastAsiaTheme="minorEastAsia" w:hAnsi="Arial" w:cs="Arial"/>
        </w:rPr>
      </w:pPr>
    </w:p>
    <w:p w14:paraId="36E73D58" w14:textId="2D00F1F9" w:rsidR="002D4C38" w:rsidRDefault="002D4C38" w:rsidP="00A4417B">
      <w:pPr>
        <w:pStyle w:val="BodyText"/>
        <w:spacing w:after="120" w:line="360" w:lineRule="auto"/>
        <w:jc w:val="both"/>
        <w:rPr>
          <w:rFonts w:ascii="Arial" w:eastAsiaTheme="minorEastAsia" w:hAnsi="Arial" w:cs="Arial"/>
        </w:rPr>
      </w:pPr>
      <w:r>
        <w:rPr>
          <w:rFonts w:ascii="Arial" w:eastAsiaTheme="minorEastAsia" w:hAnsi="Arial" w:cs="Arial"/>
        </w:rPr>
        <w:t>[</w:t>
      </w:r>
      <w:r w:rsidR="00AB0245">
        <w:rPr>
          <w:rFonts w:ascii="Arial" w:eastAsiaTheme="minorEastAsia" w:hAnsi="Arial" w:cs="Arial"/>
        </w:rPr>
        <w:t>28</w:t>
      </w:r>
      <w:r>
        <w:rPr>
          <w:rFonts w:ascii="Arial" w:eastAsiaTheme="minorEastAsia" w:hAnsi="Arial" w:cs="Arial"/>
        </w:rPr>
        <w:t>]</w:t>
      </w:r>
      <w:r>
        <w:rPr>
          <w:rFonts w:ascii="Arial" w:eastAsiaTheme="minorEastAsia" w:hAnsi="Arial" w:cs="Arial"/>
        </w:rPr>
        <w:tab/>
        <w:t>Criminal liability can be attributed to a person for common purpose if this shared intention is shown either through an agreement to commit the crime in question</w:t>
      </w:r>
      <w:r w:rsidR="005826B8">
        <w:rPr>
          <w:rStyle w:val="FootnoteReference"/>
          <w:rFonts w:ascii="Arial" w:eastAsiaTheme="minorEastAsia" w:hAnsi="Arial" w:cs="Arial"/>
        </w:rPr>
        <w:footnoteReference w:id="12"/>
      </w:r>
      <w:r>
        <w:rPr>
          <w:rFonts w:ascii="Arial" w:eastAsiaTheme="minorEastAsia" w:hAnsi="Arial" w:cs="Arial"/>
        </w:rPr>
        <w:t xml:space="preserve"> or</w:t>
      </w:r>
      <w:r w:rsidR="005826B8">
        <w:rPr>
          <w:rFonts w:ascii="Arial" w:eastAsiaTheme="minorEastAsia" w:hAnsi="Arial" w:cs="Arial"/>
        </w:rPr>
        <w:t>, where there is no such agreement,</w:t>
      </w:r>
      <w:r>
        <w:rPr>
          <w:rFonts w:ascii="Arial" w:eastAsiaTheme="minorEastAsia" w:hAnsi="Arial" w:cs="Arial"/>
        </w:rPr>
        <w:t xml:space="preserve"> by the non-doers actively associating themselves with</w:t>
      </w:r>
      <w:r w:rsidR="000A7173">
        <w:rPr>
          <w:rFonts w:ascii="Arial" w:eastAsiaTheme="minorEastAsia" w:hAnsi="Arial" w:cs="Arial"/>
        </w:rPr>
        <w:t xml:space="preserve"> </w:t>
      </w:r>
      <w:r w:rsidR="005826B8">
        <w:rPr>
          <w:rFonts w:ascii="Arial" w:eastAsiaTheme="minorEastAsia" w:hAnsi="Arial" w:cs="Arial"/>
        </w:rPr>
        <w:t>and/</w:t>
      </w:r>
      <w:r w:rsidR="000A7173">
        <w:rPr>
          <w:rFonts w:ascii="Arial" w:eastAsiaTheme="minorEastAsia" w:hAnsi="Arial" w:cs="Arial"/>
        </w:rPr>
        <w:t>or participating in</w:t>
      </w:r>
      <w:r>
        <w:rPr>
          <w:rFonts w:ascii="Arial" w:eastAsiaTheme="minorEastAsia" w:hAnsi="Arial" w:cs="Arial"/>
        </w:rPr>
        <w:t xml:space="preserve"> </w:t>
      </w:r>
      <w:r w:rsidR="005826B8">
        <w:rPr>
          <w:rFonts w:ascii="Arial" w:eastAsiaTheme="minorEastAsia" w:hAnsi="Arial" w:cs="Arial"/>
        </w:rPr>
        <w:t xml:space="preserve">‘a common criminal design’ with </w:t>
      </w:r>
      <w:r>
        <w:rPr>
          <w:rFonts w:ascii="Arial" w:eastAsiaTheme="minorEastAsia" w:hAnsi="Arial" w:cs="Arial"/>
        </w:rPr>
        <w:t>the doer</w:t>
      </w:r>
      <w:r w:rsidR="005826B8">
        <w:rPr>
          <w:rFonts w:ascii="Arial" w:eastAsiaTheme="minorEastAsia" w:hAnsi="Arial" w:cs="Arial"/>
        </w:rPr>
        <w:t>, with the requisite blameworthy state of mind</w:t>
      </w:r>
      <w:r>
        <w:rPr>
          <w:rFonts w:ascii="Arial" w:eastAsiaTheme="minorEastAsia" w:hAnsi="Arial" w:cs="Arial"/>
        </w:rPr>
        <w:t>.</w:t>
      </w:r>
      <w:r w:rsidR="000A7173">
        <w:rPr>
          <w:rStyle w:val="FootnoteReference"/>
          <w:rFonts w:ascii="Arial" w:eastAsiaTheme="minorEastAsia" w:hAnsi="Arial" w:cs="Arial"/>
        </w:rPr>
        <w:footnoteReference w:id="13"/>
      </w:r>
    </w:p>
    <w:p w14:paraId="184FB460" w14:textId="77777777" w:rsidR="00AB0245" w:rsidRDefault="00AB0245" w:rsidP="00A4417B">
      <w:pPr>
        <w:pStyle w:val="BodyText"/>
        <w:spacing w:after="120" w:line="360" w:lineRule="auto"/>
        <w:jc w:val="both"/>
        <w:rPr>
          <w:rFonts w:ascii="Arial" w:eastAsiaTheme="minorEastAsia" w:hAnsi="Arial" w:cs="Arial"/>
        </w:rPr>
      </w:pPr>
    </w:p>
    <w:p w14:paraId="61D3450D" w14:textId="1BC6F150" w:rsidR="00AF75DC" w:rsidRDefault="00AF75DC" w:rsidP="00A4417B">
      <w:pPr>
        <w:pStyle w:val="BodyText"/>
        <w:spacing w:after="120" w:line="360" w:lineRule="auto"/>
        <w:jc w:val="both"/>
        <w:rPr>
          <w:rFonts w:ascii="Arial" w:eastAsiaTheme="minorEastAsia" w:hAnsi="Arial" w:cs="Arial"/>
        </w:rPr>
      </w:pPr>
      <w:r>
        <w:rPr>
          <w:rFonts w:ascii="Arial" w:eastAsiaTheme="minorEastAsia" w:hAnsi="Arial" w:cs="Arial"/>
        </w:rPr>
        <w:t>[</w:t>
      </w:r>
      <w:r w:rsidR="00AB0245">
        <w:rPr>
          <w:rFonts w:ascii="Arial" w:eastAsiaTheme="minorEastAsia" w:hAnsi="Arial" w:cs="Arial"/>
        </w:rPr>
        <w:t>29</w:t>
      </w:r>
      <w:r>
        <w:rPr>
          <w:rFonts w:ascii="Arial" w:eastAsiaTheme="minorEastAsia" w:hAnsi="Arial" w:cs="Arial"/>
        </w:rPr>
        <w:t>]</w:t>
      </w:r>
      <w:r>
        <w:rPr>
          <w:rFonts w:ascii="Arial" w:eastAsiaTheme="minorEastAsia" w:hAnsi="Arial" w:cs="Arial"/>
        </w:rPr>
        <w:tab/>
      </w:r>
      <w:r w:rsidR="003D6262">
        <w:rPr>
          <w:rFonts w:ascii="Arial" w:eastAsiaTheme="minorEastAsia" w:hAnsi="Arial" w:cs="Arial"/>
        </w:rPr>
        <w:t xml:space="preserve">The court </w:t>
      </w:r>
      <w:r w:rsidR="003D6262">
        <w:rPr>
          <w:rFonts w:ascii="Arial" w:eastAsiaTheme="minorEastAsia" w:hAnsi="Arial" w:cs="Arial"/>
          <w:i/>
          <w:iCs/>
        </w:rPr>
        <w:t xml:space="preserve">a quo </w:t>
      </w:r>
      <w:r w:rsidR="003D6262">
        <w:rPr>
          <w:rFonts w:ascii="Arial" w:eastAsiaTheme="minorEastAsia" w:hAnsi="Arial" w:cs="Arial"/>
        </w:rPr>
        <w:t xml:space="preserve">held that the murder was planned and premeditated </w:t>
      </w:r>
      <w:r w:rsidR="004B153F">
        <w:rPr>
          <w:rFonts w:ascii="Arial" w:eastAsiaTheme="minorEastAsia" w:hAnsi="Arial" w:cs="Arial"/>
        </w:rPr>
        <w:t>between the co-accused and the a</w:t>
      </w:r>
      <w:r w:rsidR="003D6262">
        <w:rPr>
          <w:rFonts w:ascii="Arial" w:eastAsiaTheme="minorEastAsia" w:hAnsi="Arial" w:cs="Arial"/>
        </w:rPr>
        <w:t xml:space="preserve">ppellant: ‘I am satisfied that from the circumstances it </w:t>
      </w:r>
      <w:r w:rsidR="003D6262" w:rsidRPr="004B153F">
        <w:rPr>
          <w:rFonts w:ascii="Arial" w:eastAsiaTheme="minorEastAsia" w:hAnsi="Arial" w:cs="Arial"/>
          <w:i/>
        </w:rPr>
        <w:t>can</w:t>
      </w:r>
      <w:r w:rsidR="003D6262">
        <w:rPr>
          <w:rFonts w:ascii="Arial" w:eastAsiaTheme="minorEastAsia" w:hAnsi="Arial" w:cs="Arial"/>
        </w:rPr>
        <w:t xml:space="preserve"> be inferred and should be inferred that the murder was pre-planned’.</w:t>
      </w:r>
      <w:r w:rsidR="004E60D9">
        <w:rPr>
          <w:rStyle w:val="FootnoteReference"/>
          <w:rFonts w:ascii="Arial" w:eastAsiaTheme="minorEastAsia" w:hAnsi="Arial" w:cs="Arial"/>
        </w:rPr>
        <w:footnoteReference w:id="14"/>
      </w:r>
      <w:r w:rsidR="003D6262">
        <w:rPr>
          <w:rFonts w:ascii="Arial" w:eastAsiaTheme="minorEastAsia" w:hAnsi="Arial" w:cs="Arial"/>
        </w:rPr>
        <w:t xml:space="preserve"> The court </w:t>
      </w:r>
      <w:r w:rsidR="003D6262" w:rsidRPr="003D6262">
        <w:rPr>
          <w:rFonts w:ascii="Arial" w:eastAsiaTheme="minorEastAsia" w:hAnsi="Arial" w:cs="Arial"/>
          <w:i/>
          <w:iCs/>
        </w:rPr>
        <w:t>a quo</w:t>
      </w:r>
      <w:r w:rsidR="003D6262">
        <w:rPr>
          <w:rFonts w:ascii="Arial" w:eastAsiaTheme="minorEastAsia" w:hAnsi="Arial" w:cs="Arial"/>
        </w:rPr>
        <w:t xml:space="preserve"> does not indicate on what evidence this inference is based. </w:t>
      </w:r>
      <w:r w:rsidR="004E60D9">
        <w:rPr>
          <w:rFonts w:ascii="Arial" w:eastAsiaTheme="minorEastAsia" w:hAnsi="Arial" w:cs="Arial"/>
        </w:rPr>
        <w:t>T</w:t>
      </w:r>
      <w:r>
        <w:rPr>
          <w:rFonts w:ascii="Arial" w:eastAsiaTheme="minorEastAsia" w:hAnsi="Arial" w:cs="Arial"/>
        </w:rPr>
        <w:t>here is</w:t>
      </w:r>
      <w:r w:rsidR="004E60D9">
        <w:rPr>
          <w:rFonts w:ascii="Arial" w:eastAsiaTheme="minorEastAsia" w:hAnsi="Arial" w:cs="Arial"/>
        </w:rPr>
        <w:t xml:space="preserve"> in fact</w:t>
      </w:r>
      <w:r>
        <w:rPr>
          <w:rFonts w:ascii="Arial" w:eastAsiaTheme="minorEastAsia" w:hAnsi="Arial" w:cs="Arial"/>
        </w:rPr>
        <w:t xml:space="preserve"> no evidence </w:t>
      </w:r>
      <w:r w:rsidR="003D6262">
        <w:rPr>
          <w:rFonts w:ascii="Arial" w:eastAsiaTheme="minorEastAsia" w:hAnsi="Arial" w:cs="Arial"/>
        </w:rPr>
        <w:t>that in any way indicates</w:t>
      </w:r>
      <w:r w:rsidR="004B153F">
        <w:rPr>
          <w:rFonts w:ascii="Arial" w:eastAsiaTheme="minorEastAsia" w:hAnsi="Arial" w:cs="Arial"/>
        </w:rPr>
        <w:t xml:space="preserve"> an agreement between the a</w:t>
      </w:r>
      <w:r>
        <w:rPr>
          <w:rFonts w:ascii="Arial" w:eastAsiaTheme="minorEastAsia" w:hAnsi="Arial" w:cs="Arial"/>
        </w:rPr>
        <w:t xml:space="preserve">ppellant and the co-accused to commit the murder. Indeed, the version of the state witnesses accepted by the court </w:t>
      </w:r>
      <w:r>
        <w:rPr>
          <w:rFonts w:ascii="Arial" w:eastAsiaTheme="minorEastAsia" w:hAnsi="Arial" w:cs="Arial"/>
          <w:i/>
          <w:iCs/>
        </w:rPr>
        <w:t>a quo</w:t>
      </w:r>
      <w:r>
        <w:rPr>
          <w:rFonts w:ascii="Arial" w:eastAsiaTheme="minorEastAsia" w:hAnsi="Arial" w:cs="Arial"/>
        </w:rPr>
        <w:t xml:space="preserve"> graphically illustrates the absence of any such agreement: on this version the co-accused was force</w:t>
      </w:r>
      <w:r w:rsidR="004B153F">
        <w:rPr>
          <w:rFonts w:ascii="Arial" w:eastAsiaTheme="minorEastAsia" w:hAnsi="Arial" w:cs="Arial"/>
        </w:rPr>
        <w:t>d to kill the deceased and the a</w:t>
      </w:r>
      <w:r>
        <w:rPr>
          <w:rFonts w:ascii="Arial" w:eastAsiaTheme="minorEastAsia" w:hAnsi="Arial" w:cs="Arial"/>
        </w:rPr>
        <w:t>ppellant to look on, through credible threat to their lives.</w:t>
      </w:r>
      <w:r w:rsidR="003D6262">
        <w:rPr>
          <w:rFonts w:ascii="Arial" w:eastAsiaTheme="minorEastAsia" w:hAnsi="Arial" w:cs="Arial"/>
        </w:rPr>
        <w:t xml:space="preserve"> That seems not merely the absence but the opposite of an agreement.</w:t>
      </w:r>
    </w:p>
    <w:p w14:paraId="3A243931" w14:textId="77777777" w:rsidR="00AB0245" w:rsidRDefault="00AB0245" w:rsidP="00A4417B">
      <w:pPr>
        <w:pStyle w:val="BodyText"/>
        <w:spacing w:after="120" w:line="360" w:lineRule="auto"/>
        <w:jc w:val="both"/>
        <w:rPr>
          <w:rFonts w:ascii="Arial" w:eastAsiaTheme="minorEastAsia" w:hAnsi="Arial" w:cs="Arial"/>
        </w:rPr>
      </w:pPr>
    </w:p>
    <w:p w14:paraId="344565C3" w14:textId="256DD238" w:rsidR="00AF75DC" w:rsidRDefault="00AF75DC" w:rsidP="00A4417B">
      <w:pPr>
        <w:pStyle w:val="BodyText"/>
        <w:spacing w:after="120" w:line="360" w:lineRule="auto"/>
        <w:jc w:val="both"/>
        <w:rPr>
          <w:rFonts w:ascii="Arial" w:eastAsiaTheme="minorEastAsia" w:hAnsi="Arial" w:cs="Arial"/>
          <w:i/>
          <w:iCs/>
        </w:rPr>
      </w:pPr>
      <w:r>
        <w:rPr>
          <w:rFonts w:ascii="Arial" w:eastAsiaTheme="minorEastAsia" w:hAnsi="Arial" w:cs="Arial"/>
        </w:rPr>
        <w:t>[</w:t>
      </w:r>
      <w:r w:rsidR="00AB0245">
        <w:rPr>
          <w:rFonts w:ascii="Arial" w:eastAsiaTheme="minorEastAsia" w:hAnsi="Arial" w:cs="Arial"/>
        </w:rPr>
        <w:t>30</w:t>
      </w:r>
      <w:r w:rsidR="004B153F">
        <w:rPr>
          <w:rFonts w:ascii="Arial" w:eastAsiaTheme="minorEastAsia" w:hAnsi="Arial" w:cs="Arial"/>
        </w:rPr>
        <w:t>]</w:t>
      </w:r>
      <w:r w:rsidR="004B153F">
        <w:rPr>
          <w:rFonts w:ascii="Arial" w:eastAsiaTheme="minorEastAsia" w:hAnsi="Arial" w:cs="Arial"/>
        </w:rPr>
        <w:tab/>
        <w:t>This means that the a</w:t>
      </w:r>
      <w:r>
        <w:rPr>
          <w:rFonts w:ascii="Arial" w:eastAsiaTheme="minorEastAsia" w:hAnsi="Arial" w:cs="Arial"/>
        </w:rPr>
        <w:t>ppellant can only be held criminally liable for the murder of the deceased</w:t>
      </w:r>
      <w:r w:rsidR="00B758B6">
        <w:rPr>
          <w:rFonts w:ascii="Arial" w:eastAsiaTheme="minorEastAsia" w:hAnsi="Arial" w:cs="Arial"/>
        </w:rPr>
        <w:t xml:space="preserve"> on common </w:t>
      </w:r>
      <w:r w:rsidR="00B811C2">
        <w:rPr>
          <w:rFonts w:ascii="Arial" w:eastAsiaTheme="minorEastAsia" w:hAnsi="Arial" w:cs="Arial"/>
        </w:rPr>
        <w:t>purpose if</w:t>
      </w:r>
      <w:r w:rsidR="00B758B6">
        <w:rPr>
          <w:rFonts w:ascii="Arial" w:eastAsiaTheme="minorEastAsia" w:hAnsi="Arial" w:cs="Arial"/>
        </w:rPr>
        <w:t xml:space="preserve"> he had somehow actively associated himself with and/or participated in the criminal design of murdering the deceased.</w:t>
      </w:r>
      <w:r w:rsidR="00293A28">
        <w:rPr>
          <w:rFonts w:ascii="Arial" w:eastAsiaTheme="minorEastAsia" w:hAnsi="Arial" w:cs="Arial"/>
        </w:rPr>
        <w:t xml:space="preserve"> The requirements that must be met for someone to be held criminally liable on common purpose because of active association or participation in the criminal design were first set out in the pre-constitutional era case of </w:t>
      </w:r>
      <w:r w:rsidR="00293A28">
        <w:rPr>
          <w:rFonts w:ascii="Arial" w:eastAsiaTheme="minorEastAsia" w:hAnsi="Arial" w:cs="Arial"/>
          <w:i/>
          <w:iCs/>
        </w:rPr>
        <w:t>S v Mgedezi</w:t>
      </w:r>
      <w:r w:rsidR="00293A28">
        <w:rPr>
          <w:rFonts w:ascii="Arial" w:eastAsiaTheme="minorEastAsia" w:hAnsi="Arial" w:cs="Arial"/>
        </w:rPr>
        <w:t>,</w:t>
      </w:r>
      <w:r w:rsidR="00293A28">
        <w:rPr>
          <w:rStyle w:val="FootnoteReference"/>
          <w:rFonts w:ascii="Arial" w:eastAsiaTheme="minorEastAsia" w:hAnsi="Arial" w:cs="Arial"/>
        </w:rPr>
        <w:footnoteReference w:id="15"/>
      </w:r>
      <w:r w:rsidR="00293A28">
        <w:rPr>
          <w:rFonts w:ascii="Arial" w:eastAsiaTheme="minorEastAsia" w:hAnsi="Arial" w:cs="Arial"/>
        </w:rPr>
        <w:t xml:space="preserve"> as follows:</w:t>
      </w:r>
    </w:p>
    <w:p w14:paraId="5E1E3066" w14:textId="77777777" w:rsidR="00293A28" w:rsidRDefault="00293A28" w:rsidP="00A4417B">
      <w:pPr>
        <w:pStyle w:val="BodyText"/>
        <w:spacing w:after="120" w:line="360" w:lineRule="auto"/>
        <w:jc w:val="both"/>
        <w:rPr>
          <w:rFonts w:ascii="Arial" w:eastAsiaTheme="minorEastAsia" w:hAnsi="Arial" w:cs="Arial"/>
        </w:rPr>
      </w:pPr>
    </w:p>
    <w:p w14:paraId="25121944" w14:textId="688C2D51" w:rsidR="00293A28" w:rsidRPr="00293A28" w:rsidRDefault="00293A28" w:rsidP="00A4417B">
      <w:pPr>
        <w:pStyle w:val="BodyText"/>
        <w:spacing w:after="120" w:line="360" w:lineRule="auto"/>
        <w:ind w:left="720"/>
        <w:jc w:val="both"/>
        <w:rPr>
          <w:rFonts w:ascii="Arial" w:eastAsiaTheme="minorEastAsia" w:hAnsi="Arial" w:cs="Arial"/>
          <w:sz w:val="20"/>
          <w:szCs w:val="20"/>
        </w:rPr>
      </w:pPr>
      <w:r w:rsidRPr="00293A28">
        <w:rPr>
          <w:rFonts w:ascii="Arial" w:eastAsiaTheme="minorEastAsia" w:hAnsi="Arial" w:cs="Arial"/>
          <w:sz w:val="20"/>
          <w:szCs w:val="20"/>
        </w:rPr>
        <w:t>[i]n the first place, he must have been present at the scene where the violence was being committed. Secondly, he must have been aware of the assault on the inmates of room 12. Thirdly, he must have intended to make common cause with those who were actually perpetrating the assault. Fourthly, he must have manifested his sharing of a common purpose with the perpetrators of the assault by himself performing some act of association with the conduct of the others. Fifthly, he must have had the requisite mens rea; so, in respect of the killing of the deceased, he must have intended them to be killed, or he must have foreseen the possibility of their being killed and performed his own act of association with recklessness as to whether or not death was to ensue.</w:t>
      </w:r>
      <w:r>
        <w:rPr>
          <w:rStyle w:val="FootnoteReference"/>
          <w:rFonts w:ascii="Arial" w:eastAsiaTheme="minorEastAsia" w:hAnsi="Arial" w:cs="Arial"/>
          <w:sz w:val="20"/>
          <w:szCs w:val="20"/>
        </w:rPr>
        <w:footnoteReference w:id="16"/>
      </w:r>
    </w:p>
    <w:p w14:paraId="04885CAC" w14:textId="4896B1FE" w:rsidR="00851D3A" w:rsidRDefault="00851D3A" w:rsidP="00A4417B">
      <w:pPr>
        <w:pStyle w:val="BodyText"/>
        <w:spacing w:after="120" w:line="360" w:lineRule="auto"/>
        <w:jc w:val="both"/>
        <w:rPr>
          <w:rFonts w:ascii="Arial" w:eastAsiaTheme="minorEastAsia" w:hAnsi="Arial" w:cs="Arial"/>
        </w:rPr>
      </w:pPr>
    </w:p>
    <w:p w14:paraId="2A6599A3" w14:textId="63815EB6" w:rsidR="00BF43A0" w:rsidRDefault="009A6486" w:rsidP="00A4417B">
      <w:pPr>
        <w:pStyle w:val="BodyText"/>
        <w:spacing w:after="120" w:line="360" w:lineRule="auto"/>
        <w:jc w:val="both"/>
        <w:rPr>
          <w:rFonts w:ascii="Arial" w:eastAsiaTheme="minorEastAsia" w:hAnsi="Arial" w:cs="Arial"/>
        </w:rPr>
      </w:pPr>
      <w:r>
        <w:rPr>
          <w:rFonts w:ascii="Arial" w:eastAsiaTheme="minorEastAsia" w:hAnsi="Arial" w:cs="Arial"/>
        </w:rPr>
        <w:t>[</w:t>
      </w:r>
      <w:r w:rsidR="00AB0245">
        <w:rPr>
          <w:rFonts w:ascii="Arial" w:eastAsiaTheme="minorEastAsia" w:hAnsi="Arial" w:cs="Arial"/>
        </w:rPr>
        <w:t>31</w:t>
      </w:r>
      <w:r>
        <w:rPr>
          <w:rFonts w:ascii="Arial" w:eastAsiaTheme="minorEastAsia" w:hAnsi="Arial" w:cs="Arial"/>
        </w:rPr>
        <w:t>]</w:t>
      </w:r>
      <w:r>
        <w:rPr>
          <w:rFonts w:ascii="Arial" w:eastAsiaTheme="minorEastAsia" w:hAnsi="Arial" w:cs="Arial"/>
        </w:rPr>
        <w:tab/>
        <w:t xml:space="preserve">For the court </w:t>
      </w:r>
      <w:r>
        <w:rPr>
          <w:rFonts w:ascii="Arial" w:eastAsiaTheme="minorEastAsia" w:hAnsi="Arial" w:cs="Arial"/>
          <w:i/>
          <w:iCs/>
        </w:rPr>
        <w:t>a quo</w:t>
      </w:r>
      <w:r>
        <w:rPr>
          <w:rFonts w:ascii="Arial" w:eastAsiaTheme="minorEastAsia" w:hAnsi="Arial" w:cs="Arial"/>
        </w:rPr>
        <w:t xml:space="preserve"> to</w:t>
      </w:r>
      <w:r w:rsidR="004B153F">
        <w:rPr>
          <w:rFonts w:ascii="Arial" w:eastAsiaTheme="minorEastAsia" w:hAnsi="Arial" w:cs="Arial"/>
        </w:rPr>
        <w:t xml:space="preserve"> have</w:t>
      </w:r>
      <w:r>
        <w:rPr>
          <w:rFonts w:ascii="Arial" w:eastAsiaTheme="minorEastAsia" w:hAnsi="Arial" w:cs="Arial"/>
        </w:rPr>
        <w:t xml:space="preserve"> conclude</w:t>
      </w:r>
      <w:r w:rsidR="004B153F">
        <w:rPr>
          <w:rFonts w:ascii="Arial" w:eastAsiaTheme="minorEastAsia" w:hAnsi="Arial" w:cs="Arial"/>
        </w:rPr>
        <w:t>d that the a</w:t>
      </w:r>
      <w:r>
        <w:rPr>
          <w:rFonts w:ascii="Arial" w:eastAsiaTheme="minorEastAsia" w:hAnsi="Arial" w:cs="Arial"/>
        </w:rPr>
        <w:t>ppellant had actively associated himself with and/or participated in the criminal design of murdering the deceased,</w:t>
      </w:r>
      <w:r w:rsidR="00DE4759">
        <w:rPr>
          <w:rFonts w:ascii="Arial" w:eastAsiaTheme="minorEastAsia" w:hAnsi="Arial" w:cs="Arial"/>
        </w:rPr>
        <w:t xml:space="preserve"> so that for that reason he was liable for it with the co-accused</w:t>
      </w:r>
      <w:r w:rsidR="003D6262">
        <w:rPr>
          <w:rFonts w:ascii="Arial" w:eastAsiaTheme="minorEastAsia" w:hAnsi="Arial" w:cs="Arial"/>
        </w:rPr>
        <w:t xml:space="preserve"> even though he had not committed it</w:t>
      </w:r>
      <w:r w:rsidR="00DE4759">
        <w:rPr>
          <w:rFonts w:ascii="Arial" w:eastAsiaTheme="minorEastAsia" w:hAnsi="Arial" w:cs="Arial"/>
        </w:rPr>
        <w:t>, it should have inq</w:t>
      </w:r>
      <w:r w:rsidR="004B153F">
        <w:rPr>
          <w:rFonts w:ascii="Arial" w:eastAsiaTheme="minorEastAsia" w:hAnsi="Arial" w:cs="Arial"/>
        </w:rPr>
        <w:t xml:space="preserve">uired on the facts whether the appellant’s conduct had satisfied </w:t>
      </w:r>
      <w:r w:rsidR="00DE4759">
        <w:rPr>
          <w:rFonts w:ascii="Arial" w:eastAsiaTheme="minorEastAsia" w:hAnsi="Arial" w:cs="Arial"/>
        </w:rPr>
        <w:t xml:space="preserve">the </w:t>
      </w:r>
      <w:r w:rsidR="00DE4759">
        <w:rPr>
          <w:rFonts w:ascii="Arial" w:eastAsiaTheme="minorEastAsia" w:hAnsi="Arial" w:cs="Arial"/>
          <w:i/>
          <w:iCs/>
        </w:rPr>
        <w:t>Mgedezi</w:t>
      </w:r>
      <w:r w:rsidR="00DE4759">
        <w:rPr>
          <w:rFonts w:ascii="Arial" w:eastAsiaTheme="minorEastAsia" w:hAnsi="Arial" w:cs="Arial"/>
        </w:rPr>
        <w:t xml:space="preserve">-criteria. It did not. </w:t>
      </w:r>
    </w:p>
    <w:p w14:paraId="751B48BA" w14:textId="77777777" w:rsidR="00AB0245" w:rsidRDefault="00AB0245" w:rsidP="00A4417B">
      <w:pPr>
        <w:pStyle w:val="BodyText"/>
        <w:spacing w:after="120" w:line="360" w:lineRule="auto"/>
        <w:jc w:val="both"/>
        <w:rPr>
          <w:rFonts w:ascii="Arial" w:eastAsiaTheme="minorEastAsia" w:hAnsi="Arial" w:cs="Arial"/>
        </w:rPr>
      </w:pPr>
    </w:p>
    <w:p w14:paraId="29ED5444" w14:textId="6EF4D6DB" w:rsidR="008432F4" w:rsidRDefault="00BF43A0" w:rsidP="00A4417B">
      <w:pPr>
        <w:pStyle w:val="BodyText"/>
        <w:spacing w:after="120" w:line="360" w:lineRule="auto"/>
        <w:jc w:val="both"/>
        <w:rPr>
          <w:rFonts w:ascii="Arial" w:eastAsiaTheme="minorEastAsia" w:hAnsi="Arial" w:cs="Arial"/>
        </w:rPr>
      </w:pPr>
      <w:r>
        <w:rPr>
          <w:rFonts w:ascii="Arial" w:eastAsiaTheme="minorEastAsia" w:hAnsi="Arial" w:cs="Arial"/>
        </w:rPr>
        <w:t>[</w:t>
      </w:r>
      <w:r w:rsidR="00AB0245">
        <w:rPr>
          <w:rFonts w:ascii="Arial" w:eastAsiaTheme="minorEastAsia" w:hAnsi="Arial" w:cs="Arial"/>
        </w:rPr>
        <w:t>32</w:t>
      </w:r>
      <w:r>
        <w:rPr>
          <w:rFonts w:ascii="Arial" w:eastAsiaTheme="minorEastAsia" w:hAnsi="Arial" w:cs="Arial"/>
        </w:rPr>
        <w:t>]</w:t>
      </w:r>
      <w:r>
        <w:rPr>
          <w:rFonts w:ascii="Arial" w:eastAsiaTheme="minorEastAsia" w:hAnsi="Arial" w:cs="Arial"/>
        </w:rPr>
        <w:tab/>
        <w:t xml:space="preserve">Of the five </w:t>
      </w:r>
      <w:r w:rsidR="001437BD">
        <w:rPr>
          <w:rFonts w:ascii="Arial" w:eastAsiaTheme="minorEastAsia" w:hAnsi="Arial" w:cs="Arial"/>
          <w:i/>
          <w:iCs/>
        </w:rPr>
        <w:t>Mgedezi-</w:t>
      </w:r>
      <w:r w:rsidR="004B153F">
        <w:rPr>
          <w:rFonts w:ascii="Arial" w:eastAsiaTheme="minorEastAsia" w:hAnsi="Arial" w:cs="Arial"/>
        </w:rPr>
        <w:t>requirements, the a</w:t>
      </w:r>
      <w:r>
        <w:rPr>
          <w:rFonts w:ascii="Arial" w:eastAsiaTheme="minorEastAsia" w:hAnsi="Arial" w:cs="Arial"/>
        </w:rPr>
        <w:t>ppellant’s conduct during the course of the murder complies with only two.</w:t>
      </w:r>
      <w:r w:rsidR="00DE4759">
        <w:rPr>
          <w:rFonts w:ascii="Arial" w:eastAsiaTheme="minorEastAsia" w:hAnsi="Arial" w:cs="Arial"/>
        </w:rPr>
        <w:t xml:space="preserve"> </w:t>
      </w:r>
      <w:r w:rsidR="004B153F">
        <w:rPr>
          <w:rFonts w:ascii="Arial" w:eastAsiaTheme="minorEastAsia" w:hAnsi="Arial" w:cs="Arial"/>
        </w:rPr>
        <w:t>These are the first two: the a</w:t>
      </w:r>
      <w:r w:rsidR="001437BD">
        <w:rPr>
          <w:rFonts w:ascii="Arial" w:eastAsiaTheme="minorEastAsia" w:hAnsi="Arial" w:cs="Arial"/>
        </w:rPr>
        <w:t xml:space="preserve">ppellant was present at the scene of the murder when it was committed; and he watched the murder being committed from behind its perpetrator, the co-accused, so </w:t>
      </w:r>
      <w:r w:rsidR="00DC33DF">
        <w:rPr>
          <w:rFonts w:ascii="Arial" w:eastAsiaTheme="minorEastAsia" w:hAnsi="Arial" w:cs="Arial"/>
        </w:rPr>
        <w:t xml:space="preserve">that </w:t>
      </w:r>
      <w:r w:rsidR="001437BD">
        <w:rPr>
          <w:rFonts w:ascii="Arial" w:eastAsiaTheme="minorEastAsia" w:hAnsi="Arial" w:cs="Arial"/>
        </w:rPr>
        <w:t>he was aware that it was being committed. But that is where it ends:</w:t>
      </w:r>
    </w:p>
    <w:p w14:paraId="41E3868C" w14:textId="77777777" w:rsidR="00AB0245" w:rsidRDefault="00AB0245" w:rsidP="00A4417B">
      <w:pPr>
        <w:pStyle w:val="BodyText"/>
        <w:spacing w:after="120" w:line="360" w:lineRule="auto"/>
        <w:jc w:val="both"/>
        <w:rPr>
          <w:rFonts w:ascii="Arial" w:eastAsiaTheme="minorEastAsia" w:hAnsi="Arial" w:cs="Arial"/>
        </w:rPr>
      </w:pPr>
    </w:p>
    <w:p w14:paraId="74032D0A" w14:textId="290A43FE" w:rsidR="001437BD" w:rsidRDefault="001437BD" w:rsidP="00AB0245">
      <w:pPr>
        <w:pStyle w:val="BodyText"/>
        <w:spacing w:after="120" w:line="360" w:lineRule="auto"/>
        <w:ind w:left="1440" w:hanging="720"/>
        <w:jc w:val="both"/>
        <w:rPr>
          <w:rFonts w:ascii="Arial" w:eastAsiaTheme="minorEastAsia" w:hAnsi="Arial" w:cs="Arial"/>
        </w:rPr>
      </w:pPr>
      <w:r>
        <w:rPr>
          <w:rFonts w:ascii="Arial" w:eastAsiaTheme="minorEastAsia" w:hAnsi="Arial" w:cs="Arial"/>
        </w:rPr>
        <w:t>[</w:t>
      </w:r>
      <w:r w:rsidR="00AB0245">
        <w:rPr>
          <w:rFonts w:ascii="Arial" w:eastAsiaTheme="minorEastAsia" w:hAnsi="Arial" w:cs="Arial"/>
        </w:rPr>
        <w:t>32</w:t>
      </w:r>
      <w:r w:rsidR="004B153F">
        <w:rPr>
          <w:rFonts w:ascii="Arial" w:eastAsiaTheme="minorEastAsia" w:hAnsi="Arial" w:cs="Arial"/>
        </w:rPr>
        <w:t>.1]</w:t>
      </w:r>
      <w:r w:rsidR="004B153F">
        <w:rPr>
          <w:rFonts w:ascii="Arial" w:eastAsiaTheme="minorEastAsia" w:hAnsi="Arial" w:cs="Arial"/>
        </w:rPr>
        <w:tab/>
        <w:t>The a</w:t>
      </w:r>
      <w:r>
        <w:rPr>
          <w:rFonts w:ascii="Arial" w:eastAsiaTheme="minorEastAsia" w:hAnsi="Arial" w:cs="Arial"/>
        </w:rPr>
        <w:t xml:space="preserve">ppellant did not intend to make common cause with the co-accused in murdering the deceased. </w:t>
      </w:r>
      <w:r w:rsidR="00DC33DF">
        <w:rPr>
          <w:rFonts w:ascii="Arial" w:eastAsiaTheme="minorEastAsia" w:hAnsi="Arial" w:cs="Arial"/>
        </w:rPr>
        <w:t>Just a</w:t>
      </w:r>
      <w:r>
        <w:rPr>
          <w:rFonts w:ascii="Arial" w:eastAsiaTheme="minorEastAsia" w:hAnsi="Arial" w:cs="Arial"/>
        </w:rPr>
        <w:t>s the co-accused</w:t>
      </w:r>
      <w:r w:rsidR="001A0F7A">
        <w:rPr>
          <w:rFonts w:ascii="Arial" w:eastAsiaTheme="minorEastAsia" w:hAnsi="Arial" w:cs="Arial"/>
        </w:rPr>
        <w:t xml:space="preserve"> was forced to kill the deceased</w:t>
      </w:r>
      <w:r>
        <w:rPr>
          <w:rFonts w:ascii="Arial" w:eastAsiaTheme="minorEastAsia" w:hAnsi="Arial" w:cs="Arial"/>
        </w:rPr>
        <w:t xml:space="preserve">, </w:t>
      </w:r>
      <w:r w:rsidR="004B153F">
        <w:rPr>
          <w:rFonts w:ascii="Arial" w:eastAsiaTheme="minorEastAsia" w:hAnsi="Arial" w:cs="Arial"/>
        </w:rPr>
        <w:t>the a</w:t>
      </w:r>
      <w:r w:rsidR="00DC33DF">
        <w:rPr>
          <w:rFonts w:ascii="Arial" w:eastAsiaTheme="minorEastAsia" w:hAnsi="Arial" w:cs="Arial"/>
        </w:rPr>
        <w:t>ppellant</w:t>
      </w:r>
      <w:r>
        <w:rPr>
          <w:rFonts w:ascii="Arial" w:eastAsiaTheme="minorEastAsia" w:hAnsi="Arial" w:cs="Arial"/>
        </w:rPr>
        <w:t xml:space="preserve"> was coerced into and forced to be present and to watch the murder unfold. On the evidence of the state’s witnesses, he was frightened and unsettled throughout</w:t>
      </w:r>
      <w:r w:rsidR="003D6262">
        <w:rPr>
          <w:rFonts w:ascii="Arial" w:eastAsiaTheme="minorEastAsia" w:hAnsi="Arial" w:cs="Arial"/>
        </w:rPr>
        <w:t xml:space="preserve">, there </w:t>
      </w:r>
      <w:r w:rsidR="00DC33DF">
        <w:rPr>
          <w:rFonts w:ascii="Arial" w:eastAsiaTheme="minorEastAsia" w:hAnsi="Arial" w:cs="Arial"/>
        </w:rPr>
        <w:t xml:space="preserve">against his will and </w:t>
      </w:r>
      <w:r w:rsidR="003D6262">
        <w:rPr>
          <w:rFonts w:ascii="Arial" w:eastAsiaTheme="minorEastAsia" w:hAnsi="Arial" w:cs="Arial"/>
        </w:rPr>
        <w:t>only because he couldn’t leave.</w:t>
      </w:r>
    </w:p>
    <w:p w14:paraId="0B3B83A6" w14:textId="77777777" w:rsidR="00AB0245" w:rsidRDefault="00AB0245" w:rsidP="00A4417B">
      <w:pPr>
        <w:pStyle w:val="BodyText"/>
        <w:spacing w:after="120" w:line="360" w:lineRule="auto"/>
        <w:jc w:val="both"/>
        <w:rPr>
          <w:rFonts w:ascii="Arial" w:eastAsiaTheme="minorEastAsia" w:hAnsi="Arial" w:cs="Arial"/>
        </w:rPr>
      </w:pPr>
    </w:p>
    <w:p w14:paraId="6325C038" w14:textId="654AB01E" w:rsidR="003D6262" w:rsidRDefault="003D6262" w:rsidP="00AB0245">
      <w:pPr>
        <w:pStyle w:val="BodyText"/>
        <w:spacing w:after="120" w:line="360" w:lineRule="auto"/>
        <w:ind w:left="1440" w:hanging="720"/>
        <w:jc w:val="both"/>
        <w:rPr>
          <w:rFonts w:ascii="Arial" w:eastAsiaTheme="minorEastAsia" w:hAnsi="Arial" w:cs="Arial"/>
        </w:rPr>
      </w:pPr>
      <w:r>
        <w:rPr>
          <w:rFonts w:ascii="Arial" w:eastAsiaTheme="minorEastAsia" w:hAnsi="Arial" w:cs="Arial"/>
        </w:rPr>
        <w:t>[</w:t>
      </w:r>
      <w:r w:rsidR="00AB0245">
        <w:rPr>
          <w:rFonts w:ascii="Arial" w:eastAsiaTheme="minorEastAsia" w:hAnsi="Arial" w:cs="Arial"/>
        </w:rPr>
        <w:t>32</w:t>
      </w:r>
      <w:r>
        <w:rPr>
          <w:rFonts w:ascii="Arial" w:eastAsiaTheme="minorEastAsia" w:hAnsi="Arial" w:cs="Arial"/>
        </w:rPr>
        <w:t>.2]</w:t>
      </w:r>
      <w:r>
        <w:rPr>
          <w:rFonts w:ascii="Arial" w:eastAsiaTheme="minorEastAsia" w:hAnsi="Arial" w:cs="Arial"/>
        </w:rPr>
        <w:tab/>
      </w:r>
      <w:r w:rsidR="004B153F">
        <w:rPr>
          <w:rFonts w:ascii="Arial" w:eastAsiaTheme="minorEastAsia" w:hAnsi="Arial" w:cs="Arial"/>
        </w:rPr>
        <w:t>The a</w:t>
      </w:r>
      <w:r w:rsidR="001A0F7A">
        <w:rPr>
          <w:rFonts w:ascii="Arial" w:eastAsiaTheme="minorEastAsia" w:hAnsi="Arial" w:cs="Arial"/>
        </w:rPr>
        <w:t xml:space="preserve">ppellant did not </w:t>
      </w:r>
      <w:r w:rsidR="001A0F7A" w:rsidRPr="001A0F7A">
        <w:rPr>
          <w:rFonts w:ascii="Arial" w:eastAsiaTheme="minorEastAsia" w:hAnsi="Arial" w:cs="Arial"/>
        </w:rPr>
        <w:t xml:space="preserve">manifest his sharing of a common purpose with the perpetrator of the </w:t>
      </w:r>
      <w:r w:rsidR="001A0F7A">
        <w:rPr>
          <w:rFonts w:ascii="Arial" w:eastAsiaTheme="minorEastAsia" w:hAnsi="Arial" w:cs="Arial"/>
        </w:rPr>
        <w:t>killing (the co-accused)</w:t>
      </w:r>
      <w:r w:rsidR="001A0F7A" w:rsidRPr="001A0F7A">
        <w:rPr>
          <w:rFonts w:ascii="Arial" w:eastAsiaTheme="minorEastAsia" w:hAnsi="Arial" w:cs="Arial"/>
        </w:rPr>
        <w:t xml:space="preserve"> by himself performing some act of association with </w:t>
      </w:r>
      <w:r w:rsidR="001A0F7A">
        <w:rPr>
          <w:rFonts w:ascii="Arial" w:eastAsiaTheme="minorEastAsia" w:hAnsi="Arial" w:cs="Arial"/>
        </w:rPr>
        <w:t>his</w:t>
      </w:r>
      <w:r w:rsidR="001A0F7A" w:rsidRPr="001A0F7A">
        <w:rPr>
          <w:rFonts w:ascii="Arial" w:eastAsiaTheme="minorEastAsia" w:hAnsi="Arial" w:cs="Arial"/>
        </w:rPr>
        <w:t xml:space="preserve"> conduct</w:t>
      </w:r>
      <w:r w:rsidR="004B153F">
        <w:rPr>
          <w:rFonts w:ascii="Arial" w:eastAsiaTheme="minorEastAsia" w:hAnsi="Arial" w:cs="Arial"/>
        </w:rPr>
        <w:t>. The a</w:t>
      </w:r>
      <w:r w:rsidR="001A0F7A">
        <w:rPr>
          <w:rFonts w:ascii="Arial" w:eastAsiaTheme="minorEastAsia" w:hAnsi="Arial" w:cs="Arial"/>
        </w:rPr>
        <w:t xml:space="preserve">ppellant simply stood by, unable to leave. His only act during the course of the murder was, when the deed had already been done, to place the deceased’s spectacles upon his eyes. This was </w:t>
      </w:r>
      <w:r w:rsidR="00DC33DF">
        <w:rPr>
          <w:rFonts w:ascii="Arial" w:eastAsiaTheme="minorEastAsia" w:hAnsi="Arial" w:cs="Arial"/>
        </w:rPr>
        <w:t>not</w:t>
      </w:r>
      <w:r w:rsidR="001A0F7A">
        <w:rPr>
          <w:rFonts w:ascii="Arial" w:eastAsiaTheme="minorEastAsia" w:hAnsi="Arial" w:cs="Arial"/>
        </w:rPr>
        <w:t xml:space="preserve"> an act of association with the murder: instead, on the evidence of the state witnesses</w:t>
      </w:r>
      <w:r w:rsidR="00DC33DF">
        <w:rPr>
          <w:rFonts w:ascii="Arial" w:eastAsiaTheme="minorEastAsia" w:hAnsi="Arial" w:cs="Arial"/>
        </w:rPr>
        <w:t xml:space="preserve">, which the court </w:t>
      </w:r>
      <w:r w:rsidR="00DC33DF">
        <w:rPr>
          <w:rFonts w:ascii="Arial" w:eastAsiaTheme="minorEastAsia" w:hAnsi="Arial" w:cs="Arial"/>
          <w:i/>
          <w:iCs/>
        </w:rPr>
        <w:t xml:space="preserve">a quo </w:t>
      </w:r>
      <w:r w:rsidR="00DC33DF">
        <w:rPr>
          <w:rFonts w:ascii="Arial" w:eastAsiaTheme="minorEastAsia" w:hAnsi="Arial" w:cs="Arial"/>
        </w:rPr>
        <w:t>accepted</w:t>
      </w:r>
      <w:r w:rsidR="001A0F7A">
        <w:rPr>
          <w:rFonts w:ascii="Arial" w:eastAsiaTheme="minorEastAsia" w:hAnsi="Arial" w:cs="Arial"/>
        </w:rPr>
        <w:t>, it indicated his horror and fright at what had just happened and his desire</w:t>
      </w:r>
      <w:r w:rsidR="004E60D9">
        <w:rPr>
          <w:rFonts w:ascii="Arial" w:eastAsiaTheme="minorEastAsia" w:hAnsi="Arial" w:cs="Arial"/>
        </w:rPr>
        <w:t>, quite literally</w:t>
      </w:r>
      <w:r w:rsidR="001A0F7A">
        <w:rPr>
          <w:rFonts w:ascii="Arial" w:eastAsiaTheme="minorEastAsia" w:hAnsi="Arial" w:cs="Arial"/>
        </w:rPr>
        <w:t xml:space="preserve"> not to be seen to be a part of it. In that sense, it comes closer to being an act of dissociation.</w:t>
      </w:r>
    </w:p>
    <w:p w14:paraId="7D535DF0" w14:textId="77777777" w:rsidR="00AB0245" w:rsidRDefault="00AB0245" w:rsidP="00AB0245">
      <w:pPr>
        <w:pStyle w:val="BodyText"/>
        <w:spacing w:after="120" w:line="360" w:lineRule="auto"/>
        <w:ind w:left="1440" w:hanging="720"/>
        <w:jc w:val="both"/>
        <w:rPr>
          <w:rFonts w:ascii="Arial" w:eastAsiaTheme="minorEastAsia" w:hAnsi="Arial" w:cs="Arial"/>
        </w:rPr>
      </w:pPr>
    </w:p>
    <w:p w14:paraId="04CA9A13" w14:textId="66F235E5" w:rsidR="00F5686C" w:rsidRDefault="00F5686C" w:rsidP="00AB0245">
      <w:pPr>
        <w:pStyle w:val="BodyText"/>
        <w:spacing w:after="120" w:line="360" w:lineRule="auto"/>
        <w:ind w:left="1440" w:hanging="720"/>
        <w:jc w:val="both"/>
        <w:rPr>
          <w:rFonts w:ascii="Arial" w:eastAsiaTheme="minorEastAsia" w:hAnsi="Arial" w:cs="Arial"/>
        </w:rPr>
      </w:pPr>
      <w:r>
        <w:rPr>
          <w:rFonts w:ascii="Arial" w:eastAsiaTheme="minorEastAsia" w:hAnsi="Arial" w:cs="Arial"/>
        </w:rPr>
        <w:t>[</w:t>
      </w:r>
      <w:r w:rsidR="00AB0245">
        <w:rPr>
          <w:rFonts w:ascii="Arial" w:eastAsiaTheme="minorEastAsia" w:hAnsi="Arial" w:cs="Arial"/>
        </w:rPr>
        <w:t>32</w:t>
      </w:r>
      <w:r w:rsidR="004B153F">
        <w:rPr>
          <w:rFonts w:ascii="Arial" w:eastAsiaTheme="minorEastAsia" w:hAnsi="Arial" w:cs="Arial"/>
        </w:rPr>
        <w:t>.3]</w:t>
      </w:r>
      <w:r w:rsidR="004B153F">
        <w:rPr>
          <w:rFonts w:ascii="Arial" w:eastAsiaTheme="minorEastAsia" w:hAnsi="Arial" w:cs="Arial"/>
        </w:rPr>
        <w:tab/>
        <w:t>The a</w:t>
      </w:r>
      <w:r>
        <w:rPr>
          <w:rFonts w:ascii="Arial" w:eastAsiaTheme="minorEastAsia" w:hAnsi="Arial" w:cs="Arial"/>
        </w:rPr>
        <w:t xml:space="preserve">ppellant did not have </w:t>
      </w:r>
      <w:r w:rsidRPr="00F5686C">
        <w:rPr>
          <w:rFonts w:ascii="Arial" w:eastAsiaTheme="minorEastAsia" w:hAnsi="Arial" w:cs="Arial"/>
        </w:rPr>
        <w:t xml:space="preserve">the requisite </w:t>
      </w:r>
      <w:r w:rsidRPr="00F5686C">
        <w:rPr>
          <w:rFonts w:ascii="Arial" w:eastAsiaTheme="minorEastAsia" w:hAnsi="Arial" w:cs="Arial"/>
          <w:i/>
          <w:iCs/>
        </w:rPr>
        <w:t>mens rea</w:t>
      </w:r>
      <w:r>
        <w:rPr>
          <w:rFonts w:ascii="Arial" w:eastAsiaTheme="minorEastAsia" w:hAnsi="Arial" w:cs="Arial"/>
        </w:rPr>
        <w:t>. That is, he did not</w:t>
      </w:r>
      <w:r w:rsidRPr="00F5686C">
        <w:rPr>
          <w:rFonts w:ascii="Arial" w:eastAsiaTheme="minorEastAsia" w:hAnsi="Arial" w:cs="Arial"/>
        </w:rPr>
        <w:t xml:space="preserve"> intend the</w:t>
      </w:r>
      <w:r>
        <w:rPr>
          <w:rFonts w:ascii="Arial" w:eastAsiaTheme="minorEastAsia" w:hAnsi="Arial" w:cs="Arial"/>
        </w:rPr>
        <w:t xml:space="preserve"> deceased</w:t>
      </w:r>
      <w:r w:rsidRPr="00F5686C">
        <w:rPr>
          <w:rFonts w:ascii="Arial" w:eastAsiaTheme="minorEastAsia" w:hAnsi="Arial" w:cs="Arial"/>
        </w:rPr>
        <w:t xml:space="preserve"> to be killed, or </w:t>
      </w:r>
      <w:r>
        <w:rPr>
          <w:rFonts w:ascii="Arial" w:eastAsiaTheme="minorEastAsia" w:hAnsi="Arial" w:cs="Arial"/>
        </w:rPr>
        <w:t xml:space="preserve">display recklessness about whether or not he would be killed. He was present at the murder only because he had happened upon it and was then forced to remain. For an extended </w:t>
      </w:r>
      <w:r w:rsidR="00F86335">
        <w:rPr>
          <w:rFonts w:ascii="Arial" w:eastAsiaTheme="minorEastAsia" w:hAnsi="Arial" w:cs="Arial"/>
        </w:rPr>
        <w:t>time</w:t>
      </w:r>
      <w:r w:rsidR="004E60D9">
        <w:rPr>
          <w:rFonts w:ascii="Arial" w:eastAsiaTheme="minorEastAsia" w:hAnsi="Arial" w:cs="Arial"/>
        </w:rPr>
        <w:t>,</w:t>
      </w:r>
      <w:r>
        <w:rPr>
          <w:rFonts w:ascii="Arial" w:eastAsiaTheme="minorEastAsia" w:hAnsi="Arial" w:cs="Arial"/>
        </w:rPr>
        <w:t xml:space="preserve"> he, with the co-accused resisted the </w:t>
      </w:r>
      <w:r w:rsidR="00D37A27">
        <w:rPr>
          <w:rFonts w:ascii="Arial" w:eastAsiaTheme="minorEastAsia" w:hAnsi="Arial" w:cs="Arial"/>
        </w:rPr>
        <w:t>efforts of the estranged wife and her three accomplices to persuade them to kill the deceased.</w:t>
      </w:r>
      <w:r w:rsidR="00DC33DF">
        <w:rPr>
          <w:rFonts w:ascii="Arial" w:eastAsiaTheme="minorEastAsia" w:hAnsi="Arial" w:cs="Arial"/>
        </w:rPr>
        <w:t xml:space="preserve"> He did not want to but had to remain there.</w:t>
      </w:r>
    </w:p>
    <w:p w14:paraId="750A8654" w14:textId="77777777" w:rsidR="00AB0245" w:rsidRDefault="00AB0245" w:rsidP="00AB0245">
      <w:pPr>
        <w:pStyle w:val="BodyText"/>
        <w:spacing w:after="120" w:line="360" w:lineRule="auto"/>
        <w:ind w:left="1440" w:hanging="720"/>
        <w:jc w:val="both"/>
        <w:rPr>
          <w:rFonts w:ascii="Arial" w:eastAsiaTheme="minorEastAsia" w:hAnsi="Arial" w:cs="Arial"/>
        </w:rPr>
      </w:pPr>
    </w:p>
    <w:p w14:paraId="7FB40283" w14:textId="2680F7D1" w:rsidR="00D37A27" w:rsidRDefault="00D37A27" w:rsidP="00A4417B">
      <w:pPr>
        <w:pStyle w:val="BodyText"/>
        <w:spacing w:after="120" w:line="360" w:lineRule="auto"/>
        <w:jc w:val="both"/>
        <w:rPr>
          <w:rFonts w:ascii="Arial" w:eastAsiaTheme="minorEastAsia" w:hAnsi="Arial" w:cs="Arial"/>
        </w:rPr>
      </w:pPr>
      <w:r>
        <w:rPr>
          <w:rFonts w:ascii="Arial" w:eastAsiaTheme="minorEastAsia" w:hAnsi="Arial" w:cs="Arial"/>
        </w:rPr>
        <w:t>[</w:t>
      </w:r>
      <w:r w:rsidR="00AB0245">
        <w:rPr>
          <w:rFonts w:ascii="Arial" w:eastAsiaTheme="minorEastAsia" w:hAnsi="Arial" w:cs="Arial"/>
        </w:rPr>
        <w:t>33</w:t>
      </w:r>
      <w:r>
        <w:rPr>
          <w:rFonts w:ascii="Arial" w:eastAsiaTheme="minorEastAsia" w:hAnsi="Arial" w:cs="Arial"/>
        </w:rPr>
        <w:t>]</w:t>
      </w:r>
      <w:r>
        <w:rPr>
          <w:rFonts w:ascii="Arial" w:eastAsiaTheme="minorEastAsia" w:hAnsi="Arial" w:cs="Arial"/>
        </w:rPr>
        <w:tab/>
        <w:t>Accordingly, on the facts as provided by the state witnesses and accepted by the court</w:t>
      </w:r>
      <w:r w:rsidR="00B811C2">
        <w:rPr>
          <w:rFonts w:ascii="Arial" w:eastAsiaTheme="minorEastAsia" w:hAnsi="Arial" w:cs="Arial"/>
        </w:rPr>
        <w:t xml:space="preserve"> </w:t>
      </w:r>
      <w:r w:rsidR="00B811C2">
        <w:rPr>
          <w:rFonts w:ascii="Arial" w:eastAsiaTheme="minorEastAsia" w:hAnsi="Arial" w:cs="Arial"/>
          <w:i/>
          <w:iCs/>
        </w:rPr>
        <w:t>a quo</w:t>
      </w:r>
      <w:r>
        <w:rPr>
          <w:rFonts w:ascii="Arial" w:eastAsiaTheme="minorEastAsia" w:hAnsi="Arial" w:cs="Arial"/>
        </w:rPr>
        <w:t>, just as no common purpose can be inferred on the basis of an agreement to kill the deceased, also no common purpose can be inferred from active association and/or participation in the deceased’s killing</w:t>
      </w:r>
      <w:r w:rsidR="00DC33DF">
        <w:rPr>
          <w:rFonts w:ascii="Arial" w:eastAsiaTheme="minorEastAsia" w:hAnsi="Arial" w:cs="Arial"/>
        </w:rPr>
        <w:t>, as there is none</w:t>
      </w:r>
      <w:r>
        <w:rPr>
          <w:rFonts w:ascii="Arial" w:eastAsiaTheme="minorEastAsia" w:hAnsi="Arial" w:cs="Arial"/>
        </w:rPr>
        <w:t>.</w:t>
      </w:r>
    </w:p>
    <w:p w14:paraId="3CAFC5B9" w14:textId="77777777" w:rsidR="00AB0245" w:rsidRDefault="00AB0245" w:rsidP="00A4417B">
      <w:pPr>
        <w:pStyle w:val="BodyText"/>
        <w:spacing w:after="120" w:line="360" w:lineRule="auto"/>
        <w:jc w:val="both"/>
        <w:rPr>
          <w:rFonts w:ascii="Arial" w:eastAsiaTheme="minorEastAsia" w:hAnsi="Arial" w:cs="Arial"/>
        </w:rPr>
      </w:pPr>
    </w:p>
    <w:p w14:paraId="670A4993" w14:textId="43EBC68A" w:rsidR="005242E8" w:rsidRDefault="00D37A27" w:rsidP="00A4417B">
      <w:pPr>
        <w:pStyle w:val="BodyText"/>
        <w:spacing w:after="120" w:line="360" w:lineRule="auto"/>
        <w:jc w:val="both"/>
        <w:rPr>
          <w:rFonts w:ascii="Arial" w:eastAsiaTheme="minorEastAsia" w:hAnsi="Arial" w:cs="Arial"/>
        </w:rPr>
      </w:pPr>
      <w:r>
        <w:rPr>
          <w:rFonts w:ascii="Arial" w:eastAsiaTheme="minorEastAsia" w:hAnsi="Arial" w:cs="Arial"/>
        </w:rPr>
        <w:t>[</w:t>
      </w:r>
      <w:r w:rsidR="00AB0245">
        <w:rPr>
          <w:rFonts w:ascii="Arial" w:eastAsiaTheme="minorEastAsia" w:hAnsi="Arial" w:cs="Arial"/>
        </w:rPr>
        <w:t>34</w:t>
      </w:r>
      <w:r>
        <w:rPr>
          <w:rFonts w:ascii="Arial" w:eastAsiaTheme="minorEastAsia" w:hAnsi="Arial" w:cs="Arial"/>
        </w:rPr>
        <w:t>]</w:t>
      </w:r>
      <w:r>
        <w:rPr>
          <w:rFonts w:ascii="Arial" w:eastAsiaTheme="minorEastAsia" w:hAnsi="Arial" w:cs="Arial"/>
        </w:rPr>
        <w:tab/>
        <w:t>At the hearing of this appeal counsel for the state, Ms</w:t>
      </w:r>
      <w:r w:rsidR="004B153F">
        <w:rPr>
          <w:rFonts w:ascii="Arial" w:eastAsiaTheme="minorEastAsia" w:hAnsi="Arial" w:cs="Arial"/>
        </w:rPr>
        <w:t xml:space="preserve"> Roos, submitted that both the a</w:t>
      </w:r>
      <w:r>
        <w:rPr>
          <w:rFonts w:ascii="Arial" w:eastAsiaTheme="minorEastAsia" w:hAnsi="Arial" w:cs="Arial"/>
        </w:rPr>
        <w:t>ppellant’s failure to do anything to prevent the murder before it occurred and then his failure after the fact promptly to report the murder to the police and provide them with the true version of events (which she urged us to read as an attempt to hide the murder) constituted active association with the criminal enterprise of the murder</w:t>
      </w:r>
      <w:r w:rsidR="00A60086">
        <w:rPr>
          <w:rFonts w:ascii="Arial" w:eastAsiaTheme="minorEastAsia" w:hAnsi="Arial" w:cs="Arial"/>
        </w:rPr>
        <w:t>,</w:t>
      </w:r>
      <w:r>
        <w:rPr>
          <w:rFonts w:ascii="Arial" w:eastAsiaTheme="minorEastAsia" w:hAnsi="Arial" w:cs="Arial"/>
        </w:rPr>
        <w:t xml:space="preserve"> indicating his common purpose with the co-accused.</w:t>
      </w:r>
    </w:p>
    <w:p w14:paraId="472C7AD8" w14:textId="77777777" w:rsidR="00AB0245" w:rsidRDefault="00AB0245" w:rsidP="00A4417B">
      <w:pPr>
        <w:pStyle w:val="BodyText"/>
        <w:spacing w:after="120" w:line="360" w:lineRule="auto"/>
        <w:jc w:val="both"/>
        <w:rPr>
          <w:rFonts w:ascii="Arial" w:eastAsiaTheme="minorEastAsia" w:hAnsi="Arial" w:cs="Arial"/>
        </w:rPr>
      </w:pPr>
    </w:p>
    <w:p w14:paraId="4C01880B" w14:textId="487E9353" w:rsidR="005242E8" w:rsidRDefault="005242E8" w:rsidP="00A4417B">
      <w:pPr>
        <w:pStyle w:val="BodyText"/>
        <w:spacing w:after="120" w:line="360" w:lineRule="auto"/>
        <w:jc w:val="both"/>
        <w:rPr>
          <w:rFonts w:ascii="Arial" w:eastAsiaTheme="minorEastAsia" w:hAnsi="Arial" w:cs="Arial"/>
        </w:rPr>
      </w:pPr>
      <w:r>
        <w:rPr>
          <w:rFonts w:ascii="Arial" w:eastAsiaTheme="minorEastAsia" w:hAnsi="Arial" w:cs="Arial"/>
        </w:rPr>
        <w:t>[3</w:t>
      </w:r>
      <w:r w:rsidR="00AB0245">
        <w:rPr>
          <w:rFonts w:ascii="Arial" w:eastAsiaTheme="minorEastAsia" w:hAnsi="Arial" w:cs="Arial"/>
        </w:rPr>
        <w:t>5</w:t>
      </w:r>
      <w:r>
        <w:rPr>
          <w:rFonts w:ascii="Arial" w:eastAsiaTheme="minorEastAsia" w:hAnsi="Arial" w:cs="Arial"/>
        </w:rPr>
        <w:t>]</w:t>
      </w:r>
      <w:r>
        <w:rPr>
          <w:rFonts w:ascii="Arial" w:eastAsiaTheme="minorEastAsia" w:hAnsi="Arial" w:cs="Arial"/>
        </w:rPr>
        <w:tab/>
        <w:t>On the former</w:t>
      </w:r>
      <w:r w:rsidR="00DC33DF">
        <w:rPr>
          <w:rFonts w:ascii="Arial" w:eastAsiaTheme="minorEastAsia" w:hAnsi="Arial" w:cs="Arial"/>
        </w:rPr>
        <w:t xml:space="preserve"> of these</w:t>
      </w:r>
      <w:r>
        <w:rPr>
          <w:rFonts w:ascii="Arial" w:eastAsiaTheme="minorEastAsia" w:hAnsi="Arial" w:cs="Arial"/>
        </w:rPr>
        <w:t xml:space="preserve">, the response is that, apart from the fact that </w:t>
      </w:r>
      <w:r w:rsidR="004B153F">
        <w:rPr>
          <w:rFonts w:ascii="Arial" w:eastAsiaTheme="minorEastAsia" w:hAnsi="Arial" w:cs="Arial"/>
        </w:rPr>
        <w:t>there was no legal duty on the a</w:t>
      </w:r>
      <w:r>
        <w:rPr>
          <w:rFonts w:ascii="Arial" w:eastAsiaTheme="minorEastAsia" w:hAnsi="Arial" w:cs="Arial"/>
        </w:rPr>
        <w:t>ppellant to act to prevent the murder (particularly where his life was in thr</w:t>
      </w:r>
      <w:r w:rsidR="004B153F">
        <w:rPr>
          <w:rFonts w:ascii="Arial" w:eastAsiaTheme="minorEastAsia" w:hAnsi="Arial" w:cs="Arial"/>
        </w:rPr>
        <w:t>eat), he did in fact, in concert</w:t>
      </w:r>
      <w:r>
        <w:rPr>
          <w:rFonts w:ascii="Arial" w:eastAsiaTheme="minorEastAsia" w:hAnsi="Arial" w:cs="Arial"/>
        </w:rPr>
        <w:t xml:space="preserve"> with the co-accused resist the murder for some time while the estranged wife and her cohorts attempted to persuade him and the co-accused to kill the deceased. He only acquiesced and proceeded to ‘let the murder happen’ when credible threats were made to his</w:t>
      </w:r>
      <w:r w:rsidR="00DC33DF">
        <w:rPr>
          <w:rFonts w:ascii="Arial" w:eastAsiaTheme="minorEastAsia" w:hAnsi="Arial" w:cs="Arial"/>
        </w:rPr>
        <w:t xml:space="preserve"> own</w:t>
      </w:r>
      <w:r>
        <w:rPr>
          <w:rFonts w:ascii="Arial" w:eastAsiaTheme="minorEastAsia" w:hAnsi="Arial" w:cs="Arial"/>
        </w:rPr>
        <w:t xml:space="preserve"> life.</w:t>
      </w:r>
    </w:p>
    <w:p w14:paraId="3AE6C17A" w14:textId="77777777" w:rsidR="00AB0245" w:rsidRDefault="00AB0245" w:rsidP="00A4417B">
      <w:pPr>
        <w:pStyle w:val="BodyText"/>
        <w:spacing w:after="120" w:line="360" w:lineRule="auto"/>
        <w:jc w:val="both"/>
        <w:rPr>
          <w:rFonts w:ascii="Arial" w:eastAsiaTheme="minorEastAsia" w:hAnsi="Arial" w:cs="Arial"/>
        </w:rPr>
      </w:pPr>
    </w:p>
    <w:p w14:paraId="22990800" w14:textId="5786408A" w:rsidR="00D37A27" w:rsidRDefault="005242E8" w:rsidP="00A4417B">
      <w:pPr>
        <w:pStyle w:val="BodyText"/>
        <w:spacing w:after="120" w:line="360" w:lineRule="auto"/>
        <w:jc w:val="both"/>
        <w:rPr>
          <w:rFonts w:ascii="Arial" w:eastAsiaTheme="minorEastAsia" w:hAnsi="Arial" w:cs="Arial"/>
        </w:rPr>
      </w:pPr>
      <w:r>
        <w:rPr>
          <w:rFonts w:ascii="Arial" w:eastAsiaTheme="minorEastAsia" w:hAnsi="Arial" w:cs="Arial"/>
        </w:rPr>
        <w:t>[3</w:t>
      </w:r>
      <w:r w:rsidR="00AB0245">
        <w:rPr>
          <w:rFonts w:ascii="Arial" w:eastAsiaTheme="minorEastAsia" w:hAnsi="Arial" w:cs="Arial"/>
        </w:rPr>
        <w:t>6</w:t>
      </w:r>
      <w:r>
        <w:rPr>
          <w:rFonts w:ascii="Arial" w:eastAsiaTheme="minorEastAsia" w:hAnsi="Arial" w:cs="Arial"/>
        </w:rPr>
        <w:t>]</w:t>
      </w:r>
      <w:r>
        <w:rPr>
          <w:rFonts w:ascii="Arial" w:eastAsiaTheme="minorEastAsia" w:hAnsi="Arial" w:cs="Arial"/>
        </w:rPr>
        <w:tab/>
        <w:t>On the latter, the response is twofold.</w:t>
      </w:r>
      <w:r w:rsidR="004B153F">
        <w:rPr>
          <w:rFonts w:ascii="Arial" w:eastAsiaTheme="minorEastAsia" w:hAnsi="Arial" w:cs="Arial"/>
        </w:rPr>
        <w:t xml:space="preserve"> First, on the evidence of the S</w:t>
      </w:r>
      <w:r>
        <w:rPr>
          <w:rFonts w:ascii="Arial" w:eastAsiaTheme="minorEastAsia" w:hAnsi="Arial" w:cs="Arial"/>
        </w:rPr>
        <w:t>tate witnesses accepted by the court</w:t>
      </w:r>
      <w:r w:rsidR="00B811C2">
        <w:rPr>
          <w:rFonts w:ascii="Arial" w:eastAsiaTheme="minorEastAsia" w:hAnsi="Arial" w:cs="Arial"/>
        </w:rPr>
        <w:t xml:space="preserve"> </w:t>
      </w:r>
      <w:r w:rsidR="00B811C2">
        <w:rPr>
          <w:rFonts w:ascii="Arial" w:eastAsiaTheme="minorEastAsia" w:hAnsi="Arial" w:cs="Arial"/>
          <w:i/>
          <w:iCs/>
        </w:rPr>
        <w:t>a quo</w:t>
      </w:r>
      <w:r w:rsidR="004B153F">
        <w:rPr>
          <w:rFonts w:ascii="Arial" w:eastAsiaTheme="minorEastAsia" w:hAnsi="Arial" w:cs="Arial"/>
        </w:rPr>
        <w:t>, the a</w:t>
      </w:r>
      <w:r>
        <w:rPr>
          <w:rFonts w:ascii="Arial" w:eastAsiaTheme="minorEastAsia" w:hAnsi="Arial" w:cs="Arial"/>
        </w:rPr>
        <w:t xml:space="preserve">ppellant </w:t>
      </w:r>
      <w:r w:rsidR="00A60086">
        <w:rPr>
          <w:rFonts w:ascii="Arial" w:eastAsiaTheme="minorEastAsia" w:hAnsi="Arial" w:cs="Arial"/>
        </w:rPr>
        <w:t>failed to</w:t>
      </w:r>
      <w:r>
        <w:rPr>
          <w:rFonts w:ascii="Arial" w:eastAsiaTheme="minorEastAsia" w:hAnsi="Arial" w:cs="Arial"/>
        </w:rPr>
        <w:t xml:space="preserve"> tell the police what had happened and who was responsible</w:t>
      </w:r>
      <w:r w:rsidR="00A60086">
        <w:rPr>
          <w:rFonts w:ascii="Arial" w:eastAsiaTheme="minorEastAsia" w:hAnsi="Arial" w:cs="Arial"/>
        </w:rPr>
        <w:t>,</w:t>
      </w:r>
      <w:r>
        <w:rPr>
          <w:rFonts w:ascii="Arial" w:eastAsiaTheme="minorEastAsia" w:hAnsi="Arial" w:cs="Arial"/>
        </w:rPr>
        <w:t xml:space="preserve"> because he was scared of the estranged wife and what she would do were he to tell. Second, even were he attempting to hide what had happened</w:t>
      </w:r>
      <w:r w:rsidR="00DC33DF">
        <w:rPr>
          <w:rFonts w:ascii="Arial" w:eastAsiaTheme="minorEastAsia" w:hAnsi="Arial" w:cs="Arial"/>
        </w:rPr>
        <w:t>,</w:t>
      </w:r>
      <w:r>
        <w:rPr>
          <w:rFonts w:ascii="Arial" w:eastAsiaTheme="minorEastAsia" w:hAnsi="Arial" w:cs="Arial"/>
        </w:rPr>
        <w:t xml:space="preserve"> that is not an act of active association with or participation in the murder from which common purpose can be inferred. At worst, such conduct could constitute a different offence, such as obstruction of justice. Ms Roos was also unable to refer us to any precedent for the proposition that such after the fact conduct can constitute active association with or participation in the criminal enterprise.</w:t>
      </w:r>
    </w:p>
    <w:p w14:paraId="5466D54F" w14:textId="77777777" w:rsidR="00AB0245" w:rsidRDefault="00AB0245" w:rsidP="00A4417B">
      <w:pPr>
        <w:pStyle w:val="BodyText"/>
        <w:spacing w:after="120" w:line="360" w:lineRule="auto"/>
        <w:jc w:val="both"/>
        <w:rPr>
          <w:rFonts w:ascii="Arial" w:eastAsiaTheme="minorEastAsia" w:hAnsi="Arial" w:cs="Arial"/>
        </w:rPr>
      </w:pPr>
    </w:p>
    <w:p w14:paraId="0E663593" w14:textId="6B965EFB" w:rsidR="00F86335" w:rsidRDefault="00F86335" w:rsidP="00A4417B">
      <w:pPr>
        <w:pStyle w:val="BodyText"/>
        <w:spacing w:after="120" w:line="360" w:lineRule="auto"/>
        <w:jc w:val="both"/>
        <w:rPr>
          <w:rFonts w:ascii="Arial" w:eastAsiaTheme="minorEastAsia" w:hAnsi="Arial" w:cs="Arial"/>
        </w:rPr>
      </w:pPr>
      <w:r>
        <w:rPr>
          <w:rFonts w:ascii="Arial" w:eastAsiaTheme="minorEastAsia" w:hAnsi="Arial" w:cs="Arial"/>
        </w:rPr>
        <w:t>[3</w:t>
      </w:r>
      <w:r w:rsidR="00AB0245">
        <w:rPr>
          <w:rFonts w:ascii="Arial" w:eastAsiaTheme="minorEastAsia" w:hAnsi="Arial" w:cs="Arial"/>
        </w:rPr>
        <w:t>7</w:t>
      </w:r>
      <w:r>
        <w:rPr>
          <w:rFonts w:ascii="Arial" w:eastAsiaTheme="minorEastAsia" w:hAnsi="Arial" w:cs="Arial"/>
        </w:rPr>
        <w:t xml:space="preserve">] For all these reasons, the court </w:t>
      </w:r>
      <w:r>
        <w:rPr>
          <w:rFonts w:ascii="Arial" w:eastAsiaTheme="minorEastAsia" w:hAnsi="Arial" w:cs="Arial"/>
          <w:i/>
          <w:iCs/>
        </w:rPr>
        <w:t xml:space="preserve">a quo </w:t>
      </w:r>
      <w:r w:rsidR="004B153F">
        <w:rPr>
          <w:rFonts w:ascii="Arial" w:eastAsiaTheme="minorEastAsia" w:hAnsi="Arial" w:cs="Arial"/>
        </w:rPr>
        <w:t>erred in concluding that the a</w:t>
      </w:r>
      <w:r>
        <w:rPr>
          <w:rFonts w:ascii="Arial" w:eastAsiaTheme="minorEastAsia" w:hAnsi="Arial" w:cs="Arial"/>
        </w:rPr>
        <w:t xml:space="preserve">ppellant, although not himself actually killing the deceased, was guilty of his murder </w:t>
      </w:r>
      <w:r w:rsidR="004B153F">
        <w:rPr>
          <w:rFonts w:ascii="Arial" w:eastAsiaTheme="minorEastAsia" w:hAnsi="Arial" w:cs="Arial"/>
        </w:rPr>
        <w:t>on the basis of having</w:t>
      </w:r>
      <w:r>
        <w:rPr>
          <w:rFonts w:ascii="Arial" w:eastAsiaTheme="minorEastAsia" w:hAnsi="Arial" w:cs="Arial"/>
        </w:rPr>
        <w:t xml:space="preserve"> made common purpose with the co-accused who did the deed.</w:t>
      </w:r>
      <w:r w:rsidR="00A4417B">
        <w:rPr>
          <w:rFonts w:ascii="Arial" w:eastAsiaTheme="minorEastAsia" w:hAnsi="Arial" w:cs="Arial"/>
        </w:rPr>
        <w:t xml:space="preserve"> Also on this ground, the appeal against conviction for murder should succeed.</w:t>
      </w:r>
    </w:p>
    <w:p w14:paraId="7815213A" w14:textId="77777777" w:rsidR="00F86335" w:rsidRDefault="00F86335" w:rsidP="00A4417B">
      <w:pPr>
        <w:pStyle w:val="BodyText"/>
        <w:spacing w:after="120" w:line="360" w:lineRule="auto"/>
        <w:jc w:val="both"/>
        <w:rPr>
          <w:rFonts w:ascii="Arial" w:eastAsiaTheme="minorEastAsia" w:hAnsi="Arial" w:cs="Arial"/>
          <w:b/>
          <w:bCs/>
        </w:rPr>
      </w:pPr>
    </w:p>
    <w:p w14:paraId="27F6AA6D" w14:textId="77777777" w:rsidR="00F86335" w:rsidRDefault="00F86335" w:rsidP="00A4417B">
      <w:pPr>
        <w:pStyle w:val="BodyText"/>
        <w:spacing w:after="120" w:line="360" w:lineRule="auto"/>
        <w:jc w:val="both"/>
        <w:rPr>
          <w:rFonts w:ascii="Arial" w:eastAsiaTheme="minorEastAsia" w:hAnsi="Arial" w:cs="Arial"/>
        </w:rPr>
      </w:pPr>
      <w:r>
        <w:rPr>
          <w:rFonts w:ascii="Arial" w:eastAsiaTheme="minorEastAsia" w:hAnsi="Arial" w:cs="Arial"/>
          <w:b/>
          <w:bCs/>
        </w:rPr>
        <w:t>The robbery</w:t>
      </w:r>
    </w:p>
    <w:p w14:paraId="15F484A0" w14:textId="3395445B" w:rsidR="00172CC4" w:rsidRDefault="00F86335" w:rsidP="00A4417B">
      <w:pPr>
        <w:pStyle w:val="BodyText"/>
        <w:spacing w:after="120" w:line="360" w:lineRule="auto"/>
        <w:jc w:val="both"/>
        <w:rPr>
          <w:rFonts w:ascii="Arial" w:eastAsiaTheme="minorEastAsia" w:hAnsi="Arial" w:cs="Arial"/>
        </w:rPr>
      </w:pPr>
      <w:r>
        <w:rPr>
          <w:rFonts w:ascii="Arial" w:eastAsiaTheme="minorEastAsia" w:hAnsi="Arial" w:cs="Arial"/>
        </w:rPr>
        <w:t>[3</w:t>
      </w:r>
      <w:r w:rsidR="00AB0245">
        <w:rPr>
          <w:rFonts w:ascii="Arial" w:eastAsiaTheme="minorEastAsia" w:hAnsi="Arial" w:cs="Arial"/>
        </w:rPr>
        <w:t>8</w:t>
      </w:r>
      <w:r>
        <w:rPr>
          <w:rFonts w:ascii="Arial" w:eastAsiaTheme="minorEastAsia" w:hAnsi="Arial" w:cs="Arial"/>
        </w:rPr>
        <w:t>]</w:t>
      </w:r>
      <w:r>
        <w:rPr>
          <w:rFonts w:ascii="Arial" w:eastAsiaTheme="minorEastAsia" w:hAnsi="Arial" w:cs="Arial"/>
        </w:rPr>
        <w:tab/>
        <w:t xml:space="preserve">The court </w:t>
      </w:r>
      <w:r>
        <w:rPr>
          <w:rFonts w:ascii="Arial" w:eastAsiaTheme="minorEastAsia" w:hAnsi="Arial" w:cs="Arial"/>
          <w:i/>
          <w:iCs/>
        </w:rPr>
        <w:t>a quo</w:t>
      </w:r>
      <w:r w:rsidR="004B153F">
        <w:rPr>
          <w:rFonts w:ascii="Arial" w:eastAsiaTheme="minorEastAsia" w:hAnsi="Arial" w:cs="Arial"/>
        </w:rPr>
        <w:t xml:space="preserve"> convicted the a</w:t>
      </w:r>
      <w:r>
        <w:rPr>
          <w:rFonts w:ascii="Arial" w:eastAsiaTheme="minorEastAsia" w:hAnsi="Arial" w:cs="Arial"/>
        </w:rPr>
        <w:t xml:space="preserve">ppellant (and co-accused) of robbery, </w:t>
      </w:r>
      <w:r w:rsidR="007940BF">
        <w:rPr>
          <w:rFonts w:ascii="Arial" w:eastAsiaTheme="minorEastAsia" w:hAnsi="Arial" w:cs="Arial"/>
        </w:rPr>
        <w:t>on the following grounds</w:t>
      </w:r>
      <w:r>
        <w:rPr>
          <w:rFonts w:ascii="Arial" w:eastAsiaTheme="minorEastAsia" w:hAnsi="Arial" w:cs="Arial"/>
        </w:rPr>
        <w:t>: ‘In respect of the third charge, robbery with aggravating circumstances, the state allege</w:t>
      </w:r>
      <w:r w:rsidR="000352DC">
        <w:rPr>
          <w:rFonts w:ascii="Arial" w:eastAsiaTheme="minorEastAsia" w:hAnsi="Arial" w:cs="Arial"/>
        </w:rPr>
        <w:t>[s]</w:t>
      </w:r>
      <w:r>
        <w:rPr>
          <w:rFonts w:ascii="Arial" w:eastAsiaTheme="minorEastAsia" w:hAnsi="Arial" w:cs="Arial"/>
        </w:rPr>
        <w:t xml:space="preserve"> that the laptop of the deceased was taken during this attack. I am satisfied that the state adduced evidence in this regard, that was not contested that the deceased’s laptop disappeared after his death’.</w:t>
      </w:r>
      <w:r>
        <w:rPr>
          <w:rStyle w:val="FootnoteReference"/>
          <w:rFonts w:ascii="Arial" w:eastAsiaTheme="minorEastAsia" w:hAnsi="Arial" w:cs="Arial"/>
        </w:rPr>
        <w:footnoteReference w:id="17"/>
      </w:r>
    </w:p>
    <w:p w14:paraId="006C2B0F" w14:textId="77777777" w:rsidR="00AB0245" w:rsidRDefault="00AB0245" w:rsidP="00A4417B">
      <w:pPr>
        <w:pStyle w:val="BodyText"/>
        <w:spacing w:after="120" w:line="360" w:lineRule="auto"/>
        <w:jc w:val="both"/>
        <w:rPr>
          <w:rFonts w:ascii="Arial" w:eastAsiaTheme="minorEastAsia" w:hAnsi="Arial" w:cs="Arial"/>
        </w:rPr>
      </w:pPr>
    </w:p>
    <w:p w14:paraId="34FEBE5E" w14:textId="58BBBFB9" w:rsidR="00DD52A4" w:rsidRDefault="00172CC4" w:rsidP="00A4417B">
      <w:pPr>
        <w:pStyle w:val="BodyText"/>
        <w:spacing w:after="120" w:line="360" w:lineRule="auto"/>
        <w:jc w:val="both"/>
        <w:rPr>
          <w:rFonts w:ascii="Arial" w:eastAsiaTheme="minorEastAsia" w:hAnsi="Arial" w:cs="Arial"/>
        </w:rPr>
      </w:pPr>
      <w:r>
        <w:rPr>
          <w:rFonts w:ascii="Arial" w:eastAsiaTheme="minorEastAsia" w:hAnsi="Arial" w:cs="Arial"/>
        </w:rPr>
        <w:t>[</w:t>
      </w:r>
      <w:r w:rsidR="00AB0245">
        <w:rPr>
          <w:rFonts w:ascii="Arial" w:eastAsiaTheme="minorEastAsia" w:hAnsi="Arial" w:cs="Arial"/>
        </w:rPr>
        <w:t>39</w:t>
      </w:r>
      <w:r>
        <w:rPr>
          <w:rFonts w:ascii="Arial" w:eastAsiaTheme="minorEastAsia" w:hAnsi="Arial" w:cs="Arial"/>
        </w:rPr>
        <w:t>]</w:t>
      </w:r>
      <w:r>
        <w:rPr>
          <w:rFonts w:ascii="Arial" w:eastAsiaTheme="minorEastAsia" w:hAnsi="Arial" w:cs="Arial"/>
        </w:rPr>
        <w:tab/>
        <w:t xml:space="preserve">It is unclear what evidence the court </w:t>
      </w:r>
      <w:r>
        <w:rPr>
          <w:rFonts w:ascii="Arial" w:eastAsiaTheme="minorEastAsia" w:hAnsi="Arial" w:cs="Arial"/>
          <w:i/>
          <w:iCs/>
        </w:rPr>
        <w:t xml:space="preserve">a quo </w:t>
      </w:r>
      <w:r>
        <w:rPr>
          <w:rFonts w:ascii="Arial" w:eastAsiaTheme="minorEastAsia" w:hAnsi="Arial" w:cs="Arial"/>
        </w:rPr>
        <w:t>refers to here. The only evidence before the court concerning the laptop</w:t>
      </w:r>
      <w:r w:rsidR="002D458D">
        <w:rPr>
          <w:rFonts w:ascii="Arial" w:eastAsiaTheme="minorEastAsia" w:hAnsi="Arial" w:cs="Arial"/>
        </w:rPr>
        <w:t xml:space="preserve"> was the testimony of </w:t>
      </w:r>
      <w:r w:rsidR="00A4417B">
        <w:rPr>
          <w:rFonts w:ascii="Arial" w:eastAsiaTheme="minorEastAsia" w:hAnsi="Arial" w:cs="Arial"/>
        </w:rPr>
        <w:t xml:space="preserve">a </w:t>
      </w:r>
      <w:r w:rsidR="002D458D">
        <w:rPr>
          <w:rFonts w:ascii="Arial" w:eastAsiaTheme="minorEastAsia" w:hAnsi="Arial" w:cs="Arial"/>
        </w:rPr>
        <w:t>Constable Baloyi that one of the family members of the deceased had at the scene of the murder told him that the deceased’s laptop had ‘just disappeared’</w:t>
      </w:r>
      <w:r w:rsidR="007940BF">
        <w:rPr>
          <w:rFonts w:ascii="Arial" w:eastAsiaTheme="minorEastAsia" w:hAnsi="Arial" w:cs="Arial"/>
        </w:rPr>
        <w:t xml:space="preserve"> and that he had then asked for its serial number</w:t>
      </w:r>
      <w:r w:rsidR="002D458D">
        <w:rPr>
          <w:rFonts w:ascii="Arial" w:eastAsiaTheme="minorEastAsia" w:hAnsi="Arial" w:cs="Arial"/>
        </w:rPr>
        <w:t>;</w:t>
      </w:r>
      <w:r w:rsidR="007940BF">
        <w:rPr>
          <w:rFonts w:ascii="Arial" w:eastAsiaTheme="minorEastAsia" w:hAnsi="Arial" w:cs="Arial"/>
        </w:rPr>
        <w:t xml:space="preserve"> and the testimony of the deceased’s brother that on the same day, when the police had asked whether he and the other family members knew of anything that was missing, the estranged wife responded that ‘she observed that a laptop was missing’ and that he had later been told by the investigating officer that the laptop’s </w:t>
      </w:r>
      <w:r w:rsidR="00A4417B">
        <w:rPr>
          <w:rFonts w:ascii="Arial" w:eastAsiaTheme="minorEastAsia" w:hAnsi="Arial" w:cs="Arial"/>
        </w:rPr>
        <w:t>Wi-Fi</w:t>
      </w:r>
      <w:r w:rsidR="007940BF">
        <w:rPr>
          <w:rFonts w:ascii="Arial" w:eastAsiaTheme="minorEastAsia" w:hAnsi="Arial" w:cs="Arial"/>
        </w:rPr>
        <w:t xml:space="preserve"> signal had been picked up at a block of flats in Centurion, but that it could not be found.</w:t>
      </w:r>
    </w:p>
    <w:p w14:paraId="35B70675" w14:textId="77777777" w:rsidR="00AB0245" w:rsidRDefault="00AB0245" w:rsidP="00A4417B">
      <w:pPr>
        <w:pStyle w:val="BodyText"/>
        <w:spacing w:after="120" w:line="360" w:lineRule="auto"/>
        <w:jc w:val="both"/>
        <w:rPr>
          <w:rFonts w:ascii="Arial" w:eastAsiaTheme="minorEastAsia" w:hAnsi="Arial" w:cs="Arial"/>
        </w:rPr>
      </w:pPr>
    </w:p>
    <w:p w14:paraId="3E4BAC3F" w14:textId="1750855D" w:rsidR="00A4417B" w:rsidRDefault="00DD52A4" w:rsidP="00A4417B">
      <w:pPr>
        <w:pStyle w:val="BodyText"/>
        <w:spacing w:after="120" w:line="360" w:lineRule="auto"/>
        <w:jc w:val="both"/>
        <w:rPr>
          <w:rFonts w:ascii="Arial" w:eastAsiaTheme="minorEastAsia" w:hAnsi="Arial" w:cs="Arial"/>
        </w:rPr>
      </w:pPr>
      <w:r>
        <w:rPr>
          <w:rFonts w:ascii="Arial" w:eastAsiaTheme="minorEastAsia" w:hAnsi="Arial" w:cs="Arial"/>
        </w:rPr>
        <w:t>[</w:t>
      </w:r>
      <w:r w:rsidR="00AB0245">
        <w:rPr>
          <w:rFonts w:ascii="Arial" w:eastAsiaTheme="minorEastAsia" w:hAnsi="Arial" w:cs="Arial"/>
        </w:rPr>
        <w:t>40</w:t>
      </w:r>
      <w:r>
        <w:rPr>
          <w:rFonts w:ascii="Arial" w:eastAsiaTheme="minorEastAsia" w:hAnsi="Arial" w:cs="Arial"/>
        </w:rPr>
        <w:t xml:space="preserve">] </w:t>
      </w:r>
      <w:r w:rsidR="00A60086">
        <w:rPr>
          <w:rFonts w:ascii="Arial" w:eastAsiaTheme="minorEastAsia" w:hAnsi="Arial" w:cs="Arial"/>
        </w:rPr>
        <w:t>At the outset</w:t>
      </w:r>
      <w:r>
        <w:rPr>
          <w:rFonts w:ascii="Arial" w:eastAsiaTheme="minorEastAsia" w:hAnsi="Arial" w:cs="Arial"/>
        </w:rPr>
        <w:t xml:space="preserve">, concerning the question whether indeed the laptop was missing, both the constable and the brother’s testimony is inadmissible hearsay. But even were it to be admitted, it does not in any way support the court </w:t>
      </w:r>
      <w:r>
        <w:rPr>
          <w:rFonts w:ascii="Arial" w:eastAsiaTheme="minorEastAsia" w:hAnsi="Arial" w:cs="Arial"/>
          <w:i/>
          <w:iCs/>
        </w:rPr>
        <w:t>a quo</w:t>
      </w:r>
      <w:r>
        <w:rPr>
          <w:rFonts w:ascii="Arial" w:eastAsiaTheme="minorEastAsia" w:hAnsi="Arial" w:cs="Arial"/>
        </w:rPr>
        <w:t xml:space="preserve">’s conclusion. All </w:t>
      </w:r>
      <w:r w:rsidR="00A4417B">
        <w:rPr>
          <w:rFonts w:ascii="Arial" w:eastAsiaTheme="minorEastAsia" w:hAnsi="Arial" w:cs="Arial"/>
        </w:rPr>
        <w:t xml:space="preserve">that </w:t>
      </w:r>
      <w:r>
        <w:rPr>
          <w:rFonts w:ascii="Arial" w:eastAsiaTheme="minorEastAsia" w:hAnsi="Arial" w:cs="Arial"/>
        </w:rPr>
        <w:t xml:space="preserve">this testimony if admissible establishes is that a laptop of the deceased’s that was usually at his house was after the murder had been discovered not there and could, despite police efforts to find it, not be </w:t>
      </w:r>
      <w:r w:rsidR="001D3DD5">
        <w:rPr>
          <w:rFonts w:ascii="Arial" w:eastAsiaTheme="minorEastAsia" w:hAnsi="Arial" w:cs="Arial"/>
        </w:rPr>
        <w:t>found</w:t>
      </w:r>
      <w:r>
        <w:rPr>
          <w:rFonts w:ascii="Arial" w:eastAsiaTheme="minorEastAsia" w:hAnsi="Arial" w:cs="Arial"/>
        </w:rPr>
        <w:t xml:space="preserve">. It does not establish that the laptop ‘was taken during the attack’ or that it ‘disappeared after [the deceased’s] death’, as the court </w:t>
      </w:r>
      <w:r>
        <w:rPr>
          <w:rFonts w:ascii="Arial" w:eastAsiaTheme="minorEastAsia" w:hAnsi="Arial" w:cs="Arial"/>
          <w:i/>
          <w:iCs/>
        </w:rPr>
        <w:t>a quo</w:t>
      </w:r>
      <w:r>
        <w:rPr>
          <w:rFonts w:ascii="Arial" w:eastAsiaTheme="minorEastAsia" w:hAnsi="Arial" w:cs="Arial"/>
        </w:rPr>
        <w:t xml:space="preserve"> held</w:t>
      </w:r>
      <w:r w:rsidR="001D3DD5">
        <w:rPr>
          <w:rFonts w:ascii="Arial" w:eastAsiaTheme="minorEastAsia" w:hAnsi="Arial" w:cs="Arial"/>
        </w:rPr>
        <w:t xml:space="preserve"> or indeed even that it was </w:t>
      </w:r>
      <w:r w:rsidR="00A4417B">
        <w:rPr>
          <w:rFonts w:ascii="Arial" w:eastAsiaTheme="minorEastAsia" w:hAnsi="Arial" w:cs="Arial"/>
        </w:rPr>
        <w:t>‘</w:t>
      </w:r>
      <w:r w:rsidR="001D3DD5">
        <w:rPr>
          <w:rFonts w:ascii="Arial" w:eastAsiaTheme="minorEastAsia" w:hAnsi="Arial" w:cs="Arial"/>
        </w:rPr>
        <w:t>missing</w:t>
      </w:r>
      <w:r w:rsidR="00A4417B">
        <w:rPr>
          <w:rFonts w:ascii="Arial" w:eastAsiaTheme="minorEastAsia" w:hAnsi="Arial" w:cs="Arial"/>
        </w:rPr>
        <w:t>’</w:t>
      </w:r>
      <w:r w:rsidR="001D3DD5">
        <w:rPr>
          <w:rFonts w:ascii="Arial" w:eastAsiaTheme="minorEastAsia" w:hAnsi="Arial" w:cs="Arial"/>
        </w:rPr>
        <w:t xml:space="preserve"> (instead of perhaps sold or given to someone else by the deceased)</w:t>
      </w:r>
      <w:r>
        <w:rPr>
          <w:rFonts w:ascii="Arial" w:eastAsiaTheme="minorEastAsia" w:hAnsi="Arial" w:cs="Arial"/>
        </w:rPr>
        <w:t xml:space="preserve">. The laptop could </w:t>
      </w:r>
      <w:r w:rsidR="001D3DD5">
        <w:rPr>
          <w:rFonts w:ascii="Arial" w:eastAsiaTheme="minorEastAsia" w:hAnsi="Arial" w:cs="Arial"/>
        </w:rPr>
        <w:t>have bee</w:t>
      </w:r>
      <w:r w:rsidR="00A4417B">
        <w:rPr>
          <w:rFonts w:ascii="Arial" w:eastAsiaTheme="minorEastAsia" w:hAnsi="Arial" w:cs="Arial"/>
        </w:rPr>
        <w:t>n ‘missing’</w:t>
      </w:r>
      <w:r w:rsidR="001D3DD5">
        <w:rPr>
          <w:rFonts w:ascii="Arial" w:eastAsiaTheme="minorEastAsia" w:hAnsi="Arial" w:cs="Arial"/>
        </w:rPr>
        <w:t xml:space="preserve"> for any length of time and</w:t>
      </w:r>
      <w:r>
        <w:rPr>
          <w:rFonts w:ascii="Arial" w:eastAsiaTheme="minorEastAsia" w:hAnsi="Arial" w:cs="Arial"/>
        </w:rPr>
        <w:t xml:space="preserve"> for whatever reason.</w:t>
      </w:r>
    </w:p>
    <w:p w14:paraId="0718F9A9" w14:textId="77777777" w:rsidR="00AB0245" w:rsidRDefault="00AB0245" w:rsidP="00A4417B">
      <w:pPr>
        <w:pStyle w:val="BodyText"/>
        <w:spacing w:after="120" w:line="360" w:lineRule="auto"/>
        <w:jc w:val="both"/>
        <w:rPr>
          <w:rFonts w:ascii="Arial" w:eastAsiaTheme="minorEastAsia" w:hAnsi="Arial" w:cs="Arial"/>
        </w:rPr>
      </w:pPr>
    </w:p>
    <w:p w14:paraId="5D60C413" w14:textId="731AF6EA" w:rsidR="00F86335" w:rsidRDefault="00AB0245" w:rsidP="00A4417B">
      <w:pPr>
        <w:pStyle w:val="BodyText"/>
        <w:spacing w:after="120" w:line="360" w:lineRule="auto"/>
        <w:jc w:val="both"/>
        <w:rPr>
          <w:rFonts w:ascii="Arial" w:eastAsiaTheme="minorEastAsia" w:hAnsi="Arial" w:cs="Arial"/>
        </w:rPr>
      </w:pPr>
      <w:r>
        <w:rPr>
          <w:rFonts w:ascii="Arial" w:eastAsiaTheme="minorEastAsia" w:hAnsi="Arial" w:cs="Arial"/>
        </w:rPr>
        <w:t>[41</w:t>
      </w:r>
      <w:r w:rsidR="00A4417B">
        <w:rPr>
          <w:rFonts w:ascii="Arial" w:eastAsiaTheme="minorEastAsia" w:hAnsi="Arial" w:cs="Arial"/>
        </w:rPr>
        <w:t>]</w:t>
      </w:r>
      <w:r w:rsidR="00A4417B">
        <w:rPr>
          <w:rFonts w:ascii="Arial" w:eastAsiaTheme="minorEastAsia" w:hAnsi="Arial" w:cs="Arial"/>
        </w:rPr>
        <w:tab/>
      </w:r>
      <w:r w:rsidR="00DD52A4">
        <w:rPr>
          <w:rFonts w:ascii="Arial" w:eastAsiaTheme="minorEastAsia" w:hAnsi="Arial" w:cs="Arial"/>
        </w:rPr>
        <w:t xml:space="preserve">Most importantly, that little evidence concerning the laptop that was before the court </w:t>
      </w:r>
      <w:r w:rsidR="00DD52A4">
        <w:rPr>
          <w:rFonts w:ascii="Arial" w:eastAsiaTheme="minorEastAsia" w:hAnsi="Arial" w:cs="Arial"/>
          <w:i/>
          <w:iCs/>
        </w:rPr>
        <w:t>a quo</w:t>
      </w:r>
      <w:r w:rsidR="00DD52A4">
        <w:rPr>
          <w:rFonts w:ascii="Arial" w:eastAsiaTheme="minorEastAsia" w:hAnsi="Arial" w:cs="Arial"/>
        </w:rPr>
        <w:t xml:space="preserve"> establishes no link</w:t>
      </w:r>
      <w:r w:rsidR="004B153F">
        <w:rPr>
          <w:rFonts w:ascii="Arial" w:eastAsiaTheme="minorEastAsia" w:hAnsi="Arial" w:cs="Arial"/>
        </w:rPr>
        <w:t xml:space="preserve"> whatsoever between either the a</w:t>
      </w:r>
      <w:r w:rsidR="00DD52A4">
        <w:rPr>
          <w:rFonts w:ascii="Arial" w:eastAsiaTheme="minorEastAsia" w:hAnsi="Arial" w:cs="Arial"/>
        </w:rPr>
        <w:t>ppellant or the co-accused</w:t>
      </w:r>
      <w:r w:rsidR="001D3DD5">
        <w:rPr>
          <w:rFonts w:ascii="Arial" w:eastAsiaTheme="minorEastAsia" w:hAnsi="Arial" w:cs="Arial"/>
        </w:rPr>
        <w:t xml:space="preserve"> and the fact that the laptop was not there.</w:t>
      </w:r>
      <w:r w:rsidR="00F86335">
        <w:rPr>
          <w:rFonts w:ascii="Arial" w:eastAsiaTheme="minorEastAsia" w:hAnsi="Arial" w:cs="Arial"/>
        </w:rPr>
        <w:t xml:space="preserve"> </w:t>
      </w:r>
      <w:r w:rsidR="001D3DD5">
        <w:rPr>
          <w:rFonts w:ascii="Arial" w:eastAsiaTheme="minorEastAsia" w:hAnsi="Arial" w:cs="Arial"/>
        </w:rPr>
        <w:t xml:space="preserve">In sum, there simply was no evidence before the court </w:t>
      </w:r>
      <w:r w:rsidR="001D3DD5">
        <w:rPr>
          <w:rFonts w:ascii="Arial" w:eastAsiaTheme="minorEastAsia" w:hAnsi="Arial" w:cs="Arial"/>
          <w:i/>
          <w:iCs/>
        </w:rPr>
        <w:t>a quo</w:t>
      </w:r>
      <w:r w:rsidR="001D3DD5">
        <w:rPr>
          <w:rFonts w:ascii="Arial" w:eastAsiaTheme="minorEastAsia" w:hAnsi="Arial" w:cs="Arial"/>
        </w:rPr>
        <w:t xml:space="preserve"> that the deceased was robbed of his laptop and, more importa</w:t>
      </w:r>
      <w:r w:rsidR="004B153F">
        <w:rPr>
          <w:rFonts w:ascii="Arial" w:eastAsiaTheme="minorEastAsia" w:hAnsi="Arial" w:cs="Arial"/>
        </w:rPr>
        <w:t>ntly, even if he was, that the a</w:t>
      </w:r>
      <w:r w:rsidR="001D3DD5">
        <w:rPr>
          <w:rFonts w:ascii="Arial" w:eastAsiaTheme="minorEastAsia" w:hAnsi="Arial" w:cs="Arial"/>
        </w:rPr>
        <w:t>ppellant (and the co-accused) had robbed him – no evidence whatsoever, that is, on the</w:t>
      </w:r>
      <w:r w:rsidR="004B153F">
        <w:rPr>
          <w:rFonts w:ascii="Arial" w:eastAsiaTheme="minorEastAsia" w:hAnsi="Arial" w:cs="Arial"/>
        </w:rPr>
        <w:t xml:space="preserve"> basis of which to convict the a</w:t>
      </w:r>
      <w:r w:rsidR="001D3DD5">
        <w:rPr>
          <w:rFonts w:ascii="Arial" w:eastAsiaTheme="minorEastAsia" w:hAnsi="Arial" w:cs="Arial"/>
        </w:rPr>
        <w:t xml:space="preserve">ppellant (or the co-accused) of robbery with aggravating circumstances. The court </w:t>
      </w:r>
      <w:r w:rsidR="001D3DD5">
        <w:rPr>
          <w:rFonts w:ascii="Arial" w:eastAsiaTheme="minorEastAsia" w:hAnsi="Arial" w:cs="Arial"/>
          <w:i/>
          <w:iCs/>
        </w:rPr>
        <w:t>a quo</w:t>
      </w:r>
      <w:r w:rsidR="001D3DD5">
        <w:rPr>
          <w:rFonts w:ascii="Arial" w:eastAsiaTheme="minorEastAsia" w:hAnsi="Arial" w:cs="Arial"/>
        </w:rPr>
        <w:t xml:space="preserve"> erred in doing so.</w:t>
      </w:r>
    </w:p>
    <w:p w14:paraId="6C7F695D" w14:textId="77777777" w:rsidR="00AB0245" w:rsidRPr="001D3DD5" w:rsidRDefault="00AB0245" w:rsidP="00A4417B">
      <w:pPr>
        <w:pStyle w:val="BodyText"/>
        <w:spacing w:after="120" w:line="360" w:lineRule="auto"/>
        <w:jc w:val="both"/>
        <w:rPr>
          <w:rFonts w:ascii="Arial" w:eastAsiaTheme="minorEastAsia" w:hAnsi="Arial" w:cs="Arial"/>
        </w:rPr>
      </w:pPr>
    </w:p>
    <w:p w14:paraId="30E1657E" w14:textId="04A0F6BE" w:rsidR="00A243A2" w:rsidRDefault="002B37CC" w:rsidP="00A4417B">
      <w:pPr>
        <w:pStyle w:val="BodyText"/>
        <w:spacing w:after="120" w:line="360" w:lineRule="auto"/>
        <w:jc w:val="both"/>
        <w:rPr>
          <w:rFonts w:ascii="Arial" w:eastAsiaTheme="minorEastAsia" w:hAnsi="Arial" w:cs="Arial"/>
        </w:rPr>
      </w:pPr>
      <w:r>
        <w:rPr>
          <w:rFonts w:ascii="Arial" w:eastAsiaTheme="minorEastAsia" w:hAnsi="Arial" w:cs="Arial"/>
        </w:rPr>
        <w:t>[42]</w:t>
      </w:r>
      <w:r w:rsidR="00A243A2">
        <w:rPr>
          <w:rFonts w:ascii="Arial" w:eastAsiaTheme="minorEastAsia" w:hAnsi="Arial" w:cs="Arial"/>
        </w:rPr>
        <w:tab/>
      </w:r>
      <w:r>
        <w:rPr>
          <w:rFonts w:ascii="Arial" w:eastAsiaTheme="minorEastAsia" w:hAnsi="Arial" w:cs="Arial"/>
        </w:rPr>
        <w:t>For all these reasons, the appeal should be upheld</w:t>
      </w:r>
      <w:r w:rsidR="008135F3">
        <w:rPr>
          <w:rFonts w:ascii="Arial" w:eastAsiaTheme="minorEastAsia" w:hAnsi="Arial" w:cs="Arial"/>
        </w:rPr>
        <w:t>,</w:t>
      </w:r>
      <w:r>
        <w:rPr>
          <w:rFonts w:ascii="Arial" w:eastAsiaTheme="minorEastAsia" w:hAnsi="Arial" w:cs="Arial"/>
        </w:rPr>
        <w:t xml:space="preserve"> and the convictions</w:t>
      </w:r>
      <w:r w:rsidR="00A243A2">
        <w:rPr>
          <w:rFonts w:ascii="Arial" w:eastAsiaTheme="minorEastAsia" w:hAnsi="Arial" w:cs="Arial"/>
        </w:rPr>
        <w:t>, both for the murder and the robbery,</w:t>
      </w:r>
      <w:r>
        <w:rPr>
          <w:rFonts w:ascii="Arial" w:eastAsiaTheme="minorEastAsia" w:hAnsi="Arial" w:cs="Arial"/>
        </w:rPr>
        <w:t xml:space="preserve"> set aside.</w:t>
      </w:r>
    </w:p>
    <w:p w14:paraId="2E267E36" w14:textId="77777777" w:rsidR="00AB0245" w:rsidRDefault="00AB0245" w:rsidP="00A4417B">
      <w:pPr>
        <w:pStyle w:val="BodyText"/>
        <w:spacing w:after="120" w:line="360" w:lineRule="auto"/>
        <w:jc w:val="both"/>
        <w:rPr>
          <w:rFonts w:ascii="Arial" w:eastAsiaTheme="minorEastAsia" w:hAnsi="Arial" w:cs="Arial"/>
        </w:rPr>
      </w:pPr>
    </w:p>
    <w:p w14:paraId="42471032" w14:textId="06284EA6" w:rsidR="00D975F6" w:rsidRDefault="00A243A2" w:rsidP="00A4417B">
      <w:pPr>
        <w:pStyle w:val="BodyText"/>
        <w:spacing w:after="120" w:line="360" w:lineRule="auto"/>
        <w:jc w:val="both"/>
        <w:rPr>
          <w:rFonts w:ascii="Arial" w:eastAsiaTheme="minorEastAsia" w:hAnsi="Arial" w:cs="Arial"/>
        </w:rPr>
      </w:pPr>
      <w:r>
        <w:rPr>
          <w:rFonts w:ascii="Arial" w:eastAsiaTheme="minorEastAsia" w:hAnsi="Arial" w:cs="Arial"/>
        </w:rPr>
        <w:t>[43]</w:t>
      </w:r>
      <w:r>
        <w:rPr>
          <w:rFonts w:ascii="Arial" w:eastAsiaTheme="minorEastAsia" w:hAnsi="Arial" w:cs="Arial"/>
        </w:rPr>
        <w:tab/>
      </w:r>
      <w:r w:rsidR="00D975F6">
        <w:rPr>
          <w:rFonts w:ascii="Arial" w:eastAsiaTheme="minorEastAsia" w:hAnsi="Arial" w:cs="Arial"/>
        </w:rPr>
        <w:t xml:space="preserve">The appeal is upheld. The conviction of the </w:t>
      </w:r>
      <w:r w:rsidR="004B153F">
        <w:rPr>
          <w:rFonts w:ascii="Arial" w:eastAsiaTheme="minorEastAsia" w:hAnsi="Arial" w:cs="Arial"/>
        </w:rPr>
        <w:t>a</w:t>
      </w:r>
      <w:r w:rsidR="00D975F6">
        <w:rPr>
          <w:rFonts w:ascii="Arial" w:eastAsiaTheme="minorEastAsia" w:hAnsi="Arial" w:cs="Arial"/>
        </w:rPr>
        <w:t>ppellant both for murder and robbery with aggravating circumstances, and the consequent sentences imposed on him are set aside.</w:t>
      </w:r>
    </w:p>
    <w:p w14:paraId="379BAB94" w14:textId="77777777" w:rsidR="00AB0245" w:rsidRPr="008135F3" w:rsidRDefault="00AB0245" w:rsidP="00A4417B">
      <w:pPr>
        <w:pStyle w:val="BodyText"/>
        <w:spacing w:after="120" w:line="360" w:lineRule="auto"/>
        <w:jc w:val="both"/>
        <w:rPr>
          <w:rFonts w:ascii="Arial" w:eastAsiaTheme="minorEastAsia" w:hAnsi="Arial" w:cs="Arial"/>
        </w:rPr>
      </w:pPr>
    </w:p>
    <w:p w14:paraId="2FD4EF7A" w14:textId="77777777" w:rsidR="006E0DFE" w:rsidRPr="006E0DFE" w:rsidRDefault="006E0DFE" w:rsidP="00A4417B">
      <w:pPr>
        <w:pStyle w:val="BodyText"/>
        <w:kinsoku w:val="0"/>
        <w:overflowPunct w:val="0"/>
        <w:spacing w:after="120" w:line="360" w:lineRule="auto"/>
        <w:jc w:val="both"/>
        <w:rPr>
          <w:rFonts w:ascii="Arial" w:eastAsiaTheme="minorEastAsia" w:hAnsi="Arial" w:cs="Arial"/>
        </w:rPr>
      </w:pPr>
    </w:p>
    <w:p w14:paraId="165F3C81" w14:textId="77777777" w:rsidR="007C7660" w:rsidRDefault="007C7660" w:rsidP="00A4417B">
      <w:pPr>
        <w:spacing w:after="120" w:line="360" w:lineRule="auto"/>
        <w:jc w:val="both"/>
        <w:rPr>
          <w:rFonts w:ascii="Arial" w:hAnsi="Arial" w:cs="Arial"/>
        </w:rPr>
      </w:pPr>
      <w:r w:rsidRPr="00436D3B">
        <w:rPr>
          <w:noProof/>
          <w:lang w:eastAsia="en-ZA"/>
        </w:rPr>
        <w:drawing>
          <wp:inline distT="0" distB="0" distL="0" distR="0" wp14:anchorId="7431D8B5" wp14:editId="375398C8">
            <wp:extent cx="835468" cy="10922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2875" cy="1101883"/>
                    </a:xfrm>
                    <a:prstGeom prst="rect">
                      <a:avLst/>
                    </a:prstGeom>
                    <a:noFill/>
                    <a:ln>
                      <a:noFill/>
                    </a:ln>
                  </pic:spPr>
                </pic:pic>
              </a:graphicData>
            </a:graphic>
          </wp:inline>
        </w:drawing>
      </w:r>
    </w:p>
    <w:p w14:paraId="5EA0E5F2" w14:textId="77777777" w:rsidR="007C7660" w:rsidRDefault="007C7660" w:rsidP="00A4417B">
      <w:pPr>
        <w:spacing w:after="120" w:line="360" w:lineRule="auto"/>
        <w:jc w:val="both"/>
        <w:rPr>
          <w:rFonts w:ascii="Arial" w:hAnsi="Arial" w:cs="Arial"/>
          <w:b/>
          <w:bCs/>
          <w:u w:val="single"/>
        </w:rPr>
      </w:pPr>
      <w:r>
        <w:rPr>
          <w:rFonts w:ascii="Arial" w:hAnsi="Arial" w:cs="Arial"/>
          <w:b/>
          <w:bCs/>
          <w:u w:val="single"/>
        </w:rPr>
        <w:tab/>
      </w:r>
      <w:r>
        <w:rPr>
          <w:rFonts w:ascii="Arial" w:hAnsi="Arial" w:cs="Arial"/>
          <w:b/>
          <w:bCs/>
          <w:u w:val="single"/>
        </w:rPr>
        <w:tab/>
      </w:r>
      <w:r>
        <w:rPr>
          <w:rFonts w:ascii="Arial" w:hAnsi="Arial" w:cs="Arial"/>
          <w:b/>
          <w:bCs/>
          <w:u w:val="single"/>
        </w:rPr>
        <w:tab/>
      </w:r>
    </w:p>
    <w:p w14:paraId="5DA260E2" w14:textId="3DDE4A03" w:rsidR="007C7660" w:rsidRDefault="00FD41C0" w:rsidP="00A4417B">
      <w:pPr>
        <w:spacing w:after="120" w:line="360" w:lineRule="auto"/>
        <w:jc w:val="both"/>
        <w:rPr>
          <w:rFonts w:ascii="Arial" w:hAnsi="Arial" w:cs="Arial"/>
          <w:b/>
          <w:bCs/>
        </w:rPr>
      </w:pPr>
      <w:r>
        <w:rPr>
          <w:rFonts w:ascii="Arial" w:hAnsi="Arial" w:cs="Arial"/>
          <w:b/>
          <w:bCs/>
        </w:rPr>
        <w:t xml:space="preserve">          </w:t>
      </w:r>
      <w:r w:rsidR="007C7660">
        <w:rPr>
          <w:rFonts w:ascii="Arial" w:hAnsi="Arial" w:cs="Arial"/>
          <w:b/>
          <w:bCs/>
        </w:rPr>
        <w:t>JFD Brand</w:t>
      </w:r>
    </w:p>
    <w:p w14:paraId="396BB47D" w14:textId="61612E40" w:rsidR="007C7660" w:rsidRDefault="007C7660" w:rsidP="00A4417B">
      <w:pPr>
        <w:spacing w:after="120" w:line="360" w:lineRule="auto"/>
        <w:jc w:val="both"/>
        <w:rPr>
          <w:rFonts w:ascii="Arial" w:hAnsi="Arial" w:cs="Arial"/>
          <w:b/>
          <w:bCs/>
        </w:rPr>
      </w:pPr>
      <w:r>
        <w:rPr>
          <w:rFonts w:ascii="Arial" w:hAnsi="Arial" w:cs="Arial"/>
          <w:b/>
          <w:bCs/>
        </w:rPr>
        <w:t>Acting Judge of the High Court</w:t>
      </w:r>
    </w:p>
    <w:p w14:paraId="68383639" w14:textId="62EFD488" w:rsidR="00FD41C0" w:rsidRDefault="00FD41C0" w:rsidP="00A4417B">
      <w:pPr>
        <w:spacing w:after="120" w:line="360" w:lineRule="auto"/>
        <w:jc w:val="both"/>
        <w:rPr>
          <w:rFonts w:ascii="Arial" w:hAnsi="Arial" w:cs="Arial"/>
          <w:b/>
          <w:bCs/>
        </w:rPr>
      </w:pPr>
      <w:r>
        <w:rPr>
          <w:rFonts w:ascii="Arial" w:hAnsi="Arial" w:cs="Arial"/>
          <w:b/>
          <w:bCs/>
        </w:rPr>
        <w:t>Gauteng Division, Pretoria</w:t>
      </w:r>
    </w:p>
    <w:p w14:paraId="1EAEAB46" w14:textId="08DDD85B" w:rsidR="00FD41C0" w:rsidRDefault="00FD41C0" w:rsidP="00A4417B">
      <w:pPr>
        <w:spacing w:after="120" w:line="360" w:lineRule="auto"/>
        <w:jc w:val="both"/>
        <w:rPr>
          <w:rFonts w:ascii="Arial" w:hAnsi="Arial" w:cs="Arial"/>
          <w:b/>
          <w:bCs/>
        </w:rPr>
      </w:pPr>
    </w:p>
    <w:p w14:paraId="41C1DC3F" w14:textId="77777777" w:rsidR="00FD41C0" w:rsidRDefault="00FD41C0" w:rsidP="00A4417B">
      <w:pPr>
        <w:spacing w:after="120" w:line="360" w:lineRule="auto"/>
        <w:jc w:val="both"/>
        <w:rPr>
          <w:rFonts w:ascii="Arial" w:hAnsi="Arial" w:cs="Arial"/>
          <w:b/>
          <w:bCs/>
        </w:rPr>
      </w:pPr>
    </w:p>
    <w:p w14:paraId="010D0DBD" w14:textId="77777777" w:rsidR="00FD41C0" w:rsidRPr="00FD41C0" w:rsidRDefault="00FD41C0" w:rsidP="00FD41C0">
      <w:pPr>
        <w:spacing w:after="120" w:line="360" w:lineRule="auto"/>
        <w:jc w:val="both"/>
        <w:rPr>
          <w:rFonts w:ascii="Arial" w:hAnsi="Arial" w:cs="Arial"/>
          <w:b/>
          <w:bCs/>
          <w:lang w:val="en-US"/>
        </w:rPr>
      </w:pPr>
      <w:r w:rsidRPr="00FD41C0">
        <w:rPr>
          <w:rFonts w:ascii="Arial" w:hAnsi="Arial" w:cs="Arial"/>
          <w:b/>
          <w:bCs/>
          <w:lang w:val="en-US"/>
        </w:rPr>
        <w:t>_______________________</w:t>
      </w:r>
    </w:p>
    <w:p w14:paraId="1BBAFB3A" w14:textId="194BBFDE" w:rsidR="00FD41C0" w:rsidRDefault="00FD41C0" w:rsidP="00FD41C0">
      <w:pPr>
        <w:spacing w:after="120" w:line="360" w:lineRule="auto"/>
        <w:jc w:val="both"/>
        <w:rPr>
          <w:rFonts w:ascii="Arial" w:hAnsi="Arial" w:cs="Arial"/>
          <w:b/>
          <w:bCs/>
          <w:lang w:val="en-US"/>
        </w:rPr>
      </w:pPr>
      <w:r>
        <w:rPr>
          <w:rFonts w:ascii="Arial" w:hAnsi="Arial" w:cs="Arial"/>
          <w:b/>
          <w:bCs/>
          <w:lang w:val="en-US"/>
        </w:rPr>
        <w:t xml:space="preserve">      E Van Der Schyff</w:t>
      </w:r>
    </w:p>
    <w:p w14:paraId="5B977D8C" w14:textId="4D7850A7" w:rsidR="00FD41C0" w:rsidRDefault="00FD41C0" w:rsidP="00FD41C0">
      <w:pPr>
        <w:spacing w:after="120" w:line="360" w:lineRule="auto"/>
        <w:jc w:val="both"/>
        <w:rPr>
          <w:rFonts w:ascii="Arial" w:hAnsi="Arial" w:cs="Arial"/>
          <w:b/>
          <w:bCs/>
          <w:lang w:val="en-US"/>
        </w:rPr>
      </w:pPr>
      <w:r>
        <w:rPr>
          <w:rFonts w:ascii="Arial" w:hAnsi="Arial" w:cs="Arial"/>
          <w:b/>
          <w:bCs/>
          <w:lang w:val="en-US"/>
        </w:rPr>
        <w:t>Judge of the High Court</w:t>
      </w:r>
    </w:p>
    <w:p w14:paraId="573F430D" w14:textId="552DDD81" w:rsidR="00FD41C0" w:rsidRPr="00FD41C0" w:rsidRDefault="00FD41C0" w:rsidP="00FD41C0">
      <w:pPr>
        <w:spacing w:after="120" w:line="360" w:lineRule="auto"/>
        <w:jc w:val="both"/>
        <w:rPr>
          <w:rFonts w:ascii="Arial" w:hAnsi="Arial" w:cs="Arial"/>
          <w:b/>
          <w:bCs/>
          <w:lang w:val="en-US"/>
        </w:rPr>
      </w:pPr>
      <w:r w:rsidRPr="00FD41C0">
        <w:rPr>
          <w:rFonts w:ascii="Arial" w:hAnsi="Arial" w:cs="Arial"/>
          <w:b/>
          <w:bCs/>
          <w:lang w:val="en-US"/>
        </w:rPr>
        <w:t>Gauteng Division, Pretoria</w:t>
      </w:r>
    </w:p>
    <w:p w14:paraId="10161C73" w14:textId="77777777" w:rsidR="00FD41C0" w:rsidRDefault="00FD41C0" w:rsidP="00FD41C0">
      <w:pPr>
        <w:spacing w:after="120" w:line="360" w:lineRule="auto"/>
        <w:jc w:val="both"/>
        <w:rPr>
          <w:rFonts w:ascii="Arial" w:hAnsi="Arial" w:cs="Arial"/>
          <w:b/>
          <w:bCs/>
          <w:lang w:val="en-US"/>
        </w:rPr>
      </w:pPr>
    </w:p>
    <w:p w14:paraId="55F23581" w14:textId="25718C0A" w:rsidR="00FD41C0" w:rsidRPr="00FD41C0" w:rsidRDefault="00FD41C0" w:rsidP="00FD41C0">
      <w:pPr>
        <w:spacing w:after="120" w:line="360" w:lineRule="auto"/>
        <w:jc w:val="both"/>
        <w:rPr>
          <w:rFonts w:ascii="Arial" w:hAnsi="Arial" w:cs="Arial"/>
          <w:b/>
          <w:bCs/>
          <w:lang w:val="en-US"/>
        </w:rPr>
      </w:pPr>
      <w:r w:rsidRPr="00FD41C0">
        <w:rPr>
          <w:rFonts w:ascii="Arial" w:hAnsi="Arial" w:cs="Arial"/>
          <w:b/>
          <w:bCs/>
          <w:lang w:val="en-US"/>
        </w:rPr>
        <w:t xml:space="preserve">                                                                                           </w:t>
      </w:r>
    </w:p>
    <w:p w14:paraId="47FB77F2" w14:textId="77777777" w:rsidR="00FD41C0" w:rsidRPr="00FD41C0" w:rsidRDefault="00FD41C0" w:rsidP="00FD41C0">
      <w:pPr>
        <w:spacing w:after="120" w:line="360" w:lineRule="auto"/>
        <w:jc w:val="both"/>
        <w:rPr>
          <w:rFonts w:ascii="Arial" w:hAnsi="Arial" w:cs="Arial"/>
          <w:b/>
          <w:bCs/>
          <w:lang w:val="en-US"/>
        </w:rPr>
      </w:pPr>
      <w:r w:rsidRPr="00FD41C0">
        <w:rPr>
          <w:rFonts w:ascii="Arial" w:hAnsi="Arial" w:cs="Arial"/>
          <w:b/>
          <w:bCs/>
          <w:lang w:val="en-US"/>
        </w:rPr>
        <w:t>I agree.</w:t>
      </w:r>
    </w:p>
    <w:p w14:paraId="15354FD7" w14:textId="77777777" w:rsidR="00FD41C0" w:rsidRPr="00FD41C0" w:rsidRDefault="00FD41C0" w:rsidP="00FD41C0">
      <w:pPr>
        <w:spacing w:after="120" w:line="360" w:lineRule="auto"/>
        <w:jc w:val="both"/>
        <w:rPr>
          <w:rFonts w:ascii="Arial" w:hAnsi="Arial" w:cs="Arial"/>
          <w:b/>
          <w:bCs/>
          <w:lang w:val="en-US"/>
        </w:rPr>
      </w:pPr>
    </w:p>
    <w:p w14:paraId="3944A52D" w14:textId="77777777" w:rsidR="00FD41C0" w:rsidRPr="00FD41C0" w:rsidRDefault="00FD41C0" w:rsidP="00FD41C0">
      <w:pPr>
        <w:spacing w:after="120" w:line="360" w:lineRule="auto"/>
        <w:jc w:val="both"/>
        <w:rPr>
          <w:rFonts w:ascii="Arial" w:hAnsi="Arial" w:cs="Arial"/>
          <w:b/>
          <w:bCs/>
          <w:lang w:val="en-US"/>
        </w:rPr>
      </w:pPr>
    </w:p>
    <w:p w14:paraId="1981806C" w14:textId="77777777" w:rsidR="00FD41C0" w:rsidRPr="00FD41C0" w:rsidRDefault="00FD41C0" w:rsidP="00FD41C0">
      <w:pPr>
        <w:spacing w:after="120" w:line="360" w:lineRule="auto"/>
        <w:jc w:val="both"/>
        <w:rPr>
          <w:rFonts w:ascii="Arial" w:hAnsi="Arial" w:cs="Arial"/>
          <w:b/>
          <w:bCs/>
          <w:lang w:val="en-US"/>
        </w:rPr>
      </w:pPr>
      <w:r w:rsidRPr="00FD41C0">
        <w:rPr>
          <w:rFonts w:ascii="Arial" w:hAnsi="Arial" w:cs="Arial"/>
          <w:b/>
          <w:bCs/>
          <w:lang w:val="en-US"/>
        </w:rPr>
        <w:t>______________________</w:t>
      </w:r>
    </w:p>
    <w:p w14:paraId="23C4102D" w14:textId="77777777" w:rsidR="00FD41C0" w:rsidRDefault="00FD41C0" w:rsidP="00FD41C0">
      <w:pPr>
        <w:spacing w:after="120" w:line="360" w:lineRule="auto"/>
        <w:jc w:val="both"/>
        <w:rPr>
          <w:rFonts w:ascii="Arial" w:hAnsi="Arial" w:cs="Arial"/>
          <w:b/>
          <w:bCs/>
          <w:lang w:val="en-US"/>
        </w:rPr>
      </w:pPr>
      <w:r>
        <w:rPr>
          <w:rFonts w:ascii="Arial" w:hAnsi="Arial" w:cs="Arial"/>
          <w:b/>
          <w:bCs/>
          <w:lang w:val="en-US"/>
        </w:rPr>
        <w:t xml:space="preserve">            </w:t>
      </w:r>
      <w:r w:rsidRPr="00FD41C0">
        <w:rPr>
          <w:rFonts w:ascii="Arial" w:hAnsi="Arial" w:cs="Arial"/>
          <w:b/>
          <w:bCs/>
          <w:lang w:val="en-US"/>
        </w:rPr>
        <w:t>N DAVIS</w:t>
      </w:r>
    </w:p>
    <w:p w14:paraId="63734E5A" w14:textId="6E9F5EC5" w:rsidR="00FD41C0" w:rsidRPr="00FD41C0" w:rsidRDefault="00FD41C0" w:rsidP="00FD41C0">
      <w:pPr>
        <w:spacing w:after="120" w:line="360" w:lineRule="auto"/>
        <w:jc w:val="both"/>
        <w:rPr>
          <w:rFonts w:ascii="Arial" w:hAnsi="Arial" w:cs="Arial"/>
          <w:b/>
          <w:bCs/>
          <w:lang w:val="en-US"/>
        </w:rPr>
      </w:pPr>
      <w:r w:rsidRPr="00FD41C0">
        <w:rPr>
          <w:rFonts w:ascii="Arial" w:hAnsi="Arial" w:cs="Arial"/>
          <w:b/>
          <w:bCs/>
          <w:lang w:val="en-US"/>
        </w:rPr>
        <w:t>Judge of the High Court</w:t>
      </w:r>
    </w:p>
    <w:p w14:paraId="5991C1D0" w14:textId="3F2BA51E" w:rsidR="00FD41C0" w:rsidRPr="00FD41C0" w:rsidRDefault="00FD41C0" w:rsidP="00FD41C0">
      <w:pPr>
        <w:spacing w:after="120" w:line="360" w:lineRule="auto"/>
        <w:jc w:val="both"/>
        <w:rPr>
          <w:rFonts w:ascii="Arial" w:hAnsi="Arial" w:cs="Arial"/>
          <w:b/>
          <w:bCs/>
        </w:rPr>
      </w:pPr>
      <w:r w:rsidRPr="00FD41C0">
        <w:rPr>
          <w:rFonts w:ascii="Arial" w:hAnsi="Arial" w:cs="Arial"/>
          <w:b/>
          <w:bCs/>
        </w:rPr>
        <w:t>Gauteng Division, Pretoria</w:t>
      </w:r>
    </w:p>
    <w:p w14:paraId="4D8FEC30" w14:textId="77777777" w:rsidR="00FD41C0" w:rsidRDefault="00FD41C0" w:rsidP="00A4417B">
      <w:pPr>
        <w:spacing w:after="120" w:line="360" w:lineRule="auto"/>
        <w:jc w:val="both"/>
        <w:rPr>
          <w:rFonts w:ascii="Arial" w:hAnsi="Arial" w:cs="Arial"/>
          <w:b/>
          <w:bCs/>
        </w:rPr>
      </w:pPr>
    </w:p>
    <w:p w14:paraId="07C8C2C9" w14:textId="77777777" w:rsidR="007164E6" w:rsidRDefault="007164E6" w:rsidP="00A4417B">
      <w:pPr>
        <w:spacing w:after="120" w:line="360" w:lineRule="auto"/>
        <w:jc w:val="both"/>
        <w:rPr>
          <w:rFonts w:ascii="Arial" w:hAnsi="Arial" w:cs="Arial"/>
          <w:b/>
          <w:bCs/>
        </w:rPr>
      </w:pPr>
    </w:p>
    <w:p w14:paraId="7EE5BBD2" w14:textId="0E1BDA6C" w:rsidR="007164E6" w:rsidRPr="007164E6" w:rsidRDefault="007164E6" w:rsidP="00A4417B">
      <w:pPr>
        <w:spacing w:after="120" w:line="360" w:lineRule="auto"/>
        <w:jc w:val="both"/>
        <w:rPr>
          <w:rFonts w:ascii="Arial" w:hAnsi="Arial" w:cs="Arial"/>
          <w:lang w:val="en-US"/>
        </w:rPr>
      </w:pPr>
      <w:r w:rsidRPr="007164E6">
        <w:rPr>
          <w:rFonts w:ascii="Arial" w:hAnsi="Arial" w:cs="Arial"/>
          <w:lang w:val="en-US"/>
        </w:rPr>
        <w:t>COUNSEL FOR THE APP</w:t>
      </w:r>
      <w:r w:rsidR="000B7381">
        <w:rPr>
          <w:rFonts w:ascii="Arial" w:hAnsi="Arial" w:cs="Arial"/>
          <w:lang w:val="en-US"/>
        </w:rPr>
        <w:t>ELL</w:t>
      </w:r>
      <w:r w:rsidRPr="007164E6">
        <w:rPr>
          <w:rFonts w:ascii="Arial" w:hAnsi="Arial" w:cs="Arial"/>
          <w:lang w:val="en-US"/>
        </w:rPr>
        <w:t xml:space="preserve">ANT: </w:t>
      </w:r>
      <w:r w:rsidR="00AC5180">
        <w:rPr>
          <w:rFonts w:ascii="Arial" w:hAnsi="Arial" w:cs="Arial"/>
          <w:lang w:val="en-US"/>
        </w:rPr>
        <w:tab/>
      </w:r>
      <w:r w:rsidR="00AC5180">
        <w:rPr>
          <w:rFonts w:ascii="Arial" w:hAnsi="Arial" w:cs="Arial"/>
          <w:lang w:val="en-US"/>
        </w:rPr>
        <w:tab/>
        <w:t>Adv L Augustyn</w:t>
      </w:r>
      <w:r w:rsidRPr="007164E6">
        <w:rPr>
          <w:rFonts w:ascii="Arial" w:hAnsi="Arial" w:cs="Arial"/>
          <w:lang w:val="en-US"/>
        </w:rPr>
        <w:tab/>
      </w:r>
      <w:r>
        <w:rPr>
          <w:rFonts w:ascii="Arial" w:hAnsi="Arial" w:cs="Arial"/>
          <w:lang w:val="en-US"/>
        </w:rPr>
        <w:tab/>
      </w:r>
      <w:r w:rsidRPr="007164E6">
        <w:rPr>
          <w:rFonts w:ascii="Arial" w:hAnsi="Arial" w:cs="Arial"/>
          <w:lang w:val="en-US"/>
        </w:rPr>
        <w:t xml:space="preserve"> </w:t>
      </w:r>
    </w:p>
    <w:p w14:paraId="57AB5154" w14:textId="2779E6E7" w:rsidR="007164E6" w:rsidRPr="007164E6" w:rsidRDefault="007164E6" w:rsidP="00A4417B">
      <w:pPr>
        <w:spacing w:after="120" w:line="360" w:lineRule="auto"/>
        <w:jc w:val="both"/>
        <w:rPr>
          <w:rFonts w:ascii="Arial" w:hAnsi="Arial" w:cs="Arial"/>
          <w:lang w:val="en-US"/>
        </w:rPr>
      </w:pPr>
      <w:r w:rsidRPr="007164E6">
        <w:rPr>
          <w:rFonts w:ascii="Arial" w:hAnsi="Arial" w:cs="Arial"/>
          <w:lang w:val="en-US"/>
        </w:rPr>
        <w:t xml:space="preserve">INSTRUCTED BY: </w:t>
      </w:r>
      <w:r w:rsidRPr="007164E6">
        <w:rPr>
          <w:rFonts w:ascii="Arial" w:hAnsi="Arial" w:cs="Arial"/>
          <w:lang w:val="en-US"/>
        </w:rPr>
        <w:tab/>
      </w:r>
      <w:r w:rsidR="00AC5180">
        <w:rPr>
          <w:rFonts w:ascii="Arial" w:hAnsi="Arial" w:cs="Arial"/>
          <w:lang w:val="en-US"/>
        </w:rPr>
        <w:tab/>
      </w:r>
      <w:r w:rsidR="00AC5180">
        <w:rPr>
          <w:rFonts w:ascii="Arial" w:hAnsi="Arial" w:cs="Arial"/>
          <w:lang w:val="en-US"/>
        </w:rPr>
        <w:tab/>
      </w:r>
      <w:r w:rsidR="00AC5180">
        <w:rPr>
          <w:rFonts w:ascii="Arial" w:hAnsi="Arial" w:cs="Arial"/>
          <w:lang w:val="en-US"/>
        </w:rPr>
        <w:tab/>
        <w:t>Legal Aid Centre, Pretoria</w:t>
      </w:r>
      <w:r w:rsidRPr="007164E6">
        <w:rPr>
          <w:rFonts w:ascii="Arial" w:hAnsi="Arial" w:cs="Arial"/>
          <w:lang w:val="en-US"/>
        </w:rPr>
        <w:tab/>
      </w:r>
      <w:r w:rsidRPr="007164E6">
        <w:rPr>
          <w:rFonts w:ascii="Arial" w:hAnsi="Arial" w:cs="Arial"/>
          <w:lang w:val="en-US"/>
        </w:rPr>
        <w:tab/>
      </w:r>
      <w:r w:rsidRPr="007164E6">
        <w:rPr>
          <w:rFonts w:ascii="Arial" w:hAnsi="Arial" w:cs="Arial"/>
          <w:lang w:val="en-US"/>
        </w:rPr>
        <w:tab/>
      </w:r>
    </w:p>
    <w:p w14:paraId="625BE585" w14:textId="77777777" w:rsidR="007164E6" w:rsidRPr="007164E6" w:rsidRDefault="007164E6" w:rsidP="00A4417B">
      <w:pPr>
        <w:spacing w:after="120" w:line="360" w:lineRule="auto"/>
        <w:jc w:val="both"/>
        <w:rPr>
          <w:rFonts w:ascii="Arial" w:hAnsi="Arial" w:cs="Arial"/>
          <w:lang w:val="en-US"/>
        </w:rPr>
      </w:pPr>
    </w:p>
    <w:p w14:paraId="7A810FA1" w14:textId="17F7B0F3" w:rsidR="007164E6" w:rsidRPr="007164E6" w:rsidRDefault="007164E6" w:rsidP="00A4417B">
      <w:pPr>
        <w:spacing w:after="120" w:line="360" w:lineRule="auto"/>
        <w:jc w:val="both"/>
        <w:rPr>
          <w:rFonts w:ascii="Arial" w:hAnsi="Arial" w:cs="Arial"/>
          <w:lang w:val="en-US"/>
        </w:rPr>
      </w:pPr>
      <w:r w:rsidRPr="007164E6">
        <w:rPr>
          <w:rFonts w:ascii="Arial" w:hAnsi="Arial" w:cs="Arial"/>
          <w:lang w:val="en-US"/>
        </w:rPr>
        <w:t xml:space="preserve">COUNSEL FOR THE RESPONDENT: </w:t>
      </w:r>
      <w:r w:rsidR="00AC5180">
        <w:rPr>
          <w:rFonts w:ascii="Arial" w:hAnsi="Arial" w:cs="Arial"/>
          <w:lang w:val="en-US"/>
        </w:rPr>
        <w:tab/>
        <w:t>Adv A Roos</w:t>
      </w:r>
      <w:r w:rsidRPr="007164E6">
        <w:rPr>
          <w:rFonts w:ascii="Arial" w:hAnsi="Arial" w:cs="Arial"/>
          <w:lang w:val="en-US"/>
        </w:rPr>
        <w:tab/>
      </w:r>
    </w:p>
    <w:p w14:paraId="2466CCA2" w14:textId="6C75210E" w:rsidR="007164E6" w:rsidRPr="007164E6" w:rsidRDefault="007164E6" w:rsidP="00A4417B">
      <w:pPr>
        <w:spacing w:after="120" w:line="360" w:lineRule="auto"/>
        <w:jc w:val="both"/>
        <w:rPr>
          <w:rFonts w:ascii="Arial" w:hAnsi="Arial" w:cs="Arial"/>
          <w:lang w:val="en-US"/>
        </w:rPr>
      </w:pPr>
      <w:r w:rsidRPr="007164E6">
        <w:rPr>
          <w:rFonts w:ascii="Arial" w:hAnsi="Arial" w:cs="Arial"/>
          <w:lang w:val="en-US"/>
        </w:rPr>
        <w:t>INSTRUCTED BY:</w:t>
      </w:r>
      <w:r w:rsidRPr="007164E6">
        <w:rPr>
          <w:rFonts w:ascii="Arial" w:hAnsi="Arial" w:cs="Arial"/>
          <w:lang w:val="en-US"/>
        </w:rPr>
        <w:tab/>
      </w:r>
      <w:r w:rsidRPr="007164E6">
        <w:rPr>
          <w:rFonts w:ascii="Arial" w:hAnsi="Arial" w:cs="Arial"/>
          <w:lang w:val="en-US"/>
        </w:rPr>
        <w:tab/>
      </w:r>
      <w:r w:rsidR="00AC5180">
        <w:rPr>
          <w:rFonts w:ascii="Arial" w:hAnsi="Arial" w:cs="Arial"/>
          <w:lang w:val="en-US"/>
        </w:rPr>
        <w:tab/>
      </w:r>
      <w:r w:rsidR="00AC5180">
        <w:rPr>
          <w:rFonts w:ascii="Arial" w:hAnsi="Arial" w:cs="Arial"/>
          <w:lang w:val="en-US"/>
        </w:rPr>
        <w:tab/>
        <w:t xml:space="preserve">Director of Public Prosecutions, Pretoria </w:t>
      </w:r>
      <w:r w:rsidRPr="007164E6">
        <w:rPr>
          <w:rFonts w:ascii="Arial" w:hAnsi="Arial" w:cs="Arial"/>
          <w:lang w:val="en-US"/>
        </w:rPr>
        <w:tab/>
      </w:r>
      <w:r w:rsidRPr="007164E6">
        <w:rPr>
          <w:rFonts w:ascii="Arial" w:hAnsi="Arial" w:cs="Arial"/>
          <w:lang w:val="en-US"/>
        </w:rPr>
        <w:tab/>
      </w:r>
    </w:p>
    <w:p w14:paraId="16C515F5" w14:textId="77777777" w:rsidR="007164E6" w:rsidRPr="007164E6" w:rsidRDefault="007164E6" w:rsidP="00A4417B">
      <w:pPr>
        <w:spacing w:after="120" w:line="360" w:lineRule="auto"/>
        <w:jc w:val="both"/>
        <w:rPr>
          <w:rFonts w:ascii="Arial" w:hAnsi="Arial" w:cs="Arial"/>
          <w:lang w:val="en-US"/>
        </w:rPr>
      </w:pPr>
    </w:p>
    <w:p w14:paraId="21E806D6" w14:textId="7A2A193A" w:rsidR="007164E6" w:rsidRPr="007164E6" w:rsidRDefault="007164E6" w:rsidP="00A4417B">
      <w:pPr>
        <w:spacing w:after="120" w:line="360" w:lineRule="auto"/>
        <w:jc w:val="both"/>
        <w:rPr>
          <w:rFonts w:ascii="Arial" w:hAnsi="Arial" w:cs="Arial"/>
          <w:lang w:val="en-US"/>
        </w:rPr>
      </w:pPr>
      <w:r w:rsidRPr="007164E6">
        <w:rPr>
          <w:rFonts w:ascii="Arial" w:hAnsi="Arial" w:cs="Arial"/>
          <w:lang w:val="en-US"/>
        </w:rPr>
        <w:t>DATE OF THE HEARING:</w:t>
      </w:r>
      <w:r>
        <w:rPr>
          <w:rFonts w:ascii="Arial" w:hAnsi="Arial" w:cs="Arial"/>
          <w:lang w:val="en-US"/>
        </w:rPr>
        <w:tab/>
      </w:r>
      <w:r w:rsidRPr="007164E6">
        <w:rPr>
          <w:rFonts w:ascii="Arial" w:hAnsi="Arial" w:cs="Arial"/>
          <w:lang w:val="en-US"/>
        </w:rPr>
        <w:t xml:space="preserve"> </w:t>
      </w:r>
      <w:r w:rsidRPr="007164E6">
        <w:rPr>
          <w:rFonts w:ascii="Arial" w:hAnsi="Arial" w:cs="Arial"/>
          <w:lang w:val="en-US"/>
        </w:rPr>
        <w:tab/>
      </w:r>
      <w:r w:rsidRPr="007164E6">
        <w:rPr>
          <w:rFonts w:ascii="Arial" w:hAnsi="Arial" w:cs="Arial"/>
          <w:lang w:val="en-US"/>
        </w:rPr>
        <w:tab/>
      </w:r>
      <w:r w:rsidR="000B7381">
        <w:rPr>
          <w:rFonts w:ascii="Arial" w:hAnsi="Arial" w:cs="Arial"/>
          <w:lang w:val="en-US"/>
        </w:rPr>
        <w:t>29</w:t>
      </w:r>
      <w:r w:rsidRPr="007164E6">
        <w:rPr>
          <w:rFonts w:ascii="Arial" w:hAnsi="Arial" w:cs="Arial"/>
          <w:lang w:val="en-US"/>
        </w:rPr>
        <w:t xml:space="preserve"> January 2024</w:t>
      </w:r>
    </w:p>
    <w:p w14:paraId="54B515D3" w14:textId="27C633A9" w:rsidR="007C7660" w:rsidRPr="007164E6" w:rsidRDefault="007164E6" w:rsidP="00A4417B">
      <w:pPr>
        <w:spacing w:after="120" w:line="360" w:lineRule="auto"/>
        <w:jc w:val="both"/>
        <w:rPr>
          <w:rFonts w:ascii="Arial" w:hAnsi="Arial" w:cs="Arial"/>
          <w:lang w:val="en-US"/>
        </w:rPr>
      </w:pPr>
      <w:r w:rsidRPr="007164E6">
        <w:rPr>
          <w:rFonts w:ascii="Arial" w:hAnsi="Arial" w:cs="Arial"/>
          <w:lang w:val="en-US"/>
        </w:rPr>
        <w:t>DATE OF JUDGMENT:</w:t>
      </w:r>
      <w:r w:rsidRPr="007164E6">
        <w:rPr>
          <w:rFonts w:ascii="Arial" w:hAnsi="Arial" w:cs="Arial"/>
          <w:lang w:val="en-US"/>
        </w:rPr>
        <w:tab/>
      </w:r>
      <w:r w:rsidRPr="007164E6">
        <w:rPr>
          <w:rFonts w:ascii="Arial" w:hAnsi="Arial" w:cs="Arial"/>
          <w:lang w:val="en-US"/>
        </w:rPr>
        <w:tab/>
      </w:r>
      <w:r w:rsidRPr="007164E6">
        <w:rPr>
          <w:rFonts w:ascii="Arial" w:hAnsi="Arial" w:cs="Arial"/>
          <w:lang w:val="en-US"/>
        </w:rPr>
        <w:tab/>
        <w:t xml:space="preserve"> </w:t>
      </w:r>
      <w:r w:rsidR="00AB0245">
        <w:rPr>
          <w:rFonts w:ascii="Arial" w:hAnsi="Arial" w:cs="Arial"/>
          <w:lang w:val="en-US"/>
        </w:rPr>
        <w:t xml:space="preserve">…… March </w:t>
      </w:r>
      <w:r w:rsidRPr="007164E6">
        <w:rPr>
          <w:rFonts w:ascii="Arial" w:hAnsi="Arial" w:cs="Arial"/>
          <w:lang w:val="en-US"/>
        </w:rPr>
        <w:t xml:space="preserve">2024 </w:t>
      </w:r>
      <w:bookmarkEnd w:id="0"/>
    </w:p>
    <w:sectPr w:rsidR="007C7660" w:rsidRPr="007164E6" w:rsidSect="00A773A9">
      <w:head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B8A1DF" w14:textId="77777777" w:rsidR="00A00BBA" w:rsidRDefault="00A00BBA" w:rsidP="00B3509B">
      <w:pPr>
        <w:spacing w:after="0" w:line="240" w:lineRule="auto"/>
      </w:pPr>
      <w:r>
        <w:separator/>
      </w:r>
    </w:p>
  </w:endnote>
  <w:endnote w:type="continuationSeparator" w:id="0">
    <w:p w14:paraId="266591CC" w14:textId="77777777" w:rsidR="00A00BBA" w:rsidRDefault="00A00BBA" w:rsidP="00B35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040E14" w14:textId="77777777" w:rsidR="00A00BBA" w:rsidRDefault="00A00BBA" w:rsidP="00B3509B">
      <w:pPr>
        <w:spacing w:after="0" w:line="240" w:lineRule="auto"/>
      </w:pPr>
      <w:r>
        <w:separator/>
      </w:r>
    </w:p>
  </w:footnote>
  <w:footnote w:type="continuationSeparator" w:id="0">
    <w:p w14:paraId="244681C1" w14:textId="77777777" w:rsidR="00A00BBA" w:rsidRDefault="00A00BBA" w:rsidP="00B3509B">
      <w:pPr>
        <w:spacing w:after="0" w:line="240" w:lineRule="auto"/>
      </w:pPr>
      <w:r>
        <w:continuationSeparator/>
      </w:r>
    </w:p>
  </w:footnote>
  <w:footnote w:id="1">
    <w:p w14:paraId="168588D8" w14:textId="50877FAC" w:rsidR="00F265B6" w:rsidRPr="00CE03CB" w:rsidRDefault="00F265B6" w:rsidP="00CE03CB">
      <w:pPr>
        <w:pStyle w:val="FootnoteText"/>
        <w:spacing w:after="120" w:line="360" w:lineRule="auto"/>
        <w:rPr>
          <w:rFonts w:ascii="Arial" w:hAnsi="Arial" w:cs="Arial"/>
          <w:lang w:val="en-US"/>
        </w:rPr>
      </w:pPr>
      <w:r w:rsidRPr="00CE03CB">
        <w:rPr>
          <w:rStyle w:val="FootnoteReference"/>
          <w:rFonts w:ascii="Arial" w:hAnsi="Arial" w:cs="Arial"/>
        </w:rPr>
        <w:footnoteRef/>
      </w:r>
      <w:r w:rsidRPr="00CE03CB">
        <w:rPr>
          <w:rFonts w:ascii="Arial" w:hAnsi="Arial" w:cs="Arial"/>
        </w:rPr>
        <w:t xml:space="preserve"> </w:t>
      </w:r>
      <w:r w:rsidRPr="00CE03CB">
        <w:rPr>
          <w:rFonts w:ascii="Arial" w:hAnsi="Arial" w:cs="Arial"/>
          <w:lang w:val="en-US"/>
        </w:rPr>
        <w:t xml:space="preserve">Judgment </w:t>
      </w:r>
      <w:r w:rsidRPr="00CE03CB">
        <w:rPr>
          <w:rFonts w:ascii="Arial" w:hAnsi="Arial" w:cs="Arial"/>
          <w:i/>
          <w:iCs/>
          <w:lang w:val="en-US"/>
        </w:rPr>
        <w:t>a quo</w:t>
      </w:r>
      <w:r w:rsidR="00341101" w:rsidRPr="00CE03CB">
        <w:rPr>
          <w:rFonts w:ascii="Arial" w:hAnsi="Arial" w:cs="Arial"/>
          <w:lang w:val="en-US"/>
        </w:rPr>
        <w:t xml:space="preserve"> p 4, Record Vol 5 p 341.</w:t>
      </w:r>
    </w:p>
  </w:footnote>
  <w:footnote w:id="2">
    <w:p w14:paraId="559945C7" w14:textId="0055E570" w:rsidR="006E638E" w:rsidRPr="00CE03CB" w:rsidRDefault="006E638E" w:rsidP="00CE03CB">
      <w:pPr>
        <w:pStyle w:val="FootnoteText"/>
        <w:spacing w:after="120" w:line="360" w:lineRule="auto"/>
        <w:rPr>
          <w:rFonts w:ascii="Arial" w:hAnsi="Arial" w:cs="Arial"/>
          <w:lang w:val="en-US"/>
        </w:rPr>
      </w:pPr>
      <w:r w:rsidRPr="00CE03CB">
        <w:rPr>
          <w:rStyle w:val="FootnoteReference"/>
          <w:rFonts w:ascii="Arial" w:hAnsi="Arial" w:cs="Arial"/>
        </w:rPr>
        <w:footnoteRef/>
      </w:r>
      <w:r w:rsidRPr="00CE03CB">
        <w:rPr>
          <w:rFonts w:ascii="Arial" w:hAnsi="Arial" w:cs="Arial"/>
        </w:rPr>
        <w:t xml:space="preserve"> </w:t>
      </w:r>
      <w:r w:rsidRPr="00CE03CB">
        <w:rPr>
          <w:rFonts w:ascii="Arial" w:hAnsi="Arial" w:cs="Arial"/>
          <w:i/>
          <w:iCs/>
          <w:lang w:val="en-US"/>
        </w:rPr>
        <w:t>S v Molimi</w:t>
      </w:r>
      <w:r w:rsidRPr="00CE03CB">
        <w:rPr>
          <w:rFonts w:ascii="Arial" w:hAnsi="Arial" w:cs="Arial"/>
          <w:lang w:val="en-US"/>
        </w:rPr>
        <w:t xml:space="preserve"> </w:t>
      </w:r>
      <w:r w:rsidR="00242862" w:rsidRPr="00CE03CB">
        <w:rPr>
          <w:rFonts w:ascii="Arial" w:hAnsi="Arial" w:cs="Arial"/>
        </w:rPr>
        <w:t xml:space="preserve">2008 (3) SA 608 (CC) </w:t>
      </w:r>
      <w:r w:rsidRPr="00CE03CB">
        <w:rPr>
          <w:rFonts w:ascii="Arial" w:hAnsi="Arial" w:cs="Arial"/>
          <w:lang w:val="en-US"/>
        </w:rPr>
        <w:t>at para [30]</w:t>
      </w:r>
      <w:r w:rsidR="00176DFF" w:rsidRPr="00CE03CB">
        <w:rPr>
          <w:rFonts w:ascii="Arial" w:hAnsi="Arial" w:cs="Arial"/>
          <w:lang w:val="en-US"/>
        </w:rPr>
        <w:t>.</w:t>
      </w:r>
    </w:p>
  </w:footnote>
  <w:footnote w:id="3">
    <w:p w14:paraId="3F84F66D" w14:textId="1EB46305" w:rsidR="006E638E" w:rsidRPr="00CE03CB" w:rsidRDefault="006E638E" w:rsidP="00CE03CB">
      <w:pPr>
        <w:pStyle w:val="FootnoteText"/>
        <w:spacing w:after="120" w:line="360" w:lineRule="auto"/>
        <w:rPr>
          <w:rFonts w:ascii="Arial" w:hAnsi="Arial" w:cs="Arial"/>
          <w:lang w:val="en-US"/>
        </w:rPr>
      </w:pPr>
      <w:r w:rsidRPr="00CE03CB">
        <w:rPr>
          <w:rStyle w:val="FootnoteReference"/>
          <w:rFonts w:ascii="Arial" w:hAnsi="Arial" w:cs="Arial"/>
        </w:rPr>
        <w:footnoteRef/>
      </w:r>
      <w:r w:rsidRPr="00CE03CB">
        <w:rPr>
          <w:rFonts w:ascii="Arial" w:hAnsi="Arial" w:cs="Arial"/>
        </w:rPr>
        <w:t xml:space="preserve"> </w:t>
      </w:r>
      <w:r w:rsidR="00176DFF" w:rsidRPr="00CE03CB">
        <w:rPr>
          <w:rFonts w:ascii="Arial" w:hAnsi="Arial" w:cs="Arial"/>
          <w:i/>
          <w:iCs/>
        </w:rPr>
        <w:t>R v Baartman</w:t>
      </w:r>
      <w:r w:rsidR="00176DFF" w:rsidRPr="00CE03CB">
        <w:rPr>
          <w:rFonts w:ascii="Arial" w:hAnsi="Arial" w:cs="Arial"/>
        </w:rPr>
        <w:t xml:space="preserve"> 1960 (3) SA 535 (A) at 542B-E; </w:t>
      </w:r>
      <w:r w:rsidR="00176DFF" w:rsidRPr="00CE03CB">
        <w:rPr>
          <w:rFonts w:ascii="Arial" w:hAnsi="Arial" w:cs="Arial"/>
          <w:i/>
          <w:iCs/>
        </w:rPr>
        <w:t xml:space="preserve">S v Serobe </w:t>
      </w:r>
      <w:r w:rsidR="00176DFF" w:rsidRPr="00CE03CB">
        <w:rPr>
          <w:rFonts w:ascii="Arial" w:hAnsi="Arial" w:cs="Arial"/>
        </w:rPr>
        <w:t>1968 (4) SA 420 (A)</w:t>
      </w:r>
      <w:r w:rsidR="00176DFF" w:rsidRPr="00CE03CB">
        <w:rPr>
          <w:rFonts w:ascii="Arial" w:eastAsiaTheme="minorHAnsi" w:hAnsi="Arial" w:cs="Arial"/>
          <w:color w:val="242121"/>
          <w:sz w:val="22"/>
          <w:szCs w:val="22"/>
          <w:shd w:val="clear" w:color="auto" w:fill="FFFFFF"/>
          <w:lang w:eastAsia="en-US"/>
        </w:rPr>
        <w:t xml:space="preserve"> </w:t>
      </w:r>
      <w:r w:rsidR="00176DFF" w:rsidRPr="00CE03CB">
        <w:rPr>
          <w:rFonts w:ascii="Arial" w:hAnsi="Arial" w:cs="Arial"/>
        </w:rPr>
        <w:t>at 425A-H.</w:t>
      </w:r>
    </w:p>
  </w:footnote>
  <w:footnote w:id="4">
    <w:p w14:paraId="1629EC61" w14:textId="01E3E528" w:rsidR="00176DFF" w:rsidRPr="00CE03CB" w:rsidRDefault="00176DFF" w:rsidP="00CE03CB">
      <w:pPr>
        <w:pStyle w:val="FootnoteText"/>
        <w:spacing w:after="120" w:line="360" w:lineRule="auto"/>
        <w:rPr>
          <w:rFonts w:ascii="Arial" w:hAnsi="Arial" w:cs="Arial"/>
          <w:lang w:val="en-US"/>
        </w:rPr>
      </w:pPr>
      <w:r w:rsidRPr="00CE03CB">
        <w:rPr>
          <w:rStyle w:val="FootnoteReference"/>
          <w:rFonts w:ascii="Arial" w:hAnsi="Arial" w:cs="Arial"/>
        </w:rPr>
        <w:footnoteRef/>
      </w:r>
      <w:r w:rsidRPr="00CE03CB">
        <w:rPr>
          <w:rFonts w:ascii="Arial" w:hAnsi="Arial" w:cs="Arial"/>
        </w:rPr>
        <w:t xml:space="preserve"> </w:t>
      </w:r>
      <w:r w:rsidRPr="00CE03CB">
        <w:rPr>
          <w:rFonts w:ascii="Arial" w:hAnsi="Arial" w:cs="Arial"/>
          <w:i/>
          <w:iCs/>
          <w:lang w:val="en-US"/>
        </w:rPr>
        <w:t>S v Makeba</w:t>
      </w:r>
      <w:r w:rsidRPr="00CE03CB">
        <w:rPr>
          <w:rFonts w:ascii="Arial" w:hAnsi="Arial" w:cs="Arial"/>
          <w:lang w:val="en-US"/>
        </w:rPr>
        <w:t xml:space="preserve"> 2003 (2) SACR 128 (SCA)</w:t>
      </w:r>
      <w:r w:rsidR="00E85D60" w:rsidRPr="00CE03CB">
        <w:rPr>
          <w:rFonts w:ascii="Arial" w:hAnsi="Arial" w:cs="Arial"/>
          <w:lang w:val="en-US"/>
        </w:rPr>
        <w:t xml:space="preserve"> at para [14]</w:t>
      </w:r>
      <w:r w:rsidRPr="00CE03CB">
        <w:rPr>
          <w:rFonts w:ascii="Arial" w:hAnsi="Arial" w:cs="Arial"/>
          <w:lang w:val="en-US"/>
        </w:rPr>
        <w:t>.</w:t>
      </w:r>
    </w:p>
  </w:footnote>
  <w:footnote w:id="5">
    <w:p w14:paraId="05E8F4A8" w14:textId="3C8DDAC9" w:rsidR="003D6CDD" w:rsidRPr="00CE03CB" w:rsidRDefault="003D6CDD" w:rsidP="00CE03CB">
      <w:pPr>
        <w:pStyle w:val="FootnoteText"/>
        <w:spacing w:after="120" w:line="360" w:lineRule="auto"/>
        <w:rPr>
          <w:rFonts w:ascii="Arial" w:hAnsi="Arial" w:cs="Arial"/>
          <w:lang w:val="en-US"/>
        </w:rPr>
      </w:pPr>
      <w:r w:rsidRPr="00CE03CB">
        <w:rPr>
          <w:rStyle w:val="FootnoteReference"/>
          <w:rFonts w:ascii="Arial" w:hAnsi="Arial" w:cs="Arial"/>
        </w:rPr>
        <w:footnoteRef/>
      </w:r>
      <w:r w:rsidRPr="00CE03CB">
        <w:rPr>
          <w:rFonts w:ascii="Arial" w:hAnsi="Arial" w:cs="Arial"/>
        </w:rPr>
        <w:t xml:space="preserve"> </w:t>
      </w:r>
      <w:r w:rsidRPr="00CE03CB">
        <w:rPr>
          <w:rFonts w:ascii="Arial" w:hAnsi="Arial" w:cs="Arial"/>
          <w:i/>
          <w:iCs/>
          <w:lang w:val="en-US"/>
        </w:rPr>
        <w:t xml:space="preserve">R v Becker </w:t>
      </w:r>
      <w:r w:rsidRPr="00CE03CB">
        <w:rPr>
          <w:rFonts w:ascii="Arial" w:hAnsi="Arial" w:cs="Arial"/>
          <w:lang w:val="en-US"/>
        </w:rPr>
        <w:t>1929 AD 167 at 171.</w:t>
      </w:r>
    </w:p>
  </w:footnote>
  <w:footnote w:id="6">
    <w:p w14:paraId="450EB58D" w14:textId="1E9942AF" w:rsidR="003D6CDD" w:rsidRPr="00CE03CB" w:rsidRDefault="003D6CDD" w:rsidP="00CE03CB">
      <w:pPr>
        <w:pStyle w:val="FootnoteText"/>
        <w:spacing w:after="120" w:line="360" w:lineRule="auto"/>
        <w:rPr>
          <w:rFonts w:ascii="Arial" w:hAnsi="Arial" w:cs="Arial"/>
          <w:lang w:val="en-US"/>
        </w:rPr>
      </w:pPr>
      <w:r w:rsidRPr="00CE03CB">
        <w:rPr>
          <w:rStyle w:val="FootnoteReference"/>
          <w:rFonts w:ascii="Arial" w:hAnsi="Arial" w:cs="Arial"/>
        </w:rPr>
        <w:footnoteRef/>
      </w:r>
      <w:r w:rsidRPr="00CE03CB">
        <w:rPr>
          <w:rFonts w:ascii="Arial" w:hAnsi="Arial" w:cs="Arial"/>
        </w:rPr>
        <w:t xml:space="preserve"> </w:t>
      </w:r>
      <w:r w:rsidRPr="00CE03CB">
        <w:rPr>
          <w:rFonts w:ascii="Arial" w:hAnsi="Arial" w:cs="Arial"/>
          <w:i/>
          <w:iCs/>
          <w:lang w:val="en-US"/>
        </w:rPr>
        <w:t>S v Molimi</w:t>
      </w:r>
      <w:r w:rsidR="003772D9" w:rsidRPr="00CE03CB">
        <w:rPr>
          <w:rFonts w:ascii="Arial" w:hAnsi="Arial" w:cs="Arial"/>
          <w:i/>
          <w:iCs/>
          <w:lang w:val="en-US"/>
        </w:rPr>
        <w:t xml:space="preserve"> </w:t>
      </w:r>
      <w:r w:rsidR="003772D9" w:rsidRPr="00CE03CB">
        <w:rPr>
          <w:rFonts w:ascii="Arial" w:hAnsi="Arial" w:cs="Arial"/>
          <w:lang w:val="en-US"/>
        </w:rPr>
        <w:t>(above) at para [</w:t>
      </w:r>
      <w:r w:rsidR="00363CE8" w:rsidRPr="00CE03CB">
        <w:rPr>
          <w:rFonts w:ascii="Arial" w:hAnsi="Arial" w:cs="Arial"/>
          <w:lang w:val="en-US"/>
        </w:rPr>
        <w:t>28].</w:t>
      </w:r>
    </w:p>
  </w:footnote>
  <w:footnote w:id="7">
    <w:p w14:paraId="783CE313" w14:textId="4FB6B73C" w:rsidR="00E455A7" w:rsidRPr="00CE03CB" w:rsidRDefault="00E455A7" w:rsidP="00CE03CB">
      <w:pPr>
        <w:pStyle w:val="FootnoteText"/>
        <w:spacing w:after="120" w:line="360" w:lineRule="auto"/>
        <w:rPr>
          <w:rFonts w:ascii="Arial" w:hAnsi="Arial" w:cs="Arial"/>
          <w:lang w:val="en-US"/>
        </w:rPr>
      </w:pPr>
      <w:r w:rsidRPr="00CE03CB">
        <w:rPr>
          <w:rStyle w:val="FootnoteReference"/>
          <w:rFonts w:ascii="Arial" w:hAnsi="Arial" w:cs="Arial"/>
        </w:rPr>
        <w:footnoteRef/>
      </w:r>
      <w:r w:rsidRPr="00CE03CB">
        <w:rPr>
          <w:rFonts w:ascii="Arial" w:hAnsi="Arial" w:cs="Arial"/>
        </w:rPr>
        <w:t xml:space="preserve"> </w:t>
      </w:r>
      <w:r w:rsidRPr="00CE03CB">
        <w:rPr>
          <w:rFonts w:ascii="Arial" w:hAnsi="Arial" w:cs="Arial"/>
          <w:i/>
          <w:iCs/>
          <w:lang w:val="en-US"/>
        </w:rPr>
        <w:t>S v Grove-Mitchell</w:t>
      </w:r>
      <w:r w:rsidRPr="00CE03CB">
        <w:rPr>
          <w:rFonts w:ascii="Arial" w:hAnsi="Arial" w:cs="Arial"/>
          <w:lang w:val="en-US"/>
        </w:rPr>
        <w:t xml:space="preserve"> 1975 (3) SA 417 (A).</w:t>
      </w:r>
    </w:p>
  </w:footnote>
  <w:footnote w:id="8">
    <w:p w14:paraId="5C2C0785" w14:textId="4905474B" w:rsidR="00242862" w:rsidRPr="00CE03CB" w:rsidRDefault="00242862" w:rsidP="00CE03CB">
      <w:pPr>
        <w:pStyle w:val="FootnoteText"/>
        <w:spacing w:after="120" w:line="360" w:lineRule="auto"/>
        <w:rPr>
          <w:rFonts w:ascii="Arial" w:hAnsi="Arial" w:cs="Arial"/>
          <w:lang w:val="en-US"/>
        </w:rPr>
      </w:pPr>
      <w:r w:rsidRPr="00CE03CB">
        <w:rPr>
          <w:rStyle w:val="FootnoteReference"/>
          <w:rFonts w:ascii="Arial" w:hAnsi="Arial" w:cs="Arial"/>
        </w:rPr>
        <w:footnoteRef/>
      </w:r>
      <w:r w:rsidRPr="00CE03CB">
        <w:rPr>
          <w:rFonts w:ascii="Arial" w:hAnsi="Arial" w:cs="Arial"/>
        </w:rPr>
        <w:t xml:space="preserve"> </w:t>
      </w:r>
      <w:r w:rsidRPr="00CE03CB">
        <w:rPr>
          <w:rFonts w:ascii="Arial" w:hAnsi="Arial" w:cs="Arial"/>
          <w:lang w:val="en-US"/>
        </w:rPr>
        <w:t xml:space="preserve">Schwikkard PJ and Van der Merwe SE </w:t>
      </w:r>
      <w:r w:rsidRPr="00CE03CB">
        <w:rPr>
          <w:rFonts w:ascii="Arial" w:hAnsi="Arial" w:cs="Arial"/>
          <w:i/>
          <w:iCs/>
          <w:lang w:val="en-US"/>
        </w:rPr>
        <w:t xml:space="preserve">Principles of Evidence </w:t>
      </w:r>
      <w:r w:rsidRPr="00CE03CB">
        <w:rPr>
          <w:rFonts w:ascii="Arial" w:hAnsi="Arial" w:cs="Arial"/>
          <w:lang w:val="en-US"/>
        </w:rPr>
        <w:t>(3</w:t>
      </w:r>
      <w:r w:rsidRPr="00CE03CB">
        <w:rPr>
          <w:rFonts w:ascii="Arial" w:hAnsi="Arial" w:cs="Arial"/>
          <w:vertAlign w:val="superscript"/>
          <w:lang w:val="en-US"/>
        </w:rPr>
        <w:t>rd</w:t>
      </w:r>
      <w:r w:rsidRPr="00CE03CB">
        <w:rPr>
          <w:rFonts w:ascii="Arial" w:hAnsi="Arial" w:cs="Arial"/>
          <w:lang w:val="en-US"/>
        </w:rPr>
        <w:t xml:space="preserve"> ed 2012) Cape Town: Juta at 305.</w:t>
      </w:r>
    </w:p>
  </w:footnote>
  <w:footnote w:id="9">
    <w:p w14:paraId="64C7A258" w14:textId="789FEEEA" w:rsidR="00A17C64" w:rsidRPr="00CE03CB" w:rsidRDefault="00A17C64" w:rsidP="00CE03CB">
      <w:pPr>
        <w:pStyle w:val="FootnoteText"/>
        <w:spacing w:after="120" w:line="360" w:lineRule="auto"/>
        <w:rPr>
          <w:rFonts w:ascii="Arial" w:hAnsi="Arial" w:cs="Arial"/>
          <w:lang w:val="en-US"/>
        </w:rPr>
      </w:pPr>
      <w:r w:rsidRPr="00CE03CB">
        <w:rPr>
          <w:rStyle w:val="FootnoteReference"/>
          <w:rFonts w:ascii="Arial" w:hAnsi="Arial" w:cs="Arial"/>
        </w:rPr>
        <w:footnoteRef/>
      </w:r>
      <w:r w:rsidRPr="00CE03CB">
        <w:rPr>
          <w:rFonts w:ascii="Arial" w:hAnsi="Arial" w:cs="Arial"/>
        </w:rPr>
        <w:t xml:space="preserve"> </w:t>
      </w:r>
      <w:r w:rsidR="003772D9" w:rsidRPr="00CE03CB">
        <w:rPr>
          <w:rFonts w:ascii="Arial" w:hAnsi="Arial" w:cs="Arial"/>
          <w:i/>
          <w:iCs/>
        </w:rPr>
        <w:t>Mdani v Allianz Insurance Ltd</w:t>
      </w:r>
      <w:r w:rsidR="003772D9" w:rsidRPr="00CE03CB">
        <w:rPr>
          <w:rFonts w:ascii="Arial" w:hAnsi="Arial" w:cs="Arial"/>
        </w:rPr>
        <w:t xml:space="preserve"> 1991 (1) SA 184 (A)</w:t>
      </w:r>
      <w:r w:rsidR="00363CE8" w:rsidRPr="00CE03CB">
        <w:rPr>
          <w:rFonts w:ascii="Arial" w:hAnsi="Arial" w:cs="Arial"/>
        </w:rPr>
        <w:t>.</w:t>
      </w:r>
    </w:p>
  </w:footnote>
  <w:footnote w:id="10">
    <w:p w14:paraId="4784842F" w14:textId="3EAFEC8D" w:rsidR="00545DEB" w:rsidRPr="00CE03CB" w:rsidRDefault="00545DEB" w:rsidP="00CE03CB">
      <w:pPr>
        <w:pStyle w:val="FootnoteText"/>
        <w:spacing w:after="120" w:line="360" w:lineRule="auto"/>
        <w:rPr>
          <w:rFonts w:ascii="Arial" w:hAnsi="Arial" w:cs="Arial"/>
          <w:lang w:val="en-US"/>
        </w:rPr>
      </w:pPr>
      <w:r w:rsidRPr="00CE03CB">
        <w:rPr>
          <w:rStyle w:val="FootnoteReference"/>
          <w:rFonts w:ascii="Arial" w:hAnsi="Arial" w:cs="Arial"/>
        </w:rPr>
        <w:footnoteRef/>
      </w:r>
      <w:r w:rsidRPr="00CE03CB">
        <w:rPr>
          <w:rFonts w:ascii="Arial" w:hAnsi="Arial" w:cs="Arial"/>
        </w:rPr>
        <w:t xml:space="preserve"> </w:t>
      </w:r>
      <w:r w:rsidR="00363CE8" w:rsidRPr="00CE03CB">
        <w:rPr>
          <w:rFonts w:ascii="Arial" w:hAnsi="Arial" w:cs="Arial"/>
        </w:rPr>
        <w:t xml:space="preserve">Judgment </w:t>
      </w:r>
      <w:r w:rsidR="00363CE8" w:rsidRPr="00CE03CB">
        <w:rPr>
          <w:rFonts w:ascii="Arial" w:hAnsi="Arial" w:cs="Arial"/>
          <w:i/>
          <w:iCs/>
        </w:rPr>
        <w:t>a quo</w:t>
      </w:r>
      <w:r w:rsidR="00363CE8" w:rsidRPr="00CE03CB">
        <w:rPr>
          <w:rFonts w:ascii="Arial" w:hAnsi="Arial" w:cs="Arial"/>
        </w:rPr>
        <w:t xml:space="preserve"> p </w:t>
      </w:r>
      <w:r w:rsidR="00B811C2" w:rsidRPr="00CE03CB">
        <w:rPr>
          <w:rFonts w:ascii="Arial" w:hAnsi="Arial" w:cs="Arial"/>
        </w:rPr>
        <w:t>8, Record vol 5 p 345.</w:t>
      </w:r>
    </w:p>
  </w:footnote>
  <w:footnote w:id="11">
    <w:p w14:paraId="4718AC62" w14:textId="1B010E5A" w:rsidR="002D4C38" w:rsidRPr="00CE03CB" w:rsidRDefault="002D4C38" w:rsidP="00CE03CB">
      <w:pPr>
        <w:pStyle w:val="FootnoteText"/>
        <w:spacing w:after="120" w:line="360" w:lineRule="auto"/>
        <w:rPr>
          <w:rFonts w:ascii="Arial" w:hAnsi="Arial" w:cs="Arial"/>
          <w:lang w:val="en-US"/>
        </w:rPr>
      </w:pPr>
      <w:r w:rsidRPr="00CE03CB">
        <w:rPr>
          <w:rStyle w:val="FootnoteReference"/>
          <w:rFonts w:ascii="Arial" w:hAnsi="Arial" w:cs="Arial"/>
        </w:rPr>
        <w:footnoteRef/>
      </w:r>
      <w:r w:rsidRPr="00CE03CB">
        <w:rPr>
          <w:rFonts w:ascii="Arial" w:hAnsi="Arial" w:cs="Arial"/>
        </w:rPr>
        <w:t xml:space="preserve"> </w:t>
      </w:r>
      <w:r w:rsidRPr="00CE03CB">
        <w:rPr>
          <w:rFonts w:ascii="Arial" w:hAnsi="Arial" w:cs="Arial"/>
          <w:i/>
          <w:iCs/>
        </w:rPr>
        <w:t>S v Thebus and Another</w:t>
      </w:r>
      <w:r w:rsidRPr="00CE03CB">
        <w:rPr>
          <w:rFonts w:ascii="Arial" w:hAnsi="Arial" w:cs="Arial"/>
        </w:rPr>
        <w:t xml:space="preserve"> 2003 (6) SA 505 (CC) at para [18].</w:t>
      </w:r>
    </w:p>
  </w:footnote>
  <w:footnote w:id="12">
    <w:p w14:paraId="1F57E494" w14:textId="242004AF" w:rsidR="005826B8" w:rsidRPr="00CE03CB" w:rsidRDefault="005826B8" w:rsidP="00CE03CB">
      <w:pPr>
        <w:pStyle w:val="FootnoteText"/>
        <w:spacing w:after="120" w:line="360" w:lineRule="auto"/>
        <w:rPr>
          <w:rFonts w:ascii="Arial" w:hAnsi="Arial" w:cs="Arial"/>
          <w:lang w:val="en-US"/>
        </w:rPr>
      </w:pPr>
      <w:r w:rsidRPr="00CE03CB">
        <w:rPr>
          <w:rStyle w:val="FootnoteReference"/>
          <w:rFonts w:ascii="Arial" w:hAnsi="Arial" w:cs="Arial"/>
        </w:rPr>
        <w:footnoteRef/>
      </w:r>
      <w:r w:rsidRPr="00CE03CB">
        <w:rPr>
          <w:rFonts w:ascii="Arial" w:hAnsi="Arial" w:cs="Arial"/>
        </w:rPr>
        <w:t xml:space="preserve"> </w:t>
      </w:r>
      <w:r w:rsidRPr="00CE03CB">
        <w:rPr>
          <w:rFonts w:ascii="Arial" w:hAnsi="Arial" w:cs="Arial"/>
          <w:lang w:val="en-US"/>
        </w:rPr>
        <w:t xml:space="preserve">The judgment of the Supreme Court of Appeal in </w:t>
      </w:r>
      <w:r w:rsidRPr="00CE03CB">
        <w:rPr>
          <w:rFonts w:ascii="Arial" w:hAnsi="Arial" w:cs="Arial"/>
          <w:i/>
          <w:iCs/>
          <w:lang w:val="en-US"/>
        </w:rPr>
        <w:t>Molimi</w:t>
      </w:r>
      <w:r w:rsidRPr="00CE03CB">
        <w:rPr>
          <w:rFonts w:ascii="Arial" w:hAnsi="Arial" w:cs="Arial"/>
          <w:lang w:val="en-US"/>
        </w:rPr>
        <w:t xml:space="preserve"> (above) (</w:t>
      </w:r>
      <w:r w:rsidRPr="00CE03CB">
        <w:rPr>
          <w:rFonts w:ascii="Arial" w:hAnsi="Arial" w:cs="Arial"/>
          <w:i/>
          <w:iCs/>
        </w:rPr>
        <w:t>S v Molimi</w:t>
      </w:r>
      <w:r w:rsidRPr="00CE03CB">
        <w:rPr>
          <w:rFonts w:ascii="Arial" w:hAnsi="Arial" w:cs="Arial"/>
        </w:rPr>
        <w:t> </w:t>
      </w:r>
      <w:r w:rsidRPr="00CE03CB">
        <w:rPr>
          <w:rFonts w:ascii="Arial" w:hAnsi="Arial" w:cs="Arial"/>
          <w:i/>
          <w:iCs/>
        </w:rPr>
        <w:t>and Another</w:t>
      </w:r>
      <w:r w:rsidRPr="00CE03CB">
        <w:rPr>
          <w:rFonts w:ascii="Arial" w:hAnsi="Arial" w:cs="Arial"/>
        </w:rPr>
        <w:t> 2006 (2) SACR 8 (SCA)) illustrates a case where agreement on a common criminal enterprise led to criminal liability being attributed also to accused who had not actually committed the murder (at para [34]).</w:t>
      </w:r>
    </w:p>
  </w:footnote>
  <w:footnote w:id="13">
    <w:p w14:paraId="5B6D1D95" w14:textId="42EB75D8" w:rsidR="000A7173" w:rsidRPr="00CE03CB" w:rsidRDefault="000A7173" w:rsidP="00CE03CB">
      <w:pPr>
        <w:pStyle w:val="FootnoteText"/>
        <w:spacing w:after="120" w:line="360" w:lineRule="auto"/>
        <w:rPr>
          <w:rFonts w:ascii="Arial" w:hAnsi="Arial" w:cs="Arial"/>
          <w:lang w:val="en-US"/>
        </w:rPr>
      </w:pPr>
      <w:r w:rsidRPr="00CE03CB">
        <w:rPr>
          <w:rStyle w:val="FootnoteReference"/>
          <w:rFonts w:ascii="Arial" w:hAnsi="Arial" w:cs="Arial"/>
        </w:rPr>
        <w:footnoteRef/>
      </w:r>
      <w:r w:rsidRPr="00CE03CB">
        <w:rPr>
          <w:rFonts w:ascii="Arial" w:hAnsi="Arial" w:cs="Arial"/>
        </w:rPr>
        <w:t xml:space="preserve"> </w:t>
      </w:r>
      <w:r w:rsidRPr="00CE03CB">
        <w:rPr>
          <w:rFonts w:ascii="Arial" w:hAnsi="Arial" w:cs="Arial"/>
          <w:i/>
          <w:iCs/>
          <w:lang w:val="en-US"/>
        </w:rPr>
        <w:t xml:space="preserve">S v Thebus </w:t>
      </w:r>
      <w:r w:rsidRPr="00CE03CB">
        <w:rPr>
          <w:rFonts w:ascii="Arial" w:hAnsi="Arial" w:cs="Arial"/>
          <w:lang w:val="en-US"/>
        </w:rPr>
        <w:t>(above) at para [19].</w:t>
      </w:r>
    </w:p>
  </w:footnote>
  <w:footnote w:id="14">
    <w:p w14:paraId="3F6C248D" w14:textId="008513E8" w:rsidR="004E60D9" w:rsidRPr="00CE03CB" w:rsidRDefault="004E60D9" w:rsidP="00CE03CB">
      <w:pPr>
        <w:pStyle w:val="FootnoteText"/>
        <w:spacing w:after="120" w:line="360" w:lineRule="auto"/>
        <w:rPr>
          <w:rFonts w:ascii="Arial" w:hAnsi="Arial" w:cs="Arial"/>
          <w:lang w:val="en-US"/>
        </w:rPr>
      </w:pPr>
      <w:r w:rsidRPr="00CE03CB">
        <w:rPr>
          <w:rStyle w:val="FootnoteReference"/>
          <w:rFonts w:ascii="Arial" w:hAnsi="Arial" w:cs="Arial"/>
        </w:rPr>
        <w:footnoteRef/>
      </w:r>
      <w:r w:rsidRPr="00CE03CB">
        <w:rPr>
          <w:rFonts w:ascii="Arial" w:hAnsi="Arial" w:cs="Arial"/>
        </w:rPr>
        <w:t xml:space="preserve"> </w:t>
      </w:r>
      <w:r w:rsidR="00B811C2" w:rsidRPr="00CE03CB">
        <w:rPr>
          <w:rFonts w:ascii="Arial" w:hAnsi="Arial" w:cs="Arial"/>
        </w:rPr>
        <w:t xml:space="preserve">Judgment </w:t>
      </w:r>
      <w:r w:rsidR="00B811C2" w:rsidRPr="00CE03CB">
        <w:rPr>
          <w:rFonts w:ascii="Arial" w:hAnsi="Arial" w:cs="Arial"/>
          <w:i/>
          <w:iCs/>
        </w:rPr>
        <w:t>a quo</w:t>
      </w:r>
      <w:r w:rsidR="00B811C2" w:rsidRPr="00CE03CB">
        <w:rPr>
          <w:rFonts w:ascii="Arial" w:hAnsi="Arial" w:cs="Arial"/>
        </w:rPr>
        <w:t xml:space="preserve"> p 8, Record vol 5 p 345.</w:t>
      </w:r>
    </w:p>
  </w:footnote>
  <w:footnote w:id="15">
    <w:p w14:paraId="694B0578" w14:textId="34A08D8D" w:rsidR="00293A28" w:rsidRPr="00CE03CB" w:rsidRDefault="00293A28" w:rsidP="00CE03CB">
      <w:pPr>
        <w:pStyle w:val="FootnoteText"/>
        <w:spacing w:after="120" w:line="360" w:lineRule="auto"/>
        <w:rPr>
          <w:rFonts w:ascii="Arial" w:hAnsi="Arial" w:cs="Arial"/>
          <w:lang w:val="en-GB"/>
        </w:rPr>
      </w:pPr>
      <w:r w:rsidRPr="00CE03CB">
        <w:rPr>
          <w:rStyle w:val="FootnoteReference"/>
          <w:rFonts w:ascii="Arial" w:hAnsi="Arial" w:cs="Arial"/>
        </w:rPr>
        <w:footnoteRef/>
      </w:r>
      <w:r w:rsidRPr="00CE03CB">
        <w:rPr>
          <w:rFonts w:ascii="Arial" w:hAnsi="Arial" w:cs="Arial"/>
        </w:rPr>
        <w:t xml:space="preserve"> 1989 (1) SA 687 (A).</w:t>
      </w:r>
      <w:r w:rsidR="008432F4" w:rsidRPr="00CE03CB">
        <w:rPr>
          <w:rFonts w:ascii="Arial" w:hAnsi="Arial" w:cs="Arial"/>
        </w:rPr>
        <w:t xml:space="preserve"> Despite being a pre-constitutional decision, </w:t>
      </w:r>
      <w:r w:rsidR="008432F4" w:rsidRPr="00CE03CB">
        <w:rPr>
          <w:rFonts w:ascii="Arial" w:hAnsi="Arial" w:cs="Arial"/>
          <w:i/>
          <w:iCs/>
        </w:rPr>
        <w:t xml:space="preserve">Mgedezi </w:t>
      </w:r>
      <w:r w:rsidR="008432F4" w:rsidRPr="00CE03CB">
        <w:rPr>
          <w:rFonts w:ascii="Arial" w:hAnsi="Arial" w:cs="Arial"/>
        </w:rPr>
        <w:t xml:space="preserve">remains good law. It was applied with approval by the Constitutional Court in </w:t>
      </w:r>
      <w:r w:rsidR="008432F4" w:rsidRPr="00CE03CB">
        <w:rPr>
          <w:rFonts w:ascii="Arial" w:hAnsi="Arial" w:cs="Arial"/>
          <w:i/>
          <w:iCs/>
        </w:rPr>
        <w:t>Thebus</w:t>
      </w:r>
      <w:r w:rsidR="008432F4" w:rsidRPr="00CE03CB">
        <w:rPr>
          <w:rFonts w:ascii="Arial" w:hAnsi="Arial" w:cs="Arial"/>
        </w:rPr>
        <w:t xml:space="preserve"> (above)</w:t>
      </w:r>
      <w:r w:rsidR="004174FC" w:rsidRPr="00CE03CB">
        <w:rPr>
          <w:rFonts w:ascii="Arial" w:hAnsi="Arial" w:cs="Arial"/>
        </w:rPr>
        <w:t xml:space="preserve"> and in several of its more recent decisions on common purpose (see most recently, </w:t>
      </w:r>
      <w:r w:rsidR="004174FC" w:rsidRPr="00CE03CB">
        <w:rPr>
          <w:rFonts w:ascii="Arial" w:hAnsi="Arial" w:cs="Arial"/>
          <w:i/>
          <w:iCs/>
          <w:lang w:val="en-GB"/>
        </w:rPr>
        <w:t>Jacobs and Others v S</w:t>
      </w:r>
      <w:r w:rsidR="004174FC" w:rsidRPr="00CE03CB">
        <w:rPr>
          <w:rFonts w:ascii="Arial" w:hAnsi="Arial" w:cs="Arial"/>
          <w:lang w:val="en-GB"/>
        </w:rPr>
        <w:t xml:space="preserve"> 2019 (5) BCLR 562 (CC); 2019 (1) SACR 623 (CC) at para [41] </w:t>
      </w:r>
      <w:r w:rsidR="004174FC" w:rsidRPr="00CE03CB">
        <w:rPr>
          <w:rFonts w:ascii="Arial" w:hAnsi="Arial" w:cs="Arial"/>
          <w:i/>
          <w:iCs/>
          <w:lang w:val="en-GB"/>
        </w:rPr>
        <w:t>et seq</w:t>
      </w:r>
      <w:r w:rsidR="004174FC" w:rsidRPr="00CE03CB">
        <w:rPr>
          <w:rFonts w:ascii="Arial" w:hAnsi="Arial" w:cs="Arial"/>
          <w:lang w:val="en-GB"/>
        </w:rPr>
        <w:t>).</w:t>
      </w:r>
    </w:p>
  </w:footnote>
  <w:footnote w:id="16">
    <w:p w14:paraId="64B3791B" w14:textId="50AF5082" w:rsidR="00293A28" w:rsidRPr="00CE03CB" w:rsidRDefault="00293A28" w:rsidP="00CE03CB">
      <w:pPr>
        <w:pStyle w:val="FootnoteText"/>
        <w:spacing w:after="120" w:line="360" w:lineRule="auto"/>
        <w:rPr>
          <w:rFonts w:ascii="Arial" w:hAnsi="Arial" w:cs="Arial"/>
          <w:lang w:val="en-US"/>
        </w:rPr>
      </w:pPr>
      <w:r w:rsidRPr="00CE03CB">
        <w:rPr>
          <w:rStyle w:val="FootnoteReference"/>
          <w:rFonts w:ascii="Arial" w:hAnsi="Arial" w:cs="Arial"/>
        </w:rPr>
        <w:footnoteRef/>
      </w:r>
      <w:r w:rsidRPr="00CE03CB">
        <w:rPr>
          <w:rFonts w:ascii="Arial" w:hAnsi="Arial" w:cs="Arial"/>
        </w:rPr>
        <w:t xml:space="preserve"> </w:t>
      </w:r>
      <w:r w:rsidRPr="00CE03CB">
        <w:rPr>
          <w:rFonts w:ascii="Arial" w:hAnsi="Arial" w:cs="Arial"/>
          <w:i/>
          <w:iCs/>
          <w:lang w:val="en-US"/>
        </w:rPr>
        <w:t>Mgedezi</w:t>
      </w:r>
      <w:r w:rsidRPr="00CE03CB">
        <w:rPr>
          <w:rFonts w:ascii="Arial" w:hAnsi="Arial" w:cs="Arial"/>
          <w:lang w:val="en-US"/>
        </w:rPr>
        <w:t xml:space="preserve"> (above) at </w:t>
      </w:r>
      <w:r w:rsidRPr="00CE03CB">
        <w:rPr>
          <w:rFonts w:ascii="Arial" w:hAnsi="Arial" w:cs="Arial"/>
        </w:rPr>
        <w:t>705I-706B.</w:t>
      </w:r>
    </w:p>
  </w:footnote>
  <w:footnote w:id="17">
    <w:p w14:paraId="7973EA1F" w14:textId="23514040" w:rsidR="00F86335" w:rsidRPr="00CE03CB" w:rsidRDefault="00F86335" w:rsidP="00CE03CB">
      <w:pPr>
        <w:pStyle w:val="FootnoteText"/>
        <w:spacing w:after="120" w:line="360" w:lineRule="auto"/>
        <w:rPr>
          <w:rFonts w:ascii="Arial" w:hAnsi="Arial" w:cs="Arial"/>
          <w:lang w:val="en-US"/>
        </w:rPr>
      </w:pPr>
      <w:r w:rsidRPr="00CE03CB">
        <w:rPr>
          <w:rStyle w:val="FootnoteReference"/>
          <w:rFonts w:ascii="Arial" w:hAnsi="Arial" w:cs="Arial"/>
        </w:rPr>
        <w:footnoteRef/>
      </w:r>
      <w:r w:rsidRPr="00CE03CB">
        <w:rPr>
          <w:rFonts w:ascii="Arial" w:hAnsi="Arial" w:cs="Arial"/>
        </w:rPr>
        <w:t xml:space="preserve"> </w:t>
      </w:r>
      <w:r w:rsidR="000B7381" w:rsidRPr="00CE03CB">
        <w:rPr>
          <w:rFonts w:ascii="Arial" w:hAnsi="Arial" w:cs="Arial"/>
        </w:rPr>
        <w:t xml:space="preserve">Judgment </w:t>
      </w:r>
      <w:r w:rsidR="000B7381" w:rsidRPr="00CE03CB">
        <w:rPr>
          <w:rFonts w:ascii="Arial" w:hAnsi="Arial" w:cs="Arial"/>
          <w:i/>
          <w:iCs/>
        </w:rPr>
        <w:t>a quo</w:t>
      </w:r>
      <w:r w:rsidR="000B7381" w:rsidRPr="00CE03CB">
        <w:rPr>
          <w:rFonts w:ascii="Arial" w:hAnsi="Arial" w:cs="Arial"/>
        </w:rPr>
        <w:t xml:space="preserve"> p 7, Record Vol 5 p 344.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3946257"/>
      <w:docPartObj>
        <w:docPartGallery w:val="Page Numbers (Top of Page)"/>
        <w:docPartUnique/>
      </w:docPartObj>
    </w:sdtPr>
    <w:sdtEndPr>
      <w:rPr>
        <w:noProof/>
      </w:rPr>
    </w:sdtEndPr>
    <w:sdtContent>
      <w:p w14:paraId="4DEDF4CE" w14:textId="752C565D" w:rsidR="00B3509B" w:rsidRDefault="00B3509B">
        <w:pPr>
          <w:pStyle w:val="Header"/>
          <w:jc w:val="center"/>
        </w:pPr>
        <w:r>
          <w:fldChar w:fldCharType="begin"/>
        </w:r>
        <w:r>
          <w:instrText xml:space="preserve"> PAGE   \* MERGEFORMAT </w:instrText>
        </w:r>
        <w:r>
          <w:fldChar w:fldCharType="separate"/>
        </w:r>
        <w:r w:rsidR="009D5804">
          <w:rPr>
            <w:noProof/>
          </w:rPr>
          <w:t>16</w:t>
        </w:r>
        <w:r>
          <w:rPr>
            <w:noProof/>
          </w:rPr>
          <w:fldChar w:fldCharType="end"/>
        </w:r>
      </w:p>
    </w:sdtContent>
  </w:sdt>
  <w:p w14:paraId="11DDA3D0" w14:textId="77777777" w:rsidR="00B3509B" w:rsidRDefault="00B350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33341"/>
    <w:multiLevelType w:val="hybridMultilevel"/>
    <w:tmpl w:val="E50EE636"/>
    <w:lvl w:ilvl="0" w:tplc="4DBEED34">
      <w:start w:val="1"/>
      <w:numFmt w:val="decimal"/>
      <w:lvlText w:val="(%1)"/>
      <w:lvlJc w:val="left"/>
      <w:pPr>
        <w:ind w:left="90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24A366">
      <w:start w:val="1"/>
      <w:numFmt w:val="lowerLetter"/>
      <w:lvlText w:val="%2."/>
      <w:lvlJc w:val="left"/>
      <w:pPr>
        <w:ind w:left="12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7495EC">
      <w:start w:val="1"/>
      <w:numFmt w:val="lowerRoman"/>
      <w:lvlText w:val="%3."/>
      <w:lvlJc w:val="left"/>
      <w:pPr>
        <w:ind w:left="19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40C2FBE">
      <w:start w:val="1"/>
      <w:numFmt w:val="decimal"/>
      <w:lvlText w:val="%4."/>
      <w:lvlJc w:val="left"/>
      <w:pPr>
        <w:ind w:left="27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8584C72">
      <w:start w:val="1"/>
      <w:numFmt w:val="lowerLetter"/>
      <w:lvlText w:val="%5."/>
      <w:lvlJc w:val="left"/>
      <w:pPr>
        <w:ind w:left="34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807984">
      <w:start w:val="1"/>
      <w:numFmt w:val="lowerRoman"/>
      <w:lvlText w:val="%6."/>
      <w:lvlJc w:val="left"/>
      <w:pPr>
        <w:ind w:left="41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A78AF5C">
      <w:start w:val="1"/>
      <w:numFmt w:val="decimal"/>
      <w:lvlText w:val="%7."/>
      <w:lvlJc w:val="left"/>
      <w:pPr>
        <w:ind w:left="48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212CE2C">
      <w:start w:val="1"/>
      <w:numFmt w:val="lowerLetter"/>
      <w:lvlText w:val="%8."/>
      <w:lvlJc w:val="left"/>
      <w:pPr>
        <w:ind w:left="55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D605B72">
      <w:start w:val="1"/>
      <w:numFmt w:val="lowerRoman"/>
      <w:lvlText w:val="%9."/>
      <w:lvlJc w:val="left"/>
      <w:pPr>
        <w:ind w:left="63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2D51B21"/>
    <w:multiLevelType w:val="hybridMultilevel"/>
    <w:tmpl w:val="90BC1788"/>
    <w:lvl w:ilvl="0" w:tplc="81A64F3E">
      <w:start w:val="1"/>
      <w:numFmt w:val="decimal"/>
      <w:lvlText w:val="%1."/>
      <w:lvlJc w:val="left"/>
      <w:pPr>
        <w:ind w:left="1440" w:hanging="36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214F03CF"/>
    <w:multiLevelType w:val="hybridMultilevel"/>
    <w:tmpl w:val="E9A02948"/>
    <w:lvl w:ilvl="0" w:tplc="828CA54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30753260"/>
    <w:multiLevelType w:val="hybridMultilevel"/>
    <w:tmpl w:val="691A9632"/>
    <w:lvl w:ilvl="0" w:tplc="88E65EB6">
      <w:start w:val="1"/>
      <w:numFmt w:val="decimal"/>
      <w:lvlText w:val="%1."/>
      <w:lvlJc w:val="left"/>
      <w:pPr>
        <w:ind w:left="720" w:hanging="360"/>
      </w:pPr>
      <w:rPr>
        <w:rFonts w:ascii="Arial" w:hAnsi="Arial" w:cs="Arial" w:hint="default"/>
        <w:b w:val="0"/>
        <w:bCs w:val="0"/>
        <w:i w:val="0"/>
        <w:i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6AA77DB"/>
    <w:multiLevelType w:val="multilevel"/>
    <w:tmpl w:val="D4AC4EEC"/>
    <w:lvl w:ilvl="0">
      <w:start w:val="2"/>
      <w:numFmt w:val="decimal"/>
      <w:lvlText w:val="%1"/>
      <w:lvlJc w:val="left"/>
      <w:pPr>
        <w:ind w:left="360" w:hanging="360"/>
      </w:pPr>
      <w:rPr>
        <w:rFonts w:hint="default"/>
      </w:rPr>
    </w:lvl>
    <w:lvl w:ilvl="1">
      <w:start w:val="1"/>
      <w:numFmt w:val="decimal"/>
      <w:lvlText w:val="%1.%2"/>
      <w:lvlJc w:val="left"/>
      <w:pPr>
        <w:ind w:left="1777" w:hanging="360"/>
      </w:pPr>
      <w:rPr>
        <w:rFonts w:hint="default"/>
      </w:rPr>
    </w:lvl>
    <w:lvl w:ilvl="2">
      <w:start w:val="1"/>
      <w:numFmt w:val="decimal"/>
      <w:lvlText w:val="%1.%2.%3"/>
      <w:lvlJc w:val="left"/>
      <w:pPr>
        <w:ind w:left="2562" w:hanging="720"/>
      </w:pPr>
      <w:rPr>
        <w:rFonts w:hint="default"/>
      </w:rPr>
    </w:lvl>
    <w:lvl w:ilvl="3">
      <w:start w:val="1"/>
      <w:numFmt w:val="decimal"/>
      <w:lvlText w:val="%1.%2.%3.%4"/>
      <w:lvlJc w:val="left"/>
      <w:pPr>
        <w:ind w:left="3413"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5" w15:restartNumberingAfterBreak="0">
    <w:nsid w:val="73B65F25"/>
    <w:multiLevelType w:val="multilevel"/>
    <w:tmpl w:val="9028E46C"/>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2"/>
  </w:num>
  <w:num w:numId="2">
    <w:abstractNumId w:val="0"/>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672"/>
    <w:rsid w:val="00005410"/>
    <w:rsid w:val="000132EB"/>
    <w:rsid w:val="000352DC"/>
    <w:rsid w:val="00050593"/>
    <w:rsid w:val="0006076F"/>
    <w:rsid w:val="00065FEA"/>
    <w:rsid w:val="00066122"/>
    <w:rsid w:val="000A7173"/>
    <w:rsid w:val="000B7381"/>
    <w:rsid w:val="000D3A49"/>
    <w:rsid w:val="000E68DD"/>
    <w:rsid w:val="000E7A70"/>
    <w:rsid w:val="001054C4"/>
    <w:rsid w:val="0011042E"/>
    <w:rsid w:val="0011653C"/>
    <w:rsid w:val="00136310"/>
    <w:rsid w:val="00141C78"/>
    <w:rsid w:val="001437BD"/>
    <w:rsid w:val="00146ECF"/>
    <w:rsid w:val="001517F9"/>
    <w:rsid w:val="00154672"/>
    <w:rsid w:val="00161130"/>
    <w:rsid w:val="00172CC4"/>
    <w:rsid w:val="00176DFF"/>
    <w:rsid w:val="001A0F7A"/>
    <w:rsid w:val="001A575F"/>
    <w:rsid w:val="001A6307"/>
    <w:rsid w:val="001C2FE6"/>
    <w:rsid w:val="001D3DD5"/>
    <w:rsid w:val="001E1AED"/>
    <w:rsid w:val="001F0532"/>
    <w:rsid w:val="001F18F7"/>
    <w:rsid w:val="00212FBF"/>
    <w:rsid w:val="00225173"/>
    <w:rsid w:val="002400FB"/>
    <w:rsid w:val="00242862"/>
    <w:rsid w:val="00245797"/>
    <w:rsid w:val="00247587"/>
    <w:rsid w:val="0028096B"/>
    <w:rsid w:val="00280AAE"/>
    <w:rsid w:val="00293A28"/>
    <w:rsid w:val="002A51B3"/>
    <w:rsid w:val="002B37CC"/>
    <w:rsid w:val="002B3A51"/>
    <w:rsid w:val="002C684E"/>
    <w:rsid w:val="002D458D"/>
    <w:rsid w:val="002D4C38"/>
    <w:rsid w:val="002E68BA"/>
    <w:rsid w:val="002F53CD"/>
    <w:rsid w:val="003115C8"/>
    <w:rsid w:val="00321D1C"/>
    <w:rsid w:val="00341101"/>
    <w:rsid w:val="003438BB"/>
    <w:rsid w:val="00357BAB"/>
    <w:rsid w:val="00363CE8"/>
    <w:rsid w:val="003772D9"/>
    <w:rsid w:val="003810C2"/>
    <w:rsid w:val="00387FE6"/>
    <w:rsid w:val="003A75AB"/>
    <w:rsid w:val="003B0C69"/>
    <w:rsid w:val="003B5639"/>
    <w:rsid w:val="003C2B2C"/>
    <w:rsid w:val="003C51C3"/>
    <w:rsid w:val="003D380C"/>
    <w:rsid w:val="003D6262"/>
    <w:rsid w:val="003D6CDD"/>
    <w:rsid w:val="003E263F"/>
    <w:rsid w:val="003F0399"/>
    <w:rsid w:val="003F16A7"/>
    <w:rsid w:val="003F6100"/>
    <w:rsid w:val="003F7318"/>
    <w:rsid w:val="004174FC"/>
    <w:rsid w:val="00423A31"/>
    <w:rsid w:val="0042768D"/>
    <w:rsid w:val="00435794"/>
    <w:rsid w:val="00443AA3"/>
    <w:rsid w:val="00444EBF"/>
    <w:rsid w:val="00447C63"/>
    <w:rsid w:val="004603AA"/>
    <w:rsid w:val="004846B9"/>
    <w:rsid w:val="00486EC0"/>
    <w:rsid w:val="004A37D7"/>
    <w:rsid w:val="004A5AEF"/>
    <w:rsid w:val="004B153F"/>
    <w:rsid w:val="004B796E"/>
    <w:rsid w:val="004D07BD"/>
    <w:rsid w:val="004E2E6D"/>
    <w:rsid w:val="004E60D9"/>
    <w:rsid w:val="00505F5C"/>
    <w:rsid w:val="005242E8"/>
    <w:rsid w:val="0052584D"/>
    <w:rsid w:val="00526AA7"/>
    <w:rsid w:val="00545DEB"/>
    <w:rsid w:val="005561D1"/>
    <w:rsid w:val="005826B8"/>
    <w:rsid w:val="00587A3C"/>
    <w:rsid w:val="0059068A"/>
    <w:rsid w:val="005B36B6"/>
    <w:rsid w:val="005D7240"/>
    <w:rsid w:val="005E7488"/>
    <w:rsid w:val="005F1A19"/>
    <w:rsid w:val="005F254D"/>
    <w:rsid w:val="005F3C1E"/>
    <w:rsid w:val="006049EB"/>
    <w:rsid w:val="00616CF2"/>
    <w:rsid w:val="00620A8C"/>
    <w:rsid w:val="00621AAA"/>
    <w:rsid w:val="006301C7"/>
    <w:rsid w:val="006303A0"/>
    <w:rsid w:val="00632439"/>
    <w:rsid w:val="00644A7A"/>
    <w:rsid w:val="00662E0B"/>
    <w:rsid w:val="00686843"/>
    <w:rsid w:val="006929FE"/>
    <w:rsid w:val="006B00DA"/>
    <w:rsid w:val="006B6001"/>
    <w:rsid w:val="006C2D30"/>
    <w:rsid w:val="006E0292"/>
    <w:rsid w:val="006E0DFE"/>
    <w:rsid w:val="006E638E"/>
    <w:rsid w:val="006F1287"/>
    <w:rsid w:val="006F4CF2"/>
    <w:rsid w:val="006F62D5"/>
    <w:rsid w:val="0070749B"/>
    <w:rsid w:val="00713F72"/>
    <w:rsid w:val="007164E6"/>
    <w:rsid w:val="00751CAC"/>
    <w:rsid w:val="007534CD"/>
    <w:rsid w:val="00771FAD"/>
    <w:rsid w:val="007940BF"/>
    <w:rsid w:val="007A033C"/>
    <w:rsid w:val="007B5EAA"/>
    <w:rsid w:val="007C1ED9"/>
    <w:rsid w:val="007C7660"/>
    <w:rsid w:val="007C78B9"/>
    <w:rsid w:val="007D0039"/>
    <w:rsid w:val="00810FA5"/>
    <w:rsid w:val="008135F3"/>
    <w:rsid w:val="00831449"/>
    <w:rsid w:val="008432F4"/>
    <w:rsid w:val="00851D3A"/>
    <w:rsid w:val="00890271"/>
    <w:rsid w:val="00897EBF"/>
    <w:rsid w:val="008A0928"/>
    <w:rsid w:val="008A6144"/>
    <w:rsid w:val="008C777E"/>
    <w:rsid w:val="008F19E6"/>
    <w:rsid w:val="008F2D33"/>
    <w:rsid w:val="00912EE6"/>
    <w:rsid w:val="00921360"/>
    <w:rsid w:val="00930A52"/>
    <w:rsid w:val="00940644"/>
    <w:rsid w:val="009417DB"/>
    <w:rsid w:val="00955D89"/>
    <w:rsid w:val="0096035D"/>
    <w:rsid w:val="00960500"/>
    <w:rsid w:val="00983E08"/>
    <w:rsid w:val="009A4BF1"/>
    <w:rsid w:val="009A565A"/>
    <w:rsid w:val="009A6486"/>
    <w:rsid w:val="009D5804"/>
    <w:rsid w:val="009E7750"/>
    <w:rsid w:val="009F5645"/>
    <w:rsid w:val="00A00BBA"/>
    <w:rsid w:val="00A17C64"/>
    <w:rsid w:val="00A243A2"/>
    <w:rsid w:val="00A4417B"/>
    <w:rsid w:val="00A563B1"/>
    <w:rsid w:val="00A60086"/>
    <w:rsid w:val="00A773A9"/>
    <w:rsid w:val="00A84EFE"/>
    <w:rsid w:val="00A92179"/>
    <w:rsid w:val="00AB0245"/>
    <w:rsid w:val="00AC5180"/>
    <w:rsid w:val="00AD0F25"/>
    <w:rsid w:val="00AD3840"/>
    <w:rsid w:val="00AD5281"/>
    <w:rsid w:val="00AF2565"/>
    <w:rsid w:val="00AF4221"/>
    <w:rsid w:val="00AF4287"/>
    <w:rsid w:val="00AF75DC"/>
    <w:rsid w:val="00B005D1"/>
    <w:rsid w:val="00B209C8"/>
    <w:rsid w:val="00B22416"/>
    <w:rsid w:val="00B22B8F"/>
    <w:rsid w:val="00B33F83"/>
    <w:rsid w:val="00B3509B"/>
    <w:rsid w:val="00B473BD"/>
    <w:rsid w:val="00B5063B"/>
    <w:rsid w:val="00B629ED"/>
    <w:rsid w:val="00B74F99"/>
    <w:rsid w:val="00B758B6"/>
    <w:rsid w:val="00B76A73"/>
    <w:rsid w:val="00B811C2"/>
    <w:rsid w:val="00B973C3"/>
    <w:rsid w:val="00BA4661"/>
    <w:rsid w:val="00BB0A06"/>
    <w:rsid w:val="00BF43A0"/>
    <w:rsid w:val="00C143CE"/>
    <w:rsid w:val="00C2084D"/>
    <w:rsid w:val="00C2785F"/>
    <w:rsid w:val="00C46435"/>
    <w:rsid w:val="00C519D2"/>
    <w:rsid w:val="00C51F16"/>
    <w:rsid w:val="00C80231"/>
    <w:rsid w:val="00C878D0"/>
    <w:rsid w:val="00CA19DB"/>
    <w:rsid w:val="00CC1F50"/>
    <w:rsid w:val="00CE03CB"/>
    <w:rsid w:val="00D10D79"/>
    <w:rsid w:val="00D11036"/>
    <w:rsid w:val="00D12618"/>
    <w:rsid w:val="00D25C26"/>
    <w:rsid w:val="00D37A27"/>
    <w:rsid w:val="00D5313E"/>
    <w:rsid w:val="00D561FD"/>
    <w:rsid w:val="00D63894"/>
    <w:rsid w:val="00D6526C"/>
    <w:rsid w:val="00D74EF6"/>
    <w:rsid w:val="00D7615B"/>
    <w:rsid w:val="00D769C7"/>
    <w:rsid w:val="00D94206"/>
    <w:rsid w:val="00D975F6"/>
    <w:rsid w:val="00DC33DF"/>
    <w:rsid w:val="00DC670A"/>
    <w:rsid w:val="00DD335A"/>
    <w:rsid w:val="00DD52A4"/>
    <w:rsid w:val="00DE4759"/>
    <w:rsid w:val="00DE5021"/>
    <w:rsid w:val="00DF3E69"/>
    <w:rsid w:val="00E10472"/>
    <w:rsid w:val="00E26769"/>
    <w:rsid w:val="00E33F1A"/>
    <w:rsid w:val="00E449D6"/>
    <w:rsid w:val="00E455A7"/>
    <w:rsid w:val="00E64CAF"/>
    <w:rsid w:val="00E742DF"/>
    <w:rsid w:val="00E85D60"/>
    <w:rsid w:val="00E8757C"/>
    <w:rsid w:val="00E8792C"/>
    <w:rsid w:val="00E92997"/>
    <w:rsid w:val="00E93A6F"/>
    <w:rsid w:val="00EA1DEE"/>
    <w:rsid w:val="00EB71B7"/>
    <w:rsid w:val="00EC6777"/>
    <w:rsid w:val="00ED0129"/>
    <w:rsid w:val="00EE1CD4"/>
    <w:rsid w:val="00EE7C6C"/>
    <w:rsid w:val="00F01C93"/>
    <w:rsid w:val="00F10533"/>
    <w:rsid w:val="00F212BE"/>
    <w:rsid w:val="00F265B6"/>
    <w:rsid w:val="00F50EE8"/>
    <w:rsid w:val="00F51C03"/>
    <w:rsid w:val="00F5686C"/>
    <w:rsid w:val="00F719EC"/>
    <w:rsid w:val="00F803B8"/>
    <w:rsid w:val="00F86335"/>
    <w:rsid w:val="00FA7905"/>
    <w:rsid w:val="00FB7825"/>
    <w:rsid w:val="00FD41C0"/>
    <w:rsid w:val="00FE6D6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47899"/>
  <w15:docId w15:val="{F454BFC1-9FFA-4B78-93FD-407D3C64A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qFormat/>
    <w:rsid w:val="007C7660"/>
    <w:pPr>
      <w:widowControl w:val="0"/>
      <w:autoSpaceDE w:val="0"/>
      <w:autoSpaceDN w:val="0"/>
      <w:adjustRightInd w:val="0"/>
      <w:spacing w:after="0" w:line="240" w:lineRule="auto"/>
      <w:ind w:left="993"/>
      <w:outlineLvl w:val="1"/>
    </w:pPr>
    <w:rPr>
      <w:rFonts w:ascii="Calibri" w:eastAsiaTheme="minorEastAsia" w:hAnsi="Calibri" w:cs="Calibri"/>
      <w:b/>
      <w:bCs/>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4287"/>
    <w:pPr>
      <w:ind w:left="720"/>
      <w:contextualSpacing/>
    </w:pPr>
  </w:style>
  <w:style w:type="paragraph" w:customStyle="1" w:styleId="BodyA">
    <w:name w:val="Body A"/>
    <w:rsid w:val="00B973C3"/>
    <w:pPr>
      <w:pBdr>
        <w:top w:val="nil"/>
        <w:left w:val="nil"/>
        <w:bottom w:val="nil"/>
        <w:right w:val="nil"/>
        <w:between w:val="nil"/>
        <w:bar w:val="nil"/>
      </w:pBdr>
    </w:pPr>
    <w:rPr>
      <w:rFonts w:ascii="Calibri" w:eastAsia="Arial Unicode MS" w:hAnsi="Calibri" w:cs="Arial Unicode MS"/>
      <w:color w:val="000000"/>
      <w:u w:color="000000"/>
      <w:bdr w:val="nil"/>
      <w:lang w:val="en-US" w:eastAsia="en-GB"/>
    </w:rPr>
  </w:style>
  <w:style w:type="paragraph" w:styleId="Header">
    <w:name w:val="header"/>
    <w:basedOn w:val="Normal"/>
    <w:link w:val="HeaderChar"/>
    <w:uiPriority w:val="99"/>
    <w:unhideWhenUsed/>
    <w:rsid w:val="00B350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509B"/>
  </w:style>
  <w:style w:type="paragraph" w:styleId="Footer">
    <w:name w:val="footer"/>
    <w:basedOn w:val="Normal"/>
    <w:link w:val="FooterChar"/>
    <w:uiPriority w:val="99"/>
    <w:unhideWhenUsed/>
    <w:rsid w:val="00B350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509B"/>
  </w:style>
  <w:style w:type="character" w:customStyle="1" w:styleId="Heading2Char">
    <w:name w:val="Heading 2 Char"/>
    <w:basedOn w:val="DefaultParagraphFont"/>
    <w:link w:val="Heading2"/>
    <w:uiPriority w:val="9"/>
    <w:rsid w:val="007C7660"/>
    <w:rPr>
      <w:rFonts w:ascii="Calibri" w:eastAsiaTheme="minorEastAsia" w:hAnsi="Calibri" w:cs="Calibri"/>
      <w:b/>
      <w:bCs/>
      <w:sz w:val="24"/>
      <w:szCs w:val="24"/>
      <w:lang w:eastAsia="en-ZA"/>
    </w:rPr>
  </w:style>
  <w:style w:type="paragraph" w:styleId="BodyText">
    <w:name w:val="Body Text"/>
    <w:basedOn w:val="Normal"/>
    <w:link w:val="BodyTextChar"/>
    <w:uiPriority w:val="1"/>
    <w:qFormat/>
    <w:rsid w:val="007C7660"/>
    <w:pPr>
      <w:widowControl w:val="0"/>
      <w:autoSpaceDE w:val="0"/>
      <w:autoSpaceDN w:val="0"/>
      <w:adjustRightInd w:val="0"/>
      <w:spacing w:after="0" w:line="240" w:lineRule="auto"/>
    </w:pPr>
    <w:rPr>
      <w:rFonts w:ascii="Arial Unicode MS" w:eastAsia="Times New Roman" w:hAnsi="Times New Roman" w:cs="Arial Unicode MS"/>
      <w:sz w:val="24"/>
      <w:szCs w:val="24"/>
      <w:lang w:eastAsia="en-ZA"/>
    </w:rPr>
  </w:style>
  <w:style w:type="character" w:customStyle="1" w:styleId="BodyTextChar">
    <w:name w:val="Body Text Char"/>
    <w:basedOn w:val="DefaultParagraphFont"/>
    <w:link w:val="BodyText"/>
    <w:uiPriority w:val="1"/>
    <w:rsid w:val="007C7660"/>
    <w:rPr>
      <w:rFonts w:ascii="Arial Unicode MS" w:eastAsia="Times New Roman" w:hAnsi="Times New Roman" w:cs="Arial Unicode MS"/>
      <w:sz w:val="24"/>
      <w:szCs w:val="24"/>
      <w:lang w:eastAsia="en-ZA"/>
    </w:rPr>
  </w:style>
  <w:style w:type="paragraph" w:styleId="FootnoteText">
    <w:name w:val="footnote text"/>
    <w:basedOn w:val="Normal"/>
    <w:link w:val="FootnoteTextChar"/>
    <w:uiPriority w:val="99"/>
    <w:semiHidden/>
    <w:unhideWhenUsed/>
    <w:rsid w:val="007C7660"/>
    <w:pPr>
      <w:widowControl w:val="0"/>
      <w:autoSpaceDE w:val="0"/>
      <w:autoSpaceDN w:val="0"/>
      <w:adjustRightInd w:val="0"/>
      <w:spacing w:after="0" w:line="240" w:lineRule="auto"/>
    </w:pPr>
    <w:rPr>
      <w:rFonts w:ascii="Arial Unicode MS" w:eastAsia="Times New Roman" w:hAnsi="Times New Roman" w:cs="Arial Unicode MS"/>
      <w:sz w:val="20"/>
      <w:szCs w:val="20"/>
      <w:lang w:eastAsia="en-ZA"/>
    </w:rPr>
  </w:style>
  <w:style w:type="character" w:customStyle="1" w:styleId="FootnoteTextChar">
    <w:name w:val="Footnote Text Char"/>
    <w:basedOn w:val="DefaultParagraphFont"/>
    <w:link w:val="FootnoteText"/>
    <w:uiPriority w:val="99"/>
    <w:semiHidden/>
    <w:rsid w:val="007C7660"/>
    <w:rPr>
      <w:rFonts w:ascii="Arial Unicode MS" w:eastAsia="Times New Roman" w:hAnsi="Times New Roman" w:cs="Arial Unicode MS"/>
      <w:sz w:val="20"/>
      <w:szCs w:val="20"/>
      <w:lang w:eastAsia="en-ZA"/>
    </w:rPr>
  </w:style>
  <w:style w:type="character" w:styleId="FootnoteReference">
    <w:name w:val="footnote reference"/>
    <w:basedOn w:val="DefaultParagraphFont"/>
    <w:uiPriority w:val="99"/>
    <w:semiHidden/>
    <w:unhideWhenUsed/>
    <w:rsid w:val="007C7660"/>
    <w:rPr>
      <w:vertAlign w:val="superscript"/>
    </w:rPr>
  </w:style>
  <w:style w:type="character" w:styleId="Hyperlink">
    <w:name w:val="Hyperlink"/>
    <w:basedOn w:val="DefaultParagraphFont"/>
    <w:uiPriority w:val="99"/>
    <w:unhideWhenUsed/>
    <w:rsid w:val="007C7660"/>
    <w:rPr>
      <w:color w:val="0563C1" w:themeColor="hyperlink"/>
      <w:u w:val="single"/>
    </w:rPr>
  </w:style>
  <w:style w:type="character" w:customStyle="1" w:styleId="UnresolvedMention">
    <w:name w:val="Unresolved Mention"/>
    <w:basedOn w:val="DefaultParagraphFont"/>
    <w:uiPriority w:val="99"/>
    <w:semiHidden/>
    <w:unhideWhenUsed/>
    <w:rsid w:val="00A92179"/>
    <w:rPr>
      <w:color w:val="605E5C"/>
      <w:shd w:val="clear" w:color="auto" w:fill="E1DFDD"/>
    </w:rPr>
  </w:style>
  <w:style w:type="paragraph" w:styleId="BalloonText">
    <w:name w:val="Balloon Text"/>
    <w:basedOn w:val="Normal"/>
    <w:link w:val="BalloonTextChar"/>
    <w:uiPriority w:val="99"/>
    <w:semiHidden/>
    <w:unhideWhenUsed/>
    <w:rsid w:val="00FD41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1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030420">
      <w:bodyDiv w:val="1"/>
      <w:marLeft w:val="0"/>
      <w:marRight w:val="0"/>
      <w:marTop w:val="0"/>
      <w:marBottom w:val="0"/>
      <w:divBdr>
        <w:top w:val="none" w:sz="0" w:space="0" w:color="auto"/>
        <w:left w:val="none" w:sz="0" w:space="0" w:color="auto"/>
        <w:bottom w:val="none" w:sz="0" w:space="0" w:color="auto"/>
        <w:right w:val="none" w:sz="0" w:space="0" w:color="auto"/>
      </w:divBdr>
    </w:div>
    <w:div w:id="292566458">
      <w:bodyDiv w:val="1"/>
      <w:marLeft w:val="0"/>
      <w:marRight w:val="0"/>
      <w:marTop w:val="0"/>
      <w:marBottom w:val="0"/>
      <w:divBdr>
        <w:top w:val="none" w:sz="0" w:space="0" w:color="auto"/>
        <w:left w:val="none" w:sz="0" w:space="0" w:color="auto"/>
        <w:bottom w:val="none" w:sz="0" w:space="0" w:color="auto"/>
        <w:right w:val="none" w:sz="0" w:space="0" w:color="auto"/>
      </w:divBdr>
    </w:div>
    <w:div w:id="20979689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38E1A-51CF-499D-9BB6-6D56F5B5B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16</Pages>
  <Words>4204</Words>
  <Characters>23965</Characters>
  <Application>Microsoft Office Word</Application>
  <DocSecurity>0</DocSecurity>
  <Lines>199</Lines>
  <Paragraphs>56</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Case number: A220/2023</vt:lpstr>
      <vt:lpstr>    </vt:lpstr>
      <vt:lpstr>    and</vt:lpstr>
    </vt:vector>
  </TitlesOfParts>
  <Company>HP Inc.</Company>
  <LinksUpToDate>false</LinksUpToDate>
  <CharactersWithSpaces>28113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Montsheng Khokhotho</dc:creator>
  <cp:keywords/>
  <dc:description/>
  <cp:lastModifiedBy>Tumi T. Mabona</cp:lastModifiedBy>
  <cp:revision>4</cp:revision>
  <cp:lastPrinted>2024-03-01T10:15:00Z</cp:lastPrinted>
  <dcterms:created xsi:type="dcterms:W3CDTF">2024-03-01T09:34:00Z</dcterms:created>
  <dcterms:modified xsi:type="dcterms:W3CDTF">2024-03-01T10:16:00Z</dcterms:modified>
</cp:coreProperties>
</file>