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D0C95" w14:textId="1676D595" w:rsidR="008E6405" w:rsidRPr="008E6405" w:rsidRDefault="008E6405" w:rsidP="00641B0D">
      <w:pPr>
        <w:shd w:val="clear" w:color="auto" w:fill="FFFFFF"/>
        <w:tabs>
          <w:tab w:val="left" w:pos="5296"/>
        </w:tabs>
        <w:spacing w:before="144" w:after="0" w:line="360" w:lineRule="auto"/>
        <w:jc w:val="center"/>
        <w:rPr>
          <w:rFonts w:ascii="Arial" w:eastAsia="Times New Roman" w:hAnsi="Arial" w:cs="Arial"/>
          <w:b/>
          <w:bCs/>
          <w:color w:val="242121"/>
          <w:lang w:eastAsia="en-ZA"/>
        </w:rPr>
      </w:pPr>
      <w:r>
        <w:rPr>
          <w:rFonts w:ascii="Arial" w:eastAsia="Times New Roman" w:hAnsi="Arial" w:cs="Arial"/>
          <w:b/>
          <w:bCs/>
          <w:color w:val="242121"/>
          <w:lang w:eastAsia="en-ZA"/>
        </w:rPr>
        <w:t xml:space="preserve">THE </w:t>
      </w:r>
      <w:r w:rsidR="007737B7">
        <w:rPr>
          <w:rFonts w:ascii="Arial" w:eastAsia="Times New Roman" w:hAnsi="Arial" w:cs="Arial"/>
          <w:b/>
          <w:bCs/>
          <w:color w:val="242121"/>
          <w:lang w:eastAsia="en-ZA"/>
        </w:rPr>
        <w:t>REP</w:t>
      </w:r>
      <w:r w:rsidR="0015358D">
        <w:rPr>
          <w:rFonts w:ascii="Arial" w:eastAsia="Times New Roman" w:hAnsi="Arial" w:cs="Arial"/>
          <w:b/>
          <w:bCs/>
          <w:color w:val="242121"/>
          <w:lang w:eastAsia="en-ZA"/>
        </w:rPr>
        <w:t>U</w:t>
      </w:r>
      <w:r w:rsidR="007737B7">
        <w:rPr>
          <w:rFonts w:ascii="Arial" w:eastAsia="Times New Roman" w:hAnsi="Arial" w:cs="Arial"/>
          <w:b/>
          <w:bCs/>
          <w:color w:val="242121"/>
          <w:lang w:eastAsia="en-ZA"/>
        </w:rPr>
        <w:t>BLIC OF SOUTH AFRICA</w:t>
      </w:r>
    </w:p>
    <w:p w14:paraId="089E9F17" w14:textId="2A75E4F3" w:rsidR="00641B0D" w:rsidRPr="008A11BD" w:rsidRDefault="00641B0D" w:rsidP="00641B0D">
      <w:pPr>
        <w:shd w:val="clear" w:color="auto" w:fill="FFFFFF"/>
        <w:tabs>
          <w:tab w:val="left" w:pos="5296"/>
        </w:tabs>
        <w:spacing w:before="144" w:after="0" w:line="360" w:lineRule="auto"/>
        <w:jc w:val="center"/>
        <w:rPr>
          <w:rFonts w:ascii="Arial" w:eastAsia="Times New Roman" w:hAnsi="Arial" w:cs="Arial"/>
          <w:color w:val="242121"/>
          <w:lang w:eastAsia="en-ZA"/>
        </w:rPr>
      </w:pPr>
      <w:r w:rsidRPr="008A11BD">
        <w:rPr>
          <w:rFonts w:ascii="Arial" w:hAnsi="Arial" w:cs="Arial"/>
          <w:noProof/>
          <w:lang w:eastAsia="en-ZA"/>
        </w:rPr>
        <w:drawing>
          <wp:inline distT="0" distB="0" distL="0" distR="0" wp14:anchorId="0286A08E" wp14:editId="01CA2242">
            <wp:extent cx="1131570" cy="959861"/>
            <wp:effectExtent l="0" t="0" r="0" b="0"/>
            <wp:docPr id="5" name="Picture 1" descr="cid:image003.png@01D07774.1E4A6C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07774.1E4A6C9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834" cy="1039821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49E862" w14:textId="77777777" w:rsidR="00641B0D" w:rsidRPr="008A11BD" w:rsidRDefault="00641B0D" w:rsidP="00641B0D">
      <w:pPr>
        <w:spacing w:line="240" w:lineRule="auto"/>
        <w:jc w:val="center"/>
        <w:rPr>
          <w:rFonts w:ascii="Arial" w:hAnsi="Arial" w:cs="Arial"/>
          <w:b/>
        </w:rPr>
      </w:pPr>
      <w:r w:rsidRPr="008A11BD">
        <w:rPr>
          <w:rFonts w:ascii="Arial" w:hAnsi="Arial" w:cs="Arial"/>
          <w:b/>
        </w:rPr>
        <w:t>IN THE HIGH COURT OF SOUTH AFRICA</w:t>
      </w:r>
    </w:p>
    <w:p w14:paraId="5664C5D3" w14:textId="77777777" w:rsidR="00641B0D" w:rsidRPr="008A11BD" w:rsidRDefault="00641B0D" w:rsidP="00641B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240" w:after="120" w:line="240" w:lineRule="auto"/>
        <w:jc w:val="center"/>
        <w:rPr>
          <w:rFonts w:ascii="Arial" w:hAnsi="Arial" w:cs="Arial"/>
          <w:b/>
        </w:rPr>
      </w:pPr>
      <w:r w:rsidRPr="008A11BD">
        <w:rPr>
          <w:rFonts w:ascii="Arial" w:hAnsi="Arial" w:cs="Arial"/>
          <w:b/>
        </w:rPr>
        <w:t>GAUTENG HIGH COURT DIVISION, PRETORIA</w:t>
      </w:r>
    </w:p>
    <w:p w14:paraId="730621C4" w14:textId="77777777" w:rsidR="00641B0D" w:rsidRPr="008A11BD" w:rsidRDefault="00641B0D" w:rsidP="00641B0D">
      <w:pPr>
        <w:jc w:val="right"/>
        <w:rPr>
          <w:rFonts w:ascii="Arial" w:hAnsi="Arial" w:cs="Arial"/>
          <w:b/>
          <w:highlight w:val="yellow"/>
        </w:rPr>
      </w:pPr>
    </w:p>
    <w:p w14:paraId="4D4A4E8B" w14:textId="0AB36AB4" w:rsidR="00641B0D" w:rsidRDefault="00641B0D" w:rsidP="00641B0D">
      <w:pPr>
        <w:jc w:val="right"/>
        <w:rPr>
          <w:rFonts w:ascii="Arial" w:hAnsi="Arial" w:cs="Arial"/>
        </w:rPr>
      </w:pPr>
      <w:r w:rsidRPr="008A11BD">
        <w:rPr>
          <w:rFonts w:ascii="Arial" w:hAnsi="Arial" w:cs="Arial"/>
        </w:rPr>
        <w:t xml:space="preserve">Case no: </w:t>
      </w:r>
      <w:r w:rsidR="00BD2846">
        <w:rPr>
          <w:rFonts w:ascii="Arial" w:hAnsi="Arial" w:cs="Arial"/>
        </w:rPr>
        <w:t>73418</w:t>
      </w:r>
      <w:r w:rsidR="00BD2846" w:rsidRPr="003758F5">
        <w:rPr>
          <w:rFonts w:ascii="Arial" w:hAnsi="Arial" w:cs="Arial"/>
          <w:b/>
          <w:bCs/>
        </w:rPr>
        <w:t>/</w:t>
      </w:r>
      <w:r w:rsidR="00BD2846">
        <w:rPr>
          <w:rFonts w:ascii="Arial" w:hAnsi="Arial" w:cs="Arial"/>
          <w:b/>
          <w:bCs/>
        </w:rPr>
        <w:t>2016</w:t>
      </w:r>
    </w:p>
    <w:p w14:paraId="36B40B87" w14:textId="7E3451C4" w:rsidR="00641B0D" w:rsidRDefault="00F02009" w:rsidP="00641B0D">
      <w:pPr>
        <w:rPr>
          <w:rFonts w:ascii="Arial" w:hAnsi="Arial" w:cs="Arial"/>
        </w:rPr>
      </w:pPr>
      <w:r>
        <w:rPr>
          <w:rFonts w:ascii="Times New Roman" w:hAnsi="Times New Roman" w:cs="Times New Roman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90FA12" wp14:editId="3831B9AD">
                <wp:simplePos x="0" y="0"/>
                <wp:positionH relativeFrom="margin">
                  <wp:align>left</wp:align>
                </wp:positionH>
                <wp:positionV relativeFrom="paragraph">
                  <wp:posOffset>70485</wp:posOffset>
                </wp:positionV>
                <wp:extent cx="3886200" cy="15240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8599B" w14:textId="77777777" w:rsidR="00641B0D" w:rsidRDefault="00641B0D" w:rsidP="00641B0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B825DB0" w14:textId="65FB3147" w:rsidR="00641B0D" w:rsidRDefault="00641B0D" w:rsidP="00641B0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REPORTABLE: NO</w:t>
                            </w:r>
                          </w:p>
                          <w:p w14:paraId="2350DC44" w14:textId="411F6F41" w:rsidR="00641B0D" w:rsidRDefault="00641B0D" w:rsidP="00641B0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OF INTEREST TO OTHER JUDGES: NO</w:t>
                            </w:r>
                          </w:p>
                          <w:p w14:paraId="24F085FC" w14:textId="3A1C19C1" w:rsidR="00F02009" w:rsidRPr="00F02009" w:rsidRDefault="00641B0D" w:rsidP="00F0200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REVISED. </w:t>
                            </w:r>
                          </w:p>
                          <w:p w14:paraId="6B950A51" w14:textId="55D6E9F1" w:rsidR="00641B0D" w:rsidRDefault="00F71FDF" w:rsidP="00641B0D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 23 FEBRUARY </w:t>
                            </w:r>
                            <w:r w:rsidR="002A4BB1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202</w:t>
                            </w:r>
                            <w:r w:rsidR="0015358D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 w:rsidR="00641B0D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ab/>
                              <w:t>………………………...</w:t>
                            </w:r>
                          </w:p>
                          <w:p w14:paraId="4FB9B957" w14:textId="77777777" w:rsidR="00641B0D" w:rsidRDefault="00641B0D" w:rsidP="00641B0D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DATE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90FA1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5.55pt;width:306pt;height:120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6IlFwIAACwEAAAOAAAAZHJzL2Uyb0RvYy54bWysU9tu2zAMfR+wfxD0vjjJki414hRdugwD&#10;ugvQ7QNkWY6FyaJGKbG7rx8lu0m6YS/D/CCIJnVIHh6ub/rWsKNCr8EWfDaZcqashErbfcG/fd29&#10;WnHmg7CVMGBVwR+V5zebly/WncvVHBowlUJGINbnnSt4E4LLs8zLRrXCT8ApS84asBWBTNxnFYqO&#10;0FuTzafTq6wDrByCVN7T37vByTcJv66VDJ/r2qvATMGptpBOTGcZz2yzFvkehWu0HMsQ/1BFK7Sl&#10;pCeoOxEEO6D+A6rVEsFDHSYS2gzqWkuVeqBuZtPfunlohFOpFyLHuxNN/v/Byk/HB/cFWejfQk8D&#10;TE14dw/yu2cWto2we3WLCF2jREWJZ5GyrHM+H59Gqn3uI0jZfYSKhiwOARJQX2MbWaE+GaHTAB5P&#10;pKs+MEk/X69WVzRJziT5Zsv5YkpGzCHyp+cOfXivoGXxUnCkqSZ4cbz3YQh9ConZPBhd7bQxycB9&#10;uTXIjoIUsEvfiP4szFjWFfx6OV8ODPwVgqo7F/gMotWBpGx0W/DVKUjkkbd3tkpCC0Kb4U7dGTsS&#10;GbkbWAx92VNgJLSE6pEoRRgkSytGlwbwJ2cdybXg/sdBoOLMfLA0luvZYhH1nYzF8s2cDLz0lJce&#10;YSVBFTxwNly3YdiJg0O9byjTIAQLtzTKWieSz1WNdZMk05jG9Ymav7RT1HnJN78AAAD//wMAUEsD&#10;BBQABgAIAAAAIQBkP4LV3AAAAAcBAAAPAAAAZHJzL2Rvd25yZXYueG1sTI/BTsMwDIbvSLxDZCQu&#10;iKUtUEZpOiEkELvBQHDNGq+tSJySZF15e8wJjv5+6/fnejU7KyYMcfCkIF9kIJBabwbqFLy9Ppwv&#10;QcSkyWjrCRV8Y4RVc3xU68r4A73gtEmd4BKKlVbQpzRWUsa2R6fjwo9InO18cDrxGDppgj5wubOy&#10;yLJSOj0QX+j1iPc9tp+bvVOwvHyaPuL64vm9LXf2Jp1dT49fQanTk/nuFkTCOf0tw68+q0PDTlu/&#10;JxOFVcCPJKZ5DoLTMi8YbBUUV0xkU8v//s0PAAAA//8DAFBLAQItABQABgAIAAAAIQC2gziS/gAA&#10;AOEBAAATAAAAAAAAAAAAAAAAAAAAAABbQ29udGVudF9UeXBlc10ueG1sUEsBAi0AFAAGAAgAAAAh&#10;ADj9If/WAAAAlAEAAAsAAAAAAAAAAAAAAAAALwEAAF9yZWxzLy5yZWxzUEsBAi0AFAAGAAgAAAAh&#10;APPPoiUXAgAALAQAAA4AAAAAAAAAAAAAAAAALgIAAGRycy9lMm9Eb2MueG1sUEsBAi0AFAAGAAgA&#10;AAAhAGQ/gtXcAAAABwEAAA8AAAAAAAAAAAAAAAAAcQQAAGRycy9kb3ducmV2LnhtbFBLBQYAAAAA&#10;BAAEAPMAAAB6BQAAAAA=&#10;">
                <v:textbox>
                  <w:txbxContent>
                    <w:p w14:paraId="2EA8599B" w14:textId="77777777" w:rsidR="00641B0D" w:rsidRDefault="00641B0D" w:rsidP="00641B0D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14:paraId="0B825DB0" w14:textId="65FB3147" w:rsidR="00641B0D" w:rsidRDefault="00641B0D" w:rsidP="00641B0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REPORTABLE: NO</w:t>
                      </w:r>
                    </w:p>
                    <w:p w14:paraId="2350DC44" w14:textId="411F6F41" w:rsidR="00641B0D" w:rsidRDefault="00641B0D" w:rsidP="00641B0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OF INTEREST TO OTHER JUDGES: NO</w:t>
                      </w:r>
                    </w:p>
                    <w:p w14:paraId="24F085FC" w14:textId="3A1C19C1" w:rsidR="00F02009" w:rsidRPr="00F02009" w:rsidRDefault="00641B0D" w:rsidP="00F0200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REVISED. </w:t>
                      </w:r>
                    </w:p>
                    <w:p w14:paraId="6B950A51" w14:textId="55D6E9F1" w:rsidR="00641B0D" w:rsidRDefault="00F71FDF" w:rsidP="00641B0D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 23 FEBRUARY </w:t>
                      </w:r>
                      <w:r w:rsidR="002A4BB1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202</w:t>
                      </w:r>
                      <w:r w:rsidR="0015358D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4</w:t>
                      </w:r>
                      <w:r w:rsidR="00641B0D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ab/>
                        <w:t>………………………...</w:t>
                      </w:r>
                    </w:p>
                    <w:p w14:paraId="4FB9B957" w14:textId="77777777" w:rsidR="00641B0D" w:rsidRDefault="00641B0D" w:rsidP="00641B0D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DATE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>SIGNATURE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2B1C80" w14:textId="77777777" w:rsidR="00641B0D" w:rsidRDefault="00641B0D" w:rsidP="00641B0D">
      <w:pPr>
        <w:rPr>
          <w:rFonts w:ascii="Arial" w:hAnsi="Arial" w:cs="Arial"/>
        </w:rPr>
      </w:pPr>
    </w:p>
    <w:p w14:paraId="74F127E6" w14:textId="2B628926" w:rsidR="00641B0D" w:rsidRDefault="00641B0D" w:rsidP="00641B0D">
      <w:pPr>
        <w:rPr>
          <w:rFonts w:ascii="Arial" w:hAnsi="Arial" w:cs="Arial"/>
        </w:rPr>
      </w:pPr>
    </w:p>
    <w:p w14:paraId="629494BE" w14:textId="77777777" w:rsidR="00641B0D" w:rsidRDefault="00641B0D" w:rsidP="00641B0D">
      <w:pPr>
        <w:rPr>
          <w:rFonts w:ascii="Arial" w:hAnsi="Arial" w:cs="Arial"/>
        </w:rPr>
      </w:pPr>
    </w:p>
    <w:p w14:paraId="791B3654" w14:textId="77777777" w:rsidR="00641B0D" w:rsidRDefault="00641B0D" w:rsidP="00641B0D">
      <w:pPr>
        <w:rPr>
          <w:rFonts w:ascii="Arial" w:hAnsi="Arial" w:cs="Arial"/>
        </w:rPr>
      </w:pPr>
    </w:p>
    <w:p w14:paraId="240037A4" w14:textId="77777777" w:rsidR="00641B0D" w:rsidRPr="008A11BD" w:rsidRDefault="00641B0D" w:rsidP="00641B0D">
      <w:pPr>
        <w:jc w:val="both"/>
        <w:rPr>
          <w:rFonts w:ascii="Arial" w:hAnsi="Arial" w:cs="Arial"/>
        </w:rPr>
      </w:pPr>
    </w:p>
    <w:p w14:paraId="3763639F" w14:textId="77777777" w:rsidR="00641B0D" w:rsidRPr="008A11BD" w:rsidRDefault="00641B0D" w:rsidP="00641B0D">
      <w:pPr>
        <w:jc w:val="both"/>
        <w:rPr>
          <w:rFonts w:ascii="Arial" w:hAnsi="Arial" w:cs="Arial"/>
        </w:rPr>
      </w:pPr>
      <w:r w:rsidRPr="008A11BD">
        <w:rPr>
          <w:rFonts w:ascii="Arial" w:hAnsi="Arial" w:cs="Arial"/>
        </w:rPr>
        <w:t>In the matter between:</w:t>
      </w:r>
    </w:p>
    <w:p w14:paraId="7AF1AAD1" w14:textId="77777777" w:rsidR="00641B0D" w:rsidRPr="008A11BD" w:rsidRDefault="00641B0D" w:rsidP="00641B0D">
      <w:pPr>
        <w:spacing w:line="240" w:lineRule="auto"/>
        <w:jc w:val="both"/>
        <w:rPr>
          <w:rFonts w:ascii="Arial" w:hAnsi="Arial" w:cs="Arial"/>
        </w:rPr>
      </w:pPr>
    </w:p>
    <w:p w14:paraId="076ABBA6" w14:textId="77777777" w:rsidR="00863EC3" w:rsidRPr="009070FB" w:rsidRDefault="00863EC3" w:rsidP="00863EC3">
      <w:pPr>
        <w:tabs>
          <w:tab w:val="center" w:pos="2534"/>
          <w:tab w:val="right" w:pos="9749"/>
        </w:tabs>
        <w:spacing w:after="478" w:line="280" w:lineRule="auto"/>
        <w:rPr>
          <w:rFonts w:ascii="Arial" w:eastAsia="Times New Roman" w:hAnsi="Arial" w:cs="Arial"/>
          <w:color w:val="000000"/>
          <w:kern w:val="2"/>
          <w:sz w:val="24"/>
          <w:lang w:eastAsia="en-ZA"/>
          <w14:ligatures w14:val="standardContextual"/>
        </w:rPr>
      </w:pPr>
      <w:r w:rsidRPr="009070FB">
        <w:rPr>
          <w:rFonts w:ascii="Arial" w:eastAsia="Times New Roman" w:hAnsi="Arial" w:cs="Arial"/>
          <w:b/>
          <w:color w:val="000000"/>
          <w:kern w:val="2"/>
          <w:sz w:val="24"/>
          <w:lang w:eastAsia="en-ZA"/>
          <w14:ligatures w14:val="standardContextual"/>
        </w:rPr>
        <w:t>PETER THEMBEKILE MALGAS</w:t>
      </w:r>
      <w:r w:rsidRPr="009070FB">
        <w:rPr>
          <w:rFonts w:ascii="Arial" w:eastAsia="Times New Roman" w:hAnsi="Arial" w:cs="Arial"/>
          <w:color w:val="000000"/>
          <w:kern w:val="2"/>
          <w:sz w:val="24"/>
          <w:lang w:eastAsia="en-ZA"/>
          <w14:ligatures w14:val="standardContextual"/>
        </w:rPr>
        <w:t xml:space="preserve"> </w:t>
      </w:r>
      <w:r w:rsidRPr="009070FB">
        <w:rPr>
          <w:rFonts w:ascii="Arial" w:eastAsia="Times New Roman" w:hAnsi="Arial" w:cs="Arial"/>
          <w:color w:val="000000"/>
          <w:kern w:val="2"/>
          <w:sz w:val="24"/>
          <w:lang w:eastAsia="en-ZA"/>
          <w14:ligatures w14:val="standardContextual"/>
        </w:rPr>
        <w:tab/>
        <w:t xml:space="preserve">First Plaintiff </w:t>
      </w:r>
    </w:p>
    <w:p w14:paraId="24AD8195" w14:textId="77777777" w:rsidR="00863EC3" w:rsidRPr="009070FB" w:rsidRDefault="00863EC3" w:rsidP="00863EC3">
      <w:pPr>
        <w:tabs>
          <w:tab w:val="center" w:pos="2114"/>
          <w:tab w:val="right" w:pos="9749"/>
        </w:tabs>
        <w:spacing w:after="478" w:line="280" w:lineRule="auto"/>
        <w:rPr>
          <w:rFonts w:ascii="Arial" w:eastAsia="Times New Roman" w:hAnsi="Arial" w:cs="Arial"/>
          <w:color w:val="000000"/>
          <w:kern w:val="2"/>
          <w:sz w:val="24"/>
          <w:lang w:eastAsia="en-ZA"/>
          <w14:ligatures w14:val="standardContextual"/>
        </w:rPr>
      </w:pPr>
      <w:r w:rsidRPr="009070FB">
        <w:rPr>
          <w:rFonts w:ascii="Arial" w:eastAsia="Times New Roman" w:hAnsi="Arial" w:cs="Arial"/>
          <w:b/>
          <w:color w:val="000000"/>
          <w:kern w:val="2"/>
          <w:sz w:val="24"/>
          <w:lang w:eastAsia="en-ZA"/>
          <w14:ligatures w14:val="standardContextual"/>
        </w:rPr>
        <w:t xml:space="preserve">ALFRED DISCO BIYELA </w:t>
      </w:r>
      <w:r w:rsidRPr="009070FB">
        <w:rPr>
          <w:rFonts w:ascii="Arial" w:eastAsia="Times New Roman" w:hAnsi="Arial" w:cs="Arial"/>
          <w:b/>
          <w:color w:val="000000"/>
          <w:kern w:val="2"/>
          <w:sz w:val="24"/>
          <w:lang w:eastAsia="en-ZA"/>
          <w14:ligatures w14:val="standardContextual"/>
        </w:rPr>
        <w:tab/>
      </w:r>
      <w:r w:rsidRPr="009070FB">
        <w:rPr>
          <w:rFonts w:ascii="Arial" w:eastAsia="Times New Roman" w:hAnsi="Arial" w:cs="Arial"/>
          <w:color w:val="000000"/>
          <w:kern w:val="2"/>
          <w:sz w:val="24"/>
          <w:lang w:eastAsia="en-ZA"/>
          <w14:ligatures w14:val="standardContextual"/>
        </w:rPr>
        <w:t>Second Plaintiff</w:t>
      </w:r>
      <w:r w:rsidRPr="009070FB">
        <w:rPr>
          <w:rFonts w:ascii="Arial" w:eastAsia="Times New Roman" w:hAnsi="Arial" w:cs="Arial"/>
          <w:b/>
          <w:color w:val="000000"/>
          <w:kern w:val="2"/>
          <w:sz w:val="24"/>
          <w:lang w:eastAsia="en-ZA"/>
          <w14:ligatures w14:val="standardContextual"/>
        </w:rPr>
        <w:t xml:space="preserve"> </w:t>
      </w:r>
    </w:p>
    <w:p w14:paraId="2F510666" w14:textId="77777777" w:rsidR="00863EC3" w:rsidRPr="009070FB" w:rsidRDefault="00863EC3" w:rsidP="00863EC3">
      <w:pPr>
        <w:tabs>
          <w:tab w:val="center" w:pos="2367"/>
          <w:tab w:val="right" w:pos="9749"/>
        </w:tabs>
        <w:spacing w:after="478" w:line="280" w:lineRule="auto"/>
        <w:rPr>
          <w:rFonts w:ascii="Arial" w:eastAsia="Times New Roman" w:hAnsi="Arial" w:cs="Arial"/>
          <w:color w:val="000000"/>
          <w:kern w:val="2"/>
          <w:sz w:val="24"/>
          <w:lang w:eastAsia="en-ZA"/>
          <w14:ligatures w14:val="standardContextual"/>
        </w:rPr>
      </w:pPr>
      <w:r w:rsidRPr="009070FB">
        <w:rPr>
          <w:rFonts w:ascii="Arial" w:eastAsia="Times New Roman" w:hAnsi="Arial" w:cs="Arial"/>
          <w:b/>
          <w:color w:val="000000"/>
          <w:kern w:val="2"/>
          <w:sz w:val="24"/>
          <w:lang w:eastAsia="en-ZA"/>
          <w14:ligatures w14:val="standardContextual"/>
        </w:rPr>
        <w:t xml:space="preserve">BOSWELL JOHN MHLONGO </w:t>
      </w:r>
      <w:r w:rsidRPr="009070FB">
        <w:rPr>
          <w:rFonts w:ascii="Arial" w:eastAsia="Times New Roman" w:hAnsi="Arial" w:cs="Arial"/>
          <w:b/>
          <w:color w:val="000000"/>
          <w:kern w:val="2"/>
          <w:sz w:val="24"/>
          <w:lang w:eastAsia="en-ZA"/>
          <w14:ligatures w14:val="standardContextual"/>
        </w:rPr>
        <w:tab/>
      </w:r>
      <w:r w:rsidRPr="009070FB">
        <w:rPr>
          <w:rFonts w:ascii="Arial" w:eastAsia="Times New Roman" w:hAnsi="Arial" w:cs="Arial"/>
          <w:color w:val="000000"/>
          <w:kern w:val="2"/>
          <w:sz w:val="24"/>
          <w:lang w:eastAsia="en-ZA"/>
          <w14:ligatures w14:val="standardContextual"/>
        </w:rPr>
        <w:t xml:space="preserve">Third Plaintiff </w:t>
      </w:r>
    </w:p>
    <w:p w14:paraId="526F45A7" w14:textId="77777777" w:rsidR="00863EC3" w:rsidRPr="009070FB" w:rsidRDefault="00863EC3" w:rsidP="00863EC3">
      <w:pPr>
        <w:spacing w:after="492" w:line="259" w:lineRule="auto"/>
        <w:jc w:val="both"/>
        <w:rPr>
          <w:rFonts w:ascii="Arial" w:eastAsia="Times New Roman" w:hAnsi="Arial" w:cs="Arial"/>
          <w:color w:val="000000"/>
          <w:kern w:val="2"/>
          <w:sz w:val="24"/>
          <w:lang w:eastAsia="en-ZA"/>
          <w14:ligatures w14:val="standardContextual"/>
        </w:rPr>
      </w:pPr>
      <w:r w:rsidRPr="009070FB">
        <w:rPr>
          <w:rFonts w:ascii="Arial" w:eastAsia="Times New Roman" w:hAnsi="Arial" w:cs="Arial"/>
          <w:color w:val="000000"/>
          <w:kern w:val="2"/>
          <w:sz w:val="24"/>
          <w:lang w:eastAsia="en-ZA"/>
          <w14:ligatures w14:val="standardContextual"/>
        </w:rPr>
        <w:t xml:space="preserve">and </w:t>
      </w:r>
    </w:p>
    <w:p w14:paraId="11D00644" w14:textId="77777777" w:rsidR="00863EC3" w:rsidRPr="00AF719D" w:rsidRDefault="00863EC3" w:rsidP="00863EC3">
      <w:pPr>
        <w:keepNext/>
        <w:keepLines/>
        <w:tabs>
          <w:tab w:val="center" w:pos="4004"/>
          <w:tab w:val="right" w:pos="9749"/>
        </w:tabs>
        <w:spacing w:after="478" w:line="280" w:lineRule="auto"/>
        <w:outlineLvl w:val="0"/>
        <w:rPr>
          <w:rFonts w:ascii="Arial" w:eastAsia="Times New Roman" w:hAnsi="Arial" w:cs="Arial"/>
          <w:b/>
          <w:color w:val="000000"/>
          <w:kern w:val="2"/>
          <w:sz w:val="24"/>
          <w:lang w:eastAsia="en-ZA"/>
          <w14:ligatures w14:val="standardContextual"/>
        </w:rPr>
      </w:pPr>
      <w:r w:rsidRPr="009070FB">
        <w:rPr>
          <w:rFonts w:ascii="Arial" w:eastAsia="Times New Roman" w:hAnsi="Arial" w:cs="Arial"/>
          <w:b/>
          <w:color w:val="000000"/>
          <w:kern w:val="2"/>
          <w:sz w:val="24"/>
          <w:lang w:eastAsia="en-ZA"/>
          <w14:ligatures w14:val="standardContextual"/>
        </w:rPr>
        <w:t>MINISTER OF JUSTICE AND CORRECTIONAL SERVICES</w:t>
      </w:r>
      <w:r w:rsidRPr="009070FB">
        <w:rPr>
          <w:rFonts w:ascii="Arial" w:eastAsia="Times New Roman" w:hAnsi="Arial" w:cs="Arial"/>
          <w:color w:val="000000"/>
          <w:kern w:val="2"/>
          <w:sz w:val="24"/>
          <w:lang w:eastAsia="en-ZA"/>
          <w14:ligatures w14:val="standardContextual"/>
        </w:rPr>
        <w:t xml:space="preserve"> </w:t>
      </w:r>
      <w:r w:rsidRPr="009070FB">
        <w:rPr>
          <w:rFonts w:ascii="Arial" w:eastAsia="Times New Roman" w:hAnsi="Arial" w:cs="Arial"/>
          <w:color w:val="000000"/>
          <w:kern w:val="2"/>
          <w:sz w:val="24"/>
          <w:lang w:eastAsia="en-ZA"/>
          <w14:ligatures w14:val="standardContextual"/>
        </w:rPr>
        <w:tab/>
        <w:t>Defendant</w:t>
      </w:r>
      <w:r w:rsidRPr="009070FB">
        <w:rPr>
          <w:rFonts w:ascii="Arial" w:eastAsia="Times New Roman" w:hAnsi="Arial" w:cs="Arial"/>
          <w:b/>
          <w:color w:val="000000"/>
          <w:kern w:val="2"/>
          <w:sz w:val="24"/>
          <w:lang w:eastAsia="en-ZA"/>
          <w14:ligatures w14:val="standardContextual"/>
        </w:rPr>
        <w:t xml:space="preserve"> </w:t>
      </w:r>
    </w:p>
    <w:p w14:paraId="1D81E3F2" w14:textId="481276F7" w:rsidR="00641B0D" w:rsidRPr="008A11BD" w:rsidRDefault="00641B0D" w:rsidP="007F0BE0">
      <w:pPr>
        <w:jc w:val="both"/>
        <w:rPr>
          <w:rFonts w:ascii="Arial" w:hAnsi="Arial" w:cs="Arial"/>
        </w:rPr>
      </w:pPr>
      <w:r w:rsidRPr="008A11BD">
        <w:rPr>
          <w:rFonts w:ascii="Arial" w:hAnsi="Arial" w:cs="Arial"/>
          <w:b/>
        </w:rPr>
        <w:tab/>
      </w:r>
      <w:r w:rsidRPr="008A11BD">
        <w:rPr>
          <w:rFonts w:ascii="Arial" w:hAnsi="Arial" w:cs="Arial"/>
          <w:b/>
        </w:rPr>
        <w:tab/>
      </w:r>
      <w:r w:rsidRPr="008A11BD">
        <w:rPr>
          <w:rFonts w:ascii="Arial" w:hAnsi="Arial" w:cs="Arial"/>
          <w:b/>
        </w:rPr>
        <w:tab/>
      </w:r>
      <w:r w:rsidRPr="008A11BD">
        <w:rPr>
          <w:rFonts w:ascii="Arial" w:hAnsi="Arial" w:cs="Arial"/>
          <w:b/>
        </w:rPr>
        <w:tab/>
      </w:r>
      <w:r w:rsidRPr="008A11BD">
        <w:rPr>
          <w:rFonts w:ascii="Arial" w:hAnsi="Arial" w:cs="Arial"/>
          <w:b/>
        </w:rPr>
        <w:tab/>
      </w:r>
      <w:r w:rsidRPr="008A11BD">
        <w:rPr>
          <w:rFonts w:ascii="Arial" w:hAnsi="Arial" w:cs="Arial"/>
          <w:b/>
        </w:rPr>
        <w:tab/>
      </w:r>
      <w:r w:rsidRPr="008A11BD">
        <w:rPr>
          <w:rFonts w:ascii="Arial" w:hAnsi="Arial" w:cs="Arial"/>
          <w:b/>
        </w:rPr>
        <w:tab/>
      </w:r>
    </w:p>
    <w:p w14:paraId="1B127117" w14:textId="77777777" w:rsidR="00641B0D" w:rsidRPr="008A11BD" w:rsidRDefault="00641B0D" w:rsidP="00641B0D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</w:p>
    <w:p w14:paraId="66EECADA" w14:textId="493B353F" w:rsidR="00641B0D" w:rsidRPr="00F90932" w:rsidRDefault="005B6D11" w:rsidP="00863E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 U D G M E N T – Section 3 of Act </w:t>
      </w:r>
      <w:r w:rsidR="006D2166">
        <w:rPr>
          <w:rFonts w:ascii="Arial" w:hAnsi="Arial" w:cs="Arial"/>
          <w:b/>
          <w:sz w:val="24"/>
          <w:szCs w:val="24"/>
        </w:rPr>
        <w:t>40 of 2002</w:t>
      </w:r>
      <w:r w:rsidR="00641B0D" w:rsidRPr="008A11BD">
        <w:rPr>
          <w:rFonts w:ascii="Arial" w:hAnsi="Arial" w:cs="Arial"/>
          <w:b/>
          <w:sz w:val="24"/>
          <w:szCs w:val="24"/>
        </w:rPr>
        <w:t xml:space="preserve"> _____________________________________</w:t>
      </w:r>
      <w:r w:rsidR="00641B0D">
        <w:rPr>
          <w:rFonts w:ascii="Arial" w:hAnsi="Arial" w:cs="Arial"/>
          <w:b/>
          <w:sz w:val="24"/>
          <w:szCs w:val="24"/>
        </w:rPr>
        <w:t>_______________</w:t>
      </w:r>
      <w:r w:rsidR="00641B0D" w:rsidRPr="008A11BD">
        <w:rPr>
          <w:rFonts w:ascii="Arial" w:hAnsi="Arial" w:cs="Arial"/>
          <w:b/>
          <w:sz w:val="24"/>
          <w:szCs w:val="24"/>
        </w:rPr>
        <w:t>_______________</w:t>
      </w:r>
    </w:p>
    <w:p w14:paraId="71E8F39F" w14:textId="63265833" w:rsidR="00641B0D" w:rsidRPr="008A11BD" w:rsidRDefault="00641B0D" w:rsidP="00641B0D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MAKHOBA, J</w:t>
      </w:r>
    </w:p>
    <w:p w14:paraId="06BE2896" w14:textId="4EBB19A8" w:rsidR="00641B0D" w:rsidRPr="003273AE" w:rsidRDefault="00641B0D" w:rsidP="00641B0D">
      <w:pPr>
        <w:shd w:val="clear" w:color="auto" w:fill="FFFFFF"/>
        <w:spacing w:before="144" w:after="0" w:line="480" w:lineRule="auto"/>
        <w:ind w:left="720" w:hanging="720"/>
        <w:jc w:val="both"/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</w:pPr>
      <w:r>
        <w:rPr>
          <w:rFonts w:ascii="Arial" w:eastAsia="Times New Roman" w:hAnsi="Arial" w:cs="Arial"/>
          <w:color w:val="242121"/>
          <w:sz w:val="24"/>
          <w:szCs w:val="24"/>
          <w:lang w:eastAsia="en-ZA"/>
        </w:rPr>
        <w:t>[1</w:t>
      </w:r>
      <w:r w:rsidR="00D3686A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]</w:t>
      </w:r>
      <w:r w:rsidR="00D3686A">
        <w:rPr>
          <w:rFonts w:ascii="Arial" w:eastAsia="Times New Roman" w:hAnsi="Arial" w:cs="Arial"/>
          <w:color w:val="242121"/>
          <w:sz w:val="24"/>
          <w:szCs w:val="24"/>
          <w:lang w:eastAsia="en-ZA"/>
        </w:rPr>
        <w:tab/>
        <w:t xml:space="preserve">On </w:t>
      </w:r>
      <w:r w:rsidR="0016162B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26 January 2024 the defendant filed </w:t>
      </w:r>
      <w:r w:rsidR="00D05633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its </w:t>
      </w:r>
      <w:r w:rsidR="002F2BBB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amended plea and practice note whereby the </w:t>
      </w:r>
      <w:r w:rsidR="00EB7951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defendant</w:t>
      </w:r>
      <w:r w:rsidR="002F2BBB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 raised </w:t>
      </w:r>
      <w:r w:rsidR="00EB7951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a</w:t>
      </w:r>
      <w:r w:rsidR="002F2BBB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 spe</w:t>
      </w:r>
      <w:r w:rsidR="00EB7951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cial plea </w:t>
      </w:r>
      <w:r w:rsidR="00251A7D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on </w:t>
      </w:r>
      <w:r w:rsidR="00932A63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the failure by the plainti</w:t>
      </w:r>
      <w:r w:rsidR="00ED1156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ffs to comply with section </w:t>
      </w:r>
      <w:r w:rsidR="00112746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3 of Act 40</w:t>
      </w:r>
      <w:r w:rsidR="002E2525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 </w:t>
      </w:r>
      <w:r w:rsidR="002D4362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2002</w:t>
      </w:r>
      <w:r w:rsidR="009D75E5">
        <w:rPr>
          <w:rStyle w:val="FootnoteReference"/>
          <w:rFonts w:ascii="Arial" w:eastAsia="Times New Roman" w:hAnsi="Arial" w:cs="Arial"/>
          <w:color w:val="242121"/>
          <w:sz w:val="24"/>
          <w:szCs w:val="24"/>
          <w:lang w:eastAsia="en-ZA"/>
        </w:rPr>
        <w:footnoteReference w:id="1"/>
      </w:r>
      <w:r w:rsidR="002E2525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. </w:t>
      </w:r>
      <w:r w:rsidR="002D4362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 </w:t>
      </w:r>
    </w:p>
    <w:p w14:paraId="4827B5D1" w14:textId="33D7765A" w:rsidR="00641B0D" w:rsidRPr="006724F7" w:rsidRDefault="00641B0D" w:rsidP="00641B0D">
      <w:pPr>
        <w:shd w:val="clear" w:color="auto" w:fill="FFFFFF"/>
        <w:spacing w:before="144" w:after="0" w:line="480" w:lineRule="auto"/>
        <w:ind w:left="720" w:hanging="720"/>
        <w:jc w:val="both"/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</w:pPr>
      <w:r w:rsidRPr="006724F7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[2] </w:t>
      </w:r>
      <w:r w:rsidRPr="006724F7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ab/>
      </w:r>
      <w:r w:rsidR="006724F7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It is common cause that in its original plea, the defendant did not raise a special </w:t>
      </w:r>
      <w:r w:rsidR="00FE2C3D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plea of failure to comply with section 3 of 40 of 2002.</w:t>
      </w:r>
    </w:p>
    <w:p w14:paraId="76441C0F" w14:textId="23BD303B" w:rsidR="0079190D" w:rsidRDefault="00641B0D" w:rsidP="00641B0D">
      <w:pPr>
        <w:shd w:val="clear" w:color="auto" w:fill="FFFFFF"/>
        <w:spacing w:before="144" w:after="0" w:line="480" w:lineRule="auto"/>
        <w:ind w:left="720" w:hanging="720"/>
        <w:jc w:val="both"/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</w:pPr>
      <w:r w:rsidRPr="006724F7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[3]</w:t>
      </w:r>
      <w:r w:rsidR="00C41B02" w:rsidRPr="006724F7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ab/>
      </w:r>
      <w:r w:rsidR="002F1CE8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To the defendant’s pre-trial </w:t>
      </w:r>
      <w:r w:rsidR="007A027E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questions</w:t>
      </w:r>
      <w:r w:rsidR="0011733C">
        <w:rPr>
          <w:rStyle w:val="FootnoteReference"/>
          <w:rFonts w:ascii="Arial" w:eastAsia="Times New Roman" w:hAnsi="Arial" w:cs="Arial"/>
          <w:color w:val="242121"/>
          <w:sz w:val="24"/>
          <w:szCs w:val="24"/>
          <w:lang w:val="en-US" w:eastAsia="en-ZA"/>
        </w:rPr>
        <w:footnoteReference w:id="2"/>
      </w:r>
      <w:r w:rsidR="007A027E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 the plaintiffs replied as follow</w:t>
      </w:r>
      <w:r w:rsidR="00152190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: </w:t>
      </w:r>
    </w:p>
    <w:p w14:paraId="3676FD06" w14:textId="79D95F52" w:rsidR="00641B0D" w:rsidRPr="00D26081" w:rsidRDefault="00152190" w:rsidP="00D26081">
      <w:pPr>
        <w:shd w:val="clear" w:color="auto" w:fill="FFFFFF"/>
        <w:spacing w:before="144" w:after="0" w:line="480" w:lineRule="auto"/>
        <w:ind w:left="720"/>
        <w:jc w:val="both"/>
        <w:rPr>
          <w:rFonts w:ascii="Arial" w:eastAsia="Times New Roman" w:hAnsi="Arial" w:cs="Arial"/>
          <w:color w:val="242121"/>
          <w:lang w:val="en-US" w:eastAsia="en-ZA"/>
        </w:rPr>
      </w:pPr>
      <w:r w:rsidRPr="00D26081">
        <w:rPr>
          <w:rFonts w:ascii="Arial" w:eastAsia="Times New Roman" w:hAnsi="Arial" w:cs="Arial"/>
          <w:color w:val="242121"/>
          <w:lang w:val="en-US" w:eastAsia="en-ZA"/>
        </w:rPr>
        <w:t>“</w:t>
      </w:r>
      <w:r w:rsidR="005D794B" w:rsidRPr="00D26081">
        <w:rPr>
          <w:rFonts w:ascii="Arial" w:eastAsia="Times New Roman" w:hAnsi="Arial" w:cs="Arial"/>
          <w:color w:val="242121"/>
          <w:lang w:val="en-US" w:eastAsia="en-ZA"/>
        </w:rPr>
        <w:t>18. Do the Defend</w:t>
      </w:r>
      <w:r w:rsidR="00A24018" w:rsidRPr="00D26081">
        <w:rPr>
          <w:rFonts w:ascii="Arial" w:eastAsia="Times New Roman" w:hAnsi="Arial" w:cs="Arial"/>
          <w:color w:val="242121"/>
          <w:lang w:val="en-US" w:eastAsia="en-ZA"/>
        </w:rPr>
        <w:t>ants admit that they have not applied for condonation for the late delivery of the letter of demand?</w:t>
      </w:r>
    </w:p>
    <w:p w14:paraId="44392A24" w14:textId="674578C9" w:rsidR="0079190D" w:rsidRPr="00D26081" w:rsidRDefault="0079190D" w:rsidP="0079190D">
      <w:pPr>
        <w:pStyle w:val="ListParagraph"/>
        <w:numPr>
          <w:ilvl w:val="0"/>
          <w:numId w:val="2"/>
        </w:numPr>
        <w:shd w:val="clear" w:color="auto" w:fill="FFFFFF"/>
        <w:spacing w:before="144" w:after="0" w:line="480" w:lineRule="auto"/>
        <w:jc w:val="both"/>
        <w:rPr>
          <w:rFonts w:ascii="Arial" w:eastAsia="Times New Roman" w:hAnsi="Arial" w:cs="Arial"/>
          <w:color w:val="242121"/>
          <w:lang w:val="en-US" w:eastAsia="en-ZA"/>
        </w:rPr>
      </w:pPr>
      <w:r w:rsidRPr="00D26081">
        <w:rPr>
          <w:rFonts w:ascii="Arial" w:eastAsia="Times New Roman" w:hAnsi="Arial" w:cs="Arial"/>
          <w:color w:val="242121"/>
          <w:lang w:val="en-US" w:eastAsia="en-ZA"/>
        </w:rPr>
        <w:t>No application for condonation was made.</w:t>
      </w:r>
    </w:p>
    <w:p w14:paraId="43BFA272" w14:textId="3E1B0FE7" w:rsidR="0079190D" w:rsidRPr="00D26081" w:rsidRDefault="0079190D" w:rsidP="0079190D">
      <w:pPr>
        <w:pStyle w:val="ListParagraph"/>
        <w:numPr>
          <w:ilvl w:val="0"/>
          <w:numId w:val="2"/>
        </w:numPr>
        <w:shd w:val="clear" w:color="auto" w:fill="FFFFFF"/>
        <w:spacing w:before="144" w:after="0" w:line="480" w:lineRule="auto"/>
        <w:jc w:val="both"/>
        <w:rPr>
          <w:rFonts w:ascii="Arial" w:eastAsia="Times New Roman" w:hAnsi="Arial" w:cs="Arial"/>
          <w:color w:val="242121"/>
          <w:lang w:val="en-US" w:eastAsia="en-ZA"/>
        </w:rPr>
      </w:pPr>
      <w:r w:rsidRPr="00D26081">
        <w:rPr>
          <w:rFonts w:ascii="Arial" w:eastAsia="Times New Roman" w:hAnsi="Arial" w:cs="Arial"/>
          <w:color w:val="242121"/>
          <w:lang w:val="en-US" w:eastAsia="en-ZA"/>
        </w:rPr>
        <w:t>The Plaintiffs persist with their statements in the particulars of claim namely that the Plaintiffs complied with the Act.”</w:t>
      </w:r>
    </w:p>
    <w:p w14:paraId="0DD5B0D1" w14:textId="2E121BA3" w:rsidR="00641B0D" w:rsidRPr="006724F7" w:rsidRDefault="00641B0D" w:rsidP="00641B0D">
      <w:pPr>
        <w:shd w:val="clear" w:color="auto" w:fill="FFFFFF"/>
        <w:spacing w:before="144" w:after="0" w:line="480" w:lineRule="auto"/>
        <w:ind w:left="720" w:hanging="720"/>
        <w:jc w:val="both"/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</w:pPr>
      <w:r w:rsidRPr="006724F7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[4]</w:t>
      </w:r>
      <w:r w:rsidRPr="006724F7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ab/>
      </w:r>
      <w:r w:rsidR="00D26081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In the founding affidavit on behalf of the plaintiff’s it is submitted</w:t>
      </w:r>
      <w:r w:rsidR="00024E09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 that the notice in terms of section </w:t>
      </w:r>
      <w:r w:rsidR="00C66168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3 was timeously delivered in respect of the</w:t>
      </w:r>
      <w:r w:rsidR="00F34C37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 first </w:t>
      </w:r>
      <w:r w:rsidR="00214A17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pl</w:t>
      </w:r>
      <w:r w:rsidR="00902B44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aintiff. I</w:t>
      </w:r>
      <w:r w:rsidR="00216B88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n respect of the second and </w:t>
      </w:r>
      <w:r w:rsidR="004F3509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third plaintiff there was substantive compliance although such notice was three months </w:t>
      </w:r>
      <w:r w:rsidR="00633B81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late</w:t>
      </w:r>
      <w:r w:rsidR="00633B81">
        <w:rPr>
          <w:rStyle w:val="FootnoteReference"/>
          <w:rFonts w:ascii="Arial" w:eastAsia="Times New Roman" w:hAnsi="Arial" w:cs="Arial"/>
          <w:color w:val="242121"/>
          <w:sz w:val="24"/>
          <w:szCs w:val="24"/>
          <w:lang w:val="en-US" w:eastAsia="en-ZA"/>
        </w:rPr>
        <w:footnoteReference w:id="3"/>
      </w:r>
      <w:r w:rsidR="00633B81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.</w:t>
      </w:r>
    </w:p>
    <w:p w14:paraId="59ECE909" w14:textId="0E461D26" w:rsidR="00641B0D" w:rsidRPr="006724F7" w:rsidRDefault="00641B0D" w:rsidP="001D5293">
      <w:pPr>
        <w:shd w:val="clear" w:color="auto" w:fill="FFFFFF"/>
        <w:spacing w:before="144" w:after="0" w:line="480" w:lineRule="auto"/>
        <w:ind w:left="720" w:hanging="720"/>
        <w:jc w:val="both"/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</w:pPr>
      <w:r w:rsidRPr="006724F7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[5]</w:t>
      </w:r>
      <w:r w:rsidR="00DE33F3" w:rsidRPr="006724F7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ab/>
      </w:r>
      <w:r w:rsidR="00C97CBD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It is submitted further in the founding affidavit that the reason why the notice was late in respect of </w:t>
      </w:r>
      <w:r w:rsidR="00F475FB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the second </w:t>
      </w:r>
      <w:r w:rsidR="00BA2192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and third plaintiffs is that the exact history and nature of the</w:t>
      </w:r>
      <w:r w:rsidR="00BE2B34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 </w:t>
      </w:r>
      <w:r w:rsidR="005B353C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matter was incomplete at the point of the first months of interaction </w:t>
      </w:r>
      <w:r w:rsidR="00D571FE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between the legal team and the plaintiffs</w:t>
      </w:r>
      <w:r w:rsidR="00D571FE">
        <w:rPr>
          <w:rStyle w:val="FootnoteReference"/>
          <w:rFonts w:ascii="Arial" w:eastAsia="Times New Roman" w:hAnsi="Arial" w:cs="Arial"/>
          <w:color w:val="242121"/>
          <w:sz w:val="24"/>
          <w:szCs w:val="24"/>
          <w:lang w:val="en-US" w:eastAsia="en-ZA"/>
        </w:rPr>
        <w:footnoteReference w:id="4"/>
      </w:r>
      <w:r w:rsidR="005973D5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.</w:t>
      </w:r>
      <w:r w:rsidR="007458EF" w:rsidRPr="006724F7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ab/>
      </w:r>
      <w:r w:rsidRPr="006724F7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ab/>
        <w:t xml:space="preserve"> </w:t>
      </w:r>
    </w:p>
    <w:p w14:paraId="502DB794" w14:textId="450CEAA6" w:rsidR="009051A1" w:rsidRPr="006724F7" w:rsidRDefault="00641B0D" w:rsidP="000E70FD">
      <w:pPr>
        <w:shd w:val="clear" w:color="auto" w:fill="FFFFFF"/>
        <w:spacing w:before="144" w:after="0" w:line="480" w:lineRule="auto"/>
        <w:ind w:left="720" w:hanging="720"/>
        <w:jc w:val="both"/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</w:pPr>
      <w:r w:rsidRPr="006724F7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lastRenderedPageBreak/>
        <w:t>[6]</w:t>
      </w:r>
      <w:r w:rsidRPr="006724F7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ab/>
      </w:r>
      <w:r w:rsidR="005973D5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Thus, the issue before court is whether the plaintiff </w:t>
      </w:r>
      <w:r w:rsidR="00DE1363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have </w:t>
      </w:r>
      <w:r w:rsidR="00710C43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timeously </w:t>
      </w:r>
      <w:r w:rsidR="00102261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complied with the </w:t>
      </w:r>
      <w:r w:rsidR="00800E4E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requirement</w:t>
      </w:r>
      <w:r w:rsidR="00102261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 of prior </w:t>
      </w:r>
      <w:r w:rsidR="0033087D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notice to the </w:t>
      </w:r>
      <w:r w:rsidR="003D5004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defendant </w:t>
      </w:r>
      <w:r w:rsidR="004971A8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in terms of section 3(1), 2(3)</w:t>
      </w:r>
      <w:r w:rsidR="00A729E0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 of Act 40 of 2002</w:t>
      </w:r>
      <w:r w:rsidR="004971A8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 </w:t>
      </w:r>
    </w:p>
    <w:p w14:paraId="1EFF8C06" w14:textId="6AB68558" w:rsidR="00495023" w:rsidRDefault="00495023" w:rsidP="00641B0D">
      <w:pPr>
        <w:shd w:val="clear" w:color="auto" w:fill="FFFFFF"/>
        <w:spacing w:before="144" w:after="0" w:line="480" w:lineRule="auto"/>
        <w:ind w:left="720" w:hanging="720"/>
        <w:jc w:val="both"/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</w:pPr>
      <w:r w:rsidRPr="006724F7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[7]</w:t>
      </w:r>
      <w:r w:rsidR="004F0015" w:rsidRPr="006724F7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ab/>
      </w:r>
      <w:r w:rsidR="00F311E9" w:rsidRPr="006724F7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 </w:t>
      </w:r>
      <w:r w:rsidR="00617792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Counsel for the defendant </w:t>
      </w:r>
      <w:r w:rsidR="00AC3256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argues that the si</w:t>
      </w:r>
      <w:r w:rsidR="00354041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x</w:t>
      </w:r>
      <w:r w:rsidR="00AC3256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 month</w:t>
      </w:r>
      <w:r w:rsidR="00225E4D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s</w:t>
      </w:r>
      <w:r w:rsidR="00AC3256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 period within which the pla</w:t>
      </w:r>
      <w:r w:rsidR="007E01D8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intiffs were requir</w:t>
      </w:r>
      <w:r w:rsidR="007C5A98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ed to have issu</w:t>
      </w:r>
      <w:r w:rsidR="00B702CF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ed a notice in terms of section 3 of Act 40</w:t>
      </w:r>
      <w:r w:rsidR="00FF0EEB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 of 2002 is as follows:</w:t>
      </w:r>
    </w:p>
    <w:p w14:paraId="454FF072" w14:textId="68E4A0CF" w:rsidR="00FF0EEB" w:rsidRDefault="00FF0EEB" w:rsidP="00641B0D">
      <w:pPr>
        <w:shd w:val="clear" w:color="auto" w:fill="FFFFFF"/>
        <w:spacing w:before="144" w:after="0" w:line="480" w:lineRule="auto"/>
        <w:ind w:left="720" w:hanging="720"/>
        <w:jc w:val="both"/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</w:pPr>
      <w:r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ab/>
        <w:t>7.1</w:t>
      </w:r>
      <w:r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ab/>
        <w:t xml:space="preserve">The first </w:t>
      </w:r>
      <w:r w:rsidR="00F04B56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plaintiff was released on </w:t>
      </w:r>
      <w:r w:rsidR="00F03EF0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25 June 2015 and the six months period (Notice in terms section 3) lapsed on </w:t>
      </w:r>
      <w:r w:rsidR="00716560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25 December 2015.</w:t>
      </w:r>
    </w:p>
    <w:p w14:paraId="06156DA4" w14:textId="5876843C" w:rsidR="00716560" w:rsidRPr="006724F7" w:rsidRDefault="00716560" w:rsidP="00641B0D">
      <w:pPr>
        <w:shd w:val="clear" w:color="auto" w:fill="FFFFFF"/>
        <w:spacing w:before="144" w:after="0" w:line="480" w:lineRule="auto"/>
        <w:ind w:left="720" w:hanging="720"/>
        <w:jc w:val="both"/>
        <w:rPr>
          <w:rFonts w:ascii="Arial" w:eastAsia="Times New Roman" w:hAnsi="Arial" w:cs="Arial"/>
          <w:i/>
          <w:iCs/>
          <w:color w:val="242121"/>
          <w:sz w:val="24"/>
          <w:szCs w:val="24"/>
          <w:lang w:val="en-US" w:eastAsia="en-ZA"/>
        </w:rPr>
      </w:pPr>
      <w:r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ab/>
        <w:t>7.2</w:t>
      </w:r>
      <w:r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ab/>
      </w:r>
      <w:r w:rsidR="00DF1745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The second and third </w:t>
      </w:r>
      <w:r w:rsidR="004555DF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plaintiffs</w:t>
      </w:r>
      <w:r w:rsidR="00DF1745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 were released on </w:t>
      </w:r>
      <w:r w:rsidR="004555DF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25 March 2015 and the six months period lapsed on </w:t>
      </w:r>
      <w:r w:rsidR="00ED5F36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25 September 2015.</w:t>
      </w:r>
    </w:p>
    <w:p w14:paraId="698505C9" w14:textId="35C34998" w:rsidR="00641B0D" w:rsidRPr="006724F7" w:rsidRDefault="00641B0D" w:rsidP="00641B0D">
      <w:pPr>
        <w:shd w:val="clear" w:color="auto" w:fill="FFFFFF"/>
        <w:spacing w:before="144" w:after="0" w:line="480" w:lineRule="auto"/>
        <w:ind w:left="720" w:hanging="720"/>
        <w:jc w:val="both"/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</w:pPr>
      <w:r w:rsidRPr="006724F7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[8] </w:t>
      </w:r>
      <w:r w:rsidR="003E21B3" w:rsidRPr="006724F7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ab/>
      </w:r>
      <w:r w:rsidR="00F72ABE" w:rsidRPr="006724F7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 </w:t>
      </w:r>
      <w:r w:rsidR="00ED5F36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Counsel for the defendant submitted </w:t>
      </w:r>
      <w:r w:rsidR="00EC6E34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that</w:t>
      </w:r>
      <w:r w:rsidR="00ED5F36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 the plaintiffs only sent their notices </w:t>
      </w:r>
      <w:r w:rsidR="007D1495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by registered post to the defendant on 21 </w:t>
      </w:r>
      <w:r w:rsidR="00397521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December 2015.</w:t>
      </w:r>
      <w:r w:rsidR="004C490A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 This is common cause between the parties</w:t>
      </w:r>
      <w:r w:rsidR="00AD38D1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. Counsel for the defendant submitted further that such notices </w:t>
      </w:r>
      <w:r w:rsidR="00536876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only received by the defendant on the date after 21 December 2015.</w:t>
      </w:r>
      <w:r w:rsidR="003B7899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 As a result, the notices were issued late. </w:t>
      </w:r>
    </w:p>
    <w:p w14:paraId="6B31C461" w14:textId="25820624" w:rsidR="005F6177" w:rsidRPr="006724F7" w:rsidRDefault="00641B0D" w:rsidP="005F6177">
      <w:pPr>
        <w:shd w:val="clear" w:color="auto" w:fill="FFFFFF"/>
        <w:spacing w:before="144" w:after="0" w:line="480" w:lineRule="auto"/>
        <w:ind w:left="720" w:hanging="720"/>
        <w:jc w:val="both"/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</w:pPr>
      <w:r w:rsidRPr="006724F7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[9]</w:t>
      </w:r>
      <w:r w:rsidRPr="006724F7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ab/>
      </w:r>
      <w:r w:rsidR="00A56541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The result thereof is that such notice was only received by the defendant on </w:t>
      </w:r>
      <w:r w:rsidR="00340ACD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date </w:t>
      </w:r>
      <w:r w:rsidR="003472EA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after 21 December 2015</w:t>
      </w:r>
      <w:r w:rsidR="00691876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.</w:t>
      </w:r>
      <w:r w:rsidRPr="006724F7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 </w:t>
      </w:r>
    </w:p>
    <w:p w14:paraId="243A48E8" w14:textId="221BDE6E" w:rsidR="00641B0D" w:rsidRPr="006724F7" w:rsidRDefault="00641B0D" w:rsidP="005F6177">
      <w:pPr>
        <w:shd w:val="clear" w:color="auto" w:fill="FFFFFF"/>
        <w:spacing w:before="144" w:after="0" w:line="480" w:lineRule="auto"/>
        <w:ind w:left="720" w:hanging="720"/>
        <w:jc w:val="both"/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</w:pPr>
      <w:r w:rsidRPr="006724F7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[10]</w:t>
      </w:r>
      <w:r w:rsidR="0046046D" w:rsidRPr="006724F7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ab/>
      </w:r>
      <w:r w:rsidR="00691876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Finally counsel for the defendant contended that, </w:t>
      </w:r>
      <w:r w:rsidR="00CF5CCC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the plaintiffs application for condonation in this court was refused and not heard, the plaintiffs are therefore not entitled to insti</w:t>
      </w:r>
      <w:r w:rsidR="00196172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tute and prosecute their actions </w:t>
      </w:r>
      <w:r w:rsidR="00280F7A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before this court.</w:t>
      </w:r>
    </w:p>
    <w:p w14:paraId="6B0BA9CC" w14:textId="7B786438" w:rsidR="00641B0D" w:rsidRPr="006724F7" w:rsidRDefault="00641B0D" w:rsidP="00641B0D">
      <w:pPr>
        <w:shd w:val="clear" w:color="auto" w:fill="FFFFFF"/>
        <w:spacing w:before="144" w:after="0" w:line="480" w:lineRule="auto"/>
        <w:ind w:left="720" w:hanging="720"/>
        <w:jc w:val="both"/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</w:pPr>
      <w:r w:rsidRPr="006724F7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[11]</w:t>
      </w:r>
      <w:r w:rsidRPr="006724F7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ab/>
      </w:r>
      <w:r w:rsidR="00280F7A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It is contended further that </w:t>
      </w:r>
      <w:r w:rsidR="00A11CC0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this court is without the necessary power or jurisdiction to ent</w:t>
      </w:r>
      <w:r w:rsidR="00EF1ECE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ertain the </w:t>
      </w:r>
      <w:r w:rsidR="00336EE0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plaintiffs</w:t>
      </w:r>
      <w:r w:rsidR="00EF1ECE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 actions or claims</w:t>
      </w:r>
      <w:r w:rsidR="00E346CC">
        <w:rPr>
          <w:rStyle w:val="FootnoteReference"/>
          <w:rFonts w:ascii="Arial" w:eastAsia="Times New Roman" w:hAnsi="Arial" w:cs="Arial"/>
          <w:color w:val="242121"/>
          <w:sz w:val="24"/>
          <w:szCs w:val="24"/>
          <w:lang w:val="en-US" w:eastAsia="en-ZA"/>
        </w:rPr>
        <w:footnoteReference w:id="5"/>
      </w:r>
      <w:r w:rsidR="00E06980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.</w:t>
      </w:r>
    </w:p>
    <w:p w14:paraId="397DD5D2" w14:textId="42E77AB3" w:rsidR="00641B0D" w:rsidRDefault="00641B0D" w:rsidP="00641B0D">
      <w:pPr>
        <w:shd w:val="clear" w:color="auto" w:fill="FFFFFF"/>
        <w:spacing w:before="144" w:after="0" w:line="480" w:lineRule="auto"/>
        <w:ind w:left="720" w:hanging="720"/>
        <w:jc w:val="both"/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</w:pPr>
      <w:r w:rsidRPr="006724F7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lastRenderedPageBreak/>
        <w:t>[12]</w:t>
      </w:r>
      <w:r w:rsidRPr="006724F7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ab/>
      </w:r>
      <w:r w:rsidR="008E26DE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On behalf of the plaintiffs counsel provided three reasons why the court should dismiss the s</w:t>
      </w:r>
      <w:r w:rsidR="00852044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pecial plea. The reasons are as follow</w:t>
      </w:r>
      <w:r w:rsidR="00AC478A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:</w:t>
      </w:r>
    </w:p>
    <w:p w14:paraId="4F5D9768" w14:textId="7E754798" w:rsidR="00AC478A" w:rsidRDefault="00AC478A" w:rsidP="00641B0D">
      <w:pPr>
        <w:shd w:val="clear" w:color="auto" w:fill="FFFFFF"/>
        <w:spacing w:before="144" w:after="0" w:line="480" w:lineRule="auto"/>
        <w:ind w:left="720" w:hanging="720"/>
        <w:jc w:val="both"/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</w:pPr>
      <w:r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ab/>
        <w:t xml:space="preserve">12.1 </w:t>
      </w:r>
      <w:r w:rsidR="000F5E2E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“The Defen</w:t>
      </w:r>
      <w:r w:rsidR="00537ACC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dant is bound by his pleadings”</w:t>
      </w:r>
    </w:p>
    <w:p w14:paraId="2150D1F3" w14:textId="0D3D6C6D" w:rsidR="00537ACC" w:rsidRDefault="00537ACC" w:rsidP="00641B0D">
      <w:pPr>
        <w:shd w:val="clear" w:color="auto" w:fill="FFFFFF"/>
        <w:spacing w:before="144" w:after="0" w:line="480" w:lineRule="auto"/>
        <w:ind w:left="720" w:hanging="720"/>
        <w:jc w:val="both"/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</w:pPr>
      <w:r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ab/>
        <w:t>12</w:t>
      </w:r>
      <w:r w:rsidR="005557F9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 xml:space="preserve">.2 “The defendant had to raise all his defences at once; </w:t>
      </w:r>
      <w:r w:rsidR="00DE0ABE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he cannot plead his defences in a piecemeal fashion”</w:t>
      </w:r>
    </w:p>
    <w:p w14:paraId="17D06597" w14:textId="7B5A9699" w:rsidR="00DE0ABE" w:rsidRDefault="00DE0ABE" w:rsidP="00641B0D">
      <w:pPr>
        <w:shd w:val="clear" w:color="auto" w:fill="FFFFFF"/>
        <w:spacing w:before="144" w:after="0" w:line="480" w:lineRule="auto"/>
        <w:ind w:left="720" w:hanging="720"/>
        <w:jc w:val="both"/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</w:pPr>
      <w:r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ab/>
        <w:t>12.3</w:t>
      </w:r>
      <w:r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ab/>
      </w:r>
      <w:r w:rsidR="00B84D95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“The plaintiffs complied with section 3 of Act 40 of 2002</w:t>
      </w:r>
      <w:r w:rsidR="00187594"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  <w:t>”</w:t>
      </w:r>
    </w:p>
    <w:p w14:paraId="6D897AB3" w14:textId="466CD4B3" w:rsidR="00187594" w:rsidRDefault="00187594" w:rsidP="00641B0D">
      <w:pPr>
        <w:shd w:val="clear" w:color="auto" w:fill="FFFFFF"/>
        <w:spacing w:before="144" w:after="0" w:line="480" w:lineRule="auto"/>
        <w:ind w:left="720" w:hanging="720"/>
        <w:jc w:val="both"/>
        <w:rPr>
          <w:rFonts w:ascii="Arial" w:eastAsia="Times New Roman" w:hAnsi="Arial" w:cs="Arial"/>
          <w:b/>
          <w:bCs/>
          <w:color w:val="242121"/>
          <w:sz w:val="24"/>
          <w:szCs w:val="24"/>
          <w:u w:val="single"/>
          <w:lang w:val="en-US" w:eastAsia="en-ZA"/>
        </w:rPr>
      </w:pPr>
      <w:r>
        <w:rPr>
          <w:rFonts w:ascii="Arial" w:eastAsia="Times New Roman" w:hAnsi="Arial" w:cs="Arial"/>
          <w:b/>
          <w:bCs/>
          <w:color w:val="242121"/>
          <w:sz w:val="24"/>
          <w:szCs w:val="24"/>
          <w:u w:val="single"/>
          <w:lang w:val="en-US" w:eastAsia="en-ZA"/>
        </w:rPr>
        <w:t xml:space="preserve">The defendant is bound by his </w:t>
      </w:r>
      <w:r w:rsidR="00A25C3A">
        <w:rPr>
          <w:rFonts w:ascii="Arial" w:eastAsia="Times New Roman" w:hAnsi="Arial" w:cs="Arial"/>
          <w:b/>
          <w:bCs/>
          <w:color w:val="242121"/>
          <w:sz w:val="24"/>
          <w:szCs w:val="24"/>
          <w:u w:val="single"/>
          <w:lang w:val="en-US" w:eastAsia="en-ZA"/>
        </w:rPr>
        <w:t>pleadings.</w:t>
      </w:r>
    </w:p>
    <w:p w14:paraId="4D18B8B3" w14:textId="61F27F2F" w:rsidR="00641B0D" w:rsidRDefault="002464C9" w:rsidP="006D1C76">
      <w:pPr>
        <w:shd w:val="clear" w:color="auto" w:fill="FFFFFF"/>
        <w:spacing w:before="144" w:after="0" w:line="480" w:lineRule="auto"/>
        <w:ind w:left="720" w:hanging="720"/>
        <w:jc w:val="both"/>
        <w:rPr>
          <w:rFonts w:ascii="Arial" w:eastAsia="Times New Roman" w:hAnsi="Arial" w:cs="Arial"/>
          <w:color w:val="242121"/>
          <w:sz w:val="24"/>
          <w:szCs w:val="24"/>
          <w:lang w:eastAsia="en-ZA"/>
        </w:rPr>
      </w:pPr>
      <w:r>
        <w:rPr>
          <w:rFonts w:ascii="Arial" w:eastAsia="Times New Roman" w:hAnsi="Arial" w:cs="Arial"/>
          <w:color w:val="242121"/>
          <w:sz w:val="24"/>
          <w:szCs w:val="24"/>
          <w:lang w:eastAsia="en-ZA"/>
        </w:rPr>
        <w:t>[13]</w:t>
      </w:r>
      <w:r>
        <w:rPr>
          <w:rFonts w:ascii="Arial" w:eastAsia="Times New Roman" w:hAnsi="Arial" w:cs="Arial"/>
          <w:color w:val="242121"/>
          <w:sz w:val="24"/>
          <w:szCs w:val="24"/>
          <w:lang w:eastAsia="en-ZA"/>
        </w:rPr>
        <w:tab/>
        <w:t>Counsel for the plaintiff referre</w:t>
      </w:r>
      <w:r w:rsidR="001D646E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d the court to the decisions in </w:t>
      </w:r>
      <w:r w:rsidR="001D646E" w:rsidRPr="001C5FBA">
        <w:rPr>
          <w:rFonts w:ascii="Arial" w:eastAsia="Times New Roman" w:hAnsi="Arial" w:cs="Arial"/>
          <w:i/>
          <w:iCs/>
          <w:color w:val="242121"/>
          <w:sz w:val="24"/>
          <w:szCs w:val="24"/>
          <w:lang w:eastAsia="en-ZA"/>
        </w:rPr>
        <w:t xml:space="preserve">Soth African Transport </w:t>
      </w:r>
      <w:r w:rsidR="001C5FBA" w:rsidRPr="001C5FBA">
        <w:rPr>
          <w:rFonts w:ascii="Arial" w:eastAsia="Times New Roman" w:hAnsi="Arial" w:cs="Arial"/>
          <w:i/>
          <w:iCs/>
          <w:color w:val="242121"/>
          <w:sz w:val="24"/>
          <w:szCs w:val="24"/>
          <w:lang w:eastAsia="en-ZA"/>
        </w:rPr>
        <w:t>and Allied Workers Union and Another v Garvas</w:t>
      </w:r>
      <w:r w:rsidR="001C5FBA">
        <w:rPr>
          <w:rStyle w:val="FootnoteReference"/>
          <w:rFonts w:ascii="Arial" w:eastAsia="Times New Roman" w:hAnsi="Arial" w:cs="Arial"/>
          <w:i/>
          <w:iCs/>
          <w:color w:val="242121"/>
          <w:sz w:val="24"/>
          <w:szCs w:val="24"/>
          <w:lang w:eastAsia="en-ZA"/>
        </w:rPr>
        <w:footnoteReference w:id="6"/>
      </w:r>
      <w:r w:rsidR="002672FB">
        <w:rPr>
          <w:rFonts w:ascii="Arial" w:eastAsia="Times New Roman" w:hAnsi="Arial" w:cs="Arial"/>
          <w:i/>
          <w:iCs/>
          <w:color w:val="242121"/>
          <w:sz w:val="24"/>
          <w:szCs w:val="24"/>
          <w:lang w:eastAsia="en-ZA"/>
        </w:rPr>
        <w:t xml:space="preserve"> </w:t>
      </w:r>
      <w:r w:rsidR="002672FB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and </w:t>
      </w:r>
      <w:r w:rsidR="00C640ED" w:rsidRPr="00C640ED">
        <w:rPr>
          <w:rFonts w:ascii="Arial" w:eastAsia="Times New Roman" w:hAnsi="Arial" w:cs="Arial"/>
          <w:i/>
          <w:iCs/>
          <w:color w:val="242121"/>
          <w:sz w:val="24"/>
          <w:szCs w:val="24"/>
          <w:lang w:eastAsia="en-ZA"/>
        </w:rPr>
        <w:t>MJK v IIK</w:t>
      </w:r>
      <w:r w:rsidR="00C640ED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 </w:t>
      </w:r>
      <w:r w:rsidR="00C640ED">
        <w:rPr>
          <w:rStyle w:val="FootnoteReference"/>
          <w:rFonts w:ascii="Arial" w:eastAsia="Times New Roman" w:hAnsi="Arial" w:cs="Arial"/>
          <w:color w:val="242121"/>
          <w:sz w:val="24"/>
          <w:szCs w:val="24"/>
          <w:lang w:eastAsia="en-ZA"/>
        </w:rPr>
        <w:footnoteReference w:id="7"/>
      </w:r>
      <w:r w:rsidR="004518B1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 and submitted that the defendant is bound by the way in which </w:t>
      </w:r>
      <w:r w:rsidR="003D78A2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it </w:t>
      </w:r>
      <w:r w:rsidR="004518B1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pleaded </w:t>
      </w:r>
      <w:r w:rsidR="00EA452B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its </w:t>
      </w:r>
      <w:r w:rsidR="004518B1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second speci</w:t>
      </w:r>
      <w:r w:rsidR="003D78A2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al plea</w:t>
      </w:r>
      <w:r w:rsidR="00EA452B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. This plea it is argued is based on an erroneous premise that the debt was due in 2012.</w:t>
      </w:r>
    </w:p>
    <w:p w14:paraId="36926891" w14:textId="2F91A9F1" w:rsidR="006D1C76" w:rsidRDefault="006D1C76" w:rsidP="006D1C76">
      <w:pPr>
        <w:shd w:val="clear" w:color="auto" w:fill="FFFFFF"/>
        <w:spacing w:before="144" w:after="0" w:line="480" w:lineRule="auto"/>
        <w:ind w:left="720" w:hanging="720"/>
        <w:jc w:val="both"/>
        <w:rPr>
          <w:rFonts w:ascii="Arial" w:eastAsia="Times New Roman" w:hAnsi="Arial" w:cs="Arial"/>
          <w:b/>
          <w:bCs/>
          <w:color w:val="242121"/>
          <w:sz w:val="24"/>
          <w:szCs w:val="24"/>
          <w:u w:val="single"/>
          <w:lang w:eastAsia="en-ZA"/>
        </w:rPr>
      </w:pPr>
      <w:r>
        <w:rPr>
          <w:rFonts w:ascii="Arial" w:eastAsia="Times New Roman" w:hAnsi="Arial" w:cs="Arial"/>
          <w:b/>
          <w:bCs/>
          <w:color w:val="242121"/>
          <w:sz w:val="24"/>
          <w:szCs w:val="24"/>
          <w:u w:val="single"/>
          <w:lang w:eastAsia="en-ZA"/>
        </w:rPr>
        <w:t>Defen</w:t>
      </w:r>
      <w:r w:rsidR="00EB0ECD">
        <w:rPr>
          <w:rFonts w:ascii="Arial" w:eastAsia="Times New Roman" w:hAnsi="Arial" w:cs="Arial"/>
          <w:b/>
          <w:bCs/>
          <w:color w:val="242121"/>
          <w:sz w:val="24"/>
          <w:szCs w:val="24"/>
          <w:u w:val="single"/>
          <w:lang w:eastAsia="en-ZA"/>
        </w:rPr>
        <w:t xml:space="preserve">dant cannot plead in a piecemeal </w:t>
      </w:r>
      <w:r w:rsidR="00C5582A">
        <w:rPr>
          <w:rFonts w:ascii="Arial" w:eastAsia="Times New Roman" w:hAnsi="Arial" w:cs="Arial"/>
          <w:b/>
          <w:bCs/>
          <w:color w:val="242121"/>
          <w:sz w:val="24"/>
          <w:szCs w:val="24"/>
          <w:u w:val="single"/>
          <w:lang w:eastAsia="en-ZA"/>
        </w:rPr>
        <w:t>fashion.</w:t>
      </w:r>
      <w:r w:rsidR="00EB0ECD">
        <w:rPr>
          <w:rFonts w:ascii="Arial" w:eastAsia="Times New Roman" w:hAnsi="Arial" w:cs="Arial"/>
          <w:b/>
          <w:bCs/>
          <w:color w:val="242121"/>
          <w:sz w:val="24"/>
          <w:szCs w:val="24"/>
          <w:u w:val="single"/>
          <w:lang w:eastAsia="en-ZA"/>
        </w:rPr>
        <w:t xml:space="preserve"> </w:t>
      </w:r>
    </w:p>
    <w:p w14:paraId="7E3AFF6E" w14:textId="14FC0DF2" w:rsidR="00087324" w:rsidRDefault="008165EE" w:rsidP="006D1C76">
      <w:pPr>
        <w:shd w:val="clear" w:color="auto" w:fill="FFFFFF"/>
        <w:spacing w:before="144" w:after="0" w:line="480" w:lineRule="auto"/>
        <w:ind w:left="720" w:hanging="720"/>
        <w:jc w:val="both"/>
        <w:rPr>
          <w:rFonts w:ascii="Arial" w:eastAsia="Times New Roman" w:hAnsi="Arial" w:cs="Arial"/>
          <w:i/>
          <w:iCs/>
          <w:color w:val="242121"/>
          <w:sz w:val="24"/>
          <w:szCs w:val="24"/>
          <w:lang w:eastAsia="en-ZA"/>
        </w:rPr>
      </w:pPr>
      <w:r>
        <w:rPr>
          <w:rFonts w:ascii="Arial" w:eastAsia="Times New Roman" w:hAnsi="Arial" w:cs="Arial"/>
          <w:color w:val="242121"/>
          <w:sz w:val="24"/>
          <w:szCs w:val="24"/>
          <w:lang w:eastAsia="en-ZA"/>
        </w:rPr>
        <w:t>[14]</w:t>
      </w:r>
      <w:r>
        <w:rPr>
          <w:rFonts w:ascii="Arial" w:eastAsia="Times New Roman" w:hAnsi="Arial" w:cs="Arial"/>
          <w:color w:val="242121"/>
          <w:sz w:val="24"/>
          <w:szCs w:val="24"/>
          <w:lang w:eastAsia="en-ZA"/>
        </w:rPr>
        <w:tab/>
      </w:r>
      <w:r w:rsidR="00A25C3A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According to counsel for the plaintiffs, t</w:t>
      </w:r>
      <w:r>
        <w:rPr>
          <w:rFonts w:ascii="Arial" w:eastAsia="Times New Roman" w:hAnsi="Arial" w:cs="Arial"/>
          <w:color w:val="242121"/>
          <w:sz w:val="24"/>
          <w:szCs w:val="24"/>
          <w:lang w:eastAsia="en-ZA"/>
        </w:rPr>
        <w:t>he defendant should have raised all the defences at the same time</w:t>
      </w:r>
      <w:r w:rsidR="008C089D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. In this regard counsel for the plaintiff relies </w:t>
      </w:r>
      <w:r w:rsidR="00AA1F16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o</w:t>
      </w:r>
      <w:r w:rsidR="008C089D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n</w:t>
      </w:r>
      <w:r w:rsidR="00C5582A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 the </w:t>
      </w:r>
      <w:r w:rsidR="008C089D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 </w:t>
      </w:r>
      <w:r w:rsidR="00C5582A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decision in</w:t>
      </w:r>
      <w:r w:rsidR="00AA1F16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 </w:t>
      </w:r>
      <w:r w:rsidR="00AA1F16">
        <w:rPr>
          <w:rFonts w:ascii="Arial" w:eastAsia="Times New Roman" w:hAnsi="Arial" w:cs="Arial"/>
          <w:i/>
          <w:iCs/>
          <w:color w:val="242121"/>
          <w:sz w:val="24"/>
          <w:szCs w:val="24"/>
          <w:lang w:eastAsia="en-ZA"/>
        </w:rPr>
        <w:t>Crom</w:t>
      </w:r>
      <w:r w:rsidR="0069699C">
        <w:rPr>
          <w:rFonts w:ascii="Arial" w:eastAsia="Times New Roman" w:hAnsi="Arial" w:cs="Arial"/>
          <w:i/>
          <w:iCs/>
          <w:color w:val="242121"/>
          <w:sz w:val="24"/>
          <w:szCs w:val="24"/>
          <w:lang w:eastAsia="en-ZA"/>
        </w:rPr>
        <w:t>p</w:t>
      </w:r>
      <w:r w:rsidR="00AA1F16">
        <w:rPr>
          <w:rFonts w:ascii="Arial" w:eastAsia="Times New Roman" w:hAnsi="Arial" w:cs="Arial"/>
          <w:i/>
          <w:iCs/>
          <w:color w:val="242121"/>
          <w:sz w:val="24"/>
          <w:szCs w:val="24"/>
          <w:lang w:eastAsia="en-ZA"/>
        </w:rPr>
        <w:t>ton Street Motors CC v Bright Idea Projects 44(Pty) Ltd</w:t>
      </w:r>
      <w:r w:rsidR="00AA1F16">
        <w:rPr>
          <w:rStyle w:val="FootnoteReference"/>
          <w:rFonts w:ascii="Arial" w:eastAsia="Times New Roman" w:hAnsi="Arial" w:cs="Arial"/>
          <w:i/>
          <w:iCs/>
          <w:color w:val="242121"/>
          <w:sz w:val="24"/>
          <w:szCs w:val="24"/>
          <w:lang w:eastAsia="en-ZA"/>
        </w:rPr>
        <w:footnoteReference w:id="8"/>
      </w:r>
      <w:r w:rsidR="00087324">
        <w:rPr>
          <w:rFonts w:ascii="Arial" w:eastAsia="Times New Roman" w:hAnsi="Arial" w:cs="Arial"/>
          <w:i/>
          <w:iCs/>
          <w:color w:val="242121"/>
          <w:sz w:val="24"/>
          <w:szCs w:val="24"/>
          <w:lang w:eastAsia="en-ZA"/>
        </w:rPr>
        <w:t>.</w:t>
      </w:r>
    </w:p>
    <w:p w14:paraId="0870E896" w14:textId="77777777" w:rsidR="006F7527" w:rsidRDefault="00087324" w:rsidP="006D1C76">
      <w:pPr>
        <w:shd w:val="clear" w:color="auto" w:fill="FFFFFF"/>
        <w:spacing w:before="144" w:after="0" w:line="480" w:lineRule="auto"/>
        <w:ind w:left="720" w:hanging="720"/>
        <w:jc w:val="both"/>
        <w:rPr>
          <w:rFonts w:ascii="Arial" w:eastAsia="Times New Roman" w:hAnsi="Arial" w:cs="Arial"/>
          <w:color w:val="242121"/>
          <w:sz w:val="24"/>
          <w:szCs w:val="24"/>
          <w:lang w:eastAsia="en-ZA"/>
        </w:rPr>
      </w:pPr>
      <w:r>
        <w:rPr>
          <w:rFonts w:ascii="Arial" w:eastAsia="Times New Roman" w:hAnsi="Arial" w:cs="Arial"/>
          <w:color w:val="242121"/>
          <w:sz w:val="24"/>
          <w:szCs w:val="24"/>
          <w:lang w:eastAsia="en-ZA"/>
        </w:rPr>
        <w:t>[15]</w:t>
      </w:r>
      <w:r>
        <w:rPr>
          <w:rFonts w:ascii="Arial" w:eastAsia="Times New Roman" w:hAnsi="Arial" w:cs="Arial"/>
          <w:color w:val="242121"/>
          <w:sz w:val="24"/>
          <w:szCs w:val="24"/>
          <w:lang w:eastAsia="en-ZA"/>
        </w:rPr>
        <w:tab/>
        <w:t xml:space="preserve">It is further argued that the section </w:t>
      </w:r>
      <w:r w:rsidR="003C3439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3 special plea should have been raised 2018 together with the special plea of non-join</w:t>
      </w:r>
      <w:r w:rsidR="00536ECD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der and misjoinder</w:t>
      </w:r>
      <w:r w:rsidR="006F7527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. The defendant should not be allowed to raise it now six year later.</w:t>
      </w:r>
    </w:p>
    <w:p w14:paraId="7BD54BB8" w14:textId="77777777" w:rsidR="00FA624A" w:rsidRDefault="00CF3120" w:rsidP="006D1C76">
      <w:pPr>
        <w:shd w:val="clear" w:color="auto" w:fill="FFFFFF"/>
        <w:spacing w:before="144" w:after="0" w:line="480" w:lineRule="auto"/>
        <w:ind w:left="720" w:hanging="720"/>
        <w:jc w:val="both"/>
        <w:rPr>
          <w:rFonts w:ascii="Arial" w:eastAsia="Times New Roman" w:hAnsi="Arial" w:cs="Arial"/>
          <w:b/>
          <w:bCs/>
          <w:color w:val="242121"/>
          <w:sz w:val="24"/>
          <w:szCs w:val="24"/>
          <w:u w:val="single"/>
          <w:lang w:eastAsia="en-ZA"/>
        </w:rPr>
      </w:pPr>
      <w:r>
        <w:rPr>
          <w:rFonts w:ascii="Arial" w:eastAsia="Times New Roman" w:hAnsi="Arial" w:cs="Arial"/>
          <w:b/>
          <w:bCs/>
          <w:color w:val="242121"/>
          <w:sz w:val="24"/>
          <w:szCs w:val="24"/>
          <w:u w:val="single"/>
          <w:lang w:eastAsia="en-ZA"/>
        </w:rPr>
        <w:t xml:space="preserve">Compliance </w:t>
      </w:r>
      <w:r w:rsidR="007D091D">
        <w:rPr>
          <w:rFonts w:ascii="Arial" w:eastAsia="Times New Roman" w:hAnsi="Arial" w:cs="Arial"/>
          <w:b/>
          <w:bCs/>
          <w:color w:val="242121"/>
          <w:sz w:val="24"/>
          <w:szCs w:val="24"/>
          <w:u w:val="single"/>
          <w:lang w:eastAsia="en-ZA"/>
        </w:rPr>
        <w:t xml:space="preserve">with section 3 of Act </w:t>
      </w:r>
      <w:r w:rsidR="00FA624A">
        <w:rPr>
          <w:rFonts w:ascii="Arial" w:eastAsia="Times New Roman" w:hAnsi="Arial" w:cs="Arial"/>
          <w:b/>
          <w:bCs/>
          <w:color w:val="242121"/>
          <w:sz w:val="24"/>
          <w:szCs w:val="24"/>
          <w:u w:val="single"/>
          <w:lang w:eastAsia="en-ZA"/>
        </w:rPr>
        <w:t>40 of 2002</w:t>
      </w:r>
    </w:p>
    <w:p w14:paraId="64849FDE" w14:textId="79A9092F" w:rsidR="00EB0ECD" w:rsidRDefault="00FA624A" w:rsidP="006D1C76">
      <w:pPr>
        <w:shd w:val="clear" w:color="auto" w:fill="FFFFFF"/>
        <w:spacing w:before="144" w:after="0" w:line="480" w:lineRule="auto"/>
        <w:ind w:left="720" w:hanging="720"/>
        <w:jc w:val="both"/>
        <w:rPr>
          <w:rFonts w:ascii="Arial" w:eastAsia="Times New Roman" w:hAnsi="Arial" w:cs="Arial"/>
          <w:color w:val="242121"/>
          <w:sz w:val="24"/>
          <w:szCs w:val="24"/>
          <w:lang w:eastAsia="en-ZA"/>
        </w:rPr>
      </w:pPr>
      <w:r>
        <w:rPr>
          <w:rFonts w:ascii="Arial" w:eastAsia="Times New Roman" w:hAnsi="Arial" w:cs="Arial"/>
          <w:color w:val="242121"/>
          <w:sz w:val="24"/>
          <w:szCs w:val="24"/>
          <w:lang w:eastAsia="en-ZA"/>
        </w:rPr>
        <w:lastRenderedPageBreak/>
        <w:t xml:space="preserve">[16] </w:t>
      </w:r>
      <w:r w:rsidR="009D5AB6">
        <w:rPr>
          <w:rFonts w:ascii="Arial" w:eastAsia="Times New Roman" w:hAnsi="Arial" w:cs="Arial"/>
          <w:color w:val="242121"/>
          <w:sz w:val="24"/>
          <w:szCs w:val="24"/>
          <w:lang w:eastAsia="en-ZA"/>
        </w:rPr>
        <w:tab/>
      </w:r>
      <w:r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It is submitted on behalf of the </w:t>
      </w:r>
      <w:r w:rsidR="00F20149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plaintiffs that it appears from the answering affidavit that the defendant </w:t>
      </w:r>
      <w:r w:rsidR="009D5AB6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received the notice somewhere in June 2016.</w:t>
      </w:r>
      <w:r w:rsidR="008C089D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 </w:t>
      </w:r>
    </w:p>
    <w:p w14:paraId="04CC3C77" w14:textId="5CCB4E0C" w:rsidR="0063248E" w:rsidRDefault="0063248E" w:rsidP="006D1C76">
      <w:pPr>
        <w:shd w:val="clear" w:color="auto" w:fill="FFFFFF"/>
        <w:spacing w:before="144" w:after="0" w:line="480" w:lineRule="auto"/>
        <w:ind w:left="720" w:hanging="720"/>
        <w:jc w:val="both"/>
        <w:rPr>
          <w:rFonts w:ascii="Arial" w:eastAsia="Times New Roman" w:hAnsi="Arial" w:cs="Arial"/>
          <w:color w:val="242121"/>
          <w:sz w:val="24"/>
          <w:szCs w:val="24"/>
          <w:lang w:eastAsia="en-ZA"/>
        </w:rPr>
      </w:pPr>
      <w:r>
        <w:rPr>
          <w:rFonts w:ascii="Arial" w:eastAsia="Times New Roman" w:hAnsi="Arial" w:cs="Arial"/>
          <w:color w:val="242121"/>
          <w:sz w:val="24"/>
          <w:szCs w:val="24"/>
          <w:lang w:eastAsia="en-ZA"/>
        </w:rPr>
        <w:t>[17]</w:t>
      </w:r>
      <w:r>
        <w:rPr>
          <w:rFonts w:ascii="Arial" w:eastAsia="Times New Roman" w:hAnsi="Arial" w:cs="Arial"/>
          <w:color w:val="242121"/>
          <w:sz w:val="24"/>
          <w:szCs w:val="24"/>
          <w:lang w:eastAsia="en-ZA"/>
        </w:rPr>
        <w:tab/>
        <w:t>The plaintiffs instituted their action on 6 October 2016. Therefore the defendant could investigate the plain</w:t>
      </w:r>
      <w:r w:rsidR="00C248C9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tiffs claim for the whole of July to September 2016.</w:t>
      </w:r>
    </w:p>
    <w:p w14:paraId="62241C35" w14:textId="4C6A1D0F" w:rsidR="006C0FD0" w:rsidRDefault="006C0FD0" w:rsidP="006D1C76">
      <w:pPr>
        <w:shd w:val="clear" w:color="auto" w:fill="FFFFFF"/>
        <w:spacing w:before="144" w:after="0" w:line="480" w:lineRule="auto"/>
        <w:ind w:left="720" w:hanging="720"/>
        <w:jc w:val="both"/>
        <w:rPr>
          <w:rFonts w:ascii="Arial" w:eastAsia="Times New Roman" w:hAnsi="Arial" w:cs="Arial"/>
          <w:color w:val="242121"/>
          <w:sz w:val="24"/>
          <w:szCs w:val="24"/>
          <w:lang w:eastAsia="en-ZA"/>
        </w:rPr>
      </w:pPr>
      <w:r>
        <w:rPr>
          <w:rFonts w:ascii="Arial" w:eastAsia="Times New Roman" w:hAnsi="Arial" w:cs="Arial"/>
          <w:color w:val="242121"/>
          <w:sz w:val="24"/>
          <w:szCs w:val="24"/>
          <w:lang w:eastAsia="en-ZA"/>
        </w:rPr>
        <w:t>[18]</w:t>
      </w:r>
      <w:r>
        <w:rPr>
          <w:rFonts w:ascii="Arial" w:eastAsia="Times New Roman" w:hAnsi="Arial" w:cs="Arial"/>
          <w:color w:val="242121"/>
          <w:sz w:val="24"/>
          <w:szCs w:val="24"/>
          <w:lang w:eastAsia="en-ZA"/>
        </w:rPr>
        <w:tab/>
        <w:t>The plaintiffs submit that there was complia</w:t>
      </w:r>
      <w:r w:rsidR="00231E7E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nce with section 3 of Act 40 of 2002.</w:t>
      </w:r>
      <w:r w:rsidR="00C5582A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 The court must </w:t>
      </w:r>
      <w:r w:rsidR="005E3F8B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dismiss the special plea.</w:t>
      </w:r>
    </w:p>
    <w:p w14:paraId="54CB7CC5" w14:textId="045E2CA5" w:rsidR="00231E7E" w:rsidRDefault="00635B89" w:rsidP="006D1C76">
      <w:pPr>
        <w:shd w:val="clear" w:color="auto" w:fill="FFFFFF"/>
        <w:spacing w:before="144" w:after="0" w:line="480" w:lineRule="auto"/>
        <w:ind w:left="720" w:hanging="720"/>
        <w:jc w:val="both"/>
        <w:rPr>
          <w:rFonts w:ascii="Arial" w:eastAsia="Times New Roman" w:hAnsi="Arial" w:cs="Arial"/>
          <w:color w:val="242121"/>
          <w:sz w:val="24"/>
          <w:szCs w:val="24"/>
          <w:lang w:eastAsia="en-ZA"/>
        </w:rPr>
      </w:pPr>
      <w:r>
        <w:rPr>
          <w:rFonts w:ascii="Arial" w:eastAsia="Times New Roman" w:hAnsi="Arial" w:cs="Arial"/>
          <w:color w:val="242121"/>
          <w:sz w:val="24"/>
          <w:szCs w:val="24"/>
          <w:lang w:eastAsia="en-ZA"/>
        </w:rPr>
        <w:t>[19]</w:t>
      </w:r>
      <w:r>
        <w:rPr>
          <w:rFonts w:ascii="Arial" w:eastAsia="Times New Roman" w:hAnsi="Arial" w:cs="Arial"/>
          <w:color w:val="242121"/>
          <w:sz w:val="24"/>
          <w:szCs w:val="24"/>
          <w:lang w:eastAsia="en-ZA"/>
        </w:rPr>
        <w:tab/>
      </w:r>
      <w:r w:rsidR="00290A57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In term</w:t>
      </w:r>
      <w:r w:rsidR="009C49B6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s of section 3 of Act 40 of </w:t>
      </w:r>
      <w:r w:rsidR="00995443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2002 no le</w:t>
      </w:r>
      <w:r w:rsidR="00D8101F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gal </w:t>
      </w:r>
      <w:r w:rsidR="00525B23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proceedings </w:t>
      </w:r>
      <w:r w:rsidR="0004317E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for the recovery of a debt may be instituted against an organ of </w:t>
      </w:r>
      <w:r w:rsidR="005F6545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state unless the creditor has given the organ of state in question written notice</w:t>
      </w:r>
      <w:r w:rsidR="00132E54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 of its intention to institute proceedings.</w:t>
      </w:r>
    </w:p>
    <w:p w14:paraId="4E5B7F06" w14:textId="0D87B9B6" w:rsidR="00132E54" w:rsidRDefault="00132E54" w:rsidP="006D1C76">
      <w:pPr>
        <w:shd w:val="clear" w:color="auto" w:fill="FFFFFF"/>
        <w:spacing w:before="144" w:after="0" w:line="480" w:lineRule="auto"/>
        <w:ind w:left="720" w:hanging="720"/>
        <w:jc w:val="both"/>
        <w:rPr>
          <w:rFonts w:ascii="Arial" w:eastAsia="Times New Roman" w:hAnsi="Arial" w:cs="Arial"/>
          <w:color w:val="242121"/>
          <w:sz w:val="24"/>
          <w:szCs w:val="24"/>
          <w:lang w:eastAsia="en-ZA"/>
        </w:rPr>
      </w:pPr>
      <w:r>
        <w:rPr>
          <w:rFonts w:ascii="Arial" w:eastAsia="Times New Roman" w:hAnsi="Arial" w:cs="Arial"/>
          <w:color w:val="242121"/>
          <w:sz w:val="24"/>
          <w:szCs w:val="24"/>
          <w:lang w:eastAsia="en-ZA"/>
        </w:rPr>
        <w:t>[20]</w:t>
      </w:r>
      <w:r>
        <w:rPr>
          <w:rFonts w:ascii="Arial" w:eastAsia="Times New Roman" w:hAnsi="Arial" w:cs="Arial"/>
          <w:color w:val="242121"/>
          <w:sz w:val="24"/>
          <w:szCs w:val="24"/>
          <w:lang w:eastAsia="en-ZA"/>
        </w:rPr>
        <w:tab/>
        <w:t xml:space="preserve">The creditor’s written notice must be </w:t>
      </w:r>
      <w:r w:rsidR="00270BFA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served on the organ of state within six months from the date </w:t>
      </w:r>
      <w:r w:rsidR="005D70AF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on which the debt became due.</w:t>
      </w:r>
    </w:p>
    <w:p w14:paraId="452587F7" w14:textId="155290EC" w:rsidR="005D70AF" w:rsidRDefault="005D70AF" w:rsidP="006D1C76">
      <w:pPr>
        <w:shd w:val="clear" w:color="auto" w:fill="FFFFFF"/>
        <w:spacing w:before="144" w:after="0" w:line="480" w:lineRule="auto"/>
        <w:ind w:left="720" w:hanging="720"/>
        <w:jc w:val="both"/>
        <w:rPr>
          <w:rFonts w:ascii="Arial" w:eastAsia="Times New Roman" w:hAnsi="Arial" w:cs="Arial"/>
          <w:color w:val="242121"/>
          <w:sz w:val="24"/>
          <w:szCs w:val="24"/>
          <w:lang w:eastAsia="en-ZA"/>
        </w:rPr>
      </w:pPr>
      <w:r>
        <w:rPr>
          <w:rFonts w:ascii="Arial" w:eastAsia="Times New Roman" w:hAnsi="Arial" w:cs="Arial"/>
          <w:color w:val="242121"/>
          <w:sz w:val="24"/>
          <w:szCs w:val="24"/>
          <w:lang w:eastAsia="en-ZA"/>
        </w:rPr>
        <w:t>[21]</w:t>
      </w:r>
      <w:r>
        <w:rPr>
          <w:rFonts w:ascii="Arial" w:eastAsia="Times New Roman" w:hAnsi="Arial" w:cs="Arial"/>
          <w:color w:val="242121"/>
          <w:sz w:val="24"/>
          <w:szCs w:val="24"/>
          <w:lang w:eastAsia="en-ZA"/>
        </w:rPr>
        <w:tab/>
      </w:r>
      <w:r w:rsidR="007C26B1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Section 3 (4) (a) of Act 40 of 2002 reads as follows</w:t>
      </w:r>
      <w:r w:rsidR="0028464B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:</w:t>
      </w:r>
    </w:p>
    <w:p w14:paraId="43282447" w14:textId="6F7FE1B3" w:rsidR="0028464B" w:rsidRPr="005E3F8B" w:rsidRDefault="0028464B" w:rsidP="006D1C76">
      <w:pPr>
        <w:shd w:val="clear" w:color="auto" w:fill="FFFFFF"/>
        <w:spacing w:before="144" w:after="0" w:line="480" w:lineRule="auto"/>
        <w:ind w:left="720" w:hanging="720"/>
        <w:jc w:val="both"/>
        <w:rPr>
          <w:rFonts w:ascii="Arial" w:eastAsia="Times New Roman" w:hAnsi="Arial" w:cs="Arial"/>
          <w:i/>
          <w:iCs/>
          <w:color w:val="242121"/>
          <w:sz w:val="24"/>
          <w:szCs w:val="24"/>
          <w:lang w:eastAsia="en-ZA"/>
        </w:rPr>
      </w:pPr>
      <w:r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  </w:t>
      </w:r>
      <w:r>
        <w:rPr>
          <w:rFonts w:ascii="Arial" w:eastAsia="Times New Roman" w:hAnsi="Arial" w:cs="Arial"/>
          <w:color w:val="242121"/>
          <w:sz w:val="24"/>
          <w:szCs w:val="24"/>
          <w:lang w:eastAsia="en-ZA"/>
        </w:rPr>
        <w:tab/>
      </w:r>
      <w:r w:rsidRPr="005E3F8B">
        <w:rPr>
          <w:rFonts w:ascii="Arial" w:eastAsia="Times New Roman" w:hAnsi="Arial" w:cs="Arial"/>
          <w:i/>
          <w:iCs/>
          <w:color w:val="242121"/>
          <w:sz w:val="24"/>
          <w:szCs w:val="24"/>
          <w:lang w:eastAsia="en-ZA"/>
        </w:rPr>
        <w:t xml:space="preserve">“(4) (a) if an organ of state relies on a creditor’s failure </w:t>
      </w:r>
      <w:r w:rsidR="00C15B93" w:rsidRPr="005E3F8B">
        <w:rPr>
          <w:rFonts w:ascii="Arial" w:eastAsia="Times New Roman" w:hAnsi="Arial" w:cs="Arial"/>
          <w:i/>
          <w:iCs/>
          <w:color w:val="242121"/>
          <w:sz w:val="24"/>
          <w:szCs w:val="24"/>
          <w:lang w:eastAsia="en-ZA"/>
        </w:rPr>
        <w:t xml:space="preserve">to serve a notice in terms of subsection (2)(a), the creditor </w:t>
      </w:r>
      <w:r w:rsidR="001D48BA" w:rsidRPr="005E3F8B">
        <w:rPr>
          <w:rFonts w:ascii="Arial" w:eastAsia="Times New Roman" w:hAnsi="Arial" w:cs="Arial"/>
          <w:i/>
          <w:iCs/>
          <w:color w:val="242121"/>
          <w:sz w:val="24"/>
          <w:szCs w:val="24"/>
          <w:lang w:eastAsia="en-ZA"/>
        </w:rPr>
        <w:t xml:space="preserve">may apply </w:t>
      </w:r>
      <w:r w:rsidR="0087125A" w:rsidRPr="005E3F8B">
        <w:rPr>
          <w:rFonts w:ascii="Arial" w:eastAsia="Times New Roman" w:hAnsi="Arial" w:cs="Arial"/>
          <w:i/>
          <w:iCs/>
          <w:color w:val="242121"/>
          <w:sz w:val="24"/>
          <w:szCs w:val="24"/>
          <w:lang w:eastAsia="en-ZA"/>
        </w:rPr>
        <w:t>to a court having jurisdiction for condonation of such failure.”</w:t>
      </w:r>
    </w:p>
    <w:p w14:paraId="32DA5669" w14:textId="42F18D3F" w:rsidR="0087125A" w:rsidRDefault="0087125A" w:rsidP="006D1C76">
      <w:pPr>
        <w:shd w:val="clear" w:color="auto" w:fill="FFFFFF"/>
        <w:spacing w:before="144" w:after="0" w:line="480" w:lineRule="auto"/>
        <w:ind w:left="720" w:hanging="720"/>
        <w:jc w:val="both"/>
        <w:rPr>
          <w:rFonts w:ascii="Arial" w:eastAsia="Times New Roman" w:hAnsi="Arial" w:cs="Arial"/>
          <w:color w:val="242121"/>
          <w:sz w:val="24"/>
          <w:szCs w:val="24"/>
          <w:lang w:eastAsia="en-ZA"/>
        </w:rPr>
      </w:pPr>
      <w:r>
        <w:rPr>
          <w:rFonts w:ascii="Arial" w:eastAsia="Times New Roman" w:hAnsi="Arial" w:cs="Arial"/>
          <w:color w:val="242121"/>
          <w:sz w:val="24"/>
          <w:szCs w:val="24"/>
          <w:lang w:eastAsia="en-ZA"/>
        </w:rPr>
        <w:t>[22]</w:t>
      </w:r>
      <w:r>
        <w:rPr>
          <w:rFonts w:ascii="Arial" w:eastAsia="Times New Roman" w:hAnsi="Arial" w:cs="Arial"/>
          <w:color w:val="242121"/>
          <w:sz w:val="24"/>
          <w:szCs w:val="24"/>
          <w:lang w:eastAsia="en-ZA"/>
        </w:rPr>
        <w:tab/>
      </w:r>
      <w:r w:rsidR="005E3F8B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In this matter before me, </w:t>
      </w:r>
      <w:r w:rsidR="008A71A0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t</w:t>
      </w:r>
      <w:r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he notice furnished by the plaintiffs </w:t>
      </w:r>
      <w:r w:rsidR="00F734E4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to the defendant were sent by registered </w:t>
      </w:r>
      <w:r w:rsidR="00110822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post </w:t>
      </w:r>
      <w:r w:rsidR="00D6554C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on 21 December </w:t>
      </w:r>
      <w:r w:rsidR="00C66B13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2015. I am satisfied that all the </w:t>
      </w:r>
      <w:r w:rsidR="00E12527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plaintiffs’ notice</w:t>
      </w:r>
      <w:r w:rsidR="00F3398F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s</w:t>
      </w:r>
      <w:r w:rsidR="00E12527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 in terms of section 3 of </w:t>
      </w:r>
      <w:r w:rsidR="00351359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Act 40 of 2002 </w:t>
      </w:r>
      <w:r w:rsidR="008A71A0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were sent </w:t>
      </w:r>
      <w:r w:rsidR="00AC6F79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to the defendant late, contrary to the provisions of section </w:t>
      </w:r>
      <w:r w:rsidR="00AF668A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3 </w:t>
      </w:r>
      <w:r w:rsidR="00AC6F79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of Act 40 of 20</w:t>
      </w:r>
      <w:r w:rsidR="00B8618B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02</w:t>
      </w:r>
      <w:r w:rsidR="00351359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.</w:t>
      </w:r>
    </w:p>
    <w:p w14:paraId="339F52D5" w14:textId="2025AD95" w:rsidR="00610020" w:rsidRDefault="00351359" w:rsidP="006D1C76">
      <w:pPr>
        <w:shd w:val="clear" w:color="auto" w:fill="FFFFFF"/>
        <w:spacing w:before="144" w:after="0" w:line="480" w:lineRule="auto"/>
        <w:ind w:left="720" w:hanging="720"/>
        <w:jc w:val="both"/>
        <w:rPr>
          <w:rFonts w:ascii="Arial" w:eastAsia="Times New Roman" w:hAnsi="Arial" w:cs="Arial"/>
          <w:color w:val="242121"/>
          <w:sz w:val="24"/>
          <w:szCs w:val="24"/>
          <w:lang w:eastAsia="en-ZA"/>
        </w:rPr>
      </w:pPr>
      <w:r>
        <w:rPr>
          <w:rFonts w:ascii="Arial" w:eastAsia="Times New Roman" w:hAnsi="Arial" w:cs="Arial"/>
          <w:color w:val="242121"/>
          <w:sz w:val="24"/>
          <w:szCs w:val="24"/>
          <w:lang w:eastAsia="en-ZA"/>
        </w:rPr>
        <w:t>[23]</w:t>
      </w:r>
      <w:r>
        <w:rPr>
          <w:rFonts w:ascii="Arial" w:eastAsia="Times New Roman" w:hAnsi="Arial" w:cs="Arial"/>
          <w:color w:val="242121"/>
          <w:sz w:val="24"/>
          <w:szCs w:val="24"/>
          <w:lang w:eastAsia="en-ZA"/>
        </w:rPr>
        <w:tab/>
        <w:t xml:space="preserve">In my view it was imperative for the plaintiff to ask for condonation in terms of section 3 </w:t>
      </w:r>
      <w:r w:rsidR="002F5600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(4) (a) before a trial date was set.</w:t>
      </w:r>
      <w:r w:rsidR="008B2DAF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 It is clear from the pleadings </w:t>
      </w:r>
      <w:r w:rsidR="005B2293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and the pre-trial </w:t>
      </w:r>
      <w:r w:rsidR="00371828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that the defendant did raise with the plaintiffs the shortcoming</w:t>
      </w:r>
      <w:r w:rsidR="008A623A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s</w:t>
      </w:r>
      <w:r w:rsidR="00371828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 in </w:t>
      </w:r>
      <w:r w:rsidR="00371828">
        <w:rPr>
          <w:rFonts w:ascii="Arial" w:eastAsia="Times New Roman" w:hAnsi="Arial" w:cs="Arial"/>
          <w:color w:val="242121"/>
          <w:sz w:val="24"/>
          <w:szCs w:val="24"/>
          <w:lang w:eastAsia="en-ZA"/>
        </w:rPr>
        <w:lastRenderedPageBreak/>
        <w:t xml:space="preserve">respect of the provision of section 3 of </w:t>
      </w:r>
      <w:r w:rsidR="005B2293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Act 40 of 2002.</w:t>
      </w:r>
      <w:r w:rsidR="00371828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 </w:t>
      </w:r>
      <w:r w:rsidR="006F0DFD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It is further my view that </w:t>
      </w:r>
      <w:r w:rsidR="00877ADA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the plaintiffs should have made sure that they have complied with the pro</w:t>
      </w:r>
      <w:r w:rsidR="00610020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visions of section 3 of Act 40 of 2002</w:t>
      </w:r>
      <w:r w:rsidR="007B4439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 before the trial date was set.</w:t>
      </w:r>
    </w:p>
    <w:p w14:paraId="7B7A02F8" w14:textId="0BFFB1EA" w:rsidR="00C605FF" w:rsidRDefault="009F5201" w:rsidP="006D1C76">
      <w:pPr>
        <w:shd w:val="clear" w:color="auto" w:fill="FFFFFF"/>
        <w:spacing w:before="144" w:after="0" w:line="480" w:lineRule="auto"/>
        <w:ind w:left="720" w:hanging="720"/>
        <w:jc w:val="both"/>
        <w:rPr>
          <w:rFonts w:ascii="Arial" w:eastAsia="Times New Roman" w:hAnsi="Arial" w:cs="Arial"/>
          <w:color w:val="242121"/>
          <w:sz w:val="24"/>
          <w:szCs w:val="24"/>
          <w:lang w:eastAsia="en-ZA"/>
        </w:rPr>
      </w:pPr>
      <w:r>
        <w:rPr>
          <w:rFonts w:ascii="Arial" w:eastAsia="Times New Roman" w:hAnsi="Arial" w:cs="Arial"/>
          <w:color w:val="242121"/>
          <w:sz w:val="24"/>
          <w:szCs w:val="24"/>
          <w:lang w:eastAsia="en-ZA"/>
        </w:rPr>
        <w:t>[24]</w:t>
      </w:r>
      <w:r>
        <w:rPr>
          <w:rFonts w:ascii="Arial" w:eastAsia="Times New Roman" w:hAnsi="Arial" w:cs="Arial"/>
          <w:color w:val="242121"/>
          <w:sz w:val="24"/>
          <w:szCs w:val="24"/>
          <w:lang w:eastAsia="en-ZA"/>
        </w:rPr>
        <w:tab/>
      </w:r>
      <w:r w:rsidR="00E006CA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The case law referred to by counsel for the plaintiff does not have a bearing in the issues before me</w:t>
      </w:r>
      <w:r w:rsidR="00852653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 and can therefore not assist the plaintiffs.</w:t>
      </w:r>
    </w:p>
    <w:p w14:paraId="64A6CAFB" w14:textId="4F96F507" w:rsidR="00E006CA" w:rsidRDefault="00E006CA" w:rsidP="006D1C76">
      <w:pPr>
        <w:shd w:val="clear" w:color="auto" w:fill="FFFFFF"/>
        <w:spacing w:before="144" w:after="0" w:line="480" w:lineRule="auto"/>
        <w:ind w:left="720" w:hanging="720"/>
        <w:jc w:val="both"/>
        <w:rPr>
          <w:rFonts w:ascii="Arial" w:eastAsia="Times New Roman" w:hAnsi="Arial" w:cs="Arial"/>
          <w:color w:val="242121"/>
          <w:sz w:val="24"/>
          <w:szCs w:val="24"/>
          <w:lang w:eastAsia="en-ZA"/>
        </w:rPr>
      </w:pPr>
      <w:r>
        <w:rPr>
          <w:rFonts w:ascii="Arial" w:eastAsia="Times New Roman" w:hAnsi="Arial" w:cs="Arial"/>
          <w:color w:val="242121"/>
          <w:sz w:val="24"/>
          <w:szCs w:val="24"/>
          <w:lang w:eastAsia="en-ZA"/>
        </w:rPr>
        <w:t>[</w:t>
      </w:r>
      <w:r w:rsidR="001A5AED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25]</w:t>
      </w:r>
      <w:r w:rsidR="001A5AED">
        <w:rPr>
          <w:rFonts w:ascii="Arial" w:eastAsia="Times New Roman" w:hAnsi="Arial" w:cs="Arial"/>
          <w:color w:val="242121"/>
          <w:sz w:val="24"/>
          <w:szCs w:val="24"/>
          <w:lang w:eastAsia="en-ZA"/>
        </w:rPr>
        <w:tab/>
      </w:r>
      <w:r w:rsidR="00EC0BC4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I make the following order:</w:t>
      </w:r>
    </w:p>
    <w:p w14:paraId="3B96820F" w14:textId="45D6F7ED" w:rsidR="00EC0BC4" w:rsidRDefault="00EC0BC4" w:rsidP="006D1C76">
      <w:pPr>
        <w:shd w:val="clear" w:color="auto" w:fill="FFFFFF"/>
        <w:spacing w:before="144" w:after="0" w:line="480" w:lineRule="auto"/>
        <w:ind w:left="720" w:hanging="720"/>
        <w:jc w:val="both"/>
        <w:rPr>
          <w:rFonts w:ascii="Arial" w:eastAsia="Times New Roman" w:hAnsi="Arial" w:cs="Arial"/>
          <w:color w:val="242121"/>
          <w:sz w:val="24"/>
          <w:szCs w:val="24"/>
          <w:lang w:eastAsia="en-ZA"/>
        </w:rPr>
      </w:pPr>
      <w:r>
        <w:rPr>
          <w:rFonts w:ascii="Arial" w:eastAsia="Times New Roman" w:hAnsi="Arial" w:cs="Arial"/>
          <w:color w:val="242121"/>
          <w:sz w:val="24"/>
          <w:szCs w:val="24"/>
          <w:lang w:eastAsia="en-ZA"/>
        </w:rPr>
        <w:t>25.1</w:t>
      </w:r>
      <w:r>
        <w:rPr>
          <w:rFonts w:ascii="Arial" w:eastAsia="Times New Roman" w:hAnsi="Arial" w:cs="Arial"/>
          <w:color w:val="242121"/>
          <w:sz w:val="24"/>
          <w:szCs w:val="24"/>
          <w:lang w:eastAsia="en-ZA"/>
        </w:rPr>
        <w:tab/>
        <w:t xml:space="preserve">The plaintiffs claim is </w:t>
      </w:r>
      <w:r w:rsidR="00E4770E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dis</w:t>
      </w:r>
      <w:r w:rsidR="0047248F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missed on account of their </w:t>
      </w:r>
      <w:r w:rsidR="003A14AC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failure</w:t>
      </w:r>
      <w:r w:rsidR="0047248F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 to comply with the requirement </w:t>
      </w:r>
      <w:r w:rsidR="00874D41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of the notice in terms of sectio</w:t>
      </w:r>
      <w:r w:rsidR="009F0DFE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n 3 of Act 40 of 2002</w:t>
      </w:r>
    </w:p>
    <w:p w14:paraId="44EE80BF" w14:textId="707B786C" w:rsidR="009F0DFE" w:rsidRPr="008165EE" w:rsidRDefault="009F0DFE" w:rsidP="006D1C76">
      <w:pPr>
        <w:shd w:val="clear" w:color="auto" w:fill="FFFFFF"/>
        <w:spacing w:before="144" w:after="0" w:line="480" w:lineRule="auto"/>
        <w:ind w:left="720" w:hanging="720"/>
        <w:jc w:val="both"/>
        <w:rPr>
          <w:rFonts w:ascii="Arial" w:eastAsia="Times New Roman" w:hAnsi="Arial" w:cs="Arial"/>
          <w:color w:val="242121"/>
          <w:sz w:val="24"/>
          <w:szCs w:val="24"/>
          <w:lang w:eastAsia="en-ZA"/>
        </w:rPr>
      </w:pPr>
      <w:r>
        <w:rPr>
          <w:rFonts w:ascii="Arial" w:eastAsia="Times New Roman" w:hAnsi="Arial" w:cs="Arial"/>
          <w:color w:val="242121"/>
          <w:sz w:val="24"/>
          <w:szCs w:val="24"/>
          <w:lang w:eastAsia="en-ZA"/>
        </w:rPr>
        <w:t>25.2</w:t>
      </w:r>
      <w:r>
        <w:rPr>
          <w:rFonts w:ascii="Arial" w:eastAsia="Times New Roman" w:hAnsi="Arial" w:cs="Arial"/>
          <w:color w:val="242121"/>
          <w:sz w:val="24"/>
          <w:szCs w:val="24"/>
          <w:lang w:eastAsia="en-ZA"/>
        </w:rPr>
        <w:tab/>
        <w:t>Costs of suit including cost of two coun</w:t>
      </w:r>
      <w:r w:rsidR="003A14AC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sel.</w:t>
      </w:r>
    </w:p>
    <w:p w14:paraId="487292BA" w14:textId="77777777" w:rsidR="00641B0D" w:rsidRDefault="00641B0D" w:rsidP="00641B0D">
      <w:pPr>
        <w:pStyle w:val="ListParagraph"/>
        <w:rPr>
          <w:rFonts w:ascii="Arial" w:eastAsia="Times New Roman" w:hAnsi="Arial" w:cs="Arial"/>
          <w:color w:val="242121"/>
          <w:sz w:val="24"/>
          <w:szCs w:val="24"/>
          <w:lang w:eastAsia="en-ZA"/>
        </w:rPr>
      </w:pPr>
    </w:p>
    <w:p w14:paraId="552D433E" w14:textId="77777777" w:rsidR="00F4777B" w:rsidRDefault="00F4777B" w:rsidP="00641B0D">
      <w:pPr>
        <w:pStyle w:val="ListParagraph"/>
        <w:rPr>
          <w:rFonts w:ascii="Arial" w:eastAsia="Times New Roman" w:hAnsi="Arial" w:cs="Arial"/>
          <w:color w:val="242121"/>
          <w:sz w:val="24"/>
          <w:szCs w:val="24"/>
          <w:lang w:eastAsia="en-ZA"/>
        </w:rPr>
      </w:pPr>
    </w:p>
    <w:p w14:paraId="055E7ADD" w14:textId="77777777" w:rsidR="00F4777B" w:rsidRPr="008A11BD" w:rsidRDefault="00F4777B" w:rsidP="00641B0D">
      <w:pPr>
        <w:pStyle w:val="ListParagraph"/>
        <w:rPr>
          <w:rFonts w:ascii="Arial" w:eastAsia="Times New Roman" w:hAnsi="Arial" w:cs="Arial"/>
          <w:color w:val="242121"/>
          <w:sz w:val="24"/>
          <w:szCs w:val="24"/>
          <w:lang w:eastAsia="en-ZA"/>
        </w:rPr>
      </w:pPr>
    </w:p>
    <w:p w14:paraId="6E73D264" w14:textId="77777777" w:rsidR="00641B0D" w:rsidRPr="008A11BD" w:rsidRDefault="00641B0D" w:rsidP="00641B0D">
      <w:pPr>
        <w:pStyle w:val="ListParagraph"/>
        <w:shd w:val="clear" w:color="auto" w:fill="FFFFFF"/>
        <w:spacing w:before="144" w:after="0" w:line="240" w:lineRule="auto"/>
        <w:ind w:left="0"/>
        <w:jc w:val="right"/>
        <w:rPr>
          <w:rFonts w:ascii="Arial" w:eastAsia="Times New Roman" w:hAnsi="Arial" w:cs="Arial"/>
          <w:b/>
          <w:color w:val="242121"/>
          <w:sz w:val="24"/>
          <w:szCs w:val="24"/>
          <w:lang w:eastAsia="en-ZA"/>
        </w:rPr>
      </w:pPr>
      <w:r w:rsidRPr="008A11BD">
        <w:rPr>
          <w:rFonts w:ascii="Arial" w:eastAsia="Times New Roman" w:hAnsi="Arial" w:cs="Arial"/>
          <w:b/>
          <w:color w:val="242121"/>
          <w:sz w:val="24"/>
          <w:szCs w:val="24"/>
          <w:lang w:eastAsia="en-ZA"/>
        </w:rPr>
        <w:t>______________________</w:t>
      </w:r>
    </w:p>
    <w:p w14:paraId="6C5B4AF3" w14:textId="77777777" w:rsidR="00641B0D" w:rsidRDefault="00641B0D" w:rsidP="00641B0D">
      <w:pPr>
        <w:pStyle w:val="ListParagraph"/>
        <w:shd w:val="clear" w:color="auto" w:fill="FFFFFF"/>
        <w:spacing w:before="144" w:after="0" w:line="240" w:lineRule="auto"/>
        <w:ind w:left="0"/>
        <w:jc w:val="right"/>
        <w:rPr>
          <w:rFonts w:ascii="Arial" w:eastAsia="Times New Roman" w:hAnsi="Arial" w:cs="Arial"/>
          <w:b/>
          <w:color w:val="242121"/>
          <w:sz w:val="24"/>
          <w:szCs w:val="24"/>
          <w:lang w:eastAsia="en-ZA"/>
        </w:rPr>
      </w:pPr>
    </w:p>
    <w:p w14:paraId="0557399A" w14:textId="34522F8A" w:rsidR="00641B0D" w:rsidRPr="008A11BD" w:rsidRDefault="00641B0D" w:rsidP="00641B0D">
      <w:pPr>
        <w:pStyle w:val="ListParagraph"/>
        <w:shd w:val="clear" w:color="auto" w:fill="FFFFFF"/>
        <w:spacing w:before="144" w:after="0" w:line="240" w:lineRule="auto"/>
        <w:ind w:left="0"/>
        <w:jc w:val="right"/>
        <w:rPr>
          <w:rFonts w:ascii="Arial" w:eastAsia="Times New Roman" w:hAnsi="Arial" w:cs="Arial"/>
          <w:b/>
          <w:color w:val="242121"/>
          <w:sz w:val="24"/>
          <w:szCs w:val="24"/>
          <w:lang w:eastAsia="en-ZA"/>
        </w:rPr>
      </w:pPr>
      <w:r>
        <w:rPr>
          <w:rFonts w:ascii="Arial" w:eastAsia="Times New Roman" w:hAnsi="Arial" w:cs="Arial"/>
          <w:b/>
          <w:color w:val="242121"/>
          <w:sz w:val="24"/>
          <w:szCs w:val="24"/>
          <w:lang w:eastAsia="en-ZA"/>
        </w:rPr>
        <w:t>MAKHOBA J</w:t>
      </w:r>
    </w:p>
    <w:p w14:paraId="7E497D04" w14:textId="225FAC02" w:rsidR="00641B0D" w:rsidRDefault="005F5B0B" w:rsidP="00641B0D">
      <w:pPr>
        <w:pStyle w:val="ListParagraph"/>
        <w:shd w:val="clear" w:color="auto" w:fill="FFFFFF"/>
        <w:spacing w:before="144" w:after="0" w:line="240" w:lineRule="auto"/>
        <w:ind w:left="0"/>
        <w:jc w:val="right"/>
        <w:rPr>
          <w:rFonts w:ascii="Arial" w:eastAsia="Times New Roman" w:hAnsi="Arial" w:cs="Arial"/>
          <w:b/>
          <w:color w:val="242121"/>
          <w:sz w:val="24"/>
          <w:szCs w:val="24"/>
          <w:lang w:eastAsia="en-ZA"/>
        </w:rPr>
      </w:pPr>
      <w:r w:rsidRPr="008A11BD">
        <w:rPr>
          <w:rFonts w:ascii="Arial" w:eastAsia="Times New Roman" w:hAnsi="Arial" w:cs="Arial"/>
          <w:b/>
          <w:color w:val="242121"/>
          <w:sz w:val="24"/>
          <w:szCs w:val="24"/>
          <w:lang w:eastAsia="en-ZA"/>
        </w:rPr>
        <w:t>JUDGE OF THE HIGH COURT</w:t>
      </w:r>
    </w:p>
    <w:p w14:paraId="43142F16" w14:textId="53D5BB4C" w:rsidR="00641B0D" w:rsidRPr="008A11BD" w:rsidRDefault="005F5B0B" w:rsidP="00641B0D">
      <w:pPr>
        <w:pStyle w:val="ListParagraph"/>
        <w:shd w:val="clear" w:color="auto" w:fill="FFFFFF"/>
        <w:spacing w:before="144" w:after="0" w:line="240" w:lineRule="auto"/>
        <w:ind w:left="0"/>
        <w:jc w:val="right"/>
        <w:rPr>
          <w:rFonts w:ascii="Arial" w:eastAsia="Times New Roman" w:hAnsi="Arial" w:cs="Arial"/>
          <w:b/>
          <w:color w:val="242121"/>
          <w:sz w:val="24"/>
          <w:szCs w:val="24"/>
          <w:lang w:eastAsia="en-ZA"/>
        </w:rPr>
      </w:pPr>
      <w:r>
        <w:rPr>
          <w:rFonts w:ascii="Arial" w:eastAsia="Times New Roman" w:hAnsi="Arial" w:cs="Arial"/>
          <w:b/>
          <w:color w:val="242121"/>
          <w:sz w:val="24"/>
          <w:szCs w:val="24"/>
          <w:lang w:eastAsia="en-ZA"/>
        </w:rPr>
        <w:t>GAUTENG DIVISION, PRETORIA</w:t>
      </w:r>
    </w:p>
    <w:p w14:paraId="644E0BDF" w14:textId="77777777" w:rsidR="00641B0D" w:rsidRPr="008A11BD" w:rsidRDefault="00641B0D" w:rsidP="00641B0D">
      <w:pPr>
        <w:pStyle w:val="ListParagraph"/>
        <w:shd w:val="clear" w:color="auto" w:fill="FFFFFF"/>
        <w:spacing w:before="144" w:after="0" w:line="240" w:lineRule="auto"/>
        <w:ind w:left="0"/>
        <w:jc w:val="right"/>
        <w:rPr>
          <w:rFonts w:ascii="Arial" w:eastAsia="Times New Roman" w:hAnsi="Arial" w:cs="Arial"/>
          <w:color w:val="242121"/>
          <w:sz w:val="24"/>
          <w:szCs w:val="24"/>
          <w:lang w:eastAsia="en-ZA"/>
        </w:rPr>
      </w:pPr>
    </w:p>
    <w:p w14:paraId="414FAE11" w14:textId="77777777" w:rsidR="00495BC2" w:rsidRDefault="00495BC2" w:rsidP="00495BC2">
      <w:pPr>
        <w:pStyle w:val="ListParagraph"/>
        <w:shd w:val="clear" w:color="auto" w:fill="FFFFFF"/>
        <w:spacing w:before="144" w:after="0" w:line="480" w:lineRule="auto"/>
        <w:ind w:left="0"/>
        <w:rPr>
          <w:rFonts w:ascii="Arial" w:eastAsia="Times New Roman" w:hAnsi="Arial" w:cs="Arial"/>
          <w:color w:val="242121"/>
          <w:sz w:val="24"/>
          <w:szCs w:val="24"/>
          <w:u w:val="single"/>
          <w:lang w:eastAsia="en-ZA"/>
        </w:rPr>
      </w:pPr>
    </w:p>
    <w:p w14:paraId="7BAB9A0E" w14:textId="433F6B68" w:rsidR="006D577A" w:rsidRDefault="006D577A" w:rsidP="006D577A">
      <w:pPr>
        <w:pStyle w:val="ListParagraph"/>
        <w:shd w:val="clear" w:color="auto" w:fill="FFFFFF"/>
        <w:spacing w:before="144" w:after="0" w:line="480" w:lineRule="auto"/>
        <w:ind w:left="0"/>
        <w:rPr>
          <w:rFonts w:ascii="Arial" w:eastAsia="Times New Roman" w:hAnsi="Arial" w:cs="Arial"/>
          <w:b/>
          <w:bCs/>
          <w:color w:val="242121"/>
          <w:sz w:val="24"/>
          <w:szCs w:val="24"/>
          <w:lang w:eastAsia="en-ZA"/>
        </w:rPr>
      </w:pPr>
      <w:r>
        <w:rPr>
          <w:rFonts w:ascii="Arial" w:eastAsia="Times New Roman" w:hAnsi="Arial" w:cs="Arial"/>
          <w:b/>
          <w:bCs/>
          <w:color w:val="242121"/>
          <w:sz w:val="24"/>
          <w:szCs w:val="24"/>
          <w:lang w:eastAsia="en-ZA"/>
        </w:rPr>
        <w:t xml:space="preserve">HEARD AND RESERVED JUDGMENT: </w:t>
      </w:r>
      <w:r w:rsidR="00AD1FD4">
        <w:rPr>
          <w:rFonts w:ascii="Arial" w:eastAsia="Times New Roman" w:hAnsi="Arial" w:cs="Arial"/>
          <w:b/>
          <w:bCs/>
          <w:color w:val="242121"/>
          <w:sz w:val="24"/>
          <w:szCs w:val="24"/>
          <w:lang w:eastAsia="en-ZA"/>
        </w:rPr>
        <w:t>21</w:t>
      </w:r>
      <w:r>
        <w:rPr>
          <w:rFonts w:ascii="Arial" w:eastAsia="Times New Roman" w:hAnsi="Arial" w:cs="Arial"/>
          <w:b/>
          <w:bCs/>
          <w:color w:val="242121"/>
          <w:sz w:val="24"/>
          <w:szCs w:val="24"/>
          <w:lang w:eastAsia="en-ZA"/>
        </w:rPr>
        <w:t xml:space="preserve"> February 2024</w:t>
      </w:r>
    </w:p>
    <w:p w14:paraId="0141F543" w14:textId="0AB98322" w:rsidR="006D577A" w:rsidRPr="004F3501" w:rsidRDefault="006D577A" w:rsidP="006D577A">
      <w:pPr>
        <w:pStyle w:val="ListParagraph"/>
        <w:shd w:val="clear" w:color="auto" w:fill="FFFFFF"/>
        <w:spacing w:before="144" w:after="0" w:line="480" w:lineRule="auto"/>
        <w:ind w:left="0"/>
        <w:rPr>
          <w:rFonts w:ascii="Arial" w:eastAsia="Times New Roman" w:hAnsi="Arial" w:cs="Arial"/>
          <w:b/>
          <w:bCs/>
          <w:color w:val="242121"/>
          <w:sz w:val="24"/>
          <w:szCs w:val="24"/>
          <w:lang w:eastAsia="en-ZA"/>
        </w:rPr>
      </w:pPr>
      <w:r>
        <w:rPr>
          <w:rFonts w:ascii="Arial" w:eastAsia="Times New Roman" w:hAnsi="Arial" w:cs="Arial"/>
          <w:b/>
          <w:bCs/>
          <w:color w:val="242121"/>
          <w:sz w:val="24"/>
          <w:szCs w:val="24"/>
          <w:lang w:eastAsia="en-ZA"/>
        </w:rPr>
        <w:t>JUDGMENT HANDED DOWN ON: 2</w:t>
      </w:r>
      <w:r w:rsidR="00AD1FD4">
        <w:rPr>
          <w:rFonts w:ascii="Arial" w:eastAsia="Times New Roman" w:hAnsi="Arial" w:cs="Arial"/>
          <w:b/>
          <w:bCs/>
          <w:color w:val="242121"/>
          <w:sz w:val="24"/>
          <w:szCs w:val="24"/>
          <w:lang w:eastAsia="en-ZA"/>
        </w:rPr>
        <w:t>3</w:t>
      </w:r>
      <w:r>
        <w:rPr>
          <w:rFonts w:ascii="Arial" w:eastAsia="Times New Roman" w:hAnsi="Arial" w:cs="Arial"/>
          <w:b/>
          <w:bCs/>
          <w:color w:val="242121"/>
          <w:sz w:val="24"/>
          <w:szCs w:val="24"/>
          <w:lang w:eastAsia="en-ZA"/>
        </w:rPr>
        <w:t xml:space="preserve"> February 2024</w:t>
      </w:r>
    </w:p>
    <w:p w14:paraId="5A6ACDA6" w14:textId="77777777" w:rsidR="006D577A" w:rsidRPr="008A11BD" w:rsidRDefault="006D577A" w:rsidP="006D577A">
      <w:pPr>
        <w:pStyle w:val="ListParagraph"/>
        <w:shd w:val="clear" w:color="auto" w:fill="FFFFFF"/>
        <w:spacing w:before="144" w:after="0" w:line="480" w:lineRule="auto"/>
        <w:ind w:left="0"/>
        <w:rPr>
          <w:rFonts w:ascii="Arial" w:eastAsia="Times New Roman" w:hAnsi="Arial" w:cs="Arial"/>
          <w:color w:val="242121"/>
          <w:sz w:val="24"/>
          <w:szCs w:val="24"/>
          <w:lang w:eastAsia="en-ZA"/>
        </w:rPr>
      </w:pPr>
      <w:r w:rsidRPr="008A11BD">
        <w:rPr>
          <w:rFonts w:ascii="Arial" w:eastAsia="Times New Roman" w:hAnsi="Arial" w:cs="Arial"/>
          <w:color w:val="242121"/>
          <w:sz w:val="24"/>
          <w:szCs w:val="24"/>
          <w:u w:val="single"/>
          <w:lang w:eastAsia="en-ZA"/>
        </w:rPr>
        <w:t>Appearances</w:t>
      </w:r>
      <w:r w:rsidRPr="008A11BD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:</w:t>
      </w:r>
    </w:p>
    <w:p w14:paraId="4E604FFE" w14:textId="77777777" w:rsidR="006D577A" w:rsidRDefault="006D577A" w:rsidP="006D577A">
      <w:pPr>
        <w:pStyle w:val="ListParagraph"/>
        <w:shd w:val="clear" w:color="auto" w:fill="FFFFFF"/>
        <w:spacing w:before="144" w:after="0"/>
        <w:ind w:left="0"/>
        <w:rPr>
          <w:rFonts w:ascii="Arial" w:eastAsia="Times New Roman" w:hAnsi="Arial" w:cs="Arial"/>
          <w:color w:val="242121"/>
          <w:sz w:val="24"/>
          <w:szCs w:val="24"/>
          <w:lang w:eastAsia="en-ZA"/>
        </w:rPr>
      </w:pPr>
      <w:r w:rsidRPr="008A11BD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For the </w:t>
      </w:r>
      <w:r>
        <w:rPr>
          <w:rFonts w:ascii="Arial" w:eastAsia="Times New Roman" w:hAnsi="Arial" w:cs="Arial"/>
          <w:color w:val="242121"/>
          <w:sz w:val="24"/>
          <w:szCs w:val="24"/>
          <w:lang w:eastAsia="en-ZA"/>
        </w:rPr>
        <w:t>Plaintiffs</w:t>
      </w:r>
      <w:r w:rsidRPr="008A11BD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:</w:t>
      </w:r>
      <w:r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 Adv L de Klerk SC with Adv D Thaldar </w:t>
      </w:r>
      <w:r w:rsidRPr="008A11BD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(instructed by)</w:t>
      </w:r>
      <w:r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 Gildenhuys Malatji Incorporated </w:t>
      </w:r>
    </w:p>
    <w:p w14:paraId="5FE99DC9" w14:textId="77777777" w:rsidR="006D577A" w:rsidRDefault="006D577A" w:rsidP="006D577A">
      <w:pPr>
        <w:pStyle w:val="ListParagraph"/>
        <w:shd w:val="clear" w:color="auto" w:fill="FFFFFF"/>
        <w:spacing w:before="144" w:after="0"/>
        <w:ind w:left="0"/>
        <w:rPr>
          <w:rFonts w:ascii="Arial" w:eastAsia="Times New Roman" w:hAnsi="Arial" w:cs="Arial"/>
          <w:color w:val="242121"/>
          <w:sz w:val="24"/>
          <w:szCs w:val="24"/>
          <w:lang w:eastAsia="en-ZA"/>
        </w:rPr>
      </w:pPr>
    </w:p>
    <w:p w14:paraId="2057120C" w14:textId="77777777" w:rsidR="006D577A" w:rsidRPr="008A11BD" w:rsidRDefault="006D577A" w:rsidP="006D577A">
      <w:pPr>
        <w:pStyle w:val="ListParagraph"/>
        <w:shd w:val="clear" w:color="auto" w:fill="FFFFFF"/>
        <w:spacing w:before="144" w:after="0"/>
        <w:ind w:left="0"/>
        <w:rPr>
          <w:rFonts w:ascii="Arial" w:eastAsia="Times New Roman" w:hAnsi="Arial" w:cs="Arial"/>
          <w:color w:val="242121"/>
          <w:sz w:val="24"/>
          <w:szCs w:val="24"/>
          <w:lang w:eastAsia="en-ZA"/>
        </w:rPr>
      </w:pPr>
      <w:r w:rsidRPr="008A11BD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For </w:t>
      </w:r>
      <w:r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the Defendant Adv G Shakoane SC with Adv D D Mosoma (instructed by) State Attorney Pretoria. </w:t>
      </w:r>
    </w:p>
    <w:p w14:paraId="4075E59A" w14:textId="79F535A2" w:rsidR="00641B0D" w:rsidRPr="008A11BD" w:rsidRDefault="00622079" w:rsidP="00495BC2">
      <w:pPr>
        <w:pStyle w:val="ListParagraph"/>
        <w:shd w:val="clear" w:color="auto" w:fill="FFFFFF"/>
        <w:spacing w:before="144" w:after="0"/>
        <w:ind w:left="0"/>
        <w:rPr>
          <w:rFonts w:ascii="Arial" w:eastAsia="Times New Roman" w:hAnsi="Arial" w:cs="Arial"/>
          <w:color w:val="242121"/>
          <w:sz w:val="24"/>
          <w:szCs w:val="24"/>
          <w:lang w:eastAsia="en-ZA"/>
        </w:rPr>
      </w:pPr>
      <w:r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 </w:t>
      </w:r>
    </w:p>
    <w:sectPr w:rsidR="00641B0D" w:rsidRPr="008A11BD" w:rsidSect="00880580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4A4D0" w14:textId="77777777" w:rsidR="00880580" w:rsidRDefault="00880580" w:rsidP="00EE6D13">
      <w:pPr>
        <w:spacing w:after="0" w:line="240" w:lineRule="auto"/>
      </w:pPr>
      <w:r>
        <w:separator/>
      </w:r>
    </w:p>
  </w:endnote>
  <w:endnote w:type="continuationSeparator" w:id="0">
    <w:p w14:paraId="3CC2DC7C" w14:textId="77777777" w:rsidR="00880580" w:rsidRDefault="00880580" w:rsidP="00EE6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4A0AC" w14:textId="778C8100" w:rsidR="00CF2B9D" w:rsidRDefault="00CF2B9D" w:rsidP="003F56AB">
    <w:pPr>
      <w:pStyle w:val="Footer"/>
      <w:jc w:val="center"/>
    </w:pPr>
  </w:p>
  <w:p w14:paraId="0514A607" w14:textId="77777777" w:rsidR="00CF2B9D" w:rsidRPr="002D17F5" w:rsidRDefault="00CF2B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5BD74" w14:textId="77777777" w:rsidR="00880580" w:rsidRDefault="00880580" w:rsidP="00EE6D13">
      <w:pPr>
        <w:spacing w:after="0" w:line="240" w:lineRule="auto"/>
      </w:pPr>
      <w:r>
        <w:separator/>
      </w:r>
    </w:p>
  </w:footnote>
  <w:footnote w:type="continuationSeparator" w:id="0">
    <w:p w14:paraId="0FB01D8E" w14:textId="77777777" w:rsidR="00880580" w:rsidRDefault="00880580" w:rsidP="00EE6D13">
      <w:pPr>
        <w:spacing w:after="0" w:line="240" w:lineRule="auto"/>
      </w:pPr>
      <w:r>
        <w:continuationSeparator/>
      </w:r>
    </w:p>
  </w:footnote>
  <w:footnote w:id="1">
    <w:p w14:paraId="7AD41DBD" w14:textId="07BB1AA1" w:rsidR="009D75E5" w:rsidRPr="009D75E5" w:rsidRDefault="009D75E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Case</w:t>
      </w:r>
      <w:r w:rsidR="00C177F1">
        <w:rPr>
          <w:lang w:val="en-US"/>
        </w:rPr>
        <w:t>L</w:t>
      </w:r>
      <w:r>
        <w:rPr>
          <w:lang w:val="en-US"/>
        </w:rPr>
        <w:t>ines 00000</w:t>
      </w:r>
      <w:r w:rsidR="00AF2CBD">
        <w:rPr>
          <w:lang w:val="en-US"/>
        </w:rPr>
        <w:t>1 Sub-paragraph 2 at 000001 – 146, 000001-147 and 000001-148</w:t>
      </w:r>
      <w:r w:rsidR="00E17805">
        <w:rPr>
          <w:lang w:val="en-US"/>
        </w:rPr>
        <w:t xml:space="preserve"> paragraphs of 12</w:t>
      </w:r>
      <w:r w:rsidR="00F96348">
        <w:rPr>
          <w:lang w:val="en-US"/>
        </w:rPr>
        <w:t xml:space="preserve">,4, 13.4 and 14.4 of the Defendant’s plea to </w:t>
      </w:r>
      <w:r w:rsidR="006724F7">
        <w:rPr>
          <w:lang w:val="en-US"/>
        </w:rPr>
        <w:t>plaintiffs amended particulars of claim.</w:t>
      </w:r>
    </w:p>
  </w:footnote>
  <w:footnote w:id="2">
    <w:p w14:paraId="2BF01D61" w14:textId="607DFED1" w:rsidR="0011733C" w:rsidRPr="0011733C" w:rsidRDefault="0011733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17681A">
        <w:rPr>
          <w:lang w:val="en-US"/>
        </w:rPr>
        <w:t>CaseLines 000001-17.</w:t>
      </w:r>
    </w:p>
  </w:footnote>
  <w:footnote w:id="3">
    <w:p w14:paraId="45F851B9" w14:textId="24789F7E" w:rsidR="00633B81" w:rsidRPr="00633B81" w:rsidRDefault="00633B8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17681A">
        <w:t xml:space="preserve">CaseLines </w:t>
      </w:r>
      <w:r w:rsidR="00C97CBD">
        <w:t>33-2-10.</w:t>
      </w:r>
    </w:p>
  </w:footnote>
  <w:footnote w:id="4">
    <w:p w14:paraId="43218BA9" w14:textId="00C39304" w:rsidR="00D571FE" w:rsidRPr="00D571FE" w:rsidRDefault="00D571F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BC12CE">
        <w:rPr>
          <w:lang w:val="en-US"/>
        </w:rPr>
        <w:t>CaseLines 33-2-13 ap Par</w:t>
      </w:r>
      <w:r w:rsidR="00C177F1">
        <w:rPr>
          <w:lang w:val="en-US"/>
        </w:rPr>
        <w:t xml:space="preserve"> 5.2</w:t>
      </w:r>
    </w:p>
  </w:footnote>
  <w:footnote w:id="5">
    <w:p w14:paraId="6E4D9373" w14:textId="4836DAE5" w:rsidR="00E346CC" w:rsidRPr="00E346CC" w:rsidRDefault="00E346C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CaseLines 0006-74 paragraph </w:t>
      </w:r>
      <w:r w:rsidR="00421F6F">
        <w:rPr>
          <w:lang w:val="en-US"/>
        </w:rPr>
        <w:t xml:space="preserve">21; Minister of Safety and Security v De </w:t>
      </w:r>
      <w:r w:rsidR="00E06980">
        <w:rPr>
          <w:lang w:val="en-US"/>
        </w:rPr>
        <w:t>W</w:t>
      </w:r>
      <w:r w:rsidR="00421F6F">
        <w:rPr>
          <w:lang w:val="en-US"/>
        </w:rPr>
        <w:t>i</w:t>
      </w:r>
      <w:r w:rsidR="00F32DE1">
        <w:rPr>
          <w:lang w:val="en-US"/>
        </w:rPr>
        <w:t>tt 2009 (1) SA 457 (SCA)</w:t>
      </w:r>
      <w:r w:rsidR="008118A5">
        <w:rPr>
          <w:lang w:val="en-US"/>
        </w:rPr>
        <w:t>.</w:t>
      </w:r>
    </w:p>
  </w:footnote>
  <w:footnote w:id="6">
    <w:p w14:paraId="15D5D6A7" w14:textId="44304B56" w:rsidR="001C5FBA" w:rsidRPr="001C5FBA" w:rsidRDefault="000D300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="001C5FBA">
        <w:t xml:space="preserve"> </w:t>
      </w:r>
      <w:r w:rsidR="00925EA4">
        <w:rPr>
          <w:lang w:val="en-US"/>
        </w:rPr>
        <w:t>2013 (1) SA 83 (CC)</w:t>
      </w:r>
      <w:r w:rsidR="009D020F">
        <w:rPr>
          <w:lang w:val="en-US"/>
        </w:rPr>
        <w:t>.</w:t>
      </w:r>
      <w:r w:rsidR="00925EA4">
        <w:rPr>
          <w:lang w:val="en-US"/>
        </w:rPr>
        <w:t xml:space="preserve"> </w:t>
      </w:r>
    </w:p>
  </w:footnote>
  <w:footnote w:id="7">
    <w:p w14:paraId="20071DE2" w14:textId="3880E725" w:rsidR="00C640ED" w:rsidRPr="00C640ED" w:rsidRDefault="00C640E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2023 (2)</w:t>
      </w:r>
      <w:r w:rsidR="009D020F">
        <w:rPr>
          <w:lang w:val="en-US"/>
        </w:rPr>
        <w:t xml:space="preserve"> SA158(SCA).</w:t>
      </w:r>
    </w:p>
  </w:footnote>
  <w:footnote w:id="8">
    <w:p w14:paraId="0828607D" w14:textId="0AEFE7A0" w:rsidR="00AA1F16" w:rsidRPr="00AA1F16" w:rsidRDefault="00AA1F1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A73436">
        <w:rPr>
          <w:lang w:val="en-US"/>
        </w:rPr>
        <w:t>2022 (1) SA 317 (CC).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24183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40C1723" w14:textId="1B7F69C1" w:rsidR="003F56AB" w:rsidRDefault="003F56A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4FBDEB" w14:textId="77777777" w:rsidR="003F56AB" w:rsidRDefault="003F56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32429"/>
    <w:multiLevelType w:val="hybridMultilevel"/>
    <w:tmpl w:val="5DDAEADE"/>
    <w:lvl w:ilvl="0" w:tplc="859E9736">
      <w:start w:val="1"/>
      <w:numFmt w:val="decimal"/>
      <w:lvlText w:val="(%1)"/>
      <w:lvlJc w:val="left"/>
      <w:pPr>
        <w:tabs>
          <w:tab w:val="num" w:pos="900"/>
        </w:tabs>
        <w:ind w:left="900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3FF4262F"/>
    <w:multiLevelType w:val="hybridMultilevel"/>
    <w:tmpl w:val="31AA8FA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303283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73170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B0D"/>
    <w:rsid w:val="00000D7A"/>
    <w:rsid w:val="00004A47"/>
    <w:rsid w:val="00024E09"/>
    <w:rsid w:val="00034BED"/>
    <w:rsid w:val="00036F83"/>
    <w:rsid w:val="000415BC"/>
    <w:rsid w:val="0004317E"/>
    <w:rsid w:val="00080DAE"/>
    <w:rsid w:val="000818D3"/>
    <w:rsid w:val="0008398A"/>
    <w:rsid w:val="00087324"/>
    <w:rsid w:val="000A7D86"/>
    <w:rsid w:val="000B036E"/>
    <w:rsid w:val="000D300C"/>
    <w:rsid w:val="000E20EA"/>
    <w:rsid w:val="000E6362"/>
    <w:rsid w:val="000E70FD"/>
    <w:rsid w:val="000F1428"/>
    <w:rsid w:val="000F5E2E"/>
    <w:rsid w:val="000F70A1"/>
    <w:rsid w:val="00102076"/>
    <w:rsid w:val="00102261"/>
    <w:rsid w:val="00110822"/>
    <w:rsid w:val="00112746"/>
    <w:rsid w:val="00116172"/>
    <w:rsid w:val="0011733C"/>
    <w:rsid w:val="00132E54"/>
    <w:rsid w:val="00137854"/>
    <w:rsid w:val="001511F9"/>
    <w:rsid w:val="00152190"/>
    <w:rsid w:val="0015358D"/>
    <w:rsid w:val="0016162B"/>
    <w:rsid w:val="00166356"/>
    <w:rsid w:val="00173712"/>
    <w:rsid w:val="0017681A"/>
    <w:rsid w:val="00177C20"/>
    <w:rsid w:val="00187594"/>
    <w:rsid w:val="00196172"/>
    <w:rsid w:val="001A2113"/>
    <w:rsid w:val="001A5AED"/>
    <w:rsid w:val="001A639B"/>
    <w:rsid w:val="001A702A"/>
    <w:rsid w:val="001C03D5"/>
    <w:rsid w:val="001C32C9"/>
    <w:rsid w:val="001C341D"/>
    <w:rsid w:val="001C527D"/>
    <w:rsid w:val="001C5FBA"/>
    <w:rsid w:val="001D48BA"/>
    <w:rsid w:val="001D5293"/>
    <w:rsid w:val="001D646E"/>
    <w:rsid w:val="001E36B9"/>
    <w:rsid w:val="001F25BC"/>
    <w:rsid w:val="00214A17"/>
    <w:rsid w:val="00216B88"/>
    <w:rsid w:val="00225E4D"/>
    <w:rsid w:val="002304F1"/>
    <w:rsid w:val="002313F4"/>
    <w:rsid w:val="00231E7E"/>
    <w:rsid w:val="002368E5"/>
    <w:rsid w:val="002464C9"/>
    <w:rsid w:val="00251A7D"/>
    <w:rsid w:val="00264E72"/>
    <w:rsid w:val="002672FB"/>
    <w:rsid w:val="00270BFA"/>
    <w:rsid w:val="00273CFE"/>
    <w:rsid w:val="00280F7A"/>
    <w:rsid w:val="00281079"/>
    <w:rsid w:val="0028464B"/>
    <w:rsid w:val="00290A57"/>
    <w:rsid w:val="002951D9"/>
    <w:rsid w:val="0029572A"/>
    <w:rsid w:val="00297412"/>
    <w:rsid w:val="002A4BB1"/>
    <w:rsid w:val="002B497D"/>
    <w:rsid w:val="002B5A97"/>
    <w:rsid w:val="002D4362"/>
    <w:rsid w:val="002E2525"/>
    <w:rsid w:val="002F1CE8"/>
    <w:rsid w:val="002F21AA"/>
    <w:rsid w:val="002F2BBB"/>
    <w:rsid w:val="002F5600"/>
    <w:rsid w:val="002F7AB5"/>
    <w:rsid w:val="00313FFE"/>
    <w:rsid w:val="003273AE"/>
    <w:rsid w:val="0033087D"/>
    <w:rsid w:val="00336EE0"/>
    <w:rsid w:val="003372A6"/>
    <w:rsid w:val="00340ACD"/>
    <w:rsid w:val="003472EA"/>
    <w:rsid w:val="00351359"/>
    <w:rsid w:val="003533A9"/>
    <w:rsid w:val="00354041"/>
    <w:rsid w:val="00360C7A"/>
    <w:rsid w:val="00362FDA"/>
    <w:rsid w:val="00371828"/>
    <w:rsid w:val="00372BCB"/>
    <w:rsid w:val="003758F5"/>
    <w:rsid w:val="00397521"/>
    <w:rsid w:val="003A14AC"/>
    <w:rsid w:val="003A2086"/>
    <w:rsid w:val="003A7956"/>
    <w:rsid w:val="003B4FA3"/>
    <w:rsid w:val="003B5DA3"/>
    <w:rsid w:val="003B7899"/>
    <w:rsid w:val="003C3439"/>
    <w:rsid w:val="003C3AB4"/>
    <w:rsid w:val="003C4C65"/>
    <w:rsid w:val="003C6021"/>
    <w:rsid w:val="003D14A6"/>
    <w:rsid w:val="003D5004"/>
    <w:rsid w:val="003D78A2"/>
    <w:rsid w:val="003E21B3"/>
    <w:rsid w:val="003F56AB"/>
    <w:rsid w:val="003F5B95"/>
    <w:rsid w:val="00407F56"/>
    <w:rsid w:val="00412530"/>
    <w:rsid w:val="004153E3"/>
    <w:rsid w:val="00421F6F"/>
    <w:rsid w:val="00426054"/>
    <w:rsid w:val="00435CF9"/>
    <w:rsid w:val="004367C1"/>
    <w:rsid w:val="004518B1"/>
    <w:rsid w:val="0045196F"/>
    <w:rsid w:val="004555DF"/>
    <w:rsid w:val="00455E7B"/>
    <w:rsid w:val="00457016"/>
    <w:rsid w:val="0046046D"/>
    <w:rsid w:val="0047248F"/>
    <w:rsid w:val="004778DD"/>
    <w:rsid w:val="00484356"/>
    <w:rsid w:val="00495023"/>
    <w:rsid w:val="00495BC2"/>
    <w:rsid w:val="004971A8"/>
    <w:rsid w:val="004A3844"/>
    <w:rsid w:val="004B1F9F"/>
    <w:rsid w:val="004C18EA"/>
    <w:rsid w:val="004C490A"/>
    <w:rsid w:val="004C4B1F"/>
    <w:rsid w:val="004C78AB"/>
    <w:rsid w:val="004D1582"/>
    <w:rsid w:val="004D4FB9"/>
    <w:rsid w:val="004E3876"/>
    <w:rsid w:val="004F0015"/>
    <w:rsid w:val="004F3501"/>
    <w:rsid w:val="004F3509"/>
    <w:rsid w:val="00501DC9"/>
    <w:rsid w:val="00506218"/>
    <w:rsid w:val="005079AE"/>
    <w:rsid w:val="00516AC0"/>
    <w:rsid w:val="00525B23"/>
    <w:rsid w:val="00526769"/>
    <w:rsid w:val="00531487"/>
    <w:rsid w:val="005338C2"/>
    <w:rsid w:val="00534299"/>
    <w:rsid w:val="00535970"/>
    <w:rsid w:val="00536876"/>
    <w:rsid w:val="00536ECD"/>
    <w:rsid w:val="00537ACC"/>
    <w:rsid w:val="0055270B"/>
    <w:rsid w:val="005557F9"/>
    <w:rsid w:val="00560FFA"/>
    <w:rsid w:val="005660A5"/>
    <w:rsid w:val="00581195"/>
    <w:rsid w:val="00586D86"/>
    <w:rsid w:val="00592089"/>
    <w:rsid w:val="005959CF"/>
    <w:rsid w:val="005973D5"/>
    <w:rsid w:val="005A7111"/>
    <w:rsid w:val="005B19EE"/>
    <w:rsid w:val="005B2293"/>
    <w:rsid w:val="005B353C"/>
    <w:rsid w:val="005B6D11"/>
    <w:rsid w:val="005D70AF"/>
    <w:rsid w:val="005D794B"/>
    <w:rsid w:val="005E27FF"/>
    <w:rsid w:val="005E3F8B"/>
    <w:rsid w:val="005F08E3"/>
    <w:rsid w:val="005F228B"/>
    <w:rsid w:val="005F5B0B"/>
    <w:rsid w:val="005F6177"/>
    <w:rsid w:val="005F6545"/>
    <w:rsid w:val="005F6C00"/>
    <w:rsid w:val="00610020"/>
    <w:rsid w:val="00610493"/>
    <w:rsid w:val="00617792"/>
    <w:rsid w:val="00622079"/>
    <w:rsid w:val="0063248E"/>
    <w:rsid w:val="00633B81"/>
    <w:rsid w:val="00635B89"/>
    <w:rsid w:val="00637B66"/>
    <w:rsid w:val="00641B0D"/>
    <w:rsid w:val="0065014E"/>
    <w:rsid w:val="00651AA2"/>
    <w:rsid w:val="00654776"/>
    <w:rsid w:val="00662C2F"/>
    <w:rsid w:val="006724F7"/>
    <w:rsid w:val="006849BF"/>
    <w:rsid w:val="00691876"/>
    <w:rsid w:val="00693B80"/>
    <w:rsid w:val="0069699C"/>
    <w:rsid w:val="006B0A39"/>
    <w:rsid w:val="006B3A53"/>
    <w:rsid w:val="006B4009"/>
    <w:rsid w:val="006C0140"/>
    <w:rsid w:val="006C0FD0"/>
    <w:rsid w:val="006C53DD"/>
    <w:rsid w:val="006D1C76"/>
    <w:rsid w:val="006D2166"/>
    <w:rsid w:val="006D577A"/>
    <w:rsid w:val="006D7684"/>
    <w:rsid w:val="006E119B"/>
    <w:rsid w:val="006E1935"/>
    <w:rsid w:val="006E2E9B"/>
    <w:rsid w:val="006F0DFD"/>
    <w:rsid w:val="006F3D6C"/>
    <w:rsid w:val="006F4E9D"/>
    <w:rsid w:val="006F7527"/>
    <w:rsid w:val="00710C43"/>
    <w:rsid w:val="00716560"/>
    <w:rsid w:val="00721BB5"/>
    <w:rsid w:val="00723E49"/>
    <w:rsid w:val="007458EF"/>
    <w:rsid w:val="00766608"/>
    <w:rsid w:val="007737B7"/>
    <w:rsid w:val="00773B39"/>
    <w:rsid w:val="00774464"/>
    <w:rsid w:val="0079190D"/>
    <w:rsid w:val="007A024D"/>
    <w:rsid w:val="007A027E"/>
    <w:rsid w:val="007B4439"/>
    <w:rsid w:val="007C0032"/>
    <w:rsid w:val="007C26B1"/>
    <w:rsid w:val="007C5A98"/>
    <w:rsid w:val="007C65F6"/>
    <w:rsid w:val="007D091D"/>
    <w:rsid w:val="007D1495"/>
    <w:rsid w:val="007E01D8"/>
    <w:rsid w:val="007E5327"/>
    <w:rsid w:val="007E5708"/>
    <w:rsid w:val="007F0BE0"/>
    <w:rsid w:val="007F78D7"/>
    <w:rsid w:val="00800E4E"/>
    <w:rsid w:val="008055B9"/>
    <w:rsid w:val="008108A0"/>
    <w:rsid w:val="00811785"/>
    <w:rsid w:val="008118A5"/>
    <w:rsid w:val="008165EE"/>
    <w:rsid w:val="0082043E"/>
    <w:rsid w:val="0082211E"/>
    <w:rsid w:val="00840EA7"/>
    <w:rsid w:val="00852044"/>
    <w:rsid w:val="00852653"/>
    <w:rsid w:val="00863EC3"/>
    <w:rsid w:val="0087125A"/>
    <w:rsid w:val="00874D41"/>
    <w:rsid w:val="00877ADA"/>
    <w:rsid w:val="00880580"/>
    <w:rsid w:val="00886FDA"/>
    <w:rsid w:val="008A05FF"/>
    <w:rsid w:val="008A623A"/>
    <w:rsid w:val="008A71A0"/>
    <w:rsid w:val="008B2DAF"/>
    <w:rsid w:val="008B57BE"/>
    <w:rsid w:val="008B5D85"/>
    <w:rsid w:val="008C089D"/>
    <w:rsid w:val="008C5F40"/>
    <w:rsid w:val="008D5104"/>
    <w:rsid w:val="008E26DE"/>
    <w:rsid w:val="008E6405"/>
    <w:rsid w:val="00901575"/>
    <w:rsid w:val="00901D7B"/>
    <w:rsid w:val="00902B44"/>
    <w:rsid w:val="009044DC"/>
    <w:rsid w:val="009051A1"/>
    <w:rsid w:val="00925EA4"/>
    <w:rsid w:val="00932A63"/>
    <w:rsid w:val="00944723"/>
    <w:rsid w:val="00947E26"/>
    <w:rsid w:val="009547B3"/>
    <w:rsid w:val="00960A85"/>
    <w:rsid w:val="00973E1D"/>
    <w:rsid w:val="0097404C"/>
    <w:rsid w:val="00984D2A"/>
    <w:rsid w:val="00995443"/>
    <w:rsid w:val="00997CCC"/>
    <w:rsid w:val="009A3DE4"/>
    <w:rsid w:val="009B1E3F"/>
    <w:rsid w:val="009C49B6"/>
    <w:rsid w:val="009D020F"/>
    <w:rsid w:val="009D5AB6"/>
    <w:rsid w:val="009D75E5"/>
    <w:rsid w:val="009F0D1E"/>
    <w:rsid w:val="009F0DFE"/>
    <w:rsid w:val="009F5201"/>
    <w:rsid w:val="00A11CC0"/>
    <w:rsid w:val="00A20173"/>
    <w:rsid w:val="00A24018"/>
    <w:rsid w:val="00A25C3A"/>
    <w:rsid w:val="00A35D6F"/>
    <w:rsid w:val="00A52F49"/>
    <w:rsid w:val="00A56541"/>
    <w:rsid w:val="00A665ED"/>
    <w:rsid w:val="00A729E0"/>
    <w:rsid w:val="00A73436"/>
    <w:rsid w:val="00A83A65"/>
    <w:rsid w:val="00A956D0"/>
    <w:rsid w:val="00AA1F16"/>
    <w:rsid w:val="00AC2A64"/>
    <w:rsid w:val="00AC3256"/>
    <w:rsid w:val="00AC3D81"/>
    <w:rsid w:val="00AC478A"/>
    <w:rsid w:val="00AC6F79"/>
    <w:rsid w:val="00AD1FD4"/>
    <w:rsid w:val="00AD38D1"/>
    <w:rsid w:val="00AF2CBD"/>
    <w:rsid w:val="00AF60D8"/>
    <w:rsid w:val="00AF668A"/>
    <w:rsid w:val="00B323D3"/>
    <w:rsid w:val="00B50C04"/>
    <w:rsid w:val="00B61DF8"/>
    <w:rsid w:val="00B65FA4"/>
    <w:rsid w:val="00B702CF"/>
    <w:rsid w:val="00B8443D"/>
    <w:rsid w:val="00B84D95"/>
    <w:rsid w:val="00B8618B"/>
    <w:rsid w:val="00BA12B1"/>
    <w:rsid w:val="00BA2192"/>
    <w:rsid w:val="00BA3D06"/>
    <w:rsid w:val="00BA5869"/>
    <w:rsid w:val="00BC12CE"/>
    <w:rsid w:val="00BC2088"/>
    <w:rsid w:val="00BD2846"/>
    <w:rsid w:val="00BD2F74"/>
    <w:rsid w:val="00BE0D3C"/>
    <w:rsid w:val="00BE2B34"/>
    <w:rsid w:val="00BE500D"/>
    <w:rsid w:val="00BF472D"/>
    <w:rsid w:val="00BF6458"/>
    <w:rsid w:val="00C01753"/>
    <w:rsid w:val="00C15B93"/>
    <w:rsid w:val="00C177F1"/>
    <w:rsid w:val="00C17EFC"/>
    <w:rsid w:val="00C225D6"/>
    <w:rsid w:val="00C23A54"/>
    <w:rsid w:val="00C248C9"/>
    <w:rsid w:val="00C41B02"/>
    <w:rsid w:val="00C52EB9"/>
    <w:rsid w:val="00C5582A"/>
    <w:rsid w:val="00C572AA"/>
    <w:rsid w:val="00C605FF"/>
    <w:rsid w:val="00C640ED"/>
    <w:rsid w:val="00C64E95"/>
    <w:rsid w:val="00C650C6"/>
    <w:rsid w:val="00C66168"/>
    <w:rsid w:val="00C66B13"/>
    <w:rsid w:val="00C72689"/>
    <w:rsid w:val="00C83F5C"/>
    <w:rsid w:val="00C87A1A"/>
    <w:rsid w:val="00C97B22"/>
    <w:rsid w:val="00C97CBD"/>
    <w:rsid w:val="00CA3FDA"/>
    <w:rsid w:val="00CA5E1D"/>
    <w:rsid w:val="00CC2017"/>
    <w:rsid w:val="00CC7524"/>
    <w:rsid w:val="00CD2326"/>
    <w:rsid w:val="00CD62D3"/>
    <w:rsid w:val="00CF2B9D"/>
    <w:rsid w:val="00CF3120"/>
    <w:rsid w:val="00CF38F8"/>
    <w:rsid w:val="00CF5CCC"/>
    <w:rsid w:val="00D0341B"/>
    <w:rsid w:val="00D05633"/>
    <w:rsid w:val="00D10D77"/>
    <w:rsid w:val="00D12CAA"/>
    <w:rsid w:val="00D13EFB"/>
    <w:rsid w:val="00D2097D"/>
    <w:rsid w:val="00D21954"/>
    <w:rsid w:val="00D26081"/>
    <w:rsid w:val="00D26605"/>
    <w:rsid w:val="00D347D6"/>
    <w:rsid w:val="00D3686A"/>
    <w:rsid w:val="00D36F2A"/>
    <w:rsid w:val="00D40903"/>
    <w:rsid w:val="00D4388E"/>
    <w:rsid w:val="00D5415A"/>
    <w:rsid w:val="00D571FE"/>
    <w:rsid w:val="00D611A0"/>
    <w:rsid w:val="00D62713"/>
    <w:rsid w:val="00D6554C"/>
    <w:rsid w:val="00D8101F"/>
    <w:rsid w:val="00D8666D"/>
    <w:rsid w:val="00D86B28"/>
    <w:rsid w:val="00D939D2"/>
    <w:rsid w:val="00DB3E30"/>
    <w:rsid w:val="00DC23FD"/>
    <w:rsid w:val="00DC35EB"/>
    <w:rsid w:val="00DC3B56"/>
    <w:rsid w:val="00DD18D9"/>
    <w:rsid w:val="00DD384D"/>
    <w:rsid w:val="00DD57A0"/>
    <w:rsid w:val="00DD5D80"/>
    <w:rsid w:val="00DD751B"/>
    <w:rsid w:val="00DE0ABE"/>
    <w:rsid w:val="00DE1035"/>
    <w:rsid w:val="00DE1363"/>
    <w:rsid w:val="00DE1B32"/>
    <w:rsid w:val="00DE33F3"/>
    <w:rsid w:val="00DF1745"/>
    <w:rsid w:val="00E006CA"/>
    <w:rsid w:val="00E06980"/>
    <w:rsid w:val="00E1146C"/>
    <w:rsid w:val="00E12527"/>
    <w:rsid w:val="00E15D43"/>
    <w:rsid w:val="00E17805"/>
    <w:rsid w:val="00E22C09"/>
    <w:rsid w:val="00E2782E"/>
    <w:rsid w:val="00E313F2"/>
    <w:rsid w:val="00E31E36"/>
    <w:rsid w:val="00E346CC"/>
    <w:rsid w:val="00E4770E"/>
    <w:rsid w:val="00E51156"/>
    <w:rsid w:val="00E57C37"/>
    <w:rsid w:val="00E638D8"/>
    <w:rsid w:val="00E64643"/>
    <w:rsid w:val="00E767F0"/>
    <w:rsid w:val="00E93BE5"/>
    <w:rsid w:val="00E970A0"/>
    <w:rsid w:val="00EA30D7"/>
    <w:rsid w:val="00EA452B"/>
    <w:rsid w:val="00EB0ECD"/>
    <w:rsid w:val="00EB242C"/>
    <w:rsid w:val="00EB7951"/>
    <w:rsid w:val="00EC0BC4"/>
    <w:rsid w:val="00EC3A74"/>
    <w:rsid w:val="00EC6E34"/>
    <w:rsid w:val="00ED1156"/>
    <w:rsid w:val="00ED5F36"/>
    <w:rsid w:val="00EE219C"/>
    <w:rsid w:val="00EE30BD"/>
    <w:rsid w:val="00EE6D13"/>
    <w:rsid w:val="00EE791F"/>
    <w:rsid w:val="00EF19C4"/>
    <w:rsid w:val="00EF1ECE"/>
    <w:rsid w:val="00F02009"/>
    <w:rsid w:val="00F03EF0"/>
    <w:rsid w:val="00F04B56"/>
    <w:rsid w:val="00F20149"/>
    <w:rsid w:val="00F25A05"/>
    <w:rsid w:val="00F311E9"/>
    <w:rsid w:val="00F32DE1"/>
    <w:rsid w:val="00F3398F"/>
    <w:rsid w:val="00F34C37"/>
    <w:rsid w:val="00F475FB"/>
    <w:rsid w:val="00F4777B"/>
    <w:rsid w:val="00F60ACD"/>
    <w:rsid w:val="00F62A5A"/>
    <w:rsid w:val="00F71FDF"/>
    <w:rsid w:val="00F72ABE"/>
    <w:rsid w:val="00F734E4"/>
    <w:rsid w:val="00F77879"/>
    <w:rsid w:val="00F90932"/>
    <w:rsid w:val="00F96348"/>
    <w:rsid w:val="00FA4692"/>
    <w:rsid w:val="00FA624A"/>
    <w:rsid w:val="00FB6470"/>
    <w:rsid w:val="00FE2C3D"/>
    <w:rsid w:val="00FF0EEB"/>
    <w:rsid w:val="00FF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A24776"/>
  <w15:chartTrackingRefBased/>
  <w15:docId w15:val="{13552320-8A86-41F2-8A64-D161CC00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B0D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1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B0D"/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641B0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E6D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6D13"/>
    <w:rPr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EE6D1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F56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6AB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3.png@01D07774.1E4A6C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F0E56-CAA0-4E70-84D7-71C8AF8B1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6</Pages>
  <Words>1080</Words>
  <Characters>6161</Characters>
  <Application>Microsoft Office Word</Application>
  <DocSecurity>0</DocSecurity>
  <Lines>51</Lines>
  <Paragraphs>14</Paragraphs>
  <ScaleCrop>false</ScaleCrop>
  <Company>HP Inc.</Company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Dithipe</dc:creator>
  <cp:keywords/>
  <dc:description/>
  <cp:lastModifiedBy>Peter Dithipe</cp:lastModifiedBy>
  <cp:revision>460</cp:revision>
  <cp:lastPrinted>2023-06-30T09:47:00Z</cp:lastPrinted>
  <dcterms:created xsi:type="dcterms:W3CDTF">2023-06-14T08:40:00Z</dcterms:created>
  <dcterms:modified xsi:type="dcterms:W3CDTF">2024-02-23T08:01:00Z</dcterms:modified>
</cp:coreProperties>
</file>