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0C95" w14:textId="1676D595" w:rsidR="008E6405" w:rsidRPr="008E6405" w:rsidRDefault="008E6405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b/>
          <w:bCs/>
          <w:color w:val="242121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lang w:eastAsia="en-ZA"/>
        </w:rPr>
        <w:t xml:space="preserve">THE </w:t>
      </w:r>
      <w:r w:rsidR="007737B7">
        <w:rPr>
          <w:rFonts w:ascii="Arial" w:eastAsia="Times New Roman" w:hAnsi="Arial" w:cs="Arial"/>
          <w:b/>
          <w:bCs/>
          <w:color w:val="242121"/>
          <w:lang w:eastAsia="en-ZA"/>
        </w:rPr>
        <w:t>REP</w:t>
      </w:r>
      <w:r w:rsidR="0015358D">
        <w:rPr>
          <w:rFonts w:ascii="Arial" w:eastAsia="Times New Roman" w:hAnsi="Arial" w:cs="Arial"/>
          <w:b/>
          <w:bCs/>
          <w:color w:val="242121"/>
          <w:lang w:eastAsia="en-ZA"/>
        </w:rPr>
        <w:t>U</w:t>
      </w:r>
      <w:r w:rsidR="007737B7">
        <w:rPr>
          <w:rFonts w:ascii="Arial" w:eastAsia="Times New Roman" w:hAnsi="Arial" w:cs="Arial"/>
          <w:b/>
          <w:bCs/>
          <w:color w:val="242121"/>
          <w:lang w:eastAsia="en-ZA"/>
        </w:rPr>
        <w:t>BLIC OF SOUTH AFRICA</w:t>
      </w:r>
    </w:p>
    <w:p w14:paraId="089E9F17" w14:textId="2A75E4F3" w:rsidR="00641B0D" w:rsidRPr="008A11BD" w:rsidRDefault="00641B0D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color w:val="242121"/>
          <w:lang w:eastAsia="en-ZA"/>
        </w:rPr>
      </w:pPr>
      <w:r w:rsidRPr="008A11BD">
        <w:rPr>
          <w:rFonts w:ascii="Arial" w:hAnsi="Arial" w:cs="Arial"/>
          <w:noProof/>
          <w:lang w:eastAsia="en-ZA"/>
        </w:rPr>
        <w:drawing>
          <wp:inline distT="0" distB="0" distL="0" distR="0" wp14:anchorId="0286A08E" wp14:editId="01CA2242">
            <wp:extent cx="1131570" cy="959861"/>
            <wp:effectExtent l="0" t="0" r="0" b="0"/>
            <wp:docPr id="5" name="Picture 1" descr="cid:image003.png@01D07774.1E4A6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7774.1E4A6C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34" cy="103982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9E862" w14:textId="77777777" w:rsidR="00641B0D" w:rsidRPr="008A11BD" w:rsidRDefault="00641B0D" w:rsidP="00641B0D">
      <w:pPr>
        <w:spacing w:line="240" w:lineRule="auto"/>
        <w:jc w:val="center"/>
        <w:rPr>
          <w:rFonts w:ascii="Arial" w:hAnsi="Arial" w:cs="Arial"/>
          <w:b/>
        </w:rPr>
      </w:pPr>
      <w:r w:rsidRPr="008A11BD">
        <w:rPr>
          <w:rFonts w:ascii="Arial" w:hAnsi="Arial" w:cs="Arial"/>
          <w:b/>
        </w:rPr>
        <w:t>IN THE HIGH COURT OF SOUTH AFRICA</w:t>
      </w:r>
    </w:p>
    <w:p w14:paraId="5664C5D3" w14:textId="77777777" w:rsidR="00641B0D" w:rsidRPr="008A11BD" w:rsidRDefault="00641B0D" w:rsidP="00641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 w:line="240" w:lineRule="auto"/>
        <w:jc w:val="center"/>
        <w:rPr>
          <w:rFonts w:ascii="Arial" w:hAnsi="Arial" w:cs="Arial"/>
          <w:b/>
        </w:rPr>
      </w:pPr>
      <w:r w:rsidRPr="008A11BD">
        <w:rPr>
          <w:rFonts w:ascii="Arial" w:hAnsi="Arial" w:cs="Arial"/>
          <w:b/>
        </w:rPr>
        <w:t>GAUTENG HIGH COURT DIVISION, PRETORIA</w:t>
      </w:r>
    </w:p>
    <w:p w14:paraId="730621C4" w14:textId="77777777" w:rsidR="00641B0D" w:rsidRPr="008A11BD" w:rsidRDefault="00641B0D" w:rsidP="00641B0D">
      <w:pPr>
        <w:jc w:val="right"/>
        <w:rPr>
          <w:rFonts w:ascii="Arial" w:hAnsi="Arial" w:cs="Arial"/>
          <w:b/>
          <w:highlight w:val="yellow"/>
        </w:rPr>
      </w:pPr>
    </w:p>
    <w:p w14:paraId="4D4A4E8B" w14:textId="0658B55E" w:rsidR="00641B0D" w:rsidRDefault="00641B0D" w:rsidP="00641B0D">
      <w:pPr>
        <w:jc w:val="right"/>
        <w:rPr>
          <w:rFonts w:ascii="Arial" w:hAnsi="Arial" w:cs="Arial"/>
        </w:rPr>
      </w:pPr>
      <w:r w:rsidRPr="008A11BD">
        <w:rPr>
          <w:rFonts w:ascii="Arial" w:hAnsi="Arial" w:cs="Arial"/>
        </w:rPr>
        <w:t xml:space="preserve">Case </w:t>
      </w:r>
      <w:r w:rsidR="0001495F">
        <w:rPr>
          <w:rFonts w:ascii="Arial" w:hAnsi="Arial" w:cs="Arial"/>
        </w:rPr>
        <w:t>N</w:t>
      </w:r>
      <w:r w:rsidRPr="008A11BD">
        <w:rPr>
          <w:rFonts w:ascii="Arial" w:hAnsi="Arial" w:cs="Arial"/>
        </w:rPr>
        <w:t xml:space="preserve">o: </w:t>
      </w:r>
      <w:r w:rsidR="00362C3B">
        <w:rPr>
          <w:rFonts w:ascii="Arial" w:hAnsi="Arial" w:cs="Arial"/>
        </w:rPr>
        <w:t>73418</w:t>
      </w:r>
      <w:r w:rsidR="003758F5" w:rsidRPr="003758F5">
        <w:rPr>
          <w:rFonts w:ascii="Arial" w:hAnsi="Arial" w:cs="Arial"/>
          <w:b/>
          <w:bCs/>
        </w:rPr>
        <w:t>/</w:t>
      </w:r>
      <w:r w:rsidR="00362C3B">
        <w:rPr>
          <w:rFonts w:ascii="Arial" w:hAnsi="Arial" w:cs="Arial"/>
          <w:b/>
          <w:bCs/>
        </w:rPr>
        <w:t>2016</w:t>
      </w:r>
    </w:p>
    <w:p w14:paraId="36B40B87" w14:textId="7E3451C4" w:rsidR="00641B0D" w:rsidRDefault="00F02009" w:rsidP="00641B0D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FA12" wp14:editId="3831B9AD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886200" cy="1524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599B" w14:textId="77777777" w:rsidR="00641B0D" w:rsidRDefault="00641B0D" w:rsidP="00641B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825DB0" w14:textId="65FB3147" w:rsidR="00641B0D" w:rsidRDefault="00641B0D" w:rsidP="00641B0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14:paraId="2350DC44" w14:textId="411F6F41" w:rsidR="00641B0D" w:rsidRDefault="00641B0D" w:rsidP="00641B0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24F085FC" w14:textId="3A1C19C1" w:rsidR="00F02009" w:rsidRPr="00F02009" w:rsidRDefault="00641B0D" w:rsidP="00F020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REVISED. </w:t>
                            </w:r>
                          </w:p>
                          <w:p w14:paraId="1A8B7ABE" w14:textId="77777777" w:rsidR="00521B0E" w:rsidRDefault="00521B0E" w:rsidP="00641B0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B9B957" w14:textId="61459156" w:rsidR="00641B0D" w:rsidRDefault="00641B0D" w:rsidP="00641B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DATE</w:t>
                            </w:r>
                            <w:r w:rsidR="00521B0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1B0E" w:rsidRPr="008808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15 February 2024</w:t>
                            </w:r>
                            <w:r w:rsidR="00521B0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SIGNATURE</w:t>
                            </w:r>
                            <w:r w:rsidR="00521B0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0FA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55pt;width:306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">
                <v:textbox>
                  <w:txbxContent>
                    <w:p w14:paraId="2EA8599B" w14:textId="77777777" w:rsidR="00641B0D" w:rsidRDefault="00641B0D" w:rsidP="00641B0D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B825DB0" w14:textId="65FB3147" w:rsidR="00641B0D" w:rsidRDefault="00641B0D" w:rsidP="00641B0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14:paraId="2350DC44" w14:textId="411F6F41" w:rsidR="00641B0D" w:rsidRDefault="00641B0D" w:rsidP="00641B0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24F085FC" w14:textId="3A1C19C1" w:rsidR="00F02009" w:rsidRPr="00F02009" w:rsidRDefault="00641B0D" w:rsidP="00F0200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REVISED. </w:t>
                      </w:r>
                    </w:p>
                    <w:p w14:paraId="1A8B7ABE" w14:textId="77777777" w:rsidR="00521B0E" w:rsidRDefault="00521B0E" w:rsidP="00641B0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4FB9B957" w14:textId="61459156" w:rsidR="00641B0D" w:rsidRDefault="00641B0D" w:rsidP="00641B0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DATE</w:t>
                      </w:r>
                      <w:r w:rsidR="00521B0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521B0E" w:rsidRPr="008808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15 February 2024</w:t>
                      </w:r>
                      <w:r w:rsidR="00521B0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SIGNATURE</w:t>
                      </w:r>
                      <w:r w:rsidR="00521B0E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B1C80" w14:textId="77777777" w:rsidR="00641B0D" w:rsidRDefault="00641B0D" w:rsidP="00641B0D">
      <w:pPr>
        <w:rPr>
          <w:rFonts w:ascii="Arial" w:hAnsi="Arial" w:cs="Arial"/>
        </w:rPr>
      </w:pPr>
    </w:p>
    <w:p w14:paraId="74F127E6" w14:textId="2B628926" w:rsidR="00641B0D" w:rsidRDefault="00641B0D" w:rsidP="00641B0D">
      <w:pPr>
        <w:rPr>
          <w:rFonts w:ascii="Arial" w:hAnsi="Arial" w:cs="Arial"/>
        </w:rPr>
      </w:pPr>
    </w:p>
    <w:p w14:paraId="629494BE" w14:textId="77777777" w:rsidR="00641B0D" w:rsidRDefault="00641B0D" w:rsidP="00641B0D">
      <w:pPr>
        <w:rPr>
          <w:rFonts w:ascii="Arial" w:hAnsi="Arial" w:cs="Arial"/>
        </w:rPr>
      </w:pPr>
    </w:p>
    <w:p w14:paraId="791B3654" w14:textId="77777777" w:rsidR="00641B0D" w:rsidRDefault="00641B0D" w:rsidP="00641B0D">
      <w:pPr>
        <w:rPr>
          <w:rFonts w:ascii="Arial" w:hAnsi="Arial" w:cs="Arial"/>
        </w:rPr>
      </w:pPr>
    </w:p>
    <w:p w14:paraId="240037A4" w14:textId="77777777" w:rsidR="00641B0D" w:rsidRPr="008A11BD" w:rsidRDefault="00641B0D" w:rsidP="00641B0D">
      <w:pPr>
        <w:jc w:val="both"/>
        <w:rPr>
          <w:rFonts w:ascii="Arial" w:hAnsi="Arial" w:cs="Arial"/>
        </w:rPr>
      </w:pPr>
    </w:p>
    <w:p w14:paraId="3763639F" w14:textId="77777777" w:rsidR="00641B0D" w:rsidRPr="00521B0E" w:rsidRDefault="00641B0D" w:rsidP="00641B0D">
      <w:pPr>
        <w:jc w:val="both"/>
        <w:rPr>
          <w:rFonts w:ascii="Arial" w:hAnsi="Arial" w:cs="Arial"/>
        </w:rPr>
      </w:pPr>
      <w:r w:rsidRPr="00521B0E">
        <w:rPr>
          <w:rFonts w:ascii="Arial" w:hAnsi="Arial" w:cs="Arial"/>
        </w:rPr>
        <w:t>In the matter between:</w:t>
      </w:r>
    </w:p>
    <w:p w14:paraId="4A3D400E" w14:textId="77777777" w:rsidR="009070FB" w:rsidRPr="009070FB" w:rsidRDefault="009070FB" w:rsidP="009070FB">
      <w:pPr>
        <w:tabs>
          <w:tab w:val="center" w:pos="2534"/>
          <w:tab w:val="right" w:pos="9749"/>
        </w:tabs>
        <w:spacing w:after="478" w:line="280" w:lineRule="auto"/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</w:pP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>PETER THEMBEKILE MALGAS</w:t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 xml:space="preserve"> </w:t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ab/>
        <w:t xml:space="preserve">First Plaintiff </w:t>
      </w:r>
    </w:p>
    <w:p w14:paraId="2ACF2ACC" w14:textId="4CF03FA6" w:rsidR="009070FB" w:rsidRPr="009070FB" w:rsidRDefault="009070FB" w:rsidP="009070FB">
      <w:pPr>
        <w:tabs>
          <w:tab w:val="center" w:pos="2114"/>
          <w:tab w:val="right" w:pos="9749"/>
        </w:tabs>
        <w:spacing w:after="478" w:line="280" w:lineRule="auto"/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</w:pP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 xml:space="preserve">ALFRED DISCO BIYELA </w:t>
      </w: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ab/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>Second Plaintiff</w:t>
      </w: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 xml:space="preserve"> </w:t>
      </w:r>
    </w:p>
    <w:p w14:paraId="68A99DD6" w14:textId="4406D15A" w:rsidR="009070FB" w:rsidRPr="009070FB" w:rsidRDefault="009070FB" w:rsidP="009070FB">
      <w:pPr>
        <w:tabs>
          <w:tab w:val="center" w:pos="2367"/>
          <w:tab w:val="right" w:pos="9749"/>
        </w:tabs>
        <w:spacing w:after="478" w:line="280" w:lineRule="auto"/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</w:pP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 xml:space="preserve">BOSWELL JOHN MHLONGO </w:t>
      </w: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ab/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 xml:space="preserve">Third Plaintiff </w:t>
      </w:r>
    </w:p>
    <w:p w14:paraId="4E1910C1" w14:textId="77777777" w:rsidR="009070FB" w:rsidRPr="009070FB" w:rsidRDefault="009070FB" w:rsidP="00F34F3E">
      <w:pPr>
        <w:spacing w:after="492" w:line="259" w:lineRule="auto"/>
        <w:jc w:val="both"/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</w:pP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 xml:space="preserve">and </w:t>
      </w:r>
    </w:p>
    <w:p w14:paraId="1D81E3F2" w14:textId="78CAF411" w:rsidR="00641B0D" w:rsidRPr="00AF719D" w:rsidRDefault="009070FB" w:rsidP="00AF719D">
      <w:pPr>
        <w:keepNext/>
        <w:keepLines/>
        <w:tabs>
          <w:tab w:val="center" w:pos="4004"/>
          <w:tab w:val="right" w:pos="9749"/>
        </w:tabs>
        <w:spacing w:after="478" w:line="280" w:lineRule="auto"/>
        <w:outlineLvl w:val="0"/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</w:pP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>MINISTER OF JUSTICE AND CORRECTIONAL SERVICES</w:t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 xml:space="preserve"> </w:t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ab/>
        <w:t>Defendant</w:t>
      </w: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 xml:space="preserve"> </w:t>
      </w:r>
    </w:p>
    <w:p w14:paraId="1B127117" w14:textId="77777777" w:rsidR="00641B0D" w:rsidRPr="008A11BD" w:rsidRDefault="00641B0D" w:rsidP="00641B0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D893F58" w14:textId="6EF2D5F1" w:rsidR="00641B0D" w:rsidRPr="008A11BD" w:rsidRDefault="00A00B3F" w:rsidP="00641B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PLEA </w:t>
      </w:r>
      <w:r w:rsidR="00641B0D" w:rsidRPr="008A11BD">
        <w:rPr>
          <w:rFonts w:ascii="Arial" w:hAnsi="Arial" w:cs="Arial"/>
          <w:b/>
          <w:sz w:val="24"/>
          <w:szCs w:val="24"/>
        </w:rPr>
        <w:t>J U D G M E N T</w:t>
      </w:r>
    </w:p>
    <w:p w14:paraId="66EECADA" w14:textId="3FCB910F" w:rsidR="00641B0D" w:rsidRPr="00F90932" w:rsidRDefault="00641B0D" w:rsidP="00F909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11BD">
        <w:rPr>
          <w:rFonts w:ascii="Arial" w:hAnsi="Arial" w:cs="Arial"/>
          <w:b/>
          <w:sz w:val="24"/>
          <w:szCs w:val="24"/>
        </w:rPr>
        <w:t>_____________________________________</w:t>
      </w:r>
      <w:r>
        <w:rPr>
          <w:rFonts w:ascii="Arial" w:hAnsi="Arial" w:cs="Arial"/>
          <w:b/>
          <w:sz w:val="24"/>
          <w:szCs w:val="24"/>
        </w:rPr>
        <w:t>_______________</w:t>
      </w:r>
      <w:r w:rsidRPr="008A11BD">
        <w:rPr>
          <w:rFonts w:ascii="Arial" w:hAnsi="Arial" w:cs="Arial"/>
          <w:b/>
          <w:sz w:val="24"/>
          <w:szCs w:val="24"/>
        </w:rPr>
        <w:t>_______________</w:t>
      </w:r>
    </w:p>
    <w:p w14:paraId="71E8F39F" w14:textId="63265833" w:rsidR="00641B0D" w:rsidRPr="008A11BD" w:rsidRDefault="00641B0D" w:rsidP="00641B0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MAKHOBA, J</w:t>
      </w:r>
    </w:p>
    <w:p w14:paraId="06BE2896" w14:textId="455C73F2" w:rsidR="00641B0D" w:rsidRPr="003273AE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lastRenderedPageBreak/>
        <w:t>[1]</w:t>
      </w:r>
      <w:r w:rsidR="00F60AC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D76A8F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In June 2004 the North West High Court convicted and sentenced the plaintiffs for a num</w:t>
      </w:r>
      <w:r w:rsidR="00AC300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ber of serious charges. They were sen</w:t>
      </w:r>
      <w:r w:rsidR="00670E6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tenced to life imprisonment.</w:t>
      </w:r>
    </w:p>
    <w:p w14:paraId="4827B5D1" w14:textId="31D4679A" w:rsidR="00641B0D" w:rsidRPr="005D04DC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[2] </w:t>
      </w:r>
      <w:r w:rsidR="005D04D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302EF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defendant is the minister of </w:t>
      </w:r>
      <w:r w:rsidR="00D4381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justice of correctional </w:t>
      </w:r>
      <w:r w:rsidR="00991CC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service cited in term</w:t>
      </w:r>
      <w:r w:rsidR="00EA436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</w:t>
      </w:r>
      <w:r w:rsidR="00991CC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D322C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of the</w:t>
      </w:r>
      <w:r w:rsidR="00E341B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State Liability Act, 20 of 1957.</w:t>
      </w:r>
    </w:p>
    <w:p w14:paraId="3676FD06" w14:textId="0B5A76D3" w:rsidR="00641B0D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[3]</w:t>
      </w:r>
      <w:r w:rsidR="00C41B02"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E341B6" w:rsidRPr="00E458C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In order to prosecute their leave to appeal, the plaintiffs </w:t>
      </w:r>
      <w:r w:rsidR="004B03B5" w:rsidRPr="00E458C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approached</w:t>
      </w:r>
      <w:r w:rsidR="00E341B6" w:rsidRPr="00E458C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the </w:t>
      </w:r>
      <w:proofErr w:type="spellStart"/>
      <w:r w:rsidR="00E341B6" w:rsidRPr="00E458C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Mahikeng</w:t>
      </w:r>
      <w:proofErr w:type="spellEnd"/>
      <w:r w:rsidR="00E341B6" w:rsidRPr="00E458C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Justice Centre for assistance</w:t>
      </w:r>
      <w:r w:rsidR="00E458C2" w:rsidRPr="00E458C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</w:p>
    <w:p w14:paraId="0DD5B0D1" w14:textId="44CCC316" w:rsidR="00641B0D" w:rsidRPr="000D520F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[4]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0C21C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</w:t>
      </w:r>
      <w:proofErr w:type="spellStart"/>
      <w:r w:rsidR="000C21C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centre</w:t>
      </w:r>
      <w:proofErr w:type="spellEnd"/>
      <w:r w:rsidR="000C21C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required </w:t>
      </w:r>
      <w:r w:rsidR="009A1FC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transcript</w:t>
      </w:r>
      <w:r w:rsidR="00EA436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,</w:t>
      </w:r>
      <w:r w:rsidR="009A1FC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D4656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which </w:t>
      </w:r>
      <w:r w:rsidR="00EA436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transcript</w:t>
      </w:r>
      <w:r w:rsidR="00E21AF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</w:t>
      </w:r>
      <w:r w:rsidR="00EA436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D4656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</w:t>
      </w:r>
      <w:proofErr w:type="spellStart"/>
      <w:r w:rsidR="00D4656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centre</w:t>
      </w:r>
      <w:proofErr w:type="spellEnd"/>
      <w:r w:rsidR="00D4656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could not provide </w:t>
      </w:r>
      <w:r w:rsidR="00E21AF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itself with. The </w:t>
      </w:r>
      <w:proofErr w:type="spellStart"/>
      <w:r w:rsidR="00E21AF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centre</w:t>
      </w:r>
      <w:proofErr w:type="spellEnd"/>
      <w:r w:rsidR="00D4656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asked the plaintiff to make their own arrangement</w:t>
      </w:r>
      <w:r w:rsidR="00E21AF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</w:t>
      </w:r>
      <w:r w:rsidR="00D4656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04746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to obtain</w:t>
      </w:r>
      <w:r w:rsidR="002F0E1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the records.</w:t>
      </w:r>
    </w:p>
    <w:p w14:paraId="59ECE909" w14:textId="64904F6E" w:rsidR="00641B0D" w:rsidRPr="003273AE" w:rsidRDefault="00641B0D" w:rsidP="001D52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[5]</w:t>
      </w:r>
      <w:r w:rsidR="00DE33F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54274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family and friend</w:t>
      </w:r>
      <w:r w:rsidR="002E3C1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</w:t>
      </w:r>
      <w:r w:rsidR="0054274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of the plaintiffs paid for the trans</w:t>
      </w:r>
      <w:r w:rsidR="00FC355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cripts during August </w:t>
      </w:r>
      <w:r w:rsidR="008648A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2006</w:t>
      </w:r>
      <w:r w:rsidR="0019070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. A complete and judicially approved transcript could only </w:t>
      </w:r>
      <w:r w:rsidR="00DC5F8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be provided to the plaintiffs during October 2012</w:t>
      </w:r>
      <w:r w:rsidR="004B03B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  <w:r w:rsidR="007458EF"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 </w:t>
      </w:r>
    </w:p>
    <w:p w14:paraId="502DB794" w14:textId="4F3D87B1" w:rsidR="009051A1" w:rsidRPr="004B03B5" w:rsidRDefault="00641B0D" w:rsidP="000E70F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[6]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4B03B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In 2015 the constitution</w:t>
      </w:r>
      <w:r w:rsidR="002E3C1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al</w:t>
      </w:r>
      <w:r w:rsidR="004B03B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court </w:t>
      </w:r>
      <w:r w:rsidR="0090314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set</w:t>
      </w:r>
      <w:r w:rsidR="002515F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aside the </w:t>
      </w:r>
      <w:r w:rsidR="0044403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conviction </w:t>
      </w:r>
      <w:r w:rsidR="0027557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and </w:t>
      </w:r>
      <w:r w:rsidR="007A55B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sentence </w:t>
      </w:r>
      <w:r w:rsidR="002E3C1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of </w:t>
      </w:r>
      <w:r w:rsidR="002F1A2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plaintiffs. </w:t>
      </w:r>
      <w:r w:rsidR="002B7CE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plaint</w:t>
      </w:r>
      <w:r w:rsidR="009C657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iffs were</w:t>
      </w:r>
      <w:r w:rsidR="0010372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released </w:t>
      </w:r>
      <w:r w:rsidR="007169F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from custody </w:t>
      </w:r>
      <w:r w:rsidR="00F73AD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in 2015.</w:t>
      </w:r>
    </w:p>
    <w:p w14:paraId="1EFF8C06" w14:textId="2F6A8BA0" w:rsidR="00495023" w:rsidRPr="00F73AD4" w:rsidRDefault="00495023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[7]</w:t>
      </w:r>
      <w:r w:rsidR="004F0015"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311E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F73AD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main action seeks an order </w:t>
      </w:r>
      <w:r w:rsidR="00B64A4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declaring that the detention of the plaintiffs </w:t>
      </w:r>
      <w:r w:rsidR="007C05A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was </w:t>
      </w:r>
      <w:r w:rsidR="00F34F3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wrongful,</w:t>
      </w:r>
      <w:r w:rsidR="00A45EB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and that the defendant is liable in delict for the said wrongful detention and </w:t>
      </w:r>
      <w:r w:rsidR="0036734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deprivation of liberty. The issues of quantum </w:t>
      </w:r>
      <w:r w:rsidR="00E8753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is to be postponed </w:t>
      </w:r>
      <w:r w:rsidR="00E8753A" w:rsidRPr="00E8753A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sine die</w:t>
      </w:r>
      <w:r w:rsidR="00E8753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</w:p>
    <w:p w14:paraId="698505C9" w14:textId="068B78EE" w:rsidR="00641B0D" w:rsidRPr="005B76C0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[8] </w:t>
      </w:r>
      <w:r w:rsidR="003E21B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72ABE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 xml:space="preserve"> </w:t>
      </w:r>
      <w:r w:rsidR="00B95A2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matter has been set down for trial from </w:t>
      </w:r>
      <w:r w:rsidR="00ED336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12 February 2024 to 23 February 2024 and on the first day of trial the defendants sought to pursue the special plea wh</w:t>
      </w:r>
      <w:r w:rsidR="00BF6C7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ich formed part of its </w:t>
      </w:r>
      <w:r w:rsidR="0012520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plea to the amended particular</w:t>
      </w:r>
      <w:r w:rsidR="007169F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</w:t>
      </w:r>
      <w:r w:rsidR="0012520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of claim.</w:t>
      </w:r>
    </w:p>
    <w:p w14:paraId="6B31C461" w14:textId="5C5F57E1" w:rsidR="005F6177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lastRenderedPageBreak/>
        <w:t>[9]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 </w:t>
      </w:r>
      <w:r w:rsidR="00376DE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defenda</w:t>
      </w:r>
      <w:r w:rsidR="00EA01A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nt’s special plea is </w:t>
      </w:r>
      <w:r w:rsidR="00AC6C1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set out as follows in paragraphs 1.6 – 1.12</w:t>
      </w:r>
      <w:r w:rsidR="00A6727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of the</w:t>
      </w:r>
      <w:r w:rsidR="00FD7BD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defendant’s special</w:t>
      </w:r>
      <w:r w:rsidR="000E10B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plea of prescription.</w:t>
      </w:r>
      <w:r w:rsidR="00FD7BD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</w:p>
    <w:p w14:paraId="57D911E4" w14:textId="36A62AF9" w:rsidR="00F037C6" w:rsidRDefault="00F037C6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>“</w:t>
      </w:r>
      <w:r w:rsidR="003F0EAF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1.6. </w:t>
      </w:r>
      <w:r w:rsidR="002B1BA3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The plaintiffs institu</w:t>
      </w:r>
      <w:r w:rsidR="00A4759A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ted legal proceedings against the De</w:t>
      </w:r>
      <w:r w:rsidR="00727931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fendant by way of a S</w:t>
      </w:r>
      <w:r w:rsidR="00C97B0D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ummons and which action was instituted on </w:t>
      </w:r>
      <w:r w:rsidR="008259FA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6 October 2016.</w:t>
      </w:r>
    </w:p>
    <w:p w14:paraId="59D87359" w14:textId="6C975252" w:rsidR="008259FA" w:rsidRDefault="008259FA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</w:pPr>
      <w:r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ab/>
        <w:t xml:space="preserve">“1.7 The said </w:t>
      </w:r>
      <w:r w:rsidR="00994535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action was instituted after the lapse of a period of more than 3 (three) years from the date </w:t>
      </w:r>
      <w:r w:rsidR="003412B9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on which the Plaintiffs’ debt became due and/or </w:t>
      </w:r>
      <w:r w:rsidR="00927620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their cause of action arose and which debt became </w:t>
      </w:r>
      <w:r w:rsidR="003C7B83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due in October 2012 as per the Plaintiff cause of action.</w:t>
      </w:r>
    </w:p>
    <w:p w14:paraId="5D04C3D9" w14:textId="6AC6EA76" w:rsidR="003C7B83" w:rsidRDefault="003C7B83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</w:pPr>
      <w:r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ab/>
      </w:r>
      <w:r w:rsidR="005C52B0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1.8 The plaintiffs’ claims against the Defendant have thus become prescribed in terms of the provision of Section 11 and 12</w:t>
      </w:r>
      <w:r w:rsidR="00367343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 of the Prescription Act 68 of</w:t>
      </w:r>
      <w:r w:rsidR="004734E4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 1969.</w:t>
      </w:r>
    </w:p>
    <w:p w14:paraId="47C8EC2F" w14:textId="289435B7" w:rsidR="004734E4" w:rsidRDefault="004734E4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</w:pPr>
      <w:r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ab/>
        <w:t xml:space="preserve">1.9 In the alternative to the above </w:t>
      </w:r>
      <w:r w:rsidR="004E2008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, and in the event the Plaintiffs rely on the provisions of Section 13</w:t>
      </w:r>
      <w:r w:rsidR="00F04FE0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 of the Prescription Act </w:t>
      </w:r>
      <w:r w:rsidR="003878AB">
        <w:rPr>
          <w:rFonts w:ascii="Arial" w:eastAsia="Times New Roman" w:hAnsi="Arial" w:cs="Arial"/>
          <w:i/>
          <w:iCs/>
          <w:color w:val="242121"/>
          <w:sz w:val="20"/>
          <w:szCs w:val="20"/>
          <w:lang w:val="en-US" w:eastAsia="en-ZA"/>
        </w:rPr>
        <w:t>supra,</w:t>
      </w:r>
      <w:r w:rsidR="003878AB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 </w:t>
      </w:r>
      <w:r w:rsidR="003878AB" w:rsidRPr="003878AB">
        <w:rPr>
          <w:rFonts w:ascii="Arial" w:eastAsia="Times New Roman" w:hAnsi="Arial" w:cs="Arial"/>
          <w:color w:val="242121"/>
          <w:sz w:val="20"/>
          <w:szCs w:val="20"/>
          <w:u w:val="single"/>
          <w:lang w:val="en-US" w:eastAsia="en-ZA"/>
        </w:rPr>
        <w:t>then</w:t>
      </w:r>
      <w:r w:rsidR="003878AB" w:rsidRPr="003878AB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 and in that event the defendant avers that the </w:t>
      </w:r>
      <w:r w:rsidR="00B27571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First </w:t>
      </w:r>
      <w:r w:rsidR="00AF3484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Plaintiff was released from custody on 15 March 2015 and he had a period of 1 (</w:t>
      </w:r>
      <w:r w:rsidR="00814999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one) year to issue </w:t>
      </w:r>
      <w:r w:rsidR="008471BE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Summons against the Defendant</w:t>
      </w:r>
      <w:r w:rsidR="00A13F20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.</w:t>
      </w:r>
    </w:p>
    <w:p w14:paraId="3D2D2247" w14:textId="425E00B0" w:rsidR="00673A80" w:rsidRDefault="00673A80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</w:pPr>
      <w:r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ab/>
        <w:t>1.10. The Defendant avers further that Second and T</w:t>
      </w:r>
      <w:r w:rsidR="000501BB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hird Plaintiffs were released from custody on 25 </w:t>
      </w:r>
      <w:r w:rsidR="00E75AD6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June </w:t>
      </w:r>
      <w:r w:rsidR="007B1580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2015 </w:t>
      </w:r>
      <w:r w:rsidR="00420C89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and they </w:t>
      </w:r>
      <w:r w:rsidR="007D59B4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had a period of (one) year from the date of their release to issue to issue Summons against the Defe</w:t>
      </w:r>
      <w:r w:rsidR="00F9244E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ndant.</w:t>
      </w:r>
    </w:p>
    <w:p w14:paraId="2B5BE77B" w14:textId="77777777" w:rsidR="00DD3421" w:rsidRDefault="00F9244E" w:rsidP="00F9244E">
      <w:pPr>
        <w:shd w:val="clear" w:color="auto" w:fill="FFFFFF"/>
        <w:spacing w:before="144" w:after="0" w:line="480" w:lineRule="auto"/>
        <w:ind w:left="720"/>
        <w:jc w:val="both"/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</w:pPr>
      <w:r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1.11 The Plaintiff issued Summons against the Defendant on 4 October 2016 and caused them to be served on 6 October 2016 and this after the lapse of a period of 1 (one) year from the respective dates on which they were released from custody.</w:t>
      </w:r>
    </w:p>
    <w:p w14:paraId="4C0D6035" w14:textId="49CB8393" w:rsidR="00F9244E" w:rsidRPr="003878AB" w:rsidRDefault="00DD3421" w:rsidP="00F9244E">
      <w:pPr>
        <w:shd w:val="clear" w:color="auto" w:fill="FFFFFF"/>
        <w:spacing w:before="144" w:after="0" w:line="480" w:lineRule="auto"/>
        <w:ind w:left="720"/>
        <w:jc w:val="both"/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</w:pPr>
      <w:r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1.12 The Plaintiffs’ claim against the defendant have become prescribed in term of the provisions </w:t>
      </w:r>
      <w:r w:rsidR="00CB02F9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 xml:space="preserve">of Section 13 of the Prescription Act and </w:t>
      </w:r>
      <w:r w:rsidR="00294FD9">
        <w:rPr>
          <w:rFonts w:ascii="Arial" w:eastAsia="Times New Roman" w:hAnsi="Arial" w:cs="Arial"/>
          <w:color w:val="242121"/>
          <w:sz w:val="20"/>
          <w:szCs w:val="20"/>
          <w:lang w:val="en-US" w:eastAsia="en-ZA"/>
        </w:rPr>
        <w:t>consequently their claim stand to be dismissed with cost”</w:t>
      </w:r>
    </w:p>
    <w:p w14:paraId="243A48E8" w14:textId="519B0BC0" w:rsidR="00641B0D" w:rsidRPr="00F07941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[10]</w:t>
      </w:r>
      <w:r w:rsidR="0046046D"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07941" w:rsidRPr="00D36CA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In a nutshell it is submitted on behalf of the defendant that, the cause of action in respect of the al</w:t>
      </w:r>
      <w:r w:rsidR="00532B6C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leged delict prescribed in</w:t>
      </w:r>
      <w:r w:rsidR="00E31C7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February 2010, alte</w:t>
      </w:r>
      <w:r w:rsidR="00F5058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rnatively on 12 October 2015.</w:t>
      </w:r>
    </w:p>
    <w:p w14:paraId="6B0BA9CC" w14:textId="7368278B" w:rsidR="00641B0D" w:rsidRPr="00F50582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372FD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lastRenderedPageBreak/>
        <w:t>[11]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DD6D0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plaintiffs action was only instituted and served on the</w:t>
      </w:r>
      <w:r w:rsidR="002D6D0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defendant on the 18</w:t>
      </w:r>
      <w:r w:rsidR="002D6D03" w:rsidRPr="002D6D03">
        <w:rPr>
          <w:rFonts w:ascii="Arial" w:eastAsia="Times New Roman" w:hAnsi="Arial" w:cs="Arial"/>
          <w:color w:val="242121"/>
          <w:sz w:val="24"/>
          <w:szCs w:val="24"/>
          <w:vertAlign w:val="superscript"/>
          <w:lang w:val="en-US" w:eastAsia="en-ZA"/>
        </w:rPr>
        <w:t>th</w:t>
      </w:r>
      <w:r w:rsidR="002D6D0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6D0BC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September </w:t>
      </w:r>
      <w:r w:rsidR="003B45C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2</w:t>
      </w:r>
      <w:r w:rsidR="006D0BC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0</w:t>
      </w:r>
      <w:r w:rsidR="003B45C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16 </w:t>
      </w:r>
      <w:r w:rsidR="0072274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and 6 October </w:t>
      </w:r>
      <w:r w:rsidR="0094772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2016</w:t>
      </w:r>
      <w:r w:rsidR="0087048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, resp</w:t>
      </w:r>
      <w:r w:rsidR="00372FD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ectively.</w:t>
      </w:r>
    </w:p>
    <w:p w14:paraId="397DD5D2" w14:textId="7C2A0822" w:rsidR="00641B0D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372FD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[12]</w:t>
      </w:r>
      <w:r w:rsidRPr="00372FD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3A59E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defendant re</w:t>
      </w:r>
      <w:r w:rsidR="005A00D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l</w:t>
      </w:r>
      <w:r w:rsidR="00096C8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ies</w:t>
      </w:r>
      <w:r w:rsidR="00C7738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096C8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o</w:t>
      </w:r>
      <w:r w:rsidR="00C7738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n the </w:t>
      </w:r>
      <w:r w:rsidR="00B33B6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decision </w:t>
      </w:r>
      <w:r w:rsidR="00096C8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of </w:t>
      </w:r>
      <w:proofErr w:type="spellStart"/>
      <w:r w:rsidR="00B33B60" w:rsidRPr="00C56020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Mtokonya</w:t>
      </w:r>
      <w:proofErr w:type="spellEnd"/>
      <w:r w:rsidR="00B33B60" w:rsidRPr="00C56020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 v Minster </w:t>
      </w:r>
      <w:r w:rsidR="00605DD6" w:rsidRPr="00C56020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of Police</w:t>
      </w:r>
      <w:r w:rsidR="00605DD6">
        <w:rPr>
          <w:rStyle w:val="FootnoteReference"/>
          <w:rFonts w:ascii="Arial" w:eastAsia="Times New Roman" w:hAnsi="Arial" w:cs="Arial"/>
          <w:color w:val="242121"/>
          <w:sz w:val="24"/>
          <w:szCs w:val="24"/>
          <w:lang w:val="en-US" w:eastAsia="en-ZA"/>
        </w:rPr>
        <w:footnoteReference w:id="1"/>
      </w:r>
      <w:r w:rsidR="00773D2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97785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and argues </w:t>
      </w:r>
      <w:r w:rsidR="005E58E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that the plaintiffs</w:t>
      </w:r>
      <w:r w:rsidR="0094231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knew the </w:t>
      </w:r>
      <w:r w:rsidR="002157D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identity</w:t>
      </w:r>
      <w:r w:rsidR="0094231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of the debtor on or before February 2007, alternatively 12 October 2015</w:t>
      </w:r>
      <w:r w:rsidR="002157D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and knew the facts from which their debt arose on either of the two dates.</w:t>
      </w:r>
    </w:p>
    <w:p w14:paraId="58C70E47" w14:textId="5B0B62E3" w:rsidR="005114E1" w:rsidRDefault="005114E1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[13]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 xml:space="preserve">It is again </w:t>
      </w:r>
      <w:r w:rsidR="0018356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submitted on behalf of the defendant that since the plaintiffs knew of the facts from </w:t>
      </w:r>
      <w:r w:rsidR="00BB5FD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which</w:t>
      </w:r>
      <w:r w:rsidR="0018356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06333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their</w:t>
      </w:r>
      <w:r w:rsidR="00E7267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debts arose</w:t>
      </w:r>
      <w:r w:rsidR="002F378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at very least in November 2006</w:t>
      </w:r>
      <w:r w:rsidR="00375F9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93208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and</w:t>
      </w:r>
      <w:r w:rsidR="00693EC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or latest 12 Oc</w:t>
      </w:r>
      <w:r w:rsidR="00C9438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tober 2012. The plaintiffs therefore were fully</w:t>
      </w:r>
      <w:r w:rsidR="0056686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aware of the identity of the defendant and </w:t>
      </w:r>
      <w:r w:rsidR="0009679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facts from which their de</w:t>
      </w:r>
      <w:r w:rsidR="00E422E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bt arose.</w:t>
      </w:r>
    </w:p>
    <w:p w14:paraId="72169CCF" w14:textId="344F801A" w:rsidR="00E422E5" w:rsidRPr="00605316" w:rsidRDefault="00E422E5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[14]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456EB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Again counsel for the defendant refers the court to the decision in </w:t>
      </w:r>
      <w:proofErr w:type="spellStart"/>
      <w:r w:rsidR="00456EB4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Truder</w:t>
      </w:r>
      <w:proofErr w:type="spellEnd"/>
      <w:r w:rsidR="00456EB4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 v </w:t>
      </w:r>
      <w:proofErr w:type="spellStart"/>
      <w:r w:rsidR="00456EB4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Dysel</w:t>
      </w:r>
      <w:proofErr w:type="spellEnd"/>
      <w:r w:rsidR="00456EB4">
        <w:rPr>
          <w:rStyle w:val="FootnoteReference"/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footnoteReference w:id="2"/>
      </w:r>
      <w:r w:rsidR="00605316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 </w:t>
      </w:r>
      <w:r w:rsidR="0060531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and contends that the plaintiffs cause of action arouse in November 2006</w:t>
      </w:r>
      <w:r w:rsidR="007D408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alternately their debts became due on 12 October 2012.</w:t>
      </w:r>
    </w:p>
    <w:p w14:paraId="626C26A8" w14:textId="1F3CBEB4" w:rsidR="006D09F4" w:rsidRDefault="006D09F4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[15]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E613D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Finaly it is submitted on behalf of the defendant that a debt or claim does not became due when the facts from which it arose are known to the </w:t>
      </w:r>
      <w:r w:rsidR="003112F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claimants</w:t>
      </w:r>
      <w:r w:rsidR="0079256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  <w:r w:rsidR="00792563">
        <w:rPr>
          <w:rStyle w:val="FootnoteReference"/>
          <w:rFonts w:ascii="Arial" w:eastAsia="Times New Roman" w:hAnsi="Arial" w:cs="Arial"/>
          <w:color w:val="242121"/>
          <w:sz w:val="24"/>
          <w:szCs w:val="24"/>
          <w:lang w:val="en-US" w:eastAsia="en-ZA"/>
        </w:rPr>
        <w:footnoteReference w:id="3"/>
      </w:r>
    </w:p>
    <w:p w14:paraId="664DB3AA" w14:textId="487CDA02" w:rsidR="0048556A" w:rsidRDefault="0048556A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[16]</w:t>
      </w:r>
      <w:r w:rsidR="008A2E6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>The plaintiffs disagree that the debt</w:t>
      </w:r>
      <w:r w:rsidR="009A1C7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</w:t>
      </w:r>
      <w:r w:rsidR="008A2E6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was due in 2012 wh</w:t>
      </w:r>
      <w:r w:rsidR="00FE115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en the State provided the full </w:t>
      </w:r>
      <w:r w:rsidR="009A1C7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record of proceeding to the plaintiffs</w:t>
      </w:r>
      <w:r w:rsidR="00FE115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</w:p>
    <w:p w14:paraId="16CF48B3" w14:textId="5D33461A" w:rsidR="00967FA3" w:rsidRDefault="00E46FAA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[17</w:t>
      </w:r>
      <w:r w:rsidR="0079531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]</w:t>
      </w:r>
      <w:r w:rsidR="0079531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>On behalf of the plaintiff</w:t>
      </w:r>
      <w:r w:rsidR="009A1C7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</w:t>
      </w:r>
      <w:r w:rsidR="0079531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it is submitted that it was only upon the </w:t>
      </w:r>
      <w:r w:rsidR="007E696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vitiation of the </w:t>
      </w:r>
      <w:r w:rsidR="00967FA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plaintiffs</w:t>
      </w:r>
      <w:r w:rsidR="001F160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EA491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convictions and sentence by the </w:t>
      </w:r>
      <w:r w:rsidR="00EB531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c</w:t>
      </w:r>
      <w:r w:rsidR="00EA491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onstitution</w:t>
      </w:r>
      <w:r w:rsidR="00EB531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al</w:t>
      </w:r>
      <w:r w:rsidR="00EA491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EB531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c</w:t>
      </w:r>
      <w:r w:rsidR="00EA491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ourt in 2015 </w:t>
      </w:r>
      <w:r w:rsidR="00FC41E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that the </w:t>
      </w:r>
      <w:r w:rsidR="00EA491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debt</w:t>
      </w:r>
      <w:r w:rsidR="00FC41E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</w:t>
      </w:r>
      <w:r w:rsidR="00EA491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became due</w:t>
      </w:r>
      <w:r w:rsidR="00967FA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</w:p>
    <w:p w14:paraId="19EB8439" w14:textId="70DAF9D3" w:rsidR="00E46FAA" w:rsidRDefault="00967FA3" w:rsidP="00EA7156">
      <w:pPr>
        <w:shd w:val="clear" w:color="auto" w:fill="FFFFFF"/>
        <w:spacing w:before="144" w:after="0" w:line="480" w:lineRule="auto"/>
        <w:ind w:left="720" w:hanging="578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lastRenderedPageBreak/>
        <w:t xml:space="preserve">[18] </w:t>
      </w:r>
      <w:r w:rsidR="005D76C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</w:t>
      </w:r>
      <w:r w:rsidR="000C518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n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proofErr w:type="spellStart"/>
      <w:r w:rsidRPr="008412A5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Uniliver</w:t>
      </w:r>
      <w:proofErr w:type="spellEnd"/>
      <w:r w:rsidRPr="008412A5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 </w:t>
      </w:r>
      <w:proofErr w:type="spellStart"/>
      <w:r w:rsidRPr="008412A5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Bestfoods</w:t>
      </w:r>
      <w:proofErr w:type="spellEnd"/>
      <w:r w:rsidRPr="008412A5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 Rober</w:t>
      </w:r>
      <w:r w:rsidR="002A174C" w:rsidRPr="008412A5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t</w:t>
      </w:r>
      <w:r w:rsidRPr="008412A5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sons (</w:t>
      </w:r>
      <w:r w:rsidR="002A174C" w:rsidRPr="008412A5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Pty) Ltd v </w:t>
      </w:r>
      <w:proofErr w:type="spellStart"/>
      <w:r w:rsidR="002A174C" w:rsidRPr="008412A5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Sooma</w:t>
      </w:r>
      <w:proofErr w:type="spellEnd"/>
      <w:r w:rsidR="00A7665E">
        <w:rPr>
          <w:rStyle w:val="FootnoteReference"/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footnoteReference w:id="4"/>
      </w:r>
      <w:r w:rsidR="002A174C" w:rsidRPr="008412A5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 </w:t>
      </w:r>
      <w:r w:rsidR="002A077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S</w:t>
      </w:r>
      <w:r w:rsidR="00FC41E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upreme </w:t>
      </w:r>
      <w:r w:rsidR="002A077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C</w:t>
      </w:r>
      <w:r w:rsidR="00FC41E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ourt of </w:t>
      </w:r>
      <w:r w:rsidR="002A077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</w:t>
      </w:r>
      <w:r w:rsidR="00FC41E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ppeal</w:t>
      </w:r>
      <w:r w:rsidR="002A077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quoted De Villers</w:t>
      </w:r>
      <w:r w:rsidR="000C518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F40E0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C</w:t>
      </w:r>
      <w:r w:rsidR="00EA715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J </w:t>
      </w:r>
      <w:r w:rsidR="001755B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in </w:t>
      </w:r>
      <w:r w:rsidR="000468C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</w:t>
      </w:r>
      <w:proofErr w:type="spellStart"/>
      <w:r w:rsidR="001755BD" w:rsidRPr="000468C1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Lem</w:t>
      </w:r>
      <w:r w:rsidR="000468C1" w:rsidRPr="000468C1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ue</w:t>
      </w:r>
      <w:proofErr w:type="spellEnd"/>
      <w:r w:rsidR="001755B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8412A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c</w:t>
      </w:r>
      <w:r w:rsidR="001755B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ase with approval when he said ‘while a pr</w:t>
      </w:r>
      <w:r w:rsidR="00DF715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osecution is actually pending its result cannot be allowed to be prejudged in the civil</w:t>
      </w:r>
      <w:r w:rsidR="008D078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action’</w:t>
      </w:r>
      <w:r w:rsidR="00CA3CC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  <w:r w:rsidR="001755B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</w:p>
    <w:p w14:paraId="6D0F544A" w14:textId="4A2DDA2B" w:rsidR="00AE249A" w:rsidRPr="008547A2" w:rsidRDefault="00340396" w:rsidP="00020E3B">
      <w:pPr>
        <w:shd w:val="clear" w:color="auto" w:fill="FFFFFF"/>
        <w:spacing w:before="144" w:after="0" w:line="480" w:lineRule="auto"/>
        <w:ind w:left="720" w:hanging="578"/>
        <w:jc w:val="both"/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[19]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 xml:space="preserve">I </w:t>
      </w:r>
      <w:r w:rsidR="009E37B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agree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with the decision in </w:t>
      </w:r>
      <w:proofErr w:type="spellStart"/>
      <w:r w:rsidRPr="00742BF1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Makhwe</w:t>
      </w:r>
      <w:r w:rsidR="008547A2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l</w:t>
      </w:r>
      <w:r w:rsidRPr="00742BF1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o</w:t>
      </w:r>
      <w:proofErr w:type="spellEnd"/>
      <w:r w:rsidRPr="00742BF1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 v Minister of Safety and Security</w:t>
      </w:r>
      <w:r w:rsidR="00E764D5">
        <w:rPr>
          <w:rStyle w:val="FootnoteReference"/>
          <w:rFonts w:ascii="Arial" w:eastAsia="Times New Roman" w:hAnsi="Arial" w:cs="Arial"/>
          <w:color w:val="242121"/>
          <w:sz w:val="24"/>
          <w:szCs w:val="24"/>
          <w:lang w:val="en-US" w:eastAsia="en-ZA"/>
        </w:rPr>
        <w:footnoteReference w:id="5"/>
      </w:r>
      <w:r w:rsidR="00BD5BF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at para 58 the court said the following</w:t>
      </w:r>
      <w:r w:rsidR="00F3101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9E218E" w:rsidRPr="00AE249A">
        <w:rPr>
          <w:rFonts w:ascii="Arial" w:eastAsia="Times New Roman" w:hAnsi="Arial" w:cs="Arial"/>
          <w:color w:val="242121"/>
          <w:lang w:val="en-US" w:eastAsia="en-ZA"/>
        </w:rPr>
        <w:t>“</w:t>
      </w:r>
      <w:r w:rsidR="009E218E" w:rsidRPr="008547A2">
        <w:rPr>
          <w:rFonts w:ascii="Arial" w:eastAsia="Times New Roman" w:hAnsi="Arial" w:cs="Arial"/>
          <w:i/>
          <w:iCs/>
          <w:color w:val="242121"/>
          <w:lang w:val="en-US" w:eastAsia="en-ZA"/>
        </w:rPr>
        <w:t>In the case of arrest and dete</w:t>
      </w:r>
      <w:r w:rsidR="00E64FFF" w:rsidRPr="008547A2">
        <w:rPr>
          <w:rFonts w:ascii="Arial" w:eastAsia="Times New Roman" w:hAnsi="Arial" w:cs="Arial"/>
          <w:i/>
          <w:iCs/>
          <w:color w:val="242121"/>
          <w:lang w:val="en-US" w:eastAsia="en-ZA"/>
        </w:rPr>
        <w:t>ntion there is a depriv</w:t>
      </w:r>
      <w:r w:rsidR="00600B6A" w:rsidRPr="008547A2">
        <w:rPr>
          <w:rFonts w:ascii="Arial" w:eastAsia="Times New Roman" w:hAnsi="Arial" w:cs="Arial"/>
          <w:i/>
          <w:iCs/>
          <w:color w:val="242121"/>
          <w:lang w:val="en-US" w:eastAsia="en-ZA"/>
        </w:rPr>
        <w:t>ation of liberty and loss of dignity which will be justified if there is a convi</w:t>
      </w:r>
      <w:r w:rsidR="00A16C96" w:rsidRPr="008547A2">
        <w:rPr>
          <w:rFonts w:ascii="Arial" w:eastAsia="Times New Roman" w:hAnsi="Arial" w:cs="Arial"/>
          <w:i/>
          <w:iCs/>
          <w:color w:val="242121"/>
          <w:lang w:val="en-US" w:eastAsia="en-ZA"/>
        </w:rPr>
        <w:t xml:space="preserve">ction. It is difficult to appreciate how a debt can be immediately claimable and therefore </w:t>
      </w:r>
      <w:r w:rsidR="003A2C16" w:rsidRPr="008547A2">
        <w:rPr>
          <w:rFonts w:ascii="Arial" w:eastAsia="Times New Roman" w:hAnsi="Arial" w:cs="Arial"/>
          <w:i/>
          <w:iCs/>
          <w:color w:val="242121"/>
          <w:lang w:val="en-US" w:eastAsia="en-ZA"/>
        </w:rPr>
        <w:t>justiciable whi</w:t>
      </w:r>
      <w:r w:rsidR="00674E89" w:rsidRPr="008547A2">
        <w:rPr>
          <w:rFonts w:ascii="Arial" w:eastAsia="Times New Roman" w:hAnsi="Arial" w:cs="Arial"/>
          <w:i/>
          <w:iCs/>
          <w:color w:val="242121"/>
          <w:lang w:val="en-US" w:eastAsia="en-ZA"/>
        </w:rPr>
        <w:t xml:space="preserve">ch </w:t>
      </w:r>
      <w:r w:rsidR="00765C76" w:rsidRPr="008547A2">
        <w:rPr>
          <w:rFonts w:ascii="Arial" w:eastAsia="Times New Roman" w:hAnsi="Arial" w:cs="Arial"/>
          <w:i/>
          <w:iCs/>
          <w:color w:val="242121"/>
          <w:lang w:val="en-US" w:eastAsia="en-ZA"/>
        </w:rPr>
        <w:t xml:space="preserve">is the second requirement for a debt being due (see </w:t>
      </w:r>
      <w:proofErr w:type="spellStart"/>
      <w:r w:rsidR="009B2956" w:rsidRPr="008547A2">
        <w:rPr>
          <w:rFonts w:ascii="Arial" w:eastAsia="Times New Roman" w:hAnsi="Arial" w:cs="Arial"/>
          <w:i/>
          <w:iCs/>
          <w:color w:val="242121"/>
          <w:lang w:val="en-US" w:eastAsia="en-ZA"/>
        </w:rPr>
        <w:t>Deloitee</w:t>
      </w:r>
      <w:proofErr w:type="spellEnd"/>
      <w:r w:rsidR="009B2956" w:rsidRPr="008547A2">
        <w:rPr>
          <w:rFonts w:ascii="Arial" w:eastAsia="Times New Roman" w:hAnsi="Arial" w:cs="Arial"/>
          <w:i/>
          <w:iCs/>
          <w:color w:val="242121"/>
          <w:lang w:val="en-US" w:eastAsia="en-ZA"/>
        </w:rPr>
        <w:t xml:space="preserve"> Haskins) prior to the outcome of the criminal trial or prior to charges </w:t>
      </w:r>
      <w:r w:rsidR="00751DD5" w:rsidRPr="008547A2">
        <w:rPr>
          <w:rFonts w:ascii="Arial" w:eastAsia="Times New Roman" w:hAnsi="Arial" w:cs="Arial"/>
          <w:i/>
          <w:iCs/>
          <w:color w:val="242121"/>
          <w:lang w:val="en-US" w:eastAsia="en-ZA"/>
        </w:rPr>
        <w:t>being dropped or otherwise withdrawn.”</w:t>
      </w:r>
    </w:p>
    <w:p w14:paraId="59C00F79" w14:textId="3CD294E7" w:rsidR="00020E3B" w:rsidRDefault="00020E3B" w:rsidP="00020E3B">
      <w:pPr>
        <w:shd w:val="clear" w:color="auto" w:fill="FFFFFF"/>
        <w:spacing w:before="144" w:after="0" w:line="480" w:lineRule="auto"/>
        <w:ind w:left="720" w:hanging="578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[20]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 xml:space="preserve">I am </w:t>
      </w:r>
      <w:r w:rsidR="009B061C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therefore of the view that the plaintiffs </w:t>
      </w:r>
      <w:proofErr w:type="spellStart"/>
      <w:r w:rsidR="009B061C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delic</w:t>
      </w:r>
      <w:r w:rsidR="004C6FF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tual</w:t>
      </w:r>
      <w:proofErr w:type="spellEnd"/>
      <w:r w:rsidR="004C6FF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claim</w:t>
      </w:r>
      <w:r w:rsidR="008C39D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against the </w:t>
      </w:r>
      <w:r w:rsidR="005A276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defendant was only fully </w:t>
      </w:r>
      <w:r w:rsidR="0051346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complete in 2015 when the Consti</w:t>
      </w:r>
      <w:r w:rsidR="0073078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tutional Court ruled in their </w:t>
      </w:r>
      <w:proofErr w:type="spellStart"/>
      <w:r w:rsidR="0073078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favour</w:t>
      </w:r>
      <w:proofErr w:type="spellEnd"/>
      <w:r w:rsidR="0073078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</w:p>
    <w:p w14:paraId="2CBD66DD" w14:textId="55280237" w:rsidR="00730788" w:rsidRDefault="00730788" w:rsidP="00020E3B">
      <w:pPr>
        <w:shd w:val="clear" w:color="auto" w:fill="FFFFFF"/>
        <w:spacing w:before="144" w:after="0" w:line="480" w:lineRule="auto"/>
        <w:ind w:left="720" w:hanging="578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[21]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F6773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 am furthermore of the view that t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he </w:t>
      </w:r>
      <w:r w:rsidR="00C6569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plaintiffs could not have been expected to have prejud</w:t>
      </w:r>
      <w:r w:rsidR="000E27E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ged the outcome of the appeal at the </w:t>
      </w:r>
      <w:r w:rsidR="00D65A7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C</w:t>
      </w:r>
      <w:r w:rsidR="000E27E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onstitutional </w:t>
      </w:r>
      <w:r w:rsidR="00D65A7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C</w:t>
      </w:r>
      <w:r w:rsidR="000E27E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o</w:t>
      </w:r>
      <w:r w:rsidR="00D65A7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urt</w:t>
      </w:r>
      <w:r w:rsidR="005A777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</w:t>
      </w:r>
    </w:p>
    <w:p w14:paraId="4A7104DB" w14:textId="48C124F2" w:rsidR="005A777A" w:rsidRDefault="005A777A" w:rsidP="00020E3B">
      <w:pPr>
        <w:shd w:val="clear" w:color="auto" w:fill="FFFFFF"/>
        <w:spacing w:before="144" w:after="0" w:line="480" w:lineRule="auto"/>
        <w:ind w:left="720" w:hanging="578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[22]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D664C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In addition, it is my view that when the plaintiffs instituted action </w:t>
      </w:r>
      <w:r w:rsidR="00FE1C8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against the State in 2016, there claim has not prescribed.</w:t>
      </w:r>
    </w:p>
    <w:p w14:paraId="618BC46E" w14:textId="7FAC78A7" w:rsidR="00F01873" w:rsidRDefault="00F01873" w:rsidP="00020E3B">
      <w:pPr>
        <w:shd w:val="clear" w:color="auto" w:fill="FFFFFF"/>
        <w:spacing w:before="144" w:after="0" w:line="480" w:lineRule="auto"/>
        <w:ind w:left="720" w:hanging="578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</w:t>
      </w:r>
      <w:r w:rsidR="009611C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23]</w:t>
      </w:r>
      <w:r w:rsidR="009611C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0001C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The plaintiffs ask for </w:t>
      </w:r>
      <w:r w:rsidR="00B67DAC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a special cost order against the </w:t>
      </w:r>
      <w:r w:rsidR="0022024C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defendant</w:t>
      </w:r>
      <w:r w:rsidR="002F27AC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because of raising the special plea many years after the summons have been issue. </w:t>
      </w:r>
    </w:p>
    <w:p w14:paraId="31C7A08A" w14:textId="32FA536D" w:rsidR="0022024C" w:rsidRDefault="0022024C" w:rsidP="00020E3B">
      <w:pPr>
        <w:shd w:val="clear" w:color="auto" w:fill="FFFFFF"/>
        <w:spacing w:before="144" w:after="0" w:line="480" w:lineRule="auto"/>
        <w:ind w:left="720" w:hanging="578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lastRenderedPageBreak/>
        <w:t>[24]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The defendant did not sufficiently </w:t>
      </w:r>
      <w:r w:rsidR="00A46AB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address the court on the re</w:t>
      </w:r>
      <w:r w:rsidR="00CA25E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quest for a </w:t>
      </w:r>
      <w:r w:rsidR="000F584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punitive cost order</w:t>
      </w:r>
      <w:r w:rsidR="009E2A1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but merely agued that the defendant has a right to raise the special plea.</w:t>
      </w:r>
    </w:p>
    <w:p w14:paraId="70383255" w14:textId="457A35ED" w:rsidR="000F5841" w:rsidRDefault="000F5841" w:rsidP="00020E3B">
      <w:pPr>
        <w:shd w:val="clear" w:color="auto" w:fill="FFFFFF"/>
        <w:spacing w:before="144" w:after="0" w:line="480" w:lineRule="auto"/>
        <w:ind w:left="720" w:hanging="578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[25]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9E2A1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It is indeed so that the defendant has a right to raise the special plea </w:t>
      </w:r>
      <w:r w:rsidR="007045E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during the trial. </w:t>
      </w:r>
    </w:p>
    <w:p w14:paraId="487292BA" w14:textId="582BA8F2" w:rsidR="00641B0D" w:rsidRDefault="006D07A2" w:rsidP="00B21459">
      <w:pPr>
        <w:shd w:val="clear" w:color="auto" w:fill="FFFFFF"/>
        <w:spacing w:before="144" w:after="0" w:line="480" w:lineRule="auto"/>
        <w:ind w:left="720" w:hanging="578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[26]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7045E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In respect of the special plea raised by the defendant </w:t>
      </w:r>
      <w:r w:rsidR="00490B9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 make the following order:</w:t>
      </w:r>
    </w:p>
    <w:p w14:paraId="16B78B18" w14:textId="43BE9D11" w:rsidR="00490B91" w:rsidRPr="008A11BD" w:rsidRDefault="00490B91" w:rsidP="00B21459">
      <w:pPr>
        <w:shd w:val="clear" w:color="auto" w:fill="FFFFFF"/>
        <w:spacing w:before="144" w:after="0" w:line="480" w:lineRule="auto"/>
        <w:ind w:left="720" w:hanging="578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>26.1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The defendant special plea of </w:t>
      </w:r>
      <w:r w:rsidR="00AA632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prescription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is </w:t>
      </w:r>
      <w:r w:rsidR="00AA632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dismissed with cost of two counsel.</w:t>
      </w:r>
    </w:p>
    <w:p w14:paraId="6E73D264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______________________</w:t>
      </w:r>
    </w:p>
    <w:p w14:paraId="6C5B4AF3" w14:textId="77777777" w:rsidR="00641B0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</w:p>
    <w:p w14:paraId="0557399A" w14:textId="34522F8A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MAKHOBA J</w:t>
      </w:r>
    </w:p>
    <w:p w14:paraId="7E497D04" w14:textId="225FAC02" w:rsidR="00641B0D" w:rsidRDefault="005F5B0B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JUDGE OF THE HIGH COURT</w:t>
      </w:r>
    </w:p>
    <w:p w14:paraId="43142F16" w14:textId="53D5BB4C" w:rsidR="00641B0D" w:rsidRPr="008A11BD" w:rsidRDefault="005F5B0B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GAUTENG DIVISION, PRETORIA</w:t>
      </w:r>
    </w:p>
    <w:p w14:paraId="644E0BDF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414FAE11" w14:textId="77777777" w:rsidR="00495BC2" w:rsidRDefault="00495BC2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</w:pPr>
    </w:p>
    <w:p w14:paraId="27D19FFA" w14:textId="2D3DA3AF" w:rsidR="00495BC2" w:rsidRDefault="004F3501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HEARD AND RESERVED JUDGMENT</w:t>
      </w:r>
      <w:r w:rsidR="002313F4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:</w:t>
      </w:r>
      <w:r w:rsidR="00DA7650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13 February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202</w:t>
      </w:r>
      <w:r w:rsidR="00DA7650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4</w:t>
      </w:r>
    </w:p>
    <w:p w14:paraId="76FCF4EE" w14:textId="11E6343A" w:rsidR="002313F4" w:rsidRPr="004F3501" w:rsidRDefault="002313F4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JUDGMENT HANDED DOWN</w:t>
      </w:r>
      <w:r w:rsidR="00516AC0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ON: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</w:t>
      </w:r>
      <w:r w:rsidR="00DA7650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15 February 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202</w:t>
      </w:r>
      <w:r w:rsidR="0015358D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4</w:t>
      </w:r>
    </w:p>
    <w:p w14:paraId="212A48F3" w14:textId="28D5A96E" w:rsidR="00641B0D" w:rsidRPr="008A11BD" w:rsidRDefault="00641B0D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  <w:t>Appearances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</w:p>
    <w:p w14:paraId="15C5124F" w14:textId="77777777" w:rsidR="00222894" w:rsidRDefault="00641B0D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the </w:t>
      </w:r>
      <w:r w:rsidR="00B84777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Plaintiffs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  <w:r w:rsidR="00495BC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Adv</w:t>
      </w:r>
      <w:r w:rsidR="00E1130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B0074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L </w:t>
      </w:r>
      <w:r w:rsidR="00B4316C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de Klerk </w:t>
      </w:r>
      <w:r w:rsidR="001A1D97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</w:t>
      </w:r>
      <w:r w:rsidR="009C2FD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C with Adv D </w:t>
      </w:r>
      <w:proofErr w:type="spellStart"/>
      <w:r w:rsidR="009C2FD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Thaldar</w:t>
      </w:r>
      <w:proofErr w:type="spellEnd"/>
      <w:r w:rsidR="00AF60D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(instructed by)</w:t>
      </w:r>
      <w:r w:rsidR="003B5DA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proofErr w:type="spellStart"/>
      <w:r w:rsidR="00D55B0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Gild</w:t>
      </w:r>
      <w:r w:rsidR="0022289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enhuys</w:t>
      </w:r>
      <w:proofErr w:type="spellEnd"/>
      <w:r w:rsidR="0022289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Malatji Incorporated </w:t>
      </w:r>
    </w:p>
    <w:p w14:paraId="1C8D07DE" w14:textId="77777777" w:rsidR="00222894" w:rsidRDefault="00222894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4075E59A" w14:textId="630210A6" w:rsidR="00641B0D" w:rsidRPr="008A11BD" w:rsidRDefault="00641B0D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the </w:t>
      </w:r>
      <w:r w:rsidR="00B84777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Defen</w:t>
      </w:r>
      <w:r w:rsidR="00BA3D0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</w:t>
      </w:r>
      <w:r w:rsidR="00EE647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ant Ad</w:t>
      </w:r>
      <w:r w:rsidR="00BA3D0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v</w:t>
      </w:r>
      <w:r w:rsidR="00B61DF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1A447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G </w:t>
      </w:r>
      <w:proofErr w:type="spellStart"/>
      <w:r w:rsidR="001A447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Shakoane</w:t>
      </w:r>
      <w:proofErr w:type="spellEnd"/>
      <w:r w:rsidR="001A447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SC with </w:t>
      </w:r>
      <w:r w:rsidR="005A74C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Adv </w:t>
      </w:r>
      <w:r w:rsidR="001A447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D </w:t>
      </w:r>
      <w:proofErr w:type="spellStart"/>
      <w:r w:rsidR="001A447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</w:t>
      </w:r>
      <w:proofErr w:type="spellEnd"/>
      <w:r w:rsidR="001A447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proofErr w:type="spellStart"/>
      <w:r w:rsidR="001A447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Mosoma</w:t>
      </w:r>
      <w:proofErr w:type="spellEnd"/>
      <w:r w:rsidR="001A447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8B5D85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</w:t>
      </w:r>
      <w:r w:rsidR="00BA3D0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instructed by</w:t>
      </w:r>
      <w:r w:rsidR="008B5D85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)</w:t>
      </w:r>
      <w:r w:rsidR="008808EF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State Attorney Pretoria</w:t>
      </w:r>
      <w:r w:rsidR="001511F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</w:t>
      </w:r>
      <w:r w:rsidR="0062207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sectPr w:rsidR="00641B0D" w:rsidRPr="008A11BD" w:rsidSect="009A197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4757" w14:textId="77777777" w:rsidR="009A197F" w:rsidRDefault="009A197F" w:rsidP="00EE6D13">
      <w:pPr>
        <w:spacing w:after="0" w:line="240" w:lineRule="auto"/>
      </w:pPr>
      <w:r>
        <w:separator/>
      </w:r>
    </w:p>
  </w:endnote>
  <w:endnote w:type="continuationSeparator" w:id="0">
    <w:p w14:paraId="1DF82BC3" w14:textId="77777777" w:rsidR="009A197F" w:rsidRDefault="009A197F" w:rsidP="00EE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A0AC" w14:textId="442FA88E" w:rsidR="00CF2B9D" w:rsidRDefault="00CF2B9D" w:rsidP="00AF719D">
    <w:pPr>
      <w:pStyle w:val="Footer"/>
      <w:jc w:val="center"/>
    </w:pPr>
  </w:p>
  <w:p w14:paraId="0514A607" w14:textId="77777777" w:rsidR="00CF2B9D" w:rsidRPr="002D17F5" w:rsidRDefault="00CF2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A7CD" w14:textId="77777777" w:rsidR="009A197F" w:rsidRDefault="009A197F" w:rsidP="00EE6D13">
      <w:pPr>
        <w:spacing w:after="0" w:line="240" w:lineRule="auto"/>
      </w:pPr>
      <w:r>
        <w:separator/>
      </w:r>
    </w:p>
  </w:footnote>
  <w:footnote w:type="continuationSeparator" w:id="0">
    <w:p w14:paraId="350E9344" w14:textId="77777777" w:rsidR="009A197F" w:rsidRDefault="009A197F" w:rsidP="00EE6D13">
      <w:pPr>
        <w:spacing w:after="0" w:line="240" w:lineRule="auto"/>
      </w:pPr>
      <w:r>
        <w:continuationSeparator/>
      </w:r>
    </w:p>
  </w:footnote>
  <w:footnote w:id="1">
    <w:p w14:paraId="4B7E32A4" w14:textId="03B80F68" w:rsidR="00605DD6" w:rsidRPr="00605DD6" w:rsidRDefault="00605D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B7356">
        <w:rPr>
          <w:lang w:val="en-US"/>
        </w:rPr>
        <w:t>(2017) ZA CC 33.</w:t>
      </w:r>
    </w:p>
  </w:footnote>
  <w:footnote w:id="2">
    <w:p w14:paraId="440038B3" w14:textId="2099B7EC" w:rsidR="00456EB4" w:rsidRPr="00456EB4" w:rsidRDefault="00456EB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05316">
        <w:rPr>
          <w:lang w:val="en-US"/>
        </w:rPr>
        <w:t xml:space="preserve">(2006) SA17 (SCA). </w:t>
      </w:r>
    </w:p>
  </w:footnote>
  <w:footnote w:id="3">
    <w:p w14:paraId="659B8601" w14:textId="212B6F26" w:rsidR="00792563" w:rsidRPr="00792563" w:rsidRDefault="0079256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870AF">
        <w:t xml:space="preserve">Eskom v Bojanala Platinum District </w:t>
      </w:r>
      <w:r w:rsidR="00A10405">
        <w:t>0498</w:t>
      </w:r>
      <w:r w:rsidR="00931D8C">
        <w:t xml:space="preserve"> (</w:t>
      </w:r>
      <w:r w:rsidR="00CD1166">
        <w:t xml:space="preserve">T) at para 16 and </w:t>
      </w:r>
      <w:r w:rsidR="00EB6165">
        <w:t>Minister of Police v Gove (</w:t>
      </w:r>
      <w:r w:rsidR="00F35C89">
        <w:t>2006) ZASCA 98.</w:t>
      </w:r>
    </w:p>
  </w:footnote>
  <w:footnote w:id="4">
    <w:p w14:paraId="76FA95EA" w14:textId="2B0149B0" w:rsidR="00A7665E" w:rsidRPr="00A7665E" w:rsidRDefault="00A766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200</w:t>
      </w:r>
      <w:r w:rsidR="00251535">
        <w:rPr>
          <w:lang w:val="en-US"/>
        </w:rPr>
        <w:t>7 (2) SA 347 (SCA) at Para 25.</w:t>
      </w:r>
    </w:p>
  </w:footnote>
  <w:footnote w:id="5">
    <w:p w14:paraId="2C964E82" w14:textId="3D9A17F8" w:rsidR="00E764D5" w:rsidRPr="00E764D5" w:rsidRDefault="00E764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95E70">
        <w:t xml:space="preserve">2017 (1) SA 274 (GJ)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8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1B4EB1" w14:textId="6280FF6D" w:rsidR="00AF719D" w:rsidRDefault="00AF71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362D7" w14:textId="77777777" w:rsidR="00C8140D" w:rsidRDefault="00C81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30328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0D"/>
    <w:rsid w:val="000001CD"/>
    <w:rsid w:val="00000D7A"/>
    <w:rsid w:val="00004A47"/>
    <w:rsid w:val="0001495F"/>
    <w:rsid w:val="00020E3B"/>
    <w:rsid w:val="00034BED"/>
    <w:rsid w:val="00036F83"/>
    <w:rsid w:val="000415BC"/>
    <w:rsid w:val="000468C1"/>
    <w:rsid w:val="00047467"/>
    <w:rsid w:val="000501BB"/>
    <w:rsid w:val="00063330"/>
    <w:rsid w:val="00080DAE"/>
    <w:rsid w:val="000818D3"/>
    <w:rsid w:val="0008398A"/>
    <w:rsid w:val="0009679D"/>
    <w:rsid w:val="00096C88"/>
    <w:rsid w:val="000977F1"/>
    <w:rsid w:val="000A7D86"/>
    <w:rsid w:val="000B036E"/>
    <w:rsid w:val="000C21C0"/>
    <w:rsid w:val="000C518D"/>
    <w:rsid w:val="000D51D5"/>
    <w:rsid w:val="000D520F"/>
    <w:rsid w:val="000E10B4"/>
    <w:rsid w:val="000E20EA"/>
    <w:rsid w:val="000E27E8"/>
    <w:rsid w:val="000E6362"/>
    <w:rsid w:val="000E70FD"/>
    <w:rsid w:val="000F1428"/>
    <w:rsid w:val="000F5841"/>
    <w:rsid w:val="000F70A1"/>
    <w:rsid w:val="00102076"/>
    <w:rsid w:val="00103721"/>
    <w:rsid w:val="00125205"/>
    <w:rsid w:val="00137854"/>
    <w:rsid w:val="001511F9"/>
    <w:rsid w:val="0015358D"/>
    <w:rsid w:val="0016382B"/>
    <w:rsid w:val="00166356"/>
    <w:rsid w:val="00173712"/>
    <w:rsid w:val="001755BD"/>
    <w:rsid w:val="00177C20"/>
    <w:rsid w:val="00183561"/>
    <w:rsid w:val="0019070D"/>
    <w:rsid w:val="001A1D97"/>
    <w:rsid w:val="001A2113"/>
    <w:rsid w:val="001A4472"/>
    <w:rsid w:val="001A639B"/>
    <w:rsid w:val="001A702A"/>
    <w:rsid w:val="001C03D5"/>
    <w:rsid w:val="001C32C9"/>
    <w:rsid w:val="001C341D"/>
    <w:rsid w:val="001C527D"/>
    <w:rsid w:val="001D16C3"/>
    <w:rsid w:val="001D5293"/>
    <w:rsid w:val="001E36B9"/>
    <w:rsid w:val="001F1603"/>
    <w:rsid w:val="001F25BC"/>
    <w:rsid w:val="002157DF"/>
    <w:rsid w:val="0022024C"/>
    <w:rsid w:val="00222894"/>
    <w:rsid w:val="002313F4"/>
    <w:rsid w:val="002368E5"/>
    <w:rsid w:val="002447EA"/>
    <w:rsid w:val="00251535"/>
    <w:rsid w:val="002515F0"/>
    <w:rsid w:val="00264E72"/>
    <w:rsid w:val="00273CFE"/>
    <w:rsid w:val="00275570"/>
    <w:rsid w:val="002870AF"/>
    <w:rsid w:val="00294FD9"/>
    <w:rsid w:val="002951D9"/>
    <w:rsid w:val="0029572A"/>
    <w:rsid w:val="00297412"/>
    <w:rsid w:val="002A0779"/>
    <w:rsid w:val="002A174C"/>
    <w:rsid w:val="002A4BB1"/>
    <w:rsid w:val="002B1BA3"/>
    <w:rsid w:val="002B497D"/>
    <w:rsid w:val="002B5A97"/>
    <w:rsid w:val="002B7CE3"/>
    <w:rsid w:val="002C5465"/>
    <w:rsid w:val="002D6D03"/>
    <w:rsid w:val="002E3C16"/>
    <w:rsid w:val="002F0E16"/>
    <w:rsid w:val="002F1A2B"/>
    <w:rsid w:val="002F21AA"/>
    <w:rsid w:val="002F27AC"/>
    <w:rsid w:val="002F3784"/>
    <w:rsid w:val="002F7AB5"/>
    <w:rsid w:val="00302EF4"/>
    <w:rsid w:val="003112F0"/>
    <w:rsid w:val="00313FFE"/>
    <w:rsid w:val="00320103"/>
    <w:rsid w:val="003273AE"/>
    <w:rsid w:val="003372A6"/>
    <w:rsid w:val="00340396"/>
    <w:rsid w:val="003412B9"/>
    <w:rsid w:val="003533A9"/>
    <w:rsid w:val="00360C7A"/>
    <w:rsid w:val="00362C3B"/>
    <w:rsid w:val="00362FDA"/>
    <w:rsid w:val="0036626F"/>
    <w:rsid w:val="00367341"/>
    <w:rsid w:val="00367343"/>
    <w:rsid w:val="00372BCB"/>
    <w:rsid w:val="00372FDF"/>
    <w:rsid w:val="003758F5"/>
    <w:rsid w:val="00375F91"/>
    <w:rsid w:val="00376DED"/>
    <w:rsid w:val="003878AB"/>
    <w:rsid w:val="003A2086"/>
    <w:rsid w:val="003A2C16"/>
    <w:rsid w:val="003A59E2"/>
    <w:rsid w:val="003A7956"/>
    <w:rsid w:val="003B45C3"/>
    <w:rsid w:val="003B4FA3"/>
    <w:rsid w:val="003B5DA3"/>
    <w:rsid w:val="003B7356"/>
    <w:rsid w:val="003C3AB4"/>
    <w:rsid w:val="003C4C65"/>
    <w:rsid w:val="003C6021"/>
    <w:rsid w:val="003C7B83"/>
    <w:rsid w:val="003D14A6"/>
    <w:rsid w:val="003E21B3"/>
    <w:rsid w:val="003F0EAF"/>
    <w:rsid w:val="003F5B95"/>
    <w:rsid w:val="00407F56"/>
    <w:rsid w:val="00412530"/>
    <w:rsid w:val="004153E3"/>
    <w:rsid w:val="00420C89"/>
    <w:rsid w:val="00426054"/>
    <w:rsid w:val="00435CF9"/>
    <w:rsid w:val="004367C1"/>
    <w:rsid w:val="004371C5"/>
    <w:rsid w:val="00444037"/>
    <w:rsid w:val="0045196F"/>
    <w:rsid w:val="00455E7B"/>
    <w:rsid w:val="00456EB4"/>
    <w:rsid w:val="00457016"/>
    <w:rsid w:val="00457A99"/>
    <w:rsid w:val="0046046D"/>
    <w:rsid w:val="00465306"/>
    <w:rsid w:val="004734E4"/>
    <w:rsid w:val="00484356"/>
    <w:rsid w:val="0048556A"/>
    <w:rsid w:val="00490B91"/>
    <w:rsid w:val="00495023"/>
    <w:rsid w:val="00495BC2"/>
    <w:rsid w:val="004A3844"/>
    <w:rsid w:val="004B03B5"/>
    <w:rsid w:val="004B1F9F"/>
    <w:rsid w:val="004C18EA"/>
    <w:rsid w:val="004C4B1F"/>
    <w:rsid w:val="004C6FF0"/>
    <w:rsid w:val="004C78AB"/>
    <w:rsid w:val="004E2008"/>
    <w:rsid w:val="004E3876"/>
    <w:rsid w:val="004E5606"/>
    <w:rsid w:val="004F0015"/>
    <w:rsid w:val="004F3501"/>
    <w:rsid w:val="00501DC9"/>
    <w:rsid w:val="00506218"/>
    <w:rsid w:val="005079AE"/>
    <w:rsid w:val="005114E1"/>
    <w:rsid w:val="00513466"/>
    <w:rsid w:val="00516AC0"/>
    <w:rsid w:val="00521B0E"/>
    <w:rsid w:val="00526769"/>
    <w:rsid w:val="00531487"/>
    <w:rsid w:val="00532B6C"/>
    <w:rsid w:val="005338C2"/>
    <w:rsid w:val="00534299"/>
    <w:rsid w:val="00535970"/>
    <w:rsid w:val="00542746"/>
    <w:rsid w:val="0055270B"/>
    <w:rsid w:val="005660A5"/>
    <w:rsid w:val="0056686B"/>
    <w:rsid w:val="00581195"/>
    <w:rsid w:val="00586D86"/>
    <w:rsid w:val="00592089"/>
    <w:rsid w:val="005959CF"/>
    <w:rsid w:val="005A00D0"/>
    <w:rsid w:val="005A276F"/>
    <w:rsid w:val="005A7111"/>
    <w:rsid w:val="005A74CB"/>
    <w:rsid w:val="005A777A"/>
    <w:rsid w:val="005B19EE"/>
    <w:rsid w:val="005B76C0"/>
    <w:rsid w:val="005C52B0"/>
    <w:rsid w:val="005D04DC"/>
    <w:rsid w:val="005D76CE"/>
    <w:rsid w:val="005E27FF"/>
    <w:rsid w:val="005E3FAB"/>
    <w:rsid w:val="005E58E0"/>
    <w:rsid w:val="005F228B"/>
    <w:rsid w:val="005F5B0B"/>
    <w:rsid w:val="005F6177"/>
    <w:rsid w:val="005F6C00"/>
    <w:rsid w:val="00600B6A"/>
    <w:rsid w:val="00605316"/>
    <w:rsid w:val="00605DD6"/>
    <w:rsid w:val="00610493"/>
    <w:rsid w:val="00620DE0"/>
    <w:rsid w:val="00622079"/>
    <w:rsid w:val="00641B0D"/>
    <w:rsid w:val="0065014E"/>
    <w:rsid w:val="00651AA2"/>
    <w:rsid w:val="00654776"/>
    <w:rsid w:val="00662C2F"/>
    <w:rsid w:val="00670E68"/>
    <w:rsid w:val="00673A80"/>
    <w:rsid w:val="00674E89"/>
    <w:rsid w:val="006849BF"/>
    <w:rsid w:val="00693B80"/>
    <w:rsid w:val="00693EC4"/>
    <w:rsid w:val="006B0A39"/>
    <w:rsid w:val="006B3A53"/>
    <w:rsid w:val="006B4009"/>
    <w:rsid w:val="006C0140"/>
    <w:rsid w:val="006C53DD"/>
    <w:rsid w:val="006D07A2"/>
    <w:rsid w:val="006D09F4"/>
    <w:rsid w:val="006D0BC0"/>
    <w:rsid w:val="006D7684"/>
    <w:rsid w:val="006E119B"/>
    <w:rsid w:val="006E1935"/>
    <w:rsid w:val="006E2E9B"/>
    <w:rsid w:val="006F3D6C"/>
    <w:rsid w:val="006F4E9D"/>
    <w:rsid w:val="007045E3"/>
    <w:rsid w:val="007169F1"/>
    <w:rsid w:val="00721BB5"/>
    <w:rsid w:val="00722743"/>
    <w:rsid w:val="00723E49"/>
    <w:rsid w:val="00727931"/>
    <w:rsid w:val="00730788"/>
    <w:rsid w:val="00742BF1"/>
    <w:rsid w:val="007458EF"/>
    <w:rsid w:val="00751DD5"/>
    <w:rsid w:val="00765C76"/>
    <w:rsid w:val="00766608"/>
    <w:rsid w:val="007737B7"/>
    <w:rsid w:val="00773B39"/>
    <w:rsid w:val="00773D25"/>
    <w:rsid w:val="00774464"/>
    <w:rsid w:val="00792563"/>
    <w:rsid w:val="00795319"/>
    <w:rsid w:val="007A024D"/>
    <w:rsid w:val="007A55BD"/>
    <w:rsid w:val="007B1580"/>
    <w:rsid w:val="007C0032"/>
    <w:rsid w:val="007C05AB"/>
    <w:rsid w:val="007C65F6"/>
    <w:rsid w:val="007D4087"/>
    <w:rsid w:val="007D59B4"/>
    <w:rsid w:val="007E5327"/>
    <w:rsid w:val="007E5708"/>
    <w:rsid w:val="007E6963"/>
    <w:rsid w:val="007F0BE0"/>
    <w:rsid w:val="007F78D7"/>
    <w:rsid w:val="008055B9"/>
    <w:rsid w:val="008108A0"/>
    <w:rsid w:val="00811785"/>
    <w:rsid w:val="00814999"/>
    <w:rsid w:val="0082043E"/>
    <w:rsid w:val="0082211E"/>
    <w:rsid w:val="008259FA"/>
    <w:rsid w:val="00836F2F"/>
    <w:rsid w:val="00840EA7"/>
    <w:rsid w:val="008412A5"/>
    <w:rsid w:val="008471BE"/>
    <w:rsid w:val="008547A2"/>
    <w:rsid w:val="008648AD"/>
    <w:rsid w:val="00870483"/>
    <w:rsid w:val="008808EF"/>
    <w:rsid w:val="00886FDA"/>
    <w:rsid w:val="0089429A"/>
    <w:rsid w:val="008A05FF"/>
    <w:rsid w:val="008A2E67"/>
    <w:rsid w:val="008B57BE"/>
    <w:rsid w:val="008B5D85"/>
    <w:rsid w:val="008C39DA"/>
    <w:rsid w:val="008C5F40"/>
    <w:rsid w:val="008D078E"/>
    <w:rsid w:val="008D1797"/>
    <w:rsid w:val="008D5104"/>
    <w:rsid w:val="008E6405"/>
    <w:rsid w:val="00901575"/>
    <w:rsid w:val="00901D7B"/>
    <w:rsid w:val="00903146"/>
    <w:rsid w:val="009044DC"/>
    <w:rsid w:val="009051A1"/>
    <w:rsid w:val="009070FB"/>
    <w:rsid w:val="00911C5C"/>
    <w:rsid w:val="00927620"/>
    <w:rsid w:val="00931D8C"/>
    <w:rsid w:val="00932086"/>
    <w:rsid w:val="00942314"/>
    <w:rsid w:val="00944723"/>
    <w:rsid w:val="0094772B"/>
    <w:rsid w:val="00947E26"/>
    <w:rsid w:val="009547B3"/>
    <w:rsid w:val="00960A85"/>
    <w:rsid w:val="009611C3"/>
    <w:rsid w:val="00967FA3"/>
    <w:rsid w:val="00973E1D"/>
    <w:rsid w:val="0097404C"/>
    <w:rsid w:val="00977858"/>
    <w:rsid w:val="00984D2A"/>
    <w:rsid w:val="00991CCD"/>
    <w:rsid w:val="00994535"/>
    <w:rsid w:val="00995E70"/>
    <w:rsid w:val="00997CCC"/>
    <w:rsid w:val="009A197F"/>
    <w:rsid w:val="009A1C7B"/>
    <w:rsid w:val="009A1FCA"/>
    <w:rsid w:val="009A3DE4"/>
    <w:rsid w:val="009B061C"/>
    <w:rsid w:val="009B1E3F"/>
    <w:rsid w:val="009B2956"/>
    <w:rsid w:val="009C2FD4"/>
    <w:rsid w:val="009C657F"/>
    <w:rsid w:val="009E218E"/>
    <w:rsid w:val="009E2A12"/>
    <w:rsid w:val="009E37B4"/>
    <w:rsid w:val="009F0D1E"/>
    <w:rsid w:val="009F3CD5"/>
    <w:rsid w:val="00A00B3F"/>
    <w:rsid w:val="00A10405"/>
    <w:rsid w:val="00A13F20"/>
    <w:rsid w:val="00A16C96"/>
    <w:rsid w:val="00A20173"/>
    <w:rsid w:val="00A35D6F"/>
    <w:rsid w:val="00A45EB8"/>
    <w:rsid w:val="00A46ABB"/>
    <w:rsid w:val="00A4759A"/>
    <w:rsid w:val="00A52F49"/>
    <w:rsid w:val="00A665ED"/>
    <w:rsid w:val="00A6727B"/>
    <w:rsid w:val="00A7665E"/>
    <w:rsid w:val="00A83A65"/>
    <w:rsid w:val="00A956D0"/>
    <w:rsid w:val="00AA6322"/>
    <w:rsid w:val="00AC2A64"/>
    <w:rsid w:val="00AC3003"/>
    <w:rsid w:val="00AC3D81"/>
    <w:rsid w:val="00AC6C1B"/>
    <w:rsid w:val="00AE249A"/>
    <w:rsid w:val="00AF0F20"/>
    <w:rsid w:val="00AF3484"/>
    <w:rsid w:val="00AF60D8"/>
    <w:rsid w:val="00AF719D"/>
    <w:rsid w:val="00B00741"/>
    <w:rsid w:val="00B21459"/>
    <w:rsid w:val="00B27571"/>
    <w:rsid w:val="00B323D3"/>
    <w:rsid w:val="00B33B60"/>
    <w:rsid w:val="00B4316C"/>
    <w:rsid w:val="00B50C04"/>
    <w:rsid w:val="00B61DF8"/>
    <w:rsid w:val="00B64A45"/>
    <w:rsid w:val="00B65FA4"/>
    <w:rsid w:val="00B67DAC"/>
    <w:rsid w:val="00B8443D"/>
    <w:rsid w:val="00B84777"/>
    <w:rsid w:val="00B95A24"/>
    <w:rsid w:val="00BA12B1"/>
    <w:rsid w:val="00BA3D06"/>
    <w:rsid w:val="00BA5869"/>
    <w:rsid w:val="00BB5FD8"/>
    <w:rsid w:val="00BC2088"/>
    <w:rsid w:val="00BD2F74"/>
    <w:rsid w:val="00BD5BFF"/>
    <w:rsid w:val="00BE0D3C"/>
    <w:rsid w:val="00BF472D"/>
    <w:rsid w:val="00BF6458"/>
    <w:rsid w:val="00BF6C7D"/>
    <w:rsid w:val="00C01753"/>
    <w:rsid w:val="00C17EFC"/>
    <w:rsid w:val="00C225D6"/>
    <w:rsid w:val="00C23A54"/>
    <w:rsid w:val="00C41B02"/>
    <w:rsid w:val="00C46623"/>
    <w:rsid w:val="00C52EB9"/>
    <w:rsid w:val="00C56020"/>
    <w:rsid w:val="00C572AA"/>
    <w:rsid w:val="00C64E95"/>
    <w:rsid w:val="00C650C6"/>
    <w:rsid w:val="00C65696"/>
    <w:rsid w:val="00C75FE2"/>
    <w:rsid w:val="00C77384"/>
    <w:rsid w:val="00C8140D"/>
    <w:rsid w:val="00C83F5C"/>
    <w:rsid w:val="00C87A1A"/>
    <w:rsid w:val="00C94387"/>
    <w:rsid w:val="00C97B0D"/>
    <w:rsid w:val="00C97B22"/>
    <w:rsid w:val="00CA25E9"/>
    <w:rsid w:val="00CA3CC9"/>
    <w:rsid w:val="00CA3FDA"/>
    <w:rsid w:val="00CA5E1D"/>
    <w:rsid w:val="00CB02F9"/>
    <w:rsid w:val="00CC2017"/>
    <w:rsid w:val="00CC7524"/>
    <w:rsid w:val="00CD1166"/>
    <w:rsid w:val="00CD2326"/>
    <w:rsid w:val="00CD62D3"/>
    <w:rsid w:val="00CF2B9D"/>
    <w:rsid w:val="00CF38F8"/>
    <w:rsid w:val="00D0341B"/>
    <w:rsid w:val="00D10D77"/>
    <w:rsid w:val="00D12CAA"/>
    <w:rsid w:val="00D2097D"/>
    <w:rsid w:val="00D26605"/>
    <w:rsid w:val="00D322CE"/>
    <w:rsid w:val="00D347D6"/>
    <w:rsid w:val="00D36CA1"/>
    <w:rsid w:val="00D36F2A"/>
    <w:rsid w:val="00D40903"/>
    <w:rsid w:val="00D4381F"/>
    <w:rsid w:val="00D4388E"/>
    <w:rsid w:val="00D46568"/>
    <w:rsid w:val="00D5415A"/>
    <w:rsid w:val="00D55B01"/>
    <w:rsid w:val="00D611A0"/>
    <w:rsid w:val="00D62713"/>
    <w:rsid w:val="00D65A7E"/>
    <w:rsid w:val="00D664C3"/>
    <w:rsid w:val="00D66A25"/>
    <w:rsid w:val="00D7635E"/>
    <w:rsid w:val="00D76A8F"/>
    <w:rsid w:val="00D86B28"/>
    <w:rsid w:val="00D939D2"/>
    <w:rsid w:val="00DA7650"/>
    <w:rsid w:val="00DB3E30"/>
    <w:rsid w:val="00DC23FD"/>
    <w:rsid w:val="00DC35EB"/>
    <w:rsid w:val="00DC3B56"/>
    <w:rsid w:val="00DC5F8F"/>
    <w:rsid w:val="00DD18D9"/>
    <w:rsid w:val="00DD3421"/>
    <w:rsid w:val="00DD384D"/>
    <w:rsid w:val="00DD57A0"/>
    <w:rsid w:val="00DD5D80"/>
    <w:rsid w:val="00DD6D03"/>
    <w:rsid w:val="00DD751B"/>
    <w:rsid w:val="00DE1035"/>
    <w:rsid w:val="00DE1B32"/>
    <w:rsid w:val="00DE33F3"/>
    <w:rsid w:val="00DF715B"/>
    <w:rsid w:val="00E1130A"/>
    <w:rsid w:val="00E1146C"/>
    <w:rsid w:val="00E164D2"/>
    <w:rsid w:val="00E21AFE"/>
    <w:rsid w:val="00E22C09"/>
    <w:rsid w:val="00E2782E"/>
    <w:rsid w:val="00E313F2"/>
    <w:rsid w:val="00E31C76"/>
    <w:rsid w:val="00E31E36"/>
    <w:rsid w:val="00E341B6"/>
    <w:rsid w:val="00E34883"/>
    <w:rsid w:val="00E422E5"/>
    <w:rsid w:val="00E458C2"/>
    <w:rsid w:val="00E46FAA"/>
    <w:rsid w:val="00E51156"/>
    <w:rsid w:val="00E57C37"/>
    <w:rsid w:val="00E613D5"/>
    <w:rsid w:val="00E638D8"/>
    <w:rsid w:val="00E64643"/>
    <w:rsid w:val="00E64FFF"/>
    <w:rsid w:val="00E7267D"/>
    <w:rsid w:val="00E75AD6"/>
    <w:rsid w:val="00E764D5"/>
    <w:rsid w:val="00E767F0"/>
    <w:rsid w:val="00E8753A"/>
    <w:rsid w:val="00E93BE5"/>
    <w:rsid w:val="00E970A0"/>
    <w:rsid w:val="00EA01AB"/>
    <w:rsid w:val="00EA30D7"/>
    <w:rsid w:val="00EA4362"/>
    <w:rsid w:val="00EA4915"/>
    <w:rsid w:val="00EA7156"/>
    <w:rsid w:val="00EB242C"/>
    <w:rsid w:val="00EB5311"/>
    <w:rsid w:val="00EB6165"/>
    <w:rsid w:val="00EC3A74"/>
    <w:rsid w:val="00ED336E"/>
    <w:rsid w:val="00EE219C"/>
    <w:rsid w:val="00EE30BD"/>
    <w:rsid w:val="00EE647B"/>
    <w:rsid w:val="00EE6D13"/>
    <w:rsid w:val="00EF19C4"/>
    <w:rsid w:val="00F01873"/>
    <w:rsid w:val="00F02009"/>
    <w:rsid w:val="00F037C6"/>
    <w:rsid w:val="00F04FE0"/>
    <w:rsid w:val="00F07941"/>
    <w:rsid w:val="00F25A05"/>
    <w:rsid w:val="00F31014"/>
    <w:rsid w:val="00F311E9"/>
    <w:rsid w:val="00F34F3E"/>
    <w:rsid w:val="00F35C89"/>
    <w:rsid w:val="00F40E04"/>
    <w:rsid w:val="00F42DA1"/>
    <w:rsid w:val="00F50582"/>
    <w:rsid w:val="00F60ACD"/>
    <w:rsid w:val="00F619FD"/>
    <w:rsid w:val="00F62A5A"/>
    <w:rsid w:val="00F67739"/>
    <w:rsid w:val="00F72ABE"/>
    <w:rsid w:val="00F73AD4"/>
    <w:rsid w:val="00F77879"/>
    <w:rsid w:val="00F90932"/>
    <w:rsid w:val="00F9244E"/>
    <w:rsid w:val="00FA4692"/>
    <w:rsid w:val="00FB6470"/>
    <w:rsid w:val="00FC3558"/>
    <w:rsid w:val="00FC41EB"/>
    <w:rsid w:val="00FD7BDA"/>
    <w:rsid w:val="00FE1153"/>
    <w:rsid w:val="00FE1C83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24776"/>
  <w15:chartTrackingRefBased/>
  <w15:docId w15:val="{13552320-8A86-41F2-8A64-D161CC0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B0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0D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41B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6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D13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E6D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1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07774.1E4A6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0E56-CAA0-4E70-84D7-71C8AF8B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Dithipe</dc:creator>
  <cp:keywords/>
  <dc:description/>
  <cp:lastModifiedBy>Peter Dithipe</cp:lastModifiedBy>
  <cp:revision>515</cp:revision>
  <cp:lastPrinted>2024-02-14T12:43:00Z</cp:lastPrinted>
  <dcterms:created xsi:type="dcterms:W3CDTF">2023-06-14T08:40:00Z</dcterms:created>
  <dcterms:modified xsi:type="dcterms:W3CDTF">2024-02-15T07:43:00Z</dcterms:modified>
</cp:coreProperties>
</file>