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1F2D" w14:textId="77777777" w:rsidR="00B50E11" w:rsidRDefault="00B50E11" w:rsidP="00B50E11">
      <w:pPr>
        <w:pStyle w:val="Body"/>
        <w:jc w:val="center"/>
      </w:pPr>
      <w:r>
        <w:rPr>
          <w:noProof/>
        </w:rPr>
        <w:drawing>
          <wp:inline distT="0" distB="0" distL="0" distR="0" wp14:anchorId="6B5B6C71" wp14:editId="554F88B4">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673C5407"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10708D4D" w14:textId="77777777" w:rsidR="008A1016" w:rsidRPr="008E6813" w:rsidRDefault="008A1016"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8E6813">
        <w:trPr>
          <w:trHeight w:val="2205"/>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46010A">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46010A">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46010A">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46010A">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18336396"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46010A">
              <w:rPr>
                <w:rFonts w:ascii="Arial Unicode MS" w:eastAsia="Arial Unicode MS" w:hAnsi="Arial Unicode MS" w:cs="Arial Unicode MS"/>
                <w:sz w:val="16"/>
                <w:szCs w:val="16"/>
              </w:rPr>
              <w:t xml:space="preserve"> </w:t>
            </w:r>
            <w:r w:rsidR="0046010A" w:rsidRPr="0046010A">
              <w:rPr>
                <w:rFonts w:ascii="Arial Unicode MS" w:eastAsia="Arial Unicode MS" w:hAnsi="Arial Unicode MS" w:cs="Arial Unicode MS"/>
                <w:b/>
                <w:bCs/>
                <w:sz w:val="16"/>
                <w:szCs w:val="16"/>
              </w:rPr>
              <w:t>27 February 2024</w:t>
            </w:r>
            <w:r w:rsidR="0046010A">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proofErr w:type="gramStart"/>
            <w:r w:rsidRPr="004164F3">
              <w:rPr>
                <w:rFonts w:ascii="Arial Unicode MS" w:eastAsia="Arial Unicode MS" w:hAnsi="Arial Unicode MS" w:cs="Arial Unicode MS"/>
                <w:sz w:val="16"/>
                <w:szCs w:val="16"/>
              </w:rPr>
              <w:t>SIGNATURE:.</w:t>
            </w:r>
            <w:proofErr w:type="gramEnd"/>
            <w:r w:rsidRPr="004164F3">
              <w:rPr>
                <w:rFonts w:ascii="Arial Unicode MS" w:eastAsia="Arial Unicode MS" w:hAnsi="Arial Unicode MS" w:cs="Arial Unicode MS"/>
                <w:sz w:val="16"/>
                <w:szCs w:val="16"/>
              </w:rPr>
              <w:t>……………………</w:t>
            </w:r>
          </w:p>
        </w:tc>
      </w:tr>
    </w:tbl>
    <w:p w14:paraId="46E43E32" w14:textId="21C6688C"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4B493D">
        <w:rPr>
          <w:rFonts w:cs="Arial"/>
          <w:b/>
          <w:bCs/>
          <w:sz w:val="24"/>
          <w:szCs w:val="24"/>
        </w:rPr>
        <w:t>099668/2023</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6A09B9CC" w14:textId="77777777" w:rsidR="007F7FED" w:rsidRPr="00F52DAF" w:rsidRDefault="004B493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F52DAF">
              <w:rPr>
                <w:rFonts w:cs="Arial"/>
                <w:b/>
                <w:bCs/>
                <w:sz w:val="24"/>
                <w:szCs w:val="24"/>
              </w:rPr>
              <w:t xml:space="preserve">SONO, </w:t>
            </w:r>
            <w:r w:rsidR="005301C7" w:rsidRPr="00F52DAF">
              <w:rPr>
                <w:rFonts w:cs="Arial"/>
                <w:b/>
                <w:bCs/>
                <w:sz w:val="24"/>
                <w:szCs w:val="24"/>
              </w:rPr>
              <w:t>H</w:t>
            </w:r>
          </w:p>
          <w:p w14:paraId="73641FC1" w14:textId="77777777" w:rsidR="00436D22" w:rsidRDefault="00436D2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p w14:paraId="548AA6FE" w14:textId="3E1CD6AA" w:rsidR="005301C7" w:rsidRPr="0031449E" w:rsidRDefault="005301C7"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r w:rsidRPr="00F52DAF">
              <w:rPr>
                <w:rFonts w:cs="Arial"/>
                <w:b/>
                <w:bCs/>
                <w:sz w:val="24"/>
                <w:szCs w:val="24"/>
              </w:rPr>
              <w:t>DE-WAGENDRIFT COMMUNITY</w:t>
            </w:r>
          </w:p>
        </w:tc>
        <w:tc>
          <w:tcPr>
            <w:tcW w:w="4078"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492FA746" w14:textId="77777777" w:rsidR="00B50E11" w:rsidRDefault="005301C7"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APPLICANT</w:t>
            </w:r>
          </w:p>
          <w:p w14:paraId="58878069" w14:textId="77777777" w:rsidR="00436D22" w:rsidRDefault="00436D2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632333CF" w:rsidR="005301C7" w:rsidRPr="0031449E" w:rsidRDefault="005301C7"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APPLICANT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F52DA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18"/>
              <w:jc w:val="both"/>
              <w:rPr>
                <w:rFonts w:cs="Arial"/>
                <w:b/>
                <w:bCs/>
                <w:sz w:val="24"/>
                <w:szCs w:val="24"/>
                <w:lang w:val="de-DE"/>
              </w:rPr>
            </w:pPr>
          </w:p>
          <w:p w14:paraId="480DF639" w14:textId="3D8E128A" w:rsidR="001F07DD" w:rsidRDefault="005301C7" w:rsidP="00F52DA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18"/>
              <w:rPr>
                <w:rFonts w:cs="Arial"/>
                <w:b/>
                <w:bCs/>
                <w:sz w:val="24"/>
                <w:szCs w:val="24"/>
                <w:lang w:val="de-DE"/>
              </w:rPr>
            </w:pPr>
            <w:r>
              <w:rPr>
                <w:rFonts w:cs="Arial"/>
                <w:b/>
                <w:bCs/>
                <w:sz w:val="24"/>
                <w:szCs w:val="24"/>
                <w:lang w:val="de-DE"/>
              </w:rPr>
              <w:t>CITY OF TSHWANE METROPOLITAN MUNICIPALITY</w:t>
            </w:r>
          </w:p>
          <w:p w14:paraId="3ACBB1CA" w14:textId="05144C07" w:rsidR="00B50E11" w:rsidRPr="00DA7A8D" w:rsidRDefault="00B50E11" w:rsidP="00F52DA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18"/>
              <w:jc w:val="both"/>
              <w:rPr>
                <w:rFonts w:cs="Arial"/>
                <w:b/>
                <w:bCs/>
                <w:sz w:val="24"/>
                <w:szCs w:val="24"/>
                <w:lang w:val="de-DE"/>
              </w:rPr>
            </w:pPr>
          </w:p>
        </w:tc>
        <w:tc>
          <w:tcPr>
            <w:tcW w:w="4078"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1D7244">
        <w:trPr>
          <w:gridAfter w:val="1"/>
          <w:wAfter w:w="66" w:type="dxa"/>
        </w:trPr>
        <w:tc>
          <w:tcPr>
            <w:tcW w:w="5485" w:type="dxa"/>
          </w:tcPr>
          <w:p w14:paraId="25DA77DC" w14:textId="77777777" w:rsidR="0027008F" w:rsidRDefault="0027008F" w:rsidP="00F52DA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18"/>
              <w:jc w:val="both"/>
              <w:rPr>
                <w:rFonts w:cs="Arial"/>
                <w:b/>
                <w:bCs/>
                <w:sz w:val="24"/>
                <w:szCs w:val="24"/>
                <w:lang w:val="de-DE"/>
              </w:rPr>
            </w:pPr>
          </w:p>
          <w:p w14:paraId="7F45D086" w14:textId="602C249E" w:rsidR="0027008F" w:rsidRDefault="005301C7" w:rsidP="00436D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131"/>
              <w:jc w:val="both"/>
              <w:rPr>
                <w:rFonts w:cs="Arial"/>
                <w:b/>
                <w:bCs/>
                <w:sz w:val="24"/>
                <w:szCs w:val="24"/>
                <w:lang w:val="de-DE"/>
              </w:rPr>
            </w:pPr>
            <w:r>
              <w:rPr>
                <w:rFonts w:cs="Arial"/>
                <w:b/>
                <w:bCs/>
                <w:sz w:val="24"/>
                <w:szCs w:val="24"/>
                <w:lang w:val="de-DE"/>
              </w:rPr>
              <w:t>DEPARTMENT OF HUMAN SETTLEMENTS:</w:t>
            </w:r>
            <w:r w:rsidR="00F52DAF">
              <w:rPr>
                <w:rFonts w:cs="Arial"/>
                <w:b/>
                <w:bCs/>
                <w:sz w:val="24"/>
                <w:szCs w:val="24"/>
                <w:lang w:val="de-DE"/>
              </w:rPr>
              <w:t xml:space="preserve"> </w:t>
            </w:r>
            <w:r>
              <w:rPr>
                <w:rFonts w:cs="Arial"/>
                <w:b/>
                <w:bCs/>
                <w:sz w:val="24"/>
                <w:szCs w:val="24"/>
                <w:lang w:val="de-DE"/>
              </w:rPr>
              <w:t>GAUTENG</w:t>
            </w:r>
          </w:p>
        </w:tc>
        <w:tc>
          <w:tcPr>
            <w:tcW w:w="4078"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1D7244">
        <w:trPr>
          <w:trHeight w:val="1045"/>
        </w:trPr>
        <w:tc>
          <w:tcPr>
            <w:tcW w:w="9629" w:type="dxa"/>
            <w:gridSpan w:val="3"/>
          </w:tcPr>
          <w:p w14:paraId="0CA1B4FB" w14:textId="60557E16" w:rsidR="001D7244" w:rsidRDefault="001D7244" w:rsidP="008E6813">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2A6ADAB8" w14:textId="77777777" w:rsidR="008A1016" w:rsidRPr="00217B1F" w:rsidRDefault="008A101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FA2702">
              <w:tc>
                <w:tcPr>
                  <w:tcW w:w="1734" w:type="dxa"/>
                </w:tcPr>
                <w:p w14:paraId="32A8A6B9" w14:textId="4AD30981" w:rsidR="001D7244" w:rsidRPr="008A1016" w:rsidRDefault="008A1016"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8A1016">
                    <w:rPr>
                      <w:rFonts w:ascii="Times" w:eastAsia="Times New Roman" w:hAnsi="Times" w:cs="Arial"/>
                      <w:b/>
                      <w:bCs/>
                      <w:i/>
                      <w:iCs/>
                      <w:sz w:val="24"/>
                      <w:szCs w:val="24"/>
                      <w:lang w:val="en-ZA"/>
                    </w:rPr>
                    <w:lastRenderedPageBreak/>
                    <w:t xml:space="preserve"> </w:t>
                  </w:r>
                  <w:r w:rsidR="001D7244" w:rsidRPr="008A1016">
                    <w:rPr>
                      <w:rFonts w:ascii="Times" w:eastAsia="Times New Roman" w:hAnsi="Times" w:cs="Arial"/>
                      <w:b/>
                      <w:bCs/>
                      <w:i/>
                      <w:iCs/>
                      <w:sz w:val="24"/>
                      <w:szCs w:val="24"/>
                      <w:lang w:val="en-ZA"/>
                    </w:rPr>
                    <w:t>Coram: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FA2702">
              <w:tc>
                <w:tcPr>
                  <w:tcW w:w="1734" w:type="dxa"/>
                </w:tcPr>
                <w:p w14:paraId="4D835109" w14:textId="77777777" w:rsidR="001D7244" w:rsidRPr="008A1016"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Heard on:      </w:t>
                  </w:r>
                </w:p>
              </w:tc>
              <w:tc>
                <w:tcPr>
                  <w:tcW w:w="7513" w:type="dxa"/>
                </w:tcPr>
                <w:p w14:paraId="41C8B4DD" w14:textId="7B2392BD" w:rsidR="001D7244" w:rsidRPr="00217B1F" w:rsidRDefault="004B493D"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20 February</w:t>
                  </w:r>
                  <w:r w:rsidR="001D7244" w:rsidRPr="00217B1F">
                    <w:rPr>
                      <w:rFonts w:ascii="Arial" w:eastAsia="Times New Roman" w:hAnsi="Arial" w:cs="Arial"/>
                      <w:color w:val="000000"/>
                      <w:sz w:val="24"/>
                      <w:szCs w:val="24"/>
                      <w:lang w:val="en-ZA"/>
                    </w:rPr>
                    <w:t xml:space="preserve"> 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Pr="008A1016"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A1016">
                    <w:rPr>
                      <w:rFonts w:ascii="Times" w:eastAsia="Times New Roman" w:hAnsi="Times" w:cs="Arial"/>
                      <w:b/>
                      <w:bCs/>
                      <w:i/>
                      <w:iCs/>
                      <w:sz w:val="24"/>
                      <w:szCs w:val="24"/>
                      <w:lang w:val="en-ZA"/>
                    </w:rPr>
                    <w:t xml:space="preserve">Delivered:   </w:t>
                  </w:r>
                </w:p>
              </w:tc>
              <w:tc>
                <w:tcPr>
                  <w:tcW w:w="7513" w:type="dxa"/>
                </w:tcPr>
                <w:p w14:paraId="5F5E03E1" w14:textId="615631C8" w:rsidR="001D7244" w:rsidRPr="00436D22" w:rsidRDefault="00223D53" w:rsidP="00436D22">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27 February</w:t>
                  </w:r>
                  <w:r w:rsidR="001D7244" w:rsidRPr="00217B1F">
                    <w:rPr>
                      <w:rFonts w:ascii="Arial" w:eastAsia="Times New Roman" w:hAnsi="Arial" w:cs="Arial"/>
                      <w:color w:val="000000"/>
                      <w:sz w:val="24"/>
                      <w:szCs w:val="24"/>
                      <w:lang w:val="en-ZA"/>
                    </w:rPr>
                    <w:t xml:space="preserve"> 202</w:t>
                  </w:r>
                  <w:r w:rsidR="00393DAB">
                    <w:rPr>
                      <w:rFonts w:ascii="Arial" w:eastAsia="Times New Roman" w:hAnsi="Arial" w:cs="Arial"/>
                      <w:color w:val="000000"/>
                      <w:sz w:val="24"/>
                      <w:szCs w:val="24"/>
                      <w:lang w:val="en-ZA"/>
                    </w:rPr>
                    <w:t>4</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sidR="001D7244">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sidR="00AB56D2">
                    <w:rPr>
                      <w:rFonts w:ascii="Arial" w:eastAsia="Times New Roman" w:hAnsi="Arial" w:cs="Arial"/>
                      <w:color w:val="000000"/>
                      <w:sz w:val="24"/>
                      <w:szCs w:val="24"/>
                      <w:lang w:val="en-ZA"/>
                    </w:rPr>
                    <w:t xml:space="preserve">27 February </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93DAB">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1ED3913C" w14:textId="77777777" w:rsidR="001D7244" w:rsidRPr="00217B1F" w:rsidRDefault="001D7244" w:rsidP="008A1016">
            <w:pPr>
              <w:spacing w:after="120" w:line="360" w:lineRule="atLeast"/>
              <w:jc w:val="both"/>
              <w:rPr>
                <w:rFonts w:ascii="Arial" w:eastAsia="Times New Roman" w:hAnsi="Arial" w:cs="Arial"/>
                <w:color w:val="000000"/>
                <w:sz w:val="24"/>
                <w:szCs w:val="24"/>
              </w:rPr>
            </w:pPr>
            <w:r w:rsidRPr="00217B1F">
              <w:rPr>
                <w:rFonts w:ascii="Arial" w:eastAsia="Times New Roman" w:hAnsi="Arial" w:cs="Arial"/>
                <w:b/>
                <w:bCs/>
                <w:color w:val="000000"/>
                <w:sz w:val="24"/>
                <w:szCs w:val="24"/>
                <w:lang w:val="en-ZA"/>
              </w:rPr>
              <w:lastRenderedPageBreak/>
              <w:t> </w:t>
            </w:r>
          </w:p>
          <w:p w14:paraId="35776624" w14:textId="77777777" w:rsidR="001D7244" w:rsidRPr="00217B1F" w:rsidRDefault="001D7244" w:rsidP="00FA2702">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6042AE5A" w14:textId="77777777" w:rsidR="001D7244" w:rsidRPr="005D79B5" w:rsidRDefault="001D7244" w:rsidP="00FA2702">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FA2702">
            <w:pPr>
              <w:rPr>
                <w:sz w:val="24"/>
                <w:szCs w:val="24"/>
                <w:lang w:val="en-GB"/>
              </w:rPr>
            </w:pPr>
          </w:p>
          <w:p w14:paraId="04BC2D26" w14:textId="5062DEDB" w:rsidR="008A1016" w:rsidRDefault="00AB56D2" w:rsidP="008A1016">
            <w:pPr>
              <w:pStyle w:val="Body"/>
              <w:numPr>
                <w:ilvl w:val="0"/>
                <w:numId w:val="16"/>
              </w:numPr>
              <w:spacing w:before="120" w:after="120" w:line="360" w:lineRule="auto"/>
              <w:ind w:left="885" w:hanging="851"/>
              <w:jc w:val="both"/>
              <w:rPr>
                <w:rFonts w:cs="Arial"/>
                <w:bCs/>
                <w:sz w:val="24"/>
                <w:szCs w:val="24"/>
              </w:rPr>
            </w:pPr>
            <w:bookmarkStart w:id="0" w:name="_Hlk102030155"/>
            <w:r>
              <w:rPr>
                <w:rFonts w:cs="Arial"/>
                <w:bCs/>
                <w:sz w:val="24"/>
                <w:szCs w:val="24"/>
              </w:rPr>
              <w:t>Part A of the application is dismissed.</w:t>
            </w:r>
          </w:p>
          <w:p w14:paraId="1EF4ED4E" w14:textId="41AE75BC" w:rsidR="001D7244" w:rsidRPr="00AB56D2" w:rsidRDefault="00AB56D2" w:rsidP="008A1016">
            <w:pPr>
              <w:pStyle w:val="Body"/>
              <w:numPr>
                <w:ilvl w:val="0"/>
                <w:numId w:val="16"/>
              </w:numPr>
              <w:spacing w:before="120" w:after="120" w:line="360" w:lineRule="auto"/>
              <w:ind w:left="885" w:hanging="851"/>
              <w:jc w:val="both"/>
              <w:rPr>
                <w:rFonts w:cs="Arial"/>
                <w:sz w:val="24"/>
                <w:szCs w:val="24"/>
              </w:rPr>
            </w:pPr>
            <w:r w:rsidRPr="00AB56D2">
              <w:rPr>
                <w:rFonts w:cs="Arial"/>
                <w:sz w:val="24"/>
                <w:szCs w:val="24"/>
                <w:lang w:val="de-DE"/>
              </w:rPr>
              <w:t>There is no order as to costs.</w:t>
            </w:r>
            <w:r w:rsidR="001D7244" w:rsidRPr="00AB56D2">
              <w:rPr>
                <w:rFonts w:cs="Arial"/>
                <w:sz w:val="24"/>
                <w:szCs w:val="24"/>
                <w:lang w:val="de-DE"/>
              </w:rPr>
              <w:t xml:space="preserve"> </w:t>
            </w:r>
            <w:bookmarkEnd w:id="0"/>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A1016">
              <w:rPr>
                <w:rFonts w:eastAsia="Tahoma" w:cs="Arial"/>
                <w:b/>
                <w:bCs/>
                <w:sz w:val="28"/>
                <w:szCs w:val="28"/>
                <w:lang w:val="de-DE"/>
              </w:rPr>
              <w:t>JUDGMENT</w:t>
            </w:r>
          </w:p>
        </w:tc>
      </w:tr>
    </w:tbl>
    <w:p w14:paraId="397DE03A" w14:textId="77777777" w:rsidR="00C519B2" w:rsidRPr="008A1016" w:rsidRDefault="00C519B2" w:rsidP="00B50E11">
      <w:pPr>
        <w:pStyle w:val="Body"/>
        <w:jc w:val="both"/>
        <w:rPr>
          <w:b/>
          <w:sz w:val="24"/>
          <w:szCs w:val="24"/>
        </w:rPr>
      </w:pPr>
    </w:p>
    <w:p w14:paraId="31AD95DF" w14:textId="1119379F" w:rsidR="00B50E11" w:rsidRDefault="00B50E11" w:rsidP="008E6813">
      <w:pPr>
        <w:pStyle w:val="Body"/>
        <w:spacing w:line="360" w:lineRule="auto"/>
        <w:jc w:val="both"/>
        <w:rPr>
          <w:b/>
          <w:sz w:val="24"/>
          <w:szCs w:val="24"/>
          <w:u w:val="single"/>
        </w:rPr>
      </w:pPr>
      <w:r w:rsidRPr="008A1016">
        <w:rPr>
          <w:b/>
          <w:sz w:val="24"/>
          <w:szCs w:val="24"/>
          <w:u w:val="single"/>
        </w:rPr>
        <w:t>MILLAR</w:t>
      </w:r>
      <w:r w:rsidR="004075F2" w:rsidRPr="008A1016">
        <w:rPr>
          <w:b/>
          <w:sz w:val="24"/>
          <w:szCs w:val="24"/>
          <w:u w:val="single"/>
        </w:rPr>
        <w:t xml:space="preserve"> </w:t>
      </w:r>
      <w:r w:rsidRPr="008A1016">
        <w:rPr>
          <w:b/>
          <w:sz w:val="24"/>
          <w:szCs w:val="24"/>
          <w:u w:val="single"/>
        </w:rPr>
        <w:t>J</w:t>
      </w:r>
    </w:p>
    <w:p w14:paraId="0F7798F2" w14:textId="77777777" w:rsidR="008A1016" w:rsidRPr="008A1016" w:rsidRDefault="008A1016" w:rsidP="008E6813">
      <w:pPr>
        <w:pStyle w:val="Body"/>
        <w:spacing w:line="360" w:lineRule="auto"/>
        <w:jc w:val="both"/>
        <w:rPr>
          <w:b/>
          <w:sz w:val="24"/>
          <w:szCs w:val="24"/>
          <w:u w:val="single"/>
        </w:rPr>
      </w:pPr>
    </w:p>
    <w:p w14:paraId="5DC29517" w14:textId="1A70E0DA" w:rsidR="008E6813" w:rsidRDefault="005442C7" w:rsidP="008A1016">
      <w:pPr>
        <w:pStyle w:val="Body"/>
        <w:numPr>
          <w:ilvl w:val="0"/>
          <w:numId w:val="17"/>
        </w:numPr>
        <w:spacing w:before="120" w:after="120" w:line="360" w:lineRule="auto"/>
        <w:ind w:left="851" w:hanging="851"/>
        <w:jc w:val="both"/>
        <w:rPr>
          <w:bCs/>
          <w:sz w:val="24"/>
          <w:szCs w:val="24"/>
        </w:rPr>
      </w:pPr>
      <w:r>
        <w:rPr>
          <w:bCs/>
          <w:sz w:val="24"/>
          <w:szCs w:val="24"/>
        </w:rPr>
        <w:t>The applicants, some 143 persons in total, brought an urgent application on 3 October 2023 against the respondents. The application was in two parts. Part A which was enrolled for hearing on the urgent roll for 17 October 2023</w:t>
      </w:r>
      <w:r w:rsidR="001D4D92">
        <w:rPr>
          <w:bCs/>
          <w:sz w:val="24"/>
          <w:szCs w:val="24"/>
        </w:rPr>
        <w:t xml:space="preserve"> and again on 20 October 2023</w:t>
      </w:r>
      <w:r>
        <w:rPr>
          <w:bCs/>
          <w:sz w:val="24"/>
          <w:szCs w:val="24"/>
        </w:rPr>
        <w:t xml:space="preserve"> was for orders to set aside what was said to have been the illegal eviction of the applicants together with ancillary relief which included a restoration of occupation and the return of all building materials that had been </w:t>
      </w:r>
      <w:r>
        <w:rPr>
          <w:bCs/>
          <w:sz w:val="24"/>
          <w:szCs w:val="24"/>
        </w:rPr>
        <w:lastRenderedPageBreak/>
        <w:t xml:space="preserve">removed. </w:t>
      </w:r>
      <w:r w:rsidR="0005394E">
        <w:rPr>
          <w:bCs/>
          <w:sz w:val="24"/>
          <w:szCs w:val="24"/>
        </w:rPr>
        <w:t>An interdict was also sought against further eviction pending the hearing and decision of  Part B in which orders were sought of both a declaratory and mandatory nature relating to what were contended to be the respondents’ constitutional obligations in respect of the provision of housing to the applicants.</w:t>
      </w:r>
    </w:p>
    <w:p w14:paraId="2FACD055" w14:textId="77777777" w:rsidR="0005394E" w:rsidRDefault="0005394E" w:rsidP="0005394E">
      <w:pPr>
        <w:pStyle w:val="Body"/>
        <w:spacing w:before="120" w:after="120" w:line="360" w:lineRule="auto"/>
        <w:ind w:left="851"/>
        <w:jc w:val="both"/>
        <w:rPr>
          <w:bCs/>
          <w:sz w:val="24"/>
          <w:szCs w:val="24"/>
        </w:rPr>
      </w:pPr>
    </w:p>
    <w:p w14:paraId="6A871B5C" w14:textId="2EBAA555" w:rsidR="00A771F2" w:rsidRPr="00A771F2" w:rsidRDefault="0005394E" w:rsidP="00A771F2">
      <w:pPr>
        <w:pStyle w:val="Body"/>
        <w:numPr>
          <w:ilvl w:val="0"/>
          <w:numId w:val="17"/>
        </w:numPr>
        <w:spacing w:before="120" w:after="120" w:line="360" w:lineRule="auto"/>
        <w:ind w:left="851" w:hanging="851"/>
        <w:jc w:val="both"/>
        <w:rPr>
          <w:bCs/>
          <w:sz w:val="24"/>
          <w:szCs w:val="24"/>
        </w:rPr>
      </w:pPr>
      <w:r>
        <w:rPr>
          <w:bCs/>
          <w:sz w:val="24"/>
          <w:szCs w:val="24"/>
        </w:rPr>
        <w:t xml:space="preserve">The urgent application was not decided on 17 </w:t>
      </w:r>
      <w:r w:rsidR="001D4D92">
        <w:rPr>
          <w:bCs/>
          <w:sz w:val="24"/>
          <w:szCs w:val="24"/>
        </w:rPr>
        <w:t xml:space="preserve">or 20 </w:t>
      </w:r>
      <w:r>
        <w:rPr>
          <w:bCs/>
          <w:sz w:val="24"/>
          <w:szCs w:val="24"/>
        </w:rPr>
        <w:t>October 2023 because of a dispute relating to the authority of the first applicant to act on behalf of all the others. This</w:t>
      </w:r>
      <w:r w:rsidR="001D4D92">
        <w:rPr>
          <w:bCs/>
          <w:sz w:val="24"/>
          <w:szCs w:val="24"/>
        </w:rPr>
        <w:t xml:space="preserve"> </w:t>
      </w:r>
      <w:r w:rsidR="009A37B0">
        <w:rPr>
          <w:bCs/>
          <w:sz w:val="24"/>
          <w:szCs w:val="24"/>
        </w:rPr>
        <w:t>remains in issue</w:t>
      </w:r>
      <w:r w:rsidR="00A771F2">
        <w:rPr>
          <w:bCs/>
          <w:sz w:val="24"/>
          <w:szCs w:val="24"/>
        </w:rPr>
        <w:t xml:space="preserve"> although the applicants did supplement the papers, they filed with confirmatory affidavits by most of the applicants confirming the authority of the Mr. </w:t>
      </w:r>
      <w:proofErr w:type="spellStart"/>
      <w:r w:rsidR="00A771F2">
        <w:rPr>
          <w:bCs/>
          <w:sz w:val="24"/>
          <w:szCs w:val="24"/>
        </w:rPr>
        <w:t>Sono</w:t>
      </w:r>
      <w:proofErr w:type="spellEnd"/>
      <w:r w:rsidR="00A771F2">
        <w:rPr>
          <w:bCs/>
          <w:sz w:val="24"/>
          <w:szCs w:val="24"/>
        </w:rPr>
        <w:t xml:space="preserve"> to act on their behalf</w:t>
      </w:r>
      <w:r w:rsidR="009A37B0">
        <w:rPr>
          <w:bCs/>
          <w:sz w:val="24"/>
          <w:szCs w:val="24"/>
        </w:rPr>
        <w:t>.</w:t>
      </w:r>
      <w:r w:rsidR="00A771F2">
        <w:rPr>
          <w:bCs/>
          <w:sz w:val="24"/>
          <w:szCs w:val="24"/>
        </w:rPr>
        <w:t xml:space="preserve">  For the purposes of this judgment, I accept that the applicants are all properly before the court. </w:t>
      </w:r>
    </w:p>
    <w:p w14:paraId="1CF84802" w14:textId="77777777" w:rsidR="00436D22" w:rsidRDefault="00436D22" w:rsidP="00436D22">
      <w:pPr>
        <w:pStyle w:val="ListParagraph"/>
        <w:rPr>
          <w:bCs/>
        </w:rPr>
      </w:pPr>
    </w:p>
    <w:p w14:paraId="55ECBAAD" w14:textId="77777777" w:rsidR="00436D22" w:rsidRDefault="0005394E" w:rsidP="00436D22">
      <w:pPr>
        <w:pStyle w:val="Body"/>
        <w:numPr>
          <w:ilvl w:val="0"/>
          <w:numId w:val="17"/>
        </w:numPr>
        <w:spacing w:before="120" w:after="120" w:line="360" w:lineRule="auto"/>
        <w:ind w:left="851" w:hanging="851"/>
        <w:jc w:val="both"/>
        <w:rPr>
          <w:bCs/>
          <w:sz w:val="24"/>
          <w:szCs w:val="24"/>
        </w:rPr>
      </w:pPr>
      <w:r w:rsidRPr="00436D22">
        <w:rPr>
          <w:bCs/>
          <w:sz w:val="24"/>
          <w:szCs w:val="24"/>
        </w:rPr>
        <w:t>Part A of the application was enrolled for hearing on the opposed roll, and this is what was came before me.</w:t>
      </w:r>
    </w:p>
    <w:p w14:paraId="75C26F16" w14:textId="77777777" w:rsidR="00436D22" w:rsidRDefault="00436D22" w:rsidP="00436D22">
      <w:pPr>
        <w:pStyle w:val="ListParagraph"/>
        <w:rPr>
          <w:bCs/>
        </w:rPr>
      </w:pPr>
    </w:p>
    <w:p w14:paraId="0CDE30D2" w14:textId="77777777" w:rsidR="00436D22" w:rsidRDefault="0005394E" w:rsidP="00436D22">
      <w:pPr>
        <w:pStyle w:val="Body"/>
        <w:numPr>
          <w:ilvl w:val="0"/>
          <w:numId w:val="17"/>
        </w:numPr>
        <w:spacing w:before="120" w:after="120" w:line="360" w:lineRule="auto"/>
        <w:ind w:left="851" w:hanging="851"/>
        <w:jc w:val="both"/>
        <w:rPr>
          <w:bCs/>
          <w:sz w:val="24"/>
          <w:szCs w:val="24"/>
        </w:rPr>
      </w:pPr>
      <w:r w:rsidRPr="00436D22">
        <w:rPr>
          <w:bCs/>
          <w:sz w:val="24"/>
          <w:szCs w:val="24"/>
        </w:rPr>
        <w:t>It is common cause that on</w:t>
      </w:r>
      <w:r w:rsidR="001D4D92" w:rsidRPr="00436D22">
        <w:rPr>
          <w:bCs/>
          <w:sz w:val="24"/>
          <w:szCs w:val="24"/>
        </w:rPr>
        <w:t xml:space="preserve"> 22 September 2023</w:t>
      </w:r>
      <w:r w:rsidRPr="00436D22">
        <w:rPr>
          <w:bCs/>
          <w:sz w:val="24"/>
          <w:szCs w:val="24"/>
        </w:rPr>
        <w:t xml:space="preserve"> certain structures were removed by the first respondent from </w:t>
      </w:r>
      <w:r w:rsidR="00E76029" w:rsidRPr="00436D22">
        <w:rPr>
          <w:bCs/>
          <w:sz w:val="24"/>
          <w:szCs w:val="24"/>
        </w:rPr>
        <w:t>portion 79 of the farm De-Wagendrift. Portion 79 was acquired by the first respondent and developed into a township to accommodate residents of an informal community in the area. After the declaration of the township and installation of services, the community was divided into two groups, A and B. Both Group A and Group B were moved into the township without incident.</w:t>
      </w:r>
    </w:p>
    <w:p w14:paraId="4303A1C2" w14:textId="77777777" w:rsidR="00436D22" w:rsidRDefault="00436D22" w:rsidP="00436D22">
      <w:pPr>
        <w:pStyle w:val="ListParagraph"/>
        <w:rPr>
          <w:bCs/>
        </w:rPr>
      </w:pPr>
    </w:p>
    <w:p w14:paraId="674F2D6C" w14:textId="77777777" w:rsidR="00436D22" w:rsidRDefault="00E76029" w:rsidP="00436D22">
      <w:pPr>
        <w:pStyle w:val="Body"/>
        <w:numPr>
          <w:ilvl w:val="0"/>
          <w:numId w:val="17"/>
        </w:numPr>
        <w:spacing w:before="120" w:after="120" w:line="360" w:lineRule="auto"/>
        <w:ind w:left="851" w:hanging="851"/>
        <w:jc w:val="both"/>
        <w:rPr>
          <w:bCs/>
          <w:sz w:val="24"/>
          <w:szCs w:val="24"/>
        </w:rPr>
      </w:pPr>
      <w:r w:rsidRPr="00436D22">
        <w:rPr>
          <w:bCs/>
          <w:sz w:val="24"/>
          <w:szCs w:val="24"/>
        </w:rPr>
        <w:t>After these two groups were moved, there remained 15 unoccupied stands. According to the first respondent, these stands could not be occupied by the present applicants who call themselves Group C</w:t>
      </w:r>
      <w:r w:rsidR="00223D53" w:rsidRPr="00436D22">
        <w:rPr>
          <w:bCs/>
          <w:sz w:val="24"/>
          <w:szCs w:val="24"/>
        </w:rPr>
        <w:t>.</w:t>
      </w:r>
    </w:p>
    <w:p w14:paraId="638E6990" w14:textId="77777777" w:rsidR="00436D22" w:rsidRDefault="00436D22" w:rsidP="00436D22">
      <w:pPr>
        <w:pStyle w:val="ListParagraph"/>
        <w:rPr>
          <w:bCs/>
        </w:rPr>
      </w:pPr>
    </w:p>
    <w:p w14:paraId="754821E0" w14:textId="17F7FCD4" w:rsidR="00223D53" w:rsidRPr="00436D22" w:rsidRDefault="00223D53" w:rsidP="00436D22">
      <w:pPr>
        <w:pStyle w:val="Body"/>
        <w:numPr>
          <w:ilvl w:val="0"/>
          <w:numId w:val="17"/>
        </w:numPr>
        <w:spacing w:before="120" w:after="120" w:line="360" w:lineRule="auto"/>
        <w:ind w:left="851" w:hanging="851"/>
        <w:jc w:val="both"/>
        <w:rPr>
          <w:bCs/>
          <w:sz w:val="24"/>
          <w:szCs w:val="24"/>
        </w:rPr>
      </w:pPr>
      <w:r w:rsidRPr="00436D22">
        <w:rPr>
          <w:bCs/>
          <w:sz w:val="24"/>
          <w:szCs w:val="24"/>
        </w:rPr>
        <w:t xml:space="preserve">This was </w:t>
      </w:r>
      <w:r w:rsidR="00E76029" w:rsidRPr="00436D22">
        <w:rPr>
          <w:bCs/>
          <w:sz w:val="24"/>
          <w:szCs w:val="24"/>
        </w:rPr>
        <w:t xml:space="preserve">because </w:t>
      </w:r>
      <w:r w:rsidR="00E76029" w:rsidRPr="00436D22">
        <w:rPr>
          <w:bCs/>
          <w:i/>
          <w:iCs/>
          <w:sz w:val="24"/>
          <w:szCs w:val="24"/>
        </w:rPr>
        <w:t>inter alia</w:t>
      </w:r>
      <w:r w:rsidRPr="00436D22">
        <w:rPr>
          <w:bCs/>
          <w:i/>
          <w:iCs/>
          <w:sz w:val="24"/>
          <w:szCs w:val="24"/>
        </w:rPr>
        <w:t>:</w:t>
      </w:r>
    </w:p>
    <w:p w14:paraId="1FAAFE80" w14:textId="13208E1A" w:rsidR="00436D22" w:rsidRDefault="00436D22" w:rsidP="00436D22">
      <w:pPr>
        <w:pStyle w:val="Body"/>
        <w:spacing w:before="120" w:after="120" w:line="360" w:lineRule="auto"/>
        <w:jc w:val="both"/>
        <w:rPr>
          <w:bCs/>
          <w:sz w:val="24"/>
          <w:szCs w:val="24"/>
        </w:rPr>
      </w:pPr>
    </w:p>
    <w:p w14:paraId="62F840E7" w14:textId="68DEC65E" w:rsidR="007231A7" w:rsidRDefault="007231A7" w:rsidP="00436D22">
      <w:pPr>
        <w:pStyle w:val="Body"/>
        <w:spacing w:before="120" w:after="120" w:line="360" w:lineRule="auto"/>
        <w:jc w:val="both"/>
        <w:rPr>
          <w:bCs/>
          <w:sz w:val="24"/>
          <w:szCs w:val="24"/>
        </w:rPr>
      </w:pPr>
    </w:p>
    <w:p w14:paraId="456CE5EE" w14:textId="77777777" w:rsidR="007231A7" w:rsidRPr="00436D22" w:rsidRDefault="007231A7" w:rsidP="00436D22">
      <w:pPr>
        <w:pStyle w:val="Body"/>
        <w:spacing w:before="120" w:after="120" w:line="360" w:lineRule="auto"/>
        <w:jc w:val="both"/>
        <w:rPr>
          <w:bCs/>
          <w:sz w:val="24"/>
          <w:szCs w:val="24"/>
        </w:rPr>
      </w:pPr>
    </w:p>
    <w:p w14:paraId="05C47D9A" w14:textId="4F6D028D" w:rsidR="00223D53" w:rsidRDefault="00223D53" w:rsidP="00436D22">
      <w:pPr>
        <w:pStyle w:val="Body"/>
        <w:spacing w:before="120" w:after="120" w:line="360" w:lineRule="auto"/>
        <w:ind w:left="1701" w:hanging="850"/>
        <w:jc w:val="both"/>
        <w:rPr>
          <w:bCs/>
          <w:sz w:val="24"/>
          <w:szCs w:val="24"/>
        </w:rPr>
      </w:pPr>
      <w:r>
        <w:rPr>
          <w:bCs/>
          <w:sz w:val="24"/>
          <w:szCs w:val="24"/>
        </w:rPr>
        <w:t>[6.1]</w:t>
      </w:r>
      <w:r>
        <w:rPr>
          <w:bCs/>
          <w:sz w:val="24"/>
          <w:szCs w:val="24"/>
        </w:rPr>
        <w:tab/>
        <w:t>F</w:t>
      </w:r>
      <w:r w:rsidR="00E76029">
        <w:rPr>
          <w:bCs/>
          <w:sz w:val="24"/>
          <w:szCs w:val="24"/>
        </w:rPr>
        <w:t xml:space="preserve">irstly, Sanral who is responsible for the Moloto Road which the township adjoins expressed safety concerns if there were to be residents occupying certain stands too close to the road and </w:t>
      </w:r>
    </w:p>
    <w:p w14:paraId="38153B43" w14:textId="77777777" w:rsidR="00436D22" w:rsidRDefault="00436D22" w:rsidP="007231A7">
      <w:pPr>
        <w:pStyle w:val="Body"/>
        <w:spacing w:before="120" w:after="120" w:line="360" w:lineRule="auto"/>
        <w:jc w:val="both"/>
        <w:rPr>
          <w:bCs/>
          <w:sz w:val="24"/>
          <w:szCs w:val="24"/>
        </w:rPr>
      </w:pPr>
    </w:p>
    <w:p w14:paraId="1264E6A7" w14:textId="218F5AC0" w:rsidR="00223D53" w:rsidRDefault="00223D53" w:rsidP="00436D22">
      <w:pPr>
        <w:pStyle w:val="Body"/>
        <w:spacing w:before="120" w:after="120" w:line="360" w:lineRule="auto"/>
        <w:ind w:left="1701" w:hanging="850"/>
        <w:jc w:val="both"/>
        <w:rPr>
          <w:bCs/>
          <w:sz w:val="24"/>
          <w:szCs w:val="24"/>
        </w:rPr>
      </w:pPr>
      <w:r>
        <w:rPr>
          <w:bCs/>
          <w:sz w:val="24"/>
          <w:szCs w:val="24"/>
        </w:rPr>
        <w:t>[6.2]</w:t>
      </w:r>
      <w:r>
        <w:rPr>
          <w:bCs/>
          <w:sz w:val="24"/>
          <w:szCs w:val="24"/>
        </w:rPr>
        <w:tab/>
        <w:t>S</w:t>
      </w:r>
      <w:r w:rsidR="00E76029">
        <w:rPr>
          <w:bCs/>
          <w:sz w:val="24"/>
          <w:szCs w:val="24"/>
        </w:rPr>
        <w:t xml:space="preserve">econdly, </w:t>
      </w:r>
      <w:r w:rsidR="00057332">
        <w:rPr>
          <w:bCs/>
          <w:sz w:val="24"/>
          <w:szCs w:val="24"/>
        </w:rPr>
        <w:t xml:space="preserve">certain stands had been earmarked for the extension of the adjoining local clinic at the request of the Department of Health and </w:t>
      </w:r>
    </w:p>
    <w:p w14:paraId="13993BCA" w14:textId="77777777" w:rsidR="00436D22" w:rsidRDefault="00436D22" w:rsidP="00436D22">
      <w:pPr>
        <w:pStyle w:val="Body"/>
        <w:spacing w:before="120" w:after="120" w:line="360" w:lineRule="auto"/>
        <w:ind w:left="1701" w:hanging="850"/>
        <w:jc w:val="both"/>
        <w:rPr>
          <w:bCs/>
          <w:sz w:val="24"/>
          <w:szCs w:val="24"/>
        </w:rPr>
      </w:pPr>
    </w:p>
    <w:p w14:paraId="3F1ACE6B" w14:textId="78976528" w:rsidR="00E76029" w:rsidRDefault="00223D53" w:rsidP="00436D22">
      <w:pPr>
        <w:pStyle w:val="Body"/>
        <w:spacing w:before="120" w:after="120" w:line="360" w:lineRule="auto"/>
        <w:ind w:left="1701" w:hanging="850"/>
        <w:jc w:val="both"/>
        <w:rPr>
          <w:bCs/>
          <w:sz w:val="24"/>
          <w:szCs w:val="24"/>
        </w:rPr>
      </w:pPr>
      <w:r>
        <w:rPr>
          <w:bCs/>
          <w:sz w:val="24"/>
          <w:szCs w:val="24"/>
        </w:rPr>
        <w:t>[6.3]</w:t>
      </w:r>
      <w:r>
        <w:rPr>
          <w:bCs/>
          <w:sz w:val="24"/>
          <w:szCs w:val="24"/>
        </w:rPr>
        <w:tab/>
        <w:t>T</w:t>
      </w:r>
      <w:r w:rsidR="00057332">
        <w:rPr>
          <w:bCs/>
          <w:sz w:val="24"/>
          <w:szCs w:val="24"/>
        </w:rPr>
        <w:t xml:space="preserve">hirdly, </w:t>
      </w:r>
      <w:r w:rsidR="00E76029">
        <w:rPr>
          <w:bCs/>
          <w:sz w:val="24"/>
          <w:szCs w:val="24"/>
        </w:rPr>
        <w:t xml:space="preserve">Eskom also expressed safety concerns in respect of other stands because of </w:t>
      </w:r>
      <w:r w:rsidR="001D68FC">
        <w:rPr>
          <w:bCs/>
          <w:sz w:val="24"/>
          <w:szCs w:val="24"/>
        </w:rPr>
        <w:t>their proximity to electrical infrastructure. These are the reasons the 15 stands were not allocated for occupation</w:t>
      </w:r>
      <w:r w:rsidR="00057332">
        <w:rPr>
          <w:bCs/>
          <w:sz w:val="24"/>
          <w:szCs w:val="24"/>
        </w:rPr>
        <w:t xml:space="preserve"> and could not lawfully be occupied by anyone.</w:t>
      </w:r>
    </w:p>
    <w:p w14:paraId="6310B93F" w14:textId="77777777" w:rsidR="00436D22" w:rsidRDefault="00436D22" w:rsidP="00436D22">
      <w:pPr>
        <w:pStyle w:val="Body"/>
        <w:spacing w:before="120" w:after="120" w:line="360" w:lineRule="auto"/>
        <w:ind w:left="1701" w:hanging="850"/>
        <w:jc w:val="both"/>
        <w:rPr>
          <w:bCs/>
          <w:sz w:val="24"/>
          <w:szCs w:val="24"/>
        </w:rPr>
      </w:pPr>
    </w:p>
    <w:p w14:paraId="260C289E" w14:textId="3B7EF503" w:rsidR="00436D22" w:rsidRDefault="001D68FC" w:rsidP="00436D22">
      <w:pPr>
        <w:pStyle w:val="Body"/>
        <w:numPr>
          <w:ilvl w:val="0"/>
          <w:numId w:val="17"/>
        </w:numPr>
        <w:spacing w:before="120" w:after="120" w:line="360" w:lineRule="auto"/>
        <w:ind w:left="851" w:hanging="851"/>
        <w:jc w:val="both"/>
        <w:rPr>
          <w:bCs/>
          <w:sz w:val="24"/>
          <w:szCs w:val="24"/>
        </w:rPr>
      </w:pPr>
      <w:r>
        <w:rPr>
          <w:bCs/>
          <w:sz w:val="24"/>
          <w:szCs w:val="24"/>
        </w:rPr>
        <w:t>The applicants did not accept that they would for safety reasons have to wait for other property to be acquired for them and so proceeded to erect structures on the unoccupied stands.</w:t>
      </w:r>
    </w:p>
    <w:p w14:paraId="108A5619" w14:textId="77777777" w:rsidR="00436D22" w:rsidRDefault="00436D22" w:rsidP="00436D22">
      <w:pPr>
        <w:pStyle w:val="Body"/>
        <w:spacing w:before="120" w:after="120" w:line="360" w:lineRule="auto"/>
        <w:ind w:left="851"/>
        <w:jc w:val="both"/>
        <w:rPr>
          <w:bCs/>
          <w:sz w:val="24"/>
          <w:szCs w:val="24"/>
        </w:rPr>
      </w:pPr>
    </w:p>
    <w:p w14:paraId="58D628F3" w14:textId="4247683B" w:rsidR="00436D22" w:rsidRDefault="001D68FC" w:rsidP="00436D22">
      <w:pPr>
        <w:pStyle w:val="Body"/>
        <w:numPr>
          <w:ilvl w:val="0"/>
          <w:numId w:val="17"/>
        </w:numPr>
        <w:spacing w:before="120" w:after="120" w:line="360" w:lineRule="auto"/>
        <w:ind w:left="851" w:hanging="851"/>
        <w:jc w:val="both"/>
        <w:rPr>
          <w:bCs/>
          <w:sz w:val="24"/>
          <w:szCs w:val="24"/>
        </w:rPr>
      </w:pPr>
      <w:r w:rsidRPr="00436D22">
        <w:rPr>
          <w:bCs/>
          <w:sz w:val="24"/>
          <w:szCs w:val="24"/>
        </w:rPr>
        <w:t xml:space="preserve">It is apposite to mention at this juncture that while the applicants filed founding papers and the respondent’s answering papers, no reply was filed by the applicants. </w:t>
      </w:r>
      <w:r w:rsidR="008D4FA4" w:rsidRPr="00436D22">
        <w:rPr>
          <w:bCs/>
          <w:sz w:val="24"/>
          <w:szCs w:val="24"/>
        </w:rPr>
        <w:t xml:space="preserve">It was held in </w:t>
      </w:r>
      <w:r w:rsidR="008D4FA4" w:rsidRPr="00436D22">
        <w:rPr>
          <w:rFonts w:cs="Arial"/>
          <w:i/>
          <w:iCs/>
          <w:sz w:val="24"/>
          <w:szCs w:val="24"/>
        </w:rPr>
        <w:t>Stellenbosch Farmers’ Winery Ltd v Stellenvale Winery (Pty) Ltd</w:t>
      </w:r>
      <w:r w:rsidR="008D4FA4">
        <w:rPr>
          <w:rStyle w:val="FootnoteReference"/>
          <w:rFonts w:cs="Arial"/>
          <w:i/>
          <w:iCs/>
          <w:sz w:val="24"/>
          <w:szCs w:val="24"/>
        </w:rPr>
        <w:footnoteReference w:id="1"/>
      </w:r>
      <w:r w:rsidR="008D4FA4" w:rsidRPr="00436D22">
        <w:rPr>
          <w:rFonts w:cs="Arial"/>
          <w:i/>
          <w:iCs/>
          <w:sz w:val="24"/>
          <w:szCs w:val="24"/>
        </w:rPr>
        <w:t xml:space="preserve"> that</w:t>
      </w:r>
      <w:r w:rsidR="008D4FA4" w:rsidRPr="00436D22">
        <w:rPr>
          <w:rFonts w:cs="Arial"/>
          <w:i/>
          <w:iCs/>
          <w:sz w:val="20"/>
          <w:szCs w:val="20"/>
        </w:rPr>
        <w:t xml:space="preserve"> </w:t>
      </w:r>
      <w:r w:rsidR="008D4FA4" w:rsidRPr="00436D22">
        <w:rPr>
          <w:bCs/>
          <w:i/>
          <w:iCs/>
          <w:sz w:val="22"/>
          <w:szCs w:val="22"/>
        </w:rPr>
        <w:t xml:space="preserve">“It seems to me that where there is a dispute as to the facts a final interdict should only be granted in notice of motion proceedings </w:t>
      </w:r>
      <w:r w:rsidR="008D4FA4" w:rsidRPr="00376915">
        <w:rPr>
          <w:bCs/>
          <w:i/>
          <w:iCs/>
          <w:sz w:val="22"/>
          <w:szCs w:val="22"/>
          <w:u w:val="single"/>
        </w:rPr>
        <w:t>if the facts as stated by the respondents together with the admitted facts in the applicant’s affidavit justify such an order.</w:t>
      </w:r>
      <w:r w:rsidR="008D4FA4" w:rsidRPr="00436D22">
        <w:rPr>
          <w:bCs/>
          <w:i/>
          <w:iCs/>
          <w:sz w:val="22"/>
          <w:szCs w:val="22"/>
        </w:rPr>
        <w:t>”</w:t>
      </w:r>
      <w:r w:rsidR="009A37B0" w:rsidRPr="008D4FA4">
        <w:rPr>
          <w:rStyle w:val="FootnoteReference"/>
          <w:bCs/>
          <w:i/>
          <w:iCs/>
          <w:sz w:val="22"/>
          <w:szCs w:val="22"/>
        </w:rPr>
        <w:footnoteReference w:id="2"/>
      </w:r>
      <w:r w:rsidR="00376915">
        <w:rPr>
          <w:bCs/>
          <w:sz w:val="24"/>
          <w:szCs w:val="24"/>
        </w:rPr>
        <w:t xml:space="preserve">  (my underlining)This is the approach I intend to take in the consideration of this matter.</w:t>
      </w:r>
    </w:p>
    <w:p w14:paraId="2AEDDDBA" w14:textId="77777777" w:rsidR="00436D22" w:rsidRDefault="00436D22" w:rsidP="00436D22">
      <w:pPr>
        <w:pStyle w:val="ListParagraph"/>
        <w:rPr>
          <w:bCs/>
        </w:rPr>
      </w:pPr>
    </w:p>
    <w:p w14:paraId="74A0D45D" w14:textId="50621E69" w:rsidR="008437FE" w:rsidRPr="00436D22" w:rsidRDefault="008D4FA4" w:rsidP="00436D22">
      <w:pPr>
        <w:pStyle w:val="Body"/>
        <w:numPr>
          <w:ilvl w:val="0"/>
          <w:numId w:val="17"/>
        </w:numPr>
        <w:spacing w:before="120" w:after="120" w:line="360" w:lineRule="auto"/>
        <w:ind w:left="851" w:hanging="851"/>
        <w:jc w:val="both"/>
        <w:rPr>
          <w:bCs/>
          <w:sz w:val="24"/>
          <w:szCs w:val="24"/>
        </w:rPr>
      </w:pPr>
      <w:r w:rsidRPr="00436D22">
        <w:rPr>
          <w:bCs/>
          <w:sz w:val="24"/>
          <w:szCs w:val="24"/>
        </w:rPr>
        <w:lastRenderedPageBreak/>
        <w:t xml:space="preserve">While the order sought in </w:t>
      </w:r>
      <w:r w:rsidR="00E56239" w:rsidRPr="00436D22">
        <w:rPr>
          <w:bCs/>
          <w:sz w:val="24"/>
          <w:szCs w:val="24"/>
        </w:rPr>
        <w:t xml:space="preserve">Part A of </w:t>
      </w:r>
      <w:r w:rsidRPr="00436D22">
        <w:rPr>
          <w:bCs/>
          <w:sz w:val="24"/>
          <w:szCs w:val="24"/>
        </w:rPr>
        <w:t xml:space="preserve">the present matter is not a final order but a </w:t>
      </w:r>
      <w:r w:rsidRPr="00436D22">
        <w:rPr>
          <w:bCs/>
          <w:i/>
          <w:iCs/>
          <w:sz w:val="24"/>
          <w:szCs w:val="24"/>
        </w:rPr>
        <w:t>mandament van spolie</w:t>
      </w:r>
      <w:r w:rsidRPr="00436D22">
        <w:rPr>
          <w:bCs/>
          <w:sz w:val="24"/>
          <w:szCs w:val="24"/>
        </w:rPr>
        <w:t>, it is nevertheless necessary for the applicants to make out a case for th</w:t>
      </w:r>
      <w:r w:rsidR="00376915">
        <w:rPr>
          <w:bCs/>
          <w:sz w:val="24"/>
          <w:szCs w:val="24"/>
        </w:rPr>
        <w:t>e order sought</w:t>
      </w:r>
      <w:r w:rsidRPr="00436D22">
        <w:rPr>
          <w:bCs/>
          <w:sz w:val="24"/>
          <w:szCs w:val="24"/>
        </w:rPr>
        <w:t>.</w:t>
      </w:r>
      <w:r w:rsidR="00663A12" w:rsidRPr="00436D22">
        <w:rPr>
          <w:bCs/>
          <w:sz w:val="24"/>
          <w:szCs w:val="24"/>
        </w:rPr>
        <w:t xml:space="preserve"> </w:t>
      </w:r>
      <w:r w:rsidR="00376915">
        <w:rPr>
          <w:sz w:val="24"/>
          <w:szCs w:val="24"/>
        </w:rPr>
        <w:t>I</w:t>
      </w:r>
      <w:r w:rsidR="008437FE" w:rsidRPr="00D66445">
        <w:rPr>
          <w:sz w:val="24"/>
          <w:szCs w:val="24"/>
        </w:rPr>
        <w:t xml:space="preserve">n </w:t>
      </w:r>
      <w:r w:rsidR="008437FE" w:rsidRPr="00436D22">
        <w:rPr>
          <w:bCs/>
          <w:i/>
          <w:iCs/>
          <w:sz w:val="24"/>
          <w:szCs w:val="24"/>
        </w:rPr>
        <w:t xml:space="preserve">Knox v Second Lifestyle Properties Pty Ltd </w:t>
      </w:r>
      <w:r w:rsidR="008437FE" w:rsidRPr="00E56239">
        <w:rPr>
          <w:rStyle w:val="FootnoteReference"/>
          <w:bCs/>
          <w:i/>
          <w:iCs/>
          <w:sz w:val="24"/>
          <w:szCs w:val="24"/>
        </w:rPr>
        <w:footnoteReference w:id="3"/>
      </w:r>
      <w:r w:rsidR="00E56239" w:rsidRPr="00436D22">
        <w:rPr>
          <w:bCs/>
          <w:i/>
          <w:iCs/>
          <w:sz w:val="24"/>
          <w:szCs w:val="24"/>
        </w:rPr>
        <w:t xml:space="preserve"> </w:t>
      </w:r>
      <w:r w:rsidR="008437FE" w:rsidRPr="00D66445">
        <w:rPr>
          <w:sz w:val="24"/>
          <w:szCs w:val="24"/>
        </w:rPr>
        <w:t xml:space="preserve"> </w:t>
      </w:r>
      <w:r w:rsidR="00D66445" w:rsidRPr="00D66445">
        <w:rPr>
          <w:sz w:val="24"/>
          <w:szCs w:val="24"/>
        </w:rPr>
        <w:t>it was held</w:t>
      </w:r>
      <w:r w:rsidR="008437FE" w:rsidRPr="00D66445">
        <w:rPr>
          <w:sz w:val="24"/>
          <w:szCs w:val="24"/>
        </w:rPr>
        <w:t>:</w:t>
      </w:r>
    </w:p>
    <w:p w14:paraId="58FFD710" w14:textId="77777777" w:rsidR="008437FE" w:rsidRDefault="008437FE" w:rsidP="00436D22">
      <w:pPr>
        <w:pStyle w:val="ListParagraph"/>
        <w:spacing w:line="360" w:lineRule="auto"/>
        <w:rPr>
          <w:sz w:val="22"/>
          <w:szCs w:val="22"/>
        </w:rPr>
      </w:pPr>
    </w:p>
    <w:p w14:paraId="69EA7493" w14:textId="77777777" w:rsidR="008437FE" w:rsidRDefault="008437FE" w:rsidP="00436D22">
      <w:pPr>
        <w:pStyle w:val="Body"/>
        <w:spacing w:line="360" w:lineRule="auto"/>
        <w:ind w:left="1440"/>
        <w:jc w:val="both"/>
        <w:rPr>
          <w:i/>
          <w:sz w:val="22"/>
          <w:szCs w:val="22"/>
        </w:rPr>
      </w:pPr>
      <w:r w:rsidRPr="0071389B">
        <w:rPr>
          <w:i/>
          <w:sz w:val="22"/>
          <w:szCs w:val="22"/>
        </w:rPr>
        <w:t xml:space="preserve">“It is trite that in an application for spoliation, the applicants need to show only two grounds namely: </w:t>
      </w:r>
    </w:p>
    <w:p w14:paraId="62871D97" w14:textId="77777777" w:rsidR="008437FE" w:rsidRPr="0071389B" w:rsidRDefault="008437FE" w:rsidP="00436D22">
      <w:pPr>
        <w:pStyle w:val="Body"/>
        <w:spacing w:line="360" w:lineRule="auto"/>
        <w:ind w:left="1440"/>
        <w:jc w:val="both"/>
        <w:rPr>
          <w:i/>
          <w:sz w:val="22"/>
          <w:szCs w:val="22"/>
        </w:rPr>
      </w:pPr>
    </w:p>
    <w:p w14:paraId="74872329" w14:textId="77777777" w:rsidR="008437FE" w:rsidRDefault="008437FE" w:rsidP="00436D22">
      <w:pPr>
        <w:pStyle w:val="Body"/>
        <w:spacing w:line="360" w:lineRule="auto"/>
        <w:ind w:left="1440"/>
        <w:jc w:val="both"/>
        <w:rPr>
          <w:i/>
          <w:sz w:val="22"/>
          <w:szCs w:val="22"/>
        </w:rPr>
      </w:pPr>
      <w:r w:rsidRPr="0071389B">
        <w:rPr>
          <w:i/>
          <w:sz w:val="22"/>
          <w:szCs w:val="22"/>
        </w:rPr>
        <w:t>20.1</w:t>
      </w:r>
      <w:r w:rsidRPr="0071389B">
        <w:rPr>
          <w:i/>
          <w:sz w:val="22"/>
          <w:szCs w:val="22"/>
        </w:rPr>
        <w:tab/>
        <w:t>That there were in peaceful and undisturbed possession of the thing, and</w:t>
      </w:r>
    </w:p>
    <w:p w14:paraId="7F5CDF04" w14:textId="77777777" w:rsidR="008437FE" w:rsidRPr="0071389B" w:rsidRDefault="008437FE" w:rsidP="00436D22">
      <w:pPr>
        <w:pStyle w:val="Body"/>
        <w:spacing w:line="360" w:lineRule="auto"/>
        <w:ind w:left="1440"/>
        <w:jc w:val="both"/>
        <w:rPr>
          <w:i/>
          <w:sz w:val="22"/>
          <w:szCs w:val="22"/>
        </w:rPr>
      </w:pPr>
    </w:p>
    <w:p w14:paraId="28E497DD" w14:textId="77777777" w:rsidR="008437FE" w:rsidRDefault="008437FE" w:rsidP="00436D22">
      <w:pPr>
        <w:pStyle w:val="Body"/>
        <w:spacing w:line="360" w:lineRule="auto"/>
        <w:ind w:left="2127" w:hanging="709"/>
        <w:jc w:val="both"/>
        <w:rPr>
          <w:i/>
          <w:sz w:val="22"/>
          <w:szCs w:val="22"/>
        </w:rPr>
      </w:pPr>
      <w:r w:rsidRPr="0071389B">
        <w:rPr>
          <w:i/>
          <w:sz w:val="22"/>
          <w:szCs w:val="22"/>
        </w:rPr>
        <w:t>20.2</w:t>
      </w:r>
      <w:r w:rsidRPr="0071389B">
        <w:rPr>
          <w:i/>
          <w:sz w:val="22"/>
          <w:szCs w:val="22"/>
        </w:rPr>
        <w:tab/>
        <w:t>that they have been unlawfully deprived of that possession.  See in this regard Yeko v Qana 1973 (4) SA 735A.</w:t>
      </w:r>
    </w:p>
    <w:p w14:paraId="64A2B30E" w14:textId="77777777" w:rsidR="008437FE" w:rsidRPr="0071389B" w:rsidRDefault="008437FE" w:rsidP="00436D22">
      <w:pPr>
        <w:pStyle w:val="Body"/>
        <w:spacing w:line="360" w:lineRule="auto"/>
        <w:ind w:left="2127" w:hanging="709"/>
        <w:jc w:val="both"/>
        <w:rPr>
          <w:i/>
          <w:sz w:val="22"/>
          <w:szCs w:val="22"/>
        </w:rPr>
      </w:pPr>
    </w:p>
    <w:p w14:paraId="50BBFBA6" w14:textId="1B33CD1D" w:rsidR="008437FE" w:rsidRDefault="008437FE" w:rsidP="00436D22">
      <w:pPr>
        <w:pStyle w:val="Body"/>
        <w:spacing w:line="360" w:lineRule="auto"/>
        <w:ind w:left="2127" w:hanging="709"/>
        <w:jc w:val="both"/>
        <w:rPr>
          <w:i/>
          <w:sz w:val="22"/>
          <w:szCs w:val="22"/>
        </w:rPr>
      </w:pPr>
      <w:r w:rsidRPr="0071389B">
        <w:rPr>
          <w:i/>
          <w:sz w:val="22"/>
          <w:szCs w:val="22"/>
        </w:rPr>
        <w:t xml:space="preserve">[21] </w:t>
      </w:r>
      <w:r w:rsidRPr="0071389B">
        <w:rPr>
          <w:i/>
          <w:sz w:val="22"/>
          <w:szCs w:val="22"/>
        </w:rPr>
        <w:tab/>
        <w:t xml:space="preserve">Once an applicant establishes these two grounds, he is entitled to relief in terms of the mandament van </w:t>
      </w:r>
      <w:r w:rsidR="00E56239" w:rsidRPr="0071389B">
        <w:rPr>
          <w:i/>
          <w:sz w:val="22"/>
          <w:szCs w:val="22"/>
        </w:rPr>
        <w:t>spolie.</w:t>
      </w:r>
      <w:r w:rsidRPr="0071389B">
        <w:rPr>
          <w:i/>
          <w:sz w:val="22"/>
          <w:szCs w:val="22"/>
        </w:rPr>
        <w:t>”</w:t>
      </w:r>
    </w:p>
    <w:p w14:paraId="2D50993F" w14:textId="77777777" w:rsidR="00D66445" w:rsidRPr="0071389B" w:rsidRDefault="00D66445" w:rsidP="00436D22">
      <w:pPr>
        <w:pStyle w:val="Body"/>
        <w:spacing w:line="360" w:lineRule="auto"/>
        <w:ind w:left="2127" w:hanging="709"/>
        <w:jc w:val="both"/>
        <w:rPr>
          <w:i/>
          <w:sz w:val="22"/>
          <w:szCs w:val="22"/>
        </w:rPr>
      </w:pPr>
    </w:p>
    <w:p w14:paraId="355E675C" w14:textId="01AFF83C" w:rsidR="00D66445" w:rsidRDefault="0005394E" w:rsidP="00D66445">
      <w:pPr>
        <w:pStyle w:val="Body"/>
        <w:numPr>
          <w:ilvl w:val="0"/>
          <w:numId w:val="17"/>
        </w:numPr>
        <w:spacing w:before="120" w:after="120" w:line="360" w:lineRule="auto"/>
        <w:ind w:left="851" w:hanging="851"/>
        <w:jc w:val="both"/>
        <w:rPr>
          <w:bCs/>
          <w:sz w:val="24"/>
          <w:szCs w:val="24"/>
        </w:rPr>
      </w:pPr>
      <w:r w:rsidRPr="008437FE">
        <w:rPr>
          <w:bCs/>
          <w:sz w:val="24"/>
          <w:szCs w:val="24"/>
        </w:rPr>
        <w:t xml:space="preserve">Decision of this application turns on a single issue – whether the applicants were in </w:t>
      </w:r>
      <w:r w:rsidR="008437FE">
        <w:rPr>
          <w:bCs/>
          <w:sz w:val="24"/>
          <w:szCs w:val="24"/>
        </w:rPr>
        <w:t xml:space="preserve">peaceful and undisturbed </w:t>
      </w:r>
      <w:r w:rsidRPr="008437FE">
        <w:rPr>
          <w:bCs/>
          <w:sz w:val="24"/>
          <w:szCs w:val="24"/>
        </w:rPr>
        <w:t>possession of the</w:t>
      </w:r>
      <w:r w:rsidR="008437FE">
        <w:rPr>
          <w:bCs/>
          <w:sz w:val="24"/>
          <w:szCs w:val="24"/>
        </w:rPr>
        <w:t xml:space="preserve"> structures that were demolished</w:t>
      </w:r>
      <w:r w:rsidR="00E56239">
        <w:rPr>
          <w:bCs/>
          <w:sz w:val="24"/>
          <w:szCs w:val="24"/>
        </w:rPr>
        <w:t xml:space="preserve"> and that this was unlawful</w:t>
      </w:r>
      <w:r w:rsidR="008437FE">
        <w:rPr>
          <w:bCs/>
          <w:sz w:val="24"/>
          <w:szCs w:val="24"/>
        </w:rPr>
        <w:t>.</w:t>
      </w:r>
      <w:r w:rsidR="00E56239">
        <w:rPr>
          <w:bCs/>
          <w:sz w:val="24"/>
          <w:szCs w:val="24"/>
        </w:rPr>
        <w:t xml:space="preserve"> </w:t>
      </w:r>
    </w:p>
    <w:p w14:paraId="56D2D808" w14:textId="77777777" w:rsidR="00D66445" w:rsidRDefault="00D66445" w:rsidP="00D66445">
      <w:pPr>
        <w:pStyle w:val="Body"/>
        <w:spacing w:before="120" w:after="120" w:line="360" w:lineRule="auto"/>
        <w:ind w:left="851"/>
        <w:jc w:val="both"/>
        <w:rPr>
          <w:bCs/>
          <w:sz w:val="24"/>
          <w:szCs w:val="24"/>
        </w:rPr>
      </w:pPr>
    </w:p>
    <w:p w14:paraId="7789F204" w14:textId="77777777" w:rsidR="00D66445" w:rsidRDefault="00E56239" w:rsidP="00D66445">
      <w:pPr>
        <w:pStyle w:val="Body"/>
        <w:numPr>
          <w:ilvl w:val="0"/>
          <w:numId w:val="17"/>
        </w:numPr>
        <w:spacing w:before="120" w:after="120" w:line="360" w:lineRule="auto"/>
        <w:ind w:left="851" w:hanging="851"/>
        <w:jc w:val="both"/>
        <w:rPr>
          <w:bCs/>
          <w:sz w:val="24"/>
          <w:szCs w:val="24"/>
        </w:rPr>
      </w:pPr>
      <w:r w:rsidRPr="00D66445">
        <w:rPr>
          <w:bCs/>
          <w:sz w:val="24"/>
          <w:szCs w:val="24"/>
        </w:rPr>
        <w:t xml:space="preserve">On this aspect, it is the case for the applicants that </w:t>
      </w:r>
      <w:r w:rsidRPr="00D66445">
        <w:rPr>
          <w:bCs/>
          <w:sz w:val="22"/>
          <w:szCs w:val="22"/>
        </w:rPr>
        <w:t>“</w:t>
      </w:r>
      <w:r w:rsidRPr="00D66445">
        <w:rPr>
          <w:bCs/>
          <w:i/>
          <w:iCs/>
          <w:sz w:val="22"/>
          <w:szCs w:val="22"/>
        </w:rPr>
        <w:t>In March 2023, we decided to move ourselves and proceeded to occupy the already demarcated stands that had been earmarked for Group 3. One of the primary reasons for this move was in order to protect our interests in the demarcated area under[sic]  and to prevent the property that had been earmarked and demarcated for the Applicants from being invaded by other third parties.</w:t>
      </w:r>
      <w:r w:rsidRPr="00D66445">
        <w:rPr>
          <w:bCs/>
          <w:sz w:val="22"/>
          <w:szCs w:val="22"/>
        </w:rPr>
        <w:t xml:space="preserve">” </w:t>
      </w:r>
      <w:r w:rsidRPr="00D66445">
        <w:rPr>
          <w:bCs/>
          <w:sz w:val="24"/>
          <w:szCs w:val="24"/>
        </w:rPr>
        <w:t>They went on to assert that the first respondent knew of their occupation and that “</w:t>
      </w:r>
      <w:r w:rsidRPr="00D66445">
        <w:rPr>
          <w:bCs/>
          <w:i/>
          <w:iCs/>
          <w:sz w:val="22"/>
          <w:szCs w:val="22"/>
        </w:rPr>
        <w:t>We continued in a peaceful and undisturbed occupation from March 2023 till August 2023.”</w:t>
      </w:r>
    </w:p>
    <w:p w14:paraId="02168502" w14:textId="77777777" w:rsidR="00D66445" w:rsidRDefault="00D66445" w:rsidP="00D66445">
      <w:pPr>
        <w:pStyle w:val="ListParagraph"/>
        <w:rPr>
          <w:bCs/>
        </w:rPr>
      </w:pPr>
    </w:p>
    <w:p w14:paraId="1734137C" w14:textId="77777777" w:rsidR="00D66445" w:rsidRDefault="00E56239" w:rsidP="00D66445">
      <w:pPr>
        <w:pStyle w:val="Body"/>
        <w:numPr>
          <w:ilvl w:val="0"/>
          <w:numId w:val="17"/>
        </w:numPr>
        <w:spacing w:before="120" w:after="120" w:line="360" w:lineRule="auto"/>
        <w:ind w:left="851" w:hanging="851"/>
        <w:jc w:val="both"/>
        <w:rPr>
          <w:bCs/>
          <w:sz w:val="24"/>
          <w:szCs w:val="24"/>
        </w:rPr>
      </w:pPr>
      <w:r w:rsidRPr="00D66445">
        <w:rPr>
          <w:bCs/>
          <w:sz w:val="24"/>
          <w:szCs w:val="24"/>
        </w:rPr>
        <w:lastRenderedPageBreak/>
        <w:t>On 23 August 2023 notices were given by a security company acting on behalf of the first respondent</w:t>
      </w:r>
      <w:r w:rsidR="00BB04F9" w:rsidRPr="00D66445">
        <w:rPr>
          <w:bCs/>
          <w:sz w:val="24"/>
          <w:szCs w:val="24"/>
        </w:rPr>
        <w:t xml:space="preserve">. The notice informed them to cease and desist immediately with all building activities on the site. A copy of the notice was affixed to each structure and photographs taken to show that this had been done. </w:t>
      </w:r>
    </w:p>
    <w:p w14:paraId="43DC30B9" w14:textId="77777777" w:rsidR="00D66445" w:rsidRDefault="00D66445" w:rsidP="00D66445">
      <w:pPr>
        <w:pStyle w:val="ListParagraph"/>
        <w:rPr>
          <w:bCs/>
        </w:rPr>
      </w:pPr>
    </w:p>
    <w:p w14:paraId="7168575E" w14:textId="77777777" w:rsidR="00D66445" w:rsidRDefault="00BB04F9" w:rsidP="00D66445">
      <w:pPr>
        <w:pStyle w:val="Body"/>
        <w:numPr>
          <w:ilvl w:val="0"/>
          <w:numId w:val="17"/>
        </w:numPr>
        <w:spacing w:before="120" w:after="120" w:line="360" w:lineRule="auto"/>
        <w:ind w:left="851" w:hanging="851"/>
        <w:jc w:val="both"/>
        <w:rPr>
          <w:bCs/>
          <w:sz w:val="24"/>
          <w:szCs w:val="24"/>
        </w:rPr>
      </w:pPr>
      <w:r w:rsidRPr="00D66445">
        <w:rPr>
          <w:bCs/>
          <w:sz w:val="24"/>
          <w:szCs w:val="24"/>
        </w:rPr>
        <w:t xml:space="preserve">On 24 August 2023 the </w:t>
      </w:r>
      <w:r w:rsidR="00057332" w:rsidRPr="00D66445">
        <w:rPr>
          <w:bCs/>
          <w:sz w:val="24"/>
          <w:szCs w:val="24"/>
        </w:rPr>
        <w:t>applicants’</w:t>
      </w:r>
      <w:r w:rsidRPr="00D66445">
        <w:rPr>
          <w:bCs/>
          <w:sz w:val="24"/>
          <w:szCs w:val="24"/>
        </w:rPr>
        <w:t xml:space="preserve"> attorneys wrote to the first respondent complaining that the relocation of Group 3 had not proceeded as anticipated and asserting the right to occupy the vacant stands in consequence of this. The letter makes no mention of the fact that the applicants were alleged to have been in occupation since March 2023. This was only asserted for the first time in the founding affidavit.</w:t>
      </w:r>
    </w:p>
    <w:p w14:paraId="4AECA0DE" w14:textId="77777777" w:rsidR="00D66445" w:rsidRDefault="00D66445" w:rsidP="00D66445">
      <w:pPr>
        <w:pStyle w:val="ListParagraph"/>
        <w:rPr>
          <w:bCs/>
        </w:rPr>
      </w:pPr>
    </w:p>
    <w:p w14:paraId="26F1B903" w14:textId="77777777" w:rsidR="00D66445" w:rsidRDefault="00BB04F9" w:rsidP="00D66445">
      <w:pPr>
        <w:pStyle w:val="Body"/>
        <w:numPr>
          <w:ilvl w:val="0"/>
          <w:numId w:val="17"/>
        </w:numPr>
        <w:spacing w:before="120" w:after="120" w:line="360" w:lineRule="auto"/>
        <w:ind w:left="851" w:hanging="851"/>
        <w:jc w:val="both"/>
        <w:rPr>
          <w:bCs/>
          <w:sz w:val="24"/>
          <w:szCs w:val="24"/>
        </w:rPr>
      </w:pPr>
      <w:r w:rsidRPr="00D66445">
        <w:rPr>
          <w:bCs/>
          <w:sz w:val="24"/>
          <w:szCs w:val="24"/>
        </w:rPr>
        <w:t>The applicants furnished photographs taken in which the demolition and removal of the structures is depicted. There was also reference to a video although this could not be accessed on caselines. The first respondent for its part also furnished various photographs of the structures taken on 3 August 2023</w:t>
      </w:r>
      <w:r w:rsidR="00057332" w:rsidRPr="00D66445">
        <w:rPr>
          <w:bCs/>
          <w:sz w:val="24"/>
          <w:szCs w:val="24"/>
        </w:rPr>
        <w:t xml:space="preserve"> when the notices were affixed to the structures. Those photographs show that the majority of the structures were incomplete, having neither a roof nor doors or windows in most cases. </w:t>
      </w:r>
    </w:p>
    <w:p w14:paraId="22538261" w14:textId="77777777" w:rsidR="00D66445" w:rsidRDefault="00D66445" w:rsidP="00D66445">
      <w:pPr>
        <w:pStyle w:val="ListParagraph"/>
        <w:rPr>
          <w:bCs/>
        </w:rPr>
      </w:pPr>
    </w:p>
    <w:p w14:paraId="40C85AB0" w14:textId="77777777" w:rsidR="00D66445" w:rsidRDefault="00057332" w:rsidP="00D66445">
      <w:pPr>
        <w:pStyle w:val="Body"/>
        <w:numPr>
          <w:ilvl w:val="0"/>
          <w:numId w:val="17"/>
        </w:numPr>
        <w:spacing w:before="120" w:after="120" w:line="360" w:lineRule="auto"/>
        <w:ind w:left="851" w:hanging="851"/>
        <w:jc w:val="both"/>
        <w:rPr>
          <w:bCs/>
          <w:sz w:val="24"/>
          <w:szCs w:val="24"/>
        </w:rPr>
      </w:pPr>
      <w:r w:rsidRPr="00D66445">
        <w:rPr>
          <w:bCs/>
          <w:sz w:val="24"/>
          <w:szCs w:val="24"/>
        </w:rPr>
        <w:t>Common to all the photographs furnished by the parties is the absence of any indication that the structures were occupied and used as dwellings or homes by any of the applicants. Furthermore, the photographs taken on 23 August 2023 do not depict at all the presence of any persons or personal possessions which would be indicative of any occupation</w:t>
      </w:r>
      <w:r w:rsidR="00223D53" w:rsidRPr="00D66445">
        <w:rPr>
          <w:bCs/>
          <w:sz w:val="24"/>
          <w:szCs w:val="24"/>
        </w:rPr>
        <w:t xml:space="preserve"> or possession</w:t>
      </w:r>
      <w:r w:rsidRPr="00D66445">
        <w:rPr>
          <w:bCs/>
          <w:sz w:val="24"/>
          <w:szCs w:val="24"/>
        </w:rPr>
        <w:t>. It is the case for the first respondent that the applicants were not in peaceful and undisturbed possession.</w:t>
      </w:r>
      <w:r w:rsidR="00223D53">
        <w:rPr>
          <w:rStyle w:val="FootnoteReference"/>
          <w:bCs/>
          <w:sz w:val="24"/>
          <w:szCs w:val="24"/>
        </w:rPr>
        <w:footnoteReference w:id="4"/>
      </w:r>
    </w:p>
    <w:p w14:paraId="614BF118" w14:textId="77777777" w:rsidR="00D66445" w:rsidRDefault="00D66445" w:rsidP="00D66445">
      <w:pPr>
        <w:pStyle w:val="ListParagraph"/>
        <w:rPr>
          <w:bCs/>
        </w:rPr>
      </w:pPr>
    </w:p>
    <w:p w14:paraId="2080B421" w14:textId="77777777" w:rsidR="00376915" w:rsidRDefault="00057332" w:rsidP="00D66445">
      <w:pPr>
        <w:pStyle w:val="Body"/>
        <w:numPr>
          <w:ilvl w:val="0"/>
          <w:numId w:val="17"/>
        </w:numPr>
        <w:spacing w:before="120" w:after="120" w:line="360" w:lineRule="auto"/>
        <w:ind w:left="851" w:hanging="851"/>
        <w:jc w:val="both"/>
        <w:rPr>
          <w:bCs/>
          <w:sz w:val="24"/>
          <w:szCs w:val="24"/>
        </w:rPr>
      </w:pPr>
      <w:r w:rsidRPr="00D66445">
        <w:rPr>
          <w:bCs/>
          <w:sz w:val="24"/>
          <w:szCs w:val="24"/>
        </w:rPr>
        <w:t>On the version of the applicants, they were in</w:t>
      </w:r>
      <w:r w:rsidR="00927F70" w:rsidRPr="00D66445">
        <w:rPr>
          <w:bCs/>
          <w:sz w:val="24"/>
          <w:szCs w:val="24"/>
        </w:rPr>
        <w:t xml:space="preserve"> occupation since March 2023, some six months before the structures were demolished. This was not disclosed </w:t>
      </w:r>
      <w:proofErr w:type="gramStart"/>
      <w:r w:rsidR="00927F70" w:rsidRPr="00D66445">
        <w:rPr>
          <w:bCs/>
          <w:sz w:val="24"/>
          <w:szCs w:val="24"/>
        </w:rPr>
        <w:t>initially</w:t>
      </w:r>
      <w:proofErr w:type="gramEnd"/>
      <w:r w:rsidR="00927F70" w:rsidRPr="00D66445">
        <w:rPr>
          <w:bCs/>
          <w:sz w:val="24"/>
          <w:szCs w:val="24"/>
        </w:rPr>
        <w:t xml:space="preserve"> </w:t>
      </w:r>
    </w:p>
    <w:p w14:paraId="048B1130" w14:textId="77777777" w:rsidR="00376915" w:rsidRDefault="00376915" w:rsidP="00376915">
      <w:pPr>
        <w:pStyle w:val="ListParagraph"/>
        <w:rPr>
          <w:bCs/>
        </w:rPr>
      </w:pPr>
    </w:p>
    <w:p w14:paraId="66390E7A" w14:textId="429F37A8" w:rsidR="00057332" w:rsidRDefault="00927F70" w:rsidP="00376915">
      <w:pPr>
        <w:pStyle w:val="Body"/>
        <w:spacing w:before="120" w:after="120" w:line="360" w:lineRule="auto"/>
        <w:ind w:left="851"/>
        <w:jc w:val="both"/>
        <w:rPr>
          <w:bCs/>
          <w:sz w:val="24"/>
          <w:szCs w:val="24"/>
        </w:rPr>
      </w:pPr>
      <w:r w:rsidRPr="00D66445">
        <w:rPr>
          <w:bCs/>
          <w:sz w:val="24"/>
          <w:szCs w:val="24"/>
        </w:rPr>
        <w:t>on 24 March 2023 and is neither borne out by the photographs taken on either 3 or 2</w:t>
      </w:r>
      <w:r w:rsidR="00376915">
        <w:rPr>
          <w:bCs/>
          <w:sz w:val="24"/>
          <w:szCs w:val="24"/>
        </w:rPr>
        <w:t>2 September</w:t>
      </w:r>
      <w:r w:rsidRPr="00D66445">
        <w:rPr>
          <w:bCs/>
          <w:sz w:val="24"/>
          <w:szCs w:val="24"/>
        </w:rPr>
        <w:t xml:space="preserve"> 2023.</w:t>
      </w:r>
    </w:p>
    <w:p w14:paraId="200B8CE3" w14:textId="77777777" w:rsidR="00D66445" w:rsidRPr="00D66445" w:rsidRDefault="00D66445" w:rsidP="00376915">
      <w:pPr>
        <w:pStyle w:val="Body"/>
        <w:spacing w:before="120" w:after="120" w:line="360" w:lineRule="auto"/>
        <w:jc w:val="both"/>
        <w:rPr>
          <w:bCs/>
          <w:sz w:val="24"/>
          <w:szCs w:val="24"/>
        </w:rPr>
      </w:pPr>
    </w:p>
    <w:p w14:paraId="0D3990F3" w14:textId="747A607D" w:rsidR="00D66445" w:rsidRDefault="00927F70" w:rsidP="00D66445">
      <w:pPr>
        <w:pStyle w:val="Body"/>
        <w:numPr>
          <w:ilvl w:val="0"/>
          <w:numId w:val="17"/>
        </w:numPr>
        <w:spacing w:before="120" w:after="120" w:line="360" w:lineRule="auto"/>
        <w:ind w:left="851" w:hanging="851"/>
        <w:jc w:val="both"/>
        <w:rPr>
          <w:bCs/>
          <w:sz w:val="24"/>
          <w:szCs w:val="24"/>
        </w:rPr>
      </w:pPr>
      <w:r>
        <w:rPr>
          <w:bCs/>
          <w:sz w:val="24"/>
          <w:szCs w:val="24"/>
        </w:rPr>
        <w:t xml:space="preserve">In my view, the applicants were not in </w:t>
      </w:r>
      <w:r w:rsidR="00223D53">
        <w:rPr>
          <w:bCs/>
          <w:sz w:val="24"/>
          <w:szCs w:val="24"/>
        </w:rPr>
        <w:t xml:space="preserve">possession or </w:t>
      </w:r>
      <w:r>
        <w:rPr>
          <w:bCs/>
          <w:sz w:val="24"/>
          <w:szCs w:val="24"/>
        </w:rPr>
        <w:t>occupation but had proceeded to commence construction of structures in order to protect a preference they believed they had</w:t>
      </w:r>
      <w:r w:rsidR="00223D53">
        <w:rPr>
          <w:bCs/>
          <w:sz w:val="24"/>
          <w:szCs w:val="24"/>
        </w:rPr>
        <w:t>,</w:t>
      </w:r>
      <w:r>
        <w:rPr>
          <w:bCs/>
          <w:sz w:val="24"/>
          <w:szCs w:val="24"/>
        </w:rPr>
        <w:t xml:space="preserve"> to being allocated th</w:t>
      </w:r>
      <w:r w:rsidR="00436D22">
        <w:rPr>
          <w:bCs/>
          <w:sz w:val="24"/>
          <w:szCs w:val="24"/>
        </w:rPr>
        <w:t>e</w:t>
      </w:r>
      <w:r>
        <w:rPr>
          <w:bCs/>
          <w:sz w:val="24"/>
          <w:szCs w:val="24"/>
        </w:rPr>
        <w:t xml:space="preserve"> 15 vacant stands. The true reason was to discourage any other possible illegal occupiers from doing so and hence the fact that there was no indication of anyone actually occupying the structures.</w:t>
      </w:r>
    </w:p>
    <w:p w14:paraId="15D48DAE" w14:textId="77777777" w:rsidR="00D66445" w:rsidRDefault="00D66445" w:rsidP="00D66445">
      <w:pPr>
        <w:pStyle w:val="Body"/>
        <w:spacing w:before="120" w:after="120" w:line="360" w:lineRule="auto"/>
        <w:ind w:left="851"/>
        <w:jc w:val="both"/>
        <w:rPr>
          <w:bCs/>
          <w:sz w:val="24"/>
          <w:szCs w:val="24"/>
        </w:rPr>
      </w:pPr>
    </w:p>
    <w:p w14:paraId="1D548E1E" w14:textId="716BCB5C" w:rsidR="00D66445" w:rsidRDefault="00927F70" w:rsidP="00D66445">
      <w:pPr>
        <w:pStyle w:val="Body"/>
        <w:numPr>
          <w:ilvl w:val="0"/>
          <w:numId w:val="17"/>
        </w:numPr>
        <w:spacing w:before="120" w:after="120" w:line="360" w:lineRule="auto"/>
        <w:ind w:left="851" w:hanging="851"/>
        <w:jc w:val="both"/>
        <w:rPr>
          <w:bCs/>
          <w:sz w:val="24"/>
          <w:szCs w:val="24"/>
        </w:rPr>
      </w:pPr>
      <w:r w:rsidRPr="00D66445">
        <w:rPr>
          <w:bCs/>
          <w:sz w:val="24"/>
          <w:szCs w:val="24"/>
        </w:rPr>
        <w:t xml:space="preserve">Notice was given on 3 August 2023 of the first respondents intention to demolish the structures and it is highly improbable that if the applicants had been </w:t>
      </w:r>
      <w:r w:rsidR="00223D53" w:rsidRPr="00D66445">
        <w:rPr>
          <w:bCs/>
          <w:sz w:val="24"/>
          <w:szCs w:val="24"/>
        </w:rPr>
        <w:t xml:space="preserve">in possession or </w:t>
      </w:r>
      <w:r w:rsidRPr="00D66445">
        <w:rPr>
          <w:bCs/>
          <w:sz w:val="24"/>
          <w:szCs w:val="24"/>
        </w:rPr>
        <w:t>occupying since then, they would not be able to place some evidence before the court.</w:t>
      </w:r>
      <w:r w:rsidR="00376915">
        <w:rPr>
          <w:bCs/>
          <w:sz w:val="24"/>
          <w:szCs w:val="24"/>
        </w:rPr>
        <w:t xml:space="preserve"> Simply put, there is nothing before the court upon which a finding may be made that the applicants were either in possession or occupation of the structures.</w:t>
      </w:r>
    </w:p>
    <w:p w14:paraId="4FDCE78B" w14:textId="77777777" w:rsidR="00D66445" w:rsidRDefault="00D66445" w:rsidP="00D66445">
      <w:pPr>
        <w:pStyle w:val="ListParagraph"/>
        <w:rPr>
          <w:bCs/>
        </w:rPr>
      </w:pPr>
    </w:p>
    <w:p w14:paraId="514B34B2" w14:textId="77777777" w:rsidR="00D66445" w:rsidRDefault="00927F70" w:rsidP="00D66445">
      <w:pPr>
        <w:pStyle w:val="Body"/>
        <w:numPr>
          <w:ilvl w:val="0"/>
          <w:numId w:val="17"/>
        </w:numPr>
        <w:spacing w:before="120" w:after="120" w:line="360" w:lineRule="auto"/>
        <w:ind w:left="851" w:hanging="851"/>
        <w:jc w:val="both"/>
        <w:rPr>
          <w:bCs/>
          <w:sz w:val="24"/>
          <w:szCs w:val="24"/>
        </w:rPr>
      </w:pPr>
      <w:r w:rsidRPr="00D66445">
        <w:rPr>
          <w:bCs/>
          <w:sz w:val="24"/>
          <w:szCs w:val="24"/>
        </w:rPr>
        <w:t xml:space="preserve">In the absence of a reply, </w:t>
      </w:r>
      <w:r w:rsidR="00254021" w:rsidRPr="00D66445">
        <w:rPr>
          <w:bCs/>
          <w:sz w:val="24"/>
          <w:szCs w:val="24"/>
        </w:rPr>
        <w:t>the peaceful and undisturbed occupation of the applicants having been placed in issue</w:t>
      </w:r>
      <w:r w:rsidR="00223D53">
        <w:rPr>
          <w:rStyle w:val="FootnoteReference"/>
          <w:bCs/>
          <w:sz w:val="24"/>
          <w:szCs w:val="24"/>
        </w:rPr>
        <w:footnoteReference w:id="5"/>
      </w:r>
      <w:r w:rsidR="00254021" w:rsidRPr="00D66445">
        <w:rPr>
          <w:bCs/>
          <w:sz w:val="24"/>
          <w:szCs w:val="24"/>
        </w:rPr>
        <w:t xml:space="preserve"> by the respondents, I am unable to find that the applicants have made out a case for the relief sought.</w:t>
      </w:r>
    </w:p>
    <w:p w14:paraId="4D317152" w14:textId="77777777" w:rsidR="00D66445" w:rsidRDefault="00D66445" w:rsidP="00D66445">
      <w:pPr>
        <w:pStyle w:val="ListParagraph"/>
        <w:rPr>
          <w:bCs/>
        </w:rPr>
      </w:pPr>
    </w:p>
    <w:p w14:paraId="0178A74E" w14:textId="77777777" w:rsidR="00D66445" w:rsidRDefault="00254021" w:rsidP="00D66445">
      <w:pPr>
        <w:pStyle w:val="Body"/>
        <w:numPr>
          <w:ilvl w:val="0"/>
          <w:numId w:val="17"/>
        </w:numPr>
        <w:spacing w:before="120" w:after="120" w:line="360" w:lineRule="auto"/>
        <w:ind w:left="851" w:hanging="851"/>
        <w:jc w:val="both"/>
        <w:rPr>
          <w:bCs/>
          <w:sz w:val="24"/>
          <w:szCs w:val="24"/>
        </w:rPr>
      </w:pPr>
      <w:r w:rsidRPr="00D66445">
        <w:rPr>
          <w:bCs/>
          <w:sz w:val="24"/>
          <w:szCs w:val="24"/>
        </w:rPr>
        <w:t xml:space="preserve">Insofar as costs are concerned, while the applicants have </w:t>
      </w:r>
      <w:r w:rsidR="00AB56D2" w:rsidRPr="00D66445">
        <w:rPr>
          <w:bCs/>
          <w:sz w:val="24"/>
          <w:szCs w:val="24"/>
        </w:rPr>
        <w:t xml:space="preserve">not succeeded in Part A of their application, the issues raised in Part B seem to me to of significance and importance. For this </w:t>
      </w:r>
      <w:r w:rsidR="00223D53" w:rsidRPr="00D66445">
        <w:rPr>
          <w:bCs/>
          <w:sz w:val="24"/>
          <w:szCs w:val="24"/>
        </w:rPr>
        <w:t>reason,</w:t>
      </w:r>
      <w:r w:rsidR="00AB56D2" w:rsidRPr="00D66445">
        <w:rPr>
          <w:bCs/>
          <w:sz w:val="24"/>
          <w:szCs w:val="24"/>
        </w:rPr>
        <w:t xml:space="preserve"> I am of the view that in respect of Part A there should be no order as to costs.</w:t>
      </w:r>
    </w:p>
    <w:p w14:paraId="0CB71F73" w14:textId="77777777" w:rsidR="00D66445" w:rsidRDefault="00D66445" w:rsidP="00D66445">
      <w:pPr>
        <w:pStyle w:val="ListParagraph"/>
        <w:rPr>
          <w:bCs/>
        </w:rPr>
      </w:pPr>
    </w:p>
    <w:p w14:paraId="038DC704" w14:textId="77777777" w:rsidR="00376915" w:rsidRDefault="00376915" w:rsidP="00D66445">
      <w:pPr>
        <w:pStyle w:val="ListParagraph"/>
        <w:rPr>
          <w:bCs/>
        </w:rPr>
      </w:pPr>
    </w:p>
    <w:p w14:paraId="332CAB50" w14:textId="637B04EB" w:rsidR="004A1315" w:rsidRPr="00D66445" w:rsidRDefault="004A1315" w:rsidP="00D66445">
      <w:pPr>
        <w:pStyle w:val="Body"/>
        <w:numPr>
          <w:ilvl w:val="0"/>
          <w:numId w:val="17"/>
        </w:numPr>
        <w:spacing w:before="120" w:after="120" w:line="360" w:lineRule="auto"/>
        <w:ind w:left="851" w:hanging="851"/>
        <w:jc w:val="both"/>
        <w:rPr>
          <w:bCs/>
          <w:sz w:val="24"/>
          <w:szCs w:val="24"/>
        </w:rPr>
      </w:pPr>
      <w:r w:rsidRPr="00D66445">
        <w:rPr>
          <w:bCs/>
          <w:sz w:val="24"/>
          <w:szCs w:val="24"/>
        </w:rPr>
        <w:t>In the circumstances it is ordered:</w:t>
      </w:r>
    </w:p>
    <w:p w14:paraId="4831711E" w14:textId="4971C894" w:rsidR="004A1315" w:rsidRDefault="004A1315" w:rsidP="004A1315">
      <w:pPr>
        <w:pStyle w:val="Body"/>
        <w:spacing w:before="120" w:after="120" w:line="360" w:lineRule="auto"/>
        <w:ind w:left="851"/>
        <w:jc w:val="both"/>
        <w:rPr>
          <w:bCs/>
          <w:sz w:val="24"/>
          <w:szCs w:val="24"/>
        </w:rPr>
      </w:pPr>
      <w:r>
        <w:rPr>
          <w:bCs/>
          <w:sz w:val="24"/>
          <w:szCs w:val="24"/>
        </w:rPr>
        <w:lastRenderedPageBreak/>
        <w:t>[</w:t>
      </w:r>
      <w:r w:rsidR="00D66445">
        <w:rPr>
          <w:bCs/>
          <w:sz w:val="24"/>
          <w:szCs w:val="24"/>
        </w:rPr>
        <w:t>21</w:t>
      </w:r>
      <w:r>
        <w:rPr>
          <w:bCs/>
          <w:sz w:val="24"/>
          <w:szCs w:val="24"/>
        </w:rPr>
        <w:t>.1]</w:t>
      </w:r>
      <w:r>
        <w:rPr>
          <w:bCs/>
          <w:sz w:val="24"/>
          <w:szCs w:val="24"/>
        </w:rPr>
        <w:tab/>
        <w:t>Part A of the application is dismissed.</w:t>
      </w:r>
    </w:p>
    <w:p w14:paraId="24D2C40B" w14:textId="4CFA85B8" w:rsidR="004A1315" w:rsidRPr="008437FE" w:rsidRDefault="004A1315" w:rsidP="004A1315">
      <w:pPr>
        <w:pStyle w:val="Body"/>
        <w:spacing w:before="120" w:after="120" w:line="360" w:lineRule="auto"/>
        <w:ind w:left="851"/>
        <w:jc w:val="both"/>
        <w:rPr>
          <w:bCs/>
          <w:sz w:val="24"/>
          <w:szCs w:val="24"/>
        </w:rPr>
      </w:pPr>
      <w:r>
        <w:rPr>
          <w:bCs/>
          <w:sz w:val="24"/>
          <w:szCs w:val="24"/>
        </w:rPr>
        <w:t>[</w:t>
      </w:r>
      <w:r w:rsidR="00D66445">
        <w:rPr>
          <w:bCs/>
          <w:sz w:val="24"/>
          <w:szCs w:val="24"/>
        </w:rPr>
        <w:t>21</w:t>
      </w:r>
      <w:r>
        <w:rPr>
          <w:bCs/>
          <w:sz w:val="24"/>
          <w:szCs w:val="24"/>
        </w:rPr>
        <w:t>.2]</w:t>
      </w:r>
      <w:r>
        <w:rPr>
          <w:bCs/>
          <w:sz w:val="24"/>
          <w:szCs w:val="24"/>
        </w:rPr>
        <w:tab/>
        <w:t>There is no order as to costs.</w:t>
      </w:r>
    </w:p>
    <w:p w14:paraId="12D6AE87" w14:textId="77777777" w:rsidR="00416EA1" w:rsidRDefault="00416EA1" w:rsidP="008E6813">
      <w:pPr>
        <w:pStyle w:val="Body"/>
        <w:spacing w:line="360" w:lineRule="auto"/>
        <w:ind w:left="720"/>
        <w:jc w:val="right"/>
        <w:rPr>
          <w:rFonts w:cs="Arial"/>
          <w:b/>
          <w:bCs/>
          <w:sz w:val="24"/>
          <w:szCs w:val="24"/>
        </w:rPr>
      </w:pPr>
    </w:p>
    <w:p w14:paraId="65416376" w14:textId="77777777" w:rsidR="008E6813" w:rsidRDefault="008E6813" w:rsidP="00413603">
      <w:pPr>
        <w:pStyle w:val="Body"/>
        <w:ind w:left="720"/>
        <w:jc w:val="right"/>
        <w:rPr>
          <w:rFonts w:cs="Arial"/>
          <w:b/>
          <w:bCs/>
          <w:sz w:val="24"/>
          <w:szCs w:val="24"/>
        </w:rPr>
      </w:pPr>
    </w:p>
    <w:p w14:paraId="24E22621" w14:textId="77777777" w:rsidR="008E6813" w:rsidRPr="008A1016" w:rsidRDefault="008E6813" w:rsidP="00413603">
      <w:pPr>
        <w:pStyle w:val="Body"/>
        <w:ind w:left="720"/>
        <w:jc w:val="right"/>
        <w:rPr>
          <w:rFonts w:cs="Arial"/>
          <w:b/>
          <w:bCs/>
          <w:sz w:val="24"/>
          <w:szCs w:val="24"/>
        </w:rPr>
      </w:pPr>
    </w:p>
    <w:p w14:paraId="75814BE3" w14:textId="18919A89" w:rsidR="00101D88" w:rsidRPr="008A1016" w:rsidRDefault="00101D88" w:rsidP="008E6813">
      <w:pPr>
        <w:pStyle w:val="Body"/>
        <w:spacing w:line="360" w:lineRule="auto"/>
        <w:ind w:left="720"/>
        <w:jc w:val="right"/>
        <w:rPr>
          <w:rFonts w:cs="Arial"/>
          <w:sz w:val="24"/>
          <w:szCs w:val="24"/>
        </w:rPr>
      </w:pPr>
      <w:r w:rsidRPr="008A1016">
        <w:rPr>
          <w:rFonts w:cs="Arial"/>
          <w:b/>
          <w:bCs/>
          <w:sz w:val="24"/>
          <w:szCs w:val="24"/>
        </w:rPr>
        <w:t>_____________________________</w:t>
      </w:r>
    </w:p>
    <w:p w14:paraId="67B4416D" w14:textId="77777777" w:rsidR="001D6C62" w:rsidRPr="008A1016" w:rsidRDefault="001D6C62" w:rsidP="008E6813">
      <w:pPr>
        <w:pStyle w:val="BodyA"/>
        <w:spacing w:line="360" w:lineRule="auto"/>
        <w:ind w:left="720"/>
        <w:jc w:val="right"/>
        <w:rPr>
          <w:rFonts w:ascii="Arial" w:hAnsi="Arial" w:cs="Arial"/>
          <w:b/>
          <w:bCs/>
          <w:sz w:val="24"/>
          <w:szCs w:val="24"/>
        </w:rPr>
      </w:pPr>
    </w:p>
    <w:p w14:paraId="7C493B1F" w14:textId="65ACEF1C" w:rsidR="00101D88" w:rsidRPr="008A1016" w:rsidRDefault="00101D88" w:rsidP="008E6813">
      <w:pPr>
        <w:pStyle w:val="BodyA"/>
        <w:spacing w:line="360" w:lineRule="auto"/>
        <w:ind w:left="7920"/>
        <w:jc w:val="right"/>
        <w:rPr>
          <w:rFonts w:ascii="Arial" w:hAnsi="Arial" w:cs="Arial"/>
          <w:b/>
          <w:bCs/>
          <w:sz w:val="24"/>
          <w:szCs w:val="24"/>
        </w:rPr>
      </w:pPr>
      <w:r w:rsidRPr="008A1016">
        <w:rPr>
          <w:rFonts w:ascii="Arial" w:hAnsi="Arial" w:cs="Arial"/>
          <w:b/>
          <w:bCs/>
          <w:sz w:val="24"/>
          <w:szCs w:val="24"/>
        </w:rPr>
        <w:t>A MILLAR</w:t>
      </w:r>
    </w:p>
    <w:p w14:paraId="206E179D" w14:textId="76294E94" w:rsidR="00101D88" w:rsidRPr="008A1016" w:rsidRDefault="00101D88" w:rsidP="008A1016">
      <w:pPr>
        <w:pStyle w:val="BodyA"/>
        <w:spacing w:before="120"/>
        <w:ind w:left="720"/>
        <w:jc w:val="right"/>
        <w:rPr>
          <w:rFonts w:ascii="Arial" w:hAnsi="Arial" w:cs="Arial"/>
          <w:b/>
          <w:bCs/>
          <w:sz w:val="24"/>
          <w:szCs w:val="24"/>
        </w:rPr>
      </w:pPr>
      <w:r w:rsidRPr="008A1016">
        <w:rPr>
          <w:rFonts w:ascii="Arial" w:hAnsi="Arial" w:cs="Arial"/>
          <w:b/>
          <w:bCs/>
          <w:sz w:val="24"/>
          <w:szCs w:val="24"/>
        </w:rPr>
        <w:t xml:space="preserve"> JUDGE OF THE HIGH COURT</w:t>
      </w:r>
    </w:p>
    <w:p w14:paraId="4EBF1408" w14:textId="77777777" w:rsidR="00416EA1" w:rsidRPr="008A1016" w:rsidRDefault="00416EA1" w:rsidP="008A1016">
      <w:pPr>
        <w:spacing w:before="120"/>
        <w:ind w:left="720"/>
        <w:jc w:val="right"/>
        <w:rPr>
          <w:rFonts w:ascii="Arial" w:eastAsia="Arial Unicode MS" w:hAnsi="Arial" w:cs="Arial"/>
          <w:b/>
        </w:rPr>
      </w:pPr>
      <w:r w:rsidRPr="008A1016">
        <w:rPr>
          <w:rFonts w:ascii="Arial" w:eastAsia="Arial Unicode MS" w:hAnsi="Arial" w:cs="Arial"/>
          <w:b/>
        </w:rPr>
        <w:t>GAUTENG DIVISION, PRETORIA</w:t>
      </w:r>
    </w:p>
    <w:p w14:paraId="365DFCFC" w14:textId="77777777" w:rsidR="00416EA1" w:rsidRPr="008A1016" w:rsidRDefault="00416EA1" w:rsidP="008E6813">
      <w:pPr>
        <w:pStyle w:val="BodyA"/>
        <w:spacing w:line="360" w:lineRule="auto"/>
        <w:ind w:left="720"/>
        <w:jc w:val="right"/>
        <w:rPr>
          <w:rFonts w:ascii="Arial" w:eastAsia="Tahoma" w:hAnsi="Arial" w:cs="Arial"/>
          <w:b/>
          <w:bCs/>
          <w:sz w:val="24"/>
          <w:szCs w:val="24"/>
        </w:rPr>
      </w:pPr>
    </w:p>
    <w:p w14:paraId="4A2A3FBF" w14:textId="51DC6B83" w:rsidR="00E55848" w:rsidRPr="008A1016" w:rsidRDefault="00E55848" w:rsidP="008E6813">
      <w:pPr>
        <w:spacing w:line="360" w:lineRule="auto"/>
        <w:ind w:left="567" w:hanging="567"/>
        <w:jc w:val="both"/>
        <w:rPr>
          <w:rFonts w:ascii="Arial" w:hAnsi="Arial" w:cs="Arial"/>
        </w:rPr>
      </w:pPr>
    </w:p>
    <w:p w14:paraId="6370866B" w14:textId="77777777" w:rsidR="00416EA1" w:rsidRPr="008A1016" w:rsidRDefault="00416EA1" w:rsidP="008E6813">
      <w:pPr>
        <w:spacing w:line="360" w:lineRule="auto"/>
        <w:ind w:left="567" w:hanging="567"/>
        <w:jc w:val="both"/>
        <w:rPr>
          <w:rFonts w:ascii="Arial" w:hAnsi="Arial" w:cs="Arial"/>
        </w:rPr>
      </w:pPr>
    </w:p>
    <w:p w14:paraId="5ACDA854" w14:textId="39D5B257" w:rsidR="002040D5" w:rsidRPr="008A1016" w:rsidRDefault="00412E0C" w:rsidP="008E6813">
      <w:pPr>
        <w:spacing w:line="360" w:lineRule="auto"/>
        <w:ind w:left="567" w:hanging="567"/>
        <w:jc w:val="both"/>
        <w:rPr>
          <w:rFonts w:ascii="Arial" w:hAnsi="Arial" w:cs="Arial"/>
        </w:rPr>
      </w:pPr>
      <w:r w:rsidRPr="008A1016">
        <w:rPr>
          <w:rFonts w:ascii="Arial" w:hAnsi="Arial" w:cs="Arial"/>
        </w:rPr>
        <w:t>HEARD ON:</w:t>
      </w:r>
      <w:r w:rsidRPr="008A1016">
        <w:rPr>
          <w:rFonts w:ascii="Arial" w:hAnsi="Arial" w:cs="Arial"/>
        </w:rPr>
        <w:tab/>
      </w:r>
      <w:r w:rsidRPr="008A1016">
        <w:rPr>
          <w:rFonts w:ascii="Arial" w:hAnsi="Arial" w:cs="Arial"/>
        </w:rPr>
        <w:tab/>
      </w:r>
      <w:r w:rsidRPr="008A1016">
        <w:rPr>
          <w:rFonts w:ascii="Arial" w:hAnsi="Arial" w:cs="Arial"/>
        </w:rPr>
        <w:tab/>
      </w:r>
      <w:r w:rsidR="008D34A8" w:rsidRPr="008A1016">
        <w:rPr>
          <w:rFonts w:ascii="Arial" w:hAnsi="Arial" w:cs="Arial"/>
        </w:rPr>
        <w:tab/>
      </w:r>
      <w:r w:rsidR="008D34A8" w:rsidRPr="008A1016">
        <w:rPr>
          <w:rFonts w:ascii="Arial" w:hAnsi="Arial" w:cs="Arial"/>
        </w:rPr>
        <w:tab/>
      </w:r>
      <w:r w:rsidR="0027008F" w:rsidRPr="008A1016">
        <w:rPr>
          <w:rFonts w:ascii="Arial" w:hAnsi="Arial" w:cs="Arial"/>
        </w:rPr>
        <w:tab/>
      </w:r>
      <w:r w:rsidR="004B493D">
        <w:rPr>
          <w:rFonts w:ascii="Arial" w:hAnsi="Arial" w:cs="Arial"/>
        </w:rPr>
        <w:t>20 FEBRUARY 2024</w:t>
      </w:r>
    </w:p>
    <w:p w14:paraId="7E6457D4" w14:textId="056AD812" w:rsidR="002040D5" w:rsidRPr="008A1016" w:rsidRDefault="006630FB" w:rsidP="008E6813">
      <w:pPr>
        <w:spacing w:line="360" w:lineRule="auto"/>
        <w:ind w:left="567" w:hanging="567"/>
        <w:jc w:val="both"/>
        <w:rPr>
          <w:rFonts w:ascii="Arial" w:hAnsi="Arial" w:cs="Arial"/>
        </w:rPr>
      </w:pPr>
      <w:r w:rsidRPr="008A1016">
        <w:rPr>
          <w:rFonts w:ascii="Arial" w:hAnsi="Arial" w:cs="Arial"/>
        </w:rPr>
        <w:t>J</w:t>
      </w:r>
      <w:r w:rsidR="008D34A8" w:rsidRPr="008A1016">
        <w:rPr>
          <w:rFonts w:ascii="Arial" w:hAnsi="Arial" w:cs="Arial"/>
        </w:rPr>
        <w:t>UDGMENT DELIVERED ON:</w:t>
      </w:r>
      <w:r w:rsidR="008D34A8" w:rsidRPr="008A1016">
        <w:rPr>
          <w:rFonts w:ascii="Arial" w:hAnsi="Arial" w:cs="Arial"/>
        </w:rPr>
        <w:tab/>
      </w:r>
      <w:r w:rsidR="008D34A8" w:rsidRPr="008A1016">
        <w:rPr>
          <w:rFonts w:ascii="Arial" w:hAnsi="Arial" w:cs="Arial"/>
        </w:rPr>
        <w:tab/>
      </w:r>
      <w:r w:rsidR="0027008F" w:rsidRPr="008A1016">
        <w:rPr>
          <w:rFonts w:ascii="Arial" w:hAnsi="Arial" w:cs="Arial"/>
        </w:rPr>
        <w:tab/>
      </w:r>
      <w:r w:rsidR="00AB56D2">
        <w:rPr>
          <w:rFonts w:ascii="Arial" w:hAnsi="Arial" w:cs="Arial"/>
        </w:rPr>
        <w:t>27 FEBRUARY 2024</w:t>
      </w:r>
    </w:p>
    <w:p w14:paraId="70B75637" w14:textId="77777777" w:rsidR="006710DC" w:rsidRPr="008A1016" w:rsidRDefault="006710DC" w:rsidP="008E6813">
      <w:pPr>
        <w:spacing w:line="360" w:lineRule="auto"/>
        <w:ind w:left="567" w:hanging="567"/>
        <w:jc w:val="both"/>
        <w:rPr>
          <w:rFonts w:ascii="Arial" w:hAnsi="Arial" w:cs="Arial"/>
        </w:rPr>
      </w:pPr>
    </w:p>
    <w:p w14:paraId="02474508" w14:textId="27DA8147" w:rsidR="006630FB" w:rsidRPr="008A1016" w:rsidRDefault="006630FB" w:rsidP="008E6813">
      <w:pPr>
        <w:spacing w:line="360" w:lineRule="auto"/>
        <w:ind w:left="567" w:hanging="567"/>
        <w:jc w:val="both"/>
        <w:rPr>
          <w:rFonts w:ascii="Arial" w:hAnsi="Arial" w:cs="Arial"/>
        </w:rPr>
      </w:pPr>
      <w:r w:rsidRPr="008A1016">
        <w:rPr>
          <w:rFonts w:ascii="Arial" w:hAnsi="Arial" w:cs="Arial"/>
        </w:rPr>
        <w:t>COUNSEL</w:t>
      </w:r>
      <w:r w:rsidR="000E6633" w:rsidRPr="008A1016">
        <w:rPr>
          <w:rFonts w:ascii="Arial" w:hAnsi="Arial" w:cs="Arial"/>
        </w:rPr>
        <w:t xml:space="preserve"> FOR THE </w:t>
      </w:r>
      <w:r w:rsidR="000218AC" w:rsidRPr="008A1016">
        <w:rPr>
          <w:rFonts w:ascii="Arial" w:hAnsi="Arial" w:cs="Arial"/>
        </w:rPr>
        <w:t>APPLICANT</w:t>
      </w:r>
      <w:r w:rsidR="00412E0C" w:rsidRPr="008A1016">
        <w:rPr>
          <w:rFonts w:ascii="Arial" w:hAnsi="Arial" w:cs="Arial"/>
        </w:rPr>
        <w:t>:</w:t>
      </w:r>
      <w:r w:rsidR="00242E76" w:rsidRPr="008A1016">
        <w:rPr>
          <w:rFonts w:ascii="Arial" w:hAnsi="Arial" w:cs="Arial"/>
        </w:rPr>
        <w:tab/>
      </w:r>
      <w:r w:rsidR="00D77C76" w:rsidRPr="008A1016">
        <w:rPr>
          <w:rFonts w:ascii="Arial" w:hAnsi="Arial" w:cs="Arial"/>
        </w:rPr>
        <w:tab/>
        <w:t>ADV.</w:t>
      </w:r>
      <w:r w:rsidR="001F07DD" w:rsidRPr="008A1016">
        <w:rPr>
          <w:rFonts w:ascii="Arial" w:hAnsi="Arial" w:cs="Arial"/>
        </w:rPr>
        <w:t xml:space="preserve"> </w:t>
      </w:r>
      <w:r w:rsidR="005301C7">
        <w:rPr>
          <w:rFonts w:ascii="Arial" w:hAnsi="Arial" w:cs="Arial"/>
        </w:rPr>
        <w:t xml:space="preserve">Z </w:t>
      </w:r>
      <w:r w:rsidR="004B493D">
        <w:rPr>
          <w:rFonts w:ascii="Arial" w:hAnsi="Arial" w:cs="Arial"/>
        </w:rPr>
        <w:t>MAHAMBA</w:t>
      </w:r>
    </w:p>
    <w:p w14:paraId="6434C520" w14:textId="4102BB41" w:rsidR="006630FB" w:rsidRPr="008A1016" w:rsidRDefault="006630FB" w:rsidP="008E6813">
      <w:pPr>
        <w:spacing w:line="360" w:lineRule="auto"/>
        <w:ind w:left="567" w:hanging="567"/>
        <w:jc w:val="both"/>
        <w:rPr>
          <w:rFonts w:ascii="Arial" w:hAnsi="Arial" w:cs="Arial"/>
        </w:rPr>
      </w:pPr>
      <w:r w:rsidRPr="008A1016">
        <w:rPr>
          <w:rFonts w:ascii="Arial" w:hAnsi="Arial" w:cs="Arial"/>
        </w:rPr>
        <w:t>INSTRUCTED BY:</w:t>
      </w:r>
      <w:r w:rsidRPr="008A1016">
        <w:rPr>
          <w:rFonts w:ascii="Arial" w:hAnsi="Arial" w:cs="Arial"/>
        </w:rPr>
        <w:tab/>
      </w:r>
      <w:r w:rsidRPr="008A1016">
        <w:rPr>
          <w:rFonts w:ascii="Arial" w:hAnsi="Arial" w:cs="Arial"/>
        </w:rPr>
        <w:tab/>
      </w:r>
      <w:r w:rsidRPr="008A1016">
        <w:rPr>
          <w:rFonts w:ascii="Arial" w:hAnsi="Arial" w:cs="Arial"/>
        </w:rPr>
        <w:tab/>
      </w:r>
      <w:r w:rsidRPr="008A1016">
        <w:rPr>
          <w:rFonts w:ascii="Arial" w:hAnsi="Arial" w:cs="Arial"/>
        </w:rPr>
        <w:tab/>
      </w:r>
      <w:r w:rsidR="0027008F" w:rsidRPr="008A1016">
        <w:rPr>
          <w:rFonts w:ascii="Arial" w:hAnsi="Arial" w:cs="Arial"/>
        </w:rPr>
        <w:tab/>
      </w:r>
      <w:r w:rsidR="005301C7">
        <w:rPr>
          <w:rFonts w:ascii="Arial" w:hAnsi="Arial" w:cs="Arial"/>
        </w:rPr>
        <w:t>LAWYERS FOR HUMAN RIGHTS</w:t>
      </w:r>
    </w:p>
    <w:p w14:paraId="7383FC0C" w14:textId="4440E98C" w:rsidR="000E6633" w:rsidRPr="008A1016" w:rsidRDefault="000E6633" w:rsidP="008E6813">
      <w:pPr>
        <w:spacing w:line="360" w:lineRule="auto"/>
        <w:ind w:left="567" w:hanging="567"/>
        <w:jc w:val="both"/>
        <w:rPr>
          <w:rFonts w:ascii="Arial" w:hAnsi="Arial" w:cs="Arial"/>
        </w:rPr>
      </w:pPr>
      <w:r w:rsidRPr="008A1016">
        <w:rPr>
          <w:rFonts w:ascii="Arial" w:hAnsi="Arial" w:cs="Arial"/>
        </w:rPr>
        <w:t>REFERENCE:</w:t>
      </w:r>
      <w:r w:rsidRPr="008A1016">
        <w:rPr>
          <w:rFonts w:ascii="Arial" w:hAnsi="Arial" w:cs="Arial"/>
        </w:rPr>
        <w:tab/>
      </w:r>
      <w:r w:rsidRPr="008A1016">
        <w:rPr>
          <w:rFonts w:ascii="Arial" w:hAnsi="Arial" w:cs="Arial"/>
        </w:rPr>
        <w:tab/>
      </w:r>
      <w:r w:rsidRPr="008A1016">
        <w:rPr>
          <w:rFonts w:ascii="Arial" w:hAnsi="Arial" w:cs="Arial"/>
        </w:rPr>
        <w:tab/>
      </w:r>
      <w:r w:rsidRPr="008A1016">
        <w:rPr>
          <w:rFonts w:ascii="Arial" w:hAnsi="Arial" w:cs="Arial"/>
        </w:rPr>
        <w:tab/>
      </w:r>
      <w:r w:rsidR="00242E76" w:rsidRPr="008A1016">
        <w:rPr>
          <w:rFonts w:ascii="Arial" w:hAnsi="Arial" w:cs="Arial"/>
        </w:rPr>
        <w:tab/>
      </w:r>
      <w:r w:rsidR="005301C7">
        <w:rPr>
          <w:rFonts w:ascii="Arial" w:hAnsi="Arial" w:cs="Arial"/>
        </w:rPr>
        <w:t>MS. N SHONGWE</w:t>
      </w:r>
    </w:p>
    <w:p w14:paraId="4502317A" w14:textId="77777777" w:rsidR="000E6633" w:rsidRPr="008A1016" w:rsidRDefault="000E6633" w:rsidP="008E6813">
      <w:pPr>
        <w:spacing w:line="360" w:lineRule="auto"/>
        <w:ind w:left="567" w:hanging="567"/>
        <w:jc w:val="both"/>
        <w:rPr>
          <w:rFonts w:ascii="Arial" w:hAnsi="Arial" w:cs="Arial"/>
        </w:rPr>
      </w:pPr>
    </w:p>
    <w:p w14:paraId="577B443F" w14:textId="5FE58DD7" w:rsidR="006630FB" w:rsidRPr="008A1016" w:rsidRDefault="002A6A3F" w:rsidP="008E6813">
      <w:pPr>
        <w:spacing w:line="360" w:lineRule="auto"/>
        <w:ind w:left="567" w:hanging="567"/>
        <w:jc w:val="both"/>
        <w:rPr>
          <w:rFonts w:ascii="Arial" w:hAnsi="Arial" w:cs="Arial"/>
        </w:rPr>
      </w:pPr>
      <w:r w:rsidRPr="008A1016">
        <w:rPr>
          <w:rFonts w:ascii="Arial" w:hAnsi="Arial" w:cs="Arial"/>
        </w:rPr>
        <w:t xml:space="preserve">COUNSEL FOR </w:t>
      </w:r>
      <w:r w:rsidR="00D77C76" w:rsidRPr="008A1016">
        <w:rPr>
          <w:rFonts w:ascii="Arial" w:hAnsi="Arial" w:cs="Arial"/>
        </w:rPr>
        <w:t xml:space="preserve">THE FIRST </w:t>
      </w:r>
      <w:r w:rsidR="000218AC" w:rsidRPr="008A1016">
        <w:rPr>
          <w:rFonts w:ascii="Arial" w:hAnsi="Arial" w:cs="Arial"/>
        </w:rPr>
        <w:t>RESPONDENT</w:t>
      </w:r>
      <w:r w:rsidR="006630FB" w:rsidRPr="008A1016">
        <w:rPr>
          <w:rFonts w:ascii="Arial" w:hAnsi="Arial" w:cs="Arial"/>
        </w:rPr>
        <w:t>:</w:t>
      </w:r>
      <w:r w:rsidR="000E07B1" w:rsidRPr="008A1016">
        <w:rPr>
          <w:rFonts w:ascii="Arial" w:hAnsi="Arial" w:cs="Arial"/>
        </w:rPr>
        <w:tab/>
      </w:r>
      <w:r w:rsidR="006630FB" w:rsidRPr="008A1016">
        <w:rPr>
          <w:rFonts w:ascii="Arial" w:hAnsi="Arial" w:cs="Arial"/>
        </w:rPr>
        <w:t>ADV</w:t>
      </w:r>
      <w:r w:rsidR="00D77C76" w:rsidRPr="008A1016">
        <w:rPr>
          <w:rFonts w:ascii="Arial" w:hAnsi="Arial" w:cs="Arial"/>
        </w:rPr>
        <w:t xml:space="preserve">. </w:t>
      </w:r>
      <w:r w:rsidR="005301C7">
        <w:rPr>
          <w:rFonts w:ascii="Arial" w:hAnsi="Arial" w:cs="Arial"/>
        </w:rPr>
        <w:t xml:space="preserve">S </w:t>
      </w:r>
      <w:r w:rsidR="004B493D">
        <w:rPr>
          <w:rFonts w:ascii="Arial" w:hAnsi="Arial" w:cs="Arial"/>
        </w:rPr>
        <w:t>MBEKI</w:t>
      </w:r>
    </w:p>
    <w:p w14:paraId="6EEF6A02" w14:textId="46C98554" w:rsidR="008465D6" w:rsidRPr="008A1016" w:rsidRDefault="006630FB" w:rsidP="008E6813">
      <w:pPr>
        <w:spacing w:line="360" w:lineRule="auto"/>
        <w:ind w:left="567" w:hanging="567"/>
        <w:jc w:val="both"/>
        <w:rPr>
          <w:rFonts w:ascii="Arial" w:hAnsi="Arial" w:cs="Arial"/>
        </w:rPr>
      </w:pPr>
      <w:r w:rsidRPr="008A1016">
        <w:rPr>
          <w:rFonts w:ascii="Arial" w:hAnsi="Arial" w:cs="Arial"/>
        </w:rPr>
        <w:t>INSTRUCTED BY:</w:t>
      </w:r>
      <w:r w:rsidRPr="008A1016">
        <w:rPr>
          <w:rFonts w:ascii="Arial" w:hAnsi="Arial" w:cs="Arial"/>
        </w:rPr>
        <w:tab/>
      </w:r>
      <w:r w:rsidRPr="008A1016">
        <w:rPr>
          <w:rFonts w:ascii="Arial" w:hAnsi="Arial" w:cs="Arial"/>
        </w:rPr>
        <w:tab/>
      </w:r>
      <w:r w:rsidRPr="008A1016">
        <w:rPr>
          <w:rFonts w:ascii="Arial" w:hAnsi="Arial" w:cs="Arial"/>
        </w:rPr>
        <w:tab/>
      </w:r>
      <w:r w:rsidRPr="008A1016">
        <w:rPr>
          <w:rFonts w:ascii="Arial" w:hAnsi="Arial" w:cs="Arial"/>
        </w:rPr>
        <w:tab/>
      </w:r>
      <w:r w:rsidR="00D77C76" w:rsidRPr="008A1016">
        <w:rPr>
          <w:rFonts w:ascii="Arial" w:hAnsi="Arial" w:cs="Arial"/>
        </w:rPr>
        <w:tab/>
      </w:r>
      <w:r w:rsidR="005301C7">
        <w:rPr>
          <w:rFonts w:ascii="Arial" w:hAnsi="Arial" w:cs="Arial"/>
        </w:rPr>
        <w:t>LEEPILE ATTORNEYS INC.</w:t>
      </w:r>
    </w:p>
    <w:p w14:paraId="0030EF17" w14:textId="383C0B82" w:rsidR="000E6633" w:rsidRPr="008A1016" w:rsidRDefault="000E6633" w:rsidP="008E6813">
      <w:pPr>
        <w:spacing w:line="360" w:lineRule="auto"/>
        <w:ind w:left="567" w:hanging="567"/>
        <w:jc w:val="both"/>
        <w:rPr>
          <w:rFonts w:ascii="Arial" w:hAnsi="Arial" w:cs="Arial"/>
        </w:rPr>
      </w:pPr>
      <w:r w:rsidRPr="008A1016">
        <w:rPr>
          <w:rFonts w:ascii="Arial" w:hAnsi="Arial" w:cs="Arial"/>
        </w:rPr>
        <w:t>REFERENCE:</w:t>
      </w:r>
      <w:r w:rsidRPr="008A1016">
        <w:rPr>
          <w:rFonts w:ascii="Arial" w:hAnsi="Arial" w:cs="Arial"/>
        </w:rPr>
        <w:tab/>
      </w:r>
      <w:r w:rsidRPr="008A1016">
        <w:rPr>
          <w:rFonts w:ascii="Arial" w:hAnsi="Arial" w:cs="Arial"/>
        </w:rPr>
        <w:tab/>
      </w:r>
      <w:r w:rsidRPr="008A1016">
        <w:rPr>
          <w:rFonts w:ascii="Arial" w:hAnsi="Arial" w:cs="Arial"/>
        </w:rPr>
        <w:tab/>
      </w:r>
      <w:r w:rsidRPr="008A1016">
        <w:rPr>
          <w:rFonts w:ascii="Arial" w:hAnsi="Arial" w:cs="Arial"/>
        </w:rPr>
        <w:tab/>
      </w:r>
      <w:r w:rsidR="00242E76" w:rsidRPr="008A1016">
        <w:rPr>
          <w:rFonts w:ascii="Arial" w:hAnsi="Arial" w:cs="Arial"/>
        </w:rPr>
        <w:tab/>
      </w:r>
      <w:r w:rsidR="00F52DAF">
        <w:rPr>
          <w:rFonts w:ascii="Arial" w:hAnsi="Arial" w:cs="Arial"/>
        </w:rPr>
        <w:t>MR. K LEEPILE</w:t>
      </w:r>
    </w:p>
    <w:p w14:paraId="748D69AA" w14:textId="7969D0B6" w:rsidR="00A56BC1" w:rsidRPr="008A1016" w:rsidRDefault="00A56BC1" w:rsidP="008E6813">
      <w:pPr>
        <w:spacing w:line="360" w:lineRule="auto"/>
        <w:jc w:val="both"/>
        <w:rPr>
          <w:rFonts w:ascii="Arial" w:hAnsi="Arial"/>
        </w:rPr>
      </w:pPr>
    </w:p>
    <w:p w14:paraId="6072C765" w14:textId="3902A2A7" w:rsidR="0027008F" w:rsidRPr="008A1016" w:rsidRDefault="0027008F" w:rsidP="008E6813">
      <w:pPr>
        <w:spacing w:line="360" w:lineRule="auto"/>
        <w:ind w:left="567" w:hanging="567"/>
        <w:jc w:val="both"/>
        <w:rPr>
          <w:rFonts w:ascii="Arial" w:hAnsi="Arial" w:cs="Arial"/>
        </w:rPr>
      </w:pPr>
      <w:r w:rsidRPr="008A1016">
        <w:rPr>
          <w:rFonts w:ascii="Arial" w:hAnsi="Arial" w:cs="Arial"/>
        </w:rPr>
        <w:tab/>
      </w:r>
    </w:p>
    <w:p w14:paraId="56023C2B" w14:textId="77777777" w:rsidR="0027008F" w:rsidRPr="008A1016" w:rsidRDefault="0027008F" w:rsidP="00CB6F8A">
      <w:pPr>
        <w:spacing w:line="480" w:lineRule="auto"/>
        <w:jc w:val="both"/>
        <w:rPr>
          <w:rFonts w:ascii="Arial" w:hAnsi="Arial"/>
        </w:rPr>
      </w:pPr>
    </w:p>
    <w:sectPr w:rsidR="0027008F" w:rsidRPr="008A1016" w:rsidSect="00B82BB4">
      <w:headerReference w:type="even" r:id="rId10"/>
      <w:headerReference w:type="default" r:id="rId11"/>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2EF3" w14:textId="77777777" w:rsidR="00B82BB4" w:rsidRDefault="00B82BB4" w:rsidP="008C18AE">
      <w:r>
        <w:separator/>
      </w:r>
    </w:p>
  </w:endnote>
  <w:endnote w:type="continuationSeparator" w:id="0">
    <w:p w14:paraId="5249D6EE" w14:textId="77777777" w:rsidR="00B82BB4" w:rsidRDefault="00B82BB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F2B3" w14:textId="77777777" w:rsidR="00B82BB4" w:rsidRDefault="00B82BB4" w:rsidP="008C18AE">
      <w:r>
        <w:separator/>
      </w:r>
    </w:p>
  </w:footnote>
  <w:footnote w:type="continuationSeparator" w:id="0">
    <w:p w14:paraId="6697F3AC" w14:textId="77777777" w:rsidR="00B82BB4" w:rsidRDefault="00B82BB4" w:rsidP="008C18AE">
      <w:r>
        <w:continuationSeparator/>
      </w:r>
    </w:p>
  </w:footnote>
  <w:footnote w:id="1">
    <w:p w14:paraId="73943FC5" w14:textId="025FEE2F" w:rsidR="008D4FA4" w:rsidRPr="00E56239" w:rsidRDefault="008D4FA4" w:rsidP="00436D22">
      <w:pPr>
        <w:pStyle w:val="FootnoteText"/>
        <w:ind w:left="284" w:hanging="284"/>
        <w:rPr>
          <w:rFonts w:ascii="Arial" w:hAnsi="Arial" w:cs="Arial"/>
          <w:sz w:val="20"/>
          <w:szCs w:val="20"/>
        </w:rPr>
      </w:pPr>
      <w:r w:rsidRPr="00E56239">
        <w:rPr>
          <w:rStyle w:val="FootnoteReference"/>
          <w:rFonts w:ascii="Arial" w:hAnsi="Arial" w:cs="Arial"/>
          <w:sz w:val="20"/>
          <w:szCs w:val="20"/>
        </w:rPr>
        <w:footnoteRef/>
      </w:r>
      <w:r w:rsidRPr="00E56239">
        <w:rPr>
          <w:rFonts w:ascii="Arial" w:hAnsi="Arial" w:cs="Arial"/>
          <w:sz w:val="20"/>
          <w:szCs w:val="20"/>
        </w:rPr>
        <w:t xml:space="preserve"> </w:t>
      </w:r>
      <w:r w:rsidR="00436D22">
        <w:rPr>
          <w:rFonts w:ascii="Arial" w:hAnsi="Arial" w:cs="Arial"/>
          <w:sz w:val="20"/>
          <w:szCs w:val="20"/>
        </w:rPr>
        <w:tab/>
      </w:r>
      <w:r w:rsidRPr="00E56239">
        <w:rPr>
          <w:rFonts w:ascii="Arial" w:hAnsi="Arial" w:cs="Arial"/>
          <w:sz w:val="20"/>
          <w:szCs w:val="20"/>
        </w:rPr>
        <w:t xml:space="preserve">1957 (4) SA 234 (C) an approach approved in </w:t>
      </w:r>
      <w:r w:rsidRPr="00E56239">
        <w:rPr>
          <w:rFonts w:ascii="Arial" w:hAnsi="Arial" w:cs="Arial"/>
          <w:i/>
          <w:iCs/>
          <w:sz w:val="20"/>
          <w:szCs w:val="20"/>
        </w:rPr>
        <w:t>Plascon-Evans Paints Ltd v Van Riebeeck Paints (Pty) Ltd</w:t>
      </w:r>
      <w:r w:rsidRPr="00E56239">
        <w:rPr>
          <w:rFonts w:ascii="Arial" w:hAnsi="Arial" w:cs="Arial"/>
          <w:sz w:val="20"/>
          <w:szCs w:val="20"/>
        </w:rPr>
        <w:t xml:space="preserve"> 1984 (3) SA 623 (A).</w:t>
      </w:r>
    </w:p>
  </w:footnote>
  <w:footnote w:id="2">
    <w:p w14:paraId="7775C772" w14:textId="35412ABC" w:rsidR="009A37B0" w:rsidRPr="00E56239" w:rsidRDefault="009A37B0" w:rsidP="00436D22">
      <w:pPr>
        <w:pStyle w:val="FootnoteText"/>
        <w:ind w:left="284" w:hanging="284"/>
        <w:rPr>
          <w:rFonts w:ascii="Arial" w:hAnsi="Arial" w:cs="Arial"/>
          <w:sz w:val="20"/>
          <w:szCs w:val="20"/>
        </w:rPr>
      </w:pPr>
      <w:r w:rsidRPr="00E56239">
        <w:rPr>
          <w:rStyle w:val="FootnoteReference"/>
          <w:rFonts w:ascii="Arial" w:hAnsi="Arial" w:cs="Arial"/>
          <w:sz w:val="20"/>
          <w:szCs w:val="20"/>
        </w:rPr>
        <w:footnoteRef/>
      </w:r>
      <w:r w:rsidRPr="00E56239">
        <w:rPr>
          <w:rFonts w:ascii="Arial" w:hAnsi="Arial" w:cs="Arial"/>
          <w:sz w:val="20"/>
          <w:szCs w:val="20"/>
        </w:rPr>
        <w:t xml:space="preserve"> </w:t>
      </w:r>
      <w:r w:rsidR="00436D22">
        <w:rPr>
          <w:rFonts w:ascii="Arial" w:hAnsi="Arial" w:cs="Arial"/>
          <w:sz w:val="20"/>
          <w:szCs w:val="20"/>
        </w:rPr>
        <w:tab/>
      </w:r>
      <w:r w:rsidR="008D4FA4" w:rsidRPr="00E56239">
        <w:rPr>
          <w:rFonts w:ascii="Arial" w:hAnsi="Arial" w:cs="Arial"/>
          <w:i/>
          <w:iCs/>
          <w:sz w:val="20"/>
          <w:szCs w:val="20"/>
        </w:rPr>
        <w:t>Ibid</w:t>
      </w:r>
      <w:r w:rsidR="008D4FA4" w:rsidRPr="00E56239">
        <w:rPr>
          <w:rFonts w:ascii="Arial" w:hAnsi="Arial" w:cs="Arial"/>
          <w:sz w:val="20"/>
          <w:szCs w:val="20"/>
        </w:rPr>
        <w:t xml:space="preserve"> at 235E-G.</w:t>
      </w:r>
    </w:p>
  </w:footnote>
  <w:footnote w:id="3">
    <w:p w14:paraId="02164472" w14:textId="34F95373" w:rsidR="008437FE" w:rsidRPr="00A171C2" w:rsidRDefault="008437FE" w:rsidP="00D66445">
      <w:pPr>
        <w:pStyle w:val="FootnoteText"/>
        <w:ind w:left="284" w:hanging="284"/>
        <w:rPr>
          <w:rFonts w:ascii="Arial" w:hAnsi="Arial" w:cs="Arial"/>
          <w:sz w:val="16"/>
          <w:szCs w:val="16"/>
        </w:rPr>
      </w:pPr>
      <w:r w:rsidRPr="00E56239">
        <w:rPr>
          <w:rStyle w:val="FootnoteReference"/>
          <w:rFonts w:ascii="Arial" w:hAnsi="Arial" w:cs="Arial"/>
          <w:sz w:val="20"/>
          <w:szCs w:val="20"/>
        </w:rPr>
        <w:footnoteRef/>
      </w:r>
      <w:r w:rsidRPr="00E56239">
        <w:rPr>
          <w:rFonts w:ascii="Arial" w:hAnsi="Arial" w:cs="Arial"/>
          <w:sz w:val="20"/>
          <w:szCs w:val="20"/>
        </w:rPr>
        <w:t xml:space="preserve"> </w:t>
      </w:r>
      <w:r w:rsidR="00D66445">
        <w:rPr>
          <w:rFonts w:ascii="Arial" w:hAnsi="Arial" w:cs="Arial"/>
          <w:sz w:val="20"/>
          <w:szCs w:val="20"/>
        </w:rPr>
        <w:tab/>
      </w:r>
      <w:r w:rsidRPr="00E56239">
        <w:rPr>
          <w:rFonts w:ascii="Arial" w:hAnsi="Arial" w:cs="Arial"/>
          <w:sz w:val="20"/>
          <w:szCs w:val="20"/>
        </w:rPr>
        <w:t>[2012] ZAGPPHC 223</w:t>
      </w:r>
      <w:r w:rsidRPr="00E56239">
        <w:rPr>
          <w:rStyle w:val="FootnoteReference"/>
          <w:rFonts w:ascii="Arial" w:hAnsi="Arial" w:cs="Arial"/>
          <w:sz w:val="20"/>
          <w:szCs w:val="20"/>
        </w:rPr>
        <w:footnoteRef/>
      </w:r>
      <w:r w:rsidRPr="00E56239">
        <w:rPr>
          <w:rFonts w:ascii="Arial" w:hAnsi="Arial" w:cs="Arial"/>
          <w:sz w:val="20"/>
          <w:szCs w:val="20"/>
        </w:rPr>
        <w:t xml:space="preserve"> (11 October 2012) at para</w:t>
      </w:r>
      <w:r w:rsidR="00436D22">
        <w:rPr>
          <w:rFonts w:ascii="Arial" w:hAnsi="Arial" w:cs="Arial"/>
          <w:sz w:val="20"/>
          <w:szCs w:val="20"/>
        </w:rPr>
        <w:t>s</w:t>
      </w:r>
      <w:r w:rsidRPr="00E56239">
        <w:rPr>
          <w:rFonts w:ascii="Arial" w:hAnsi="Arial" w:cs="Arial"/>
          <w:sz w:val="20"/>
          <w:szCs w:val="20"/>
        </w:rPr>
        <w:t xml:space="preserve"> </w:t>
      </w:r>
      <w:r w:rsidR="00436D22">
        <w:rPr>
          <w:rFonts w:ascii="Arial" w:hAnsi="Arial" w:cs="Arial"/>
          <w:sz w:val="20"/>
          <w:szCs w:val="20"/>
        </w:rPr>
        <w:t>[</w:t>
      </w:r>
      <w:r w:rsidRPr="00E56239">
        <w:rPr>
          <w:rFonts w:ascii="Arial" w:hAnsi="Arial" w:cs="Arial"/>
          <w:sz w:val="20"/>
          <w:szCs w:val="20"/>
        </w:rPr>
        <w:t>20</w:t>
      </w:r>
      <w:r w:rsidR="00436D22">
        <w:rPr>
          <w:rFonts w:ascii="Arial" w:hAnsi="Arial" w:cs="Arial"/>
          <w:sz w:val="20"/>
          <w:szCs w:val="20"/>
        </w:rPr>
        <w:t>]-</w:t>
      </w:r>
      <w:r w:rsidRPr="00E56239">
        <w:rPr>
          <w:rFonts w:ascii="Arial" w:hAnsi="Arial" w:cs="Arial"/>
          <w:sz w:val="20"/>
          <w:szCs w:val="20"/>
        </w:rPr>
        <w:t xml:space="preserve"> </w:t>
      </w:r>
      <w:r w:rsidR="00436D22">
        <w:rPr>
          <w:rFonts w:ascii="Arial" w:hAnsi="Arial" w:cs="Arial"/>
          <w:sz w:val="20"/>
          <w:szCs w:val="20"/>
        </w:rPr>
        <w:t>[</w:t>
      </w:r>
      <w:r w:rsidRPr="00E56239">
        <w:rPr>
          <w:rFonts w:ascii="Arial" w:hAnsi="Arial" w:cs="Arial"/>
          <w:sz w:val="20"/>
          <w:szCs w:val="20"/>
        </w:rPr>
        <w:t>21</w:t>
      </w:r>
      <w:r w:rsidR="00436D22">
        <w:rPr>
          <w:rFonts w:ascii="Arial" w:hAnsi="Arial" w:cs="Arial"/>
          <w:sz w:val="20"/>
          <w:szCs w:val="20"/>
        </w:rPr>
        <w:t>].</w:t>
      </w:r>
      <w:r w:rsidRPr="00E56239">
        <w:rPr>
          <w:rFonts w:ascii="Arial" w:hAnsi="Arial" w:cs="Arial"/>
          <w:sz w:val="20"/>
          <w:szCs w:val="20"/>
        </w:rPr>
        <w:t xml:space="preserve"> </w:t>
      </w:r>
    </w:p>
  </w:footnote>
  <w:footnote w:id="4">
    <w:p w14:paraId="7D308072" w14:textId="396D19C9" w:rsidR="00223D53" w:rsidRPr="00223D53" w:rsidRDefault="00223D53" w:rsidP="00D66445">
      <w:pPr>
        <w:pStyle w:val="FootnoteText"/>
        <w:ind w:left="284" w:hanging="284"/>
        <w:rPr>
          <w:rFonts w:ascii="Arial" w:hAnsi="Arial" w:cs="Arial"/>
          <w:sz w:val="20"/>
          <w:szCs w:val="20"/>
        </w:rPr>
      </w:pPr>
      <w:r w:rsidRPr="00223D53">
        <w:rPr>
          <w:rStyle w:val="FootnoteReference"/>
          <w:rFonts w:ascii="Arial" w:hAnsi="Arial" w:cs="Arial"/>
          <w:sz w:val="20"/>
          <w:szCs w:val="20"/>
        </w:rPr>
        <w:footnoteRef/>
      </w:r>
      <w:r w:rsidRPr="00223D53">
        <w:rPr>
          <w:rFonts w:ascii="Arial" w:hAnsi="Arial" w:cs="Arial"/>
          <w:sz w:val="20"/>
          <w:szCs w:val="20"/>
        </w:rPr>
        <w:t xml:space="preserve"> </w:t>
      </w:r>
      <w:r w:rsidR="00D66445">
        <w:rPr>
          <w:rFonts w:ascii="Arial" w:hAnsi="Arial" w:cs="Arial"/>
          <w:sz w:val="20"/>
          <w:szCs w:val="20"/>
        </w:rPr>
        <w:tab/>
      </w:r>
      <w:r w:rsidRPr="00223D53">
        <w:rPr>
          <w:rFonts w:ascii="Arial" w:hAnsi="Arial" w:cs="Arial"/>
          <w:i/>
          <w:iCs/>
          <w:sz w:val="20"/>
          <w:szCs w:val="20"/>
        </w:rPr>
        <w:t>Stocks Housing (Cape) (Pty) LTD v Executive Director, Department of Education and Culture Services and Others</w:t>
      </w:r>
      <w:r w:rsidRPr="00223D53">
        <w:rPr>
          <w:rFonts w:ascii="Arial" w:hAnsi="Arial" w:cs="Arial"/>
          <w:sz w:val="20"/>
          <w:szCs w:val="20"/>
        </w:rPr>
        <w:t xml:space="preserve"> 1996 (4) SA 231 (C) at 240B-D.</w:t>
      </w:r>
    </w:p>
  </w:footnote>
  <w:footnote w:id="5">
    <w:p w14:paraId="31817A7F" w14:textId="41E8C8EC" w:rsidR="00223D53" w:rsidRDefault="00223D53" w:rsidP="00D66445">
      <w:pPr>
        <w:pStyle w:val="FootnoteText"/>
        <w:ind w:left="284" w:hanging="284"/>
      </w:pPr>
      <w:r w:rsidRPr="00223D53">
        <w:rPr>
          <w:rStyle w:val="FootnoteReference"/>
          <w:rFonts w:ascii="Arial" w:hAnsi="Arial" w:cs="Arial"/>
          <w:sz w:val="20"/>
          <w:szCs w:val="20"/>
        </w:rPr>
        <w:footnoteRef/>
      </w:r>
      <w:r w:rsidRPr="00223D53">
        <w:rPr>
          <w:rFonts w:ascii="Arial" w:hAnsi="Arial" w:cs="Arial"/>
          <w:sz w:val="20"/>
          <w:szCs w:val="20"/>
        </w:rPr>
        <w:t xml:space="preserve"> </w:t>
      </w:r>
      <w:r w:rsidR="00D66445">
        <w:rPr>
          <w:rFonts w:ascii="Arial" w:hAnsi="Arial" w:cs="Arial"/>
          <w:sz w:val="20"/>
          <w:szCs w:val="20"/>
        </w:rPr>
        <w:tab/>
      </w:r>
      <w:r w:rsidRPr="00223D53">
        <w:rPr>
          <w:rFonts w:ascii="Arial" w:hAnsi="Arial" w:cs="Arial"/>
          <w:i/>
          <w:iCs/>
          <w:sz w:val="20"/>
          <w:szCs w:val="20"/>
        </w:rPr>
        <w:t>Ivanov v North West Gambling Board &amp; Others</w:t>
      </w:r>
      <w:r w:rsidRPr="00223D53">
        <w:rPr>
          <w:rFonts w:ascii="Arial" w:hAnsi="Arial" w:cs="Arial"/>
          <w:sz w:val="20"/>
          <w:szCs w:val="20"/>
        </w:rPr>
        <w:t xml:space="preserve"> 2012 (6) SA 67 (SCA) at 75B-D.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7F">
      <w:rPr>
        <w:rStyle w:val="PageNumber"/>
        <w:noProof/>
      </w:rPr>
      <w:t>19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7AB294C"/>
    <w:multiLevelType w:val="multilevel"/>
    <w:tmpl w:val="12FCA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207F61"/>
    <w:multiLevelType w:val="hybridMultilevel"/>
    <w:tmpl w:val="164A62AC"/>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F27F3"/>
    <w:multiLevelType w:val="hybridMultilevel"/>
    <w:tmpl w:val="5F20B59A"/>
    <w:lvl w:ilvl="0" w:tplc="8CCAC9F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1A50A8"/>
    <w:multiLevelType w:val="hybridMultilevel"/>
    <w:tmpl w:val="F8825E60"/>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266767">
    <w:abstractNumId w:val="13"/>
  </w:num>
  <w:num w:numId="2" w16cid:durableId="77405664">
    <w:abstractNumId w:val="8"/>
  </w:num>
  <w:num w:numId="3" w16cid:durableId="1289168146">
    <w:abstractNumId w:val="0"/>
  </w:num>
  <w:num w:numId="4" w16cid:durableId="223105827">
    <w:abstractNumId w:val="1"/>
  </w:num>
  <w:num w:numId="5" w16cid:durableId="942150720">
    <w:abstractNumId w:val="5"/>
  </w:num>
  <w:num w:numId="6" w16cid:durableId="350230115">
    <w:abstractNumId w:val="14"/>
  </w:num>
  <w:num w:numId="7" w16cid:durableId="1386876744">
    <w:abstractNumId w:val="17"/>
  </w:num>
  <w:num w:numId="8" w16cid:durableId="1676882605">
    <w:abstractNumId w:val="16"/>
  </w:num>
  <w:num w:numId="9" w16cid:durableId="734662855">
    <w:abstractNumId w:val="4"/>
  </w:num>
  <w:num w:numId="10" w16cid:durableId="150562456">
    <w:abstractNumId w:val="7"/>
  </w:num>
  <w:num w:numId="11" w16cid:durableId="436759309">
    <w:abstractNumId w:val="12"/>
  </w:num>
  <w:num w:numId="12" w16cid:durableId="612521995">
    <w:abstractNumId w:val="3"/>
  </w:num>
  <w:num w:numId="13" w16cid:durableId="621424301">
    <w:abstractNumId w:val="10"/>
  </w:num>
  <w:num w:numId="14" w16cid:durableId="133766609">
    <w:abstractNumId w:val="2"/>
  </w:num>
  <w:num w:numId="15" w16cid:durableId="1101877942">
    <w:abstractNumId w:val="11"/>
  </w:num>
  <w:num w:numId="16" w16cid:durableId="1638728363">
    <w:abstractNumId w:val="9"/>
  </w:num>
  <w:num w:numId="17" w16cid:durableId="828446317">
    <w:abstractNumId w:val="15"/>
  </w:num>
  <w:num w:numId="18" w16cid:durableId="1749184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218AC"/>
    <w:rsid w:val="0002295E"/>
    <w:rsid w:val="00022E29"/>
    <w:rsid w:val="00030EDB"/>
    <w:rsid w:val="00050078"/>
    <w:rsid w:val="00052547"/>
    <w:rsid w:val="0005394E"/>
    <w:rsid w:val="00057332"/>
    <w:rsid w:val="000578D1"/>
    <w:rsid w:val="00062CEF"/>
    <w:rsid w:val="0006302B"/>
    <w:rsid w:val="00070EA4"/>
    <w:rsid w:val="000730BB"/>
    <w:rsid w:val="0008376B"/>
    <w:rsid w:val="0008544C"/>
    <w:rsid w:val="00085E25"/>
    <w:rsid w:val="0008693D"/>
    <w:rsid w:val="000964D1"/>
    <w:rsid w:val="000971DB"/>
    <w:rsid w:val="000A26D7"/>
    <w:rsid w:val="000A5272"/>
    <w:rsid w:val="000C091F"/>
    <w:rsid w:val="000C1577"/>
    <w:rsid w:val="000C1D16"/>
    <w:rsid w:val="000C4554"/>
    <w:rsid w:val="000D0136"/>
    <w:rsid w:val="000E07B1"/>
    <w:rsid w:val="000E5109"/>
    <w:rsid w:val="000E5543"/>
    <w:rsid w:val="000E5FB9"/>
    <w:rsid w:val="000E6633"/>
    <w:rsid w:val="00101D88"/>
    <w:rsid w:val="001021EE"/>
    <w:rsid w:val="00103EC1"/>
    <w:rsid w:val="00114724"/>
    <w:rsid w:val="00121456"/>
    <w:rsid w:val="0013492F"/>
    <w:rsid w:val="00144EA8"/>
    <w:rsid w:val="00151F35"/>
    <w:rsid w:val="00155668"/>
    <w:rsid w:val="0016046F"/>
    <w:rsid w:val="00161F55"/>
    <w:rsid w:val="00163683"/>
    <w:rsid w:val="001721F5"/>
    <w:rsid w:val="0017465D"/>
    <w:rsid w:val="00194AFD"/>
    <w:rsid w:val="00194BAE"/>
    <w:rsid w:val="001A21CD"/>
    <w:rsid w:val="001A7F86"/>
    <w:rsid w:val="001B288A"/>
    <w:rsid w:val="001B487B"/>
    <w:rsid w:val="001D4D92"/>
    <w:rsid w:val="001D68FC"/>
    <w:rsid w:val="001D6C62"/>
    <w:rsid w:val="001D6F4F"/>
    <w:rsid w:val="001D7244"/>
    <w:rsid w:val="001E6710"/>
    <w:rsid w:val="001F07DD"/>
    <w:rsid w:val="001F450A"/>
    <w:rsid w:val="001F4AE5"/>
    <w:rsid w:val="002003EF"/>
    <w:rsid w:val="00201A93"/>
    <w:rsid w:val="002040D5"/>
    <w:rsid w:val="00205098"/>
    <w:rsid w:val="0020751F"/>
    <w:rsid w:val="0021216F"/>
    <w:rsid w:val="002129F5"/>
    <w:rsid w:val="00223D53"/>
    <w:rsid w:val="00232BFD"/>
    <w:rsid w:val="00232EA0"/>
    <w:rsid w:val="002332DE"/>
    <w:rsid w:val="00235638"/>
    <w:rsid w:val="00242E76"/>
    <w:rsid w:val="00244901"/>
    <w:rsid w:val="00254021"/>
    <w:rsid w:val="00254146"/>
    <w:rsid w:val="00255485"/>
    <w:rsid w:val="00264079"/>
    <w:rsid w:val="00265336"/>
    <w:rsid w:val="00267036"/>
    <w:rsid w:val="0027008F"/>
    <w:rsid w:val="00280528"/>
    <w:rsid w:val="00281CA0"/>
    <w:rsid w:val="00283B34"/>
    <w:rsid w:val="00287E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60697"/>
    <w:rsid w:val="00363165"/>
    <w:rsid w:val="00371BE5"/>
    <w:rsid w:val="00375DC6"/>
    <w:rsid w:val="00376915"/>
    <w:rsid w:val="00385391"/>
    <w:rsid w:val="00385FBC"/>
    <w:rsid w:val="00393DAB"/>
    <w:rsid w:val="003A14B0"/>
    <w:rsid w:val="003A20FB"/>
    <w:rsid w:val="003A3574"/>
    <w:rsid w:val="003A5BC8"/>
    <w:rsid w:val="003B6C23"/>
    <w:rsid w:val="003C415E"/>
    <w:rsid w:val="003C432D"/>
    <w:rsid w:val="003E6BDA"/>
    <w:rsid w:val="003F37AE"/>
    <w:rsid w:val="003F46D7"/>
    <w:rsid w:val="003F4A66"/>
    <w:rsid w:val="00406F88"/>
    <w:rsid w:val="004075F2"/>
    <w:rsid w:val="00412E0C"/>
    <w:rsid w:val="00413603"/>
    <w:rsid w:val="00413E2B"/>
    <w:rsid w:val="00416EA1"/>
    <w:rsid w:val="00417BE7"/>
    <w:rsid w:val="0042184A"/>
    <w:rsid w:val="004247F2"/>
    <w:rsid w:val="00425F53"/>
    <w:rsid w:val="00430807"/>
    <w:rsid w:val="00432B66"/>
    <w:rsid w:val="00436D22"/>
    <w:rsid w:val="00440D4B"/>
    <w:rsid w:val="0044117D"/>
    <w:rsid w:val="0044361B"/>
    <w:rsid w:val="00443ADE"/>
    <w:rsid w:val="00444C8B"/>
    <w:rsid w:val="0045149D"/>
    <w:rsid w:val="00452A4C"/>
    <w:rsid w:val="00454072"/>
    <w:rsid w:val="0046010A"/>
    <w:rsid w:val="00460F1A"/>
    <w:rsid w:val="00461E12"/>
    <w:rsid w:val="00475569"/>
    <w:rsid w:val="00475A8E"/>
    <w:rsid w:val="0048191C"/>
    <w:rsid w:val="00482966"/>
    <w:rsid w:val="004854D5"/>
    <w:rsid w:val="0049074E"/>
    <w:rsid w:val="0049313B"/>
    <w:rsid w:val="004A1315"/>
    <w:rsid w:val="004B493D"/>
    <w:rsid w:val="004C6A1E"/>
    <w:rsid w:val="004D12FE"/>
    <w:rsid w:val="004D3845"/>
    <w:rsid w:val="004E581A"/>
    <w:rsid w:val="004F0167"/>
    <w:rsid w:val="00500DA0"/>
    <w:rsid w:val="005069D9"/>
    <w:rsid w:val="00514611"/>
    <w:rsid w:val="0051651C"/>
    <w:rsid w:val="005301C7"/>
    <w:rsid w:val="00540198"/>
    <w:rsid w:val="005442C7"/>
    <w:rsid w:val="00547AC7"/>
    <w:rsid w:val="00551B4C"/>
    <w:rsid w:val="00552A88"/>
    <w:rsid w:val="0055431B"/>
    <w:rsid w:val="005560EF"/>
    <w:rsid w:val="0057074A"/>
    <w:rsid w:val="005720E9"/>
    <w:rsid w:val="00587548"/>
    <w:rsid w:val="00587BF3"/>
    <w:rsid w:val="00595099"/>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223BE"/>
    <w:rsid w:val="006430C0"/>
    <w:rsid w:val="00644BB3"/>
    <w:rsid w:val="00646138"/>
    <w:rsid w:val="00650745"/>
    <w:rsid w:val="00651B9B"/>
    <w:rsid w:val="00653433"/>
    <w:rsid w:val="00655236"/>
    <w:rsid w:val="006630FB"/>
    <w:rsid w:val="00663A12"/>
    <w:rsid w:val="006710DC"/>
    <w:rsid w:val="00675035"/>
    <w:rsid w:val="00676987"/>
    <w:rsid w:val="00677BC9"/>
    <w:rsid w:val="00683071"/>
    <w:rsid w:val="00686AFF"/>
    <w:rsid w:val="00695533"/>
    <w:rsid w:val="006A1AA8"/>
    <w:rsid w:val="006A37E3"/>
    <w:rsid w:val="006A6DDB"/>
    <w:rsid w:val="006A770C"/>
    <w:rsid w:val="006B0014"/>
    <w:rsid w:val="006B3D1D"/>
    <w:rsid w:val="006B67ED"/>
    <w:rsid w:val="006C705A"/>
    <w:rsid w:val="006E4415"/>
    <w:rsid w:val="006E462C"/>
    <w:rsid w:val="006F2787"/>
    <w:rsid w:val="006F40B5"/>
    <w:rsid w:val="00707C51"/>
    <w:rsid w:val="00713A5D"/>
    <w:rsid w:val="00720FEF"/>
    <w:rsid w:val="0072221F"/>
    <w:rsid w:val="007231A7"/>
    <w:rsid w:val="007240E6"/>
    <w:rsid w:val="0073212D"/>
    <w:rsid w:val="00733746"/>
    <w:rsid w:val="00735EB8"/>
    <w:rsid w:val="00736CDA"/>
    <w:rsid w:val="00737291"/>
    <w:rsid w:val="00742BAE"/>
    <w:rsid w:val="00750CC1"/>
    <w:rsid w:val="00753AD4"/>
    <w:rsid w:val="00755484"/>
    <w:rsid w:val="00763002"/>
    <w:rsid w:val="007679D5"/>
    <w:rsid w:val="00771E0F"/>
    <w:rsid w:val="007728D2"/>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7F7FED"/>
    <w:rsid w:val="0080634A"/>
    <w:rsid w:val="00806DFA"/>
    <w:rsid w:val="00821962"/>
    <w:rsid w:val="00822511"/>
    <w:rsid w:val="0083215B"/>
    <w:rsid w:val="0083710F"/>
    <w:rsid w:val="00837200"/>
    <w:rsid w:val="00840547"/>
    <w:rsid w:val="0084332A"/>
    <w:rsid w:val="008437FE"/>
    <w:rsid w:val="008465D6"/>
    <w:rsid w:val="00860899"/>
    <w:rsid w:val="00866025"/>
    <w:rsid w:val="0088233C"/>
    <w:rsid w:val="008A1016"/>
    <w:rsid w:val="008A3877"/>
    <w:rsid w:val="008B1A58"/>
    <w:rsid w:val="008B1B71"/>
    <w:rsid w:val="008B2182"/>
    <w:rsid w:val="008C18AE"/>
    <w:rsid w:val="008C3603"/>
    <w:rsid w:val="008C45A5"/>
    <w:rsid w:val="008D34A8"/>
    <w:rsid w:val="008D4FA4"/>
    <w:rsid w:val="008D4FD5"/>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EAA"/>
    <w:rsid w:val="00927F70"/>
    <w:rsid w:val="0093492C"/>
    <w:rsid w:val="0093762E"/>
    <w:rsid w:val="00940B57"/>
    <w:rsid w:val="00941562"/>
    <w:rsid w:val="00944BDE"/>
    <w:rsid w:val="0094618C"/>
    <w:rsid w:val="0095576C"/>
    <w:rsid w:val="0097238D"/>
    <w:rsid w:val="009732B6"/>
    <w:rsid w:val="00974554"/>
    <w:rsid w:val="00976D15"/>
    <w:rsid w:val="00977E1A"/>
    <w:rsid w:val="009838D5"/>
    <w:rsid w:val="00987290"/>
    <w:rsid w:val="009950C9"/>
    <w:rsid w:val="009A269B"/>
    <w:rsid w:val="009A33C1"/>
    <w:rsid w:val="009A37B0"/>
    <w:rsid w:val="009A79F1"/>
    <w:rsid w:val="009B099B"/>
    <w:rsid w:val="009B2BC9"/>
    <w:rsid w:val="009B36AA"/>
    <w:rsid w:val="009B4C31"/>
    <w:rsid w:val="009D57DB"/>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3F9C"/>
    <w:rsid w:val="00A4634B"/>
    <w:rsid w:val="00A52FDF"/>
    <w:rsid w:val="00A54C36"/>
    <w:rsid w:val="00A56BC1"/>
    <w:rsid w:val="00A600CF"/>
    <w:rsid w:val="00A62353"/>
    <w:rsid w:val="00A63F51"/>
    <w:rsid w:val="00A75EF4"/>
    <w:rsid w:val="00A771F2"/>
    <w:rsid w:val="00A77551"/>
    <w:rsid w:val="00A9010C"/>
    <w:rsid w:val="00A901C5"/>
    <w:rsid w:val="00AA663B"/>
    <w:rsid w:val="00AB1510"/>
    <w:rsid w:val="00AB2DE7"/>
    <w:rsid w:val="00AB4CA7"/>
    <w:rsid w:val="00AB56D2"/>
    <w:rsid w:val="00AB636E"/>
    <w:rsid w:val="00AB6798"/>
    <w:rsid w:val="00AD49F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64D36"/>
    <w:rsid w:val="00B70181"/>
    <w:rsid w:val="00B73443"/>
    <w:rsid w:val="00B82BB4"/>
    <w:rsid w:val="00B8347D"/>
    <w:rsid w:val="00B862D2"/>
    <w:rsid w:val="00B908DF"/>
    <w:rsid w:val="00B92A41"/>
    <w:rsid w:val="00B9551D"/>
    <w:rsid w:val="00B95693"/>
    <w:rsid w:val="00B95E84"/>
    <w:rsid w:val="00BA1F62"/>
    <w:rsid w:val="00BB04F9"/>
    <w:rsid w:val="00BB3F9A"/>
    <w:rsid w:val="00BD2454"/>
    <w:rsid w:val="00BF09B4"/>
    <w:rsid w:val="00C04C43"/>
    <w:rsid w:val="00C11D38"/>
    <w:rsid w:val="00C2406F"/>
    <w:rsid w:val="00C33AAD"/>
    <w:rsid w:val="00C4185B"/>
    <w:rsid w:val="00C45291"/>
    <w:rsid w:val="00C519B2"/>
    <w:rsid w:val="00C52737"/>
    <w:rsid w:val="00C53B19"/>
    <w:rsid w:val="00C5727B"/>
    <w:rsid w:val="00C63FFA"/>
    <w:rsid w:val="00C64B6A"/>
    <w:rsid w:val="00C72A6C"/>
    <w:rsid w:val="00C7361A"/>
    <w:rsid w:val="00C7460D"/>
    <w:rsid w:val="00C8430A"/>
    <w:rsid w:val="00C9262D"/>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61362"/>
    <w:rsid w:val="00D66445"/>
    <w:rsid w:val="00D77C76"/>
    <w:rsid w:val="00D91BA3"/>
    <w:rsid w:val="00DA44A9"/>
    <w:rsid w:val="00DA7A8D"/>
    <w:rsid w:val="00DB19FF"/>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43F8E"/>
    <w:rsid w:val="00E45186"/>
    <w:rsid w:val="00E50554"/>
    <w:rsid w:val="00E507F0"/>
    <w:rsid w:val="00E51144"/>
    <w:rsid w:val="00E55848"/>
    <w:rsid w:val="00E56239"/>
    <w:rsid w:val="00E63F2E"/>
    <w:rsid w:val="00E65FD4"/>
    <w:rsid w:val="00E7210A"/>
    <w:rsid w:val="00E72A79"/>
    <w:rsid w:val="00E76029"/>
    <w:rsid w:val="00E802B6"/>
    <w:rsid w:val="00E82E00"/>
    <w:rsid w:val="00E8500B"/>
    <w:rsid w:val="00E8695C"/>
    <w:rsid w:val="00E86AD4"/>
    <w:rsid w:val="00E904E4"/>
    <w:rsid w:val="00E932B5"/>
    <w:rsid w:val="00E94C86"/>
    <w:rsid w:val="00E95904"/>
    <w:rsid w:val="00E972D3"/>
    <w:rsid w:val="00EA4ED7"/>
    <w:rsid w:val="00EB239A"/>
    <w:rsid w:val="00EB6D92"/>
    <w:rsid w:val="00EC7C52"/>
    <w:rsid w:val="00ED011F"/>
    <w:rsid w:val="00ED23AA"/>
    <w:rsid w:val="00ED58E4"/>
    <w:rsid w:val="00ED68B8"/>
    <w:rsid w:val="00EE0738"/>
    <w:rsid w:val="00EE0DBB"/>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71C4"/>
    <w:rsid w:val="00F52DAF"/>
    <w:rsid w:val="00F53553"/>
    <w:rsid w:val="00F5420B"/>
    <w:rsid w:val="00F55C9B"/>
    <w:rsid w:val="00F56324"/>
    <w:rsid w:val="00F57032"/>
    <w:rsid w:val="00F63187"/>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Anthony Millar</cp:lastModifiedBy>
  <cp:revision>3</cp:revision>
  <cp:lastPrinted>2018-02-04T10:32:00Z</cp:lastPrinted>
  <dcterms:created xsi:type="dcterms:W3CDTF">2024-02-26T15:09:00Z</dcterms:created>
  <dcterms:modified xsi:type="dcterms:W3CDTF">2024-02-27T04:35:00Z</dcterms:modified>
</cp:coreProperties>
</file>