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5C1D" w14:textId="610EEC1D" w:rsidR="00903C26" w:rsidRDefault="00903C26" w:rsidP="00903C26">
      <w:pPr>
        <w:rPr>
          <w:b/>
          <w:sz w:val="32"/>
          <w:szCs w:val="32"/>
        </w:rPr>
      </w:pPr>
      <w:r>
        <w:rPr>
          <w:b/>
          <w:noProof/>
          <w:sz w:val="32"/>
          <w:szCs w:val="32"/>
        </w:rPr>
        <w:drawing>
          <wp:inline distT="0" distB="0" distL="0" distR="0" wp14:anchorId="00E9C34F" wp14:editId="22F661B4">
            <wp:extent cx="4286250" cy="466725"/>
            <wp:effectExtent l="0" t="0" r="0" b="9525"/>
            <wp:docPr id="784040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410233D" w14:textId="62128BC3" w:rsidR="00DC61AB" w:rsidRPr="00284984" w:rsidRDefault="00DC61AB" w:rsidP="00DC61AB">
      <w:pPr>
        <w:jc w:val="center"/>
        <w:rPr>
          <w:b/>
          <w:sz w:val="32"/>
          <w:szCs w:val="32"/>
        </w:rPr>
      </w:pPr>
      <w:r w:rsidRPr="00284984">
        <w:rPr>
          <w:b/>
          <w:sz w:val="32"/>
          <w:szCs w:val="32"/>
        </w:rPr>
        <w:t>REPUBLIC OF SOUTH AFRICA</w:t>
      </w:r>
    </w:p>
    <w:p w14:paraId="0A24B587" w14:textId="77777777" w:rsidR="00DC61AB" w:rsidRDefault="00DC61AB" w:rsidP="00DC61AB">
      <w:pPr>
        <w:jc w:val="center"/>
      </w:pPr>
      <w:r>
        <w:rPr>
          <w:noProof/>
          <w:lang w:eastAsia="en-ZA"/>
        </w:rPr>
        <w:drawing>
          <wp:inline distT="0" distB="0" distL="0" distR="0" wp14:anchorId="79046F15" wp14:editId="3A2668F2">
            <wp:extent cx="1371600" cy="1152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D54B1C4" w14:textId="77777777" w:rsidR="00DC61AB" w:rsidRPr="00284984" w:rsidRDefault="00DC61AB" w:rsidP="00DC61AB">
      <w:pPr>
        <w:jc w:val="center"/>
        <w:rPr>
          <w:b/>
          <w:sz w:val="32"/>
          <w:szCs w:val="32"/>
        </w:rPr>
      </w:pPr>
      <w:r w:rsidRPr="00284984">
        <w:rPr>
          <w:b/>
          <w:sz w:val="32"/>
          <w:szCs w:val="32"/>
        </w:rPr>
        <w:t>IN THE HIGH COURT OF SOUTH AFRICA</w:t>
      </w:r>
    </w:p>
    <w:p w14:paraId="75348F1B" w14:textId="77777777" w:rsidR="00DC61AB" w:rsidRPr="00284984" w:rsidRDefault="00DC61AB" w:rsidP="00DC61AB">
      <w:pPr>
        <w:jc w:val="center"/>
        <w:rPr>
          <w:b/>
          <w:sz w:val="32"/>
          <w:szCs w:val="32"/>
        </w:rPr>
      </w:pPr>
      <w:r w:rsidRPr="00284984">
        <w:rPr>
          <w:b/>
          <w:sz w:val="32"/>
          <w:szCs w:val="32"/>
        </w:rPr>
        <w:t>(GAUTENG DIVISION, PRETORIA)</w:t>
      </w:r>
    </w:p>
    <w:tbl>
      <w:tblPr>
        <w:tblStyle w:val="TableGrid"/>
        <w:tblW w:w="0" w:type="auto"/>
        <w:tblLook w:val="04A0" w:firstRow="1" w:lastRow="0" w:firstColumn="1" w:lastColumn="0" w:noHBand="0" w:noVBand="1"/>
      </w:tblPr>
      <w:tblGrid>
        <w:gridCol w:w="4928"/>
      </w:tblGrid>
      <w:tr w:rsidR="00DC61AB" w14:paraId="3203E850" w14:textId="77777777" w:rsidTr="005757EF">
        <w:tc>
          <w:tcPr>
            <w:tcW w:w="4928" w:type="dxa"/>
          </w:tcPr>
          <w:p w14:paraId="7C62F604" w14:textId="77777777" w:rsidR="00DC61AB" w:rsidRDefault="00703EE5" w:rsidP="00DC61AB">
            <w:pPr>
              <w:pStyle w:val="ListParagraph"/>
              <w:numPr>
                <w:ilvl w:val="0"/>
                <w:numId w:val="1"/>
              </w:numPr>
            </w:pPr>
            <w:r>
              <w:t xml:space="preserve">REPORTABLE:    </w:t>
            </w:r>
            <w:r w:rsidR="00DC61AB">
              <w:t>NO</w:t>
            </w:r>
          </w:p>
          <w:p w14:paraId="7B84F75A" w14:textId="77777777" w:rsidR="00DC61AB" w:rsidRDefault="00DC61AB" w:rsidP="00DC61AB">
            <w:pPr>
              <w:pStyle w:val="ListParagraph"/>
              <w:numPr>
                <w:ilvl w:val="0"/>
                <w:numId w:val="1"/>
              </w:numPr>
            </w:pPr>
            <w:r>
              <w:t>OF I</w:t>
            </w:r>
            <w:r w:rsidR="00703EE5">
              <w:t xml:space="preserve">NTEREST TO OTHER JUDGES:   </w:t>
            </w:r>
            <w:r>
              <w:t>NO</w:t>
            </w:r>
          </w:p>
          <w:p w14:paraId="37123A4C" w14:textId="77777777" w:rsidR="00DC61AB" w:rsidRDefault="00DC61AB" w:rsidP="00DC61AB">
            <w:pPr>
              <w:pStyle w:val="ListParagraph"/>
              <w:numPr>
                <w:ilvl w:val="0"/>
                <w:numId w:val="1"/>
              </w:numPr>
            </w:pPr>
            <w:r>
              <w:t>REVISED:</w:t>
            </w:r>
          </w:p>
          <w:p w14:paraId="5153402A" w14:textId="77777777" w:rsidR="00DC61AB" w:rsidRDefault="00DC61AB" w:rsidP="005757EF"/>
          <w:p w14:paraId="01D15AD6" w14:textId="77777777" w:rsidR="00DC61AB" w:rsidRDefault="00703EE5" w:rsidP="005757EF">
            <w:r>
              <w:t xml:space="preserve">11 March 2024                 </w:t>
            </w:r>
          </w:p>
          <w:p w14:paraId="57967378" w14:textId="77777777" w:rsidR="00DC61AB" w:rsidRDefault="00DC61AB" w:rsidP="005757EF">
            <w:r>
              <w:t>DATE                                   SIGNATURE</w:t>
            </w:r>
          </w:p>
          <w:p w14:paraId="41D8B77C" w14:textId="77777777" w:rsidR="00DC61AB" w:rsidRDefault="00DC61AB" w:rsidP="005757EF"/>
        </w:tc>
      </w:tr>
    </w:tbl>
    <w:p w14:paraId="5AF41DDA" w14:textId="77777777" w:rsidR="00FF1A16" w:rsidRPr="003F5A03" w:rsidRDefault="00FF1A16">
      <w:pPr>
        <w:rPr>
          <w:b/>
          <w:sz w:val="28"/>
          <w:szCs w:val="28"/>
        </w:rPr>
      </w:pPr>
      <w:r>
        <w:rPr>
          <w:sz w:val="28"/>
          <w:szCs w:val="28"/>
        </w:rPr>
        <w:t xml:space="preserve">          </w:t>
      </w:r>
      <w:r w:rsidR="00203744">
        <w:rPr>
          <w:sz w:val="28"/>
          <w:szCs w:val="28"/>
        </w:rPr>
        <w:t xml:space="preserve">   </w:t>
      </w:r>
      <w:r>
        <w:rPr>
          <w:sz w:val="28"/>
          <w:szCs w:val="28"/>
        </w:rPr>
        <w:t xml:space="preserve">                                                             </w:t>
      </w:r>
      <w:r w:rsidR="008D6C57">
        <w:rPr>
          <w:sz w:val="28"/>
          <w:szCs w:val="28"/>
        </w:rPr>
        <w:t xml:space="preserve">                        </w:t>
      </w:r>
      <w:r>
        <w:rPr>
          <w:sz w:val="28"/>
          <w:szCs w:val="28"/>
        </w:rPr>
        <w:t xml:space="preserve">   </w:t>
      </w:r>
      <w:r w:rsidR="00203744">
        <w:rPr>
          <w:b/>
          <w:sz w:val="28"/>
          <w:szCs w:val="28"/>
        </w:rPr>
        <w:t>CASE NO: 36734/2021</w:t>
      </w:r>
    </w:p>
    <w:p w14:paraId="622A1766" w14:textId="77777777" w:rsidR="00FF1A16" w:rsidRDefault="00FF1A16">
      <w:pPr>
        <w:rPr>
          <w:sz w:val="28"/>
          <w:szCs w:val="28"/>
        </w:rPr>
      </w:pPr>
      <w:r>
        <w:rPr>
          <w:sz w:val="28"/>
          <w:szCs w:val="28"/>
        </w:rPr>
        <w:t>In the matter between:</w:t>
      </w:r>
    </w:p>
    <w:p w14:paraId="03D090C8" w14:textId="77777777" w:rsidR="00FF1A16" w:rsidRDefault="00FF1A16">
      <w:pPr>
        <w:rPr>
          <w:sz w:val="28"/>
          <w:szCs w:val="28"/>
        </w:rPr>
      </w:pPr>
    </w:p>
    <w:p w14:paraId="734EEB45" w14:textId="77777777" w:rsidR="00FF1A16" w:rsidRDefault="004A12E0">
      <w:pPr>
        <w:rPr>
          <w:b/>
          <w:sz w:val="28"/>
          <w:szCs w:val="28"/>
        </w:rPr>
      </w:pPr>
      <w:r>
        <w:rPr>
          <w:b/>
          <w:sz w:val="28"/>
          <w:szCs w:val="28"/>
        </w:rPr>
        <w:t>MARIKEN JOSEPHINE GILFILLAN                                                                     Plaintiff</w:t>
      </w:r>
      <w:r w:rsidR="00FF1A16">
        <w:rPr>
          <w:b/>
          <w:sz w:val="28"/>
          <w:szCs w:val="28"/>
        </w:rPr>
        <w:t xml:space="preserve">           </w:t>
      </w:r>
      <w:r w:rsidR="003F5A03">
        <w:rPr>
          <w:b/>
          <w:sz w:val="28"/>
          <w:szCs w:val="28"/>
        </w:rPr>
        <w:t xml:space="preserve">                                             </w:t>
      </w:r>
    </w:p>
    <w:p w14:paraId="35A4B31F" w14:textId="77777777" w:rsidR="003F5A03" w:rsidRDefault="003F5A03">
      <w:pPr>
        <w:rPr>
          <w:sz w:val="28"/>
          <w:szCs w:val="28"/>
        </w:rPr>
      </w:pPr>
    </w:p>
    <w:p w14:paraId="0A788C40" w14:textId="77777777" w:rsidR="00FF1A16" w:rsidRDefault="00FF1A16">
      <w:pPr>
        <w:rPr>
          <w:sz w:val="28"/>
          <w:szCs w:val="28"/>
        </w:rPr>
      </w:pPr>
      <w:r>
        <w:rPr>
          <w:sz w:val="28"/>
          <w:szCs w:val="28"/>
        </w:rPr>
        <w:t>and</w:t>
      </w:r>
    </w:p>
    <w:p w14:paraId="4DA91A83" w14:textId="77777777" w:rsidR="003F5A03" w:rsidRDefault="003F5A03">
      <w:pPr>
        <w:rPr>
          <w:b/>
          <w:sz w:val="28"/>
          <w:szCs w:val="28"/>
        </w:rPr>
      </w:pPr>
    </w:p>
    <w:p w14:paraId="6B6AF452" w14:textId="77777777" w:rsidR="00FF1A16" w:rsidRDefault="004A12E0">
      <w:pPr>
        <w:rPr>
          <w:b/>
          <w:sz w:val="28"/>
          <w:szCs w:val="28"/>
        </w:rPr>
      </w:pPr>
      <w:r>
        <w:rPr>
          <w:b/>
          <w:sz w:val="28"/>
          <w:szCs w:val="28"/>
        </w:rPr>
        <w:t>RENICO CONSTRUCTION (PTY) LTD                                                            Defendant</w:t>
      </w:r>
    </w:p>
    <w:p w14:paraId="012BDABD" w14:textId="77777777" w:rsidR="004A12E0" w:rsidRDefault="004A12E0">
      <w:pPr>
        <w:rPr>
          <w:b/>
          <w:sz w:val="28"/>
          <w:szCs w:val="28"/>
        </w:rPr>
      </w:pPr>
    </w:p>
    <w:p w14:paraId="0A733C56" w14:textId="77777777" w:rsidR="004A12E0" w:rsidRDefault="004A12E0">
      <w:pPr>
        <w:rPr>
          <w:b/>
          <w:sz w:val="28"/>
          <w:szCs w:val="28"/>
        </w:rPr>
      </w:pPr>
      <w:r>
        <w:rPr>
          <w:b/>
          <w:sz w:val="28"/>
          <w:szCs w:val="28"/>
        </w:rPr>
        <w:t>________________________________________________________________</w:t>
      </w:r>
    </w:p>
    <w:p w14:paraId="01DE6126" w14:textId="77777777" w:rsidR="004A12E0" w:rsidRDefault="004A12E0">
      <w:pPr>
        <w:pBdr>
          <w:bottom w:val="single" w:sz="12" w:space="1" w:color="auto"/>
        </w:pBdr>
        <w:rPr>
          <w:b/>
          <w:sz w:val="28"/>
          <w:szCs w:val="28"/>
        </w:rPr>
      </w:pPr>
      <w:r>
        <w:rPr>
          <w:b/>
          <w:sz w:val="28"/>
          <w:szCs w:val="28"/>
        </w:rPr>
        <w:t xml:space="preserve">                                                                 JUDGMENT</w:t>
      </w:r>
    </w:p>
    <w:p w14:paraId="4B41ACBC" w14:textId="77777777" w:rsidR="00CB6242" w:rsidRDefault="00CB6242" w:rsidP="00CB6242">
      <w:pPr>
        <w:spacing w:before="240"/>
        <w:jc w:val="both"/>
        <w:rPr>
          <w:i/>
          <w:sz w:val="28"/>
          <w:szCs w:val="28"/>
        </w:rPr>
      </w:pPr>
      <w:r>
        <w:rPr>
          <w:i/>
          <w:sz w:val="28"/>
          <w:szCs w:val="28"/>
        </w:rPr>
        <w:lastRenderedPageBreak/>
        <w:t xml:space="preserve">(This matter was heard in open court and judgment was reserved. Judgment will be handed down by uploading the judgment onto the electronic file of the matter on </w:t>
      </w:r>
      <w:proofErr w:type="spellStart"/>
      <w:r>
        <w:rPr>
          <w:i/>
          <w:sz w:val="28"/>
          <w:szCs w:val="28"/>
        </w:rPr>
        <w:t>CaseLines</w:t>
      </w:r>
      <w:proofErr w:type="spellEnd"/>
      <w:r>
        <w:rPr>
          <w:i/>
          <w:sz w:val="28"/>
          <w:szCs w:val="28"/>
        </w:rPr>
        <w:t xml:space="preserve"> and forwarding the judgment to the representatives of the parties by </w:t>
      </w:r>
      <w:proofErr w:type="gramStart"/>
      <w:r>
        <w:rPr>
          <w:i/>
          <w:sz w:val="28"/>
          <w:szCs w:val="28"/>
        </w:rPr>
        <w:t>Email</w:t>
      </w:r>
      <w:proofErr w:type="gramEnd"/>
      <w:r>
        <w:rPr>
          <w:i/>
          <w:sz w:val="28"/>
          <w:szCs w:val="28"/>
        </w:rPr>
        <w:t xml:space="preserve"> thereof. The date of the judgment is deemed to be the date of uploading thereof onto </w:t>
      </w:r>
      <w:proofErr w:type="spellStart"/>
      <w:r>
        <w:rPr>
          <w:i/>
          <w:sz w:val="28"/>
          <w:szCs w:val="28"/>
        </w:rPr>
        <w:t>CaseLines</w:t>
      </w:r>
      <w:proofErr w:type="spellEnd"/>
      <w:r>
        <w:rPr>
          <w:i/>
          <w:sz w:val="28"/>
          <w:szCs w:val="28"/>
        </w:rPr>
        <w:t xml:space="preserve">). </w:t>
      </w:r>
    </w:p>
    <w:p w14:paraId="318C73CA" w14:textId="77777777" w:rsidR="00D342A7" w:rsidRDefault="00D342A7" w:rsidP="00CB6242">
      <w:pPr>
        <w:spacing w:before="240"/>
        <w:jc w:val="both"/>
        <w:rPr>
          <w:b/>
          <w:sz w:val="28"/>
          <w:szCs w:val="28"/>
        </w:rPr>
      </w:pPr>
    </w:p>
    <w:p w14:paraId="7442EA1E" w14:textId="77777777" w:rsidR="00CB6242" w:rsidRDefault="00CB6242" w:rsidP="00CB6242">
      <w:pPr>
        <w:spacing w:before="240"/>
        <w:jc w:val="both"/>
        <w:rPr>
          <w:b/>
          <w:sz w:val="28"/>
          <w:szCs w:val="28"/>
        </w:rPr>
      </w:pPr>
      <w:r>
        <w:rPr>
          <w:b/>
          <w:sz w:val="28"/>
          <w:szCs w:val="28"/>
        </w:rPr>
        <w:t>BEFORE: HOLLAND-MUTER J:</w:t>
      </w:r>
    </w:p>
    <w:p w14:paraId="461C63A7" w14:textId="77777777" w:rsidR="00CB6242" w:rsidRDefault="00CB6242" w:rsidP="00CB6242">
      <w:pPr>
        <w:spacing w:before="240"/>
        <w:jc w:val="both"/>
        <w:rPr>
          <w:sz w:val="28"/>
          <w:szCs w:val="28"/>
        </w:rPr>
      </w:pPr>
    </w:p>
    <w:p w14:paraId="4A27E717" w14:textId="77777777" w:rsidR="005656D8" w:rsidRDefault="00CB6242" w:rsidP="00CB6242">
      <w:pPr>
        <w:spacing w:before="240"/>
        <w:jc w:val="both"/>
        <w:rPr>
          <w:sz w:val="28"/>
          <w:szCs w:val="28"/>
        </w:rPr>
      </w:pPr>
      <w:r>
        <w:rPr>
          <w:sz w:val="28"/>
          <w:szCs w:val="28"/>
        </w:rPr>
        <w:t xml:space="preserve">[1] </w:t>
      </w:r>
      <w:r w:rsidR="00610F84">
        <w:rPr>
          <w:sz w:val="28"/>
          <w:szCs w:val="28"/>
        </w:rPr>
        <w:t>The P</w:t>
      </w:r>
      <w:r w:rsidR="005656D8">
        <w:rPr>
          <w:sz w:val="28"/>
          <w:szCs w:val="28"/>
        </w:rPr>
        <w:t>laintiff</w:t>
      </w:r>
      <w:r w:rsidR="00610F84">
        <w:rPr>
          <w:sz w:val="28"/>
          <w:szCs w:val="28"/>
        </w:rPr>
        <w:t xml:space="preserve"> instituted action against the D</w:t>
      </w:r>
      <w:r w:rsidR="005656D8">
        <w:rPr>
          <w:sz w:val="28"/>
          <w:szCs w:val="28"/>
        </w:rPr>
        <w:t xml:space="preserve">efendant for payment of agent’s commission in the fixed amount of R 450 000-00, together with interest </w:t>
      </w:r>
      <w:r w:rsidR="005656D8">
        <w:rPr>
          <w:i/>
          <w:sz w:val="28"/>
          <w:szCs w:val="28"/>
        </w:rPr>
        <w:t xml:space="preserve">a tempore mora </w:t>
      </w:r>
      <w:r w:rsidR="0082357A">
        <w:rPr>
          <w:sz w:val="28"/>
          <w:szCs w:val="28"/>
        </w:rPr>
        <w:t xml:space="preserve">and </w:t>
      </w:r>
      <w:r w:rsidR="00610F84">
        <w:rPr>
          <w:sz w:val="28"/>
          <w:szCs w:val="28"/>
        </w:rPr>
        <w:t>costs</w:t>
      </w:r>
      <w:r w:rsidR="0082357A">
        <w:rPr>
          <w:sz w:val="28"/>
          <w:szCs w:val="28"/>
        </w:rPr>
        <w:t xml:space="preserve"> of suit </w:t>
      </w:r>
      <w:r w:rsidR="00610F84">
        <w:rPr>
          <w:sz w:val="28"/>
          <w:szCs w:val="28"/>
        </w:rPr>
        <w:t>upon an alleged oral mandate between th</w:t>
      </w:r>
      <w:r w:rsidR="0082357A">
        <w:rPr>
          <w:sz w:val="28"/>
          <w:szCs w:val="28"/>
        </w:rPr>
        <w:t>e parties. The Plaintiff acted i</w:t>
      </w:r>
      <w:r w:rsidR="00610F84">
        <w:rPr>
          <w:sz w:val="28"/>
          <w:szCs w:val="28"/>
        </w:rPr>
        <w:t>n person, while the Defendant was represented by Pieter Viljoen, the Defendant’s Acquisitions Manager.</w:t>
      </w:r>
      <w:r w:rsidR="00CC409D">
        <w:rPr>
          <w:sz w:val="28"/>
          <w:szCs w:val="28"/>
        </w:rPr>
        <w:t xml:space="preserve"> The plaintiff is a single practising estate agent while the defendant is a property developer trading as a private company [(Pty) Ltd]. </w:t>
      </w:r>
    </w:p>
    <w:p w14:paraId="77D94CFF" w14:textId="77777777" w:rsidR="005656D8" w:rsidRDefault="005656D8" w:rsidP="00CB6242">
      <w:pPr>
        <w:spacing w:before="240"/>
        <w:jc w:val="both"/>
        <w:rPr>
          <w:sz w:val="28"/>
          <w:szCs w:val="28"/>
        </w:rPr>
      </w:pPr>
    </w:p>
    <w:p w14:paraId="666BC533" w14:textId="77777777" w:rsidR="00D15F60" w:rsidRDefault="005656D8" w:rsidP="00CB6242">
      <w:pPr>
        <w:spacing w:before="240"/>
        <w:jc w:val="both"/>
        <w:rPr>
          <w:sz w:val="28"/>
          <w:szCs w:val="28"/>
        </w:rPr>
      </w:pPr>
      <w:r>
        <w:rPr>
          <w:sz w:val="28"/>
          <w:szCs w:val="28"/>
        </w:rPr>
        <w:t>[2]</w:t>
      </w:r>
      <w:r w:rsidR="00610F84">
        <w:rPr>
          <w:sz w:val="28"/>
          <w:szCs w:val="28"/>
        </w:rPr>
        <w:t xml:space="preserve"> In order to be successful with her claim, the Plaintiff must prove the conclusion of the oral mandate and the terms th</w:t>
      </w:r>
      <w:r w:rsidR="00D15F60">
        <w:rPr>
          <w:sz w:val="28"/>
          <w:szCs w:val="28"/>
        </w:rPr>
        <w:t>ereof and that the commission became due and payable to the Plaintiff by the Defendant.</w:t>
      </w:r>
    </w:p>
    <w:p w14:paraId="4F792B64" w14:textId="77777777" w:rsidR="00D15F60" w:rsidRDefault="00D15F60" w:rsidP="00CB6242">
      <w:pPr>
        <w:spacing w:before="240"/>
        <w:jc w:val="both"/>
        <w:rPr>
          <w:sz w:val="28"/>
          <w:szCs w:val="28"/>
        </w:rPr>
      </w:pPr>
    </w:p>
    <w:p w14:paraId="76826A73" w14:textId="77777777" w:rsidR="00850605" w:rsidRDefault="00D15F60" w:rsidP="00CB6242">
      <w:pPr>
        <w:spacing w:before="240"/>
        <w:jc w:val="both"/>
        <w:rPr>
          <w:sz w:val="28"/>
          <w:szCs w:val="28"/>
        </w:rPr>
      </w:pPr>
      <w:r>
        <w:rPr>
          <w:sz w:val="28"/>
          <w:szCs w:val="28"/>
        </w:rPr>
        <w:t xml:space="preserve">[3] </w:t>
      </w:r>
      <w:r w:rsidR="00850605">
        <w:rPr>
          <w:sz w:val="28"/>
          <w:szCs w:val="28"/>
        </w:rPr>
        <w:t>The defendant’s defence can be summarised as follows:</w:t>
      </w:r>
    </w:p>
    <w:p w14:paraId="043AB6CA" w14:textId="77777777" w:rsidR="00850605" w:rsidRDefault="00850605" w:rsidP="00CB6242">
      <w:pPr>
        <w:spacing w:before="240"/>
        <w:jc w:val="both"/>
        <w:rPr>
          <w:sz w:val="28"/>
          <w:szCs w:val="28"/>
        </w:rPr>
      </w:pPr>
    </w:p>
    <w:p w14:paraId="5B832458" w14:textId="77777777" w:rsidR="00850605" w:rsidRPr="0082357A" w:rsidRDefault="00C5381C" w:rsidP="00CB6242">
      <w:pPr>
        <w:spacing w:before="240"/>
        <w:jc w:val="both"/>
        <w:rPr>
          <w:sz w:val="28"/>
          <w:szCs w:val="28"/>
        </w:rPr>
      </w:pPr>
      <w:r>
        <w:rPr>
          <w:sz w:val="28"/>
          <w:szCs w:val="28"/>
        </w:rPr>
        <w:t>(3.1</w:t>
      </w:r>
      <w:r w:rsidR="00850605">
        <w:rPr>
          <w:sz w:val="28"/>
          <w:szCs w:val="28"/>
        </w:rPr>
        <w:t xml:space="preserve">) The defendant denies any </w:t>
      </w:r>
      <w:r w:rsidR="00850605">
        <w:rPr>
          <w:b/>
          <w:sz w:val="28"/>
          <w:szCs w:val="28"/>
        </w:rPr>
        <w:t>oral</w:t>
      </w:r>
      <w:r w:rsidR="00850605">
        <w:rPr>
          <w:sz w:val="28"/>
          <w:szCs w:val="28"/>
        </w:rPr>
        <w:t xml:space="preserve"> mandate relied upon by the plaintiff </w:t>
      </w:r>
      <w:r w:rsidR="00850605">
        <w:rPr>
          <w:b/>
          <w:sz w:val="28"/>
          <w:szCs w:val="28"/>
        </w:rPr>
        <w:t xml:space="preserve">but </w:t>
      </w:r>
      <w:r w:rsidR="00850605">
        <w:rPr>
          <w:sz w:val="28"/>
          <w:szCs w:val="28"/>
        </w:rPr>
        <w:t xml:space="preserve">admits that a written agreement of sale was concluded between itself and </w:t>
      </w:r>
      <w:proofErr w:type="spellStart"/>
      <w:r w:rsidR="00850605">
        <w:rPr>
          <w:sz w:val="28"/>
          <w:szCs w:val="28"/>
        </w:rPr>
        <w:t>Brawild</w:t>
      </w:r>
      <w:proofErr w:type="spellEnd"/>
      <w:r w:rsidR="00850605">
        <w:rPr>
          <w:sz w:val="28"/>
          <w:szCs w:val="28"/>
        </w:rPr>
        <w:t xml:space="preserve"> (</w:t>
      </w:r>
      <w:proofErr w:type="gramStart"/>
      <w:r w:rsidR="00850605">
        <w:rPr>
          <w:sz w:val="28"/>
          <w:szCs w:val="28"/>
        </w:rPr>
        <w:t>Pty )</w:t>
      </w:r>
      <w:proofErr w:type="gramEnd"/>
      <w:r w:rsidR="00850605">
        <w:rPr>
          <w:sz w:val="28"/>
          <w:szCs w:val="28"/>
        </w:rPr>
        <w:t xml:space="preserve"> Ltd for the acquisition of a portion of land, and </w:t>
      </w:r>
      <w:r w:rsidR="0082357A">
        <w:rPr>
          <w:sz w:val="28"/>
          <w:szCs w:val="28"/>
        </w:rPr>
        <w:t xml:space="preserve">important </w:t>
      </w:r>
      <w:r w:rsidR="00850605" w:rsidRPr="00C5381C">
        <w:rPr>
          <w:i/>
          <w:sz w:val="28"/>
          <w:szCs w:val="28"/>
        </w:rPr>
        <w:t>that the plaintiff</w:t>
      </w:r>
      <w:r w:rsidR="00850605">
        <w:rPr>
          <w:sz w:val="28"/>
          <w:szCs w:val="28"/>
        </w:rPr>
        <w:t xml:space="preserve"> </w:t>
      </w:r>
      <w:r w:rsidR="00850605" w:rsidRPr="00C5381C">
        <w:rPr>
          <w:i/>
          <w:sz w:val="28"/>
          <w:szCs w:val="28"/>
        </w:rPr>
        <w:t>was the effective cause of the agreement;</w:t>
      </w:r>
      <w:r w:rsidR="0082357A">
        <w:rPr>
          <w:i/>
          <w:sz w:val="28"/>
          <w:szCs w:val="28"/>
        </w:rPr>
        <w:t xml:space="preserve"> </w:t>
      </w:r>
      <w:r w:rsidR="0082357A">
        <w:rPr>
          <w:sz w:val="28"/>
          <w:szCs w:val="28"/>
        </w:rPr>
        <w:t>and</w:t>
      </w:r>
    </w:p>
    <w:p w14:paraId="51163050" w14:textId="77777777" w:rsidR="00850605" w:rsidRDefault="00850605" w:rsidP="00CB6242">
      <w:pPr>
        <w:spacing w:before="240"/>
        <w:jc w:val="both"/>
        <w:rPr>
          <w:sz w:val="28"/>
          <w:szCs w:val="28"/>
        </w:rPr>
      </w:pPr>
    </w:p>
    <w:p w14:paraId="5B485FED" w14:textId="77777777" w:rsidR="0003693A" w:rsidRDefault="00C5381C" w:rsidP="00CB6242">
      <w:pPr>
        <w:spacing w:before="240"/>
        <w:jc w:val="both"/>
        <w:rPr>
          <w:sz w:val="28"/>
          <w:szCs w:val="28"/>
        </w:rPr>
      </w:pPr>
      <w:r>
        <w:rPr>
          <w:sz w:val="28"/>
          <w:szCs w:val="28"/>
        </w:rPr>
        <w:lastRenderedPageBreak/>
        <w:t>(3.2</w:t>
      </w:r>
      <w:r w:rsidR="00850605">
        <w:rPr>
          <w:sz w:val="28"/>
          <w:szCs w:val="28"/>
        </w:rPr>
        <w:t xml:space="preserve">) The defendant admits that in clause 17 of the said written agreement it is recorded that </w:t>
      </w:r>
      <w:r w:rsidR="00850605" w:rsidRPr="00850605">
        <w:rPr>
          <w:i/>
          <w:sz w:val="28"/>
          <w:szCs w:val="28"/>
        </w:rPr>
        <w:t>the defendant is responsible for p</w:t>
      </w:r>
      <w:r w:rsidR="00850605">
        <w:rPr>
          <w:i/>
          <w:sz w:val="28"/>
          <w:szCs w:val="28"/>
        </w:rPr>
        <w:t xml:space="preserve">ayment of the commission of  </w:t>
      </w:r>
      <w:r w:rsidR="00850605" w:rsidRPr="00850605">
        <w:rPr>
          <w:i/>
          <w:sz w:val="28"/>
          <w:szCs w:val="28"/>
        </w:rPr>
        <w:t xml:space="preserve"> </w:t>
      </w:r>
      <w:r w:rsidR="00850605">
        <w:rPr>
          <w:i/>
          <w:sz w:val="28"/>
          <w:szCs w:val="28"/>
        </w:rPr>
        <w:t xml:space="preserve">R </w:t>
      </w:r>
      <w:r w:rsidR="00850605" w:rsidRPr="00850605">
        <w:rPr>
          <w:i/>
          <w:sz w:val="28"/>
          <w:szCs w:val="28"/>
        </w:rPr>
        <w:t xml:space="preserve">450 000-00 (Vat included) to Mariken </w:t>
      </w:r>
      <w:proofErr w:type="spellStart"/>
      <w:r w:rsidR="00850605" w:rsidRPr="00850605">
        <w:rPr>
          <w:i/>
          <w:sz w:val="28"/>
          <w:szCs w:val="28"/>
        </w:rPr>
        <w:t>Gilfilan</w:t>
      </w:r>
      <w:proofErr w:type="spellEnd"/>
      <w:r w:rsidR="00850605" w:rsidRPr="00850605">
        <w:rPr>
          <w:i/>
          <w:sz w:val="28"/>
          <w:szCs w:val="28"/>
        </w:rPr>
        <w:t xml:space="preserve"> </w:t>
      </w:r>
      <w:proofErr w:type="spellStart"/>
      <w:r w:rsidR="00850605" w:rsidRPr="00850605">
        <w:rPr>
          <w:i/>
          <w:sz w:val="28"/>
          <w:szCs w:val="28"/>
        </w:rPr>
        <w:t>Propreties</w:t>
      </w:r>
      <w:proofErr w:type="spellEnd"/>
      <w:r w:rsidR="00850605">
        <w:rPr>
          <w:sz w:val="28"/>
          <w:szCs w:val="28"/>
        </w:rPr>
        <w:t xml:space="preserve">. </w:t>
      </w:r>
      <w:r w:rsidR="00CC409D">
        <w:rPr>
          <w:sz w:val="28"/>
          <w:szCs w:val="28"/>
        </w:rPr>
        <w:t xml:space="preserve">The managing director and proclaimed Chief Executive Officer (CEO) of the defendant, Nicolaas </w:t>
      </w:r>
      <w:r w:rsidR="0003693A">
        <w:rPr>
          <w:sz w:val="28"/>
          <w:szCs w:val="28"/>
        </w:rPr>
        <w:t>S Louw, testified that he endorsed the written agreement in par 17 to approve the amount of R 450 000-00</w:t>
      </w:r>
      <w:r w:rsidR="00CC409D">
        <w:rPr>
          <w:sz w:val="28"/>
          <w:szCs w:val="28"/>
        </w:rPr>
        <w:t xml:space="preserve"> </w:t>
      </w:r>
      <w:r w:rsidR="0003693A">
        <w:rPr>
          <w:sz w:val="28"/>
          <w:szCs w:val="28"/>
        </w:rPr>
        <w:t xml:space="preserve">as the commission payable to the plaintiff. </w:t>
      </w:r>
      <w:r w:rsidR="005656D8">
        <w:rPr>
          <w:sz w:val="28"/>
          <w:szCs w:val="28"/>
        </w:rPr>
        <w:t xml:space="preserve">  </w:t>
      </w:r>
      <w:r w:rsidR="00CB6242">
        <w:rPr>
          <w:sz w:val="28"/>
          <w:szCs w:val="28"/>
        </w:rPr>
        <w:t xml:space="preserve"> </w:t>
      </w:r>
    </w:p>
    <w:p w14:paraId="0294F266" w14:textId="77777777" w:rsidR="0003693A" w:rsidRDefault="0003693A" w:rsidP="00CB6242">
      <w:pPr>
        <w:spacing w:before="240"/>
        <w:jc w:val="both"/>
        <w:rPr>
          <w:sz w:val="28"/>
          <w:szCs w:val="28"/>
        </w:rPr>
      </w:pPr>
    </w:p>
    <w:p w14:paraId="2723EABA" w14:textId="77777777" w:rsidR="00850605" w:rsidRDefault="00C5381C" w:rsidP="00CB6242">
      <w:pPr>
        <w:spacing w:before="240"/>
        <w:jc w:val="both"/>
        <w:rPr>
          <w:sz w:val="28"/>
          <w:szCs w:val="28"/>
        </w:rPr>
      </w:pPr>
      <w:r>
        <w:rPr>
          <w:sz w:val="28"/>
          <w:szCs w:val="28"/>
        </w:rPr>
        <w:t>(3.3</w:t>
      </w:r>
      <w:r w:rsidR="00850605">
        <w:rPr>
          <w:sz w:val="28"/>
          <w:szCs w:val="28"/>
        </w:rPr>
        <w:t>) The defendant however denies havin</w:t>
      </w:r>
      <w:r w:rsidR="0082357A">
        <w:rPr>
          <w:sz w:val="28"/>
          <w:szCs w:val="28"/>
        </w:rPr>
        <w:t xml:space="preserve">g mandated the plaintiff </w:t>
      </w:r>
      <w:proofErr w:type="gramStart"/>
      <w:r w:rsidR="0082357A">
        <w:rPr>
          <w:sz w:val="28"/>
          <w:szCs w:val="28"/>
        </w:rPr>
        <w:t>to  source</w:t>
      </w:r>
      <w:proofErr w:type="gramEnd"/>
      <w:r w:rsidR="00850605">
        <w:rPr>
          <w:sz w:val="28"/>
          <w:szCs w:val="28"/>
        </w:rPr>
        <w:t xml:space="preserve"> the development property to which the written agreement pertains and in respect of which it recorded its obligation to pay the plaintiff’s commission.</w:t>
      </w:r>
      <w:r w:rsidR="00963585">
        <w:rPr>
          <w:sz w:val="28"/>
          <w:szCs w:val="28"/>
        </w:rPr>
        <w:t xml:space="preserve"> </w:t>
      </w:r>
    </w:p>
    <w:p w14:paraId="27F0B9D7" w14:textId="77777777" w:rsidR="00850605" w:rsidRDefault="00850605" w:rsidP="00CB6242">
      <w:pPr>
        <w:spacing w:before="240"/>
        <w:jc w:val="both"/>
        <w:rPr>
          <w:sz w:val="28"/>
          <w:szCs w:val="28"/>
        </w:rPr>
      </w:pPr>
    </w:p>
    <w:p w14:paraId="59163689" w14:textId="77777777" w:rsidR="00850605" w:rsidRDefault="00C5381C" w:rsidP="00CB6242">
      <w:pPr>
        <w:spacing w:before="240"/>
        <w:jc w:val="both"/>
        <w:rPr>
          <w:sz w:val="28"/>
          <w:szCs w:val="28"/>
        </w:rPr>
      </w:pPr>
      <w:r>
        <w:rPr>
          <w:sz w:val="28"/>
          <w:szCs w:val="28"/>
        </w:rPr>
        <w:t>(3.4</w:t>
      </w:r>
      <w:r w:rsidR="005E6F81">
        <w:rPr>
          <w:sz w:val="28"/>
          <w:szCs w:val="28"/>
        </w:rPr>
        <w:t xml:space="preserve">) The defendant, despite denying the existence of the </w:t>
      </w:r>
      <w:r w:rsidR="0082357A">
        <w:rPr>
          <w:sz w:val="28"/>
          <w:szCs w:val="28"/>
        </w:rPr>
        <w:t xml:space="preserve">oral </w:t>
      </w:r>
      <w:r w:rsidR="005E6F81">
        <w:rPr>
          <w:sz w:val="28"/>
          <w:szCs w:val="28"/>
        </w:rPr>
        <w:t>mandate relied upon by the plaintiff, avers that, with refer</w:t>
      </w:r>
      <w:r w:rsidR="0082357A">
        <w:rPr>
          <w:sz w:val="28"/>
          <w:szCs w:val="28"/>
        </w:rPr>
        <w:t xml:space="preserve">ence to clause 17 thereof, </w:t>
      </w:r>
      <w:r w:rsidR="005E6F81">
        <w:rPr>
          <w:sz w:val="28"/>
          <w:szCs w:val="28"/>
        </w:rPr>
        <w:t xml:space="preserve">the parties expressly agreed that the commission was only payable upon registration of the said property into the name of the defendant, alternatively to an expressly agreed term, that it was an implied term of the agreement that the commission was only payable after transfer of the property, and in the second alternative that it was a tacit term of the written agreement between </w:t>
      </w:r>
      <w:proofErr w:type="spellStart"/>
      <w:r w:rsidR="005E6F81">
        <w:rPr>
          <w:sz w:val="28"/>
          <w:szCs w:val="28"/>
        </w:rPr>
        <w:t>Brawild</w:t>
      </w:r>
      <w:proofErr w:type="spellEnd"/>
      <w:r w:rsidR="005E6F81">
        <w:rPr>
          <w:sz w:val="28"/>
          <w:szCs w:val="28"/>
        </w:rPr>
        <w:t xml:space="preserve"> and the defendant that the commission was only payable after transfer had been registered. </w:t>
      </w:r>
    </w:p>
    <w:p w14:paraId="4436FFE9" w14:textId="77777777" w:rsidR="003C2083" w:rsidRDefault="003C2083" w:rsidP="00CB6242">
      <w:pPr>
        <w:spacing w:before="240"/>
        <w:jc w:val="both"/>
        <w:rPr>
          <w:sz w:val="28"/>
          <w:szCs w:val="28"/>
        </w:rPr>
      </w:pPr>
    </w:p>
    <w:p w14:paraId="0D0454D4" w14:textId="77777777" w:rsidR="003C2083" w:rsidRDefault="003C2083" w:rsidP="00CB6242">
      <w:pPr>
        <w:spacing w:before="240"/>
        <w:jc w:val="both"/>
        <w:rPr>
          <w:b/>
          <w:sz w:val="28"/>
          <w:szCs w:val="28"/>
        </w:rPr>
      </w:pPr>
      <w:r>
        <w:rPr>
          <w:b/>
          <w:sz w:val="28"/>
          <w:szCs w:val="28"/>
        </w:rPr>
        <w:t>PLEADINGS:</w:t>
      </w:r>
    </w:p>
    <w:p w14:paraId="7A3711EB" w14:textId="77777777" w:rsidR="003C2083" w:rsidRPr="003C2083" w:rsidRDefault="003C2083" w:rsidP="00CB6242">
      <w:pPr>
        <w:spacing w:before="240"/>
        <w:jc w:val="both"/>
        <w:rPr>
          <w:b/>
          <w:sz w:val="28"/>
          <w:szCs w:val="28"/>
        </w:rPr>
      </w:pPr>
    </w:p>
    <w:p w14:paraId="2DB75A76" w14:textId="77777777" w:rsidR="003C2083" w:rsidRDefault="003C2083" w:rsidP="00CB6242">
      <w:pPr>
        <w:spacing w:before="240"/>
        <w:jc w:val="both"/>
        <w:rPr>
          <w:sz w:val="28"/>
          <w:szCs w:val="28"/>
        </w:rPr>
      </w:pPr>
      <w:r>
        <w:rPr>
          <w:sz w:val="28"/>
          <w:szCs w:val="28"/>
        </w:rPr>
        <w:t>[4] I deem it not necessary to repeat the pleadings verbatim, suffice to state that after reading the pleadings, the issues for adjudication are the following:</w:t>
      </w:r>
    </w:p>
    <w:p w14:paraId="6E161E88" w14:textId="77777777" w:rsidR="003C2083" w:rsidRDefault="003C2083" w:rsidP="00CB6242">
      <w:pPr>
        <w:spacing w:before="240"/>
        <w:jc w:val="both"/>
        <w:rPr>
          <w:sz w:val="28"/>
          <w:szCs w:val="28"/>
        </w:rPr>
      </w:pPr>
    </w:p>
    <w:p w14:paraId="619E340D" w14:textId="77777777" w:rsidR="003C2083" w:rsidRPr="00103DB5" w:rsidRDefault="00DB1292" w:rsidP="00CB6242">
      <w:pPr>
        <w:spacing w:before="240"/>
        <w:jc w:val="both"/>
        <w:rPr>
          <w:b/>
          <w:sz w:val="28"/>
          <w:szCs w:val="28"/>
        </w:rPr>
      </w:pPr>
      <w:r>
        <w:rPr>
          <w:b/>
          <w:sz w:val="28"/>
          <w:szCs w:val="28"/>
        </w:rPr>
        <w:t>The P</w:t>
      </w:r>
      <w:r w:rsidR="003C2083" w:rsidRPr="00103DB5">
        <w:rPr>
          <w:b/>
          <w:sz w:val="28"/>
          <w:szCs w:val="28"/>
        </w:rPr>
        <w:t>laintiff’s case being:</w:t>
      </w:r>
    </w:p>
    <w:p w14:paraId="0D3FBF40" w14:textId="77777777" w:rsidR="003C2083" w:rsidRDefault="003C2083" w:rsidP="00CB6242">
      <w:pPr>
        <w:spacing w:before="240"/>
        <w:jc w:val="both"/>
        <w:rPr>
          <w:sz w:val="28"/>
          <w:szCs w:val="28"/>
        </w:rPr>
      </w:pPr>
    </w:p>
    <w:p w14:paraId="6198BCA2" w14:textId="77777777" w:rsidR="003C2083" w:rsidRDefault="00C5381C" w:rsidP="00CB6242">
      <w:pPr>
        <w:spacing w:before="240"/>
        <w:jc w:val="both"/>
        <w:rPr>
          <w:sz w:val="28"/>
          <w:szCs w:val="28"/>
        </w:rPr>
      </w:pPr>
      <w:r>
        <w:rPr>
          <w:sz w:val="28"/>
          <w:szCs w:val="28"/>
        </w:rPr>
        <w:t>(4.1</w:t>
      </w:r>
      <w:r w:rsidR="003C2083">
        <w:rPr>
          <w:sz w:val="28"/>
          <w:szCs w:val="28"/>
        </w:rPr>
        <w:t xml:space="preserve">) </w:t>
      </w:r>
      <w:r w:rsidR="0082357A">
        <w:rPr>
          <w:sz w:val="28"/>
          <w:szCs w:val="28"/>
        </w:rPr>
        <w:t>that there was there an oral mandate and if</w:t>
      </w:r>
      <w:r w:rsidR="003C2083">
        <w:rPr>
          <w:sz w:val="28"/>
          <w:szCs w:val="28"/>
        </w:rPr>
        <w:t xml:space="preserve"> so, what were the terms thereof?</w:t>
      </w:r>
    </w:p>
    <w:p w14:paraId="3B899082" w14:textId="77777777" w:rsidR="003C2083" w:rsidRDefault="00C5381C" w:rsidP="00CB6242">
      <w:pPr>
        <w:spacing w:before="240"/>
        <w:jc w:val="both"/>
        <w:rPr>
          <w:sz w:val="28"/>
          <w:szCs w:val="28"/>
        </w:rPr>
      </w:pPr>
      <w:r>
        <w:rPr>
          <w:sz w:val="28"/>
          <w:szCs w:val="28"/>
        </w:rPr>
        <w:t>(4.2</w:t>
      </w:r>
      <w:r w:rsidR="003C2083">
        <w:rPr>
          <w:sz w:val="28"/>
          <w:szCs w:val="28"/>
        </w:rPr>
        <w:t>) Was the agent’s commission of</w:t>
      </w:r>
      <w:r w:rsidR="0082357A">
        <w:rPr>
          <w:sz w:val="28"/>
          <w:szCs w:val="28"/>
        </w:rPr>
        <w:t xml:space="preserve"> R 450 000-00, liability accepted</w:t>
      </w:r>
      <w:r w:rsidR="003C2083">
        <w:rPr>
          <w:sz w:val="28"/>
          <w:szCs w:val="28"/>
        </w:rPr>
        <w:t xml:space="preserve"> by the defendant in clause 17 of the written agreement, due and payable when action was instituted?</w:t>
      </w:r>
    </w:p>
    <w:p w14:paraId="27799628" w14:textId="77777777" w:rsidR="0003693A" w:rsidRDefault="0003693A" w:rsidP="00CB6242">
      <w:pPr>
        <w:spacing w:before="240"/>
        <w:jc w:val="both"/>
        <w:rPr>
          <w:b/>
          <w:sz w:val="28"/>
          <w:szCs w:val="28"/>
        </w:rPr>
      </w:pPr>
    </w:p>
    <w:p w14:paraId="7E824894" w14:textId="77777777" w:rsidR="003C2083" w:rsidRPr="00103DB5" w:rsidRDefault="00DB1292" w:rsidP="00CB6242">
      <w:pPr>
        <w:spacing w:before="240"/>
        <w:jc w:val="both"/>
        <w:rPr>
          <w:b/>
          <w:sz w:val="28"/>
          <w:szCs w:val="28"/>
        </w:rPr>
      </w:pPr>
      <w:r>
        <w:rPr>
          <w:b/>
          <w:sz w:val="28"/>
          <w:szCs w:val="28"/>
        </w:rPr>
        <w:t>The D</w:t>
      </w:r>
      <w:r w:rsidR="005B237C" w:rsidRPr="00103DB5">
        <w:rPr>
          <w:b/>
          <w:sz w:val="28"/>
          <w:szCs w:val="28"/>
        </w:rPr>
        <w:t>efendant’s case being:</w:t>
      </w:r>
    </w:p>
    <w:p w14:paraId="672763FA" w14:textId="77777777" w:rsidR="005B237C" w:rsidRDefault="005B237C" w:rsidP="00CB6242">
      <w:pPr>
        <w:spacing w:before="240"/>
        <w:jc w:val="both"/>
        <w:rPr>
          <w:sz w:val="28"/>
          <w:szCs w:val="28"/>
        </w:rPr>
      </w:pPr>
    </w:p>
    <w:p w14:paraId="6D3364BB" w14:textId="77777777" w:rsidR="003C2083" w:rsidRDefault="00C5381C" w:rsidP="00CB6242">
      <w:pPr>
        <w:spacing w:before="240"/>
        <w:jc w:val="both"/>
        <w:rPr>
          <w:sz w:val="28"/>
          <w:szCs w:val="28"/>
        </w:rPr>
      </w:pPr>
      <w:r>
        <w:rPr>
          <w:sz w:val="28"/>
          <w:szCs w:val="28"/>
        </w:rPr>
        <w:t>(4.3</w:t>
      </w:r>
      <w:r w:rsidR="00103DB5">
        <w:rPr>
          <w:sz w:val="28"/>
          <w:szCs w:val="28"/>
        </w:rPr>
        <w:t>) that</w:t>
      </w:r>
      <w:r w:rsidR="003C2083">
        <w:rPr>
          <w:sz w:val="28"/>
          <w:szCs w:val="28"/>
        </w:rPr>
        <w:t xml:space="preserve"> the agreed commission of R 450 000-00 </w:t>
      </w:r>
      <w:r w:rsidR="00103DB5">
        <w:rPr>
          <w:sz w:val="28"/>
          <w:szCs w:val="28"/>
        </w:rPr>
        <w:t xml:space="preserve">would only become </w:t>
      </w:r>
      <w:r w:rsidR="003C2083">
        <w:rPr>
          <w:sz w:val="28"/>
          <w:szCs w:val="28"/>
        </w:rPr>
        <w:t xml:space="preserve">owing upon fulfilment of the two conditions precedent </w:t>
      </w:r>
      <w:r>
        <w:rPr>
          <w:sz w:val="28"/>
          <w:szCs w:val="28"/>
        </w:rPr>
        <w:t xml:space="preserve">(“CP”) </w:t>
      </w:r>
      <w:r w:rsidR="003C2083">
        <w:rPr>
          <w:sz w:val="28"/>
          <w:szCs w:val="28"/>
        </w:rPr>
        <w:t>contained in clause 4 of the agreement; and</w:t>
      </w:r>
    </w:p>
    <w:p w14:paraId="67AC3DE3" w14:textId="77777777" w:rsidR="003C2083" w:rsidRDefault="003C2083" w:rsidP="00CB6242">
      <w:pPr>
        <w:spacing w:before="240"/>
        <w:jc w:val="both"/>
        <w:rPr>
          <w:sz w:val="28"/>
          <w:szCs w:val="28"/>
        </w:rPr>
      </w:pPr>
    </w:p>
    <w:p w14:paraId="55CF134B" w14:textId="77777777" w:rsidR="005B237C" w:rsidRDefault="00C5381C" w:rsidP="00CB6242">
      <w:pPr>
        <w:spacing w:before="240"/>
        <w:jc w:val="both"/>
        <w:rPr>
          <w:sz w:val="28"/>
          <w:szCs w:val="28"/>
        </w:rPr>
      </w:pPr>
      <w:r>
        <w:rPr>
          <w:sz w:val="28"/>
          <w:szCs w:val="28"/>
        </w:rPr>
        <w:t>(4.4</w:t>
      </w:r>
      <w:r w:rsidR="005B237C">
        <w:rPr>
          <w:sz w:val="28"/>
          <w:szCs w:val="28"/>
        </w:rPr>
        <w:t xml:space="preserve">) </w:t>
      </w:r>
      <w:r w:rsidR="00103DB5">
        <w:rPr>
          <w:sz w:val="28"/>
          <w:szCs w:val="28"/>
        </w:rPr>
        <w:t>that</w:t>
      </w:r>
      <w:r w:rsidR="003C2083">
        <w:rPr>
          <w:sz w:val="28"/>
          <w:szCs w:val="28"/>
        </w:rPr>
        <w:t xml:space="preserve"> the agreed commission of R 450 000-00 </w:t>
      </w:r>
      <w:r w:rsidR="00103DB5">
        <w:rPr>
          <w:sz w:val="28"/>
          <w:szCs w:val="28"/>
        </w:rPr>
        <w:t xml:space="preserve">would </w:t>
      </w:r>
      <w:r w:rsidR="003C2083">
        <w:rPr>
          <w:sz w:val="28"/>
          <w:szCs w:val="28"/>
        </w:rPr>
        <w:t xml:space="preserve">only become due and payable upon successful transfer of the property into the name of the defendant? </w:t>
      </w:r>
    </w:p>
    <w:p w14:paraId="0423F852" w14:textId="77777777" w:rsidR="005B237C" w:rsidRDefault="005B237C" w:rsidP="00CB6242">
      <w:pPr>
        <w:spacing w:before="240"/>
        <w:jc w:val="both"/>
        <w:rPr>
          <w:sz w:val="28"/>
          <w:szCs w:val="28"/>
        </w:rPr>
      </w:pPr>
    </w:p>
    <w:p w14:paraId="72FA0D9F" w14:textId="77777777" w:rsidR="00103DB5" w:rsidRDefault="00DB1292" w:rsidP="00CB6242">
      <w:pPr>
        <w:spacing w:before="240"/>
        <w:jc w:val="both"/>
        <w:rPr>
          <w:b/>
          <w:sz w:val="28"/>
          <w:szCs w:val="28"/>
        </w:rPr>
      </w:pPr>
      <w:r>
        <w:rPr>
          <w:b/>
          <w:sz w:val="28"/>
          <w:szCs w:val="28"/>
        </w:rPr>
        <w:t xml:space="preserve">The </w:t>
      </w:r>
      <w:r w:rsidR="00103DB5">
        <w:rPr>
          <w:b/>
          <w:sz w:val="28"/>
          <w:szCs w:val="28"/>
        </w:rPr>
        <w:t>Plaintiff’s replication:</w:t>
      </w:r>
    </w:p>
    <w:p w14:paraId="7DE97090" w14:textId="77777777" w:rsidR="00103DB5" w:rsidRPr="00103DB5" w:rsidRDefault="00103DB5" w:rsidP="00CB6242">
      <w:pPr>
        <w:spacing w:before="240"/>
        <w:jc w:val="both"/>
        <w:rPr>
          <w:b/>
          <w:sz w:val="28"/>
          <w:szCs w:val="28"/>
        </w:rPr>
      </w:pPr>
    </w:p>
    <w:p w14:paraId="7F90426A" w14:textId="77777777" w:rsidR="005B237C" w:rsidRPr="00103DB5" w:rsidRDefault="00C5381C" w:rsidP="00CB6242">
      <w:pPr>
        <w:spacing w:before="240"/>
        <w:jc w:val="both"/>
        <w:rPr>
          <w:b/>
          <w:sz w:val="28"/>
          <w:szCs w:val="28"/>
        </w:rPr>
      </w:pPr>
      <w:r>
        <w:rPr>
          <w:sz w:val="28"/>
          <w:szCs w:val="28"/>
        </w:rPr>
        <w:t>(4.5</w:t>
      </w:r>
      <w:r w:rsidR="005B237C">
        <w:rPr>
          <w:sz w:val="28"/>
          <w:szCs w:val="28"/>
        </w:rPr>
        <w:t xml:space="preserve">) The conditions precedent (“CP”) </w:t>
      </w:r>
      <w:proofErr w:type="gramStart"/>
      <w:r w:rsidR="005B237C">
        <w:rPr>
          <w:sz w:val="28"/>
          <w:szCs w:val="28"/>
        </w:rPr>
        <w:t>were</w:t>
      </w:r>
      <w:proofErr w:type="gramEnd"/>
      <w:r w:rsidR="005B237C">
        <w:rPr>
          <w:sz w:val="28"/>
          <w:szCs w:val="28"/>
        </w:rPr>
        <w:t xml:space="preserve"> fulfilled:</w:t>
      </w:r>
    </w:p>
    <w:p w14:paraId="5C50D152" w14:textId="77777777" w:rsidR="005B237C" w:rsidRDefault="005B237C" w:rsidP="00CB6242">
      <w:pPr>
        <w:spacing w:before="240"/>
        <w:jc w:val="both"/>
        <w:rPr>
          <w:sz w:val="28"/>
          <w:szCs w:val="28"/>
        </w:rPr>
      </w:pPr>
    </w:p>
    <w:p w14:paraId="237B1786" w14:textId="77777777" w:rsidR="005B237C" w:rsidRDefault="00C5381C" w:rsidP="00CB6242">
      <w:pPr>
        <w:spacing w:before="240"/>
        <w:jc w:val="both"/>
        <w:rPr>
          <w:sz w:val="28"/>
          <w:szCs w:val="28"/>
        </w:rPr>
      </w:pPr>
      <w:r>
        <w:rPr>
          <w:sz w:val="28"/>
          <w:szCs w:val="28"/>
        </w:rPr>
        <w:t>(4.6</w:t>
      </w:r>
      <w:r w:rsidR="005B237C">
        <w:rPr>
          <w:sz w:val="28"/>
          <w:szCs w:val="28"/>
        </w:rPr>
        <w:t xml:space="preserve">) If held that the CP have not been fulfilled, the CP were to be deemed to fulfilled by virtue of the wilful conduct of the defendant causing the CP not being </w:t>
      </w:r>
      <w:proofErr w:type="gramStart"/>
      <w:r w:rsidR="005B237C">
        <w:rPr>
          <w:sz w:val="28"/>
          <w:szCs w:val="28"/>
        </w:rPr>
        <w:t>actually fulfilled</w:t>
      </w:r>
      <w:proofErr w:type="gramEnd"/>
      <w:r w:rsidR="005B237C">
        <w:rPr>
          <w:sz w:val="28"/>
          <w:szCs w:val="28"/>
        </w:rPr>
        <w:t>; and</w:t>
      </w:r>
    </w:p>
    <w:p w14:paraId="44423643" w14:textId="77777777" w:rsidR="005B237C" w:rsidRPr="00103DB5" w:rsidRDefault="005B237C" w:rsidP="00CB6242">
      <w:pPr>
        <w:spacing w:before="240"/>
        <w:jc w:val="both"/>
        <w:rPr>
          <w:b/>
          <w:sz w:val="28"/>
          <w:szCs w:val="28"/>
        </w:rPr>
      </w:pPr>
    </w:p>
    <w:p w14:paraId="3B28863A" w14:textId="77777777" w:rsidR="005B237C" w:rsidRDefault="00C5381C" w:rsidP="00CB6242">
      <w:pPr>
        <w:spacing w:before="240"/>
        <w:jc w:val="both"/>
        <w:rPr>
          <w:sz w:val="28"/>
          <w:szCs w:val="28"/>
        </w:rPr>
      </w:pPr>
      <w:r>
        <w:rPr>
          <w:sz w:val="28"/>
          <w:szCs w:val="28"/>
        </w:rPr>
        <w:lastRenderedPageBreak/>
        <w:t>(4.7</w:t>
      </w:r>
      <w:r w:rsidR="005B237C">
        <w:rPr>
          <w:sz w:val="28"/>
          <w:szCs w:val="28"/>
        </w:rPr>
        <w:t>) If held that the commission was only due and payable after transfer of the property into the name of the defendant, it should be held that the defendant through its wilful conduct, frustrated transfer to take place and that the term of the agreement that commission will only become due and payable after transfer, be deemed fulfilled, and the R 450 000-00 payable.</w:t>
      </w:r>
    </w:p>
    <w:p w14:paraId="1CB22967" w14:textId="77777777" w:rsidR="005B237C" w:rsidRDefault="00103DB5" w:rsidP="00CB6242">
      <w:pPr>
        <w:spacing w:before="240"/>
        <w:jc w:val="both"/>
        <w:rPr>
          <w:b/>
          <w:sz w:val="28"/>
          <w:szCs w:val="28"/>
        </w:rPr>
      </w:pPr>
      <w:r>
        <w:rPr>
          <w:b/>
          <w:sz w:val="28"/>
          <w:szCs w:val="28"/>
        </w:rPr>
        <w:t>FORMAL ADMISSIONS:</w:t>
      </w:r>
    </w:p>
    <w:p w14:paraId="79EB0F15" w14:textId="77777777" w:rsidR="00103DB5" w:rsidRDefault="00103DB5" w:rsidP="00CB6242">
      <w:pPr>
        <w:spacing w:before="240"/>
        <w:jc w:val="both"/>
        <w:rPr>
          <w:sz w:val="28"/>
          <w:szCs w:val="28"/>
        </w:rPr>
      </w:pPr>
    </w:p>
    <w:p w14:paraId="49AEA173" w14:textId="77777777" w:rsidR="00103DB5" w:rsidRDefault="00103DB5" w:rsidP="00CB6242">
      <w:pPr>
        <w:spacing w:before="240"/>
        <w:jc w:val="both"/>
        <w:rPr>
          <w:sz w:val="28"/>
          <w:szCs w:val="28"/>
        </w:rPr>
      </w:pPr>
      <w:r>
        <w:rPr>
          <w:sz w:val="28"/>
          <w:szCs w:val="28"/>
        </w:rPr>
        <w:t>[5]</w:t>
      </w:r>
      <w:r w:rsidR="00942F1D">
        <w:rPr>
          <w:sz w:val="28"/>
          <w:szCs w:val="28"/>
        </w:rPr>
        <w:t xml:space="preserve"> The following formal admissions were recorded at the third pre-trial conference held on 12 October 2023:</w:t>
      </w:r>
    </w:p>
    <w:p w14:paraId="4B748654" w14:textId="77777777" w:rsidR="00942F1D" w:rsidRPr="00942F1D" w:rsidRDefault="00942F1D" w:rsidP="00CB6242">
      <w:pPr>
        <w:spacing w:before="240"/>
        <w:jc w:val="both"/>
        <w:rPr>
          <w:b/>
          <w:sz w:val="28"/>
          <w:szCs w:val="28"/>
        </w:rPr>
      </w:pPr>
    </w:p>
    <w:p w14:paraId="50521E47" w14:textId="77777777" w:rsidR="00942F1D" w:rsidRDefault="00C5381C" w:rsidP="00CB6242">
      <w:pPr>
        <w:spacing w:before="240"/>
        <w:jc w:val="both"/>
        <w:rPr>
          <w:sz w:val="28"/>
          <w:szCs w:val="28"/>
        </w:rPr>
      </w:pPr>
      <w:r>
        <w:rPr>
          <w:sz w:val="28"/>
          <w:szCs w:val="28"/>
        </w:rPr>
        <w:t>(5.1</w:t>
      </w:r>
      <w:r w:rsidR="00942F1D">
        <w:rPr>
          <w:sz w:val="28"/>
          <w:szCs w:val="28"/>
        </w:rPr>
        <w:t>) That the condition precedent in clause 4.1 of the written agreement was fulfilled; and</w:t>
      </w:r>
    </w:p>
    <w:p w14:paraId="79607ADB" w14:textId="77777777" w:rsidR="00942F1D" w:rsidRDefault="00942F1D" w:rsidP="00CB6242">
      <w:pPr>
        <w:spacing w:before="240"/>
        <w:jc w:val="both"/>
        <w:rPr>
          <w:sz w:val="28"/>
          <w:szCs w:val="28"/>
        </w:rPr>
      </w:pPr>
    </w:p>
    <w:p w14:paraId="05562770" w14:textId="77777777" w:rsidR="00942F1D" w:rsidRDefault="00C5381C" w:rsidP="00CB6242">
      <w:pPr>
        <w:spacing w:before="240"/>
        <w:jc w:val="both"/>
        <w:rPr>
          <w:sz w:val="28"/>
          <w:szCs w:val="28"/>
        </w:rPr>
      </w:pPr>
      <w:r>
        <w:rPr>
          <w:sz w:val="28"/>
          <w:szCs w:val="28"/>
        </w:rPr>
        <w:t>(5.2</w:t>
      </w:r>
      <w:r w:rsidR="00942F1D">
        <w:rPr>
          <w:sz w:val="28"/>
          <w:szCs w:val="28"/>
        </w:rPr>
        <w:t>) That the condition precedent in clause 4.2 of the agreement of sale was fulfilled.</w:t>
      </w:r>
    </w:p>
    <w:p w14:paraId="55339B2C" w14:textId="77777777" w:rsidR="00942F1D" w:rsidRDefault="00942F1D" w:rsidP="00CB6242">
      <w:pPr>
        <w:spacing w:before="240"/>
        <w:jc w:val="both"/>
        <w:rPr>
          <w:b/>
          <w:sz w:val="28"/>
          <w:szCs w:val="28"/>
        </w:rPr>
      </w:pPr>
    </w:p>
    <w:p w14:paraId="37D4DC9F" w14:textId="77777777" w:rsidR="00942F1D" w:rsidRDefault="00942F1D" w:rsidP="00CB6242">
      <w:pPr>
        <w:spacing w:before="240"/>
        <w:jc w:val="both"/>
        <w:rPr>
          <w:sz w:val="28"/>
          <w:szCs w:val="28"/>
        </w:rPr>
      </w:pPr>
      <w:r>
        <w:rPr>
          <w:sz w:val="28"/>
          <w:szCs w:val="28"/>
        </w:rPr>
        <w:t xml:space="preserve">The minute of the third pre-trial is found on </w:t>
      </w:r>
      <w:proofErr w:type="spellStart"/>
      <w:r>
        <w:rPr>
          <w:sz w:val="28"/>
          <w:szCs w:val="28"/>
        </w:rPr>
        <w:t>CaseLines</w:t>
      </w:r>
      <w:proofErr w:type="spellEnd"/>
      <w:r>
        <w:rPr>
          <w:sz w:val="28"/>
          <w:szCs w:val="28"/>
        </w:rPr>
        <w:t xml:space="preserve"> under pleadings p 12-16 and </w:t>
      </w:r>
      <w:proofErr w:type="gramStart"/>
      <w:r>
        <w:rPr>
          <w:sz w:val="28"/>
          <w:szCs w:val="28"/>
        </w:rPr>
        <w:t>in particular par</w:t>
      </w:r>
      <w:proofErr w:type="gramEnd"/>
      <w:r>
        <w:rPr>
          <w:sz w:val="28"/>
          <w:szCs w:val="28"/>
        </w:rPr>
        <w:t xml:space="preserve"> 8.1 &amp; 8.3 thereof.</w:t>
      </w:r>
      <w:r w:rsidR="00AB3CF1">
        <w:rPr>
          <w:sz w:val="28"/>
          <w:szCs w:val="28"/>
        </w:rPr>
        <w:t xml:space="preserve"> All conditions precedent was fulfilled.</w:t>
      </w:r>
    </w:p>
    <w:p w14:paraId="7C20A057" w14:textId="77777777" w:rsidR="00942F1D" w:rsidRPr="00942F1D" w:rsidRDefault="00942F1D" w:rsidP="00CB6242">
      <w:pPr>
        <w:spacing w:before="240"/>
        <w:jc w:val="both"/>
        <w:rPr>
          <w:sz w:val="28"/>
          <w:szCs w:val="28"/>
        </w:rPr>
      </w:pPr>
    </w:p>
    <w:p w14:paraId="0AB42EFB" w14:textId="77777777" w:rsidR="00942F1D" w:rsidRPr="00942F1D" w:rsidRDefault="00942F1D" w:rsidP="00CB6242">
      <w:pPr>
        <w:spacing w:before="240"/>
        <w:jc w:val="both"/>
        <w:rPr>
          <w:b/>
          <w:sz w:val="28"/>
          <w:szCs w:val="28"/>
        </w:rPr>
      </w:pPr>
      <w:r>
        <w:rPr>
          <w:b/>
          <w:sz w:val="28"/>
          <w:szCs w:val="28"/>
        </w:rPr>
        <w:t>JOINT PRACTICE NOTE:</w:t>
      </w:r>
    </w:p>
    <w:p w14:paraId="3D7B12F3" w14:textId="77777777" w:rsidR="00942F1D" w:rsidRDefault="00942F1D" w:rsidP="00CB6242">
      <w:pPr>
        <w:spacing w:before="240"/>
        <w:jc w:val="both"/>
        <w:rPr>
          <w:sz w:val="28"/>
          <w:szCs w:val="28"/>
        </w:rPr>
      </w:pPr>
    </w:p>
    <w:p w14:paraId="3592BDDC" w14:textId="77777777" w:rsidR="00942F1D" w:rsidRDefault="00942F1D" w:rsidP="00CB6242">
      <w:pPr>
        <w:spacing w:before="240"/>
        <w:jc w:val="both"/>
        <w:rPr>
          <w:sz w:val="28"/>
          <w:szCs w:val="28"/>
        </w:rPr>
      </w:pPr>
      <w:r>
        <w:rPr>
          <w:sz w:val="28"/>
          <w:szCs w:val="28"/>
        </w:rPr>
        <w:t xml:space="preserve">[6] The defendant recorded the following issues not being in dispute in the Joint Practice Note </w:t>
      </w:r>
      <w:r w:rsidR="00837EC2">
        <w:rPr>
          <w:sz w:val="28"/>
          <w:szCs w:val="28"/>
        </w:rPr>
        <w:t>(</w:t>
      </w:r>
      <w:proofErr w:type="spellStart"/>
      <w:r w:rsidR="00837EC2">
        <w:rPr>
          <w:sz w:val="28"/>
          <w:szCs w:val="28"/>
        </w:rPr>
        <w:t>CaseLines</w:t>
      </w:r>
      <w:proofErr w:type="spellEnd"/>
      <w:r w:rsidR="00837EC2">
        <w:rPr>
          <w:sz w:val="28"/>
          <w:szCs w:val="28"/>
        </w:rPr>
        <w:t xml:space="preserve"> 018-1 to 5) </w:t>
      </w:r>
      <w:r>
        <w:rPr>
          <w:sz w:val="28"/>
          <w:szCs w:val="28"/>
        </w:rPr>
        <w:t>namely:</w:t>
      </w:r>
    </w:p>
    <w:p w14:paraId="598A62A2" w14:textId="77777777" w:rsidR="00942F1D" w:rsidRDefault="00942F1D" w:rsidP="00CB6242">
      <w:pPr>
        <w:spacing w:before="240"/>
        <w:jc w:val="both"/>
        <w:rPr>
          <w:sz w:val="28"/>
          <w:szCs w:val="28"/>
        </w:rPr>
      </w:pPr>
    </w:p>
    <w:p w14:paraId="2CF6C628" w14:textId="77777777" w:rsidR="00942F1D" w:rsidRDefault="00C5381C" w:rsidP="00CB6242">
      <w:pPr>
        <w:spacing w:before="240"/>
        <w:jc w:val="both"/>
        <w:rPr>
          <w:sz w:val="28"/>
          <w:szCs w:val="28"/>
        </w:rPr>
      </w:pPr>
      <w:r>
        <w:rPr>
          <w:sz w:val="28"/>
          <w:szCs w:val="28"/>
        </w:rPr>
        <w:t>(6.1</w:t>
      </w:r>
      <w:r w:rsidR="00963585">
        <w:rPr>
          <w:sz w:val="28"/>
          <w:szCs w:val="28"/>
        </w:rPr>
        <w:t>) T</w:t>
      </w:r>
      <w:r w:rsidR="00942F1D">
        <w:rPr>
          <w:sz w:val="28"/>
          <w:szCs w:val="28"/>
        </w:rPr>
        <w:t>hat the plaintiff during or about June 2019 introduced the “</w:t>
      </w:r>
      <w:proofErr w:type="spellStart"/>
      <w:r w:rsidR="00942F1D">
        <w:rPr>
          <w:i/>
          <w:sz w:val="28"/>
          <w:szCs w:val="28"/>
        </w:rPr>
        <w:t>Hartbeesfontein</w:t>
      </w:r>
      <w:proofErr w:type="spellEnd"/>
      <w:r w:rsidR="00942F1D">
        <w:rPr>
          <w:i/>
          <w:sz w:val="28"/>
          <w:szCs w:val="28"/>
        </w:rPr>
        <w:t xml:space="preserve"> property” </w:t>
      </w:r>
      <w:r w:rsidR="00942F1D">
        <w:rPr>
          <w:sz w:val="28"/>
          <w:szCs w:val="28"/>
        </w:rPr>
        <w:t xml:space="preserve">to the </w:t>
      </w:r>
      <w:proofErr w:type="gramStart"/>
      <w:r w:rsidR="00942F1D">
        <w:rPr>
          <w:sz w:val="28"/>
          <w:szCs w:val="28"/>
        </w:rPr>
        <w:t>defendant;</w:t>
      </w:r>
      <w:proofErr w:type="gramEnd"/>
      <w:r w:rsidR="00942F1D">
        <w:rPr>
          <w:sz w:val="28"/>
          <w:szCs w:val="28"/>
        </w:rPr>
        <w:t xml:space="preserve"> </w:t>
      </w:r>
    </w:p>
    <w:p w14:paraId="121CB630" w14:textId="77777777" w:rsidR="00942F1D" w:rsidRPr="0082357A" w:rsidRDefault="00942F1D" w:rsidP="00CB6242">
      <w:pPr>
        <w:spacing w:before="240"/>
        <w:jc w:val="both"/>
        <w:rPr>
          <w:i/>
          <w:sz w:val="28"/>
          <w:szCs w:val="28"/>
        </w:rPr>
      </w:pPr>
    </w:p>
    <w:p w14:paraId="7286181D" w14:textId="77777777" w:rsidR="0036573C" w:rsidRDefault="00C5381C" w:rsidP="00CB6242">
      <w:pPr>
        <w:spacing w:before="240"/>
        <w:jc w:val="both"/>
        <w:rPr>
          <w:sz w:val="28"/>
          <w:szCs w:val="28"/>
        </w:rPr>
      </w:pPr>
      <w:r>
        <w:rPr>
          <w:sz w:val="28"/>
          <w:szCs w:val="28"/>
        </w:rPr>
        <w:t>(6.2</w:t>
      </w:r>
      <w:r w:rsidR="00942F1D">
        <w:rPr>
          <w:sz w:val="28"/>
          <w:szCs w:val="28"/>
        </w:rPr>
        <w:t xml:space="preserve">) That on or about 30 October 2019 </w:t>
      </w:r>
      <w:proofErr w:type="spellStart"/>
      <w:r w:rsidR="00942F1D">
        <w:rPr>
          <w:sz w:val="28"/>
          <w:szCs w:val="28"/>
        </w:rPr>
        <w:t>Brawild</w:t>
      </w:r>
      <w:proofErr w:type="spellEnd"/>
      <w:r w:rsidR="00942F1D">
        <w:rPr>
          <w:sz w:val="28"/>
          <w:szCs w:val="28"/>
        </w:rPr>
        <w:t xml:space="preserve"> and the defendant entered into the written agreement of sale (supra) in terms of which the defendant purchased the </w:t>
      </w:r>
      <w:proofErr w:type="spellStart"/>
      <w:r w:rsidR="00942F1D">
        <w:rPr>
          <w:sz w:val="28"/>
          <w:szCs w:val="28"/>
        </w:rPr>
        <w:t>Hartbeesfontein</w:t>
      </w:r>
      <w:proofErr w:type="spellEnd"/>
      <w:r w:rsidR="00942F1D">
        <w:rPr>
          <w:sz w:val="28"/>
          <w:szCs w:val="28"/>
        </w:rPr>
        <w:t xml:space="preserve"> property for R 13 800 000-00 </w:t>
      </w:r>
      <w:r w:rsidR="0036573C">
        <w:rPr>
          <w:sz w:val="28"/>
          <w:szCs w:val="28"/>
        </w:rPr>
        <w:t xml:space="preserve">(Vat inclusive) from </w:t>
      </w:r>
      <w:proofErr w:type="spellStart"/>
      <w:r w:rsidR="0036573C">
        <w:rPr>
          <w:sz w:val="28"/>
          <w:szCs w:val="28"/>
        </w:rPr>
        <w:t>Brawild</w:t>
      </w:r>
      <w:proofErr w:type="spellEnd"/>
      <w:r w:rsidR="0036573C">
        <w:rPr>
          <w:sz w:val="28"/>
          <w:szCs w:val="28"/>
        </w:rPr>
        <w:t>, and</w:t>
      </w:r>
    </w:p>
    <w:p w14:paraId="1D581815" w14:textId="77777777" w:rsidR="0036573C" w:rsidRDefault="0036573C" w:rsidP="00CB6242">
      <w:pPr>
        <w:spacing w:before="240"/>
        <w:jc w:val="both"/>
        <w:rPr>
          <w:sz w:val="28"/>
          <w:szCs w:val="28"/>
        </w:rPr>
      </w:pPr>
    </w:p>
    <w:p w14:paraId="57A0A7BB" w14:textId="77777777" w:rsidR="0036573C" w:rsidRDefault="00C5381C" w:rsidP="00CB6242">
      <w:pPr>
        <w:spacing w:before="240"/>
        <w:jc w:val="both"/>
        <w:rPr>
          <w:sz w:val="28"/>
          <w:szCs w:val="28"/>
        </w:rPr>
      </w:pPr>
      <w:r>
        <w:rPr>
          <w:sz w:val="28"/>
          <w:szCs w:val="28"/>
        </w:rPr>
        <w:t>(6.3</w:t>
      </w:r>
      <w:r w:rsidR="0036573C">
        <w:rPr>
          <w:sz w:val="28"/>
          <w:szCs w:val="28"/>
        </w:rPr>
        <w:t xml:space="preserve">) That the plaintiff was the </w:t>
      </w:r>
      <w:r w:rsidR="0036573C">
        <w:rPr>
          <w:b/>
          <w:i/>
          <w:sz w:val="28"/>
          <w:szCs w:val="28"/>
        </w:rPr>
        <w:t xml:space="preserve">effective cause of the agreement </w:t>
      </w:r>
      <w:r w:rsidR="0036573C">
        <w:rPr>
          <w:sz w:val="28"/>
          <w:szCs w:val="28"/>
        </w:rPr>
        <w:t xml:space="preserve">of sale. The agreement of sale is the agreement referred to supra. </w:t>
      </w:r>
    </w:p>
    <w:p w14:paraId="494FA36C" w14:textId="77777777" w:rsidR="0036573C" w:rsidRDefault="0036573C" w:rsidP="00CB6242">
      <w:pPr>
        <w:spacing w:before="240"/>
        <w:jc w:val="both"/>
        <w:rPr>
          <w:sz w:val="28"/>
          <w:szCs w:val="28"/>
        </w:rPr>
      </w:pPr>
    </w:p>
    <w:p w14:paraId="0F3D550E" w14:textId="77777777" w:rsidR="00942F1D" w:rsidRDefault="0036573C" w:rsidP="00CB6242">
      <w:pPr>
        <w:spacing w:before="240"/>
        <w:jc w:val="both"/>
        <w:rPr>
          <w:sz w:val="28"/>
          <w:szCs w:val="28"/>
        </w:rPr>
      </w:pPr>
      <w:r>
        <w:rPr>
          <w:sz w:val="28"/>
          <w:szCs w:val="28"/>
        </w:rPr>
        <w:t xml:space="preserve">[7] A further admission orally in Court during the opening address of the plaintiff that the property concerned in this action was transferred by </w:t>
      </w:r>
      <w:proofErr w:type="spellStart"/>
      <w:r>
        <w:rPr>
          <w:sz w:val="28"/>
          <w:szCs w:val="28"/>
        </w:rPr>
        <w:t>Brawild</w:t>
      </w:r>
      <w:proofErr w:type="spellEnd"/>
      <w:r>
        <w:rPr>
          <w:sz w:val="28"/>
          <w:szCs w:val="28"/>
        </w:rPr>
        <w:t xml:space="preserve"> to Ba</w:t>
      </w:r>
      <w:r w:rsidR="0082357A">
        <w:rPr>
          <w:sz w:val="28"/>
          <w:szCs w:val="28"/>
        </w:rPr>
        <w:t>s</w:t>
      </w:r>
      <w:r>
        <w:rPr>
          <w:sz w:val="28"/>
          <w:szCs w:val="28"/>
        </w:rPr>
        <w:t xml:space="preserve">tion Development Group (Pty) Ltd on 22 June 2022. </w:t>
      </w:r>
      <w:r w:rsidR="00942F1D">
        <w:rPr>
          <w:sz w:val="28"/>
          <w:szCs w:val="28"/>
        </w:rPr>
        <w:t xml:space="preserve"> </w:t>
      </w:r>
    </w:p>
    <w:p w14:paraId="3EF4C65D" w14:textId="77777777" w:rsidR="0036573C" w:rsidRDefault="0036573C" w:rsidP="00CB6242">
      <w:pPr>
        <w:spacing w:before="240"/>
        <w:jc w:val="both"/>
        <w:rPr>
          <w:sz w:val="28"/>
          <w:szCs w:val="28"/>
        </w:rPr>
      </w:pPr>
    </w:p>
    <w:p w14:paraId="4F6AB42D" w14:textId="77777777" w:rsidR="0036573C" w:rsidRDefault="0036573C" w:rsidP="00CB6242">
      <w:pPr>
        <w:spacing w:before="240"/>
        <w:jc w:val="both"/>
        <w:rPr>
          <w:b/>
          <w:sz w:val="28"/>
          <w:szCs w:val="28"/>
        </w:rPr>
      </w:pPr>
      <w:r>
        <w:rPr>
          <w:b/>
          <w:sz w:val="28"/>
          <w:szCs w:val="28"/>
        </w:rPr>
        <w:t>REMAINING ISSUES FOR ADJUDICATION:</w:t>
      </w:r>
    </w:p>
    <w:p w14:paraId="4B8F0CBF" w14:textId="77777777" w:rsidR="0036573C" w:rsidRDefault="0036573C" w:rsidP="00CB6242">
      <w:pPr>
        <w:spacing w:before="240"/>
        <w:jc w:val="both"/>
        <w:rPr>
          <w:b/>
          <w:sz w:val="28"/>
          <w:szCs w:val="28"/>
        </w:rPr>
      </w:pPr>
    </w:p>
    <w:p w14:paraId="49E8D287" w14:textId="77777777" w:rsidR="0036573C" w:rsidRDefault="0036573C" w:rsidP="00CB6242">
      <w:pPr>
        <w:spacing w:before="240"/>
        <w:jc w:val="both"/>
        <w:rPr>
          <w:sz w:val="28"/>
          <w:szCs w:val="28"/>
        </w:rPr>
      </w:pPr>
      <w:r>
        <w:rPr>
          <w:sz w:val="28"/>
          <w:szCs w:val="28"/>
        </w:rPr>
        <w:t xml:space="preserve">[8] </w:t>
      </w:r>
      <w:proofErr w:type="gramStart"/>
      <w:r>
        <w:rPr>
          <w:sz w:val="28"/>
          <w:szCs w:val="28"/>
        </w:rPr>
        <w:t>Taking into account</w:t>
      </w:r>
      <w:proofErr w:type="gramEnd"/>
      <w:r>
        <w:rPr>
          <w:sz w:val="28"/>
          <w:szCs w:val="28"/>
        </w:rPr>
        <w:t xml:space="preserve"> all the above listed admiss</w:t>
      </w:r>
      <w:r w:rsidR="0093536C">
        <w:rPr>
          <w:sz w:val="28"/>
          <w:szCs w:val="28"/>
        </w:rPr>
        <w:t xml:space="preserve">ions made preceding the hearing of the case, </w:t>
      </w:r>
      <w:r>
        <w:rPr>
          <w:sz w:val="28"/>
          <w:szCs w:val="28"/>
        </w:rPr>
        <w:t>it is safe to state that the only remaining issues for adjudication by the court are:</w:t>
      </w:r>
    </w:p>
    <w:p w14:paraId="03E16867" w14:textId="77777777" w:rsidR="0036573C" w:rsidRDefault="0036573C" w:rsidP="00CB6242">
      <w:pPr>
        <w:spacing w:before="240"/>
        <w:jc w:val="both"/>
        <w:rPr>
          <w:sz w:val="28"/>
          <w:szCs w:val="28"/>
        </w:rPr>
      </w:pPr>
    </w:p>
    <w:p w14:paraId="796EE559" w14:textId="77777777" w:rsidR="0036573C" w:rsidRDefault="00C5381C" w:rsidP="00CB6242">
      <w:pPr>
        <w:spacing w:before="240"/>
        <w:jc w:val="both"/>
        <w:rPr>
          <w:sz w:val="28"/>
          <w:szCs w:val="28"/>
        </w:rPr>
      </w:pPr>
      <w:r>
        <w:rPr>
          <w:sz w:val="28"/>
          <w:szCs w:val="28"/>
        </w:rPr>
        <w:t>(8.1</w:t>
      </w:r>
      <w:r w:rsidR="0036573C">
        <w:rPr>
          <w:sz w:val="28"/>
          <w:szCs w:val="28"/>
        </w:rPr>
        <w:t>) The oral mandate referred to by the plaintiff and its terms; and</w:t>
      </w:r>
    </w:p>
    <w:p w14:paraId="2E616E6F" w14:textId="77777777" w:rsidR="0036573C" w:rsidRDefault="0036573C" w:rsidP="00CB6242">
      <w:pPr>
        <w:spacing w:before="240"/>
        <w:jc w:val="both"/>
        <w:rPr>
          <w:sz w:val="28"/>
          <w:szCs w:val="28"/>
        </w:rPr>
      </w:pPr>
    </w:p>
    <w:p w14:paraId="6AD66FC3" w14:textId="77777777" w:rsidR="0036573C" w:rsidRDefault="00C5381C" w:rsidP="00CB6242">
      <w:pPr>
        <w:spacing w:before="240"/>
        <w:jc w:val="both"/>
        <w:rPr>
          <w:sz w:val="28"/>
          <w:szCs w:val="28"/>
        </w:rPr>
      </w:pPr>
      <w:r>
        <w:rPr>
          <w:sz w:val="28"/>
          <w:szCs w:val="28"/>
        </w:rPr>
        <w:t>(8.2)</w:t>
      </w:r>
      <w:r w:rsidR="0036573C">
        <w:rPr>
          <w:sz w:val="28"/>
          <w:szCs w:val="28"/>
        </w:rPr>
        <w:t xml:space="preserve"> Whether the commission of R 450 000-00 claimed by the plaintiff is owing and was due and payable when the action was instituted.</w:t>
      </w:r>
    </w:p>
    <w:p w14:paraId="3F8A8B12" w14:textId="77777777" w:rsidR="0036573C" w:rsidRDefault="0036573C" w:rsidP="00CB6242">
      <w:pPr>
        <w:spacing w:before="240"/>
        <w:jc w:val="both"/>
        <w:rPr>
          <w:sz w:val="28"/>
          <w:szCs w:val="28"/>
        </w:rPr>
      </w:pPr>
    </w:p>
    <w:p w14:paraId="4105F580" w14:textId="77777777" w:rsidR="00DB1292" w:rsidRDefault="00DB1292" w:rsidP="00CB6242">
      <w:pPr>
        <w:spacing w:before="240"/>
        <w:jc w:val="both"/>
        <w:rPr>
          <w:b/>
          <w:sz w:val="28"/>
          <w:szCs w:val="28"/>
        </w:rPr>
      </w:pPr>
      <w:r>
        <w:rPr>
          <w:b/>
          <w:sz w:val="28"/>
          <w:szCs w:val="28"/>
        </w:rPr>
        <w:t>THE ONUS OF PROOF AND EVIDENTIAL NORMS:</w:t>
      </w:r>
    </w:p>
    <w:p w14:paraId="1CA7FFAD" w14:textId="77777777" w:rsidR="00DB1292" w:rsidRDefault="00DB1292" w:rsidP="00CB6242">
      <w:pPr>
        <w:spacing w:before="240"/>
        <w:jc w:val="both"/>
        <w:rPr>
          <w:b/>
          <w:sz w:val="28"/>
          <w:szCs w:val="28"/>
        </w:rPr>
      </w:pPr>
    </w:p>
    <w:p w14:paraId="740850F5" w14:textId="77777777" w:rsidR="00DB1292" w:rsidRPr="00694D4D" w:rsidRDefault="00DB1292" w:rsidP="00CB6242">
      <w:pPr>
        <w:spacing w:before="240"/>
        <w:jc w:val="both"/>
        <w:rPr>
          <w:b/>
          <w:sz w:val="28"/>
          <w:szCs w:val="28"/>
        </w:rPr>
      </w:pPr>
      <w:r>
        <w:rPr>
          <w:sz w:val="28"/>
          <w:szCs w:val="28"/>
        </w:rPr>
        <w:t xml:space="preserve">[9] The plaintiff bears the onus to prove her case on a balance of probabilities. The court </w:t>
      </w:r>
      <w:proofErr w:type="gramStart"/>
      <w:r>
        <w:rPr>
          <w:sz w:val="28"/>
          <w:szCs w:val="28"/>
        </w:rPr>
        <w:t>has to</w:t>
      </w:r>
      <w:proofErr w:type="gramEnd"/>
      <w:r>
        <w:rPr>
          <w:sz w:val="28"/>
          <w:szCs w:val="28"/>
        </w:rPr>
        <w:t xml:space="preserve"> adjudicate on the versions placed before the court via evidence. It often happens that the court is called upon to decide on conflicting versions. The court will view the versions and follow guidelines in previous case law to decide which version to be accepted. </w:t>
      </w:r>
      <w:r w:rsidR="00694D4D">
        <w:rPr>
          <w:sz w:val="28"/>
          <w:szCs w:val="28"/>
        </w:rPr>
        <w:t>The court will evaluate</w:t>
      </w:r>
      <w:r>
        <w:rPr>
          <w:sz w:val="28"/>
          <w:szCs w:val="28"/>
        </w:rPr>
        <w:t xml:space="preserve"> the totality </w:t>
      </w:r>
      <w:r w:rsidR="00694D4D">
        <w:rPr>
          <w:sz w:val="28"/>
          <w:szCs w:val="28"/>
        </w:rPr>
        <w:t xml:space="preserve">of the evidence, starting with who bears the onus to prove; the probabilities inherent in the respective conflicting versions and other factors coming into consideration. </w:t>
      </w:r>
      <w:r w:rsidR="00694D4D">
        <w:rPr>
          <w:b/>
          <w:sz w:val="28"/>
          <w:szCs w:val="28"/>
        </w:rPr>
        <w:t>Dreyer v AXZS Industries 2006(5) SA 548 (SCA) at 558G; Stellenbosch Farmers’ Winery Group Ltd v Martell et Cie and Others 2003(1) SA 11 SCA at paras [5]-[7] at 14-15.</w:t>
      </w:r>
      <w:r>
        <w:rPr>
          <w:sz w:val="28"/>
          <w:szCs w:val="28"/>
        </w:rPr>
        <w:t xml:space="preserve"> </w:t>
      </w:r>
      <w:r w:rsidR="00694D4D">
        <w:rPr>
          <w:sz w:val="28"/>
          <w:szCs w:val="28"/>
        </w:rPr>
        <w:t xml:space="preserve">A similar approach is found in </w:t>
      </w:r>
      <w:r w:rsidR="00694D4D">
        <w:rPr>
          <w:b/>
          <w:sz w:val="28"/>
          <w:szCs w:val="28"/>
        </w:rPr>
        <w:t xml:space="preserve">National Employers’ General Insurance Co Ltd v Jagers 1984(4) SA </w:t>
      </w:r>
      <w:r w:rsidR="00531063">
        <w:rPr>
          <w:b/>
          <w:sz w:val="28"/>
          <w:szCs w:val="28"/>
        </w:rPr>
        <w:t xml:space="preserve">437 (E) at 440 D-H. </w:t>
      </w:r>
    </w:p>
    <w:p w14:paraId="7E16C149" w14:textId="77777777" w:rsidR="00DB1292" w:rsidRPr="00694D4D" w:rsidRDefault="00DB1292" w:rsidP="00CB6242">
      <w:pPr>
        <w:spacing w:before="240"/>
        <w:jc w:val="both"/>
        <w:rPr>
          <w:sz w:val="28"/>
          <w:szCs w:val="28"/>
        </w:rPr>
      </w:pPr>
    </w:p>
    <w:p w14:paraId="4A01F824" w14:textId="77777777" w:rsidR="00DB1292" w:rsidRPr="00531063" w:rsidRDefault="00531063" w:rsidP="00CB6242">
      <w:pPr>
        <w:spacing w:before="240"/>
        <w:jc w:val="both"/>
        <w:rPr>
          <w:sz w:val="28"/>
          <w:szCs w:val="28"/>
        </w:rPr>
      </w:pPr>
      <w:r>
        <w:rPr>
          <w:sz w:val="28"/>
          <w:szCs w:val="28"/>
        </w:rPr>
        <w:t xml:space="preserve">[10] Where a point is left unchallenged in cross-examination a party may accept that the unchallenged evidence be accepted as correct. </w:t>
      </w:r>
      <w:r>
        <w:rPr>
          <w:b/>
          <w:sz w:val="28"/>
          <w:szCs w:val="28"/>
        </w:rPr>
        <w:t xml:space="preserve">President of RSA v SARFU and Another 2000 (1) SA 1 (CC) at 36B. </w:t>
      </w:r>
      <w:r>
        <w:rPr>
          <w:sz w:val="28"/>
          <w:szCs w:val="28"/>
        </w:rPr>
        <w:t xml:space="preserve">In </w:t>
      </w:r>
      <w:r>
        <w:rPr>
          <w:b/>
          <w:sz w:val="28"/>
          <w:szCs w:val="28"/>
        </w:rPr>
        <w:t xml:space="preserve">ABADER v State 2008(1) SACR 347 W at 335 A </w:t>
      </w:r>
      <w:r>
        <w:rPr>
          <w:sz w:val="28"/>
          <w:szCs w:val="28"/>
        </w:rPr>
        <w:t xml:space="preserve">the court held that a failure to cross-examine is not always fatal, but a consideration to be weighed up with all the </w:t>
      </w:r>
      <w:proofErr w:type="spellStart"/>
      <w:proofErr w:type="gramStart"/>
      <w:r>
        <w:rPr>
          <w:sz w:val="28"/>
          <w:szCs w:val="28"/>
        </w:rPr>
        <w:t>ther</w:t>
      </w:r>
      <w:r w:rsidR="00A404E6">
        <w:rPr>
          <w:sz w:val="28"/>
          <w:szCs w:val="28"/>
        </w:rPr>
        <w:t>e</w:t>
      </w:r>
      <w:proofErr w:type="spellEnd"/>
      <w:proofErr w:type="gramEnd"/>
      <w:r>
        <w:rPr>
          <w:sz w:val="28"/>
          <w:szCs w:val="28"/>
        </w:rPr>
        <w:t xml:space="preserve"> factors in the case. I will attend hereto below.</w:t>
      </w:r>
    </w:p>
    <w:p w14:paraId="48996933" w14:textId="77777777" w:rsidR="00531063" w:rsidRPr="00531063" w:rsidRDefault="00531063" w:rsidP="00CB6242">
      <w:pPr>
        <w:spacing w:before="240"/>
        <w:jc w:val="both"/>
        <w:rPr>
          <w:sz w:val="28"/>
          <w:szCs w:val="28"/>
        </w:rPr>
      </w:pPr>
    </w:p>
    <w:p w14:paraId="4065A77D" w14:textId="77777777" w:rsidR="00527F01" w:rsidRDefault="00527F01" w:rsidP="00CB6242">
      <w:pPr>
        <w:spacing w:before="240"/>
        <w:jc w:val="both"/>
        <w:rPr>
          <w:b/>
          <w:sz w:val="28"/>
          <w:szCs w:val="28"/>
        </w:rPr>
      </w:pPr>
      <w:r>
        <w:rPr>
          <w:b/>
          <w:sz w:val="28"/>
          <w:szCs w:val="28"/>
        </w:rPr>
        <w:t>EVIDENCE:</w:t>
      </w:r>
    </w:p>
    <w:p w14:paraId="16D737B6" w14:textId="77777777" w:rsidR="00527F01" w:rsidRDefault="00527F01" w:rsidP="00CB6242">
      <w:pPr>
        <w:spacing w:before="240"/>
        <w:jc w:val="both"/>
        <w:rPr>
          <w:sz w:val="28"/>
          <w:szCs w:val="28"/>
        </w:rPr>
      </w:pPr>
    </w:p>
    <w:p w14:paraId="5980F7AA" w14:textId="77777777" w:rsidR="00527F01" w:rsidRDefault="00531063" w:rsidP="00CB6242">
      <w:pPr>
        <w:spacing w:before="240"/>
        <w:jc w:val="both"/>
        <w:rPr>
          <w:sz w:val="28"/>
          <w:szCs w:val="28"/>
        </w:rPr>
      </w:pPr>
      <w:r>
        <w:rPr>
          <w:sz w:val="28"/>
          <w:szCs w:val="28"/>
        </w:rPr>
        <w:t>[11</w:t>
      </w:r>
      <w:r w:rsidR="00CB47AB">
        <w:rPr>
          <w:sz w:val="28"/>
          <w:szCs w:val="28"/>
        </w:rPr>
        <w:t xml:space="preserve">] There is no need to summarise the evidence in detail but to concentrate on the relevant portions to the issue before court. The evidence of the three witnesses were very similar but for different nuances on certain aspects. I will deal with those below. </w:t>
      </w:r>
    </w:p>
    <w:p w14:paraId="43AA1797" w14:textId="77777777" w:rsidR="00527F01" w:rsidRDefault="00527F01" w:rsidP="00CB6242">
      <w:pPr>
        <w:spacing w:before="240"/>
        <w:jc w:val="both"/>
        <w:rPr>
          <w:sz w:val="28"/>
          <w:szCs w:val="28"/>
        </w:rPr>
      </w:pPr>
    </w:p>
    <w:p w14:paraId="6F57C5BB" w14:textId="77777777" w:rsidR="00173212" w:rsidRDefault="00531063" w:rsidP="00CB6242">
      <w:pPr>
        <w:spacing w:before="240"/>
        <w:jc w:val="both"/>
        <w:rPr>
          <w:sz w:val="28"/>
          <w:szCs w:val="28"/>
        </w:rPr>
      </w:pPr>
      <w:r>
        <w:rPr>
          <w:sz w:val="28"/>
          <w:szCs w:val="28"/>
        </w:rPr>
        <w:t>[12</w:t>
      </w:r>
      <w:r w:rsidR="00527F01">
        <w:rPr>
          <w:sz w:val="28"/>
          <w:szCs w:val="28"/>
        </w:rPr>
        <w:t xml:space="preserve">] Me Gilfillan was the only witness who testified on behalf of the plaintiff’s case. She knew the defendant business from previous deals she had with them, </w:t>
      </w:r>
      <w:r w:rsidR="00527F01">
        <w:rPr>
          <w:sz w:val="28"/>
          <w:szCs w:val="28"/>
        </w:rPr>
        <w:lastRenderedPageBreak/>
        <w:t xml:space="preserve">in particular the one property developed and known as the Waterkloof property. This was one deal where the commission for the agent was not the so-called normal, </w:t>
      </w:r>
      <w:proofErr w:type="spellStart"/>
      <w:r w:rsidR="00527F01">
        <w:rPr>
          <w:sz w:val="28"/>
          <w:szCs w:val="28"/>
        </w:rPr>
        <w:t>i</w:t>
      </w:r>
      <w:proofErr w:type="spellEnd"/>
      <w:r w:rsidR="00527F01">
        <w:rPr>
          <w:sz w:val="28"/>
          <w:szCs w:val="28"/>
        </w:rPr>
        <w:t xml:space="preserve"> e that commission is paid by the purchaser after successful transfer of the property occurred. The agreement here was payment of the commission in instalments after some issues between the parties. The significance of this deal is to illustrate that they parties were not bound to the general custom that commission is due payable after transfer of the subject property. </w:t>
      </w:r>
    </w:p>
    <w:p w14:paraId="15499AE3" w14:textId="77777777" w:rsidR="00173212" w:rsidRDefault="00173212" w:rsidP="00CB6242">
      <w:pPr>
        <w:spacing w:before="240"/>
        <w:jc w:val="both"/>
        <w:rPr>
          <w:sz w:val="28"/>
          <w:szCs w:val="28"/>
        </w:rPr>
      </w:pPr>
    </w:p>
    <w:p w14:paraId="43C7A4FF" w14:textId="547F3620" w:rsidR="00173212" w:rsidRDefault="00531063" w:rsidP="00CB6242">
      <w:pPr>
        <w:spacing w:before="240"/>
        <w:jc w:val="both"/>
        <w:rPr>
          <w:sz w:val="28"/>
          <w:szCs w:val="28"/>
        </w:rPr>
      </w:pPr>
      <w:r>
        <w:rPr>
          <w:sz w:val="28"/>
          <w:szCs w:val="28"/>
        </w:rPr>
        <w:t>[13</w:t>
      </w:r>
      <w:r w:rsidR="00173212">
        <w:rPr>
          <w:sz w:val="28"/>
          <w:szCs w:val="28"/>
        </w:rPr>
        <w:t xml:space="preserve">] Gilfillan’s version is that she was approached by Pieter Viljoen, the marketing director of the defendant to source the defendant property suitable for commercial development, a property suitable to develop in the region of 150 units. This prompted her to search a suitable property, the search ended with the property known as the </w:t>
      </w:r>
      <w:proofErr w:type="gramStart"/>
      <w:r w:rsidR="00173212">
        <w:rPr>
          <w:sz w:val="28"/>
          <w:szCs w:val="28"/>
        </w:rPr>
        <w:t>M</w:t>
      </w:r>
      <w:r w:rsidR="00EC1DF7">
        <w:rPr>
          <w:sz w:val="28"/>
          <w:szCs w:val="28"/>
        </w:rPr>
        <w:t>[</w:t>
      </w:r>
      <w:proofErr w:type="gramEnd"/>
      <w:r w:rsidR="00EC1DF7">
        <w:rPr>
          <w:sz w:val="28"/>
          <w:szCs w:val="28"/>
        </w:rPr>
        <w:t>…]</w:t>
      </w:r>
      <w:r w:rsidR="00173212">
        <w:rPr>
          <w:sz w:val="28"/>
          <w:szCs w:val="28"/>
        </w:rPr>
        <w:t xml:space="preserve"> </w:t>
      </w:r>
      <w:r w:rsidR="00EC1DF7">
        <w:rPr>
          <w:sz w:val="28"/>
          <w:szCs w:val="28"/>
        </w:rPr>
        <w:t>[…]</w:t>
      </w:r>
      <w:r w:rsidR="00173212">
        <w:rPr>
          <w:sz w:val="28"/>
          <w:szCs w:val="28"/>
        </w:rPr>
        <w:t xml:space="preserve"> property. At first there was the Van Staden property, but due to a waiting time of almost three years, the property was not selected. </w:t>
      </w:r>
    </w:p>
    <w:p w14:paraId="5D119CC2" w14:textId="77777777" w:rsidR="00173212" w:rsidRDefault="00173212" w:rsidP="00CB6242">
      <w:pPr>
        <w:spacing w:before="240"/>
        <w:jc w:val="both"/>
        <w:rPr>
          <w:sz w:val="28"/>
          <w:szCs w:val="28"/>
        </w:rPr>
      </w:pPr>
    </w:p>
    <w:p w14:paraId="07B79B51" w14:textId="77777777" w:rsidR="006F5575" w:rsidRDefault="006F5575" w:rsidP="00CB6242">
      <w:pPr>
        <w:spacing w:before="240"/>
        <w:jc w:val="both"/>
        <w:rPr>
          <w:sz w:val="28"/>
          <w:szCs w:val="28"/>
        </w:rPr>
      </w:pPr>
      <w:r>
        <w:rPr>
          <w:sz w:val="28"/>
          <w:szCs w:val="28"/>
        </w:rPr>
        <w:t xml:space="preserve">[14] Gilfillan’s version that she first introduced the defendant to the Van Tonder property was never contested in cross-examination. The sourcing of this property was also the forerunner of the later agreement of sale between the defendant and </w:t>
      </w:r>
      <w:proofErr w:type="spellStart"/>
      <w:r>
        <w:rPr>
          <w:sz w:val="28"/>
          <w:szCs w:val="28"/>
        </w:rPr>
        <w:t>Brawild</w:t>
      </w:r>
      <w:proofErr w:type="spellEnd"/>
      <w:r>
        <w:rPr>
          <w:sz w:val="28"/>
          <w:szCs w:val="28"/>
        </w:rPr>
        <w:t>. Her mandate in this regard was never challenged.</w:t>
      </w:r>
    </w:p>
    <w:p w14:paraId="29CE27ED" w14:textId="77777777" w:rsidR="006F5575" w:rsidRDefault="006F5575" w:rsidP="00CB6242">
      <w:pPr>
        <w:spacing w:before="240"/>
        <w:jc w:val="both"/>
        <w:rPr>
          <w:sz w:val="28"/>
          <w:szCs w:val="28"/>
        </w:rPr>
      </w:pPr>
    </w:p>
    <w:p w14:paraId="64DE7D19" w14:textId="77777777" w:rsidR="006F5575" w:rsidRPr="006F5575" w:rsidRDefault="006F5575" w:rsidP="00CB6242">
      <w:pPr>
        <w:spacing w:before="240"/>
        <w:jc w:val="both"/>
        <w:rPr>
          <w:sz w:val="28"/>
          <w:szCs w:val="28"/>
        </w:rPr>
      </w:pPr>
      <w:r>
        <w:rPr>
          <w:sz w:val="28"/>
          <w:szCs w:val="28"/>
        </w:rPr>
        <w:t xml:space="preserve">[15] The written </w:t>
      </w:r>
      <w:r>
        <w:rPr>
          <w:i/>
          <w:sz w:val="28"/>
          <w:szCs w:val="28"/>
        </w:rPr>
        <w:t xml:space="preserve">“Heads of Agreement” </w:t>
      </w:r>
      <w:r>
        <w:rPr>
          <w:sz w:val="28"/>
          <w:szCs w:val="28"/>
        </w:rPr>
        <w:t xml:space="preserve">prepared by the defendant also did not deal with </w:t>
      </w:r>
      <w:r w:rsidR="000D485D">
        <w:rPr>
          <w:sz w:val="28"/>
          <w:szCs w:val="28"/>
        </w:rPr>
        <w:t>who was to pay any commission or</w:t>
      </w:r>
      <w:r>
        <w:rPr>
          <w:sz w:val="28"/>
          <w:szCs w:val="28"/>
        </w:rPr>
        <w:t xml:space="preserve"> the rate of any commission. It was also not mentioned in these </w:t>
      </w:r>
      <w:r>
        <w:rPr>
          <w:i/>
          <w:sz w:val="28"/>
          <w:szCs w:val="28"/>
        </w:rPr>
        <w:t xml:space="preserve">Heads </w:t>
      </w:r>
      <w:r>
        <w:rPr>
          <w:sz w:val="28"/>
          <w:szCs w:val="28"/>
        </w:rPr>
        <w:t xml:space="preserve">that commission would only be payable after registration. </w:t>
      </w:r>
      <w:r w:rsidR="00C51704">
        <w:rPr>
          <w:sz w:val="28"/>
          <w:szCs w:val="28"/>
        </w:rPr>
        <w:t xml:space="preserve">In view of the admissions made and the later evidence by Louw there can be no doubt as to the value of the plaintiff’s evidence. </w:t>
      </w:r>
    </w:p>
    <w:p w14:paraId="4672054B" w14:textId="77777777" w:rsidR="006F5575" w:rsidRDefault="006F5575" w:rsidP="00CB6242">
      <w:pPr>
        <w:spacing w:before="240"/>
        <w:jc w:val="both"/>
        <w:rPr>
          <w:sz w:val="28"/>
          <w:szCs w:val="28"/>
        </w:rPr>
      </w:pPr>
    </w:p>
    <w:p w14:paraId="1F41E697" w14:textId="302ABA52" w:rsidR="0036573C" w:rsidRDefault="00C51704" w:rsidP="00CB6242">
      <w:pPr>
        <w:spacing w:before="240"/>
        <w:jc w:val="both"/>
        <w:rPr>
          <w:sz w:val="28"/>
          <w:szCs w:val="28"/>
        </w:rPr>
      </w:pPr>
      <w:r>
        <w:rPr>
          <w:sz w:val="28"/>
          <w:szCs w:val="28"/>
        </w:rPr>
        <w:lastRenderedPageBreak/>
        <w:t>[16</w:t>
      </w:r>
      <w:r w:rsidR="00173212">
        <w:rPr>
          <w:sz w:val="28"/>
          <w:szCs w:val="28"/>
        </w:rPr>
        <w:t xml:space="preserve">] She eventually found the </w:t>
      </w:r>
      <w:proofErr w:type="gramStart"/>
      <w:r w:rsidR="00173212">
        <w:rPr>
          <w:sz w:val="28"/>
          <w:szCs w:val="28"/>
        </w:rPr>
        <w:t>M</w:t>
      </w:r>
      <w:r w:rsidR="00EC1DF7">
        <w:rPr>
          <w:sz w:val="28"/>
          <w:szCs w:val="28"/>
        </w:rPr>
        <w:t>[</w:t>
      </w:r>
      <w:proofErr w:type="gramEnd"/>
      <w:r w:rsidR="00EC1DF7">
        <w:rPr>
          <w:sz w:val="28"/>
          <w:szCs w:val="28"/>
        </w:rPr>
        <w:t>…]</w:t>
      </w:r>
      <w:r w:rsidR="00173212">
        <w:rPr>
          <w:sz w:val="28"/>
          <w:szCs w:val="28"/>
        </w:rPr>
        <w:t xml:space="preserve"> property (from the </w:t>
      </w:r>
      <w:proofErr w:type="spellStart"/>
      <w:r w:rsidR="00173212">
        <w:rPr>
          <w:sz w:val="28"/>
          <w:szCs w:val="28"/>
        </w:rPr>
        <w:t>Sinovich</w:t>
      </w:r>
      <w:proofErr w:type="spellEnd"/>
      <w:r w:rsidR="00173212">
        <w:rPr>
          <w:sz w:val="28"/>
          <w:szCs w:val="28"/>
        </w:rPr>
        <w:t xml:space="preserve"> group) and </w:t>
      </w:r>
      <w:r w:rsidR="00AB3CF1">
        <w:rPr>
          <w:sz w:val="28"/>
          <w:szCs w:val="28"/>
        </w:rPr>
        <w:t xml:space="preserve">introduced the defendant thereto and </w:t>
      </w:r>
      <w:r w:rsidR="00173212">
        <w:rPr>
          <w:sz w:val="28"/>
          <w:szCs w:val="28"/>
        </w:rPr>
        <w:t>handed a file containing information thereof to Viljoen. Various emails were exchanged between them which eventually led to Louw having a written deed of sale prepared by his attorneys without any further input from the plaintiff. The significance of this written agreement is that Louw inserted the amount of R 450 000-</w:t>
      </w:r>
      <w:r w:rsidR="00CB47AB">
        <w:rPr>
          <w:sz w:val="28"/>
          <w:szCs w:val="28"/>
        </w:rPr>
        <w:t>00 as estate agent commission payable to the plaintiff by the defendant.</w:t>
      </w:r>
    </w:p>
    <w:p w14:paraId="3E37E840" w14:textId="77777777" w:rsidR="00CB47AB" w:rsidRDefault="00CB47AB" w:rsidP="00CB6242">
      <w:pPr>
        <w:spacing w:before="240"/>
        <w:jc w:val="both"/>
        <w:rPr>
          <w:sz w:val="28"/>
          <w:szCs w:val="28"/>
        </w:rPr>
      </w:pPr>
    </w:p>
    <w:p w14:paraId="01D5BE57" w14:textId="77777777" w:rsidR="00CB47AB" w:rsidRDefault="00C51704" w:rsidP="00CB6242">
      <w:pPr>
        <w:spacing w:before="240"/>
        <w:jc w:val="both"/>
        <w:rPr>
          <w:sz w:val="28"/>
          <w:szCs w:val="28"/>
        </w:rPr>
      </w:pPr>
      <w:r>
        <w:rPr>
          <w:sz w:val="28"/>
          <w:szCs w:val="28"/>
        </w:rPr>
        <w:t>[17</w:t>
      </w:r>
      <w:r w:rsidR="00CB47AB">
        <w:rPr>
          <w:sz w:val="28"/>
          <w:szCs w:val="28"/>
        </w:rPr>
        <w:t xml:space="preserve">] Although Gilfillan testified that she mentioned her commission at 3,5 % to Viljoen, Louw unilaterally inserted the amount of R 450 000-00 as commission in clause 17 of the agreement. Gilfillan was not further involved in the matter and received a copy of the written agreement from Viljoen. Advocate Kriek on behalf of the defendant tried her utmost to make something of the 3,5 % not calculating to R 450 000-00 during cross examination of Gilfillan, but in my </w:t>
      </w:r>
      <w:proofErr w:type="gramStart"/>
      <w:r w:rsidR="00CB47AB">
        <w:rPr>
          <w:sz w:val="28"/>
          <w:szCs w:val="28"/>
        </w:rPr>
        <w:t>view</w:t>
      </w:r>
      <w:proofErr w:type="gramEnd"/>
      <w:r w:rsidR="00CB47AB">
        <w:rPr>
          <w:sz w:val="28"/>
          <w:szCs w:val="28"/>
        </w:rPr>
        <w:t xml:space="preserve"> this did not detract from the evidence of Gilfillan. </w:t>
      </w:r>
      <w:r w:rsidR="00963585">
        <w:rPr>
          <w:sz w:val="28"/>
          <w:szCs w:val="28"/>
        </w:rPr>
        <w:t xml:space="preserve">The amount of R 450 000-00 was more than 3,5% of the purchase price but that is the amount that Louw on behalf of the defendant decided was what the agent commission should </w:t>
      </w:r>
      <w:proofErr w:type="gramStart"/>
      <w:r w:rsidR="00963585">
        <w:rPr>
          <w:sz w:val="28"/>
          <w:szCs w:val="28"/>
        </w:rPr>
        <w:t>be</w:t>
      </w:r>
      <w:proofErr w:type="gramEnd"/>
      <w:r w:rsidR="00963585">
        <w:rPr>
          <w:sz w:val="28"/>
          <w:szCs w:val="28"/>
        </w:rPr>
        <w:t xml:space="preserve"> and the plaintiff accepted it.   </w:t>
      </w:r>
    </w:p>
    <w:p w14:paraId="7FF3AFF9" w14:textId="77777777" w:rsidR="00CB47AB" w:rsidRDefault="00CB47AB" w:rsidP="00CB6242">
      <w:pPr>
        <w:spacing w:before="240"/>
        <w:jc w:val="both"/>
        <w:rPr>
          <w:sz w:val="28"/>
          <w:szCs w:val="28"/>
        </w:rPr>
      </w:pPr>
    </w:p>
    <w:p w14:paraId="42B2CF48" w14:textId="77777777" w:rsidR="00837EC2" w:rsidRDefault="00C51704" w:rsidP="00CB6242">
      <w:pPr>
        <w:spacing w:before="240"/>
        <w:jc w:val="both"/>
        <w:rPr>
          <w:sz w:val="28"/>
          <w:szCs w:val="28"/>
        </w:rPr>
      </w:pPr>
      <w:r>
        <w:rPr>
          <w:sz w:val="28"/>
          <w:szCs w:val="28"/>
        </w:rPr>
        <w:t>[18</w:t>
      </w:r>
      <w:r w:rsidR="00CB47AB">
        <w:rPr>
          <w:sz w:val="28"/>
          <w:szCs w:val="28"/>
        </w:rPr>
        <w:t>] The importance of this evidence on the written agreement is that the defendant undertook to pay the commission to Gilfillan without any precedent that payment will only be made after successful transfer of the property.</w:t>
      </w:r>
      <w:r w:rsidR="00837EC2">
        <w:rPr>
          <w:sz w:val="28"/>
          <w:szCs w:val="28"/>
        </w:rPr>
        <w:t xml:space="preserve"> </w:t>
      </w:r>
    </w:p>
    <w:p w14:paraId="60C6D63F" w14:textId="77777777" w:rsidR="00837EC2" w:rsidRDefault="00837EC2" w:rsidP="00CB6242">
      <w:pPr>
        <w:spacing w:before="240"/>
        <w:jc w:val="both"/>
        <w:rPr>
          <w:sz w:val="28"/>
          <w:szCs w:val="28"/>
        </w:rPr>
      </w:pPr>
    </w:p>
    <w:p w14:paraId="4716079A" w14:textId="77777777" w:rsidR="00837EC2" w:rsidRDefault="00C51704" w:rsidP="00CB6242">
      <w:pPr>
        <w:spacing w:before="240"/>
        <w:jc w:val="both"/>
        <w:rPr>
          <w:sz w:val="28"/>
          <w:szCs w:val="28"/>
        </w:rPr>
      </w:pPr>
      <w:r>
        <w:rPr>
          <w:sz w:val="28"/>
          <w:szCs w:val="28"/>
        </w:rPr>
        <w:t>[19</w:t>
      </w:r>
      <w:r w:rsidR="00837EC2">
        <w:rPr>
          <w:sz w:val="28"/>
          <w:szCs w:val="28"/>
        </w:rPr>
        <w:t>] The defendant’s attempt to escape liability for payment of the commission in my view dismally failed for the following:</w:t>
      </w:r>
      <w:r w:rsidR="00CB47AB">
        <w:rPr>
          <w:sz w:val="28"/>
          <w:szCs w:val="28"/>
        </w:rPr>
        <w:t xml:space="preserve"> </w:t>
      </w:r>
    </w:p>
    <w:p w14:paraId="332E7B2F" w14:textId="77777777" w:rsidR="00837EC2" w:rsidRDefault="00837EC2" w:rsidP="00CB6242">
      <w:pPr>
        <w:spacing w:before="240"/>
        <w:jc w:val="both"/>
        <w:rPr>
          <w:sz w:val="28"/>
          <w:szCs w:val="28"/>
        </w:rPr>
      </w:pPr>
    </w:p>
    <w:p w14:paraId="1938848E" w14:textId="77777777" w:rsidR="00837EC2" w:rsidRDefault="000D485D" w:rsidP="00CB6242">
      <w:pPr>
        <w:spacing w:before="240"/>
        <w:jc w:val="both"/>
        <w:rPr>
          <w:sz w:val="28"/>
          <w:szCs w:val="28"/>
        </w:rPr>
      </w:pPr>
      <w:r>
        <w:rPr>
          <w:sz w:val="28"/>
          <w:szCs w:val="28"/>
        </w:rPr>
        <w:t>(</w:t>
      </w:r>
      <w:r w:rsidR="00C51704">
        <w:rPr>
          <w:sz w:val="28"/>
          <w:szCs w:val="28"/>
        </w:rPr>
        <w:t>19</w:t>
      </w:r>
      <w:r w:rsidR="00837EC2">
        <w:rPr>
          <w:sz w:val="28"/>
          <w:szCs w:val="28"/>
        </w:rPr>
        <w:t>.1</w:t>
      </w:r>
      <w:r>
        <w:rPr>
          <w:sz w:val="28"/>
          <w:szCs w:val="28"/>
        </w:rPr>
        <w:t>)</w:t>
      </w:r>
      <w:r w:rsidR="00837EC2">
        <w:rPr>
          <w:sz w:val="28"/>
          <w:szCs w:val="28"/>
        </w:rPr>
        <w:t xml:space="preserve"> The amount of the commission cannot be in dispute after Louw during evidence stated that he filled the amount into clause 17 of the agreement.</w:t>
      </w:r>
    </w:p>
    <w:p w14:paraId="28420431" w14:textId="77777777" w:rsidR="00837EC2" w:rsidRDefault="00837EC2" w:rsidP="00CB6242">
      <w:pPr>
        <w:spacing w:before="240"/>
        <w:jc w:val="both"/>
        <w:rPr>
          <w:sz w:val="28"/>
          <w:szCs w:val="28"/>
        </w:rPr>
      </w:pPr>
    </w:p>
    <w:p w14:paraId="07A7A605" w14:textId="77777777" w:rsidR="00C446ED" w:rsidRDefault="000D485D" w:rsidP="00CB6242">
      <w:pPr>
        <w:spacing w:before="240"/>
        <w:jc w:val="both"/>
        <w:rPr>
          <w:sz w:val="28"/>
          <w:szCs w:val="28"/>
        </w:rPr>
      </w:pPr>
      <w:r>
        <w:rPr>
          <w:sz w:val="28"/>
          <w:szCs w:val="28"/>
        </w:rPr>
        <w:lastRenderedPageBreak/>
        <w:t>(</w:t>
      </w:r>
      <w:r w:rsidR="00C51704">
        <w:rPr>
          <w:sz w:val="28"/>
          <w:szCs w:val="28"/>
        </w:rPr>
        <w:t>19</w:t>
      </w:r>
      <w:r w:rsidR="00C446ED">
        <w:rPr>
          <w:sz w:val="28"/>
          <w:szCs w:val="28"/>
        </w:rPr>
        <w:t>.2</w:t>
      </w:r>
      <w:r>
        <w:rPr>
          <w:sz w:val="28"/>
          <w:szCs w:val="28"/>
        </w:rPr>
        <w:t>)</w:t>
      </w:r>
      <w:r w:rsidR="00C446ED">
        <w:rPr>
          <w:sz w:val="28"/>
          <w:szCs w:val="28"/>
        </w:rPr>
        <w:t xml:space="preserve"> </w:t>
      </w:r>
      <w:r w:rsidR="00837EC2">
        <w:rPr>
          <w:sz w:val="28"/>
          <w:szCs w:val="28"/>
        </w:rPr>
        <w:t>It was admitted in the jo</w:t>
      </w:r>
      <w:r w:rsidR="00C446ED">
        <w:rPr>
          <w:sz w:val="28"/>
          <w:szCs w:val="28"/>
        </w:rPr>
        <w:t>in</w:t>
      </w:r>
      <w:r w:rsidR="00837EC2">
        <w:rPr>
          <w:sz w:val="28"/>
          <w:szCs w:val="28"/>
        </w:rPr>
        <w:t>t p</w:t>
      </w:r>
      <w:r w:rsidR="00C446ED">
        <w:rPr>
          <w:sz w:val="28"/>
          <w:szCs w:val="28"/>
        </w:rPr>
        <w:t>r</w:t>
      </w:r>
      <w:r w:rsidR="00837EC2">
        <w:rPr>
          <w:sz w:val="28"/>
          <w:szCs w:val="28"/>
        </w:rPr>
        <w:t xml:space="preserve">actice </w:t>
      </w:r>
      <w:r w:rsidR="00C446ED">
        <w:rPr>
          <w:sz w:val="28"/>
          <w:szCs w:val="28"/>
        </w:rPr>
        <w:t xml:space="preserve">note that the plaintiff introduced the </w:t>
      </w:r>
      <w:proofErr w:type="spellStart"/>
      <w:r w:rsidR="00C446ED">
        <w:rPr>
          <w:sz w:val="28"/>
          <w:szCs w:val="28"/>
        </w:rPr>
        <w:t>Hartbeesfontein</w:t>
      </w:r>
      <w:proofErr w:type="spellEnd"/>
      <w:r w:rsidR="00C446ED">
        <w:rPr>
          <w:sz w:val="28"/>
          <w:szCs w:val="28"/>
        </w:rPr>
        <w:t xml:space="preserve"> property (property subject of the action) to the defendant.</w:t>
      </w:r>
    </w:p>
    <w:p w14:paraId="4598B59A" w14:textId="77777777" w:rsidR="00C446ED" w:rsidRDefault="000D485D" w:rsidP="00CB6242">
      <w:pPr>
        <w:spacing w:before="240"/>
        <w:jc w:val="both"/>
        <w:rPr>
          <w:sz w:val="28"/>
          <w:szCs w:val="28"/>
        </w:rPr>
      </w:pPr>
      <w:r>
        <w:rPr>
          <w:sz w:val="28"/>
          <w:szCs w:val="28"/>
        </w:rPr>
        <w:t>(</w:t>
      </w:r>
      <w:r w:rsidR="00C51704">
        <w:rPr>
          <w:sz w:val="28"/>
          <w:szCs w:val="28"/>
        </w:rPr>
        <w:t>19</w:t>
      </w:r>
      <w:r w:rsidR="00C446ED">
        <w:rPr>
          <w:sz w:val="28"/>
          <w:szCs w:val="28"/>
        </w:rPr>
        <w:t>.3</w:t>
      </w:r>
      <w:r>
        <w:rPr>
          <w:sz w:val="28"/>
          <w:szCs w:val="28"/>
        </w:rPr>
        <w:t>)</w:t>
      </w:r>
      <w:r w:rsidR="00C446ED">
        <w:rPr>
          <w:sz w:val="28"/>
          <w:szCs w:val="28"/>
        </w:rPr>
        <w:t xml:space="preserve"> The plaintiff was the effective cause of the Agreement of Sale to the particulars of claim.</w:t>
      </w:r>
    </w:p>
    <w:p w14:paraId="0E7BC019" w14:textId="77777777" w:rsidR="00CB47AB" w:rsidRDefault="00CB47AB" w:rsidP="00CB6242">
      <w:pPr>
        <w:spacing w:before="240"/>
        <w:jc w:val="both"/>
        <w:rPr>
          <w:sz w:val="28"/>
          <w:szCs w:val="28"/>
        </w:rPr>
      </w:pPr>
      <w:r>
        <w:rPr>
          <w:sz w:val="28"/>
          <w:szCs w:val="28"/>
        </w:rPr>
        <w:t xml:space="preserve">  </w:t>
      </w:r>
    </w:p>
    <w:p w14:paraId="3C8528D1" w14:textId="77777777" w:rsidR="00C446ED" w:rsidRPr="00AB3CF1" w:rsidRDefault="000D485D" w:rsidP="00CB6242">
      <w:pPr>
        <w:spacing w:before="240"/>
        <w:jc w:val="both"/>
        <w:rPr>
          <w:sz w:val="28"/>
          <w:szCs w:val="28"/>
        </w:rPr>
      </w:pPr>
      <w:r>
        <w:rPr>
          <w:sz w:val="28"/>
          <w:szCs w:val="28"/>
        </w:rPr>
        <w:t>(</w:t>
      </w:r>
      <w:r w:rsidR="00C51704">
        <w:rPr>
          <w:sz w:val="28"/>
          <w:szCs w:val="28"/>
        </w:rPr>
        <w:t>19</w:t>
      </w:r>
      <w:r w:rsidR="00C446ED">
        <w:rPr>
          <w:sz w:val="28"/>
          <w:szCs w:val="28"/>
        </w:rPr>
        <w:t>.4</w:t>
      </w:r>
      <w:r>
        <w:rPr>
          <w:sz w:val="28"/>
          <w:szCs w:val="28"/>
        </w:rPr>
        <w:t>)</w:t>
      </w:r>
      <w:r w:rsidR="00C446ED">
        <w:rPr>
          <w:sz w:val="28"/>
          <w:szCs w:val="28"/>
        </w:rPr>
        <w:t xml:space="preserve"> Louw conceded during evidence on a question by the court that there was nothing more the plaintiff should have done to be entitled on commission.</w:t>
      </w:r>
      <w:r w:rsidR="00AB3CF1">
        <w:rPr>
          <w:sz w:val="28"/>
          <w:szCs w:val="28"/>
        </w:rPr>
        <w:t xml:space="preserve"> This can only be interpreted that the plaintiff has fulfilled her obligation in terms of the mandate and agreement of sale and is entitled to claim her commission </w:t>
      </w:r>
      <w:r w:rsidR="00AB3CF1">
        <w:rPr>
          <w:i/>
          <w:sz w:val="28"/>
          <w:szCs w:val="28"/>
        </w:rPr>
        <w:t xml:space="preserve">ex </w:t>
      </w:r>
      <w:proofErr w:type="spellStart"/>
      <w:r w:rsidR="00AB3CF1">
        <w:rPr>
          <w:i/>
          <w:sz w:val="28"/>
          <w:szCs w:val="28"/>
        </w:rPr>
        <w:t>contracto</w:t>
      </w:r>
      <w:proofErr w:type="spellEnd"/>
      <w:r w:rsidR="00AB3CF1">
        <w:rPr>
          <w:i/>
          <w:sz w:val="28"/>
          <w:szCs w:val="28"/>
        </w:rPr>
        <w:t xml:space="preserve">. </w:t>
      </w:r>
      <w:r w:rsidR="00AB3CF1">
        <w:rPr>
          <w:sz w:val="28"/>
          <w:szCs w:val="28"/>
        </w:rPr>
        <w:t xml:space="preserve">Me Kriel’s argument on behalf of the defendant that the plaintiff’s claim is </w:t>
      </w:r>
      <w:proofErr w:type="gramStart"/>
      <w:r w:rsidR="00AB3CF1">
        <w:rPr>
          <w:sz w:val="28"/>
          <w:szCs w:val="28"/>
        </w:rPr>
        <w:t>a damages</w:t>
      </w:r>
      <w:proofErr w:type="gramEnd"/>
      <w:r w:rsidR="00AB3CF1">
        <w:rPr>
          <w:sz w:val="28"/>
          <w:szCs w:val="28"/>
        </w:rPr>
        <w:t xml:space="preserve"> claim (</w:t>
      </w:r>
      <w:r w:rsidR="00AB3CF1" w:rsidRPr="00AB3CF1">
        <w:rPr>
          <w:i/>
          <w:sz w:val="28"/>
          <w:szCs w:val="28"/>
        </w:rPr>
        <w:t>ex delicto</w:t>
      </w:r>
      <w:r w:rsidR="00AB3CF1">
        <w:rPr>
          <w:sz w:val="28"/>
          <w:szCs w:val="28"/>
        </w:rPr>
        <w:t xml:space="preserve">) is in my view not correct. </w:t>
      </w:r>
    </w:p>
    <w:p w14:paraId="5B7BBA6F" w14:textId="77777777" w:rsidR="00C446ED" w:rsidRDefault="00C446ED" w:rsidP="00CB6242">
      <w:pPr>
        <w:spacing w:before="240"/>
        <w:jc w:val="both"/>
        <w:rPr>
          <w:sz w:val="28"/>
          <w:szCs w:val="28"/>
        </w:rPr>
      </w:pPr>
    </w:p>
    <w:p w14:paraId="34AC0C5E" w14:textId="77777777" w:rsidR="00C446ED" w:rsidRDefault="000D485D" w:rsidP="00CB6242">
      <w:pPr>
        <w:spacing w:before="240"/>
        <w:jc w:val="both"/>
        <w:rPr>
          <w:sz w:val="28"/>
          <w:szCs w:val="28"/>
        </w:rPr>
      </w:pPr>
      <w:r>
        <w:rPr>
          <w:sz w:val="28"/>
          <w:szCs w:val="28"/>
        </w:rPr>
        <w:t>(</w:t>
      </w:r>
      <w:r w:rsidR="00C51704">
        <w:rPr>
          <w:sz w:val="28"/>
          <w:szCs w:val="28"/>
        </w:rPr>
        <w:t>19</w:t>
      </w:r>
      <w:r w:rsidR="00C446ED">
        <w:rPr>
          <w:sz w:val="28"/>
          <w:szCs w:val="28"/>
        </w:rPr>
        <w:t>.5</w:t>
      </w:r>
      <w:r>
        <w:rPr>
          <w:sz w:val="28"/>
          <w:szCs w:val="28"/>
        </w:rPr>
        <w:t>)</w:t>
      </w:r>
      <w:r w:rsidR="00C446ED">
        <w:rPr>
          <w:sz w:val="28"/>
          <w:szCs w:val="28"/>
        </w:rPr>
        <w:t xml:space="preserve"> The agreement of sale contains no provision that the commission will only become due and payable </w:t>
      </w:r>
      <w:r w:rsidR="00C446ED">
        <w:rPr>
          <w:b/>
          <w:i/>
          <w:sz w:val="28"/>
          <w:szCs w:val="28"/>
        </w:rPr>
        <w:t xml:space="preserve">after </w:t>
      </w:r>
      <w:r w:rsidR="00C446ED">
        <w:rPr>
          <w:sz w:val="28"/>
          <w:szCs w:val="28"/>
        </w:rPr>
        <w:t>transfer is an interpretation by the defendant without any clause in the agreement justifying such interpretation.</w:t>
      </w:r>
    </w:p>
    <w:p w14:paraId="47633609" w14:textId="77777777" w:rsidR="00C446ED" w:rsidRDefault="00C446ED" w:rsidP="00CB6242">
      <w:pPr>
        <w:spacing w:before="240"/>
        <w:jc w:val="both"/>
        <w:rPr>
          <w:sz w:val="28"/>
          <w:szCs w:val="28"/>
        </w:rPr>
      </w:pPr>
    </w:p>
    <w:p w14:paraId="441CC079" w14:textId="77777777" w:rsidR="00DA4478" w:rsidRDefault="000D485D" w:rsidP="00CB6242">
      <w:pPr>
        <w:spacing w:before="240"/>
        <w:jc w:val="both"/>
        <w:rPr>
          <w:sz w:val="28"/>
          <w:szCs w:val="28"/>
        </w:rPr>
      </w:pPr>
      <w:r>
        <w:rPr>
          <w:sz w:val="28"/>
          <w:szCs w:val="28"/>
        </w:rPr>
        <w:t>(</w:t>
      </w:r>
      <w:r w:rsidR="00C51704">
        <w:rPr>
          <w:sz w:val="28"/>
          <w:szCs w:val="28"/>
        </w:rPr>
        <w:t>19</w:t>
      </w:r>
      <w:r w:rsidR="00AB3CF1">
        <w:rPr>
          <w:sz w:val="28"/>
          <w:szCs w:val="28"/>
        </w:rPr>
        <w:t>.6</w:t>
      </w:r>
      <w:r>
        <w:rPr>
          <w:sz w:val="28"/>
          <w:szCs w:val="28"/>
        </w:rPr>
        <w:t>)</w:t>
      </w:r>
      <w:r w:rsidR="00AB3CF1">
        <w:rPr>
          <w:sz w:val="28"/>
          <w:szCs w:val="28"/>
        </w:rPr>
        <w:t xml:space="preserve"> To infer a tacit term into</w:t>
      </w:r>
      <w:r w:rsidR="00C446ED">
        <w:rPr>
          <w:sz w:val="28"/>
          <w:szCs w:val="28"/>
        </w:rPr>
        <w:t xml:space="preserve"> the written agreement of sale that payment would only be made after registration of transfer is stillborn. The current law is clear that tacit terms are seldom imported into a contract </w:t>
      </w:r>
      <w:r w:rsidR="00DA4478">
        <w:rPr>
          <w:sz w:val="28"/>
          <w:szCs w:val="28"/>
        </w:rPr>
        <w:t xml:space="preserve">and tacit terms to be inferred by the court will </w:t>
      </w:r>
      <w:r w:rsidR="00AB3CF1">
        <w:rPr>
          <w:sz w:val="28"/>
          <w:szCs w:val="28"/>
        </w:rPr>
        <w:t xml:space="preserve">only </w:t>
      </w:r>
      <w:r w:rsidR="00DA4478">
        <w:rPr>
          <w:sz w:val="28"/>
          <w:szCs w:val="28"/>
        </w:rPr>
        <w:t xml:space="preserve">be done on the evidence </w:t>
      </w:r>
      <w:r w:rsidR="00AB3CF1">
        <w:rPr>
          <w:sz w:val="28"/>
          <w:szCs w:val="28"/>
        </w:rPr>
        <w:t xml:space="preserve">in this regard </w:t>
      </w:r>
      <w:r w:rsidR="00DA4478">
        <w:rPr>
          <w:sz w:val="28"/>
          <w:szCs w:val="28"/>
        </w:rPr>
        <w:t xml:space="preserve">and the express terms of the agreement. </w:t>
      </w:r>
      <w:r w:rsidR="00DA4478">
        <w:rPr>
          <w:b/>
          <w:sz w:val="28"/>
          <w:szCs w:val="28"/>
        </w:rPr>
        <w:t xml:space="preserve">Alfred McAlpine &amp; Son (Pty) Ltd v </w:t>
      </w:r>
      <w:proofErr w:type="spellStart"/>
      <w:r w:rsidR="00DA4478">
        <w:rPr>
          <w:b/>
          <w:sz w:val="28"/>
          <w:szCs w:val="28"/>
        </w:rPr>
        <w:t>Transvall</w:t>
      </w:r>
      <w:proofErr w:type="spellEnd"/>
      <w:r w:rsidR="00DA4478">
        <w:rPr>
          <w:b/>
          <w:sz w:val="28"/>
          <w:szCs w:val="28"/>
        </w:rPr>
        <w:t xml:space="preserve"> Provincial Administration 1974 (3) SA 506 (A) AT 531 D-533 B; KPMG v </w:t>
      </w:r>
      <w:proofErr w:type="spellStart"/>
      <w:r w:rsidR="00DA4478">
        <w:rPr>
          <w:b/>
          <w:sz w:val="28"/>
          <w:szCs w:val="28"/>
        </w:rPr>
        <w:t>Securefin</w:t>
      </w:r>
      <w:proofErr w:type="spellEnd"/>
      <w:r w:rsidR="00DA4478">
        <w:rPr>
          <w:b/>
          <w:sz w:val="28"/>
          <w:szCs w:val="28"/>
        </w:rPr>
        <w:t xml:space="preserve"> Ltd 2009 (4) SA 399 (SCA) at 411C.  </w:t>
      </w:r>
      <w:r w:rsidR="00DA4478">
        <w:rPr>
          <w:sz w:val="28"/>
          <w:szCs w:val="28"/>
        </w:rPr>
        <w:t xml:space="preserve"> In this matter there is no ground to infer such tacit term, </w:t>
      </w:r>
      <w:proofErr w:type="gramStart"/>
      <w:r w:rsidR="00DA4478">
        <w:rPr>
          <w:sz w:val="28"/>
          <w:szCs w:val="28"/>
        </w:rPr>
        <w:t>taken into account</w:t>
      </w:r>
      <w:proofErr w:type="gramEnd"/>
      <w:r w:rsidR="00DA4478">
        <w:rPr>
          <w:sz w:val="28"/>
          <w:szCs w:val="28"/>
        </w:rPr>
        <w:t xml:space="preserve"> the admissions made and the clear concession made by Louw during evidence. </w:t>
      </w:r>
    </w:p>
    <w:p w14:paraId="1E10CD8E" w14:textId="77777777" w:rsidR="00DA4478" w:rsidRDefault="00DA4478" w:rsidP="00CB6242">
      <w:pPr>
        <w:spacing w:before="240"/>
        <w:jc w:val="both"/>
        <w:rPr>
          <w:sz w:val="28"/>
          <w:szCs w:val="28"/>
        </w:rPr>
      </w:pPr>
    </w:p>
    <w:p w14:paraId="05AA9423" w14:textId="77777777" w:rsidR="00070E4F" w:rsidRDefault="000D485D" w:rsidP="00CB6242">
      <w:pPr>
        <w:spacing w:before="240"/>
        <w:jc w:val="both"/>
        <w:rPr>
          <w:sz w:val="28"/>
          <w:szCs w:val="28"/>
        </w:rPr>
      </w:pPr>
      <w:r>
        <w:rPr>
          <w:sz w:val="28"/>
          <w:szCs w:val="28"/>
        </w:rPr>
        <w:t>(</w:t>
      </w:r>
      <w:r w:rsidR="00C51704">
        <w:rPr>
          <w:sz w:val="28"/>
          <w:szCs w:val="28"/>
        </w:rPr>
        <w:t>19</w:t>
      </w:r>
      <w:r w:rsidR="00DA4478">
        <w:rPr>
          <w:sz w:val="28"/>
          <w:szCs w:val="28"/>
        </w:rPr>
        <w:t>.7</w:t>
      </w:r>
      <w:r>
        <w:rPr>
          <w:sz w:val="28"/>
          <w:szCs w:val="28"/>
        </w:rPr>
        <w:t>)</w:t>
      </w:r>
      <w:r w:rsidR="00DA4478">
        <w:rPr>
          <w:sz w:val="28"/>
          <w:szCs w:val="28"/>
        </w:rPr>
        <w:t xml:space="preserve"> A party who wants to rely on a tacit term which differs from the clear </w:t>
      </w:r>
      <w:r w:rsidR="00070E4F">
        <w:rPr>
          <w:i/>
          <w:sz w:val="28"/>
          <w:szCs w:val="28"/>
        </w:rPr>
        <w:t>prima facie</w:t>
      </w:r>
      <w:r w:rsidR="00070E4F">
        <w:rPr>
          <w:sz w:val="28"/>
          <w:szCs w:val="28"/>
        </w:rPr>
        <w:t xml:space="preserve"> construction of a written agreement </w:t>
      </w:r>
      <w:proofErr w:type="gramStart"/>
      <w:r w:rsidR="00070E4F">
        <w:rPr>
          <w:sz w:val="28"/>
          <w:szCs w:val="28"/>
        </w:rPr>
        <w:t>has to</w:t>
      </w:r>
      <w:proofErr w:type="gramEnd"/>
      <w:r w:rsidR="00070E4F">
        <w:rPr>
          <w:sz w:val="28"/>
          <w:szCs w:val="28"/>
        </w:rPr>
        <w:t xml:space="preserve"> plead the circumst</w:t>
      </w:r>
      <w:r w:rsidR="00AB3CF1">
        <w:rPr>
          <w:sz w:val="28"/>
          <w:szCs w:val="28"/>
        </w:rPr>
        <w:t>ances relied upon for this cons</w:t>
      </w:r>
      <w:r w:rsidR="00070E4F">
        <w:rPr>
          <w:sz w:val="28"/>
          <w:szCs w:val="28"/>
        </w:rPr>
        <w:t>t</w:t>
      </w:r>
      <w:r w:rsidR="00AB3CF1">
        <w:rPr>
          <w:sz w:val="28"/>
          <w:szCs w:val="28"/>
        </w:rPr>
        <w:t>ruc</w:t>
      </w:r>
      <w:r w:rsidR="00070E4F">
        <w:rPr>
          <w:sz w:val="28"/>
          <w:szCs w:val="28"/>
        </w:rPr>
        <w:t xml:space="preserve">tion. </w:t>
      </w:r>
      <w:proofErr w:type="spellStart"/>
      <w:r w:rsidR="00AB3CF1">
        <w:rPr>
          <w:b/>
          <w:sz w:val="28"/>
          <w:szCs w:val="28"/>
        </w:rPr>
        <w:t>Societe</w:t>
      </w:r>
      <w:proofErr w:type="spellEnd"/>
      <w:r w:rsidR="00AB3CF1">
        <w:rPr>
          <w:b/>
          <w:sz w:val="28"/>
          <w:szCs w:val="28"/>
        </w:rPr>
        <w:t xml:space="preserve"> Commer</w:t>
      </w:r>
      <w:r w:rsidR="00070E4F">
        <w:rPr>
          <w:b/>
          <w:sz w:val="28"/>
          <w:szCs w:val="28"/>
        </w:rPr>
        <w:t xml:space="preserve">ciale de </w:t>
      </w:r>
      <w:proofErr w:type="spellStart"/>
      <w:r w:rsidR="00070E4F">
        <w:rPr>
          <w:b/>
          <w:sz w:val="28"/>
          <w:szCs w:val="28"/>
        </w:rPr>
        <w:lastRenderedPageBreak/>
        <w:t>Molteurs</w:t>
      </w:r>
      <w:proofErr w:type="spellEnd"/>
      <w:r w:rsidR="00070E4F">
        <w:rPr>
          <w:b/>
          <w:sz w:val="28"/>
          <w:szCs w:val="28"/>
        </w:rPr>
        <w:t xml:space="preserve"> v Ackermann 1981 (3) SA 422 (A). </w:t>
      </w:r>
      <w:r w:rsidR="00070E4F">
        <w:rPr>
          <w:sz w:val="28"/>
          <w:szCs w:val="28"/>
        </w:rPr>
        <w:t xml:space="preserve">In this matter where the written agreement is silent on when commission becomes due and payable </w:t>
      </w:r>
      <w:r w:rsidR="00070E4F">
        <w:rPr>
          <w:b/>
          <w:sz w:val="28"/>
          <w:szCs w:val="28"/>
        </w:rPr>
        <w:t>together</w:t>
      </w:r>
      <w:r w:rsidR="00AB3CF1">
        <w:rPr>
          <w:b/>
          <w:sz w:val="28"/>
          <w:szCs w:val="28"/>
        </w:rPr>
        <w:t xml:space="preserve"> </w:t>
      </w:r>
      <w:r w:rsidR="00070E4F">
        <w:rPr>
          <w:sz w:val="28"/>
          <w:szCs w:val="28"/>
        </w:rPr>
        <w:t>with the admissions made and the evidence</w:t>
      </w:r>
      <w:r w:rsidR="00AB3CF1">
        <w:rPr>
          <w:sz w:val="28"/>
          <w:szCs w:val="28"/>
        </w:rPr>
        <w:t xml:space="preserve"> by Louw in this regard there can be no room to </w:t>
      </w:r>
      <w:r w:rsidR="00070E4F">
        <w:rPr>
          <w:sz w:val="28"/>
          <w:szCs w:val="28"/>
        </w:rPr>
        <w:t>incorporate a tacit term</w:t>
      </w:r>
      <w:r w:rsidR="00AB3CF1">
        <w:rPr>
          <w:sz w:val="28"/>
          <w:szCs w:val="28"/>
        </w:rPr>
        <w:t xml:space="preserve"> into the agreement</w:t>
      </w:r>
      <w:r w:rsidR="00070E4F">
        <w:rPr>
          <w:sz w:val="28"/>
          <w:szCs w:val="28"/>
        </w:rPr>
        <w:t xml:space="preserve">. </w:t>
      </w:r>
    </w:p>
    <w:p w14:paraId="7C01A421" w14:textId="77777777" w:rsidR="008E5BF5" w:rsidRDefault="008E5BF5" w:rsidP="00CB6242">
      <w:pPr>
        <w:spacing w:before="240"/>
        <w:jc w:val="both"/>
        <w:rPr>
          <w:sz w:val="28"/>
          <w:szCs w:val="28"/>
        </w:rPr>
      </w:pPr>
    </w:p>
    <w:p w14:paraId="660286A3" w14:textId="77777777" w:rsidR="008E5BF5" w:rsidRPr="008E5BF5" w:rsidRDefault="000D485D" w:rsidP="00CB6242">
      <w:pPr>
        <w:spacing w:before="240"/>
        <w:jc w:val="both"/>
        <w:rPr>
          <w:sz w:val="28"/>
          <w:szCs w:val="28"/>
        </w:rPr>
      </w:pPr>
      <w:r>
        <w:rPr>
          <w:sz w:val="28"/>
          <w:szCs w:val="28"/>
        </w:rPr>
        <w:t>(</w:t>
      </w:r>
      <w:r w:rsidR="00C51704">
        <w:rPr>
          <w:sz w:val="28"/>
          <w:szCs w:val="28"/>
        </w:rPr>
        <w:t>19</w:t>
      </w:r>
      <w:r w:rsidR="008E5BF5">
        <w:rPr>
          <w:sz w:val="28"/>
          <w:szCs w:val="28"/>
        </w:rPr>
        <w:t>.8</w:t>
      </w:r>
      <w:r>
        <w:rPr>
          <w:sz w:val="28"/>
          <w:szCs w:val="28"/>
        </w:rPr>
        <w:t>)</w:t>
      </w:r>
      <w:r w:rsidR="008E5BF5">
        <w:rPr>
          <w:sz w:val="28"/>
          <w:szCs w:val="28"/>
        </w:rPr>
        <w:t xml:space="preserve"> There is further nothing ambiguous or uncertain in the agreement and the evidence that contends a meaning contrary the </w:t>
      </w:r>
      <w:r w:rsidR="008E5BF5">
        <w:rPr>
          <w:i/>
          <w:sz w:val="28"/>
          <w:szCs w:val="28"/>
        </w:rPr>
        <w:t xml:space="preserve">prima facie </w:t>
      </w:r>
      <w:r w:rsidR="008E5BF5">
        <w:rPr>
          <w:sz w:val="28"/>
          <w:szCs w:val="28"/>
        </w:rPr>
        <w:t xml:space="preserve">meaning of clause 17 read with the admissions and evidence tendered. I am satisfied that there is no uncertainty or ambiguity as to the proper construction of the contract. </w:t>
      </w:r>
      <w:r w:rsidR="008E5BF5">
        <w:rPr>
          <w:b/>
          <w:sz w:val="28"/>
          <w:szCs w:val="28"/>
        </w:rPr>
        <w:t xml:space="preserve">Dorman Long Swan Hunter (Pty) Ltd v </w:t>
      </w:r>
      <w:proofErr w:type="spellStart"/>
      <w:r w:rsidR="008E5BF5">
        <w:rPr>
          <w:b/>
          <w:sz w:val="28"/>
          <w:szCs w:val="28"/>
        </w:rPr>
        <w:t>Karibib</w:t>
      </w:r>
      <w:proofErr w:type="spellEnd"/>
      <w:r w:rsidR="008E5BF5">
        <w:rPr>
          <w:b/>
          <w:sz w:val="28"/>
          <w:szCs w:val="28"/>
        </w:rPr>
        <w:t xml:space="preserve"> </w:t>
      </w:r>
      <w:proofErr w:type="spellStart"/>
      <w:r w:rsidR="008E5BF5">
        <w:rPr>
          <w:b/>
          <w:sz w:val="28"/>
          <w:szCs w:val="28"/>
        </w:rPr>
        <w:t>Visserye</w:t>
      </w:r>
      <w:proofErr w:type="spellEnd"/>
      <w:r w:rsidR="008E5BF5">
        <w:rPr>
          <w:b/>
          <w:sz w:val="28"/>
          <w:szCs w:val="28"/>
        </w:rPr>
        <w:t xml:space="preserve"> Ltd 1984 (2) SA 462 (C) </w:t>
      </w:r>
    </w:p>
    <w:p w14:paraId="09F416C6" w14:textId="77777777" w:rsidR="00070E4F" w:rsidRDefault="00070E4F" w:rsidP="00CB6242">
      <w:pPr>
        <w:spacing w:before="240"/>
        <w:jc w:val="both"/>
        <w:rPr>
          <w:sz w:val="28"/>
          <w:szCs w:val="28"/>
        </w:rPr>
      </w:pPr>
    </w:p>
    <w:p w14:paraId="741A718F" w14:textId="77777777" w:rsidR="00687BCE" w:rsidRDefault="000D485D" w:rsidP="00CB6242">
      <w:pPr>
        <w:spacing w:before="240"/>
        <w:jc w:val="both"/>
        <w:rPr>
          <w:sz w:val="28"/>
          <w:szCs w:val="28"/>
        </w:rPr>
      </w:pPr>
      <w:r>
        <w:rPr>
          <w:sz w:val="28"/>
          <w:szCs w:val="28"/>
        </w:rPr>
        <w:t>(</w:t>
      </w:r>
      <w:r w:rsidR="00C51704">
        <w:rPr>
          <w:sz w:val="28"/>
          <w:szCs w:val="28"/>
        </w:rPr>
        <w:t>19</w:t>
      </w:r>
      <w:r w:rsidR="008E5BF5">
        <w:rPr>
          <w:sz w:val="28"/>
          <w:szCs w:val="28"/>
        </w:rPr>
        <w:t>.9</w:t>
      </w:r>
      <w:r>
        <w:rPr>
          <w:sz w:val="28"/>
          <w:szCs w:val="28"/>
        </w:rPr>
        <w:t>)</w:t>
      </w:r>
      <w:r w:rsidR="00070E4F">
        <w:rPr>
          <w:sz w:val="28"/>
          <w:szCs w:val="28"/>
        </w:rPr>
        <w:t xml:space="preserve"> </w:t>
      </w:r>
      <w:r w:rsidR="008E5BF5">
        <w:rPr>
          <w:sz w:val="28"/>
          <w:szCs w:val="28"/>
        </w:rPr>
        <w:t>A party intending to rely on an impli</w:t>
      </w:r>
      <w:r w:rsidR="003A55EB">
        <w:rPr>
          <w:sz w:val="28"/>
          <w:szCs w:val="28"/>
        </w:rPr>
        <w:t xml:space="preserve">ed term by law must plead such alleged term </w:t>
      </w:r>
      <w:r w:rsidR="008E5BF5">
        <w:rPr>
          <w:sz w:val="28"/>
          <w:szCs w:val="28"/>
        </w:rPr>
        <w:t>since the relief sought will depend</w:t>
      </w:r>
      <w:r w:rsidR="00070E4F">
        <w:rPr>
          <w:sz w:val="28"/>
          <w:szCs w:val="28"/>
        </w:rPr>
        <w:t xml:space="preserve"> </w:t>
      </w:r>
      <w:r w:rsidR="008E5BF5">
        <w:rPr>
          <w:sz w:val="28"/>
          <w:szCs w:val="28"/>
        </w:rPr>
        <w:t>on it. The implied term the defendant wants to rely upon is that the commission will only be due and payable after successful transfer is contrary the normal terms regarding commission.</w:t>
      </w:r>
      <w:r w:rsidR="003A55EB">
        <w:rPr>
          <w:sz w:val="28"/>
          <w:szCs w:val="28"/>
        </w:rPr>
        <w:t xml:space="preserve"> There is nothing favouring this contention.</w:t>
      </w:r>
      <w:r w:rsidR="008E5BF5">
        <w:rPr>
          <w:sz w:val="28"/>
          <w:szCs w:val="28"/>
        </w:rPr>
        <w:t xml:space="preserve"> </w:t>
      </w:r>
    </w:p>
    <w:p w14:paraId="35836DAA" w14:textId="77777777" w:rsidR="00687BCE" w:rsidRDefault="00687BCE" w:rsidP="00CB6242">
      <w:pPr>
        <w:spacing w:before="240"/>
        <w:jc w:val="both"/>
        <w:rPr>
          <w:sz w:val="28"/>
          <w:szCs w:val="28"/>
        </w:rPr>
      </w:pPr>
    </w:p>
    <w:p w14:paraId="0E12F032" w14:textId="77777777" w:rsidR="008669A9" w:rsidRDefault="000D485D" w:rsidP="00CB6242">
      <w:pPr>
        <w:spacing w:before="240"/>
        <w:jc w:val="both"/>
        <w:rPr>
          <w:sz w:val="28"/>
          <w:szCs w:val="28"/>
        </w:rPr>
      </w:pPr>
      <w:r>
        <w:rPr>
          <w:sz w:val="28"/>
          <w:szCs w:val="28"/>
        </w:rPr>
        <w:t>(19.10)</w:t>
      </w:r>
      <w:r w:rsidR="00687BCE">
        <w:rPr>
          <w:sz w:val="28"/>
          <w:szCs w:val="28"/>
        </w:rPr>
        <w:t xml:space="preserve"> </w:t>
      </w:r>
      <w:r w:rsidR="008669A9">
        <w:rPr>
          <w:sz w:val="28"/>
          <w:szCs w:val="28"/>
        </w:rPr>
        <w:t xml:space="preserve">In </w:t>
      </w:r>
      <w:r w:rsidR="008669A9">
        <w:rPr>
          <w:b/>
          <w:sz w:val="28"/>
          <w:szCs w:val="28"/>
        </w:rPr>
        <w:t xml:space="preserve">Brayshaw v Schoeman and Others 1960 (1) SA 625 (A) at 630 D </w:t>
      </w:r>
      <w:r w:rsidR="008669A9">
        <w:rPr>
          <w:sz w:val="28"/>
          <w:szCs w:val="28"/>
        </w:rPr>
        <w:t>it was held that “</w:t>
      </w:r>
      <w:proofErr w:type="spellStart"/>
      <w:r w:rsidR="008669A9">
        <w:rPr>
          <w:i/>
          <w:sz w:val="28"/>
          <w:szCs w:val="28"/>
        </w:rPr>
        <w:t>Dit</w:t>
      </w:r>
      <w:proofErr w:type="spellEnd"/>
      <w:r w:rsidR="008669A9">
        <w:rPr>
          <w:i/>
          <w:sz w:val="28"/>
          <w:szCs w:val="28"/>
        </w:rPr>
        <w:t xml:space="preserve"> </w:t>
      </w:r>
      <w:proofErr w:type="spellStart"/>
      <w:r w:rsidR="008669A9">
        <w:rPr>
          <w:i/>
          <w:sz w:val="28"/>
          <w:szCs w:val="28"/>
        </w:rPr>
        <w:t>moet</w:t>
      </w:r>
      <w:proofErr w:type="spellEnd"/>
      <w:r w:rsidR="008669A9">
        <w:rPr>
          <w:i/>
          <w:sz w:val="28"/>
          <w:szCs w:val="28"/>
        </w:rPr>
        <w:t xml:space="preserve"> as ‘n </w:t>
      </w:r>
      <w:proofErr w:type="spellStart"/>
      <w:r w:rsidR="008669A9">
        <w:rPr>
          <w:i/>
          <w:sz w:val="28"/>
          <w:szCs w:val="28"/>
        </w:rPr>
        <w:t>algemene</w:t>
      </w:r>
      <w:proofErr w:type="spellEnd"/>
      <w:r w:rsidR="008669A9">
        <w:rPr>
          <w:i/>
          <w:sz w:val="28"/>
          <w:szCs w:val="28"/>
        </w:rPr>
        <w:t xml:space="preserve"> stelling </w:t>
      </w:r>
      <w:proofErr w:type="spellStart"/>
      <w:r w:rsidR="008669A9">
        <w:rPr>
          <w:i/>
          <w:sz w:val="28"/>
          <w:szCs w:val="28"/>
        </w:rPr>
        <w:t>aanvaar</w:t>
      </w:r>
      <w:proofErr w:type="spellEnd"/>
      <w:r w:rsidR="008669A9">
        <w:rPr>
          <w:i/>
          <w:sz w:val="28"/>
          <w:szCs w:val="28"/>
        </w:rPr>
        <w:t xml:space="preserve"> word </w:t>
      </w:r>
      <w:proofErr w:type="spellStart"/>
      <w:r w:rsidR="008669A9">
        <w:rPr>
          <w:i/>
          <w:sz w:val="28"/>
          <w:szCs w:val="28"/>
        </w:rPr>
        <w:t>dat</w:t>
      </w:r>
      <w:proofErr w:type="spellEnd"/>
      <w:r w:rsidR="008669A9">
        <w:rPr>
          <w:i/>
          <w:sz w:val="28"/>
          <w:szCs w:val="28"/>
        </w:rPr>
        <w:t xml:space="preserve"> in die </w:t>
      </w:r>
      <w:proofErr w:type="spellStart"/>
      <w:r w:rsidR="008669A9">
        <w:rPr>
          <w:i/>
          <w:sz w:val="28"/>
          <w:szCs w:val="28"/>
        </w:rPr>
        <w:t>geval</w:t>
      </w:r>
      <w:proofErr w:type="spellEnd"/>
      <w:r w:rsidR="008669A9">
        <w:rPr>
          <w:i/>
          <w:sz w:val="28"/>
          <w:szCs w:val="28"/>
        </w:rPr>
        <w:t xml:space="preserve"> van ‘m </w:t>
      </w:r>
      <w:proofErr w:type="spellStart"/>
      <w:r w:rsidR="008669A9">
        <w:rPr>
          <w:i/>
          <w:sz w:val="28"/>
          <w:szCs w:val="28"/>
        </w:rPr>
        <w:t>opdrag</w:t>
      </w:r>
      <w:proofErr w:type="spellEnd"/>
      <w:r w:rsidR="008669A9">
        <w:rPr>
          <w:i/>
          <w:sz w:val="28"/>
          <w:szCs w:val="28"/>
        </w:rPr>
        <w:t xml:space="preserve"> om ‘n </w:t>
      </w:r>
      <w:proofErr w:type="spellStart"/>
      <w:r w:rsidR="008669A9">
        <w:rPr>
          <w:i/>
          <w:sz w:val="28"/>
          <w:szCs w:val="28"/>
        </w:rPr>
        <w:t>koper</w:t>
      </w:r>
      <w:proofErr w:type="spellEnd"/>
      <w:r w:rsidR="008669A9">
        <w:rPr>
          <w:i/>
          <w:sz w:val="28"/>
          <w:szCs w:val="28"/>
        </w:rPr>
        <w:t xml:space="preserve"> </w:t>
      </w:r>
      <w:proofErr w:type="spellStart"/>
      <w:r w:rsidR="008669A9">
        <w:rPr>
          <w:i/>
          <w:sz w:val="28"/>
          <w:szCs w:val="28"/>
        </w:rPr>
        <w:t>te</w:t>
      </w:r>
      <w:proofErr w:type="spellEnd"/>
      <w:r w:rsidR="008669A9">
        <w:rPr>
          <w:i/>
          <w:sz w:val="28"/>
          <w:szCs w:val="28"/>
        </w:rPr>
        <w:t xml:space="preserve"> </w:t>
      </w:r>
      <w:proofErr w:type="spellStart"/>
      <w:r w:rsidR="008669A9">
        <w:rPr>
          <w:i/>
          <w:sz w:val="28"/>
          <w:szCs w:val="28"/>
        </w:rPr>
        <w:t>vind</w:t>
      </w:r>
      <w:proofErr w:type="spellEnd"/>
      <w:r w:rsidR="008669A9">
        <w:rPr>
          <w:i/>
          <w:sz w:val="28"/>
          <w:szCs w:val="28"/>
        </w:rPr>
        <w:t xml:space="preserve">, die </w:t>
      </w:r>
      <w:proofErr w:type="spellStart"/>
      <w:r w:rsidR="008669A9">
        <w:rPr>
          <w:i/>
          <w:sz w:val="28"/>
          <w:szCs w:val="28"/>
        </w:rPr>
        <w:t>voltooiing</w:t>
      </w:r>
      <w:proofErr w:type="spellEnd"/>
      <w:r w:rsidR="008669A9">
        <w:rPr>
          <w:i/>
          <w:sz w:val="28"/>
          <w:szCs w:val="28"/>
        </w:rPr>
        <w:t xml:space="preserve"> van ‘n </w:t>
      </w:r>
      <w:proofErr w:type="spellStart"/>
      <w:r w:rsidR="008669A9">
        <w:rPr>
          <w:i/>
          <w:sz w:val="28"/>
          <w:szCs w:val="28"/>
        </w:rPr>
        <w:t>geldige</w:t>
      </w:r>
      <w:proofErr w:type="spellEnd"/>
      <w:r w:rsidR="008669A9">
        <w:rPr>
          <w:i/>
          <w:sz w:val="28"/>
          <w:szCs w:val="28"/>
        </w:rPr>
        <w:t xml:space="preserve"> </w:t>
      </w:r>
      <w:proofErr w:type="spellStart"/>
      <w:r w:rsidR="008669A9">
        <w:rPr>
          <w:i/>
          <w:sz w:val="28"/>
          <w:szCs w:val="28"/>
        </w:rPr>
        <w:t>koop</w:t>
      </w:r>
      <w:proofErr w:type="spellEnd"/>
      <w:r w:rsidR="008669A9">
        <w:rPr>
          <w:i/>
          <w:sz w:val="28"/>
          <w:szCs w:val="28"/>
        </w:rPr>
        <w:t xml:space="preserve"> die </w:t>
      </w:r>
      <w:proofErr w:type="spellStart"/>
      <w:r w:rsidR="008669A9">
        <w:rPr>
          <w:i/>
          <w:sz w:val="28"/>
          <w:szCs w:val="28"/>
        </w:rPr>
        <w:t>gebeurtenis</w:t>
      </w:r>
      <w:proofErr w:type="spellEnd"/>
      <w:r w:rsidR="008669A9">
        <w:rPr>
          <w:i/>
          <w:sz w:val="28"/>
          <w:szCs w:val="28"/>
        </w:rPr>
        <w:t xml:space="preserve"> is </w:t>
      </w:r>
      <w:proofErr w:type="spellStart"/>
      <w:r w:rsidR="008669A9">
        <w:rPr>
          <w:i/>
          <w:sz w:val="28"/>
          <w:szCs w:val="28"/>
        </w:rPr>
        <w:t>waarop</w:t>
      </w:r>
      <w:proofErr w:type="spellEnd"/>
      <w:r w:rsidR="008669A9">
        <w:rPr>
          <w:i/>
          <w:sz w:val="28"/>
          <w:szCs w:val="28"/>
        </w:rPr>
        <w:t xml:space="preserve"> die </w:t>
      </w:r>
      <w:proofErr w:type="spellStart"/>
      <w:r w:rsidR="008669A9">
        <w:rPr>
          <w:i/>
          <w:sz w:val="28"/>
          <w:szCs w:val="28"/>
        </w:rPr>
        <w:t>agentekommissie</w:t>
      </w:r>
      <w:proofErr w:type="spellEnd"/>
      <w:r w:rsidR="008669A9">
        <w:rPr>
          <w:i/>
          <w:sz w:val="28"/>
          <w:szCs w:val="28"/>
        </w:rPr>
        <w:t xml:space="preserve"> </w:t>
      </w:r>
      <w:proofErr w:type="spellStart"/>
      <w:r w:rsidR="008669A9">
        <w:rPr>
          <w:i/>
          <w:sz w:val="28"/>
          <w:szCs w:val="28"/>
        </w:rPr>
        <w:t>betaalbaar</w:t>
      </w:r>
      <w:proofErr w:type="spellEnd"/>
      <w:r w:rsidR="008669A9">
        <w:rPr>
          <w:i/>
          <w:sz w:val="28"/>
          <w:szCs w:val="28"/>
        </w:rPr>
        <w:t xml:space="preserve"> is, </w:t>
      </w:r>
      <w:proofErr w:type="spellStart"/>
      <w:r w:rsidR="008669A9">
        <w:rPr>
          <w:i/>
          <w:sz w:val="28"/>
          <w:szCs w:val="28"/>
        </w:rPr>
        <w:t>tensy</w:t>
      </w:r>
      <w:proofErr w:type="spellEnd"/>
      <w:r w:rsidR="008669A9">
        <w:rPr>
          <w:i/>
          <w:sz w:val="28"/>
          <w:szCs w:val="28"/>
        </w:rPr>
        <w:t xml:space="preserve"> </w:t>
      </w:r>
      <w:proofErr w:type="spellStart"/>
      <w:r w:rsidR="008669A9">
        <w:rPr>
          <w:i/>
          <w:sz w:val="28"/>
          <w:szCs w:val="28"/>
        </w:rPr>
        <w:t>bykomstige</w:t>
      </w:r>
      <w:proofErr w:type="spellEnd"/>
      <w:r w:rsidR="008669A9">
        <w:rPr>
          <w:i/>
          <w:sz w:val="28"/>
          <w:szCs w:val="28"/>
        </w:rPr>
        <w:t xml:space="preserve"> </w:t>
      </w:r>
      <w:proofErr w:type="spellStart"/>
      <w:r w:rsidR="008669A9">
        <w:rPr>
          <w:i/>
          <w:sz w:val="28"/>
          <w:szCs w:val="28"/>
        </w:rPr>
        <w:t>oorwegings</w:t>
      </w:r>
      <w:proofErr w:type="spellEnd"/>
      <w:r w:rsidR="008669A9">
        <w:rPr>
          <w:i/>
          <w:sz w:val="28"/>
          <w:szCs w:val="28"/>
        </w:rPr>
        <w:t xml:space="preserve"> </w:t>
      </w:r>
      <w:proofErr w:type="spellStart"/>
      <w:r w:rsidR="008669A9">
        <w:rPr>
          <w:i/>
          <w:sz w:val="28"/>
          <w:szCs w:val="28"/>
        </w:rPr>
        <w:t>tot</w:t>
      </w:r>
      <w:proofErr w:type="spellEnd"/>
      <w:r w:rsidR="008669A9">
        <w:rPr>
          <w:i/>
          <w:sz w:val="28"/>
          <w:szCs w:val="28"/>
        </w:rPr>
        <w:t xml:space="preserve"> die </w:t>
      </w:r>
      <w:proofErr w:type="spellStart"/>
      <w:r w:rsidR="008669A9">
        <w:rPr>
          <w:i/>
          <w:sz w:val="28"/>
          <w:szCs w:val="28"/>
        </w:rPr>
        <w:t>teendeel</w:t>
      </w:r>
      <w:proofErr w:type="spellEnd"/>
      <w:r w:rsidR="008669A9">
        <w:rPr>
          <w:i/>
          <w:sz w:val="28"/>
          <w:szCs w:val="28"/>
        </w:rPr>
        <w:t xml:space="preserve"> dui”. </w:t>
      </w:r>
      <w:r w:rsidR="008669A9">
        <w:rPr>
          <w:sz w:val="28"/>
          <w:szCs w:val="28"/>
        </w:rPr>
        <w:t>To try and rely on this does not aid the def</w:t>
      </w:r>
      <w:r w:rsidR="003A55EB">
        <w:rPr>
          <w:sz w:val="28"/>
          <w:szCs w:val="28"/>
        </w:rPr>
        <w:t xml:space="preserve">endant in view of </w:t>
      </w:r>
      <w:r w:rsidR="008669A9">
        <w:rPr>
          <w:sz w:val="28"/>
          <w:szCs w:val="28"/>
        </w:rPr>
        <w:t xml:space="preserve">clause 17 </w:t>
      </w:r>
      <w:r w:rsidR="008669A9">
        <w:rPr>
          <w:b/>
          <w:i/>
          <w:sz w:val="28"/>
          <w:szCs w:val="28"/>
        </w:rPr>
        <w:t xml:space="preserve">and </w:t>
      </w:r>
      <w:r w:rsidR="003A55EB">
        <w:rPr>
          <w:sz w:val="28"/>
          <w:szCs w:val="28"/>
        </w:rPr>
        <w:t xml:space="preserve">the </w:t>
      </w:r>
      <w:r w:rsidR="008669A9">
        <w:rPr>
          <w:sz w:val="28"/>
          <w:szCs w:val="28"/>
        </w:rPr>
        <w:t xml:space="preserve">express admissions </w:t>
      </w:r>
      <w:r w:rsidR="003A55EB">
        <w:rPr>
          <w:sz w:val="28"/>
          <w:szCs w:val="28"/>
        </w:rPr>
        <w:t xml:space="preserve">in the joint minute </w:t>
      </w:r>
      <w:r w:rsidR="008669A9">
        <w:rPr>
          <w:sz w:val="28"/>
          <w:szCs w:val="28"/>
        </w:rPr>
        <w:t xml:space="preserve">and evidence by Louw that there was nothing more for the plaintiff to do to earn commission. </w:t>
      </w:r>
      <w:r w:rsidR="00687BCE">
        <w:rPr>
          <w:sz w:val="28"/>
          <w:szCs w:val="28"/>
        </w:rPr>
        <w:t xml:space="preserve">She introduced an able and willing seller to the defendant and a written agreement was concluded between the defendant and the seller. The agreement also </w:t>
      </w:r>
      <w:proofErr w:type="gramStart"/>
      <w:r w:rsidR="00687BCE">
        <w:rPr>
          <w:sz w:val="28"/>
          <w:szCs w:val="28"/>
        </w:rPr>
        <w:t>differ</w:t>
      </w:r>
      <w:proofErr w:type="gramEnd"/>
      <w:r w:rsidR="00687BCE">
        <w:rPr>
          <w:sz w:val="28"/>
          <w:szCs w:val="28"/>
        </w:rPr>
        <w:t xml:space="preserve"> from the normal that where the seller is liable for commission but that the defendant unambiguously accepted liability for payment towards the plaintiff.</w:t>
      </w:r>
    </w:p>
    <w:p w14:paraId="0795750D" w14:textId="77777777" w:rsidR="00687BCE" w:rsidRPr="008669A9" w:rsidRDefault="00687BCE" w:rsidP="00CB6242">
      <w:pPr>
        <w:spacing w:before="240"/>
        <w:jc w:val="both"/>
        <w:rPr>
          <w:sz w:val="28"/>
          <w:szCs w:val="28"/>
        </w:rPr>
      </w:pPr>
    </w:p>
    <w:p w14:paraId="0BB820C2" w14:textId="77777777" w:rsidR="008669A9" w:rsidRDefault="00C51704" w:rsidP="00CB6242">
      <w:pPr>
        <w:spacing w:before="240"/>
        <w:jc w:val="both"/>
        <w:rPr>
          <w:sz w:val="28"/>
          <w:szCs w:val="28"/>
        </w:rPr>
      </w:pPr>
      <w:r>
        <w:rPr>
          <w:sz w:val="28"/>
          <w:szCs w:val="28"/>
        </w:rPr>
        <w:lastRenderedPageBreak/>
        <w:t>[20</w:t>
      </w:r>
      <w:r w:rsidR="00687BCE">
        <w:rPr>
          <w:sz w:val="28"/>
          <w:szCs w:val="28"/>
        </w:rPr>
        <w:t xml:space="preserve">] The defendant elected not to proceed with the transaction </w:t>
      </w:r>
      <w:r w:rsidR="0008216D">
        <w:rPr>
          <w:sz w:val="28"/>
          <w:szCs w:val="28"/>
        </w:rPr>
        <w:t xml:space="preserve">as indicated </w:t>
      </w:r>
      <w:r w:rsidR="00687BCE">
        <w:rPr>
          <w:sz w:val="28"/>
          <w:szCs w:val="28"/>
        </w:rPr>
        <w:t>in the letter by Louw on 2 May 2020. Louw was of the view that this election would free the defendant from i</w:t>
      </w:r>
      <w:r w:rsidR="0008216D">
        <w:rPr>
          <w:sz w:val="28"/>
          <w:szCs w:val="28"/>
        </w:rPr>
        <w:t xml:space="preserve">ts </w:t>
      </w:r>
      <w:r w:rsidR="003A55EB">
        <w:rPr>
          <w:sz w:val="28"/>
          <w:szCs w:val="28"/>
        </w:rPr>
        <w:t>c</w:t>
      </w:r>
      <w:r w:rsidR="00687BCE">
        <w:rPr>
          <w:sz w:val="28"/>
          <w:szCs w:val="28"/>
        </w:rPr>
        <w:t>ontractual obligation towards the plaintiff although he conceded during evidence that the defendant at the time of the agreement was concluded</w:t>
      </w:r>
      <w:r w:rsidR="003A55EB">
        <w:rPr>
          <w:sz w:val="28"/>
          <w:szCs w:val="28"/>
        </w:rPr>
        <w:t>,</w:t>
      </w:r>
      <w:r w:rsidR="00687BCE">
        <w:rPr>
          <w:sz w:val="28"/>
          <w:szCs w:val="28"/>
        </w:rPr>
        <w:t xml:space="preserve"> not only willing and able to buy, but also eager to buy</w:t>
      </w:r>
      <w:r w:rsidR="0008216D">
        <w:rPr>
          <w:sz w:val="28"/>
          <w:szCs w:val="28"/>
        </w:rPr>
        <w:t xml:space="preserve">. </w:t>
      </w:r>
    </w:p>
    <w:p w14:paraId="31CD6C53" w14:textId="77777777" w:rsidR="0008216D" w:rsidRDefault="0008216D" w:rsidP="00CB6242">
      <w:pPr>
        <w:spacing w:before="240"/>
        <w:jc w:val="both"/>
        <w:rPr>
          <w:sz w:val="28"/>
          <w:szCs w:val="28"/>
        </w:rPr>
      </w:pPr>
    </w:p>
    <w:p w14:paraId="30C16852" w14:textId="77777777" w:rsidR="0008216D" w:rsidRPr="0008216D" w:rsidRDefault="00C51704" w:rsidP="00CB6242">
      <w:pPr>
        <w:spacing w:before="240"/>
        <w:jc w:val="both"/>
        <w:rPr>
          <w:sz w:val="28"/>
          <w:szCs w:val="28"/>
        </w:rPr>
      </w:pPr>
      <w:r>
        <w:rPr>
          <w:sz w:val="28"/>
          <w:szCs w:val="28"/>
        </w:rPr>
        <w:t>[21</w:t>
      </w:r>
      <w:r w:rsidR="0008216D">
        <w:rPr>
          <w:sz w:val="28"/>
          <w:szCs w:val="28"/>
        </w:rPr>
        <w:t>] Viljoen conceded in his E-mail dated 1 November 2020 to the plaintiff “</w:t>
      </w:r>
      <w:r w:rsidR="0008216D">
        <w:rPr>
          <w:i/>
          <w:sz w:val="28"/>
          <w:szCs w:val="28"/>
        </w:rPr>
        <w:t xml:space="preserve">Jou </w:t>
      </w:r>
      <w:proofErr w:type="spellStart"/>
      <w:r w:rsidR="0008216D">
        <w:rPr>
          <w:i/>
          <w:sz w:val="28"/>
          <w:szCs w:val="28"/>
        </w:rPr>
        <w:t>werk</w:t>
      </w:r>
      <w:proofErr w:type="spellEnd"/>
      <w:r w:rsidR="0008216D">
        <w:rPr>
          <w:i/>
          <w:sz w:val="28"/>
          <w:szCs w:val="28"/>
        </w:rPr>
        <w:t xml:space="preserve"> is </w:t>
      </w:r>
      <w:proofErr w:type="spellStart"/>
      <w:r w:rsidR="0008216D">
        <w:rPr>
          <w:i/>
          <w:sz w:val="28"/>
          <w:szCs w:val="28"/>
        </w:rPr>
        <w:t>klaar</w:t>
      </w:r>
      <w:proofErr w:type="spellEnd"/>
      <w:r w:rsidR="0008216D">
        <w:rPr>
          <w:i/>
          <w:sz w:val="28"/>
          <w:szCs w:val="28"/>
        </w:rPr>
        <w:t xml:space="preserve">…”. </w:t>
      </w:r>
      <w:r w:rsidR="0008216D">
        <w:rPr>
          <w:sz w:val="28"/>
          <w:szCs w:val="28"/>
        </w:rPr>
        <w:t xml:space="preserve">The only logical inference to be made is that </w:t>
      </w:r>
      <w:r w:rsidR="003A55EB">
        <w:rPr>
          <w:sz w:val="28"/>
          <w:szCs w:val="28"/>
        </w:rPr>
        <w:t xml:space="preserve">as </w:t>
      </w:r>
      <w:r w:rsidR="0008216D">
        <w:rPr>
          <w:sz w:val="28"/>
          <w:szCs w:val="28"/>
        </w:rPr>
        <w:t xml:space="preserve">far as the plaintiff is concerned regarding the </w:t>
      </w:r>
      <w:proofErr w:type="spellStart"/>
      <w:r w:rsidR="0008216D">
        <w:rPr>
          <w:sz w:val="28"/>
          <w:szCs w:val="28"/>
        </w:rPr>
        <w:t>Brawild</w:t>
      </w:r>
      <w:proofErr w:type="spellEnd"/>
      <w:r w:rsidR="0008216D">
        <w:rPr>
          <w:sz w:val="28"/>
          <w:szCs w:val="28"/>
        </w:rPr>
        <w:t>-property</w:t>
      </w:r>
      <w:r w:rsidR="003A55EB">
        <w:rPr>
          <w:sz w:val="28"/>
          <w:szCs w:val="28"/>
        </w:rPr>
        <w:t xml:space="preserve">, </w:t>
      </w:r>
      <w:r w:rsidR="0008216D">
        <w:rPr>
          <w:sz w:val="28"/>
          <w:szCs w:val="28"/>
        </w:rPr>
        <w:t>she has executed her mandate.</w:t>
      </w:r>
      <w:r w:rsidR="003A55EB">
        <w:rPr>
          <w:sz w:val="28"/>
          <w:szCs w:val="28"/>
        </w:rPr>
        <w:t xml:space="preserve"> This is unambiguous and according to Louw’s evidence, entitles her to commission.</w:t>
      </w:r>
    </w:p>
    <w:p w14:paraId="06CBE62A" w14:textId="77777777" w:rsidR="00C51704" w:rsidRDefault="00C51704" w:rsidP="00CB6242">
      <w:pPr>
        <w:spacing w:before="240"/>
        <w:jc w:val="both"/>
        <w:rPr>
          <w:sz w:val="28"/>
          <w:szCs w:val="28"/>
        </w:rPr>
      </w:pPr>
    </w:p>
    <w:p w14:paraId="57497A9A" w14:textId="77777777" w:rsidR="00C51704" w:rsidRDefault="00C51704" w:rsidP="00CB6242">
      <w:pPr>
        <w:spacing w:before="240"/>
        <w:jc w:val="both"/>
        <w:rPr>
          <w:sz w:val="28"/>
          <w:szCs w:val="28"/>
        </w:rPr>
      </w:pPr>
      <w:r>
        <w:rPr>
          <w:sz w:val="28"/>
          <w:szCs w:val="28"/>
        </w:rPr>
        <w:t xml:space="preserve">[22] After considering all the evidence and the documents and pleadings on </w:t>
      </w:r>
      <w:proofErr w:type="spellStart"/>
      <w:r>
        <w:rPr>
          <w:sz w:val="28"/>
          <w:szCs w:val="28"/>
        </w:rPr>
        <w:t>CaseLines</w:t>
      </w:r>
      <w:proofErr w:type="spellEnd"/>
      <w:r>
        <w:rPr>
          <w:sz w:val="28"/>
          <w:szCs w:val="28"/>
        </w:rPr>
        <w:t>, I am of the view that the version of the plaintiff is preferred and that the defendants’ witnesses tried to enfold their evidence to the circumstances.</w:t>
      </w:r>
      <w:r w:rsidR="003A55EB">
        <w:rPr>
          <w:sz w:val="28"/>
          <w:szCs w:val="28"/>
        </w:rPr>
        <w:t xml:space="preserve"> The </w:t>
      </w:r>
      <w:r>
        <w:rPr>
          <w:sz w:val="28"/>
          <w:szCs w:val="28"/>
        </w:rPr>
        <w:t xml:space="preserve">attempt to rely on a tacit and/or implied term was unsuccessful.  After weighing both </w:t>
      </w:r>
      <w:proofErr w:type="gramStart"/>
      <w:r>
        <w:rPr>
          <w:sz w:val="28"/>
          <w:szCs w:val="28"/>
        </w:rPr>
        <w:t>versions</w:t>
      </w:r>
      <w:proofErr w:type="gramEnd"/>
      <w:r>
        <w:rPr>
          <w:sz w:val="28"/>
          <w:szCs w:val="28"/>
        </w:rPr>
        <w:t xml:space="preserve"> I am of the view that the defendant’ version cannot fly. This version should be </w:t>
      </w:r>
      <w:proofErr w:type="gramStart"/>
      <w:r>
        <w:rPr>
          <w:sz w:val="28"/>
          <w:szCs w:val="28"/>
        </w:rPr>
        <w:t>rejected</w:t>
      </w:r>
      <w:proofErr w:type="gramEnd"/>
      <w:r>
        <w:rPr>
          <w:sz w:val="28"/>
          <w:szCs w:val="28"/>
        </w:rPr>
        <w:t xml:space="preserve"> and I find in favour of the plaintiff.</w:t>
      </w:r>
    </w:p>
    <w:p w14:paraId="38F13944" w14:textId="77777777" w:rsidR="00C51704" w:rsidRDefault="00C51704" w:rsidP="00CB6242">
      <w:pPr>
        <w:spacing w:before="240"/>
        <w:jc w:val="both"/>
        <w:rPr>
          <w:sz w:val="28"/>
          <w:szCs w:val="28"/>
        </w:rPr>
      </w:pPr>
    </w:p>
    <w:p w14:paraId="192EBEF2" w14:textId="77777777" w:rsidR="007B5F3E" w:rsidRDefault="008669A9" w:rsidP="00CB6242">
      <w:pPr>
        <w:spacing w:before="240"/>
        <w:jc w:val="both"/>
        <w:rPr>
          <w:b/>
          <w:sz w:val="28"/>
          <w:szCs w:val="28"/>
        </w:rPr>
      </w:pPr>
      <w:r>
        <w:rPr>
          <w:sz w:val="28"/>
          <w:szCs w:val="28"/>
        </w:rPr>
        <w:t xml:space="preserve"> </w:t>
      </w:r>
      <w:r w:rsidR="007B5F3E">
        <w:rPr>
          <w:b/>
          <w:sz w:val="28"/>
          <w:szCs w:val="28"/>
        </w:rPr>
        <w:t>COSTS:</w:t>
      </w:r>
    </w:p>
    <w:p w14:paraId="31600A34" w14:textId="77777777" w:rsidR="007B5F3E" w:rsidRDefault="007B5F3E" w:rsidP="00CB6242">
      <w:pPr>
        <w:spacing w:before="240"/>
        <w:jc w:val="both"/>
        <w:rPr>
          <w:b/>
          <w:sz w:val="28"/>
          <w:szCs w:val="28"/>
        </w:rPr>
      </w:pPr>
    </w:p>
    <w:p w14:paraId="4C7440E3" w14:textId="77777777" w:rsidR="007B5F3E" w:rsidRPr="003B5FB3" w:rsidRDefault="007B5F3E" w:rsidP="00CB6242">
      <w:pPr>
        <w:spacing w:before="240"/>
        <w:jc w:val="both"/>
        <w:rPr>
          <w:b/>
          <w:sz w:val="28"/>
          <w:szCs w:val="28"/>
        </w:rPr>
      </w:pPr>
      <w:r>
        <w:rPr>
          <w:sz w:val="28"/>
          <w:szCs w:val="28"/>
        </w:rPr>
        <w:t xml:space="preserve">[23] The awarding of costs is within the discretion of the presiding officer. </w:t>
      </w:r>
      <w:r w:rsidR="003B5FB3">
        <w:rPr>
          <w:b/>
          <w:sz w:val="28"/>
          <w:szCs w:val="28"/>
        </w:rPr>
        <w:t xml:space="preserve">Fripp v Gibbon &amp; Co 1913 AD 354. </w:t>
      </w:r>
      <w:r>
        <w:rPr>
          <w:sz w:val="28"/>
          <w:szCs w:val="28"/>
        </w:rPr>
        <w:t xml:space="preserve">It is also the rule that costs follow success unless specific circumstances prevail to deviate from the normal rule that costs </w:t>
      </w:r>
      <w:proofErr w:type="gramStart"/>
      <w:r>
        <w:rPr>
          <w:sz w:val="28"/>
          <w:szCs w:val="28"/>
        </w:rPr>
        <w:t>follows</w:t>
      </w:r>
      <w:proofErr w:type="gramEnd"/>
      <w:r>
        <w:rPr>
          <w:sz w:val="28"/>
          <w:szCs w:val="28"/>
        </w:rPr>
        <w:t xml:space="preserve"> success. The purpose of an award of costs to a successful litigant is to indemnify the party for the expense to which he has been put by the other party to litigate or defend an action. </w:t>
      </w:r>
      <w:r>
        <w:rPr>
          <w:b/>
          <w:sz w:val="28"/>
          <w:szCs w:val="28"/>
        </w:rPr>
        <w:t xml:space="preserve">Texas Co (SA) Ltd V Cape Town </w:t>
      </w:r>
      <w:r>
        <w:rPr>
          <w:b/>
          <w:sz w:val="28"/>
          <w:szCs w:val="28"/>
        </w:rPr>
        <w:lastRenderedPageBreak/>
        <w:t xml:space="preserve">Municipality 1926 AD 467 at 488. </w:t>
      </w:r>
      <w:r w:rsidR="003B5FB3">
        <w:rPr>
          <w:sz w:val="28"/>
          <w:szCs w:val="28"/>
        </w:rPr>
        <w:t xml:space="preserve">See </w:t>
      </w:r>
      <w:r w:rsidR="003B5FB3">
        <w:rPr>
          <w:b/>
          <w:sz w:val="28"/>
          <w:szCs w:val="28"/>
        </w:rPr>
        <w:t xml:space="preserve">Herbstein &amp; Van </w:t>
      </w:r>
      <w:proofErr w:type="spellStart"/>
      <w:r w:rsidR="003B5FB3">
        <w:rPr>
          <w:b/>
          <w:sz w:val="28"/>
          <w:szCs w:val="28"/>
        </w:rPr>
        <w:t>Winsen</w:t>
      </w:r>
      <w:proofErr w:type="spellEnd"/>
      <w:r w:rsidR="003B5FB3">
        <w:rPr>
          <w:b/>
          <w:sz w:val="28"/>
          <w:szCs w:val="28"/>
        </w:rPr>
        <w:t>, Civil Practice of the Supreme Court of South Africa 4</w:t>
      </w:r>
      <w:r w:rsidR="003B5FB3" w:rsidRPr="003B5FB3">
        <w:rPr>
          <w:b/>
          <w:sz w:val="28"/>
          <w:szCs w:val="28"/>
          <w:vertAlign w:val="superscript"/>
        </w:rPr>
        <w:t>th</w:t>
      </w:r>
      <w:r w:rsidR="003B5FB3">
        <w:rPr>
          <w:b/>
          <w:sz w:val="28"/>
          <w:szCs w:val="28"/>
        </w:rPr>
        <w:t xml:space="preserve"> ed p 703.</w:t>
      </w:r>
    </w:p>
    <w:p w14:paraId="22EA0FB2" w14:textId="77777777" w:rsidR="007B5F3E" w:rsidRDefault="007B5F3E" w:rsidP="00CB6242">
      <w:pPr>
        <w:spacing w:before="240"/>
        <w:jc w:val="both"/>
        <w:rPr>
          <w:sz w:val="28"/>
          <w:szCs w:val="28"/>
        </w:rPr>
      </w:pPr>
    </w:p>
    <w:p w14:paraId="0868E13B" w14:textId="77777777" w:rsidR="007B5F3E" w:rsidRDefault="007B5F3E" w:rsidP="00CB6242">
      <w:pPr>
        <w:spacing w:before="240"/>
        <w:jc w:val="both"/>
        <w:rPr>
          <w:sz w:val="28"/>
          <w:szCs w:val="28"/>
        </w:rPr>
      </w:pPr>
      <w:r>
        <w:rPr>
          <w:sz w:val="28"/>
          <w:szCs w:val="28"/>
        </w:rPr>
        <w:t>[24] When considering a request for costs on a punitive scale (other than the normal part-and-party-scale), the court will consider various aspects in the conduct of the party against whom such order is sought.</w:t>
      </w:r>
    </w:p>
    <w:p w14:paraId="3A954570" w14:textId="77777777" w:rsidR="007B5F3E" w:rsidRDefault="007B5F3E" w:rsidP="00CB6242">
      <w:pPr>
        <w:spacing w:before="240"/>
        <w:jc w:val="both"/>
        <w:rPr>
          <w:sz w:val="28"/>
          <w:szCs w:val="28"/>
        </w:rPr>
      </w:pPr>
    </w:p>
    <w:p w14:paraId="0B95AB96" w14:textId="77777777" w:rsidR="003B5FB3" w:rsidRDefault="007B5F3E" w:rsidP="00CB6242">
      <w:pPr>
        <w:spacing w:before="240"/>
        <w:jc w:val="both"/>
        <w:rPr>
          <w:sz w:val="28"/>
          <w:szCs w:val="28"/>
        </w:rPr>
      </w:pPr>
      <w:r>
        <w:rPr>
          <w:sz w:val="28"/>
          <w:szCs w:val="28"/>
        </w:rPr>
        <w:t xml:space="preserve">[25] </w:t>
      </w:r>
      <w:r w:rsidR="003B5FB3">
        <w:rPr>
          <w:sz w:val="28"/>
          <w:szCs w:val="28"/>
        </w:rPr>
        <w:t xml:space="preserve">There is no reason to depart from the normal rule to award costs to the successful party, </w:t>
      </w:r>
      <w:proofErr w:type="spellStart"/>
      <w:r w:rsidR="003B5FB3">
        <w:rPr>
          <w:sz w:val="28"/>
          <w:szCs w:val="28"/>
        </w:rPr>
        <w:t>i</w:t>
      </w:r>
      <w:r w:rsidR="003A55EB">
        <w:rPr>
          <w:sz w:val="28"/>
          <w:szCs w:val="28"/>
        </w:rPr>
        <w:t>e</w:t>
      </w:r>
      <w:proofErr w:type="spellEnd"/>
      <w:r w:rsidR="003A55EB">
        <w:rPr>
          <w:sz w:val="28"/>
          <w:szCs w:val="28"/>
        </w:rPr>
        <w:t xml:space="preserve"> the plaintiff, in this matter but for the scale thereof.</w:t>
      </w:r>
      <w:r w:rsidR="003B5FB3">
        <w:rPr>
          <w:sz w:val="28"/>
          <w:szCs w:val="28"/>
        </w:rPr>
        <w:t xml:space="preserve"> </w:t>
      </w:r>
    </w:p>
    <w:p w14:paraId="07E4616D" w14:textId="77777777" w:rsidR="00C446ED" w:rsidRDefault="008669A9" w:rsidP="00CB6242">
      <w:pPr>
        <w:spacing w:before="240"/>
        <w:jc w:val="both"/>
        <w:rPr>
          <w:sz w:val="28"/>
          <w:szCs w:val="28"/>
        </w:rPr>
      </w:pPr>
      <w:r>
        <w:rPr>
          <w:i/>
          <w:sz w:val="28"/>
          <w:szCs w:val="28"/>
        </w:rPr>
        <w:t xml:space="preserve"> </w:t>
      </w:r>
      <w:r w:rsidR="00C446ED">
        <w:rPr>
          <w:sz w:val="28"/>
          <w:szCs w:val="28"/>
        </w:rPr>
        <w:t xml:space="preserve">    </w:t>
      </w:r>
    </w:p>
    <w:p w14:paraId="5F7A5475" w14:textId="77777777" w:rsidR="003B5FB3" w:rsidRDefault="003B5FB3" w:rsidP="00CB6242">
      <w:pPr>
        <w:spacing w:before="240"/>
        <w:jc w:val="both"/>
        <w:rPr>
          <w:sz w:val="28"/>
          <w:szCs w:val="28"/>
        </w:rPr>
      </w:pPr>
      <w:r>
        <w:rPr>
          <w:sz w:val="28"/>
          <w:szCs w:val="28"/>
        </w:rPr>
        <w:t>[26] I have considered the following</w:t>
      </w:r>
      <w:r>
        <w:rPr>
          <w:b/>
          <w:sz w:val="28"/>
          <w:szCs w:val="28"/>
        </w:rPr>
        <w:t xml:space="preserve"> </w:t>
      </w:r>
      <w:r>
        <w:rPr>
          <w:sz w:val="28"/>
          <w:szCs w:val="28"/>
        </w:rPr>
        <w:t xml:space="preserve">aspects to decide on the scale of the awarded costs; whether the conduct of the defendant was reasonable or not; can the conduct of the defendant be classified as </w:t>
      </w:r>
      <w:r w:rsidR="003A55EB">
        <w:rPr>
          <w:sz w:val="28"/>
          <w:szCs w:val="28"/>
        </w:rPr>
        <w:t xml:space="preserve">vexatious or not; </w:t>
      </w:r>
      <w:r>
        <w:rPr>
          <w:sz w:val="28"/>
          <w:szCs w:val="28"/>
        </w:rPr>
        <w:t>the circumstances of the matter from the outset coupled with</w:t>
      </w:r>
      <w:r w:rsidR="003A55EB">
        <w:rPr>
          <w:sz w:val="28"/>
          <w:szCs w:val="28"/>
        </w:rPr>
        <w:t xml:space="preserve"> the conduct of the defendant; </w:t>
      </w:r>
      <w:r>
        <w:rPr>
          <w:sz w:val="28"/>
          <w:szCs w:val="28"/>
        </w:rPr>
        <w:t xml:space="preserve">is there any moral considerations to consider </w:t>
      </w:r>
      <w:proofErr w:type="spellStart"/>
      <w:r>
        <w:rPr>
          <w:sz w:val="28"/>
          <w:szCs w:val="28"/>
        </w:rPr>
        <w:t>ie</w:t>
      </w:r>
      <w:proofErr w:type="spellEnd"/>
      <w:r>
        <w:rPr>
          <w:sz w:val="28"/>
          <w:szCs w:val="28"/>
        </w:rPr>
        <w:t xml:space="preserve"> the relationship between the parties, whether the defence taken was reasonable or mere to delay and frustrate the plaintiff. </w:t>
      </w:r>
      <w:r w:rsidR="003A55EB">
        <w:rPr>
          <w:sz w:val="28"/>
          <w:szCs w:val="28"/>
        </w:rPr>
        <w:t xml:space="preserve"> It is also to show the court’s displeasure with the </w:t>
      </w:r>
      <w:proofErr w:type="gramStart"/>
      <w:r w:rsidR="003A55EB">
        <w:rPr>
          <w:sz w:val="28"/>
          <w:szCs w:val="28"/>
        </w:rPr>
        <w:t>manner in which</w:t>
      </w:r>
      <w:proofErr w:type="gramEnd"/>
      <w:r w:rsidR="003A55EB">
        <w:rPr>
          <w:sz w:val="28"/>
          <w:szCs w:val="28"/>
        </w:rPr>
        <w:t xml:space="preserve"> the defendant litigated.</w:t>
      </w:r>
    </w:p>
    <w:p w14:paraId="7306FFBE" w14:textId="77777777" w:rsidR="003B5FB3" w:rsidRDefault="003B5FB3" w:rsidP="00CB6242">
      <w:pPr>
        <w:spacing w:before="240"/>
        <w:jc w:val="both"/>
        <w:rPr>
          <w:sz w:val="28"/>
          <w:szCs w:val="28"/>
        </w:rPr>
      </w:pPr>
    </w:p>
    <w:p w14:paraId="6E8E03CC" w14:textId="77777777" w:rsidR="00593E96" w:rsidRDefault="003B5FB3" w:rsidP="00CB6242">
      <w:pPr>
        <w:spacing w:before="240"/>
        <w:jc w:val="both"/>
        <w:rPr>
          <w:sz w:val="28"/>
          <w:szCs w:val="28"/>
        </w:rPr>
      </w:pPr>
      <w:r>
        <w:rPr>
          <w:sz w:val="28"/>
          <w:szCs w:val="28"/>
        </w:rPr>
        <w:t>[</w:t>
      </w:r>
      <w:proofErr w:type="gramStart"/>
      <w:r>
        <w:rPr>
          <w:sz w:val="28"/>
          <w:szCs w:val="28"/>
        </w:rPr>
        <w:t>27]The</w:t>
      </w:r>
      <w:proofErr w:type="gramEnd"/>
      <w:r>
        <w:rPr>
          <w:sz w:val="28"/>
          <w:szCs w:val="28"/>
        </w:rPr>
        <w:t xml:space="preserve"> letter addressed to the plaintiff on 13 October 2020 is a clear indication of the mindset of the defendant, in particular that of Louw. </w:t>
      </w:r>
      <w:r w:rsidR="00593E96">
        <w:rPr>
          <w:sz w:val="28"/>
          <w:szCs w:val="28"/>
        </w:rPr>
        <w:t>The defendant denies that the plaintiff was entitled on any commission despite what she did,</w:t>
      </w:r>
      <w:r>
        <w:rPr>
          <w:sz w:val="28"/>
          <w:szCs w:val="28"/>
        </w:rPr>
        <w:t xml:space="preserve"> </w:t>
      </w:r>
      <w:r w:rsidR="00593E96">
        <w:rPr>
          <w:sz w:val="28"/>
          <w:szCs w:val="28"/>
        </w:rPr>
        <w:t>the intention of Louw that the defendant will not pay any commission towards her and most important the threat to keep the plaintiff engaged in costly outdrawn litigation for extended period if she elects to litigate in contradistinction to accept the defendant’s proposal for her to forgo her claim in exchange for future mandates from the defendant. This borders on e</w:t>
      </w:r>
      <w:r w:rsidR="003A55EB">
        <w:rPr>
          <w:sz w:val="28"/>
          <w:szCs w:val="28"/>
        </w:rPr>
        <w:t>xtortion and cannot be allowed</w:t>
      </w:r>
      <w:r w:rsidR="00593E96">
        <w:rPr>
          <w:sz w:val="28"/>
          <w:szCs w:val="28"/>
        </w:rPr>
        <w:t xml:space="preserve">. This is an indication that Louw </w:t>
      </w:r>
      <w:proofErr w:type="gramStart"/>
      <w:r w:rsidR="00593E96">
        <w:rPr>
          <w:sz w:val="28"/>
          <w:szCs w:val="28"/>
        </w:rPr>
        <w:t>in particular is</w:t>
      </w:r>
      <w:proofErr w:type="gramEnd"/>
      <w:r w:rsidR="00593E96">
        <w:rPr>
          <w:sz w:val="28"/>
          <w:szCs w:val="28"/>
        </w:rPr>
        <w:t xml:space="preserve"> obsessed with power and will not hesitate to achieve what he wants. The court cannot sanction this conduct.</w:t>
      </w:r>
    </w:p>
    <w:p w14:paraId="593498FA" w14:textId="77777777" w:rsidR="00593E96" w:rsidRDefault="00593E96" w:rsidP="00CB6242">
      <w:pPr>
        <w:spacing w:before="240"/>
        <w:jc w:val="both"/>
        <w:rPr>
          <w:sz w:val="28"/>
          <w:szCs w:val="28"/>
        </w:rPr>
      </w:pPr>
    </w:p>
    <w:p w14:paraId="51DD9000" w14:textId="77777777" w:rsidR="00593E96" w:rsidRDefault="00593E96" w:rsidP="00CB6242">
      <w:pPr>
        <w:spacing w:before="240"/>
        <w:jc w:val="both"/>
        <w:rPr>
          <w:sz w:val="28"/>
          <w:szCs w:val="28"/>
        </w:rPr>
      </w:pPr>
      <w:r>
        <w:rPr>
          <w:sz w:val="28"/>
          <w:szCs w:val="28"/>
        </w:rPr>
        <w:t>[28] In view of the above, an order on an attorney and client scale is appropriate under the circumstances.</w:t>
      </w:r>
    </w:p>
    <w:p w14:paraId="3BEA4065" w14:textId="77777777" w:rsidR="00593E96" w:rsidRDefault="00593E96" w:rsidP="00CB6242">
      <w:pPr>
        <w:spacing w:before="240"/>
        <w:jc w:val="both"/>
        <w:rPr>
          <w:b/>
          <w:sz w:val="28"/>
          <w:szCs w:val="28"/>
        </w:rPr>
      </w:pPr>
      <w:r>
        <w:rPr>
          <w:b/>
          <w:sz w:val="28"/>
          <w:szCs w:val="28"/>
        </w:rPr>
        <w:t>ORDER:</w:t>
      </w:r>
    </w:p>
    <w:p w14:paraId="24B527DA" w14:textId="77777777" w:rsidR="00593E96" w:rsidRPr="00593E96" w:rsidRDefault="00593E96" w:rsidP="00CB6242">
      <w:pPr>
        <w:spacing w:before="240"/>
        <w:jc w:val="both"/>
        <w:rPr>
          <w:sz w:val="28"/>
          <w:szCs w:val="28"/>
        </w:rPr>
      </w:pPr>
    </w:p>
    <w:p w14:paraId="54C6A2C5" w14:textId="77777777" w:rsidR="00593E96" w:rsidRPr="00593E96" w:rsidRDefault="003A55EB" w:rsidP="00CB6242">
      <w:pPr>
        <w:spacing w:before="240"/>
        <w:jc w:val="both"/>
        <w:rPr>
          <w:sz w:val="28"/>
          <w:szCs w:val="28"/>
        </w:rPr>
      </w:pPr>
      <w:r>
        <w:rPr>
          <w:sz w:val="28"/>
          <w:szCs w:val="28"/>
        </w:rPr>
        <w:t>1.</w:t>
      </w:r>
      <w:r w:rsidR="00593E96" w:rsidRPr="00593E96">
        <w:rPr>
          <w:sz w:val="28"/>
          <w:szCs w:val="28"/>
        </w:rPr>
        <w:t xml:space="preserve"> The defendant is ordered to pay the plaintiff the amount of R </w:t>
      </w:r>
      <w:proofErr w:type="gramStart"/>
      <w:r w:rsidR="00593E96" w:rsidRPr="00593E96">
        <w:rPr>
          <w:sz w:val="28"/>
          <w:szCs w:val="28"/>
        </w:rPr>
        <w:t>450 000-00;</w:t>
      </w:r>
      <w:proofErr w:type="gramEnd"/>
    </w:p>
    <w:p w14:paraId="635F51D5" w14:textId="77777777" w:rsidR="00593E96" w:rsidRPr="00593E96" w:rsidRDefault="00593E96" w:rsidP="00CB6242">
      <w:pPr>
        <w:spacing w:before="240"/>
        <w:jc w:val="both"/>
        <w:rPr>
          <w:sz w:val="28"/>
          <w:szCs w:val="28"/>
        </w:rPr>
      </w:pPr>
    </w:p>
    <w:p w14:paraId="5AD3324B" w14:textId="77777777" w:rsidR="00593E96" w:rsidRPr="00593E96" w:rsidRDefault="00593E96" w:rsidP="00CB6242">
      <w:pPr>
        <w:spacing w:before="240"/>
        <w:jc w:val="both"/>
        <w:rPr>
          <w:sz w:val="28"/>
          <w:szCs w:val="28"/>
        </w:rPr>
      </w:pPr>
      <w:r w:rsidRPr="00593E96">
        <w:rPr>
          <w:sz w:val="28"/>
          <w:szCs w:val="28"/>
        </w:rPr>
        <w:t>2. The defendant is to pay interest of the amount of R 450 000-</w:t>
      </w:r>
      <w:r w:rsidR="00EE6F88">
        <w:rPr>
          <w:sz w:val="28"/>
          <w:szCs w:val="28"/>
        </w:rPr>
        <w:t>00</w:t>
      </w:r>
      <w:r w:rsidR="00BF5A5A">
        <w:rPr>
          <w:sz w:val="28"/>
          <w:szCs w:val="28"/>
        </w:rPr>
        <w:t xml:space="preserve"> at the statutory prescribed</w:t>
      </w:r>
      <w:r w:rsidRPr="00593E96">
        <w:rPr>
          <w:sz w:val="28"/>
          <w:szCs w:val="28"/>
        </w:rPr>
        <w:t xml:space="preserve"> rate for 13 October 2020 to date of final payment.</w:t>
      </w:r>
    </w:p>
    <w:p w14:paraId="733D3FE2" w14:textId="77777777" w:rsidR="00593E96" w:rsidRPr="00593E96" w:rsidRDefault="00593E96" w:rsidP="00CB6242">
      <w:pPr>
        <w:spacing w:before="240"/>
        <w:jc w:val="both"/>
        <w:rPr>
          <w:sz w:val="28"/>
          <w:szCs w:val="28"/>
        </w:rPr>
      </w:pPr>
    </w:p>
    <w:p w14:paraId="0FC8BCBD" w14:textId="77777777" w:rsidR="003B5FB3" w:rsidRDefault="00593E96" w:rsidP="00CB6242">
      <w:pPr>
        <w:spacing w:before="240"/>
        <w:jc w:val="both"/>
        <w:rPr>
          <w:sz w:val="28"/>
          <w:szCs w:val="28"/>
        </w:rPr>
      </w:pPr>
      <w:r w:rsidRPr="00593E96">
        <w:rPr>
          <w:sz w:val="28"/>
          <w:szCs w:val="28"/>
        </w:rPr>
        <w:t xml:space="preserve">3. The defendant is to pay the costs of suit, such costs to include the employment of senior counsel and to be taxed on an attorney and client scale. </w:t>
      </w:r>
    </w:p>
    <w:p w14:paraId="22FD470C" w14:textId="77777777" w:rsidR="00703EE5" w:rsidRDefault="00703EE5" w:rsidP="00CB6242">
      <w:pPr>
        <w:spacing w:before="240"/>
        <w:jc w:val="both"/>
        <w:rPr>
          <w:sz w:val="28"/>
          <w:szCs w:val="28"/>
        </w:rPr>
      </w:pPr>
      <w:r>
        <w:rPr>
          <w:sz w:val="28"/>
          <w:szCs w:val="28"/>
        </w:rPr>
        <w:tab/>
      </w:r>
      <w:r>
        <w:rPr>
          <w:sz w:val="28"/>
          <w:szCs w:val="28"/>
        </w:rPr>
        <w:tab/>
      </w:r>
      <w:r>
        <w:rPr>
          <w:sz w:val="28"/>
          <w:szCs w:val="28"/>
        </w:rPr>
        <w:tab/>
      </w:r>
      <w:r>
        <w:rPr>
          <w:sz w:val="28"/>
          <w:szCs w:val="28"/>
        </w:rPr>
        <w:tab/>
      </w:r>
    </w:p>
    <w:p w14:paraId="699B6D86" w14:textId="77777777" w:rsidR="00BF5A5A" w:rsidRPr="00035060" w:rsidRDefault="00BF5A5A" w:rsidP="00CB6242">
      <w:pPr>
        <w:spacing w:before="240"/>
        <w:jc w:val="both"/>
        <w:rPr>
          <w:sz w:val="28"/>
          <w:szCs w:val="28"/>
          <w:u w:val="single"/>
        </w:rPr>
      </w:pPr>
      <w:r>
        <w:rPr>
          <w:sz w:val="28"/>
          <w:szCs w:val="28"/>
        </w:rPr>
        <w:t xml:space="preserve">                                                                          </w:t>
      </w:r>
      <w:r w:rsidR="00035060">
        <w:rPr>
          <w:sz w:val="28"/>
          <w:szCs w:val="28"/>
          <w:u w:val="single"/>
        </w:rPr>
        <w:t>(Signed: J HOLLAND-MUTER)</w:t>
      </w:r>
    </w:p>
    <w:p w14:paraId="0AC5A98A" w14:textId="77777777" w:rsidR="00BF5A5A" w:rsidRDefault="00BF5A5A" w:rsidP="00CB6242">
      <w:pPr>
        <w:spacing w:before="240"/>
        <w:jc w:val="both"/>
        <w:rPr>
          <w:sz w:val="28"/>
          <w:szCs w:val="28"/>
        </w:rPr>
      </w:pPr>
      <w:r>
        <w:rPr>
          <w:sz w:val="28"/>
          <w:szCs w:val="28"/>
        </w:rPr>
        <w:t xml:space="preserve">                                                                           HOLLAND-MUTER J</w:t>
      </w:r>
    </w:p>
    <w:p w14:paraId="5C05D046" w14:textId="77777777" w:rsidR="00BF5A5A" w:rsidRDefault="00BF5A5A" w:rsidP="00CB6242">
      <w:pPr>
        <w:spacing w:before="240"/>
        <w:jc w:val="both"/>
        <w:rPr>
          <w:sz w:val="28"/>
          <w:szCs w:val="28"/>
        </w:rPr>
      </w:pPr>
      <w:r>
        <w:rPr>
          <w:sz w:val="28"/>
          <w:szCs w:val="28"/>
        </w:rPr>
        <w:t xml:space="preserve">                                                                           Judge of the Pretoria High Court</w:t>
      </w:r>
    </w:p>
    <w:p w14:paraId="6613EFA9" w14:textId="77777777" w:rsidR="002517C5" w:rsidRDefault="002517C5" w:rsidP="00CB6242">
      <w:pPr>
        <w:spacing w:before="240"/>
        <w:jc w:val="both"/>
        <w:rPr>
          <w:sz w:val="28"/>
          <w:szCs w:val="28"/>
        </w:rPr>
      </w:pPr>
    </w:p>
    <w:p w14:paraId="25DE0541" w14:textId="77777777" w:rsidR="00BF5A5A" w:rsidRDefault="00BF5A5A" w:rsidP="00CB6242">
      <w:pPr>
        <w:spacing w:before="240"/>
        <w:jc w:val="both"/>
        <w:rPr>
          <w:sz w:val="28"/>
          <w:szCs w:val="28"/>
        </w:rPr>
      </w:pPr>
      <w:r>
        <w:rPr>
          <w:sz w:val="28"/>
          <w:szCs w:val="28"/>
        </w:rPr>
        <w:t xml:space="preserve">Matter was heard </w:t>
      </w:r>
      <w:proofErr w:type="gramStart"/>
      <w:r>
        <w:rPr>
          <w:sz w:val="28"/>
          <w:szCs w:val="28"/>
        </w:rPr>
        <w:t>on:</w:t>
      </w:r>
      <w:proofErr w:type="gramEnd"/>
      <w:r>
        <w:rPr>
          <w:sz w:val="28"/>
          <w:szCs w:val="28"/>
        </w:rPr>
        <w:t xml:space="preserve"> 25, 26, </w:t>
      </w:r>
      <w:r w:rsidR="00EE6F88">
        <w:rPr>
          <w:sz w:val="28"/>
          <w:szCs w:val="28"/>
        </w:rPr>
        <w:t xml:space="preserve">&amp; </w:t>
      </w:r>
      <w:r>
        <w:rPr>
          <w:sz w:val="28"/>
          <w:szCs w:val="28"/>
        </w:rPr>
        <w:t>27 October 2023.</w:t>
      </w:r>
    </w:p>
    <w:p w14:paraId="517C66CE" w14:textId="77777777" w:rsidR="00BF5A5A" w:rsidRDefault="00BF5A5A" w:rsidP="00CB6242">
      <w:pPr>
        <w:spacing w:before="240"/>
        <w:jc w:val="both"/>
        <w:rPr>
          <w:sz w:val="28"/>
          <w:szCs w:val="28"/>
        </w:rPr>
      </w:pPr>
      <w:r>
        <w:rPr>
          <w:sz w:val="28"/>
          <w:szCs w:val="28"/>
        </w:rPr>
        <w:t xml:space="preserve">Written heads </w:t>
      </w:r>
      <w:proofErr w:type="gramStart"/>
      <w:r w:rsidR="00EE6F88">
        <w:rPr>
          <w:sz w:val="28"/>
          <w:szCs w:val="28"/>
        </w:rPr>
        <w:t>was</w:t>
      </w:r>
      <w:proofErr w:type="gramEnd"/>
      <w:r w:rsidR="00EE6F88">
        <w:rPr>
          <w:sz w:val="28"/>
          <w:szCs w:val="28"/>
        </w:rPr>
        <w:t xml:space="preserve"> </w:t>
      </w:r>
      <w:r>
        <w:rPr>
          <w:sz w:val="28"/>
          <w:szCs w:val="28"/>
        </w:rPr>
        <w:t>filed by Plaintiff on 10 November 2023</w:t>
      </w:r>
    </w:p>
    <w:p w14:paraId="2C80BEA9" w14:textId="77777777" w:rsidR="00BF5A5A" w:rsidRDefault="00BF5A5A" w:rsidP="00CB6242">
      <w:pPr>
        <w:spacing w:before="240"/>
        <w:jc w:val="both"/>
        <w:rPr>
          <w:sz w:val="28"/>
          <w:szCs w:val="28"/>
        </w:rPr>
      </w:pPr>
      <w:r>
        <w:rPr>
          <w:sz w:val="28"/>
          <w:szCs w:val="28"/>
        </w:rPr>
        <w:t xml:space="preserve">Written heads </w:t>
      </w:r>
      <w:proofErr w:type="gramStart"/>
      <w:r w:rsidR="00EE6F88">
        <w:rPr>
          <w:sz w:val="28"/>
          <w:szCs w:val="28"/>
        </w:rPr>
        <w:t>was</w:t>
      </w:r>
      <w:proofErr w:type="gramEnd"/>
      <w:r w:rsidR="00EE6F88">
        <w:rPr>
          <w:sz w:val="28"/>
          <w:szCs w:val="28"/>
        </w:rPr>
        <w:t xml:space="preserve"> </w:t>
      </w:r>
      <w:r>
        <w:rPr>
          <w:sz w:val="28"/>
          <w:szCs w:val="28"/>
        </w:rPr>
        <w:t>filed by Defendant on 20 November 2023</w:t>
      </w:r>
    </w:p>
    <w:p w14:paraId="621F1A5B" w14:textId="77777777" w:rsidR="00BF5A5A" w:rsidRDefault="00BF5A5A" w:rsidP="00CB6242">
      <w:pPr>
        <w:spacing w:before="240"/>
        <w:jc w:val="both"/>
        <w:rPr>
          <w:sz w:val="28"/>
          <w:szCs w:val="28"/>
        </w:rPr>
      </w:pPr>
      <w:r>
        <w:rPr>
          <w:sz w:val="28"/>
          <w:szCs w:val="28"/>
        </w:rPr>
        <w:t xml:space="preserve">Oral arguments were heard on 27 November 2023 </w:t>
      </w:r>
    </w:p>
    <w:p w14:paraId="5E430167" w14:textId="77777777" w:rsidR="00BF5A5A" w:rsidRDefault="00BF5A5A" w:rsidP="00CB6242">
      <w:pPr>
        <w:spacing w:before="240"/>
        <w:jc w:val="both"/>
        <w:rPr>
          <w:sz w:val="28"/>
          <w:szCs w:val="28"/>
        </w:rPr>
      </w:pPr>
      <w:r>
        <w:rPr>
          <w:sz w:val="28"/>
          <w:szCs w:val="28"/>
        </w:rPr>
        <w:t>Judgment reserved on 27 November 2023</w:t>
      </w:r>
    </w:p>
    <w:p w14:paraId="4B99BF48" w14:textId="77777777" w:rsidR="00BF5A5A" w:rsidRDefault="00BF5A5A" w:rsidP="00CB6242">
      <w:pPr>
        <w:spacing w:before="240"/>
        <w:jc w:val="both"/>
        <w:rPr>
          <w:sz w:val="28"/>
          <w:szCs w:val="28"/>
        </w:rPr>
      </w:pPr>
      <w:r>
        <w:rPr>
          <w:sz w:val="28"/>
          <w:szCs w:val="28"/>
        </w:rPr>
        <w:t xml:space="preserve">Judgment handed down on 11 March 2024 </w:t>
      </w:r>
      <w:r w:rsidR="00EE6F88">
        <w:rPr>
          <w:sz w:val="28"/>
          <w:szCs w:val="28"/>
        </w:rPr>
        <w:t xml:space="preserve">electronically </w:t>
      </w:r>
      <w:r>
        <w:rPr>
          <w:sz w:val="28"/>
          <w:szCs w:val="28"/>
        </w:rPr>
        <w:t xml:space="preserve">via </w:t>
      </w:r>
      <w:proofErr w:type="spellStart"/>
      <w:r>
        <w:rPr>
          <w:sz w:val="28"/>
          <w:szCs w:val="28"/>
        </w:rPr>
        <w:t>CaseLines</w:t>
      </w:r>
      <w:proofErr w:type="spellEnd"/>
      <w:r w:rsidR="00EE6F88">
        <w:rPr>
          <w:sz w:val="28"/>
          <w:szCs w:val="28"/>
        </w:rPr>
        <w:t xml:space="preserve">. </w:t>
      </w:r>
      <w:r>
        <w:rPr>
          <w:sz w:val="28"/>
          <w:szCs w:val="28"/>
        </w:rPr>
        <w:t xml:space="preserve"> </w:t>
      </w:r>
    </w:p>
    <w:p w14:paraId="644C1874" w14:textId="77777777" w:rsidR="00BF5A5A" w:rsidRPr="002517C5" w:rsidRDefault="00BF5A5A" w:rsidP="00CB6242">
      <w:pPr>
        <w:spacing w:before="240"/>
        <w:jc w:val="both"/>
        <w:rPr>
          <w:b/>
          <w:sz w:val="28"/>
          <w:szCs w:val="28"/>
        </w:rPr>
      </w:pPr>
      <w:r w:rsidRPr="002517C5">
        <w:rPr>
          <w:b/>
          <w:sz w:val="28"/>
          <w:szCs w:val="28"/>
        </w:rPr>
        <w:lastRenderedPageBreak/>
        <w:t>Appearances:</w:t>
      </w:r>
    </w:p>
    <w:p w14:paraId="5652F82D" w14:textId="77777777" w:rsidR="00BF5A5A" w:rsidRDefault="00BF5A5A" w:rsidP="00CB6242">
      <w:pPr>
        <w:spacing w:before="240"/>
        <w:jc w:val="both"/>
        <w:rPr>
          <w:sz w:val="28"/>
          <w:szCs w:val="28"/>
        </w:rPr>
      </w:pPr>
    </w:p>
    <w:p w14:paraId="4807AE9D" w14:textId="77777777" w:rsidR="00BF5A5A" w:rsidRPr="002517C5" w:rsidRDefault="00BF5A5A" w:rsidP="00CB6242">
      <w:pPr>
        <w:spacing w:before="240"/>
        <w:jc w:val="both"/>
        <w:rPr>
          <w:b/>
          <w:sz w:val="28"/>
          <w:szCs w:val="28"/>
        </w:rPr>
      </w:pPr>
      <w:r w:rsidRPr="002517C5">
        <w:rPr>
          <w:b/>
          <w:sz w:val="28"/>
          <w:szCs w:val="28"/>
        </w:rPr>
        <w:t xml:space="preserve">Plaintiff: </w:t>
      </w:r>
    </w:p>
    <w:p w14:paraId="69C295D3" w14:textId="77777777" w:rsidR="00BF5A5A" w:rsidRDefault="00BF5A5A" w:rsidP="00CB6242">
      <w:pPr>
        <w:spacing w:before="240"/>
        <w:jc w:val="both"/>
        <w:rPr>
          <w:sz w:val="28"/>
          <w:szCs w:val="28"/>
        </w:rPr>
      </w:pPr>
      <w:r>
        <w:rPr>
          <w:sz w:val="28"/>
          <w:szCs w:val="28"/>
        </w:rPr>
        <w:t>Counsel:       Adv L De Koning SC</w:t>
      </w:r>
    </w:p>
    <w:p w14:paraId="68FAA2DB" w14:textId="77777777" w:rsidR="002517C5" w:rsidRDefault="002517C5" w:rsidP="00CB6242">
      <w:pPr>
        <w:spacing w:before="240"/>
        <w:jc w:val="both"/>
        <w:rPr>
          <w:sz w:val="28"/>
          <w:szCs w:val="28"/>
        </w:rPr>
      </w:pPr>
      <w:r>
        <w:rPr>
          <w:sz w:val="28"/>
          <w:szCs w:val="28"/>
        </w:rPr>
        <w:t xml:space="preserve">                      dekoning@rsabar.com</w:t>
      </w:r>
    </w:p>
    <w:p w14:paraId="72469847" w14:textId="77777777" w:rsidR="00BF5A5A" w:rsidRDefault="00BF5A5A" w:rsidP="00CB6242">
      <w:pPr>
        <w:spacing w:before="240"/>
        <w:jc w:val="both"/>
        <w:rPr>
          <w:sz w:val="28"/>
          <w:szCs w:val="28"/>
        </w:rPr>
      </w:pPr>
      <w:r>
        <w:rPr>
          <w:sz w:val="28"/>
          <w:szCs w:val="28"/>
        </w:rPr>
        <w:t>Attorneys:   Rudman &amp; Associates</w:t>
      </w:r>
    </w:p>
    <w:p w14:paraId="194CCB24" w14:textId="77777777" w:rsidR="00BF5A5A" w:rsidRDefault="00BF5A5A" w:rsidP="00CB6242">
      <w:pPr>
        <w:spacing w:before="240"/>
        <w:jc w:val="both"/>
        <w:rPr>
          <w:sz w:val="28"/>
          <w:szCs w:val="28"/>
        </w:rPr>
      </w:pPr>
      <w:r>
        <w:rPr>
          <w:sz w:val="28"/>
          <w:szCs w:val="28"/>
        </w:rPr>
        <w:t xml:space="preserve">                      </w:t>
      </w:r>
      <w:hyperlink r:id="rId9" w:history="1">
        <w:r w:rsidR="00EE6F88" w:rsidRPr="00AF4AD8">
          <w:rPr>
            <w:rStyle w:val="Hyperlink"/>
            <w:sz w:val="28"/>
            <w:szCs w:val="28"/>
          </w:rPr>
          <w:t>werner@rudmanlaw.co.za</w:t>
        </w:r>
      </w:hyperlink>
    </w:p>
    <w:p w14:paraId="3219D48F" w14:textId="77777777" w:rsidR="00BF5A5A" w:rsidRDefault="00BF5A5A" w:rsidP="00CB6242">
      <w:pPr>
        <w:spacing w:before="240"/>
        <w:jc w:val="both"/>
        <w:rPr>
          <w:sz w:val="28"/>
          <w:szCs w:val="28"/>
        </w:rPr>
      </w:pPr>
    </w:p>
    <w:p w14:paraId="23FC396F" w14:textId="77777777" w:rsidR="00BF5A5A" w:rsidRPr="002517C5" w:rsidRDefault="00BF5A5A" w:rsidP="00CB6242">
      <w:pPr>
        <w:spacing w:before="240"/>
        <w:jc w:val="both"/>
        <w:rPr>
          <w:b/>
          <w:sz w:val="28"/>
          <w:szCs w:val="28"/>
        </w:rPr>
      </w:pPr>
      <w:r w:rsidRPr="002517C5">
        <w:rPr>
          <w:b/>
          <w:sz w:val="28"/>
          <w:szCs w:val="28"/>
        </w:rPr>
        <w:t>Defendant:</w:t>
      </w:r>
    </w:p>
    <w:p w14:paraId="1E3415BE" w14:textId="77777777" w:rsidR="00BF5A5A" w:rsidRDefault="00BF5A5A" w:rsidP="00CB6242">
      <w:pPr>
        <w:spacing w:before="240"/>
        <w:jc w:val="both"/>
        <w:rPr>
          <w:sz w:val="28"/>
          <w:szCs w:val="28"/>
        </w:rPr>
      </w:pPr>
      <w:r>
        <w:rPr>
          <w:sz w:val="28"/>
          <w:szCs w:val="28"/>
        </w:rPr>
        <w:t>Counsel:</w:t>
      </w:r>
      <w:r w:rsidR="005B0B5F">
        <w:rPr>
          <w:sz w:val="28"/>
          <w:szCs w:val="28"/>
        </w:rPr>
        <w:t xml:space="preserve">      </w:t>
      </w:r>
      <w:r>
        <w:rPr>
          <w:sz w:val="28"/>
          <w:szCs w:val="28"/>
        </w:rPr>
        <w:t xml:space="preserve"> Adv </w:t>
      </w:r>
      <w:r w:rsidR="005B0B5F">
        <w:rPr>
          <w:sz w:val="28"/>
          <w:szCs w:val="28"/>
        </w:rPr>
        <w:t>R Kriek</w:t>
      </w:r>
    </w:p>
    <w:p w14:paraId="4F32D943" w14:textId="77777777" w:rsidR="002517C5" w:rsidRDefault="002517C5" w:rsidP="00CB6242">
      <w:pPr>
        <w:spacing w:before="240"/>
        <w:jc w:val="both"/>
        <w:rPr>
          <w:sz w:val="28"/>
          <w:szCs w:val="28"/>
        </w:rPr>
      </w:pPr>
      <w:r>
        <w:rPr>
          <w:sz w:val="28"/>
          <w:szCs w:val="28"/>
        </w:rPr>
        <w:t xml:space="preserve">                      advrozannekriek@counseljhb.co.za</w:t>
      </w:r>
    </w:p>
    <w:p w14:paraId="6CC5C4DE" w14:textId="77777777" w:rsidR="005B0B5F" w:rsidRDefault="005B0B5F" w:rsidP="00CB6242">
      <w:pPr>
        <w:spacing w:before="240"/>
        <w:jc w:val="both"/>
        <w:rPr>
          <w:sz w:val="28"/>
          <w:szCs w:val="28"/>
        </w:rPr>
      </w:pPr>
      <w:r>
        <w:rPr>
          <w:sz w:val="28"/>
          <w:szCs w:val="28"/>
        </w:rPr>
        <w:t xml:space="preserve">Attorneys:    </w:t>
      </w:r>
      <w:r w:rsidR="002517C5">
        <w:rPr>
          <w:sz w:val="28"/>
          <w:szCs w:val="28"/>
        </w:rPr>
        <w:t>CR Bothma &amp; Jooste Attorneys</w:t>
      </w:r>
    </w:p>
    <w:p w14:paraId="7A1E5734" w14:textId="77777777" w:rsidR="002517C5" w:rsidRPr="00593E96" w:rsidRDefault="002517C5" w:rsidP="00CB6242">
      <w:pPr>
        <w:spacing w:before="240"/>
        <w:jc w:val="both"/>
        <w:rPr>
          <w:sz w:val="28"/>
          <w:szCs w:val="28"/>
        </w:rPr>
      </w:pPr>
      <w:r>
        <w:rPr>
          <w:sz w:val="28"/>
          <w:szCs w:val="28"/>
        </w:rPr>
        <w:t xml:space="preserve">                      charl@bothmajooste.co.za </w:t>
      </w:r>
    </w:p>
    <w:sectPr w:rsidR="002517C5" w:rsidRPr="00593E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7881" w14:textId="77777777" w:rsidR="00E81D2B" w:rsidRDefault="00E81D2B" w:rsidP="00DC61AB">
      <w:pPr>
        <w:spacing w:after="0" w:line="240" w:lineRule="auto"/>
      </w:pPr>
      <w:r>
        <w:separator/>
      </w:r>
    </w:p>
  </w:endnote>
  <w:endnote w:type="continuationSeparator" w:id="0">
    <w:p w14:paraId="53C0A03B" w14:textId="77777777" w:rsidR="00E81D2B" w:rsidRDefault="00E81D2B" w:rsidP="00DC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1FB7" w14:textId="77777777" w:rsidR="00E81D2B" w:rsidRDefault="00E81D2B" w:rsidP="00DC61AB">
      <w:pPr>
        <w:spacing w:after="0" w:line="240" w:lineRule="auto"/>
      </w:pPr>
      <w:r>
        <w:separator/>
      </w:r>
    </w:p>
  </w:footnote>
  <w:footnote w:type="continuationSeparator" w:id="0">
    <w:p w14:paraId="585B8A5C" w14:textId="77777777" w:rsidR="00E81D2B" w:rsidRDefault="00E81D2B" w:rsidP="00DC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4471"/>
      <w:docPartObj>
        <w:docPartGallery w:val="Page Numbers (Top of Page)"/>
        <w:docPartUnique/>
      </w:docPartObj>
    </w:sdtPr>
    <w:sdtEndPr>
      <w:rPr>
        <w:noProof/>
      </w:rPr>
    </w:sdtEndPr>
    <w:sdtContent>
      <w:p w14:paraId="02326178" w14:textId="77777777" w:rsidR="00DC61AB" w:rsidRDefault="00DC61AB">
        <w:pPr>
          <w:pStyle w:val="Header"/>
          <w:jc w:val="right"/>
        </w:pPr>
        <w:r>
          <w:fldChar w:fldCharType="begin"/>
        </w:r>
        <w:r>
          <w:instrText xml:space="preserve"> PAGE   \* MERGEFORMAT </w:instrText>
        </w:r>
        <w:r>
          <w:fldChar w:fldCharType="separate"/>
        </w:r>
        <w:r w:rsidR="006B2B5B">
          <w:rPr>
            <w:noProof/>
          </w:rPr>
          <w:t>1</w:t>
        </w:r>
        <w:r>
          <w:rPr>
            <w:noProof/>
          </w:rPr>
          <w:fldChar w:fldCharType="end"/>
        </w:r>
      </w:p>
    </w:sdtContent>
  </w:sdt>
  <w:p w14:paraId="61D1E15A" w14:textId="77777777" w:rsidR="00DC61AB" w:rsidRDefault="00DC6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4956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A16"/>
    <w:rsid w:val="00035060"/>
    <w:rsid w:val="0003693A"/>
    <w:rsid w:val="0005406A"/>
    <w:rsid w:val="00070E4F"/>
    <w:rsid w:val="000775DA"/>
    <w:rsid w:val="0008216D"/>
    <w:rsid w:val="000D485D"/>
    <w:rsid w:val="000E4276"/>
    <w:rsid w:val="00103DB5"/>
    <w:rsid w:val="001559B3"/>
    <w:rsid w:val="00173212"/>
    <w:rsid w:val="00203744"/>
    <w:rsid w:val="00236697"/>
    <w:rsid w:val="002453ED"/>
    <w:rsid w:val="002517C5"/>
    <w:rsid w:val="002D46DE"/>
    <w:rsid w:val="00351CF8"/>
    <w:rsid w:val="0036573C"/>
    <w:rsid w:val="0037724F"/>
    <w:rsid w:val="003A55EB"/>
    <w:rsid w:val="003B5FB3"/>
    <w:rsid w:val="003C2083"/>
    <w:rsid w:val="003F5A03"/>
    <w:rsid w:val="00460B89"/>
    <w:rsid w:val="004A12E0"/>
    <w:rsid w:val="00527F01"/>
    <w:rsid w:val="00531063"/>
    <w:rsid w:val="005656D8"/>
    <w:rsid w:val="00567373"/>
    <w:rsid w:val="00593E96"/>
    <w:rsid w:val="005B0B5F"/>
    <w:rsid w:val="005B237C"/>
    <w:rsid w:val="005E6F81"/>
    <w:rsid w:val="00610F84"/>
    <w:rsid w:val="00687BCE"/>
    <w:rsid w:val="00694D4D"/>
    <w:rsid w:val="006B2B5B"/>
    <w:rsid w:val="006C1D4B"/>
    <w:rsid w:val="006F5575"/>
    <w:rsid w:val="00703EE5"/>
    <w:rsid w:val="007144DF"/>
    <w:rsid w:val="00715FCD"/>
    <w:rsid w:val="007264D0"/>
    <w:rsid w:val="007A0840"/>
    <w:rsid w:val="007A5C4F"/>
    <w:rsid w:val="007B5F3E"/>
    <w:rsid w:val="007C4A7D"/>
    <w:rsid w:val="008218C9"/>
    <w:rsid w:val="0082357A"/>
    <w:rsid w:val="0083649D"/>
    <w:rsid w:val="00837EC2"/>
    <w:rsid w:val="00843816"/>
    <w:rsid w:val="00850605"/>
    <w:rsid w:val="008669A9"/>
    <w:rsid w:val="008C6A28"/>
    <w:rsid w:val="008D6C57"/>
    <w:rsid w:val="008E5BF5"/>
    <w:rsid w:val="008F3568"/>
    <w:rsid w:val="00903C26"/>
    <w:rsid w:val="0093536C"/>
    <w:rsid w:val="00942F1D"/>
    <w:rsid w:val="00963585"/>
    <w:rsid w:val="00A404E6"/>
    <w:rsid w:val="00A70600"/>
    <w:rsid w:val="00AB3CF1"/>
    <w:rsid w:val="00AE79E5"/>
    <w:rsid w:val="00AF2E6C"/>
    <w:rsid w:val="00BA4898"/>
    <w:rsid w:val="00BF5A5A"/>
    <w:rsid w:val="00C446ED"/>
    <w:rsid w:val="00C5099D"/>
    <w:rsid w:val="00C51704"/>
    <w:rsid w:val="00C534F3"/>
    <w:rsid w:val="00C5381C"/>
    <w:rsid w:val="00CB47AB"/>
    <w:rsid w:val="00CB6242"/>
    <w:rsid w:val="00CC409D"/>
    <w:rsid w:val="00D15F60"/>
    <w:rsid w:val="00D342A7"/>
    <w:rsid w:val="00D823A9"/>
    <w:rsid w:val="00DA4478"/>
    <w:rsid w:val="00DB1292"/>
    <w:rsid w:val="00DC61AB"/>
    <w:rsid w:val="00E81D2B"/>
    <w:rsid w:val="00E85F1A"/>
    <w:rsid w:val="00EC1DF7"/>
    <w:rsid w:val="00EE6F88"/>
    <w:rsid w:val="00F6749C"/>
    <w:rsid w:val="00FD32EE"/>
    <w:rsid w:val="00FE1B85"/>
    <w:rsid w:val="00FF1A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F610"/>
  <w15:docId w15:val="{973931E3-39D8-44A8-9FA6-4C3D2C42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1AB"/>
    <w:pPr>
      <w:ind w:left="720"/>
      <w:contextualSpacing/>
    </w:pPr>
  </w:style>
  <w:style w:type="paragraph" w:styleId="BalloonText">
    <w:name w:val="Balloon Text"/>
    <w:basedOn w:val="Normal"/>
    <w:link w:val="BalloonTextChar"/>
    <w:uiPriority w:val="99"/>
    <w:semiHidden/>
    <w:unhideWhenUsed/>
    <w:rsid w:val="00DC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AB"/>
    <w:rPr>
      <w:rFonts w:ascii="Tahoma" w:hAnsi="Tahoma" w:cs="Tahoma"/>
      <w:sz w:val="16"/>
      <w:szCs w:val="16"/>
    </w:rPr>
  </w:style>
  <w:style w:type="paragraph" w:styleId="Header">
    <w:name w:val="header"/>
    <w:basedOn w:val="Normal"/>
    <w:link w:val="HeaderChar"/>
    <w:uiPriority w:val="99"/>
    <w:unhideWhenUsed/>
    <w:rsid w:val="00DC6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1AB"/>
  </w:style>
  <w:style w:type="paragraph" w:styleId="Footer">
    <w:name w:val="footer"/>
    <w:basedOn w:val="Normal"/>
    <w:link w:val="FooterChar"/>
    <w:uiPriority w:val="99"/>
    <w:unhideWhenUsed/>
    <w:rsid w:val="00DC6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1AB"/>
  </w:style>
  <w:style w:type="character" w:styleId="Hyperlink">
    <w:name w:val="Hyperlink"/>
    <w:basedOn w:val="DefaultParagraphFont"/>
    <w:uiPriority w:val="99"/>
    <w:unhideWhenUsed/>
    <w:rsid w:val="00BF5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rudman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15</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331</dc:creator>
  <cp:lastModifiedBy>sathish sarshan  mohan</cp:lastModifiedBy>
  <cp:revision>42</cp:revision>
  <cp:lastPrinted>2024-03-11T11:33:00Z</cp:lastPrinted>
  <dcterms:created xsi:type="dcterms:W3CDTF">2024-02-12T13:50:00Z</dcterms:created>
  <dcterms:modified xsi:type="dcterms:W3CDTF">2024-03-17T16:37:00Z</dcterms:modified>
</cp:coreProperties>
</file>