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BFD3B" w14:textId="5E78102C" w:rsidR="0088234E" w:rsidRPr="002A1F94" w:rsidRDefault="00D263A5" w:rsidP="00D263A5">
      <w:pPr>
        <w:pStyle w:val="Title"/>
        <w:spacing w:after="120" w:line="360" w:lineRule="auto"/>
        <w:jc w:val="left"/>
      </w:pPr>
      <w:r>
        <w:rPr>
          <w:noProof/>
        </w:rPr>
        <w:drawing>
          <wp:inline distT="0" distB="0" distL="0" distR="0" wp14:anchorId="2EF0D9D6" wp14:editId="782FD7D5">
            <wp:extent cx="4286250" cy="466725"/>
            <wp:effectExtent l="0" t="0" r="0" b="9525"/>
            <wp:docPr id="15132588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r w:rsidR="0088234E" w:rsidRPr="002A1F94">
        <w:rPr>
          <w:noProof/>
          <w:lang w:eastAsia="en-ZA"/>
        </w:rPr>
        <w:drawing>
          <wp:inline distT="0" distB="0" distL="0" distR="0" wp14:anchorId="69C93CBD" wp14:editId="682BFB92">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038E8CA4" w14:textId="77777777" w:rsidR="0088234E" w:rsidRPr="002A1F94" w:rsidRDefault="0088234E" w:rsidP="0088234E">
      <w:pPr>
        <w:spacing w:line="240" w:lineRule="auto"/>
        <w:jc w:val="center"/>
        <w:rPr>
          <w:rFonts w:ascii="Arial" w:hAnsi="Arial" w:cs="Arial"/>
          <w:b/>
        </w:rPr>
      </w:pPr>
      <w:r w:rsidRPr="002A1F94">
        <w:rPr>
          <w:rFonts w:ascii="Arial" w:hAnsi="Arial" w:cs="Arial"/>
          <w:b/>
        </w:rPr>
        <w:t xml:space="preserve">IN THE HIGH COURT OF SOUTH AFRICA, </w:t>
      </w:r>
    </w:p>
    <w:p w14:paraId="0EB618A4" w14:textId="77777777" w:rsidR="0088234E" w:rsidRPr="002A1F94" w:rsidRDefault="0088234E" w:rsidP="0088234E">
      <w:pPr>
        <w:spacing w:line="240" w:lineRule="auto"/>
        <w:jc w:val="center"/>
        <w:rPr>
          <w:rFonts w:ascii="Arial" w:hAnsi="Arial" w:cs="Arial"/>
          <w:b/>
        </w:rPr>
      </w:pPr>
      <w:r w:rsidRPr="002A1F94">
        <w:rPr>
          <w:rFonts w:ascii="Arial" w:hAnsi="Arial" w:cs="Arial"/>
          <w:b/>
        </w:rPr>
        <w:t>GAUTENG DIVISION, PRETORIA</w:t>
      </w:r>
    </w:p>
    <w:p w14:paraId="1497AFFB" w14:textId="77777777" w:rsidR="0088234E" w:rsidRPr="002A1F94" w:rsidRDefault="0088234E" w:rsidP="0088234E">
      <w:pPr>
        <w:spacing w:line="240" w:lineRule="auto"/>
        <w:jc w:val="center"/>
        <w:rPr>
          <w:rFonts w:ascii="Arial" w:hAnsi="Arial" w:cs="Arial"/>
          <w:b/>
        </w:rPr>
      </w:pPr>
    </w:p>
    <w:p w14:paraId="089B28D3" w14:textId="58650A92" w:rsidR="0088234E" w:rsidRPr="002A1F94" w:rsidRDefault="0088234E" w:rsidP="0088234E">
      <w:pPr>
        <w:spacing w:line="240" w:lineRule="auto"/>
        <w:jc w:val="right"/>
        <w:rPr>
          <w:rFonts w:ascii="Arial" w:hAnsi="Arial" w:cs="Arial"/>
          <w:b/>
        </w:rPr>
      </w:pPr>
      <w:r w:rsidRPr="002A1F94">
        <w:rPr>
          <w:rFonts w:ascii="Arial" w:hAnsi="Arial" w:cs="Arial"/>
          <w:b/>
        </w:rPr>
        <w:tab/>
      </w:r>
      <w:r w:rsidRPr="002A1F94">
        <w:rPr>
          <w:rFonts w:ascii="Arial" w:hAnsi="Arial" w:cs="Arial"/>
          <w:b/>
        </w:rPr>
        <w:tab/>
      </w:r>
      <w:r w:rsidRPr="002A1F94">
        <w:rPr>
          <w:rFonts w:ascii="Arial" w:hAnsi="Arial" w:cs="Arial"/>
          <w:b/>
        </w:rPr>
        <w:tab/>
      </w:r>
      <w:r w:rsidRPr="002A1F94">
        <w:rPr>
          <w:rFonts w:ascii="Arial" w:hAnsi="Arial" w:cs="Arial"/>
          <w:b/>
        </w:rPr>
        <w:tab/>
      </w:r>
      <w:r w:rsidRPr="002A1F94">
        <w:rPr>
          <w:rFonts w:ascii="Arial" w:hAnsi="Arial" w:cs="Arial"/>
          <w:b/>
        </w:rPr>
        <w:tab/>
      </w:r>
      <w:r w:rsidRPr="002A1F94">
        <w:rPr>
          <w:rFonts w:ascii="Arial" w:hAnsi="Arial" w:cs="Arial"/>
          <w:b/>
        </w:rPr>
        <w:tab/>
      </w:r>
      <w:r w:rsidRPr="002A1F94">
        <w:rPr>
          <w:rFonts w:ascii="Arial" w:hAnsi="Arial" w:cs="Arial"/>
          <w:b/>
        </w:rPr>
        <w:tab/>
      </w:r>
      <w:r w:rsidRPr="002A1F94">
        <w:rPr>
          <w:rFonts w:ascii="Arial" w:hAnsi="Arial" w:cs="Arial"/>
          <w:b/>
        </w:rPr>
        <w:tab/>
      </w:r>
      <w:r w:rsidRPr="002A1F94">
        <w:rPr>
          <w:rFonts w:ascii="Arial" w:hAnsi="Arial" w:cs="Arial"/>
          <w:b/>
        </w:rPr>
        <w:tab/>
        <w:t>CASE NO: 36071/19</w:t>
      </w:r>
    </w:p>
    <w:p w14:paraId="67EDEA10" w14:textId="77777777" w:rsidR="0088234E" w:rsidRPr="002A1F94" w:rsidRDefault="0088234E" w:rsidP="0088234E">
      <w:pPr>
        <w:jc w:val="right"/>
        <w:rPr>
          <w:rFonts w:ascii="Arial" w:hAnsi="Arial" w:cs="Arial"/>
        </w:rPr>
      </w:pPr>
      <w:r w:rsidRPr="002A1F94">
        <w:rPr>
          <w:rFonts w:ascii="Arial" w:hAnsi="Arial" w:cs="Arial"/>
          <w:noProof/>
          <w:lang w:eastAsia="en-ZA"/>
        </w:rPr>
        <mc:AlternateContent>
          <mc:Choice Requires="wps">
            <w:drawing>
              <wp:anchor distT="0" distB="0" distL="114300" distR="114300" simplePos="0" relativeHeight="251659264" behindDoc="0" locked="0" layoutInCell="1" allowOverlap="1" wp14:anchorId="7A5EF2DE" wp14:editId="27981EE5">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56648DDB" w14:textId="77777777" w:rsidR="0088234E" w:rsidRPr="00913F95" w:rsidRDefault="0088234E" w:rsidP="0088234E">
                            <w:pPr>
                              <w:jc w:val="center"/>
                              <w:rPr>
                                <w:rFonts w:ascii="Century Gothic" w:hAnsi="Century Gothic"/>
                                <w:b/>
                                <w:sz w:val="20"/>
                                <w:szCs w:val="20"/>
                              </w:rPr>
                            </w:pPr>
                          </w:p>
                          <w:p w14:paraId="6AA2EE70" w14:textId="2532818E" w:rsidR="0088234E" w:rsidRDefault="00827DA8" w:rsidP="00827DA8">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8234E" w:rsidRPr="00913F95">
                              <w:rPr>
                                <w:rFonts w:ascii="Century Gothic" w:hAnsi="Century Gothic"/>
                                <w:sz w:val="20"/>
                                <w:szCs w:val="20"/>
                              </w:rPr>
                              <w:t xml:space="preserve">REPORTABLE: </w:t>
                            </w:r>
                            <w:r w:rsidR="0088234E">
                              <w:rPr>
                                <w:rFonts w:ascii="Century Gothic" w:hAnsi="Century Gothic"/>
                                <w:sz w:val="20"/>
                                <w:szCs w:val="20"/>
                              </w:rPr>
                              <w:t>NO</w:t>
                            </w:r>
                          </w:p>
                          <w:p w14:paraId="07A21D67" w14:textId="77BCE88E" w:rsidR="0088234E" w:rsidRPr="00913F95" w:rsidRDefault="00827DA8" w:rsidP="00827DA8">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88234E" w:rsidRPr="00913F95">
                              <w:rPr>
                                <w:rFonts w:ascii="Century Gothic" w:hAnsi="Century Gothic"/>
                                <w:sz w:val="20"/>
                                <w:szCs w:val="20"/>
                              </w:rPr>
                              <w:t>OF INTEREST TO OTHER JUDGES:</w:t>
                            </w:r>
                            <w:r w:rsidR="0088234E">
                              <w:rPr>
                                <w:rFonts w:ascii="Century Gothic" w:hAnsi="Century Gothic"/>
                                <w:sz w:val="20"/>
                                <w:szCs w:val="20"/>
                              </w:rPr>
                              <w:t xml:space="preserve"> NO</w:t>
                            </w:r>
                            <w:r w:rsidR="0088234E" w:rsidRPr="00913F95">
                              <w:rPr>
                                <w:rFonts w:ascii="Century Gothic" w:hAnsi="Century Gothic"/>
                                <w:sz w:val="20"/>
                                <w:szCs w:val="20"/>
                              </w:rPr>
                              <w:t xml:space="preserve"> </w:t>
                            </w:r>
                          </w:p>
                          <w:p w14:paraId="714E9C4E" w14:textId="28A5B27B" w:rsidR="0088234E" w:rsidRPr="00913F95" w:rsidRDefault="00827DA8" w:rsidP="00827DA8">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88234E" w:rsidRPr="00913F95">
                              <w:rPr>
                                <w:rFonts w:ascii="Century Gothic" w:hAnsi="Century Gothic"/>
                                <w:sz w:val="20"/>
                                <w:szCs w:val="20"/>
                              </w:rPr>
                              <w:t>REVISED</w:t>
                            </w:r>
                            <w:r w:rsidR="0088234E">
                              <w:rPr>
                                <w:rFonts w:ascii="Century Gothic" w:hAnsi="Century Gothic"/>
                                <w:sz w:val="20"/>
                                <w:szCs w:val="20"/>
                              </w:rPr>
                              <w:t xml:space="preserve">. </w:t>
                            </w:r>
                          </w:p>
                          <w:p w14:paraId="6FCF5CC3" w14:textId="77777777" w:rsidR="0088234E" w:rsidRDefault="0088234E" w:rsidP="0088234E">
                            <w:pPr>
                              <w:rPr>
                                <w:rFonts w:ascii="Century Gothic" w:hAnsi="Century Gothic"/>
                                <w:b/>
                                <w:sz w:val="18"/>
                                <w:szCs w:val="18"/>
                              </w:rPr>
                            </w:pPr>
                          </w:p>
                          <w:p w14:paraId="01268B92" w14:textId="4028A3B8" w:rsidR="0088234E" w:rsidRPr="00084341" w:rsidRDefault="0088234E" w:rsidP="0088234E">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18 March 2024</w:t>
                            </w:r>
                            <w:r w:rsidRPr="00084341">
                              <w:rPr>
                                <w:rFonts w:ascii="Century Gothic" w:hAnsi="Century Gothic"/>
                                <w:b/>
                                <w:sz w:val="18"/>
                                <w:szCs w:val="18"/>
                              </w:rPr>
                              <w:tab/>
                            </w:r>
                            <w:r w:rsidRPr="00084341">
                              <w:rPr>
                                <w:rFonts w:ascii="Century Gothic" w:hAnsi="Century Gothic"/>
                                <w:b/>
                                <w:sz w:val="18"/>
                                <w:szCs w:val="18"/>
                              </w:rPr>
                              <w:tab/>
                              <w:t>………………………...</w:t>
                            </w:r>
                          </w:p>
                          <w:p w14:paraId="3EC514B7" w14:textId="77777777" w:rsidR="0088234E" w:rsidRPr="00084341" w:rsidRDefault="0088234E" w:rsidP="0088234E">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5EF2DE"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56648DDB" w14:textId="77777777" w:rsidR="0088234E" w:rsidRPr="00913F95" w:rsidRDefault="0088234E" w:rsidP="0088234E">
                      <w:pPr>
                        <w:jc w:val="center"/>
                        <w:rPr>
                          <w:rFonts w:ascii="Century Gothic" w:hAnsi="Century Gothic"/>
                          <w:b/>
                          <w:sz w:val="20"/>
                          <w:szCs w:val="20"/>
                        </w:rPr>
                      </w:pPr>
                    </w:p>
                    <w:p w14:paraId="6AA2EE70" w14:textId="2532818E" w:rsidR="0088234E" w:rsidRDefault="00827DA8" w:rsidP="00827DA8">
                      <w:pPr>
                        <w:tabs>
                          <w:tab w:val="left" w:pos="900"/>
                        </w:tabs>
                        <w:spacing w:after="0" w:line="240" w:lineRule="auto"/>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8234E" w:rsidRPr="00913F95">
                        <w:rPr>
                          <w:rFonts w:ascii="Century Gothic" w:hAnsi="Century Gothic"/>
                          <w:sz w:val="20"/>
                          <w:szCs w:val="20"/>
                        </w:rPr>
                        <w:t xml:space="preserve">REPORTABLE: </w:t>
                      </w:r>
                      <w:r w:rsidR="0088234E">
                        <w:rPr>
                          <w:rFonts w:ascii="Century Gothic" w:hAnsi="Century Gothic"/>
                          <w:sz w:val="20"/>
                          <w:szCs w:val="20"/>
                        </w:rPr>
                        <w:t>NO</w:t>
                      </w:r>
                    </w:p>
                    <w:p w14:paraId="07A21D67" w14:textId="77BCE88E" w:rsidR="0088234E" w:rsidRPr="00913F95" w:rsidRDefault="00827DA8" w:rsidP="00827DA8">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88234E" w:rsidRPr="00913F95">
                        <w:rPr>
                          <w:rFonts w:ascii="Century Gothic" w:hAnsi="Century Gothic"/>
                          <w:sz w:val="20"/>
                          <w:szCs w:val="20"/>
                        </w:rPr>
                        <w:t>OF INTEREST TO OTHER JUDGES:</w:t>
                      </w:r>
                      <w:r w:rsidR="0088234E">
                        <w:rPr>
                          <w:rFonts w:ascii="Century Gothic" w:hAnsi="Century Gothic"/>
                          <w:sz w:val="20"/>
                          <w:szCs w:val="20"/>
                        </w:rPr>
                        <w:t xml:space="preserve"> NO</w:t>
                      </w:r>
                      <w:r w:rsidR="0088234E" w:rsidRPr="00913F95">
                        <w:rPr>
                          <w:rFonts w:ascii="Century Gothic" w:hAnsi="Century Gothic"/>
                          <w:sz w:val="20"/>
                          <w:szCs w:val="20"/>
                        </w:rPr>
                        <w:t xml:space="preserve"> </w:t>
                      </w:r>
                    </w:p>
                    <w:p w14:paraId="714E9C4E" w14:textId="28A5B27B" w:rsidR="0088234E" w:rsidRPr="00913F95" w:rsidRDefault="00827DA8" w:rsidP="00827DA8">
                      <w:pPr>
                        <w:tabs>
                          <w:tab w:val="left" w:pos="900"/>
                        </w:tabs>
                        <w:spacing w:after="0" w:line="240" w:lineRule="auto"/>
                        <w:ind w:left="900" w:hanging="720"/>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88234E" w:rsidRPr="00913F95">
                        <w:rPr>
                          <w:rFonts w:ascii="Century Gothic" w:hAnsi="Century Gothic"/>
                          <w:sz w:val="20"/>
                          <w:szCs w:val="20"/>
                        </w:rPr>
                        <w:t>REVISED</w:t>
                      </w:r>
                      <w:r w:rsidR="0088234E">
                        <w:rPr>
                          <w:rFonts w:ascii="Century Gothic" w:hAnsi="Century Gothic"/>
                          <w:sz w:val="20"/>
                          <w:szCs w:val="20"/>
                        </w:rPr>
                        <w:t xml:space="preserve">. </w:t>
                      </w:r>
                    </w:p>
                    <w:p w14:paraId="6FCF5CC3" w14:textId="77777777" w:rsidR="0088234E" w:rsidRDefault="0088234E" w:rsidP="0088234E">
                      <w:pPr>
                        <w:rPr>
                          <w:rFonts w:ascii="Century Gothic" w:hAnsi="Century Gothic"/>
                          <w:b/>
                          <w:sz w:val="18"/>
                          <w:szCs w:val="18"/>
                        </w:rPr>
                      </w:pPr>
                    </w:p>
                    <w:p w14:paraId="01268B92" w14:textId="4028A3B8" w:rsidR="0088234E" w:rsidRPr="00084341" w:rsidRDefault="0088234E" w:rsidP="0088234E">
                      <w:pPr>
                        <w:rPr>
                          <w:rFonts w:ascii="Century Gothic" w:hAnsi="Century Gothic"/>
                          <w:b/>
                          <w:sz w:val="18"/>
                          <w:szCs w:val="18"/>
                        </w:rPr>
                      </w:pPr>
                      <w:r w:rsidRPr="00084341">
                        <w:rPr>
                          <w:rFonts w:ascii="Century Gothic" w:hAnsi="Century Gothic"/>
                          <w:b/>
                          <w:sz w:val="18"/>
                          <w:szCs w:val="18"/>
                        </w:rPr>
                        <w:t xml:space="preserve">         </w:t>
                      </w:r>
                      <w:r>
                        <w:rPr>
                          <w:rFonts w:ascii="Century Gothic" w:hAnsi="Century Gothic"/>
                          <w:b/>
                          <w:sz w:val="18"/>
                          <w:szCs w:val="18"/>
                        </w:rPr>
                        <w:t>18 March 2024</w:t>
                      </w:r>
                      <w:r w:rsidRPr="00084341">
                        <w:rPr>
                          <w:rFonts w:ascii="Century Gothic" w:hAnsi="Century Gothic"/>
                          <w:b/>
                          <w:sz w:val="18"/>
                          <w:szCs w:val="18"/>
                        </w:rPr>
                        <w:tab/>
                      </w:r>
                      <w:r w:rsidRPr="00084341">
                        <w:rPr>
                          <w:rFonts w:ascii="Century Gothic" w:hAnsi="Century Gothic"/>
                          <w:b/>
                          <w:sz w:val="18"/>
                          <w:szCs w:val="18"/>
                        </w:rPr>
                        <w:tab/>
                        <w:t>………………………...</w:t>
                      </w:r>
                    </w:p>
                    <w:p w14:paraId="3EC514B7" w14:textId="77777777" w:rsidR="0088234E" w:rsidRPr="00084341" w:rsidRDefault="0088234E" w:rsidP="0088234E">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2D394ED7" w14:textId="77777777" w:rsidR="0088234E" w:rsidRPr="002A1F94" w:rsidRDefault="0088234E" w:rsidP="0088234E">
      <w:pPr>
        <w:rPr>
          <w:rFonts w:ascii="Arial" w:hAnsi="Arial" w:cs="Arial"/>
        </w:rPr>
      </w:pPr>
    </w:p>
    <w:p w14:paraId="0A925E95" w14:textId="77777777" w:rsidR="0088234E" w:rsidRPr="002A1F94" w:rsidRDefault="0088234E" w:rsidP="0088234E">
      <w:pPr>
        <w:rPr>
          <w:rFonts w:ascii="Arial" w:hAnsi="Arial" w:cs="Arial"/>
        </w:rPr>
      </w:pPr>
    </w:p>
    <w:p w14:paraId="2C4330C1" w14:textId="77777777" w:rsidR="0088234E" w:rsidRPr="002A1F94" w:rsidRDefault="0088234E" w:rsidP="0088234E">
      <w:pPr>
        <w:rPr>
          <w:rFonts w:ascii="Arial" w:hAnsi="Arial" w:cs="Arial"/>
        </w:rPr>
      </w:pPr>
    </w:p>
    <w:p w14:paraId="28B21F8D" w14:textId="77777777" w:rsidR="0088234E" w:rsidRPr="002A1F94" w:rsidRDefault="0088234E" w:rsidP="0088234E">
      <w:pPr>
        <w:spacing w:line="480" w:lineRule="auto"/>
        <w:rPr>
          <w:rFonts w:ascii="Arial" w:hAnsi="Arial" w:cs="Arial"/>
        </w:rPr>
      </w:pPr>
    </w:p>
    <w:p w14:paraId="7485C94E" w14:textId="2F55FC83" w:rsidR="008F349B" w:rsidRPr="002A1F94" w:rsidRDefault="008F349B" w:rsidP="0088234E">
      <w:pPr>
        <w:jc w:val="both"/>
        <w:rPr>
          <w:rFonts w:ascii="Arial" w:hAnsi="Arial" w:cs="Arial"/>
          <w:b/>
          <w:bCs/>
        </w:rPr>
      </w:pPr>
      <w:r w:rsidRPr="002A1F94">
        <w:rPr>
          <w:rFonts w:ascii="Arial" w:hAnsi="Arial" w:cs="Arial"/>
        </w:rPr>
        <w:tab/>
      </w:r>
    </w:p>
    <w:p w14:paraId="4B889DEF" w14:textId="77777777" w:rsidR="008F349B" w:rsidRPr="002A1F94" w:rsidRDefault="008F349B" w:rsidP="008F349B">
      <w:pPr>
        <w:tabs>
          <w:tab w:val="right" w:pos="9072"/>
        </w:tabs>
        <w:jc w:val="both"/>
        <w:rPr>
          <w:rFonts w:ascii="Arial" w:hAnsi="Arial" w:cs="Arial"/>
        </w:rPr>
      </w:pPr>
      <w:r w:rsidRPr="002A1F94">
        <w:rPr>
          <w:rFonts w:ascii="Arial" w:hAnsi="Arial" w:cs="Arial"/>
        </w:rPr>
        <w:t>In the matter between</w:t>
      </w:r>
    </w:p>
    <w:p w14:paraId="531FC98B" w14:textId="77777777" w:rsidR="008F349B" w:rsidRPr="002A1F94" w:rsidRDefault="008F349B" w:rsidP="008F349B">
      <w:pPr>
        <w:tabs>
          <w:tab w:val="right" w:pos="9072"/>
        </w:tabs>
        <w:jc w:val="both"/>
        <w:rPr>
          <w:rFonts w:ascii="Arial" w:hAnsi="Arial" w:cs="Arial"/>
        </w:rPr>
      </w:pPr>
    </w:p>
    <w:p w14:paraId="0583ACAC" w14:textId="1F8B67DF" w:rsidR="008F349B" w:rsidRPr="002A1F94" w:rsidRDefault="008F349B" w:rsidP="008F349B">
      <w:pPr>
        <w:tabs>
          <w:tab w:val="right" w:pos="9026"/>
          <w:tab w:val="right" w:pos="9072"/>
        </w:tabs>
        <w:spacing w:line="360" w:lineRule="auto"/>
        <w:jc w:val="both"/>
        <w:rPr>
          <w:rFonts w:ascii="Arial" w:hAnsi="Arial" w:cs="Arial"/>
        </w:rPr>
      </w:pPr>
      <w:r w:rsidRPr="002A1F94">
        <w:rPr>
          <w:rFonts w:ascii="Arial" w:hAnsi="Arial" w:cs="Arial"/>
          <w:b/>
          <w:bCs/>
        </w:rPr>
        <w:t xml:space="preserve">E.C </w:t>
      </w:r>
      <w:proofErr w:type="gramStart"/>
      <w:r w:rsidRPr="002A1F94">
        <w:rPr>
          <w:rFonts w:ascii="Arial" w:hAnsi="Arial" w:cs="Arial"/>
          <w:b/>
          <w:bCs/>
        </w:rPr>
        <w:t>C</w:t>
      </w:r>
      <w:r w:rsidR="00733F33">
        <w:rPr>
          <w:rFonts w:ascii="Arial" w:hAnsi="Arial" w:cs="Arial"/>
          <w:b/>
          <w:bCs/>
        </w:rPr>
        <w:t>[</w:t>
      </w:r>
      <w:proofErr w:type="gramEnd"/>
      <w:r w:rsidR="00733F33">
        <w:rPr>
          <w:rFonts w:ascii="Arial" w:hAnsi="Arial" w:cs="Arial"/>
          <w:b/>
          <w:bCs/>
        </w:rPr>
        <w:t>…]</w:t>
      </w:r>
      <w:r w:rsidRPr="002A1F94">
        <w:rPr>
          <w:rFonts w:ascii="Arial" w:hAnsi="Arial" w:cs="Arial"/>
          <w:b/>
          <w:bCs/>
        </w:rPr>
        <w:t xml:space="preserve"> OBO J. V</w:t>
      </w:r>
      <w:r w:rsidR="00733F33">
        <w:rPr>
          <w:rFonts w:ascii="Arial" w:hAnsi="Arial" w:cs="Arial"/>
          <w:b/>
          <w:bCs/>
        </w:rPr>
        <w:t>[…]</w:t>
      </w:r>
      <w:r w:rsidRPr="002A1F94">
        <w:rPr>
          <w:rFonts w:ascii="Arial" w:hAnsi="Arial" w:cs="Arial"/>
          <w:b/>
          <w:bCs/>
        </w:rPr>
        <w:tab/>
      </w:r>
      <w:r w:rsidRPr="002A1F94">
        <w:rPr>
          <w:rFonts w:ascii="Arial" w:hAnsi="Arial" w:cs="Arial"/>
        </w:rPr>
        <w:t>Plaintiff</w:t>
      </w:r>
    </w:p>
    <w:p w14:paraId="2783E76D" w14:textId="77777777" w:rsidR="008F349B" w:rsidRPr="002A1F94" w:rsidRDefault="008F349B" w:rsidP="008F349B">
      <w:pPr>
        <w:tabs>
          <w:tab w:val="right" w:pos="9072"/>
        </w:tabs>
        <w:spacing w:line="360" w:lineRule="auto"/>
        <w:jc w:val="both"/>
        <w:rPr>
          <w:rFonts w:ascii="Arial" w:hAnsi="Arial" w:cs="Arial"/>
        </w:rPr>
      </w:pPr>
    </w:p>
    <w:p w14:paraId="0A520922" w14:textId="77777777" w:rsidR="008F349B" w:rsidRPr="002A1F94" w:rsidRDefault="008F349B" w:rsidP="008F349B">
      <w:pPr>
        <w:tabs>
          <w:tab w:val="right" w:pos="9072"/>
        </w:tabs>
        <w:spacing w:line="360" w:lineRule="auto"/>
        <w:jc w:val="both"/>
        <w:rPr>
          <w:rFonts w:ascii="Arial" w:hAnsi="Arial" w:cs="Arial"/>
        </w:rPr>
      </w:pPr>
      <w:r w:rsidRPr="002A1F94">
        <w:rPr>
          <w:rFonts w:ascii="Arial" w:hAnsi="Arial" w:cs="Arial"/>
        </w:rPr>
        <w:t>and</w:t>
      </w:r>
    </w:p>
    <w:p w14:paraId="08350A3D" w14:textId="77777777" w:rsidR="008F349B" w:rsidRPr="002A1F94" w:rsidRDefault="008F349B" w:rsidP="008F349B">
      <w:pPr>
        <w:tabs>
          <w:tab w:val="right" w:pos="9072"/>
        </w:tabs>
        <w:spacing w:line="360" w:lineRule="auto"/>
        <w:jc w:val="both"/>
        <w:rPr>
          <w:rFonts w:ascii="Arial" w:hAnsi="Arial" w:cs="Arial"/>
        </w:rPr>
      </w:pPr>
    </w:p>
    <w:p w14:paraId="75D67211" w14:textId="77777777" w:rsidR="008F349B" w:rsidRPr="002A1F94" w:rsidRDefault="008F349B" w:rsidP="008F349B">
      <w:pPr>
        <w:tabs>
          <w:tab w:val="right" w:pos="9026"/>
          <w:tab w:val="right" w:pos="9072"/>
        </w:tabs>
        <w:spacing w:line="360" w:lineRule="auto"/>
        <w:jc w:val="both"/>
        <w:rPr>
          <w:rFonts w:ascii="Arial" w:hAnsi="Arial" w:cs="Arial"/>
        </w:rPr>
      </w:pPr>
      <w:r w:rsidRPr="002A1F94">
        <w:rPr>
          <w:rFonts w:ascii="Arial" w:hAnsi="Arial" w:cs="Arial"/>
          <w:b/>
          <w:bCs/>
        </w:rPr>
        <w:t>MEC FOR EDUCATION, GAUTENG PROVINCE</w:t>
      </w:r>
      <w:r w:rsidRPr="002A1F94">
        <w:rPr>
          <w:rFonts w:ascii="Arial" w:hAnsi="Arial" w:cs="Arial"/>
          <w:b/>
          <w:bCs/>
        </w:rPr>
        <w:tab/>
      </w:r>
      <w:r w:rsidRPr="002A1F94">
        <w:rPr>
          <w:rFonts w:ascii="Arial" w:hAnsi="Arial" w:cs="Arial"/>
        </w:rPr>
        <w:t>Defendant</w:t>
      </w:r>
    </w:p>
    <w:p w14:paraId="3EE2E0F3" w14:textId="77777777" w:rsidR="008F349B" w:rsidRPr="002A1F94" w:rsidRDefault="008F349B" w:rsidP="008F349B">
      <w:pPr>
        <w:tabs>
          <w:tab w:val="left" w:pos="6948"/>
        </w:tabs>
        <w:spacing w:line="360" w:lineRule="auto"/>
        <w:jc w:val="both"/>
        <w:rPr>
          <w:rFonts w:ascii="Arial" w:hAnsi="Arial" w:cs="Arial"/>
          <w:b/>
          <w:bCs/>
          <w:spacing w:val="6"/>
        </w:rPr>
      </w:pPr>
    </w:p>
    <w:p w14:paraId="20DC9DF9" w14:textId="77777777" w:rsidR="008F349B" w:rsidRPr="002A1F94" w:rsidRDefault="008F349B" w:rsidP="008F349B">
      <w:pPr>
        <w:pBdr>
          <w:top w:val="single" w:sz="4" w:space="1" w:color="auto"/>
        </w:pBdr>
        <w:jc w:val="both"/>
        <w:rPr>
          <w:rFonts w:ascii="Arial" w:hAnsi="Arial" w:cs="Arial"/>
          <w:b/>
          <w:bCs/>
          <w:spacing w:val="6"/>
        </w:rPr>
      </w:pPr>
    </w:p>
    <w:p w14:paraId="4AA52F2D" w14:textId="77777777" w:rsidR="008F349B" w:rsidRPr="002A1F94" w:rsidRDefault="008F349B" w:rsidP="008F349B">
      <w:pPr>
        <w:pStyle w:val="Heading1"/>
        <w:spacing w:line="240" w:lineRule="auto"/>
        <w:rPr>
          <w:spacing w:val="6"/>
          <w:sz w:val="24"/>
          <w:szCs w:val="24"/>
        </w:rPr>
      </w:pPr>
      <w:r w:rsidRPr="002A1F94">
        <w:rPr>
          <w:spacing w:val="6"/>
          <w:sz w:val="24"/>
          <w:szCs w:val="24"/>
        </w:rPr>
        <w:t>JUDGMENT</w:t>
      </w:r>
    </w:p>
    <w:p w14:paraId="3E0FA365" w14:textId="77777777" w:rsidR="008F349B" w:rsidRPr="002A1F94" w:rsidRDefault="008F349B" w:rsidP="008F349B">
      <w:pPr>
        <w:pBdr>
          <w:bottom w:val="single" w:sz="4" w:space="1" w:color="auto"/>
        </w:pBdr>
        <w:jc w:val="both"/>
        <w:rPr>
          <w:rFonts w:ascii="Arial" w:hAnsi="Arial" w:cs="Arial"/>
          <w:spacing w:val="6"/>
        </w:rPr>
      </w:pPr>
    </w:p>
    <w:p w14:paraId="78FC2F8E" w14:textId="77777777" w:rsidR="008F349B" w:rsidRPr="002A1F94" w:rsidRDefault="008F349B">
      <w:pPr>
        <w:rPr>
          <w:rFonts w:ascii="Arial" w:hAnsi="Arial" w:cs="Arial"/>
          <w:spacing w:val="6"/>
        </w:rPr>
      </w:pPr>
    </w:p>
    <w:p w14:paraId="7DB960EE" w14:textId="77777777" w:rsidR="008F349B" w:rsidRPr="002A1F94" w:rsidRDefault="008F349B">
      <w:pPr>
        <w:rPr>
          <w:rFonts w:ascii="Arial" w:hAnsi="Arial" w:cs="Arial"/>
          <w:b/>
          <w:sz w:val="24"/>
          <w:szCs w:val="24"/>
        </w:rPr>
      </w:pPr>
      <w:r w:rsidRPr="002A1F94">
        <w:rPr>
          <w:rFonts w:ascii="Arial" w:hAnsi="Arial" w:cs="Arial"/>
          <w:b/>
          <w:sz w:val="24"/>
          <w:szCs w:val="24"/>
        </w:rPr>
        <w:lastRenderedPageBreak/>
        <w:t>COWEN J</w:t>
      </w:r>
    </w:p>
    <w:p w14:paraId="4BC87E86" w14:textId="77777777" w:rsidR="008F349B" w:rsidRPr="002A1F94" w:rsidRDefault="008F349B">
      <w:pPr>
        <w:rPr>
          <w:rFonts w:ascii="Arial" w:hAnsi="Arial" w:cs="Arial"/>
        </w:rPr>
      </w:pPr>
    </w:p>
    <w:p w14:paraId="65AAC274" w14:textId="3E82528D" w:rsidR="00341925"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t>1.</w:t>
      </w:r>
      <w:r w:rsidRPr="002A1F94">
        <w:rPr>
          <w:rFonts w:ascii="Arial" w:hAnsi="Arial" w:cs="Arial"/>
          <w:sz w:val="24"/>
          <w:szCs w:val="24"/>
        </w:rPr>
        <w:tab/>
      </w:r>
      <w:r w:rsidR="008F349B" w:rsidRPr="00827DA8">
        <w:rPr>
          <w:rFonts w:ascii="Arial" w:hAnsi="Arial" w:cs="Arial"/>
          <w:sz w:val="24"/>
          <w:szCs w:val="24"/>
        </w:rPr>
        <w:t>T</w:t>
      </w:r>
      <w:r w:rsidR="00464EEB" w:rsidRPr="00827DA8">
        <w:rPr>
          <w:rFonts w:ascii="Arial" w:hAnsi="Arial" w:cs="Arial"/>
          <w:sz w:val="24"/>
          <w:szCs w:val="24"/>
        </w:rPr>
        <w:t>he plaintiff instituted</w:t>
      </w:r>
      <w:r w:rsidR="008F349B" w:rsidRPr="00827DA8">
        <w:rPr>
          <w:rFonts w:ascii="Arial" w:hAnsi="Arial" w:cs="Arial"/>
          <w:sz w:val="24"/>
          <w:szCs w:val="24"/>
        </w:rPr>
        <w:t xml:space="preserve"> an action</w:t>
      </w:r>
      <w:r w:rsidR="00464EEB" w:rsidRPr="00827DA8">
        <w:rPr>
          <w:rFonts w:ascii="Arial" w:hAnsi="Arial" w:cs="Arial"/>
          <w:sz w:val="24"/>
          <w:szCs w:val="24"/>
        </w:rPr>
        <w:t xml:space="preserve"> on behalf of her minor child for damages against the defendant, the Member of the Executive Council for the Department of Education, Gauteng (the MEC).  The damages claimed arose from an incident which occurred at the child’s school, the </w:t>
      </w:r>
      <w:proofErr w:type="spellStart"/>
      <w:r w:rsidR="00464EEB" w:rsidRPr="00827DA8">
        <w:rPr>
          <w:rFonts w:ascii="Arial" w:hAnsi="Arial" w:cs="Arial"/>
          <w:sz w:val="24"/>
          <w:szCs w:val="24"/>
        </w:rPr>
        <w:t>Bakenkop</w:t>
      </w:r>
      <w:proofErr w:type="spellEnd"/>
      <w:r w:rsidR="00464EEB" w:rsidRPr="00827DA8">
        <w:rPr>
          <w:rFonts w:ascii="Arial" w:hAnsi="Arial" w:cs="Arial"/>
          <w:sz w:val="24"/>
          <w:szCs w:val="24"/>
        </w:rPr>
        <w:t xml:space="preserve"> Primary School (the school) and which led ultimately to the amputation of the child’s left big toe. </w:t>
      </w:r>
      <w:r w:rsidR="00341925" w:rsidRPr="00827DA8">
        <w:rPr>
          <w:rFonts w:ascii="Arial" w:hAnsi="Arial" w:cs="Arial"/>
          <w:sz w:val="24"/>
          <w:szCs w:val="24"/>
        </w:rPr>
        <w:t xml:space="preserve">  The child was only seven years old at the time of the injury.</w:t>
      </w:r>
      <w:r w:rsidR="00464EEB" w:rsidRPr="00827DA8">
        <w:rPr>
          <w:rFonts w:ascii="Arial" w:hAnsi="Arial" w:cs="Arial"/>
          <w:sz w:val="24"/>
          <w:szCs w:val="24"/>
        </w:rPr>
        <w:t xml:space="preserve"> </w:t>
      </w:r>
      <w:r w:rsidR="00341925" w:rsidRPr="00827DA8">
        <w:rPr>
          <w:rFonts w:ascii="Arial" w:hAnsi="Arial" w:cs="Arial"/>
          <w:sz w:val="24"/>
          <w:szCs w:val="24"/>
        </w:rPr>
        <w:t xml:space="preserve"> </w:t>
      </w:r>
      <w:r w:rsidR="00464EEB" w:rsidRPr="00827DA8">
        <w:rPr>
          <w:rFonts w:ascii="Arial" w:hAnsi="Arial" w:cs="Arial"/>
          <w:sz w:val="24"/>
          <w:szCs w:val="24"/>
        </w:rPr>
        <w:t>The dispute was ultimately settled by way of a payment made by the school’s insurer, but the insurer refused to pay the litigation costs</w:t>
      </w:r>
      <w:r w:rsidR="00341925" w:rsidRPr="00827DA8">
        <w:rPr>
          <w:rFonts w:ascii="Arial" w:hAnsi="Arial" w:cs="Arial"/>
          <w:sz w:val="24"/>
          <w:szCs w:val="24"/>
        </w:rPr>
        <w:t>, which were ultimately reserved</w:t>
      </w:r>
      <w:r w:rsidR="00464EEB" w:rsidRPr="00827DA8">
        <w:rPr>
          <w:rFonts w:ascii="Arial" w:hAnsi="Arial" w:cs="Arial"/>
          <w:sz w:val="24"/>
          <w:szCs w:val="24"/>
        </w:rPr>
        <w:t>.</w:t>
      </w:r>
    </w:p>
    <w:p w14:paraId="62F2CBEF" w14:textId="77777777" w:rsidR="00341925" w:rsidRPr="002A1F94" w:rsidRDefault="00341925" w:rsidP="002A1F94">
      <w:pPr>
        <w:pStyle w:val="ListParagraph"/>
        <w:spacing w:line="360" w:lineRule="auto"/>
        <w:jc w:val="both"/>
        <w:rPr>
          <w:rFonts w:ascii="Arial" w:hAnsi="Arial" w:cs="Arial"/>
          <w:sz w:val="24"/>
          <w:szCs w:val="24"/>
        </w:rPr>
      </w:pPr>
    </w:p>
    <w:p w14:paraId="178669F7" w14:textId="07F16DD8" w:rsidR="00341925"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t>2.</w:t>
      </w:r>
      <w:r w:rsidRPr="002A1F94">
        <w:rPr>
          <w:rFonts w:ascii="Arial" w:hAnsi="Arial" w:cs="Arial"/>
          <w:sz w:val="24"/>
          <w:szCs w:val="24"/>
        </w:rPr>
        <w:tab/>
      </w:r>
      <w:r w:rsidR="00341925" w:rsidRPr="00827DA8">
        <w:rPr>
          <w:rFonts w:ascii="Arial" w:hAnsi="Arial" w:cs="Arial"/>
          <w:sz w:val="24"/>
          <w:szCs w:val="24"/>
        </w:rPr>
        <w:t xml:space="preserve">The </w:t>
      </w:r>
      <w:r w:rsidR="008F349B" w:rsidRPr="00827DA8">
        <w:rPr>
          <w:rFonts w:ascii="Arial" w:hAnsi="Arial" w:cs="Arial"/>
          <w:sz w:val="24"/>
          <w:szCs w:val="24"/>
        </w:rPr>
        <w:t xml:space="preserve">costs </w:t>
      </w:r>
      <w:r w:rsidR="00341925" w:rsidRPr="00827DA8">
        <w:rPr>
          <w:rFonts w:ascii="Arial" w:hAnsi="Arial" w:cs="Arial"/>
          <w:sz w:val="24"/>
          <w:szCs w:val="24"/>
        </w:rPr>
        <w:t xml:space="preserve">dispute came before me on the trial roll on 13 March 2024. </w:t>
      </w:r>
      <w:r w:rsidR="00464EEB" w:rsidRPr="00827DA8">
        <w:rPr>
          <w:rFonts w:ascii="Arial" w:hAnsi="Arial" w:cs="Arial"/>
          <w:sz w:val="24"/>
          <w:szCs w:val="24"/>
        </w:rPr>
        <w:t xml:space="preserve">  </w:t>
      </w:r>
      <w:proofErr w:type="gramStart"/>
      <w:r w:rsidR="00341925" w:rsidRPr="00827DA8">
        <w:rPr>
          <w:rFonts w:ascii="Arial" w:hAnsi="Arial" w:cs="Arial"/>
          <w:sz w:val="24"/>
          <w:szCs w:val="24"/>
        </w:rPr>
        <w:t>In order to</w:t>
      </w:r>
      <w:proofErr w:type="gramEnd"/>
      <w:r w:rsidR="00341925" w:rsidRPr="00827DA8">
        <w:rPr>
          <w:rFonts w:ascii="Arial" w:hAnsi="Arial" w:cs="Arial"/>
          <w:sz w:val="24"/>
          <w:szCs w:val="24"/>
        </w:rPr>
        <w:t xml:space="preserve"> </w:t>
      </w:r>
      <w:r w:rsidR="008F349B" w:rsidRPr="00827DA8">
        <w:rPr>
          <w:rFonts w:ascii="Arial" w:hAnsi="Arial" w:cs="Arial"/>
          <w:sz w:val="24"/>
          <w:szCs w:val="24"/>
        </w:rPr>
        <w:t>facilitate the determination of</w:t>
      </w:r>
      <w:r w:rsidR="00341925" w:rsidRPr="00827DA8">
        <w:rPr>
          <w:rFonts w:ascii="Arial" w:hAnsi="Arial" w:cs="Arial"/>
          <w:sz w:val="24"/>
          <w:szCs w:val="24"/>
        </w:rPr>
        <w:t xml:space="preserve"> </w:t>
      </w:r>
      <w:r w:rsidR="008F349B" w:rsidRPr="00827DA8">
        <w:rPr>
          <w:rFonts w:ascii="Arial" w:hAnsi="Arial" w:cs="Arial"/>
          <w:sz w:val="24"/>
          <w:szCs w:val="24"/>
        </w:rPr>
        <w:t>the dispute</w:t>
      </w:r>
      <w:r w:rsidR="00341925" w:rsidRPr="00827DA8">
        <w:rPr>
          <w:rFonts w:ascii="Arial" w:hAnsi="Arial" w:cs="Arial"/>
          <w:sz w:val="24"/>
          <w:szCs w:val="24"/>
        </w:rPr>
        <w:t>, both parties delivered affidavits setting out their</w:t>
      </w:r>
      <w:r w:rsidR="009E0E65" w:rsidRPr="00827DA8">
        <w:rPr>
          <w:rFonts w:ascii="Arial" w:hAnsi="Arial" w:cs="Arial"/>
          <w:sz w:val="24"/>
          <w:szCs w:val="24"/>
        </w:rPr>
        <w:t xml:space="preserve"> contentions and related facts.  The </w:t>
      </w:r>
      <w:r w:rsidR="00341925" w:rsidRPr="00827DA8">
        <w:rPr>
          <w:rFonts w:ascii="Arial" w:hAnsi="Arial" w:cs="Arial"/>
          <w:sz w:val="24"/>
          <w:szCs w:val="24"/>
        </w:rPr>
        <w:t xml:space="preserve">defendant also delivered brief heads of argument.  I heard oral argument from both parties’ counsel. </w:t>
      </w:r>
    </w:p>
    <w:p w14:paraId="1A9BEFEA" w14:textId="77777777" w:rsidR="00341925" w:rsidRPr="002A1F94" w:rsidRDefault="00341925" w:rsidP="002A1F94">
      <w:pPr>
        <w:pStyle w:val="ListParagraph"/>
        <w:spacing w:line="360" w:lineRule="auto"/>
        <w:jc w:val="both"/>
        <w:rPr>
          <w:rFonts w:ascii="Arial" w:hAnsi="Arial" w:cs="Arial"/>
          <w:sz w:val="24"/>
          <w:szCs w:val="24"/>
        </w:rPr>
      </w:pPr>
    </w:p>
    <w:p w14:paraId="6B4FACE9" w14:textId="58917A90" w:rsidR="00341925"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t>3.</w:t>
      </w:r>
      <w:r w:rsidRPr="002A1F94">
        <w:rPr>
          <w:rFonts w:ascii="Arial" w:hAnsi="Arial" w:cs="Arial"/>
          <w:sz w:val="24"/>
          <w:szCs w:val="24"/>
        </w:rPr>
        <w:tab/>
      </w:r>
      <w:r w:rsidR="00341925" w:rsidRPr="00827DA8">
        <w:rPr>
          <w:rFonts w:ascii="Arial" w:hAnsi="Arial" w:cs="Arial"/>
          <w:sz w:val="24"/>
          <w:szCs w:val="24"/>
        </w:rPr>
        <w:t>The plaintiff submits that she is entitled to the costs of suit, on an attorney and c</w:t>
      </w:r>
      <w:r w:rsidR="009E0E65" w:rsidRPr="00827DA8">
        <w:rPr>
          <w:rFonts w:ascii="Arial" w:hAnsi="Arial" w:cs="Arial"/>
          <w:sz w:val="24"/>
          <w:szCs w:val="24"/>
        </w:rPr>
        <w:t>lient scale, effectively on the pri</w:t>
      </w:r>
      <w:r w:rsidR="00341925" w:rsidRPr="00827DA8">
        <w:rPr>
          <w:rFonts w:ascii="Arial" w:hAnsi="Arial" w:cs="Arial"/>
          <w:sz w:val="24"/>
          <w:szCs w:val="24"/>
        </w:rPr>
        <w:t>nciple that costs should follow the result and the claim was successful.  The defendant submits that each party should pay their own costs because the litigation was wholly unnecessary and would have been avoided had the plaintiff furthered the claim against the insurer prior to the commencement of the litigation.</w:t>
      </w:r>
      <w:r w:rsidR="009E0E65" w:rsidRPr="00827DA8">
        <w:rPr>
          <w:rFonts w:ascii="Arial" w:hAnsi="Arial" w:cs="Arial"/>
          <w:sz w:val="24"/>
          <w:szCs w:val="24"/>
        </w:rPr>
        <w:t xml:space="preserve">  The defendant</w:t>
      </w:r>
      <w:r w:rsidR="008F349B" w:rsidRPr="00827DA8">
        <w:rPr>
          <w:rFonts w:ascii="Arial" w:hAnsi="Arial" w:cs="Arial"/>
          <w:sz w:val="24"/>
          <w:szCs w:val="24"/>
        </w:rPr>
        <w:t xml:space="preserve"> also contended that the settlement did not entail any concession on the merits. </w:t>
      </w:r>
    </w:p>
    <w:p w14:paraId="6AA95CBB" w14:textId="77777777" w:rsidR="00341925" w:rsidRPr="002A1F94" w:rsidRDefault="00341925" w:rsidP="002A1F94">
      <w:pPr>
        <w:pStyle w:val="ListParagraph"/>
        <w:spacing w:line="360" w:lineRule="auto"/>
        <w:jc w:val="both"/>
        <w:rPr>
          <w:rFonts w:ascii="Arial" w:hAnsi="Arial" w:cs="Arial"/>
          <w:sz w:val="24"/>
          <w:szCs w:val="24"/>
        </w:rPr>
      </w:pPr>
    </w:p>
    <w:p w14:paraId="7E5755F6" w14:textId="6B0B0B5D" w:rsidR="009E0E65"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t>4.</w:t>
      </w:r>
      <w:r w:rsidRPr="002A1F94">
        <w:rPr>
          <w:rFonts w:ascii="Arial" w:hAnsi="Arial" w:cs="Arial"/>
          <w:sz w:val="24"/>
          <w:szCs w:val="24"/>
        </w:rPr>
        <w:tab/>
      </w:r>
      <w:r w:rsidR="00341925" w:rsidRPr="00827DA8">
        <w:rPr>
          <w:rFonts w:ascii="Arial" w:hAnsi="Arial" w:cs="Arial"/>
          <w:sz w:val="24"/>
          <w:szCs w:val="24"/>
        </w:rPr>
        <w:t xml:space="preserve">The incident occurred on 12 October 2015.  Shortly thereafter, and on 21 October 2015, the school lodged a claim under its insurance policy with its insurer and notified the plaintiff’s then attorney that it had done so, supplying the claim number.  </w:t>
      </w:r>
      <w:r w:rsidR="00FD3ECC" w:rsidRPr="00827DA8">
        <w:rPr>
          <w:rFonts w:ascii="Arial" w:hAnsi="Arial" w:cs="Arial"/>
          <w:sz w:val="24"/>
          <w:szCs w:val="24"/>
        </w:rPr>
        <w:t>The e-mail dated 28 October 2015 read</w:t>
      </w:r>
      <w:r w:rsidR="0088234E" w:rsidRPr="00827DA8">
        <w:rPr>
          <w:rFonts w:ascii="Arial" w:hAnsi="Arial" w:cs="Arial"/>
          <w:sz w:val="24"/>
          <w:szCs w:val="24"/>
        </w:rPr>
        <w:t>: ‘</w:t>
      </w:r>
      <w:r w:rsidR="00FD3ECC" w:rsidRPr="00827DA8">
        <w:rPr>
          <w:rFonts w:ascii="Arial" w:hAnsi="Arial" w:cs="Arial"/>
          <w:i/>
          <w:sz w:val="24"/>
          <w:szCs w:val="24"/>
        </w:rPr>
        <w:t>A public liability claim with Santam was lodged with claim number 175193936, regarding [the minor child].</w:t>
      </w:r>
      <w:r w:rsidR="00FD3ECC" w:rsidRPr="00827DA8">
        <w:rPr>
          <w:rFonts w:ascii="Arial" w:hAnsi="Arial" w:cs="Arial"/>
          <w:sz w:val="24"/>
          <w:szCs w:val="24"/>
        </w:rPr>
        <w:t>’</w:t>
      </w:r>
      <w:r w:rsidR="00341925" w:rsidRPr="00827DA8">
        <w:rPr>
          <w:rFonts w:ascii="Arial" w:hAnsi="Arial" w:cs="Arial"/>
          <w:sz w:val="24"/>
          <w:szCs w:val="24"/>
        </w:rPr>
        <w:t xml:space="preserve">   </w:t>
      </w:r>
    </w:p>
    <w:p w14:paraId="7789AB03" w14:textId="77777777" w:rsidR="009E0E65" w:rsidRPr="002A1F94" w:rsidRDefault="009E0E65" w:rsidP="002A1F94">
      <w:pPr>
        <w:pStyle w:val="ListParagraph"/>
        <w:spacing w:line="360" w:lineRule="auto"/>
        <w:jc w:val="both"/>
        <w:rPr>
          <w:rFonts w:ascii="Arial" w:hAnsi="Arial" w:cs="Arial"/>
          <w:sz w:val="24"/>
          <w:szCs w:val="24"/>
        </w:rPr>
      </w:pPr>
    </w:p>
    <w:p w14:paraId="77727A9D" w14:textId="06615543" w:rsidR="00FD3ECC"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lastRenderedPageBreak/>
        <w:t>5.</w:t>
      </w:r>
      <w:r w:rsidRPr="002A1F94">
        <w:rPr>
          <w:rFonts w:ascii="Arial" w:hAnsi="Arial" w:cs="Arial"/>
          <w:sz w:val="24"/>
          <w:szCs w:val="24"/>
        </w:rPr>
        <w:tab/>
      </w:r>
      <w:r w:rsidR="00FD3ECC" w:rsidRPr="00827DA8">
        <w:rPr>
          <w:rFonts w:ascii="Arial" w:hAnsi="Arial" w:cs="Arial"/>
          <w:sz w:val="24"/>
          <w:szCs w:val="24"/>
        </w:rPr>
        <w:t>It appears that shortly thereafter, the plaintiff’s family left South Africa and emigrated to the United States of America and there was no further contact between the school and the plaintiff regarding the claim.   On 8 January 2016, some three months after the incident, the plaintiffs’ attorneys sent the defendant a notice of intention to institute legal proceedings in terms of</w:t>
      </w:r>
      <w:r w:rsidR="009E0E65" w:rsidRPr="00827DA8">
        <w:rPr>
          <w:rFonts w:ascii="Arial" w:hAnsi="Arial" w:cs="Arial"/>
          <w:sz w:val="24"/>
          <w:szCs w:val="24"/>
        </w:rPr>
        <w:t xml:space="preserve"> the Institution of Legal Proceedings against Certain Organs of State</w:t>
      </w:r>
      <w:r w:rsidR="00FD3ECC" w:rsidRPr="00827DA8">
        <w:rPr>
          <w:rFonts w:ascii="Arial" w:hAnsi="Arial" w:cs="Arial"/>
          <w:sz w:val="24"/>
          <w:szCs w:val="24"/>
        </w:rPr>
        <w:t xml:space="preserve"> Act 40 of 2002.   It appears that nothing further happened until the action was then instituted </w:t>
      </w:r>
      <w:r w:rsidR="009E0E65" w:rsidRPr="00827DA8">
        <w:rPr>
          <w:rFonts w:ascii="Arial" w:hAnsi="Arial" w:cs="Arial"/>
          <w:sz w:val="24"/>
          <w:szCs w:val="24"/>
        </w:rPr>
        <w:t xml:space="preserve">some three years </w:t>
      </w:r>
      <w:proofErr w:type="gramStart"/>
      <w:r w:rsidR="009E0E65" w:rsidRPr="00827DA8">
        <w:rPr>
          <w:rFonts w:ascii="Arial" w:hAnsi="Arial" w:cs="Arial"/>
          <w:sz w:val="24"/>
          <w:szCs w:val="24"/>
        </w:rPr>
        <w:t xml:space="preserve">later </w:t>
      </w:r>
      <w:r w:rsidR="00FD3ECC" w:rsidRPr="00827DA8">
        <w:rPr>
          <w:rFonts w:ascii="Arial" w:hAnsi="Arial" w:cs="Arial"/>
          <w:sz w:val="24"/>
          <w:szCs w:val="24"/>
        </w:rPr>
        <w:t>on</w:t>
      </w:r>
      <w:proofErr w:type="gramEnd"/>
      <w:r w:rsidR="00FD3ECC" w:rsidRPr="00827DA8">
        <w:rPr>
          <w:rFonts w:ascii="Arial" w:hAnsi="Arial" w:cs="Arial"/>
          <w:sz w:val="24"/>
          <w:szCs w:val="24"/>
        </w:rPr>
        <w:t xml:space="preserve"> 22 May 2019.</w:t>
      </w:r>
    </w:p>
    <w:p w14:paraId="7DD6C1DB" w14:textId="77777777" w:rsidR="00FD3ECC" w:rsidRPr="002A1F94" w:rsidRDefault="00FD3ECC" w:rsidP="002A1F94">
      <w:pPr>
        <w:pStyle w:val="ListParagraph"/>
        <w:spacing w:line="360" w:lineRule="auto"/>
        <w:jc w:val="both"/>
        <w:rPr>
          <w:rFonts w:ascii="Arial" w:hAnsi="Arial" w:cs="Arial"/>
          <w:sz w:val="24"/>
          <w:szCs w:val="24"/>
        </w:rPr>
      </w:pPr>
    </w:p>
    <w:p w14:paraId="32D7F342" w14:textId="1AD4AB0B" w:rsidR="00341925"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t>6.</w:t>
      </w:r>
      <w:r w:rsidRPr="002A1F94">
        <w:rPr>
          <w:rFonts w:ascii="Arial" w:hAnsi="Arial" w:cs="Arial"/>
          <w:sz w:val="24"/>
          <w:szCs w:val="24"/>
        </w:rPr>
        <w:tab/>
      </w:r>
      <w:r w:rsidR="00FD3ECC" w:rsidRPr="00827DA8">
        <w:rPr>
          <w:rFonts w:ascii="Arial" w:hAnsi="Arial" w:cs="Arial"/>
          <w:sz w:val="24"/>
          <w:szCs w:val="24"/>
        </w:rPr>
        <w:t>The Court’s attention was drawn to the provisions of section 59</w:t>
      </w:r>
      <w:r w:rsidR="00F15012" w:rsidRPr="00827DA8">
        <w:rPr>
          <w:rFonts w:ascii="Arial" w:hAnsi="Arial" w:cs="Arial"/>
          <w:sz w:val="24"/>
          <w:szCs w:val="24"/>
        </w:rPr>
        <w:t>(1)</w:t>
      </w:r>
      <w:r w:rsidR="00FD3ECC" w:rsidRPr="00827DA8">
        <w:rPr>
          <w:rFonts w:ascii="Arial" w:hAnsi="Arial" w:cs="Arial"/>
          <w:sz w:val="24"/>
          <w:szCs w:val="24"/>
        </w:rPr>
        <w:t xml:space="preserve"> and 60 of the Schools Act 84 of 1996 (the Schools Act) which provide: </w:t>
      </w:r>
    </w:p>
    <w:p w14:paraId="219BF8D4" w14:textId="77777777" w:rsidR="00FD3ECC" w:rsidRPr="002A1F94" w:rsidRDefault="00FD3ECC" w:rsidP="002A1F94">
      <w:pPr>
        <w:pStyle w:val="ListParagraph"/>
        <w:spacing w:line="360" w:lineRule="auto"/>
        <w:jc w:val="both"/>
        <w:rPr>
          <w:rFonts w:ascii="Arial" w:hAnsi="Arial" w:cs="Arial"/>
          <w:sz w:val="24"/>
          <w:szCs w:val="24"/>
        </w:rPr>
      </w:pPr>
    </w:p>
    <w:p w14:paraId="77A5AC49" w14:textId="77777777" w:rsidR="00FD3ECC" w:rsidRPr="002A1F94" w:rsidRDefault="00F15012" w:rsidP="002A1F94">
      <w:pPr>
        <w:pStyle w:val="ListParagraph"/>
        <w:spacing w:line="360" w:lineRule="auto"/>
        <w:jc w:val="both"/>
        <w:rPr>
          <w:rFonts w:ascii="Arial" w:hAnsi="Arial" w:cs="Arial"/>
          <w:i/>
          <w:sz w:val="24"/>
          <w:szCs w:val="24"/>
        </w:rPr>
      </w:pPr>
      <w:r w:rsidRPr="002A1F94">
        <w:rPr>
          <w:rFonts w:ascii="Arial" w:hAnsi="Arial" w:cs="Arial"/>
          <w:i/>
          <w:sz w:val="24"/>
          <w:szCs w:val="24"/>
        </w:rPr>
        <w:t>’59.</w:t>
      </w:r>
      <w:r w:rsidRPr="002A1F94">
        <w:rPr>
          <w:rFonts w:ascii="Arial" w:hAnsi="Arial" w:cs="Arial"/>
          <w:i/>
          <w:sz w:val="24"/>
          <w:szCs w:val="24"/>
        </w:rPr>
        <w:tab/>
        <w:t xml:space="preserve">Duty of schools to provide </w:t>
      </w:r>
      <w:proofErr w:type="gramStart"/>
      <w:r w:rsidRPr="002A1F94">
        <w:rPr>
          <w:rFonts w:ascii="Arial" w:hAnsi="Arial" w:cs="Arial"/>
          <w:i/>
          <w:sz w:val="24"/>
          <w:szCs w:val="24"/>
        </w:rPr>
        <w:t>information</w:t>
      </w:r>
      <w:proofErr w:type="gramEnd"/>
      <w:r w:rsidRPr="002A1F94">
        <w:rPr>
          <w:rFonts w:ascii="Arial" w:hAnsi="Arial" w:cs="Arial"/>
          <w:i/>
          <w:sz w:val="24"/>
          <w:szCs w:val="24"/>
        </w:rPr>
        <w:t xml:space="preserve"> </w:t>
      </w:r>
    </w:p>
    <w:p w14:paraId="29CF7378" w14:textId="32DC8981" w:rsidR="00F15012" w:rsidRPr="00827DA8" w:rsidRDefault="00827DA8" w:rsidP="00827DA8">
      <w:pPr>
        <w:spacing w:line="360" w:lineRule="auto"/>
        <w:ind w:left="1800" w:hanging="360"/>
        <w:jc w:val="both"/>
        <w:rPr>
          <w:rFonts w:ascii="Arial" w:hAnsi="Arial" w:cs="Arial"/>
          <w:i/>
          <w:sz w:val="24"/>
          <w:szCs w:val="24"/>
        </w:rPr>
      </w:pPr>
      <w:r w:rsidRPr="002A1F94">
        <w:rPr>
          <w:rFonts w:ascii="Arial" w:hAnsi="Arial" w:cs="Arial"/>
          <w:i/>
          <w:sz w:val="24"/>
          <w:szCs w:val="24"/>
        </w:rPr>
        <w:t>(1)</w:t>
      </w:r>
      <w:r w:rsidRPr="002A1F94">
        <w:rPr>
          <w:rFonts w:ascii="Arial" w:hAnsi="Arial" w:cs="Arial"/>
          <w:i/>
          <w:sz w:val="24"/>
          <w:szCs w:val="24"/>
        </w:rPr>
        <w:tab/>
      </w:r>
      <w:r w:rsidR="00F15012" w:rsidRPr="00827DA8">
        <w:rPr>
          <w:rFonts w:ascii="Arial" w:hAnsi="Arial" w:cs="Arial"/>
          <w:i/>
          <w:sz w:val="24"/>
          <w:szCs w:val="24"/>
        </w:rPr>
        <w:t xml:space="preserve"> A school must make information available for inspection by any person, insofar as such information is required for the exercise and protection of such person’s rights. </w:t>
      </w:r>
    </w:p>
    <w:p w14:paraId="168D7B51" w14:textId="20B746E4" w:rsidR="00F15012" w:rsidRPr="00827DA8" w:rsidRDefault="00827DA8" w:rsidP="00827DA8">
      <w:pPr>
        <w:spacing w:line="360" w:lineRule="auto"/>
        <w:ind w:left="1800" w:hanging="360"/>
        <w:jc w:val="both"/>
        <w:rPr>
          <w:rFonts w:ascii="Arial" w:hAnsi="Arial" w:cs="Arial"/>
          <w:i/>
          <w:sz w:val="24"/>
          <w:szCs w:val="24"/>
        </w:rPr>
      </w:pPr>
      <w:r w:rsidRPr="002A1F94">
        <w:rPr>
          <w:rFonts w:ascii="Arial" w:hAnsi="Arial" w:cs="Arial"/>
          <w:i/>
          <w:sz w:val="24"/>
          <w:szCs w:val="24"/>
        </w:rPr>
        <w:t>(2)</w:t>
      </w:r>
      <w:r w:rsidRPr="002A1F94">
        <w:rPr>
          <w:rFonts w:ascii="Arial" w:hAnsi="Arial" w:cs="Arial"/>
          <w:i/>
          <w:sz w:val="24"/>
          <w:szCs w:val="24"/>
        </w:rPr>
        <w:tab/>
      </w:r>
      <w:r w:rsidR="00F15012" w:rsidRPr="00827DA8">
        <w:rPr>
          <w:rFonts w:ascii="Arial" w:hAnsi="Arial" w:cs="Arial"/>
          <w:i/>
          <w:sz w:val="24"/>
          <w:szCs w:val="24"/>
        </w:rPr>
        <w:t xml:space="preserve">… </w:t>
      </w:r>
    </w:p>
    <w:p w14:paraId="4CC09928" w14:textId="77777777" w:rsidR="00FD3ECC" w:rsidRPr="002A1F94" w:rsidRDefault="00FD3ECC" w:rsidP="002A1F94">
      <w:pPr>
        <w:pStyle w:val="ListParagraph"/>
        <w:spacing w:line="360" w:lineRule="auto"/>
        <w:jc w:val="both"/>
        <w:rPr>
          <w:rFonts w:ascii="Arial" w:hAnsi="Arial" w:cs="Arial"/>
          <w:i/>
          <w:sz w:val="24"/>
          <w:szCs w:val="24"/>
        </w:rPr>
      </w:pPr>
    </w:p>
    <w:p w14:paraId="13C07F5B" w14:textId="77777777" w:rsidR="00FD3ECC" w:rsidRPr="002A1F94" w:rsidRDefault="00F15012" w:rsidP="002A1F94">
      <w:pPr>
        <w:pStyle w:val="ListParagraph"/>
        <w:spacing w:line="360" w:lineRule="auto"/>
        <w:jc w:val="both"/>
        <w:rPr>
          <w:rFonts w:ascii="Arial" w:hAnsi="Arial" w:cs="Arial"/>
          <w:i/>
          <w:sz w:val="24"/>
          <w:szCs w:val="24"/>
        </w:rPr>
      </w:pPr>
      <w:r w:rsidRPr="002A1F94">
        <w:rPr>
          <w:rFonts w:ascii="Arial" w:hAnsi="Arial" w:cs="Arial"/>
          <w:i/>
          <w:sz w:val="24"/>
          <w:szCs w:val="24"/>
        </w:rPr>
        <w:t>60.</w:t>
      </w:r>
      <w:r w:rsidRPr="002A1F94">
        <w:rPr>
          <w:rFonts w:ascii="Arial" w:hAnsi="Arial" w:cs="Arial"/>
          <w:i/>
          <w:sz w:val="24"/>
          <w:szCs w:val="24"/>
        </w:rPr>
        <w:tab/>
        <w:t>Liability of State</w:t>
      </w:r>
    </w:p>
    <w:p w14:paraId="5AE28825" w14:textId="77777777" w:rsidR="00F15012" w:rsidRPr="002A1F94" w:rsidRDefault="00F15012" w:rsidP="002A1F94">
      <w:pPr>
        <w:pStyle w:val="ListParagraph"/>
        <w:spacing w:line="360" w:lineRule="auto"/>
        <w:jc w:val="both"/>
        <w:rPr>
          <w:rFonts w:ascii="Arial" w:hAnsi="Arial" w:cs="Arial"/>
          <w:sz w:val="24"/>
          <w:szCs w:val="24"/>
        </w:rPr>
      </w:pPr>
      <w:r w:rsidRPr="002A1F94">
        <w:rPr>
          <w:rFonts w:ascii="Arial" w:hAnsi="Arial" w:cs="Arial"/>
          <w:sz w:val="24"/>
          <w:szCs w:val="24"/>
        </w:rPr>
        <w:tab/>
      </w:r>
    </w:p>
    <w:p w14:paraId="3F8DD539" w14:textId="75734E19" w:rsidR="00F15012" w:rsidRPr="00827DA8" w:rsidRDefault="00827DA8" w:rsidP="00827DA8">
      <w:pPr>
        <w:spacing w:line="360" w:lineRule="auto"/>
        <w:ind w:left="1800" w:hanging="360"/>
        <w:jc w:val="both"/>
        <w:rPr>
          <w:rFonts w:ascii="Arial" w:hAnsi="Arial" w:cs="Arial"/>
          <w:i/>
          <w:sz w:val="24"/>
          <w:szCs w:val="24"/>
        </w:rPr>
      </w:pPr>
      <w:r w:rsidRPr="002A1F94">
        <w:rPr>
          <w:rFonts w:ascii="Arial" w:hAnsi="Arial" w:cs="Arial"/>
          <w:i/>
          <w:sz w:val="24"/>
          <w:szCs w:val="24"/>
        </w:rPr>
        <w:t>(1)</w:t>
      </w:r>
      <w:r w:rsidRPr="002A1F94">
        <w:rPr>
          <w:rFonts w:ascii="Arial" w:hAnsi="Arial" w:cs="Arial"/>
          <w:i/>
          <w:sz w:val="24"/>
          <w:szCs w:val="24"/>
        </w:rPr>
        <w:tab/>
      </w:r>
      <w:r w:rsidR="00F15012" w:rsidRPr="00827DA8">
        <w:rPr>
          <w:rFonts w:ascii="Arial" w:hAnsi="Arial" w:cs="Arial"/>
          <w:i/>
          <w:sz w:val="24"/>
          <w:szCs w:val="24"/>
        </w:rPr>
        <w:t xml:space="preserve">(a) Subject to paragraph (b), the State is liable for any </w:t>
      </w:r>
      <w:proofErr w:type="spellStart"/>
      <w:proofErr w:type="gramStart"/>
      <w:r w:rsidR="00F15012" w:rsidRPr="00827DA8">
        <w:rPr>
          <w:rFonts w:ascii="Arial" w:hAnsi="Arial" w:cs="Arial"/>
          <w:i/>
          <w:sz w:val="24"/>
          <w:szCs w:val="24"/>
        </w:rPr>
        <w:t>delictual</w:t>
      </w:r>
      <w:proofErr w:type="spellEnd"/>
      <w:proofErr w:type="gramEnd"/>
      <w:r w:rsidR="00F15012" w:rsidRPr="00827DA8">
        <w:rPr>
          <w:rFonts w:ascii="Arial" w:hAnsi="Arial" w:cs="Arial"/>
          <w:i/>
          <w:sz w:val="24"/>
          <w:szCs w:val="24"/>
        </w:rPr>
        <w:t xml:space="preserve"> or contractual damage or loss caused as a result of any act or omission in connection with any school activity conducted by a public school and for which such public school would have been liable but for the provisions of this section. </w:t>
      </w:r>
    </w:p>
    <w:p w14:paraId="3F39C71F" w14:textId="77777777" w:rsidR="00F15012" w:rsidRPr="002A1F94" w:rsidRDefault="00F15012" w:rsidP="002A1F94">
      <w:pPr>
        <w:pStyle w:val="ListParagraph"/>
        <w:spacing w:line="360" w:lineRule="auto"/>
        <w:ind w:left="1800"/>
        <w:jc w:val="both"/>
        <w:rPr>
          <w:rFonts w:ascii="Arial" w:hAnsi="Arial" w:cs="Arial"/>
          <w:i/>
          <w:sz w:val="24"/>
          <w:szCs w:val="24"/>
        </w:rPr>
      </w:pPr>
      <w:r w:rsidRPr="002A1F94">
        <w:rPr>
          <w:rFonts w:ascii="Arial" w:hAnsi="Arial" w:cs="Arial"/>
          <w:i/>
          <w:sz w:val="24"/>
          <w:szCs w:val="24"/>
        </w:rPr>
        <w:t xml:space="preserve">(b) Where a public school has taken out insurance and the school activity </w:t>
      </w:r>
      <w:proofErr w:type="gramStart"/>
      <w:r w:rsidRPr="002A1F94">
        <w:rPr>
          <w:rFonts w:ascii="Arial" w:hAnsi="Arial" w:cs="Arial"/>
          <w:i/>
          <w:sz w:val="24"/>
          <w:szCs w:val="24"/>
        </w:rPr>
        <w:t>is</w:t>
      </w:r>
      <w:proofErr w:type="gramEnd"/>
      <w:r w:rsidRPr="002A1F94">
        <w:rPr>
          <w:rFonts w:ascii="Arial" w:hAnsi="Arial" w:cs="Arial"/>
          <w:i/>
          <w:sz w:val="24"/>
          <w:szCs w:val="24"/>
        </w:rPr>
        <w:t xml:space="preserve"> an eventuality covered by the insurance policy, the liability of the State is limited to the extent that the damage or loss has not been compensated in terms of the policy.</w:t>
      </w:r>
    </w:p>
    <w:p w14:paraId="2698BAD1" w14:textId="77777777" w:rsidR="00F15012" w:rsidRPr="002A1F94" w:rsidRDefault="00F15012" w:rsidP="002A1F94">
      <w:pPr>
        <w:spacing w:line="360" w:lineRule="auto"/>
        <w:ind w:left="1843" w:hanging="425"/>
        <w:jc w:val="both"/>
        <w:rPr>
          <w:rFonts w:ascii="Arial" w:hAnsi="Arial" w:cs="Arial"/>
          <w:i/>
          <w:sz w:val="24"/>
          <w:szCs w:val="24"/>
        </w:rPr>
      </w:pPr>
      <w:r w:rsidRPr="002A1F94">
        <w:rPr>
          <w:rFonts w:ascii="Arial" w:hAnsi="Arial" w:cs="Arial"/>
          <w:i/>
          <w:sz w:val="24"/>
          <w:szCs w:val="24"/>
        </w:rPr>
        <w:lastRenderedPageBreak/>
        <w:t>(2) The provisions of the State Liability Act [20 of 1957] apply to any   claim under subsection (1).</w:t>
      </w:r>
    </w:p>
    <w:p w14:paraId="4C43B380" w14:textId="77777777" w:rsidR="00F15012" w:rsidRPr="002A1F94" w:rsidRDefault="00F15012" w:rsidP="002A1F94">
      <w:pPr>
        <w:spacing w:line="360" w:lineRule="auto"/>
        <w:ind w:left="1701" w:hanging="283"/>
        <w:jc w:val="both"/>
        <w:rPr>
          <w:rFonts w:ascii="Arial" w:hAnsi="Arial" w:cs="Arial"/>
          <w:i/>
          <w:sz w:val="24"/>
          <w:szCs w:val="24"/>
        </w:rPr>
      </w:pPr>
      <w:r w:rsidRPr="002A1F94">
        <w:rPr>
          <w:rFonts w:ascii="Arial" w:hAnsi="Arial" w:cs="Arial"/>
          <w:i/>
          <w:sz w:val="24"/>
          <w:szCs w:val="24"/>
        </w:rPr>
        <w:t xml:space="preserve">(3) Any claim for damage or loss contemplated in subsection (1) must be instituted against the Member of the Executive Council concerned.  </w:t>
      </w:r>
    </w:p>
    <w:p w14:paraId="5C4A0B97" w14:textId="77777777" w:rsidR="00F15012" w:rsidRPr="002A1F94" w:rsidRDefault="00F15012" w:rsidP="002A1F94">
      <w:pPr>
        <w:spacing w:line="360" w:lineRule="auto"/>
        <w:ind w:left="720" w:firstLine="720"/>
        <w:jc w:val="both"/>
        <w:rPr>
          <w:rFonts w:ascii="Arial" w:hAnsi="Arial" w:cs="Arial"/>
          <w:i/>
          <w:sz w:val="24"/>
          <w:szCs w:val="24"/>
        </w:rPr>
      </w:pPr>
      <w:r w:rsidRPr="002A1F94">
        <w:rPr>
          <w:rFonts w:ascii="Arial" w:hAnsi="Arial" w:cs="Arial"/>
          <w:i/>
          <w:sz w:val="24"/>
          <w:szCs w:val="24"/>
        </w:rPr>
        <w:t>(4) …’</w:t>
      </w:r>
    </w:p>
    <w:p w14:paraId="1FAB94BF" w14:textId="0C0FC642" w:rsidR="00FD3ECC"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t>7.</w:t>
      </w:r>
      <w:r w:rsidRPr="002A1F94">
        <w:rPr>
          <w:rFonts w:ascii="Arial" w:hAnsi="Arial" w:cs="Arial"/>
          <w:sz w:val="24"/>
          <w:szCs w:val="24"/>
        </w:rPr>
        <w:tab/>
      </w:r>
      <w:r w:rsidR="00F15012" w:rsidRPr="00827DA8">
        <w:rPr>
          <w:rFonts w:ascii="Arial" w:hAnsi="Arial" w:cs="Arial"/>
          <w:sz w:val="24"/>
          <w:szCs w:val="24"/>
        </w:rPr>
        <w:t>The Court’s attention was also drawn to the provisions of the Regulations for Safety Measures at Public Schools</w:t>
      </w:r>
      <w:r w:rsidR="00F15012" w:rsidRPr="002A1F94">
        <w:rPr>
          <w:rStyle w:val="FootnoteReference"/>
          <w:rFonts w:ascii="Arial" w:hAnsi="Arial" w:cs="Arial"/>
          <w:sz w:val="24"/>
          <w:szCs w:val="24"/>
        </w:rPr>
        <w:footnoteReference w:id="1"/>
      </w:r>
      <w:r w:rsidR="00F15012" w:rsidRPr="00827DA8">
        <w:rPr>
          <w:rFonts w:ascii="Arial" w:hAnsi="Arial" w:cs="Arial"/>
          <w:sz w:val="24"/>
          <w:szCs w:val="24"/>
        </w:rPr>
        <w:t xml:space="preserve"> (the Regulations), specifically Regulation 8</w:t>
      </w:r>
      <w:proofErr w:type="gramStart"/>
      <w:r w:rsidR="00F15012" w:rsidRPr="00827DA8">
        <w:rPr>
          <w:rFonts w:ascii="Arial" w:hAnsi="Arial" w:cs="Arial"/>
          <w:sz w:val="24"/>
          <w:szCs w:val="24"/>
        </w:rPr>
        <w:t>A(</w:t>
      </w:r>
      <w:proofErr w:type="gramEnd"/>
      <w:r w:rsidR="00F15012" w:rsidRPr="00827DA8">
        <w:rPr>
          <w:rFonts w:ascii="Arial" w:hAnsi="Arial" w:cs="Arial"/>
          <w:sz w:val="24"/>
          <w:szCs w:val="24"/>
        </w:rPr>
        <w:t xml:space="preserve">2) and (4) which provide: </w:t>
      </w:r>
    </w:p>
    <w:p w14:paraId="147624A7" w14:textId="77777777" w:rsidR="00F15012" w:rsidRPr="002A1F94" w:rsidRDefault="00F15012" w:rsidP="002A1F94">
      <w:pPr>
        <w:pStyle w:val="ListParagraph"/>
        <w:spacing w:line="360" w:lineRule="auto"/>
        <w:ind w:left="1134"/>
        <w:jc w:val="both"/>
        <w:rPr>
          <w:rFonts w:ascii="Arial" w:hAnsi="Arial" w:cs="Arial"/>
        </w:rPr>
      </w:pPr>
      <w:r w:rsidRPr="002A1F94">
        <w:rPr>
          <w:rFonts w:ascii="Arial" w:hAnsi="Arial" w:cs="Arial"/>
        </w:rPr>
        <w:t>‘8</w:t>
      </w:r>
      <w:proofErr w:type="gramStart"/>
      <w:r w:rsidRPr="002A1F94">
        <w:rPr>
          <w:rFonts w:ascii="Arial" w:hAnsi="Arial" w:cs="Arial"/>
        </w:rPr>
        <w:t>A(</w:t>
      </w:r>
      <w:proofErr w:type="gramEnd"/>
      <w:r w:rsidRPr="002A1F94">
        <w:rPr>
          <w:rFonts w:ascii="Arial" w:hAnsi="Arial" w:cs="Arial"/>
        </w:rPr>
        <w:t>2)</w:t>
      </w:r>
      <w:r w:rsidRPr="002A1F94">
        <w:rPr>
          <w:rFonts w:ascii="Arial" w:hAnsi="Arial" w:cs="Arial"/>
        </w:rPr>
        <w:tab/>
        <w:t>A public school must take measures to ensure the safety of learners during any school activity, including –</w:t>
      </w:r>
    </w:p>
    <w:p w14:paraId="1368D62A" w14:textId="3B103022" w:rsidR="00F15012" w:rsidRPr="00827DA8" w:rsidRDefault="00827DA8" w:rsidP="00827DA8">
      <w:pPr>
        <w:spacing w:line="360" w:lineRule="auto"/>
        <w:ind w:left="1134"/>
        <w:jc w:val="both"/>
        <w:rPr>
          <w:rFonts w:ascii="Arial" w:hAnsi="Arial" w:cs="Arial"/>
        </w:rPr>
      </w:pPr>
      <w:r w:rsidRPr="002A1F94">
        <w:rPr>
          <w:rFonts w:ascii="Arial" w:hAnsi="Arial" w:cs="Arial"/>
        </w:rPr>
        <w:t>(a)</w:t>
      </w:r>
      <w:r w:rsidRPr="002A1F94">
        <w:rPr>
          <w:rFonts w:ascii="Arial" w:hAnsi="Arial" w:cs="Arial"/>
        </w:rPr>
        <w:tab/>
      </w:r>
      <w:r w:rsidR="00F15012" w:rsidRPr="00827DA8">
        <w:rPr>
          <w:rFonts w:ascii="Arial" w:hAnsi="Arial" w:cs="Arial"/>
        </w:rPr>
        <w:t>Insuring against accidents, injuries, general medical expenses, hospitalisation, and theft that may occur, depending on the availability of funds.</w:t>
      </w:r>
    </w:p>
    <w:p w14:paraId="37ECC547" w14:textId="57144543" w:rsidR="00F15012" w:rsidRPr="00827DA8" w:rsidRDefault="00827DA8" w:rsidP="00827DA8">
      <w:pPr>
        <w:spacing w:line="360" w:lineRule="auto"/>
        <w:ind w:left="1134"/>
        <w:jc w:val="both"/>
        <w:rPr>
          <w:rFonts w:ascii="Arial" w:hAnsi="Arial" w:cs="Arial"/>
        </w:rPr>
      </w:pPr>
      <w:r w:rsidRPr="002A1F94">
        <w:rPr>
          <w:rFonts w:ascii="Arial" w:hAnsi="Arial" w:cs="Arial"/>
        </w:rPr>
        <w:t>(b)</w:t>
      </w:r>
      <w:r w:rsidRPr="002A1F94">
        <w:rPr>
          <w:rFonts w:ascii="Arial" w:hAnsi="Arial" w:cs="Arial"/>
        </w:rPr>
        <w:tab/>
      </w:r>
      <w:r w:rsidR="00F15012" w:rsidRPr="00827DA8">
        <w:rPr>
          <w:rFonts w:ascii="Arial" w:hAnsi="Arial" w:cs="Arial"/>
        </w:rPr>
        <w:t>…</w:t>
      </w:r>
    </w:p>
    <w:p w14:paraId="1158FB3B" w14:textId="77777777" w:rsidR="00F15012" w:rsidRPr="002A1F94" w:rsidRDefault="00F15012" w:rsidP="002A1F94">
      <w:pPr>
        <w:spacing w:line="360" w:lineRule="auto"/>
        <w:ind w:left="1134"/>
        <w:jc w:val="both"/>
        <w:rPr>
          <w:rFonts w:ascii="Arial" w:hAnsi="Arial" w:cs="Arial"/>
        </w:rPr>
      </w:pPr>
      <w:r w:rsidRPr="002A1F94">
        <w:rPr>
          <w:rFonts w:ascii="Arial" w:hAnsi="Arial" w:cs="Arial"/>
        </w:rPr>
        <w:t>…</w:t>
      </w:r>
    </w:p>
    <w:p w14:paraId="1DAAB005" w14:textId="77777777" w:rsidR="00F15012" w:rsidRPr="002A1F94" w:rsidRDefault="00F15012" w:rsidP="002A1F94">
      <w:pPr>
        <w:spacing w:line="360" w:lineRule="auto"/>
        <w:ind w:left="1134"/>
        <w:jc w:val="both"/>
        <w:rPr>
          <w:rFonts w:ascii="Arial" w:hAnsi="Arial" w:cs="Arial"/>
        </w:rPr>
      </w:pPr>
      <w:r w:rsidRPr="002A1F94">
        <w:rPr>
          <w:rFonts w:ascii="Arial" w:hAnsi="Arial" w:cs="Arial"/>
        </w:rPr>
        <w:t>8</w:t>
      </w:r>
      <w:proofErr w:type="gramStart"/>
      <w:r w:rsidRPr="002A1F94">
        <w:rPr>
          <w:rFonts w:ascii="Arial" w:hAnsi="Arial" w:cs="Arial"/>
        </w:rPr>
        <w:t>A(</w:t>
      </w:r>
      <w:proofErr w:type="gramEnd"/>
      <w:r w:rsidRPr="002A1F94">
        <w:rPr>
          <w:rFonts w:ascii="Arial" w:hAnsi="Arial" w:cs="Arial"/>
        </w:rPr>
        <w:t xml:space="preserve">4)  </w:t>
      </w:r>
      <w:r w:rsidR="007E0F7B" w:rsidRPr="002A1F94">
        <w:rPr>
          <w:rFonts w:ascii="Arial" w:hAnsi="Arial" w:cs="Arial"/>
        </w:rPr>
        <w:tab/>
      </w:r>
      <w:r w:rsidRPr="002A1F94">
        <w:rPr>
          <w:rFonts w:ascii="Arial" w:hAnsi="Arial" w:cs="Arial"/>
        </w:rPr>
        <w:t>If an insurer is liable in the event of injury suffered by a learner, the school must assist the parent in claiming from the insurer on behalf of the learner.’</w:t>
      </w:r>
    </w:p>
    <w:p w14:paraId="382F8263" w14:textId="77777777" w:rsidR="00341925" w:rsidRPr="002A1F94" w:rsidRDefault="00341925" w:rsidP="002A1F94">
      <w:pPr>
        <w:pStyle w:val="ListParagraph"/>
        <w:spacing w:line="360" w:lineRule="auto"/>
        <w:jc w:val="both"/>
        <w:rPr>
          <w:rFonts w:ascii="Arial" w:hAnsi="Arial" w:cs="Arial"/>
          <w:sz w:val="24"/>
          <w:szCs w:val="24"/>
        </w:rPr>
      </w:pPr>
    </w:p>
    <w:p w14:paraId="11A9F040" w14:textId="3BCBA5AB" w:rsidR="007E0F7B"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t>8.</w:t>
      </w:r>
      <w:r w:rsidRPr="002A1F94">
        <w:rPr>
          <w:rFonts w:ascii="Arial" w:hAnsi="Arial" w:cs="Arial"/>
          <w:sz w:val="24"/>
          <w:szCs w:val="24"/>
        </w:rPr>
        <w:tab/>
      </w:r>
      <w:r w:rsidR="007E0F7B" w:rsidRPr="00827DA8">
        <w:rPr>
          <w:rFonts w:ascii="Arial" w:hAnsi="Arial" w:cs="Arial"/>
          <w:sz w:val="24"/>
          <w:szCs w:val="24"/>
        </w:rPr>
        <w:t xml:space="preserve">The first issue is whether the plaintiff achieved substantial success in the matter.  In this regard the defendant submitted that the plaintiff did not as there was no concession of liability and acceptance of liability under the policy is not tantamount to liability under delict.   In my view, this argument cannot succeed in circumstances where the insurer expressly consented to the concession of liability on the basis that the insurer accepted that the incident described in the particulars of claim was caused by the sole negligence of the school’s employees.  This was in correspondence dated 2 March 2021.  </w:t>
      </w:r>
    </w:p>
    <w:p w14:paraId="3F728A63" w14:textId="77777777" w:rsidR="007E0F7B" w:rsidRPr="002A1F94" w:rsidRDefault="007E0F7B" w:rsidP="002A1F94">
      <w:pPr>
        <w:pStyle w:val="ListParagraph"/>
        <w:spacing w:line="360" w:lineRule="auto"/>
        <w:jc w:val="both"/>
        <w:rPr>
          <w:rFonts w:ascii="Arial" w:hAnsi="Arial" w:cs="Arial"/>
          <w:sz w:val="24"/>
          <w:szCs w:val="24"/>
        </w:rPr>
      </w:pPr>
    </w:p>
    <w:p w14:paraId="2833C837" w14:textId="3CCB1EE8" w:rsidR="006A076F"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t>9.</w:t>
      </w:r>
      <w:r w:rsidRPr="002A1F94">
        <w:rPr>
          <w:rFonts w:ascii="Arial" w:hAnsi="Arial" w:cs="Arial"/>
          <w:sz w:val="24"/>
          <w:szCs w:val="24"/>
        </w:rPr>
        <w:tab/>
      </w:r>
      <w:r w:rsidR="007E0F7B" w:rsidRPr="00827DA8">
        <w:rPr>
          <w:rFonts w:ascii="Arial" w:hAnsi="Arial" w:cs="Arial"/>
          <w:sz w:val="24"/>
          <w:szCs w:val="24"/>
        </w:rPr>
        <w:t>In these circumstances, costs would ordinarily follow the result.  However, the defendant submitted that the litigation was wholly unnecessary</w:t>
      </w:r>
      <w:r w:rsidR="006A076F" w:rsidRPr="00827DA8">
        <w:rPr>
          <w:rFonts w:ascii="Arial" w:hAnsi="Arial" w:cs="Arial"/>
          <w:sz w:val="24"/>
          <w:szCs w:val="24"/>
        </w:rPr>
        <w:t xml:space="preserve">, without any </w:t>
      </w:r>
      <w:r w:rsidR="006A076F" w:rsidRPr="00827DA8">
        <w:rPr>
          <w:rFonts w:ascii="Arial" w:hAnsi="Arial" w:cs="Arial"/>
          <w:sz w:val="24"/>
          <w:szCs w:val="24"/>
        </w:rPr>
        <w:lastRenderedPageBreak/>
        <w:t>compulsion,</w:t>
      </w:r>
      <w:r w:rsidR="007E0F7B" w:rsidRPr="00827DA8">
        <w:rPr>
          <w:rFonts w:ascii="Arial" w:hAnsi="Arial" w:cs="Arial"/>
          <w:sz w:val="24"/>
          <w:szCs w:val="24"/>
        </w:rPr>
        <w:t xml:space="preserve"> and litigation costs unnecessarily incurred.  In these circumstances, it was submitted that costs should not be awarded against the defendant.</w:t>
      </w:r>
      <w:r w:rsidR="007E0F7B" w:rsidRPr="002A1F94">
        <w:rPr>
          <w:rStyle w:val="FootnoteReference"/>
          <w:rFonts w:ascii="Arial" w:hAnsi="Arial" w:cs="Arial"/>
          <w:sz w:val="24"/>
          <w:szCs w:val="24"/>
        </w:rPr>
        <w:footnoteReference w:id="2"/>
      </w:r>
      <w:r w:rsidR="007E0F7B" w:rsidRPr="00827DA8">
        <w:rPr>
          <w:rFonts w:ascii="Arial" w:hAnsi="Arial" w:cs="Arial"/>
          <w:sz w:val="24"/>
          <w:szCs w:val="24"/>
        </w:rPr>
        <w:t xml:space="preserve"> </w:t>
      </w:r>
      <w:r w:rsidR="006A076F" w:rsidRPr="00827DA8">
        <w:rPr>
          <w:rFonts w:ascii="Arial" w:hAnsi="Arial" w:cs="Arial"/>
          <w:sz w:val="24"/>
          <w:szCs w:val="24"/>
        </w:rPr>
        <w:t xml:space="preserve">  The argument was advanced on both a factual and a legal premise, which are interlinked.</w:t>
      </w:r>
    </w:p>
    <w:p w14:paraId="6594AE0F" w14:textId="77777777" w:rsidR="006A076F" w:rsidRPr="002A1F94" w:rsidRDefault="006A076F" w:rsidP="002A1F94">
      <w:pPr>
        <w:pStyle w:val="ListParagraph"/>
        <w:spacing w:line="360" w:lineRule="auto"/>
        <w:jc w:val="both"/>
        <w:rPr>
          <w:rFonts w:ascii="Arial" w:hAnsi="Arial" w:cs="Arial"/>
          <w:sz w:val="24"/>
          <w:szCs w:val="24"/>
        </w:rPr>
      </w:pPr>
    </w:p>
    <w:p w14:paraId="13E66B9D" w14:textId="6F846A8B" w:rsidR="00B0626D"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t>10.</w:t>
      </w:r>
      <w:r w:rsidRPr="002A1F94">
        <w:rPr>
          <w:rFonts w:ascii="Arial" w:hAnsi="Arial" w:cs="Arial"/>
          <w:sz w:val="24"/>
          <w:szCs w:val="24"/>
        </w:rPr>
        <w:tab/>
      </w:r>
      <w:r w:rsidR="006A076F" w:rsidRPr="00827DA8">
        <w:rPr>
          <w:rFonts w:ascii="Arial" w:hAnsi="Arial" w:cs="Arial"/>
          <w:sz w:val="24"/>
          <w:szCs w:val="24"/>
        </w:rPr>
        <w:t>The factual premise of the argument – as advanced on affidavit and in the heads of argument – was that the plaintiff was at all material times aware that her claim for compensation had been lodged with Santam.  However, it was submitted, the plaintiff adopted a lackadaisical approach to prosecuting and finalising the insurance claim.  T</w:t>
      </w:r>
      <w:r w:rsidR="009E0E65" w:rsidRPr="00827DA8">
        <w:rPr>
          <w:rFonts w:ascii="Arial" w:hAnsi="Arial" w:cs="Arial"/>
          <w:sz w:val="24"/>
          <w:szCs w:val="24"/>
        </w:rPr>
        <w:t>he plaintiff migrated and at no</w:t>
      </w:r>
      <w:r w:rsidR="006A076F" w:rsidRPr="00827DA8">
        <w:rPr>
          <w:rFonts w:ascii="Arial" w:hAnsi="Arial" w:cs="Arial"/>
          <w:sz w:val="24"/>
          <w:szCs w:val="24"/>
        </w:rPr>
        <w:t xml:space="preserve"> stage asked for any assistance from the school in prosecuting the insurance claim, which is regarded, on affidavit, to be the plaintiff’s insurance claim.  In my view this approach </w:t>
      </w:r>
      <w:r w:rsidR="009E0E65" w:rsidRPr="00827DA8">
        <w:rPr>
          <w:rFonts w:ascii="Arial" w:hAnsi="Arial" w:cs="Arial"/>
          <w:sz w:val="24"/>
          <w:szCs w:val="24"/>
        </w:rPr>
        <w:t xml:space="preserve">to the facts </w:t>
      </w:r>
      <w:r w:rsidR="006A076F" w:rsidRPr="00827DA8">
        <w:rPr>
          <w:rFonts w:ascii="Arial" w:hAnsi="Arial" w:cs="Arial"/>
          <w:sz w:val="24"/>
          <w:szCs w:val="24"/>
        </w:rPr>
        <w:t xml:space="preserve">is flawed, because of its legal premise, which is that the insurance claim is the </w:t>
      </w:r>
      <w:proofErr w:type="gramStart"/>
      <w:r w:rsidR="006A076F" w:rsidRPr="00827DA8">
        <w:rPr>
          <w:rFonts w:ascii="Arial" w:hAnsi="Arial" w:cs="Arial"/>
          <w:sz w:val="24"/>
          <w:szCs w:val="24"/>
        </w:rPr>
        <w:t>plaintiff’s</w:t>
      </w:r>
      <w:proofErr w:type="gramEnd"/>
      <w:r w:rsidR="006A076F" w:rsidRPr="00827DA8">
        <w:rPr>
          <w:rFonts w:ascii="Arial" w:hAnsi="Arial" w:cs="Arial"/>
          <w:sz w:val="24"/>
          <w:szCs w:val="24"/>
        </w:rPr>
        <w:t xml:space="preserve"> to pursue.  It is not.  The insurance contract is concluded between the school and the insurer, and the claim itself was submitted by the school as the claimant. </w:t>
      </w:r>
      <w:r w:rsidR="00D76D8D" w:rsidRPr="00827DA8">
        <w:rPr>
          <w:rFonts w:ascii="Arial" w:hAnsi="Arial" w:cs="Arial"/>
          <w:sz w:val="24"/>
          <w:szCs w:val="24"/>
        </w:rPr>
        <w:t xml:space="preserve"> </w:t>
      </w:r>
      <w:r w:rsidR="009E0E65" w:rsidRPr="00827DA8">
        <w:rPr>
          <w:rFonts w:ascii="Arial" w:hAnsi="Arial" w:cs="Arial"/>
          <w:sz w:val="24"/>
          <w:szCs w:val="24"/>
        </w:rPr>
        <w:t xml:space="preserve">There is nothing in the contract itself or on the facts that could yield the conclusion that any </w:t>
      </w:r>
      <w:proofErr w:type="gramStart"/>
      <w:r w:rsidR="009E0E65" w:rsidRPr="00827DA8">
        <w:rPr>
          <w:rFonts w:ascii="Arial" w:hAnsi="Arial" w:cs="Arial"/>
          <w:sz w:val="24"/>
          <w:szCs w:val="24"/>
        </w:rPr>
        <w:t>third party</w:t>
      </w:r>
      <w:proofErr w:type="gramEnd"/>
      <w:r w:rsidR="009E0E65" w:rsidRPr="00827DA8">
        <w:rPr>
          <w:rFonts w:ascii="Arial" w:hAnsi="Arial" w:cs="Arial"/>
          <w:sz w:val="24"/>
          <w:szCs w:val="24"/>
        </w:rPr>
        <w:t xml:space="preserve"> contract (or </w:t>
      </w:r>
      <w:proofErr w:type="spellStart"/>
      <w:r w:rsidR="009E0E65" w:rsidRPr="00827DA8">
        <w:rPr>
          <w:rFonts w:ascii="Arial" w:hAnsi="Arial" w:cs="Arial"/>
          <w:i/>
          <w:sz w:val="24"/>
          <w:szCs w:val="24"/>
        </w:rPr>
        <w:t>stipulatio</w:t>
      </w:r>
      <w:proofErr w:type="spellEnd"/>
      <w:r w:rsidR="009E0E65" w:rsidRPr="00827DA8">
        <w:rPr>
          <w:rFonts w:ascii="Arial" w:hAnsi="Arial" w:cs="Arial"/>
          <w:i/>
          <w:sz w:val="24"/>
          <w:szCs w:val="24"/>
        </w:rPr>
        <w:t xml:space="preserve"> </w:t>
      </w:r>
      <w:proofErr w:type="spellStart"/>
      <w:r w:rsidR="009E0E65" w:rsidRPr="00827DA8">
        <w:rPr>
          <w:rFonts w:ascii="Arial" w:hAnsi="Arial" w:cs="Arial"/>
          <w:i/>
          <w:sz w:val="24"/>
          <w:szCs w:val="24"/>
        </w:rPr>
        <w:t>alteri</w:t>
      </w:r>
      <w:proofErr w:type="spellEnd"/>
      <w:r w:rsidR="009E0E65" w:rsidRPr="00827DA8">
        <w:rPr>
          <w:rFonts w:ascii="Arial" w:hAnsi="Arial" w:cs="Arial"/>
          <w:i/>
          <w:sz w:val="24"/>
          <w:szCs w:val="24"/>
        </w:rPr>
        <w:t xml:space="preserve"> </w:t>
      </w:r>
      <w:r w:rsidR="009E0E65" w:rsidRPr="00827DA8">
        <w:rPr>
          <w:rFonts w:ascii="Arial" w:hAnsi="Arial" w:cs="Arial"/>
          <w:sz w:val="24"/>
          <w:szCs w:val="24"/>
        </w:rPr>
        <w:t xml:space="preserve">was concluded.  </w:t>
      </w:r>
      <w:r w:rsidR="00D76D8D" w:rsidRPr="00827DA8">
        <w:rPr>
          <w:rFonts w:ascii="Arial" w:hAnsi="Arial" w:cs="Arial"/>
          <w:sz w:val="24"/>
          <w:szCs w:val="24"/>
        </w:rPr>
        <w:t>It was always the duty of the school to pursue the claim.  Indeed, there was no communication from the school to the plaintiff’s attorneys suggesting otherwise.</w:t>
      </w:r>
      <w:r w:rsidR="002A1F94" w:rsidRPr="00827DA8">
        <w:rPr>
          <w:rFonts w:ascii="Arial" w:hAnsi="Arial" w:cs="Arial"/>
          <w:sz w:val="24"/>
          <w:szCs w:val="24"/>
        </w:rPr>
        <w:t xml:space="preserve"> </w:t>
      </w:r>
      <w:r w:rsidR="00D76D8D" w:rsidRPr="00827DA8">
        <w:rPr>
          <w:rFonts w:ascii="Arial" w:hAnsi="Arial" w:cs="Arial"/>
          <w:sz w:val="24"/>
          <w:szCs w:val="24"/>
        </w:rPr>
        <w:t>The plaintiff’s attorneys were merely informed that the claim had been lodged.</w:t>
      </w:r>
    </w:p>
    <w:p w14:paraId="09BB2AAC" w14:textId="77777777" w:rsidR="007E0F7B" w:rsidRPr="002A1F94" w:rsidRDefault="00D76D8D" w:rsidP="002A1F94">
      <w:pPr>
        <w:pStyle w:val="ListParagraph"/>
        <w:spacing w:line="360" w:lineRule="auto"/>
        <w:jc w:val="both"/>
        <w:rPr>
          <w:rFonts w:ascii="Arial" w:hAnsi="Arial" w:cs="Arial"/>
          <w:sz w:val="24"/>
          <w:szCs w:val="24"/>
        </w:rPr>
      </w:pPr>
      <w:r w:rsidRPr="002A1F94">
        <w:rPr>
          <w:rFonts w:ascii="Arial" w:hAnsi="Arial" w:cs="Arial"/>
          <w:sz w:val="24"/>
          <w:szCs w:val="24"/>
        </w:rPr>
        <w:t xml:space="preserve"> </w:t>
      </w:r>
    </w:p>
    <w:p w14:paraId="6C60CAA5" w14:textId="75501B9A" w:rsidR="00D76D8D"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t>11.</w:t>
      </w:r>
      <w:r w:rsidRPr="002A1F94">
        <w:rPr>
          <w:rFonts w:ascii="Arial" w:hAnsi="Arial" w:cs="Arial"/>
          <w:sz w:val="24"/>
          <w:szCs w:val="24"/>
        </w:rPr>
        <w:tab/>
      </w:r>
      <w:r w:rsidR="00D76D8D" w:rsidRPr="00827DA8">
        <w:rPr>
          <w:rFonts w:ascii="Arial" w:hAnsi="Arial" w:cs="Arial"/>
          <w:sz w:val="24"/>
          <w:szCs w:val="24"/>
        </w:rPr>
        <w:t xml:space="preserve">During argument, however, I queried </w:t>
      </w:r>
      <w:r w:rsidR="00B0626D" w:rsidRPr="00827DA8">
        <w:rPr>
          <w:rFonts w:ascii="Arial" w:hAnsi="Arial" w:cs="Arial"/>
          <w:sz w:val="24"/>
          <w:szCs w:val="24"/>
        </w:rPr>
        <w:t xml:space="preserve">why </w:t>
      </w:r>
      <w:r w:rsidR="00D76D8D" w:rsidRPr="00827DA8">
        <w:rPr>
          <w:rFonts w:ascii="Arial" w:hAnsi="Arial" w:cs="Arial"/>
          <w:sz w:val="24"/>
          <w:szCs w:val="24"/>
        </w:rPr>
        <w:t>the plaintiff had at no time followed up with the school about the claim.  The plaintiff was represented, was aware that the insurance claim had been submitted and at least ought to have known that compensation might be forthcoming from the insurer.  Had the plaintiff made si</w:t>
      </w:r>
      <w:r w:rsidR="00B0626D" w:rsidRPr="00827DA8">
        <w:rPr>
          <w:rFonts w:ascii="Arial" w:hAnsi="Arial" w:cs="Arial"/>
          <w:sz w:val="24"/>
          <w:szCs w:val="24"/>
        </w:rPr>
        <w:t xml:space="preserve">mple enquiries with the school, before pursuing litigation, it is likely that the matter would have become </w:t>
      </w:r>
      <w:r w:rsidR="00D76D8D" w:rsidRPr="00827DA8">
        <w:rPr>
          <w:rFonts w:ascii="Arial" w:hAnsi="Arial" w:cs="Arial"/>
          <w:sz w:val="24"/>
          <w:szCs w:val="24"/>
        </w:rPr>
        <w:t>settled</w:t>
      </w:r>
      <w:r w:rsidR="00B0626D" w:rsidRPr="00827DA8">
        <w:rPr>
          <w:rFonts w:ascii="Arial" w:hAnsi="Arial" w:cs="Arial"/>
          <w:sz w:val="24"/>
          <w:szCs w:val="24"/>
        </w:rPr>
        <w:t xml:space="preserve"> at an earlier stage</w:t>
      </w:r>
      <w:r w:rsidR="00D76D8D" w:rsidRPr="00827DA8">
        <w:rPr>
          <w:rFonts w:ascii="Arial" w:hAnsi="Arial" w:cs="Arial"/>
          <w:sz w:val="24"/>
          <w:szCs w:val="24"/>
        </w:rPr>
        <w:t xml:space="preserve">.  </w:t>
      </w:r>
    </w:p>
    <w:p w14:paraId="584B04B1" w14:textId="77777777" w:rsidR="00D76D8D" w:rsidRPr="002A1F94" w:rsidRDefault="00D76D8D" w:rsidP="002A1F94">
      <w:pPr>
        <w:pStyle w:val="ListParagraph"/>
        <w:spacing w:line="360" w:lineRule="auto"/>
        <w:jc w:val="both"/>
        <w:rPr>
          <w:rFonts w:ascii="Arial" w:hAnsi="Arial" w:cs="Arial"/>
          <w:sz w:val="24"/>
          <w:szCs w:val="24"/>
        </w:rPr>
      </w:pPr>
    </w:p>
    <w:p w14:paraId="50FFD1BE" w14:textId="0450B55F" w:rsidR="00D76D8D"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lastRenderedPageBreak/>
        <w:t>12.</w:t>
      </w:r>
      <w:r w:rsidRPr="002A1F94">
        <w:rPr>
          <w:rFonts w:ascii="Arial" w:hAnsi="Arial" w:cs="Arial"/>
          <w:sz w:val="24"/>
          <w:szCs w:val="24"/>
        </w:rPr>
        <w:tab/>
      </w:r>
      <w:r w:rsidR="00D76D8D" w:rsidRPr="00827DA8">
        <w:rPr>
          <w:rFonts w:ascii="Arial" w:hAnsi="Arial" w:cs="Arial"/>
          <w:sz w:val="24"/>
          <w:szCs w:val="24"/>
        </w:rPr>
        <w:t>However, this on its own can only serve to limit the extent of any costs award in the plaintiff’s favour, as it was ultimately the responsibility of the school to prosecute the</w:t>
      </w:r>
      <w:r w:rsidR="00B0626D" w:rsidRPr="00827DA8">
        <w:rPr>
          <w:rFonts w:ascii="Arial" w:hAnsi="Arial" w:cs="Arial"/>
          <w:sz w:val="24"/>
          <w:szCs w:val="24"/>
        </w:rPr>
        <w:t xml:space="preserve"> insurance</w:t>
      </w:r>
      <w:r w:rsidR="00D76D8D" w:rsidRPr="00827DA8">
        <w:rPr>
          <w:rFonts w:ascii="Arial" w:hAnsi="Arial" w:cs="Arial"/>
          <w:sz w:val="24"/>
          <w:szCs w:val="24"/>
        </w:rPr>
        <w:t xml:space="preserve"> claim.  In arriving at this conclusion, I have considered the import of Regulation 8</w:t>
      </w:r>
      <w:proofErr w:type="gramStart"/>
      <w:r w:rsidR="00D76D8D" w:rsidRPr="00827DA8">
        <w:rPr>
          <w:rFonts w:ascii="Arial" w:hAnsi="Arial" w:cs="Arial"/>
          <w:sz w:val="24"/>
          <w:szCs w:val="24"/>
        </w:rPr>
        <w:t>A(</w:t>
      </w:r>
      <w:proofErr w:type="gramEnd"/>
      <w:r w:rsidR="00D76D8D" w:rsidRPr="00827DA8">
        <w:rPr>
          <w:rFonts w:ascii="Arial" w:hAnsi="Arial" w:cs="Arial"/>
          <w:sz w:val="24"/>
          <w:szCs w:val="24"/>
        </w:rPr>
        <w:t>4) and section</w:t>
      </w:r>
      <w:r w:rsidR="00B0626D" w:rsidRPr="00827DA8">
        <w:rPr>
          <w:rFonts w:ascii="Arial" w:hAnsi="Arial" w:cs="Arial"/>
          <w:sz w:val="24"/>
          <w:szCs w:val="24"/>
        </w:rPr>
        <w:t xml:space="preserve">s 59 and 60 </w:t>
      </w:r>
      <w:r w:rsidR="00D76D8D" w:rsidRPr="00827DA8">
        <w:rPr>
          <w:rFonts w:ascii="Arial" w:hAnsi="Arial" w:cs="Arial"/>
          <w:sz w:val="24"/>
          <w:szCs w:val="24"/>
        </w:rPr>
        <w:t xml:space="preserve">of the Schools Act. </w:t>
      </w:r>
      <w:r w:rsidR="00B0626D" w:rsidRPr="00827DA8">
        <w:rPr>
          <w:rFonts w:ascii="Arial" w:hAnsi="Arial" w:cs="Arial"/>
          <w:sz w:val="24"/>
          <w:szCs w:val="24"/>
        </w:rPr>
        <w:t xml:space="preserve"> The Supreme Court of Appeal has interpreted section 60, specifically section 60(1) read with section 60(3) to place liability on the MEC</w:t>
      </w:r>
      <w:r w:rsidR="00AE31AC" w:rsidRPr="00827DA8">
        <w:rPr>
          <w:rFonts w:ascii="Arial" w:hAnsi="Arial" w:cs="Arial"/>
          <w:sz w:val="24"/>
          <w:szCs w:val="24"/>
        </w:rPr>
        <w:t>, not the school, at least where a claim falls within the ambit of section 60</w:t>
      </w:r>
      <w:r w:rsidR="00B0626D" w:rsidRPr="00827DA8">
        <w:rPr>
          <w:rFonts w:ascii="Arial" w:hAnsi="Arial" w:cs="Arial"/>
          <w:sz w:val="24"/>
          <w:szCs w:val="24"/>
        </w:rPr>
        <w:t>.</w:t>
      </w:r>
      <w:r w:rsidR="00AE31AC" w:rsidRPr="002A1F94">
        <w:rPr>
          <w:rStyle w:val="FootnoteReference"/>
          <w:rFonts w:ascii="Arial" w:hAnsi="Arial" w:cs="Arial"/>
          <w:sz w:val="24"/>
          <w:szCs w:val="24"/>
        </w:rPr>
        <w:footnoteReference w:id="3"/>
      </w:r>
      <w:r w:rsidR="00B0626D" w:rsidRPr="00827DA8">
        <w:rPr>
          <w:rFonts w:ascii="Arial" w:hAnsi="Arial" w:cs="Arial"/>
          <w:sz w:val="24"/>
          <w:szCs w:val="24"/>
        </w:rPr>
        <w:t xml:space="preserve">  Furthermore, t</w:t>
      </w:r>
      <w:r w:rsidR="00D76D8D" w:rsidRPr="00827DA8">
        <w:rPr>
          <w:rFonts w:ascii="Arial" w:hAnsi="Arial" w:cs="Arial"/>
          <w:sz w:val="24"/>
          <w:szCs w:val="24"/>
        </w:rPr>
        <w:t xml:space="preserve">here is no contractual relationship </w:t>
      </w:r>
      <w:r w:rsidR="00B0626D" w:rsidRPr="00827DA8">
        <w:rPr>
          <w:rFonts w:ascii="Arial" w:hAnsi="Arial" w:cs="Arial"/>
          <w:sz w:val="24"/>
          <w:szCs w:val="24"/>
        </w:rPr>
        <w:t xml:space="preserve">in this case </w:t>
      </w:r>
      <w:r w:rsidR="00D76D8D" w:rsidRPr="00827DA8">
        <w:rPr>
          <w:rFonts w:ascii="Arial" w:hAnsi="Arial" w:cs="Arial"/>
          <w:sz w:val="24"/>
          <w:szCs w:val="24"/>
        </w:rPr>
        <w:t>between</w:t>
      </w:r>
      <w:r w:rsidR="00AE31AC" w:rsidRPr="00827DA8">
        <w:rPr>
          <w:rFonts w:ascii="Arial" w:hAnsi="Arial" w:cs="Arial"/>
          <w:sz w:val="24"/>
          <w:szCs w:val="24"/>
        </w:rPr>
        <w:t xml:space="preserve"> the plaintiff and the insurer.  Regulation 8</w:t>
      </w:r>
      <w:proofErr w:type="gramStart"/>
      <w:r w:rsidR="00AE31AC" w:rsidRPr="00827DA8">
        <w:rPr>
          <w:rFonts w:ascii="Arial" w:hAnsi="Arial" w:cs="Arial"/>
          <w:sz w:val="24"/>
          <w:szCs w:val="24"/>
        </w:rPr>
        <w:t>A(</w:t>
      </w:r>
      <w:proofErr w:type="gramEnd"/>
      <w:r w:rsidR="00AE31AC" w:rsidRPr="00827DA8">
        <w:rPr>
          <w:rFonts w:ascii="Arial" w:hAnsi="Arial" w:cs="Arial"/>
          <w:sz w:val="24"/>
          <w:szCs w:val="24"/>
        </w:rPr>
        <w:t xml:space="preserve">4), in my view, does not alter the contractual position between the insurer and the school.  What it does is impose a duty on the school to assist the parent by claiming under the relevant insurance policy.  </w:t>
      </w:r>
    </w:p>
    <w:p w14:paraId="011E3EE4" w14:textId="77777777" w:rsidR="00D76D8D" w:rsidRPr="002A1F94" w:rsidRDefault="00D76D8D" w:rsidP="002A1F94">
      <w:pPr>
        <w:pStyle w:val="ListParagraph"/>
        <w:spacing w:line="360" w:lineRule="auto"/>
        <w:jc w:val="both"/>
        <w:rPr>
          <w:rFonts w:ascii="Arial" w:hAnsi="Arial" w:cs="Arial"/>
          <w:sz w:val="24"/>
          <w:szCs w:val="24"/>
        </w:rPr>
      </w:pPr>
    </w:p>
    <w:p w14:paraId="005F74A4" w14:textId="46A21186" w:rsidR="002527CD"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t>13.</w:t>
      </w:r>
      <w:r w:rsidRPr="002A1F94">
        <w:rPr>
          <w:rFonts w:ascii="Arial" w:hAnsi="Arial" w:cs="Arial"/>
          <w:sz w:val="24"/>
          <w:szCs w:val="24"/>
        </w:rPr>
        <w:tab/>
      </w:r>
      <w:r w:rsidR="00AE31AC" w:rsidRPr="00827DA8">
        <w:rPr>
          <w:rFonts w:ascii="Arial" w:hAnsi="Arial" w:cs="Arial"/>
          <w:sz w:val="24"/>
          <w:szCs w:val="24"/>
        </w:rPr>
        <w:t>The</w:t>
      </w:r>
      <w:r w:rsidR="00D76D8D" w:rsidRPr="00827DA8">
        <w:rPr>
          <w:rFonts w:ascii="Arial" w:hAnsi="Arial" w:cs="Arial"/>
          <w:sz w:val="24"/>
          <w:szCs w:val="24"/>
        </w:rPr>
        <w:t xml:space="preserve"> legal premise of the argument, </w:t>
      </w:r>
      <w:proofErr w:type="gramStart"/>
      <w:r w:rsidR="00D76D8D" w:rsidRPr="00827DA8">
        <w:rPr>
          <w:rFonts w:ascii="Arial" w:hAnsi="Arial" w:cs="Arial"/>
          <w:sz w:val="24"/>
          <w:szCs w:val="24"/>
        </w:rPr>
        <w:t>however</w:t>
      </w:r>
      <w:proofErr w:type="gramEnd"/>
      <w:r w:rsidR="00D76D8D" w:rsidRPr="00827DA8">
        <w:rPr>
          <w:rFonts w:ascii="Arial" w:hAnsi="Arial" w:cs="Arial"/>
          <w:sz w:val="24"/>
          <w:szCs w:val="24"/>
        </w:rPr>
        <w:t xml:space="preserve"> went further.  In short, it was contended that the effect of section 60(1)(b) was to confer a right on a plaintiff to </w:t>
      </w:r>
      <w:r w:rsidR="002527CD" w:rsidRPr="00827DA8">
        <w:rPr>
          <w:rFonts w:ascii="Arial" w:hAnsi="Arial" w:cs="Arial"/>
          <w:sz w:val="24"/>
          <w:szCs w:val="24"/>
        </w:rPr>
        <w:t xml:space="preserve">pursue a claim against an insurer.  I disagree.  The purpose of section 60(1)(b) is to limit the liability of the State to compensation that it cannot obtain from the insurer.  It does not alter the common law contractual relationship between insurer and insured.  </w:t>
      </w:r>
      <w:r w:rsidR="00AE31AC" w:rsidRPr="00827DA8">
        <w:rPr>
          <w:rFonts w:ascii="Arial" w:hAnsi="Arial" w:cs="Arial"/>
          <w:sz w:val="24"/>
          <w:szCs w:val="24"/>
        </w:rPr>
        <w:t xml:space="preserve"> That interpretation is consistent with the Supreme Court of Appeal’s decision in </w:t>
      </w:r>
      <w:r w:rsidR="00AE31AC" w:rsidRPr="00827DA8">
        <w:rPr>
          <w:rFonts w:ascii="Arial" w:hAnsi="Arial" w:cs="Arial"/>
          <w:i/>
          <w:sz w:val="24"/>
          <w:szCs w:val="24"/>
        </w:rPr>
        <w:t>Emeran</w:t>
      </w:r>
      <w:r w:rsidR="002B5358" w:rsidRPr="00827DA8">
        <w:rPr>
          <w:rFonts w:ascii="Arial" w:hAnsi="Arial" w:cs="Arial"/>
          <w:i/>
          <w:sz w:val="24"/>
          <w:szCs w:val="24"/>
        </w:rPr>
        <w:t>.</w:t>
      </w:r>
      <w:r w:rsidR="002B5358" w:rsidRPr="002A1F94">
        <w:rPr>
          <w:rStyle w:val="FootnoteReference"/>
          <w:rFonts w:ascii="Arial" w:hAnsi="Arial" w:cs="Arial"/>
          <w:sz w:val="24"/>
          <w:szCs w:val="24"/>
        </w:rPr>
        <w:footnoteReference w:id="4"/>
      </w:r>
      <w:r w:rsidR="002B5358" w:rsidRPr="00827DA8">
        <w:rPr>
          <w:rFonts w:ascii="Arial" w:hAnsi="Arial" w:cs="Arial"/>
          <w:i/>
          <w:sz w:val="24"/>
          <w:szCs w:val="24"/>
        </w:rPr>
        <w:t xml:space="preserve">  </w:t>
      </w:r>
      <w:r w:rsidR="002B5358" w:rsidRPr="00827DA8">
        <w:rPr>
          <w:rFonts w:ascii="Arial" w:hAnsi="Arial" w:cs="Arial"/>
          <w:sz w:val="24"/>
          <w:szCs w:val="24"/>
        </w:rPr>
        <w:t xml:space="preserve">Section 60(4) makes it clear that any claim is against the MEC.  Had the legislature intended to create </w:t>
      </w:r>
      <w:proofErr w:type="gramStart"/>
      <w:r w:rsidR="002B5358" w:rsidRPr="00827DA8">
        <w:rPr>
          <w:rFonts w:ascii="Arial" w:hAnsi="Arial" w:cs="Arial"/>
          <w:sz w:val="24"/>
          <w:szCs w:val="24"/>
        </w:rPr>
        <w:t>some sort of statutory</w:t>
      </w:r>
      <w:proofErr w:type="gramEnd"/>
      <w:r w:rsidR="002B5358" w:rsidRPr="00827DA8">
        <w:rPr>
          <w:rFonts w:ascii="Arial" w:hAnsi="Arial" w:cs="Arial"/>
          <w:sz w:val="24"/>
          <w:szCs w:val="24"/>
        </w:rPr>
        <w:t xml:space="preserve"> third party benefit it would have said so expressly and the presumption that the legislature is presumed to have  </w:t>
      </w:r>
      <w:r w:rsidR="00AE31AC" w:rsidRPr="00827DA8">
        <w:rPr>
          <w:rFonts w:ascii="Arial" w:hAnsi="Arial" w:cs="Arial"/>
          <w:i/>
          <w:sz w:val="24"/>
          <w:szCs w:val="24"/>
        </w:rPr>
        <w:t xml:space="preserve">  </w:t>
      </w:r>
      <w:r w:rsidR="002527CD" w:rsidRPr="00827DA8">
        <w:rPr>
          <w:rFonts w:ascii="Arial" w:hAnsi="Arial" w:cs="Arial"/>
          <w:sz w:val="24"/>
          <w:szCs w:val="24"/>
        </w:rPr>
        <w:t xml:space="preserve">Section 60(4) makes it clear that the claim is against the MEC.  Had the legislature intended to create a statutory third party benefit it would have said so expressly.  </w:t>
      </w:r>
    </w:p>
    <w:p w14:paraId="690A79D0" w14:textId="77777777" w:rsidR="002527CD" w:rsidRPr="002A1F94" w:rsidRDefault="002527CD" w:rsidP="002A1F94">
      <w:pPr>
        <w:pStyle w:val="ListParagraph"/>
        <w:spacing w:line="360" w:lineRule="auto"/>
        <w:jc w:val="both"/>
        <w:rPr>
          <w:rFonts w:ascii="Arial" w:hAnsi="Arial" w:cs="Arial"/>
          <w:color w:val="FF0000"/>
          <w:sz w:val="24"/>
          <w:szCs w:val="24"/>
        </w:rPr>
      </w:pPr>
    </w:p>
    <w:p w14:paraId="51F01BC7" w14:textId="73861133" w:rsidR="00D76D8D"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t>14.</w:t>
      </w:r>
      <w:r w:rsidRPr="002A1F94">
        <w:rPr>
          <w:rFonts w:ascii="Arial" w:hAnsi="Arial" w:cs="Arial"/>
          <w:sz w:val="24"/>
          <w:szCs w:val="24"/>
        </w:rPr>
        <w:tab/>
      </w:r>
      <w:r w:rsidR="002527CD" w:rsidRPr="00827DA8">
        <w:rPr>
          <w:rFonts w:ascii="Arial" w:hAnsi="Arial" w:cs="Arial"/>
          <w:sz w:val="24"/>
          <w:szCs w:val="24"/>
        </w:rPr>
        <w:t>I am however satisfied that a portion of the plaintiff’s costs should not be recoverable as it is difficult to understand why the plaintiff, after migrating to the United States made no contact with the school to follow up on the insurance claim.  However, that conduct does not account significantly for what ensued.  First, the school itself appears to have done nothing.  Secondly,</w:t>
      </w:r>
      <w:r w:rsidR="003042E5" w:rsidRPr="00827DA8">
        <w:rPr>
          <w:rFonts w:ascii="Arial" w:hAnsi="Arial" w:cs="Arial"/>
          <w:sz w:val="24"/>
          <w:szCs w:val="24"/>
        </w:rPr>
        <w:t xml:space="preserve"> after receiving the notice, </w:t>
      </w:r>
      <w:r w:rsidR="002527CD" w:rsidRPr="00827DA8">
        <w:rPr>
          <w:rFonts w:ascii="Arial" w:hAnsi="Arial" w:cs="Arial"/>
          <w:sz w:val="24"/>
          <w:szCs w:val="24"/>
        </w:rPr>
        <w:lastRenderedPageBreak/>
        <w:t xml:space="preserve">the defendant did nothing to ascertain whether an insurance claim had been lodged thereby protecting it under section 60(1)(b).  Had either the school or the defendant pursued the matter as they ought to have, </w:t>
      </w:r>
      <w:r w:rsidR="003042E5" w:rsidRPr="00827DA8">
        <w:rPr>
          <w:rFonts w:ascii="Arial" w:hAnsi="Arial" w:cs="Arial"/>
          <w:sz w:val="24"/>
          <w:szCs w:val="24"/>
        </w:rPr>
        <w:t>the litigation would have been avoided.</w:t>
      </w:r>
      <w:r w:rsidR="002527CD" w:rsidRPr="00827DA8">
        <w:rPr>
          <w:rFonts w:ascii="Arial" w:hAnsi="Arial" w:cs="Arial"/>
          <w:sz w:val="24"/>
          <w:szCs w:val="24"/>
        </w:rPr>
        <w:t xml:space="preserve">  </w:t>
      </w:r>
    </w:p>
    <w:p w14:paraId="0366955C" w14:textId="77777777" w:rsidR="002527CD" w:rsidRPr="002A1F94" w:rsidRDefault="002527CD" w:rsidP="002A1F94">
      <w:pPr>
        <w:pStyle w:val="ListParagraph"/>
        <w:spacing w:line="360" w:lineRule="auto"/>
        <w:jc w:val="both"/>
        <w:rPr>
          <w:rFonts w:ascii="Arial" w:hAnsi="Arial" w:cs="Arial"/>
          <w:sz w:val="24"/>
          <w:szCs w:val="24"/>
        </w:rPr>
      </w:pPr>
    </w:p>
    <w:p w14:paraId="117CABC3" w14:textId="7FC32798" w:rsidR="00F00272"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t>15.</w:t>
      </w:r>
      <w:r w:rsidRPr="002A1F94">
        <w:rPr>
          <w:rFonts w:ascii="Arial" w:hAnsi="Arial" w:cs="Arial"/>
          <w:sz w:val="24"/>
          <w:szCs w:val="24"/>
        </w:rPr>
        <w:tab/>
      </w:r>
      <w:r w:rsidR="003042E5" w:rsidRPr="00827DA8">
        <w:rPr>
          <w:rFonts w:ascii="Arial" w:hAnsi="Arial" w:cs="Arial"/>
          <w:sz w:val="24"/>
          <w:szCs w:val="24"/>
        </w:rPr>
        <w:t xml:space="preserve">However, </w:t>
      </w:r>
      <w:r w:rsidR="002527CD" w:rsidRPr="00827DA8">
        <w:rPr>
          <w:rFonts w:ascii="Arial" w:hAnsi="Arial" w:cs="Arial"/>
          <w:sz w:val="24"/>
          <w:szCs w:val="24"/>
        </w:rPr>
        <w:t>that is not the end of the matter because, as submitted on behalf of the plaintiff, what ensued after the litigation commenced in 2019 is also relevant to costs.  More specifically, the evidence demonstrates that Santam only became actively involved shortly before the trial was due to commence and once it became involved, t</w:t>
      </w:r>
      <w:r w:rsidR="00F00272" w:rsidRPr="00827DA8">
        <w:rPr>
          <w:rFonts w:ascii="Arial" w:hAnsi="Arial" w:cs="Arial"/>
          <w:sz w:val="24"/>
          <w:szCs w:val="24"/>
        </w:rPr>
        <w:t>he matter was swiftly settled.  That was in 2021.  The question thus arises why it took so long before the matter was settled, during which time extensive litigation costs were incurred, not least in respect of expert reports.</w:t>
      </w:r>
    </w:p>
    <w:p w14:paraId="76D61A4C" w14:textId="77777777" w:rsidR="00F00272" w:rsidRPr="002A1F94" w:rsidRDefault="00F00272" w:rsidP="002A1F94">
      <w:pPr>
        <w:pStyle w:val="ListParagraph"/>
        <w:spacing w:line="360" w:lineRule="auto"/>
        <w:jc w:val="both"/>
        <w:rPr>
          <w:rFonts w:ascii="Arial" w:hAnsi="Arial" w:cs="Arial"/>
          <w:sz w:val="24"/>
          <w:szCs w:val="24"/>
        </w:rPr>
      </w:pPr>
    </w:p>
    <w:p w14:paraId="0EBBDA3C" w14:textId="6D7055FF" w:rsidR="002527CD"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t>16.</w:t>
      </w:r>
      <w:r w:rsidRPr="002A1F94">
        <w:rPr>
          <w:rFonts w:ascii="Arial" w:hAnsi="Arial" w:cs="Arial"/>
          <w:sz w:val="24"/>
          <w:szCs w:val="24"/>
        </w:rPr>
        <w:tab/>
      </w:r>
      <w:r w:rsidR="00F00272" w:rsidRPr="00827DA8">
        <w:rPr>
          <w:rFonts w:ascii="Arial" w:hAnsi="Arial" w:cs="Arial"/>
          <w:sz w:val="24"/>
          <w:szCs w:val="24"/>
        </w:rPr>
        <w:t xml:space="preserve">The defendant submits that the plaintiff was at fault because it failed to join Santam to the proceedings, an issue raised in a special plea, which was ultimately not determined.   Had the plaintiff done so, it was submitted, the matter would have been swiftly resolved.  The plaintiff disputes any obligation to join the insurer, contending that should the defendant claim any indemnity for costs it was </w:t>
      </w:r>
      <w:r w:rsidR="0088234E" w:rsidRPr="00827DA8">
        <w:rPr>
          <w:rFonts w:ascii="Arial" w:hAnsi="Arial" w:cs="Arial"/>
          <w:sz w:val="24"/>
          <w:szCs w:val="24"/>
        </w:rPr>
        <w:t>incumbent</w:t>
      </w:r>
      <w:r w:rsidR="00F00272" w:rsidRPr="00827DA8">
        <w:rPr>
          <w:rFonts w:ascii="Arial" w:hAnsi="Arial" w:cs="Arial"/>
          <w:sz w:val="24"/>
          <w:szCs w:val="24"/>
        </w:rPr>
        <w:t xml:space="preserve"> upon it to join Santam and pursue its claim.   On this issue, and in accordance with my findings in paragraph </w:t>
      </w:r>
      <w:r w:rsidR="0037039E" w:rsidRPr="00827DA8">
        <w:rPr>
          <w:rFonts w:ascii="Arial" w:hAnsi="Arial" w:cs="Arial"/>
          <w:sz w:val="24"/>
          <w:szCs w:val="24"/>
        </w:rPr>
        <w:t>13,</w:t>
      </w:r>
      <w:r w:rsidR="00F00272" w:rsidRPr="00827DA8">
        <w:rPr>
          <w:rFonts w:ascii="Arial" w:hAnsi="Arial" w:cs="Arial"/>
          <w:color w:val="FF0000"/>
          <w:sz w:val="24"/>
          <w:szCs w:val="24"/>
        </w:rPr>
        <w:t xml:space="preserve"> </w:t>
      </w:r>
      <w:r w:rsidR="00F00272" w:rsidRPr="00827DA8">
        <w:rPr>
          <w:rFonts w:ascii="Arial" w:hAnsi="Arial" w:cs="Arial"/>
          <w:sz w:val="24"/>
          <w:szCs w:val="24"/>
        </w:rPr>
        <w:t xml:space="preserve">I agree with the plaintiff. </w:t>
      </w:r>
      <w:r w:rsidR="0037039E" w:rsidRPr="00827DA8">
        <w:rPr>
          <w:rFonts w:ascii="Arial" w:hAnsi="Arial" w:cs="Arial"/>
          <w:sz w:val="24"/>
          <w:szCs w:val="24"/>
        </w:rPr>
        <w:t xml:space="preserve"> </w:t>
      </w:r>
      <w:r w:rsidR="00F00272" w:rsidRPr="00827DA8">
        <w:rPr>
          <w:rFonts w:ascii="Arial" w:hAnsi="Arial" w:cs="Arial"/>
          <w:sz w:val="24"/>
          <w:szCs w:val="24"/>
        </w:rPr>
        <w:t>Moreover, the plaintiff submits that when regard is had to the defendant’s plea, the defendant not only joined issu</w:t>
      </w:r>
      <w:r w:rsidR="0037039E" w:rsidRPr="00827DA8">
        <w:rPr>
          <w:rFonts w:ascii="Arial" w:hAnsi="Arial" w:cs="Arial"/>
          <w:sz w:val="24"/>
          <w:szCs w:val="24"/>
        </w:rPr>
        <w:t>e with the plaintiff,</w:t>
      </w:r>
      <w:r w:rsidR="00F00272" w:rsidRPr="00827DA8">
        <w:rPr>
          <w:rFonts w:ascii="Arial" w:hAnsi="Arial" w:cs="Arial"/>
          <w:sz w:val="24"/>
          <w:szCs w:val="24"/>
        </w:rPr>
        <w:t xml:space="preserve"> but raised substantive defences imputing responsibility for the amputation on medical negligence of the doctors.  That in turn had an impact on the incurrence of costs for the plaintiffs.  The point is well made.  </w:t>
      </w:r>
    </w:p>
    <w:p w14:paraId="57AFF6C1" w14:textId="77777777" w:rsidR="007E0F7B" w:rsidRPr="002A1F94" w:rsidRDefault="007E0F7B" w:rsidP="002A1F94">
      <w:pPr>
        <w:pStyle w:val="ListParagraph"/>
        <w:spacing w:line="360" w:lineRule="auto"/>
        <w:jc w:val="both"/>
        <w:rPr>
          <w:rFonts w:ascii="Arial" w:hAnsi="Arial" w:cs="Arial"/>
          <w:sz w:val="24"/>
          <w:szCs w:val="24"/>
        </w:rPr>
      </w:pPr>
    </w:p>
    <w:p w14:paraId="149A247B" w14:textId="06C39A7F" w:rsidR="00464EEB"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t>17.</w:t>
      </w:r>
      <w:r w:rsidRPr="002A1F94">
        <w:rPr>
          <w:rFonts w:ascii="Arial" w:hAnsi="Arial" w:cs="Arial"/>
          <w:sz w:val="24"/>
          <w:szCs w:val="24"/>
        </w:rPr>
        <w:tab/>
      </w:r>
      <w:r w:rsidR="00341925" w:rsidRPr="00827DA8">
        <w:rPr>
          <w:rFonts w:ascii="Arial" w:hAnsi="Arial" w:cs="Arial"/>
          <w:sz w:val="24"/>
          <w:szCs w:val="24"/>
        </w:rPr>
        <w:t>In</w:t>
      </w:r>
      <w:r w:rsidR="00F00272" w:rsidRPr="00827DA8">
        <w:rPr>
          <w:rFonts w:ascii="Arial" w:hAnsi="Arial" w:cs="Arial"/>
          <w:sz w:val="24"/>
          <w:szCs w:val="24"/>
        </w:rPr>
        <w:t xml:space="preserve"> </w:t>
      </w:r>
      <w:proofErr w:type="gramStart"/>
      <w:r w:rsidR="00F00272" w:rsidRPr="00827DA8">
        <w:rPr>
          <w:rFonts w:ascii="Arial" w:hAnsi="Arial" w:cs="Arial"/>
          <w:sz w:val="24"/>
          <w:szCs w:val="24"/>
        </w:rPr>
        <w:t>all of</w:t>
      </w:r>
      <w:proofErr w:type="gramEnd"/>
      <w:r w:rsidR="00F00272" w:rsidRPr="00827DA8">
        <w:rPr>
          <w:rFonts w:ascii="Arial" w:hAnsi="Arial" w:cs="Arial"/>
          <w:sz w:val="24"/>
          <w:szCs w:val="24"/>
        </w:rPr>
        <w:t xml:space="preserve"> the circumstances, I am of the view that the plaintiff is </w:t>
      </w:r>
      <w:r w:rsidR="007E0F7B" w:rsidRPr="00827DA8">
        <w:rPr>
          <w:rFonts w:ascii="Arial" w:hAnsi="Arial" w:cs="Arial"/>
          <w:sz w:val="24"/>
          <w:szCs w:val="24"/>
        </w:rPr>
        <w:t>entitled to 90</w:t>
      </w:r>
      <w:r w:rsidR="00341925" w:rsidRPr="00827DA8">
        <w:rPr>
          <w:rFonts w:ascii="Arial" w:hAnsi="Arial" w:cs="Arial"/>
          <w:sz w:val="24"/>
          <w:szCs w:val="24"/>
        </w:rPr>
        <w:t xml:space="preserve">% of her costs on a party and party scale. </w:t>
      </w:r>
      <w:r w:rsidR="007E0F7B" w:rsidRPr="00827DA8">
        <w:rPr>
          <w:rFonts w:ascii="Arial" w:hAnsi="Arial" w:cs="Arial"/>
          <w:sz w:val="24"/>
          <w:szCs w:val="24"/>
        </w:rPr>
        <w:t xml:space="preserve">The request for attorney and client costs was not persisted with in argument, </w:t>
      </w:r>
      <w:r w:rsidR="00E12EBA" w:rsidRPr="00827DA8">
        <w:rPr>
          <w:rFonts w:ascii="Arial" w:hAnsi="Arial" w:cs="Arial"/>
          <w:sz w:val="24"/>
          <w:szCs w:val="24"/>
        </w:rPr>
        <w:t xml:space="preserve">and a draft order was supplied without reference to such an order, </w:t>
      </w:r>
      <w:r w:rsidR="007E0F7B" w:rsidRPr="00827DA8">
        <w:rPr>
          <w:rFonts w:ascii="Arial" w:hAnsi="Arial" w:cs="Arial"/>
          <w:sz w:val="24"/>
          <w:szCs w:val="24"/>
        </w:rPr>
        <w:t>but it was not abandoned, I have considered the request and</w:t>
      </w:r>
      <w:r w:rsidR="00F00272" w:rsidRPr="00827DA8">
        <w:rPr>
          <w:rFonts w:ascii="Arial" w:hAnsi="Arial" w:cs="Arial"/>
          <w:sz w:val="24"/>
          <w:szCs w:val="24"/>
        </w:rPr>
        <w:t xml:space="preserve"> have</w:t>
      </w:r>
      <w:r w:rsidR="007E0F7B" w:rsidRPr="00827DA8">
        <w:rPr>
          <w:rFonts w:ascii="Arial" w:hAnsi="Arial" w:cs="Arial"/>
          <w:sz w:val="24"/>
          <w:szCs w:val="24"/>
        </w:rPr>
        <w:t xml:space="preserve"> concluded there is no basis for such an award.</w:t>
      </w:r>
      <w:r w:rsidR="0028580B" w:rsidRPr="002A1F94">
        <w:rPr>
          <w:rStyle w:val="FootnoteReference"/>
          <w:rFonts w:ascii="Arial" w:hAnsi="Arial" w:cs="Arial"/>
          <w:sz w:val="24"/>
          <w:szCs w:val="24"/>
        </w:rPr>
        <w:footnoteReference w:id="5"/>
      </w:r>
    </w:p>
    <w:p w14:paraId="78763867" w14:textId="77777777" w:rsidR="0028580B" w:rsidRPr="002A1F94" w:rsidRDefault="0028580B" w:rsidP="002A1F94">
      <w:pPr>
        <w:pStyle w:val="ListParagraph"/>
        <w:spacing w:line="360" w:lineRule="auto"/>
        <w:jc w:val="both"/>
        <w:rPr>
          <w:rFonts w:ascii="Arial" w:hAnsi="Arial" w:cs="Arial"/>
          <w:sz w:val="24"/>
          <w:szCs w:val="24"/>
        </w:rPr>
      </w:pPr>
    </w:p>
    <w:p w14:paraId="6A5ED0AF" w14:textId="1B62F5BF" w:rsidR="0028580B" w:rsidRPr="00827DA8" w:rsidRDefault="00827DA8" w:rsidP="00827DA8">
      <w:pPr>
        <w:spacing w:line="360" w:lineRule="auto"/>
        <w:ind w:left="360" w:hanging="360"/>
        <w:jc w:val="both"/>
        <w:rPr>
          <w:rFonts w:ascii="Arial" w:hAnsi="Arial" w:cs="Arial"/>
          <w:sz w:val="24"/>
          <w:szCs w:val="24"/>
        </w:rPr>
      </w:pPr>
      <w:r w:rsidRPr="002A1F94">
        <w:rPr>
          <w:rFonts w:ascii="Arial" w:hAnsi="Arial" w:cs="Arial"/>
          <w:sz w:val="24"/>
          <w:szCs w:val="24"/>
        </w:rPr>
        <w:t>18.</w:t>
      </w:r>
      <w:r w:rsidRPr="002A1F94">
        <w:rPr>
          <w:rFonts w:ascii="Arial" w:hAnsi="Arial" w:cs="Arial"/>
          <w:sz w:val="24"/>
          <w:szCs w:val="24"/>
        </w:rPr>
        <w:tab/>
      </w:r>
      <w:r w:rsidR="0028580B" w:rsidRPr="00827DA8">
        <w:rPr>
          <w:rFonts w:ascii="Arial" w:hAnsi="Arial" w:cs="Arial"/>
          <w:sz w:val="24"/>
          <w:szCs w:val="24"/>
        </w:rPr>
        <w:t xml:space="preserve">The following order is made: </w:t>
      </w:r>
    </w:p>
    <w:p w14:paraId="5278C0C9" w14:textId="77777777" w:rsidR="0028580B" w:rsidRPr="002A1F94" w:rsidRDefault="0028580B" w:rsidP="002A1F94">
      <w:pPr>
        <w:pStyle w:val="ListParagraph"/>
        <w:spacing w:line="360" w:lineRule="auto"/>
        <w:jc w:val="both"/>
        <w:rPr>
          <w:rFonts w:ascii="Arial" w:hAnsi="Arial" w:cs="Arial"/>
          <w:sz w:val="24"/>
          <w:szCs w:val="24"/>
        </w:rPr>
      </w:pPr>
    </w:p>
    <w:p w14:paraId="7D88B87B" w14:textId="5F2CA650" w:rsidR="008F349B" w:rsidRPr="00827DA8" w:rsidRDefault="00827DA8" w:rsidP="00827DA8">
      <w:pPr>
        <w:spacing w:line="360" w:lineRule="auto"/>
        <w:ind w:left="1134" w:hanging="715"/>
        <w:jc w:val="both"/>
        <w:rPr>
          <w:rFonts w:ascii="Arial" w:hAnsi="Arial" w:cs="Arial"/>
          <w:sz w:val="24"/>
          <w:szCs w:val="24"/>
        </w:rPr>
      </w:pPr>
      <w:r w:rsidRPr="002A1F94">
        <w:rPr>
          <w:rFonts w:ascii="Arial" w:hAnsi="Arial" w:cs="Arial"/>
          <w:sz w:val="24"/>
          <w:szCs w:val="24"/>
        </w:rPr>
        <w:t>18.1.</w:t>
      </w:r>
      <w:r w:rsidRPr="002A1F94">
        <w:rPr>
          <w:rFonts w:ascii="Arial" w:hAnsi="Arial" w:cs="Arial"/>
          <w:sz w:val="24"/>
          <w:szCs w:val="24"/>
        </w:rPr>
        <w:tab/>
      </w:r>
      <w:r w:rsidR="008F349B" w:rsidRPr="00827DA8">
        <w:rPr>
          <w:rFonts w:ascii="Arial" w:hAnsi="Arial" w:cs="Arial"/>
          <w:spacing w:val="6"/>
        </w:rPr>
        <w:t xml:space="preserve">It is recorded that the issue of liability and quantum have been settled between the parties and the quantum has been paid to the Plaintiff. </w:t>
      </w:r>
    </w:p>
    <w:p w14:paraId="011A423F" w14:textId="77777777" w:rsidR="0028580B" w:rsidRPr="002A1F94" w:rsidRDefault="0028580B" w:rsidP="002A1F94">
      <w:pPr>
        <w:pStyle w:val="ListParagraph"/>
        <w:spacing w:line="360" w:lineRule="auto"/>
        <w:ind w:left="1134"/>
        <w:jc w:val="both"/>
        <w:rPr>
          <w:rFonts w:ascii="Arial" w:hAnsi="Arial" w:cs="Arial"/>
          <w:sz w:val="24"/>
          <w:szCs w:val="24"/>
        </w:rPr>
      </w:pPr>
    </w:p>
    <w:p w14:paraId="676C0C3A" w14:textId="7127A795" w:rsidR="008F349B" w:rsidRPr="00827DA8" w:rsidRDefault="00827DA8" w:rsidP="00827DA8">
      <w:pPr>
        <w:spacing w:line="360" w:lineRule="auto"/>
        <w:ind w:left="1134" w:hanging="715"/>
        <w:jc w:val="both"/>
        <w:rPr>
          <w:rFonts w:ascii="Arial" w:hAnsi="Arial" w:cs="Arial"/>
          <w:sz w:val="24"/>
          <w:szCs w:val="24"/>
        </w:rPr>
      </w:pPr>
      <w:r w:rsidRPr="002A1F94">
        <w:rPr>
          <w:rFonts w:ascii="Arial" w:hAnsi="Arial" w:cs="Arial"/>
          <w:sz w:val="24"/>
          <w:szCs w:val="24"/>
        </w:rPr>
        <w:t>18.2.</w:t>
      </w:r>
      <w:r w:rsidRPr="002A1F94">
        <w:rPr>
          <w:rFonts w:ascii="Arial" w:hAnsi="Arial" w:cs="Arial"/>
          <w:sz w:val="24"/>
          <w:szCs w:val="24"/>
        </w:rPr>
        <w:tab/>
      </w:r>
      <w:r w:rsidR="008F349B" w:rsidRPr="00827DA8">
        <w:rPr>
          <w:rFonts w:ascii="Arial" w:hAnsi="Arial" w:cs="Arial"/>
        </w:rPr>
        <w:t xml:space="preserve">The Defendant shall pay </w:t>
      </w:r>
      <w:r w:rsidR="0028580B" w:rsidRPr="00827DA8">
        <w:rPr>
          <w:rFonts w:ascii="Arial" w:hAnsi="Arial" w:cs="Arial"/>
        </w:rPr>
        <w:t>90% of the p</w:t>
      </w:r>
      <w:r w:rsidR="008F349B" w:rsidRPr="00827DA8">
        <w:rPr>
          <w:rFonts w:ascii="Arial" w:hAnsi="Arial" w:cs="Arial"/>
        </w:rPr>
        <w:t>laintiff’s taxed or agreed party and party costs for the action on the High Court scale (subject to the discretion of the taxing master), which costs may include</w:t>
      </w:r>
      <w:r w:rsidR="00E12EBA" w:rsidRPr="00827DA8">
        <w:rPr>
          <w:rFonts w:ascii="Arial" w:hAnsi="Arial" w:cs="Arial"/>
        </w:rPr>
        <w:t>,</w:t>
      </w:r>
      <w:r w:rsidR="008F349B" w:rsidRPr="00827DA8">
        <w:rPr>
          <w:rFonts w:ascii="Arial" w:hAnsi="Arial" w:cs="Arial"/>
        </w:rPr>
        <w:t xml:space="preserve"> but not be limited to:</w:t>
      </w:r>
    </w:p>
    <w:p w14:paraId="371E06C2" w14:textId="77777777" w:rsidR="0028580B" w:rsidRPr="002A1F94" w:rsidRDefault="0028580B" w:rsidP="002A1F94">
      <w:pPr>
        <w:pStyle w:val="ListParagraph"/>
        <w:spacing w:line="360" w:lineRule="auto"/>
        <w:jc w:val="both"/>
        <w:rPr>
          <w:rFonts w:ascii="Arial" w:hAnsi="Arial" w:cs="Arial"/>
          <w:sz w:val="24"/>
          <w:szCs w:val="24"/>
        </w:rPr>
      </w:pPr>
    </w:p>
    <w:p w14:paraId="15F5FED2" w14:textId="05F1387A" w:rsidR="008F349B" w:rsidRPr="00827DA8" w:rsidRDefault="00827DA8" w:rsidP="00827DA8">
      <w:pPr>
        <w:spacing w:line="360" w:lineRule="auto"/>
        <w:ind w:left="2268" w:hanging="1212"/>
        <w:jc w:val="both"/>
        <w:rPr>
          <w:rFonts w:ascii="Arial" w:hAnsi="Arial" w:cs="Arial"/>
          <w:sz w:val="24"/>
          <w:szCs w:val="24"/>
        </w:rPr>
      </w:pPr>
      <w:r w:rsidRPr="002A1F94">
        <w:rPr>
          <w:rFonts w:ascii="Arial" w:hAnsi="Arial" w:cs="Arial"/>
          <w:sz w:val="24"/>
          <w:szCs w:val="24"/>
        </w:rPr>
        <w:t>18.2.1.</w:t>
      </w:r>
      <w:r w:rsidRPr="002A1F94">
        <w:rPr>
          <w:rFonts w:ascii="Arial" w:hAnsi="Arial" w:cs="Arial"/>
          <w:sz w:val="24"/>
          <w:szCs w:val="24"/>
        </w:rPr>
        <w:tab/>
      </w:r>
      <w:r w:rsidR="008F349B" w:rsidRPr="00827DA8">
        <w:rPr>
          <w:rFonts w:ascii="Arial" w:hAnsi="Arial" w:cs="Arial"/>
        </w:rPr>
        <w:t xml:space="preserve">The trial costs for 8 March 2021 (the matter was removed by the roll by agreement with costs in the cause). </w:t>
      </w:r>
    </w:p>
    <w:p w14:paraId="193D7690" w14:textId="1C347A66" w:rsidR="008F349B" w:rsidRPr="00827DA8" w:rsidRDefault="00827DA8" w:rsidP="00827DA8">
      <w:pPr>
        <w:spacing w:line="360" w:lineRule="auto"/>
        <w:ind w:left="2268" w:hanging="1212"/>
        <w:jc w:val="both"/>
        <w:rPr>
          <w:rFonts w:ascii="Arial" w:hAnsi="Arial" w:cs="Arial"/>
          <w:sz w:val="24"/>
          <w:szCs w:val="24"/>
        </w:rPr>
      </w:pPr>
      <w:r w:rsidRPr="002A1F94">
        <w:rPr>
          <w:rFonts w:ascii="Arial" w:hAnsi="Arial" w:cs="Arial"/>
          <w:sz w:val="24"/>
          <w:szCs w:val="24"/>
        </w:rPr>
        <w:t>18.2.2.</w:t>
      </w:r>
      <w:r w:rsidRPr="002A1F94">
        <w:rPr>
          <w:rFonts w:ascii="Arial" w:hAnsi="Arial" w:cs="Arial"/>
          <w:sz w:val="24"/>
          <w:szCs w:val="24"/>
        </w:rPr>
        <w:tab/>
      </w:r>
      <w:r w:rsidR="008F349B" w:rsidRPr="00827DA8">
        <w:rPr>
          <w:rFonts w:ascii="Arial" w:hAnsi="Arial" w:cs="Arial"/>
        </w:rPr>
        <w:t>The trial costs pertaining to 13 March 2024.</w:t>
      </w:r>
    </w:p>
    <w:p w14:paraId="65FA3599" w14:textId="52B62FB3" w:rsidR="008F349B" w:rsidRPr="00827DA8" w:rsidRDefault="00827DA8" w:rsidP="00827DA8">
      <w:pPr>
        <w:spacing w:line="360" w:lineRule="auto"/>
        <w:ind w:left="2268" w:hanging="1212"/>
        <w:jc w:val="both"/>
        <w:rPr>
          <w:rFonts w:ascii="Arial" w:hAnsi="Arial" w:cs="Arial"/>
          <w:sz w:val="24"/>
          <w:szCs w:val="24"/>
        </w:rPr>
      </w:pPr>
      <w:r w:rsidRPr="002A1F94">
        <w:rPr>
          <w:rFonts w:ascii="Arial" w:hAnsi="Arial" w:cs="Arial"/>
          <w:sz w:val="24"/>
          <w:szCs w:val="24"/>
        </w:rPr>
        <w:t>18.2.3.</w:t>
      </w:r>
      <w:r w:rsidRPr="002A1F94">
        <w:rPr>
          <w:rFonts w:ascii="Arial" w:hAnsi="Arial" w:cs="Arial"/>
          <w:sz w:val="24"/>
          <w:szCs w:val="24"/>
        </w:rPr>
        <w:tab/>
      </w:r>
      <w:r w:rsidR="008F349B" w:rsidRPr="00827DA8">
        <w:rPr>
          <w:rFonts w:ascii="Arial" w:hAnsi="Arial" w:cs="Arial"/>
        </w:rPr>
        <w:t>The costs of senior-junior counsel which will include reasonable preparation and trial costs (including drafting of affidavit regarding the costs aspect).</w:t>
      </w:r>
    </w:p>
    <w:p w14:paraId="4AE70CC4" w14:textId="6B11B919" w:rsidR="00E12EBA" w:rsidRPr="00827DA8" w:rsidRDefault="00827DA8" w:rsidP="00827DA8">
      <w:pPr>
        <w:spacing w:line="360" w:lineRule="auto"/>
        <w:ind w:left="2268" w:hanging="1212"/>
        <w:jc w:val="both"/>
        <w:rPr>
          <w:rFonts w:ascii="Arial" w:hAnsi="Arial" w:cs="Arial"/>
          <w:sz w:val="24"/>
          <w:szCs w:val="24"/>
        </w:rPr>
      </w:pPr>
      <w:r w:rsidRPr="002A1F94">
        <w:rPr>
          <w:rFonts w:ascii="Arial" w:hAnsi="Arial" w:cs="Arial"/>
          <w:sz w:val="24"/>
          <w:szCs w:val="24"/>
        </w:rPr>
        <w:t>18.2.4.</w:t>
      </w:r>
      <w:r w:rsidRPr="002A1F94">
        <w:rPr>
          <w:rFonts w:ascii="Arial" w:hAnsi="Arial" w:cs="Arial"/>
          <w:sz w:val="24"/>
          <w:szCs w:val="24"/>
        </w:rPr>
        <w:tab/>
      </w:r>
      <w:r w:rsidR="008F349B" w:rsidRPr="00827DA8">
        <w:rPr>
          <w:rFonts w:ascii="Arial" w:hAnsi="Arial" w:cs="Arial"/>
        </w:rPr>
        <w:t>The reasonable costs of obtaining the medico-legal repor</w:t>
      </w:r>
      <w:r w:rsidR="00E12EBA" w:rsidRPr="00827DA8">
        <w:rPr>
          <w:rFonts w:ascii="Arial" w:hAnsi="Arial" w:cs="Arial"/>
        </w:rPr>
        <w:t>ts which were furnished to the d</w:t>
      </w:r>
      <w:r w:rsidR="008F349B" w:rsidRPr="00827DA8">
        <w:rPr>
          <w:rFonts w:ascii="Arial" w:hAnsi="Arial" w:cs="Arial"/>
        </w:rPr>
        <w:t>efendant.</w:t>
      </w:r>
    </w:p>
    <w:p w14:paraId="1CE1A168" w14:textId="77777777" w:rsidR="00E12EBA" w:rsidRPr="002A1F94" w:rsidRDefault="00E12EBA" w:rsidP="002A1F94">
      <w:pPr>
        <w:pStyle w:val="ListParagraph"/>
        <w:spacing w:line="360" w:lineRule="auto"/>
        <w:ind w:left="792"/>
        <w:jc w:val="both"/>
        <w:rPr>
          <w:rFonts w:ascii="Arial" w:hAnsi="Arial" w:cs="Arial"/>
          <w:sz w:val="24"/>
          <w:szCs w:val="24"/>
        </w:rPr>
      </w:pPr>
    </w:p>
    <w:p w14:paraId="16F9E355" w14:textId="5A9B4AD1" w:rsidR="008F349B" w:rsidRPr="00827DA8" w:rsidRDefault="00827DA8" w:rsidP="00827DA8">
      <w:pPr>
        <w:spacing w:line="360" w:lineRule="auto"/>
        <w:ind w:left="792" w:hanging="432"/>
        <w:jc w:val="both"/>
        <w:rPr>
          <w:rFonts w:ascii="Arial" w:hAnsi="Arial" w:cs="Arial"/>
          <w:sz w:val="24"/>
          <w:szCs w:val="24"/>
        </w:rPr>
      </w:pPr>
      <w:r w:rsidRPr="002A1F94">
        <w:rPr>
          <w:rFonts w:ascii="Arial" w:hAnsi="Arial" w:cs="Arial"/>
          <w:sz w:val="24"/>
          <w:szCs w:val="24"/>
        </w:rPr>
        <w:t>18.3.</w:t>
      </w:r>
      <w:r w:rsidRPr="002A1F94">
        <w:rPr>
          <w:rFonts w:ascii="Arial" w:hAnsi="Arial" w:cs="Arial"/>
          <w:sz w:val="24"/>
          <w:szCs w:val="24"/>
        </w:rPr>
        <w:tab/>
      </w:r>
      <w:proofErr w:type="gramStart"/>
      <w:r w:rsidR="008F349B" w:rsidRPr="00827DA8">
        <w:rPr>
          <w:rFonts w:ascii="Arial" w:hAnsi="Arial" w:cs="Arial"/>
        </w:rPr>
        <w:t>In the event that</w:t>
      </w:r>
      <w:proofErr w:type="gramEnd"/>
      <w:r w:rsidR="008F349B" w:rsidRPr="00827DA8">
        <w:rPr>
          <w:rFonts w:ascii="Arial" w:hAnsi="Arial" w:cs="Arial"/>
        </w:rPr>
        <w:t xml:space="preserve"> the costs are not agreed: </w:t>
      </w:r>
    </w:p>
    <w:p w14:paraId="0B92F179" w14:textId="5497DB7E" w:rsidR="008F349B" w:rsidRPr="00827DA8" w:rsidRDefault="00827DA8" w:rsidP="00827DA8">
      <w:pPr>
        <w:spacing w:line="360" w:lineRule="auto"/>
        <w:ind w:left="2268" w:hanging="798"/>
        <w:jc w:val="both"/>
        <w:rPr>
          <w:rFonts w:ascii="Arial" w:hAnsi="Arial" w:cs="Arial"/>
          <w:sz w:val="24"/>
          <w:szCs w:val="24"/>
        </w:rPr>
      </w:pPr>
      <w:r w:rsidRPr="002A1F94">
        <w:rPr>
          <w:rFonts w:ascii="Arial" w:hAnsi="Arial" w:cs="Arial"/>
          <w:sz w:val="24"/>
          <w:szCs w:val="24"/>
        </w:rPr>
        <w:t>18.3.1.</w:t>
      </w:r>
      <w:r w:rsidRPr="002A1F94">
        <w:rPr>
          <w:rFonts w:ascii="Arial" w:hAnsi="Arial" w:cs="Arial"/>
          <w:sz w:val="24"/>
          <w:szCs w:val="24"/>
        </w:rPr>
        <w:tab/>
      </w:r>
      <w:r w:rsidR="00E12EBA" w:rsidRPr="00827DA8">
        <w:rPr>
          <w:rFonts w:ascii="Arial" w:hAnsi="Arial" w:cs="Arial"/>
        </w:rPr>
        <w:t>The p</w:t>
      </w:r>
      <w:r w:rsidR="008F349B" w:rsidRPr="00827DA8">
        <w:rPr>
          <w:rFonts w:ascii="Arial" w:hAnsi="Arial" w:cs="Arial"/>
        </w:rPr>
        <w:t>laintiff shall serve a notice of taxation on the defendant’s attorneys on record.</w:t>
      </w:r>
    </w:p>
    <w:p w14:paraId="1F466E46" w14:textId="1CFB8944" w:rsidR="008F349B" w:rsidRPr="00827DA8" w:rsidRDefault="00827DA8" w:rsidP="00827DA8">
      <w:pPr>
        <w:spacing w:line="360" w:lineRule="auto"/>
        <w:ind w:left="2268" w:hanging="798"/>
        <w:jc w:val="both"/>
        <w:rPr>
          <w:rFonts w:ascii="Arial" w:hAnsi="Arial" w:cs="Arial"/>
          <w:sz w:val="24"/>
          <w:szCs w:val="24"/>
        </w:rPr>
      </w:pPr>
      <w:r w:rsidRPr="002A1F94">
        <w:rPr>
          <w:rFonts w:ascii="Arial" w:hAnsi="Arial" w:cs="Arial"/>
          <w:sz w:val="24"/>
          <w:szCs w:val="24"/>
        </w:rPr>
        <w:t>18.3.2.</w:t>
      </w:r>
      <w:r w:rsidRPr="002A1F94">
        <w:rPr>
          <w:rFonts w:ascii="Arial" w:hAnsi="Arial" w:cs="Arial"/>
          <w:sz w:val="24"/>
          <w:szCs w:val="24"/>
        </w:rPr>
        <w:tab/>
      </w:r>
      <w:r w:rsidR="00E12EBA" w:rsidRPr="00827DA8">
        <w:rPr>
          <w:rFonts w:ascii="Arial" w:hAnsi="Arial" w:cs="Arial"/>
        </w:rPr>
        <w:t>The plaintiff shall allow the d</w:t>
      </w:r>
      <w:r w:rsidR="008F349B" w:rsidRPr="00827DA8">
        <w:rPr>
          <w:rFonts w:ascii="Arial" w:hAnsi="Arial" w:cs="Arial"/>
        </w:rPr>
        <w:t>efendant 30 (</w:t>
      </w:r>
      <w:r w:rsidR="00E12EBA" w:rsidRPr="00827DA8">
        <w:rPr>
          <w:rFonts w:ascii="Arial" w:hAnsi="Arial" w:cs="Arial"/>
        </w:rPr>
        <w:t>t</w:t>
      </w:r>
      <w:r w:rsidR="008F349B" w:rsidRPr="00827DA8">
        <w:rPr>
          <w:rFonts w:ascii="Arial" w:hAnsi="Arial" w:cs="Arial"/>
        </w:rPr>
        <w:t xml:space="preserve">hirty) days from date of </w:t>
      </w:r>
      <w:r w:rsidR="008F349B" w:rsidRPr="00827DA8">
        <w:rPr>
          <w:rFonts w:ascii="Arial" w:hAnsi="Arial" w:cs="Arial"/>
          <w:i/>
        </w:rPr>
        <w:t>allocatur</w:t>
      </w:r>
      <w:r w:rsidR="008F349B" w:rsidRPr="00827DA8">
        <w:rPr>
          <w:rFonts w:ascii="Arial" w:hAnsi="Arial" w:cs="Arial"/>
        </w:rPr>
        <w:t xml:space="preserve"> to make payment of the taxed costs.</w:t>
      </w:r>
    </w:p>
    <w:p w14:paraId="6C01398F" w14:textId="0B6B86A7" w:rsidR="008F349B" w:rsidRPr="00827DA8" w:rsidRDefault="00827DA8" w:rsidP="00827DA8">
      <w:pPr>
        <w:spacing w:line="360" w:lineRule="auto"/>
        <w:ind w:left="2268" w:hanging="798"/>
        <w:jc w:val="both"/>
        <w:rPr>
          <w:rFonts w:ascii="Arial" w:hAnsi="Arial" w:cs="Arial"/>
          <w:sz w:val="24"/>
          <w:szCs w:val="24"/>
        </w:rPr>
      </w:pPr>
      <w:r w:rsidRPr="002A1F94">
        <w:rPr>
          <w:rFonts w:ascii="Arial" w:hAnsi="Arial" w:cs="Arial"/>
          <w:sz w:val="24"/>
          <w:szCs w:val="24"/>
        </w:rPr>
        <w:t>18.3.3.</w:t>
      </w:r>
      <w:r w:rsidRPr="002A1F94">
        <w:rPr>
          <w:rFonts w:ascii="Arial" w:hAnsi="Arial" w:cs="Arial"/>
          <w:sz w:val="24"/>
          <w:szCs w:val="24"/>
        </w:rPr>
        <w:tab/>
      </w:r>
      <w:r w:rsidR="008F349B" w:rsidRPr="00827DA8">
        <w:rPr>
          <w:rFonts w:ascii="Arial" w:hAnsi="Arial" w:cs="Arial"/>
        </w:rPr>
        <w:t xml:space="preserve">Should payment </w:t>
      </w:r>
      <w:r w:rsidR="00E12EBA" w:rsidRPr="00827DA8">
        <w:rPr>
          <w:rFonts w:ascii="Arial" w:hAnsi="Arial" w:cs="Arial"/>
        </w:rPr>
        <w:t xml:space="preserve">not be </w:t>
      </w:r>
      <w:r w:rsidR="0088234E" w:rsidRPr="00827DA8">
        <w:rPr>
          <w:rFonts w:ascii="Arial" w:hAnsi="Arial" w:cs="Arial"/>
        </w:rPr>
        <w:t>affected</w:t>
      </w:r>
      <w:r w:rsidR="00E12EBA" w:rsidRPr="00827DA8">
        <w:rPr>
          <w:rFonts w:ascii="Arial" w:hAnsi="Arial" w:cs="Arial"/>
        </w:rPr>
        <w:t xml:space="preserve"> timeously, the p</w:t>
      </w:r>
      <w:r w:rsidR="008F349B" w:rsidRPr="00827DA8">
        <w:rPr>
          <w:rFonts w:ascii="Arial" w:hAnsi="Arial" w:cs="Arial"/>
        </w:rPr>
        <w:t xml:space="preserve">laintiff will be entitled to recover interest at the relevant prescribed rate </w:t>
      </w:r>
      <w:r w:rsidR="008F349B" w:rsidRPr="00827DA8">
        <w:rPr>
          <w:rFonts w:ascii="Arial" w:hAnsi="Arial" w:cs="Arial"/>
          <w:i/>
        </w:rPr>
        <w:t>per annum</w:t>
      </w:r>
      <w:r w:rsidR="008F349B" w:rsidRPr="00827DA8">
        <w:rPr>
          <w:rFonts w:ascii="Arial" w:hAnsi="Arial" w:cs="Arial"/>
        </w:rPr>
        <w:t xml:space="preserve"> on the taxed or agreed costs from date of </w:t>
      </w:r>
      <w:r w:rsidR="008F349B" w:rsidRPr="00827DA8">
        <w:rPr>
          <w:rFonts w:ascii="Arial" w:hAnsi="Arial" w:cs="Arial"/>
          <w:i/>
        </w:rPr>
        <w:t>allocatur</w:t>
      </w:r>
      <w:r w:rsidR="008F349B" w:rsidRPr="00827DA8">
        <w:rPr>
          <w:rFonts w:ascii="Arial" w:hAnsi="Arial" w:cs="Arial"/>
        </w:rPr>
        <w:t xml:space="preserve"> to date of final payment.</w:t>
      </w:r>
    </w:p>
    <w:p w14:paraId="060A23C1" w14:textId="77777777" w:rsidR="00E12EBA" w:rsidRPr="002A1F94" w:rsidRDefault="00E12EBA" w:rsidP="002A1F94">
      <w:pPr>
        <w:pStyle w:val="ListParagraph"/>
        <w:spacing w:line="360" w:lineRule="auto"/>
        <w:ind w:left="792"/>
        <w:jc w:val="both"/>
        <w:rPr>
          <w:rFonts w:ascii="Arial" w:hAnsi="Arial" w:cs="Arial"/>
          <w:sz w:val="24"/>
          <w:szCs w:val="24"/>
        </w:rPr>
      </w:pPr>
    </w:p>
    <w:p w14:paraId="4E0A5FE1" w14:textId="5CB586FC" w:rsidR="008F349B" w:rsidRPr="00827DA8" w:rsidRDefault="00827DA8" w:rsidP="00827DA8">
      <w:pPr>
        <w:spacing w:line="360" w:lineRule="auto"/>
        <w:ind w:left="1560" w:hanging="999"/>
        <w:jc w:val="both"/>
        <w:rPr>
          <w:rFonts w:ascii="Arial" w:hAnsi="Arial" w:cs="Arial"/>
          <w:sz w:val="24"/>
          <w:szCs w:val="24"/>
        </w:rPr>
      </w:pPr>
      <w:r w:rsidRPr="002A1F94">
        <w:rPr>
          <w:rFonts w:ascii="Arial" w:hAnsi="Arial" w:cs="Arial"/>
          <w:sz w:val="24"/>
          <w:szCs w:val="24"/>
        </w:rPr>
        <w:lastRenderedPageBreak/>
        <w:t>18.4.</w:t>
      </w:r>
      <w:r w:rsidRPr="002A1F94">
        <w:rPr>
          <w:rFonts w:ascii="Arial" w:hAnsi="Arial" w:cs="Arial"/>
          <w:sz w:val="24"/>
          <w:szCs w:val="24"/>
        </w:rPr>
        <w:tab/>
      </w:r>
      <w:r w:rsidR="008F349B" w:rsidRPr="00827DA8">
        <w:rPr>
          <w:rFonts w:ascii="Arial" w:hAnsi="Arial" w:cs="Arial"/>
        </w:rPr>
        <w:t xml:space="preserve">The amounts referred to </w:t>
      </w:r>
      <w:r w:rsidR="00E12EBA" w:rsidRPr="00827DA8">
        <w:rPr>
          <w:rFonts w:ascii="Arial" w:hAnsi="Arial" w:cs="Arial"/>
        </w:rPr>
        <w:t xml:space="preserve">above </w:t>
      </w:r>
      <w:r w:rsidR="008F349B" w:rsidRPr="00827DA8">
        <w:rPr>
          <w:rFonts w:ascii="Arial" w:hAnsi="Arial" w:cs="Arial"/>
          <w:color w:val="000000"/>
        </w:rPr>
        <w:t>will</w:t>
      </w:r>
      <w:r w:rsidR="008F349B" w:rsidRPr="00827DA8">
        <w:rPr>
          <w:rFonts w:ascii="Arial" w:hAnsi="Arial" w:cs="Arial"/>
        </w:rPr>
        <w:t xml:space="preserve"> be paid to the Plaintiff’s attorneys, </w:t>
      </w:r>
      <w:r w:rsidR="008F349B" w:rsidRPr="00827DA8">
        <w:rPr>
          <w:rFonts w:ascii="Arial" w:hAnsi="Arial" w:cs="Arial"/>
          <w:b/>
        </w:rPr>
        <w:t>Werner Boshoff Incorporated</w:t>
      </w:r>
      <w:r w:rsidR="008F349B" w:rsidRPr="00827DA8">
        <w:rPr>
          <w:rFonts w:ascii="Arial" w:hAnsi="Arial" w:cs="Arial"/>
        </w:rPr>
        <w:t>, by direct transfer into their trust account, the details of which are as follows:</w:t>
      </w:r>
    </w:p>
    <w:p w14:paraId="7F0D207D" w14:textId="77777777" w:rsidR="008F349B" w:rsidRPr="002A1F94" w:rsidRDefault="008F349B" w:rsidP="002A1F94">
      <w:pPr>
        <w:spacing w:line="360" w:lineRule="auto"/>
        <w:ind w:left="1134"/>
        <w:jc w:val="both"/>
        <w:rPr>
          <w:rFonts w:ascii="Arial" w:hAnsi="Arial" w:cs="Arial"/>
        </w:rPr>
      </w:pPr>
    </w:p>
    <w:p w14:paraId="35A44EE0" w14:textId="5E29A7D1" w:rsidR="008F349B" w:rsidRPr="002A1F94" w:rsidRDefault="008F349B" w:rsidP="002A1F94">
      <w:pPr>
        <w:spacing w:line="360" w:lineRule="auto"/>
        <w:ind w:left="1134"/>
        <w:jc w:val="both"/>
        <w:rPr>
          <w:rFonts w:ascii="Arial" w:hAnsi="Arial" w:cs="Arial"/>
        </w:rPr>
      </w:pPr>
      <w:r w:rsidRPr="002A1F94">
        <w:rPr>
          <w:rFonts w:ascii="Arial" w:hAnsi="Arial" w:cs="Arial"/>
          <w:u w:val="single"/>
        </w:rPr>
        <w:t>Account holder</w:t>
      </w:r>
      <w:r w:rsidRPr="002A1F94">
        <w:rPr>
          <w:rFonts w:ascii="Arial" w:hAnsi="Arial" w:cs="Arial"/>
        </w:rPr>
        <w:t>:</w:t>
      </w:r>
      <w:r w:rsidR="002A1F94" w:rsidRPr="002A1F94">
        <w:rPr>
          <w:rFonts w:ascii="Arial" w:hAnsi="Arial" w:cs="Arial"/>
        </w:rPr>
        <w:tab/>
      </w:r>
      <w:r w:rsidRPr="002A1F94">
        <w:rPr>
          <w:rFonts w:ascii="Arial" w:hAnsi="Arial" w:cs="Arial"/>
          <w:b/>
        </w:rPr>
        <w:t>WERNER BOSHOFF INC TRUST ACCOUNT</w:t>
      </w:r>
    </w:p>
    <w:p w14:paraId="7B72BDC4" w14:textId="539DCF62" w:rsidR="008F349B" w:rsidRPr="002A1F94" w:rsidRDefault="008F349B" w:rsidP="002A1F94">
      <w:pPr>
        <w:spacing w:line="360" w:lineRule="auto"/>
        <w:ind w:left="1134"/>
        <w:jc w:val="both"/>
        <w:rPr>
          <w:rFonts w:ascii="Arial" w:hAnsi="Arial" w:cs="Arial"/>
        </w:rPr>
      </w:pPr>
      <w:r w:rsidRPr="002A1F94">
        <w:rPr>
          <w:rFonts w:ascii="Arial" w:hAnsi="Arial" w:cs="Arial"/>
          <w:u w:val="single"/>
        </w:rPr>
        <w:t>Bank:</w:t>
      </w:r>
      <w:r w:rsidR="002A1F94" w:rsidRPr="002A1F94">
        <w:rPr>
          <w:rFonts w:ascii="Arial" w:hAnsi="Arial" w:cs="Arial"/>
          <w:b/>
        </w:rPr>
        <w:tab/>
      </w:r>
      <w:r w:rsidR="002A1F94" w:rsidRPr="002A1F94">
        <w:rPr>
          <w:rFonts w:ascii="Arial" w:hAnsi="Arial" w:cs="Arial"/>
          <w:b/>
        </w:rPr>
        <w:tab/>
      </w:r>
      <w:r w:rsidRPr="002A1F94">
        <w:rPr>
          <w:rFonts w:ascii="Arial" w:hAnsi="Arial" w:cs="Arial"/>
          <w:b/>
        </w:rPr>
        <w:t>Standard Bank, Lynnwood Ridge</w:t>
      </w:r>
    </w:p>
    <w:p w14:paraId="7BE6F299" w14:textId="5C18ADE8" w:rsidR="008F349B" w:rsidRPr="002A1F94" w:rsidRDefault="008F349B" w:rsidP="002A1F94">
      <w:pPr>
        <w:spacing w:line="360" w:lineRule="auto"/>
        <w:ind w:left="1134"/>
        <w:jc w:val="both"/>
        <w:rPr>
          <w:rFonts w:ascii="Arial" w:hAnsi="Arial" w:cs="Arial"/>
        </w:rPr>
      </w:pPr>
      <w:r w:rsidRPr="002A1F94">
        <w:rPr>
          <w:rFonts w:ascii="Arial" w:hAnsi="Arial" w:cs="Arial"/>
          <w:u w:val="single"/>
        </w:rPr>
        <w:t>Branch Code:</w:t>
      </w:r>
      <w:r w:rsidR="002A1F94" w:rsidRPr="002A1F94">
        <w:rPr>
          <w:rFonts w:ascii="Arial" w:hAnsi="Arial" w:cs="Arial"/>
          <w:b/>
        </w:rPr>
        <w:tab/>
      </w:r>
      <w:r w:rsidRPr="002A1F94">
        <w:rPr>
          <w:rFonts w:ascii="Arial" w:hAnsi="Arial" w:cs="Arial"/>
          <w:b/>
        </w:rPr>
        <w:t>012 445</w:t>
      </w:r>
    </w:p>
    <w:p w14:paraId="65F5D516" w14:textId="05833E93" w:rsidR="008F349B" w:rsidRPr="002A1F94" w:rsidRDefault="008F349B" w:rsidP="002A1F94">
      <w:pPr>
        <w:spacing w:line="360" w:lineRule="auto"/>
        <w:ind w:left="1134"/>
        <w:jc w:val="both"/>
        <w:rPr>
          <w:rFonts w:ascii="Arial" w:hAnsi="Arial" w:cs="Arial"/>
        </w:rPr>
      </w:pPr>
      <w:r w:rsidRPr="002A1F94">
        <w:rPr>
          <w:rFonts w:ascii="Arial" w:hAnsi="Arial" w:cs="Arial"/>
          <w:u w:val="single"/>
        </w:rPr>
        <w:t>Account no:</w:t>
      </w:r>
      <w:r w:rsidR="002A1F94" w:rsidRPr="002A1F94">
        <w:rPr>
          <w:rFonts w:ascii="Arial" w:hAnsi="Arial" w:cs="Arial"/>
          <w:b/>
        </w:rPr>
        <w:tab/>
      </w:r>
      <w:r w:rsidRPr="002A1F94">
        <w:rPr>
          <w:rFonts w:ascii="Arial" w:hAnsi="Arial" w:cs="Arial"/>
          <w:b/>
        </w:rPr>
        <w:t xml:space="preserve">01 333 </w:t>
      </w:r>
      <w:proofErr w:type="gramStart"/>
      <w:r w:rsidRPr="002A1F94">
        <w:rPr>
          <w:rFonts w:ascii="Arial" w:hAnsi="Arial" w:cs="Arial"/>
          <w:b/>
        </w:rPr>
        <w:t>2724</w:t>
      </w:r>
      <w:proofErr w:type="gramEnd"/>
    </w:p>
    <w:p w14:paraId="22FC906D" w14:textId="58F09A88" w:rsidR="008F349B" w:rsidRPr="002A1F94" w:rsidRDefault="008F349B" w:rsidP="002A1F94">
      <w:pPr>
        <w:spacing w:line="360" w:lineRule="auto"/>
        <w:ind w:left="1134"/>
        <w:jc w:val="both"/>
        <w:rPr>
          <w:rFonts w:ascii="Arial" w:hAnsi="Arial" w:cs="Arial"/>
        </w:rPr>
      </w:pPr>
      <w:r w:rsidRPr="002A1F94">
        <w:rPr>
          <w:rFonts w:ascii="Arial" w:hAnsi="Arial" w:cs="Arial"/>
          <w:u w:val="single"/>
        </w:rPr>
        <w:t>Reference:</w:t>
      </w:r>
      <w:r w:rsidRPr="002A1F94">
        <w:rPr>
          <w:rFonts w:ascii="Arial" w:hAnsi="Arial" w:cs="Arial"/>
        </w:rPr>
        <w:tab/>
      </w:r>
      <w:r w:rsidRPr="002A1F94">
        <w:rPr>
          <w:rFonts w:ascii="Arial" w:hAnsi="Arial" w:cs="Arial"/>
          <w:b/>
          <w:bCs/>
        </w:rPr>
        <w:t xml:space="preserve">REF: </w:t>
      </w:r>
      <w:r w:rsidRPr="002A1F94">
        <w:rPr>
          <w:rFonts w:ascii="Arial" w:hAnsi="Arial" w:cs="Arial"/>
          <w:b/>
          <w:bCs/>
          <w:sz w:val="25"/>
          <w:szCs w:val="25"/>
        </w:rPr>
        <w:t>W BOSHOFF/LO/MAT1086</w:t>
      </w:r>
    </w:p>
    <w:p w14:paraId="5849C4D3" w14:textId="68B02F24" w:rsidR="00E12EBA" w:rsidRPr="002A1F94" w:rsidRDefault="008F349B" w:rsidP="0088234E">
      <w:pPr>
        <w:spacing w:line="480" w:lineRule="auto"/>
        <w:ind w:left="1134" w:hanging="1134"/>
        <w:jc w:val="both"/>
        <w:rPr>
          <w:rFonts w:ascii="Arial" w:hAnsi="Arial" w:cs="Arial"/>
        </w:rPr>
      </w:pPr>
      <w:r w:rsidRPr="002A1F94">
        <w:rPr>
          <w:rFonts w:ascii="Arial" w:hAnsi="Arial" w:cs="Arial"/>
          <w:color w:val="FF0000"/>
        </w:rPr>
        <w:t>.</w:t>
      </w:r>
    </w:p>
    <w:p w14:paraId="2110A839" w14:textId="77777777" w:rsidR="00E12EBA" w:rsidRPr="002A1F94" w:rsidRDefault="00E12EBA" w:rsidP="008F349B">
      <w:pPr>
        <w:spacing w:line="480" w:lineRule="auto"/>
        <w:jc w:val="both"/>
        <w:rPr>
          <w:rFonts w:ascii="Arial" w:hAnsi="Arial" w:cs="Arial"/>
          <w:b/>
          <w:u w:val="single"/>
        </w:rPr>
      </w:pPr>
    </w:p>
    <w:p w14:paraId="171256D2" w14:textId="77777777" w:rsidR="00E12EBA" w:rsidRPr="002A1F94" w:rsidRDefault="00E12EBA" w:rsidP="008F349B">
      <w:pPr>
        <w:spacing w:line="480" w:lineRule="auto"/>
        <w:jc w:val="both"/>
        <w:rPr>
          <w:rFonts w:ascii="Arial" w:hAnsi="Arial" w:cs="Arial"/>
          <w:b/>
          <w:u w:val="single"/>
        </w:rPr>
      </w:pPr>
    </w:p>
    <w:p w14:paraId="78B9B9FC" w14:textId="77777777" w:rsidR="0088234E" w:rsidRPr="002A1F94" w:rsidRDefault="0088234E" w:rsidP="0088234E">
      <w:pPr>
        <w:pStyle w:val="ListParagraph"/>
        <w:spacing w:after="200" w:line="480" w:lineRule="auto"/>
        <w:ind w:left="0"/>
        <w:rPr>
          <w:rFonts w:ascii="Arial" w:hAnsi="Arial" w:cs="Arial"/>
          <w:b/>
        </w:rPr>
      </w:pPr>
    </w:p>
    <w:p w14:paraId="0820F77B" w14:textId="77777777" w:rsidR="0088234E" w:rsidRPr="002A1F94" w:rsidRDefault="0088234E" w:rsidP="0088234E">
      <w:pPr>
        <w:pStyle w:val="ListParagraph"/>
        <w:keepNext/>
        <w:tabs>
          <w:tab w:val="right" w:pos="0"/>
        </w:tabs>
        <w:ind w:left="0"/>
        <w:jc w:val="right"/>
        <w:rPr>
          <w:rFonts w:ascii="Arial" w:hAnsi="Arial" w:cs="Arial"/>
          <w:sz w:val="24"/>
        </w:rPr>
      </w:pPr>
      <w:r w:rsidRPr="002A1F94">
        <w:rPr>
          <w:rFonts w:ascii="Arial" w:hAnsi="Arial" w:cs="Arial"/>
          <w:sz w:val="24"/>
        </w:rPr>
        <w:t>_____________________________________</w:t>
      </w:r>
    </w:p>
    <w:p w14:paraId="73C2D1C4" w14:textId="77777777" w:rsidR="0088234E" w:rsidRPr="002A1F94" w:rsidRDefault="0088234E" w:rsidP="0088234E">
      <w:pPr>
        <w:pStyle w:val="ListParagraph"/>
        <w:tabs>
          <w:tab w:val="right" w:pos="0"/>
        </w:tabs>
        <w:ind w:left="0"/>
        <w:jc w:val="right"/>
        <w:rPr>
          <w:rFonts w:ascii="Arial" w:hAnsi="Arial" w:cs="Arial"/>
          <w:b/>
          <w:sz w:val="24"/>
        </w:rPr>
      </w:pPr>
      <w:r w:rsidRPr="002A1F94">
        <w:rPr>
          <w:rFonts w:ascii="Arial" w:hAnsi="Arial" w:cs="Arial"/>
          <w:b/>
          <w:sz w:val="24"/>
        </w:rPr>
        <w:t>S J COWEN</w:t>
      </w:r>
    </w:p>
    <w:p w14:paraId="13F6533A" w14:textId="77777777" w:rsidR="0088234E" w:rsidRPr="002A1F94" w:rsidRDefault="0088234E" w:rsidP="0088234E">
      <w:pPr>
        <w:pStyle w:val="ListParagraph"/>
        <w:tabs>
          <w:tab w:val="right" w:pos="0"/>
        </w:tabs>
        <w:ind w:left="0"/>
        <w:jc w:val="right"/>
        <w:rPr>
          <w:rFonts w:ascii="Arial" w:hAnsi="Arial" w:cs="Arial"/>
          <w:b/>
          <w:sz w:val="24"/>
        </w:rPr>
      </w:pPr>
      <w:r w:rsidRPr="002A1F94">
        <w:rPr>
          <w:rFonts w:ascii="Arial" w:hAnsi="Arial" w:cs="Arial"/>
          <w:b/>
          <w:sz w:val="24"/>
        </w:rPr>
        <w:t>JUDGE OF THE HIGH COURT OF SOUTH AFRICA</w:t>
      </w:r>
    </w:p>
    <w:p w14:paraId="6BE397D5" w14:textId="77777777" w:rsidR="0088234E" w:rsidRPr="002A1F94" w:rsidRDefault="0088234E" w:rsidP="0088234E">
      <w:pPr>
        <w:pStyle w:val="ListParagraph"/>
        <w:tabs>
          <w:tab w:val="right" w:pos="0"/>
          <w:tab w:val="left" w:pos="4253"/>
        </w:tabs>
        <w:ind w:left="0"/>
        <w:jc w:val="right"/>
        <w:rPr>
          <w:rFonts w:ascii="Arial" w:hAnsi="Arial" w:cs="Arial"/>
          <w:b/>
          <w:sz w:val="24"/>
        </w:rPr>
      </w:pPr>
      <w:r w:rsidRPr="002A1F94">
        <w:rPr>
          <w:rFonts w:ascii="Arial" w:hAnsi="Arial" w:cs="Arial"/>
          <w:b/>
          <w:sz w:val="24"/>
        </w:rPr>
        <w:t>GAUTENG DIVISION</w:t>
      </w:r>
    </w:p>
    <w:p w14:paraId="1544B653" w14:textId="77777777" w:rsidR="0088234E" w:rsidRPr="002A1F94" w:rsidRDefault="0088234E" w:rsidP="0088234E">
      <w:pPr>
        <w:pStyle w:val="ListParagraph"/>
        <w:tabs>
          <w:tab w:val="right" w:pos="0"/>
          <w:tab w:val="left" w:pos="4253"/>
        </w:tabs>
        <w:ind w:left="0"/>
        <w:jc w:val="right"/>
        <w:rPr>
          <w:rFonts w:ascii="Arial" w:hAnsi="Arial" w:cs="Arial"/>
          <w:b/>
          <w:sz w:val="24"/>
        </w:rPr>
      </w:pPr>
      <w:r w:rsidRPr="002A1F94">
        <w:rPr>
          <w:rFonts w:ascii="Arial" w:hAnsi="Arial" w:cs="Arial"/>
          <w:b/>
          <w:sz w:val="24"/>
        </w:rPr>
        <w:t>PRETORIA</w:t>
      </w:r>
    </w:p>
    <w:p w14:paraId="107177D3" w14:textId="77777777" w:rsidR="00E12EBA" w:rsidRPr="002A1F94" w:rsidRDefault="00E12EBA" w:rsidP="008F349B">
      <w:pPr>
        <w:spacing w:line="480" w:lineRule="auto"/>
        <w:jc w:val="both"/>
        <w:rPr>
          <w:rFonts w:ascii="Arial" w:hAnsi="Arial" w:cs="Arial"/>
          <w:b/>
        </w:rPr>
      </w:pPr>
    </w:p>
    <w:p w14:paraId="2AC33E91" w14:textId="77777777" w:rsidR="0088234E" w:rsidRPr="002A1F94" w:rsidRDefault="0088234E" w:rsidP="002A1F94">
      <w:pPr>
        <w:spacing w:line="480" w:lineRule="auto"/>
        <w:jc w:val="both"/>
        <w:rPr>
          <w:rFonts w:ascii="Arial" w:hAnsi="Arial" w:cs="Arial"/>
          <w:b/>
          <w:sz w:val="24"/>
          <w:szCs w:val="24"/>
        </w:rPr>
      </w:pPr>
    </w:p>
    <w:p w14:paraId="14C52884" w14:textId="74F04837" w:rsidR="002A1F94" w:rsidRPr="002A1F94" w:rsidRDefault="002A1F94" w:rsidP="002A1F94">
      <w:pPr>
        <w:pStyle w:val="ListParagraph"/>
        <w:spacing w:after="200"/>
        <w:ind w:left="0"/>
        <w:jc w:val="both"/>
        <w:rPr>
          <w:rFonts w:ascii="Arial" w:eastAsia="Arial Unicode MS" w:hAnsi="Arial" w:cs="Arial"/>
          <w:bCs/>
          <w:sz w:val="24"/>
          <w:szCs w:val="24"/>
        </w:rPr>
      </w:pPr>
      <w:r w:rsidRPr="002A1F94">
        <w:rPr>
          <w:rFonts w:ascii="Arial" w:eastAsia="Arial Unicode MS" w:hAnsi="Arial" w:cs="Arial"/>
          <w:bCs/>
          <w:sz w:val="24"/>
          <w:szCs w:val="24"/>
        </w:rPr>
        <w:t xml:space="preserve">Delivered: This judgment was prepared and authored by the Judge whose name is reflected and is handed down electronically by circulation to the Parties / their legal representatives by email and by uploading it to the electronic file of this matter on </w:t>
      </w:r>
      <w:proofErr w:type="spellStart"/>
      <w:r w:rsidRPr="002A1F94">
        <w:rPr>
          <w:rFonts w:ascii="Arial" w:eastAsia="Arial Unicode MS" w:hAnsi="Arial" w:cs="Arial"/>
          <w:bCs/>
          <w:sz w:val="24"/>
          <w:szCs w:val="24"/>
        </w:rPr>
        <w:t>CaseLines</w:t>
      </w:r>
      <w:proofErr w:type="spellEnd"/>
      <w:r w:rsidRPr="002A1F94">
        <w:rPr>
          <w:rFonts w:ascii="Arial" w:eastAsia="Arial Unicode MS" w:hAnsi="Arial" w:cs="Arial"/>
          <w:bCs/>
          <w:sz w:val="24"/>
          <w:szCs w:val="24"/>
        </w:rPr>
        <w:t>. The date of the judgment is deemed to be 18 March 2024.</w:t>
      </w:r>
    </w:p>
    <w:p w14:paraId="0D7BA806" w14:textId="77777777" w:rsidR="0088234E" w:rsidRPr="002A1F94" w:rsidRDefault="0088234E" w:rsidP="008F349B">
      <w:pPr>
        <w:spacing w:line="480" w:lineRule="auto"/>
        <w:jc w:val="both"/>
        <w:rPr>
          <w:rFonts w:ascii="Arial" w:hAnsi="Arial" w:cs="Arial"/>
          <w:b/>
        </w:rPr>
      </w:pPr>
    </w:p>
    <w:p w14:paraId="6C0E94FE" w14:textId="777461A7" w:rsidR="00E12EBA" w:rsidRPr="002A1F94" w:rsidRDefault="00E12EBA" w:rsidP="008F349B">
      <w:pPr>
        <w:spacing w:line="480" w:lineRule="auto"/>
        <w:jc w:val="both"/>
        <w:rPr>
          <w:rFonts w:ascii="Arial" w:hAnsi="Arial" w:cs="Arial"/>
          <w:b/>
        </w:rPr>
      </w:pPr>
      <w:r w:rsidRPr="002A1F94">
        <w:rPr>
          <w:rFonts w:ascii="Arial" w:hAnsi="Arial" w:cs="Arial"/>
          <w:bCs/>
        </w:rPr>
        <w:t>Date of hearing:</w:t>
      </w:r>
      <w:r w:rsidRPr="002A1F94">
        <w:rPr>
          <w:rFonts w:ascii="Arial" w:hAnsi="Arial" w:cs="Arial"/>
          <w:b/>
        </w:rPr>
        <w:t xml:space="preserve">  </w:t>
      </w:r>
      <w:r w:rsidR="002A1F94" w:rsidRPr="002A1F94">
        <w:rPr>
          <w:rFonts w:ascii="Arial" w:hAnsi="Arial" w:cs="Arial"/>
          <w:b/>
        </w:rPr>
        <w:tab/>
      </w:r>
      <w:r w:rsidR="002A1F94" w:rsidRPr="002A1F94">
        <w:rPr>
          <w:rFonts w:ascii="Arial" w:hAnsi="Arial" w:cs="Arial"/>
          <w:b/>
        </w:rPr>
        <w:tab/>
      </w:r>
      <w:r w:rsidRPr="002A1F94">
        <w:rPr>
          <w:rFonts w:ascii="Arial" w:hAnsi="Arial" w:cs="Arial"/>
          <w:b/>
        </w:rPr>
        <w:t>13 March 2024</w:t>
      </w:r>
    </w:p>
    <w:p w14:paraId="62EEBC14" w14:textId="0643F0AA" w:rsidR="0088234E" w:rsidRPr="002A1F94" w:rsidRDefault="00E12EBA" w:rsidP="008F349B">
      <w:pPr>
        <w:spacing w:line="480" w:lineRule="auto"/>
        <w:jc w:val="both"/>
        <w:rPr>
          <w:rFonts w:ascii="Arial" w:hAnsi="Arial" w:cs="Arial"/>
          <w:b/>
        </w:rPr>
      </w:pPr>
      <w:r w:rsidRPr="002A1F94">
        <w:rPr>
          <w:rFonts w:ascii="Arial" w:hAnsi="Arial" w:cs="Arial"/>
          <w:bCs/>
        </w:rPr>
        <w:t>Date of judgment:</w:t>
      </w:r>
      <w:r w:rsidRPr="002A1F94">
        <w:rPr>
          <w:rFonts w:ascii="Arial" w:hAnsi="Arial" w:cs="Arial"/>
          <w:b/>
        </w:rPr>
        <w:t xml:space="preserve">  </w:t>
      </w:r>
      <w:r w:rsidR="002A1F94" w:rsidRPr="002A1F94">
        <w:rPr>
          <w:rFonts w:ascii="Arial" w:hAnsi="Arial" w:cs="Arial"/>
          <w:b/>
        </w:rPr>
        <w:tab/>
      </w:r>
      <w:r w:rsidR="002A1F94" w:rsidRPr="002A1F94">
        <w:rPr>
          <w:rFonts w:ascii="Arial" w:hAnsi="Arial" w:cs="Arial"/>
          <w:b/>
        </w:rPr>
        <w:tab/>
      </w:r>
      <w:r w:rsidRPr="002A1F94">
        <w:rPr>
          <w:rFonts w:ascii="Arial" w:hAnsi="Arial" w:cs="Arial"/>
          <w:b/>
        </w:rPr>
        <w:t>18 March 2024</w:t>
      </w:r>
    </w:p>
    <w:p w14:paraId="093A8A69" w14:textId="77777777" w:rsidR="00E12EBA" w:rsidRPr="002A1F94" w:rsidRDefault="00E12EBA" w:rsidP="008F349B">
      <w:pPr>
        <w:spacing w:line="480" w:lineRule="auto"/>
        <w:jc w:val="both"/>
        <w:rPr>
          <w:rFonts w:ascii="Arial" w:hAnsi="Arial" w:cs="Arial"/>
          <w:b/>
        </w:rPr>
      </w:pPr>
      <w:r w:rsidRPr="002A1F94">
        <w:rPr>
          <w:rFonts w:ascii="Arial" w:hAnsi="Arial" w:cs="Arial"/>
          <w:b/>
        </w:rPr>
        <w:t xml:space="preserve">Appearances: </w:t>
      </w:r>
    </w:p>
    <w:p w14:paraId="25DC8D47" w14:textId="62843DCE" w:rsidR="008F349B" w:rsidRPr="002A1F94" w:rsidRDefault="008F349B" w:rsidP="008F349B">
      <w:pPr>
        <w:spacing w:line="480" w:lineRule="auto"/>
        <w:jc w:val="both"/>
        <w:rPr>
          <w:rFonts w:ascii="Arial" w:hAnsi="Arial" w:cs="Arial"/>
        </w:rPr>
      </w:pPr>
      <w:r w:rsidRPr="002A1F94">
        <w:rPr>
          <w:rFonts w:ascii="Arial" w:hAnsi="Arial" w:cs="Arial"/>
        </w:rPr>
        <w:lastRenderedPageBreak/>
        <w:t>On behalf of Plaintiff:</w:t>
      </w:r>
      <w:r w:rsidRPr="002A1F94">
        <w:rPr>
          <w:rFonts w:ascii="Arial" w:hAnsi="Arial" w:cs="Arial"/>
          <w:b/>
        </w:rPr>
        <w:t xml:space="preserve">   </w:t>
      </w:r>
      <w:r w:rsidR="002A1F94" w:rsidRPr="002A1F94">
        <w:rPr>
          <w:rFonts w:ascii="Arial" w:hAnsi="Arial" w:cs="Arial"/>
          <w:b/>
        </w:rPr>
        <w:tab/>
      </w:r>
      <w:r w:rsidRPr="002A1F94">
        <w:rPr>
          <w:rFonts w:ascii="Arial" w:hAnsi="Arial" w:cs="Arial"/>
          <w:b/>
          <w:color w:val="000000"/>
        </w:rPr>
        <w:t>Adv. C.R van Onselen</w:t>
      </w:r>
      <w:r w:rsidR="00E12EBA" w:rsidRPr="002A1F94">
        <w:rPr>
          <w:rFonts w:ascii="Arial" w:hAnsi="Arial" w:cs="Arial"/>
          <w:b/>
          <w:color w:val="000000"/>
        </w:rPr>
        <w:t xml:space="preserve"> instructed by Werner Boshoff Inc</w:t>
      </w:r>
    </w:p>
    <w:p w14:paraId="2C32480F" w14:textId="1E302335" w:rsidR="008F349B" w:rsidRPr="002A1F94" w:rsidRDefault="008F349B" w:rsidP="00E12EBA">
      <w:pPr>
        <w:spacing w:line="480" w:lineRule="auto"/>
        <w:jc w:val="both"/>
        <w:rPr>
          <w:rFonts w:ascii="Arial" w:hAnsi="Arial" w:cs="Arial"/>
          <w:b/>
          <w:color w:val="000000"/>
        </w:rPr>
      </w:pPr>
      <w:r w:rsidRPr="002A1F94">
        <w:rPr>
          <w:rFonts w:ascii="Arial" w:hAnsi="Arial" w:cs="Arial"/>
          <w:color w:val="000000"/>
        </w:rPr>
        <w:t>On behalf of Defendant:</w:t>
      </w:r>
      <w:r w:rsidR="002A1F94" w:rsidRPr="002A1F94">
        <w:rPr>
          <w:rFonts w:ascii="Arial" w:hAnsi="Arial" w:cs="Arial"/>
          <w:color w:val="000000"/>
        </w:rPr>
        <w:tab/>
      </w:r>
      <w:r w:rsidRPr="002A1F94">
        <w:rPr>
          <w:rFonts w:ascii="Arial" w:hAnsi="Arial" w:cs="Arial"/>
          <w:b/>
          <w:color w:val="000000"/>
        </w:rPr>
        <w:t>Adv. K Toma</w:t>
      </w:r>
      <w:r w:rsidR="00E12EBA" w:rsidRPr="002A1F94">
        <w:rPr>
          <w:rFonts w:ascii="Arial" w:hAnsi="Arial" w:cs="Arial"/>
          <w:b/>
          <w:color w:val="000000"/>
        </w:rPr>
        <w:t xml:space="preserve"> instructed by State Attorney</w:t>
      </w:r>
    </w:p>
    <w:p w14:paraId="20031FF3" w14:textId="77777777" w:rsidR="008F349B" w:rsidRPr="002A1F94" w:rsidRDefault="008F349B" w:rsidP="008F349B">
      <w:pPr>
        <w:pStyle w:val="NormalWeb"/>
        <w:spacing w:before="0" w:beforeAutospacing="0" w:after="0" w:afterAutospacing="0" w:line="480" w:lineRule="auto"/>
        <w:jc w:val="both"/>
        <w:rPr>
          <w:rFonts w:ascii="Arial" w:hAnsi="Arial" w:cs="Arial"/>
          <w:b/>
          <w:spacing w:val="6"/>
        </w:rPr>
      </w:pPr>
    </w:p>
    <w:p w14:paraId="32ED5F1B" w14:textId="77777777" w:rsidR="008F349B" w:rsidRPr="002A1F94" w:rsidRDefault="008F349B" w:rsidP="008F349B">
      <w:pPr>
        <w:rPr>
          <w:rFonts w:ascii="Arial" w:hAnsi="Arial" w:cs="Arial"/>
        </w:rPr>
      </w:pPr>
    </w:p>
    <w:p w14:paraId="576660A1" w14:textId="77777777" w:rsidR="008F349B" w:rsidRPr="002A1F94" w:rsidRDefault="008F349B" w:rsidP="008F349B">
      <w:pPr>
        <w:rPr>
          <w:rFonts w:ascii="Arial" w:hAnsi="Arial" w:cs="Arial"/>
        </w:rPr>
      </w:pPr>
    </w:p>
    <w:p w14:paraId="0D95E7D1" w14:textId="77777777" w:rsidR="00464EEB" w:rsidRPr="002A1F94" w:rsidRDefault="00464EEB" w:rsidP="007E0F7B">
      <w:pPr>
        <w:pStyle w:val="ListParagraph"/>
        <w:spacing w:line="480" w:lineRule="auto"/>
        <w:jc w:val="both"/>
        <w:rPr>
          <w:rFonts w:ascii="Arial" w:hAnsi="Arial" w:cs="Arial"/>
          <w:sz w:val="24"/>
          <w:szCs w:val="24"/>
        </w:rPr>
      </w:pPr>
    </w:p>
    <w:sectPr w:rsidR="00464EEB" w:rsidRPr="002A1F9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CE9734" w14:textId="77777777" w:rsidR="00302185" w:rsidRDefault="00302185" w:rsidP="00F15012">
      <w:pPr>
        <w:spacing w:after="0" w:line="240" w:lineRule="auto"/>
      </w:pPr>
      <w:r>
        <w:separator/>
      </w:r>
    </w:p>
  </w:endnote>
  <w:endnote w:type="continuationSeparator" w:id="0">
    <w:p w14:paraId="5D79318D" w14:textId="77777777" w:rsidR="00302185" w:rsidRDefault="00302185" w:rsidP="00F1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D23EB" w14:textId="77777777" w:rsidR="003F5C6F" w:rsidRDefault="003F5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30D9E" w14:textId="77777777" w:rsidR="003F5C6F" w:rsidRDefault="003F5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49F699" w14:textId="77777777" w:rsidR="003F5C6F" w:rsidRDefault="003F5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CD8A1" w14:textId="77777777" w:rsidR="00302185" w:rsidRDefault="00302185" w:rsidP="00F15012">
      <w:pPr>
        <w:spacing w:after="0" w:line="240" w:lineRule="auto"/>
      </w:pPr>
      <w:r>
        <w:separator/>
      </w:r>
    </w:p>
  </w:footnote>
  <w:footnote w:type="continuationSeparator" w:id="0">
    <w:p w14:paraId="03BBA6A0" w14:textId="77777777" w:rsidR="00302185" w:rsidRDefault="00302185" w:rsidP="00F15012">
      <w:pPr>
        <w:spacing w:after="0" w:line="240" w:lineRule="auto"/>
      </w:pPr>
      <w:r>
        <w:continuationSeparator/>
      </w:r>
    </w:p>
  </w:footnote>
  <w:footnote w:id="1">
    <w:p w14:paraId="5D281BFF" w14:textId="77777777" w:rsidR="00F15012" w:rsidRPr="00F15012" w:rsidRDefault="00F15012" w:rsidP="00F15012">
      <w:pPr>
        <w:pStyle w:val="FootnoteText"/>
        <w:jc w:val="both"/>
        <w:rPr>
          <w:rFonts w:ascii="Arial" w:hAnsi="Arial" w:cs="Arial"/>
          <w:sz w:val="18"/>
          <w:szCs w:val="18"/>
          <w:lang w:val="en-US"/>
        </w:rPr>
      </w:pPr>
      <w:r w:rsidRPr="00F15012">
        <w:rPr>
          <w:rStyle w:val="FootnoteReference"/>
          <w:rFonts w:ascii="Arial" w:hAnsi="Arial" w:cs="Arial"/>
          <w:sz w:val="18"/>
          <w:szCs w:val="18"/>
        </w:rPr>
        <w:footnoteRef/>
      </w:r>
      <w:r w:rsidRPr="00F15012">
        <w:rPr>
          <w:rFonts w:ascii="Arial" w:hAnsi="Arial" w:cs="Arial"/>
          <w:sz w:val="18"/>
          <w:szCs w:val="18"/>
        </w:rPr>
        <w:t xml:space="preserve"> </w:t>
      </w:r>
      <w:r w:rsidRPr="00F15012">
        <w:rPr>
          <w:rFonts w:ascii="Arial" w:hAnsi="Arial" w:cs="Arial"/>
          <w:sz w:val="18"/>
          <w:szCs w:val="18"/>
          <w:lang w:val="en-US"/>
        </w:rPr>
        <w:t xml:space="preserve">Promulgated under Government Notice 1040 (GG 22754) of 12 October 2001, as amended by GN R1128 in GG29376 of 10 November 2006.  </w:t>
      </w:r>
    </w:p>
  </w:footnote>
  <w:footnote w:id="2">
    <w:p w14:paraId="66C6E9D0" w14:textId="77777777" w:rsidR="007E0F7B" w:rsidRPr="006A076F" w:rsidRDefault="007E0F7B">
      <w:pPr>
        <w:pStyle w:val="FootnoteText"/>
        <w:rPr>
          <w:rFonts w:ascii="Arial" w:hAnsi="Arial" w:cs="Arial"/>
          <w:sz w:val="18"/>
          <w:szCs w:val="18"/>
          <w:lang w:val="en-US"/>
        </w:rPr>
      </w:pPr>
      <w:r w:rsidRPr="006A076F">
        <w:rPr>
          <w:rStyle w:val="FootnoteReference"/>
          <w:rFonts w:ascii="Arial" w:hAnsi="Arial" w:cs="Arial"/>
          <w:sz w:val="18"/>
          <w:szCs w:val="18"/>
        </w:rPr>
        <w:footnoteRef/>
      </w:r>
      <w:r w:rsidRPr="006A076F">
        <w:rPr>
          <w:rFonts w:ascii="Arial" w:hAnsi="Arial" w:cs="Arial"/>
          <w:sz w:val="18"/>
          <w:szCs w:val="18"/>
        </w:rPr>
        <w:t xml:space="preserve"> </w:t>
      </w:r>
      <w:r w:rsidR="006A076F" w:rsidRPr="006A076F">
        <w:rPr>
          <w:rFonts w:ascii="Arial" w:hAnsi="Arial" w:cs="Arial"/>
          <w:sz w:val="18"/>
          <w:szCs w:val="18"/>
        </w:rPr>
        <w:t xml:space="preserve">Relying on </w:t>
      </w:r>
      <w:r w:rsidRPr="006A076F">
        <w:rPr>
          <w:rFonts w:ascii="Arial" w:hAnsi="Arial" w:cs="Arial"/>
          <w:i/>
          <w:sz w:val="18"/>
          <w:szCs w:val="18"/>
          <w:lang w:val="en-US"/>
        </w:rPr>
        <w:t xml:space="preserve">Chetty v Louis Joss Motors </w:t>
      </w:r>
      <w:r w:rsidRPr="006A076F">
        <w:rPr>
          <w:rFonts w:ascii="Arial" w:hAnsi="Arial" w:cs="Arial"/>
          <w:sz w:val="18"/>
          <w:szCs w:val="18"/>
          <w:lang w:val="en-US"/>
        </w:rPr>
        <w:t xml:space="preserve">1948(3) SA 329 (T) at 333; </w:t>
      </w:r>
      <w:r w:rsidRPr="006A076F">
        <w:rPr>
          <w:rFonts w:ascii="Arial" w:hAnsi="Arial" w:cs="Arial"/>
          <w:i/>
          <w:sz w:val="18"/>
          <w:szCs w:val="18"/>
          <w:lang w:val="en-US"/>
        </w:rPr>
        <w:t>Fletcher &amp; Co v Le Sueur</w:t>
      </w:r>
      <w:r w:rsidR="006A076F">
        <w:rPr>
          <w:rFonts w:ascii="Arial" w:hAnsi="Arial" w:cs="Arial"/>
          <w:sz w:val="18"/>
          <w:szCs w:val="18"/>
          <w:lang w:val="en-US"/>
        </w:rPr>
        <w:t xml:space="preserve"> (1 CTR 2013); </w:t>
      </w:r>
      <w:r w:rsidRPr="006A076F">
        <w:rPr>
          <w:rFonts w:ascii="Arial" w:hAnsi="Arial" w:cs="Arial"/>
          <w:i/>
          <w:sz w:val="18"/>
          <w:szCs w:val="18"/>
          <w:lang w:val="en-US"/>
        </w:rPr>
        <w:t>Bester v Van Niekerk</w:t>
      </w:r>
      <w:r w:rsidRPr="006A076F">
        <w:rPr>
          <w:rFonts w:ascii="Arial" w:hAnsi="Arial" w:cs="Arial"/>
          <w:sz w:val="18"/>
          <w:szCs w:val="18"/>
          <w:lang w:val="en-US"/>
        </w:rPr>
        <w:t xml:space="preserve"> </w:t>
      </w:r>
      <w:r w:rsidR="006A076F" w:rsidRPr="006A076F">
        <w:rPr>
          <w:rFonts w:ascii="Arial" w:hAnsi="Arial" w:cs="Arial"/>
          <w:sz w:val="18"/>
          <w:szCs w:val="18"/>
          <w:lang w:val="en-US"/>
        </w:rPr>
        <w:t>1960(2) SA 363 (ECD)</w:t>
      </w:r>
      <w:r w:rsidR="006A076F">
        <w:rPr>
          <w:rFonts w:ascii="Arial" w:hAnsi="Arial" w:cs="Arial"/>
          <w:sz w:val="18"/>
          <w:szCs w:val="18"/>
          <w:lang w:val="en-US"/>
        </w:rPr>
        <w:t xml:space="preserve">, AC Cilliers Law of Costs, para 3.12 &amp; 3.13 issue 32; </w:t>
      </w:r>
      <w:r w:rsidR="006A076F">
        <w:rPr>
          <w:rFonts w:ascii="Arial" w:hAnsi="Arial" w:cs="Arial"/>
          <w:i/>
          <w:sz w:val="18"/>
          <w:szCs w:val="18"/>
          <w:lang w:val="en-US"/>
        </w:rPr>
        <w:t xml:space="preserve">Fleming v Johnson &amp; Richardson </w:t>
      </w:r>
      <w:r w:rsidR="006A076F">
        <w:rPr>
          <w:rFonts w:ascii="Arial" w:hAnsi="Arial" w:cs="Arial"/>
          <w:sz w:val="18"/>
          <w:szCs w:val="18"/>
          <w:lang w:val="en-US"/>
        </w:rPr>
        <w:t>1903 TS 319 at 325.</w:t>
      </w:r>
    </w:p>
  </w:footnote>
  <w:footnote w:id="3">
    <w:p w14:paraId="7804CB24" w14:textId="77777777" w:rsidR="00AE31AC" w:rsidRPr="00AE31AC" w:rsidRDefault="00AE31AC">
      <w:pPr>
        <w:pStyle w:val="FootnoteText"/>
        <w:rPr>
          <w:rFonts w:ascii="Arial" w:hAnsi="Arial" w:cs="Arial"/>
          <w:sz w:val="18"/>
          <w:szCs w:val="18"/>
          <w:lang w:val="en-US"/>
        </w:rPr>
      </w:pPr>
      <w:r w:rsidRPr="00AE31AC">
        <w:rPr>
          <w:rStyle w:val="FootnoteReference"/>
          <w:rFonts w:ascii="Arial" w:hAnsi="Arial" w:cs="Arial"/>
          <w:sz w:val="18"/>
          <w:szCs w:val="18"/>
        </w:rPr>
        <w:footnoteRef/>
      </w:r>
      <w:r w:rsidRPr="00AE31AC">
        <w:rPr>
          <w:rFonts w:ascii="Arial" w:hAnsi="Arial" w:cs="Arial"/>
          <w:sz w:val="18"/>
          <w:szCs w:val="18"/>
        </w:rPr>
        <w:t xml:space="preserve"> </w:t>
      </w:r>
      <w:r w:rsidRPr="00AE31AC">
        <w:rPr>
          <w:rFonts w:ascii="Arial" w:hAnsi="Arial" w:cs="Arial"/>
          <w:i/>
          <w:sz w:val="18"/>
          <w:szCs w:val="18"/>
        </w:rPr>
        <w:t xml:space="preserve">Parktown High School v Emeran </w:t>
      </w:r>
      <w:r w:rsidRPr="00AE31AC">
        <w:rPr>
          <w:rFonts w:ascii="Arial" w:hAnsi="Arial" w:cs="Arial"/>
          <w:sz w:val="18"/>
          <w:szCs w:val="18"/>
        </w:rPr>
        <w:t xml:space="preserve">2019(4) SA 188 (SCA) </w:t>
      </w:r>
      <w:r>
        <w:rPr>
          <w:rFonts w:ascii="Arial" w:hAnsi="Arial" w:cs="Arial"/>
          <w:sz w:val="18"/>
          <w:szCs w:val="18"/>
        </w:rPr>
        <w:t>(</w:t>
      </w:r>
      <w:r w:rsidRPr="00AE31AC">
        <w:rPr>
          <w:rFonts w:ascii="Arial" w:hAnsi="Arial" w:cs="Arial"/>
          <w:i/>
          <w:sz w:val="18"/>
          <w:szCs w:val="18"/>
        </w:rPr>
        <w:t>Emeran</w:t>
      </w:r>
      <w:r>
        <w:rPr>
          <w:rFonts w:ascii="Arial" w:hAnsi="Arial" w:cs="Arial"/>
          <w:sz w:val="18"/>
          <w:szCs w:val="18"/>
        </w:rPr>
        <w:t xml:space="preserve">) </w:t>
      </w:r>
      <w:r w:rsidRPr="00AE31AC">
        <w:rPr>
          <w:rFonts w:ascii="Arial" w:hAnsi="Arial" w:cs="Arial"/>
          <w:sz w:val="18"/>
          <w:szCs w:val="18"/>
        </w:rPr>
        <w:t xml:space="preserve">at paras 7 and 18 to 21. </w:t>
      </w:r>
    </w:p>
  </w:footnote>
  <w:footnote w:id="4">
    <w:p w14:paraId="6AF22A92" w14:textId="77777777" w:rsidR="002B5358" w:rsidRPr="002B5358" w:rsidRDefault="002B5358">
      <w:pPr>
        <w:pStyle w:val="FootnoteText"/>
        <w:rPr>
          <w:rFonts w:ascii="Arial" w:hAnsi="Arial" w:cs="Arial"/>
          <w:sz w:val="18"/>
          <w:szCs w:val="18"/>
          <w:lang w:val="en-US"/>
        </w:rPr>
      </w:pPr>
      <w:r w:rsidRPr="002B5358">
        <w:rPr>
          <w:rStyle w:val="FootnoteReference"/>
          <w:rFonts w:ascii="Arial" w:hAnsi="Arial" w:cs="Arial"/>
          <w:sz w:val="18"/>
          <w:szCs w:val="18"/>
        </w:rPr>
        <w:footnoteRef/>
      </w:r>
      <w:r w:rsidRPr="002B5358">
        <w:rPr>
          <w:rFonts w:ascii="Arial" w:hAnsi="Arial" w:cs="Arial"/>
          <w:sz w:val="18"/>
          <w:szCs w:val="18"/>
        </w:rPr>
        <w:t xml:space="preserve"> </w:t>
      </w:r>
      <w:r w:rsidRPr="002B5358">
        <w:rPr>
          <w:rFonts w:ascii="Arial" w:hAnsi="Arial" w:cs="Arial"/>
          <w:sz w:val="18"/>
          <w:szCs w:val="18"/>
          <w:lang w:val="en-US"/>
        </w:rPr>
        <w:t xml:space="preserve">Id. </w:t>
      </w:r>
    </w:p>
  </w:footnote>
  <w:footnote w:id="5">
    <w:p w14:paraId="6758250A" w14:textId="77777777" w:rsidR="0028580B" w:rsidRPr="0028580B" w:rsidRDefault="0028580B">
      <w:pPr>
        <w:pStyle w:val="FootnoteText"/>
        <w:rPr>
          <w:rFonts w:ascii="Arial" w:hAnsi="Arial" w:cs="Arial"/>
          <w:sz w:val="18"/>
          <w:szCs w:val="18"/>
          <w:lang w:val="en-US"/>
        </w:rPr>
      </w:pPr>
      <w:r w:rsidRPr="0028580B">
        <w:rPr>
          <w:rStyle w:val="FootnoteReference"/>
          <w:rFonts w:ascii="Arial" w:hAnsi="Arial" w:cs="Arial"/>
          <w:sz w:val="18"/>
          <w:szCs w:val="18"/>
        </w:rPr>
        <w:footnoteRef/>
      </w:r>
      <w:r w:rsidRPr="0028580B">
        <w:rPr>
          <w:rFonts w:ascii="Arial" w:hAnsi="Arial" w:cs="Arial"/>
          <w:sz w:val="18"/>
          <w:szCs w:val="18"/>
        </w:rPr>
        <w:t xml:space="preserve"> </w:t>
      </w:r>
      <w:r w:rsidRPr="0028580B">
        <w:rPr>
          <w:rFonts w:ascii="Arial" w:hAnsi="Arial" w:cs="Arial"/>
          <w:i/>
          <w:sz w:val="18"/>
          <w:szCs w:val="18"/>
        </w:rPr>
        <w:t xml:space="preserve">Public Protector v South African Reserve Bank </w:t>
      </w:r>
      <w:r w:rsidRPr="0028580B">
        <w:rPr>
          <w:rFonts w:ascii="Arial" w:hAnsi="Arial" w:cs="Arial"/>
          <w:sz w:val="18"/>
          <w:szCs w:val="18"/>
        </w:rPr>
        <w:t>[2019] ZACC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E4F53" w14:textId="77777777" w:rsidR="003F5C6F" w:rsidRDefault="003F5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82AA4" w14:textId="77777777" w:rsidR="003F5C6F" w:rsidRDefault="003F5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7B840" w14:textId="77777777" w:rsidR="003F5C6F" w:rsidRDefault="003F5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B35AE"/>
    <w:multiLevelType w:val="hybridMultilevel"/>
    <w:tmpl w:val="0B889AB8"/>
    <w:lvl w:ilvl="0" w:tplc="7FBE0D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FEC0322"/>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B20AC8"/>
    <w:multiLevelType w:val="multilevel"/>
    <w:tmpl w:val="0ACA36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6820C42"/>
    <w:multiLevelType w:val="hybridMultilevel"/>
    <w:tmpl w:val="266AFAD4"/>
    <w:lvl w:ilvl="0" w:tplc="9940A5C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7D0E487F"/>
    <w:multiLevelType w:val="hybridMultilevel"/>
    <w:tmpl w:val="9DC074E4"/>
    <w:lvl w:ilvl="0" w:tplc="453C7FC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16cid:durableId="1869180876">
    <w:abstractNumId w:val="2"/>
  </w:num>
  <w:num w:numId="2" w16cid:durableId="1758555424">
    <w:abstractNumId w:val="0"/>
  </w:num>
  <w:num w:numId="3" w16cid:durableId="1453354455">
    <w:abstractNumId w:val="5"/>
  </w:num>
  <w:num w:numId="4" w16cid:durableId="747964450">
    <w:abstractNumId w:val="4"/>
  </w:num>
  <w:num w:numId="5" w16cid:durableId="397242301">
    <w:abstractNumId w:val="3"/>
  </w:num>
  <w:num w:numId="6" w16cid:durableId="1945308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EEB"/>
    <w:rsid w:val="0020707A"/>
    <w:rsid w:val="002527CD"/>
    <w:rsid w:val="0028580B"/>
    <w:rsid w:val="002A1F94"/>
    <w:rsid w:val="002B5358"/>
    <w:rsid w:val="00302185"/>
    <w:rsid w:val="003042E5"/>
    <w:rsid w:val="00341925"/>
    <w:rsid w:val="0037039E"/>
    <w:rsid w:val="003F5C6F"/>
    <w:rsid w:val="00410FEB"/>
    <w:rsid w:val="00464EEB"/>
    <w:rsid w:val="005F737F"/>
    <w:rsid w:val="006A076F"/>
    <w:rsid w:val="00733F33"/>
    <w:rsid w:val="007B442F"/>
    <w:rsid w:val="007E0F7B"/>
    <w:rsid w:val="00827DA8"/>
    <w:rsid w:val="0088234E"/>
    <w:rsid w:val="008F349B"/>
    <w:rsid w:val="009E0E65"/>
    <w:rsid w:val="00AE31AC"/>
    <w:rsid w:val="00B0626D"/>
    <w:rsid w:val="00C67894"/>
    <w:rsid w:val="00CC4C3D"/>
    <w:rsid w:val="00D263A5"/>
    <w:rsid w:val="00D76D8D"/>
    <w:rsid w:val="00DE0BB4"/>
    <w:rsid w:val="00E12EBA"/>
    <w:rsid w:val="00F00272"/>
    <w:rsid w:val="00F15012"/>
    <w:rsid w:val="00FD3E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64A91"/>
  <w15:chartTrackingRefBased/>
  <w15:docId w15:val="{0B6C33C3-55FB-4C8C-88D0-BAC4CACA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F349B"/>
    <w:pPr>
      <w:keepNext/>
      <w:spacing w:after="0" w:line="480" w:lineRule="auto"/>
      <w:jc w:val="center"/>
      <w:outlineLvl w:val="0"/>
    </w:pPr>
    <w:rPr>
      <w:rFonts w:ascii="Arial" w:eastAsia="Times New Roman" w:hAnsi="Arial" w:cs="Arial"/>
      <w:b/>
      <w:bCs/>
      <w:sz w:val="25"/>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EEB"/>
    <w:pPr>
      <w:ind w:left="720"/>
      <w:contextualSpacing/>
    </w:pPr>
  </w:style>
  <w:style w:type="paragraph" w:styleId="FootnoteText">
    <w:name w:val="footnote text"/>
    <w:basedOn w:val="Normal"/>
    <w:link w:val="FootnoteTextChar"/>
    <w:uiPriority w:val="99"/>
    <w:semiHidden/>
    <w:unhideWhenUsed/>
    <w:rsid w:val="00F150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5012"/>
    <w:rPr>
      <w:sz w:val="20"/>
      <w:szCs w:val="20"/>
    </w:rPr>
  </w:style>
  <w:style w:type="character" w:styleId="FootnoteReference">
    <w:name w:val="footnote reference"/>
    <w:basedOn w:val="DefaultParagraphFont"/>
    <w:uiPriority w:val="99"/>
    <w:semiHidden/>
    <w:unhideWhenUsed/>
    <w:rsid w:val="00F15012"/>
    <w:rPr>
      <w:vertAlign w:val="superscript"/>
    </w:rPr>
  </w:style>
  <w:style w:type="paragraph" w:styleId="Header">
    <w:name w:val="header"/>
    <w:basedOn w:val="Normal"/>
    <w:link w:val="HeaderChar"/>
    <w:uiPriority w:val="99"/>
    <w:unhideWhenUsed/>
    <w:rsid w:val="003F5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C6F"/>
  </w:style>
  <w:style w:type="paragraph" w:styleId="Footer">
    <w:name w:val="footer"/>
    <w:basedOn w:val="Normal"/>
    <w:link w:val="FooterChar"/>
    <w:uiPriority w:val="99"/>
    <w:unhideWhenUsed/>
    <w:rsid w:val="003F5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C6F"/>
  </w:style>
  <w:style w:type="character" w:customStyle="1" w:styleId="Heading1Char">
    <w:name w:val="Heading 1 Char"/>
    <w:basedOn w:val="DefaultParagraphFont"/>
    <w:link w:val="Heading1"/>
    <w:rsid w:val="008F349B"/>
    <w:rPr>
      <w:rFonts w:ascii="Arial" w:eastAsia="Times New Roman" w:hAnsi="Arial" w:cs="Arial"/>
      <w:b/>
      <w:bCs/>
      <w:sz w:val="25"/>
      <w:szCs w:val="23"/>
      <w:lang w:val="en-GB"/>
    </w:rPr>
  </w:style>
  <w:style w:type="paragraph" w:styleId="NormalWeb">
    <w:name w:val="Normal (Web)"/>
    <w:basedOn w:val="Normal"/>
    <w:rsid w:val="008F349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uiPriority w:val="99"/>
    <w:unhideWhenUsed/>
    <w:rsid w:val="008F349B"/>
    <w:rPr>
      <w:color w:val="0563C1"/>
      <w:u w:val="single"/>
    </w:rPr>
  </w:style>
  <w:style w:type="paragraph" w:styleId="Title">
    <w:name w:val="Title"/>
    <w:basedOn w:val="Normal"/>
    <w:link w:val="TitleChar"/>
    <w:qFormat/>
    <w:rsid w:val="0088234E"/>
    <w:pPr>
      <w:spacing w:after="0" w:line="480" w:lineRule="auto"/>
      <w:jc w:val="center"/>
    </w:pPr>
    <w:rPr>
      <w:rFonts w:ascii="Arial" w:eastAsia="Times New Roman" w:hAnsi="Arial" w:cs="Arial"/>
      <w:b/>
      <w:bCs/>
      <w:szCs w:val="24"/>
    </w:rPr>
  </w:style>
  <w:style w:type="character" w:customStyle="1" w:styleId="TitleChar">
    <w:name w:val="Title Char"/>
    <w:basedOn w:val="DefaultParagraphFont"/>
    <w:link w:val="Title"/>
    <w:rsid w:val="0088234E"/>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A7840-8F45-4968-8EB6-E48AF982E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Judge-Susannah Cowen</dc:creator>
  <cp:keywords/>
  <dc:description/>
  <cp:lastModifiedBy>sathish sarshan  mohan</cp:lastModifiedBy>
  <cp:revision>5</cp:revision>
  <cp:lastPrinted>2024-03-18T13:07:00Z</cp:lastPrinted>
  <dcterms:created xsi:type="dcterms:W3CDTF">2024-03-18T13:14:00Z</dcterms:created>
  <dcterms:modified xsi:type="dcterms:W3CDTF">2024-03-30T20:43:00Z</dcterms:modified>
</cp:coreProperties>
</file>