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DE309" w14:textId="77777777" w:rsidR="00D24185" w:rsidRDefault="00D24185" w:rsidP="00D24185">
      <w:pPr>
        <w:spacing w:after="0" w:line="360" w:lineRule="auto"/>
      </w:pPr>
      <w:r>
        <w:rPr>
          <w:noProof/>
        </w:rPr>
        <w:drawing>
          <wp:inline distT="0" distB="0" distL="0" distR="0" wp14:anchorId="403D17DA" wp14:editId="2FE60FE3">
            <wp:extent cx="4286250" cy="466725"/>
            <wp:effectExtent l="0" t="0" r="0" b="9525"/>
            <wp:docPr id="333639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184D5E29" w14:textId="77777777" w:rsidR="00D24185" w:rsidRDefault="00D24185" w:rsidP="00D24185">
      <w:pPr>
        <w:spacing w:after="0" w:line="360" w:lineRule="auto"/>
      </w:pPr>
    </w:p>
    <w:p w14:paraId="4B47E74D" w14:textId="016B9C07" w:rsidR="00E97474" w:rsidRPr="00AB1935" w:rsidRDefault="003D5935" w:rsidP="00D24185">
      <w:pPr>
        <w:spacing w:after="0" w:line="360" w:lineRule="auto"/>
        <w:jc w:val="center"/>
      </w:pPr>
      <w:r w:rsidRPr="00AB1935">
        <w:rPr>
          <w:noProof/>
          <w:color w:val="1F497D"/>
          <w:lang w:eastAsia="en-ZA"/>
        </w:rPr>
        <w:drawing>
          <wp:inline distT="0" distB="0" distL="0" distR="0" wp14:anchorId="726B3B7C" wp14:editId="16D5FE08">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0815BA0" w14:textId="77777777" w:rsidR="00E97474" w:rsidRPr="00AB1935" w:rsidRDefault="00E97474" w:rsidP="00E97474">
      <w:pPr>
        <w:spacing w:after="0" w:line="360" w:lineRule="auto"/>
        <w:jc w:val="center"/>
        <w:rPr>
          <w:b/>
          <w:bCs/>
        </w:rPr>
      </w:pPr>
      <w:r w:rsidRPr="00AB1935">
        <w:rPr>
          <w:b/>
          <w:bCs/>
        </w:rPr>
        <w:t>IN THE HIGH COURT OF SOUTH AFRICA</w:t>
      </w:r>
    </w:p>
    <w:p w14:paraId="1DA4DD1F" w14:textId="77777777" w:rsidR="00E97474" w:rsidRPr="00AB1935" w:rsidRDefault="00E97474" w:rsidP="00E97474">
      <w:pPr>
        <w:spacing w:after="0" w:line="360" w:lineRule="auto"/>
        <w:jc w:val="center"/>
      </w:pPr>
      <w:r w:rsidRPr="00AB1935">
        <w:rPr>
          <w:b/>
          <w:bCs/>
        </w:rPr>
        <w:t>GAUTENG DIVISION, PRETORIA</w:t>
      </w:r>
    </w:p>
    <w:p w14:paraId="70DEDF97" w14:textId="77777777" w:rsidR="00CC72D7" w:rsidRPr="00AB1935" w:rsidRDefault="00CC72D7" w:rsidP="00E97474">
      <w:pPr>
        <w:spacing w:after="0" w:line="360" w:lineRule="auto"/>
        <w:jc w:val="right"/>
        <w:rPr>
          <w:b/>
        </w:rPr>
      </w:pPr>
    </w:p>
    <w:p w14:paraId="600B329B" w14:textId="77777777" w:rsidR="00E97474" w:rsidRPr="00AB1935" w:rsidRDefault="00E97474" w:rsidP="00E97474">
      <w:pPr>
        <w:jc w:val="center"/>
        <w:rPr>
          <w:b/>
        </w:rPr>
      </w:pPr>
      <w:r w:rsidRPr="00AB1935">
        <w:rPr>
          <w:b/>
          <w:noProof/>
          <w:lang w:eastAsia="en-ZA"/>
        </w:rPr>
        <mc:AlternateContent>
          <mc:Choice Requires="wps">
            <w:drawing>
              <wp:anchor distT="0" distB="0" distL="114300" distR="114300" simplePos="0" relativeHeight="251659264" behindDoc="0" locked="0" layoutInCell="1" allowOverlap="1" wp14:anchorId="2A7F47A8" wp14:editId="66E62632">
                <wp:simplePos x="0" y="0"/>
                <wp:positionH relativeFrom="column">
                  <wp:posOffset>-30480</wp:posOffset>
                </wp:positionH>
                <wp:positionV relativeFrom="paragraph">
                  <wp:posOffset>78105</wp:posOffset>
                </wp:positionV>
                <wp:extent cx="3371850" cy="13335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33500"/>
                        </a:xfrm>
                        <a:prstGeom prst="rect">
                          <a:avLst/>
                        </a:prstGeom>
                        <a:solidFill>
                          <a:srgbClr val="FFFFFF"/>
                        </a:solidFill>
                        <a:ln w="9525">
                          <a:solidFill>
                            <a:srgbClr val="000000"/>
                          </a:solidFill>
                          <a:miter lim="800000"/>
                          <a:headEnd/>
                          <a:tailEnd/>
                        </a:ln>
                      </wps:spPr>
                      <wps:txbx>
                        <w:txbxContent>
                          <w:p w14:paraId="0CCEC4BC" w14:textId="49798488" w:rsidR="003E19AE" w:rsidRPr="00D5654C" w:rsidRDefault="00D5654C" w:rsidP="00D5654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3E19AE" w:rsidRPr="00D5654C">
                              <w:rPr>
                                <w:rFonts w:ascii="Century Gothic" w:hAnsi="Century Gothic"/>
                                <w:sz w:val="18"/>
                                <w:szCs w:val="18"/>
                              </w:rPr>
                              <w:t xml:space="preserve">REPORTABLE: </w:t>
                            </w:r>
                            <w:r w:rsidR="00F26F1E" w:rsidRPr="00D5654C">
                              <w:rPr>
                                <w:rFonts w:ascii="Century Gothic" w:hAnsi="Century Gothic"/>
                                <w:sz w:val="18"/>
                                <w:szCs w:val="18"/>
                              </w:rPr>
                              <w:t xml:space="preserve">YES / </w:t>
                            </w:r>
                            <w:r w:rsidR="00D448C3" w:rsidRPr="00D5654C">
                              <w:rPr>
                                <w:rFonts w:ascii="Century Gothic" w:hAnsi="Century Gothic"/>
                                <w:b/>
                                <w:sz w:val="18"/>
                                <w:szCs w:val="18"/>
                              </w:rPr>
                              <w:t>NO</w:t>
                            </w:r>
                          </w:p>
                          <w:p w14:paraId="735E0E00" w14:textId="50DC0260" w:rsidR="003E19AE" w:rsidRPr="00A75EE1" w:rsidRDefault="00D5654C" w:rsidP="00D5654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3E19AE" w:rsidRPr="00A75EE1">
                              <w:rPr>
                                <w:rFonts w:ascii="Century Gothic" w:hAnsi="Century Gothic"/>
                                <w:sz w:val="18"/>
                                <w:szCs w:val="18"/>
                              </w:rPr>
                              <w:t xml:space="preserve">OF INTEREST TO OTHER JUDGES: </w:t>
                            </w:r>
                            <w:r w:rsidR="00F26F1E">
                              <w:rPr>
                                <w:rFonts w:ascii="Century Gothic" w:hAnsi="Century Gothic"/>
                                <w:sz w:val="18"/>
                                <w:szCs w:val="18"/>
                              </w:rPr>
                              <w:t xml:space="preserve">YES / </w:t>
                            </w:r>
                            <w:r w:rsidR="00D448C3">
                              <w:rPr>
                                <w:rFonts w:ascii="Century Gothic" w:hAnsi="Century Gothic"/>
                                <w:b/>
                                <w:sz w:val="18"/>
                                <w:szCs w:val="18"/>
                              </w:rPr>
                              <w:t>NO</w:t>
                            </w:r>
                          </w:p>
                          <w:p w14:paraId="7A4C0E8E" w14:textId="0C3B0FDB" w:rsidR="003E19AE" w:rsidRPr="00A75EE1" w:rsidRDefault="00D5654C" w:rsidP="00D5654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3E19AE" w:rsidRPr="00A75EE1">
                              <w:rPr>
                                <w:rFonts w:ascii="Century Gothic" w:hAnsi="Century Gothic"/>
                                <w:sz w:val="18"/>
                                <w:szCs w:val="18"/>
                              </w:rPr>
                              <w:t>REVISED</w:t>
                            </w:r>
                            <w:r w:rsidR="003E19AE">
                              <w:rPr>
                                <w:rFonts w:ascii="Century Gothic" w:hAnsi="Century Gothic"/>
                                <w:sz w:val="18"/>
                                <w:szCs w:val="18"/>
                              </w:rPr>
                              <w:t>:</w:t>
                            </w:r>
                            <w:r w:rsidR="003E19AE" w:rsidRPr="00A75EE1">
                              <w:rPr>
                                <w:rFonts w:ascii="Century Gothic" w:hAnsi="Century Gothic"/>
                                <w:sz w:val="18"/>
                                <w:szCs w:val="18"/>
                              </w:rPr>
                              <w:t xml:space="preserve"> </w:t>
                            </w:r>
                            <w:r w:rsidR="00F26F1E">
                              <w:rPr>
                                <w:rFonts w:ascii="Century Gothic" w:hAnsi="Century Gothic"/>
                                <w:sz w:val="18"/>
                                <w:szCs w:val="18"/>
                              </w:rPr>
                              <w:t xml:space="preserve">YES / </w:t>
                            </w:r>
                            <w:r w:rsidR="00D448C3">
                              <w:rPr>
                                <w:rFonts w:ascii="Century Gothic" w:hAnsi="Century Gothic"/>
                                <w:b/>
                                <w:sz w:val="18"/>
                                <w:szCs w:val="18"/>
                              </w:rPr>
                              <w:t>NO</w:t>
                            </w:r>
                          </w:p>
                          <w:p w14:paraId="5EF47923" w14:textId="77777777" w:rsidR="00477604" w:rsidRDefault="00477604" w:rsidP="00477604">
                            <w:pPr>
                              <w:spacing w:after="0" w:line="240" w:lineRule="auto"/>
                              <w:rPr>
                                <w:rFonts w:ascii="Century Gothic" w:hAnsi="Century Gothic"/>
                                <w:sz w:val="18"/>
                                <w:szCs w:val="18"/>
                              </w:rPr>
                            </w:pPr>
                          </w:p>
                          <w:p w14:paraId="49C6B448" w14:textId="23B62ECD" w:rsidR="00477604" w:rsidRDefault="00477604" w:rsidP="00477604">
                            <w:pPr>
                              <w:spacing w:after="0" w:line="240" w:lineRule="auto"/>
                              <w:rPr>
                                <w:rFonts w:ascii="Century Gothic" w:hAnsi="Century Gothic"/>
                                <w:sz w:val="18"/>
                                <w:szCs w:val="18"/>
                              </w:rPr>
                            </w:pPr>
                          </w:p>
                          <w:p w14:paraId="1F2E3CA0" w14:textId="4A42FC5B" w:rsidR="004770F6" w:rsidRPr="00C21DF0" w:rsidRDefault="00C21DF0" w:rsidP="00477604">
                            <w:pPr>
                              <w:spacing w:after="0" w:line="240" w:lineRule="auto"/>
                              <w:rPr>
                                <w:rFonts w:ascii="Century Gothic" w:hAnsi="Century Gothic"/>
                                <w:b/>
                                <w:bCs/>
                                <w:sz w:val="18"/>
                                <w:szCs w:val="18"/>
                              </w:rPr>
                            </w:pPr>
                            <w:r w:rsidRPr="00C21DF0">
                              <w:rPr>
                                <w:rFonts w:ascii="Century Gothic" w:hAnsi="Century Gothic"/>
                                <w:b/>
                                <w:bCs/>
                                <w:sz w:val="18"/>
                                <w:szCs w:val="18"/>
                              </w:rPr>
                              <w:t>19 March 2024</w:t>
                            </w:r>
                          </w:p>
                          <w:p w14:paraId="51AD6044" w14:textId="7616563F" w:rsidR="004770F6" w:rsidRPr="004770F6" w:rsidRDefault="004770F6" w:rsidP="00E97474">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235E459C" w14:textId="0566BEAB" w:rsidR="003E19AE" w:rsidRPr="004770F6" w:rsidRDefault="003E19AE" w:rsidP="00E97474">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F47A8" id="_x0000_t202" coordsize="21600,21600" o:spt="202" path="m,l,21600r21600,l21600,xe">
                <v:stroke joinstyle="miter"/>
                <v:path gradientshapeok="t" o:connecttype="rect"/>
              </v:shapetype>
              <v:shape id="Text Box 5" o:spid="_x0000_s1026" type="#_x0000_t202" style="position:absolute;left:0;text-align:left;margin-left:-2.4pt;margin-top:6.15pt;width:265.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">
                <v:textbox>
                  <w:txbxContent>
                    <w:p w14:paraId="0CCEC4BC" w14:textId="49798488" w:rsidR="003E19AE" w:rsidRPr="00D5654C" w:rsidRDefault="00D5654C" w:rsidP="00D5654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3E19AE" w:rsidRPr="00D5654C">
                        <w:rPr>
                          <w:rFonts w:ascii="Century Gothic" w:hAnsi="Century Gothic"/>
                          <w:sz w:val="18"/>
                          <w:szCs w:val="18"/>
                        </w:rPr>
                        <w:t xml:space="preserve">REPORTABLE: </w:t>
                      </w:r>
                      <w:r w:rsidR="00F26F1E" w:rsidRPr="00D5654C">
                        <w:rPr>
                          <w:rFonts w:ascii="Century Gothic" w:hAnsi="Century Gothic"/>
                          <w:sz w:val="18"/>
                          <w:szCs w:val="18"/>
                        </w:rPr>
                        <w:t xml:space="preserve">YES / </w:t>
                      </w:r>
                      <w:r w:rsidR="00D448C3" w:rsidRPr="00D5654C">
                        <w:rPr>
                          <w:rFonts w:ascii="Century Gothic" w:hAnsi="Century Gothic"/>
                          <w:b/>
                          <w:sz w:val="18"/>
                          <w:szCs w:val="18"/>
                        </w:rPr>
                        <w:t>NO</w:t>
                      </w:r>
                    </w:p>
                    <w:p w14:paraId="735E0E00" w14:textId="50DC0260" w:rsidR="003E19AE" w:rsidRPr="00A75EE1" w:rsidRDefault="00D5654C" w:rsidP="00D5654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3E19AE" w:rsidRPr="00A75EE1">
                        <w:rPr>
                          <w:rFonts w:ascii="Century Gothic" w:hAnsi="Century Gothic"/>
                          <w:sz w:val="18"/>
                          <w:szCs w:val="18"/>
                        </w:rPr>
                        <w:t xml:space="preserve">OF INTEREST TO OTHER JUDGES: </w:t>
                      </w:r>
                      <w:r w:rsidR="00F26F1E">
                        <w:rPr>
                          <w:rFonts w:ascii="Century Gothic" w:hAnsi="Century Gothic"/>
                          <w:sz w:val="18"/>
                          <w:szCs w:val="18"/>
                        </w:rPr>
                        <w:t xml:space="preserve">YES / </w:t>
                      </w:r>
                      <w:r w:rsidR="00D448C3">
                        <w:rPr>
                          <w:rFonts w:ascii="Century Gothic" w:hAnsi="Century Gothic"/>
                          <w:b/>
                          <w:sz w:val="18"/>
                          <w:szCs w:val="18"/>
                        </w:rPr>
                        <w:t>NO</w:t>
                      </w:r>
                    </w:p>
                    <w:p w14:paraId="7A4C0E8E" w14:textId="0C3B0FDB" w:rsidR="003E19AE" w:rsidRPr="00A75EE1" w:rsidRDefault="00D5654C" w:rsidP="00D5654C">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3E19AE" w:rsidRPr="00A75EE1">
                        <w:rPr>
                          <w:rFonts w:ascii="Century Gothic" w:hAnsi="Century Gothic"/>
                          <w:sz w:val="18"/>
                          <w:szCs w:val="18"/>
                        </w:rPr>
                        <w:t>REVISED</w:t>
                      </w:r>
                      <w:r w:rsidR="003E19AE">
                        <w:rPr>
                          <w:rFonts w:ascii="Century Gothic" w:hAnsi="Century Gothic"/>
                          <w:sz w:val="18"/>
                          <w:szCs w:val="18"/>
                        </w:rPr>
                        <w:t>:</w:t>
                      </w:r>
                      <w:r w:rsidR="003E19AE" w:rsidRPr="00A75EE1">
                        <w:rPr>
                          <w:rFonts w:ascii="Century Gothic" w:hAnsi="Century Gothic"/>
                          <w:sz w:val="18"/>
                          <w:szCs w:val="18"/>
                        </w:rPr>
                        <w:t xml:space="preserve"> </w:t>
                      </w:r>
                      <w:r w:rsidR="00F26F1E">
                        <w:rPr>
                          <w:rFonts w:ascii="Century Gothic" w:hAnsi="Century Gothic"/>
                          <w:sz w:val="18"/>
                          <w:szCs w:val="18"/>
                        </w:rPr>
                        <w:t xml:space="preserve">YES / </w:t>
                      </w:r>
                      <w:r w:rsidR="00D448C3">
                        <w:rPr>
                          <w:rFonts w:ascii="Century Gothic" w:hAnsi="Century Gothic"/>
                          <w:b/>
                          <w:sz w:val="18"/>
                          <w:szCs w:val="18"/>
                        </w:rPr>
                        <w:t>NO</w:t>
                      </w:r>
                    </w:p>
                    <w:p w14:paraId="5EF47923" w14:textId="77777777" w:rsidR="00477604" w:rsidRDefault="00477604" w:rsidP="00477604">
                      <w:pPr>
                        <w:spacing w:after="0" w:line="240" w:lineRule="auto"/>
                        <w:rPr>
                          <w:rFonts w:ascii="Century Gothic" w:hAnsi="Century Gothic"/>
                          <w:sz w:val="18"/>
                          <w:szCs w:val="18"/>
                        </w:rPr>
                      </w:pPr>
                    </w:p>
                    <w:p w14:paraId="49C6B448" w14:textId="23B62ECD" w:rsidR="00477604" w:rsidRDefault="00477604" w:rsidP="00477604">
                      <w:pPr>
                        <w:spacing w:after="0" w:line="240" w:lineRule="auto"/>
                        <w:rPr>
                          <w:rFonts w:ascii="Century Gothic" w:hAnsi="Century Gothic"/>
                          <w:sz w:val="18"/>
                          <w:szCs w:val="18"/>
                        </w:rPr>
                      </w:pPr>
                    </w:p>
                    <w:p w14:paraId="1F2E3CA0" w14:textId="4A42FC5B" w:rsidR="004770F6" w:rsidRPr="00C21DF0" w:rsidRDefault="00C21DF0" w:rsidP="00477604">
                      <w:pPr>
                        <w:spacing w:after="0" w:line="240" w:lineRule="auto"/>
                        <w:rPr>
                          <w:rFonts w:ascii="Century Gothic" w:hAnsi="Century Gothic"/>
                          <w:b/>
                          <w:bCs/>
                          <w:sz w:val="18"/>
                          <w:szCs w:val="18"/>
                        </w:rPr>
                      </w:pPr>
                      <w:r w:rsidRPr="00C21DF0">
                        <w:rPr>
                          <w:rFonts w:ascii="Century Gothic" w:hAnsi="Century Gothic"/>
                          <w:b/>
                          <w:bCs/>
                          <w:sz w:val="18"/>
                          <w:szCs w:val="18"/>
                        </w:rPr>
                        <w:t>19 March 2024</w:t>
                      </w:r>
                    </w:p>
                    <w:p w14:paraId="51AD6044" w14:textId="7616563F" w:rsidR="004770F6" w:rsidRPr="004770F6" w:rsidRDefault="004770F6" w:rsidP="00E97474">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235E459C" w14:textId="0566BEAB" w:rsidR="003E19AE" w:rsidRPr="004770F6" w:rsidRDefault="003E19AE" w:rsidP="00E97474">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v:textbox>
              </v:shape>
            </w:pict>
          </mc:Fallback>
        </mc:AlternateContent>
      </w:r>
    </w:p>
    <w:p w14:paraId="28A15C92" w14:textId="77777777" w:rsidR="00E97474" w:rsidRPr="00AB1935" w:rsidRDefault="00E97474" w:rsidP="00E97474">
      <w:pPr>
        <w:spacing w:after="0" w:line="360" w:lineRule="auto"/>
      </w:pPr>
    </w:p>
    <w:p w14:paraId="516914F8" w14:textId="77777777" w:rsidR="00E97474" w:rsidRPr="00AB1935" w:rsidRDefault="00E97474" w:rsidP="00E97474">
      <w:pPr>
        <w:spacing w:after="0" w:line="360" w:lineRule="auto"/>
      </w:pPr>
    </w:p>
    <w:p w14:paraId="47565652" w14:textId="77777777" w:rsidR="00E97474" w:rsidRPr="00AB1935" w:rsidRDefault="00E97474" w:rsidP="00E97474">
      <w:pPr>
        <w:spacing w:after="0" w:line="360" w:lineRule="auto"/>
      </w:pPr>
      <w:r w:rsidRPr="00AB1935">
        <w:t>In the matter between:</w:t>
      </w:r>
    </w:p>
    <w:p w14:paraId="563A54AA" w14:textId="77777777" w:rsidR="00E97474" w:rsidRPr="00AB1935" w:rsidRDefault="00E97474" w:rsidP="00E97474">
      <w:pPr>
        <w:spacing w:after="0" w:line="360" w:lineRule="auto"/>
      </w:pPr>
    </w:p>
    <w:p w14:paraId="16CEE589" w14:textId="77777777" w:rsidR="00E97474" w:rsidRDefault="00E97474" w:rsidP="00E97474">
      <w:pPr>
        <w:spacing w:after="0" w:line="360" w:lineRule="auto"/>
      </w:pPr>
    </w:p>
    <w:p w14:paraId="3A53A724" w14:textId="3CA1868B" w:rsidR="00E009FD" w:rsidRPr="00E009FD" w:rsidRDefault="00E009FD" w:rsidP="00E009FD">
      <w:pPr>
        <w:tabs>
          <w:tab w:val="right" w:pos="8931"/>
        </w:tabs>
        <w:spacing w:after="0" w:line="480" w:lineRule="auto"/>
        <w:jc w:val="right"/>
        <w:rPr>
          <w:b/>
          <w:bCs/>
        </w:rPr>
      </w:pPr>
      <w:r w:rsidRPr="00E009FD">
        <w:rPr>
          <w:b/>
          <w:bCs/>
        </w:rPr>
        <w:t>CASE NO: 58613/2021</w:t>
      </w:r>
    </w:p>
    <w:p w14:paraId="363FED4A" w14:textId="77777777" w:rsidR="00E009FD" w:rsidRPr="00E009FD" w:rsidRDefault="00E009FD" w:rsidP="00E009FD">
      <w:pPr>
        <w:tabs>
          <w:tab w:val="right" w:pos="8931"/>
        </w:tabs>
        <w:spacing w:after="0" w:line="480" w:lineRule="auto"/>
        <w:jc w:val="both"/>
      </w:pPr>
      <w:r w:rsidRPr="00E009FD">
        <w:t>In the matter between:</w:t>
      </w:r>
    </w:p>
    <w:p w14:paraId="4D7F0839" w14:textId="77777777" w:rsidR="00E009FD" w:rsidRPr="00E009FD" w:rsidRDefault="00E009FD" w:rsidP="00E009FD">
      <w:pPr>
        <w:tabs>
          <w:tab w:val="right" w:pos="8931"/>
        </w:tabs>
        <w:spacing w:after="0" w:line="480" w:lineRule="auto"/>
        <w:jc w:val="both"/>
        <w:rPr>
          <w:b/>
          <w:bCs/>
        </w:rPr>
      </w:pPr>
    </w:p>
    <w:p w14:paraId="1D6B5278" w14:textId="057CAB93" w:rsidR="00E009FD" w:rsidRPr="00E009FD" w:rsidRDefault="00E009FD" w:rsidP="00E009FD">
      <w:pPr>
        <w:tabs>
          <w:tab w:val="right" w:pos="8931"/>
        </w:tabs>
        <w:spacing w:after="0" w:line="360" w:lineRule="auto"/>
        <w:jc w:val="both"/>
        <w:rPr>
          <w:b/>
          <w:bCs/>
        </w:rPr>
      </w:pPr>
      <w:r w:rsidRPr="00E009FD">
        <w:rPr>
          <w:b/>
          <w:bCs/>
        </w:rPr>
        <w:t>LERATO RIA BEVERLY MONAMA N.O.</w:t>
      </w:r>
      <w:r>
        <w:rPr>
          <w:b/>
          <w:bCs/>
        </w:rPr>
        <w:tab/>
      </w:r>
      <w:r w:rsidRPr="00E009FD">
        <w:t>Applicant</w:t>
      </w:r>
    </w:p>
    <w:p w14:paraId="39477E51" w14:textId="77777777" w:rsidR="00E009FD" w:rsidRPr="00E009FD" w:rsidRDefault="00E009FD" w:rsidP="00E009FD">
      <w:pPr>
        <w:tabs>
          <w:tab w:val="right" w:pos="8931"/>
        </w:tabs>
        <w:spacing w:after="0" w:line="360" w:lineRule="auto"/>
        <w:jc w:val="both"/>
      </w:pPr>
      <w:r w:rsidRPr="00E009FD">
        <w:t>(</w:t>
      </w:r>
      <w:proofErr w:type="gramStart"/>
      <w:r w:rsidRPr="00E009FD">
        <w:t>in</w:t>
      </w:r>
      <w:proofErr w:type="gramEnd"/>
      <w:r w:rsidRPr="00E009FD">
        <w:t xml:space="preserve"> her official capacity as the Executrix in the estate of the </w:t>
      </w:r>
    </w:p>
    <w:p w14:paraId="06C5B029" w14:textId="77777777" w:rsidR="00E009FD" w:rsidRPr="00E009FD" w:rsidRDefault="00E009FD" w:rsidP="00E009FD">
      <w:pPr>
        <w:tabs>
          <w:tab w:val="right" w:pos="8931"/>
        </w:tabs>
        <w:spacing w:after="0" w:line="360" w:lineRule="auto"/>
        <w:jc w:val="both"/>
      </w:pPr>
      <w:r w:rsidRPr="00E009FD">
        <w:t xml:space="preserve">late </w:t>
      </w:r>
      <w:proofErr w:type="spellStart"/>
      <w:r w:rsidRPr="00E009FD">
        <w:t>Namanyane</w:t>
      </w:r>
      <w:proofErr w:type="spellEnd"/>
      <w:r w:rsidRPr="00E009FD">
        <w:t xml:space="preserve"> Pontsho Monama</w:t>
      </w:r>
    </w:p>
    <w:p w14:paraId="6903DA5A" w14:textId="77777777" w:rsidR="00E009FD" w:rsidRPr="00E009FD" w:rsidRDefault="00E009FD" w:rsidP="00E009FD">
      <w:pPr>
        <w:tabs>
          <w:tab w:val="right" w:pos="8931"/>
        </w:tabs>
        <w:spacing w:after="0" w:line="360" w:lineRule="auto"/>
        <w:jc w:val="both"/>
      </w:pPr>
      <w:r w:rsidRPr="00E009FD">
        <w:t>Masters Reference No: 10983/2019</w:t>
      </w:r>
    </w:p>
    <w:p w14:paraId="53DC9725" w14:textId="26FD3757" w:rsidR="00E009FD" w:rsidRPr="00E009FD" w:rsidRDefault="00E009FD" w:rsidP="00E009FD">
      <w:pPr>
        <w:tabs>
          <w:tab w:val="right" w:pos="8931"/>
        </w:tabs>
        <w:spacing w:after="0" w:line="480" w:lineRule="auto"/>
        <w:jc w:val="both"/>
        <w:rPr>
          <w:b/>
          <w:bCs/>
        </w:rPr>
      </w:pPr>
      <w:r w:rsidRPr="00E009FD">
        <w:rPr>
          <w:b/>
          <w:bCs/>
        </w:rPr>
        <w:tab/>
      </w:r>
    </w:p>
    <w:p w14:paraId="509F4839" w14:textId="77777777" w:rsidR="00E009FD" w:rsidRPr="00E009FD" w:rsidRDefault="00E009FD" w:rsidP="00E009FD">
      <w:pPr>
        <w:tabs>
          <w:tab w:val="right" w:pos="8931"/>
        </w:tabs>
        <w:spacing w:after="0" w:line="480" w:lineRule="auto"/>
        <w:jc w:val="both"/>
      </w:pPr>
      <w:r w:rsidRPr="00E009FD">
        <w:t>and</w:t>
      </w:r>
      <w:r w:rsidRPr="00E009FD">
        <w:tab/>
      </w:r>
    </w:p>
    <w:p w14:paraId="32A256A5" w14:textId="77777777" w:rsidR="00E009FD" w:rsidRDefault="00E009FD" w:rsidP="00E009FD">
      <w:pPr>
        <w:tabs>
          <w:tab w:val="right" w:pos="8931"/>
        </w:tabs>
        <w:spacing w:after="0" w:line="480" w:lineRule="auto"/>
        <w:jc w:val="both"/>
        <w:rPr>
          <w:b/>
          <w:bCs/>
        </w:rPr>
      </w:pPr>
    </w:p>
    <w:p w14:paraId="09A28E20" w14:textId="6AB1B7F4" w:rsidR="00E009FD" w:rsidRPr="00E009FD" w:rsidRDefault="00E009FD" w:rsidP="00E009FD">
      <w:pPr>
        <w:tabs>
          <w:tab w:val="right" w:pos="8931"/>
        </w:tabs>
        <w:spacing w:after="0" w:line="360" w:lineRule="auto"/>
        <w:jc w:val="both"/>
        <w:rPr>
          <w:b/>
          <w:bCs/>
        </w:rPr>
      </w:pPr>
      <w:r w:rsidRPr="00E009FD">
        <w:rPr>
          <w:b/>
          <w:bCs/>
        </w:rPr>
        <w:t>MONAMA AND SONS ELECTRICAL CONTRACTORS CC</w:t>
      </w:r>
      <w:r>
        <w:rPr>
          <w:b/>
          <w:bCs/>
        </w:rPr>
        <w:tab/>
      </w:r>
      <w:r w:rsidRPr="00E009FD">
        <w:t>First Respondent</w:t>
      </w:r>
    </w:p>
    <w:p w14:paraId="3C3305D1" w14:textId="77777777" w:rsidR="00E009FD" w:rsidRPr="00E009FD" w:rsidRDefault="00E009FD" w:rsidP="00E009FD">
      <w:pPr>
        <w:tabs>
          <w:tab w:val="right" w:pos="8931"/>
        </w:tabs>
        <w:spacing w:after="0" w:line="360" w:lineRule="auto"/>
        <w:jc w:val="both"/>
      </w:pPr>
      <w:r w:rsidRPr="00E009FD">
        <w:t>(Registration No: CK1997/050560/23)</w:t>
      </w:r>
    </w:p>
    <w:p w14:paraId="0C72F281" w14:textId="24001985" w:rsidR="00E009FD" w:rsidRPr="00E009FD" w:rsidRDefault="00E009FD" w:rsidP="00E009FD">
      <w:pPr>
        <w:tabs>
          <w:tab w:val="right" w:pos="8931"/>
        </w:tabs>
        <w:spacing w:after="0" w:line="360" w:lineRule="auto"/>
        <w:jc w:val="both"/>
        <w:rPr>
          <w:b/>
          <w:bCs/>
        </w:rPr>
      </w:pPr>
      <w:r w:rsidRPr="00E009FD">
        <w:rPr>
          <w:b/>
          <w:bCs/>
        </w:rPr>
        <w:lastRenderedPageBreak/>
        <w:tab/>
      </w:r>
      <w:r w:rsidRPr="00E009FD">
        <w:rPr>
          <w:b/>
          <w:bCs/>
        </w:rPr>
        <w:tab/>
      </w:r>
    </w:p>
    <w:p w14:paraId="30CDEE98" w14:textId="18270CC3" w:rsidR="00E009FD" w:rsidRPr="00E009FD" w:rsidRDefault="00E009FD" w:rsidP="00E009FD">
      <w:pPr>
        <w:tabs>
          <w:tab w:val="right" w:pos="8931"/>
        </w:tabs>
        <w:spacing w:after="0" w:line="360" w:lineRule="auto"/>
        <w:jc w:val="both"/>
        <w:rPr>
          <w:b/>
          <w:bCs/>
        </w:rPr>
      </w:pPr>
      <w:r w:rsidRPr="00E009FD">
        <w:rPr>
          <w:b/>
          <w:bCs/>
        </w:rPr>
        <w:t>MPYANE ROSEBERRY MONAMA</w:t>
      </w:r>
      <w:r>
        <w:rPr>
          <w:b/>
          <w:bCs/>
        </w:rPr>
        <w:tab/>
      </w:r>
      <w:r w:rsidRPr="00E009FD">
        <w:t>Second Respondent</w:t>
      </w:r>
    </w:p>
    <w:p w14:paraId="28DE212D" w14:textId="1DA65D65" w:rsidR="00E009FD" w:rsidRDefault="00E009FD" w:rsidP="00E009FD">
      <w:pPr>
        <w:tabs>
          <w:tab w:val="right" w:pos="8931"/>
        </w:tabs>
        <w:spacing w:after="0" w:line="360" w:lineRule="auto"/>
        <w:jc w:val="both"/>
        <w:rPr>
          <w:b/>
          <w:bCs/>
        </w:rPr>
      </w:pPr>
      <w:r w:rsidRPr="00E009FD">
        <w:rPr>
          <w:b/>
          <w:bCs/>
        </w:rPr>
        <w:t xml:space="preserve">(Identity No: </w:t>
      </w:r>
      <w:r w:rsidR="00C33CE6">
        <w:rPr>
          <w:b/>
          <w:bCs/>
        </w:rPr>
        <w:t>[…]</w:t>
      </w:r>
      <w:r w:rsidRPr="00E009FD">
        <w:rPr>
          <w:b/>
          <w:bCs/>
        </w:rPr>
        <w:t>)</w:t>
      </w:r>
    </w:p>
    <w:p w14:paraId="0CD7CC00" w14:textId="77777777" w:rsidR="00E009FD" w:rsidRDefault="00E009FD" w:rsidP="00E97474">
      <w:pPr>
        <w:pBdr>
          <w:bottom w:val="single" w:sz="12" w:space="1" w:color="auto"/>
        </w:pBdr>
        <w:tabs>
          <w:tab w:val="right" w:pos="8931"/>
        </w:tabs>
        <w:spacing w:after="0" w:line="480" w:lineRule="auto"/>
        <w:jc w:val="both"/>
        <w:rPr>
          <w:rFonts w:eastAsia="Times New Roman"/>
          <w:b/>
          <w:bCs/>
        </w:rPr>
      </w:pPr>
    </w:p>
    <w:p w14:paraId="10677823" w14:textId="77777777" w:rsidR="00E009FD" w:rsidRPr="00AB1935" w:rsidRDefault="00E009FD" w:rsidP="00E97474">
      <w:pPr>
        <w:tabs>
          <w:tab w:val="right" w:pos="8931"/>
        </w:tabs>
        <w:spacing w:after="0" w:line="480" w:lineRule="auto"/>
        <w:jc w:val="both"/>
        <w:rPr>
          <w:rFonts w:eastAsia="Times New Roman"/>
        </w:rPr>
      </w:pPr>
    </w:p>
    <w:p w14:paraId="5BFBA14F" w14:textId="4EF12EA7" w:rsidR="00F36B8B" w:rsidRDefault="008B7B7F" w:rsidP="00F36B8B">
      <w:pPr>
        <w:shd w:val="clear" w:color="auto" w:fill="FFFFFF"/>
        <w:spacing w:after="0" w:line="480" w:lineRule="auto"/>
        <w:jc w:val="both"/>
        <w:rPr>
          <w:b/>
          <w:bCs/>
          <w:noProof/>
          <w:lang w:eastAsia="en-ZA"/>
        </w:rPr>
      </w:pPr>
      <w:r>
        <w:rPr>
          <w:b/>
          <w:bCs/>
          <w:noProof/>
          <w:lang w:eastAsia="en-ZA"/>
        </w:rPr>
        <w:t>Coram:</w:t>
      </w:r>
      <w:r>
        <w:rPr>
          <w:b/>
          <w:bCs/>
          <w:noProof/>
          <w:lang w:eastAsia="en-ZA"/>
        </w:rPr>
        <w:tab/>
      </w:r>
      <w:r>
        <w:rPr>
          <w:b/>
          <w:bCs/>
          <w:noProof/>
          <w:lang w:eastAsia="en-ZA"/>
        </w:rPr>
        <w:tab/>
        <w:t>Groenewald</w:t>
      </w:r>
      <w:r w:rsidR="00E91D28">
        <w:rPr>
          <w:b/>
          <w:bCs/>
          <w:noProof/>
          <w:lang w:eastAsia="en-ZA"/>
        </w:rPr>
        <w:t>, RJ (</w:t>
      </w:r>
      <w:r>
        <w:rPr>
          <w:b/>
          <w:bCs/>
          <w:noProof/>
          <w:lang w:eastAsia="en-ZA"/>
        </w:rPr>
        <w:t>AJ</w:t>
      </w:r>
      <w:r w:rsidR="00E91D28">
        <w:rPr>
          <w:b/>
          <w:bCs/>
          <w:noProof/>
          <w:lang w:eastAsia="en-ZA"/>
        </w:rPr>
        <w:t>)</w:t>
      </w:r>
    </w:p>
    <w:p w14:paraId="625AC617" w14:textId="27C68BBD" w:rsidR="008B7B7F" w:rsidRPr="008B7B7F" w:rsidRDefault="008B7B7F" w:rsidP="00F36B8B">
      <w:pPr>
        <w:shd w:val="clear" w:color="auto" w:fill="FFFFFF"/>
        <w:spacing w:after="0" w:line="480" w:lineRule="auto"/>
        <w:jc w:val="both"/>
        <w:rPr>
          <w:b/>
          <w:bCs/>
          <w:noProof/>
          <w:lang w:eastAsia="en-ZA"/>
        </w:rPr>
      </w:pPr>
      <w:r>
        <w:rPr>
          <w:b/>
          <w:bCs/>
          <w:noProof/>
          <w:lang w:eastAsia="en-ZA"/>
        </w:rPr>
        <w:t>Heard on:</w:t>
      </w:r>
      <w:r>
        <w:rPr>
          <w:b/>
          <w:bCs/>
          <w:noProof/>
          <w:lang w:eastAsia="en-ZA"/>
        </w:rPr>
        <w:tab/>
      </w:r>
      <w:r>
        <w:rPr>
          <w:b/>
          <w:bCs/>
          <w:noProof/>
          <w:lang w:eastAsia="en-ZA"/>
        </w:rPr>
        <w:tab/>
        <w:t>1</w:t>
      </w:r>
      <w:r w:rsidR="00605992">
        <w:rPr>
          <w:b/>
          <w:bCs/>
          <w:noProof/>
          <w:lang w:eastAsia="en-ZA"/>
        </w:rPr>
        <w:t>4</w:t>
      </w:r>
      <w:r>
        <w:rPr>
          <w:b/>
          <w:bCs/>
          <w:noProof/>
          <w:lang w:eastAsia="en-ZA"/>
        </w:rPr>
        <w:t xml:space="preserve"> March 2024</w:t>
      </w:r>
    </w:p>
    <w:p w14:paraId="7C977108" w14:textId="3B4E9169" w:rsidR="004126B9" w:rsidRDefault="008B7B7F" w:rsidP="00A76D32">
      <w:pPr>
        <w:shd w:val="clear" w:color="auto" w:fill="FFFFFF"/>
        <w:spacing w:after="0" w:line="480" w:lineRule="auto"/>
        <w:ind w:left="2160" w:hanging="2160"/>
        <w:jc w:val="both"/>
        <w:rPr>
          <w:noProof/>
          <w:lang w:eastAsia="en-ZA"/>
        </w:rPr>
      </w:pPr>
      <w:r w:rsidRPr="008B7B7F">
        <w:rPr>
          <w:b/>
          <w:bCs/>
          <w:noProof/>
          <w:lang w:eastAsia="en-ZA"/>
        </w:rPr>
        <w:t>Delivered:</w:t>
      </w:r>
      <w:r w:rsidRPr="008B7B7F">
        <w:rPr>
          <w:b/>
          <w:bCs/>
          <w:noProof/>
          <w:lang w:eastAsia="en-ZA"/>
        </w:rPr>
        <w:tab/>
      </w:r>
      <w:r>
        <w:rPr>
          <w:noProof/>
          <w:lang w:eastAsia="en-ZA"/>
        </w:rPr>
        <w:t xml:space="preserve">19 March 2023 - </w:t>
      </w:r>
      <w:r w:rsidR="00A76D32" w:rsidRPr="00A76D32">
        <w:rPr>
          <w:noProof/>
          <w:lang w:eastAsia="en-ZA"/>
        </w:rPr>
        <w:t xml:space="preserve">This judgment was handed down electronically </w:t>
      </w:r>
      <w:r w:rsidR="00A76D32">
        <w:rPr>
          <w:noProof/>
          <w:lang w:eastAsia="en-ZA"/>
        </w:rPr>
        <w:t>uploading to Caselines.</w:t>
      </w:r>
    </w:p>
    <w:p w14:paraId="5433F74B" w14:textId="77777777" w:rsidR="00052FFA" w:rsidRDefault="00052FFA" w:rsidP="00A76D32">
      <w:pPr>
        <w:shd w:val="clear" w:color="auto" w:fill="FFFFFF"/>
        <w:spacing w:after="0" w:line="480" w:lineRule="auto"/>
        <w:ind w:left="2160" w:hanging="2160"/>
        <w:jc w:val="both"/>
        <w:rPr>
          <w:noProof/>
          <w:lang w:eastAsia="en-ZA"/>
        </w:rPr>
      </w:pPr>
    </w:p>
    <w:p w14:paraId="41817164" w14:textId="77777777" w:rsidR="00245D44" w:rsidRPr="00245D44" w:rsidRDefault="00245D44" w:rsidP="00245D44">
      <w:pPr>
        <w:pBdr>
          <w:top w:val="single" w:sz="12" w:space="1" w:color="auto"/>
          <w:bottom w:val="single" w:sz="12" w:space="1" w:color="auto"/>
        </w:pBdr>
        <w:shd w:val="clear" w:color="auto" w:fill="FFFFFF"/>
        <w:spacing w:after="0" w:line="480" w:lineRule="auto"/>
        <w:jc w:val="center"/>
        <w:rPr>
          <w:b/>
          <w:bCs/>
          <w:noProof/>
          <w:sz w:val="16"/>
          <w:szCs w:val="16"/>
          <w:lang w:eastAsia="en-ZA"/>
        </w:rPr>
      </w:pPr>
    </w:p>
    <w:p w14:paraId="14EE195E" w14:textId="54364853" w:rsidR="00245D44" w:rsidRDefault="00245D44" w:rsidP="00245D44">
      <w:pPr>
        <w:pBdr>
          <w:top w:val="single" w:sz="12" w:space="1" w:color="auto"/>
          <w:bottom w:val="single" w:sz="12" w:space="1" w:color="auto"/>
        </w:pBdr>
        <w:shd w:val="clear" w:color="auto" w:fill="FFFFFF"/>
        <w:spacing w:after="0" w:line="480" w:lineRule="auto"/>
        <w:jc w:val="center"/>
        <w:rPr>
          <w:b/>
          <w:bCs/>
          <w:noProof/>
          <w:lang w:eastAsia="en-ZA"/>
        </w:rPr>
      </w:pPr>
      <w:r w:rsidRPr="00245D44">
        <w:rPr>
          <w:b/>
          <w:bCs/>
          <w:noProof/>
          <w:lang w:eastAsia="en-ZA"/>
        </w:rPr>
        <w:t>JUDGMENT</w:t>
      </w:r>
    </w:p>
    <w:p w14:paraId="65EE442D" w14:textId="77777777" w:rsidR="00245D44" w:rsidRPr="00245D44" w:rsidRDefault="00245D44" w:rsidP="00245D44">
      <w:pPr>
        <w:pBdr>
          <w:top w:val="single" w:sz="12" w:space="1" w:color="auto"/>
          <w:bottom w:val="single" w:sz="12" w:space="1" w:color="auto"/>
        </w:pBdr>
        <w:shd w:val="clear" w:color="auto" w:fill="FFFFFF"/>
        <w:spacing w:after="0" w:line="480" w:lineRule="auto"/>
        <w:jc w:val="center"/>
        <w:rPr>
          <w:b/>
          <w:bCs/>
          <w:noProof/>
          <w:sz w:val="16"/>
          <w:szCs w:val="16"/>
          <w:lang w:eastAsia="en-ZA"/>
        </w:rPr>
      </w:pPr>
    </w:p>
    <w:p w14:paraId="1F361BDE" w14:textId="77777777" w:rsidR="00245D44" w:rsidRDefault="00245D44" w:rsidP="00F36B8B">
      <w:pPr>
        <w:tabs>
          <w:tab w:val="left" w:pos="0"/>
        </w:tabs>
        <w:spacing w:after="240"/>
        <w:ind w:right="-252"/>
        <w:jc w:val="both"/>
        <w:rPr>
          <w:b/>
          <w:bCs/>
        </w:rPr>
      </w:pPr>
    </w:p>
    <w:p w14:paraId="2D8185AE" w14:textId="156001EA" w:rsidR="004723D1" w:rsidRDefault="004723D1" w:rsidP="00F36B8B">
      <w:pPr>
        <w:tabs>
          <w:tab w:val="left" w:pos="0"/>
        </w:tabs>
        <w:spacing w:after="240"/>
        <w:ind w:right="-252"/>
        <w:jc w:val="both"/>
        <w:rPr>
          <w:b/>
          <w:bCs/>
        </w:rPr>
      </w:pPr>
      <w:r>
        <w:rPr>
          <w:b/>
          <w:bCs/>
        </w:rPr>
        <w:t>GROENEWALD AJ</w:t>
      </w:r>
    </w:p>
    <w:p w14:paraId="3662F4F4" w14:textId="22BBFCA2" w:rsidR="00E82F48" w:rsidRPr="00E82F48" w:rsidRDefault="00E82F48" w:rsidP="00E82F48">
      <w:pPr>
        <w:spacing w:before="360" w:after="360" w:line="480" w:lineRule="auto"/>
        <w:jc w:val="both"/>
        <w:rPr>
          <w:rFonts w:eastAsia="Times New Roman"/>
          <w:szCs w:val="28"/>
          <w:u w:val="single"/>
          <w:lang w:val="en-GB"/>
        </w:rPr>
      </w:pPr>
      <w:r>
        <w:rPr>
          <w:rFonts w:eastAsia="Times New Roman"/>
          <w:szCs w:val="28"/>
          <w:u w:val="single"/>
          <w:lang w:val="en-GB"/>
        </w:rPr>
        <w:t>Introduction:</w:t>
      </w:r>
    </w:p>
    <w:p w14:paraId="66691A36" w14:textId="14F4BE73"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1.</w:t>
      </w:r>
      <w:r w:rsidRPr="00BF3440">
        <w:rPr>
          <w:rFonts w:eastAsia="Times New Roman"/>
          <w:szCs w:val="28"/>
          <w:lang w:val="en-GB"/>
        </w:rPr>
        <w:tab/>
      </w:r>
      <w:r w:rsidR="00BF3440" w:rsidRPr="00BF3440">
        <w:rPr>
          <w:rFonts w:eastAsia="Times New Roman"/>
          <w:szCs w:val="28"/>
          <w:lang w:val="en-GB"/>
        </w:rPr>
        <w:t>This is an application seeking the final winding-up of the First Respondent, being a close corporation</w:t>
      </w:r>
      <w:r w:rsidR="00AB1707">
        <w:rPr>
          <w:rFonts w:eastAsia="Times New Roman"/>
          <w:szCs w:val="28"/>
          <w:lang w:val="en-GB"/>
        </w:rPr>
        <w:t xml:space="preserve">. </w:t>
      </w:r>
      <w:r w:rsidR="00BF3440" w:rsidRPr="00BF3440">
        <w:rPr>
          <w:rFonts w:eastAsia="Times New Roman"/>
          <w:szCs w:val="28"/>
          <w:lang w:val="en-GB"/>
        </w:rPr>
        <w:t xml:space="preserve"> </w:t>
      </w:r>
      <w:r w:rsidR="00AB1707">
        <w:rPr>
          <w:rFonts w:eastAsia="Times New Roman"/>
          <w:szCs w:val="28"/>
          <w:lang w:val="en-GB"/>
        </w:rPr>
        <w:t>T</w:t>
      </w:r>
      <w:r w:rsidR="00BF3440" w:rsidRPr="00BF3440">
        <w:rPr>
          <w:rFonts w:eastAsia="Times New Roman"/>
          <w:szCs w:val="28"/>
          <w:lang w:val="en-GB"/>
        </w:rPr>
        <w:t xml:space="preserve">he Second Respondent holds a 50% member’s interest </w:t>
      </w:r>
      <w:r w:rsidR="00AB1707">
        <w:rPr>
          <w:rFonts w:eastAsia="Times New Roman"/>
          <w:szCs w:val="28"/>
          <w:lang w:val="en-GB"/>
        </w:rPr>
        <w:t xml:space="preserve">in the First Respondent </w:t>
      </w:r>
      <w:r w:rsidR="00BF3440" w:rsidRPr="00BF3440">
        <w:rPr>
          <w:rFonts w:eastAsia="Times New Roman"/>
          <w:szCs w:val="28"/>
          <w:lang w:val="en-GB"/>
        </w:rPr>
        <w:t xml:space="preserve">and the remaining 50% was held by the late </w:t>
      </w:r>
      <w:proofErr w:type="spellStart"/>
      <w:r w:rsidR="00BF3440" w:rsidRPr="00BF3440">
        <w:rPr>
          <w:rFonts w:eastAsia="Times New Roman"/>
          <w:szCs w:val="28"/>
          <w:lang w:val="en-GB"/>
        </w:rPr>
        <w:t>Namanyane</w:t>
      </w:r>
      <w:proofErr w:type="spellEnd"/>
      <w:r w:rsidR="00BF3440" w:rsidRPr="00BF3440">
        <w:rPr>
          <w:rFonts w:eastAsia="Times New Roman"/>
          <w:szCs w:val="28"/>
          <w:lang w:val="en-GB"/>
        </w:rPr>
        <w:t xml:space="preserve"> Pontsho Monama.</w:t>
      </w:r>
    </w:p>
    <w:p w14:paraId="691F66FA" w14:textId="4487487D"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2.</w:t>
      </w:r>
      <w:r w:rsidRPr="00BF3440">
        <w:rPr>
          <w:rFonts w:eastAsia="Times New Roman"/>
          <w:szCs w:val="28"/>
          <w:lang w:val="en-GB"/>
        </w:rPr>
        <w:tab/>
      </w:r>
      <w:r w:rsidR="00BF3440" w:rsidRPr="00BF3440">
        <w:rPr>
          <w:rFonts w:eastAsia="Times New Roman"/>
          <w:szCs w:val="28"/>
          <w:lang w:val="en-GB"/>
        </w:rPr>
        <w:t>The Applicant</w:t>
      </w:r>
      <w:r w:rsidR="00E851E6">
        <w:rPr>
          <w:rFonts w:eastAsia="Times New Roman"/>
          <w:szCs w:val="28"/>
          <w:lang w:val="en-GB"/>
        </w:rPr>
        <w:t>,</w:t>
      </w:r>
      <w:r w:rsidR="00BF3440" w:rsidRPr="00BF3440">
        <w:rPr>
          <w:rFonts w:eastAsia="Times New Roman"/>
          <w:szCs w:val="28"/>
          <w:lang w:val="en-GB"/>
        </w:rPr>
        <w:t xml:space="preserve"> being the Executrix of the estate</w:t>
      </w:r>
      <w:r w:rsidR="00E851E6">
        <w:rPr>
          <w:rFonts w:eastAsia="Times New Roman"/>
          <w:szCs w:val="28"/>
          <w:lang w:val="en-GB"/>
        </w:rPr>
        <w:t>,</w:t>
      </w:r>
      <w:r w:rsidR="00BF3440" w:rsidRPr="00BF3440">
        <w:rPr>
          <w:rFonts w:eastAsia="Times New Roman"/>
          <w:szCs w:val="28"/>
          <w:lang w:val="en-GB"/>
        </w:rPr>
        <w:t xml:space="preserve"> is the widow of the late Mr Monama</w:t>
      </w:r>
      <w:r w:rsidR="001D5290">
        <w:rPr>
          <w:rFonts w:eastAsia="Times New Roman"/>
          <w:szCs w:val="28"/>
          <w:lang w:val="en-GB"/>
        </w:rPr>
        <w:t xml:space="preserve"> (“the Deceased”)</w:t>
      </w:r>
      <w:r w:rsidR="00BF3440" w:rsidRPr="00BF3440">
        <w:rPr>
          <w:rFonts w:eastAsia="Times New Roman"/>
          <w:szCs w:val="28"/>
          <w:lang w:val="en-GB"/>
        </w:rPr>
        <w:t>. The Second Respondent, being the holder of the other 50% member’s interest in the close corporation, is the late Mr Monama’s father.</w:t>
      </w:r>
    </w:p>
    <w:p w14:paraId="74BE6B18" w14:textId="7DE7E69E"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lastRenderedPageBreak/>
        <w:t>3.</w:t>
      </w:r>
      <w:r w:rsidRPr="00BF3440">
        <w:rPr>
          <w:rFonts w:eastAsia="Times New Roman"/>
          <w:szCs w:val="28"/>
          <w:lang w:val="en-GB"/>
        </w:rPr>
        <w:tab/>
      </w:r>
      <w:r w:rsidR="00BF3440" w:rsidRPr="00BF3440">
        <w:rPr>
          <w:rFonts w:eastAsia="Times New Roman"/>
          <w:szCs w:val="28"/>
          <w:lang w:val="en-GB"/>
        </w:rPr>
        <w:t xml:space="preserve">It is common cause that the First Respondent was registered on 19 September 1999. </w:t>
      </w:r>
      <w:r w:rsidR="00A92E42">
        <w:rPr>
          <w:rFonts w:eastAsia="Times New Roman"/>
          <w:szCs w:val="28"/>
          <w:lang w:val="en-GB"/>
        </w:rPr>
        <w:t xml:space="preserve"> </w:t>
      </w:r>
      <w:r w:rsidR="00BF3440" w:rsidRPr="00BF3440">
        <w:rPr>
          <w:rFonts w:eastAsia="Times New Roman"/>
          <w:szCs w:val="28"/>
          <w:lang w:val="en-GB"/>
        </w:rPr>
        <w:t xml:space="preserve">The Second Respondent was initially the sole member of the close corporation. </w:t>
      </w:r>
    </w:p>
    <w:p w14:paraId="481F7599" w14:textId="627D59B9"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4.</w:t>
      </w:r>
      <w:r w:rsidRPr="00BF3440">
        <w:rPr>
          <w:rFonts w:eastAsia="Times New Roman"/>
          <w:szCs w:val="28"/>
          <w:lang w:val="en-GB"/>
        </w:rPr>
        <w:tab/>
      </w:r>
      <w:r w:rsidR="00BF3440" w:rsidRPr="00BF3440">
        <w:rPr>
          <w:rFonts w:eastAsia="Times New Roman"/>
          <w:szCs w:val="28"/>
          <w:lang w:val="en-GB"/>
        </w:rPr>
        <w:t>The Applicant and the Deceased was married to each other on 22 June 2015. The Deceased was appointed as a</w:t>
      </w:r>
      <w:r w:rsidR="0085788F">
        <w:rPr>
          <w:rFonts w:eastAsia="Times New Roman"/>
          <w:szCs w:val="28"/>
          <w:lang w:val="en-GB"/>
        </w:rPr>
        <w:t>n</w:t>
      </w:r>
      <w:r w:rsidR="00BF3440" w:rsidRPr="00BF3440">
        <w:rPr>
          <w:rFonts w:eastAsia="Times New Roman"/>
          <w:szCs w:val="28"/>
          <w:lang w:val="en-GB"/>
        </w:rPr>
        <w:t xml:space="preserve"> </w:t>
      </w:r>
      <w:r w:rsidR="0085788F">
        <w:rPr>
          <w:rFonts w:eastAsia="Times New Roman"/>
          <w:szCs w:val="28"/>
          <w:lang w:val="en-GB"/>
        </w:rPr>
        <w:t xml:space="preserve">equal </w:t>
      </w:r>
      <w:r w:rsidR="00BF3440" w:rsidRPr="00BF3440">
        <w:rPr>
          <w:rFonts w:eastAsia="Times New Roman"/>
          <w:szCs w:val="28"/>
          <w:lang w:val="en-GB"/>
        </w:rPr>
        <w:t>co-member of the First Respondent on 17 February 2012 and passed away on 15 April 2019.</w:t>
      </w:r>
    </w:p>
    <w:p w14:paraId="79EF4E69" w14:textId="0571314F"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5.</w:t>
      </w:r>
      <w:r w:rsidRPr="00BF3440">
        <w:rPr>
          <w:rFonts w:eastAsia="Times New Roman"/>
          <w:szCs w:val="28"/>
          <w:lang w:val="en-GB"/>
        </w:rPr>
        <w:tab/>
      </w:r>
      <w:r w:rsidR="00BF3440" w:rsidRPr="00BF3440">
        <w:rPr>
          <w:rFonts w:eastAsia="Times New Roman"/>
          <w:szCs w:val="28"/>
          <w:lang w:val="en-GB"/>
        </w:rPr>
        <w:t>The Applicant was appointed by the Master of the High Court on 21 May 2019 as the Executrix of the Deceased estate.</w:t>
      </w:r>
    </w:p>
    <w:p w14:paraId="6CA01E8F" w14:textId="0A8E0562"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6.</w:t>
      </w:r>
      <w:r w:rsidRPr="00BF3440">
        <w:rPr>
          <w:rFonts w:eastAsia="Times New Roman"/>
          <w:szCs w:val="28"/>
          <w:lang w:val="en-GB"/>
        </w:rPr>
        <w:tab/>
      </w:r>
      <w:r w:rsidR="00BF3440" w:rsidRPr="00BF3440">
        <w:rPr>
          <w:rFonts w:eastAsia="Times New Roman"/>
          <w:szCs w:val="28"/>
          <w:lang w:val="en-GB"/>
        </w:rPr>
        <w:t>The Deceased passed away intestate and his 50% member’s interest in respect of the close corporation forms part of the assets of the Deceased estate.</w:t>
      </w:r>
    </w:p>
    <w:p w14:paraId="55C13D13" w14:textId="1F4A9049" w:rsidR="00BF3440" w:rsidRDefault="00D5654C" w:rsidP="00D5654C">
      <w:pPr>
        <w:tabs>
          <w:tab w:val="left" w:pos="851"/>
        </w:tabs>
        <w:spacing w:before="360" w:after="360" w:line="480" w:lineRule="auto"/>
        <w:ind w:left="851" w:hanging="851"/>
        <w:jc w:val="both"/>
        <w:rPr>
          <w:rFonts w:eastAsia="Times New Roman"/>
          <w:szCs w:val="28"/>
          <w:lang w:val="en-GB"/>
        </w:rPr>
      </w:pPr>
      <w:r>
        <w:rPr>
          <w:rFonts w:eastAsia="Times New Roman"/>
          <w:szCs w:val="28"/>
          <w:lang w:val="en-GB"/>
        </w:rPr>
        <w:t>7.</w:t>
      </w:r>
      <w:r>
        <w:rPr>
          <w:rFonts w:eastAsia="Times New Roman"/>
          <w:szCs w:val="28"/>
          <w:lang w:val="en-GB"/>
        </w:rPr>
        <w:tab/>
      </w:r>
      <w:r w:rsidR="00BF3440" w:rsidRPr="00BF3440">
        <w:rPr>
          <w:rFonts w:eastAsia="Times New Roman"/>
          <w:szCs w:val="28"/>
          <w:lang w:val="en-GB"/>
        </w:rPr>
        <w:t>The Applicant claims that she has been excluded from the operations of the close corporation</w:t>
      </w:r>
      <w:r w:rsidR="0085788F">
        <w:rPr>
          <w:rFonts w:eastAsia="Times New Roman"/>
          <w:szCs w:val="28"/>
          <w:lang w:val="en-GB"/>
        </w:rPr>
        <w:t>,</w:t>
      </w:r>
      <w:r w:rsidR="00BF3440" w:rsidRPr="00BF3440">
        <w:rPr>
          <w:rFonts w:eastAsia="Times New Roman"/>
          <w:szCs w:val="28"/>
          <w:lang w:val="en-GB"/>
        </w:rPr>
        <w:t xml:space="preserve"> </w:t>
      </w:r>
      <w:r w:rsidR="008166F7">
        <w:rPr>
          <w:rFonts w:eastAsia="Times New Roman"/>
          <w:szCs w:val="28"/>
          <w:lang w:val="en-GB"/>
        </w:rPr>
        <w:t xml:space="preserve">that </w:t>
      </w:r>
      <w:r w:rsidR="00BF3440" w:rsidRPr="00BF3440">
        <w:rPr>
          <w:rFonts w:eastAsia="Times New Roman"/>
          <w:szCs w:val="28"/>
          <w:lang w:val="en-GB"/>
        </w:rPr>
        <w:t>there exists a deadlock between the members</w:t>
      </w:r>
      <w:r w:rsidR="0085788F">
        <w:rPr>
          <w:rFonts w:eastAsia="Times New Roman"/>
          <w:szCs w:val="28"/>
          <w:lang w:val="en-GB"/>
        </w:rPr>
        <w:t xml:space="preserve">, and that it would be just and equitable for the </w:t>
      </w:r>
      <w:r w:rsidR="009C4DA2">
        <w:rPr>
          <w:rFonts w:eastAsia="Times New Roman"/>
          <w:szCs w:val="28"/>
          <w:lang w:val="en-GB"/>
        </w:rPr>
        <w:t>First Respondent to be wound-up</w:t>
      </w:r>
      <w:r w:rsidR="00BF3440" w:rsidRPr="00BF3440">
        <w:rPr>
          <w:rFonts w:eastAsia="Times New Roman"/>
          <w:szCs w:val="28"/>
          <w:lang w:val="en-GB"/>
        </w:rPr>
        <w:t>.</w:t>
      </w:r>
    </w:p>
    <w:p w14:paraId="0856D050" w14:textId="6984F2DF" w:rsidR="00E82F48" w:rsidRPr="00E82F48" w:rsidRDefault="00E82F48" w:rsidP="00E82F48">
      <w:pPr>
        <w:spacing w:before="360" w:after="360" w:line="480" w:lineRule="auto"/>
        <w:jc w:val="both"/>
        <w:rPr>
          <w:rFonts w:eastAsia="Times New Roman"/>
          <w:szCs w:val="28"/>
          <w:u w:val="single"/>
          <w:lang w:val="en-GB"/>
        </w:rPr>
      </w:pPr>
      <w:r>
        <w:rPr>
          <w:rFonts w:eastAsia="Times New Roman"/>
          <w:szCs w:val="28"/>
          <w:u w:val="single"/>
          <w:lang w:val="en-GB"/>
        </w:rPr>
        <w:t>The urgent application:</w:t>
      </w:r>
    </w:p>
    <w:p w14:paraId="7150D5BF" w14:textId="28BE1579"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8.</w:t>
      </w:r>
      <w:r w:rsidRPr="00BF3440">
        <w:rPr>
          <w:rFonts w:eastAsia="Times New Roman"/>
          <w:szCs w:val="28"/>
          <w:lang w:val="en-GB"/>
        </w:rPr>
        <w:tab/>
      </w:r>
      <w:r w:rsidR="00BF3440" w:rsidRPr="00BF3440">
        <w:rPr>
          <w:rFonts w:eastAsia="Times New Roman"/>
          <w:szCs w:val="28"/>
          <w:lang w:val="en-GB"/>
        </w:rPr>
        <w:t xml:space="preserve">The Applicant’s concern in respect of the way in which the affairs of the close corporation </w:t>
      </w:r>
      <w:proofErr w:type="gramStart"/>
      <w:r w:rsidR="00BF3440" w:rsidRPr="00BF3440">
        <w:rPr>
          <w:rFonts w:eastAsia="Times New Roman"/>
          <w:szCs w:val="28"/>
          <w:lang w:val="en-GB"/>
        </w:rPr>
        <w:t>was</w:t>
      </w:r>
      <w:proofErr w:type="gramEnd"/>
      <w:r w:rsidR="00BF3440" w:rsidRPr="00BF3440">
        <w:rPr>
          <w:rFonts w:eastAsia="Times New Roman"/>
          <w:szCs w:val="28"/>
          <w:lang w:val="en-GB"/>
        </w:rPr>
        <w:t xml:space="preserve"> being conducted resulted in the launching of an urgent application to </w:t>
      </w:r>
      <w:r w:rsidR="008166F7">
        <w:rPr>
          <w:rFonts w:eastAsia="Times New Roman"/>
          <w:szCs w:val="28"/>
          <w:lang w:val="en-GB"/>
        </w:rPr>
        <w:t xml:space="preserve">this </w:t>
      </w:r>
      <w:r w:rsidR="00BF3440" w:rsidRPr="00BF3440">
        <w:rPr>
          <w:rFonts w:eastAsia="Times New Roman"/>
          <w:szCs w:val="28"/>
          <w:lang w:val="en-GB"/>
        </w:rPr>
        <w:t xml:space="preserve">court on 19 November 2021. </w:t>
      </w:r>
      <w:r w:rsidR="008166F7">
        <w:rPr>
          <w:rFonts w:eastAsia="Times New Roman"/>
          <w:szCs w:val="28"/>
          <w:lang w:val="en-GB"/>
        </w:rPr>
        <w:t xml:space="preserve"> </w:t>
      </w:r>
      <w:r w:rsidR="00BF3440" w:rsidRPr="00BF3440">
        <w:rPr>
          <w:rFonts w:eastAsia="Times New Roman"/>
          <w:szCs w:val="28"/>
          <w:lang w:val="en-GB"/>
        </w:rPr>
        <w:t xml:space="preserve">In terms of that application the Applicant sought the winding-up of the First Respondent, alternatively a structured order directed at the sale of the Deceased’s 50% member’s interest to the First Respondent which was intended to be facilitated by way of an </w:t>
      </w:r>
      <w:r w:rsidR="00BF3440" w:rsidRPr="00BF3440">
        <w:rPr>
          <w:rFonts w:eastAsia="Times New Roman"/>
          <w:szCs w:val="28"/>
          <w:lang w:val="en-GB"/>
        </w:rPr>
        <w:lastRenderedPageBreak/>
        <w:t xml:space="preserve">appointment of a referee, appointed in accordance with the provisions of </w:t>
      </w:r>
      <w:r w:rsidR="00BF3440" w:rsidRPr="00FB5DDA">
        <w:rPr>
          <w:rFonts w:eastAsia="Times New Roman"/>
          <w:b/>
          <w:bCs/>
          <w:i/>
          <w:iCs/>
          <w:szCs w:val="28"/>
          <w:lang w:val="en-GB"/>
        </w:rPr>
        <w:t>section 38</w:t>
      </w:r>
      <w:r w:rsidR="00BF3440" w:rsidRPr="00BF3440">
        <w:rPr>
          <w:rFonts w:eastAsia="Times New Roman"/>
          <w:szCs w:val="28"/>
          <w:lang w:val="en-GB"/>
        </w:rPr>
        <w:t xml:space="preserve"> of </w:t>
      </w:r>
      <w:r w:rsidR="00BF3440" w:rsidRPr="00FB5DDA">
        <w:rPr>
          <w:rFonts w:eastAsia="Times New Roman"/>
          <w:b/>
          <w:bCs/>
          <w:i/>
          <w:iCs/>
          <w:szCs w:val="28"/>
          <w:lang w:val="en-GB"/>
        </w:rPr>
        <w:t>the Superior Courts Act 10 of 2013</w:t>
      </w:r>
      <w:r w:rsidR="00BF3440" w:rsidRPr="00BF3440">
        <w:rPr>
          <w:rFonts w:eastAsia="Times New Roman"/>
          <w:szCs w:val="28"/>
          <w:lang w:val="en-GB"/>
        </w:rPr>
        <w:t xml:space="preserve">. </w:t>
      </w:r>
    </w:p>
    <w:p w14:paraId="4524E40B" w14:textId="12FA55E6"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9.</w:t>
      </w:r>
      <w:r w:rsidRPr="00BF3440">
        <w:rPr>
          <w:rFonts w:eastAsia="Times New Roman"/>
          <w:szCs w:val="28"/>
          <w:lang w:val="en-GB"/>
        </w:rPr>
        <w:tab/>
      </w:r>
      <w:r w:rsidR="00BF3440" w:rsidRPr="00BF3440">
        <w:rPr>
          <w:rFonts w:eastAsia="Times New Roman"/>
          <w:szCs w:val="28"/>
          <w:lang w:val="en-GB"/>
        </w:rPr>
        <w:t>On 7 December 2021</w:t>
      </w:r>
      <w:r w:rsidR="00203EB4">
        <w:rPr>
          <w:rFonts w:eastAsia="Times New Roman"/>
          <w:szCs w:val="28"/>
          <w:lang w:val="en-GB"/>
        </w:rPr>
        <w:t>,</w:t>
      </w:r>
      <w:r w:rsidR="00BF3440" w:rsidRPr="00BF3440">
        <w:rPr>
          <w:rFonts w:eastAsia="Times New Roman"/>
          <w:szCs w:val="28"/>
          <w:lang w:val="en-GB"/>
        </w:rPr>
        <w:t xml:space="preserve"> the </w:t>
      </w:r>
      <w:r w:rsidR="00203EB4">
        <w:rPr>
          <w:rFonts w:eastAsia="Times New Roman"/>
          <w:szCs w:val="28"/>
          <w:lang w:val="en-GB"/>
        </w:rPr>
        <w:t xml:space="preserve">Applicant and Second Respondent </w:t>
      </w:r>
      <w:r w:rsidR="00BF3440" w:rsidRPr="00BF3440">
        <w:rPr>
          <w:rFonts w:eastAsia="Times New Roman"/>
          <w:szCs w:val="28"/>
          <w:lang w:val="en-GB"/>
        </w:rPr>
        <w:t>consented to the following order</w:t>
      </w:r>
      <w:r w:rsidR="00BF51E8">
        <w:rPr>
          <w:rFonts w:eastAsia="Times New Roman"/>
          <w:szCs w:val="28"/>
          <w:lang w:val="en-GB"/>
        </w:rPr>
        <w:t xml:space="preserve"> (“the Order”)</w:t>
      </w:r>
      <w:r w:rsidR="00BF3440" w:rsidRPr="00BF3440">
        <w:rPr>
          <w:rFonts w:eastAsia="Times New Roman"/>
          <w:szCs w:val="28"/>
          <w:lang w:val="en-GB"/>
        </w:rPr>
        <w:t xml:space="preserve"> being made:</w:t>
      </w:r>
    </w:p>
    <w:p w14:paraId="4CC77118" w14:textId="77777777" w:rsidR="00DC7C7C" w:rsidRPr="00DC7C7C" w:rsidRDefault="00BF3440" w:rsidP="00FB5DDA">
      <w:pPr>
        <w:spacing w:before="360" w:after="360" w:line="360" w:lineRule="auto"/>
        <w:ind w:left="1701" w:hanging="567"/>
        <w:jc w:val="both"/>
        <w:rPr>
          <w:rFonts w:eastAsia="Times New Roman"/>
          <w:i/>
          <w:iCs/>
          <w:szCs w:val="28"/>
          <w:lang w:val="en-GB"/>
        </w:rPr>
      </w:pPr>
      <w:r w:rsidRPr="00BF3440">
        <w:rPr>
          <w:rFonts w:eastAsia="Times New Roman"/>
          <w:szCs w:val="28"/>
          <w:lang w:val="en-GB"/>
        </w:rPr>
        <w:t>“</w:t>
      </w:r>
      <w:r w:rsidR="00DC7C7C" w:rsidRPr="00DC7C7C">
        <w:rPr>
          <w:rFonts w:eastAsia="Times New Roman"/>
          <w:i/>
          <w:iCs/>
          <w:szCs w:val="28"/>
          <w:lang w:val="en-GB"/>
        </w:rPr>
        <w:t>1.</w:t>
      </w:r>
      <w:r w:rsidR="00DC7C7C" w:rsidRPr="00DC7C7C">
        <w:rPr>
          <w:rFonts w:eastAsia="Times New Roman"/>
          <w:i/>
          <w:iCs/>
          <w:szCs w:val="28"/>
          <w:lang w:val="en-GB"/>
        </w:rPr>
        <w:tab/>
        <w:t xml:space="preserve">The Second Respondent is directed to purchase the 50% membership interest of </w:t>
      </w:r>
      <w:proofErr w:type="spellStart"/>
      <w:r w:rsidR="00DC7C7C" w:rsidRPr="00DC7C7C">
        <w:rPr>
          <w:rFonts w:eastAsia="Times New Roman"/>
          <w:i/>
          <w:iCs/>
          <w:szCs w:val="28"/>
          <w:lang w:val="en-GB"/>
        </w:rPr>
        <w:t>Namanyane</w:t>
      </w:r>
      <w:proofErr w:type="spellEnd"/>
      <w:r w:rsidR="00DC7C7C" w:rsidRPr="00DC7C7C">
        <w:rPr>
          <w:rFonts w:eastAsia="Times New Roman"/>
          <w:i/>
          <w:iCs/>
          <w:szCs w:val="28"/>
          <w:lang w:val="en-GB"/>
        </w:rPr>
        <w:t xml:space="preserve"> Pontsho Monama (“the deceased”) in the First Respondent and to take transfer thereof against payment to the Applicant of a purchase consideration in an amount to be determined by the referee, referred to in paragraph 4 infra, being the fair and reasonable value of the deceased's 50% members interest in the First Respondent as at the date on which this order is made.</w:t>
      </w:r>
    </w:p>
    <w:p w14:paraId="1A4A8DCC" w14:textId="77777777" w:rsidR="00DC7C7C" w:rsidRPr="00DC7C7C" w:rsidRDefault="00DC7C7C" w:rsidP="00FB5DDA">
      <w:pPr>
        <w:spacing w:before="360" w:after="360" w:line="360" w:lineRule="auto"/>
        <w:ind w:left="1701" w:hanging="567"/>
        <w:jc w:val="both"/>
        <w:rPr>
          <w:rFonts w:eastAsia="Times New Roman"/>
          <w:i/>
          <w:iCs/>
          <w:szCs w:val="28"/>
          <w:lang w:val="en-GB"/>
        </w:rPr>
      </w:pPr>
      <w:r w:rsidRPr="00DC7C7C">
        <w:rPr>
          <w:rFonts w:eastAsia="Times New Roman"/>
          <w:i/>
          <w:iCs/>
          <w:szCs w:val="28"/>
          <w:lang w:val="en-GB"/>
        </w:rPr>
        <w:t>2.</w:t>
      </w:r>
      <w:r w:rsidRPr="00DC7C7C">
        <w:rPr>
          <w:rFonts w:eastAsia="Times New Roman"/>
          <w:i/>
          <w:iCs/>
          <w:szCs w:val="28"/>
          <w:lang w:val="en-GB"/>
        </w:rPr>
        <w:tab/>
        <w:t xml:space="preserve">The Applicant is directed, within 5 days after the payment to her in full of the purchase consideration referred to in paragraph 1 supra, to notify the First Respondent in writing that she waives or abandons any right or entitlement in respect of the deceased's 50% members interest in the First </w:t>
      </w:r>
      <w:proofErr w:type="gramStart"/>
      <w:r w:rsidRPr="00DC7C7C">
        <w:rPr>
          <w:rFonts w:eastAsia="Times New Roman"/>
          <w:i/>
          <w:iCs/>
          <w:szCs w:val="28"/>
          <w:lang w:val="en-GB"/>
        </w:rPr>
        <w:t>Respondent;</w:t>
      </w:r>
      <w:proofErr w:type="gramEnd"/>
    </w:p>
    <w:p w14:paraId="2797B682" w14:textId="77777777" w:rsidR="00A11DB0" w:rsidRDefault="00DC7C7C" w:rsidP="00FB5DDA">
      <w:pPr>
        <w:spacing w:before="360" w:after="360" w:line="360" w:lineRule="auto"/>
        <w:ind w:left="1701" w:hanging="567"/>
        <w:jc w:val="both"/>
        <w:rPr>
          <w:rFonts w:eastAsia="Times New Roman"/>
          <w:i/>
          <w:iCs/>
          <w:szCs w:val="28"/>
          <w:lang w:val="en-GB"/>
        </w:rPr>
      </w:pPr>
      <w:r w:rsidRPr="00DC7C7C">
        <w:rPr>
          <w:rFonts w:eastAsia="Times New Roman"/>
          <w:i/>
          <w:iCs/>
          <w:szCs w:val="28"/>
          <w:lang w:val="en-GB"/>
        </w:rPr>
        <w:t>3.</w:t>
      </w:r>
      <w:r w:rsidRPr="00DC7C7C">
        <w:rPr>
          <w:rFonts w:eastAsia="Times New Roman"/>
          <w:i/>
          <w:iCs/>
          <w:szCs w:val="28"/>
          <w:lang w:val="en-GB"/>
        </w:rPr>
        <w:tab/>
      </w:r>
      <w:r w:rsidR="00E664FB" w:rsidRPr="00E664FB">
        <w:rPr>
          <w:rFonts w:eastAsia="Times New Roman"/>
          <w:i/>
          <w:iCs/>
          <w:szCs w:val="28"/>
          <w:lang w:val="en-GB"/>
        </w:rPr>
        <w:t>The Applicant and the Second Respondent (</w:t>
      </w:r>
      <w:r w:rsidR="00E664FB">
        <w:rPr>
          <w:rFonts w:eastAsia="Times New Roman"/>
          <w:i/>
          <w:iCs/>
          <w:szCs w:val="28"/>
          <w:lang w:val="en-GB"/>
        </w:rPr>
        <w:t>“</w:t>
      </w:r>
      <w:r w:rsidR="00E664FB" w:rsidRPr="00E664FB">
        <w:rPr>
          <w:rFonts w:eastAsia="Times New Roman"/>
          <w:i/>
          <w:iCs/>
          <w:szCs w:val="28"/>
          <w:lang w:val="en-GB"/>
        </w:rPr>
        <w:t>the parties</w:t>
      </w:r>
      <w:r w:rsidR="00E664FB">
        <w:rPr>
          <w:rFonts w:eastAsia="Times New Roman"/>
          <w:i/>
          <w:iCs/>
          <w:szCs w:val="28"/>
          <w:lang w:val="en-GB"/>
        </w:rPr>
        <w:t>”</w:t>
      </w:r>
      <w:r w:rsidR="00E664FB" w:rsidRPr="00E664FB">
        <w:rPr>
          <w:rFonts w:eastAsia="Times New Roman"/>
          <w:i/>
          <w:iCs/>
          <w:szCs w:val="28"/>
          <w:lang w:val="en-GB"/>
        </w:rPr>
        <w:t>) are directed to take all steps and to do all things and sign all documents which are necessary to give effect to the provisions referred to and contained in paragraphs 1 and 2 supra, as expeditiously as possible, failing which the Sheriff of this Court or his/her Deputy is hereby authorised and directed to take such steps and to do such things and/or to sign such documents on behalf of the party or parties to do so for such purpose;</w:t>
      </w:r>
    </w:p>
    <w:p w14:paraId="553461C3" w14:textId="77777777" w:rsidR="00CC5A19" w:rsidRDefault="00A11DB0" w:rsidP="00FB5DDA">
      <w:pPr>
        <w:spacing w:before="360" w:after="360" w:line="360" w:lineRule="auto"/>
        <w:ind w:left="1701" w:hanging="567"/>
        <w:jc w:val="both"/>
        <w:rPr>
          <w:rFonts w:eastAsia="Times New Roman"/>
          <w:i/>
          <w:iCs/>
          <w:szCs w:val="28"/>
          <w:lang w:val="en-GB"/>
        </w:rPr>
      </w:pPr>
      <w:r>
        <w:rPr>
          <w:rFonts w:eastAsia="Times New Roman"/>
          <w:i/>
          <w:iCs/>
          <w:szCs w:val="28"/>
          <w:lang w:val="en-GB"/>
        </w:rPr>
        <w:t>4.</w:t>
      </w:r>
      <w:r>
        <w:rPr>
          <w:rFonts w:eastAsia="Times New Roman"/>
          <w:i/>
          <w:iCs/>
          <w:szCs w:val="28"/>
          <w:lang w:val="en-GB"/>
        </w:rPr>
        <w:tab/>
      </w:r>
      <w:r w:rsidRPr="00A11DB0">
        <w:rPr>
          <w:rFonts w:eastAsia="Times New Roman"/>
          <w:i/>
          <w:iCs/>
          <w:szCs w:val="28"/>
          <w:lang w:val="en-GB"/>
        </w:rPr>
        <w:t>Mr Johan Ferreira, forensic chartered accountant, is appointed by the parties as referee, in accordance with the provisions of Section 38 of the Superior</w:t>
      </w:r>
      <w:r w:rsidR="002E27F4">
        <w:rPr>
          <w:rFonts w:eastAsia="Times New Roman"/>
          <w:i/>
          <w:iCs/>
          <w:szCs w:val="28"/>
          <w:lang w:val="en-GB"/>
        </w:rPr>
        <w:t xml:space="preserve"> </w:t>
      </w:r>
      <w:r w:rsidR="002E27F4" w:rsidRPr="002E27F4">
        <w:rPr>
          <w:rFonts w:eastAsia="Times New Roman"/>
          <w:i/>
          <w:iCs/>
          <w:szCs w:val="28"/>
          <w:lang w:val="en-GB"/>
        </w:rPr>
        <w:t>Courts Act, No 10 of 2013 (</w:t>
      </w:r>
      <w:r w:rsidR="002E27F4">
        <w:rPr>
          <w:rFonts w:eastAsia="Times New Roman"/>
          <w:i/>
          <w:iCs/>
          <w:szCs w:val="28"/>
          <w:lang w:val="en-GB"/>
        </w:rPr>
        <w:t>“</w:t>
      </w:r>
      <w:r w:rsidR="002E27F4" w:rsidRPr="002E27F4">
        <w:rPr>
          <w:rFonts w:eastAsia="Times New Roman"/>
          <w:i/>
          <w:iCs/>
          <w:szCs w:val="28"/>
          <w:lang w:val="en-GB"/>
        </w:rPr>
        <w:t>the Ac</w:t>
      </w:r>
      <w:r w:rsidR="002E27F4">
        <w:rPr>
          <w:rFonts w:eastAsia="Times New Roman"/>
          <w:i/>
          <w:iCs/>
          <w:szCs w:val="28"/>
          <w:lang w:val="en-GB"/>
        </w:rPr>
        <w:t>t”</w:t>
      </w:r>
      <w:r w:rsidR="002E27F4" w:rsidRPr="002E27F4">
        <w:rPr>
          <w:rFonts w:eastAsia="Times New Roman"/>
          <w:i/>
          <w:iCs/>
          <w:szCs w:val="28"/>
          <w:lang w:val="en-GB"/>
        </w:rPr>
        <w:t xml:space="preserve">) in order to determine the value of the deceased's 50% members interest in the First Respondent as at the date of the deceased's demise (15 April </w:t>
      </w:r>
      <w:r w:rsidR="002E27F4" w:rsidRPr="002E27F4">
        <w:rPr>
          <w:rFonts w:eastAsia="Times New Roman"/>
          <w:i/>
          <w:iCs/>
          <w:szCs w:val="28"/>
          <w:lang w:val="en-GB"/>
        </w:rPr>
        <w:lastRenderedPageBreak/>
        <w:t>2019) and as at the date on which this order is made (7 December 2021);</w:t>
      </w:r>
    </w:p>
    <w:p w14:paraId="5B028DC5" w14:textId="77777777" w:rsidR="00CC5A19" w:rsidRDefault="00CC5A19" w:rsidP="00FB5DDA">
      <w:pPr>
        <w:spacing w:before="360" w:after="360" w:line="360" w:lineRule="auto"/>
        <w:ind w:left="1701" w:hanging="567"/>
        <w:jc w:val="both"/>
        <w:rPr>
          <w:rFonts w:eastAsia="Times New Roman"/>
          <w:i/>
          <w:iCs/>
          <w:szCs w:val="28"/>
          <w:lang w:val="en-GB"/>
        </w:rPr>
      </w:pPr>
      <w:r>
        <w:rPr>
          <w:rFonts w:eastAsia="Times New Roman"/>
          <w:i/>
          <w:iCs/>
          <w:szCs w:val="28"/>
          <w:lang w:val="en-GB"/>
        </w:rPr>
        <w:t>5.</w:t>
      </w:r>
      <w:r>
        <w:rPr>
          <w:rFonts w:eastAsia="Times New Roman"/>
          <w:i/>
          <w:iCs/>
          <w:szCs w:val="28"/>
          <w:lang w:val="en-GB"/>
        </w:rPr>
        <w:tab/>
      </w:r>
      <w:r w:rsidRPr="00CC5A19">
        <w:rPr>
          <w:rFonts w:eastAsia="Times New Roman"/>
          <w:i/>
          <w:iCs/>
          <w:szCs w:val="28"/>
          <w:lang w:val="en-GB"/>
        </w:rPr>
        <w:t>The valuation of the deceased's 50% members interest in the First Respondent is to be determined by the referee, referred to in paragraph 4 supra, shall:</w:t>
      </w:r>
    </w:p>
    <w:p w14:paraId="650FD850" w14:textId="77777777" w:rsidR="0066557E" w:rsidRDefault="00CC5A19" w:rsidP="00FB5DDA">
      <w:pPr>
        <w:spacing w:before="360" w:after="360" w:line="360" w:lineRule="auto"/>
        <w:ind w:left="2410" w:hanging="709"/>
        <w:jc w:val="both"/>
        <w:rPr>
          <w:rFonts w:eastAsia="Times New Roman"/>
          <w:i/>
          <w:iCs/>
          <w:szCs w:val="28"/>
          <w:lang w:val="en-GB"/>
        </w:rPr>
      </w:pPr>
      <w:r>
        <w:rPr>
          <w:rFonts w:eastAsia="Times New Roman"/>
          <w:i/>
          <w:iCs/>
          <w:szCs w:val="28"/>
          <w:lang w:val="en-GB"/>
        </w:rPr>
        <w:t>5.1</w:t>
      </w:r>
      <w:r>
        <w:rPr>
          <w:rFonts w:eastAsia="Times New Roman"/>
          <w:i/>
          <w:iCs/>
          <w:szCs w:val="28"/>
          <w:lang w:val="en-GB"/>
        </w:rPr>
        <w:tab/>
      </w:r>
      <w:r w:rsidR="002152CE" w:rsidRPr="002152CE">
        <w:rPr>
          <w:rFonts w:eastAsia="Times New Roman"/>
          <w:i/>
          <w:iCs/>
          <w:szCs w:val="28"/>
          <w:lang w:val="en-GB"/>
        </w:rPr>
        <w:t xml:space="preserve">make no allowance or deduction for the fact that the deceased held 50% members interest in the First </w:t>
      </w:r>
      <w:r w:rsidR="002152CE">
        <w:rPr>
          <w:rFonts w:eastAsia="Times New Roman"/>
          <w:i/>
          <w:iCs/>
          <w:szCs w:val="28"/>
          <w:lang w:val="en-GB"/>
        </w:rPr>
        <w:t>Respondent</w:t>
      </w:r>
      <w:r w:rsidR="002152CE" w:rsidRPr="002152CE">
        <w:rPr>
          <w:rFonts w:eastAsia="Times New Roman"/>
          <w:i/>
          <w:iCs/>
          <w:szCs w:val="28"/>
          <w:lang w:val="en-GB"/>
        </w:rPr>
        <w:t xml:space="preserve"> </w:t>
      </w:r>
      <w:r w:rsidR="00AC0032">
        <w:rPr>
          <w:rFonts w:eastAsia="Times New Roman"/>
          <w:i/>
          <w:iCs/>
          <w:szCs w:val="28"/>
          <w:lang w:val="en-GB"/>
        </w:rPr>
        <w:t xml:space="preserve">and </w:t>
      </w:r>
      <w:r w:rsidR="0066557E">
        <w:rPr>
          <w:rFonts w:eastAsia="Times New Roman"/>
          <w:i/>
          <w:iCs/>
          <w:szCs w:val="28"/>
          <w:lang w:val="en-GB"/>
        </w:rPr>
        <w:t xml:space="preserve">there should be no discount for that fact, if </w:t>
      </w:r>
      <w:proofErr w:type="gramStart"/>
      <w:r w:rsidR="0066557E">
        <w:rPr>
          <w:rFonts w:eastAsia="Times New Roman"/>
          <w:i/>
          <w:iCs/>
          <w:szCs w:val="28"/>
          <w:lang w:val="en-GB"/>
        </w:rPr>
        <w:t>applicable;</w:t>
      </w:r>
      <w:proofErr w:type="gramEnd"/>
    </w:p>
    <w:p w14:paraId="6038DC9C" w14:textId="77777777" w:rsidR="00283EB7" w:rsidRDefault="0066557E" w:rsidP="00FB5DDA">
      <w:pPr>
        <w:spacing w:before="360" w:after="360" w:line="360" w:lineRule="auto"/>
        <w:ind w:left="2410" w:hanging="709"/>
        <w:jc w:val="both"/>
        <w:rPr>
          <w:rFonts w:eastAsia="Times New Roman"/>
          <w:i/>
          <w:iCs/>
          <w:szCs w:val="28"/>
          <w:lang w:val="en-GB"/>
        </w:rPr>
      </w:pPr>
      <w:r>
        <w:rPr>
          <w:rFonts w:eastAsia="Times New Roman"/>
          <w:i/>
          <w:iCs/>
          <w:szCs w:val="28"/>
          <w:lang w:val="en-GB"/>
        </w:rPr>
        <w:t>5.2</w:t>
      </w:r>
      <w:r>
        <w:rPr>
          <w:rFonts w:eastAsia="Times New Roman"/>
          <w:i/>
          <w:iCs/>
          <w:szCs w:val="28"/>
          <w:lang w:val="en-GB"/>
        </w:rPr>
        <w:tab/>
      </w:r>
      <w:r w:rsidR="00283EB7" w:rsidRPr="00283EB7">
        <w:rPr>
          <w:rFonts w:eastAsia="Times New Roman"/>
          <w:i/>
          <w:iCs/>
          <w:szCs w:val="28"/>
          <w:lang w:val="en-GB"/>
        </w:rPr>
        <w:t xml:space="preserve">include the value of any other </w:t>
      </w:r>
      <w:r w:rsidR="00283EB7">
        <w:rPr>
          <w:rFonts w:eastAsia="Times New Roman"/>
          <w:i/>
          <w:iCs/>
          <w:szCs w:val="28"/>
          <w:lang w:val="en-GB"/>
        </w:rPr>
        <w:t>assets which belong to the First</w:t>
      </w:r>
      <w:r w:rsidR="00283EB7" w:rsidRPr="00283EB7">
        <w:rPr>
          <w:rFonts w:eastAsia="Times New Roman"/>
          <w:i/>
          <w:iCs/>
          <w:szCs w:val="28"/>
          <w:lang w:val="en-GB"/>
        </w:rPr>
        <w:t xml:space="preserve"> Respondent, including but not limited to stock, claims and/or </w:t>
      </w:r>
      <w:proofErr w:type="gramStart"/>
      <w:r w:rsidR="00283EB7" w:rsidRPr="00283EB7">
        <w:rPr>
          <w:rFonts w:eastAsia="Times New Roman"/>
          <w:i/>
          <w:iCs/>
          <w:szCs w:val="28"/>
          <w:lang w:val="en-GB"/>
        </w:rPr>
        <w:t>vehicles;</w:t>
      </w:r>
      <w:proofErr w:type="gramEnd"/>
    </w:p>
    <w:p w14:paraId="56467554" w14:textId="77777777" w:rsidR="00977FB0" w:rsidRDefault="00283EB7" w:rsidP="00FB5DDA">
      <w:pPr>
        <w:spacing w:before="360" w:after="360" w:line="360" w:lineRule="auto"/>
        <w:ind w:left="2410" w:hanging="709"/>
        <w:jc w:val="both"/>
        <w:rPr>
          <w:rFonts w:eastAsia="Times New Roman"/>
          <w:i/>
          <w:iCs/>
          <w:szCs w:val="28"/>
          <w:lang w:val="en-GB"/>
        </w:rPr>
      </w:pPr>
      <w:r>
        <w:rPr>
          <w:rFonts w:eastAsia="Times New Roman"/>
          <w:i/>
          <w:iCs/>
          <w:szCs w:val="28"/>
          <w:lang w:val="en-GB"/>
        </w:rPr>
        <w:t>5.3</w:t>
      </w:r>
      <w:r>
        <w:rPr>
          <w:rFonts w:eastAsia="Times New Roman"/>
          <w:i/>
          <w:iCs/>
          <w:szCs w:val="28"/>
          <w:lang w:val="en-GB"/>
        </w:rPr>
        <w:tab/>
      </w:r>
      <w:r w:rsidR="00B047E6" w:rsidRPr="00B047E6">
        <w:rPr>
          <w:rFonts w:eastAsia="Times New Roman"/>
          <w:i/>
          <w:iCs/>
          <w:szCs w:val="28"/>
          <w:lang w:val="en-GB"/>
        </w:rPr>
        <w:t>be on the basis as if all payments in respect of legal costs, legal fees or related expenses, except taxed costs in respect of this application and the prior application under case no. 64482/2020, made by the First Respondent for legal costs (including all fee deposits) and disbursements up to the date of valuation in respect of this application and the prior application under case no. 64482/2020, only in respect of the aforementioned two matters, had not been paid or borne by the First Respondent, and that the First Respondent's cash and expense possession shall be notionally be adjusted accordingly; and</w:t>
      </w:r>
    </w:p>
    <w:p w14:paraId="43A0B856" w14:textId="77777777" w:rsidR="002B3466" w:rsidRDefault="00977FB0" w:rsidP="00FB5DDA">
      <w:pPr>
        <w:spacing w:before="360" w:after="360" w:line="360" w:lineRule="auto"/>
        <w:ind w:left="2410" w:hanging="709"/>
        <w:jc w:val="both"/>
        <w:rPr>
          <w:rFonts w:eastAsia="Times New Roman"/>
          <w:i/>
          <w:iCs/>
          <w:szCs w:val="28"/>
          <w:lang w:val="en-GB"/>
        </w:rPr>
      </w:pPr>
      <w:r>
        <w:rPr>
          <w:rFonts w:eastAsia="Times New Roman"/>
          <w:i/>
          <w:iCs/>
          <w:szCs w:val="28"/>
          <w:lang w:val="en-GB"/>
        </w:rPr>
        <w:t>5.4</w:t>
      </w:r>
      <w:r>
        <w:rPr>
          <w:rFonts w:eastAsia="Times New Roman"/>
          <w:i/>
          <w:iCs/>
          <w:szCs w:val="28"/>
          <w:lang w:val="en-GB"/>
        </w:rPr>
        <w:tab/>
      </w:r>
      <w:proofErr w:type="gramStart"/>
      <w:r w:rsidR="002B3466" w:rsidRPr="002B3466">
        <w:rPr>
          <w:rFonts w:eastAsia="Times New Roman"/>
          <w:i/>
          <w:iCs/>
          <w:szCs w:val="28"/>
          <w:lang w:val="en-GB"/>
        </w:rPr>
        <w:t>take into account</w:t>
      </w:r>
      <w:proofErr w:type="gramEnd"/>
      <w:r w:rsidR="002B3466" w:rsidRPr="002B3466">
        <w:rPr>
          <w:rFonts w:eastAsia="Times New Roman"/>
          <w:i/>
          <w:iCs/>
          <w:szCs w:val="28"/>
          <w:lang w:val="en-GB"/>
        </w:rPr>
        <w:t xml:space="preserve"> any adjustment</w:t>
      </w:r>
      <w:r w:rsidR="002B3466">
        <w:rPr>
          <w:rFonts w:eastAsia="Times New Roman"/>
          <w:i/>
          <w:iCs/>
          <w:szCs w:val="28"/>
          <w:lang w:val="en-GB"/>
        </w:rPr>
        <w:t>/</w:t>
      </w:r>
      <w:r w:rsidR="002B3466" w:rsidRPr="002B3466">
        <w:rPr>
          <w:rFonts w:eastAsia="Times New Roman"/>
          <w:i/>
          <w:iCs/>
          <w:szCs w:val="28"/>
          <w:lang w:val="en-GB"/>
        </w:rPr>
        <w:t>s considered necessary to account for any inventory, work in progress, quotations submitted for future projects and other categories of inventory on hand at the First Respondent, as at date hereof.</w:t>
      </w:r>
    </w:p>
    <w:p w14:paraId="5C713872" w14:textId="77777777" w:rsidR="007265B9" w:rsidRDefault="002B3466" w:rsidP="00FB5DDA">
      <w:pPr>
        <w:spacing w:before="360" w:after="360" w:line="360" w:lineRule="auto"/>
        <w:ind w:left="1440" w:hanging="588"/>
        <w:jc w:val="both"/>
        <w:rPr>
          <w:rFonts w:eastAsia="Times New Roman"/>
          <w:i/>
          <w:iCs/>
          <w:szCs w:val="28"/>
          <w:lang w:val="en-GB"/>
        </w:rPr>
      </w:pPr>
      <w:r>
        <w:rPr>
          <w:rFonts w:eastAsia="Times New Roman"/>
          <w:i/>
          <w:iCs/>
          <w:szCs w:val="28"/>
          <w:lang w:val="en-GB"/>
        </w:rPr>
        <w:t>6.</w:t>
      </w:r>
      <w:r>
        <w:rPr>
          <w:rFonts w:eastAsia="Times New Roman"/>
          <w:i/>
          <w:iCs/>
          <w:szCs w:val="28"/>
          <w:lang w:val="en-GB"/>
        </w:rPr>
        <w:tab/>
      </w:r>
      <w:r w:rsidR="007265B9" w:rsidRPr="007265B9">
        <w:rPr>
          <w:rFonts w:eastAsia="Times New Roman"/>
          <w:i/>
          <w:iCs/>
          <w:szCs w:val="28"/>
          <w:lang w:val="en-GB"/>
        </w:rPr>
        <w:t xml:space="preserve">Mr Johan Ferreira's costs are to be paid in the first instance to him by the First Respondent prior to the final determination and allocation of the </w:t>
      </w:r>
      <w:r w:rsidR="007265B9" w:rsidRPr="007265B9">
        <w:rPr>
          <w:rFonts w:eastAsia="Times New Roman"/>
          <w:i/>
          <w:iCs/>
          <w:szCs w:val="28"/>
          <w:lang w:val="en-GB"/>
        </w:rPr>
        <w:lastRenderedPageBreak/>
        <w:t xml:space="preserve">value of the members interest, as provided for and envisaged in paragraph 4 </w:t>
      </w:r>
      <w:proofErr w:type="gramStart"/>
      <w:r w:rsidR="007265B9" w:rsidRPr="007265B9">
        <w:rPr>
          <w:rFonts w:eastAsia="Times New Roman"/>
          <w:i/>
          <w:iCs/>
          <w:szCs w:val="28"/>
          <w:lang w:val="en-GB"/>
        </w:rPr>
        <w:t>supra;</w:t>
      </w:r>
      <w:proofErr w:type="gramEnd"/>
    </w:p>
    <w:p w14:paraId="657C7A5A" w14:textId="77777777" w:rsidR="00E96F8F" w:rsidRDefault="007265B9" w:rsidP="00FB5DDA">
      <w:pPr>
        <w:spacing w:before="360" w:after="360" w:line="360" w:lineRule="auto"/>
        <w:ind w:left="1440" w:hanging="588"/>
        <w:jc w:val="both"/>
        <w:rPr>
          <w:rFonts w:eastAsia="Times New Roman"/>
          <w:i/>
          <w:iCs/>
          <w:szCs w:val="28"/>
          <w:lang w:val="en-GB"/>
        </w:rPr>
      </w:pPr>
      <w:r>
        <w:rPr>
          <w:rFonts w:eastAsia="Times New Roman"/>
          <w:i/>
          <w:iCs/>
          <w:szCs w:val="28"/>
          <w:lang w:val="en-GB"/>
        </w:rPr>
        <w:t>7.</w:t>
      </w:r>
      <w:r>
        <w:rPr>
          <w:rFonts w:eastAsia="Times New Roman"/>
          <w:i/>
          <w:iCs/>
          <w:szCs w:val="28"/>
          <w:lang w:val="en-GB"/>
        </w:rPr>
        <w:tab/>
      </w:r>
      <w:r w:rsidRPr="007265B9">
        <w:rPr>
          <w:rFonts w:eastAsia="Times New Roman"/>
          <w:i/>
          <w:iCs/>
          <w:szCs w:val="28"/>
          <w:lang w:val="en-GB"/>
        </w:rPr>
        <w:t xml:space="preserve">Mr Johan Ferreira is required to meet with and receive representations from each of the parties and their financial </w:t>
      </w:r>
      <w:r w:rsidR="00E96F8F" w:rsidRPr="007265B9">
        <w:rPr>
          <w:rFonts w:eastAsia="Times New Roman"/>
          <w:i/>
          <w:iCs/>
          <w:szCs w:val="28"/>
          <w:lang w:val="en-GB"/>
        </w:rPr>
        <w:t>representatives</w:t>
      </w:r>
      <w:r w:rsidRPr="007265B9">
        <w:rPr>
          <w:rFonts w:eastAsia="Times New Roman"/>
          <w:i/>
          <w:iCs/>
          <w:szCs w:val="28"/>
          <w:lang w:val="en-GB"/>
        </w:rPr>
        <w:t xml:space="preserve"> so as to enable him (Mr Johan Ferreira) in carrying out his functi</w:t>
      </w:r>
      <w:r w:rsidR="00E96F8F">
        <w:rPr>
          <w:rFonts w:eastAsia="Times New Roman"/>
          <w:i/>
          <w:iCs/>
          <w:szCs w:val="28"/>
          <w:lang w:val="en-GB"/>
        </w:rPr>
        <w:t xml:space="preserve">on and duties or obligations as provided for </w:t>
      </w:r>
      <w:proofErr w:type="gramStart"/>
      <w:r w:rsidR="00E96F8F">
        <w:rPr>
          <w:rFonts w:eastAsia="Times New Roman"/>
          <w:i/>
          <w:iCs/>
          <w:szCs w:val="28"/>
          <w:lang w:val="en-GB"/>
        </w:rPr>
        <w:t>herein;</w:t>
      </w:r>
      <w:proofErr w:type="gramEnd"/>
    </w:p>
    <w:p w14:paraId="2EA3DE61" w14:textId="54B9ACC5" w:rsidR="00470090" w:rsidRDefault="00E96F8F" w:rsidP="00FB5DDA">
      <w:pPr>
        <w:spacing w:before="360" w:after="360" w:line="360" w:lineRule="auto"/>
        <w:ind w:left="1440" w:hanging="588"/>
        <w:jc w:val="both"/>
        <w:rPr>
          <w:rFonts w:eastAsia="Times New Roman"/>
          <w:i/>
          <w:iCs/>
          <w:szCs w:val="28"/>
          <w:lang w:val="en-GB"/>
        </w:rPr>
      </w:pPr>
      <w:r>
        <w:rPr>
          <w:rFonts w:eastAsia="Times New Roman"/>
          <w:i/>
          <w:iCs/>
          <w:szCs w:val="28"/>
          <w:lang w:val="en-GB"/>
        </w:rPr>
        <w:t>8.</w:t>
      </w:r>
      <w:r>
        <w:rPr>
          <w:rFonts w:eastAsia="Times New Roman"/>
          <w:i/>
          <w:iCs/>
          <w:szCs w:val="28"/>
          <w:lang w:val="en-GB"/>
        </w:rPr>
        <w:tab/>
      </w:r>
      <w:r w:rsidR="00470090" w:rsidRPr="00470090">
        <w:rPr>
          <w:rFonts w:eastAsia="Times New Roman"/>
          <w:i/>
          <w:iCs/>
          <w:szCs w:val="28"/>
          <w:lang w:val="en-GB"/>
        </w:rPr>
        <w:t>Mr Johan Ferreira shall have all the power</w:t>
      </w:r>
      <w:r w:rsidR="004B50E8">
        <w:rPr>
          <w:rFonts w:eastAsia="Times New Roman"/>
          <w:i/>
          <w:iCs/>
          <w:szCs w:val="28"/>
          <w:lang w:val="en-GB"/>
        </w:rPr>
        <w:t>s mutatis mutandis contemplated</w:t>
      </w:r>
      <w:r w:rsidR="00470090" w:rsidRPr="00470090">
        <w:rPr>
          <w:rFonts w:eastAsia="Times New Roman"/>
          <w:i/>
          <w:iCs/>
          <w:szCs w:val="28"/>
          <w:lang w:val="en-GB"/>
        </w:rPr>
        <w:t xml:space="preserve"> and provided for in Section 38 of the Act, and shall include the power to assess what he considers to be a fair or reasonable value for inventory in carrying out the valuation of the deceased's 50% members interest in the First </w:t>
      </w:r>
      <w:proofErr w:type="gramStart"/>
      <w:r w:rsidR="00470090" w:rsidRPr="00470090">
        <w:rPr>
          <w:rFonts w:eastAsia="Times New Roman"/>
          <w:i/>
          <w:iCs/>
          <w:szCs w:val="28"/>
          <w:lang w:val="en-GB"/>
        </w:rPr>
        <w:t>Respondent;</w:t>
      </w:r>
      <w:proofErr w:type="gramEnd"/>
    </w:p>
    <w:p w14:paraId="2FF7A69F" w14:textId="4ABFE546" w:rsidR="004B50E8" w:rsidRDefault="00470090" w:rsidP="00FB5DDA">
      <w:pPr>
        <w:spacing w:before="360" w:after="360" w:line="360" w:lineRule="auto"/>
        <w:ind w:left="1440" w:hanging="588"/>
        <w:jc w:val="both"/>
        <w:rPr>
          <w:rFonts w:eastAsia="Times New Roman"/>
          <w:i/>
          <w:iCs/>
          <w:szCs w:val="28"/>
          <w:lang w:val="en-GB"/>
        </w:rPr>
      </w:pPr>
      <w:r>
        <w:rPr>
          <w:rFonts w:eastAsia="Times New Roman"/>
          <w:i/>
          <w:iCs/>
          <w:szCs w:val="28"/>
          <w:lang w:val="en-GB"/>
        </w:rPr>
        <w:t>9.</w:t>
      </w:r>
      <w:r>
        <w:rPr>
          <w:rFonts w:eastAsia="Times New Roman"/>
          <w:i/>
          <w:iCs/>
          <w:szCs w:val="28"/>
          <w:lang w:val="en-GB"/>
        </w:rPr>
        <w:tab/>
      </w:r>
      <w:r w:rsidRPr="00470090">
        <w:rPr>
          <w:rFonts w:eastAsia="Times New Roman"/>
          <w:i/>
          <w:iCs/>
          <w:szCs w:val="28"/>
          <w:lang w:val="en-GB"/>
        </w:rPr>
        <w:t xml:space="preserve">In evaluating the deceased's 50% members interest in the First Respondent, Mr Johan Ferreira shall have the power to make such adjustments as he may consider fair or reasonable to arrive at what, in his professional expert opinion, would constitute a 'fair price" of the deceased's 50% members interest in the First Respondent, to be acquired by the Second Respondent as set out in paragraph 1 </w:t>
      </w:r>
      <w:proofErr w:type="gramStart"/>
      <w:r w:rsidRPr="00470090">
        <w:rPr>
          <w:rFonts w:eastAsia="Times New Roman"/>
          <w:i/>
          <w:iCs/>
          <w:szCs w:val="28"/>
          <w:lang w:val="en-GB"/>
        </w:rPr>
        <w:t>supra</w:t>
      </w:r>
      <w:r w:rsidR="004B50E8">
        <w:rPr>
          <w:rFonts w:eastAsia="Times New Roman"/>
          <w:i/>
          <w:iCs/>
          <w:szCs w:val="28"/>
          <w:lang w:val="en-GB"/>
        </w:rPr>
        <w:t>;</w:t>
      </w:r>
      <w:proofErr w:type="gramEnd"/>
    </w:p>
    <w:p w14:paraId="152D8D78" w14:textId="77777777" w:rsidR="00F5251C" w:rsidRDefault="004B50E8" w:rsidP="00FB5DDA">
      <w:pPr>
        <w:spacing w:before="360" w:after="360" w:line="360" w:lineRule="auto"/>
        <w:ind w:left="1440" w:hanging="588"/>
        <w:jc w:val="both"/>
        <w:rPr>
          <w:rFonts w:eastAsia="Times New Roman"/>
          <w:i/>
          <w:iCs/>
          <w:szCs w:val="28"/>
          <w:lang w:val="en-GB"/>
        </w:rPr>
      </w:pPr>
      <w:r>
        <w:rPr>
          <w:rFonts w:eastAsia="Times New Roman"/>
          <w:i/>
          <w:iCs/>
          <w:szCs w:val="28"/>
          <w:lang w:val="en-GB"/>
        </w:rPr>
        <w:t>10.</w:t>
      </w:r>
      <w:r>
        <w:rPr>
          <w:rFonts w:eastAsia="Times New Roman"/>
          <w:i/>
          <w:iCs/>
          <w:szCs w:val="28"/>
          <w:lang w:val="en-GB"/>
        </w:rPr>
        <w:tab/>
      </w:r>
      <w:r w:rsidR="00F5251C" w:rsidRPr="00F5251C">
        <w:rPr>
          <w:rFonts w:eastAsia="Times New Roman"/>
          <w:i/>
          <w:iCs/>
          <w:szCs w:val="28"/>
          <w:lang w:val="en-GB"/>
        </w:rPr>
        <w:t>Mr Johan Ferreira's report will serve before this Court mutatis mutandis as would a referee's report, as provided for and in accordance with the provisions of Section 38 of the Act, if necessary; and</w:t>
      </w:r>
    </w:p>
    <w:p w14:paraId="334D43F4" w14:textId="581E1C82" w:rsidR="00BF3440" w:rsidRPr="00BF3440" w:rsidRDefault="00F5251C" w:rsidP="00FB5DDA">
      <w:pPr>
        <w:spacing w:before="360" w:after="360" w:line="360" w:lineRule="auto"/>
        <w:ind w:left="1440" w:hanging="588"/>
        <w:jc w:val="both"/>
        <w:rPr>
          <w:rFonts w:eastAsia="Times New Roman"/>
          <w:szCs w:val="28"/>
          <w:lang w:val="en-GB"/>
        </w:rPr>
      </w:pPr>
      <w:r>
        <w:rPr>
          <w:rFonts w:eastAsia="Times New Roman"/>
          <w:i/>
          <w:iCs/>
          <w:szCs w:val="28"/>
          <w:lang w:val="en-GB"/>
        </w:rPr>
        <w:t>11.</w:t>
      </w:r>
      <w:r>
        <w:rPr>
          <w:rFonts w:eastAsia="Times New Roman"/>
          <w:i/>
          <w:iCs/>
          <w:szCs w:val="28"/>
          <w:lang w:val="en-GB"/>
        </w:rPr>
        <w:tab/>
      </w:r>
      <w:r w:rsidRPr="00F5251C">
        <w:rPr>
          <w:rFonts w:eastAsia="Times New Roman"/>
          <w:i/>
          <w:iCs/>
          <w:szCs w:val="28"/>
          <w:lang w:val="en-GB"/>
        </w:rPr>
        <w:t xml:space="preserve">The First Respondent is directed and responsible to pay the Applicant's and the Second Respondent's taxed costs of this application, including the costs consequent </w:t>
      </w:r>
      <w:r w:rsidR="00FB5DDA">
        <w:rPr>
          <w:rFonts w:eastAsia="Times New Roman"/>
          <w:szCs w:val="28"/>
          <w:lang w:val="en-GB"/>
        </w:rPr>
        <w:t xml:space="preserve">(sic) </w:t>
      </w:r>
      <w:r w:rsidRPr="00F5251C">
        <w:rPr>
          <w:rFonts w:eastAsia="Times New Roman"/>
          <w:i/>
          <w:iCs/>
          <w:szCs w:val="28"/>
          <w:lang w:val="en-GB"/>
        </w:rPr>
        <w:t>the employment of two counsel (senior counsel and junior counsel), in respect of both the aforementioned parties.</w:t>
      </w:r>
      <w:r w:rsidR="00BF3440" w:rsidRPr="00BF3440">
        <w:rPr>
          <w:rFonts w:eastAsia="Times New Roman"/>
          <w:szCs w:val="28"/>
          <w:lang w:val="en-GB"/>
        </w:rPr>
        <w:t>”</w:t>
      </w:r>
    </w:p>
    <w:p w14:paraId="3634A5D5" w14:textId="242DFAC6"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10.</w:t>
      </w:r>
      <w:r w:rsidRPr="00BF3440">
        <w:rPr>
          <w:rFonts w:eastAsia="Times New Roman"/>
          <w:szCs w:val="28"/>
          <w:lang w:val="en-GB"/>
        </w:rPr>
        <w:tab/>
      </w:r>
      <w:r w:rsidR="00266830">
        <w:rPr>
          <w:rFonts w:eastAsia="Times New Roman"/>
          <w:szCs w:val="28"/>
          <w:lang w:val="en-GB"/>
        </w:rPr>
        <w:t xml:space="preserve">In relevant part, </w:t>
      </w:r>
      <w:r w:rsidR="00266830" w:rsidRPr="00266830">
        <w:rPr>
          <w:rFonts w:eastAsia="Times New Roman"/>
          <w:b/>
          <w:bCs/>
          <w:i/>
          <w:iCs/>
          <w:szCs w:val="28"/>
          <w:lang w:val="en-GB"/>
        </w:rPr>
        <w:t>s</w:t>
      </w:r>
      <w:r w:rsidR="00BF3440" w:rsidRPr="00266830">
        <w:rPr>
          <w:rFonts w:eastAsia="Times New Roman"/>
          <w:b/>
          <w:bCs/>
          <w:i/>
          <w:iCs/>
          <w:szCs w:val="28"/>
          <w:lang w:val="en-GB"/>
        </w:rPr>
        <w:t>ection 38</w:t>
      </w:r>
      <w:r w:rsidR="00BF3440" w:rsidRPr="00BF3440">
        <w:rPr>
          <w:rFonts w:eastAsia="Times New Roman"/>
          <w:szCs w:val="28"/>
          <w:lang w:val="en-GB"/>
        </w:rPr>
        <w:t xml:space="preserve"> </w:t>
      </w:r>
      <w:r w:rsidR="00FB5DDA">
        <w:rPr>
          <w:rFonts w:eastAsia="Times New Roman"/>
          <w:szCs w:val="28"/>
          <w:lang w:val="en-GB"/>
        </w:rPr>
        <w:t xml:space="preserve">of </w:t>
      </w:r>
      <w:r w:rsidR="00FB5DDA" w:rsidRPr="00266830">
        <w:rPr>
          <w:rFonts w:eastAsia="Times New Roman"/>
          <w:b/>
          <w:bCs/>
          <w:i/>
          <w:iCs/>
          <w:szCs w:val="28"/>
          <w:lang w:val="en-GB"/>
        </w:rPr>
        <w:t>the Superior Court Act</w:t>
      </w:r>
      <w:r w:rsidR="00FB5DDA">
        <w:rPr>
          <w:rFonts w:eastAsia="Times New Roman"/>
          <w:szCs w:val="28"/>
          <w:lang w:val="en-GB"/>
        </w:rPr>
        <w:t xml:space="preserve"> </w:t>
      </w:r>
      <w:r w:rsidR="00BF3440" w:rsidRPr="00BF3440">
        <w:rPr>
          <w:rFonts w:eastAsia="Times New Roman"/>
          <w:szCs w:val="28"/>
          <w:lang w:val="en-GB"/>
        </w:rPr>
        <w:t>provides as follows:</w:t>
      </w:r>
    </w:p>
    <w:p w14:paraId="2BF55BF0" w14:textId="61EA1A42" w:rsidR="00266830" w:rsidRPr="003D210A" w:rsidRDefault="009660EF" w:rsidP="003D210A">
      <w:pPr>
        <w:spacing w:before="360" w:after="360" w:line="360" w:lineRule="auto"/>
        <w:ind w:left="1843" w:hanging="709"/>
        <w:contextualSpacing/>
        <w:jc w:val="both"/>
        <w:rPr>
          <w:rFonts w:eastAsia="Times New Roman"/>
          <w:i/>
          <w:iCs/>
          <w:szCs w:val="28"/>
          <w:lang w:val="en-GB"/>
        </w:rPr>
      </w:pPr>
      <w:r>
        <w:rPr>
          <w:rFonts w:eastAsia="Times New Roman"/>
          <w:szCs w:val="28"/>
          <w:lang w:val="en-GB"/>
        </w:rPr>
        <w:lastRenderedPageBreak/>
        <w:t>“</w:t>
      </w:r>
      <w:r w:rsidR="00266830" w:rsidRPr="003D210A">
        <w:rPr>
          <w:rFonts w:eastAsia="Times New Roman"/>
          <w:i/>
          <w:iCs/>
          <w:szCs w:val="28"/>
          <w:lang w:val="en-GB"/>
        </w:rPr>
        <w:t>(1)</w:t>
      </w:r>
      <w:r w:rsidR="00266830" w:rsidRPr="003D210A">
        <w:rPr>
          <w:rFonts w:eastAsia="Times New Roman"/>
          <w:i/>
          <w:iCs/>
          <w:szCs w:val="28"/>
          <w:lang w:val="en-GB"/>
        </w:rPr>
        <w:tab/>
        <w:t xml:space="preserve">The Constitutional Court and, in any civil proceedings, any Division may, with the </w:t>
      </w:r>
      <w:r w:rsidR="00266830" w:rsidRPr="003D210A">
        <w:rPr>
          <w:rFonts w:eastAsia="Times New Roman"/>
          <w:b/>
          <w:bCs/>
          <w:i/>
          <w:iCs/>
          <w:szCs w:val="28"/>
          <w:u w:val="single"/>
          <w:lang w:val="en-GB"/>
        </w:rPr>
        <w:t>consent of the parties</w:t>
      </w:r>
      <w:r w:rsidR="00266830" w:rsidRPr="003D210A">
        <w:rPr>
          <w:rFonts w:eastAsia="Times New Roman"/>
          <w:i/>
          <w:iCs/>
          <w:szCs w:val="28"/>
          <w:lang w:val="en-GB"/>
        </w:rPr>
        <w:t>, refer—</w:t>
      </w:r>
    </w:p>
    <w:p w14:paraId="7ED4DEF9" w14:textId="25107B9A" w:rsidR="00266830" w:rsidRPr="003D210A" w:rsidRDefault="00266830" w:rsidP="003D210A">
      <w:pPr>
        <w:spacing w:before="360" w:after="360" w:line="360" w:lineRule="auto"/>
        <w:ind w:left="2875" w:hanging="1032"/>
        <w:contextualSpacing/>
        <w:jc w:val="both"/>
        <w:rPr>
          <w:rFonts w:eastAsia="Times New Roman"/>
          <w:i/>
          <w:iCs/>
          <w:szCs w:val="28"/>
          <w:lang w:val="en-GB"/>
        </w:rPr>
      </w:pPr>
      <w:r w:rsidRPr="003D210A">
        <w:rPr>
          <w:rFonts w:eastAsia="Times New Roman"/>
          <w:i/>
          <w:iCs/>
          <w:szCs w:val="28"/>
          <w:lang w:val="en-GB"/>
        </w:rPr>
        <w:t>(a)</w:t>
      </w:r>
      <w:r w:rsidRPr="003D210A">
        <w:rPr>
          <w:rFonts w:eastAsia="Times New Roman"/>
          <w:i/>
          <w:iCs/>
          <w:szCs w:val="28"/>
          <w:lang w:val="en-GB"/>
        </w:rPr>
        <w:tab/>
      </w:r>
      <w:r w:rsidRPr="003D210A">
        <w:rPr>
          <w:rFonts w:eastAsia="Times New Roman"/>
          <w:i/>
          <w:iCs/>
          <w:szCs w:val="28"/>
          <w:lang w:val="en-GB"/>
        </w:rPr>
        <w:tab/>
        <w:t xml:space="preserve">any matter which requires extensive examination of documents or a scientific, </w:t>
      </w:r>
      <w:proofErr w:type="gramStart"/>
      <w:r w:rsidRPr="003D210A">
        <w:rPr>
          <w:rFonts w:eastAsia="Times New Roman"/>
          <w:i/>
          <w:iCs/>
          <w:szCs w:val="28"/>
          <w:lang w:val="en-GB"/>
        </w:rPr>
        <w:t>technical</w:t>
      </w:r>
      <w:proofErr w:type="gramEnd"/>
      <w:r w:rsidRPr="003D210A">
        <w:rPr>
          <w:rFonts w:eastAsia="Times New Roman"/>
          <w:i/>
          <w:iCs/>
          <w:szCs w:val="28"/>
          <w:lang w:val="en-GB"/>
        </w:rPr>
        <w:t xml:space="preserve"> or local investigation which in the opinion of the court cannot be conveniently conducted by it; or</w:t>
      </w:r>
    </w:p>
    <w:p w14:paraId="477B0006" w14:textId="074308C4" w:rsidR="00266830" w:rsidRPr="003D210A" w:rsidRDefault="00266830" w:rsidP="003D210A">
      <w:pPr>
        <w:spacing w:before="360" w:after="360" w:line="360" w:lineRule="auto"/>
        <w:ind w:left="1843"/>
        <w:contextualSpacing/>
        <w:jc w:val="both"/>
        <w:rPr>
          <w:rFonts w:eastAsia="Times New Roman"/>
          <w:i/>
          <w:iCs/>
          <w:szCs w:val="28"/>
          <w:lang w:val="en-GB"/>
        </w:rPr>
      </w:pPr>
      <w:r w:rsidRPr="003D210A">
        <w:rPr>
          <w:rFonts w:eastAsia="Times New Roman"/>
          <w:i/>
          <w:iCs/>
          <w:szCs w:val="28"/>
          <w:lang w:val="en-GB"/>
        </w:rPr>
        <w:t>(b)</w:t>
      </w:r>
      <w:r w:rsidRPr="003D210A">
        <w:rPr>
          <w:rFonts w:eastAsia="Times New Roman"/>
          <w:i/>
          <w:iCs/>
          <w:szCs w:val="28"/>
          <w:lang w:val="en-GB"/>
        </w:rPr>
        <w:tab/>
      </w:r>
      <w:r w:rsidRPr="003D210A">
        <w:rPr>
          <w:rFonts w:eastAsia="Times New Roman"/>
          <w:i/>
          <w:iCs/>
          <w:szCs w:val="28"/>
          <w:lang w:val="en-GB"/>
        </w:rPr>
        <w:tab/>
        <w:t>any matter which relates wholly or in part to accounts; or</w:t>
      </w:r>
    </w:p>
    <w:p w14:paraId="54BCD2E6" w14:textId="622BA509" w:rsidR="00266830" w:rsidRPr="003D210A" w:rsidRDefault="00266830" w:rsidP="003D210A">
      <w:pPr>
        <w:spacing w:before="360" w:after="360" w:line="360" w:lineRule="auto"/>
        <w:ind w:left="1843"/>
        <w:contextualSpacing/>
        <w:jc w:val="both"/>
        <w:rPr>
          <w:rFonts w:eastAsia="Times New Roman"/>
          <w:i/>
          <w:iCs/>
          <w:szCs w:val="28"/>
          <w:lang w:val="en-GB"/>
        </w:rPr>
      </w:pPr>
      <w:r w:rsidRPr="003D210A">
        <w:rPr>
          <w:rFonts w:eastAsia="Times New Roman"/>
          <w:i/>
          <w:iCs/>
          <w:szCs w:val="28"/>
          <w:lang w:val="en-GB"/>
        </w:rPr>
        <w:t>(c)</w:t>
      </w:r>
      <w:r w:rsidRPr="003D210A">
        <w:rPr>
          <w:rFonts w:eastAsia="Times New Roman"/>
          <w:i/>
          <w:iCs/>
          <w:szCs w:val="28"/>
          <w:lang w:val="en-GB"/>
        </w:rPr>
        <w:tab/>
      </w:r>
      <w:r w:rsidRPr="003D210A">
        <w:rPr>
          <w:rFonts w:eastAsia="Times New Roman"/>
          <w:i/>
          <w:iCs/>
          <w:szCs w:val="28"/>
          <w:lang w:val="en-GB"/>
        </w:rPr>
        <w:tab/>
        <w:t>any other matter arising in such proceedings,</w:t>
      </w:r>
    </w:p>
    <w:p w14:paraId="6AF3B0E5" w14:textId="77777777" w:rsidR="00266830" w:rsidRPr="003D210A" w:rsidRDefault="00266830" w:rsidP="003D210A">
      <w:pPr>
        <w:spacing w:before="360" w:after="360" w:line="360" w:lineRule="auto"/>
        <w:ind w:left="1843"/>
        <w:contextualSpacing/>
        <w:jc w:val="both"/>
        <w:rPr>
          <w:rFonts w:eastAsia="Times New Roman"/>
          <w:i/>
          <w:iCs/>
          <w:szCs w:val="28"/>
          <w:lang w:val="en-GB"/>
        </w:rPr>
      </w:pPr>
      <w:r w:rsidRPr="003D210A">
        <w:rPr>
          <w:rFonts w:eastAsia="Times New Roman"/>
          <w:i/>
          <w:iCs/>
          <w:szCs w:val="28"/>
          <w:lang w:val="en-GB"/>
        </w:rPr>
        <w:t xml:space="preserve">for enquiry and report to a referee appointed by the parties, and the court may adopt the report of any such referee, either wholly or in part, and either with or without modifications, or may remit such report for further enquiry or report or consideration by such </w:t>
      </w:r>
      <w:proofErr w:type="gramStart"/>
      <w:r w:rsidRPr="003D210A">
        <w:rPr>
          <w:rFonts w:eastAsia="Times New Roman"/>
          <w:i/>
          <w:iCs/>
          <w:szCs w:val="28"/>
          <w:lang w:val="en-GB"/>
        </w:rPr>
        <w:t>referee, or</w:t>
      </w:r>
      <w:proofErr w:type="gramEnd"/>
      <w:r w:rsidRPr="003D210A">
        <w:rPr>
          <w:rFonts w:eastAsia="Times New Roman"/>
          <w:i/>
          <w:iCs/>
          <w:szCs w:val="28"/>
          <w:lang w:val="en-GB"/>
        </w:rPr>
        <w:t xml:space="preserve"> make such other order in regard thereto as may be necessary or desirable.</w:t>
      </w:r>
    </w:p>
    <w:p w14:paraId="21D63E40" w14:textId="35341FFD" w:rsidR="00266830" w:rsidRPr="003D210A" w:rsidRDefault="00266830" w:rsidP="003D210A">
      <w:pPr>
        <w:spacing w:before="360" w:after="360" w:line="360" w:lineRule="auto"/>
        <w:ind w:left="1843" w:hanging="709"/>
        <w:contextualSpacing/>
        <w:jc w:val="both"/>
        <w:rPr>
          <w:rFonts w:eastAsia="Times New Roman"/>
          <w:i/>
          <w:iCs/>
          <w:szCs w:val="28"/>
          <w:lang w:val="en-GB"/>
        </w:rPr>
      </w:pPr>
      <w:r w:rsidRPr="003D210A">
        <w:rPr>
          <w:rFonts w:eastAsia="Times New Roman"/>
          <w:i/>
          <w:iCs/>
          <w:szCs w:val="28"/>
          <w:lang w:val="en-GB"/>
        </w:rPr>
        <w:t xml:space="preserve">(2) </w:t>
      </w:r>
      <w:r w:rsidR="003D210A" w:rsidRPr="003D210A">
        <w:rPr>
          <w:rFonts w:eastAsia="Times New Roman"/>
          <w:i/>
          <w:iCs/>
          <w:szCs w:val="28"/>
          <w:lang w:val="en-GB"/>
        </w:rPr>
        <w:tab/>
      </w:r>
      <w:r w:rsidRPr="003D210A">
        <w:rPr>
          <w:rFonts w:eastAsia="Times New Roman"/>
          <w:i/>
          <w:iCs/>
          <w:szCs w:val="28"/>
          <w:lang w:val="en-GB"/>
        </w:rPr>
        <w:t>Any such report or any part thereof which is adopted by the court, whether with or without modifications, shall have effect as if it were a finding by the court in the proceedings in question.</w:t>
      </w:r>
    </w:p>
    <w:p w14:paraId="331ED6DF" w14:textId="2BBBECFA" w:rsidR="00266830" w:rsidRPr="003D210A" w:rsidRDefault="00266830" w:rsidP="003D210A">
      <w:pPr>
        <w:spacing w:before="360" w:after="360" w:line="360" w:lineRule="auto"/>
        <w:ind w:left="1843" w:hanging="709"/>
        <w:contextualSpacing/>
        <w:jc w:val="both"/>
        <w:rPr>
          <w:rFonts w:eastAsia="Times New Roman"/>
          <w:i/>
          <w:iCs/>
          <w:szCs w:val="28"/>
          <w:lang w:val="en-GB"/>
        </w:rPr>
      </w:pPr>
      <w:r w:rsidRPr="003D210A">
        <w:rPr>
          <w:rFonts w:eastAsia="Times New Roman"/>
          <w:i/>
          <w:iCs/>
          <w:szCs w:val="28"/>
          <w:lang w:val="en-GB"/>
        </w:rPr>
        <w:t xml:space="preserve">(3) </w:t>
      </w:r>
      <w:r w:rsidR="003D210A" w:rsidRPr="003D210A">
        <w:rPr>
          <w:rFonts w:eastAsia="Times New Roman"/>
          <w:i/>
          <w:iCs/>
          <w:szCs w:val="28"/>
          <w:lang w:val="en-GB"/>
        </w:rPr>
        <w:tab/>
      </w:r>
      <w:r w:rsidRPr="003D210A">
        <w:rPr>
          <w:rFonts w:eastAsia="Times New Roman"/>
          <w:i/>
          <w:iCs/>
          <w:szCs w:val="28"/>
          <w:lang w:val="en-GB"/>
        </w:rPr>
        <w:t>Any such referee shall for the purpose of such enquiry have such powers and must conduct the enquiry in such manner as may be prescribed by a special order of the court or by the rules of the court.</w:t>
      </w:r>
    </w:p>
    <w:p w14:paraId="37D39799" w14:textId="77777777" w:rsidR="003D210A" w:rsidRPr="003D210A" w:rsidRDefault="00266830" w:rsidP="003D210A">
      <w:pPr>
        <w:spacing w:before="360" w:after="360" w:line="360" w:lineRule="auto"/>
        <w:ind w:left="1843" w:hanging="709"/>
        <w:jc w:val="both"/>
        <w:rPr>
          <w:rFonts w:eastAsia="Times New Roman"/>
          <w:i/>
          <w:iCs/>
          <w:szCs w:val="28"/>
          <w:lang w:val="en-GB"/>
        </w:rPr>
      </w:pPr>
      <w:r w:rsidRPr="003D210A">
        <w:rPr>
          <w:rFonts w:eastAsia="Times New Roman"/>
          <w:i/>
          <w:iCs/>
          <w:szCs w:val="28"/>
          <w:lang w:val="en-GB"/>
        </w:rPr>
        <w:t xml:space="preserve">(4) </w:t>
      </w:r>
      <w:r w:rsidR="003D210A" w:rsidRPr="003D210A">
        <w:rPr>
          <w:rFonts w:eastAsia="Times New Roman"/>
          <w:i/>
          <w:iCs/>
          <w:szCs w:val="28"/>
          <w:lang w:val="en-GB"/>
        </w:rPr>
        <w:tab/>
      </w:r>
      <w:r w:rsidRPr="003D210A">
        <w:rPr>
          <w:rFonts w:eastAsia="Times New Roman"/>
          <w:i/>
          <w:iCs/>
          <w:szCs w:val="28"/>
          <w:lang w:val="en-GB"/>
        </w:rPr>
        <w:t>For the purpose of procuring the attendance of any witness (including any witness detained in custody under any law) and the production of any document or thing before a referee, an enquiry under this section shall be deemed to be civil proceedings.</w:t>
      </w:r>
    </w:p>
    <w:p w14:paraId="1CCAAD14" w14:textId="70EB1897" w:rsidR="00BF3440" w:rsidRPr="00BF3440" w:rsidRDefault="003D210A" w:rsidP="003D210A">
      <w:pPr>
        <w:spacing w:before="360" w:after="360" w:line="360" w:lineRule="auto"/>
        <w:ind w:left="1843"/>
        <w:jc w:val="both"/>
        <w:rPr>
          <w:rFonts w:eastAsia="Times New Roman"/>
          <w:szCs w:val="28"/>
          <w:lang w:val="en-GB"/>
        </w:rPr>
      </w:pPr>
      <w:r w:rsidRPr="003D210A">
        <w:rPr>
          <w:rFonts w:eastAsia="Times New Roman"/>
          <w:i/>
          <w:iCs/>
          <w:szCs w:val="28"/>
          <w:lang w:val="en-GB"/>
        </w:rPr>
        <w:t>…</w:t>
      </w:r>
      <w:r w:rsidR="00BF3440" w:rsidRPr="00BF3440">
        <w:rPr>
          <w:rFonts w:eastAsia="Times New Roman"/>
          <w:szCs w:val="28"/>
          <w:lang w:val="en-GB"/>
        </w:rPr>
        <w:t>”</w:t>
      </w:r>
    </w:p>
    <w:p w14:paraId="043FE08F" w14:textId="4EF4E625" w:rsidR="003D210A" w:rsidRDefault="00D5654C" w:rsidP="00D5654C">
      <w:pPr>
        <w:tabs>
          <w:tab w:val="left" w:pos="851"/>
        </w:tabs>
        <w:spacing w:before="360" w:after="360" w:line="480" w:lineRule="auto"/>
        <w:ind w:left="851" w:hanging="851"/>
        <w:jc w:val="both"/>
        <w:rPr>
          <w:rFonts w:eastAsia="Times New Roman"/>
          <w:szCs w:val="28"/>
          <w:lang w:val="en-GB"/>
        </w:rPr>
      </w:pPr>
      <w:r>
        <w:rPr>
          <w:rFonts w:eastAsia="Times New Roman"/>
          <w:szCs w:val="28"/>
          <w:lang w:val="en-GB"/>
        </w:rPr>
        <w:t>11.</w:t>
      </w:r>
      <w:r>
        <w:rPr>
          <w:rFonts w:eastAsia="Times New Roman"/>
          <w:szCs w:val="28"/>
          <w:lang w:val="en-GB"/>
        </w:rPr>
        <w:tab/>
      </w:r>
      <w:r w:rsidR="002C2D14" w:rsidRPr="002C2D14">
        <w:rPr>
          <w:rFonts w:eastAsia="Times New Roman"/>
          <w:szCs w:val="28"/>
          <w:lang w:val="en-GB"/>
        </w:rPr>
        <w:t xml:space="preserve">Under </w:t>
      </w:r>
      <w:r w:rsidR="00E74CDD">
        <w:rPr>
          <w:rFonts w:eastAsia="Times New Roman"/>
          <w:szCs w:val="28"/>
          <w:lang w:val="en-GB"/>
        </w:rPr>
        <w:t>38</w:t>
      </w:r>
      <w:r w:rsidR="002C2D14" w:rsidRPr="002C2D14">
        <w:rPr>
          <w:rFonts w:eastAsia="Times New Roman"/>
          <w:szCs w:val="28"/>
          <w:lang w:val="en-GB"/>
        </w:rPr>
        <w:t xml:space="preserve"> (1) </w:t>
      </w:r>
      <w:r w:rsidR="00E74CDD">
        <w:rPr>
          <w:rFonts w:eastAsia="Times New Roman"/>
          <w:szCs w:val="28"/>
          <w:lang w:val="en-GB"/>
        </w:rPr>
        <w:t xml:space="preserve">of the Act </w:t>
      </w:r>
      <w:r w:rsidR="002C2D14" w:rsidRPr="002C2D14">
        <w:rPr>
          <w:rFonts w:eastAsia="Times New Roman"/>
          <w:szCs w:val="28"/>
          <w:lang w:val="en-GB"/>
        </w:rPr>
        <w:t xml:space="preserve">the court may refer a matter for enquiry and report to a referee with the consent of the parties. </w:t>
      </w:r>
      <w:r w:rsidR="002C2D14">
        <w:rPr>
          <w:rFonts w:eastAsia="Times New Roman"/>
          <w:szCs w:val="28"/>
          <w:lang w:val="en-GB"/>
        </w:rPr>
        <w:t xml:space="preserve"> </w:t>
      </w:r>
      <w:r w:rsidR="002C2D14" w:rsidRPr="002C2D14">
        <w:rPr>
          <w:rFonts w:eastAsia="Times New Roman"/>
          <w:szCs w:val="28"/>
          <w:lang w:val="en-GB"/>
        </w:rPr>
        <w:t>A referee is required only to make factual finding</w:t>
      </w:r>
      <w:r w:rsidR="0095659C">
        <w:rPr>
          <w:rFonts w:eastAsia="Times New Roman"/>
          <w:szCs w:val="28"/>
          <w:lang w:val="en-GB"/>
        </w:rPr>
        <w:t>s</w:t>
      </w:r>
      <w:r w:rsidR="002C2D14" w:rsidRPr="002C2D14">
        <w:rPr>
          <w:rFonts w:eastAsia="Times New Roman"/>
          <w:szCs w:val="28"/>
          <w:lang w:val="en-GB"/>
        </w:rPr>
        <w:t>.</w:t>
      </w:r>
      <w:r w:rsidR="00AA7D00">
        <w:rPr>
          <w:rFonts w:eastAsia="Times New Roman"/>
          <w:szCs w:val="28"/>
          <w:lang w:val="en-GB"/>
        </w:rPr>
        <w:t xml:space="preserve">  In </w:t>
      </w:r>
      <w:r w:rsidR="00800330" w:rsidRPr="00800330">
        <w:rPr>
          <w:rFonts w:eastAsia="Times New Roman"/>
          <w:b/>
          <w:bCs/>
          <w:i/>
          <w:iCs/>
          <w:szCs w:val="28"/>
          <w:lang w:val="en-GB"/>
        </w:rPr>
        <w:t>Wright v Wright and Another - 2013 (3) SA 360 (GSJ)</w:t>
      </w:r>
      <w:r w:rsidR="00800330" w:rsidRPr="00800330">
        <w:rPr>
          <w:rFonts w:eastAsia="Times New Roman"/>
          <w:szCs w:val="28"/>
          <w:lang w:val="en-GB"/>
        </w:rPr>
        <w:t xml:space="preserve"> </w:t>
      </w:r>
      <w:r w:rsidR="00800330">
        <w:rPr>
          <w:rFonts w:eastAsia="Times New Roman"/>
          <w:szCs w:val="28"/>
          <w:lang w:val="en-GB"/>
        </w:rPr>
        <w:t>(</w:t>
      </w:r>
      <w:r w:rsidR="00800330" w:rsidRPr="00800330">
        <w:rPr>
          <w:rFonts w:eastAsia="Times New Roman"/>
          <w:szCs w:val="28"/>
          <w:lang w:val="en-GB"/>
        </w:rPr>
        <w:t>upheld on appeal</w:t>
      </w:r>
      <w:r w:rsidR="00800330">
        <w:rPr>
          <w:rFonts w:eastAsia="Times New Roman"/>
          <w:szCs w:val="28"/>
          <w:lang w:val="en-GB"/>
        </w:rPr>
        <w:t xml:space="preserve">) </w:t>
      </w:r>
      <w:r w:rsidR="0095659C">
        <w:rPr>
          <w:rFonts w:eastAsia="Times New Roman"/>
          <w:szCs w:val="28"/>
          <w:lang w:val="en-GB"/>
        </w:rPr>
        <w:t>the Corut</w:t>
      </w:r>
      <w:r w:rsidR="00AA7D00">
        <w:rPr>
          <w:rFonts w:eastAsia="Times New Roman"/>
          <w:szCs w:val="28"/>
          <w:lang w:val="en-GB"/>
        </w:rPr>
        <w:t xml:space="preserve"> held at </w:t>
      </w:r>
      <w:r w:rsidR="00AA7D00" w:rsidRPr="00800330">
        <w:rPr>
          <w:rFonts w:eastAsia="Times New Roman"/>
          <w:b/>
          <w:bCs/>
          <w:i/>
          <w:iCs/>
          <w:szCs w:val="28"/>
          <w:lang w:val="en-GB"/>
        </w:rPr>
        <w:t>367</w:t>
      </w:r>
      <w:r w:rsidR="00B15E9C" w:rsidRPr="00800330">
        <w:rPr>
          <w:rFonts w:eastAsia="Times New Roman"/>
          <w:b/>
          <w:bCs/>
          <w:i/>
          <w:iCs/>
          <w:szCs w:val="28"/>
          <w:lang w:val="en-GB"/>
        </w:rPr>
        <w:t>I</w:t>
      </w:r>
      <w:r w:rsidR="00B15E9C">
        <w:rPr>
          <w:rFonts w:eastAsia="Times New Roman"/>
          <w:szCs w:val="28"/>
          <w:lang w:val="en-GB"/>
        </w:rPr>
        <w:t xml:space="preserve"> (dealing with the similar provision</w:t>
      </w:r>
      <w:r w:rsidR="00104B2D">
        <w:rPr>
          <w:rFonts w:eastAsia="Times New Roman"/>
          <w:szCs w:val="28"/>
          <w:lang w:val="en-GB"/>
        </w:rPr>
        <w:t>, section 19bis,</w:t>
      </w:r>
      <w:r w:rsidR="00B15E9C">
        <w:rPr>
          <w:rFonts w:eastAsia="Times New Roman"/>
          <w:szCs w:val="28"/>
          <w:lang w:val="en-GB"/>
        </w:rPr>
        <w:t xml:space="preserve"> in the previous Act) that:</w:t>
      </w:r>
    </w:p>
    <w:p w14:paraId="39C792FB" w14:textId="20DBE265" w:rsidR="00B15E9C" w:rsidRDefault="00B15E9C" w:rsidP="00D023A8">
      <w:pPr>
        <w:spacing w:before="360" w:after="360" w:line="360" w:lineRule="auto"/>
        <w:ind w:left="1440"/>
        <w:jc w:val="both"/>
        <w:rPr>
          <w:rFonts w:eastAsia="Times New Roman"/>
          <w:szCs w:val="28"/>
          <w:lang w:val="en-GB"/>
        </w:rPr>
      </w:pPr>
      <w:r>
        <w:rPr>
          <w:rFonts w:eastAsia="Times New Roman"/>
          <w:szCs w:val="28"/>
          <w:lang w:val="en-GB"/>
        </w:rPr>
        <w:lastRenderedPageBreak/>
        <w:t>“</w:t>
      </w:r>
      <w:r w:rsidR="00104B2D" w:rsidRPr="00D023A8">
        <w:rPr>
          <w:rFonts w:eastAsia="Times New Roman"/>
          <w:i/>
          <w:iCs/>
          <w:szCs w:val="28"/>
          <w:lang w:val="en-GB"/>
        </w:rPr>
        <w:t>The court is afforded a wide discretion in terms of s19bis of the Act. It may adopt any one of the courses provided for in the section: it may adopt the report of the referee either wholly or in part, and either with or without modifications, or it may remit the report for further inquiry or report or consideration by the referee, or make such other order, in regard to the findings of the referee, as may be necessary or desirable. The power of the court in the latter instance would, in my view, include the power to set aside the report if it is patently unreasonable, irregular</w:t>
      </w:r>
      <w:r w:rsidR="00D023A8" w:rsidRPr="00D023A8">
        <w:rPr>
          <w:rFonts w:eastAsia="Times New Roman"/>
          <w:i/>
          <w:iCs/>
          <w:szCs w:val="28"/>
          <w:lang w:val="en-GB"/>
        </w:rPr>
        <w:t xml:space="preserve"> or incorrect, or to refer the report or aspects thereof to oral evidence or trial, if a real dispute of fact, as envisaged in Room Hire Co (Pty)Ltd v Jeppe Street Mansions (Pty) Ltd 1949 (3) SA 1155 (T) at 1163, can be shown to exist. The court may, therefore, adopt any one of the said courses it deems 'necessary or desirable'. The court may, however, only refer the question of whether to adopt the report or not to oral evidence or trial, if a real dispute of fact is shown to exist in relation to findings of the referee.</w:t>
      </w:r>
      <w:r>
        <w:rPr>
          <w:rFonts w:eastAsia="Times New Roman"/>
          <w:szCs w:val="28"/>
          <w:lang w:val="en-GB"/>
        </w:rPr>
        <w:t>”</w:t>
      </w:r>
    </w:p>
    <w:p w14:paraId="46EA88FE" w14:textId="6C06A285" w:rsidR="00BF51E8" w:rsidRDefault="00800330" w:rsidP="00414595">
      <w:pPr>
        <w:spacing w:before="360" w:after="360" w:line="480" w:lineRule="auto"/>
        <w:ind w:left="851"/>
        <w:jc w:val="both"/>
        <w:rPr>
          <w:rFonts w:eastAsia="Times New Roman"/>
          <w:szCs w:val="28"/>
          <w:lang w:val="en-GB"/>
        </w:rPr>
      </w:pPr>
      <w:r>
        <w:rPr>
          <w:rFonts w:eastAsia="Times New Roman"/>
          <w:szCs w:val="28"/>
          <w:lang w:val="en-GB"/>
        </w:rPr>
        <w:t>T</w:t>
      </w:r>
      <w:r w:rsidR="00414595">
        <w:rPr>
          <w:rFonts w:eastAsia="Times New Roman"/>
          <w:szCs w:val="28"/>
          <w:lang w:val="en-GB"/>
        </w:rPr>
        <w:t xml:space="preserve">he Court further dealt with the purpose of referring a matter to a referee at </w:t>
      </w:r>
      <w:r w:rsidR="00010319" w:rsidRPr="0095659C">
        <w:rPr>
          <w:rFonts w:eastAsia="Times New Roman"/>
          <w:b/>
          <w:bCs/>
          <w:i/>
          <w:iCs/>
          <w:szCs w:val="28"/>
          <w:lang w:val="en-GB"/>
        </w:rPr>
        <w:t>par 19</w:t>
      </w:r>
      <w:r w:rsidR="00010319">
        <w:rPr>
          <w:rFonts w:eastAsia="Times New Roman"/>
          <w:szCs w:val="28"/>
          <w:lang w:val="en-GB"/>
        </w:rPr>
        <w:t xml:space="preserve"> of the same judgment:</w:t>
      </w:r>
    </w:p>
    <w:p w14:paraId="2D9B93A9" w14:textId="2B6F1BDF" w:rsidR="00010319" w:rsidRPr="00E93117" w:rsidRDefault="00010319" w:rsidP="00010319">
      <w:pPr>
        <w:spacing w:before="360" w:after="360" w:line="360" w:lineRule="auto"/>
        <w:ind w:left="1440"/>
        <w:jc w:val="both"/>
        <w:rPr>
          <w:rFonts w:eastAsia="Times New Roman"/>
          <w:i/>
          <w:iCs/>
          <w:szCs w:val="28"/>
          <w:lang w:val="en-GB"/>
        </w:rPr>
      </w:pPr>
      <w:r>
        <w:rPr>
          <w:rFonts w:eastAsia="Times New Roman"/>
          <w:szCs w:val="28"/>
          <w:lang w:val="en-GB"/>
        </w:rPr>
        <w:t>“</w:t>
      </w:r>
      <w:r w:rsidRPr="00E93117">
        <w:rPr>
          <w:rFonts w:eastAsia="Times New Roman"/>
          <w:i/>
          <w:iCs/>
          <w:szCs w:val="28"/>
          <w:lang w:val="en-GB"/>
        </w:rPr>
        <w:t>As observed by the court in Gasa v Singh NO (KZD case No 13338/2008, 25 June 2009; 2009 JDR 0649) at paras 14 – 15, the purpose of referring a matter to a referee in terms of s 19bis:</w:t>
      </w:r>
    </w:p>
    <w:p w14:paraId="7880C849" w14:textId="05625030" w:rsidR="00010319" w:rsidRPr="00E93117" w:rsidRDefault="00010319" w:rsidP="00E93117">
      <w:pPr>
        <w:spacing w:before="360" w:after="360" w:line="240" w:lineRule="auto"/>
        <w:ind w:left="2160"/>
        <w:jc w:val="both"/>
        <w:rPr>
          <w:rFonts w:eastAsia="Times New Roman"/>
          <w:i/>
          <w:iCs/>
          <w:szCs w:val="28"/>
          <w:lang w:val="en-GB"/>
        </w:rPr>
      </w:pPr>
      <w:r w:rsidRPr="00E93117">
        <w:rPr>
          <w:rFonts w:eastAsia="Times New Roman"/>
          <w:i/>
          <w:iCs/>
          <w:szCs w:val="28"/>
          <w:lang w:val="en-GB"/>
        </w:rPr>
        <w:t>'(I)s that either where there are highly technical aspects where the assistance of a neutral expert is required or where the bulk of the documentation is such that a referee can streamline the process, the report of the referee would not only assist the court but help to limit the length of the proceedings by highlighting (through its analysis of the documents or the factual situation relating to the accounts) exactly which aspects or incidents or transactions are in dispute between the parties. The report of the referee does not bind the court but assists it by in essence summarising the results of the referee's investigations</w:t>
      </w:r>
      <w:proofErr w:type="gramStart"/>
      <w:r w:rsidRPr="00E93117">
        <w:rPr>
          <w:rFonts w:eastAsia="Times New Roman"/>
          <w:i/>
          <w:iCs/>
          <w:szCs w:val="28"/>
          <w:lang w:val="en-GB"/>
        </w:rPr>
        <w:t>... .</w:t>
      </w:r>
      <w:proofErr w:type="gramEnd"/>
    </w:p>
    <w:p w14:paraId="501F1512" w14:textId="2EC70567" w:rsidR="004B6B91" w:rsidRDefault="00010319" w:rsidP="004B6B91">
      <w:pPr>
        <w:spacing w:before="360" w:after="360" w:line="240" w:lineRule="auto"/>
        <w:ind w:left="2160"/>
        <w:jc w:val="both"/>
        <w:rPr>
          <w:rFonts w:eastAsia="Times New Roman"/>
          <w:szCs w:val="28"/>
          <w:lang w:val="en-GB"/>
        </w:rPr>
      </w:pPr>
      <w:r w:rsidRPr="00E93117">
        <w:rPr>
          <w:rFonts w:eastAsia="Times New Roman"/>
          <w:i/>
          <w:iCs/>
          <w:szCs w:val="28"/>
          <w:lang w:val="en-GB"/>
        </w:rPr>
        <w:t xml:space="preserve">In the present matter for instance the referee would be able in her report (as already foreshadowed in the opinion of senior counsel) </w:t>
      </w:r>
      <w:r w:rsidRPr="00E93117">
        <w:rPr>
          <w:rFonts w:eastAsia="Times New Roman"/>
          <w:i/>
          <w:iCs/>
          <w:szCs w:val="28"/>
          <w:lang w:val="en-GB"/>
        </w:rPr>
        <w:lastRenderedPageBreak/>
        <w:t xml:space="preserve">to pinpoint the incidents or transactions on which she relies for </w:t>
      </w:r>
      <w:proofErr w:type="gramStart"/>
      <w:r w:rsidRPr="00E93117">
        <w:rPr>
          <w:rFonts w:eastAsia="Times New Roman"/>
          <w:i/>
          <w:iCs/>
          <w:szCs w:val="28"/>
          <w:lang w:val="en-GB"/>
        </w:rPr>
        <w:t>coming to the conclusion</w:t>
      </w:r>
      <w:proofErr w:type="gramEnd"/>
      <w:r w:rsidRPr="00E93117">
        <w:rPr>
          <w:rFonts w:eastAsia="Times New Roman"/>
          <w:i/>
          <w:iCs/>
          <w:szCs w:val="28"/>
          <w:lang w:val="en-GB"/>
        </w:rPr>
        <w:t xml:space="preserve"> that the Trust was or was not the alter ego of the applicant. It is then a straightforward matter for the parties to ascertain which specific areas of the report or which incidents or transactions are in dispute and for a hearing to proceed on those aspects only. Without the report of the referee a great deal of unnecessary evidence may be led as well as extensive discovery having to be made with the consequent exchange of documents before the issues in dispute become clear. The normal Rule 37 procedures in this context are rather cumbersome and would not be of the same assistance in resolving issues and delineating the areas of dispute in relation to the significance or otherwise of particular transactions. </w:t>
      </w:r>
      <w:proofErr w:type="gramStart"/>
      <w:r w:rsidRPr="00E93117">
        <w:rPr>
          <w:rFonts w:eastAsia="Times New Roman"/>
          <w:i/>
          <w:iCs/>
          <w:szCs w:val="28"/>
          <w:lang w:val="en-GB"/>
        </w:rPr>
        <w:t>Similarly</w:t>
      </w:r>
      <w:proofErr w:type="gramEnd"/>
      <w:r w:rsidRPr="00E93117">
        <w:rPr>
          <w:rFonts w:eastAsia="Times New Roman"/>
          <w:i/>
          <w:iCs/>
          <w:szCs w:val="28"/>
          <w:lang w:val="en-GB"/>
        </w:rPr>
        <w:t xml:space="preserve"> pleadings containing as they do only the factual framework and legal conclusions relied upon are also not of great assistance. The report of the referee however, if properly compiled, will focus on those transactions that are pertinent.</w:t>
      </w:r>
      <w:r w:rsidRPr="00010319">
        <w:rPr>
          <w:rFonts w:eastAsia="Times New Roman"/>
          <w:szCs w:val="28"/>
          <w:lang w:val="en-GB"/>
        </w:rPr>
        <w:t>'</w:t>
      </w:r>
      <w:r>
        <w:rPr>
          <w:rFonts w:eastAsia="Times New Roman"/>
          <w:szCs w:val="28"/>
          <w:lang w:val="en-GB"/>
        </w:rPr>
        <w:t>”</w:t>
      </w:r>
    </w:p>
    <w:p w14:paraId="265EA3CC" w14:textId="4F7ECFC0"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12.</w:t>
      </w:r>
      <w:r w:rsidRPr="00BF3440">
        <w:rPr>
          <w:rFonts w:eastAsia="Times New Roman"/>
          <w:szCs w:val="28"/>
          <w:lang w:val="en-GB"/>
        </w:rPr>
        <w:tab/>
      </w:r>
      <w:r w:rsidR="0095659C">
        <w:rPr>
          <w:rFonts w:eastAsia="Times New Roman"/>
          <w:szCs w:val="28"/>
          <w:lang w:val="en-GB"/>
        </w:rPr>
        <w:t>P</w:t>
      </w:r>
      <w:r w:rsidR="00BF3440" w:rsidRPr="00BF3440">
        <w:rPr>
          <w:rFonts w:eastAsia="Times New Roman"/>
          <w:szCs w:val="28"/>
          <w:lang w:val="en-GB"/>
        </w:rPr>
        <w:t xml:space="preserve">aragraph 10 of the </w:t>
      </w:r>
      <w:r w:rsidR="00BF51E8">
        <w:rPr>
          <w:rFonts w:eastAsia="Times New Roman"/>
          <w:szCs w:val="28"/>
          <w:lang w:val="en-GB"/>
        </w:rPr>
        <w:t>O</w:t>
      </w:r>
      <w:r w:rsidR="00BF3440" w:rsidRPr="00BF3440">
        <w:rPr>
          <w:rFonts w:eastAsia="Times New Roman"/>
          <w:szCs w:val="28"/>
          <w:lang w:val="en-GB"/>
        </w:rPr>
        <w:t xml:space="preserve">rder provided specifically that Mr Johan Ferreira’s report would serve before this court, </w:t>
      </w:r>
      <w:r w:rsidR="00BF3440" w:rsidRPr="00BF3440">
        <w:rPr>
          <w:rFonts w:eastAsia="Times New Roman"/>
          <w:i/>
          <w:iCs/>
          <w:szCs w:val="28"/>
          <w:lang w:val="en-GB"/>
        </w:rPr>
        <w:t>mutat</w:t>
      </w:r>
      <w:r w:rsidR="00E93117">
        <w:rPr>
          <w:rFonts w:eastAsia="Times New Roman"/>
          <w:i/>
          <w:iCs/>
          <w:szCs w:val="28"/>
          <w:lang w:val="en-GB"/>
        </w:rPr>
        <w:t>i</w:t>
      </w:r>
      <w:r w:rsidR="00BF3440" w:rsidRPr="00BF3440">
        <w:rPr>
          <w:rFonts w:eastAsia="Times New Roman"/>
          <w:i/>
          <w:iCs/>
          <w:szCs w:val="28"/>
          <w:lang w:val="en-GB"/>
        </w:rPr>
        <w:t>s mutandis</w:t>
      </w:r>
      <w:r w:rsidR="00BF3440" w:rsidRPr="00BF3440">
        <w:rPr>
          <w:rFonts w:eastAsia="Times New Roman"/>
          <w:szCs w:val="28"/>
          <w:lang w:val="en-GB"/>
        </w:rPr>
        <w:t>, as a referee’s report, as provided for in accordance with the above quoted section of the Act, if necessary.</w:t>
      </w:r>
      <w:r w:rsidR="00A92E42">
        <w:rPr>
          <w:rFonts w:eastAsia="Times New Roman"/>
          <w:szCs w:val="28"/>
          <w:lang w:val="en-GB"/>
        </w:rPr>
        <w:t xml:space="preserve"> </w:t>
      </w:r>
      <w:r w:rsidR="00BF3440" w:rsidRPr="00BF3440">
        <w:rPr>
          <w:rFonts w:eastAsia="Times New Roman"/>
          <w:szCs w:val="28"/>
          <w:lang w:val="en-GB"/>
        </w:rPr>
        <w:t xml:space="preserve"> </w:t>
      </w:r>
      <w:r w:rsidR="00673E93">
        <w:rPr>
          <w:rFonts w:eastAsia="Times New Roman"/>
          <w:szCs w:val="28"/>
          <w:lang w:val="en-GB"/>
        </w:rPr>
        <w:t>T</w:t>
      </w:r>
      <w:r w:rsidR="00BF3440" w:rsidRPr="00BF3440">
        <w:rPr>
          <w:rFonts w:eastAsia="Times New Roman"/>
          <w:szCs w:val="28"/>
          <w:lang w:val="en-GB"/>
        </w:rPr>
        <w:t xml:space="preserve">he court </w:t>
      </w:r>
      <w:r w:rsidR="00673E93">
        <w:rPr>
          <w:rFonts w:eastAsia="Times New Roman"/>
          <w:szCs w:val="28"/>
          <w:lang w:val="en-GB"/>
        </w:rPr>
        <w:t>clearly made provision</w:t>
      </w:r>
      <w:r w:rsidR="00BF3440" w:rsidRPr="00BF3440">
        <w:rPr>
          <w:rFonts w:eastAsia="Times New Roman"/>
          <w:szCs w:val="28"/>
          <w:lang w:val="en-GB"/>
        </w:rPr>
        <w:t xml:space="preserve"> for further orders to be made pursuant to the receipt of Mr Ferreira’s report. </w:t>
      </w:r>
      <w:r w:rsidR="004B6B91">
        <w:rPr>
          <w:rFonts w:eastAsia="Times New Roman"/>
          <w:szCs w:val="28"/>
          <w:lang w:val="en-GB"/>
        </w:rPr>
        <w:t xml:space="preserve"> That </w:t>
      </w:r>
      <w:r w:rsidR="001B482B">
        <w:rPr>
          <w:rFonts w:eastAsia="Times New Roman"/>
          <w:szCs w:val="28"/>
          <w:lang w:val="en-GB"/>
        </w:rPr>
        <w:t>Accords</w:t>
      </w:r>
      <w:r w:rsidR="004B6B91">
        <w:rPr>
          <w:rFonts w:eastAsia="Times New Roman"/>
          <w:szCs w:val="28"/>
          <w:lang w:val="en-GB"/>
        </w:rPr>
        <w:t xml:space="preserve"> with what the section provides.</w:t>
      </w:r>
    </w:p>
    <w:p w14:paraId="2EF76965" w14:textId="11C1B664" w:rsidR="00A41EF1" w:rsidRDefault="00D5654C" w:rsidP="00D5654C">
      <w:pPr>
        <w:tabs>
          <w:tab w:val="left" w:pos="851"/>
        </w:tabs>
        <w:spacing w:before="360" w:after="360" w:line="480" w:lineRule="auto"/>
        <w:ind w:left="851" w:hanging="851"/>
        <w:jc w:val="both"/>
        <w:rPr>
          <w:rFonts w:eastAsia="Times New Roman"/>
          <w:szCs w:val="28"/>
          <w:lang w:val="en-GB"/>
        </w:rPr>
      </w:pPr>
      <w:r>
        <w:rPr>
          <w:rFonts w:eastAsia="Times New Roman"/>
          <w:szCs w:val="28"/>
          <w:lang w:val="en-GB"/>
        </w:rPr>
        <w:t>13.</w:t>
      </w:r>
      <w:r>
        <w:rPr>
          <w:rFonts w:eastAsia="Times New Roman"/>
          <w:szCs w:val="28"/>
          <w:lang w:val="en-GB"/>
        </w:rPr>
        <w:tab/>
      </w:r>
      <w:r w:rsidR="00A41EF1">
        <w:rPr>
          <w:rFonts w:eastAsia="Times New Roman"/>
          <w:szCs w:val="28"/>
          <w:lang w:val="en-GB"/>
        </w:rPr>
        <w:t>Section 38 of the Act is not something which is unilaterally imposed by the Court on the parties – it has the prerequisite that the order must be made with the consent of the parties.  In the present matter it is common cause that the Order was the result of the agreement between the parties</w:t>
      </w:r>
      <w:r w:rsidR="00CB2E7B">
        <w:rPr>
          <w:rFonts w:eastAsia="Times New Roman"/>
          <w:szCs w:val="28"/>
          <w:lang w:val="en-GB"/>
        </w:rPr>
        <w:t>,</w:t>
      </w:r>
      <w:r w:rsidR="008839B6">
        <w:rPr>
          <w:rFonts w:eastAsia="Times New Roman"/>
          <w:szCs w:val="28"/>
          <w:lang w:val="en-GB"/>
        </w:rPr>
        <w:t xml:space="preserve"> </w:t>
      </w:r>
      <w:r w:rsidR="00A41EF1">
        <w:rPr>
          <w:rFonts w:eastAsia="Times New Roman"/>
          <w:szCs w:val="28"/>
          <w:lang w:val="en-GB"/>
        </w:rPr>
        <w:t xml:space="preserve">and they </w:t>
      </w:r>
      <w:r w:rsidR="00AF1F2E">
        <w:rPr>
          <w:rFonts w:eastAsia="Times New Roman"/>
          <w:szCs w:val="28"/>
          <w:lang w:val="en-GB"/>
        </w:rPr>
        <w:t xml:space="preserve">structured the ordered in its final form.  Section 38 implies that the parties should participate on a </w:t>
      </w:r>
      <w:r w:rsidR="00AF1F2E">
        <w:rPr>
          <w:rFonts w:eastAsia="Times New Roman"/>
          <w:i/>
          <w:iCs/>
          <w:szCs w:val="28"/>
          <w:lang w:val="en-GB"/>
        </w:rPr>
        <w:t xml:space="preserve">bona fide </w:t>
      </w:r>
      <w:r w:rsidR="00AF1F2E">
        <w:rPr>
          <w:rFonts w:eastAsia="Times New Roman"/>
          <w:szCs w:val="28"/>
          <w:lang w:val="en-GB"/>
        </w:rPr>
        <w:t xml:space="preserve">fashion with the process </w:t>
      </w:r>
      <w:r w:rsidR="00A918DA">
        <w:rPr>
          <w:rFonts w:eastAsia="Times New Roman"/>
          <w:szCs w:val="28"/>
          <w:lang w:val="en-GB"/>
        </w:rPr>
        <w:t xml:space="preserve">facilitated by the referee.  It would run contrary to the consent which sparked the referral </w:t>
      </w:r>
      <w:r w:rsidR="00C14756">
        <w:rPr>
          <w:rFonts w:eastAsia="Times New Roman"/>
          <w:szCs w:val="28"/>
          <w:lang w:val="en-GB"/>
        </w:rPr>
        <w:t xml:space="preserve">if a party was </w:t>
      </w:r>
      <w:r w:rsidR="00A918DA">
        <w:rPr>
          <w:rFonts w:eastAsia="Times New Roman"/>
          <w:szCs w:val="28"/>
          <w:lang w:val="en-GB"/>
        </w:rPr>
        <w:t xml:space="preserve">to obstruct the referee in his investigations and delay the finalisation </w:t>
      </w:r>
      <w:r w:rsidR="00A918DA">
        <w:rPr>
          <w:rFonts w:eastAsia="Times New Roman"/>
          <w:szCs w:val="28"/>
          <w:lang w:val="en-GB"/>
        </w:rPr>
        <w:lastRenderedPageBreak/>
        <w:t xml:space="preserve">thereof.  The referee in turn is bound by the strictures of the </w:t>
      </w:r>
      <w:r w:rsidR="009D27A9">
        <w:rPr>
          <w:rFonts w:eastAsia="Times New Roman"/>
          <w:szCs w:val="28"/>
          <w:lang w:val="en-GB"/>
        </w:rPr>
        <w:t>order and must report on facts.</w:t>
      </w:r>
    </w:p>
    <w:p w14:paraId="17BE802F" w14:textId="03A5FC03"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14.</w:t>
      </w:r>
      <w:r w:rsidRPr="00BF3440">
        <w:rPr>
          <w:rFonts w:eastAsia="Times New Roman"/>
          <w:szCs w:val="28"/>
          <w:lang w:val="en-GB"/>
        </w:rPr>
        <w:tab/>
      </w:r>
      <w:r w:rsidR="00C14756">
        <w:rPr>
          <w:rFonts w:eastAsia="Times New Roman"/>
          <w:szCs w:val="28"/>
          <w:lang w:val="en-GB"/>
        </w:rPr>
        <w:t>T</w:t>
      </w:r>
      <w:r w:rsidR="00BF3440" w:rsidRPr="00BF3440">
        <w:rPr>
          <w:rFonts w:eastAsia="Times New Roman"/>
          <w:szCs w:val="28"/>
          <w:lang w:val="en-GB"/>
        </w:rPr>
        <w:t xml:space="preserve">he </w:t>
      </w:r>
      <w:r w:rsidR="00EE3449">
        <w:rPr>
          <w:rFonts w:eastAsia="Times New Roman"/>
          <w:szCs w:val="28"/>
          <w:lang w:val="en-GB"/>
        </w:rPr>
        <w:t>O</w:t>
      </w:r>
      <w:r w:rsidR="00BF3440" w:rsidRPr="00BF3440">
        <w:rPr>
          <w:rFonts w:eastAsia="Times New Roman"/>
          <w:szCs w:val="28"/>
          <w:lang w:val="en-GB"/>
        </w:rPr>
        <w:t xml:space="preserve">rder anticipated the </w:t>
      </w:r>
      <w:r w:rsidR="00BF3440" w:rsidRPr="00BF3440">
        <w:rPr>
          <w:rFonts w:eastAsia="Times New Roman"/>
          <w:i/>
          <w:iCs/>
          <w:szCs w:val="28"/>
          <w:lang w:val="en-GB"/>
        </w:rPr>
        <w:t>bona fide</w:t>
      </w:r>
      <w:r w:rsidR="00BF3440" w:rsidRPr="00BF3440">
        <w:rPr>
          <w:rFonts w:eastAsia="Times New Roman"/>
          <w:szCs w:val="28"/>
          <w:lang w:val="en-GB"/>
        </w:rPr>
        <w:t xml:space="preserve"> participation </w:t>
      </w:r>
      <w:r w:rsidR="00EE3449">
        <w:rPr>
          <w:rFonts w:eastAsia="Times New Roman"/>
          <w:szCs w:val="28"/>
          <w:lang w:val="en-GB"/>
        </w:rPr>
        <w:t xml:space="preserve">by the parties </w:t>
      </w:r>
      <w:r w:rsidR="00BF3440" w:rsidRPr="00BF3440">
        <w:rPr>
          <w:rFonts w:eastAsia="Times New Roman"/>
          <w:szCs w:val="28"/>
          <w:lang w:val="en-GB"/>
        </w:rPr>
        <w:t xml:space="preserve">with the provided mechanism. </w:t>
      </w:r>
      <w:r w:rsidR="00A92E42">
        <w:rPr>
          <w:rFonts w:eastAsia="Times New Roman"/>
          <w:szCs w:val="28"/>
          <w:lang w:val="en-GB"/>
        </w:rPr>
        <w:t xml:space="preserve"> </w:t>
      </w:r>
      <w:r w:rsidR="00835D77">
        <w:rPr>
          <w:rFonts w:eastAsia="Times New Roman"/>
          <w:szCs w:val="28"/>
          <w:lang w:val="en-GB"/>
        </w:rPr>
        <w:t>T</w:t>
      </w:r>
      <w:r w:rsidR="00BF3440" w:rsidRPr="00BF3440">
        <w:rPr>
          <w:rFonts w:eastAsia="Times New Roman"/>
          <w:szCs w:val="28"/>
          <w:lang w:val="en-GB"/>
        </w:rPr>
        <w:t xml:space="preserve">he Second Respondent does </w:t>
      </w:r>
      <w:r w:rsidR="00BF3440" w:rsidRPr="00A92E42">
        <w:rPr>
          <w:rFonts w:eastAsia="Times New Roman"/>
          <w:szCs w:val="28"/>
          <w:lang w:val="en-GB"/>
        </w:rPr>
        <w:t>not disavow knowledge</w:t>
      </w:r>
      <w:r w:rsidR="00BF3440" w:rsidRPr="00BF3440">
        <w:rPr>
          <w:rFonts w:eastAsia="Times New Roman"/>
          <w:szCs w:val="28"/>
          <w:lang w:val="en-GB"/>
        </w:rPr>
        <w:t xml:space="preserve"> of the </w:t>
      </w:r>
      <w:r w:rsidR="00EE3449">
        <w:rPr>
          <w:rFonts w:eastAsia="Times New Roman"/>
          <w:szCs w:val="28"/>
          <w:lang w:val="en-GB"/>
        </w:rPr>
        <w:t>O</w:t>
      </w:r>
      <w:r w:rsidR="00BF3440" w:rsidRPr="00BF3440">
        <w:rPr>
          <w:rFonts w:eastAsia="Times New Roman"/>
          <w:szCs w:val="28"/>
          <w:lang w:val="en-GB"/>
        </w:rPr>
        <w:t xml:space="preserve">rder and the parties were well-aware </w:t>
      </w:r>
      <w:r w:rsidR="00835D77">
        <w:rPr>
          <w:rFonts w:eastAsia="Times New Roman"/>
          <w:szCs w:val="28"/>
          <w:lang w:val="en-GB"/>
        </w:rPr>
        <w:t>of</w:t>
      </w:r>
      <w:r w:rsidR="00BF3440" w:rsidRPr="00BF3440">
        <w:rPr>
          <w:rFonts w:eastAsia="Times New Roman"/>
          <w:szCs w:val="28"/>
          <w:lang w:val="en-GB"/>
        </w:rPr>
        <w:t xml:space="preserve"> what was to be expected from them.</w:t>
      </w:r>
      <w:r w:rsidR="00A92E42">
        <w:rPr>
          <w:rFonts w:eastAsia="Times New Roman"/>
          <w:szCs w:val="28"/>
          <w:lang w:val="en-GB"/>
        </w:rPr>
        <w:t xml:space="preserve"> </w:t>
      </w:r>
      <w:r w:rsidR="00BF3440" w:rsidRPr="00BF3440">
        <w:rPr>
          <w:rFonts w:eastAsia="Times New Roman"/>
          <w:szCs w:val="28"/>
          <w:lang w:val="en-GB"/>
        </w:rPr>
        <w:t xml:space="preserve"> Although, the expert, Mr Ferreira was intended to play an active role in establishing the value of the Deceased’s 50% member’s interest</w:t>
      </w:r>
      <w:r w:rsidR="00E23DE0">
        <w:rPr>
          <w:rFonts w:eastAsia="Times New Roman"/>
          <w:szCs w:val="28"/>
          <w:lang w:val="en-GB"/>
        </w:rPr>
        <w:t>, i</w:t>
      </w:r>
      <w:r w:rsidR="00BF3440" w:rsidRPr="00BF3440">
        <w:rPr>
          <w:rFonts w:eastAsia="Times New Roman"/>
          <w:szCs w:val="28"/>
          <w:lang w:val="en-GB"/>
        </w:rPr>
        <w:t>t is also so that it was expected and anticipated that the Respondents would render the necessary documentation</w:t>
      </w:r>
      <w:r w:rsidR="000F1BBD">
        <w:rPr>
          <w:rFonts w:eastAsia="Times New Roman"/>
          <w:szCs w:val="28"/>
          <w:lang w:val="en-GB"/>
        </w:rPr>
        <w:t>,</w:t>
      </w:r>
      <w:r w:rsidR="00BF3440" w:rsidRPr="00BF3440">
        <w:rPr>
          <w:rFonts w:eastAsia="Times New Roman"/>
          <w:szCs w:val="28"/>
          <w:lang w:val="en-GB"/>
        </w:rPr>
        <w:t xml:space="preserve"> </w:t>
      </w:r>
      <w:proofErr w:type="gramStart"/>
      <w:r w:rsidR="00BF3440" w:rsidRPr="00BF3440">
        <w:rPr>
          <w:rFonts w:eastAsia="Times New Roman"/>
          <w:szCs w:val="28"/>
          <w:lang w:val="en-GB"/>
        </w:rPr>
        <w:t>and also</w:t>
      </w:r>
      <w:proofErr w:type="gramEnd"/>
      <w:r w:rsidR="00BF3440" w:rsidRPr="00BF3440">
        <w:rPr>
          <w:rFonts w:eastAsia="Times New Roman"/>
          <w:szCs w:val="28"/>
          <w:lang w:val="en-GB"/>
        </w:rPr>
        <w:t xml:space="preserve"> participate in that process. </w:t>
      </w:r>
    </w:p>
    <w:p w14:paraId="2B7CF767" w14:textId="400E6784" w:rsidR="00BF3440" w:rsidRPr="00E23DE0" w:rsidRDefault="00D5654C" w:rsidP="00D5654C">
      <w:pPr>
        <w:tabs>
          <w:tab w:val="left" w:pos="851"/>
        </w:tabs>
        <w:spacing w:before="360" w:after="360" w:line="480" w:lineRule="auto"/>
        <w:ind w:left="851" w:hanging="851"/>
        <w:jc w:val="both"/>
        <w:rPr>
          <w:rFonts w:eastAsia="Times New Roman"/>
          <w:szCs w:val="28"/>
          <w:lang w:val="en-GB"/>
        </w:rPr>
      </w:pPr>
      <w:r w:rsidRPr="00E23DE0">
        <w:rPr>
          <w:rFonts w:eastAsia="Times New Roman"/>
          <w:szCs w:val="28"/>
          <w:lang w:val="en-GB"/>
        </w:rPr>
        <w:t>15.</w:t>
      </w:r>
      <w:r w:rsidRPr="00E23DE0">
        <w:rPr>
          <w:rFonts w:eastAsia="Times New Roman"/>
          <w:szCs w:val="28"/>
          <w:lang w:val="en-GB"/>
        </w:rPr>
        <w:tab/>
      </w:r>
      <w:r w:rsidR="00BF3440" w:rsidRPr="00BF3440">
        <w:rPr>
          <w:rFonts w:eastAsia="Times New Roman"/>
          <w:szCs w:val="28"/>
          <w:lang w:val="en-GB"/>
        </w:rPr>
        <w:t>The founding papers tell a tale of Mr Ferreira’s attempt</w:t>
      </w:r>
      <w:r w:rsidR="000F1BBD">
        <w:rPr>
          <w:rFonts w:eastAsia="Times New Roman"/>
          <w:szCs w:val="28"/>
          <w:lang w:val="en-GB"/>
        </w:rPr>
        <w:t>s</w:t>
      </w:r>
      <w:r w:rsidR="00BF3440" w:rsidRPr="00BF3440">
        <w:rPr>
          <w:rFonts w:eastAsia="Times New Roman"/>
          <w:szCs w:val="28"/>
          <w:lang w:val="en-GB"/>
        </w:rPr>
        <w:t xml:space="preserve"> to obtain information from the Second Respondent, the Respondents’ attorney</w:t>
      </w:r>
      <w:r w:rsidR="000F1BBD">
        <w:rPr>
          <w:rFonts w:eastAsia="Times New Roman"/>
          <w:szCs w:val="28"/>
          <w:lang w:val="en-GB"/>
        </w:rPr>
        <w:t>,</w:t>
      </w:r>
      <w:r w:rsidR="00BF3440" w:rsidRPr="00BF3440">
        <w:rPr>
          <w:rFonts w:eastAsia="Times New Roman"/>
          <w:szCs w:val="28"/>
          <w:lang w:val="en-GB"/>
        </w:rPr>
        <w:t xml:space="preserve"> from the Second Respondent’s accountant</w:t>
      </w:r>
      <w:r w:rsidR="000F1BBD">
        <w:rPr>
          <w:rFonts w:eastAsia="Times New Roman"/>
          <w:szCs w:val="28"/>
          <w:lang w:val="en-GB"/>
        </w:rPr>
        <w:t xml:space="preserve"> and from the Second Respondent</w:t>
      </w:r>
      <w:r w:rsidR="00BF3440" w:rsidRPr="00BF3440">
        <w:rPr>
          <w:rFonts w:eastAsia="Times New Roman"/>
          <w:szCs w:val="28"/>
          <w:lang w:val="en-GB"/>
        </w:rPr>
        <w:t xml:space="preserve">. </w:t>
      </w:r>
      <w:r w:rsidR="00E23DE0">
        <w:rPr>
          <w:rFonts w:eastAsia="Times New Roman"/>
          <w:szCs w:val="28"/>
          <w:lang w:val="en-GB"/>
        </w:rPr>
        <w:t xml:space="preserve"> </w:t>
      </w:r>
      <w:r w:rsidR="00BF3440" w:rsidRPr="00E23DE0">
        <w:rPr>
          <w:rFonts w:eastAsia="Times New Roman"/>
          <w:szCs w:val="28"/>
          <w:lang w:val="en-GB"/>
        </w:rPr>
        <w:t xml:space="preserve">Mr Ferreira’s endeavours was only partially successful insofar as limited information was ultimately obtained by him. </w:t>
      </w:r>
      <w:r w:rsidR="00A92E42">
        <w:rPr>
          <w:rFonts w:eastAsia="Times New Roman"/>
          <w:szCs w:val="28"/>
          <w:lang w:val="en-GB"/>
        </w:rPr>
        <w:t xml:space="preserve"> </w:t>
      </w:r>
      <w:r w:rsidR="00BF3440" w:rsidRPr="00E23DE0">
        <w:rPr>
          <w:rFonts w:eastAsia="Times New Roman"/>
          <w:szCs w:val="28"/>
          <w:lang w:val="en-GB"/>
        </w:rPr>
        <w:t xml:space="preserve">Mr Ferreira proceeded to prepare the report which forms part of the founding papers as annexure </w:t>
      </w:r>
      <w:r w:rsidR="00BF3440" w:rsidRPr="00E23DE0">
        <w:rPr>
          <w:rFonts w:eastAsia="Times New Roman"/>
          <w:b/>
          <w:bCs/>
          <w:szCs w:val="28"/>
          <w:lang w:val="en-GB"/>
        </w:rPr>
        <w:t>“E”</w:t>
      </w:r>
      <w:r w:rsidR="00BF3440" w:rsidRPr="00E23DE0">
        <w:rPr>
          <w:rFonts w:eastAsia="Times New Roman"/>
          <w:szCs w:val="28"/>
          <w:lang w:val="en-GB"/>
        </w:rPr>
        <w:t xml:space="preserve"> at Caselines A70. </w:t>
      </w:r>
    </w:p>
    <w:p w14:paraId="742BE443" w14:textId="1200B437"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16.</w:t>
      </w:r>
      <w:r w:rsidRPr="00BF3440">
        <w:rPr>
          <w:rFonts w:eastAsia="Times New Roman"/>
          <w:szCs w:val="28"/>
          <w:lang w:val="en-GB"/>
        </w:rPr>
        <w:tab/>
      </w:r>
      <w:r w:rsidR="00BF3440" w:rsidRPr="00BF3440">
        <w:rPr>
          <w:rFonts w:eastAsia="Times New Roman"/>
          <w:szCs w:val="28"/>
          <w:lang w:val="en-GB"/>
        </w:rPr>
        <w:t>Mr Ferreira details the information which was received as well as the information which he deemed imperative to enable him to conduct the valuation of the member’s interest.</w:t>
      </w:r>
    </w:p>
    <w:p w14:paraId="2DB0F0CC" w14:textId="28BA66A6" w:rsidR="001E19B8" w:rsidRDefault="00D5654C" w:rsidP="00D5654C">
      <w:pPr>
        <w:tabs>
          <w:tab w:val="left" w:pos="851"/>
        </w:tabs>
        <w:spacing w:before="360" w:after="360" w:line="480" w:lineRule="auto"/>
        <w:ind w:left="851" w:hanging="851"/>
        <w:jc w:val="both"/>
        <w:rPr>
          <w:rFonts w:eastAsia="Times New Roman"/>
          <w:szCs w:val="28"/>
          <w:lang w:val="en-GB"/>
        </w:rPr>
      </w:pPr>
      <w:r>
        <w:rPr>
          <w:rFonts w:eastAsia="Times New Roman"/>
          <w:szCs w:val="28"/>
          <w:lang w:val="en-GB"/>
        </w:rPr>
        <w:t>17.</w:t>
      </w:r>
      <w:r>
        <w:rPr>
          <w:rFonts w:eastAsia="Times New Roman"/>
          <w:szCs w:val="28"/>
          <w:lang w:val="en-GB"/>
        </w:rPr>
        <w:tab/>
      </w:r>
      <w:r w:rsidR="00BF3440" w:rsidRPr="00BF3440">
        <w:rPr>
          <w:rFonts w:eastAsia="Times New Roman"/>
          <w:szCs w:val="28"/>
          <w:lang w:val="en-GB"/>
        </w:rPr>
        <w:t>Under the rubric titled “Analysis Performed” Mr Ferreira concludes that</w:t>
      </w:r>
    </w:p>
    <w:p w14:paraId="632CD0E0" w14:textId="77777777" w:rsidR="001E19B8" w:rsidRDefault="00BF3440" w:rsidP="001E19B8">
      <w:pPr>
        <w:spacing w:before="360" w:after="360" w:line="360" w:lineRule="auto"/>
        <w:ind w:left="1440"/>
        <w:jc w:val="both"/>
        <w:rPr>
          <w:rFonts w:eastAsia="Times New Roman"/>
          <w:szCs w:val="28"/>
          <w:lang w:val="en-GB"/>
        </w:rPr>
      </w:pPr>
      <w:r w:rsidRPr="00BF3440">
        <w:rPr>
          <w:rFonts w:eastAsia="Times New Roman"/>
          <w:szCs w:val="28"/>
          <w:lang w:val="en-GB"/>
        </w:rPr>
        <w:t>“</w:t>
      </w:r>
      <w:r w:rsidR="00747059">
        <w:rPr>
          <w:rFonts w:eastAsia="Times New Roman"/>
          <w:i/>
          <w:iCs/>
          <w:szCs w:val="28"/>
          <w:lang w:val="en-GB"/>
        </w:rPr>
        <w:t>D</w:t>
      </w:r>
      <w:r w:rsidRPr="00BF3440">
        <w:rPr>
          <w:rFonts w:eastAsia="Times New Roman"/>
          <w:i/>
          <w:iCs/>
          <w:szCs w:val="28"/>
          <w:lang w:val="en-GB"/>
        </w:rPr>
        <w:t xml:space="preserve">ue to the lack of documentation received, I performed an analysis on the bank statements and compared the results thereof to the financial statements, to ascertain whether there is any correlation between the bank statements and the financial statements or certain line items in the </w:t>
      </w:r>
      <w:r w:rsidRPr="00BF3440">
        <w:rPr>
          <w:rFonts w:eastAsia="Times New Roman"/>
          <w:i/>
          <w:iCs/>
          <w:szCs w:val="28"/>
          <w:lang w:val="en-GB"/>
        </w:rPr>
        <w:lastRenderedPageBreak/>
        <w:t>financial statements. Based on the results of the analysis, it is my view that the financial statements presented are simply not correct and that various suspicious transactions occur that should be investigated</w:t>
      </w:r>
      <w:r w:rsidRPr="00BF3440">
        <w:rPr>
          <w:rFonts w:eastAsia="Times New Roman"/>
          <w:szCs w:val="28"/>
          <w:lang w:val="en-GB"/>
        </w:rPr>
        <w:t>”.</w:t>
      </w:r>
    </w:p>
    <w:p w14:paraId="4F57EB7A" w14:textId="37DCB28C" w:rsidR="00747059" w:rsidRPr="00D5654C" w:rsidRDefault="00D5654C" w:rsidP="00D5654C">
      <w:pPr>
        <w:tabs>
          <w:tab w:val="left" w:pos="851"/>
        </w:tabs>
        <w:spacing w:before="360" w:after="360" w:line="480" w:lineRule="auto"/>
        <w:ind w:left="851" w:hanging="851"/>
        <w:jc w:val="both"/>
        <w:rPr>
          <w:rFonts w:eastAsia="Times New Roman"/>
          <w:szCs w:val="28"/>
          <w:lang w:val="en-GB"/>
        </w:rPr>
      </w:pPr>
      <w:r w:rsidRPr="001E19B8">
        <w:rPr>
          <w:rFonts w:eastAsia="Times New Roman"/>
          <w:szCs w:val="28"/>
          <w:lang w:val="en-GB"/>
        </w:rPr>
        <w:t>18.</w:t>
      </w:r>
      <w:r w:rsidRPr="001E19B8">
        <w:rPr>
          <w:rFonts w:eastAsia="Times New Roman"/>
          <w:szCs w:val="28"/>
          <w:lang w:val="en-GB"/>
        </w:rPr>
        <w:tab/>
      </w:r>
      <w:r w:rsidR="00BF3440" w:rsidRPr="00D5654C">
        <w:rPr>
          <w:rFonts w:eastAsia="Times New Roman"/>
          <w:szCs w:val="28"/>
          <w:lang w:val="en-GB"/>
        </w:rPr>
        <w:t xml:space="preserve">Mr Ferreira’s report contains </w:t>
      </w:r>
      <w:r w:rsidR="00747059" w:rsidRPr="00D5654C">
        <w:rPr>
          <w:rFonts w:eastAsia="Times New Roman"/>
          <w:szCs w:val="28"/>
          <w:lang w:val="en-GB"/>
        </w:rPr>
        <w:t>several</w:t>
      </w:r>
      <w:r w:rsidR="00BF3440" w:rsidRPr="00D5654C">
        <w:rPr>
          <w:rFonts w:eastAsia="Times New Roman"/>
          <w:szCs w:val="28"/>
          <w:lang w:val="en-GB"/>
        </w:rPr>
        <w:t xml:space="preserve"> serious </w:t>
      </w:r>
      <w:r w:rsidR="00577115" w:rsidRPr="00D5654C">
        <w:rPr>
          <w:rFonts w:eastAsia="Times New Roman"/>
          <w:szCs w:val="28"/>
          <w:lang w:val="en-GB"/>
        </w:rPr>
        <w:t>factual findings</w:t>
      </w:r>
      <w:r w:rsidR="00BF3440" w:rsidRPr="00D5654C">
        <w:rPr>
          <w:rFonts w:eastAsia="Times New Roman"/>
          <w:szCs w:val="28"/>
          <w:lang w:val="en-GB"/>
        </w:rPr>
        <w:t xml:space="preserve"> which certainly warranted a full and comprehensive response thereto by the Respondents. </w:t>
      </w:r>
    </w:p>
    <w:p w14:paraId="16C677D5" w14:textId="7CF737C9"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19.</w:t>
      </w:r>
      <w:r w:rsidRPr="00BF3440">
        <w:rPr>
          <w:rFonts w:eastAsia="Times New Roman"/>
          <w:szCs w:val="28"/>
          <w:lang w:val="en-GB"/>
        </w:rPr>
        <w:tab/>
      </w:r>
      <w:r w:rsidR="00BF3440" w:rsidRPr="00BF3440">
        <w:rPr>
          <w:rFonts w:eastAsia="Times New Roman"/>
          <w:szCs w:val="28"/>
          <w:lang w:val="en-GB"/>
        </w:rPr>
        <w:t>Ultimately, Mr Ferreira reached the following conclusions:</w:t>
      </w:r>
    </w:p>
    <w:p w14:paraId="56EFD67B" w14:textId="77777777" w:rsidR="00BF3440" w:rsidRPr="00BF3440" w:rsidRDefault="00BF3440" w:rsidP="000D4C2D">
      <w:pPr>
        <w:tabs>
          <w:tab w:val="left" w:pos="1701"/>
        </w:tabs>
        <w:spacing w:before="360" w:after="360" w:line="360" w:lineRule="auto"/>
        <w:ind w:left="1701" w:hanging="567"/>
        <w:jc w:val="both"/>
        <w:rPr>
          <w:rFonts w:eastAsia="Times New Roman"/>
          <w:i/>
          <w:iCs/>
          <w:szCs w:val="28"/>
          <w:lang w:val="en-GB"/>
        </w:rPr>
      </w:pPr>
      <w:r w:rsidRPr="00BF3440">
        <w:rPr>
          <w:rFonts w:eastAsia="Times New Roman"/>
          <w:szCs w:val="28"/>
          <w:lang w:val="en-GB"/>
        </w:rPr>
        <w:t>“</w:t>
      </w:r>
      <w:r w:rsidRPr="00BF3440">
        <w:rPr>
          <w:rFonts w:eastAsia="Times New Roman"/>
          <w:i/>
          <w:iCs/>
          <w:szCs w:val="28"/>
          <w:lang w:val="en-GB"/>
        </w:rPr>
        <w:t>5.1</w:t>
      </w:r>
      <w:r w:rsidRPr="00BF3440">
        <w:rPr>
          <w:rFonts w:eastAsia="Times New Roman"/>
          <w:i/>
          <w:iCs/>
          <w:szCs w:val="28"/>
          <w:lang w:val="en-GB"/>
        </w:rPr>
        <w:tab/>
        <w:t>The Respondents refused to co-operate and as a result I cannot continue with or complete my task. I can therefore not comply with the court order.</w:t>
      </w:r>
    </w:p>
    <w:p w14:paraId="4A041E0D" w14:textId="77777777" w:rsidR="00BF3440" w:rsidRPr="00BF3440" w:rsidRDefault="00BF3440" w:rsidP="000D4C2D">
      <w:pPr>
        <w:tabs>
          <w:tab w:val="left" w:pos="1701"/>
        </w:tabs>
        <w:spacing w:before="360" w:after="360" w:line="360" w:lineRule="auto"/>
        <w:ind w:left="1701" w:hanging="567"/>
        <w:jc w:val="both"/>
        <w:rPr>
          <w:rFonts w:eastAsia="Times New Roman"/>
          <w:i/>
          <w:iCs/>
          <w:szCs w:val="28"/>
          <w:lang w:val="en-GB"/>
        </w:rPr>
      </w:pPr>
      <w:r w:rsidRPr="00BF3440">
        <w:rPr>
          <w:rFonts w:eastAsia="Times New Roman"/>
          <w:i/>
          <w:iCs/>
          <w:szCs w:val="28"/>
          <w:lang w:val="en-GB"/>
        </w:rPr>
        <w:t xml:space="preserve"> 5.1</w:t>
      </w:r>
      <w:r w:rsidRPr="00BF3440">
        <w:rPr>
          <w:rFonts w:eastAsia="Times New Roman"/>
          <w:i/>
          <w:iCs/>
          <w:szCs w:val="28"/>
          <w:lang w:val="en-GB"/>
        </w:rPr>
        <w:tab/>
        <w:t xml:space="preserve">It is my respectful submission that it is highly unlikely for the situation to improve and as a result I am currently in stalemate. </w:t>
      </w:r>
    </w:p>
    <w:p w14:paraId="1B01ABBF" w14:textId="77777777" w:rsidR="00BF3440" w:rsidRPr="00BF3440" w:rsidRDefault="00BF3440" w:rsidP="000D4C2D">
      <w:pPr>
        <w:tabs>
          <w:tab w:val="left" w:pos="1701"/>
        </w:tabs>
        <w:spacing w:before="360" w:after="360" w:line="360" w:lineRule="auto"/>
        <w:ind w:left="1701" w:hanging="567"/>
        <w:jc w:val="both"/>
        <w:rPr>
          <w:rFonts w:eastAsia="Times New Roman"/>
          <w:i/>
          <w:iCs/>
          <w:szCs w:val="28"/>
          <w:lang w:val="en-GB"/>
        </w:rPr>
      </w:pPr>
      <w:r w:rsidRPr="00BF3440">
        <w:rPr>
          <w:rFonts w:eastAsia="Times New Roman"/>
          <w:i/>
          <w:iCs/>
          <w:szCs w:val="28"/>
          <w:lang w:val="en-GB"/>
        </w:rPr>
        <w:t xml:space="preserve"> 5.3</w:t>
      </w:r>
      <w:r w:rsidRPr="00BF3440">
        <w:rPr>
          <w:rFonts w:eastAsia="Times New Roman"/>
          <w:i/>
          <w:iCs/>
          <w:szCs w:val="28"/>
          <w:lang w:val="en-GB"/>
        </w:rPr>
        <w:tab/>
        <w:t>I am led to believe that a second company has operated parallel to Monama and Sons.</w:t>
      </w:r>
    </w:p>
    <w:p w14:paraId="2A267BC1" w14:textId="77777777" w:rsidR="00BF3440" w:rsidRPr="00BF3440" w:rsidRDefault="00BF3440" w:rsidP="000D4C2D">
      <w:pPr>
        <w:tabs>
          <w:tab w:val="left" w:pos="1701"/>
        </w:tabs>
        <w:spacing w:before="360" w:after="360" w:line="360" w:lineRule="auto"/>
        <w:ind w:left="1701" w:hanging="567"/>
        <w:jc w:val="both"/>
        <w:rPr>
          <w:rFonts w:eastAsia="Times New Roman"/>
          <w:i/>
          <w:iCs/>
          <w:szCs w:val="28"/>
          <w:lang w:val="en-GB"/>
        </w:rPr>
      </w:pPr>
      <w:r w:rsidRPr="00BF3440">
        <w:rPr>
          <w:rFonts w:eastAsia="Times New Roman"/>
          <w:i/>
          <w:iCs/>
          <w:szCs w:val="28"/>
          <w:lang w:val="en-GB"/>
        </w:rPr>
        <w:t xml:space="preserve"> 5.4</w:t>
      </w:r>
      <w:r w:rsidRPr="00BF3440">
        <w:rPr>
          <w:rFonts w:eastAsia="Times New Roman"/>
          <w:i/>
          <w:iCs/>
          <w:szCs w:val="28"/>
          <w:lang w:val="en-GB"/>
        </w:rPr>
        <w:tab/>
        <w:t>The financial statements do not seem to be a true reflection of the actual affairs of the company.</w:t>
      </w:r>
    </w:p>
    <w:p w14:paraId="21666BE3" w14:textId="77777777" w:rsidR="00BF3440" w:rsidRPr="00BF3440" w:rsidRDefault="00BF3440" w:rsidP="000D4C2D">
      <w:pPr>
        <w:tabs>
          <w:tab w:val="left" w:pos="1701"/>
        </w:tabs>
        <w:spacing w:before="360" w:after="360" w:line="360" w:lineRule="auto"/>
        <w:ind w:left="1701" w:hanging="567"/>
        <w:jc w:val="both"/>
        <w:rPr>
          <w:rFonts w:eastAsia="Times New Roman"/>
          <w:i/>
          <w:iCs/>
          <w:szCs w:val="28"/>
          <w:lang w:val="en-GB"/>
        </w:rPr>
      </w:pPr>
      <w:r w:rsidRPr="00BF3440">
        <w:rPr>
          <w:rFonts w:eastAsia="Times New Roman"/>
          <w:i/>
          <w:iCs/>
          <w:szCs w:val="28"/>
          <w:lang w:val="en-GB"/>
        </w:rPr>
        <w:t xml:space="preserve"> 5.5</w:t>
      </w:r>
      <w:r w:rsidRPr="00BF3440">
        <w:rPr>
          <w:rFonts w:eastAsia="Times New Roman"/>
          <w:i/>
          <w:iCs/>
          <w:szCs w:val="28"/>
          <w:lang w:val="en-GB"/>
        </w:rPr>
        <w:tab/>
        <w:t xml:space="preserve">Suspicious transactions are incurred through the bank account of Monana and Sons and a recording of these transactions, other than to a loan account, does not seem possible. There is however no loan account recorded in the financial statements. </w:t>
      </w:r>
    </w:p>
    <w:p w14:paraId="7145B5F5" w14:textId="77777777" w:rsidR="00BF3440" w:rsidRPr="00BF3440" w:rsidRDefault="00BF3440" w:rsidP="000D4C2D">
      <w:pPr>
        <w:tabs>
          <w:tab w:val="left" w:pos="1701"/>
        </w:tabs>
        <w:spacing w:before="360" w:after="360" w:line="360" w:lineRule="auto"/>
        <w:ind w:left="1701" w:hanging="567"/>
        <w:contextualSpacing/>
        <w:rPr>
          <w:rFonts w:eastAsia="Times New Roman"/>
          <w:szCs w:val="28"/>
          <w:lang w:val="en-GB"/>
        </w:rPr>
      </w:pPr>
      <w:r w:rsidRPr="00BF3440">
        <w:rPr>
          <w:rFonts w:eastAsia="Times New Roman"/>
          <w:i/>
          <w:iCs/>
          <w:szCs w:val="28"/>
          <w:lang w:val="en-GB"/>
        </w:rPr>
        <w:t xml:space="preserve"> 5.6</w:t>
      </w:r>
      <w:r w:rsidRPr="00BF3440">
        <w:rPr>
          <w:rFonts w:eastAsia="Times New Roman"/>
          <w:i/>
          <w:iCs/>
          <w:szCs w:val="28"/>
          <w:lang w:val="en-GB"/>
        </w:rPr>
        <w:tab/>
        <w:t>In my opinion the only solution is for Monama and Sons to be wound up. The insolvency inquiry would probably ensure that the true facts and value are established</w:t>
      </w:r>
      <w:r w:rsidRPr="00BF3440">
        <w:rPr>
          <w:rFonts w:eastAsia="Times New Roman"/>
          <w:szCs w:val="28"/>
          <w:lang w:val="en-GB"/>
        </w:rPr>
        <w:t>.”</w:t>
      </w:r>
      <w:r w:rsidRPr="00BF3440">
        <w:rPr>
          <w:rFonts w:eastAsia="Times New Roman"/>
          <w:szCs w:val="28"/>
          <w:lang w:val="en-GB"/>
        </w:rPr>
        <w:br/>
        <w:t xml:space="preserve"> </w:t>
      </w:r>
    </w:p>
    <w:p w14:paraId="1523FA5F" w14:textId="572336B9" w:rsidR="009B4E78" w:rsidRPr="00D5654C" w:rsidRDefault="00D5654C" w:rsidP="00D5654C">
      <w:pPr>
        <w:tabs>
          <w:tab w:val="left" w:pos="851"/>
        </w:tabs>
        <w:spacing w:line="480" w:lineRule="auto"/>
        <w:ind w:left="851" w:hanging="851"/>
        <w:jc w:val="both"/>
        <w:rPr>
          <w:rFonts w:eastAsia="Times New Roman"/>
          <w:szCs w:val="28"/>
          <w:lang w:val="en-GB"/>
        </w:rPr>
      </w:pPr>
      <w:r w:rsidRPr="00E74A83">
        <w:rPr>
          <w:rFonts w:eastAsia="Times New Roman"/>
          <w:szCs w:val="28"/>
          <w:lang w:val="en-GB"/>
        </w:rPr>
        <w:t>20.</w:t>
      </w:r>
      <w:r w:rsidRPr="00E74A83">
        <w:rPr>
          <w:rFonts w:eastAsia="Times New Roman"/>
          <w:szCs w:val="28"/>
          <w:lang w:val="en-GB"/>
        </w:rPr>
        <w:tab/>
      </w:r>
      <w:r w:rsidR="000D4C2D" w:rsidRPr="00D5654C">
        <w:rPr>
          <w:rFonts w:eastAsia="Times New Roman"/>
          <w:szCs w:val="28"/>
          <w:lang w:val="en-GB"/>
        </w:rPr>
        <w:t xml:space="preserve">Insofar as Mr Ferreira’s report includes opinions on non-factual issues, Mr Botes SC on behalf of the Applicant </w:t>
      </w:r>
      <w:r w:rsidR="00577115" w:rsidRPr="00D5654C">
        <w:rPr>
          <w:rFonts w:eastAsia="Times New Roman"/>
          <w:szCs w:val="28"/>
          <w:lang w:val="en-GB"/>
        </w:rPr>
        <w:t>at the onset of his address</w:t>
      </w:r>
      <w:r w:rsidR="000D4C2D" w:rsidRPr="00D5654C">
        <w:rPr>
          <w:rFonts w:eastAsia="Times New Roman"/>
          <w:szCs w:val="28"/>
          <w:lang w:val="en-GB"/>
        </w:rPr>
        <w:t xml:space="preserve">, and correctly </w:t>
      </w:r>
      <w:r w:rsidR="000D4C2D" w:rsidRPr="00D5654C">
        <w:rPr>
          <w:rFonts w:eastAsia="Times New Roman"/>
          <w:szCs w:val="28"/>
          <w:lang w:val="en-GB"/>
        </w:rPr>
        <w:lastRenderedPageBreak/>
        <w:t xml:space="preserve">so in my opinion, conceded that such portions of the Report should be disregarded.  Paragraph 5.6 of the conclusions is an example thereof and this Court is not bound </w:t>
      </w:r>
      <w:r w:rsidR="00D45AFB" w:rsidRPr="00D5654C">
        <w:rPr>
          <w:rFonts w:eastAsia="Times New Roman"/>
          <w:szCs w:val="28"/>
          <w:lang w:val="en-GB"/>
        </w:rPr>
        <w:t>to the opinion expressed therein by Mr Ferreira</w:t>
      </w:r>
      <w:r w:rsidR="000D4C2D" w:rsidRPr="00D5654C">
        <w:rPr>
          <w:rFonts w:eastAsia="Times New Roman"/>
          <w:szCs w:val="28"/>
          <w:lang w:val="en-GB"/>
        </w:rPr>
        <w:t>.</w:t>
      </w:r>
      <w:r w:rsidR="00381A83" w:rsidRPr="00D5654C">
        <w:rPr>
          <w:rFonts w:eastAsia="Times New Roman"/>
          <w:szCs w:val="28"/>
          <w:lang w:val="en-GB"/>
        </w:rPr>
        <w:t xml:space="preserve">  </w:t>
      </w:r>
      <w:r w:rsidR="000D4C2D" w:rsidRPr="00D5654C">
        <w:rPr>
          <w:rFonts w:eastAsia="Times New Roman"/>
          <w:szCs w:val="28"/>
          <w:lang w:val="en-GB"/>
        </w:rPr>
        <w:t xml:space="preserve">However, </w:t>
      </w:r>
      <w:r w:rsidR="00BF3440" w:rsidRPr="00D5654C">
        <w:rPr>
          <w:rFonts w:eastAsia="Times New Roman"/>
          <w:szCs w:val="28"/>
          <w:lang w:val="en-GB"/>
        </w:rPr>
        <w:t xml:space="preserve">there are serious </w:t>
      </w:r>
      <w:r w:rsidR="000D4C2D" w:rsidRPr="00D5654C">
        <w:rPr>
          <w:rFonts w:eastAsia="Times New Roman"/>
          <w:szCs w:val="28"/>
          <w:lang w:val="en-GB"/>
        </w:rPr>
        <w:t>matters raised</w:t>
      </w:r>
      <w:r w:rsidR="00BF3440" w:rsidRPr="00D5654C">
        <w:rPr>
          <w:rFonts w:eastAsia="Times New Roman"/>
          <w:szCs w:val="28"/>
          <w:lang w:val="en-GB"/>
        </w:rPr>
        <w:t xml:space="preserve"> in the report which warranted a full and comprehensive response thereto</w:t>
      </w:r>
      <w:r w:rsidR="000D4C2D" w:rsidRPr="00D5654C">
        <w:rPr>
          <w:rFonts w:eastAsia="Times New Roman"/>
          <w:szCs w:val="28"/>
          <w:lang w:val="en-GB"/>
        </w:rPr>
        <w:t xml:space="preserve"> by the Second Respondent</w:t>
      </w:r>
      <w:r w:rsidR="00BF3440" w:rsidRPr="00D5654C">
        <w:rPr>
          <w:rFonts w:eastAsia="Times New Roman"/>
          <w:szCs w:val="28"/>
          <w:lang w:val="en-GB"/>
        </w:rPr>
        <w:t>.</w:t>
      </w:r>
    </w:p>
    <w:p w14:paraId="3A998EBD" w14:textId="7103FEFB" w:rsidR="00F629DD" w:rsidRPr="00F629DD" w:rsidRDefault="00F629DD" w:rsidP="00F629DD">
      <w:pPr>
        <w:spacing w:line="480" w:lineRule="auto"/>
        <w:jc w:val="both"/>
        <w:rPr>
          <w:rFonts w:eastAsia="Times New Roman"/>
          <w:szCs w:val="28"/>
          <w:u w:val="single"/>
          <w:lang w:val="en-GB"/>
        </w:rPr>
      </w:pPr>
      <w:r>
        <w:rPr>
          <w:rFonts w:eastAsia="Times New Roman"/>
          <w:szCs w:val="28"/>
          <w:u w:val="single"/>
          <w:lang w:val="en-GB"/>
        </w:rPr>
        <w:t>The supplementary affidavit:</w:t>
      </w:r>
    </w:p>
    <w:p w14:paraId="4E963BD5" w14:textId="4D67E425" w:rsidR="00BF3440" w:rsidRPr="00D5654C" w:rsidRDefault="00D5654C" w:rsidP="00D5654C">
      <w:pPr>
        <w:tabs>
          <w:tab w:val="left" w:pos="851"/>
        </w:tabs>
        <w:spacing w:line="480" w:lineRule="auto"/>
        <w:ind w:left="851" w:hanging="851"/>
        <w:jc w:val="both"/>
        <w:rPr>
          <w:rFonts w:eastAsia="Times New Roman"/>
          <w:szCs w:val="28"/>
          <w:lang w:val="en-GB"/>
        </w:rPr>
      </w:pPr>
      <w:r w:rsidRPr="004D65D4">
        <w:rPr>
          <w:rFonts w:eastAsia="Times New Roman"/>
          <w:szCs w:val="28"/>
          <w:lang w:val="en-GB"/>
        </w:rPr>
        <w:t>21.</w:t>
      </w:r>
      <w:r w:rsidRPr="004D65D4">
        <w:rPr>
          <w:rFonts w:eastAsia="Times New Roman"/>
          <w:szCs w:val="28"/>
          <w:lang w:val="en-GB"/>
        </w:rPr>
        <w:tab/>
      </w:r>
      <w:r w:rsidR="00F629DD" w:rsidRPr="00D5654C">
        <w:rPr>
          <w:rFonts w:eastAsia="Times New Roman"/>
          <w:szCs w:val="28"/>
          <w:lang w:val="en-GB"/>
        </w:rPr>
        <w:t xml:space="preserve">The present application was set down for hearing on 15 February 2024. </w:t>
      </w:r>
      <w:r w:rsidR="004D65D4" w:rsidRPr="00D5654C">
        <w:rPr>
          <w:rFonts w:eastAsia="Times New Roman"/>
          <w:szCs w:val="28"/>
          <w:lang w:val="en-GB"/>
        </w:rPr>
        <w:t xml:space="preserve"> </w:t>
      </w:r>
      <w:r w:rsidR="00BF3440" w:rsidRPr="00D5654C">
        <w:rPr>
          <w:rFonts w:eastAsia="Times New Roman"/>
          <w:szCs w:val="28"/>
          <w:lang w:val="en-GB"/>
        </w:rPr>
        <w:t xml:space="preserve">The </w:t>
      </w:r>
      <w:r w:rsidR="004F08E0" w:rsidRPr="00D5654C">
        <w:rPr>
          <w:rFonts w:eastAsia="Times New Roman"/>
          <w:szCs w:val="28"/>
          <w:lang w:val="en-GB"/>
        </w:rPr>
        <w:t xml:space="preserve">Second </w:t>
      </w:r>
      <w:r w:rsidR="00BF3440" w:rsidRPr="00D5654C">
        <w:rPr>
          <w:rFonts w:eastAsia="Times New Roman"/>
          <w:szCs w:val="28"/>
          <w:lang w:val="en-GB"/>
        </w:rPr>
        <w:t xml:space="preserve">Respondent delivered a </w:t>
      </w:r>
      <w:r w:rsidR="0064063B" w:rsidRPr="00D5654C">
        <w:rPr>
          <w:rFonts w:eastAsia="Times New Roman"/>
          <w:szCs w:val="28"/>
          <w:lang w:val="en-GB"/>
        </w:rPr>
        <w:t>supplementary affidavit at a late stage</w:t>
      </w:r>
      <w:r w:rsidR="00EA063D" w:rsidRPr="00D5654C">
        <w:rPr>
          <w:rFonts w:eastAsia="Times New Roman"/>
          <w:szCs w:val="28"/>
          <w:lang w:val="en-GB"/>
        </w:rPr>
        <w:t>, but the Applicant responded thereto</w:t>
      </w:r>
      <w:r w:rsidR="00BF3440" w:rsidRPr="00D5654C">
        <w:rPr>
          <w:rFonts w:eastAsia="Times New Roman"/>
          <w:szCs w:val="28"/>
          <w:lang w:val="en-GB"/>
        </w:rPr>
        <w:t xml:space="preserve">. </w:t>
      </w:r>
      <w:r w:rsidR="004F08E0" w:rsidRPr="00D5654C">
        <w:rPr>
          <w:rFonts w:eastAsia="Times New Roman"/>
          <w:szCs w:val="28"/>
          <w:lang w:val="en-GB"/>
        </w:rPr>
        <w:t xml:space="preserve"> </w:t>
      </w:r>
      <w:r w:rsidR="00BF3440" w:rsidRPr="00D5654C">
        <w:rPr>
          <w:rFonts w:eastAsia="Times New Roman"/>
          <w:szCs w:val="28"/>
          <w:lang w:val="en-GB"/>
        </w:rPr>
        <w:t xml:space="preserve">The grounds presented in respect of </w:t>
      </w:r>
      <w:r w:rsidR="00632957" w:rsidRPr="00D5654C">
        <w:rPr>
          <w:rFonts w:eastAsia="Times New Roman"/>
          <w:szCs w:val="28"/>
          <w:lang w:val="en-GB"/>
        </w:rPr>
        <w:t>seeking leave for the admission of the affidavit</w:t>
      </w:r>
      <w:r w:rsidR="00BF3440" w:rsidRPr="00D5654C">
        <w:rPr>
          <w:rFonts w:eastAsia="Times New Roman"/>
          <w:szCs w:val="28"/>
          <w:lang w:val="en-GB"/>
        </w:rPr>
        <w:t xml:space="preserve"> </w:t>
      </w:r>
      <w:r w:rsidR="00EA063D" w:rsidRPr="00D5654C">
        <w:rPr>
          <w:rFonts w:eastAsia="Times New Roman"/>
          <w:szCs w:val="28"/>
          <w:lang w:val="en-GB"/>
        </w:rPr>
        <w:t>were</w:t>
      </w:r>
      <w:r w:rsidR="00BF3440" w:rsidRPr="00D5654C">
        <w:rPr>
          <w:rFonts w:eastAsia="Times New Roman"/>
          <w:szCs w:val="28"/>
          <w:lang w:val="en-GB"/>
        </w:rPr>
        <w:t xml:space="preserve"> somewhat scant</w:t>
      </w:r>
      <w:r w:rsidR="00EA063D" w:rsidRPr="00D5654C">
        <w:rPr>
          <w:rFonts w:eastAsia="Times New Roman"/>
          <w:szCs w:val="28"/>
          <w:lang w:val="en-GB"/>
        </w:rPr>
        <w:t>,</w:t>
      </w:r>
      <w:r w:rsidR="00BF3440" w:rsidRPr="00D5654C">
        <w:rPr>
          <w:rFonts w:eastAsia="Times New Roman"/>
          <w:szCs w:val="28"/>
          <w:lang w:val="en-GB"/>
        </w:rPr>
        <w:t xml:space="preserve"> but </w:t>
      </w:r>
      <w:r w:rsidR="00A92E42" w:rsidRPr="00D5654C">
        <w:rPr>
          <w:rFonts w:eastAsia="Times New Roman"/>
          <w:szCs w:val="28"/>
          <w:lang w:val="en-GB"/>
        </w:rPr>
        <w:t>considering</w:t>
      </w:r>
      <w:r w:rsidR="00BF3440" w:rsidRPr="00D5654C">
        <w:rPr>
          <w:rFonts w:eastAsia="Times New Roman"/>
          <w:szCs w:val="28"/>
          <w:lang w:val="en-GB"/>
        </w:rPr>
        <w:t xml:space="preserve"> the circumstances </w:t>
      </w:r>
      <w:r w:rsidR="00EF35E6" w:rsidRPr="00D5654C">
        <w:rPr>
          <w:rFonts w:eastAsia="Times New Roman"/>
          <w:szCs w:val="28"/>
          <w:lang w:val="en-GB"/>
        </w:rPr>
        <w:t>the supplementary affidavit was admitted.</w:t>
      </w:r>
    </w:p>
    <w:p w14:paraId="747AFA7E" w14:textId="3B9A00E5"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22.</w:t>
      </w:r>
      <w:r w:rsidRPr="00BF3440">
        <w:rPr>
          <w:rFonts w:eastAsia="Times New Roman"/>
          <w:szCs w:val="28"/>
          <w:lang w:val="en-GB"/>
        </w:rPr>
        <w:tab/>
      </w:r>
      <w:r w:rsidR="00BF3440" w:rsidRPr="00BF3440">
        <w:rPr>
          <w:rFonts w:eastAsia="Times New Roman"/>
          <w:szCs w:val="28"/>
          <w:lang w:val="en-GB"/>
        </w:rPr>
        <w:t xml:space="preserve">The Second Respondent stated at paragraph 6 </w:t>
      </w:r>
      <w:r w:rsidR="00362549">
        <w:rPr>
          <w:rFonts w:eastAsia="Times New Roman"/>
          <w:szCs w:val="28"/>
          <w:lang w:val="en-GB"/>
        </w:rPr>
        <w:t xml:space="preserve">of the supplementary affidavit that </w:t>
      </w:r>
      <w:r w:rsidR="00BF3440" w:rsidRPr="00BF3440">
        <w:rPr>
          <w:rFonts w:eastAsia="Times New Roman"/>
          <w:szCs w:val="28"/>
          <w:lang w:val="en-GB"/>
        </w:rPr>
        <w:t xml:space="preserve">the apparent purpose of the affidavit </w:t>
      </w:r>
      <w:r w:rsidR="00362549">
        <w:rPr>
          <w:rFonts w:eastAsia="Times New Roman"/>
          <w:szCs w:val="28"/>
          <w:lang w:val="en-GB"/>
        </w:rPr>
        <w:t>is</w:t>
      </w:r>
      <w:r w:rsidR="00BF3440" w:rsidRPr="00BF3440">
        <w:rPr>
          <w:rFonts w:eastAsia="Times New Roman"/>
          <w:szCs w:val="28"/>
          <w:lang w:val="en-GB"/>
        </w:rPr>
        <w:t>:</w:t>
      </w:r>
    </w:p>
    <w:p w14:paraId="2CE8A48B" w14:textId="215E5971" w:rsidR="00BF3440" w:rsidRPr="00BF3440" w:rsidRDefault="00D5654C" w:rsidP="00D5654C">
      <w:pPr>
        <w:tabs>
          <w:tab w:val="left" w:pos="1701"/>
        </w:tabs>
        <w:spacing w:before="360" w:after="360" w:line="480" w:lineRule="auto"/>
        <w:ind w:left="1701" w:hanging="850"/>
        <w:jc w:val="both"/>
        <w:rPr>
          <w:rFonts w:eastAsia="Times New Roman"/>
          <w:szCs w:val="28"/>
          <w:lang w:val="en-GB"/>
        </w:rPr>
      </w:pPr>
      <w:r w:rsidRPr="00BF3440">
        <w:rPr>
          <w:rFonts w:eastAsia="Times New Roman"/>
          <w:szCs w:val="28"/>
          <w:lang w:val="en-GB"/>
        </w:rPr>
        <w:t>22.1.</w:t>
      </w:r>
      <w:r w:rsidRPr="00BF3440">
        <w:rPr>
          <w:rFonts w:eastAsia="Times New Roman"/>
          <w:szCs w:val="28"/>
          <w:lang w:val="en-GB"/>
        </w:rPr>
        <w:tab/>
      </w:r>
      <w:r w:rsidR="00BF3440" w:rsidRPr="00BF3440">
        <w:rPr>
          <w:rFonts w:eastAsia="Times New Roman"/>
          <w:szCs w:val="28"/>
          <w:lang w:val="en-GB"/>
        </w:rPr>
        <w:t xml:space="preserve">To reiterate that the Second Respondent remain serious to purchase the 50% member’s interest in the First </w:t>
      </w:r>
      <w:proofErr w:type="gramStart"/>
      <w:r w:rsidR="00BF3440" w:rsidRPr="00BF3440">
        <w:rPr>
          <w:rFonts w:eastAsia="Times New Roman"/>
          <w:szCs w:val="28"/>
          <w:lang w:val="en-GB"/>
        </w:rPr>
        <w:t>Respondent;</w:t>
      </w:r>
      <w:proofErr w:type="gramEnd"/>
    </w:p>
    <w:p w14:paraId="73FD35BF" w14:textId="4BF56CDE" w:rsidR="00BF3440" w:rsidRPr="00BF3440" w:rsidRDefault="00D5654C" w:rsidP="00D5654C">
      <w:pPr>
        <w:tabs>
          <w:tab w:val="left" w:pos="1701"/>
        </w:tabs>
        <w:spacing w:before="360" w:after="360" w:line="480" w:lineRule="auto"/>
        <w:ind w:left="1701" w:hanging="850"/>
        <w:jc w:val="both"/>
        <w:rPr>
          <w:rFonts w:eastAsia="Times New Roman"/>
          <w:szCs w:val="28"/>
          <w:lang w:val="en-GB"/>
        </w:rPr>
      </w:pPr>
      <w:r w:rsidRPr="00BF3440">
        <w:rPr>
          <w:rFonts w:eastAsia="Times New Roman"/>
          <w:szCs w:val="28"/>
          <w:lang w:val="en-GB"/>
        </w:rPr>
        <w:t>22.2.</w:t>
      </w:r>
      <w:r w:rsidRPr="00BF3440">
        <w:rPr>
          <w:rFonts w:eastAsia="Times New Roman"/>
          <w:szCs w:val="28"/>
          <w:lang w:val="en-GB"/>
        </w:rPr>
        <w:tab/>
      </w:r>
      <w:r w:rsidR="00BF3440" w:rsidRPr="00BF3440">
        <w:rPr>
          <w:rFonts w:eastAsia="Times New Roman"/>
          <w:szCs w:val="28"/>
          <w:lang w:val="en-GB"/>
        </w:rPr>
        <w:t xml:space="preserve">To provide facts that indicate he was willing and eager to comply with the court order dated 7 December </w:t>
      </w:r>
      <w:proofErr w:type="gramStart"/>
      <w:r w:rsidR="00BF3440" w:rsidRPr="00BF3440">
        <w:rPr>
          <w:rFonts w:eastAsia="Times New Roman"/>
          <w:szCs w:val="28"/>
          <w:lang w:val="en-GB"/>
        </w:rPr>
        <w:t>2021;</w:t>
      </w:r>
      <w:proofErr w:type="gramEnd"/>
    </w:p>
    <w:p w14:paraId="5403C4A4" w14:textId="7D0F3872" w:rsidR="00BF3440" w:rsidRPr="00BF3440" w:rsidRDefault="00D5654C" w:rsidP="00D5654C">
      <w:pPr>
        <w:tabs>
          <w:tab w:val="left" w:pos="1701"/>
        </w:tabs>
        <w:spacing w:before="360" w:after="360" w:line="480" w:lineRule="auto"/>
        <w:ind w:left="1701" w:hanging="850"/>
        <w:jc w:val="both"/>
        <w:rPr>
          <w:rFonts w:eastAsia="Times New Roman"/>
          <w:szCs w:val="28"/>
          <w:lang w:val="en-GB"/>
        </w:rPr>
      </w:pPr>
      <w:r w:rsidRPr="00BF3440">
        <w:rPr>
          <w:rFonts w:eastAsia="Times New Roman"/>
          <w:szCs w:val="28"/>
          <w:lang w:val="en-GB"/>
        </w:rPr>
        <w:t>22.3.</w:t>
      </w:r>
      <w:r w:rsidRPr="00BF3440">
        <w:rPr>
          <w:rFonts w:eastAsia="Times New Roman"/>
          <w:szCs w:val="28"/>
          <w:lang w:val="en-GB"/>
        </w:rPr>
        <w:tab/>
      </w:r>
      <w:r w:rsidR="00BF3440" w:rsidRPr="00BF3440">
        <w:rPr>
          <w:rFonts w:eastAsia="Times New Roman"/>
          <w:szCs w:val="28"/>
          <w:lang w:val="en-GB"/>
        </w:rPr>
        <w:t xml:space="preserve">To maintain and remain confident that there exists no basis in law or fact for the First Respondent to be </w:t>
      </w:r>
      <w:proofErr w:type="gramStart"/>
      <w:r w:rsidR="00BF3440" w:rsidRPr="00BF3440">
        <w:rPr>
          <w:rFonts w:eastAsia="Times New Roman"/>
          <w:szCs w:val="28"/>
          <w:lang w:val="en-GB"/>
        </w:rPr>
        <w:t>liquidated;</w:t>
      </w:r>
      <w:proofErr w:type="gramEnd"/>
    </w:p>
    <w:p w14:paraId="2F9BA2EB" w14:textId="2C4563B7" w:rsidR="00BF3440" w:rsidRPr="00BF3440" w:rsidRDefault="00D5654C" w:rsidP="00D5654C">
      <w:pPr>
        <w:tabs>
          <w:tab w:val="left" w:pos="1701"/>
        </w:tabs>
        <w:spacing w:before="360" w:after="360" w:line="480" w:lineRule="auto"/>
        <w:ind w:left="1701" w:hanging="850"/>
        <w:jc w:val="both"/>
        <w:rPr>
          <w:rFonts w:eastAsia="Times New Roman"/>
          <w:szCs w:val="28"/>
          <w:lang w:val="en-GB"/>
        </w:rPr>
      </w:pPr>
      <w:r w:rsidRPr="00BF3440">
        <w:rPr>
          <w:rFonts w:eastAsia="Times New Roman"/>
          <w:szCs w:val="28"/>
          <w:lang w:val="en-GB"/>
        </w:rPr>
        <w:t>22.4.</w:t>
      </w:r>
      <w:r w:rsidRPr="00BF3440">
        <w:rPr>
          <w:rFonts w:eastAsia="Times New Roman"/>
          <w:szCs w:val="28"/>
          <w:lang w:val="en-GB"/>
        </w:rPr>
        <w:tab/>
      </w:r>
      <w:r w:rsidR="00BF3440" w:rsidRPr="00BF3440">
        <w:rPr>
          <w:rFonts w:eastAsia="Times New Roman"/>
          <w:szCs w:val="28"/>
          <w:lang w:val="en-GB"/>
        </w:rPr>
        <w:t xml:space="preserve">To provide facts that after the filing of the answering affidavit the Second Respondent and his daughter attempted unsuccessfully to </w:t>
      </w:r>
      <w:r w:rsidR="00BF3440" w:rsidRPr="00BF3440">
        <w:rPr>
          <w:rFonts w:eastAsia="Times New Roman"/>
          <w:szCs w:val="28"/>
          <w:lang w:val="en-GB"/>
        </w:rPr>
        <w:lastRenderedPageBreak/>
        <w:t xml:space="preserve">engage Mr </w:t>
      </w:r>
      <w:r w:rsidR="004562DC">
        <w:rPr>
          <w:rFonts w:eastAsia="Times New Roman"/>
          <w:szCs w:val="28"/>
          <w:lang w:val="en-GB"/>
        </w:rPr>
        <w:t>Hawman</w:t>
      </w:r>
      <w:r w:rsidR="00BF3440" w:rsidRPr="00BF3440">
        <w:rPr>
          <w:rFonts w:eastAsia="Times New Roman"/>
          <w:szCs w:val="28"/>
          <w:lang w:val="en-GB"/>
        </w:rPr>
        <w:t>, ostensibly the previous accountant of the First Respondent, to obtain information and documents from him;</w:t>
      </w:r>
      <w:r w:rsidR="00A138CE">
        <w:rPr>
          <w:rFonts w:eastAsia="Times New Roman"/>
          <w:szCs w:val="28"/>
          <w:lang w:val="en-GB"/>
        </w:rPr>
        <w:t xml:space="preserve"> and</w:t>
      </w:r>
    </w:p>
    <w:p w14:paraId="00C5D4F6" w14:textId="2337BC74" w:rsidR="00BF3440" w:rsidRPr="00BF3440" w:rsidRDefault="00D5654C" w:rsidP="00D5654C">
      <w:pPr>
        <w:tabs>
          <w:tab w:val="left" w:pos="1701"/>
        </w:tabs>
        <w:spacing w:before="360" w:after="360" w:line="480" w:lineRule="auto"/>
        <w:ind w:left="1701" w:hanging="850"/>
        <w:jc w:val="both"/>
        <w:rPr>
          <w:rFonts w:eastAsia="Times New Roman"/>
          <w:szCs w:val="28"/>
          <w:lang w:val="en-GB"/>
        </w:rPr>
      </w:pPr>
      <w:r w:rsidRPr="00BF3440">
        <w:rPr>
          <w:rFonts w:eastAsia="Times New Roman"/>
          <w:szCs w:val="28"/>
          <w:lang w:val="en-GB"/>
        </w:rPr>
        <w:t>22.5.</w:t>
      </w:r>
      <w:r w:rsidRPr="00BF3440">
        <w:rPr>
          <w:rFonts w:eastAsia="Times New Roman"/>
          <w:szCs w:val="28"/>
          <w:lang w:val="en-GB"/>
        </w:rPr>
        <w:tab/>
      </w:r>
      <w:r w:rsidR="00BF3440" w:rsidRPr="00BF3440">
        <w:rPr>
          <w:rFonts w:eastAsia="Times New Roman"/>
          <w:szCs w:val="28"/>
          <w:lang w:val="en-GB"/>
        </w:rPr>
        <w:t xml:space="preserve">That in consequence of the aforesaid, they were forced to consult and appoint Mrs Karien Van der </w:t>
      </w:r>
      <w:proofErr w:type="spellStart"/>
      <w:r w:rsidR="00BF3440" w:rsidRPr="00BF3440">
        <w:rPr>
          <w:rFonts w:eastAsia="Times New Roman"/>
          <w:szCs w:val="28"/>
          <w:lang w:val="en-GB"/>
        </w:rPr>
        <w:t>Schyff</w:t>
      </w:r>
      <w:proofErr w:type="spellEnd"/>
      <w:r w:rsidR="00BF3440" w:rsidRPr="00BF3440">
        <w:rPr>
          <w:rFonts w:eastAsia="Times New Roman"/>
          <w:szCs w:val="28"/>
          <w:lang w:val="en-GB"/>
        </w:rPr>
        <w:t>, an accountant from SBLJ Financial Accountants, to assist in providing detailed ledgers and trial balances from 2017 to December 2021.</w:t>
      </w:r>
    </w:p>
    <w:p w14:paraId="40878EB3" w14:textId="67397B30"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23.</w:t>
      </w:r>
      <w:r w:rsidRPr="00BF3440">
        <w:rPr>
          <w:rFonts w:eastAsia="Times New Roman"/>
          <w:szCs w:val="28"/>
          <w:lang w:val="en-GB"/>
        </w:rPr>
        <w:tab/>
      </w:r>
      <w:r w:rsidR="00BF3440" w:rsidRPr="00BF3440">
        <w:rPr>
          <w:rFonts w:eastAsia="Times New Roman"/>
          <w:szCs w:val="28"/>
          <w:lang w:val="en-GB"/>
        </w:rPr>
        <w:t>In paragraph 8 of the further affidavit</w:t>
      </w:r>
      <w:r w:rsidR="009B6B88">
        <w:rPr>
          <w:rFonts w:eastAsia="Times New Roman"/>
          <w:szCs w:val="28"/>
          <w:lang w:val="en-GB"/>
        </w:rPr>
        <w:t>,</w:t>
      </w:r>
      <w:r w:rsidR="00BF3440" w:rsidRPr="00BF3440">
        <w:rPr>
          <w:rFonts w:eastAsia="Times New Roman"/>
          <w:szCs w:val="28"/>
          <w:lang w:val="en-GB"/>
        </w:rPr>
        <w:t xml:space="preserve"> it is stated that the facts deposed to in the supplementary affidavit arose after the delivery of the answering affidavit. </w:t>
      </w:r>
    </w:p>
    <w:p w14:paraId="2B7A3EC0" w14:textId="0CD52001"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24.</w:t>
      </w:r>
      <w:r w:rsidRPr="00BF3440">
        <w:rPr>
          <w:rFonts w:eastAsia="Times New Roman"/>
          <w:szCs w:val="28"/>
          <w:lang w:val="en-GB"/>
        </w:rPr>
        <w:tab/>
      </w:r>
      <w:r w:rsidR="00684EFD">
        <w:rPr>
          <w:rFonts w:eastAsia="Times New Roman"/>
          <w:szCs w:val="28"/>
          <w:lang w:val="en-GB"/>
        </w:rPr>
        <w:t>T</w:t>
      </w:r>
      <w:r w:rsidR="00BF3440" w:rsidRPr="00BF3440">
        <w:rPr>
          <w:rFonts w:eastAsia="Times New Roman"/>
          <w:szCs w:val="28"/>
          <w:lang w:val="en-GB"/>
        </w:rPr>
        <w:t xml:space="preserve">he </w:t>
      </w:r>
      <w:r w:rsidR="00F64B5B">
        <w:rPr>
          <w:rFonts w:eastAsia="Times New Roman"/>
          <w:szCs w:val="28"/>
          <w:lang w:val="en-GB"/>
        </w:rPr>
        <w:t xml:space="preserve">purported </w:t>
      </w:r>
      <w:r w:rsidR="00684EFD">
        <w:rPr>
          <w:rFonts w:eastAsia="Times New Roman"/>
          <w:szCs w:val="28"/>
          <w:lang w:val="en-GB"/>
        </w:rPr>
        <w:t xml:space="preserve">attempts </w:t>
      </w:r>
      <w:r w:rsidR="00E23A9A">
        <w:rPr>
          <w:rFonts w:eastAsia="Times New Roman"/>
          <w:szCs w:val="28"/>
          <w:lang w:val="en-GB"/>
        </w:rPr>
        <w:t xml:space="preserve">by the Second Respondent </w:t>
      </w:r>
      <w:r w:rsidR="00684EFD">
        <w:rPr>
          <w:rFonts w:eastAsia="Times New Roman"/>
          <w:szCs w:val="28"/>
          <w:lang w:val="en-GB"/>
        </w:rPr>
        <w:t xml:space="preserve">to contact </w:t>
      </w:r>
      <w:r w:rsidR="00BF3440" w:rsidRPr="00BF3440">
        <w:rPr>
          <w:rFonts w:eastAsia="Times New Roman"/>
          <w:szCs w:val="28"/>
          <w:lang w:val="en-GB"/>
        </w:rPr>
        <w:t xml:space="preserve">Mr </w:t>
      </w:r>
      <w:r w:rsidR="004562DC">
        <w:rPr>
          <w:rFonts w:eastAsia="Times New Roman"/>
          <w:szCs w:val="28"/>
          <w:lang w:val="en-GB"/>
        </w:rPr>
        <w:t>Hawman</w:t>
      </w:r>
      <w:r w:rsidR="00E23A9A">
        <w:rPr>
          <w:rFonts w:eastAsia="Times New Roman"/>
          <w:szCs w:val="28"/>
          <w:lang w:val="en-GB"/>
        </w:rPr>
        <w:t xml:space="preserve"> (the First Respondent’s accountant)</w:t>
      </w:r>
      <w:r w:rsidR="00BF3440" w:rsidRPr="00BF3440">
        <w:rPr>
          <w:rFonts w:eastAsia="Times New Roman"/>
          <w:szCs w:val="28"/>
          <w:lang w:val="en-GB"/>
        </w:rPr>
        <w:t xml:space="preserve"> and the intention, failing a response from Mr </w:t>
      </w:r>
      <w:r w:rsidR="004562DC">
        <w:rPr>
          <w:rFonts w:eastAsia="Times New Roman"/>
          <w:szCs w:val="28"/>
          <w:lang w:val="en-GB"/>
        </w:rPr>
        <w:t>Hawman</w:t>
      </w:r>
      <w:r w:rsidR="00BF3440" w:rsidRPr="00BF3440">
        <w:rPr>
          <w:rFonts w:eastAsia="Times New Roman"/>
          <w:szCs w:val="28"/>
          <w:lang w:val="en-GB"/>
        </w:rPr>
        <w:t xml:space="preserve">, to appoint a new accountant was not referred to in the answering affidavit. </w:t>
      </w:r>
      <w:r w:rsidR="00D21F32">
        <w:rPr>
          <w:rFonts w:eastAsia="Times New Roman"/>
          <w:szCs w:val="28"/>
          <w:lang w:val="en-GB"/>
        </w:rPr>
        <w:t xml:space="preserve"> In fact, the contrary impression is created in the Answering Affidavit</w:t>
      </w:r>
      <w:r w:rsidR="00A81C43">
        <w:rPr>
          <w:rFonts w:eastAsia="Times New Roman"/>
          <w:szCs w:val="28"/>
          <w:lang w:val="en-GB"/>
        </w:rPr>
        <w:t>,</w:t>
      </w:r>
      <w:r w:rsidR="00D21F32">
        <w:rPr>
          <w:rFonts w:eastAsia="Times New Roman"/>
          <w:szCs w:val="28"/>
          <w:lang w:val="en-GB"/>
        </w:rPr>
        <w:t xml:space="preserve"> that Mr </w:t>
      </w:r>
      <w:r w:rsidR="004562DC">
        <w:rPr>
          <w:rFonts w:eastAsia="Times New Roman"/>
          <w:szCs w:val="28"/>
          <w:lang w:val="en-GB"/>
        </w:rPr>
        <w:t>Hawman</w:t>
      </w:r>
      <w:r w:rsidR="00D21F32">
        <w:rPr>
          <w:rFonts w:eastAsia="Times New Roman"/>
          <w:szCs w:val="28"/>
          <w:lang w:val="en-GB"/>
        </w:rPr>
        <w:t xml:space="preserve"> was </w:t>
      </w:r>
      <w:r w:rsidR="00DE2895">
        <w:rPr>
          <w:rFonts w:eastAsia="Times New Roman"/>
          <w:szCs w:val="28"/>
          <w:lang w:val="en-GB"/>
        </w:rPr>
        <w:t>ready to assist with such information as may be requested from him – he only waited for instructions to do so from the Second Respondent.</w:t>
      </w:r>
      <w:r w:rsidR="00A81C43">
        <w:rPr>
          <w:rFonts w:eastAsia="Times New Roman"/>
          <w:szCs w:val="28"/>
          <w:lang w:val="en-GB"/>
        </w:rPr>
        <w:t xml:space="preserve">  The question arises why that instruction was not given by the Second Respondent.</w:t>
      </w:r>
    </w:p>
    <w:p w14:paraId="0BC602E7" w14:textId="301410CC"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25.</w:t>
      </w:r>
      <w:r w:rsidRPr="00BF3440">
        <w:rPr>
          <w:rFonts w:eastAsia="Times New Roman"/>
          <w:szCs w:val="28"/>
          <w:lang w:val="en-GB"/>
        </w:rPr>
        <w:tab/>
      </w:r>
      <w:r w:rsidR="00670549">
        <w:rPr>
          <w:rFonts w:eastAsia="Times New Roman"/>
          <w:szCs w:val="28"/>
          <w:lang w:val="en-GB"/>
        </w:rPr>
        <w:t>The case made in the further affidavit is primary based upon the premise that the Second Respondent has now instructed a new accountant</w:t>
      </w:r>
      <w:r w:rsidR="001936A8">
        <w:rPr>
          <w:rFonts w:eastAsia="Times New Roman"/>
          <w:szCs w:val="28"/>
          <w:lang w:val="en-GB"/>
        </w:rPr>
        <w:t>,</w:t>
      </w:r>
      <w:r w:rsidR="001936A8" w:rsidRPr="001936A8">
        <w:t xml:space="preserve"> </w:t>
      </w:r>
      <w:r w:rsidR="001936A8" w:rsidRPr="001936A8">
        <w:rPr>
          <w:rFonts w:eastAsia="Times New Roman"/>
          <w:szCs w:val="28"/>
          <w:lang w:val="en-GB"/>
        </w:rPr>
        <w:t xml:space="preserve">Ms Van der </w:t>
      </w:r>
      <w:proofErr w:type="spellStart"/>
      <w:r w:rsidR="001936A8" w:rsidRPr="001936A8">
        <w:rPr>
          <w:rFonts w:eastAsia="Times New Roman"/>
          <w:szCs w:val="28"/>
          <w:lang w:val="en-GB"/>
        </w:rPr>
        <w:t>Schyff</w:t>
      </w:r>
      <w:proofErr w:type="spellEnd"/>
      <w:r w:rsidR="001936A8">
        <w:rPr>
          <w:rFonts w:eastAsia="Times New Roman"/>
          <w:szCs w:val="28"/>
          <w:lang w:val="en-GB"/>
        </w:rPr>
        <w:t>,</w:t>
      </w:r>
      <w:r w:rsidR="00670549">
        <w:rPr>
          <w:rFonts w:eastAsia="Times New Roman"/>
          <w:szCs w:val="28"/>
          <w:lang w:val="en-GB"/>
        </w:rPr>
        <w:t xml:space="preserve"> and that the information requested would now be provided.  </w:t>
      </w:r>
      <w:r w:rsidR="00BF3440" w:rsidRPr="00BF3440">
        <w:rPr>
          <w:rFonts w:eastAsia="Times New Roman"/>
          <w:szCs w:val="28"/>
          <w:lang w:val="en-GB"/>
        </w:rPr>
        <w:t xml:space="preserve">Considering the letter from Ms Van der </w:t>
      </w:r>
      <w:proofErr w:type="spellStart"/>
      <w:r w:rsidR="00BF3440" w:rsidRPr="00BF3440">
        <w:rPr>
          <w:rFonts w:eastAsia="Times New Roman"/>
          <w:szCs w:val="28"/>
          <w:lang w:val="en-GB"/>
        </w:rPr>
        <w:t>Schyff</w:t>
      </w:r>
      <w:proofErr w:type="spellEnd"/>
      <w:r w:rsidR="00BF3440" w:rsidRPr="00BF3440">
        <w:rPr>
          <w:rFonts w:eastAsia="Times New Roman"/>
          <w:szCs w:val="28"/>
          <w:lang w:val="en-GB"/>
        </w:rPr>
        <w:t xml:space="preserve"> attached as annexure </w:t>
      </w:r>
      <w:r w:rsidR="00BF3440" w:rsidRPr="00BF3440">
        <w:rPr>
          <w:rFonts w:eastAsia="Times New Roman"/>
          <w:b/>
          <w:bCs/>
          <w:szCs w:val="28"/>
          <w:lang w:val="en-GB"/>
        </w:rPr>
        <w:t>“MS2”</w:t>
      </w:r>
      <w:r w:rsidR="00BF3440" w:rsidRPr="00BF3440">
        <w:rPr>
          <w:rFonts w:eastAsia="Times New Roman"/>
          <w:szCs w:val="28"/>
          <w:lang w:val="en-GB"/>
        </w:rPr>
        <w:t xml:space="preserve"> at Caselines 001-117 she clearly presents </w:t>
      </w:r>
      <w:r w:rsidR="00075282" w:rsidRPr="00BF3440">
        <w:rPr>
          <w:rFonts w:eastAsia="Times New Roman"/>
          <w:szCs w:val="28"/>
          <w:lang w:val="en-GB"/>
        </w:rPr>
        <w:t>several</w:t>
      </w:r>
      <w:r w:rsidR="00BF3440" w:rsidRPr="00BF3440">
        <w:rPr>
          <w:rFonts w:eastAsia="Times New Roman"/>
          <w:szCs w:val="28"/>
          <w:lang w:val="en-GB"/>
        </w:rPr>
        <w:t xml:space="preserve"> important qualifications </w:t>
      </w:r>
      <w:r w:rsidR="00075282">
        <w:rPr>
          <w:rFonts w:eastAsia="Times New Roman"/>
          <w:szCs w:val="28"/>
          <w:lang w:val="en-GB"/>
        </w:rPr>
        <w:t xml:space="preserve">relating to the documents which she </w:t>
      </w:r>
      <w:r w:rsidR="001936A8">
        <w:rPr>
          <w:rFonts w:eastAsia="Times New Roman"/>
          <w:szCs w:val="28"/>
          <w:lang w:val="en-GB"/>
        </w:rPr>
        <w:t>was</w:t>
      </w:r>
      <w:r w:rsidR="00075282">
        <w:rPr>
          <w:rFonts w:eastAsia="Times New Roman"/>
          <w:szCs w:val="28"/>
          <w:lang w:val="en-GB"/>
        </w:rPr>
        <w:t xml:space="preserve"> and attached to the supplementary affidavit, </w:t>
      </w:r>
      <w:r w:rsidR="00BF3440" w:rsidRPr="00BF3440">
        <w:rPr>
          <w:rFonts w:eastAsia="Times New Roman"/>
          <w:szCs w:val="28"/>
          <w:lang w:val="en-GB"/>
        </w:rPr>
        <w:t>namely:</w:t>
      </w:r>
    </w:p>
    <w:p w14:paraId="4669FF68" w14:textId="77777777" w:rsidR="00BF3440" w:rsidRPr="00BF3440" w:rsidRDefault="00BF3440" w:rsidP="00BF3440">
      <w:pPr>
        <w:spacing w:before="360" w:after="360" w:line="360" w:lineRule="auto"/>
        <w:ind w:left="1134"/>
        <w:jc w:val="both"/>
        <w:rPr>
          <w:rFonts w:eastAsia="Times New Roman"/>
          <w:i/>
          <w:iCs/>
          <w:szCs w:val="28"/>
          <w:lang w:val="en-GB"/>
        </w:rPr>
      </w:pPr>
      <w:r w:rsidRPr="00BF3440">
        <w:rPr>
          <w:rFonts w:eastAsia="Times New Roman"/>
          <w:szCs w:val="28"/>
          <w:lang w:val="en-GB"/>
        </w:rPr>
        <w:lastRenderedPageBreak/>
        <w:t>“</w:t>
      </w:r>
      <w:r w:rsidRPr="00BF3440">
        <w:rPr>
          <w:rFonts w:eastAsia="Times New Roman"/>
          <w:i/>
          <w:iCs/>
          <w:szCs w:val="28"/>
          <w:lang w:val="en-GB"/>
        </w:rPr>
        <w:t>The source documents available to generate the management statements were bank statements only. I did not have access to any supporting documents, that is invoices for customers and suppliers.</w:t>
      </w:r>
    </w:p>
    <w:p w14:paraId="6B78080E" w14:textId="77777777" w:rsidR="00BF3440" w:rsidRPr="00BF3440" w:rsidRDefault="00BF3440" w:rsidP="00BF3440">
      <w:pPr>
        <w:spacing w:before="360" w:after="360" w:line="360" w:lineRule="auto"/>
        <w:ind w:left="1134"/>
        <w:jc w:val="both"/>
        <w:rPr>
          <w:rFonts w:eastAsia="Times New Roman"/>
          <w:i/>
          <w:iCs/>
          <w:szCs w:val="28"/>
          <w:lang w:val="en-GB"/>
        </w:rPr>
      </w:pPr>
      <w:r w:rsidRPr="00BF3440">
        <w:rPr>
          <w:rFonts w:eastAsia="Times New Roman"/>
          <w:i/>
          <w:iCs/>
          <w:szCs w:val="28"/>
          <w:lang w:val="en-GB"/>
        </w:rPr>
        <w:t xml:space="preserve">As a </w:t>
      </w:r>
      <w:proofErr w:type="gramStart"/>
      <w:r w:rsidRPr="00BF3440">
        <w:rPr>
          <w:rFonts w:eastAsia="Times New Roman"/>
          <w:i/>
          <w:iCs/>
          <w:szCs w:val="28"/>
          <w:lang w:val="en-GB"/>
        </w:rPr>
        <w:t>result</w:t>
      </w:r>
      <w:proofErr w:type="gramEnd"/>
      <w:r w:rsidRPr="00BF3440">
        <w:rPr>
          <w:rFonts w:eastAsia="Times New Roman"/>
          <w:i/>
          <w:iCs/>
          <w:szCs w:val="28"/>
          <w:lang w:val="en-GB"/>
        </w:rPr>
        <w:t xml:space="preserve"> I was not able to verify any transactions, the management statements were compiled with the information available.</w:t>
      </w:r>
    </w:p>
    <w:p w14:paraId="76D9E1AA" w14:textId="77777777" w:rsidR="00BF3440" w:rsidRPr="00BF3440" w:rsidRDefault="00BF3440" w:rsidP="00BF3440">
      <w:pPr>
        <w:spacing w:before="360" w:after="360" w:line="360" w:lineRule="auto"/>
        <w:ind w:left="1134"/>
        <w:jc w:val="both"/>
        <w:rPr>
          <w:rFonts w:eastAsia="Times New Roman"/>
          <w:i/>
          <w:iCs/>
          <w:szCs w:val="28"/>
          <w:lang w:val="en-GB"/>
        </w:rPr>
      </w:pPr>
      <w:r w:rsidRPr="00BF3440">
        <w:rPr>
          <w:rFonts w:eastAsia="Times New Roman"/>
          <w:i/>
          <w:iCs/>
          <w:szCs w:val="28"/>
          <w:lang w:val="en-GB"/>
        </w:rPr>
        <w:t xml:space="preserve">The assistance I can provide for Mr Monana </w:t>
      </w:r>
      <w:r w:rsidRPr="006C7BB6">
        <w:rPr>
          <w:rFonts w:eastAsia="Times New Roman"/>
          <w:szCs w:val="28"/>
          <w:lang w:val="en-GB"/>
        </w:rPr>
        <w:t>(sic)</w:t>
      </w:r>
      <w:r w:rsidRPr="00BF3440">
        <w:rPr>
          <w:rFonts w:eastAsia="Times New Roman"/>
          <w:i/>
          <w:iCs/>
          <w:szCs w:val="28"/>
          <w:lang w:val="en-GB"/>
        </w:rPr>
        <w:t xml:space="preserve"> is thus restricted to the trading figures as implied in the management statements.</w:t>
      </w:r>
    </w:p>
    <w:p w14:paraId="1FB33C35" w14:textId="77777777" w:rsidR="00BF3440" w:rsidRPr="00BF3440" w:rsidRDefault="00BF3440" w:rsidP="00BF3440">
      <w:pPr>
        <w:spacing w:before="360" w:after="360" w:line="360" w:lineRule="auto"/>
        <w:ind w:left="1134"/>
        <w:jc w:val="both"/>
        <w:rPr>
          <w:rFonts w:eastAsia="Times New Roman"/>
          <w:szCs w:val="28"/>
          <w:lang w:val="en-GB"/>
        </w:rPr>
      </w:pPr>
      <w:r w:rsidRPr="00BF3440">
        <w:rPr>
          <w:rFonts w:eastAsia="Times New Roman"/>
          <w:i/>
          <w:iCs/>
          <w:szCs w:val="28"/>
          <w:lang w:val="en-GB"/>
        </w:rPr>
        <w:t>I have no information on record regarding non-current or current assets except for the bank balances</w:t>
      </w:r>
      <w:r w:rsidRPr="00BF3440">
        <w:rPr>
          <w:rFonts w:eastAsia="Times New Roman"/>
          <w:szCs w:val="28"/>
          <w:lang w:val="en-GB"/>
        </w:rPr>
        <w:t>.”</w:t>
      </w:r>
    </w:p>
    <w:p w14:paraId="3A198410" w14:textId="536DA306" w:rsidR="00BF3440" w:rsidRDefault="00D5654C" w:rsidP="00D5654C">
      <w:pPr>
        <w:tabs>
          <w:tab w:val="left" w:pos="851"/>
        </w:tabs>
        <w:spacing w:before="360" w:after="360" w:line="480" w:lineRule="auto"/>
        <w:ind w:left="851" w:hanging="851"/>
        <w:jc w:val="both"/>
        <w:rPr>
          <w:rFonts w:eastAsia="Times New Roman"/>
          <w:szCs w:val="28"/>
          <w:lang w:val="en-GB"/>
        </w:rPr>
      </w:pPr>
      <w:r>
        <w:rPr>
          <w:rFonts w:eastAsia="Times New Roman"/>
          <w:szCs w:val="28"/>
          <w:lang w:val="en-GB"/>
        </w:rPr>
        <w:t>26.</w:t>
      </w:r>
      <w:r>
        <w:rPr>
          <w:rFonts w:eastAsia="Times New Roman"/>
          <w:szCs w:val="28"/>
          <w:lang w:val="en-GB"/>
        </w:rPr>
        <w:tab/>
      </w:r>
      <w:r w:rsidR="00BF3440" w:rsidRPr="00BF3440">
        <w:rPr>
          <w:rFonts w:eastAsia="Times New Roman"/>
          <w:szCs w:val="28"/>
          <w:lang w:val="en-GB"/>
        </w:rPr>
        <w:t xml:space="preserve">The very pertinent and important qualifications contained in the letter by Ms Van der </w:t>
      </w:r>
      <w:proofErr w:type="spellStart"/>
      <w:r w:rsidR="00BF3440" w:rsidRPr="00BF3440">
        <w:rPr>
          <w:rFonts w:eastAsia="Times New Roman"/>
          <w:szCs w:val="28"/>
          <w:lang w:val="en-GB"/>
        </w:rPr>
        <w:t>Schyff</w:t>
      </w:r>
      <w:proofErr w:type="spellEnd"/>
      <w:r w:rsidR="00BF3440" w:rsidRPr="00BF3440">
        <w:rPr>
          <w:rFonts w:eastAsia="Times New Roman"/>
          <w:szCs w:val="28"/>
          <w:lang w:val="en-GB"/>
        </w:rPr>
        <w:t xml:space="preserve"> is not unimportant</w:t>
      </w:r>
      <w:r w:rsidR="00BF3440" w:rsidRPr="00563362">
        <w:rPr>
          <w:rFonts w:eastAsia="Times New Roman"/>
          <w:szCs w:val="28"/>
          <w:lang w:val="en-GB"/>
        </w:rPr>
        <w:t>.</w:t>
      </w:r>
      <w:r w:rsidR="00563362">
        <w:rPr>
          <w:rFonts w:eastAsia="Times New Roman"/>
          <w:szCs w:val="28"/>
          <w:lang w:val="en-GB"/>
        </w:rPr>
        <w:t xml:space="preserve">  </w:t>
      </w:r>
      <w:r w:rsidR="00563362" w:rsidRPr="00563362">
        <w:rPr>
          <w:rFonts w:eastAsia="Times New Roman"/>
          <w:szCs w:val="28"/>
          <w:lang w:val="en-GB"/>
        </w:rPr>
        <w:t xml:space="preserve">When asked what value can be given to the documents prepared by Ms Van der </w:t>
      </w:r>
      <w:proofErr w:type="spellStart"/>
      <w:r w:rsidR="00563362" w:rsidRPr="00563362">
        <w:rPr>
          <w:rFonts w:eastAsia="Times New Roman"/>
          <w:szCs w:val="28"/>
          <w:lang w:val="en-GB"/>
        </w:rPr>
        <w:t>Schyff</w:t>
      </w:r>
      <w:proofErr w:type="spellEnd"/>
      <w:r w:rsidR="00563362" w:rsidRPr="00563362">
        <w:rPr>
          <w:rFonts w:eastAsia="Times New Roman"/>
          <w:szCs w:val="28"/>
          <w:lang w:val="en-GB"/>
        </w:rPr>
        <w:t xml:space="preserve"> </w:t>
      </w:r>
      <w:proofErr w:type="gramStart"/>
      <w:r w:rsidR="00563362" w:rsidRPr="00563362">
        <w:rPr>
          <w:rFonts w:eastAsia="Times New Roman"/>
          <w:szCs w:val="28"/>
          <w:lang w:val="en-GB"/>
        </w:rPr>
        <w:t>in light of</w:t>
      </w:r>
      <w:proofErr w:type="gramEnd"/>
      <w:r w:rsidR="00563362" w:rsidRPr="00563362">
        <w:rPr>
          <w:rFonts w:eastAsia="Times New Roman"/>
          <w:szCs w:val="28"/>
          <w:lang w:val="en-GB"/>
        </w:rPr>
        <w:t xml:space="preserve"> the above qualifications counsel on behalf of the Second Respondent could not provide any better answer than stating that he could not take the matter any further</w:t>
      </w:r>
      <w:r w:rsidR="00563362">
        <w:rPr>
          <w:rFonts w:eastAsia="Times New Roman"/>
          <w:szCs w:val="28"/>
          <w:lang w:val="en-GB"/>
        </w:rPr>
        <w:t xml:space="preserve">.  </w:t>
      </w:r>
      <w:r w:rsidR="009E58E0" w:rsidRPr="00563362">
        <w:rPr>
          <w:rFonts w:eastAsia="Times New Roman"/>
          <w:szCs w:val="28"/>
          <w:lang w:val="en-GB"/>
        </w:rPr>
        <w:t xml:space="preserve">Ms Van der </w:t>
      </w:r>
      <w:proofErr w:type="spellStart"/>
      <w:r w:rsidR="009E58E0" w:rsidRPr="00563362">
        <w:rPr>
          <w:rFonts w:eastAsia="Times New Roman"/>
          <w:szCs w:val="28"/>
          <w:lang w:val="en-GB"/>
        </w:rPr>
        <w:t>Schyff’s</w:t>
      </w:r>
      <w:proofErr w:type="spellEnd"/>
      <w:r w:rsidR="009E58E0" w:rsidRPr="00563362">
        <w:rPr>
          <w:rFonts w:eastAsia="Times New Roman"/>
          <w:szCs w:val="28"/>
          <w:lang w:val="en-GB"/>
        </w:rPr>
        <w:t xml:space="preserve"> summaries therefore do</w:t>
      </w:r>
      <w:r w:rsidR="007445EB" w:rsidRPr="00563362">
        <w:rPr>
          <w:rFonts w:eastAsia="Times New Roman"/>
          <w:szCs w:val="28"/>
          <w:lang w:val="en-GB"/>
        </w:rPr>
        <w:t xml:space="preserve"> </w:t>
      </w:r>
      <w:r w:rsidR="009E58E0" w:rsidRPr="00563362">
        <w:rPr>
          <w:rFonts w:eastAsia="Times New Roman"/>
          <w:szCs w:val="28"/>
          <w:lang w:val="en-GB"/>
        </w:rPr>
        <w:t>not address the inherent problem</w:t>
      </w:r>
      <w:r w:rsidR="009E58E0">
        <w:rPr>
          <w:rFonts w:eastAsia="Times New Roman"/>
          <w:szCs w:val="28"/>
          <w:lang w:val="en-GB"/>
        </w:rPr>
        <w:t xml:space="preserve"> in the financial information provided, and</w:t>
      </w:r>
      <w:r w:rsidR="002D0DC3">
        <w:rPr>
          <w:rFonts w:eastAsia="Times New Roman"/>
          <w:szCs w:val="28"/>
          <w:lang w:val="en-GB"/>
        </w:rPr>
        <w:t xml:space="preserve"> perhaps </w:t>
      </w:r>
      <w:r w:rsidR="003720B6">
        <w:rPr>
          <w:rFonts w:eastAsia="Times New Roman"/>
          <w:szCs w:val="28"/>
          <w:lang w:val="en-GB"/>
        </w:rPr>
        <w:t xml:space="preserve">more </w:t>
      </w:r>
      <w:r w:rsidR="002D0DC3">
        <w:rPr>
          <w:rFonts w:eastAsia="Times New Roman"/>
          <w:szCs w:val="28"/>
          <w:lang w:val="en-GB"/>
        </w:rPr>
        <w:t>pertinently</w:t>
      </w:r>
      <w:r w:rsidR="009E58E0">
        <w:rPr>
          <w:rFonts w:eastAsia="Times New Roman"/>
          <w:szCs w:val="28"/>
          <w:lang w:val="en-GB"/>
        </w:rPr>
        <w:t xml:space="preserve"> </w:t>
      </w:r>
      <w:r w:rsidR="002D0DC3">
        <w:rPr>
          <w:rFonts w:eastAsia="Times New Roman"/>
          <w:szCs w:val="28"/>
          <w:lang w:val="en-GB"/>
        </w:rPr>
        <w:t xml:space="preserve">the information </w:t>
      </w:r>
      <w:r w:rsidR="009E58E0">
        <w:rPr>
          <w:rFonts w:eastAsia="Times New Roman"/>
          <w:szCs w:val="28"/>
          <w:lang w:val="en-GB"/>
        </w:rPr>
        <w:t>not provided, as raised in Mr Ferreira’s report.</w:t>
      </w:r>
    </w:p>
    <w:p w14:paraId="445AA26D" w14:textId="4AD473DC" w:rsidR="0002519C" w:rsidRPr="0008341C" w:rsidRDefault="00D5654C" w:rsidP="00D5654C">
      <w:pPr>
        <w:tabs>
          <w:tab w:val="left" w:pos="851"/>
        </w:tabs>
        <w:spacing w:before="360" w:after="360" w:line="480" w:lineRule="auto"/>
        <w:ind w:left="851" w:hanging="851"/>
        <w:jc w:val="both"/>
        <w:rPr>
          <w:rFonts w:eastAsia="Times New Roman"/>
          <w:szCs w:val="28"/>
          <w:lang w:val="en-GB"/>
        </w:rPr>
      </w:pPr>
      <w:r w:rsidRPr="0008341C">
        <w:rPr>
          <w:rFonts w:eastAsia="Times New Roman"/>
          <w:szCs w:val="28"/>
          <w:lang w:val="en-GB"/>
        </w:rPr>
        <w:t>27.</w:t>
      </w:r>
      <w:r w:rsidRPr="0008341C">
        <w:rPr>
          <w:rFonts w:eastAsia="Times New Roman"/>
          <w:szCs w:val="28"/>
          <w:lang w:val="en-GB"/>
        </w:rPr>
        <w:tab/>
      </w:r>
      <w:r w:rsidR="002D0DC3">
        <w:rPr>
          <w:rFonts w:eastAsia="Times New Roman"/>
          <w:szCs w:val="28"/>
          <w:lang w:val="en-GB"/>
        </w:rPr>
        <w:t xml:space="preserve">The Second Respondent’s counsel contended that nothing turns on the findings by Mr Ferreira that there must be a second bank account as reference was made in the initial </w:t>
      </w:r>
      <w:r w:rsidR="002654FB">
        <w:rPr>
          <w:rFonts w:eastAsia="Times New Roman"/>
          <w:szCs w:val="28"/>
          <w:lang w:val="en-GB"/>
        </w:rPr>
        <w:t xml:space="preserve">application to two bank accounts.  The submission ignores the email by Mr Ferreira </w:t>
      </w:r>
      <w:r w:rsidR="00E50891">
        <w:rPr>
          <w:rFonts w:eastAsia="Times New Roman"/>
          <w:szCs w:val="28"/>
          <w:lang w:val="en-GB"/>
        </w:rPr>
        <w:t xml:space="preserve">of 2 March 2022 </w:t>
      </w:r>
      <w:r w:rsidR="009E02D0">
        <w:rPr>
          <w:rFonts w:eastAsia="Times New Roman"/>
          <w:szCs w:val="28"/>
          <w:lang w:val="en-GB"/>
        </w:rPr>
        <w:t>which included a list of information which specifically included “</w:t>
      </w:r>
      <w:r w:rsidR="009E02D0">
        <w:rPr>
          <w:rFonts w:eastAsia="Times New Roman"/>
          <w:i/>
          <w:iCs/>
          <w:szCs w:val="28"/>
          <w:lang w:val="en-GB"/>
        </w:rPr>
        <w:t>Bank statements from 1 March 2019 to 31 December 2021</w:t>
      </w:r>
      <w:r w:rsidR="009E02D0">
        <w:rPr>
          <w:rFonts w:eastAsia="Times New Roman"/>
          <w:szCs w:val="28"/>
          <w:lang w:val="en-GB"/>
        </w:rPr>
        <w:t>”.  It is apparent that only the bank statements relating to one account was provided</w:t>
      </w:r>
      <w:r w:rsidR="00F321C5">
        <w:rPr>
          <w:rFonts w:eastAsia="Times New Roman"/>
          <w:szCs w:val="28"/>
          <w:lang w:val="en-GB"/>
        </w:rPr>
        <w:t xml:space="preserve"> whilst Mr Ferreira’s request clearly related to all </w:t>
      </w:r>
      <w:r w:rsidR="00F321C5">
        <w:rPr>
          <w:rFonts w:eastAsia="Times New Roman"/>
          <w:szCs w:val="28"/>
          <w:lang w:val="en-GB"/>
        </w:rPr>
        <w:lastRenderedPageBreak/>
        <w:t>bank statements of the First Respondent.</w:t>
      </w:r>
      <w:r w:rsidR="0008341C">
        <w:rPr>
          <w:rFonts w:eastAsia="Times New Roman"/>
          <w:szCs w:val="28"/>
          <w:lang w:val="en-GB"/>
        </w:rPr>
        <w:t xml:space="preserve">  </w:t>
      </w:r>
      <w:r w:rsidR="0002519C" w:rsidRPr="0008341C">
        <w:rPr>
          <w:rFonts w:eastAsia="Times New Roman"/>
          <w:szCs w:val="28"/>
          <w:lang w:val="en-GB"/>
        </w:rPr>
        <w:t>The information requested by Mr Ferreira should have been readily available and in existence.</w:t>
      </w:r>
    </w:p>
    <w:p w14:paraId="32788EDD" w14:textId="51AF3D6E" w:rsidR="00F321C5" w:rsidRDefault="00D5654C" w:rsidP="00D5654C">
      <w:pPr>
        <w:tabs>
          <w:tab w:val="left" w:pos="851"/>
        </w:tabs>
        <w:spacing w:before="360" w:after="360" w:line="480" w:lineRule="auto"/>
        <w:ind w:left="851" w:hanging="851"/>
        <w:jc w:val="both"/>
        <w:rPr>
          <w:rFonts w:eastAsia="Times New Roman"/>
          <w:szCs w:val="28"/>
          <w:lang w:val="en-GB"/>
        </w:rPr>
      </w:pPr>
      <w:r>
        <w:rPr>
          <w:rFonts w:eastAsia="Times New Roman"/>
          <w:szCs w:val="28"/>
          <w:lang w:val="en-GB"/>
        </w:rPr>
        <w:t>28.</w:t>
      </w:r>
      <w:r>
        <w:rPr>
          <w:rFonts w:eastAsia="Times New Roman"/>
          <w:szCs w:val="28"/>
          <w:lang w:val="en-GB"/>
        </w:rPr>
        <w:tab/>
      </w:r>
      <w:r w:rsidR="00F321C5">
        <w:rPr>
          <w:rFonts w:eastAsia="Times New Roman"/>
          <w:szCs w:val="28"/>
          <w:lang w:val="en-GB"/>
        </w:rPr>
        <w:t xml:space="preserve">Not only does this demonstrate that the Second Respondent was disingenuous in providing selective </w:t>
      </w:r>
      <w:r w:rsidR="006D1F8D">
        <w:rPr>
          <w:rFonts w:eastAsia="Times New Roman"/>
          <w:szCs w:val="28"/>
          <w:lang w:val="en-GB"/>
        </w:rPr>
        <w:t xml:space="preserve">source information, but also that the complaint about Mr Ferreira’s findings is </w:t>
      </w:r>
      <w:r w:rsidR="007F4120">
        <w:rPr>
          <w:rFonts w:eastAsia="Times New Roman"/>
          <w:szCs w:val="28"/>
          <w:lang w:val="en-GB"/>
        </w:rPr>
        <w:t xml:space="preserve">largely </w:t>
      </w:r>
      <w:r w:rsidR="006D1F8D">
        <w:rPr>
          <w:rFonts w:eastAsia="Times New Roman"/>
          <w:szCs w:val="28"/>
          <w:lang w:val="en-GB"/>
        </w:rPr>
        <w:t xml:space="preserve">without merit.  The Second Respondent cannot on the one hand </w:t>
      </w:r>
      <w:r w:rsidR="002E26FD">
        <w:rPr>
          <w:rFonts w:eastAsia="Times New Roman"/>
          <w:szCs w:val="28"/>
          <w:lang w:val="en-GB"/>
        </w:rPr>
        <w:t>fail to provide central source documents, and then on the other hand complain when Mr Ferreira concludes that there must be a further bank account and therefore further bank statements.</w:t>
      </w:r>
    </w:p>
    <w:p w14:paraId="37FC214B" w14:textId="6109D7F8" w:rsidR="001D238F" w:rsidRDefault="00D5654C" w:rsidP="00D5654C">
      <w:pPr>
        <w:tabs>
          <w:tab w:val="left" w:pos="851"/>
        </w:tabs>
        <w:spacing w:before="360" w:after="360" w:line="480" w:lineRule="auto"/>
        <w:ind w:left="851" w:hanging="851"/>
        <w:jc w:val="both"/>
        <w:rPr>
          <w:rFonts w:eastAsia="Times New Roman"/>
          <w:szCs w:val="28"/>
          <w:lang w:val="en-GB"/>
        </w:rPr>
      </w:pPr>
      <w:r>
        <w:rPr>
          <w:rFonts w:eastAsia="Times New Roman"/>
          <w:szCs w:val="28"/>
          <w:lang w:val="en-GB"/>
        </w:rPr>
        <w:t>29.</w:t>
      </w:r>
      <w:r>
        <w:rPr>
          <w:rFonts w:eastAsia="Times New Roman"/>
          <w:szCs w:val="28"/>
          <w:lang w:val="en-GB"/>
        </w:rPr>
        <w:tab/>
      </w:r>
      <w:r w:rsidR="001D238F">
        <w:rPr>
          <w:rFonts w:eastAsia="Times New Roman"/>
          <w:szCs w:val="28"/>
          <w:lang w:val="en-GB"/>
        </w:rPr>
        <w:t xml:space="preserve">The Second Respondent contends that the reason why he did not respond to certain requests for information is because </w:t>
      </w:r>
      <w:r w:rsidR="00C32035">
        <w:rPr>
          <w:rFonts w:eastAsia="Times New Roman"/>
          <w:szCs w:val="28"/>
          <w:lang w:val="en-GB"/>
        </w:rPr>
        <w:t xml:space="preserve">the email was sent to his daughter who left the employ of the First Respondent.  Mr Botes SC </w:t>
      </w:r>
      <w:r w:rsidR="00FE0B61">
        <w:rPr>
          <w:rFonts w:eastAsia="Times New Roman"/>
          <w:szCs w:val="28"/>
          <w:lang w:val="en-GB"/>
        </w:rPr>
        <w:t xml:space="preserve">on behalf of the Applicant </w:t>
      </w:r>
      <w:r w:rsidR="00C32035">
        <w:rPr>
          <w:rFonts w:eastAsia="Times New Roman"/>
          <w:szCs w:val="28"/>
          <w:lang w:val="en-GB"/>
        </w:rPr>
        <w:t>pointed out that this statement is clearly false for, among other reasons</w:t>
      </w:r>
      <w:r w:rsidR="00FE0B61">
        <w:rPr>
          <w:rFonts w:eastAsia="Times New Roman"/>
          <w:szCs w:val="28"/>
          <w:lang w:val="en-GB"/>
        </w:rPr>
        <w:t>:</w:t>
      </w:r>
      <w:r w:rsidR="00C32035">
        <w:rPr>
          <w:rFonts w:eastAsia="Times New Roman"/>
          <w:szCs w:val="28"/>
          <w:lang w:val="en-GB"/>
        </w:rPr>
        <w:t xml:space="preserve"> </w:t>
      </w:r>
      <w:r w:rsidR="002D5DD8">
        <w:rPr>
          <w:rFonts w:eastAsia="Times New Roman"/>
          <w:szCs w:val="28"/>
          <w:lang w:val="en-GB"/>
        </w:rPr>
        <w:t>the Second Respondent has throughout used a single email address</w:t>
      </w:r>
      <w:r w:rsidR="00FE0B61">
        <w:rPr>
          <w:rFonts w:eastAsia="Times New Roman"/>
          <w:szCs w:val="28"/>
          <w:lang w:val="en-GB"/>
        </w:rPr>
        <w:t>;  t</w:t>
      </w:r>
      <w:r w:rsidR="002D5DD8">
        <w:rPr>
          <w:rFonts w:eastAsia="Times New Roman"/>
          <w:szCs w:val="28"/>
          <w:lang w:val="en-GB"/>
        </w:rPr>
        <w:t xml:space="preserve">he Second Respondent </w:t>
      </w:r>
      <w:r w:rsidR="00257720">
        <w:rPr>
          <w:rFonts w:eastAsia="Times New Roman"/>
          <w:szCs w:val="28"/>
          <w:lang w:val="en-GB"/>
        </w:rPr>
        <w:t>responded on at least one occasion to an email sent to that address</w:t>
      </w:r>
      <w:r w:rsidR="00FE0B61">
        <w:rPr>
          <w:rFonts w:eastAsia="Times New Roman"/>
          <w:szCs w:val="28"/>
          <w:lang w:val="en-GB"/>
        </w:rPr>
        <w:t>;</w:t>
      </w:r>
      <w:r w:rsidR="00257720">
        <w:rPr>
          <w:rFonts w:eastAsia="Times New Roman"/>
          <w:szCs w:val="28"/>
          <w:lang w:val="en-GB"/>
        </w:rPr>
        <w:t xml:space="preserve"> and the Second Respondent’s daughter also replied </w:t>
      </w:r>
      <w:r w:rsidR="00FE0B61">
        <w:rPr>
          <w:rFonts w:eastAsia="Times New Roman"/>
          <w:szCs w:val="28"/>
          <w:lang w:val="en-GB"/>
        </w:rPr>
        <w:t xml:space="preserve">using the same email address </w:t>
      </w:r>
      <w:r w:rsidR="00257720">
        <w:rPr>
          <w:rFonts w:eastAsia="Times New Roman"/>
          <w:szCs w:val="28"/>
          <w:lang w:val="en-GB"/>
        </w:rPr>
        <w:t>after the date when she allegedly left the service of the Second Respondent.  In any event, Mr Ferreira also emailed the Second Respondent’s attorney and his accountant.</w:t>
      </w:r>
      <w:r w:rsidR="002A5AD2">
        <w:rPr>
          <w:rFonts w:eastAsia="Times New Roman"/>
          <w:szCs w:val="28"/>
          <w:lang w:val="en-GB"/>
        </w:rPr>
        <w:t xml:space="preserve">  The purported explanation for </w:t>
      </w:r>
      <w:r w:rsidR="00FE0B61">
        <w:rPr>
          <w:rFonts w:eastAsia="Times New Roman"/>
          <w:szCs w:val="28"/>
          <w:lang w:val="en-GB"/>
        </w:rPr>
        <w:t xml:space="preserve">the </w:t>
      </w:r>
      <w:r w:rsidR="002A5AD2">
        <w:rPr>
          <w:rFonts w:eastAsia="Times New Roman"/>
          <w:szCs w:val="28"/>
          <w:lang w:val="en-GB"/>
        </w:rPr>
        <w:t>failure to provide the source information appears contrived and is fraught with inherent contradictions.</w:t>
      </w:r>
    </w:p>
    <w:p w14:paraId="3CD6D269" w14:textId="510C5446" w:rsidR="002A5AD2" w:rsidRDefault="00D5654C" w:rsidP="00D5654C">
      <w:pPr>
        <w:tabs>
          <w:tab w:val="left" w:pos="851"/>
        </w:tabs>
        <w:spacing w:before="360" w:after="360" w:line="480" w:lineRule="auto"/>
        <w:ind w:left="851" w:hanging="851"/>
        <w:jc w:val="both"/>
        <w:rPr>
          <w:rFonts w:eastAsia="Times New Roman"/>
          <w:szCs w:val="28"/>
          <w:lang w:val="en-GB"/>
        </w:rPr>
      </w:pPr>
      <w:r>
        <w:rPr>
          <w:rFonts w:eastAsia="Times New Roman"/>
          <w:szCs w:val="28"/>
          <w:lang w:val="en-GB"/>
        </w:rPr>
        <w:t>30.</w:t>
      </w:r>
      <w:r>
        <w:rPr>
          <w:rFonts w:eastAsia="Times New Roman"/>
          <w:szCs w:val="28"/>
          <w:lang w:val="en-GB"/>
        </w:rPr>
        <w:tab/>
      </w:r>
      <w:r w:rsidR="002A5AD2">
        <w:rPr>
          <w:rFonts w:eastAsia="Times New Roman"/>
          <w:szCs w:val="28"/>
          <w:lang w:val="en-GB"/>
        </w:rPr>
        <w:t xml:space="preserve">I have already referred to the role of consent in a referral </w:t>
      </w:r>
      <w:r w:rsidR="007F4266">
        <w:rPr>
          <w:rFonts w:eastAsia="Times New Roman"/>
          <w:szCs w:val="28"/>
          <w:lang w:val="en-GB"/>
        </w:rPr>
        <w:t xml:space="preserve">to a referee </w:t>
      </w:r>
      <w:r w:rsidR="002A5AD2">
        <w:rPr>
          <w:rFonts w:eastAsia="Times New Roman"/>
          <w:szCs w:val="28"/>
          <w:lang w:val="en-GB"/>
        </w:rPr>
        <w:t>in terms of section 38 of the Act and that there is a</w:t>
      </w:r>
      <w:r w:rsidR="007F4266">
        <w:rPr>
          <w:rFonts w:eastAsia="Times New Roman"/>
          <w:szCs w:val="28"/>
          <w:lang w:val="en-GB"/>
        </w:rPr>
        <w:t xml:space="preserve">n implied </w:t>
      </w:r>
      <w:r w:rsidR="002A5AD2">
        <w:rPr>
          <w:rFonts w:eastAsia="Times New Roman"/>
          <w:szCs w:val="28"/>
          <w:lang w:val="en-GB"/>
        </w:rPr>
        <w:t xml:space="preserve">duty upon the parties to participate </w:t>
      </w:r>
      <w:r w:rsidR="00E46E62">
        <w:rPr>
          <w:rFonts w:eastAsia="Times New Roman"/>
          <w:szCs w:val="28"/>
          <w:lang w:val="en-GB"/>
        </w:rPr>
        <w:t xml:space="preserve">in a </w:t>
      </w:r>
      <w:r w:rsidR="00E46E62">
        <w:rPr>
          <w:rFonts w:eastAsia="Times New Roman"/>
          <w:i/>
          <w:iCs/>
          <w:szCs w:val="28"/>
          <w:lang w:val="en-GB"/>
        </w:rPr>
        <w:t xml:space="preserve">bona fide </w:t>
      </w:r>
      <w:r w:rsidR="00E46E62">
        <w:rPr>
          <w:rFonts w:eastAsia="Times New Roman"/>
          <w:szCs w:val="28"/>
          <w:lang w:val="en-GB"/>
        </w:rPr>
        <w:t xml:space="preserve">way with the process.  The conclusion must be that </w:t>
      </w:r>
      <w:r w:rsidR="00E46E62">
        <w:rPr>
          <w:rFonts w:eastAsia="Times New Roman"/>
          <w:szCs w:val="28"/>
          <w:lang w:val="en-GB"/>
        </w:rPr>
        <w:lastRenderedPageBreak/>
        <w:t xml:space="preserve">the Second Respondent was obstructive and ignored requests for information.  </w:t>
      </w:r>
      <w:r w:rsidR="008F0F50">
        <w:rPr>
          <w:rFonts w:eastAsia="Times New Roman"/>
          <w:szCs w:val="28"/>
          <w:lang w:val="en-GB"/>
        </w:rPr>
        <w:t xml:space="preserve">The impression from Mr Ferreira’s report and the factual findings contained therein justifies a conclusion that the </w:t>
      </w:r>
      <w:r w:rsidR="00F86E2A">
        <w:rPr>
          <w:rFonts w:eastAsia="Times New Roman"/>
          <w:szCs w:val="28"/>
          <w:lang w:val="en-GB"/>
        </w:rPr>
        <w:t>summarised financial statements provided is unreliable.</w:t>
      </w:r>
      <w:r w:rsidR="001A33D3">
        <w:rPr>
          <w:rFonts w:eastAsia="Times New Roman"/>
          <w:szCs w:val="28"/>
          <w:lang w:val="en-GB"/>
        </w:rPr>
        <w:t xml:space="preserve">  There is a pattern which arises that demonstrates </w:t>
      </w:r>
      <w:r w:rsidR="00DB44A1">
        <w:rPr>
          <w:rFonts w:eastAsia="Times New Roman"/>
          <w:szCs w:val="28"/>
          <w:lang w:val="en-GB"/>
        </w:rPr>
        <w:t>that the Second Respondent has no intention to allow unfettered access to the First Respondent’s financial information.</w:t>
      </w:r>
      <w:r w:rsidR="009477AA">
        <w:rPr>
          <w:rFonts w:eastAsia="Times New Roman"/>
          <w:szCs w:val="28"/>
          <w:lang w:val="en-GB"/>
        </w:rPr>
        <w:t xml:space="preserve">  Even in the absence of the Order the other member of the close corporation has a statutory right to the information.</w:t>
      </w:r>
    </w:p>
    <w:p w14:paraId="11A09783" w14:textId="7A134A0A" w:rsidR="00F86E2A"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31.</w:t>
      </w:r>
      <w:r w:rsidRPr="00BF3440">
        <w:rPr>
          <w:rFonts w:eastAsia="Times New Roman"/>
          <w:szCs w:val="28"/>
          <w:lang w:val="en-GB"/>
        </w:rPr>
        <w:tab/>
      </w:r>
      <w:r w:rsidR="00F86E2A">
        <w:rPr>
          <w:rFonts w:eastAsia="Times New Roman"/>
          <w:szCs w:val="28"/>
          <w:lang w:val="en-GB"/>
        </w:rPr>
        <w:t>The Second Respondent’s counsel contended that Mr Ferreira should have proceeded to meet with the parties</w:t>
      </w:r>
      <w:r w:rsidR="009477AA">
        <w:rPr>
          <w:rFonts w:eastAsia="Times New Roman"/>
          <w:szCs w:val="28"/>
          <w:lang w:val="en-GB"/>
        </w:rPr>
        <w:t xml:space="preserve"> – even where his requests for </w:t>
      </w:r>
      <w:r w:rsidR="00A71A57">
        <w:rPr>
          <w:rFonts w:eastAsia="Times New Roman"/>
          <w:szCs w:val="28"/>
          <w:lang w:val="en-GB"/>
        </w:rPr>
        <w:t>documents was not complied with</w:t>
      </w:r>
      <w:r w:rsidR="00F86E2A">
        <w:rPr>
          <w:rFonts w:eastAsia="Times New Roman"/>
          <w:szCs w:val="28"/>
          <w:lang w:val="en-GB"/>
        </w:rPr>
        <w:t xml:space="preserve">.  It does not come as a surprise that Mr Ferreira would want to first do his own investigation and thereafter, when he has considered the objective facts, meet with the parties to discuss any questions which may have arisen.  The Second Respondent made this impossible and it is his conduct which has led to the </w:t>
      </w:r>
      <w:r w:rsidR="00010350">
        <w:rPr>
          <w:rFonts w:eastAsia="Times New Roman"/>
          <w:szCs w:val="28"/>
          <w:lang w:val="en-GB"/>
        </w:rPr>
        <w:t>process ending at an impasse.</w:t>
      </w:r>
    </w:p>
    <w:p w14:paraId="73BE375E" w14:textId="06894A47" w:rsidR="002D0DC3" w:rsidRPr="002D0DC3" w:rsidRDefault="002D0DC3" w:rsidP="002D0DC3">
      <w:pPr>
        <w:spacing w:before="360" w:after="360" w:line="480" w:lineRule="auto"/>
        <w:jc w:val="both"/>
        <w:rPr>
          <w:rFonts w:eastAsia="Times New Roman"/>
          <w:szCs w:val="28"/>
          <w:u w:val="single"/>
          <w:lang w:val="da-DK"/>
        </w:rPr>
      </w:pPr>
      <w:r>
        <w:rPr>
          <w:rFonts w:eastAsia="Times New Roman"/>
          <w:szCs w:val="28"/>
          <w:u w:val="single"/>
          <w:lang w:val="da-DK"/>
        </w:rPr>
        <w:t>Is there a deadlock:</w:t>
      </w:r>
    </w:p>
    <w:p w14:paraId="2F9307AC" w14:textId="15EE828E" w:rsidR="00EF2732" w:rsidRPr="00A71A57" w:rsidRDefault="00D5654C" w:rsidP="00D5654C">
      <w:pPr>
        <w:tabs>
          <w:tab w:val="left" w:pos="851"/>
        </w:tabs>
        <w:spacing w:before="360" w:after="360" w:line="480" w:lineRule="auto"/>
        <w:ind w:left="851" w:hanging="851"/>
        <w:jc w:val="both"/>
        <w:rPr>
          <w:rFonts w:eastAsia="Times New Roman"/>
          <w:szCs w:val="28"/>
        </w:rPr>
      </w:pPr>
      <w:r w:rsidRPr="00A71A57">
        <w:rPr>
          <w:rFonts w:eastAsia="Times New Roman"/>
          <w:szCs w:val="28"/>
        </w:rPr>
        <w:t>32.</w:t>
      </w:r>
      <w:r w:rsidRPr="00A71A57">
        <w:rPr>
          <w:rFonts w:eastAsia="Times New Roman"/>
          <w:szCs w:val="28"/>
        </w:rPr>
        <w:tab/>
      </w:r>
      <w:r w:rsidR="00683051" w:rsidRPr="00683051">
        <w:rPr>
          <w:rFonts w:eastAsia="Times New Roman"/>
          <w:szCs w:val="28"/>
        </w:rPr>
        <w:t>Section 67 of the Close Corporations Act27 provides that Part G of chapter 2 of the</w:t>
      </w:r>
      <w:r w:rsidR="00683051">
        <w:rPr>
          <w:rFonts w:eastAsia="Times New Roman"/>
          <w:szCs w:val="28"/>
        </w:rPr>
        <w:t xml:space="preserve"> </w:t>
      </w:r>
      <w:r w:rsidR="00683051" w:rsidRPr="00683051">
        <w:rPr>
          <w:rFonts w:eastAsia="Times New Roman"/>
          <w:szCs w:val="28"/>
        </w:rPr>
        <w:t xml:space="preserve">Companies Act, 71 of 2008 </w:t>
      </w:r>
      <w:r w:rsidR="00683051">
        <w:rPr>
          <w:rFonts w:eastAsia="Times New Roman"/>
          <w:szCs w:val="28"/>
        </w:rPr>
        <w:t xml:space="preserve">also </w:t>
      </w:r>
      <w:r w:rsidR="00683051" w:rsidRPr="00683051">
        <w:rPr>
          <w:rFonts w:eastAsia="Times New Roman"/>
          <w:szCs w:val="28"/>
        </w:rPr>
        <w:t xml:space="preserve">applies to </w:t>
      </w:r>
      <w:r w:rsidR="00A71A57">
        <w:rPr>
          <w:rFonts w:eastAsia="Times New Roman"/>
          <w:szCs w:val="28"/>
        </w:rPr>
        <w:t>c</w:t>
      </w:r>
      <w:r w:rsidR="00683051" w:rsidRPr="00683051">
        <w:rPr>
          <w:rFonts w:eastAsia="Times New Roman"/>
          <w:szCs w:val="28"/>
        </w:rPr>
        <w:t>orporations.</w:t>
      </w:r>
      <w:r w:rsidR="00A71A57">
        <w:rPr>
          <w:rFonts w:eastAsia="Times New Roman"/>
          <w:szCs w:val="28"/>
        </w:rPr>
        <w:t xml:space="preserve">  </w:t>
      </w:r>
      <w:r w:rsidR="00EF2732" w:rsidRPr="00A71A57">
        <w:rPr>
          <w:rFonts w:eastAsia="Times New Roman"/>
          <w:szCs w:val="28"/>
        </w:rPr>
        <w:t>Section 81(1)</w:t>
      </w:r>
      <w:r w:rsidR="001D7894" w:rsidRPr="00A71A57">
        <w:rPr>
          <w:rFonts w:eastAsia="Times New Roman"/>
          <w:szCs w:val="28"/>
        </w:rPr>
        <w:t>(d)</w:t>
      </w:r>
      <w:r w:rsidR="00EF2732" w:rsidRPr="00A71A57">
        <w:rPr>
          <w:rFonts w:eastAsia="Times New Roman"/>
          <w:szCs w:val="28"/>
        </w:rPr>
        <w:t xml:space="preserve"> of the Companies Act, 71 of 2008 provides for the winding up of a solvent company by the court under certain circumstances, and specifically where:</w:t>
      </w:r>
    </w:p>
    <w:p w14:paraId="22914088" w14:textId="77777777" w:rsidR="002618CA" w:rsidRPr="001D7894" w:rsidRDefault="00EF2732" w:rsidP="001D7894">
      <w:pPr>
        <w:spacing w:before="360" w:after="360" w:line="360" w:lineRule="auto"/>
        <w:ind w:left="1440"/>
        <w:contextualSpacing/>
        <w:jc w:val="both"/>
        <w:rPr>
          <w:rFonts w:eastAsia="Times New Roman"/>
          <w:i/>
          <w:iCs/>
          <w:szCs w:val="28"/>
        </w:rPr>
      </w:pPr>
      <w:r>
        <w:rPr>
          <w:rFonts w:eastAsia="Times New Roman"/>
          <w:szCs w:val="28"/>
        </w:rPr>
        <w:t>“</w:t>
      </w:r>
      <w:r w:rsidR="002618CA" w:rsidRPr="001D7894">
        <w:rPr>
          <w:rFonts w:eastAsia="Times New Roman"/>
          <w:i/>
          <w:iCs/>
          <w:szCs w:val="28"/>
        </w:rPr>
        <w:t>(1) A court may order a solvent company to be wound up if-</w:t>
      </w:r>
    </w:p>
    <w:p w14:paraId="5B6D9887" w14:textId="77777777" w:rsidR="002618CA" w:rsidRPr="001D7894" w:rsidRDefault="002618CA" w:rsidP="001D7894">
      <w:pPr>
        <w:spacing w:before="360" w:after="360" w:line="360" w:lineRule="auto"/>
        <w:ind w:left="1440"/>
        <w:contextualSpacing/>
        <w:jc w:val="both"/>
        <w:rPr>
          <w:rFonts w:eastAsia="Times New Roman"/>
          <w:i/>
          <w:iCs/>
          <w:szCs w:val="28"/>
        </w:rPr>
      </w:pPr>
      <w:r w:rsidRPr="001D7894">
        <w:rPr>
          <w:rFonts w:eastAsia="Times New Roman"/>
          <w:i/>
          <w:iCs/>
          <w:szCs w:val="28"/>
        </w:rPr>
        <w:t>…</w:t>
      </w:r>
    </w:p>
    <w:p w14:paraId="0F0B1755" w14:textId="435C622E" w:rsidR="001D7894" w:rsidRPr="001D7894" w:rsidRDefault="001D7894" w:rsidP="001D7894">
      <w:pPr>
        <w:spacing w:before="360" w:after="360" w:line="360" w:lineRule="auto"/>
        <w:ind w:left="2160" w:hanging="720"/>
        <w:contextualSpacing/>
        <w:jc w:val="both"/>
        <w:rPr>
          <w:rFonts w:eastAsia="Times New Roman"/>
          <w:i/>
          <w:iCs/>
          <w:szCs w:val="28"/>
        </w:rPr>
      </w:pPr>
      <w:r w:rsidRPr="001D7894">
        <w:rPr>
          <w:rFonts w:eastAsia="Times New Roman"/>
          <w:i/>
          <w:iCs/>
          <w:szCs w:val="28"/>
        </w:rPr>
        <w:lastRenderedPageBreak/>
        <w:t>(d)</w:t>
      </w:r>
      <w:r w:rsidRPr="001D7894">
        <w:rPr>
          <w:rFonts w:eastAsia="Times New Roman"/>
          <w:i/>
          <w:iCs/>
          <w:szCs w:val="28"/>
        </w:rPr>
        <w:tab/>
        <w:t>the company, one or more directors or one or more shareholders have applied to the court for an order to wind up the company on the grounds that-</w:t>
      </w:r>
    </w:p>
    <w:p w14:paraId="378ABF38" w14:textId="02C666A2" w:rsidR="001D7894" w:rsidRPr="001D7894" w:rsidRDefault="001D7894" w:rsidP="001D7894">
      <w:pPr>
        <w:spacing w:before="360" w:after="360" w:line="360" w:lineRule="auto"/>
        <w:ind w:left="2880" w:hanging="720"/>
        <w:contextualSpacing/>
        <w:jc w:val="both"/>
        <w:rPr>
          <w:rFonts w:eastAsia="Times New Roman"/>
          <w:i/>
          <w:iCs/>
          <w:szCs w:val="28"/>
        </w:rPr>
      </w:pPr>
      <w:r w:rsidRPr="001D7894">
        <w:rPr>
          <w:rFonts w:eastAsia="Times New Roman"/>
          <w:i/>
          <w:iCs/>
          <w:szCs w:val="28"/>
        </w:rPr>
        <w:t>(</w:t>
      </w:r>
      <w:proofErr w:type="spellStart"/>
      <w:r w:rsidRPr="001D7894">
        <w:rPr>
          <w:rFonts w:eastAsia="Times New Roman"/>
          <w:i/>
          <w:iCs/>
          <w:szCs w:val="28"/>
        </w:rPr>
        <w:t>i</w:t>
      </w:r>
      <w:proofErr w:type="spellEnd"/>
      <w:r w:rsidRPr="001D7894">
        <w:rPr>
          <w:rFonts w:eastAsia="Times New Roman"/>
          <w:i/>
          <w:iCs/>
          <w:szCs w:val="28"/>
        </w:rPr>
        <w:t>)</w:t>
      </w:r>
      <w:r w:rsidRPr="001D7894">
        <w:rPr>
          <w:rFonts w:eastAsia="Times New Roman"/>
          <w:i/>
          <w:iCs/>
          <w:szCs w:val="28"/>
        </w:rPr>
        <w:tab/>
        <w:t>the directors are deadlocked in the management of the company, and the shareholders are unable to break the deadlock, and-</w:t>
      </w:r>
    </w:p>
    <w:p w14:paraId="60D688AE" w14:textId="46CE968B" w:rsidR="001D7894" w:rsidRPr="001D7894" w:rsidRDefault="001D7894" w:rsidP="001D7894">
      <w:pPr>
        <w:spacing w:before="360" w:after="360" w:line="360" w:lineRule="auto"/>
        <w:ind w:left="3600" w:hanging="720"/>
        <w:contextualSpacing/>
        <w:jc w:val="both"/>
        <w:rPr>
          <w:rFonts w:eastAsia="Times New Roman"/>
          <w:i/>
          <w:iCs/>
          <w:szCs w:val="28"/>
        </w:rPr>
      </w:pPr>
      <w:r w:rsidRPr="001D7894">
        <w:rPr>
          <w:rFonts w:eastAsia="Times New Roman"/>
          <w:i/>
          <w:iCs/>
          <w:szCs w:val="28"/>
        </w:rPr>
        <w:t>(aa)</w:t>
      </w:r>
      <w:r w:rsidRPr="001D7894">
        <w:rPr>
          <w:rFonts w:eastAsia="Times New Roman"/>
          <w:i/>
          <w:iCs/>
          <w:szCs w:val="28"/>
        </w:rPr>
        <w:tab/>
        <w:t>irreparable injury to the company is resulting, or may result, from the deadlock; or</w:t>
      </w:r>
    </w:p>
    <w:p w14:paraId="2146640A" w14:textId="7CD7BB89" w:rsidR="001D7894" w:rsidRPr="001D7894" w:rsidRDefault="001D7894" w:rsidP="001D7894">
      <w:pPr>
        <w:spacing w:before="360" w:after="360" w:line="360" w:lineRule="auto"/>
        <w:ind w:left="3600" w:hanging="720"/>
        <w:contextualSpacing/>
        <w:jc w:val="both"/>
        <w:rPr>
          <w:rFonts w:eastAsia="Times New Roman"/>
          <w:i/>
          <w:iCs/>
          <w:szCs w:val="28"/>
        </w:rPr>
      </w:pPr>
      <w:r w:rsidRPr="001D7894">
        <w:rPr>
          <w:rFonts w:eastAsia="Times New Roman"/>
          <w:i/>
          <w:iCs/>
          <w:szCs w:val="28"/>
        </w:rPr>
        <w:t>(bb)</w:t>
      </w:r>
      <w:r w:rsidRPr="001D7894">
        <w:rPr>
          <w:rFonts w:eastAsia="Times New Roman"/>
          <w:i/>
          <w:iCs/>
          <w:szCs w:val="28"/>
        </w:rPr>
        <w:tab/>
        <w:t xml:space="preserve">the company's business cannot be conducted to the advantage of shareholders generally, as a result of the </w:t>
      </w:r>
      <w:proofErr w:type="gramStart"/>
      <w:r w:rsidRPr="001D7894">
        <w:rPr>
          <w:rFonts w:eastAsia="Times New Roman"/>
          <w:i/>
          <w:iCs/>
          <w:szCs w:val="28"/>
        </w:rPr>
        <w:t>deadlock;</w:t>
      </w:r>
      <w:proofErr w:type="gramEnd"/>
    </w:p>
    <w:p w14:paraId="24788B88" w14:textId="75C21ED0" w:rsidR="001D7894" w:rsidRPr="001D7894" w:rsidRDefault="001D7894" w:rsidP="001D7894">
      <w:pPr>
        <w:spacing w:before="360" w:after="360" w:line="360" w:lineRule="auto"/>
        <w:ind w:left="2880" w:hanging="720"/>
        <w:contextualSpacing/>
        <w:jc w:val="both"/>
        <w:rPr>
          <w:rFonts w:eastAsia="Times New Roman"/>
          <w:i/>
          <w:iCs/>
          <w:szCs w:val="28"/>
        </w:rPr>
      </w:pPr>
      <w:r w:rsidRPr="001D7894">
        <w:rPr>
          <w:rFonts w:eastAsia="Times New Roman"/>
          <w:i/>
          <w:iCs/>
          <w:szCs w:val="28"/>
        </w:rPr>
        <w:t>(ii)</w:t>
      </w:r>
      <w:r w:rsidRPr="001D7894">
        <w:rPr>
          <w:rFonts w:eastAsia="Times New Roman"/>
          <w:i/>
          <w:iCs/>
          <w:szCs w:val="28"/>
        </w:rPr>
        <w:tab/>
        <w:t>the shareholders are deadlocked in voting power, and have failed for a period that includes at least two consecutive annual general meeting dates, to elect successors to directors whose terms have expired; or</w:t>
      </w:r>
    </w:p>
    <w:p w14:paraId="637A492D" w14:textId="18A7223A" w:rsidR="00EF2732" w:rsidRPr="00EF2732" w:rsidRDefault="001D7894" w:rsidP="001D7894">
      <w:pPr>
        <w:spacing w:before="360" w:after="360" w:line="360" w:lineRule="auto"/>
        <w:ind w:left="2880" w:hanging="720"/>
        <w:jc w:val="both"/>
        <w:rPr>
          <w:rFonts w:eastAsia="Times New Roman"/>
          <w:szCs w:val="28"/>
        </w:rPr>
      </w:pPr>
      <w:r w:rsidRPr="001D7894">
        <w:rPr>
          <w:rFonts w:eastAsia="Times New Roman"/>
          <w:i/>
          <w:iCs/>
          <w:szCs w:val="28"/>
        </w:rPr>
        <w:t>(iii)</w:t>
      </w:r>
      <w:r w:rsidRPr="001D7894">
        <w:rPr>
          <w:rFonts w:eastAsia="Times New Roman"/>
          <w:i/>
          <w:iCs/>
          <w:szCs w:val="28"/>
        </w:rPr>
        <w:tab/>
        <w:t>it is otherwise just and equitable for the company to be wound up;</w:t>
      </w:r>
      <w:r w:rsidR="00EF2732">
        <w:rPr>
          <w:rFonts w:eastAsia="Times New Roman"/>
          <w:szCs w:val="28"/>
        </w:rPr>
        <w:t>”</w:t>
      </w:r>
    </w:p>
    <w:p w14:paraId="7FEC263C" w14:textId="214CAF51" w:rsidR="00BF3440" w:rsidRPr="002F6E88" w:rsidRDefault="00D5654C" w:rsidP="00D5654C">
      <w:pPr>
        <w:tabs>
          <w:tab w:val="left" w:pos="851"/>
        </w:tabs>
        <w:spacing w:before="360" w:after="360" w:line="480" w:lineRule="auto"/>
        <w:ind w:left="851" w:hanging="851"/>
        <w:jc w:val="both"/>
        <w:rPr>
          <w:rFonts w:eastAsia="Times New Roman"/>
          <w:szCs w:val="28"/>
        </w:rPr>
      </w:pPr>
      <w:r w:rsidRPr="002F6E88">
        <w:rPr>
          <w:rFonts w:eastAsia="Times New Roman"/>
          <w:szCs w:val="28"/>
        </w:rPr>
        <w:t>33.</w:t>
      </w:r>
      <w:r w:rsidRPr="002F6E88">
        <w:rPr>
          <w:rFonts w:eastAsia="Times New Roman"/>
          <w:szCs w:val="28"/>
        </w:rPr>
        <w:tab/>
      </w:r>
      <w:r w:rsidR="00BF3440" w:rsidRPr="002F6E88">
        <w:rPr>
          <w:rFonts w:eastAsia="Times New Roman"/>
          <w:szCs w:val="28"/>
          <w:lang w:val="en-GB"/>
        </w:rPr>
        <w:t>The First Respondent is a close corporation.</w:t>
      </w:r>
      <w:r w:rsidR="00527B36" w:rsidRPr="002F6E88">
        <w:rPr>
          <w:rFonts w:eastAsia="Times New Roman"/>
          <w:szCs w:val="28"/>
          <w:lang w:val="en-GB"/>
        </w:rPr>
        <w:t xml:space="preserve">  The Second Respondent conceded that the First Respondent was </w:t>
      </w:r>
      <w:proofErr w:type="gramStart"/>
      <w:r w:rsidR="00527B36" w:rsidRPr="002F6E88">
        <w:rPr>
          <w:rFonts w:eastAsia="Times New Roman"/>
          <w:szCs w:val="28"/>
          <w:lang w:val="en-GB"/>
        </w:rPr>
        <w:t>similar to</w:t>
      </w:r>
      <w:proofErr w:type="gramEnd"/>
      <w:r w:rsidR="00527B36" w:rsidRPr="002F6E88">
        <w:rPr>
          <w:rFonts w:eastAsia="Times New Roman"/>
          <w:szCs w:val="28"/>
          <w:lang w:val="en-GB"/>
        </w:rPr>
        <w:t xml:space="preserve"> a small family business run by the members of the close corporation</w:t>
      </w:r>
      <w:r w:rsidR="00135D55">
        <w:rPr>
          <w:rFonts w:eastAsia="Times New Roman"/>
          <w:szCs w:val="28"/>
          <w:lang w:val="en-GB"/>
        </w:rPr>
        <w:t xml:space="preserve"> akin to a partnership</w:t>
      </w:r>
      <w:r w:rsidR="00527B36" w:rsidRPr="002F6E88">
        <w:rPr>
          <w:rFonts w:eastAsia="Times New Roman"/>
          <w:szCs w:val="28"/>
          <w:lang w:val="en-GB"/>
        </w:rPr>
        <w:t xml:space="preserve">.  This being so </w:t>
      </w:r>
      <w:r w:rsidR="00ED180F" w:rsidRPr="002F6E88">
        <w:rPr>
          <w:rFonts w:eastAsia="Times New Roman"/>
          <w:szCs w:val="28"/>
          <w:lang w:val="en-GB"/>
        </w:rPr>
        <w:t>the members</w:t>
      </w:r>
      <w:r w:rsidR="00D1334B">
        <w:rPr>
          <w:rFonts w:eastAsia="Times New Roman"/>
          <w:szCs w:val="28"/>
          <w:lang w:val="en-GB"/>
        </w:rPr>
        <w:t xml:space="preserve"> </w:t>
      </w:r>
      <w:r w:rsidR="00D1334B" w:rsidRPr="00D1334B">
        <w:rPr>
          <w:rFonts w:eastAsia="Times New Roman"/>
          <w:szCs w:val="28"/>
          <w:lang w:val="en-GB"/>
        </w:rPr>
        <w:t>of the close corporation</w:t>
      </w:r>
      <w:r w:rsidR="00ED180F" w:rsidRPr="002F6E88">
        <w:rPr>
          <w:rFonts w:eastAsia="Times New Roman"/>
          <w:szCs w:val="28"/>
          <w:lang w:val="en-GB"/>
        </w:rPr>
        <w:t>, in contrast to a company run by a board of directors, would be expected to play a role in the day</w:t>
      </w:r>
      <w:r w:rsidR="003D7287" w:rsidRPr="002F6E88">
        <w:rPr>
          <w:rFonts w:eastAsia="Times New Roman"/>
          <w:szCs w:val="28"/>
          <w:lang w:val="en-GB"/>
        </w:rPr>
        <w:t>-</w:t>
      </w:r>
      <w:r w:rsidR="00ED180F" w:rsidRPr="002F6E88">
        <w:rPr>
          <w:rFonts w:eastAsia="Times New Roman"/>
          <w:szCs w:val="28"/>
          <w:lang w:val="en-GB"/>
        </w:rPr>
        <w:t>to</w:t>
      </w:r>
      <w:r w:rsidR="003D7287" w:rsidRPr="002F6E88">
        <w:rPr>
          <w:rFonts w:eastAsia="Times New Roman"/>
          <w:szCs w:val="28"/>
          <w:lang w:val="en-GB"/>
        </w:rPr>
        <w:t>-</w:t>
      </w:r>
      <w:r w:rsidR="00ED180F" w:rsidRPr="002F6E88">
        <w:rPr>
          <w:rFonts w:eastAsia="Times New Roman"/>
          <w:szCs w:val="28"/>
          <w:lang w:val="en-GB"/>
        </w:rPr>
        <w:t>day affairs of the close corporation.</w:t>
      </w:r>
      <w:r w:rsidR="00722ADC">
        <w:rPr>
          <w:rFonts w:eastAsia="Times New Roman"/>
          <w:szCs w:val="28"/>
          <w:lang w:val="en-GB"/>
        </w:rPr>
        <w:t xml:space="preserve">  The Second Respondent took no step since the appointment of the Applicant to involve her in any of the affairs or decisions of the First Respondent.</w:t>
      </w:r>
    </w:p>
    <w:p w14:paraId="447D5DDD" w14:textId="1A7BFAAE" w:rsidR="00665B5D" w:rsidRDefault="00D5654C" w:rsidP="00D5654C">
      <w:pPr>
        <w:widowControl w:val="0"/>
        <w:tabs>
          <w:tab w:val="left" w:pos="851"/>
        </w:tabs>
        <w:spacing w:before="360" w:after="360" w:line="480" w:lineRule="auto"/>
        <w:ind w:left="851" w:hanging="851"/>
        <w:jc w:val="both"/>
      </w:pPr>
      <w:r>
        <w:t>34.</w:t>
      </w:r>
      <w:r>
        <w:tab/>
      </w:r>
      <w:r w:rsidR="00665B5D">
        <w:t xml:space="preserve">In </w:t>
      </w:r>
      <w:r w:rsidR="00665B5D" w:rsidRPr="00135D55">
        <w:rPr>
          <w:b/>
          <w:bCs/>
          <w:i/>
          <w:iCs/>
        </w:rPr>
        <w:t>Cilliers NO and Others v Duin &amp; See (Pty) Ltd 2012 (4) SA 203 (WCC)</w:t>
      </w:r>
      <w:r w:rsidR="00905204">
        <w:t xml:space="preserve"> the Court held at </w:t>
      </w:r>
      <w:r w:rsidR="00905204" w:rsidRPr="00135D55">
        <w:rPr>
          <w:b/>
          <w:bCs/>
          <w:i/>
          <w:iCs/>
        </w:rPr>
        <w:t xml:space="preserve">paragraphs 5 and </w:t>
      </w:r>
      <w:r w:rsidR="00905204" w:rsidRPr="00FA0DBB">
        <w:rPr>
          <w:b/>
          <w:bCs/>
          <w:i/>
          <w:iCs/>
        </w:rPr>
        <w:t>6</w:t>
      </w:r>
      <w:r w:rsidR="00905204">
        <w:t xml:space="preserve"> that:</w:t>
      </w:r>
    </w:p>
    <w:p w14:paraId="1BF73E09" w14:textId="7B6F7001" w:rsidR="00905204" w:rsidRPr="00135D55" w:rsidRDefault="00905204" w:rsidP="00135D55">
      <w:pPr>
        <w:widowControl w:val="0"/>
        <w:spacing w:before="360" w:after="360" w:line="360" w:lineRule="auto"/>
        <w:ind w:left="2160" w:hanging="720"/>
        <w:jc w:val="both"/>
        <w:rPr>
          <w:i/>
          <w:iCs/>
        </w:rPr>
      </w:pPr>
      <w:r w:rsidRPr="00135D55">
        <w:rPr>
          <w:i/>
          <w:iCs/>
        </w:rPr>
        <w:t>“[5]</w:t>
      </w:r>
      <w:r w:rsidRPr="00135D55">
        <w:rPr>
          <w:i/>
          <w:iCs/>
        </w:rPr>
        <w:tab/>
        <w:t xml:space="preserve">Jurisprudence concerning the winding up of companies on just </w:t>
      </w:r>
      <w:r w:rsidRPr="00135D55">
        <w:rPr>
          <w:i/>
          <w:iCs/>
        </w:rPr>
        <w:lastRenderedPageBreak/>
        <w:t xml:space="preserve">and equitable grounds has employed the concept of 'deadlock' in two quite distinguishable senses. Deadlock in the strictly literal sense — what might be termed 'complete deadlock' — applies in the case where, because the directors or shareholders are equally divided, there is an inability to make decisions that are necessary for the company to function. The wider or looser sense of the concept is encountered in the context of the so-called 'deadlock principle', which is applied in respect of the consequences of a breakdown of trust and confidence between members of a company which, because of its peculiar character, is in substance akin to a partnership, and thus amenable — subject to important qualifications — to dissolution as a partnership would be, if relations between the partners became untenable through no fault of the partner claiming the dissolution. The dichotomy between the two concepts of deadlock is highlighted in the difference between the majority and the minority judgments in Re </w:t>
      </w:r>
      <w:proofErr w:type="spellStart"/>
      <w:r w:rsidRPr="00135D55">
        <w:rPr>
          <w:i/>
          <w:iCs/>
        </w:rPr>
        <w:t>Yenidje</w:t>
      </w:r>
      <w:proofErr w:type="spellEnd"/>
      <w:r w:rsidRPr="00135D55">
        <w:rPr>
          <w:i/>
          <w:iCs/>
        </w:rPr>
        <w:t xml:space="preserve"> Tobacco Co Ltd [1916] 2 Ch 426 (CA); see also Moosa NO v </w:t>
      </w:r>
      <w:proofErr w:type="spellStart"/>
      <w:r w:rsidRPr="00135D55">
        <w:rPr>
          <w:i/>
          <w:iCs/>
        </w:rPr>
        <w:t>Mavjee</w:t>
      </w:r>
      <w:proofErr w:type="spellEnd"/>
      <w:r w:rsidRPr="00135D55">
        <w:rPr>
          <w:i/>
          <w:iCs/>
        </w:rPr>
        <w:t xml:space="preserve"> Bhawan (Pty) Ltd and Another 1967 (3) SA 131</w:t>
      </w:r>
    </w:p>
    <w:p w14:paraId="2C619869" w14:textId="58EAF920" w:rsidR="00905204" w:rsidRDefault="00905204" w:rsidP="00135D55">
      <w:pPr>
        <w:widowControl w:val="0"/>
        <w:spacing w:before="360" w:after="360" w:line="360" w:lineRule="auto"/>
        <w:ind w:left="2160" w:hanging="720"/>
        <w:jc w:val="both"/>
      </w:pPr>
      <w:r w:rsidRPr="00135D55">
        <w:rPr>
          <w:i/>
          <w:iCs/>
        </w:rPr>
        <w:t>[6]</w:t>
      </w:r>
      <w:r w:rsidR="00FF3B01" w:rsidRPr="00135D55">
        <w:rPr>
          <w:i/>
          <w:iCs/>
        </w:rPr>
        <w:tab/>
      </w:r>
      <w:r w:rsidRPr="00135D55">
        <w:rPr>
          <w:i/>
          <w:iCs/>
        </w:rPr>
        <w:t>Scope for confusion about the relevant import of the judgment in</w:t>
      </w:r>
      <w:r w:rsidR="00FF3B01" w:rsidRPr="00135D55">
        <w:rPr>
          <w:i/>
          <w:iCs/>
        </w:rPr>
        <w:t xml:space="preserve"> </w:t>
      </w:r>
      <w:r w:rsidRPr="00135D55">
        <w:rPr>
          <w:i/>
          <w:iCs/>
        </w:rPr>
        <w:t xml:space="preserve">Budge arises from the judge's reference to the 'judicially developed deadlock category' because that might easily be mistaken to include the 'deadlock principle'. On an analysis of the judgment as a whole, however, it is evident that the learned judge's aforementioned observations were intended to pertain only to deadlock understood in the strict or narrow sense of the word. </w:t>
      </w:r>
      <w:proofErr w:type="gramStart"/>
      <w:r w:rsidRPr="00135D55">
        <w:rPr>
          <w:i/>
          <w:iCs/>
        </w:rPr>
        <w:t>Indeed</w:t>
      </w:r>
      <w:proofErr w:type="gramEnd"/>
      <w:r w:rsidRPr="00135D55">
        <w:rPr>
          <w:i/>
          <w:iCs/>
        </w:rPr>
        <w:t xml:space="preserve"> the winding up orders that were granted in Budge, apparently in terms of s 81(1)(d)(iii) of the 2008 Companies Act, were plainly premised on the application of the deadlock principle; in other words in the context of the use of the term in its aforementioned wide or loose sense.</w:t>
      </w:r>
      <w:r>
        <w:t>”</w:t>
      </w:r>
    </w:p>
    <w:p w14:paraId="603B8D9F" w14:textId="73F5098A" w:rsidR="00104830" w:rsidRDefault="00D5654C" w:rsidP="00D5654C">
      <w:pPr>
        <w:widowControl w:val="0"/>
        <w:tabs>
          <w:tab w:val="left" w:pos="851"/>
        </w:tabs>
        <w:spacing w:before="360" w:after="360" w:line="480" w:lineRule="auto"/>
        <w:ind w:left="851" w:hanging="851"/>
        <w:jc w:val="both"/>
      </w:pPr>
      <w:r>
        <w:t>35.</w:t>
      </w:r>
      <w:r>
        <w:tab/>
      </w:r>
      <w:r w:rsidR="003D593B">
        <w:t xml:space="preserve">In </w:t>
      </w:r>
      <w:r w:rsidR="007C09D5" w:rsidRPr="007C09D5">
        <w:rPr>
          <w:b/>
          <w:bCs/>
          <w:i/>
          <w:iCs/>
        </w:rPr>
        <w:t xml:space="preserve">Thunder Cats Investments 92 (Pty) Ltd and Another v </w:t>
      </w:r>
      <w:proofErr w:type="spellStart"/>
      <w:r w:rsidR="007C09D5" w:rsidRPr="007C09D5">
        <w:rPr>
          <w:b/>
          <w:bCs/>
          <w:i/>
          <w:iCs/>
        </w:rPr>
        <w:t>Nkonjane</w:t>
      </w:r>
      <w:proofErr w:type="spellEnd"/>
      <w:r w:rsidR="007C09D5" w:rsidRPr="007C09D5">
        <w:rPr>
          <w:b/>
          <w:bCs/>
          <w:i/>
          <w:iCs/>
        </w:rPr>
        <w:t xml:space="preserve"> </w:t>
      </w:r>
      <w:r w:rsidR="007C09D5" w:rsidRPr="007C09D5">
        <w:rPr>
          <w:b/>
          <w:bCs/>
          <w:i/>
          <w:iCs/>
        </w:rPr>
        <w:lastRenderedPageBreak/>
        <w:t>Economic Prospecting &amp; Investment (Pty) Ltd and Others 2014 (5) SA 1 (SCA)</w:t>
      </w:r>
      <w:r w:rsidR="007C09D5">
        <w:t xml:space="preserve"> </w:t>
      </w:r>
      <w:r w:rsidR="003D593B">
        <w:t xml:space="preserve">the Court </w:t>
      </w:r>
      <w:r w:rsidR="00615C69">
        <w:t xml:space="preserve">dealt with the </w:t>
      </w:r>
      <w:r w:rsidR="00D823D9">
        <w:t>deadlock princ</w:t>
      </w:r>
      <w:r w:rsidR="001E2579">
        <w:t>i</w:t>
      </w:r>
      <w:r w:rsidR="00D823D9">
        <w:t>ple</w:t>
      </w:r>
      <w:r w:rsidR="00615C69">
        <w:t xml:space="preserve"> within the context of section 81</w:t>
      </w:r>
      <w:r w:rsidR="00112B6F">
        <w:t xml:space="preserve">(1)(d) and held in </w:t>
      </w:r>
      <w:r w:rsidR="00112B6F" w:rsidRPr="00B70039">
        <w:rPr>
          <w:b/>
          <w:bCs/>
          <w:i/>
          <w:iCs/>
        </w:rPr>
        <w:t xml:space="preserve">paragraph </w:t>
      </w:r>
      <w:r w:rsidR="00D823D9" w:rsidRPr="00B70039">
        <w:rPr>
          <w:b/>
          <w:bCs/>
          <w:i/>
          <w:iCs/>
        </w:rPr>
        <w:t>14</w:t>
      </w:r>
      <w:r w:rsidR="00112B6F">
        <w:t xml:space="preserve"> that:</w:t>
      </w:r>
    </w:p>
    <w:p w14:paraId="7734E605" w14:textId="57773219" w:rsidR="00112B6F" w:rsidRDefault="00112B6F" w:rsidP="00D823D9">
      <w:pPr>
        <w:widowControl w:val="0"/>
        <w:spacing w:before="360" w:after="360" w:line="360" w:lineRule="auto"/>
        <w:ind w:left="1440"/>
        <w:jc w:val="both"/>
      </w:pPr>
      <w:r>
        <w:t>“</w:t>
      </w:r>
      <w:r w:rsidR="00D823D9" w:rsidRPr="00D823D9">
        <w:rPr>
          <w:i/>
          <w:iCs/>
        </w:rPr>
        <w:t xml:space="preserve">Meyer J's conclusion that the just and equitable ground in s 81(1)(d)(iii) should not be interpreted </w:t>
      </w:r>
      <w:proofErr w:type="gramStart"/>
      <w:r w:rsidR="00D823D9" w:rsidRPr="00D823D9">
        <w:rPr>
          <w:i/>
          <w:iCs/>
        </w:rPr>
        <w:t>so as to</w:t>
      </w:r>
      <w:proofErr w:type="gramEnd"/>
      <w:r w:rsidR="00D823D9" w:rsidRPr="00D823D9">
        <w:rPr>
          <w:i/>
          <w:iCs/>
        </w:rPr>
        <w:t xml:space="preserve"> include only matters similar to the other grounds stated in s 81(1) is clearly correct. However, his conclusion that s 81(1)(d)(iii) modified the 'judicially developed deadlock category' is doubtful. Meyer J was dealing with what has been (inappropriately) termed the 'complete deadlock' category and not with the 'deadlock principle'. Indeed he made the winding-up order on </w:t>
      </w:r>
      <w:proofErr w:type="gramStart"/>
      <w:r w:rsidR="00D823D9" w:rsidRPr="00D823D9">
        <w:rPr>
          <w:i/>
          <w:iCs/>
        </w:rPr>
        <w:t>what  has</w:t>
      </w:r>
      <w:proofErr w:type="gramEnd"/>
      <w:r w:rsidR="00D823D9" w:rsidRPr="00D823D9">
        <w:rPr>
          <w:i/>
          <w:iCs/>
        </w:rPr>
        <w:t xml:space="preserve"> been referred to as the 'deadlock principle'. This case is also concerned with the 'deadlock principle' or, preferably, the failure of the relationship between the parties. The examples of 'deadlock' given in s 81(1)(d)(</w:t>
      </w:r>
      <w:proofErr w:type="spellStart"/>
      <w:r w:rsidR="00D823D9" w:rsidRPr="00D823D9">
        <w:rPr>
          <w:i/>
          <w:iCs/>
        </w:rPr>
        <w:t>i</w:t>
      </w:r>
      <w:proofErr w:type="spellEnd"/>
      <w:r w:rsidR="00D823D9" w:rsidRPr="00D823D9">
        <w:rPr>
          <w:i/>
          <w:iCs/>
        </w:rPr>
        <w:t>) and (ii), that is, where either the board or the shareholders are deadlocked are examples only, and, it seems to me, are not exhaustive and do not limit s 81(1)(d)(iii). The use of the word 'otherwise' in the subsection does not limit what is meant by 'just and equitable'. On the contrary, it extends the grounds of winding-up to include other cases of deadlock. It is conceivable that it may be just and equitable to liquidate even if the shareholders have been unable to elect successors to directors for less than the stipulated period that includes two consecutive annual general meeting dates, as s 81(1)(d)(ii) requires</w:t>
      </w:r>
      <w:r w:rsidR="00D823D9" w:rsidRPr="00D823D9">
        <w:t>.</w:t>
      </w:r>
      <w:r>
        <w:t>”</w:t>
      </w:r>
    </w:p>
    <w:p w14:paraId="14802588" w14:textId="1454BD9B" w:rsidR="001D59A3" w:rsidRDefault="0004497A" w:rsidP="001D59A3">
      <w:pPr>
        <w:widowControl w:val="0"/>
        <w:spacing w:before="360" w:after="360" w:line="360" w:lineRule="auto"/>
        <w:ind w:firstLine="851"/>
        <w:jc w:val="both"/>
      </w:pPr>
      <w:r>
        <w:t>a</w:t>
      </w:r>
      <w:r w:rsidR="001D59A3">
        <w:t xml:space="preserve">nd at </w:t>
      </w:r>
      <w:r w:rsidR="001D59A3" w:rsidRPr="0004497A">
        <w:rPr>
          <w:b/>
          <w:bCs/>
          <w:i/>
          <w:iCs/>
        </w:rPr>
        <w:t>par 15</w:t>
      </w:r>
      <w:r>
        <w:t xml:space="preserve"> dealing with the discretion of the Court</w:t>
      </w:r>
      <w:r w:rsidR="001D59A3">
        <w:t>:</w:t>
      </w:r>
    </w:p>
    <w:p w14:paraId="0261901F" w14:textId="6BCFBE93" w:rsidR="0004497A" w:rsidRPr="0004497A" w:rsidRDefault="001D59A3" w:rsidP="0004497A">
      <w:pPr>
        <w:widowControl w:val="0"/>
        <w:spacing w:before="360" w:after="360" w:line="360" w:lineRule="auto"/>
        <w:ind w:left="1440"/>
        <w:jc w:val="both"/>
        <w:rPr>
          <w:i/>
          <w:iCs/>
        </w:rPr>
      </w:pPr>
      <w:r>
        <w:t>“</w:t>
      </w:r>
      <w:r w:rsidR="0004497A" w:rsidRPr="0004497A">
        <w:rPr>
          <w:i/>
          <w:iCs/>
        </w:rPr>
        <w:t xml:space="preserve">Section 344(h) of the 1973 Act provides that a company may be wound up by the court when it is 'just and equitable' to do so. A winding-up on this basis 'postulates not facts but only a broad conclusion of law, justice and equity, as a ground for winding-up'. The subsection is not confined to cases which were analogous to the grounds mentioned in other parts of the section. Nor can any general rule be laid down as to the nature of the circumstances that had to be considered to ascertain whether a case </w:t>
      </w:r>
      <w:r w:rsidR="0004497A" w:rsidRPr="0004497A">
        <w:rPr>
          <w:i/>
          <w:iCs/>
        </w:rPr>
        <w:lastRenderedPageBreak/>
        <w:t xml:space="preserve">came within the phrase. There is no fixed category of circumstances which may provide a basis for a winding-up on the just and equitable ground. In Sweet v </w:t>
      </w:r>
      <w:proofErr w:type="spellStart"/>
      <w:r w:rsidR="0004497A" w:rsidRPr="0004497A">
        <w:rPr>
          <w:i/>
          <w:iCs/>
        </w:rPr>
        <w:t>Finbain</w:t>
      </w:r>
      <w:proofErr w:type="spellEnd"/>
      <w:r w:rsidR="0004497A" w:rsidRPr="0004497A">
        <w:rPr>
          <w:i/>
          <w:iCs/>
        </w:rPr>
        <w:t xml:space="preserve"> it was said:</w:t>
      </w:r>
    </w:p>
    <w:p w14:paraId="73E2A18B" w14:textId="1AD73C9B" w:rsidR="0004497A" w:rsidRDefault="0004497A" w:rsidP="0004497A">
      <w:pPr>
        <w:widowControl w:val="0"/>
        <w:spacing w:before="360" w:after="360" w:line="240" w:lineRule="auto"/>
        <w:ind w:left="2160"/>
        <w:jc w:val="both"/>
      </w:pPr>
      <w:r w:rsidRPr="0004497A">
        <w:rPr>
          <w:i/>
          <w:iCs/>
        </w:rPr>
        <w:t xml:space="preserve">'The ground is to be widely construed; it confers a wide judicial discretion, and it is not to be interpreted so as to exclude matters which are not ejusdem generis with the other grounds specified in s 344. The fact that the Courts have evolved certain principles as guides in particular cases, or examples of situations where the discretion to grant a winding-up order will be exercised, does not </w:t>
      </w:r>
      <w:proofErr w:type="gramStart"/>
      <w:r w:rsidRPr="0004497A">
        <w:rPr>
          <w:i/>
          <w:iCs/>
        </w:rPr>
        <w:t>require</w:t>
      </w:r>
      <w:proofErr w:type="gramEnd"/>
      <w:r w:rsidRPr="0004497A">
        <w:rPr>
          <w:i/>
          <w:iCs/>
        </w:rPr>
        <w:t xml:space="preserve"> or entitle the Court to cut down the generality of the words "just and equitable".</w:t>
      </w:r>
      <w:r>
        <w:t>'</w:t>
      </w:r>
    </w:p>
    <w:p w14:paraId="0A7A7F4B" w14:textId="64F9F3D7" w:rsidR="001D59A3" w:rsidRDefault="0004497A" w:rsidP="0004497A">
      <w:pPr>
        <w:widowControl w:val="0"/>
        <w:spacing w:before="360" w:after="360" w:line="360" w:lineRule="auto"/>
        <w:ind w:left="1440"/>
        <w:jc w:val="both"/>
      </w:pPr>
      <w:r w:rsidRPr="0004497A">
        <w:rPr>
          <w:i/>
          <w:iCs/>
        </w:rPr>
        <w:t xml:space="preserve">Section 344(h) gave the court a wide discretion in the exercise of which certain other sections of the Act had to be </w:t>
      </w:r>
      <w:proofErr w:type="gramStart"/>
      <w:r w:rsidRPr="0004497A">
        <w:rPr>
          <w:i/>
          <w:iCs/>
        </w:rPr>
        <w:t>taken into account</w:t>
      </w:r>
      <w:proofErr w:type="gramEnd"/>
      <w:r w:rsidRPr="0004497A">
        <w:rPr>
          <w:i/>
          <w:iCs/>
        </w:rPr>
        <w:t>.</w:t>
      </w:r>
      <w:r w:rsidR="001D59A3">
        <w:t>”</w:t>
      </w:r>
    </w:p>
    <w:p w14:paraId="1841BDA3" w14:textId="3F81DC81" w:rsidR="002F6E88" w:rsidRPr="002F6E88" w:rsidRDefault="00D5654C" w:rsidP="00D5654C">
      <w:pPr>
        <w:widowControl w:val="0"/>
        <w:tabs>
          <w:tab w:val="left" w:pos="851"/>
        </w:tabs>
        <w:spacing w:before="360" w:after="360" w:line="480" w:lineRule="auto"/>
        <w:ind w:left="851" w:hanging="851"/>
        <w:jc w:val="both"/>
      </w:pPr>
      <w:r w:rsidRPr="002F6E88">
        <w:t>36.</w:t>
      </w:r>
      <w:r w:rsidRPr="002F6E88">
        <w:tab/>
      </w:r>
      <w:r w:rsidR="002F6E88" w:rsidRPr="002F6E88">
        <w:t xml:space="preserve">The Applicant does not have to prove a </w:t>
      </w:r>
      <w:r w:rsidR="00104830">
        <w:t xml:space="preserve">complete </w:t>
      </w:r>
      <w:r w:rsidR="002F6E88" w:rsidRPr="002F6E88">
        <w:t>deadlock</w:t>
      </w:r>
      <w:r w:rsidR="00A409E8">
        <w:t>.  I</w:t>
      </w:r>
      <w:r w:rsidR="002F6E88" w:rsidRPr="002F6E88">
        <w:t xml:space="preserve">n </w:t>
      </w:r>
      <w:r w:rsidR="002F6E88" w:rsidRPr="002F6E88">
        <w:rPr>
          <w:b/>
          <w:bCs/>
          <w:i/>
          <w:iCs/>
        </w:rPr>
        <w:t>Marshall</w:t>
      </w:r>
      <w:r w:rsidR="002F6E88" w:rsidRPr="002F6E88">
        <w:rPr>
          <w:rStyle w:val="FootnoteReference"/>
          <w:b/>
          <w:bCs/>
          <w:i/>
          <w:iCs/>
        </w:rPr>
        <w:footnoteReference w:id="1"/>
      </w:r>
      <w:r w:rsidR="002F6E88" w:rsidRPr="002F6E88">
        <w:t xml:space="preserve"> the Court held that: </w:t>
      </w:r>
    </w:p>
    <w:p w14:paraId="2D14CC51" w14:textId="77777777" w:rsidR="002F6E88" w:rsidRPr="002F6E88" w:rsidRDefault="002F6E88" w:rsidP="002F6E88">
      <w:pPr>
        <w:widowControl w:val="0"/>
        <w:spacing w:before="360" w:after="360" w:line="360" w:lineRule="auto"/>
        <w:ind w:left="1440"/>
        <w:jc w:val="both"/>
        <w:rPr>
          <w:i/>
          <w:iCs/>
        </w:rPr>
      </w:pPr>
      <w:r w:rsidRPr="002F6E88">
        <w:t>“</w:t>
      </w:r>
      <w:r w:rsidRPr="002F6E88">
        <w:rPr>
          <w:i/>
          <w:iCs/>
        </w:rPr>
        <w:t xml:space="preserve">But actual deadlock is not an essential to the dissolution of a partnership. Lindley on Partnership, 11th ed., p. 691, says </w:t>
      </w:r>
      <w:proofErr w:type="gramStart"/>
      <w:r w:rsidRPr="002F6E88">
        <w:rPr>
          <w:i/>
          <w:iCs/>
        </w:rPr>
        <w:t>that</w:t>
      </w:r>
      <w:proofErr w:type="gramEnd"/>
    </w:p>
    <w:p w14:paraId="11EEF873" w14:textId="77777777" w:rsidR="002F6E88" w:rsidRPr="002F6E88" w:rsidRDefault="002F6E88" w:rsidP="00B2181A">
      <w:pPr>
        <w:widowControl w:val="0"/>
        <w:spacing w:before="360" w:after="360" w:line="240" w:lineRule="auto"/>
        <w:ind w:left="2160"/>
        <w:jc w:val="both"/>
        <w:rPr>
          <w:i/>
          <w:iCs/>
        </w:rPr>
      </w:pPr>
      <w:r w:rsidRPr="002F6E88">
        <w:rPr>
          <w:i/>
          <w:iCs/>
        </w:rPr>
        <w:t>'</w:t>
      </w:r>
      <w:proofErr w:type="gramStart"/>
      <w:r w:rsidRPr="002F6E88">
        <w:rPr>
          <w:i/>
          <w:iCs/>
        </w:rPr>
        <w:t>keeping</w:t>
      </w:r>
      <w:proofErr w:type="gramEnd"/>
      <w:r w:rsidRPr="002F6E88">
        <w:rPr>
          <w:i/>
          <w:iCs/>
        </w:rPr>
        <w:t xml:space="preserve"> erroneous accounts and not entering receipts, ... continued quarrelling, and such a state of animosity as precludes all reasonable hope of reconciliation and friendly co-operation, have been held sufficient to justify a dissolution'.</w:t>
      </w:r>
    </w:p>
    <w:p w14:paraId="17BE1006" w14:textId="77777777" w:rsidR="002F6E88" w:rsidRPr="002F6E88" w:rsidRDefault="002F6E88" w:rsidP="002F6E88">
      <w:pPr>
        <w:widowControl w:val="0"/>
        <w:spacing w:before="360" w:after="360" w:line="360" w:lineRule="auto"/>
        <w:ind w:left="1440"/>
        <w:jc w:val="both"/>
        <w:rPr>
          <w:i/>
          <w:iCs/>
        </w:rPr>
      </w:pPr>
      <w:r w:rsidRPr="002F6E88">
        <w:rPr>
          <w:i/>
          <w:iCs/>
        </w:rPr>
        <w:t>The learned author continues:</w:t>
      </w:r>
    </w:p>
    <w:p w14:paraId="71796B27" w14:textId="77777777" w:rsidR="002F6E88" w:rsidRPr="002F6E88" w:rsidRDefault="002F6E88" w:rsidP="00B2181A">
      <w:pPr>
        <w:widowControl w:val="0"/>
        <w:spacing w:before="360" w:after="360" w:line="240" w:lineRule="auto"/>
        <w:ind w:left="2160"/>
        <w:jc w:val="both"/>
        <w:rPr>
          <w:i/>
          <w:iCs/>
        </w:rPr>
      </w:pPr>
      <w:r w:rsidRPr="002F6E88">
        <w:rPr>
          <w:i/>
          <w:iCs/>
        </w:rPr>
        <w:t>'It is not necessary, in order to induce the Court to interfere, to show ... any gross misconduct as a partner. All that is necessary is to satisfy the Court that it is impossible for the partners to place that confidence in each other which each has a right to expect, and that such impossibility has not been caused by the person seeking to take advantage of it.'</w:t>
      </w:r>
    </w:p>
    <w:p w14:paraId="5A10A11E" w14:textId="77777777" w:rsidR="002F6E88" w:rsidRPr="002F6E88" w:rsidRDefault="002F6E88" w:rsidP="002F6E88">
      <w:pPr>
        <w:widowControl w:val="0"/>
        <w:spacing w:before="360" w:after="360" w:line="360" w:lineRule="auto"/>
        <w:ind w:left="1440"/>
        <w:jc w:val="both"/>
      </w:pPr>
      <w:r w:rsidRPr="002F6E88">
        <w:rPr>
          <w:i/>
          <w:iCs/>
        </w:rPr>
        <w:t xml:space="preserve">These principles were applied in the case of Armstrong v Wallwork, 1913 </w:t>
      </w:r>
      <w:r w:rsidRPr="002F6E88">
        <w:rPr>
          <w:i/>
          <w:iCs/>
        </w:rPr>
        <w:lastRenderedPageBreak/>
        <w:t>CPD 978.</w:t>
      </w:r>
      <w:r w:rsidRPr="002F6E88">
        <w:t>”</w:t>
      </w:r>
      <w:r w:rsidRPr="002F6E88">
        <w:rPr>
          <w:rStyle w:val="FootnoteReference"/>
          <w:b/>
          <w:bCs/>
        </w:rPr>
        <w:footnoteReference w:id="2"/>
      </w:r>
    </w:p>
    <w:p w14:paraId="64A1E5D5" w14:textId="61095EAC" w:rsidR="00E84B46" w:rsidRDefault="00D5654C" w:rsidP="00D5654C">
      <w:pPr>
        <w:widowControl w:val="0"/>
        <w:tabs>
          <w:tab w:val="left" w:pos="851"/>
        </w:tabs>
        <w:spacing w:before="360" w:after="360" w:line="480" w:lineRule="auto"/>
        <w:ind w:left="851" w:hanging="851"/>
        <w:jc w:val="both"/>
      </w:pPr>
      <w:r>
        <w:t>37.</w:t>
      </w:r>
      <w:r>
        <w:tab/>
      </w:r>
      <w:r w:rsidR="00E84B46">
        <w:t xml:space="preserve">The authors of </w:t>
      </w:r>
      <w:r w:rsidR="00E84B46" w:rsidRPr="00A409E8">
        <w:rPr>
          <w:u w:val="single"/>
        </w:rPr>
        <w:t>Blackman</w:t>
      </w:r>
      <w:r w:rsidR="00E83B8A" w:rsidRPr="00A409E8">
        <w:rPr>
          <w:u w:val="single"/>
        </w:rPr>
        <w:t>: Commentary on the Companies Act 2008</w:t>
      </w:r>
      <w:r w:rsidR="00E83B8A">
        <w:t xml:space="preserve"> (Vol 2, p </w:t>
      </w:r>
      <w:r w:rsidR="00AF3C86">
        <w:t xml:space="preserve">2-1343) </w:t>
      </w:r>
      <w:r w:rsidR="00E83B8A">
        <w:t>summarises the legal principle as follows:</w:t>
      </w:r>
    </w:p>
    <w:p w14:paraId="2119CBB8" w14:textId="61004FA5" w:rsidR="00E83B8A" w:rsidRDefault="00E83B8A" w:rsidP="00155BBB">
      <w:pPr>
        <w:widowControl w:val="0"/>
        <w:spacing w:before="360" w:after="360" w:line="360" w:lineRule="auto"/>
        <w:ind w:left="1440"/>
        <w:jc w:val="both"/>
      </w:pPr>
      <w:r>
        <w:t>“</w:t>
      </w:r>
      <w:r w:rsidR="0032456E" w:rsidRPr="00855AF4">
        <w:rPr>
          <w:i/>
          <w:iCs/>
        </w:rPr>
        <w:t>The meaning of ‘just and equitable’ in this context as a ground for winding-up is therefore important.</w:t>
      </w:r>
      <w:r w:rsidR="00155BBB" w:rsidRPr="00855AF4">
        <w:rPr>
          <w:i/>
          <w:iCs/>
        </w:rPr>
        <w:t xml:space="preserve"> </w:t>
      </w:r>
      <w:r w:rsidR="0032456E" w:rsidRPr="00855AF4">
        <w:rPr>
          <w:i/>
          <w:iCs/>
        </w:rPr>
        <w:t>Previous judicial decisions in this regard, however, are primarily based on a general winding-up discretion, such as that which was afforded to the court in terms of s 344(h) of the 1973 Act. Under that section the court could wind up a company if ‘it appears to the Court that it is just and equitable that the company should be wound up’. Accordingly, not all the judicial dicta noted below are of equal force in regard to the new sections and they should be viewed in this context. The courts have held as follows in relation to the ‘just and equitable’ requirement in this context.</w:t>
      </w:r>
      <w:r w:rsidR="00155BBB" w:rsidRPr="00855AF4">
        <w:rPr>
          <w:i/>
          <w:iCs/>
        </w:rPr>
        <w:t xml:space="preserve"> Unlike the other grounds for winding-up, this </w:t>
      </w:r>
      <w:proofErr w:type="gramStart"/>
      <w:r w:rsidR="00155BBB" w:rsidRPr="00855AF4">
        <w:rPr>
          <w:i/>
          <w:iCs/>
        </w:rPr>
        <w:t>ground</w:t>
      </w:r>
      <w:proofErr w:type="gramEnd"/>
      <w:r w:rsidR="00155BBB" w:rsidRPr="00855AF4">
        <w:rPr>
          <w:i/>
          <w:iCs/>
        </w:rPr>
        <w:t xml:space="preserve"> postulates not facts, but a broad conclusion of law, justice and equity as a ground for winding-up. The words ‘just and equitable’ are not to be interpreted ejusdem generis with the situations set out in the other grounds. Instead, these words confer on the court a discretionary power of the widest character. However, not only is this discretion of a judicial nature, requiring that grounds be given for its exercise which can be examined and justified, but it is also a discretion only in the sense that, since the words ‘just and equitable’ do not themselves constitute a statement of fact and are not capable of an all-embracing definition, the court is required to exercise its judgement in arriving at the required conclusion of law to be derived from the facts placed before it. To arrive at that conclusion, the court is obliged to examine all the facts placed before it and to determine which of these facts are relevant to an opinion on the question of justice and equity; and, difficult though ‘justice and equity are to define, they have to be seen as setting an objective standard that will be the same in every court </w:t>
      </w:r>
      <w:r w:rsidR="00155BBB" w:rsidRPr="00855AF4">
        <w:rPr>
          <w:i/>
          <w:iCs/>
        </w:rPr>
        <w:lastRenderedPageBreak/>
        <w:t xml:space="preserve">in the land’. The justice and equity </w:t>
      </w:r>
      <w:proofErr w:type="gramStart"/>
      <w:r w:rsidR="00155BBB" w:rsidRPr="00855AF4">
        <w:rPr>
          <w:i/>
          <w:iCs/>
        </w:rPr>
        <w:t>is</w:t>
      </w:r>
      <w:proofErr w:type="gramEnd"/>
      <w:r w:rsidR="00155BBB" w:rsidRPr="00855AF4">
        <w:rPr>
          <w:i/>
          <w:iCs/>
        </w:rPr>
        <w:t xml:space="preserve"> that between the competing interests of those concerned and, in reaching its conclusion, the court is obliged to take into account every consideration that is fair and reasonable for those interests.</w:t>
      </w:r>
      <w:r>
        <w:t>”</w:t>
      </w:r>
    </w:p>
    <w:p w14:paraId="6A25E172" w14:textId="68E62AEB" w:rsidR="002F6E88" w:rsidRPr="002F6E88" w:rsidRDefault="00D5654C" w:rsidP="00D5654C">
      <w:pPr>
        <w:widowControl w:val="0"/>
        <w:tabs>
          <w:tab w:val="left" w:pos="851"/>
        </w:tabs>
        <w:spacing w:before="360" w:after="360" w:line="480" w:lineRule="auto"/>
        <w:ind w:left="851" w:hanging="851"/>
        <w:jc w:val="both"/>
      </w:pPr>
      <w:r w:rsidRPr="002F6E88">
        <w:t>38.</w:t>
      </w:r>
      <w:r w:rsidRPr="002F6E88">
        <w:tab/>
      </w:r>
      <w:r w:rsidR="002F6E88" w:rsidRPr="002F6E88">
        <w:t xml:space="preserve">The court will order the winding-up of a company where, owing to internal disputes, there is a deadlock in its administration which cannot be resolved in terms of its </w:t>
      </w:r>
      <w:r w:rsidR="00BB3CE1" w:rsidRPr="002F6E88">
        <w:t>constitution,</w:t>
      </w:r>
      <w:r w:rsidR="002F6E88" w:rsidRPr="002F6E88">
        <w:t xml:space="preserve"> and which renders the company incapable of carrying on its business. Where the deadlock occurs in the general meeting, or the general meeting cannot or will not act, it will usually be just and equitable that the company be wound up.</w:t>
      </w:r>
      <w:r w:rsidR="002F6E88" w:rsidRPr="002F6E88">
        <w:rPr>
          <w:rStyle w:val="FootnoteReference"/>
          <w:b/>
          <w:bCs/>
        </w:rPr>
        <w:footnoteReference w:id="3"/>
      </w:r>
    </w:p>
    <w:p w14:paraId="2183D67E" w14:textId="5AF0644C" w:rsidR="00BF3440" w:rsidRPr="00A04AFE" w:rsidRDefault="00D5654C" w:rsidP="00D5654C">
      <w:pPr>
        <w:tabs>
          <w:tab w:val="left" w:pos="851"/>
        </w:tabs>
        <w:spacing w:before="360" w:after="360" w:line="480" w:lineRule="auto"/>
        <w:ind w:left="851" w:hanging="851"/>
        <w:jc w:val="both"/>
        <w:rPr>
          <w:rFonts w:eastAsia="Times New Roman"/>
          <w:szCs w:val="28"/>
        </w:rPr>
      </w:pPr>
      <w:r w:rsidRPr="00A04AFE">
        <w:rPr>
          <w:rFonts w:eastAsia="Times New Roman"/>
          <w:szCs w:val="28"/>
        </w:rPr>
        <w:t>39.</w:t>
      </w:r>
      <w:r w:rsidRPr="00A04AFE">
        <w:rPr>
          <w:rFonts w:eastAsia="Times New Roman"/>
          <w:szCs w:val="28"/>
        </w:rPr>
        <w:tab/>
      </w:r>
      <w:r w:rsidR="00ED180F">
        <w:rPr>
          <w:rFonts w:eastAsia="Times New Roman"/>
          <w:szCs w:val="28"/>
          <w:lang w:val="en-GB"/>
        </w:rPr>
        <w:t xml:space="preserve">It is clear from the papers that the </w:t>
      </w:r>
      <w:r w:rsidR="0004176C">
        <w:rPr>
          <w:rFonts w:eastAsia="Times New Roman"/>
          <w:szCs w:val="28"/>
          <w:lang w:val="en-GB"/>
        </w:rPr>
        <w:t>Applicant has been locked out of th</w:t>
      </w:r>
      <w:r w:rsidR="0017471B">
        <w:rPr>
          <w:rFonts w:eastAsia="Times New Roman"/>
          <w:szCs w:val="28"/>
          <w:lang w:val="en-GB"/>
        </w:rPr>
        <w:t>e</w:t>
      </w:r>
      <w:r w:rsidR="0004176C">
        <w:rPr>
          <w:rFonts w:eastAsia="Times New Roman"/>
          <w:szCs w:val="28"/>
          <w:lang w:val="en-GB"/>
        </w:rPr>
        <w:t xml:space="preserve"> </w:t>
      </w:r>
      <w:r w:rsidR="004D4F86">
        <w:rPr>
          <w:rFonts w:eastAsia="Times New Roman"/>
          <w:szCs w:val="28"/>
          <w:lang w:val="en-GB"/>
        </w:rPr>
        <w:t>control of the First Respondent and that the Second Respondent dictates its affairs</w:t>
      </w:r>
      <w:r w:rsidR="0004176C">
        <w:rPr>
          <w:rFonts w:eastAsia="Times New Roman"/>
          <w:szCs w:val="28"/>
          <w:lang w:val="en-GB"/>
        </w:rPr>
        <w:t xml:space="preserve">.  The </w:t>
      </w:r>
      <w:r w:rsidR="00A04AFE">
        <w:rPr>
          <w:rFonts w:eastAsia="Times New Roman"/>
          <w:szCs w:val="28"/>
          <w:lang w:val="en-GB"/>
        </w:rPr>
        <w:t xml:space="preserve">acerbic </w:t>
      </w:r>
      <w:r w:rsidR="0004176C">
        <w:rPr>
          <w:rFonts w:eastAsia="Times New Roman"/>
          <w:szCs w:val="28"/>
          <w:lang w:val="en-GB"/>
        </w:rPr>
        <w:t xml:space="preserve">allegations contained in the answering affidavit speak of </w:t>
      </w:r>
      <w:r w:rsidR="00400577">
        <w:rPr>
          <w:rFonts w:eastAsia="Times New Roman"/>
          <w:szCs w:val="28"/>
          <w:lang w:val="en-GB"/>
        </w:rPr>
        <w:t xml:space="preserve">the </w:t>
      </w:r>
      <w:r w:rsidR="0004176C">
        <w:rPr>
          <w:rFonts w:eastAsia="Times New Roman"/>
          <w:szCs w:val="28"/>
          <w:lang w:val="en-GB"/>
        </w:rPr>
        <w:t>great animosity which exists between the Second Respondent and the Applicant.</w:t>
      </w:r>
      <w:r w:rsidR="00A04AFE">
        <w:rPr>
          <w:rFonts w:eastAsia="Times New Roman"/>
          <w:szCs w:val="28"/>
        </w:rPr>
        <w:t xml:space="preserve">  </w:t>
      </w:r>
      <w:r w:rsidR="00BF3440" w:rsidRPr="00A04AFE">
        <w:rPr>
          <w:rFonts w:eastAsia="Times New Roman"/>
          <w:szCs w:val="28"/>
          <w:lang w:val="en-GB"/>
        </w:rPr>
        <w:t>It is abundantly clear from the affidavits that there is a deadlock between the Second Respondent and the Applicant.</w:t>
      </w:r>
    </w:p>
    <w:p w14:paraId="59C85BA4" w14:textId="3B7036BA"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40.</w:t>
      </w:r>
      <w:r w:rsidRPr="00BF3440">
        <w:rPr>
          <w:rFonts w:eastAsia="Times New Roman"/>
          <w:szCs w:val="28"/>
          <w:lang w:val="en-GB"/>
        </w:rPr>
        <w:tab/>
      </w:r>
      <w:r w:rsidR="00BF3440" w:rsidRPr="00BF3440">
        <w:rPr>
          <w:rFonts w:eastAsia="Times New Roman"/>
          <w:szCs w:val="28"/>
          <w:lang w:val="en-GB"/>
        </w:rPr>
        <w:t xml:space="preserve">The </w:t>
      </w:r>
      <w:r w:rsidR="00A04AFE">
        <w:rPr>
          <w:rFonts w:eastAsia="Times New Roman"/>
          <w:szCs w:val="28"/>
          <w:lang w:val="en-GB"/>
        </w:rPr>
        <w:t>Order</w:t>
      </w:r>
      <w:r w:rsidR="00BF3440" w:rsidRPr="00BF3440">
        <w:rPr>
          <w:rFonts w:eastAsia="Times New Roman"/>
          <w:szCs w:val="28"/>
          <w:lang w:val="en-GB"/>
        </w:rPr>
        <w:t xml:space="preserve"> gave the opportunity to the parties to finalise th</w:t>
      </w:r>
      <w:r w:rsidR="00BA1E8E">
        <w:rPr>
          <w:rFonts w:eastAsia="Times New Roman"/>
          <w:szCs w:val="28"/>
          <w:lang w:val="en-GB"/>
        </w:rPr>
        <w:t>e</w:t>
      </w:r>
      <w:r w:rsidR="00BF3440" w:rsidRPr="00BF3440">
        <w:rPr>
          <w:rFonts w:eastAsia="Times New Roman"/>
          <w:szCs w:val="28"/>
          <w:lang w:val="en-GB"/>
        </w:rPr>
        <w:t xml:space="preserve"> sale of the member’s interest in the First Respondent in a</w:t>
      </w:r>
      <w:r w:rsidR="00746F67">
        <w:rPr>
          <w:rFonts w:eastAsia="Times New Roman"/>
          <w:szCs w:val="28"/>
          <w:lang w:val="en-GB"/>
        </w:rPr>
        <w:t>n</w:t>
      </w:r>
      <w:r w:rsidR="00BF3440" w:rsidRPr="00BF3440">
        <w:rPr>
          <w:rFonts w:eastAsia="Times New Roman"/>
          <w:szCs w:val="28"/>
          <w:lang w:val="en-GB"/>
        </w:rPr>
        <w:t xml:space="preserve"> </w:t>
      </w:r>
      <w:r w:rsidR="00746F67">
        <w:rPr>
          <w:rFonts w:eastAsia="Times New Roman"/>
          <w:szCs w:val="28"/>
          <w:lang w:val="en-GB"/>
        </w:rPr>
        <w:t xml:space="preserve">orderly, </w:t>
      </w:r>
      <w:r w:rsidR="00BB3CE1" w:rsidRPr="00BF3440">
        <w:rPr>
          <w:rFonts w:eastAsia="Times New Roman"/>
          <w:szCs w:val="28"/>
          <w:lang w:val="en-GB"/>
        </w:rPr>
        <w:t>structured,</w:t>
      </w:r>
      <w:r w:rsidR="00BF3440" w:rsidRPr="00BF3440">
        <w:rPr>
          <w:rFonts w:eastAsia="Times New Roman"/>
          <w:szCs w:val="28"/>
          <w:lang w:val="en-GB"/>
        </w:rPr>
        <w:t xml:space="preserve"> and organised fashion. </w:t>
      </w:r>
      <w:r w:rsidR="00746F67">
        <w:rPr>
          <w:rFonts w:eastAsia="Times New Roman"/>
          <w:szCs w:val="28"/>
          <w:lang w:val="en-GB"/>
        </w:rPr>
        <w:t xml:space="preserve"> The Second Respondent frustrated that process to the point where it came to naught.  </w:t>
      </w:r>
      <w:r w:rsidR="00BF3440" w:rsidRPr="00BF3440">
        <w:rPr>
          <w:rFonts w:eastAsia="Times New Roman"/>
          <w:szCs w:val="28"/>
          <w:lang w:val="en-GB"/>
        </w:rPr>
        <w:t xml:space="preserve">The court is not convinced by the explanation </w:t>
      </w:r>
      <w:r w:rsidR="00746F67">
        <w:rPr>
          <w:rFonts w:eastAsia="Times New Roman"/>
          <w:szCs w:val="28"/>
          <w:lang w:val="en-GB"/>
        </w:rPr>
        <w:t>of</w:t>
      </w:r>
      <w:r w:rsidR="00BF3440" w:rsidRPr="00BF3440">
        <w:rPr>
          <w:rFonts w:eastAsia="Times New Roman"/>
          <w:szCs w:val="28"/>
          <w:lang w:val="en-GB"/>
        </w:rPr>
        <w:t xml:space="preserve"> the Second Respondent that he was blissfully unaware of the requests by Mr Ferreira for information. </w:t>
      </w:r>
      <w:r w:rsidR="00746F67">
        <w:rPr>
          <w:rFonts w:eastAsia="Times New Roman"/>
          <w:szCs w:val="28"/>
          <w:lang w:val="en-GB"/>
        </w:rPr>
        <w:t xml:space="preserve"> </w:t>
      </w:r>
      <w:r w:rsidR="00BF3440" w:rsidRPr="00BF3440">
        <w:rPr>
          <w:rFonts w:eastAsia="Times New Roman"/>
          <w:szCs w:val="28"/>
          <w:lang w:val="en-GB"/>
        </w:rPr>
        <w:t xml:space="preserve">A pertinent </w:t>
      </w:r>
      <w:r w:rsidR="00BF3440" w:rsidRPr="00BA1E8E">
        <w:rPr>
          <w:rFonts w:eastAsia="Times New Roman"/>
          <w:i/>
          <w:iCs/>
          <w:szCs w:val="28"/>
          <w:lang w:val="en-GB"/>
        </w:rPr>
        <w:t>lacuna</w:t>
      </w:r>
      <w:r w:rsidR="00BF3440" w:rsidRPr="00BF3440">
        <w:rPr>
          <w:rFonts w:eastAsia="Times New Roman"/>
          <w:szCs w:val="28"/>
          <w:lang w:val="en-GB"/>
        </w:rPr>
        <w:t xml:space="preserve"> in his answering affidavit comes in the failure to explain why he did not take </w:t>
      </w:r>
      <w:r w:rsidR="00746F67">
        <w:rPr>
          <w:rFonts w:eastAsia="Times New Roman"/>
          <w:szCs w:val="28"/>
          <w:lang w:val="en-GB"/>
        </w:rPr>
        <w:t xml:space="preserve">any </w:t>
      </w:r>
      <w:r w:rsidR="00BF3440" w:rsidRPr="00BF3440">
        <w:rPr>
          <w:rFonts w:eastAsia="Times New Roman"/>
          <w:szCs w:val="28"/>
          <w:lang w:val="en-GB"/>
        </w:rPr>
        <w:t xml:space="preserve">proactive steps to </w:t>
      </w:r>
      <w:r w:rsidR="00BF3440" w:rsidRPr="00BF3440">
        <w:rPr>
          <w:rFonts w:eastAsia="Times New Roman"/>
          <w:szCs w:val="28"/>
          <w:lang w:val="en-GB"/>
        </w:rPr>
        <w:lastRenderedPageBreak/>
        <w:t>contact Mr Ferreira or instruct his attorneys to contact Mr Ferreira to finalise the process.</w:t>
      </w:r>
      <w:r w:rsidR="00BA1E8E">
        <w:rPr>
          <w:rFonts w:eastAsia="Times New Roman"/>
          <w:szCs w:val="28"/>
          <w:lang w:val="en-GB"/>
        </w:rPr>
        <w:t xml:space="preserve">  There is also no explanation from the Second Respondent’s attorneys as to why they did not respond to Mr Ferreira’s email or whether they raised the email with the Second Respondent.</w:t>
      </w:r>
    </w:p>
    <w:p w14:paraId="7670816F" w14:textId="78AA61A0"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41.</w:t>
      </w:r>
      <w:r w:rsidRPr="00BF3440">
        <w:rPr>
          <w:rFonts w:eastAsia="Times New Roman"/>
          <w:szCs w:val="28"/>
          <w:lang w:val="en-GB"/>
        </w:rPr>
        <w:tab/>
      </w:r>
      <w:r w:rsidR="00BF3440" w:rsidRPr="00BF3440">
        <w:rPr>
          <w:rFonts w:eastAsia="Times New Roman"/>
          <w:szCs w:val="28"/>
          <w:lang w:val="en-GB"/>
        </w:rPr>
        <w:t>The Second Respondent must have been aware that information would have to be provided to facilitate the valuation by Mr Ferreira.</w:t>
      </w:r>
      <w:r w:rsidR="001A58F0">
        <w:rPr>
          <w:rFonts w:eastAsia="Times New Roman"/>
          <w:szCs w:val="28"/>
          <w:lang w:val="en-GB"/>
        </w:rPr>
        <w:t xml:space="preserve"> </w:t>
      </w:r>
      <w:r w:rsidR="00BF3440" w:rsidRPr="00BF3440">
        <w:rPr>
          <w:rFonts w:eastAsia="Times New Roman"/>
          <w:szCs w:val="28"/>
          <w:lang w:val="en-GB"/>
        </w:rPr>
        <w:t xml:space="preserve"> It is not sufficient to adopt am armchair approach which could only result in the failure of the procedure envisioned by the </w:t>
      </w:r>
      <w:r w:rsidR="00CC5305">
        <w:rPr>
          <w:rFonts w:eastAsia="Times New Roman"/>
          <w:szCs w:val="28"/>
          <w:lang w:val="en-GB"/>
        </w:rPr>
        <w:t>O</w:t>
      </w:r>
      <w:r w:rsidR="00BF3440" w:rsidRPr="00BF3440">
        <w:rPr>
          <w:rFonts w:eastAsia="Times New Roman"/>
          <w:szCs w:val="28"/>
          <w:lang w:val="en-GB"/>
        </w:rPr>
        <w:t>rder.</w:t>
      </w:r>
    </w:p>
    <w:p w14:paraId="55227DE1" w14:textId="4C12649B"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42.</w:t>
      </w:r>
      <w:r w:rsidRPr="00BF3440">
        <w:rPr>
          <w:rFonts w:eastAsia="Times New Roman"/>
          <w:szCs w:val="28"/>
          <w:lang w:val="en-GB"/>
        </w:rPr>
        <w:tab/>
      </w:r>
      <w:r w:rsidR="00BF3440" w:rsidRPr="00BF3440">
        <w:rPr>
          <w:rFonts w:eastAsia="Times New Roman"/>
          <w:szCs w:val="28"/>
          <w:lang w:val="en-GB"/>
        </w:rPr>
        <w:t xml:space="preserve">As the matter stands, there is no doubt that the parties are unable to co-operate in respect of the affairs of the First Respondent and in respect of a potential sale of the Deceased’s member’s interest. </w:t>
      </w:r>
      <w:r w:rsidR="00CC5305">
        <w:rPr>
          <w:rFonts w:eastAsia="Times New Roman"/>
          <w:szCs w:val="28"/>
          <w:lang w:val="en-GB"/>
        </w:rPr>
        <w:t xml:space="preserve"> Albeit that I accept that the Court has </w:t>
      </w:r>
      <w:r w:rsidR="00C2193F">
        <w:rPr>
          <w:rFonts w:eastAsia="Times New Roman"/>
          <w:szCs w:val="28"/>
          <w:lang w:val="en-GB"/>
        </w:rPr>
        <w:t xml:space="preserve">a </w:t>
      </w:r>
      <w:r w:rsidR="00CC5305">
        <w:rPr>
          <w:rFonts w:eastAsia="Times New Roman"/>
          <w:szCs w:val="28"/>
          <w:lang w:val="en-GB"/>
        </w:rPr>
        <w:t>discretion to refer the matter back to the referee, I doubt whether that would provide an effective solution.</w:t>
      </w:r>
    </w:p>
    <w:p w14:paraId="2743F2A3" w14:textId="3AF7B61E"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43.</w:t>
      </w:r>
      <w:r w:rsidRPr="00BF3440">
        <w:rPr>
          <w:rFonts w:eastAsia="Times New Roman"/>
          <w:szCs w:val="28"/>
          <w:lang w:val="en-GB"/>
        </w:rPr>
        <w:tab/>
      </w:r>
      <w:r w:rsidR="00BF3440" w:rsidRPr="00BF3440">
        <w:rPr>
          <w:rFonts w:eastAsia="Times New Roman"/>
          <w:szCs w:val="28"/>
          <w:lang w:val="en-GB"/>
        </w:rPr>
        <w:t xml:space="preserve">It is also clear that the financial information provided in respect of the First Respondent is such that there are good reasons to doubt the veracity thereof. Insofar as the Second Respondent contends that he still wishes to purchase the 50% member’s interest in the First Respondent, it is a case of too little too late. </w:t>
      </w:r>
    </w:p>
    <w:p w14:paraId="74C01F25" w14:textId="268AEECB" w:rsidR="00BF3440" w:rsidRPr="00BF3440" w:rsidRDefault="00D5654C" w:rsidP="00D5654C">
      <w:pPr>
        <w:tabs>
          <w:tab w:val="left" w:pos="851"/>
        </w:tabs>
        <w:spacing w:before="360" w:after="360" w:line="480" w:lineRule="auto"/>
        <w:ind w:left="851" w:hanging="851"/>
        <w:jc w:val="both"/>
        <w:rPr>
          <w:rFonts w:eastAsia="Times New Roman"/>
          <w:szCs w:val="28"/>
          <w:lang w:val="en-GB"/>
        </w:rPr>
      </w:pPr>
      <w:r w:rsidRPr="00BF3440">
        <w:rPr>
          <w:rFonts w:eastAsia="Times New Roman"/>
          <w:szCs w:val="28"/>
          <w:lang w:val="en-GB"/>
        </w:rPr>
        <w:t>44.</w:t>
      </w:r>
      <w:r w:rsidRPr="00BF3440">
        <w:rPr>
          <w:rFonts w:eastAsia="Times New Roman"/>
          <w:szCs w:val="28"/>
          <w:lang w:val="en-GB"/>
        </w:rPr>
        <w:tab/>
      </w:r>
      <w:r w:rsidR="00BF3440" w:rsidRPr="00BF3440">
        <w:rPr>
          <w:rFonts w:eastAsia="Times New Roman"/>
          <w:szCs w:val="28"/>
          <w:lang w:val="en-GB"/>
        </w:rPr>
        <w:t>It is</w:t>
      </w:r>
      <w:r w:rsidR="00D14D2D">
        <w:rPr>
          <w:rFonts w:eastAsia="Times New Roman"/>
          <w:szCs w:val="28"/>
          <w:lang w:val="en-GB"/>
        </w:rPr>
        <w:t xml:space="preserve"> also </w:t>
      </w:r>
      <w:r w:rsidR="00BF3440" w:rsidRPr="00BF3440">
        <w:rPr>
          <w:rFonts w:eastAsia="Times New Roman"/>
          <w:szCs w:val="28"/>
          <w:lang w:val="en-GB"/>
        </w:rPr>
        <w:t>in the interest of the estate and the heirs of the estate that t</w:t>
      </w:r>
      <w:r w:rsidR="003A4BC4">
        <w:rPr>
          <w:rFonts w:eastAsia="Times New Roman"/>
          <w:szCs w:val="28"/>
          <w:lang w:val="en-GB"/>
        </w:rPr>
        <w:t>his matter be brought to finality</w:t>
      </w:r>
      <w:r w:rsidR="00BF3440" w:rsidRPr="00BF3440">
        <w:rPr>
          <w:rFonts w:eastAsia="Times New Roman"/>
          <w:szCs w:val="28"/>
          <w:lang w:val="en-GB"/>
        </w:rPr>
        <w:t>.</w:t>
      </w:r>
      <w:r w:rsidR="00BB3CE1">
        <w:rPr>
          <w:rFonts w:eastAsia="Times New Roman"/>
          <w:szCs w:val="28"/>
          <w:lang w:val="en-GB"/>
        </w:rPr>
        <w:t xml:space="preserve"> </w:t>
      </w:r>
      <w:r w:rsidR="00BF3440" w:rsidRPr="00BF3440">
        <w:rPr>
          <w:rFonts w:eastAsia="Times New Roman"/>
          <w:szCs w:val="28"/>
          <w:lang w:val="en-GB"/>
        </w:rPr>
        <w:t xml:space="preserve"> The Second Respondent has been recalcitrant and obstructive. </w:t>
      </w:r>
      <w:r w:rsidR="00701DBA">
        <w:rPr>
          <w:rFonts w:eastAsia="Times New Roman"/>
          <w:szCs w:val="28"/>
          <w:lang w:val="en-GB"/>
        </w:rPr>
        <w:t xml:space="preserve"> The Second Respondent’s conduct is symptomatic of the deadlock which exists.</w:t>
      </w:r>
    </w:p>
    <w:p w14:paraId="0977B6AC" w14:textId="501A931F" w:rsidR="00BF3440" w:rsidRDefault="00D5654C" w:rsidP="00D5654C">
      <w:pPr>
        <w:tabs>
          <w:tab w:val="left" w:pos="851"/>
        </w:tabs>
        <w:spacing w:before="360" w:after="360" w:line="480" w:lineRule="auto"/>
        <w:ind w:left="851" w:hanging="851"/>
        <w:jc w:val="both"/>
        <w:rPr>
          <w:rFonts w:eastAsia="Times New Roman"/>
          <w:szCs w:val="28"/>
          <w:lang w:val="en-GB"/>
        </w:rPr>
      </w:pPr>
      <w:r>
        <w:rPr>
          <w:rFonts w:eastAsia="Times New Roman"/>
          <w:szCs w:val="28"/>
          <w:lang w:val="en-GB"/>
        </w:rPr>
        <w:lastRenderedPageBreak/>
        <w:t>45.</w:t>
      </w:r>
      <w:r>
        <w:rPr>
          <w:rFonts w:eastAsia="Times New Roman"/>
          <w:szCs w:val="28"/>
          <w:lang w:val="en-GB"/>
        </w:rPr>
        <w:tab/>
      </w:r>
      <w:r w:rsidR="00BF3440" w:rsidRPr="00BF3440">
        <w:rPr>
          <w:rFonts w:eastAsia="Times New Roman"/>
          <w:szCs w:val="28"/>
          <w:lang w:val="en-GB"/>
        </w:rPr>
        <w:t xml:space="preserve">Under these circumstances the court </w:t>
      </w:r>
      <w:r w:rsidR="00701DBA">
        <w:rPr>
          <w:rFonts w:eastAsia="Times New Roman"/>
          <w:szCs w:val="28"/>
          <w:lang w:val="en-GB"/>
        </w:rPr>
        <w:t>finds, after considering all the relevant fats,</w:t>
      </w:r>
      <w:r w:rsidR="00BF3440" w:rsidRPr="00BF3440">
        <w:rPr>
          <w:rFonts w:eastAsia="Times New Roman"/>
          <w:szCs w:val="28"/>
          <w:lang w:val="en-GB"/>
        </w:rPr>
        <w:t xml:space="preserve"> that it would be just and equitable to grant a provisional winding-up order. </w:t>
      </w:r>
    </w:p>
    <w:p w14:paraId="02266671" w14:textId="1938F6AD" w:rsidR="000D20FA" w:rsidRPr="000D20FA" w:rsidRDefault="000D20FA" w:rsidP="000D20FA">
      <w:pPr>
        <w:spacing w:before="360" w:after="360" w:line="480" w:lineRule="auto"/>
        <w:jc w:val="both"/>
        <w:rPr>
          <w:u w:val="single"/>
        </w:rPr>
      </w:pPr>
      <w:r w:rsidRPr="000D20FA">
        <w:rPr>
          <w:u w:val="single"/>
        </w:rPr>
        <w:t>The order:</w:t>
      </w:r>
    </w:p>
    <w:p w14:paraId="131C6254" w14:textId="373A3BF2" w:rsidR="00E009FD" w:rsidRDefault="00D5654C" w:rsidP="00D5654C">
      <w:pPr>
        <w:tabs>
          <w:tab w:val="left" w:pos="851"/>
        </w:tabs>
        <w:spacing w:before="360" w:after="360" w:line="480" w:lineRule="auto"/>
        <w:ind w:left="851" w:hanging="851"/>
        <w:jc w:val="both"/>
        <w:rPr>
          <w:rFonts w:eastAsia="Times New Roman"/>
          <w:szCs w:val="28"/>
          <w:lang w:val="en-GB"/>
        </w:rPr>
      </w:pPr>
      <w:r>
        <w:rPr>
          <w:rFonts w:eastAsia="Times New Roman"/>
          <w:szCs w:val="28"/>
          <w:lang w:val="en-GB"/>
        </w:rPr>
        <w:t>46.</w:t>
      </w:r>
      <w:r>
        <w:rPr>
          <w:rFonts w:eastAsia="Times New Roman"/>
          <w:szCs w:val="28"/>
          <w:lang w:val="en-GB"/>
        </w:rPr>
        <w:tab/>
      </w:r>
      <w:r w:rsidR="00BF3440" w:rsidRPr="00BF3440">
        <w:rPr>
          <w:rFonts w:eastAsia="Times New Roman"/>
          <w:szCs w:val="28"/>
          <w:lang w:val="en-GB"/>
        </w:rPr>
        <w:t>Accordingly, the following order is made:</w:t>
      </w:r>
    </w:p>
    <w:p w14:paraId="2DF175DE" w14:textId="771E5D85" w:rsidR="00327CBF" w:rsidRPr="00327CBF" w:rsidRDefault="00327CBF" w:rsidP="00327CBF">
      <w:pPr>
        <w:spacing w:before="360" w:after="360" w:line="480" w:lineRule="auto"/>
        <w:ind w:left="851"/>
        <w:jc w:val="center"/>
        <w:rPr>
          <w:rFonts w:eastAsia="Times New Roman"/>
          <w:b/>
          <w:bCs/>
          <w:szCs w:val="28"/>
          <w:lang w:val="en-GB"/>
        </w:rPr>
      </w:pPr>
      <w:r w:rsidRPr="00327CBF">
        <w:rPr>
          <w:rFonts w:eastAsia="Times New Roman"/>
          <w:b/>
          <w:bCs/>
          <w:szCs w:val="28"/>
          <w:lang w:val="en-GB"/>
        </w:rPr>
        <w:t>IT IS ORDERED</w:t>
      </w:r>
    </w:p>
    <w:p w14:paraId="00FEA109" w14:textId="45A3C7F1" w:rsidR="007E0DA7" w:rsidRPr="007F1298" w:rsidRDefault="00D5654C" w:rsidP="00D5654C">
      <w:pPr>
        <w:tabs>
          <w:tab w:val="left" w:pos="1701"/>
        </w:tabs>
        <w:spacing w:before="360" w:after="360" w:line="480" w:lineRule="auto"/>
        <w:ind w:left="1701" w:hanging="850"/>
        <w:jc w:val="both"/>
      </w:pPr>
      <w:r w:rsidRPr="007F1298">
        <w:rPr>
          <w:lang w:val="en-GB"/>
        </w:rPr>
        <w:t>1.</w:t>
      </w:r>
      <w:r w:rsidRPr="007F1298">
        <w:rPr>
          <w:lang w:val="en-GB"/>
        </w:rPr>
        <w:tab/>
      </w:r>
      <w:r w:rsidR="007F1298" w:rsidRPr="007F1298">
        <w:t xml:space="preserve">The </w:t>
      </w:r>
      <w:r w:rsidR="00D972E6">
        <w:t xml:space="preserve">First </w:t>
      </w:r>
      <w:r w:rsidR="007F1298" w:rsidRPr="007F1298">
        <w:t>Respondent is hereby placed under provisional winding-up in the hands of the Master</w:t>
      </w:r>
      <w:r w:rsidR="00703195">
        <w:t xml:space="preserve"> of the High Court, Pretoria</w:t>
      </w:r>
      <w:r w:rsidR="007C25E5">
        <w:t>.</w:t>
      </w:r>
    </w:p>
    <w:p w14:paraId="121B10B5" w14:textId="618B8A28" w:rsidR="00A51636" w:rsidRDefault="00D5654C" w:rsidP="00D5654C">
      <w:pPr>
        <w:tabs>
          <w:tab w:val="left" w:pos="1701"/>
        </w:tabs>
        <w:spacing w:before="360" w:after="360" w:line="480" w:lineRule="auto"/>
        <w:ind w:left="1702" w:hanging="851"/>
        <w:jc w:val="both"/>
      </w:pPr>
      <w:r>
        <w:rPr>
          <w:lang w:val="en-GB"/>
        </w:rPr>
        <w:t>2.</w:t>
      </w:r>
      <w:r>
        <w:rPr>
          <w:lang w:val="en-GB"/>
        </w:rPr>
        <w:tab/>
      </w:r>
      <w:r w:rsidR="00A51636">
        <w:t xml:space="preserve">That a </w:t>
      </w:r>
      <w:r w:rsidR="00A51636" w:rsidRPr="00D5654C">
        <w:rPr>
          <w:i/>
          <w:iCs/>
        </w:rPr>
        <w:t>rule nisi</w:t>
      </w:r>
      <w:r w:rsidR="00A51636">
        <w:t xml:space="preserve"> be issued, with return date</w:t>
      </w:r>
      <w:r w:rsidR="004C18D8">
        <w:t xml:space="preserve"> on the </w:t>
      </w:r>
      <w:r w:rsidR="004C18D8" w:rsidRPr="00D5654C">
        <w:rPr>
          <w:u w:val="single"/>
        </w:rPr>
        <w:t>opposed motion roll</w:t>
      </w:r>
      <w:r w:rsidR="00A51636">
        <w:t xml:space="preserve"> </w:t>
      </w:r>
      <w:r w:rsidR="00D972E6">
        <w:t xml:space="preserve">of </w:t>
      </w:r>
      <w:r w:rsidR="00C2559F" w:rsidRPr="00D5654C">
        <w:rPr>
          <w:b/>
          <w:bCs/>
        </w:rPr>
        <w:t>29 July</w:t>
      </w:r>
      <w:r w:rsidR="001F4F1B">
        <w:t xml:space="preserve"> </w:t>
      </w:r>
      <w:r w:rsidR="001F4F1B" w:rsidRPr="00D5654C">
        <w:rPr>
          <w:b/>
          <w:bCs/>
        </w:rPr>
        <w:t>2024</w:t>
      </w:r>
      <w:r w:rsidR="00A51636">
        <w:t xml:space="preserve"> at </w:t>
      </w:r>
      <w:r w:rsidR="00A51636" w:rsidRPr="00D5654C">
        <w:rPr>
          <w:b/>
          <w:bCs/>
        </w:rPr>
        <w:t>10:00</w:t>
      </w:r>
      <w:r w:rsidR="00A51636">
        <w:t xml:space="preserve"> or </w:t>
      </w:r>
      <w:r w:rsidR="00F358CF">
        <w:t>as soon thereafter as the matter may be hear</w:t>
      </w:r>
      <w:r w:rsidR="00563362">
        <w:t>d</w:t>
      </w:r>
      <w:r w:rsidR="00F358CF">
        <w:t>,</w:t>
      </w:r>
      <w:r w:rsidR="00A51636">
        <w:t xml:space="preserve"> calling upon all interested parties, to show cause, if any, why the following </w:t>
      </w:r>
      <w:r w:rsidR="007F33A3">
        <w:t xml:space="preserve">final </w:t>
      </w:r>
      <w:r w:rsidR="00A51636">
        <w:t xml:space="preserve">order should not be </w:t>
      </w:r>
      <w:proofErr w:type="gramStart"/>
      <w:r w:rsidR="00A51636">
        <w:t>made:-</w:t>
      </w:r>
      <w:proofErr w:type="gramEnd"/>
    </w:p>
    <w:p w14:paraId="025885F8" w14:textId="5B1B2674" w:rsidR="000D20FA" w:rsidRDefault="00D5654C" w:rsidP="00D5654C">
      <w:pPr>
        <w:spacing w:before="360" w:after="360" w:line="480" w:lineRule="auto"/>
        <w:ind w:left="2694" w:hanging="993"/>
        <w:jc w:val="both"/>
      </w:pPr>
      <w:r>
        <w:t>2.1</w:t>
      </w:r>
      <w:r>
        <w:tab/>
      </w:r>
      <w:r w:rsidR="00A51636">
        <w:t xml:space="preserve">a final winding-up order is granted in respect of the </w:t>
      </w:r>
      <w:r w:rsidR="00D972E6">
        <w:t xml:space="preserve">First </w:t>
      </w:r>
      <w:r w:rsidR="00A51636">
        <w:t>Respondent;</w:t>
      </w:r>
      <w:r w:rsidR="00F358CF">
        <w:t xml:space="preserve"> and</w:t>
      </w:r>
    </w:p>
    <w:p w14:paraId="3B482070" w14:textId="58F9ECE2" w:rsidR="00A51636" w:rsidRDefault="00D5654C" w:rsidP="00D5654C">
      <w:pPr>
        <w:spacing w:before="360" w:after="360" w:line="480" w:lineRule="auto"/>
        <w:ind w:left="2694" w:hanging="993"/>
        <w:jc w:val="both"/>
      </w:pPr>
      <w:r>
        <w:t>2.2</w:t>
      </w:r>
      <w:r>
        <w:tab/>
      </w:r>
      <w:r w:rsidR="00A51636">
        <w:t xml:space="preserve">the costs of this application are costs in the winding-up of the </w:t>
      </w:r>
      <w:r w:rsidR="00D972E6">
        <w:t>First R</w:t>
      </w:r>
      <w:r w:rsidR="00A51636">
        <w:t>espondent.</w:t>
      </w:r>
    </w:p>
    <w:p w14:paraId="5C152DC9" w14:textId="458D1385" w:rsidR="0061538D" w:rsidRDefault="00D5654C" w:rsidP="00D5654C">
      <w:pPr>
        <w:tabs>
          <w:tab w:val="left" w:pos="1701"/>
        </w:tabs>
        <w:spacing w:before="360" w:after="360" w:line="480" w:lineRule="auto"/>
        <w:ind w:left="1701" w:hanging="850"/>
        <w:jc w:val="both"/>
      </w:pPr>
      <w:r>
        <w:rPr>
          <w:lang w:val="en-GB"/>
        </w:rPr>
        <w:t>3.</w:t>
      </w:r>
      <w:r>
        <w:rPr>
          <w:lang w:val="en-GB"/>
        </w:rPr>
        <w:tab/>
      </w:r>
      <w:r w:rsidR="0061538D">
        <w:t xml:space="preserve">That service of this order be </w:t>
      </w:r>
      <w:proofErr w:type="gramStart"/>
      <w:r w:rsidR="0061538D">
        <w:t>effected</w:t>
      </w:r>
      <w:proofErr w:type="gramEnd"/>
      <w:r w:rsidR="0061538D">
        <w:t xml:space="preserve"> as </w:t>
      </w:r>
      <w:r w:rsidR="00BB3CE1">
        <w:t>follows: -</w:t>
      </w:r>
    </w:p>
    <w:p w14:paraId="2C9A14BB" w14:textId="3D26814D" w:rsidR="000D20FA" w:rsidRDefault="00D5654C" w:rsidP="00D5654C">
      <w:pPr>
        <w:spacing w:before="360" w:after="360" w:line="480" w:lineRule="auto"/>
        <w:ind w:left="2410" w:hanging="709"/>
        <w:jc w:val="both"/>
      </w:pPr>
      <w:r>
        <w:t>3.1</w:t>
      </w:r>
      <w:r>
        <w:tab/>
      </w:r>
      <w:r w:rsidR="0061538D">
        <w:t>by the Sheriff:</w:t>
      </w:r>
    </w:p>
    <w:p w14:paraId="41771893" w14:textId="3F010F7E" w:rsidR="000D20FA" w:rsidRDefault="00D5654C" w:rsidP="00D5654C">
      <w:pPr>
        <w:spacing w:before="360" w:after="360" w:line="480" w:lineRule="auto"/>
        <w:ind w:left="3544" w:hanging="1134"/>
        <w:jc w:val="both"/>
      </w:pPr>
      <w:r>
        <w:t>3.1.1</w:t>
      </w:r>
      <w:r>
        <w:tab/>
      </w:r>
      <w:r w:rsidR="0061538D">
        <w:t xml:space="preserve">on the </w:t>
      </w:r>
      <w:r w:rsidR="00D972E6">
        <w:t xml:space="preserve">First </w:t>
      </w:r>
      <w:r w:rsidR="0061538D">
        <w:t xml:space="preserve">Respondent at its registered </w:t>
      </w:r>
      <w:proofErr w:type="gramStart"/>
      <w:r w:rsidR="0061538D">
        <w:t>office;</w:t>
      </w:r>
      <w:proofErr w:type="gramEnd"/>
    </w:p>
    <w:p w14:paraId="3217D76A" w14:textId="29D8AA30" w:rsidR="000D20FA" w:rsidRDefault="00D5654C" w:rsidP="00D5654C">
      <w:pPr>
        <w:spacing w:before="360" w:after="360" w:line="480" w:lineRule="auto"/>
        <w:ind w:left="3544" w:hanging="1134"/>
        <w:jc w:val="both"/>
      </w:pPr>
      <w:r>
        <w:lastRenderedPageBreak/>
        <w:t>3.1.2</w:t>
      </w:r>
      <w:r>
        <w:tab/>
      </w:r>
      <w:r w:rsidR="0061538D">
        <w:t xml:space="preserve">on the employees of the </w:t>
      </w:r>
      <w:r w:rsidR="00D972E6">
        <w:t xml:space="preserve">First </w:t>
      </w:r>
      <w:proofErr w:type="gramStart"/>
      <w:r w:rsidR="0061538D">
        <w:t>Respondent;</w:t>
      </w:r>
      <w:r w:rsidR="00563362">
        <w:t xml:space="preserve">  and</w:t>
      </w:r>
      <w:proofErr w:type="gramEnd"/>
    </w:p>
    <w:p w14:paraId="280BF795" w14:textId="51277648" w:rsidR="000D20FA" w:rsidRDefault="00D5654C" w:rsidP="00D5654C">
      <w:pPr>
        <w:spacing w:before="360" w:after="360" w:line="480" w:lineRule="auto"/>
        <w:ind w:left="3544" w:hanging="1134"/>
        <w:jc w:val="both"/>
      </w:pPr>
      <w:r>
        <w:t>3.1.3</w:t>
      </w:r>
      <w:r>
        <w:tab/>
      </w:r>
      <w:r w:rsidR="0061538D">
        <w:t xml:space="preserve">on every registered trade union that may be found to represent any of the employees of the </w:t>
      </w:r>
      <w:r w:rsidR="00D972E6">
        <w:t>First R</w:t>
      </w:r>
      <w:r w:rsidR="0061538D">
        <w:t>espondent;</w:t>
      </w:r>
      <w:r w:rsidR="00756DEE">
        <w:t xml:space="preserve"> and</w:t>
      </w:r>
    </w:p>
    <w:p w14:paraId="4DE1B514" w14:textId="4F904133" w:rsidR="000D20FA" w:rsidRDefault="00D5654C" w:rsidP="00D5654C">
      <w:pPr>
        <w:spacing w:before="360" w:after="360" w:line="480" w:lineRule="auto"/>
        <w:ind w:left="2552" w:hanging="709"/>
        <w:jc w:val="both"/>
      </w:pPr>
      <w:r>
        <w:t>3.2</w:t>
      </w:r>
      <w:r>
        <w:tab/>
      </w:r>
      <w:r w:rsidR="0061538D">
        <w:t>on the South African Revenue Service, Pretoria.</w:t>
      </w:r>
    </w:p>
    <w:p w14:paraId="1EB2A60B" w14:textId="3535876D" w:rsidR="000D20FA" w:rsidRDefault="00D5654C" w:rsidP="00D5654C">
      <w:pPr>
        <w:spacing w:before="360" w:after="360" w:line="480" w:lineRule="auto"/>
        <w:ind w:left="2552" w:hanging="709"/>
        <w:jc w:val="both"/>
      </w:pPr>
      <w:r>
        <w:t>3.3</w:t>
      </w:r>
      <w:r>
        <w:tab/>
      </w:r>
      <w:r w:rsidR="00BE662A">
        <w:t>b</w:t>
      </w:r>
      <w:r w:rsidR="00756DEE">
        <w:t xml:space="preserve">y </w:t>
      </w:r>
      <w:r w:rsidR="0061538D">
        <w:t>publication in The Citizen newspaper and in the Government Gazette.</w:t>
      </w:r>
    </w:p>
    <w:p w14:paraId="549CCA40" w14:textId="2BB8C303" w:rsidR="00650823" w:rsidRPr="007F1298" w:rsidRDefault="00D5654C" w:rsidP="00D5654C">
      <w:pPr>
        <w:tabs>
          <w:tab w:val="left" w:pos="1701"/>
        </w:tabs>
        <w:spacing w:before="360" w:after="360" w:line="480" w:lineRule="auto"/>
        <w:ind w:left="1701" w:hanging="850"/>
        <w:jc w:val="both"/>
      </w:pPr>
      <w:r w:rsidRPr="007F1298">
        <w:rPr>
          <w:lang w:val="en-GB"/>
        </w:rPr>
        <w:t>4.</w:t>
      </w:r>
      <w:r w:rsidRPr="007F1298">
        <w:rPr>
          <w:lang w:val="en-GB"/>
        </w:rPr>
        <w:tab/>
      </w:r>
      <w:r w:rsidR="00650823" w:rsidRPr="00650823">
        <w:t xml:space="preserve">The costs </w:t>
      </w:r>
      <w:r w:rsidR="000A0746">
        <w:t>will be</w:t>
      </w:r>
      <w:r w:rsidR="00650823" w:rsidRPr="00650823">
        <w:t xml:space="preserve"> costs in the liquidation of the </w:t>
      </w:r>
      <w:r w:rsidR="00D972E6">
        <w:t xml:space="preserve">First </w:t>
      </w:r>
      <w:r w:rsidR="00650823" w:rsidRPr="00650823">
        <w:t>Respondent.</w:t>
      </w:r>
    </w:p>
    <w:p w14:paraId="552BF4B8" w14:textId="77777777" w:rsidR="00CA3AE9" w:rsidRDefault="00CA3AE9" w:rsidP="00245D44">
      <w:pPr>
        <w:shd w:val="clear" w:color="auto" w:fill="FFFFFF"/>
        <w:spacing w:after="0" w:line="480" w:lineRule="auto"/>
        <w:rPr>
          <w:noProof/>
          <w:lang w:eastAsia="en-ZA"/>
        </w:rPr>
      </w:pPr>
    </w:p>
    <w:p w14:paraId="627D6D7F" w14:textId="77777777" w:rsidR="00563362" w:rsidRPr="00AB1935" w:rsidRDefault="00563362" w:rsidP="00245D44">
      <w:pPr>
        <w:shd w:val="clear" w:color="auto" w:fill="FFFFFF"/>
        <w:spacing w:after="0" w:line="480" w:lineRule="auto"/>
        <w:rPr>
          <w:noProof/>
          <w:lang w:eastAsia="en-ZA"/>
        </w:rPr>
      </w:pPr>
    </w:p>
    <w:p w14:paraId="3B6714A9" w14:textId="77777777" w:rsidR="004B0502" w:rsidRPr="00AB1935" w:rsidRDefault="004B0502" w:rsidP="004B0502">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lang w:val="en-GB"/>
        </w:rPr>
      </w:pPr>
      <w:r w:rsidRPr="00AB1935">
        <w:rPr>
          <w:noProof/>
          <w:lang w:eastAsia="en-ZA"/>
        </w:rPr>
        <w:t>___________________________</w:t>
      </w:r>
    </w:p>
    <w:p w14:paraId="7C90622C" w14:textId="208166B7" w:rsidR="004B0502" w:rsidRPr="00AB1935" w:rsidRDefault="00AB701C"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AB1935">
        <w:rPr>
          <w:b/>
          <w:lang w:val="en-GB"/>
        </w:rPr>
        <w:t xml:space="preserve">RJ </w:t>
      </w:r>
      <w:r w:rsidR="007E6ACE" w:rsidRPr="00AB1935">
        <w:rPr>
          <w:b/>
          <w:lang w:val="en-GB"/>
        </w:rPr>
        <w:t>GROENEWALD (</w:t>
      </w:r>
      <w:r w:rsidRPr="00AB1935">
        <w:rPr>
          <w:b/>
          <w:lang w:val="en-GB"/>
        </w:rPr>
        <w:t>AJ)</w:t>
      </w:r>
    </w:p>
    <w:p w14:paraId="4A1321ED" w14:textId="77777777" w:rsidR="004B0502" w:rsidRPr="00AB1935"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AB1935">
        <w:rPr>
          <w:b/>
          <w:lang w:val="en-GB"/>
        </w:rPr>
        <w:t>JUDGE OF THE HIGH COURT</w:t>
      </w:r>
    </w:p>
    <w:p w14:paraId="5B096952" w14:textId="77777777" w:rsidR="004B0502" w:rsidRPr="00AB1935"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AB1935">
        <w:rPr>
          <w:b/>
          <w:lang w:val="en-GB"/>
        </w:rPr>
        <w:t>GAUTENG DIVISION, PRETORIA</w:t>
      </w:r>
    </w:p>
    <w:p w14:paraId="131A6208" w14:textId="77777777" w:rsidR="004B0502" w:rsidRPr="00AB1935"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lang w:val="en-GB"/>
        </w:rPr>
      </w:pPr>
    </w:p>
    <w:p w14:paraId="762F8E51" w14:textId="5F5D8D85" w:rsidR="004B0502" w:rsidRPr="00AB1935"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lang w:val="en-GB"/>
        </w:rPr>
      </w:pPr>
      <w:r w:rsidRPr="00AB1935">
        <w:rPr>
          <w:lang w:val="en-GB"/>
        </w:rPr>
        <w:t xml:space="preserve">Delivered:  This judgment was prepared and authored by the Judge whose name </w:t>
      </w:r>
      <w:r w:rsidR="00FB7367" w:rsidRPr="00AB1935">
        <w:rPr>
          <w:lang w:val="en-GB"/>
        </w:rPr>
        <w:t>is</w:t>
      </w:r>
      <w:r w:rsidRPr="00AB1935">
        <w:rPr>
          <w:lang w:val="en-GB"/>
        </w:rPr>
        <w:t xml:space="preserve"> reflected and is handed down electronically by circulation to the parties/their legal representatives by email and by uploading it to the electronic file of this matter on </w:t>
      </w:r>
      <w:proofErr w:type="spellStart"/>
      <w:r w:rsidRPr="00AB1935">
        <w:rPr>
          <w:lang w:val="en-GB"/>
        </w:rPr>
        <w:t>CaseLines</w:t>
      </w:r>
      <w:proofErr w:type="spellEnd"/>
      <w:r w:rsidRPr="00AB1935">
        <w:rPr>
          <w:lang w:val="en-GB"/>
        </w:rPr>
        <w:t xml:space="preserve">.  The date for hand-down is deemed to be </w:t>
      </w:r>
      <w:r w:rsidR="00FB56A2">
        <w:rPr>
          <w:lang w:val="en-GB"/>
        </w:rPr>
        <w:t>19 March 2024</w:t>
      </w:r>
      <w:r w:rsidR="00D110CD">
        <w:rPr>
          <w:lang w:val="en-GB"/>
        </w:rPr>
        <w:t>.</w:t>
      </w:r>
    </w:p>
    <w:p w14:paraId="1973A939" w14:textId="77777777" w:rsidR="004B0502" w:rsidRPr="00AB1935" w:rsidRDefault="004B0502" w:rsidP="004B0502">
      <w:pPr>
        <w:widowControl w:val="0"/>
        <w:autoSpaceDE w:val="0"/>
        <w:autoSpaceDN w:val="0"/>
        <w:adjustRightInd w:val="0"/>
        <w:spacing w:after="0" w:line="360" w:lineRule="auto"/>
        <w:jc w:val="both"/>
      </w:pPr>
    </w:p>
    <w:p w14:paraId="0F9F933B" w14:textId="2226247B" w:rsidR="004B0502" w:rsidRDefault="004B0502" w:rsidP="00C63292">
      <w:pPr>
        <w:widowControl w:val="0"/>
        <w:autoSpaceDE w:val="0"/>
        <w:autoSpaceDN w:val="0"/>
        <w:adjustRightInd w:val="0"/>
        <w:spacing w:after="0" w:line="360" w:lineRule="auto"/>
        <w:ind w:left="3600" w:hanging="3600"/>
        <w:jc w:val="both"/>
      </w:pPr>
      <w:r w:rsidRPr="00AB1935">
        <w:t xml:space="preserve">For the </w:t>
      </w:r>
      <w:r w:rsidR="00D110CD">
        <w:t>Applicant</w:t>
      </w:r>
      <w:r w:rsidRPr="00AB1935">
        <w:tab/>
        <w:t xml:space="preserve">: </w:t>
      </w:r>
      <w:r w:rsidRPr="00AB1935">
        <w:tab/>
      </w:r>
      <w:r w:rsidR="004C3ABA" w:rsidRPr="004C3ABA">
        <w:t>Adv</w:t>
      </w:r>
      <w:r w:rsidR="00230136">
        <w:t xml:space="preserve"> </w:t>
      </w:r>
      <w:r w:rsidR="00260FCD">
        <w:t>F</w:t>
      </w:r>
      <w:r w:rsidR="00D62C01">
        <w:t xml:space="preserve"> Botes SC</w:t>
      </w:r>
    </w:p>
    <w:p w14:paraId="09493BD0" w14:textId="38B1F248" w:rsidR="00260FCD" w:rsidRDefault="00260FCD" w:rsidP="00C63292">
      <w:pPr>
        <w:widowControl w:val="0"/>
        <w:autoSpaceDE w:val="0"/>
        <w:autoSpaceDN w:val="0"/>
        <w:adjustRightInd w:val="0"/>
        <w:spacing w:after="0" w:line="360" w:lineRule="auto"/>
        <w:ind w:left="3600" w:hanging="3600"/>
        <w:jc w:val="both"/>
      </w:pPr>
      <w:r>
        <w:tab/>
      </w:r>
      <w:r>
        <w:tab/>
        <w:t>with</w:t>
      </w:r>
    </w:p>
    <w:p w14:paraId="639C00FE" w14:textId="5AFFD251" w:rsidR="00260FCD" w:rsidRPr="00AB1935" w:rsidRDefault="00260FCD" w:rsidP="00C63292">
      <w:pPr>
        <w:widowControl w:val="0"/>
        <w:autoSpaceDE w:val="0"/>
        <w:autoSpaceDN w:val="0"/>
        <w:adjustRightInd w:val="0"/>
        <w:spacing w:after="0" w:line="360" w:lineRule="auto"/>
        <w:ind w:left="3600" w:hanging="3600"/>
        <w:jc w:val="both"/>
      </w:pPr>
      <w:r>
        <w:tab/>
      </w:r>
      <w:r>
        <w:tab/>
        <w:t xml:space="preserve">Adv </w:t>
      </w:r>
      <w:r w:rsidRPr="00260FCD">
        <w:t>C Barreiro</w:t>
      </w:r>
    </w:p>
    <w:p w14:paraId="77E00756" w14:textId="25DBDE24" w:rsidR="004B0502" w:rsidRDefault="004B0502" w:rsidP="0023478C">
      <w:pPr>
        <w:widowControl w:val="0"/>
        <w:autoSpaceDE w:val="0"/>
        <w:autoSpaceDN w:val="0"/>
        <w:adjustRightInd w:val="0"/>
        <w:spacing w:after="0" w:line="360" w:lineRule="auto"/>
        <w:jc w:val="both"/>
      </w:pPr>
      <w:r w:rsidRPr="00AB1935">
        <w:t>Instructed by</w:t>
      </w:r>
      <w:r w:rsidRPr="00AB1935">
        <w:tab/>
      </w:r>
      <w:r w:rsidRPr="00AB1935">
        <w:tab/>
      </w:r>
      <w:r w:rsidRPr="00AB1935">
        <w:tab/>
      </w:r>
      <w:r w:rsidRPr="00AB1935">
        <w:tab/>
        <w:t>:</w:t>
      </w:r>
      <w:r w:rsidRPr="00AB1935">
        <w:tab/>
      </w:r>
      <w:r w:rsidR="00FC664D" w:rsidRPr="00FC664D">
        <w:t>Arthur Channon Attorneys Inc.</w:t>
      </w:r>
    </w:p>
    <w:p w14:paraId="78A56849" w14:textId="77777777" w:rsidR="00FB56A2" w:rsidRPr="00AB1935" w:rsidRDefault="00FB56A2" w:rsidP="004B0502">
      <w:pPr>
        <w:widowControl w:val="0"/>
        <w:autoSpaceDE w:val="0"/>
        <w:autoSpaceDN w:val="0"/>
        <w:adjustRightInd w:val="0"/>
        <w:spacing w:after="0" w:line="360" w:lineRule="auto"/>
        <w:jc w:val="both"/>
      </w:pPr>
    </w:p>
    <w:p w14:paraId="06C3CE8C" w14:textId="63766DB6" w:rsidR="004B0502" w:rsidRPr="00AB1935" w:rsidRDefault="004B0502" w:rsidP="00C63292">
      <w:pPr>
        <w:widowControl w:val="0"/>
        <w:autoSpaceDE w:val="0"/>
        <w:autoSpaceDN w:val="0"/>
        <w:adjustRightInd w:val="0"/>
        <w:spacing w:after="0" w:line="360" w:lineRule="auto"/>
        <w:jc w:val="both"/>
      </w:pPr>
      <w:r w:rsidRPr="00AB1935">
        <w:lastRenderedPageBreak/>
        <w:t xml:space="preserve">For the </w:t>
      </w:r>
      <w:r w:rsidR="00D110CD">
        <w:t>R</w:t>
      </w:r>
      <w:r w:rsidRPr="00AB1935">
        <w:t>espondent</w:t>
      </w:r>
      <w:r w:rsidR="00D110CD">
        <w:t>s</w:t>
      </w:r>
      <w:r w:rsidRPr="00AB1935">
        <w:tab/>
      </w:r>
      <w:r w:rsidRPr="00AB1935">
        <w:tab/>
        <w:t>:</w:t>
      </w:r>
      <w:r w:rsidRPr="00AB1935">
        <w:tab/>
      </w:r>
      <w:r w:rsidR="00AC66F3">
        <w:t xml:space="preserve">Adv </w:t>
      </w:r>
      <w:r w:rsidR="002F78B1">
        <w:t>ASL van Wyk</w:t>
      </w:r>
    </w:p>
    <w:p w14:paraId="4BED0429" w14:textId="66E9D23F" w:rsidR="001A488D" w:rsidRPr="00AB1935" w:rsidRDefault="004B0502" w:rsidP="004B0502">
      <w:pPr>
        <w:widowControl w:val="0"/>
        <w:autoSpaceDE w:val="0"/>
        <w:autoSpaceDN w:val="0"/>
        <w:adjustRightInd w:val="0"/>
        <w:spacing w:after="0" w:line="360" w:lineRule="auto"/>
        <w:jc w:val="both"/>
      </w:pPr>
      <w:r w:rsidRPr="00AB1935">
        <w:t>Instructed by</w:t>
      </w:r>
      <w:r w:rsidRPr="00AB1935">
        <w:tab/>
      </w:r>
      <w:r w:rsidRPr="00AB1935">
        <w:tab/>
      </w:r>
      <w:r w:rsidRPr="00AB1935">
        <w:tab/>
      </w:r>
      <w:r w:rsidRPr="00AB1935">
        <w:tab/>
        <w:t xml:space="preserve">: </w:t>
      </w:r>
      <w:r w:rsidRPr="00AB1935">
        <w:tab/>
      </w:r>
      <w:r w:rsidR="00FC664D" w:rsidRPr="00FC664D">
        <w:t>Hefferman Attorneys</w:t>
      </w:r>
    </w:p>
    <w:p w14:paraId="09CE2875" w14:textId="77777777" w:rsidR="004B0502" w:rsidRPr="00AB1935" w:rsidRDefault="004B0502" w:rsidP="004B0502">
      <w:pPr>
        <w:widowControl w:val="0"/>
        <w:autoSpaceDE w:val="0"/>
        <w:autoSpaceDN w:val="0"/>
        <w:adjustRightInd w:val="0"/>
        <w:spacing w:after="0" w:line="360" w:lineRule="auto"/>
        <w:jc w:val="both"/>
      </w:pPr>
    </w:p>
    <w:p w14:paraId="44F2C4F4" w14:textId="2ED5B36C" w:rsidR="004B0502" w:rsidRPr="00AB1935" w:rsidRDefault="004B0502" w:rsidP="004B0502">
      <w:pPr>
        <w:widowControl w:val="0"/>
        <w:autoSpaceDE w:val="0"/>
        <w:autoSpaceDN w:val="0"/>
        <w:adjustRightInd w:val="0"/>
        <w:spacing w:after="0" w:line="360" w:lineRule="auto"/>
        <w:jc w:val="both"/>
      </w:pPr>
      <w:r w:rsidRPr="00AB1935">
        <w:t xml:space="preserve">Matter heard on      </w:t>
      </w:r>
      <w:r w:rsidRPr="00AB1935">
        <w:tab/>
      </w:r>
      <w:r w:rsidRPr="00AB1935">
        <w:tab/>
      </w:r>
      <w:r w:rsidRPr="00AB1935">
        <w:tab/>
        <w:t xml:space="preserve">: </w:t>
      </w:r>
      <w:r w:rsidRPr="00AB1935">
        <w:tab/>
      </w:r>
      <w:r w:rsidR="001A06C7">
        <w:t>1</w:t>
      </w:r>
      <w:r w:rsidR="00605992">
        <w:t>4</w:t>
      </w:r>
      <w:r w:rsidR="001A06C7">
        <w:t xml:space="preserve"> March 2024</w:t>
      </w:r>
      <w:r w:rsidR="00063CF5">
        <w:t xml:space="preserve"> -</w:t>
      </w:r>
      <w:r w:rsidR="00697235">
        <w:t xml:space="preserve"> </w:t>
      </w:r>
      <w:r w:rsidR="00063CF5" w:rsidRPr="00063CF5">
        <w:t xml:space="preserve">Court </w:t>
      </w:r>
      <w:proofErr w:type="gramStart"/>
      <w:r w:rsidR="00063CF5" w:rsidRPr="00063CF5">
        <w:t>8F</w:t>
      </w:r>
      <w:proofErr w:type="gramEnd"/>
    </w:p>
    <w:p w14:paraId="307AA42D" w14:textId="41D69AE1" w:rsidR="004B0502" w:rsidRPr="00AB1935" w:rsidRDefault="004B0502" w:rsidP="004B0502">
      <w:pPr>
        <w:widowControl w:val="0"/>
        <w:autoSpaceDE w:val="0"/>
        <w:autoSpaceDN w:val="0"/>
        <w:adjustRightInd w:val="0"/>
        <w:spacing w:after="0" w:line="360" w:lineRule="auto"/>
        <w:jc w:val="both"/>
      </w:pPr>
      <w:r w:rsidRPr="00AB1935">
        <w:t>Judgment date</w:t>
      </w:r>
      <w:r w:rsidRPr="00AB1935">
        <w:tab/>
      </w:r>
      <w:r w:rsidRPr="00AB1935">
        <w:tab/>
      </w:r>
      <w:r w:rsidRPr="00AB1935">
        <w:tab/>
        <w:t>:</w:t>
      </w:r>
      <w:r w:rsidRPr="00AB1935">
        <w:tab/>
      </w:r>
      <w:r w:rsidR="001A06C7">
        <w:t>19 March 2024</w:t>
      </w:r>
    </w:p>
    <w:p w14:paraId="6BF91C86" w14:textId="77777777" w:rsidR="004B0502" w:rsidRPr="00AB1935" w:rsidRDefault="004B0502" w:rsidP="004B0502"/>
    <w:p w14:paraId="4EC83A23" w14:textId="77777777" w:rsidR="004B0502" w:rsidRPr="00AB1935" w:rsidRDefault="004B0502" w:rsidP="00F15823">
      <w:pPr>
        <w:spacing w:after="0" w:line="480" w:lineRule="auto"/>
        <w:jc w:val="both"/>
      </w:pPr>
    </w:p>
    <w:sectPr w:rsidR="004B0502" w:rsidRPr="00AB193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C8D6B" w14:textId="77777777" w:rsidR="003F5D8F" w:rsidRDefault="003F5D8F" w:rsidP="00EE0C65">
      <w:pPr>
        <w:spacing w:after="0" w:line="240" w:lineRule="auto"/>
      </w:pPr>
      <w:r>
        <w:separator/>
      </w:r>
    </w:p>
  </w:endnote>
  <w:endnote w:type="continuationSeparator" w:id="0">
    <w:p w14:paraId="1E39688D" w14:textId="77777777" w:rsidR="003F5D8F" w:rsidRDefault="003F5D8F" w:rsidP="00EE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F00E2" w14:textId="77777777" w:rsidR="003F5D8F" w:rsidRDefault="003F5D8F" w:rsidP="00EE0C65">
      <w:pPr>
        <w:spacing w:after="0" w:line="240" w:lineRule="auto"/>
      </w:pPr>
      <w:r>
        <w:separator/>
      </w:r>
    </w:p>
  </w:footnote>
  <w:footnote w:type="continuationSeparator" w:id="0">
    <w:p w14:paraId="792FE7D2" w14:textId="77777777" w:rsidR="003F5D8F" w:rsidRDefault="003F5D8F" w:rsidP="00EE0C65">
      <w:pPr>
        <w:spacing w:after="0" w:line="240" w:lineRule="auto"/>
      </w:pPr>
      <w:r>
        <w:continuationSeparator/>
      </w:r>
    </w:p>
  </w:footnote>
  <w:footnote w:id="1">
    <w:p w14:paraId="1F8B8FAE" w14:textId="77777777" w:rsidR="002F6E88" w:rsidRDefault="002F6E88" w:rsidP="002F6E88">
      <w:pPr>
        <w:pStyle w:val="FootnoteText"/>
      </w:pPr>
      <w:r w:rsidRPr="00DC676C">
        <w:rPr>
          <w:rStyle w:val="FootnoteReference"/>
          <w:b/>
          <w:bCs/>
        </w:rPr>
        <w:footnoteRef/>
      </w:r>
      <w:r w:rsidRPr="00DC676C">
        <w:rPr>
          <w:b/>
          <w:bCs/>
        </w:rPr>
        <w:t xml:space="preserve"> </w:t>
      </w:r>
      <w:r>
        <w:tab/>
      </w:r>
      <w:r w:rsidRPr="00DC676C">
        <w:rPr>
          <w:b/>
          <w:bCs/>
          <w:i/>
          <w:iCs/>
        </w:rPr>
        <w:t>Marshall v Marshall (Pty) Ltd and Others - 1954 (3) SA 571 (N) at 579</w:t>
      </w:r>
      <w:r>
        <w:t>.</w:t>
      </w:r>
    </w:p>
  </w:footnote>
  <w:footnote w:id="2">
    <w:p w14:paraId="4813D004" w14:textId="77777777" w:rsidR="002F6E88" w:rsidRDefault="002F6E88" w:rsidP="002F6E88">
      <w:pPr>
        <w:pStyle w:val="FootnoteText"/>
        <w:tabs>
          <w:tab w:val="left" w:pos="567"/>
        </w:tabs>
      </w:pPr>
      <w:r w:rsidRPr="00DC676C">
        <w:rPr>
          <w:rStyle w:val="FootnoteReference"/>
          <w:b/>
          <w:bCs/>
        </w:rPr>
        <w:footnoteRef/>
      </w:r>
      <w:r w:rsidRPr="00DC676C">
        <w:rPr>
          <w:b/>
          <w:bCs/>
        </w:rPr>
        <w:t xml:space="preserve"> </w:t>
      </w:r>
      <w:r>
        <w:tab/>
        <w:t xml:space="preserve">See also:  </w:t>
      </w:r>
      <w:r w:rsidRPr="00DC676C">
        <w:rPr>
          <w:b/>
          <w:bCs/>
          <w:i/>
          <w:iCs/>
        </w:rPr>
        <w:t>Apco Africa (Pty) Ltd and Another v Apco Worldwide Inc - 2008 (5) SA 615 (SCA) at par 21</w:t>
      </w:r>
      <w:r>
        <w:t>.</w:t>
      </w:r>
    </w:p>
  </w:footnote>
  <w:footnote w:id="3">
    <w:p w14:paraId="3B200012" w14:textId="77777777" w:rsidR="002F6E88" w:rsidRDefault="002F6E88" w:rsidP="002F6E88">
      <w:pPr>
        <w:pStyle w:val="FootnoteText"/>
        <w:tabs>
          <w:tab w:val="left" w:pos="567"/>
        </w:tabs>
      </w:pPr>
      <w:r w:rsidRPr="0039229C">
        <w:rPr>
          <w:rStyle w:val="FootnoteReference"/>
          <w:b/>
          <w:bCs/>
        </w:rPr>
        <w:footnoteRef/>
      </w:r>
      <w:r w:rsidRPr="0039229C">
        <w:rPr>
          <w:b/>
          <w:bCs/>
        </w:rPr>
        <w:t xml:space="preserve"> </w:t>
      </w:r>
      <w:r>
        <w:tab/>
      </w:r>
      <w:r w:rsidRPr="0039229C">
        <w:t>Blackman I: Commentary on the Companies Act 1973</w:t>
      </w:r>
      <w:r>
        <w:t xml:space="preserve">, </w:t>
      </w:r>
      <w:r w:rsidRPr="0039229C">
        <w:t>RS 8, 2011 ch14-p110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8095156"/>
      <w:docPartObj>
        <w:docPartGallery w:val="Page Numbers (Top of Page)"/>
        <w:docPartUnique/>
      </w:docPartObj>
    </w:sdtPr>
    <w:sdtEndPr>
      <w:rPr>
        <w:noProof/>
      </w:rPr>
    </w:sdtEndPr>
    <w:sdtContent>
      <w:p w14:paraId="4461935F" w14:textId="42A4C17F" w:rsidR="003E19AE" w:rsidRDefault="003E19AE">
        <w:pPr>
          <w:pStyle w:val="Header"/>
          <w:jc w:val="right"/>
        </w:pPr>
        <w:r>
          <w:fldChar w:fldCharType="begin"/>
        </w:r>
        <w:r>
          <w:instrText xml:space="preserve"> PAGE   \* MERGEFORMAT </w:instrText>
        </w:r>
        <w:r>
          <w:fldChar w:fldCharType="separate"/>
        </w:r>
        <w:r w:rsidR="006400AD">
          <w:rPr>
            <w:noProof/>
          </w:rPr>
          <w:t>1</w:t>
        </w:r>
        <w:r>
          <w:rPr>
            <w:noProof/>
          </w:rPr>
          <w:fldChar w:fldCharType="end"/>
        </w:r>
      </w:p>
    </w:sdtContent>
  </w:sdt>
  <w:p w14:paraId="6E5F7149" w14:textId="77777777" w:rsidR="003E19AE" w:rsidRDefault="003E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961120"/>
    <w:multiLevelType w:val="hybridMultilevel"/>
    <w:tmpl w:val="F894E8BC"/>
    <w:lvl w:ilvl="0" w:tplc="1C09000F">
      <w:start w:val="47"/>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BC3104"/>
    <w:multiLevelType w:val="multilevel"/>
    <w:tmpl w:val="8EF6DA5E"/>
    <w:lvl w:ilvl="0">
      <w:start w:val="1"/>
      <w:numFmt w:val="decimal"/>
      <w:lvlText w:val="%1."/>
      <w:lvlJc w:val="left"/>
      <w:pPr>
        <w:tabs>
          <w:tab w:val="num" w:pos="851"/>
        </w:tabs>
        <w:ind w:left="851" w:hanging="851"/>
      </w:pPr>
      <w:rPr>
        <w:rFonts w:ascii="Univers" w:hAnsi="Univers" w:cs="Arial" w:hint="default"/>
        <w:b w:val="0"/>
        <w:i w:val="0"/>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1134"/>
        </w:tabs>
        <w:ind w:left="1134" w:hanging="1134"/>
      </w:pPr>
      <w:rPr>
        <w:rFonts w:ascii="Univers" w:hAnsi="Univers" w:hint="default"/>
        <w:b w:val="0"/>
        <w:i w:val="0"/>
        <w:sz w:val="25"/>
      </w:rPr>
    </w:lvl>
    <w:lvl w:ilvl="3">
      <w:start w:val="1"/>
      <w:numFmt w:val="decimal"/>
      <w:lvlText w:val="%1.%2.%3.%4"/>
      <w:lvlJc w:val="left"/>
      <w:pPr>
        <w:tabs>
          <w:tab w:val="num" w:pos="1701"/>
        </w:tabs>
        <w:ind w:left="1701" w:hanging="1701"/>
      </w:pPr>
      <w:rPr>
        <w:rFonts w:hint="default"/>
        <w:b w:val="0"/>
        <w:i w:val="0"/>
      </w:rPr>
    </w:lvl>
    <w:lvl w:ilvl="4">
      <w:start w:val="1"/>
      <w:numFmt w:val="decimal"/>
      <w:lvlText w:val="%1.%2.%3.%4.%5"/>
      <w:lvlJc w:val="left"/>
      <w:pPr>
        <w:tabs>
          <w:tab w:val="num" w:pos="2268"/>
        </w:tabs>
        <w:ind w:left="2268" w:hanging="2268"/>
      </w:pPr>
      <w:rPr>
        <w:rFonts w:hint="default"/>
      </w:rPr>
    </w:lvl>
    <w:lvl w:ilvl="5">
      <w:start w:val="1"/>
      <w:numFmt w:val="decimal"/>
      <w:lvlText w:val="%1.%2.%3.%4.%5.%6"/>
      <w:lvlJc w:val="left"/>
      <w:pPr>
        <w:tabs>
          <w:tab w:val="num" w:pos="3686"/>
        </w:tabs>
        <w:ind w:left="3686" w:hanging="3686"/>
      </w:pPr>
      <w:rPr>
        <w:rFonts w:hint="default"/>
      </w:rPr>
    </w:lvl>
    <w:lvl w:ilvl="6">
      <w:start w:val="1"/>
      <w:numFmt w:val="decimal"/>
      <w:lvlText w:val="%1.%2.%3.%4.%5.%6.%7"/>
      <w:lvlJc w:val="left"/>
      <w:pPr>
        <w:tabs>
          <w:tab w:val="num" w:pos="4253"/>
        </w:tabs>
        <w:ind w:left="4253" w:hanging="4253"/>
      </w:pPr>
      <w:rPr>
        <w:rFonts w:hint="default"/>
      </w:rPr>
    </w:lvl>
    <w:lvl w:ilvl="7">
      <w:start w:val="1"/>
      <w:numFmt w:val="decimal"/>
      <w:lvlText w:val="%1.%2.%3.%4.%5.%6.%7.%8"/>
      <w:lvlJc w:val="left"/>
      <w:pPr>
        <w:tabs>
          <w:tab w:val="num" w:pos="4820"/>
        </w:tabs>
        <w:ind w:left="4820" w:hanging="482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2B85EFC"/>
    <w:multiLevelType w:val="multilevel"/>
    <w:tmpl w:val="CD98E9B8"/>
    <w:lvl w:ilvl="0">
      <w:start w:val="1"/>
      <w:numFmt w:val="decimal"/>
      <w:lvlText w:val="%1."/>
      <w:lvlJc w:val="left"/>
      <w:pPr>
        <w:tabs>
          <w:tab w:val="num" w:pos="1077"/>
        </w:tabs>
        <w:ind w:left="1077" w:hanging="360"/>
      </w:pPr>
      <w:rPr>
        <w:rFonts w:ascii="Arial" w:eastAsia="Times New Roman" w:hAnsi="Arial" w:cs="Arial"/>
      </w:r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5" w15:restartNumberingAfterBreak="0">
    <w:nsid w:val="19FD375E"/>
    <w:multiLevelType w:val="multilevel"/>
    <w:tmpl w:val="7DD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B331F"/>
    <w:multiLevelType w:val="hybridMultilevel"/>
    <w:tmpl w:val="DB306486"/>
    <w:lvl w:ilvl="0" w:tplc="FF225B98">
      <w:start w:val="1"/>
      <w:numFmt w:val="lowerLetter"/>
      <w:lvlText w:val="(%1)"/>
      <w:lvlJc w:val="left"/>
      <w:pPr>
        <w:ind w:left="2880" w:hanging="720"/>
      </w:pPr>
      <w:rPr>
        <w:rFonts w:ascii="Arial" w:eastAsiaTheme="minorHAnsi" w:hAnsi="Arial" w:cs="Arial"/>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1ED461B1"/>
    <w:multiLevelType w:val="hybridMultilevel"/>
    <w:tmpl w:val="CD8C21D0"/>
    <w:lvl w:ilvl="0" w:tplc="7B1A28D4">
      <w:start w:val="1"/>
      <w:numFmt w:val="decimal"/>
      <w:lvlText w:val="%1."/>
      <w:lvlJc w:val="left"/>
      <w:pPr>
        <w:ind w:left="720" w:hanging="360"/>
      </w:pPr>
      <w:rPr>
        <w:rFonts w:hint="default"/>
        <w:b w:val="0"/>
        <w:b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0D466C"/>
    <w:multiLevelType w:val="multilevel"/>
    <w:tmpl w:val="C046B9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7757E76"/>
    <w:multiLevelType w:val="multilevel"/>
    <w:tmpl w:val="7464908C"/>
    <w:lvl w:ilvl="0">
      <w:start w:val="1"/>
      <w:numFmt w:val="decimal"/>
      <w:lvlText w:val="%1."/>
      <w:lvlJc w:val="left"/>
      <w:pPr>
        <w:tabs>
          <w:tab w:val="num" w:pos="851"/>
        </w:tabs>
        <w:ind w:left="851" w:hanging="851"/>
      </w:pPr>
      <w:rPr>
        <w:rFonts w:cs="Times New Roman" w:hint="default"/>
        <w:b w:val="0"/>
        <w:i w:val="0"/>
      </w:rPr>
    </w:lvl>
    <w:lvl w:ilvl="1">
      <w:start w:val="1"/>
      <w:numFmt w:val="decimal"/>
      <w:lvlText w:val="%1.%2"/>
      <w:lvlJc w:val="left"/>
      <w:pPr>
        <w:tabs>
          <w:tab w:val="num" w:pos="1701"/>
        </w:tabs>
        <w:ind w:left="1701" w:hanging="850"/>
      </w:pPr>
      <w:rPr>
        <w:rFonts w:cs="Times New Roman" w:hint="default"/>
        <w:b w:val="0"/>
        <w:i w:val="0"/>
      </w:rPr>
    </w:lvl>
    <w:lvl w:ilvl="2">
      <w:start w:val="1"/>
      <w:numFmt w:val="decimal"/>
      <w:lvlText w:val="%1.%2.%3"/>
      <w:lvlJc w:val="left"/>
      <w:pPr>
        <w:tabs>
          <w:tab w:val="num" w:pos="2835"/>
        </w:tabs>
        <w:ind w:left="2835" w:hanging="1134"/>
      </w:pPr>
      <w:rPr>
        <w:rFonts w:ascii="Arial" w:hAnsi="Arial" w:cs="Arial" w:hint="default"/>
        <w:b w:val="0"/>
        <w:i w:val="0"/>
        <w:sz w:val="23"/>
        <w:szCs w:val="23"/>
      </w:rPr>
    </w:lvl>
    <w:lvl w:ilvl="3">
      <w:start w:val="1"/>
      <w:numFmt w:val="decimal"/>
      <w:lvlText w:val="%1.%2.%3.%4"/>
      <w:lvlJc w:val="left"/>
      <w:pPr>
        <w:tabs>
          <w:tab w:val="num" w:pos="1701"/>
        </w:tabs>
        <w:ind w:left="1701" w:hanging="1701"/>
      </w:pPr>
      <w:rPr>
        <w:rFonts w:cs="Times New Roman" w:hint="default"/>
        <w:b w:val="0"/>
        <w:i w:val="0"/>
      </w:rPr>
    </w:lvl>
    <w:lvl w:ilvl="4">
      <w:start w:val="1"/>
      <w:numFmt w:val="decimal"/>
      <w:lvlText w:val="%1.%2.%3.%4.%5"/>
      <w:lvlJc w:val="left"/>
      <w:pPr>
        <w:tabs>
          <w:tab w:val="num" w:pos="2268"/>
        </w:tabs>
        <w:ind w:left="2268" w:hanging="2268"/>
      </w:pPr>
      <w:rPr>
        <w:rFonts w:cs="Times New Roman" w:hint="default"/>
      </w:rPr>
    </w:lvl>
    <w:lvl w:ilvl="5">
      <w:start w:val="1"/>
      <w:numFmt w:val="decimal"/>
      <w:lvlText w:val="%1.%2.%3.%4.%5.%6"/>
      <w:lvlJc w:val="left"/>
      <w:pPr>
        <w:tabs>
          <w:tab w:val="num" w:pos="3686"/>
        </w:tabs>
        <w:ind w:left="3686" w:hanging="3686"/>
      </w:pPr>
      <w:rPr>
        <w:rFonts w:cs="Times New Roman" w:hint="default"/>
      </w:rPr>
    </w:lvl>
    <w:lvl w:ilvl="6">
      <w:start w:val="1"/>
      <w:numFmt w:val="decimal"/>
      <w:lvlText w:val="%1.%2.%3.%4.%5.%6.%7"/>
      <w:lvlJc w:val="left"/>
      <w:pPr>
        <w:tabs>
          <w:tab w:val="num" w:pos="4253"/>
        </w:tabs>
        <w:ind w:left="4253" w:hanging="4253"/>
      </w:pPr>
      <w:rPr>
        <w:rFonts w:cs="Times New Roman" w:hint="default"/>
      </w:rPr>
    </w:lvl>
    <w:lvl w:ilvl="7">
      <w:start w:val="1"/>
      <w:numFmt w:val="decimal"/>
      <w:lvlText w:val="%1.%2.%3.%4.%5.%6.%7.%8"/>
      <w:lvlJc w:val="left"/>
      <w:pPr>
        <w:tabs>
          <w:tab w:val="num" w:pos="4820"/>
        </w:tabs>
        <w:ind w:left="4820" w:hanging="482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28207EFE"/>
    <w:multiLevelType w:val="multilevel"/>
    <w:tmpl w:val="2FA2C05A"/>
    <w:lvl w:ilvl="0">
      <w:start w:val="1"/>
      <w:numFmt w:val="decimal"/>
      <w:lvlText w:val="%1."/>
      <w:lvlJc w:val="left"/>
      <w:pPr>
        <w:tabs>
          <w:tab w:val="num" w:pos="851"/>
        </w:tabs>
        <w:ind w:left="851" w:hanging="851"/>
      </w:pPr>
      <w:rPr>
        <w:rFonts w:hint="default"/>
        <w:b w:val="0"/>
        <w:bCs w:val="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BE4845"/>
    <w:multiLevelType w:val="hybridMultilevel"/>
    <w:tmpl w:val="A5647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D9B3F02"/>
    <w:multiLevelType w:val="hybridMultilevel"/>
    <w:tmpl w:val="8AD2085A"/>
    <w:lvl w:ilvl="0" w:tplc="43BCE5E2">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3" w15:restartNumberingAfterBreak="0">
    <w:nsid w:val="334D48FB"/>
    <w:multiLevelType w:val="multilevel"/>
    <w:tmpl w:val="85B02E74"/>
    <w:lvl w:ilvl="0">
      <w:start w:val="16"/>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124C8E"/>
    <w:multiLevelType w:val="hybridMultilevel"/>
    <w:tmpl w:val="DFC29D82"/>
    <w:lvl w:ilvl="0" w:tplc="5CEE6C60">
      <w:start w:val="1"/>
      <w:numFmt w:val="decimal"/>
      <w:lvlText w:val="%1."/>
      <w:lvlJc w:val="left"/>
      <w:pPr>
        <w:ind w:left="720" w:hanging="360"/>
      </w:pPr>
      <w:rPr>
        <w:rFonts w:hint="default"/>
        <w:b w:val="0"/>
        <w:bCs w:val="0"/>
        <w:i w:val="0"/>
        <w:i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494A37"/>
    <w:multiLevelType w:val="multilevel"/>
    <w:tmpl w:val="BAF26536"/>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rPr>
    </w:lvl>
    <w:lvl w:ilvl="2">
      <w:start w:val="1"/>
      <w:numFmt w:val="decimal"/>
      <w:lvlText w:val="[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3F0A22B5"/>
    <w:multiLevelType w:val="multilevel"/>
    <w:tmpl w:val="60A897F6"/>
    <w:lvl w:ilvl="0">
      <w:start w:val="39"/>
      <w:numFmt w:val="decimal"/>
      <w:lvlText w:val="%1."/>
      <w:lvlJc w:val="left"/>
      <w:pPr>
        <w:tabs>
          <w:tab w:val="num" w:pos="1077"/>
        </w:tabs>
        <w:ind w:left="1077" w:hanging="360"/>
      </w:p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17" w15:restartNumberingAfterBreak="0">
    <w:nsid w:val="4A0148B9"/>
    <w:multiLevelType w:val="multilevel"/>
    <w:tmpl w:val="38D6BC62"/>
    <w:lvl w:ilvl="0">
      <w:start w:val="1"/>
      <w:numFmt w:val="decimal"/>
      <w:lvlText w:val="%1."/>
      <w:lvlJc w:val="left"/>
      <w:pPr>
        <w:tabs>
          <w:tab w:val="num" w:pos="851"/>
        </w:tabs>
        <w:ind w:left="851" w:hanging="851"/>
      </w:pPr>
      <w:rPr>
        <w:i w:val="0"/>
      </w:rPr>
    </w:lvl>
    <w:lvl w:ilvl="1">
      <w:start w:val="1"/>
      <w:numFmt w:val="decimal"/>
      <w:lvlText w:val="%1.%2."/>
      <w:lvlJc w:val="left"/>
      <w:pPr>
        <w:tabs>
          <w:tab w:val="num" w:pos="1985"/>
        </w:tabs>
        <w:ind w:left="1985" w:hanging="113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0A61EC"/>
    <w:multiLevelType w:val="multilevel"/>
    <w:tmpl w:val="BC1860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B2F71BF"/>
    <w:multiLevelType w:val="hybridMultilevel"/>
    <w:tmpl w:val="A2CC12D0"/>
    <w:lvl w:ilvl="0" w:tplc="5AACCD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D304A54"/>
    <w:multiLevelType w:val="multilevel"/>
    <w:tmpl w:val="DED4E766"/>
    <w:lvl w:ilvl="0">
      <w:start w:val="16"/>
      <w:numFmt w:val="decimal"/>
      <w:lvlText w:val="%1."/>
      <w:lvlJc w:val="left"/>
      <w:pPr>
        <w:tabs>
          <w:tab w:val="num" w:pos="851"/>
        </w:tabs>
        <w:ind w:left="851" w:hanging="851"/>
      </w:pPr>
      <w:rPr>
        <w:rFonts w:hint="default"/>
      </w:rPr>
    </w:lvl>
    <w:lvl w:ilvl="1">
      <w:start w:val="1"/>
      <w:numFmt w:val="decimal"/>
      <w:lvlText w:val="%2."/>
      <w:lvlJc w:val="left"/>
      <w:pPr>
        <w:tabs>
          <w:tab w:val="num" w:pos="1701"/>
        </w:tabs>
        <w:ind w:left="1701" w:hanging="850"/>
      </w:pPr>
      <w:rPr>
        <w:rFonts w:ascii="Arial" w:eastAsiaTheme="minorHAnsi" w:hAnsi="Arial" w:cs="Arial"/>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4228D8"/>
    <w:multiLevelType w:val="hybridMultilevel"/>
    <w:tmpl w:val="32E27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7ED4A5C"/>
    <w:multiLevelType w:val="multilevel"/>
    <w:tmpl w:val="E4DC5658"/>
    <w:lvl w:ilvl="0">
      <w:start w:val="39"/>
      <w:numFmt w:val="decimal"/>
      <w:lvlText w:val="%1."/>
      <w:lvlJc w:val="left"/>
      <w:pPr>
        <w:tabs>
          <w:tab w:val="num" w:pos="1678"/>
        </w:tabs>
        <w:ind w:left="1678" w:hanging="360"/>
      </w:pPr>
    </w:lvl>
    <w:lvl w:ilvl="1" w:tentative="1">
      <w:start w:val="1"/>
      <w:numFmt w:val="decimal"/>
      <w:lvlText w:val="%2."/>
      <w:lvlJc w:val="left"/>
      <w:pPr>
        <w:tabs>
          <w:tab w:val="num" w:pos="2398"/>
        </w:tabs>
        <w:ind w:left="2398" w:hanging="360"/>
      </w:pPr>
    </w:lvl>
    <w:lvl w:ilvl="2" w:tentative="1">
      <w:start w:val="1"/>
      <w:numFmt w:val="decimal"/>
      <w:lvlText w:val="%3."/>
      <w:lvlJc w:val="left"/>
      <w:pPr>
        <w:tabs>
          <w:tab w:val="num" w:pos="3118"/>
        </w:tabs>
        <w:ind w:left="3118" w:hanging="360"/>
      </w:pPr>
    </w:lvl>
    <w:lvl w:ilvl="3" w:tentative="1">
      <w:start w:val="1"/>
      <w:numFmt w:val="decimal"/>
      <w:lvlText w:val="%4."/>
      <w:lvlJc w:val="left"/>
      <w:pPr>
        <w:tabs>
          <w:tab w:val="num" w:pos="3838"/>
        </w:tabs>
        <w:ind w:left="3838" w:hanging="360"/>
      </w:pPr>
    </w:lvl>
    <w:lvl w:ilvl="4" w:tentative="1">
      <w:start w:val="1"/>
      <w:numFmt w:val="decimal"/>
      <w:lvlText w:val="%5."/>
      <w:lvlJc w:val="left"/>
      <w:pPr>
        <w:tabs>
          <w:tab w:val="num" w:pos="4558"/>
        </w:tabs>
        <w:ind w:left="4558" w:hanging="360"/>
      </w:pPr>
    </w:lvl>
    <w:lvl w:ilvl="5" w:tentative="1">
      <w:start w:val="1"/>
      <w:numFmt w:val="decimal"/>
      <w:lvlText w:val="%6."/>
      <w:lvlJc w:val="left"/>
      <w:pPr>
        <w:tabs>
          <w:tab w:val="num" w:pos="5278"/>
        </w:tabs>
        <w:ind w:left="5278" w:hanging="360"/>
      </w:pPr>
    </w:lvl>
    <w:lvl w:ilvl="6" w:tentative="1">
      <w:start w:val="1"/>
      <w:numFmt w:val="decimal"/>
      <w:lvlText w:val="%7."/>
      <w:lvlJc w:val="left"/>
      <w:pPr>
        <w:tabs>
          <w:tab w:val="num" w:pos="5998"/>
        </w:tabs>
        <w:ind w:left="5998" w:hanging="360"/>
      </w:pPr>
    </w:lvl>
    <w:lvl w:ilvl="7" w:tentative="1">
      <w:start w:val="1"/>
      <w:numFmt w:val="decimal"/>
      <w:lvlText w:val="%8."/>
      <w:lvlJc w:val="left"/>
      <w:pPr>
        <w:tabs>
          <w:tab w:val="num" w:pos="6718"/>
        </w:tabs>
        <w:ind w:left="6718" w:hanging="360"/>
      </w:pPr>
    </w:lvl>
    <w:lvl w:ilvl="8" w:tentative="1">
      <w:start w:val="1"/>
      <w:numFmt w:val="decimal"/>
      <w:lvlText w:val="%9."/>
      <w:lvlJc w:val="left"/>
      <w:pPr>
        <w:tabs>
          <w:tab w:val="num" w:pos="7438"/>
        </w:tabs>
        <w:ind w:left="7438" w:hanging="360"/>
      </w:pPr>
    </w:lvl>
  </w:abstractNum>
  <w:abstractNum w:abstractNumId="23" w15:restartNumberingAfterBreak="0">
    <w:nsid w:val="6E3002C7"/>
    <w:multiLevelType w:val="hybridMultilevel"/>
    <w:tmpl w:val="573E4ACE"/>
    <w:lvl w:ilvl="0" w:tplc="1C090001">
      <w:start w:val="1"/>
      <w:numFmt w:val="bullet"/>
      <w:lvlText w:val=""/>
      <w:lvlJc w:val="left"/>
      <w:pPr>
        <w:ind w:left="2423" w:hanging="360"/>
      </w:pPr>
      <w:rPr>
        <w:rFonts w:ascii="Symbol" w:hAnsi="Symbol" w:hint="default"/>
      </w:rPr>
    </w:lvl>
    <w:lvl w:ilvl="1" w:tplc="1C090003" w:tentative="1">
      <w:start w:val="1"/>
      <w:numFmt w:val="bullet"/>
      <w:lvlText w:val="o"/>
      <w:lvlJc w:val="left"/>
      <w:pPr>
        <w:ind w:left="3143" w:hanging="360"/>
      </w:pPr>
      <w:rPr>
        <w:rFonts w:ascii="Courier New" w:hAnsi="Courier New" w:cs="Courier New" w:hint="default"/>
      </w:rPr>
    </w:lvl>
    <w:lvl w:ilvl="2" w:tplc="1C090005" w:tentative="1">
      <w:start w:val="1"/>
      <w:numFmt w:val="bullet"/>
      <w:lvlText w:val=""/>
      <w:lvlJc w:val="left"/>
      <w:pPr>
        <w:ind w:left="3863" w:hanging="360"/>
      </w:pPr>
      <w:rPr>
        <w:rFonts w:ascii="Wingdings" w:hAnsi="Wingdings" w:hint="default"/>
      </w:rPr>
    </w:lvl>
    <w:lvl w:ilvl="3" w:tplc="1C090001" w:tentative="1">
      <w:start w:val="1"/>
      <w:numFmt w:val="bullet"/>
      <w:lvlText w:val=""/>
      <w:lvlJc w:val="left"/>
      <w:pPr>
        <w:ind w:left="4583" w:hanging="360"/>
      </w:pPr>
      <w:rPr>
        <w:rFonts w:ascii="Symbol" w:hAnsi="Symbol" w:hint="default"/>
      </w:rPr>
    </w:lvl>
    <w:lvl w:ilvl="4" w:tplc="1C090003" w:tentative="1">
      <w:start w:val="1"/>
      <w:numFmt w:val="bullet"/>
      <w:lvlText w:val="o"/>
      <w:lvlJc w:val="left"/>
      <w:pPr>
        <w:ind w:left="5303" w:hanging="360"/>
      </w:pPr>
      <w:rPr>
        <w:rFonts w:ascii="Courier New" w:hAnsi="Courier New" w:cs="Courier New" w:hint="default"/>
      </w:rPr>
    </w:lvl>
    <w:lvl w:ilvl="5" w:tplc="1C090005" w:tentative="1">
      <w:start w:val="1"/>
      <w:numFmt w:val="bullet"/>
      <w:lvlText w:val=""/>
      <w:lvlJc w:val="left"/>
      <w:pPr>
        <w:ind w:left="6023" w:hanging="360"/>
      </w:pPr>
      <w:rPr>
        <w:rFonts w:ascii="Wingdings" w:hAnsi="Wingdings" w:hint="default"/>
      </w:rPr>
    </w:lvl>
    <w:lvl w:ilvl="6" w:tplc="1C090001" w:tentative="1">
      <w:start w:val="1"/>
      <w:numFmt w:val="bullet"/>
      <w:lvlText w:val=""/>
      <w:lvlJc w:val="left"/>
      <w:pPr>
        <w:ind w:left="6743" w:hanging="360"/>
      </w:pPr>
      <w:rPr>
        <w:rFonts w:ascii="Symbol" w:hAnsi="Symbol" w:hint="default"/>
      </w:rPr>
    </w:lvl>
    <w:lvl w:ilvl="7" w:tplc="1C090003" w:tentative="1">
      <w:start w:val="1"/>
      <w:numFmt w:val="bullet"/>
      <w:lvlText w:val="o"/>
      <w:lvlJc w:val="left"/>
      <w:pPr>
        <w:ind w:left="7463" w:hanging="360"/>
      </w:pPr>
      <w:rPr>
        <w:rFonts w:ascii="Courier New" w:hAnsi="Courier New" w:cs="Courier New" w:hint="default"/>
      </w:rPr>
    </w:lvl>
    <w:lvl w:ilvl="8" w:tplc="1C090005" w:tentative="1">
      <w:start w:val="1"/>
      <w:numFmt w:val="bullet"/>
      <w:lvlText w:val=""/>
      <w:lvlJc w:val="left"/>
      <w:pPr>
        <w:ind w:left="8183" w:hanging="360"/>
      </w:pPr>
      <w:rPr>
        <w:rFonts w:ascii="Wingdings" w:hAnsi="Wingdings" w:hint="default"/>
      </w:rPr>
    </w:lvl>
  </w:abstractNum>
  <w:abstractNum w:abstractNumId="24" w15:restartNumberingAfterBreak="0">
    <w:nsid w:val="71257775"/>
    <w:multiLevelType w:val="multilevel"/>
    <w:tmpl w:val="2636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283A1E"/>
    <w:multiLevelType w:val="multilevel"/>
    <w:tmpl w:val="6B74B5F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6E265B"/>
    <w:multiLevelType w:val="multilevel"/>
    <w:tmpl w:val="3650F7BC"/>
    <w:lvl w:ilvl="0">
      <w:start w:val="79"/>
      <w:numFmt w:val="decimal"/>
      <w:lvlText w:val="%1"/>
      <w:lvlJc w:val="left"/>
      <w:pPr>
        <w:ind w:left="468" w:hanging="468"/>
      </w:pPr>
      <w:rPr>
        <w:rFonts w:hint="default"/>
      </w:rPr>
    </w:lvl>
    <w:lvl w:ilvl="1">
      <w:start w:val="1"/>
      <w:numFmt w:val="decimal"/>
      <w:lvlText w:val="%1.%2"/>
      <w:lvlJc w:val="left"/>
      <w:pPr>
        <w:ind w:left="154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16cid:durableId="170726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8737615">
    <w:abstractNumId w:val="24"/>
  </w:num>
  <w:num w:numId="3" w16cid:durableId="62683067">
    <w:abstractNumId w:val="15"/>
  </w:num>
  <w:num w:numId="4" w16cid:durableId="490408512">
    <w:abstractNumId w:val="0"/>
  </w:num>
  <w:num w:numId="5" w16cid:durableId="1590189042">
    <w:abstractNumId w:val="22"/>
  </w:num>
  <w:num w:numId="6" w16cid:durableId="45112308">
    <w:abstractNumId w:val="5"/>
  </w:num>
  <w:num w:numId="7" w16cid:durableId="1086652693">
    <w:abstractNumId w:val="21"/>
  </w:num>
  <w:num w:numId="8" w16cid:durableId="1544096695">
    <w:abstractNumId w:val="16"/>
  </w:num>
  <w:num w:numId="9" w16cid:durableId="1975527677">
    <w:abstractNumId w:val="4"/>
  </w:num>
  <w:num w:numId="10" w16cid:durableId="1434518361">
    <w:abstractNumId w:val="6"/>
  </w:num>
  <w:num w:numId="11" w16cid:durableId="344090703">
    <w:abstractNumId w:val="25"/>
  </w:num>
  <w:num w:numId="12" w16cid:durableId="926228802">
    <w:abstractNumId w:val="9"/>
  </w:num>
  <w:num w:numId="13" w16cid:durableId="1950621001">
    <w:abstractNumId w:val="14"/>
  </w:num>
  <w:num w:numId="14" w16cid:durableId="1600336428">
    <w:abstractNumId w:val="2"/>
  </w:num>
  <w:num w:numId="15" w16cid:durableId="1347756859">
    <w:abstractNumId w:val="26"/>
  </w:num>
  <w:num w:numId="16" w16cid:durableId="200628934">
    <w:abstractNumId w:val="11"/>
  </w:num>
  <w:num w:numId="17" w16cid:durableId="232088528">
    <w:abstractNumId w:val="23"/>
  </w:num>
  <w:num w:numId="18" w16cid:durableId="11301316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8818486">
    <w:abstractNumId w:val="10"/>
  </w:num>
  <w:num w:numId="20" w16cid:durableId="752748513">
    <w:abstractNumId w:val="3"/>
  </w:num>
  <w:num w:numId="21" w16cid:durableId="730539090">
    <w:abstractNumId w:val="20"/>
  </w:num>
  <w:num w:numId="22" w16cid:durableId="1181238864">
    <w:abstractNumId w:val="19"/>
  </w:num>
  <w:num w:numId="23" w16cid:durableId="986398337">
    <w:abstractNumId w:val="12"/>
  </w:num>
  <w:num w:numId="24" w16cid:durableId="60105156">
    <w:abstractNumId w:val="13"/>
  </w:num>
  <w:num w:numId="25" w16cid:durableId="2116486499">
    <w:abstractNumId w:val="7"/>
  </w:num>
  <w:num w:numId="26" w16cid:durableId="1497502069">
    <w:abstractNumId w:val="8"/>
  </w:num>
  <w:num w:numId="27" w16cid:durableId="11407309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74"/>
    <w:rsid w:val="00002C2E"/>
    <w:rsid w:val="00003E20"/>
    <w:rsid w:val="00007426"/>
    <w:rsid w:val="00010319"/>
    <w:rsid w:val="00010350"/>
    <w:rsid w:val="00013355"/>
    <w:rsid w:val="00013CC5"/>
    <w:rsid w:val="0001411F"/>
    <w:rsid w:val="000143EB"/>
    <w:rsid w:val="0001445F"/>
    <w:rsid w:val="0001509A"/>
    <w:rsid w:val="0002300F"/>
    <w:rsid w:val="0002519C"/>
    <w:rsid w:val="000256BF"/>
    <w:rsid w:val="00025CBF"/>
    <w:rsid w:val="00025CE4"/>
    <w:rsid w:val="0002786B"/>
    <w:rsid w:val="00027A4C"/>
    <w:rsid w:val="00027FA0"/>
    <w:rsid w:val="00036264"/>
    <w:rsid w:val="00037CE9"/>
    <w:rsid w:val="000409F2"/>
    <w:rsid w:val="00040E7E"/>
    <w:rsid w:val="0004134B"/>
    <w:rsid w:val="0004176C"/>
    <w:rsid w:val="00042814"/>
    <w:rsid w:val="00043835"/>
    <w:rsid w:val="0004497A"/>
    <w:rsid w:val="00044B1B"/>
    <w:rsid w:val="00044DD1"/>
    <w:rsid w:val="00047118"/>
    <w:rsid w:val="00050DEC"/>
    <w:rsid w:val="0005236B"/>
    <w:rsid w:val="00052FFA"/>
    <w:rsid w:val="00053246"/>
    <w:rsid w:val="00053960"/>
    <w:rsid w:val="00057B1E"/>
    <w:rsid w:val="00060ED8"/>
    <w:rsid w:val="000620B1"/>
    <w:rsid w:val="000626FF"/>
    <w:rsid w:val="00063CF5"/>
    <w:rsid w:val="0006597F"/>
    <w:rsid w:val="00065FE7"/>
    <w:rsid w:val="0006726F"/>
    <w:rsid w:val="000701A7"/>
    <w:rsid w:val="00073B6F"/>
    <w:rsid w:val="00075282"/>
    <w:rsid w:val="000753A0"/>
    <w:rsid w:val="00075FE2"/>
    <w:rsid w:val="00080ECD"/>
    <w:rsid w:val="0008341C"/>
    <w:rsid w:val="00083744"/>
    <w:rsid w:val="00084EEB"/>
    <w:rsid w:val="000850C6"/>
    <w:rsid w:val="00086CDE"/>
    <w:rsid w:val="000875E5"/>
    <w:rsid w:val="000907A4"/>
    <w:rsid w:val="00091E4F"/>
    <w:rsid w:val="00094D2D"/>
    <w:rsid w:val="00096293"/>
    <w:rsid w:val="00096E36"/>
    <w:rsid w:val="00096EB4"/>
    <w:rsid w:val="00097412"/>
    <w:rsid w:val="000A0746"/>
    <w:rsid w:val="000A4A71"/>
    <w:rsid w:val="000A5135"/>
    <w:rsid w:val="000A54EC"/>
    <w:rsid w:val="000A78EC"/>
    <w:rsid w:val="000A7B92"/>
    <w:rsid w:val="000B7C1F"/>
    <w:rsid w:val="000B7DBF"/>
    <w:rsid w:val="000C13FA"/>
    <w:rsid w:val="000C29E8"/>
    <w:rsid w:val="000C5F05"/>
    <w:rsid w:val="000C7B32"/>
    <w:rsid w:val="000D0A3E"/>
    <w:rsid w:val="000D1684"/>
    <w:rsid w:val="000D1BB7"/>
    <w:rsid w:val="000D20FA"/>
    <w:rsid w:val="000D4C2D"/>
    <w:rsid w:val="000D57C8"/>
    <w:rsid w:val="000D5B5D"/>
    <w:rsid w:val="000D7C99"/>
    <w:rsid w:val="000D7E0D"/>
    <w:rsid w:val="000E2207"/>
    <w:rsid w:val="000E54C0"/>
    <w:rsid w:val="000E71C4"/>
    <w:rsid w:val="000F1BBD"/>
    <w:rsid w:val="000F2438"/>
    <w:rsid w:val="00101566"/>
    <w:rsid w:val="00101CA5"/>
    <w:rsid w:val="00103F31"/>
    <w:rsid w:val="00104830"/>
    <w:rsid w:val="00104B2D"/>
    <w:rsid w:val="00105C42"/>
    <w:rsid w:val="001076C3"/>
    <w:rsid w:val="00112B6F"/>
    <w:rsid w:val="001143BB"/>
    <w:rsid w:val="00114809"/>
    <w:rsid w:val="001156B3"/>
    <w:rsid w:val="001174E8"/>
    <w:rsid w:val="00120A20"/>
    <w:rsid w:val="00124A18"/>
    <w:rsid w:val="001254A8"/>
    <w:rsid w:val="0013113A"/>
    <w:rsid w:val="00134EE3"/>
    <w:rsid w:val="00135D55"/>
    <w:rsid w:val="00140311"/>
    <w:rsid w:val="00140A2C"/>
    <w:rsid w:val="00141455"/>
    <w:rsid w:val="00143FE0"/>
    <w:rsid w:val="0014716C"/>
    <w:rsid w:val="0014725C"/>
    <w:rsid w:val="00151939"/>
    <w:rsid w:val="00153323"/>
    <w:rsid w:val="00155BBB"/>
    <w:rsid w:val="001561C1"/>
    <w:rsid w:val="0016174F"/>
    <w:rsid w:val="00161BC4"/>
    <w:rsid w:val="00163303"/>
    <w:rsid w:val="0016401A"/>
    <w:rsid w:val="001729A7"/>
    <w:rsid w:val="001731A8"/>
    <w:rsid w:val="00173BED"/>
    <w:rsid w:val="0017471B"/>
    <w:rsid w:val="00174BBB"/>
    <w:rsid w:val="0017567E"/>
    <w:rsid w:val="001766BE"/>
    <w:rsid w:val="00177273"/>
    <w:rsid w:val="00182C37"/>
    <w:rsid w:val="001832F2"/>
    <w:rsid w:val="00184C4B"/>
    <w:rsid w:val="001864FF"/>
    <w:rsid w:val="001915B6"/>
    <w:rsid w:val="0019282A"/>
    <w:rsid w:val="001936A8"/>
    <w:rsid w:val="00195701"/>
    <w:rsid w:val="001A06C7"/>
    <w:rsid w:val="001A33D3"/>
    <w:rsid w:val="001A3FB0"/>
    <w:rsid w:val="001A4792"/>
    <w:rsid w:val="001A488D"/>
    <w:rsid w:val="001A58F0"/>
    <w:rsid w:val="001A5AB8"/>
    <w:rsid w:val="001A60DD"/>
    <w:rsid w:val="001B2D72"/>
    <w:rsid w:val="001B457D"/>
    <w:rsid w:val="001B482B"/>
    <w:rsid w:val="001B7CE4"/>
    <w:rsid w:val="001C0FD5"/>
    <w:rsid w:val="001C104D"/>
    <w:rsid w:val="001C26DF"/>
    <w:rsid w:val="001C4D55"/>
    <w:rsid w:val="001C5D15"/>
    <w:rsid w:val="001C642A"/>
    <w:rsid w:val="001C71C5"/>
    <w:rsid w:val="001D08E1"/>
    <w:rsid w:val="001D238F"/>
    <w:rsid w:val="001D3FE4"/>
    <w:rsid w:val="001D45DA"/>
    <w:rsid w:val="001D5290"/>
    <w:rsid w:val="001D59A3"/>
    <w:rsid w:val="001D5F35"/>
    <w:rsid w:val="001D7894"/>
    <w:rsid w:val="001D78F1"/>
    <w:rsid w:val="001E017B"/>
    <w:rsid w:val="001E0C00"/>
    <w:rsid w:val="001E19B8"/>
    <w:rsid w:val="001E1A11"/>
    <w:rsid w:val="001E2579"/>
    <w:rsid w:val="001E51BA"/>
    <w:rsid w:val="001E5736"/>
    <w:rsid w:val="001E657E"/>
    <w:rsid w:val="001E6DBE"/>
    <w:rsid w:val="001E7F04"/>
    <w:rsid w:val="001F0BF3"/>
    <w:rsid w:val="001F4F1B"/>
    <w:rsid w:val="001F6DF9"/>
    <w:rsid w:val="001F79EB"/>
    <w:rsid w:val="00203EB4"/>
    <w:rsid w:val="0020444D"/>
    <w:rsid w:val="0020474A"/>
    <w:rsid w:val="00204963"/>
    <w:rsid w:val="00204A37"/>
    <w:rsid w:val="002051EF"/>
    <w:rsid w:val="002146BB"/>
    <w:rsid w:val="00214979"/>
    <w:rsid w:val="002152CE"/>
    <w:rsid w:val="00216248"/>
    <w:rsid w:val="00216D49"/>
    <w:rsid w:val="002176B8"/>
    <w:rsid w:val="00217F14"/>
    <w:rsid w:val="00223C33"/>
    <w:rsid w:val="002270C9"/>
    <w:rsid w:val="0022720A"/>
    <w:rsid w:val="00230136"/>
    <w:rsid w:val="00230AD0"/>
    <w:rsid w:val="002312D6"/>
    <w:rsid w:val="00233C6C"/>
    <w:rsid w:val="0023478C"/>
    <w:rsid w:val="0023537E"/>
    <w:rsid w:val="0024037D"/>
    <w:rsid w:val="0024312E"/>
    <w:rsid w:val="00243C0E"/>
    <w:rsid w:val="00245D44"/>
    <w:rsid w:val="002460DC"/>
    <w:rsid w:val="00253BD2"/>
    <w:rsid w:val="00257720"/>
    <w:rsid w:val="00260FCD"/>
    <w:rsid w:val="00261757"/>
    <w:rsid w:val="002618CA"/>
    <w:rsid w:val="0026347E"/>
    <w:rsid w:val="00263A56"/>
    <w:rsid w:val="002654FB"/>
    <w:rsid w:val="002660A6"/>
    <w:rsid w:val="00266830"/>
    <w:rsid w:val="002673C7"/>
    <w:rsid w:val="00267E64"/>
    <w:rsid w:val="00271918"/>
    <w:rsid w:val="00271C93"/>
    <w:rsid w:val="002737EF"/>
    <w:rsid w:val="00274C58"/>
    <w:rsid w:val="00277336"/>
    <w:rsid w:val="00277751"/>
    <w:rsid w:val="00282652"/>
    <w:rsid w:val="00282907"/>
    <w:rsid w:val="00283439"/>
    <w:rsid w:val="00283890"/>
    <w:rsid w:val="00283EB7"/>
    <w:rsid w:val="00284757"/>
    <w:rsid w:val="00290C98"/>
    <w:rsid w:val="002920B5"/>
    <w:rsid w:val="00294903"/>
    <w:rsid w:val="00297415"/>
    <w:rsid w:val="002A1782"/>
    <w:rsid w:val="002A5AD2"/>
    <w:rsid w:val="002A7A1F"/>
    <w:rsid w:val="002B3466"/>
    <w:rsid w:val="002B363A"/>
    <w:rsid w:val="002B5C6F"/>
    <w:rsid w:val="002B5EE1"/>
    <w:rsid w:val="002B6722"/>
    <w:rsid w:val="002B6D43"/>
    <w:rsid w:val="002B7ED0"/>
    <w:rsid w:val="002C0EAF"/>
    <w:rsid w:val="002C2D14"/>
    <w:rsid w:val="002D0DC3"/>
    <w:rsid w:val="002D1D80"/>
    <w:rsid w:val="002D4ABB"/>
    <w:rsid w:val="002D4DAD"/>
    <w:rsid w:val="002D50AF"/>
    <w:rsid w:val="002D5DD8"/>
    <w:rsid w:val="002D7BB5"/>
    <w:rsid w:val="002E26FD"/>
    <w:rsid w:val="002E27F4"/>
    <w:rsid w:val="002E5AF9"/>
    <w:rsid w:val="002E7785"/>
    <w:rsid w:val="002E7882"/>
    <w:rsid w:val="002E7F11"/>
    <w:rsid w:val="002F35DF"/>
    <w:rsid w:val="002F5183"/>
    <w:rsid w:val="002F51FF"/>
    <w:rsid w:val="002F65B3"/>
    <w:rsid w:val="002F685F"/>
    <w:rsid w:val="002F6E88"/>
    <w:rsid w:val="002F6F1B"/>
    <w:rsid w:val="002F78B1"/>
    <w:rsid w:val="002F7A71"/>
    <w:rsid w:val="003029C6"/>
    <w:rsid w:val="00305354"/>
    <w:rsid w:val="00305A7B"/>
    <w:rsid w:val="0031105E"/>
    <w:rsid w:val="00311179"/>
    <w:rsid w:val="003124BC"/>
    <w:rsid w:val="00316322"/>
    <w:rsid w:val="0031785E"/>
    <w:rsid w:val="00320542"/>
    <w:rsid w:val="00322CF7"/>
    <w:rsid w:val="0032456E"/>
    <w:rsid w:val="00327CBF"/>
    <w:rsid w:val="00331C70"/>
    <w:rsid w:val="00332781"/>
    <w:rsid w:val="00333F8E"/>
    <w:rsid w:val="0033690E"/>
    <w:rsid w:val="00337EE0"/>
    <w:rsid w:val="0034497E"/>
    <w:rsid w:val="00345D17"/>
    <w:rsid w:val="003479ED"/>
    <w:rsid w:val="00350264"/>
    <w:rsid w:val="00353558"/>
    <w:rsid w:val="0035705F"/>
    <w:rsid w:val="00360F78"/>
    <w:rsid w:val="00362549"/>
    <w:rsid w:val="00363052"/>
    <w:rsid w:val="00363CA6"/>
    <w:rsid w:val="0036412C"/>
    <w:rsid w:val="003652DC"/>
    <w:rsid w:val="00365F37"/>
    <w:rsid w:val="0036646F"/>
    <w:rsid w:val="00371C59"/>
    <w:rsid w:val="003720B6"/>
    <w:rsid w:val="00375866"/>
    <w:rsid w:val="00380219"/>
    <w:rsid w:val="00380D84"/>
    <w:rsid w:val="003813D9"/>
    <w:rsid w:val="00381A83"/>
    <w:rsid w:val="00384B58"/>
    <w:rsid w:val="003868BC"/>
    <w:rsid w:val="003932FD"/>
    <w:rsid w:val="003959B6"/>
    <w:rsid w:val="003A35A7"/>
    <w:rsid w:val="003A35D5"/>
    <w:rsid w:val="003A38EE"/>
    <w:rsid w:val="003A3FA0"/>
    <w:rsid w:val="003A4BC4"/>
    <w:rsid w:val="003B38CC"/>
    <w:rsid w:val="003B556E"/>
    <w:rsid w:val="003B6BEB"/>
    <w:rsid w:val="003C310B"/>
    <w:rsid w:val="003C4B5B"/>
    <w:rsid w:val="003D0C75"/>
    <w:rsid w:val="003D1062"/>
    <w:rsid w:val="003D210A"/>
    <w:rsid w:val="003D2284"/>
    <w:rsid w:val="003D2B06"/>
    <w:rsid w:val="003D3DE4"/>
    <w:rsid w:val="003D4D61"/>
    <w:rsid w:val="003D5935"/>
    <w:rsid w:val="003D593B"/>
    <w:rsid w:val="003D6B33"/>
    <w:rsid w:val="003D7287"/>
    <w:rsid w:val="003D781A"/>
    <w:rsid w:val="003E115E"/>
    <w:rsid w:val="003E19AE"/>
    <w:rsid w:val="003E25AC"/>
    <w:rsid w:val="003E2D1D"/>
    <w:rsid w:val="003E3017"/>
    <w:rsid w:val="003E48DF"/>
    <w:rsid w:val="003E4934"/>
    <w:rsid w:val="003E5562"/>
    <w:rsid w:val="003E58BB"/>
    <w:rsid w:val="003E60C3"/>
    <w:rsid w:val="003E78DF"/>
    <w:rsid w:val="003F1096"/>
    <w:rsid w:val="003F382F"/>
    <w:rsid w:val="003F5A8C"/>
    <w:rsid w:val="003F5D8F"/>
    <w:rsid w:val="003F5E04"/>
    <w:rsid w:val="004001FF"/>
    <w:rsid w:val="00400577"/>
    <w:rsid w:val="00401418"/>
    <w:rsid w:val="00401919"/>
    <w:rsid w:val="00402669"/>
    <w:rsid w:val="00402A7E"/>
    <w:rsid w:val="00404FD9"/>
    <w:rsid w:val="00406E09"/>
    <w:rsid w:val="004074B7"/>
    <w:rsid w:val="00407CFE"/>
    <w:rsid w:val="00407EDE"/>
    <w:rsid w:val="00410B44"/>
    <w:rsid w:val="0041185F"/>
    <w:rsid w:val="004126B9"/>
    <w:rsid w:val="00413DB2"/>
    <w:rsid w:val="00413EC2"/>
    <w:rsid w:val="00414595"/>
    <w:rsid w:val="00414616"/>
    <w:rsid w:val="00417BA6"/>
    <w:rsid w:val="00420659"/>
    <w:rsid w:val="00421D45"/>
    <w:rsid w:val="004222C3"/>
    <w:rsid w:val="0042324F"/>
    <w:rsid w:val="004250BF"/>
    <w:rsid w:val="004272E6"/>
    <w:rsid w:val="00431C89"/>
    <w:rsid w:val="004341C0"/>
    <w:rsid w:val="004359A6"/>
    <w:rsid w:val="00435CFE"/>
    <w:rsid w:val="004363C5"/>
    <w:rsid w:val="0043731A"/>
    <w:rsid w:val="0043754F"/>
    <w:rsid w:val="0043763D"/>
    <w:rsid w:val="004412B9"/>
    <w:rsid w:val="00442292"/>
    <w:rsid w:val="00444C03"/>
    <w:rsid w:val="0044557E"/>
    <w:rsid w:val="00445F3E"/>
    <w:rsid w:val="00446A0C"/>
    <w:rsid w:val="0044763D"/>
    <w:rsid w:val="00447E4F"/>
    <w:rsid w:val="00450C5E"/>
    <w:rsid w:val="0045167C"/>
    <w:rsid w:val="004521A4"/>
    <w:rsid w:val="004531AD"/>
    <w:rsid w:val="00454A06"/>
    <w:rsid w:val="00455E91"/>
    <w:rsid w:val="0045618F"/>
    <w:rsid w:val="004562DC"/>
    <w:rsid w:val="00457552"/>
    <w:rsid w:val="00457CF4"/>
    <w:rsid w:val="004608DE"/>
    <w:rsid w:val="00460EC6"/>
    <w:rsid w:val="00462892"/>
    <w:rsid w:val="00470090"/>
    <w:rsid w:val="004723D1"/>
    <w:rsid w:val="00474745"/>
    <w:rsid w:val="00475094"/>
    <w:rsid w:val="00476943"/>
    <w:rsid w:val="004770F6"/>
    <w:rsid w:val="00477604"/>
    <w:rsid w:val="004776F5"/>
    <w:rsid w:val="00480450"/>
    <w:rsid w:val="00482696"/>
    <w:rsid w:val="0048351A"/>
    <w:rsid w:val="00483A93"/>
    <w:rsid w:val="00485583"/>
    <w:rsid w:val="00487771"/>
    <w:rsid w:val="004904F0"/>
    <w:rsid w:val="00494E71"/>
    <w:rsid w:val="00496814"/>
    <w:rsid w:val="004971CE"/>
    <w:rsid w:val="00497DDD"/>
    <w:rsid w:val="004A0D45"/>
    <w:rsid w:val="004A7C4C"/>
    <w:rsid w:val="004B0502"/>
    <w:rsid w:val="004B0B83"/>
    <w:rsid w:val="004B2280"/>
    <w:rsid w:val="004B236A"/>
    <w:rsid w:val="004B2F0E"/>
    <w:rsid w:val="004B34CF"/>
    <w:rsid w:val="004B50E8"/>
    <w:rsid w:val="004B6587"/>
    <w:rsid w:val="004B6589"/>
    <w:rsid w:val="004B6B91"/>
    <w:rsid w:val="004C18D8"/>
    <w:rsid w:val="004C222B"/>
    <w:rsid w:val="004C2F10"/>
    <w:rsid w:val="004C3ABA"/>
    <w:rsid w:val="004C7F36"/>
    <w:rsid w:val="004D0F94"/>
    <w:rsid w:val="004D3F08"/>
    <w:rsid w:val="004D4F86"/>
    <w:rsid w:val="004D54F2"/>
    <w:rsid w:val="004D65D4"/>
    <w:rsid w:val="004E0019"/>
    <w:rsid w:val="004E0AC3"/>
    <w:rsid w:val="004E10BF"/>
    <w:rsid w:val="004E27E9"/>
    <w:rsid w:val="004E59B2"/>
    <w:rsid w:val="004E5C1C"/>
    <w:rsid w:val="004E6B3F"/>
    <w:rsid w:val="004F07B6"/>
    <w:rsid w:val="004F08E0"/>
    <w:rsid w:val="004F2D31"/>
    <w:rsid w:val="00503380"/>
    <w:rsid w:val="00505D08"/>
    <w:rsid w:val="00513BFD"/>
    <w:rsid w:val="005143D3"/>
    <w:rsid w:val="005153C2"/>
    <w:rsid w:val="00515AD5"/>
    <w:rsid w:val="00515E06"/>
    <w:rsid w:val="0052150F"/>
    <w:rsid w:val="005221B2"/>
    <w:rsid w:val="00522DE0"/>
    <w:rsid w:val="00523BAF"/>
    <w:rsid w:val="005250F8"/>
    <w:rsid w:val="005271EA"/>
    <w:rsid w:val="00527B36"/>
    <w:rsid w:val="00533BE1"/>
    <w:rsid w:val="005361C0"/>
    <w:rsid w:val="00540CBF"/>
    <w:rsid w:val="00541895"/>
    <w:rsid w:val="00543191"/>
    <w:rsid w:val="005444A8"/>
    <w:rsid w:val="00545B96"/>
    <w:rsid w:val="00546050"/>
    <w:rsid w:val="00546259"/>
    <w:rsid w:val="00546571"/>
    <w:rsid w:val="005466DC"/>
    <w:rsid w:val="00547890"/>
    <w:rsid w:val="005536DB"/>
    <w:rsid w:val="00556A08"/>
    <w:rsid w:val="00561A3F"/>
    <w:rsid w:val="00563362"/>
    <w:rsid w:val="0056532F"/>
    <w:rsid w:val="005664B3"/>
    <w:rsid w:val="00570117"/>
    <w:rsid w:val="005703EF"/>
    <w:rsid w:val="00570DA0"/>
    <w:rsid w:val="0057280F"/>
    <w:rsid w:val="00572866"/>
    <w:rsid w:val="00573640"/>
    <w:rsid w:val="00573D8C"/>
    <w:rsid w:val="00575E62"/>
    <w:rsid w:val="00577115"/>
    <w:rsid w:val="0058035D"/>
    <w:rsid w:val="0058275E"/>
    <w:rsid w:val="005844F1"/>
    <w:rsid w:val="00585F84"/>
    <w:rsid w:val="0058652B"/>
    <w:rsid w:val="005923F6"/>
    <w:rsid w:val="005924DE"/>
    <w:rsid w:val="00592C27"/>
    <w:rsid w:val="00595ABE"/>
    <w:rsid w:val="005A29F4"/>
    <w:rsid w:val="005A3785"/>
    <w:rsid w:val="005A55AA"/>
    <w:rsid w:val="005A6C27"/>
    <w:rsid w:val="005B081D"/>
    <w:rsid w:val="005B09E1"/>
    <w:rsid w:val="005B11E3"/>
    <w:rsid w:val="005B2227"/>
    <w:rsid w:val="005B2C7A"/>
    <w:rsid w:val="005B321B"/>
    <w:rsid w:val="005B5732"/>
    <w:rsid w:val="005B7669"/>
    <w:rsid w:val="005C0177"/>
    <w:rsid w:val="005C05A0"/>
    <w:rsid w:val="005C09FE"/>
    <w:rsid w:val="005C30F1"/>
    <w:rsid w:val="005C3A9F"/>
    <w:rsid w:val="005C449C"/>
    <w:rsid w:val="005C5205"/>
    <w:rsid w:val="005C59E1"/>
    <w:rsid w:val="005C6237"/>
    <w:rsid w:val="005C63FE"/>
    <w:rsid w:val="005C643E"/>
    <w:rsid w:val="005C646A"/>
    <w:rsid w:val="005C7556"/>
    <w:rsid w:val="005D4F15"/>
    <w:rsid w:val="005D5A16"/>
    <w:rsid w:val="005D637D"/>
    <w:rsid w:val="005D7F05"/>
    <w:rsid w:val="005E4491"/>
    <w:rsid w:val="005E47B0"/>
    <w:rsid w:val="005E4816"/>
    <w:rsid w:val="005E5A03"/>
    <w:rsid w:val="005E6E31"/>
    <w:rsid w:val="005F0820"/>
    <w:rsid w:val="005F1B4E"/>
    <w:rsid w:val="005F4B77"/>
    <w:rsid w:val="005F522E"/>
    <w:rsid w:val="005F65F5"/>
    <w:rsid w:val="006001B9"/>
    <w:rsid w:val="0060086A"/>
    <w:rsid w:val="006027C0"/>
    <w:rsid w:val="00603460"/>
    <w:rsid w:val="0060550E"/>
    <w:rsid w:val="00605992"/>
    <w:rsid w:val="00605C0A"/>
    <w:rsid w:val="00605D74"/>
    <w:rsid w:val="006135A0"/>
    <w:rsid w:val="0061483E"/>
    <w:rsid w:val="0061525B"/>
    <w:rsid w:val="0061538D"/>
    <w:rsid w:val="00615C69"/>
    <w:rsid w:val="00616B75"/>
    <w:rsid w:val="00621005"/>
    <w:rsid w:val="006217A1"/>
    <w:rsid w:val="0063169F"/>
    <w:rsid w:val="00632957"/>
    <w:rsid w:val="00632AF8"/>
    <w:rsid w:val="00633D22"/>
    <w:rsid w:val="0063505C"/>
    <w:rsid w:val="00635A24"/>
    <w:rsid w:val="00636674"/>
    <w:rsid w:val="006400AD"/>
    <w:rsid w:val="0064063B"/>
    <w:rsid w:val="006409D2"/>
    <w:rsid w:val="00641F56"/>
    <w:rsid w:val="006443FC"/>
    <w:rsid w:val="00645F3E"/>
    <w:rsid w:val="00646AF7"/>
    <w:rsid w:val="00650754"/>
    <w:rsid w:val="00650823"/>
    <w:rsid w:val="006521DA"/>
    <w:rsid w:val="00654ACF"/>
    <w:rsid w:val="00661080"/>
    <w:rsid w:val="00663D15"/>
    <w:rsid w:val="0066415F"/>
    <w:rsid w:val="0066557E"/>
    <w:rsid w:val="00665B5D"/>
    <w:rsid w:val="00666663"/>
    <w:rsid w:val="00667733"/>
    <w:rsid w:val="00670549"/>
    <w:rsid w:val="00671590"/>
    <w:rsid w:val="00671B04"/>
    <w:rsid w:val="006729B2"/>
    <w:rsid w:val="00672C92"/>
    <w:rsid w:val="00673E93"/>
    <w:rsid w:val="006744C6"/>
    <w:rsid w:val="00674E57"/>
    <w:rsid w:val="0067544A"/>
    <w:rsid w:val="00675A3C"/>
    <w:rsid w:val="00680A41"/>
    <w:rsid w:val="00682170"/>
    <w:rsid w:val="00683051"/>
    <w:rsid w:val="00684174"/>
    <w:rsid w:val="00684EFD"/>
    <w:rsid w:val="00687362"/>
    <w:rsid w:val="00687BA1"/>
    <w:rsid w:val="006970BB"/>
    <w:rsid w:val="00697235"/>
    <w:rsid w:val="006A1827"/>
    <w:rsid w:val="006A1C2D"/>
    <w:rsid w:val="006A3B8E"/>
    <w:rsid w:val="006A6793"/>
    <w:rsid w:val="006B3493"/>
    <w:rsid w:val="006B3733"/>
    <w:rsid w:val="006B4147"/>
    <w:rsid w:val="006B4FB8"/>
    <w:rsid w:val="006B7811"/>
    <w:rsid w:val="006C3BD7"/>
    <w:rsid w:val="006C5868"/>
    <w:rsid w:val="006C5941"/>
    <w:rsid w:val="006C7405"/>
    <w:rsid w:val="006C7BB6"/>
    <w:rsid w:val="006D1F8D"/>
    <w:rsid w:val="006D33EE"/>
    <w:rsid w:val="006D52F2"/>
    <w:rsid w:val="006D66CF"/>
    <w:rsid w:val="006D74C4"/>
    <w:rsid w:val="006D79F3"/>
    <w:rsid w:val="006E07CB"/>
    <w:rsid w:val="006E1474"/>
    <w:rsid w:val="006E46DC"/>
    <w:rsid w:val="006E5662"/>
    <w:rsid w:val="006F2D4B"/>
    <w:rsid w:val="006F3EFE"/>
    <w:rsid w:val="006F60CD"/>
    <w:rsid w:val="006F7C33"/>
    <w:rsid w:val="00700157"/>
    <w:rsid w:val="00701BF8"/>
    <w:rsid w:val="00701DBA"/>
    <w:rsid w:val="0070285B"/>
    <w:rsid w:val="00703195"/>
    <w:rsid w:val="00704734"/>
    <w:rsid w:val="00704F4C"/>
    <w:rsid w:val="00704F52"/>
    <w:rsid w:val="00705252"/>
    <w:rsid w:val="007068DD"/>
    <w:rsid w:val="00710544"/>
    <w:rsid w:val="00710717"/>
    <w:rsid w:val="00713AF4"/>
    <w:rsid w:val="007205FA"/>
    <w:rsid w:val="007223D5"/>
    <w:rsid w:val="007225A8"/>
    <w:rsid w:val="00722ADC"/>
    <w:rsid w:val="00722F71"/>
    <w:rsid w:val="0072604E"/>
    <w:rsid w:val="007265B9"/>
    <w:rsid w:val="007267B7"/>
    <w:rsid w:val="00727528"/>
    <w:rsid w:val="007333D1"/>
    <w:rsid w:val="00733A5D"/>
    <w:rsid w:val="007420D7"/>
    <w:rsid w:val="0074368D"/>
    <w:rsid w:val="00743D8C"/>
    <w:rsid w:val="007445EB"/>
    <w:rsid w:val="0074544C"/>
    <w:rsid w:val="0074683B"/>
    <w:rsid w:val="00746F67"/>
    <w:rsid w:val="00747059"/>
    <w:rsid w:val="00751172"/>
    <w:rsid w:val="00751876"/>
    <w:rsid w:val="00754820"/>
    <w:rsid w:val="00754F2A"/>
    <w:rsid w:val="00756523"/>
    <w:rsid w:val="00756DEE"/>
    <w:rsid w:val="00760ADA"/>
    <w:rsid w:val="00761218"/>
    <w:rsid w:val="0076312B"/>
    <w:rsid w:val="00763DD6"/>
    <w:rsid w:val="00766993"/>
    <w:rsid w:val="00767702"/>
    <w:rsid w:val="00770DBA"/>
    <w:rsid w:val="007722F3"/>
    <w:rsid w:val="00772B96"/>
    <w:rsid w:val="007733E8"/>
    <w:rsid w:val="007747E7"/>
    <w:rsid w:val="0077483B"/>
    <w:rsid w:val="00776D52"/>
    <w:rsid w:val="00777DE8"/>
    <w:rsid w:val="007810C3"/>
    <w:rsid w:val="00781C7C"/>
    <w:rsid w:val="007830DF"/>
    <w:rsid w:val="00783F2F"/>
    <w:rsid w:val="00784845"/>
    <w:rsid w:val="00784DA6"/>
    <w:rsid w:val="007868A4"/>
    <w:rsid w:val="00786AC6"/>
    <w:rsid w:val="007928E6"/>
    <w:rsid w:val="00793089"/>
    <w:rsid w:val="0079401A"/>
    <w:rsid w:val="00794EAD"/>
    <w:rsid w:val="007A009F"/>
    <w:rsid w:val="007A1A46"/>
    <w:rsid w:val="007A1CBD"/>
    <w:rsid w:val="007A1E18"/>
    <w:rsid w:val="007A4D24"/>
    <w:rsid w:val="007A54DB"/>
    <w:rsid w:val="007B0681"/>
    <w:rsid w:val="007B0D42"/>
    <w:rsid w:val="007B280F"/>
    <w:rsid w:val="007B2F9C"/>
    <w:rsid w:val="007B38CD"/>
    <w:rsid w:val="007B43F8"/>
    <w:rsid w:val="007B4520"/>
    <w:rsid w:val="007B4DAE"/>
    <w:rsid w:val="007C049E"/>
    <w:rsid w:val="007C09D5"/>
    <w:rsid w:val="007C0CC1"/>
    <w:rsid w:val="007C1A47"/>
    <w:rsid w:val="007C25E5"/>
    <w:rsid w:val="007C2A4A"/>
    <w:rsid w:val="007C2E2E"/>
    <w:rsid w:val="007C3936"/>
    <w:rsid w:val="007C399C"/>
    <w:rsid w:val="007C6712"/>
    <w:rsid w:val="007C790F"/>
    <w:rsid w:val="007D15AC"/>
    <w:rsid w:val="007D2D6C"/>
    <w:rsid w:val="007D44D1"/>
    <w:rsid w:val="007D654F"/>
    <w:rsid w:val="007E0D1E"/>
    <w:rsid w:val="007E0DA7"/>
    <w:rsid w:val="007E1443"/>
    <w:rsid w:val="007E3C57"/>
    <w:rsid w:val="007E4199"/>
    <w:rsid w:val="007E4E23"/>
    <w:rsid w:val="007E6ACE"/>
    <w:rsid w:val="007E7753"/>
    <w:rsid w:val="007F06F0"/>
    <w:rsid w:val="007F08AE"/>
    <w:rsid w:val="007F1298"/>
    <w:rsid w:val="007F1AB2"/>
    <w:rsid w:val="007F33A3"/>
    <w:rsid w:val="007F4120"/>
    <w:rsid w:val="007F4266"/>
    <w:rsid w:val="007F438D"/>
    <w:rsid w:val="007F6452"/>
    <w:rsid w:val="007F721F"/>
    <w:rsid w:val="007F786C"/>
    <w:rsid w:val="00800330"/>
    <w:rsid w:val="00800984"/>
    <w:rsid w:val="00801110"/>
    <w:rsid w:val="00801880"/>
    <w:rsid w:val="0080275D"/>
    <w:rsid w:val="0080527B"/>
    <w:rsid w:val="0080545B"/>
    <w:rsid w:val="00805B15"/>
    <w:rsid w:val="00810A89"/>
    <w:rsid w:val="008142A8"/>
    <w:rsid w:val="008166F7"/>
    <w:rsid w:val="00817421"/>
    <w:rsid w:val="00822111"/>
    <w:rsid w:val="00827FBC"/>
    <w:rsid w:val="00830FED"/>
    <w:rsid w:val="00831516"/>
    <w:rsid w:val="00831600"/>
    <w:rsid w:val="008329BF"/>
    <w:rsid w:val="00832CE0"/>
    <w:rsid w:val="008342B3"/>
    <w:rsid w:val="00834DBF"/>
    <w:rsid w:val="00835D77"/>
    <w:rsid w:val="00837261"/>
    <w:rsid w:val="008402AE"/>
    <w:rsid w:val="0084099F"/>
    <w:rsid w:val="008412FA"/>
    <w:rsid w:val="008434E9"/>
    <w:rsid w:val="00844941"/>
    <w:rsid w:val="00846732"/>
    <w:rsid w:val="00850726"/>
    <w:rsid w:val="0085259C"/>
    <w:rsid w:val="00855AF4"/>
    <w:rsid w:val="0085788F"/>
    <w:rsid w:val="00862193"/>
    <w:rsid w:val="00862D65"/>
    <w:rsid w:val="0086411A"/>
    <w:rsid w:val="008706B9"/>
    <w:rsid w:val="00871999"/>
    <w:rsid w:val="008742F7"/>
    <w:rsid w:val="00875388"/>
    <w:rsid w:val="00882324"/>
    <w:rsid w:val="0088330F"/>
    <w:rsid w:val="008839B6"/>
    <w:rsid w:val="008849B9"/>
    <w:rsid w:val="008902D1"/>
    <w:rsid w:val="0089184E"/>
    <w:rsid w:val="00892339"/>
    <w:rsid w:val="00892A79"/>
    <w:rsid w:val="00892D4F"/>
    <w:rsid w:val="008932AD"/>
    <w:rsid w:val="0089569B"/>
    <w:rsid w:val="00896EE9"/>
    <w:rsid w:val="00897F96"/>
    <w:rsid w:val="008A08E9"/>
    <w:rsid w:val="008A20FD"/>
    <w:rsid w:val="008A32E2"/>
    <w:rsid w:val="008B2772"/>
    <w:rsid w:val="008B6390"/>
    <w:rsid w:val="008B6D0A"/>
    <w:rsid w:val="008B7B7F"/>
    <w:rsid w:val="008B7D12"/>
    <w:rsid w:val="008C3DF2"/>
    <w:rsid w:val="008C50A6"/>
    <w:rsid w:val="008D15A4"/>
    <w:rsid w:val="008D3C36"/>
    <w:rsid w:val="008E00BF"/>
    <w:rsid w:val="008E0C66"/>
    <w:rsid w:val="008E2ED5"/>
    <w:rsid w:val="008E314E"/>
    <w:rsid w:val="008E39AD"/>
    <w:rsid w:val="008E50C6"/>
    <w:rsid w:val="008E5ABE"/>
    <w:rsid w:val="008E5B2E"/>
    <w:rsid w:val="008E73D8"/>
    <w:rsid w:val="008F0F50"/>
    <w:rsid w:val="008F369A"/>
    <w:rsid w:val="008F4113"/>
    <w:rsid w:val="008F596B"/>
    <w:rsid w:val="008F6CAA"/>
    <w:rsid w:val="0090153E"/>
    <w:rsid w:val="00903D9E"/>
    <w:rsid w:val="0090442D"/>
    <w:rsid w:val="00904682"/>
    <w:rsid w:val="00905002"/>
    <w:rsid w:val="00905154"/>
    <w:rsid w:val="00905204"/>
    <w:rsid w:val="00907EF8"/>
    <w:rsid w:val="00910BB7"/>
    <w:rsid w:val="00913631"/>
    <w:rsid w:val="00914169"/>
    <w:rsid w:val="00915469"/>
    <w:rsid w:val="00922442"/>
    <w:rsid w:val="009226A2"/>
    <w:rsid w:val="00924619"/>
    <w:rsid w:val="00927F43"/>
    <w:rsid w:val="00932314"/>
    <w:rsid w:val="009366CF"/>
    <w:rsid w:val="00936D8F"/>
    <w:rsid w:val="00937598"/>
    <w:rsid w:val="00937A0C"/>
    <w:rsid w:val="00940FE3"/>
    <w:rsid w:val="00941206"/>
    <w:rsid w:val="00941B68"/>
    <w:rsid w:val="00942552"/>
    <w:rsid w:val="00942D4C"/>
    <w:rsid w:val="00943C5A"/>
    <w:rsid w:val="00944C43"/>
    <w:rsid w:val="00945734"/>
    <w:rsid w:val="009470DC"/>
    <w:rsid w:val="009477AA"/>
    <w:rsid w:val="009515A0"/>
    <w:rsid w:val="00953307"/>
    <w:rsid w:val="009534D7"/>
    <w:rsid w:val="00953E6A"/>
    <w:rsid w:val="0095659C"/>
    <w:rsid w:val="00957965"/>
    <w:rsid w:val="00957A75"/>
    <w:rsid w:val="00962F4C"/>
    <w:rsid w:val="00963DA0"/>
    <w:rsid w:val="009660EF"/>
    <w:rsid w:val="00967B20"/>
    <w:rsid w:val="00967DFD"/>
    <w:rsid w:val="009758AE"/>
    <w:rsid w:val="009765E6"/>
    <w:rsid w:val="0097661C"/>
    <w:rsid w:val="009774FB"/>
    <w:rsid w:val="00977FB0"/>
    <w:rsid w:val="00980176"/>
    <w:rsid w:val="00981020"/>
    <w:rsid w:val="00982BF5"/>
    <w:rsid w:val="00985C0A"/>
    <w:rsid w:val="0098728F"/>
    <w:rsid w:val="0099024D"/>
    <w:rsid w:val="00990DED"/>
    <w:rsid w:val="00991F37"/>
    <w:rsid w:val="00995148"/>
    <w:rsid w:val="00996283"/>
    <w:rsid w:val="00997E2A"/>
    <w:rsid w:val="009A03BF"/>
    <w:rsid w:val="009A0AEF"/>
    <w:rsid w:val="009A5028"/>
    <w:rsid w:val="009A6716"/>
    <w:rsid w:val="009A730D"/>
    <w:rsid w:val="009A7C12"/>
    <w:rsid w:val="009B05FF"/>
    <w:rsid w:val="009B4E78"/>
    <w:rsid w:val="009B6B88"/>
    <w:rsid w:val="009C22D1"/>
    <w:rsid w:val="009C4A54"/>
    <w:rsid w:val="009C4DA2"/>
    <w:rsid w:val="009C7B56"/>
    <w:rsid w:val="009C7DF0"/>
    <w:rsid w:val="009D0E47"/>
    <w:rsid w:val="009D1364"/>
    <w:rsid w:val="009D141B"/>
    <w:rsid w:val="009D16C9"/>
    <w:rsid w:val="009D27A9"/>
    <w:rsid w:val="009D7E21"/>
    <w:rsid w:val="009E02D0"/>
    <w:rsid w:val="009E0ED0"/>
    <w:rsid w:val="009E3192"/>
    <w:rsid w:val="009E58E0"/>
    <w:rsid w:val="009E6AFA"/>
    <w:rsid w:val="009F060E"/>
    <w:rsid w:val="009F17B5"/>
    <w:rsid w:val="009F1E39"/>
    <w:rsid w:val="009F20BE"/>
    <w:rsid w:val="009F275B"/>
    <w:rsid w:val="009F2928"/>
    <w:rsid w:val="009F6DEB"/>
    <w:rsid w:val="009F795C"/>
    <w:rsid w:val="00A00600"/>
    <w:rsid w:val="00A01927"/>
    <w:rsid w:val="00A0234F"/>
    <w:rsid w:val="00A026C7"/>
    <w:rsid w:val="00A0307D"/>
    <w:rsid w:val="00A04AFE"/>
    <w:rsid w:val="00A07E6E"/>
    <w:rsid w:val="00A11DB0"/>
    <w:rsid w:val="00A1349C"/>
    <w:rsid w:val="00A13630"/>
    <w:rsid w:val="00A138CE"/>
    <w:rsid w:val="00A15F98"/>
    <w:rsid w:val="00A164EA"/>
    <w:rsid w:val="00A179B3"/>
    <w:rsid w:val="00A20147"/>
    <w:rsid w:val="00A20A4B"/>
    <w:rsid w:val="00A35BFA"/>
    <w:rsid w:val="00A35C69"/>
    <w:rsid w:val="00A35D80"/>
    <w:rsid w:val="00A36BB7"/>
    <w:rsid w:val="00A409E8"/>
    <w:rsid w:val="00A413FA"/>
    <w:rsid w:val="00A41CE0"/>
    <w:rsid w:val="00A41EF1"/>
    <w:rsid w:val="00A4385F"/>
    <w:rsid w:val="00A44F6D"/>
    <w:rsid w:val="00A45BEA"/>
    <w:rsid w:val="00A51636"/>
    <w:rsid w:val="00A564B3"/>
    <w:rsid w:val="00A57209"/>
    <w:rsid w:val="00A57406"/>
    <w:rsid w:val="00A57521"/>
    <w:rsid w:val="00A57657"/>
    <w:rsid w:val="00A600F6"/>
    <w:rsid w:val="00A71A57"/>
    <w:rsid w:val="00A74770"/>
    <w:rsid w:val="00A74DEF"/>
    <w:rsid w:val="00A75E11"/>
    <w:rsid w:val="00A76D32"/>
    <w:rsid w:val="00A773EF"/>
    <w:rsid w:val="00A8077A"/>
    <w:rsid w:val="00A808E9"/>
    <w:rsid w:val="00A80C31"/>
    <w:rsid w:val="00A81C43"/>
    <w:rsid w:val="00A84B10"/>
    <w:rsid w:val="00A851BF"/>
    <w:rsid w:val="00A85F18"/>
    <w:rsid w:val="00A918DA"/>
    <w:rsid w:val="00A91B17"/>
    <w:rsid w:val="00A92E42"/>
    <w:rsid w:val="00A93D35"/>
    <w:rsid w:val="00A960F5"/>
    <w:rsid w:val="00A96DC5"/>
    <w:rsid w:val="00AA190C"/>
    <w:rsid w:val="00AA21ED"/>
    <w:rsid w:val="00AA46B6"/>
    <w:rsid w:val="00AA7D00"/>
    <w:rsid w:val="00AB09A6"/>
    <w:rsid w:val="00AB0CED"/>
    <w:rsid w:val="00AB11B2"/>
    <w:rsid w:val="00AB1707"/>
    <w:rsid w:val="00AB1935"/>
    <w:rsid w:val="00AB467B"/>
    <w:rsid w:val="00AB601F"/>
    <w:rsid w:val="00AB701C"/>
    <w:rsid w:val="00AC0032"/>
    <w:rsid w:val="00AC1ADE"/>
    <w:rsid w:val="00AC293E"/>
    <w:rsid w:val="00AC447A"/>
    <w:rsid w:val="00AC66F3"/>
    <w:rsid w:val="00AC7CDD"/>
    <w:rsid w:val="00AD1939"/>
    <w:rsid w:val="00AE36D7"/>
    <w:rsid w:val="00AE46C7"/>
    <w:rsid w:val="00AE6ECB"/>
    <w:rsid w:val="00AF1F2E"/>
    <w:rsid w:val="00AF2AB0"/>
    <w:rsid w:val="00AF37C4"/>
    <w:rsid w:val="00AF3C86"/>
    <w:rsid w:val="00AF4917"/>
    <w:rsid w:val="00AF50FB"/>
    <w:rsid w:val="00AF5474"/>
    <w:rsid w:val="00AF7D27"/>
    <w:rsid w:val="00B02F28"/>
    <w:rsid w:val="00B0316A"/>
    <w:rsid w:val="00B042F9"/>
    <w:rsid w:val="00B0449D"/>
    <w:rsid w:val="00B047E6"/>
    <w:rsid w:val="00B0692A"/>
    <w:rsid w:val="00B0743A"/>
    <w:rsid w:val="00B12639"/>
    <w:rsid w:val="00B12D0B"/>
    <w:rsid w:val="00B13067"/>
    <w:rsid w:val="00B13137"/>
    <w:rsid w:val="00B135FE"/>
    <w:rsid w:val="00B1365D"/>
    <w:rsid w:val="00B143EB"/>
    <w:rsid w:val="00B15D33"/>
    <w:rsid w:val="00B15E9C"/>
    <w:rsid w:val="00B207B8"/>
    <w:rsid w:val="00B2181A"/>
    <w:rsid w:val="00B21A5B"/>
    <w:rsid w:val="00B22F00"/>
    <w:rsid w:val="00B248FF"/>
    <w:rsid w:val="00B25071"/>
    <w:rsid w:val="00B260A8"/>
    <w:rsid w:val="00B3164E"/>
    <w:rsid w:val="00B33F8A"/>
    <w:rsid w:val="00B350AF"/>
    <w:rsid w:val="00B40052"/>
    <w:rsid w:val="00B436D3"/>
    <w:rsid w:val="00B43D47"/>
    <w:rsid w:val="00B54D06"/>
    <w:rsid w:val="00B553C7"/>
    <w:rsid w:val="00B55EC6"/>
    <w:rsid w:val="00B562FE"/>
    <w:rsid w:val="00B56ADD"/>
    <w:rsid w:val="00B56D8E"/>
    <w:rsid w:val="00B5741D"/>
    <w:rsid w:val="00B5756E"/>
    <w:rsid w:val="00B60774"/>
    <w:rsid w:val="00B60EA0"/>
    <w:rsid w:val="00B70039"/>
    <w:rsid w:val="00B7244A"/>
    <w:rsid w:val="00B74476"/>
    <w:rsid w:val="00B7501C"/>
    <w:rsid w:val="00B7683E"/>
    <w:rsid w:val="00B82D4B"/>
    <w:rsid w:val="00B84469"/>
    <w:rsid w:val="00B85004"/>
    <w:rsid w:val="00B853E3"/>
    <w:rsid w:val="00B87793"/>
    <w:rsid w:val="00B90FE4"/>
    <w:rsid w:val="00B95DEE"/>
    <w:rsid w:val="00BA1E8E"/>
    <w:rsid w:val="00BA1ED8"/>
    <w:rsid w:val="00BA3AF7"/>
    <w:rsid w:val="00BA4570"/>
    <w:rsid w:val="00BB1FAC"/>
    <w:rsid w:val="00BB3CE1"/>
    <w:rsid w:val="00BB4557"/>
    <w:rsid w:val="00BB514A"/>
    <w:rsid w:val="00BB592F"/>
    <w:rsid w:val="00BB5B58"/>
    <w:rsid w:val="00BB73E3"/>
    <w:rsid w:val="00BC10F1"/>
    <w:rsid w:val="00BC2772"/>
    <w:rsid w:val="00BC4490"/>
    <w:rsid w:val="00BC481D"/>
    <w:rsid w:val="00BD2CD4"/>
    <w:rsid w:val="00BD4693"/>
    <w:rsid w:val="00BD5CF2"/>
    <w:rsid w:val="00BE122B"/>
    <w:rsid w:val="00BE3E1F"/>
    <w:rsid w:val="00BE604E"/>
    <w:rsid w:val="00BE662A"/>
    <w:rsid w:val="00BE693F"/>
    <w:rsid w:val="00BE7802"/>
    <w:rsid w:val="00BE7BF2"/>
    <w:rsid w:val="00BF0FE6"/>
    <w:rsid w:val="00BF1800"/>
    <w:rsid w:val="00BF3440"/>
    <w:rsid w:val="00BF34A4"/>
    <w:rsid w:val="00BF4736"/>
    <w:rsid w:val="00BF4809"/>
    <w:rsid w:val="00BF51E8"/>
    <w:rsid w:val="00BF578A"/>
    <w:rsid w:val="00BF681D"/>
    <w:rsid w:val="00BF72EC"/>
    <w:rsid w:val="00BF749E"/>
    <w:rsid w:val="00BF77DC"/>
    <w:rsid w:val="00C01135"/>
    <w:rsid w:val="00C01AC2"/>
    <w:rsid w:val="00C02C9D"/>
    <w:rsid w:val="00C030F3"/>
    <w:rsid w:val="00C05996"/>
    <w:rsid w:val="00C10EC1"/>
    <w:rsid w:val="00C11FD1"/>
    <w:rsid w:val="00C1310D"/>
    <w:rsid w:val="00C1330E"/>
    <w:rsid w:val="00C139F0"/>
    <w:rsid w:val="00C14756"/>
    <w:rsid w:val="00C149C2"/>
    <w:rsid w:val="00C16DC2"/>
    <w:rsid w:val="00C202BA"/>
    <w:rsid w:val="00C20911"/>
    <w:rsid w:val="00C216E3"/>
    <w:rsid w:val="00C2193F"/>
    <w:rsid w:val="00C21DF0"/>
    <w:rsid w:val="00C2235B"/>
    <w:rsid w:val="00C23BED"/>
    <w:rsid w:val="00C2541B"/>
    <w:rsid w:val="00C2559F"/>
    <w:rsid w:val="00C25C45"/>
    <w:rsid w:val="00C30DC3"/>
    <w:rsid w:val="00C32035"/>
    <w:rsid w:val="00C323F3"/>
    <w:rsid w:val="00C32E08"/>
    <w:rsid w:val="00C3311B"/>
    <w:rsid w:val="00C33CE6"/>
    <w:rsid w:val="00C367C4"/>
    <w:rsid w:val="00C37369"/>
    <w:rsid w:val="00C378FC"/>
    <w:rsid w:val="00C43D29"/>
    <w:rsid w:val="00C467DB"/>
    <w:rsid w:val="00C50690"/>
    <w:rsid w:val="00C52F18"/>
    <w:rsid w:val="00C5362C"/>
    <w:rsid w:val="00C53D62"/>
    <w:rsid w:val="00C63292"/>
    <w:rsid w:val="00C63B4C"/>
    <w:rsid w:val="00C640A7"/>
    <w:rsid w:val="00C64AFC"/>
    <w:rsid w:val="00C6505C"/>
    <w:rsid w:val="00C654DD"/>
    <w:rsid w:val="00C6568E"/>
    <w:rsid w:val="00C65F46"/>
    <w:rsid w:val="00C664B6"/>
    <w:rsid w:val="00C70F13"/>
    <w:rsid w:val="00C71879"/>
    <w:rsid w:val="00C753EF"/>
    <w:rsid w:val="00C77033"/>
    <w:rsid w:val="00C77578"/>
    <w:rsid w:val="00C779E1"/>
    <w:rsid w:val="00C8566C"/>
    <w:rsid w:val="00C8622E"/>
    <w:rsid w:val="00C909F6"/>
    <w:rsid w:val="00C93EED"/>
    <w:rsid w:val="00C94975"/>
    <w:rsid w:val="00C95F7F"/>
    <w:rsid w:val="00C96B55"/>
    <w:rsid w:val="00C9700A"/>
    <w:rsid w:val="00CA0583"/>
    <w:rsid w:val="00CA2E86"/>
    <w:rsid w:val="00CA2F25"/>
    <w:rsid w:val="00CA3AE9"/>
    <w:rsid w:val="00CA4E98"/>
    <w:rsid w:val="00CA5917"/>
    <w:rsid w:val="00CB0091"/>
    <w:rsid w:val="00CB12AA"/>
    <w:rsid w:val="00CB1F06"/>
    <w:rsid w:val="00CB2E7B"/>
    <w:rsid w:val="00CB559A"/>
    <w:rsid w:val="00CB6725"/>
    <w:rsid w:val="00CB72C8"/>
    <w:rsid w:val="00CC0CAC"/>
    <w:rsid w:val="00CC3C67"/>
    <w:rsid w:val="00CC488E"/>
    <w:rsid w:val="00CC4B5F"/>
    <w:rsid w:val="00CC4CAB"/>
    <w:rsid w:val="00CC5305"/>
    <w:rsid w:val="00CC5A19"/>
    <w:rsid w:val="00CC72D7"/>
    <w:rsid w:val="00CC7358"/>
    <w:rsid w:val="00CD142B"/>
    <w:rsid w:val="00CD4672"/>
    <w:rsid w:val="00CD52C9"/>
    <w:rsid w:val="00CD789C"/>
    <w:rsid w:val="00CE0DA7"/>
    <w:rsid w:val="00CE0DBA"/>
    <w:rsid w:val="00CE5196"/>
    <w:rsid w:val="00CE545F"/>
    <w:rsid w:val="00CE6C4B"/>
    <w:rsid w:val="00CE6FF3"/>
    <w:rsid w:val="00CE7502"/>
    <w:rsid w:val="00CF1977"/>
    <w:rsid w:val="00CF2C70"/>
    <w:rsid w:val="00CF2E60"/>
    <w:rsid w:val="00D00E48"/>
    <w:rsid w:val="00D023A8"/>
    <w:rsid w:val="00D042E4"/>
    <w:rsid w:val="00D05C3A"/>
    <w:rsid w:val="00D068A3"/>
    <w:rsid w:val="00D06962"/>
    <w:rsid w:val="00D07B28"/>
    <w:rsid w:val="00D110CD"/>
    <w:rsid w:val="00D1334B"/>
    <w:rsid w:val="00D133AF"/>
    <w:rsid w:val="00D1401B"/>
    <w:rsid w:val="00D14D2D"/>
    <w:rsid w:val="00D154B7"/>
    <w:rsid w:val="00D160C6"/>
    <w:rsid w:val="00D2063E"/>
    <w:rsid w:val="00D21F32"/>
    <w:rsid w:val="00D22118"/>
    <w:rsid w:val="00D24185"/>
    <w:rsid w:val="00D252E5"/>
    <w:rsid w:val="00D26C2F"/>
    <w:rsid w:val="00D2787A"/>
    <w:rsid w:val="00D27B57"/>
    <w:rsid w:val="00D31BA9"/>
    <w:rsid w:val="00D36AD6"/>
    <w:rsid w:val="00D415B7"/>
    <w:rsid w:val="00D41E75"/>
    <w:rsid w:val="00D42B41"/>
    <w:rsid w:val="00D42DE1"/>
    <w:rsid w:val="00D43320"/>
    <w:rsid w:val="00D448C3"/>
    <w:rsid w:val="00D45AFB"/>
    <w:rsid w:val="00D462E3"/>
    <w:rsid w:val="00D47CD3"/>
    <w:rsid w:val="00D51F9A"/>
    <w:rsid w:val="00D526FB"/>
    <w:rsid w:val="00D52F3B"/>
    <w:rsid w:val="00D54F73"/>
    <w:rsid w:val="00D55A37"/>
    <w:rsid w:val="00D55C4A"/>
    <w:rsid w:val="00D5654C"/>
    <w:rsid w:val="00D572D5"/>
    <w:rsid w:val="00D62C01"/>
    <w:rsid w:val="00D62E60"/>
    <w:rsid w:val="00D64014"/>
    <w:rsid w:val="00D654AB"/>
    <w:rsid w:val="00D659E9"/>
    <w:rsid w:val="00D66C7D"/>
    <w:rsid w:val="00D66FF9"/>
    <w:rsid w:val="00D70AF6"/>
    <w:rsid w:val="00D717CB"/>
    <w:rsid w:val="00D72BD9"/>
    <w:rsid w:val="00D732EE"/>
    <w:rsid w:val="00D7402E"/>
    <w:rsid w:val="00D752C0"/>
    <w:rsid w:val="00D75C37"/>
    <w:rsid w:val="00D764E6"/>
    <w:rsid w:val="00D77952"/>
    <w:rsid w:val="00D81F96"/>
    <w:rsid w:val="00D823D9"/>
    <w:rsid w:val="00D841F7"/>
    <w:rsid w:val="00D85F72"/>
    <w:rsid w:val="00D8687E"/>
    <w:rsid w:val="00D87261"/>
    <w:rsid w:val="00D924BA"/>
    <w:rsid w:val="00D934DF"/>
    <w:rsid w:val="00D9426C"/>
    <w:rsid w:val="00D9496B"/>
    <w:rsid w:val="00D94F10"/>
    <w:rsid w:val="00D9625E"/>
    <w:rsid w:val="00D972E6"/>
    <w:rsid w:val="00D97EC9"/>
    <w:rsid w:val="00DA4CFC"/>
    <w:rsid w:val="00DB0662"/>
    <w:rsid w:val="00DB13D2"/>
    <w:rsid w:val="00DB1477"/>
    <w:rsid w:val="00DB1762"/>
    <w:rsid w:val="00DB2A53"/>
    <w:rsid w:val="00DB2F53"/>
    <w:rsid w:val="00DB44A1"/>
    <w:rsid w:val="00DC0398"/>
    <w:rsid w:val="00DC0ABD"/>
    <w:rsid w:val="00DC6B95"/>
    <w:rsid w:val="00DC7C7C"/>
    <w:rsid w:val="00DD311E"/>
    <w:rsid w:val="00DD75F0"/>
    <w:rsid w:val="00DE031E"/>
    <w:rsid w:val="00DE1CA5"/>
    <w:rsid w:val="00DE2895"/>
    <w:rsid w:val="00DE3308"/>
    <w:rsid w:val="00DE3958"/>
    <w:rsid w:val="00DE5621"/>
    <w:rsid w:val="00DE6AB1"/>
    <w:rsid w:val="00DE7CE3"/>
    <w:rsid w:val="00DF017F"/>
    <w:rsid w:val="00DF14DA"/>
    <w:rsid w:val="00DF3806"/>
    <w:rsid w:val="00DF637E"/>
    <w:rsid w:val="00DF73A5"/>
    <w:rsid w:val="00DF751A"/>
    <w:rsid w:val="00E00098"/>
    <w:rsid w:val="00E007E1"/>
    <w:rsid w:val="00E009FD"/>
    <w:rsid w:val="00E01C00"/>
    <w:rsid w:val="00E037F1"/>
    <w:rsid w:val="00E07480"/>
    <w:rsid w:val="00E1423A"/>
    <w:rsid w:val="00E14F40"/>
    <w:rsid w:val="00E20A8B"/>
    <w:rsid w:val="00E21317"/>
    <w:rsid w:val="00E23A9A"/>
    <w:rsid w:val="00E23DE0"/>
    <w:rsid w:val="00E24B7E"/>
    <w:rsid w:val="00E3606E"/>
    <w:rsid w:val="00E408DF"/>
    <w:rsid w:val="00E40EE0"/>
    <w:rsid w:val="00E41E1F"/>
    <w:rsid w:val="00E436ED"/>
    <w:rsid w:val="00E46D1D"/>
    <w:rsid w:val="00E46D44"/>
    <w:rsid w:val="00E46E62"/>
    <w:rsid w:val="00E50891"/>
    <w:rsid w:val="00E519DC"/>
    <w:rsid w:val="00E520DC"/>
    <w:rsid w:val="00E5657E"/>
    <w:rsid w:val="00E57623"/>
    <w:rsid w:val="00E62780"/>
    <w:rsid w:val="00E641D6"/>
    <w:rsid w:val="00E642AA"/>
    <w:rsid w:val="00E664FB"/>
    <w:rsid w:val="00E66F1D"/>
    <w:rsid w:val="00E70B75"/>
    <w:rsid w:val="00E71BC6"/>
    <w:rsid w:val="00E71D81"/>
    <w:rsid w:val="00E74A83"/>
    <w:rsid w:val="00E74CDD"/>
    <w:rsid w:val="00E74ED7"/>
    <w:rsid w:val="00E77988"/>
    <w:rsid w:val="00E82F48"/>
    <w:rsid w:val="00E83A6B"/>
    <w:rsid w:val="00E83B8A"/>
    <w:rsid w:val="00E84B46"/>
    <w:rsid w:val="00E851E6"/>
    <w:rsid w:val="00E8559C"/>
    <w:rsid w:val="00E86991"/>
    <w:rsid w:val="00E91D28"/>
    <w:rsid w:val="00E921C5"/>
    <w:rsid w:val="00E93117"/>
    <w:rsid w:val="00E96C88"/>
    <w:rsid w:val="00E96F8F"/>
    <w:rsid w:val="00E97474"/>
    <w:rsid w:val="00EA063D"/>
    <w:rsid w:val="00EA2C1C"/>
    <w:rsid w:val="00EA65BB"/>
    <w:rsid w:val="00EA7B76"/>
    <w:rsid w:val="00EB070E"/>
    <w:rsid w:val="00EB203C"/>
    <w:rsid w:val="00EB6A73"/>
    <w:rsid w:val="00EC07F5"/>
    <w:rsid w:val="00EC15A7"/>
    <w:rsid w:val="00EC2184"/>
    <w:rsid w:val="00EC2F5F"/>
    <w:rsid w:val="00EC65DF"/>
    <w:rsid w:val="00ED0852"/>
    <w:rsid w:val="00ED180F"/>
    <w:rsid w:val="00ED1DDE"/>
    <w:rsid w:val="00ED394C"/>
    <w:rsid w:val="00ED7818"/>
    <w:rsid w:val="00EE0C22"/>
    <w:rsid w:val="00EE0C65"/>
    <w:rsid w:val="00EE3245"/>
    <w:rsid w:val="00EE3449"/>
    <w:rsid w:val="00EE4764"/>
    <w:rsid w:val="00EE586F"/>
    <w:rsid w:val="00EF26C9"/>
    <w:rsid w:val="00EF2732"/>
    <w:rsid w:val="00EF32A2"/>
    <w:rsid w:val="00EF35E6"/>
    <w:rsid w:val="00EF7502"/>
    <w:rsid w:val="00F043BD"/>
    <w:rsid w:val="00F06693"/>
    <w:rsid w:val="00F066E8"/>
    <w:rsid w:val="00F07D84"/>
    <w:rsid w:val="00F1372E"/>
    <w:rsid w:val="00F14581"/>
    <w:rsid w:val="00F147E7"/>
    <w:rsid w:val="00F15823"/>
    <w:rsid w:val="00F159AA"/>
    <w:rsid w:val="00F15AEF"/>
    <w:rsid w:val="00F17B2B"/>
    <w:rsid w:val="00F21204"/>
    <w:rsid w:val="00F21E79"/>
    <w:rsid w:val="00F22882"/>
    <w:rsid w:val="00F22FF8"/>
    <w:rsid w:val="00F237AF"/>
    <w:rsid w:val="00F25DEB"/>
    <w:rsid w:val="00F26F1E"/>
    <w:rsid w:val="00F321C5"/>
    <w:rsid w:val="00F32A94"/>
    <w:rsid w:val="00F343BD"/>
    <w:rsid w:val="00F34CC1"/>
    <w:rsid w:val="00F35370"/>
    <w:rsid w:val="00F358CF"/>
    <w:rsid w:val="00F35A5A"/>
    <w:rsid w:val="00F35FD0"/>
    <w:rsid w:val="00F36B15"/>
    <w:rsid w:val="00F36B8B"/>
    <w:rsid w:val="00F3701E"/>
    <w:rsid w:val="00F42512"/>
    <w:rsid w:val="00F42FD0"/>
    <w:rsid w:val="00F440AC"/>
    <w:rsid w:val="00F456A1"/>
    <w:rsid w:val="00F46D10"/>
    <w:rsid w:val="00F50313"/>
    <w:rsid w:val="00F5094E"/>
    <w:rsid w:val="00F52036"/>
    <w:rsid w:val="00F5251C"/>
    <w:rsid w:val="00F53EBA"/>
    <w:rsid w:val="00F57CD9"/>
    <w:rsid w:val="00F61748"/>
    <w:rsid w:val="00F629DD"/>
    <w:rsid w:val="00F641B1"/>
    <w:rsid w:val="00F64B5B"/>
    <w:rsid w:val="00F65F63"/>
    <w:rsid w:val="00F6663C"/>
    <w:rsid w:val="00F70534"/>
    <w:rsid w:val="00F736EB"/>
    <w:rsid w:val="00F76BD3"/>
    <w:rsid w:val="00F77570"/>
    <w:rsid w:val="00F81B0B"/>
    <w:rsid w:val="00F83735"/>
    <w:rsid w:val="00F83CD9"/>
    <w:rsid w:val="00F847E0"/>
    <w:rsid w:val="00F86758"/>
    <w:rsid w:val="00F867B6"/>
    <w:rsid w:val="00F86E2A"/>
    <w:rsid w:val="00F90015"/>
    <w:rsid w:val="00F90A93"/>
    <w:rsid w:val="00F90DB1"/>
    <w:rsid w:val="00F9359F"/>
    <w:rsid w:val="00F96BFF"/>
    <w:rsid w:val="00FA029C"/>
    <w:rsid w:val="00FA0DBB"/>
    <w:rsid w:val="00FA18C7"/>
    <w:rsid w:val="00FA2CD4"/>
    <w:rsid w:val="00FA51A4"/>
    <w:rsid w:val="00FA6484"/>
    <w:rsid w:val="00FB16A4"/>
    <w:rsid w:val="00FB225B"/>
    <w:rsid w:val="00FB228D"/>
    <w:rsid w:val="00FB2343"/>
    <w:rsid w:val="00FB2623"/>
    <w:rsid w:val="00FB4C8A"/>
    <w:rsid w:val="00FB4EAA"/>
    <w:rsid w:val="00FB56A2"/>
    <w:rsid w:val="00FB5DDA"/>
    <w:rsid w:val="00FB5E75"/>
    <w:rsid w:val="00FB704C"/>
    <w:rsid w:val="00FB7367"/>
    <w:rsid w:val="00FC0444"/>
    <w:rsid w:val="00FC15D2"/>
    <w:rsid w:val="00FC27BD"/>
    <w:rsid w:val="00FC2F19"/>
    <w:rsid w:val="00FC493C"/>
    <w:rsid w:val="00FC4A1D"/>
    <w:rsid w:val="00FC5928"/>
    <w:rsid w:val="00FC608C"/>
    <w:rsid w:val="00FC664D"/>
    <w:rsid w:val="00FC689C"/>
    <w:rsid w:val="00FC6B36"/>
    <w:rsid w:val="00FC7923"/>
    <w:rsid w:val="00FC79B1"/>
    <w:rsid w:val="00FD567F"/>
    <w:rsid w:val="00FD678F"/>
    <w:rsid w:val="00FD7F0B"/>
    <w:rsid w:val="00FE02A0"/>
    <w:rsid w:val="00FE0B61"/>
    <w:rsid w:val="00FE0D6D"/>
    <w:rsid w:val="00FE229D"/>
    <w:rsid w:val="00FE309F"/>
    <w:rsid w:val="00FE49AD"/>
    <w:rsid w:val="00FE6742"/>
    <w:rsid w:val="00FE717F"/>
    <w:rsid w:val="00FE7C6F"/>
    <w:rsid w:val="00FF08D3"/>
    <w:rsid w:val="00FF191A"/>
    <w:rsid w:val="00FF1EAB"/>
    <w:rsid w:val="00FF2B51"/>
    <w:rsid w:val="00FF358C"/>
    <w:rsid w:val="00FF3B01"/>
    <w:rsid w:val="00FF42B6"/>
    <w:rsid w:val="00FF722A"/>
    <w:rsid w:val="00FF78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559D"/>
  <w15:chartTrackingRefBased/>
  <w15:docId w15:val="{B4D14595-C3AA-49C1-84D9-2B991257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74"/>
    <w:rPr>
      <w:rFonts w:ascii="Arial" w:hAnsi="Arial" w:cs="Arial"/>
      <w:sz w:val="24"/>
      <w:szCs w:val="24"/>
    </w:rPr>
  </w:style>
  <w:style w:type="paragraph" w:styleId="Heading1">
    <w:name w:val="heading 1"/>
    <w:basedOn w:val="Normal"/>
    <w:link w:val="Heading1Char"/>
    <w:uiPriority w:val="9"/>
    <w:qFormat/>
    <w:rsid w:val="00FE7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FE7C6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9">
    <w:name w:val="heading 9"/>
    <w:basedOn w:val="Normal"/>
    <w:next w:val="Normal"/>
    <w:link w:val="Heading9Char"/>
    <w:qFormat/>
    <w:rsid w:val="00B260A8"/>
    <w:pPr>
      <w:numPr>
        <w:ilvl w:val="8"/>
        <w:numId w:val="20"/>
      </w:numPr>
      <w:spacing w:before="240" w:after="60" w:line="240" w:lineRule="auto"/>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474"/>
    <w:pPr>
      <w:ind w:left="720"/>
      <w:contextualSpacing/>
    </w:p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
    <w:basedOn w:val="Normal"/>
    <w:link w:val="FootnoteTextChar"/>
    <w:uiPriority w:val="99"/>
    <w:unhideWhenUsed/>
    <w:rsid w:val="00EE0C65"/>
    <w:pPr>
      <w:spacing w:after="0" w:line="240" w:lineRule="auto"/>
    </w:pPr>
    <w:rPr>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
    <w:basedOn w:val="DefaultParagraphFont"/>
    <w:link w:val="FootnoteText"/>
    <w:uiPriority w:val="99"/>
    <w:rsid w:val="00EE0C65"/>
    <w:rPr>
      <w:rFonts w:ascii="Arial" w:hAnsi="Arial" w:cs="Arial"/>
      <w:sz w:val="20"/>
      <w:szCs w:val="20"/>
    </w:rPr>
  </w:style>
  <w:style w:type="character" w:styleId="FootnoteReference">
    <w:name w:val="footnote reference"/>
    <w:aliases w:val="Ref,de nota al pie,註腳內容"/>
    <w:basedOn w:val="DefaultParagraphFont"/>
    <w:uiPriority w:val="99"/>
    <w:unhideWhenUsed/>
    <w:rsid w:val="00EE0C65"/>
    <w:rPr>
      <w:vertAlign w:val="superscript"/>
    </w:rPr>
  </w:style>
  <w:style w:type="paragraph" w:styleId="Header">
    <w:name w:val="header"/>
    <w:basedOn w:val="Normal"/>
    <w:link w:val="HeaderChar"/>
    <w:uiPriority w:val="99"/>
    <w:unhideWhenUsed/>
    <w:rsid w:val="00E5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623"/>
    <w:rPr>
      <w:rFonts w:ascii="Arial" w:hAnsi="Arial" w:cs="Arial"/>
      <w:sz w:val="24"/>
      <w:szCs w:val="24"/>
    </w:rPr>
  </w:style>
  <w:style w:type="paragraph" w:styleId="Footer">
    <w:name w:val="footer"/>
    <w:basedOn w:val="Normal"/>
    <w:link w:val="FooterChar"/>
    <w:uiPriority w:val="99"/>
    <w:unhideWhenUsed/>
    <w:rsid w:val="00E5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623"/>
    <w:rPr>
      <w:rFonts w:ascii="Arial" w:hAnsi="Arial" w:cs="Arial"/>
      <w:sz w:val="24"/>
      <w:szCs w:val="24"/>
    </w:rPr>
  </w:style>
  <w:style w:type="character" w:styleId="CommentReference">
    <w:name w:val="annotation reference"/>
    <w:basedOn w:val="DefaultParagraphFont"/>
    <w:uiPriority w:val="99"/>
    <w:semiHidden/>
    <w:unhideWhenUsed/>
    <w:rsid w:val="006B3733"/>
    <w:rPr>
      <w:sz w:val="16"/>
      <w:szCs w:val="16"/>
    </w:rPr>
  </w:style>
  <w:style w:type="paragraph" w:styleId="CommentText">
    <w:name w:val="annotation text"/>
    <w:basedOn w:val="Normal"/>
    <w:link w:val="CommentTextChar"/>
    <w:uiPriority w:val="99"/>
    <w:semiHidden/>
    <w:unhideWhenUsed/>
    <w:rsid w:val="006B3733"/>
    <w:pPr>
      <w:spacing w:line="240" w:lineRule="auto"/>
    </w:pPr>
    <w:rPr>
      <w:sz w:val="20"/>
      <w:szCs w:val="20"/>
    </w:rPr>
  </w:style>
  <w:style w:type="character" w:customStyle="1" w:styleId="CommentTextChar">
    <w:name w:val="Comment Text Char"/>
    <w:basedOn w:val="DefaultParagraphFont"/>
    <w:link w:val="CommentText"/>
    <w:uiPriority w:val="99"/>
    <w:semiHidden/>
    <w:rsid w:val="006B37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3733"/>
    <w:rPr>
      <w:b/>
      <w:bCs/>
    </w:rPr>
  </w:style>
  <w:style w:type="character" w:customStyle="1" w:styleId="CommentSubjectChar">
    <w:name w:val="Comment Subject Char"/>
    <w:basedOn w:val="CommentTextChar"/>
    <w:link w:val="CommentSubject"/>
    <w:uiPriority w:val="99"/>
    <w:semiHidden/>
    <w:rsid w:val="006B3733"/>
    <w:rPr>
      <w:rFonts w:ascii="Arial" w:hAnsi="Arial" w:cs="Arial"/>
      <w:b/>
      <w:bCs/>
      <w:sz w:val="20"/>
      <w:szCs w:val="20"/>
    </w:rPr>
  </w:style>
  <w:style w:type="paragraph" w:styleId="BalloonText">
    <w:name w:val="Balloon Text"/>
    <w:basedOn w:val="Normal"/>
    <w:link w:val="BalloonTextChar"/>
    <w:uiPriority w:val="99"/>
    <w:semiHidden/>
    <w:unhideWhenUsed/>
    <w:rsid w:val="006B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33"/>
    <w:rPr>
      <w:rFonts w:ascii="Segoe UI" w:hAnsi="Segoe UI" w:cs="Segoe UI"/>
      <w:sz w:val="18"/>
      <w:szCs w:val="18"/>
    </w:rPr>
  </w:style>
  <w:style w:type="character" w:customStyle="1" w:styleId="Heading1Char">
    <w:name w:val="Heading 1 Char"/>
    <w:basedOn w:val="DefaultParagraphFont"/>
    <w:link w:val="Heading1"/>
    <w:uiPriority w:val="9"/>
    <w:rsid w:val="00FE7C6F"/>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FE7C6F"/>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FE7C6F"/>
    <w:rPr>
      <w:color w:val="0000FF"/>
      <w:u w:val="single"/>
    </w:rPr>
  </w:style>
  <w:style w:type="paragraph" w:styleId="NormalWeb">
    <w:name w:val="Normal (Web)"/>
    <w:basedOn w:val="Normal"/>
    <w:uiPriority w:val="99"/>
    <w:unhideWhenUsed/>
    <w:rsid w:val="00FE7C6F"/>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western">
    <w:name w:val="western"/>
    <w:basedOn w:val="Normal"/>
    <w:rsid w:val="003029C6"/>
    <w:pPr>
      <w:spacing w:before="100" w:beforeAutospacing="1" w:after="100" w:afterAutospacing="1" w:line="240" w:lineRule="auto"/>
    </w:pPr>
    <w:rPr>
      <w:rFonts w:ascii="Times New Roman" w:eastAsia="Times New Roman" w:hAnsi="Times New Roman" w:cs="Times New Roman"/>
      <w:lang w:eastAsia="en-ZA"/>
    </w:rPr>
  </w:style>
  <w:style w:type="character" w:customStyle="1" w:styleId="ListParagraphChar">
    <w:name w:val="List Paragraph Char"/>
    <w:link w:val="ListParagraph"/>
    <w:uiPriority w:val="34"/>
    <w:qFormat/>
    <w:rsid w:val="00F36B8B"/>
    <w:rPr>
      <w:rFonts w:ascii="Arial" w:hAnsi="Arial" w:cs="Arial"/>
      <w:sz w:val="24"/>
      <w:szCs w:val="24"/>
    </w:rPr>
  </w:style>
  <w:style w:type="character" w:customStyle="1" w:styleId="Heading9Char">
    <w:name w:val="Heading 9 Char"/>
    <w:basedOn w:val="DefaultParagraphFont"/>
    <w:link w:val="Heading9"/>
    <w:rsid w:val="00B260A8"/>
    <w:rPr>
      <w:rFonts w:ascii="Arial" w:eastAsia="Times New Roman" w:hAnsi="Arial" w:cs="Arial"/>
    </w:rPr>
  </w:style>
  <w:style w:type="paragraph" w:customStyle="1" w:styleId="ColorfulShading-Accent31">
    <w:name w:val="Colorful Shading - Accent 31"/>
    <w:basedOn w:val="Normal"/>
    <w:uiPriority w:val="34"/>
    <w:qFormat/>
    <w:rsid w:val="005E5A03"/>
    <w:pPr>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rsid w:val="00A92E4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130127">
      <w:bodyDiv w:val="1"/>
      <w:marLeft w:val="0"/>
      <w:marRight w:val="0"/>
      <w:marTop w:val="0"/>
      <w:marBottom w:val="0"/>
      <w:divBdr>
        <w:top w:val="none" w:sz="0" w:space="0" w:color="auto"/>
        <w:left w:val="none" w:sz="0" w:space="0" w:color="auto"/>
        <w:bottom w:val="none" w:sz="0" w:space="0" w:color="auto"/>
        <w:right w:val="none" w:sz="0" w:space="0" w:color="auto"/>
      </w:divBdr>
    </w:div>
    <w:div w:id="494495043">
      <w:bodyDiv w:val="1"/>
      <w:marLeft w:val="0"/>
      <w:marRight w:val="0"/>
      <w:marTop w:val="0"/>
      <w:marBottom w:val="0"/>
      <w:divBdr>
        <w:top w:val="none" w:sz="0" w:space="0" w:color="auto"/>
        <w:left w:val="none" w:sz="0" w:space="0" w:color="auto"/>
        <w:bottom w:val="none" w:sz="0" w:space="0" w:color="auto"/>
        <w:right w:val="none" w:sz="0" w:space="0" w:color="auto"/>
      </w:divBdr>
    </w:div>
    <w:div w:id="514614326">
      <w:bodyDiv w:val="1"/>
      <w:marLeft w:val="0"/>
      <w:marRight w:val="0"/>
      <w:marTop w:val="0"/>
      <w:marBottom w:val="0"/>
      <w:divBdr>
        <w:top w:val="none" w:sz="0" w:space="0" w:color="auto"/>
        <w:left w:val="none" w:sz="0" w:space="0" w:color="auto"/>
        <w:bottom w:val="none" w:sz="0" w:space="0" w:color="auto"/>
        <w:right w:val="none" w:sz="0" w:space="0" w:color="auto"/>
      </w:divBdr>
    </w:div>
    <w:div w:id="524826621">
      <w:bodyDiv w:val="1"/>
      <w:marLeft w:val="0"/>
      <w:marRight w:val="0"/>
      <w:marTop w:val="0"/>
      <w:marBottom w:val="0"/>
      <w:divBdr>
        <w:top w:val="none" w:sz="0" w:space="0" w:color="auto"/>
        <w:left w:val="none" w:sz="0" w:space="0" w:color="auto"/>
        <w:bottom w:val="none" w:sz="0" w:space="0" w:color="auto"/>
        <w:right w:val="none" w:sz="0" w:space="0" w:color="auto"/>
      </w:divBdr>
    </w:div>
    <w:div w:id="597448410">
      <w:bodyDiv w:val="1"/>
      <w:marLeft w:val="0"/>
      <w:marRight w:val="0"/>
      <w:marTop w:val="0"/>
      <w:marBottom w:val="0"/>
      <w:divBdr>
        <w:top w:val="none" w:sz="0" w:space="0" w:color="auto"/>
        <w:left w:val="none" w:sz="0" w:space="0" w:color="auto"/>
        <w:bottom w:val="none" w:sz="0" w:space="0" w:color="auto"/>
        <w:right w:val="none" w:sz="0" w:space="0" w:color="auto"/>
      </w:divBdr>
    </w:div>
    <w:div w:id="710303111">
      <w:bodyDiv w:val="1"/>
      <w:marLeft w:val="0"/>
      <w:marRight w:val="0"/>
      <w:marTop w:val="0"/>
      <w:marBottom w:val="0"/>
      <w:divBdr>
        <w:top w:val="none" w:sz="0" w:space="0" w:color="auto"/>
        <w:left w:val="none" w:sz="0" w:space="0" w:color="auto"/>
        <w:bottom w:val="none" w:sz="0" w:space="0" w:color="auto"/>
        <w:right w:val="none" w:sz="0" w:space="0" w:color="auto"/>
      </w:divBdr>
    </w:div>
    <w:div w:id="1241014554">
      <w:bodyDiv w:val="1"/>
      <w:marLeft w:val="0"/>
      <w:marRight w:val="0"/>
      <w:marTop w:val="0"/>
      <w:marBottom w:val="0"/>
      <w:divBdr>
        <w:top w:val="none" w:sz="0" w:space="0" w:color="auto"/>
        <w:left w:val="none" w:sz="0" w:space="0" w:color="auto"/>
        <w:bottom w:val="none" w:sz="0" w:space="0" w:color="auto"/>
        <w:right w:val="none" w:sz="0" w:space="0" w:color="auto"/>
      </w:divBdr>
      <w:divsChild>
        <w:div w:id="1167669666">
          <w:marLeft w:val="0"/>
          <w:marRight w:val="0"/>
          <w:marTop w:val="0"/>
          <w:marBottom w:val="225"/>
          <w:divBdr>
            <w:top w:val="single" w:sz="24" w:space="0" w:color="auto"/>
            <w:left w:val="single" w:sz="24" w:space="0" w:color="auto"/>
            <w:bottom w:val="single" w:sz="36" w:space="0" w:color="003300"/>
            <w:right w:val="single" w:sz="24" w:space="0" w:color="auto"/>
          </w:divBdr>
          <w:divsChild>
            <w:div w:id="68618917">
              <w:marLeft w:val="0"/>
              <w:marRight w:val="0"/>
              <w:marTop w:val="0"/>
              <w:marBottom w:val="0"/>
              <w:divBdr>
                <w:top w:val="none" w:sz="0" w:space="0" w:color="auto"/>
                <w:left w:val="none" w:sz="0" w:space="0" w:color="auto"/>
                <w:bottom w:val="none" w:sz="0" w:space="0" w:color="auto"/>
                <w:right w:val="none" w:sz="0" w:space="0" w:color="auto"/>
              </w:divBdr>
            </w:div>
          </w:divsChild>
        </w:div>
        <w:div w:id="2071224625">
          <w:marLeft w:val="0"/>
          <w:marRight w:val="0"/>
          <w:marTop w:val="0"/>
          <w:marBottom w:val="0"/>
          <w:divBdr>
            <w:top w:val="none" w:sz="0" w:space="0" w:color="auto"/>
            <w:left w:val="none" w:sz="0" w:space="0" w:color="auto"/>
            <w:bottom w:val="none" w:sz="0" w:space="0" w:color="auto"/>
            <w:right w:val="none" w:sz="0" w:space="0" w:color="auto"/>
          </w:divBdr>
          <w:divsChild>
            <w:div w:id="918750028">
              <w:marLeft w:val="0"/>
              <w:marRight w:val="0"/>
              <w:marTop w:val="0"/>
              <w:marBottom w:val="0"/>
              <w:divBdr>
                <w:top w:val="none" w:sz="0" w:space="0" w:color="auto"/>
                <w:left w:val="none" w:sz="0" w:space="0" w:color="auto"/>
                <w:bottom w:val="none" w:sz="0" w:space="0" w:color="auto"/>
                <w:right w:val="none" w:sz="0" w:space="0" w:color="auto"/>
              </w:divBdr>
              <w:divsChild>
                <w:div w:id="1945577643">
                  <w:marLeft w:val="0"/>
                  <w:marRight w:val="0"/>
                  <w:marTop w:val="0"/>
                  <w:marBottom w:val="0"/>
                  <w:divBdr>
                    <w:top w:val="none" w:sz="0" w:space="0" w:color="auto"/>
                    <w:left w:val="none" w:sz="0" w:space="0" w:color="auto"/>
                    <w:bottom w:val="none" w:sz="0" w:space="0" w:color="auto"/>
                    <w:right w:val="none" w:sz="0" w:space="0" w:color="auto"/>
                  </w:divBdr>
                  <w:divsChild>
                    <w:div w:id="1890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0230">
      <w:bodyDiv w:val="1"/>
      <w:marLeft w:val="0"/>
      <w:marRight w:val="0"/>
      <w:marTop w:val="0"/>
      <w:marBottom w:val="0"/>
      <w:divBdr>
        <w:top w:val="none" w:sz="0" w:space="0" w:color="auto"/>
        <w:left w:val="none" w:sz="0" w:space="0" w:color="auto"/>
        <w:bottom w:val="none" w:sz="0" w:space="0" w:color="auto"/>
        <w:right w:val="none" w:sz="0" w:space="0" w:color="auto"/>
      </w:divBdr>
    </w:div>
    <w:div w:id="1340355886">
      <w:bodyDiv w:val="1"/>
      <w:marLeft w:val="0"/>
      <w:marRight w:val="0"/>
      <w:marTop w:val="0"/>
      <w:marBottom w:val="0"/>
      <w:divBdr>
        <w:top w:val="none" w:sz="0" w:space="0" w:color="auto"/>
        <w:left w:val="none" w:sz="0" w:space="0" w:color="auto"/>
        <w:bottom w:val="none" w:sz="0" w:space="0" w:color="auto"/>
        <w:right w:val="none" w:sz="0" w:space="0" w:color="auto"/>
      </w:divBdr>
    </w:div>
    <w:div w:id="1592860827">
      <w:bodyDiv w:val="1"/>
      <w:marLeft w:val="0"/>
      <w:marRight w:val="0"/>
      <w:marTop w:val="0"/>
      <w:marBottom w:val="0"/>
      <w:divBdr>
        <w:top w:val="none" w:sz="0" w:space="0" w:color="auto"/>
        <w:left w:val="none" w:sz="0" w:space="0" w:color="auto"/>
        <w:bottom w:val="none" w:sz="0" w:space="0" w:color="auto"/>
        <w:right w:val="none" w:sz="0" w:space="0" w:color="auto"/>
      </w:divBdr>
    </w:div>
    <w:div w:id="1756434865">
      <w:bodyDiv w:val="1"/>
      <w:marLeft w:val="0"/>
      <w:marRight w:val="0"/>
      <w:marTop w:val="0"/>
      <w:marBottom w:val="0"/>
      <w:divBdr>
        <w:top w:val="none" w:sz="0" w:space="0" w:color="auto"/>
        <w:left w:val="none" w:sz="0" w:space="0" w:color="auto"/>
        <w:bottom w:val="none" w:sz="0" w:space="0" w:color="auto"/>
        <w:right w:val="none" w:sz="0" w:space="0" w:color="auto"/>
      </w:divBdr>
    </w:div>
    <w:div w:id="2009822043">
      <w:bodyDiv w:val="1"/>
      <w:marLeft w:val="0"/>
      <w:marRight w:val="0"/>
      <w:marTop w:val="0"/>
      <w:marBottom w:val="0"/>
      <w:divBdr>
        <w:top w:val="none" w:sz="0" w:space="0" w:color="auto"/>
        <w:left w:val="none" w:sz="0" w:space="0" w:color="auto"/>
        <w:bottom w:val="none" w:sz="0" w:space="0" w:color="auto"/>
        <w:right w:val="none" w:sz="0" w:space="0" w:color="auto"/>
      </w:divBdr>
      <w:divsChild>
        <w:div w:id="1487282117">
          <w:marLeft w:val="0"/>
          <w:marRight w:val="0"/>
          <w:marTop w:val="0"/>
          <w:marBottom w:val="0"/>
          <w:divBdr>
            <w:top w:val="none" w:sz="0" w:space="0" w:color="auto"/>
            <w:left w:val="none" w:sz="0" w:space="0" w:color="auto"/>
            <w:bottom w:val="none" w:sz="0" w:space="0" w:color="auto"/>
            <w:right w:val="none" w:sz="0" w:space="0" w:color="auto"/>
          </w:divBdr>
        </w:div>
        <w:div w:id="1724675525">
          <w:marLeft w:val="0"/>
          <w:marRight w:val="0"/>
          <w:marTop w:val="0"/>
          <w:marBottom w:val="0"/>
          <w:divBdr>
            <w:top w:val="none" w:sz="0" w:space="0" w:color="auto"/>
            <w:left w:val="none" w:sz="0" w:space="0" w:color="auto"/>
            <w:bottom w:val="none" w:sz="0" w:space="0" w:color="auto"/>
            <w:right w:val="none" w:sz="0" w:space="0" w:color="auto"/>
          </w:divBdr>
        </w:div>
        <w:div w:id="1056778983">
          <w:marLeft w:val="0"/>
          <w:marRight w:val="0"/>
          <w:marTop w:val="0"/>
          <w:marBottom w:val="0"/>
          <w:divBdr>
            <w:top w:val="none" w:sz="0" w:space="0" w:color="auto"/>
            <w:left w:val="none" w:sz="0" w:space="0" w:color="auto"/>
            <w:bottom w:val="none" w:sz="0" w:space="0" w:color="auto"/>
            <w:right w:val="none" w:sz="0" w:space="0" w:color="auto"/>
          </w:divBdr>
        </w:div>
      </w:divsChild>
    </w:div>
    <w:div w:id="20804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6CB7-5C77-4645-AEB4-92DF05F3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sathish sarshan  mohan</cp:lastModifiedBy>
  <cp:revision>8</cp:revision>
  <cp:lastPrinted>2024-03-18T05:43:00Z</cp:lastPrinted>
  <dcterms:created xsi:type="dcterms:W3CDTF">2024-03-18T05:46:00Z</dcterms:created>
  <dcterms:modified xsi:type="dcterms:W3CDTF">2024-04-01T18:45:00Z</dcterms:modified>
</cp:coreProperties>
</file>