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7851DED0" w:rsidR="00774EB6" w:rsidRDefault="0080354E" w:rsidP="0080354E">
      <w:pPr>
        <w:jc w:val="right"/>
      </w:pPr>
      <w:r>
        <w:t xml:space="preserve">CASE NO.: </w:t>
      </w:r>
      <w:r w:rsidR="00E64BBA">
        <w:t>2023-045310</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08A45738" w14:textId="65D22A2F" w:rsidR="001517BB" w:rsidRDefault="00E64BBA" w:rsidP="00564B22">
            <w:pPr>
              <w:jc w:val="both"/>
            </w:pPr>
            <w:r>
              <w:t>RICHARDS BAY MINING (PTY) LTD</w:t>
            </w:r>
          </w:p>
          <w:p w14:paraId="7A1EA14D" w14:textId="3726D80D" w:rsidR="001517BB" w:rsidRPr="00774EB6" w:rsidRDefault="001517BB" w:rsidP="00564B22">
            <w:pPr>
              <w:jc w:val="both"/>
            </w:pPr>
          </w:p>
        </w:tc>
        <w:tc>
          <w:tcPr>
            <w:tcW w:w="2823" w:type="dxa"/>
          </w:tcPr>
          <w:p w14:paraId="53DFC083" w14:textId="2CC2AC40" w:rsidR="001517BB" w:rsidRDefault="001517BB" w:rsidP="00F44F6F">
            <w:pPr>
              <w:jc w:val="right"/>
            </w:pP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7574DF7F" w14:textId="77777777" w:rsidR="0080354E" w:rsidRDefault="005918EC" w:rsidP="00564B22">
            <w:pPr>
              <w:jc w:val="both"/>
            </w:pPr>
            <w:r>
              <w:t>a</w:t>
            </w:r>
            <w:r w:rsidR="0080354E">
              <w:t>nd</w:t>
            </w:r>
          </w:p>
          <w:p w14:paraId="7D8D6F17" w14:textId="77777777" w:rsidR="00172224" w:rsidRDefault="00172224" w:rsidP="00564B22">
            <w:pPr>
              <w:jc w:val="both"/>
            </w:pPr>
          </w:p>
          <w:p w14:paraId="7BF1DAAF" w14:textId="5A1BF4DC" w:rsidR="00172224" w:rsidRDefault="00172224"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2E893842" w14:textId="77777777" w:rsidR="00890382" w:rsidRDefault="00890382" w:rsidP="00394333">
            <w:pPr>
              <w:jc w:val="both"/>
            </w:pPr>
          </w:p>
          <w:p w14:paraId="41393DE4" w14:textId="3F09D03F" w:rsidR="00E64BBA" w:rsidRPr="00774EB6" w:rsidRDefault="00E64BBA" w:rsidP="00394333">
            <w:pPr>
              <w:jc w:val="both"/>
            </w:pPr>
            <w:r>
              <w:t>COMMISSIONER FOR THE SOUTH AFRICAN REVENUE SERVICE</w:t>
            </w:r>
          </w:p>
        </w:tc>
        <w:tc>
          <w:tcPr>
            <w:tcW w:w="2823" w:type="dxa"/>
          </w:tcPr>
          <w:p w14:paraId="400FA715" w14:textId="2DCEC0A9" w:rsidR="001517BB" w:rsidRDefault="001517BB" w:rsidP="00F44F6F">
            <w:pPr>
              <w:jc w:val="right"/>
            </w:pP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083BC8A3" w:rsidR="00962CFE" w:rsidRDefault="00564B22" w:rsidP="009C07B7">
      <w:pPr>
        <w:spacing w:line="360" w:lineRule="auto"/>
        <w:ind w:left="720" w:hanging="720"/>
        <w:jc w:val="both"/>
      </w:pPr>
      <w:r>
        <w:t>[1]</w:t>
      </w:r>
      <w:r>
        <w:tab/>
      </w:r>
      <w:r w:rsidR="00E64BBA">
        <w:t>Th</w:t>
      </w:r>
      <w:r w:rsidR="00BA3A11">
        <w:t xml:space="preserve">is application is directed at the granting of specific </w:t>
      </w:r>
      <w:r w:rsidR="0045032E">
        <w:t xml:space="preserve">relief </w:t>
      </w:r>
      <w:r w:rsidR="00BA3A11">
        <w:t xml:space="preserve">that relates to </w:t>
      </w:r>
      <w:r w:rsidR="0045032E">
        <w:t>the interpretation of sections of specific statutes.</w:t>
      </w:r>
    </w:p>
    <w:p w14:paraId="13F7D1FC" w14:textId="193D2AF0" w:rsidR="003C2049" w:rsidRDefault="003C2049" w:rsidP="009C07B7">
      <w:pPr>
        <w:spacing w:line="360" w:lineRule="auto"/>
        <w:ind w:left="720" w:hanging="720"/>
        <w:jc w:val="both"/>
      </w:pPr>
    </w:p>
    <w:p w14:paraId="5AA5089C" w14:textId="51DFC44F" w:rsidR="003C2049" w:rsidRDefault="003C2049" w:rsidP="009C07B7">
      <w:pPr>
        <w:spacing w:line="360" w:lineRule="auto"/>
        <w:ind w:left="720" w:hanging="720"/>
        <w:jc w:val="both"/>
      </w:pPr>
      <w:r>
        <w:lastRenderedPageBreak/>
        <w:t>[</w:t>
      </w:r>
      <w:r w:rsidR="00172224">
        <w:t>2</w:t>
      </w:r>
      <w:r>
        <w:t>]</w:t>
      </w:r>
      <w:r>
        <w:tab/>
        <w:t xml:space="preserve">The issues to be determined are questions of law. In so far as there may be facts that are relevant to the determination, those are </w:t>
      </w:r>
      <w:r w:rsidR="00BA516A">
        <w:t>largely common cause.</w:t>
      </w:r>
    </w:p>
    <w:p w14:paraId="3F4FCAAA" w14:textId="3B844FD4" w:rsidR="00E64BBA" w:rsidRDefault="00E64BBA" w:rsidP="009C07B7">
      <w:pPr>
        <w:spacing w:line="360" w:lineRule="auto"/>
        <w:ind w:left="720" w:hanging="720"/>
        <w:jc w:val="both"/>
      </w:pPr>
    </w:p>
    <w:p w14:paraId="54B6D112" w14:textId="3C398B41" w:rsidR="00CB5A04" w:rsidRDefault="00E64BBA" w:rsidP="009C07B7">
      <w:pPr>
        <w:spacing w:line="360" w:lineRule="auto"/>
        <w:ind w:left="720" w:hanging="720"/>
        <w:jc w:val="both"/>
      </w:pPr>
      <w:r>
        <w:t>[</w:t>
      </w:r>
      <w:r w:rsidR="00172224">
        <w:t>3</w:t>
      </w:r>
      <w:r>
        <w:t>]</w:t>
      </w:r>
      <w:r w:rsidR="00CB5A04">
        <w:tab/>
        <w:t>This matter concerns the interpretation of two sections</w:t>
      </w:r>
      <w:r w:rsidR="00C754C3">
        <w:t xml:space="preserve"> in</w:t>
      </w:r>
      <w:r w:rsidR="00BA3A11">
        <w:t xml:space="preserve"> two</w:t>
      </w:r>
      <w:r w:rsidR="00C754C3">
        <w:t xml:space="preserve"> different statutes</w:t>
      </w:r>
      <w:r w:rsidR="00CB5A04">
        <w:t>. The first is</w:t>
      </w:r>
      <w:r w:rsidR="007D7728">
        <w:t xml:space="preserve"> in respect of the scope</w:t>
      </w:r>
      <w:r w:rsidR="007B3295">
        <w:t xml:space="preserve"> of section 105</w:t>
      </w:r>
      <w:r w:rsidR="00CB5A04">
        <w:t xml:space="preserve"> of the Tax Administration Act, 28 of 2011 (TAA); whether it contains an ouster of the High C</w:t>
      </w:r>
      <w:r w:rsidR="007D7728">
        <w:t>ourt</w:t>
      </w:r>
      <w:r w:rsidR="00CB5A04">
        <w:t>’s jurisdiction in respect of all matters related to the South African tax administratio</w:t>
      </w:r>
      <w:r w:rsidR="007D7728">
        <w:t>n procedures and provisions. The second concerns the interpretation of the provisions of section 4(2) of the Mineral and Petroleum Resources Royalty Act, 28 of 2008 (the Act), and thereby a determination of the scope of that section.</w:t>
      </w:r>
    </w:p>
    <w:p w14:paraId="0FE650BF" w14:textId="02F585EF" w:rsidR="00C754C3" w:rsidRDefault="00C754C3" w:rsidP="009C07B7">
      <w:pPr>
        <w:spacing w:line="360" w:lineRule="auto"/>
        <w:ind w:left="720" w:hanging="720"/>
        <w:jc w:val="both"/>
      </w:pPr>
    </w:p>
    <w:p w14:paraId="201FCE8F" w14:textId="1DB30DC1" w:rsidR="00C754C3" w:rsidRPr="00C754C3" w:rsidRDefault="00C754C3" w:rsidP="009C07B7">
      <w:pPr>
        <w:spacing w:line="360" w:lineRule="auto"/>
        <w:ind w:left="720" w:hanging="720"/>
        <w:jc w:val="both"/>
      </w:pPr>
      <w:r>
        <w:t>[</w:t>
      </w:r>
      <w:r w:rsidR="00172224">
        <w:t>4</w:t>
      </w:r>
      <w:r>
        <w:t>]</w:t>
      </w:r>
      <w:r>
        <w:tab/>
        <w:t xml:space="preserve">Although the true issue raised by the applicant in these proceedings related to the interpretation of section 4(2) of the Act, the respondent raised as a point </w:t>
      </w:r>
      <w:r>
        <w:rPr>
          <w:i/>
        </w:rPr>
        <w:t xml:space="preserve">in </w:t>
      </w:r>
      <w:proofErr w:type="spellStart"/>
      <w:r>
        <w:rPr>
          <w:i/>
        </w:rPr>
        <w:t>limine</w:t>
      </w:r>
      <w:proofErr w:type="spellEnd"/>
      <w:r>
        <w:t xml:space="preserve"> an objection to this Court’s jurisdiction in hearing this matter. It is thus required that a determination is first made in respect of whether this court has jurisdiction to hear the issue relating to the interpretation of section 4(2) of the Act.</w:t>
      </w:r>
    </w:p>
    <w:p w14:paraId="4733FDE9" w14:textId="7E1DF992" w:rsidR="007D7728" w:rsidRDefault="007D7728" w:rsidP="009C07B7">
      <w:pPr>
        <w:spacing w:line="360" w:lineRule="auto"/>
        <w:ind w:left="720" w:hanging="720"/>
        <w:jc w:val="both"/>
      </w:pPr>
    </w:p>
    <w:p w14:paraId="5EFC551E" w14:textId="2FC687D1" w:rsidR="007D7728" w:rsidRDefault="007D7728" w:rsidP="009C07B7">
      <w:pPr>
        <w:spacing w:line="360" w:lineRule="auto"/>
        <w:ind w:left="720" w:hanging="720"/>
        <w:jc w:val="both"/>
      </w:pPr>
      <w:r>
        <w:t>[</w:t>
      </w:r>
      <w:r w:rsidR="00172224">
        <w:t>5</w:t>
      </w:r>
      <w:r>
        <w:t>]</w:t>
      </w:r>
      <w:r>
        <w:tab/>
        <w:t>The first determination rel</w:t>
      </w:r>
      <w:r w:rsidR="00C754C3">
        <w:t xml:space="preserve">ates to one of jurisdiction. </w:t>
      </w:r>
      <w:r>
        <w:t>The respondent contended that section 105 of the TAA has ousted the High Court’s jurisdiction in all matters relating to tax issues.</w:t>
      </w:r>
      <w:r w:rsidR="00F30FE0">
        <w:t xml:space="preserve"> The respondent contended that the only court to have jurisdiction in r</w:t>
      </w:r>
      <w:r w:rsidR="00BA3A11">
        <w:t>espect of tax matters, is</w:t>
      </w:r>
      <w:r w:rsidR="00F30FE0">
        <w:t xml:space="preserve"> the Tax Court. </w:t>
      </w:r>
      <w:r w:rsidR="00626572">
        <w:t xml:space="preserve"> In this regard, there are conflicting approaches</w:t>
      </w:r>
      <w:r w:rsidR="00F30FE0">
        <w:t xml:space="preserve"> by the courts, le</w:t>
      </w:r>
      <w:r w:rsidR="00C752D6">
        <w:t>a</w:t>
      </w:r>
      <w:r w:rsidR="00F30FE0">
        <w:t>st of which are</w:t>
      </w:r>
      <w:r w:rsidR="00626572">
        <w:t xml:space="preserve"> those advanced in judgments of the Supreme Court of Appeal.</w:t>
      </w:r>
    </w:p>
    <w:p w14:paraId="31113B20" w14:textId="7D938F59" w:rsidR="00626572" w:rsidRDefault="00626572" w:rsidP="009C07B7">
      <w:pPr>
        <w:spacing w:line="360" w:lineRule="auto"/>
        <w:ind w:left="720" w:hanging="720"/>
        <w:jc w:val="both"/>
      </w:pPr>
    </w:p>
    <w:p w14:paraId="20EF512E" w14:textId="1DE59BEA" w:rsidR="00626572" w:rsidRDefault="00626572" w:rsidP="009C07B7">
      <w:pPr>
        <w:spacing w:line="360" w:lineRule="auto"/>
        <w:ind w:left="720" w:hanging="720"/>
        <w:jc w:val="both"/>
      </w:pPr>
      <w:r>
        <w:t>[</w:t>
      </w:r>
      <w:r w:rsidR="00172224">
        <w:t>6</w:t>
      </w:r>
      <w:r>
        <w:t>]</w:t>
      </w:r>
      <w:r>
        <w:tab/>
        <w:t>Section 105 of the TAA provides:</w:t>
      </w:r>
    </w:p>
    <w:p w14:paraId="2B0EC691" w14:textId="451FDBC1" w:rsidR="00626572" w:rsidRDefault="00626572" w:rsidP="009C07B7">
      <w:pPr>
        <w:spacing w:line="360" w:lineRule="auto"/>
        <w:ind w:left="720" w:hanging="720"/>
        <w:jc w:val="both"/>
      </w:pPr>
    </w:p>
    <w:p w14:paraId="2DA8D56B" w14:textId="4930CD67" w:rsidR="00A41CB0" w:rsidRPr="009072A1" w:rsidRDefault="00626572" w:rsidP="009C07B7">
      <w:pPr>
        <w:spacing w:line="360" w:lineRule="auto"/>
        <w:ind w:left="1440"/>
        <w:jc w:val="both"/>
      </w:pPr>
      <w:r>
        <w:t>“</w:t>
      </w:r>
      <w:r>
        <w:rPr>
          <w:i/>
        </w:rPr>
        <w:t>A tax payer may only dispute an assessment or ‘</w:t>
      </w:r>
      <w:r w:rsidR="00F30FE0">
        <w:rPr>
          <w:i/>
        </w:rPr>
        <w:t>decis</w:t>
      </w:r>
      <w:r>
        <w:rPr>
          <w:i/>
        </w:rPr>
        <w:t>ion’ as described in section 104</w:t>
      </w:r>
      <w:r w:rsidR="00F30FE0">
        <w:rPr>
          <w:i/>
        </w:rPr>
        <w:t xml:space="preserve"> in proceedings under this Chapter, unless a High Court otherwise directs.”</w:t>
      </w:r>
    </w:p>
    <w:p w14:paraId="5136877E" w14:textId="5841C842" w:rsidR="00D836E1" w:rsidRPr="00D836E1" w:rsidRDefault="00D836E1" w:rsidP="009C07B7">
      <w:pPr>
        <w:spacing w:line="360" w:lineRule="auto"/>
        <w:ind w:left="720" w:hanging="720"/>
        <w:jc w:val="both"/>
        <w:rPr>
          <w:rFonts w:cs="Arial"/>
        </w:rPr>
      </w:pPr>
    </w:p>
    <w:p w14:paraId="15B2F36E" w14:textId="012691E7" w:rsidR="0099149F" w:rsidRDefault="00D836E1" w:rsidP="009C07B7">
      <w:pPr>
        <w:spacing w:line="360" w:lineRule="auto"/>
        <w:ind w:left="720" w:hanging="720"/>
        <w:jc w:val="both"/>
      </w:pPr>
      <w:r>
        <w:lastRenderedPageBreak/>
        <w:t>[</w:t>
      </w:r>
      <w:r w:rsidR="00172224">
        <w:t>7</w:t>
      </w:r>
      <w:r>
        <w:t>]</w:t>
      </w:r>
      <w:r>
        <w:tab/>
      </w:r>
      <w:r w:rsidR="0099149F">
        <w:t xml:space="preserve">This section has enjoyed the scrutiny by the courts, and of importance that of the Supreme Court of Appeal. Decisions of the Constitutional Court are to be considered as well, in particular the judgment in </w:t>
      </w:r>
      <w:r w:rsidR="0099149F">
        <w:rPr>
          <w:i/>
        </w:rPr>
        <w:t>Metcash Trading Ltd v Commissioner South African Revenue Services</w:t>
      </w:r>
      <w:r w:rsidR="00C752D6">
        <w:rPr>
          <w:i/>
        </w:rPr>
        <w:t>.</w:t>
      </w:r>
      <w:r w:rsidR="0099149F" w:rsidRPr="00C752D6">
        <w:rPr>
          <w:rStyle w:val="FootnoteReference"/>
        </w:rPr>
        <w:footnoteReference w:id="1"/>
      </w:r>
    </w:p>
    <w:p w14:paraId="7FEF859C" w14:textId="77777777" w:rsidR="0099149F" w:rsidRDefault="0099149F" w:rsidP="009C07B7">
      <w:pPr>
        <w:spacing w:line="360" w:lineRule="auto"/>
        <w:ind w:left="720" w:hanging="720"/>
        <w:jc w:val="both"/>
      </w:pPr>
    </w:p>
    <w:p w14:paraId="569CDCC2" w14:textId="78584127" w:rsidR="00494D24" w:rsidRDefault="0099149F" w:rsidP="009C07B7">
      <w:pPr>
        <w:spacing w:line="360" w:lineRule="auto"/>
        <w:ind w:left="720" w:hanging="720"/>
        <w:jc w:val="both"/>
      </w:pPr>
      <w:r>
        <w:t>[</w:t>
      </w:r>
      <w:r w:rsidR="00172224">
        <w:t>8</w:t>
      </w:r>
      <w:r>
        <w:t>]</w:t>
      </w:r>
      <w:r>
        <w:tab/>
      </w:r>
      <w:r w:rsidR="009072A1">
        <w:t>On a</w:t>
      </w:r>
      <w:r w:rsidR="00EF5810">
        <w:t xml:space="preserve"> purposive reading of section 105 of the TAA, it is gleaned that in respect of a dispute of an assessment or a decision as described in section 4 of the TAA, such dispute is to be heard by the Tax Court, </w:t>
      </w:r>
      <w:r w:rsidR="00EF5810">
        <w:rPr>
          <w:i/>
        </w:rPr>
        <w:t>unless a High Court otherwise directs.</w:t>
      </w:r>
      <w:r w:rsidR="00EF5810">
        <w:t xml:space="preserve"> Thus</w:t>
      </w:r>
      <w:r w:rsidR="00543FCA">
        <w:t>,</w:t>
      </w:r>
      <w:r w:rsidR="00EF5810">
        <w:t xml:space="preserve"> inherently section 105 of the TAA acknowledges that a High Court may entertain a disputed assessment or a decision. The issue</w:t>
      </w:r>
      <w:r w:rsidR="0045032E">
        <w:t xml:space="preserve"> is:</w:t>
      </w:r>
      <w:r w:rsidR="00EF5810">
        <w:t xml:space="preserve"> when would a High Court direct otherwise. On this issue there are conflicting decisions.</w:t>
      </w:r>
      <w:r w:rsidR="00494D24">
        <w:t xml:space="preserve"> </w:t>
      </w:r>
      <w:r w:rsidR="0036087C">
        <w:t xml:space="preserve">The most recent decision of the SCA is that in </w:t>
      </w:r>
      <w:proofErr w:type="spellStart"/>
      <w:r w:rsidR="0036087C" w:rsidRPr="0036087C">
        <w:rPr>
          <w:i/>
        </w:rPr>
        <w:t>Lueven</w:t>
      </w:r>
      <w:proofErr w:type="spellEnd"/>
      <w:r w:rsidR="0036087C" w:rsidRPr="0036087C">
        <w:rPr>
          <w:i/>
        </w:rPr>
        <w:t xml:space="preserve"> Metals (Pty) Ltd v C</w:t>
      </w:r>
      <w:r w:rsidR="0036087C">
        <w:rPr>
          <w:i/>
        </w:rPr>
        <w:t xml:space="preserve">ommissioner for the </w:t>
      </w:r>
      <w:r w:rsidR="0036087C" w:rsidRPr="0036087C">
        <w:rPr>
          <w:i/>
        </w:rPr>
        <w:t>South African Revenue Service</w:t>
      </w:r>
      <w:r w:rsidR="0036087C">
        <w:t>.</w:t>
      </w:r>
      <w:r w:rsidR="0036087C">
        <w:rPr>
          <w:rStyle w:val="FootnoteReference"/>
        </w:rPr>
        <w:footnoteReference w:id="2"/>
      </w:r>
      <w:r w:rsidR="0036087C">
        <w:t xml:space="preserve"> </w:t>
      </w:r>
      <w:r w:rsidR="00543FCA">
        <w:t>A</w:t>
      </w:r>
      <w:r w:rsidR="0036087C">
        <w:t xml:space="preserve">n application for leave to appeal </w:t>
      </w:r>
      <w:r w:rsidR="00543FCA">
        <w:t xml:space="preserve">that judgment is </w:t>
      </w:r>
      <w:r w:rsidR="0036087C">
        <w:t xml:space="preserve">pending before the Constitutional Court. That application for leave suspended the order of that decision. </w:t>
      </w:r>
      <w:r w:rsidR="00494D24">
        <w:t xml:space="preserve">It is not for this court to resolve those </w:t>
      </w:r>
      <w:r w:rsidR="00DB6529">
        <w:t xml:space="preserve">divergent </w:t>
      </w:r>
      <w:r w:rsidR="00494D24">
        <w:t>decisions.</w:t>
      </w:r>
      <w:r w:rsidR="00DB6529">
        <w:t xml:space="preserve"> </w:t>
      </w:r>
    </w:p>
    <w:p w14:paraId="4A3D5A23" w14:textId="1D7291D1" w:rsidR="004D3B99" w:rsidRDefault="004D3B99" w:rsidP="009C07B7">
      <w:pPr>
        <w:spacing w:line="360" w:lineRule="auto"/>
        <w:ind w:left="720" w:hanging="720"/>
        <w:jc w:val="both"/>
      </w:pPr>
    </w:p>
    <w:p w14:paraId="4F50C1FC" w14:textId="07670707" w:rsidR="004D3B99" w:rsidRPr="00EF5810" w:rsidRDefault="004D3B99" w:rsidP="009C07B7">
      <w:pPr>
        <w:spacing w:line="360" w:lineRule="auto"/>
        <w:ind w:left="720" w:hanging="720"/>
        <w:jc w:val="both"/>
      </w:pPr>
      <w:r>
        <w:t>[</w:t>
      </w:r>
      <w:r w:rsidR="00172224">
        <w:t>9</w:t>
      </w:r>
      <w:r>
        <w:t>]</w:t>
      </w:r>
      <w:r>
        <w:tab/>
        <w:t xml:space="preserve">In </w:t>
      </w:r>
      <w:r>
        <w:rPr>
          <w:i/>
        </w:rPr>
        <w:t>Barnard Labuschagne Incorporated v South African Revenue Service</w:t>
      </w:r>
      <w:r w:rsidRPr="00822ACD">
        <w:rPr>
          <w:rStyle w:val="FootnoteReference"/>
        </w:rPr>
        <w:footnoteReference w:id="3"/>
      </w:r>
      <w:r>
        <w:t xml:space="preserve"> the Constitutional Court held that the jurisdictional fact on which Chapter 9 of the TAA dispute resolution process, as contemplated in section 105 of the TAA</w:t>
      </w:r>
      <w:r w:rsidR="004B7B42">
        <w:t>,</w:t>
      </w:r>
      <w:r>
        <w:t xml:space="preserve"> depends, relates to a dispute of an assessment (or decision as defined in section 104 of the TAA). In the context of the judgment in </w:t>
      </w:r>
      <w:r>
        <w:rPr>
          <w:i/>
        </w:rPr>
        <w:t>Transnet v Total</w:t>
      </w:r>
      <w:r>
        <w:t>,</w:t>
      </w:r>
      <w:r w:rsidR="0024521D" w:rsidRPr="0024521D">
        <w:rPr>
          <w:rStyle w:val="FootnoteReference"/>
        </w:rPr>
        <w:t xml:space="preserve"> </w:t>
      </w:r>
      <w:r w:rsidR="0024521D" w:rsidRPr="00A37F01">
        <w:rPr>
          <w:rStyle w:val="FootnoteReference"/>
        </w:rPr>
        <w:footnoteReference w:id="4"/>
      </w:r>
      <w:r>
        <w:t xml:space="preserve"> where there is no dispute in respect  of an assessment or decision</w:t>
      </w:r>
      <w:r w:rsidR="003C2049">
        <w:t>,</w:t>
      </w:r>
      <w:r>
        <w:t xml:space="preserve"> as defined in section 104 of the TAA, section 105 of the TAA would not find application.</w:t>
      </w:r>
      <w:r>
        <w:rPr>
          <w:rStyle w:val="FootnoteReference"/>
        </w:rPr>
        <w:footnoteReference w:id="5"/>
      </w:r>
    </w:p>
    <w:p w14:paraId="5B9BED64" w14:textId="77777777" w:rsidR="00EF5810" w:rsidRDefault="00EF5810" w:rsidP="009C07B7">
      <w:pPr>
        <w:spacing w:line="360" w:lineRule="auto"/>
        <w:ind w:left="720" w:hanging="720"/>
        <w:jc w:val="both"/>
      </w:pPr>
    </w:p>
    <w:p w14:paraId="60313E3A" w14:textId="13DBBEAF" w:rsidR="00A37F01" w:rsidRPr="00A37F01" w:rsidRDefault="00EF5810" w:rsidP="009C07B7">
      <w:pPr>
        <w:spacing w:line="360" w:lineRule="auto"/>
        <w:ind w:left="720" w:hanging="720"/>
        <w:jc w:val="both"/>
      </w:pPr>
      <w:r>
        <w:t>[</w:t>
      </w:r>
      <w:r w:rsidR="00172224">
        <w:t>10</w:t>
      </w:r>
      <w:r>
        <w:t>]</w:t>
      </w:r>
      <w:r>
        <w:tab/>
      </w:r>
      <w:r w:rsidR="00A37F01">
        <w:t xml:space="preserve">In </w:t>
      </w:r>
      <w:r w:rsidR="00A37F01">
        <w:rPr>
          <w:i/>
        </w:rPr>
        <w:t>Transnet v Total,</w:t>
      </w:r>
      <w:r w:rsidR="0024521D">
        <w:rPr>
          <w:i/>
        </w:rPr>
        <w:t xml:space="preserve"> supra,</w:t>
      </w:r>
      <w:r w:rsidR="00A37F01">
        <w:rPr>
          <w:i/>
        </w:rPr>
        <w:t xml:space="preserve"> </w:t>
      </w:r>
      <w:r w:rsidR="00A37F01">
        <w:t>the Constitutional Court confirmed that jurisdiction</w:t>
      </w:r>
      <w:r w:rsidR="00DB6529">
        <w:t xml:space="preserve"> is determined by the pleadings, </w:t>
      </w:r>
      <w:r w:rsidR="00DB6529">
        <w:rPr>
          <w:i/>
        </w:rPr>
        <w:t>i.e</w:t>
      </w:r>
      <w:r w:rsidR="003C2049">
        <w:rPr>
          <w:i/>
        </w:rPr>
        <w:t>.</w:t>
      </w:r>
      <w:r w:rsidR="00A37F01">
        <w:t xml:space="preserve"> the applicant’s pleaded case.</w:t>
      </w:r>
    </w:p>
    <w:p w14:paraId="5A322A5B" w14:textId="77777777" w:rsidR="00A37F01" w:rsidRDefault="00A37F01" w:rsidP="009C07B7">
      <w:pPr>
        <w:spacing w:line="360" w:lineRule="auto"/>
        <w:ind w:left="720" w:hanging="720"/>
        <w:jc w:val="both"/>
      </w:pPr>
    </w:p>
    <w:p w14:paraId="37FA943F" w14:textId="306D5A43" w:rsidR="004D4B1F" w:rsidRDefault="00A37F01" w:rsidP="009C07B7">
      <w:pPr>
        <w:spacing w:line="360" w:lineRule="auto"/>
        <w:ind w:left="720" w:hanging="720"/>
        <w:jc w:val="both"/>
      </w:pPr>
      <w:r>
        <w:t>[</w:t>
      </w:r>
      <w:r w:rsidR="00172224">
        <w:t>11</w:t>
      </w:r>
      <w:r>
        <w:t>]</w:t>
      </w:r>
      <w:r>
        <w:tab/>
      </w:r>
      <w:r w:rsidR="00A41CB0">
        <w:t>The applicant contended that t</w:t>
      </w:r>
      <w:r>
        <w:t>he present issue</w:t>
      </w:r>
      <w:r w:rsidR="00A41CB0">
        <w:t>,</w:t>
      </w:r>
      <w:r>
        <w:t xml:space="preserve"> that of interpretation,</w:t>
      </w:r>
      <w:r w:rsidR="00A41CB0">
        <w:t xml:space="preserve"> does not impugn an “assessment” or “</w:t>
      </w:r>
      <w:r>
        <w:t>decision” of the respondent. Hence, section 105 of the TAA found no application. For section 105 to operate against the applicant, its pleadings would determine whether it disputes an “assessment” or a “decision” by SARS.</w:t>
      </w:r>
      <w:r w:rsidR="008C764F">
        <w:t xml:space="preserve"> In this regard it is gleaned from the notice of motion that it concerns the interpretation to be afforded to section 4(2) of the Act.</w:t>
      </w:r>
      <w:r>
        <w:t xml:space="preserve">  </w:t>
      </w:r>
      <w:r w:rsidR="008C764F">
        <w:t xml:space="preserve">Clearly, it does not concern an assessment or decision contemplated in section 104 of the Act. The applicant’s pleaded case concerned declaratory relief relating to the interpretation of </w:t>
      </w:r>
      <w:r w:rsidR="0036087C">
        <w:t xml:space="preserve">a section of </w:t>
      </w:r>
      <w:r w:rsidR="008C764F">
        <w:t>the Act.</w:t>
      </w:r>
      <w:r w:rsidR="000A7AE3">
        <w:t xml:space="preserve"> T</w:t>
      </w:r>
      <w:r w:rsidR="00DB6529">
        <w:t>hat fact is supported by</w:t>
      </w:r>
      <w:r w:rsidR="00543FCA">
        <w:t xml:space="preserve"> the applicant’s affidavits filed in this application.</w:t>
      </w:r>
      <w:r w:rsidR="003C2049">
        <w:t xml:space="preserve"> It</w:t>
      </w:r>
      <w:r w:rsidR="00543FCA">
        <w:t xml:space="preserve"> constitutes</w:t>
      </w:r>
      <w:r w:rsidR="003C2049">
        <w:t xml:space="preserve"> the main relief sought in the notice of motion.</w:t>
      </w:r>
    </w:p>
    <w:p w14:paraId="49D79BC6" w14:textId="3C6F57C6" w:rsidR="0036087C" w:rsidRDefault="0036087C" w:rsidP="009C07B7">
      <w:pPr>
        <w:spacing w:line="360" w:lineRule="auto"/>
        <w:ind w:left="720" w:hanging="720"/>
        <w:jc w:val="both"/>
      </w:pPr>
    </w:p>
    <w:p w14:paraId="62B82408" w14:textId="0810E8FF" w:rsidR="004D3B99" w:rsidRDefault="0036087C" w:rsidP="009C07B7">
      <w:pPr>
        <w:spacing w:line="360" w:lineRule="auto"/>
        <w:ind w:left="720" w:hanging="720"/>
        <w:jc w:val="both"/>
      </w:pPr>
      <w:r>
        <w:t>[</w:t>
      </w:r>
      <w:r w:rsidR="00172224">
        <w:t>12</w:t>
      </w:r>
      <w:r>
        <w:t>]</w:t>
      </w:r>
      <w:r>
        <w:tab/>
      </w:r>
      <w:r w:rsidR="004B7B42">
        <w:t xml:space="preserve">In </w:t>
      </w:r>
      <w:r w:rsidR="004D3B99">
        <w:rPr>
          <w:i/>
        </w:rPr>
        <w:t>Metcash</w:t>
      </w:r>
      <w:r w:rsidR="006E62D9">
        <w:rPr>
          <w:i/>
        </w:rPr>
        <w:t>, supra,</w:t>
      </w:r>
      <w:r w:rsidR="00543FCA">
        <w:t xml:space="preserve"> that court held</w:t>
      </w:r>
      <w:r w:rsidR="004D3B99">
        <w:t>:</w:t>
      </w:r>
    </w:p>
    <w:p w14:paraId="4D4B380C" w14:textId="77777777" w:rsidR="004D3B99" w:rsidRDefault="004D3B99" w:rsidP="009C07B7">
      <w:pPr>
        <w:spacing w:line="360" w:lineRule="auto"/>
        <w:ind w:left="720" w:hanging="720"/>
        <w:jc w:val="both"/>
      </w:pPr>
    </w:p>
    <w:p w14:paraId="59B208D6" w14:textId="77777777" w:rsidR="004D3B99" w:rsidRDefault="004D3B99" w:rsidP="009C07B7">
      <w:pPr>
        <w:pStyle w:val="ListParagraph"/>
        <w:numPr>
          <w:ilvl w:val="0"/>
          <w:numId w:val="2"/>
        </w:numPr>
        <w:spacing w:line="360" w:lineRule="auto"/>
        <w:ind w:left="1985" w:hanging="545"/>
        <w:jc w:val="both"/>
        <w:rPr>
          <w:rFonts w:ascii="Arial" w:hAnsi="Arial" w:cs="Arial"/>
        </w:rPr>
      </w:pPr>
      <w:r>
        <w:rPr>
          <w:rFonts w:ascii="Arial" w:hAnsi="Arial" w:cs="Arial"/>
        </w:rPr>
        <w:t>Section 169 of the Constitution confers upon the High Court specific jurisdiction to consider issues of legality;</w:t>
      </w:r>
    </w:p>
    <w:p w14:paraId="1E09E9D6" w14:textId="77777777" w:rsidR="004D3B99" w:rsidRDefault="004D3B99" w:rsidP="009C07B7">
      <w:pPr>
        <w:pStyle w:val="ListParagraph"/>
        <w:spacing w:line="360" w:lineRule="auto"/>
        <w:ind w:left="1985"/>
        <w:jc w:val="both"/>
        <w:rPr>
          <w:rFonts w:ascii="Arial" w:hAnsi="Arial" w:cs="Arial"/>
        </w:rPr>
      </w:pPr>
    </w:p>
    <w:p w14:paraId="7D5C8663" w14:textId="0773773E" w:rsidR="004D3B99" w:rsidRDefault="004D3B99" w:rsidP="009C07B7">
      <w:pPr>
        <w:pStyle w:val="ListParagraph"/>
        <w:numPr>
          <w:ilvl w:val="0"/>
          <w:numId w:val="2"/>
        </w:numPr>
        <w:spacing w:line="360" w:lineRule="auto"/>
        <w:ind w:left="1985" w:hanging="545"/>
        <w:jc w:val="both"/>
        <w:rPr>
          <w:rFonts w:ascii="Arial" w:hAnsi="Arial" w:cs="Arial"/>
        </w:rPr>
      </w:pPr>
      <w:r>
        <w:rPr>
          <w:rFonts w:ascii="Arial" w:hAnsi="Arial" w:cs="Arial"/>
        </w:rPr>
        <w:t>Section 172 of the Constitution vests in the High</w:t>
      </w:r>
      <w:r w:rsidR="001D55E3">
        <w:rPr>
          <w:rFonts w:ascii="Arial" w:hAnsi="Arial" w:cs="Arial"/>
        </w:rPr>
        <w:t xml:space="preserve"> Court the specific</w:t>
      </w:r>
      <w:r>
        <w:rPr>
          <w:rFonts w:ascii="Arial" w:hAnsi="Arial" w:cs="Arial"/>
        </w:rPr>
        <w:t xml:space="preserve"> power to grant declaratory relief and to make any order that is just and equitable;</w:t>
      </w:r>
    </w:p>
    <w:p w14:paraId="619C8763" w14:textId="77777777" w:rsidR="004D3B99" w:rsidRPr="00D836E1" w:rsidRDefault="004D3B99" w:rsidP="009C07B7">
      <w:pPr>
        <w:pStyle w:val="ListParagraph"/>
        <w:spacing w:line="360" w:lineRule="auto"/>
        <w:rPr>
          <w:rFonts w:ascii="Arial" w:hAnsi="Arial" w:cs="Arial"/>
        </w:rPr>
      </w:pPr>
    </w:p>
    <w:p w14:paraId="4D02D1E2" w14:textId="0CF2215B" w:rsidR="004D3B99" w:rsidRDefault="004D3B99" w:rsidP="009C07B7">
      <w:pPr>
        <w:pStyle w:val="ListParagraph"/>
        <w:numPr>
          <w:ilvl w:val="0"/>
          <w:numId w:val="2"/>
        </w:numPr>
        <w:spacing w:line="360" w:lineRule="auto"/>
        <w:ind w:left="1985" w:hanging="545"/>
        <w:jc w:val="both"/>
        <w:rPr>
          <w:rFonts w:ascii="Arial" w:hAnsi="Arial" w:cs="Arial"/>
        </w:rPr>
      </w:pPr>
      <w:r>
        <w:rPr>
          <w:rFonts w:ascii="Arial" w:hAnsi="Arial" w:cs="Arial"/>
        </w:rPr>
        <w:t>A strong presumption operated against any ouster or curtailment of an ordinary court’s jurisdiction, even pre-constitutionally;</w:t>
      </w:r>
    </w:p>
    <w:p w14:paraId="66C69E40" w14:textId="77777777" w:rsidR="004D3B99" w:rsidRPr="004D3B99" w:rsidRDefault="004D3B99" w:rsidP="009C07B7">
      <w:pPr>
        <w:pStyle w:val="ListParagraph"/>
        <w:spacing w:line="360" w:lineRule="auto"/>
        <w:rPr>
          <w:rFonts w:ascii="Arial" w:hAnsi="Arial" w:cs="Arial"/>
        </w:rPr>
      </w:pPr>
    </w:p>
    <w:p w14:paraId="0752B00E" w14:textId="02718DE7" w:rsidR="00855DCD" w:rsidRPr="00855DCD" w:rsidRDefault="004D3B99" w:rsidP="009C07B7">
      <w:pPr>
        <w:pStyle w:val="ListParagraph"/>
        <w:numPr>
          <w:ilvl w:val="0"/>
          <w:numId w:val="2"/>
        </w:numPr>
        <w:spacing w:line="360" w:lineRule="auto"/>
        <w:ind w:left="1985" w:hanging="545"/>
        <w:jc w:val="both"/>
        <w:rPr>
          <w:rFonts w:ascii="Arial" w:hAnsi="Arial" w:cs="Arial"/>
        </w:rPr>
      </w:pPr>
      <w:r w:rsidRPr="004D3B99">
        <w:rPr>
          <w:rFonts w:ascii="Arial" w:hAnsi="Arial" w:cs="Arial"/>
        </w:rPr>
        <w:t>Under the current Constitution, the mere fact that a party has a statutory appeal against a decision of SARS, it does not preclude such party from instituting a review against that decision. In terms of post-constitutional principles of justice, an affected person may enjoy a right of appeal in the wide sense, as well as a right of review before the High Court.</w:t>
      </w:r>
    </w:p>
    <w:p w14:paraId="42E2C175" w14:textId="77777777" w:rsidR="00855DCD" w:rsidRDefault="00855DCD" w:rsidP="009C07B7">
      <w:pPr>
        <w:spacing w:line="360" w:lineRule="auto"/>
        <w:ind w:left="720" w:hanging="720"/>
        <w:jc w:val="both"/>
        <w:rPr>
          <w:rFonts w:cs="Arial"/>
        </w:rPr>
      </w:pPr>
    </w:p>
    <w:p w14:paraId="4AEEFC41" w14:textId="796B1749" w:rsidR="00BA516A" w:rsidRDefault="00855DCD" w:rsidP="009C07B7">
      <w:pPr>
        <w:spacing w:line="360" w:lineRule="auto"/>
        <w:ind w:left="720" w:hanging="720"/>
        <w:jc w:val="both"/>
        <w:rPr>
          <w:rFonts w:cs="Arial"/>
        </w:rPr>
      </w:pPr>
      <w:r>
        <w:rPr>
          <w:rFonts w:cs="Arial"/>
        </w:rPr>
        <w:lastRenderedPageBreak/>
        <w:t>[</w:t>
      </w:r>
      <w:r w:rsidR="00172224">
        <w:rPr>
          <w:rFonts w:cs="Arial"/>
        </w:rPr>
        <w:t>13</w:t>
      </w:r>
      <w:r>
        <w:rPr>
          <w:rFonts w:cs="Arial"/>
        </w:rPr>
        <w:t>]</w:t>
      </w:r>
      <w:r>
        <w:rPr>
          <w:rFonts w:cs="Arial"/>
        </w:rPr>
        <w:tab/>
      </w:r>
      <w:r w:rsidR="00BA516A">
        <w:rPr>
          <w:rFonts w:cs="Arial"/>
        </w:rPr>
        <w:t>It follows that section 105 of the TAA finds no application</w:t>
      </w:r>
      <w:r w:rsidR="001D55E3">
        <w:rPr>
          <w:rFonts w:cs="Arial"/>
        </w:rPr>
        <w:t xml:space="preserve"> in the present instance</w:t>
      </w:r>
      <w:r w:rsidR="00BA516A">
        <w:rPr>
          <w:rFonts w:cs="Arial"/>
        </w:rPr>
        <w:t xml:space="preserve">. The respondent’s preliminary point is thus without substance and cannot be upheld. It stands to be dismissed. </w:t>
      </w:r>
    </w:p>
    <w:p w14:paraId="350DB840" w14:textId="77777777" w:rsidR="00BA516A" w:rsidRDefault="00BA516A" w:rsidP="009C07B7">
      <w:pPr>
        <w:spacing w:line="360" w:lineRule="auto"/>
        <w:ind w:left="720" w:hanging="720"/>
        <w:jc w:val="both"/>
        <w:rPr>
          <w:rFonts w:cs="Arial"/>
        </w:rPr>
      </w:pPr>
    </w:p>
    <w:p w14:paraId="7F23B737" w14:textId="16FFD662" w:rsidR="000412D9" w:rsidRPr="000412D9" w:rsidRDefault="00BA516A" w:rsidP="009C07B7">
      <w:pPr>
        <w:spacing w:line="360" w:lineRule="auto"/>
        <w:ind w:left="720" w:hanging="720"/>
        <w:jc w:val="both"/>
        <w:rPr>
          <w:rFonts w:cs="Arial"/>
        </w:rPr>
      </w:pPr>
      <w:r>
        <w:rPr>
          <w:rFonts w:cs="Arial"/>
        </w:rPr>
        <w:t>[</w:t>
      </w:r>
      <w:r w:rsidR="00172224">
        <w:rPr>
          <w:rFonts w:cs="Arial"/>
        </w:rPr>
        <w:t>14</w:t>
      </w:r>
      <w:r>
        <w:rPr>
          <w:rFonts w:cs="Arial"/>
        </w:rPr>
        <w:t>]</w:t>
      </w:r>
      <w:r>
        <w:rPr>
          <w:rFonts w:cs="Arial"/>
        </w:rPr>
        <w:tab/>
        <w:t>Consequently this court has jurisdiction to hear the matter on the interpretation of section 4(2) of the Act.</w:t>
      </w:r>
      <w:r w:rsidR="000412D9">
        <w:rPr>
          <w:rFonts w:cs="Arial"/>
        </w:rPr>
        <w:t xml:space="preserve"> The respondent’s point </w:t>
      </w:r>
      <w:r w:rsidR="000412D9">
        <w:rPr>
          <w:rFonts w:cs="Arial"/>
          <w:i/>
        </w:rPr>
        <w:t xml:space="preserve">in </w:t>
      </w:r>
      <w:proofErr w:type="spellStart"/>
      <w:r w:rsidR="000412D9">
        <w:rPr>
          <w:rFonts w:cs="Arial"/>
          <w:i/>
        </w:rPr>
        <w:t>limine</w:t>
      </w:r>
      <w:proofErr w:type="spellEnd"/>
      <w:r w:rsidR="000412D9">
        <w:rPr>
          <w:rFonts w:cs="Arial"/>
        </w:rPr>
        <w:t xml:space="preserve"> stands to be dismissed.</w:t>
      </w:r>
    </w:p>
    <w:p w14:paraId="3B009C2F" w14:textId="463AE62B" w:rsidR="00855DCD" w:rsidRDefault="00855DCD" w:rsidP="009C07B7">
      <w:pPr>
        <w:spacing w:line="360" w:lineRule="auto"/>
        <w:ind w:left="720" w:hanging="720"/>
        <w:jc w:val="both"/>
        <w:rPr>
          <w:rFonts w:cs="Arial"/>
        </w:rPr>
      </w:pPr>
    </w:p>
    <w:p w14:paraId="18E1BF86" w14:textId="5AB9F98F" w:rsidR="00855DCD" w:rsidRDefault="00855DCD" w:rsidP="009C07B7">
      <w:pPr>
        <w:spacing w:line="360" w:lineRule="auto"/>
        <w:ind w:left="720" w:hanging="720"/>
        <w:jc w:val="both"/>
        <w:rPr>
          <w:rFonts w:cs="Arial"/>
        </w:rPr>
      </w:pPr>
      <w:r>
        <w:rPr>
          <w:rFonts w:cs="Arial"/>
        </w:rPr>
        <w:t>[</w:t>
      </w:r>
      <w:r w:rsidR="00172224">
        <w:rPr>
          <w:rFonts w:cs="Arial"/>
        </w:rPr>
        <w:t>15</w:t>
      </w:r>
      <w:r>
        <w:rPr>
          <w:rFonts w:cs="Arial"/>
        </w:rPr>
        <w:t>]</w:t>
      </w:r>
      <w:r>
        <w:rPr>
          <w:rFonts w:cs="Arial"/>
        </w:rPr>
        <w:tab/>
      </w:r>
      <w:r w:rsidR="0073102A">
        <w:rPr>
          <w:rFonts w:cs="Arial"/>
        </w:rPr>
        <w:t xml:space="preserve">The applicant conducts mining operations. It thus falls </w:t>
      </w:r>
      <w:r w:rsidR="0073102A">
        <w:rPr>
          <w:rFonts w:cs="Arial"/>
          <w:i/>
        </w:rPr>
        <w:t>inter alia</w:t>
      </w:r>
      <w:r w:rsidR="0073102A">
        <w:rPr>
          <w:rFonts w:cs="Arial"/>
        </w:rPr>
        <w:t xml:space="preserve"> </w:t>
      </w:r>
      <w:r w:rsidR="009F73E5">
        <w:rPr>
          <w:rFonts w:cs="Arial"/>
        </w:rPr>
        <w:t xml:space="preserve">within </w:t>
      </w:r>
      <w:r w:rsidR="0073102A">
        <w:rPr>
          <w:rFonts w:cs="Arial"/>
        </w:rPr>
        <w:t xml:space="preserve">the provisions of the </w:t>
      </w:r>
      <w:r w:rsidR="0073102A">
        <w:t>Mineral and Petroleum Resources Royalty Act.</w:t>
      </w:r>
    </w:p>
    <w:p w14:paraId="6232895D" w14:textId="77777777" w:rsidR="00855DCD" w:rsidRDefault="00855DCD" w:rsidP="009C07B7">
      <w:pPr>
        <w:spacing w:line="360" w:lineRule="auto"/>
        <w:ind w:left="720" w:hanging="720"/>
        <w:jc w:val="both"/>
        <w:rPr>
          <w:rFonts w:cs="Arial"/>
        </w:rPr>
      </w:pPr>
    </w:p>
    <w:p w14:paraId="45E76AFA" w14:textId="208F1B5E" w:rsidR="0073102A" w:rsidRDefault="00543FCA" w:rsidP="009C07B7">
      <w:pPr>
        <w:spacing w:line="360" w:lineRule="auto"/>
        <w:ind w:left="720" w:hanging="720"/>
        <w:jc w:val="both"/>
        <w:rPr>
          <w:rFonts w:cs="Arial"/>
        </w:rPr>
      </w:pPr>
      <w:r>
        <w:rPr>
          <w:rFonts w:cs="Arial"/>
        </w:rPr>
        <w:t>[</w:t>
      </w:r>
      <w:r w:rsidR="00172224">
        <w:rPr>
          <w:rFonts w:cs="Arial"/>
        </w:rPr>
        <w:t>16</w:t>
      </w:r>
      <w:r>
        <w:rPr>
          <w:rFonts w:cs="Arial"/>
        </w:rPr>
        <w:t>]</w:t>
      </w:r>
      <w:r>
        <w:rPr>
          <w:rFonts w:cs="Arial"/>
        </w:rPr>
        <w:tab/>
        <w:t>Since that</w:t>
      </w:r>
      <w:r w:rsidR="00855DCD">
        <w:rPr>
          <w:rFonts w:cs="Arial"/>
        </w:rPr>
        <w:t xml:space="preserve"> Act came into effect in November 2009, and at least since 2010, the respondent and the</w:t>
      </w:r>
      <w:r w:rsidR="0073102A">
        <w:rPr>
          <w:rFonts w:cs="Arial"/>
        </w:rPr>
        <w:t xml:space="preserve"> mining</w:t>
      </w:r>
      <w:r w:rsidR="00855DCD">
        <w:rPr>
          <w:rFonts w:cs="Arial"/>
        </w:rPr>
        <w:t xml:space="preserve"> industry have interpreted the Act in accordance with the tenor of the explanator</w:t>
      </w:r>
      <w:r w:rsidR="001B6D0F">
        <w:rPr>
          <w:rFonts w:cs="Arial"/>
        </w:rPr>
        <w:t>y memorandum relating to the Bill prior to the promulgation of the Act</w:t>
      </w:r>
      <w:r w:rsidR="00855DCD">
        <w:rPr>
          <w:rFonts w:cs="Arial"/>
        </w:rPr>
        <w:t xml:space="preserve">. </w:t>
      </w:r>
      <w:r w:rsidR="0073102A">
        <w:rPr>
          <w:rFonts w:cs="Arial"/>
        </w:rPr>
        <w:t>A copy of the explanatory memorandu</w:t>
      </w:r>
      <w:r w:rsidR="007D0476">
        <w:rPr>
          <w:rFonts w:cs="Arial"/>
        </w:rPr>
        <w:t>m that accompanied the Bill</w:t>
      </w:r>
      <w:r w:rsidR="0073102A">
        <w:rPr>
          <w:rFonts w:cs="Arial"/>
        </w:rPr>
        <w:t xml:space="preserve"> before Parliament, was</w:t>
      </w:r>
      <w:r w:rsidR="00B30239">
        <w:rPr>
          <w:rFonts w:cs="Arial"/>
        </w:rPr>
        <w:t xml:space="preserve"> for some unknown reason</w:t>
      </w:r>
      <w:r w:rsidR="0073102A">
        <w:rPr>
          <w:rFonts w:cs="Arial"/>
        </w:rPr>
        <w:t xml:space="preserve"> unsigned. Not much turned thereon, despite the fact that the respondent sought to make a meal thereof, but </w:t>
      </w:r>
      <w:r w:rsidR="00B30239">
        <w:rPr>
          <w:rFonts w:cs="Arial"/>
        </w:rPr>
        <w:t xml:space="preserve">was </w:t>
      </w:r>
      <w:r w:rsidR="0073102A">
        <w:rPr>
          <w:rFonts w:cs="Arial"/>
        </w:rPr>
        <w:t>compelled</w:t>
      </w:r>
      <w:r w:rsidR="00B30239">
        <w:rPr>
          <w:rFonts w:cs="Arial"/>
        </w:rPr>
        <w:t xml:space="preserve"> to acknowledge</w:t>
      </w:r>
      <w:r w:rsidR="0073102A">
        <w:rPr>
          <w:rFonts w:cs="Arial"/>
        </w:rPr>
        <w:t xml:space="preserve"> that no other explanatory memorandum existed</w:t>
      </w:r>
      <w:r w:rsidR="00B30239">
        <w:rPr>
          <w:rFonts w:cs="Arial"/>
        </w:rPr>
        <w:t>,</w:t>
      </w:r>
      <w:r w:rsidR="0073102A">
        <w:rPr>
          <w:rFonts w:cs="Arial"/>
        </w:rPr>
        <w:t xml:space="preserve"> or saw the dawn of light.</w:t>
      </w:r>
      <w:r>
        <w:rPr>
          <w:rFonts w:cs="Arial"/>
        </w:rPr>
        <w:t xml:space="preserve"> That document constituted the only explanatory memorandum put before </w:t>
      </w:r>
      <w:r w:rsidR="001B6D0F">
        <w:rPr>
          <w:rFonts w:cs="Arial"/>
        </w:rPr>
        <w:t>parliament in respect of the Bill</w:t>
      </w:r>
      <w:r>
        <w:rPr>
          <w:rFonts w:cs="Arial"/>
        </w:rPr>
        <w:t>.</w:t>
      </w:r>
      <w:r w:rsidR="0073102A">
        <w:rPr>
          <w:rFonts w:cs="Arial"/>
        </w:rPr>
        <w:t xml:space="preserve"> </w:t>
      </w:r>
      <w:r>
        <w:rPr>
          <w:rFonts w:cs="Arial"/>
        </w:rPr>
        <w:t>The</w:t>
      </w:r>
      <w:r w:rsidR="0073102A">
        <w:rPr>
          <w:rFonts w:cs="Arial"/>
        </w:rPr>
        <w:t xml:space="preserve"> respondent acce</w:t>
      </w:r>
      <w:r w:rsidR="001A651D">
        <w:rPr>
          <w:rFonts w:cs="Arial"/>
        </w:rPr>
        <w:t>pted that the unsigned c</w:t>
      </w:r>
      <w:r>
        <w:rPr>
          <w:rFonts w:cs="Arial"/>
        </w:rPr>
        <w:t>opy was appropriately before this</w:t>
      </w:r>
      <w:r w:rsidR="001A651D">
        <w:rPr>
          <w:rFonts w:cs="Arial"/>
        </w:rPr>
        <w:t xml:space="preserve"> court, and that the court could take cog</w:t>
      </w:r>
      <w:r w:rsidR="00B12DA6">
        <w:rPr>
          <w:rFonts w:cs="Arial"/>
        </w:rPr>
        <w:t>nisance</w:t>
      </w:r>
      <w:r w:rsidR="00B30239">
        <w:rPr>
          <w:rFonts w:cs="Arial"/>
        </w:rPr>
        <w:t xml:space="preserve"> thereof, as an aid when determining the interpretation of section 4(2) of the Act.</w:t>
      </w:r>
      <w:r w:rsidR="007D0476">
        <w:rPr>
          <w:rStyle w:val="FootnoteReference"/>
          <w:rFonts w:cs="Arial"/>
        </w:rPr>
        <w:footnoteReference w:id="6"/>
      </w:r>
    </w:p>
    <w:p w14:paraId="0DD7EEC7" w14:textId="77777777" w:rsidR="0073102A" w:rsidRDefault="0073102A" w:rsidP="009C07B7">
      <w:pPr>
        <w:spacing w:line="360" w:lineRule="auto"/>
        <w:ind w:left="720" w:hanging="720"/>
        <w:jc w:val="both"/>
        <w:rPr>
          <w:rFonts w:cs="Arial"/>
        </w:rPr>
      </w:pPr>
    </w:p>
    <w:p w14:paraId="01382436" w14:textId="3CB9E67F" w:rsidR="00B30239" w:rsidRDefault="0073102A" w:rsidP="009C07B7">
      <w:pPr>
        <w:spacing w:line="360" w:lineRule="auto"/>
        <w:ind w:left="720" w:hanging="720"/>
        <w:jc w:val="both"/>
        <w:rPr>
          <w:rFonts w:cs="Arial"/>
        </w:rPr>
      </w:pPr>
      <w:r>
        <w:rPr>
          <w:rFonts w:cs="Arial"/>
        </w:rPr>
        <w:t>[</w:t>
      </w:r>
      <w:r w:rsidR="00172224">
        <w:rPr>
          <w:rFonts w:cs="Arial"/>
        </w:rPr>
        <w:t>17</w:t>
      </w:r>
      <w:r>
        <w:rPr>
          <w:rFonts w:cs="Arial"/>
        </w:rPr>
        <w:t>]</w:t>
      </w:r>
      <w:r>
        <w:rPr>
          <w:rFonts w:cs="Arial"/>
        </w:rPr>
        <w:tab/>
      </w:r>
      <w:r w:rsidR="00B30239">
        <w:rPr>
          <w:rFonts w:cs="Arial"/>
        </w:rPr>
        <w:t>Section 4(2) of the Act provides as follows:</w:t>
      </w:r>
    </w:p>
    <w:p w14:paraId="359B2C6B" w14:textId="77777777" w:rsidR="00B30239" w:rsidRDefault="00B30239" w:rsidP="009C07B7">
      <w:pPr>
        <w:spacing w:line="360" w:lineRule="auto"/>
        <w:ind w:left="720" w:hanging="720"/>
        <w:jc w:val="both"/>
        <w:rPr>
          <w:rFonts w:cs="Arial"/>
        </w:rPr>
      </w:pPr>
    </w:p>
    <w:p w14:paraId="21501B8B" w14:textId="568D4FE0" w:rsidR="00B30239" w:rsidRDefault="00B30239" w:rsidP="009C07B7">
      <w:pPr>
        <w:spacing w:line="360" w:lineRule="auto"/>
        <w:ind w:left="720" w:hanging="720"/>
        <w:jc w:val="both"/>
        <w:rPr>
          <w:rFonts w:cs="Arial"/>
          <w:i/>
        </w:rPr>
      </w:pPr>
      <w:r>
        <w:rPr>
          <w:rFonts w:cs="Arial"/>
        </w:rPr>
        <w:tab/>
      </w:r>
      <w:r>
        <w:rPr>
          <w:rFonts w:cs="Arial"/>
        </w:rPr>
        <w:tab/>
        <w:t>“</w:t>
      </w:r>
      <w:r>
        <w:rPr>
          <w:rFonts w:cs="Arial"/>
          <w:i/>
        </w:rPr>
        <w:t>The percentage mentioned in section 3(2) is-</w:t>
      </w:r>
    </w:p>
    <w:p w14:paraId="6A3BD887" w14:textId="1893B2F8" w:rsidR="00B30239" w:rsidRDefault="00B30239" w:rsidP="009C07B7">
      <w:pPr>
        <w:spacing w:line="360" w:lineRule="auto"/>
        <w:ind w:left="2160"/>
        <w:jc w:val="both"/>
        <w:rPr>
          <w:rFonts w:cs="Arial"/>
        </w:rPr>
      </w:pPr>
      <w:r>
        <w:rPr>
          <w:rFonts w:cs="Arial"/>
          <w:i/>
        </w:rPr>
        <w:t>0.5 + [earnings before interest and taxes</w:t>
      </w:r>
      <w:proofErr w:type="gramStart"/>
      <w:r>
        <w:rPr>
          <w:rFonts w:cs="Arial"/>
          <w:i/>
        </w:rPr>
        <w:t>/(</w:t>
      </w:r>
      <w:proofErr w:type="gramEnd"/>
      <w:r>
        <w:rPr>
          <w:rFonts w:cs="Arial"/>
          <w:i/>
        </w:rPr>
        <w:t>gross sales in respect of unrefined mineral resources x 9)] x 100”</w:t>
      </w:r>
    </w:p>
    <w:p w14:paraId="7E9D9745" w14:textId="77777777" w:rsidR="00B30239" w:rsidRDefault="00B30239" w:rsidP="009C07B7">
      <w:pPr>
        <w:spacing w:line="360" w:lineRule="auto"/>
        <w:ind w:left="720" w:hanging="720"/>
        <w:jc w:val="both"/>
        <w:rPr>
          <w:rFonts w:cs="Arial"/>
        </w:rPr>
      </w:pPr>
    </w:p>
    <w:p w14:paraId="626F58C2" w14:textId="17ADE409" w:rsidR="00501292" w:rsidRDefault="00543FCA" w:rsidP="009C07B7">
      <w:pPr>
        <w:spacing w:line="360" w:lineRule="auto"/>
        <w:ind w:left="720" w:hanging="720"/>
        <w:jc w:val="both"/>
        <w:rPr>
          <w:rFonts w:cs="Arial"/>
        </w:rPr>
      </w:pPr>
      <w:r>
        <w:rPr>
          <w:rFonts w:cs="Arial"/>
        </w:rPr>
        <w:t>[</w:t>
      </w:r>
      <w:r w:rsidR="00172224">
        <w:rPr>
          <w:rFonts w:cs="Arial"/>
        </w:rPr>
        <w:t>18</w:t>
      </w:r>
      <w:r>
        <w:rPr>
          <w:rFonts w:cs="Arial"/>
        </w:rPr>
        <w:t>]</w:t>
      </w:r>
      <w:r>
        <w:rPr>
          <w:rFonts w:cs="Arial"/>
        </w:rPr>
        <w:tab/>
        <w:t>The debate related</w:t>
      </w:r>
      <w:r w:rsidR="00B30239">
        <w:rPr>
          <w:rFonts w:cs="Arial"/>
        </w:rPr>
        <w:t xml:space="preserve"> to the words “</w:t>
      </w:r>
      <w:r w:rsidR="00B30239">
        <w:rPr>
          <w:rFonts w:cs="Arial"/>
          <w:i/>
        </w:rPr>
        <w:t>mineral resources”</w:t>
      </w:r>
      <w:r w:rsidR="00501292">
        <w:rPr>
          <w:rFonts w:cs="Arial"/>
        </w:rPr>
        <w:t>. The applicant contended that those words</w:t>
      </w:r>
      <w:r>
        <w:rPr>
          <w:rFonts w:cs="Arial"/>
        </w:rPr>
        <w:t xml:space="preserve"> clearly indicated</w:t>
      </w:r>
      <w:r w:rsidR="00501292">
        <w:rPr>
          <w:rFonts w:cs="Arial"/>
        </w:rPr>
        <w:t xml:space="preserve"> the plural</w:t>
      </w:r>
      <w:r w:rsidR="00A9310E">
        <w:rPr>
          <w:rFonts w:cs="Arial"/>
        </w:rPr>
        <w:t xml:space="preserve"> form of the </w:t>
      </w:r>
      <w:r w:rsidR="00A9310E">
        <w:rPr>
          <w:rFonts w:cs="Arial"/>
        </w:rPr>
        <w:lastRenderedPageBreak/>
        <w:t>concept</w:t>
      </w:r>
      <w:r w:rsidR="00501292">
        <w:rPr>
          <w:rFonts w:cs="Arial"/>
        </w:rPr>
        <w:t>. On the other hand, the respondent contended that</w:t>
      </w:r>
      <w:r>
        <w:rPr>
          <w:rFonts w:cs="Arial"/>
        </w:rPr>
        <w:t xml:space="preserve"> it should be considered to be a reference to</w:t>
      </w:r>
      <w:r w:rsidR="00501292">
        <w:rPr>
          <w:rFonts w:cs="Arial"/>
        </w:rPr>
        <w:t xml:space="preserve"> the singular</w:t>
      </w:r>
      <w:r w:rsidR="00FD0BE2">
        <w:rPr>
          <w:rFonts w:cs="Arial"/>
        </w:rPr>
        <w:t xml:space="preserve"> form</w:t>
      </w:r>
      <w:r w:rsidR="00A9310E">
        <w:rPr>
          <w:rFonts w:cs="Arial"/>
        </w:rPr>
        <w:t xml:space="preserve"> of the concept</w:t>
      </w:r>
      <w:r w:rsidR="00501292">
        <w:rPr>
          <w:rFonts w:cs="Arial"/>
        </w:rPr>
        <w:t>.</w:t>
      </w:r>
    </w:p>
    <w:p w14:paraId="310CB154" w14:textId="77777777" w:rsidR="00501292" w:rsidRDefault="00501292" w:rsidP="009C07B7">
      <w:pPr>
        <w:spacing w:line="360" w:lineRule="auto"/>
        <w:ind w:left="720" w:hanging="720"/>
        <w:jc w:val="both"/>
        <w:rPr>
          <w:rFonts w:cs="Arial"/>
        </w:rPr>
      </w:pPr>
    </w:p>
    <w:p w14:paraId="5C9CCBD2" w14:textId="007D29AD" w:rsidR="00855DCD" w:rsidRDefault="00501292" w:rsidP="009C07B7">
      <w:pPr>
        <w:spacing w:line="360" w:lineRule="auto"/>
        <w:ind w:left="720" w:hanging="720"/>
        <w:jc w:val="both"/>
        <w:rPr>
          <w:rFonts w:cs="Arial"/>
        </w:rPr>
      </w:pPr>
      <w:r>
        <w:rPr>
          <w:rFonts w:cs="Arial"/>
        </w:rPr>
        <w:t>[</w:t>
      </w:r>
      <w:r w:rsidR="00172224">
        <w:rPr>
          <w:rFonts w:cs="Arial"/>
        </w:rPr>
        <w:t>19</w:t>
      </w:r>
      <w:r>
        <w:rPr>
          <w:rFonts w:cs="Arial"/>
        </w:rPr>
        <w:t>]</w:t>
      </w:r>
      <w:r>
        <w:rPr>
          <w:rFonts w:cs="Arial"/>
        </w:rPr>
        <w:tab/>
      </w:r>
      <w:r w:rsidR="00917598">
        <w:rPr>
          <w:rFonts w:cs="Arial"/>
        </w:rPr>
        <w:t xml:space="preserve">The applicant </w:t>
      </w:r>
      <w:r w:rsidR="00A9310E">
        <w:rPr>
          <w:rFonts w:cs="Arial"/>
        </w:rPr>
        <w:t xml:space="preserve">further </w:t>
      </w:r>
      <w:r w:rsidR="00917598">
        <w:rPr>
          <w:rFonts w:cs="Arial"/>
        </w:rPr>
        <w:t xml:space="preserve">contended that in the context of the text of that section, it explicitly deploys the plural form of the operative concept: </w:t>
      </w:r>
      <w:r w:rsidR="00917598">
        <w:rPr>
          <w:rFonts w:cs="Arial"/>
          <w:i/>
        </w:rPr>
        <w:t>unrefined mineral resources.</w:t>
      </w:r>
      <w:r w:rsidR="0073102A">
        <w:rPr>
          <w:rFonts w:cs="Arial"/>
        </w:rPr>
        <w:t xml:space="preserve"> </w:t>
      </w:r>
      <w:r w:rsidR="00980E39">
        <w:rPr>
          <w:rFonts w:cs="Arial"/>
        </w:rPr>
        <w:t>In</w:t>
      </w:r>
      <w:r w:rsidR="00FD0BE2">
        <w:rPr>
          <w:rFonts w:cs="Arial"/>
        </w:rPr>
        <w:t xml:space="preserve"> the </w:t>
      </w:r>
      <w:r w:rsidR="00980E39">
        <w:rPr>
          <w:rFonts w:cs="Arial"/>
        </w:rPr>
        <w:t>statutory context of the Act</w:t>
      </w:r>
      <w:r w:rsidR="00FD0BE2">
        <w:rPr>
          <w:rFonts w:cs="Arial"/>
        </w:rPr>
        <w:t>,</w:t>
      </w:r>
      <w:r w:rsidR="00980E39">
        <w:rPr>
          <w:rFonts w:cs="Arial"/>
        </w:rPr>
        <w:t xml:space="preserve"> there were </w:t>
      </w:r>
      <w:r w:rsidR="00FD0BE2">
        <w:rPr>
          <w:rFonts w:cs="Arial"/>
        </w:rPr>
        <w:t xml:space="preserve">also </w:t>
      </w:r>
      <w:r w:rsidR="00980E39">
        <w:rPr>
          <w:rFonts w:cs="Arial"/>
        </w:rPr>
        <w:t>references in other provisions to a mineral resource or an undefined mineral resource</w:t>
      </w:r>
      <w:r w:rsidR="00FD0BE2">
        <w:rPr>
          <w:rFonts w:cs="Arial"/>
        </w:rPr>
        <w:t>. Those were provisions</w:t>
      </w:r>
      <w:r w:rsidR="00A9310E">
        <w:rPr>
          <w:rFonts w:cs="Arial"/>
        </w:rPr>
        <w:t xml:space="preserve"> that</w:t>
      </w:r>
      <w:r w:rsidR="00FD0BE2">
        <w:rPr>
          <w:rFonts w:cs="Arial"/>
        </w:rPr>
        <w:t xml:space="preserve"> had a reference to the</w:t>
      </w:r>
      <w:r w:rsidR="00980E39">
        <w:rPr>
          <w:rFonts w:cs="Arial"/>
        </w:rPr>
        <w:t xml:space="preserve"> singular form.</w:t>
      </w:r>
    </w:p>
    <w:p w14:paraId="28C5D4DB" w14:textId="6567F6C7" w:rsidR="00980E39" w:rsidRDefault="00980E39" w:rsidP="009C07B7">
      <w:pPr>
        <w:spacing w:line="360" w:lineRule="auto"/>
        <w:ind w:left="720" w:hanging="720"/>
        <w:jc w:val="both"/>
        <w:rPr>
          <w:rFonts w:cs="Arial"/>
        </w:rPr>
      </w:pPr>
    </w:p>
    <w:p w14:paraId="60731525" w14:textId="2E1312D7" w:rsidR="00980E39" w:rsidRDefault="00980E39" w:rsidP="009C07B7">
      <w:pPr>
        <w:spacing w:line="360" w:lineRule="auto"/>
        <w:ind w:left="720" w:hanging="720"/>
        <w:jc w:val="both"/>
        <w:rPr>
          <w:rFonts w:cs="Arial"/>
        </w:rPr>
      </w:pPr>
      <w:r>
        <w:rPr>
          <w:rFonts w:cs="Arial"/>
        </w:rPr>
        <w:t>[</w:t>
      </w:r>
      <w:r w:rsidR="00172224">
        <w:rPr>
          <w:rFonts w:cs="Arial"/>
        </w:rPr>
        <w:t>20</w:t>
      </w:r>
      <w:r>
        <w:rPr>
          <w:rFonts w:cs="Arial"/>
        </w:rPr>
        <w:t>]</w:t>
      </w:r>
      <w:r>
        <w:rPr>
          <w:rFonts w:cs="Arial"/>
        </w:rPr>
        <w:tab/>
      </w:r>
      <w:r w:rsidR="00446325">
        <w:rPr>
          <w:rFonts w:cs="Arial"/>
        </w:rPr>
        <w:t>T</w:t>
      </w:r>
      <w:r>
        <w:rPr>
          <w:rFonts w:cs="Arial"/>
        </w:rPr>
        <w:t>he respondent</w:t>
      </w:r>
      <w:r w:rsidR="00A9310E">
        <w:rPr>
          <w:rFonts w:cs="Arial"/>
        </w:rPr>
        <w:t xml:space="preserve"> </w:t>
      </w:r>
      <w:r w:rsidR="00446325">
        <w:rPr>
          <w:rFonts w:cs="Arial"/>
        </w:rPr>
        <w:t>contented</w:t>
      </w:r>
      <w:r>
        <w:rPr>
          <w:rFonts w:cs="Arial"/>
        </w:rPr>
        <w:t xml:space="preserve"> that</w:t>
      </w:r>
      <w:r w:rsidR="00446325">
        <w:rPr>
          <w:rFonts w:cs="Arial"/>
        </w:rPr>
        <w:t>,</w:t>
      </w:r>
      <w:r>
        <w:rPr>
          <w:rFonts w:cs="Arial"/>
        </w:rPr>
        <w:t xml:space="preserve"> in the statutory context of this Act, </w:t>
      </w:r>
      <w:r w:rsidR="00446325">
        <w:rPr>
          <w:rFonts w:cs="Arial"/>
        </w:rPr>
        <w:t>the content of section 4(2) related to the singular form of mineral resource</w:t>
      </w:r>
      <w:r w:rsidR="00FD0BE2">
        <w:rPr>
          <w:rFonts w:cs="Arial"/>
        </w:rPr>
        <w:t xml:space="preserve"> in view of the use of the singular form in other sections of the Act</w:t>
      </w:r>
      <w:r w:rsidR="00446325">
        <w:rPr>
          <w:rFonts w:cs="Arial"/>
        </w:rPr>
        <w:t xml:space="preserve">. </w:t>
      </w:r>
      <w:r w:rsidR="00FD0BE2">
        <w:rPr>
          <w:rFonts w:cs="Arial"/>
        </w:rPr>
        <w:t xml:space="preserve">Thus, section 4(2) of the Act required the calculation </w:t>
      </w:r>
      <w:r w:rsidR="00446325">
        <w:rPr>
          <w:rFonts w:cs="Arial"/>
        </w:rPr>
        <w:t>to be performed by adopting a mineral</w:t>
      </w:r>
      <w:r w:rsidR="00A9310E">
        <w:rPr>
          <w:rFonts w:cs="Arial"/>
        </w:rPr>
        <w:t xml:space="preserve"> - by - mineral, or category</w:t>
      </w:r>
      <w:r w:rsidR="00446325">
        <w:rPr>
          <w:rFonts w:cs="Arial"/>
        </w:rPr>
        <w:t xml:space="preserve"> </w:t>
      </w:r>
      <w:r w:rsidR="00A9310E">
        <w:rPr>
          <w:rFonts w:cs="Arial"/>
        </w:rPr>
        <w:t>–</w:t>
      </w:r>
      <w:r w:rsidR="00446325">
        <w:rPr>
          <w:rFonts w:cs="Arial"/>
        </w:rPr>
        <w:t xml:space="preserve"> by</w:t>
      </w:r>
      <w:r w:rsidR="00A9310E">
        <w:rPr>
          <w:rFonts w:cs="Arial"/>
        </w:rPr>
        <w:t xml:space="preserve"> -</w:t>
      </w:r>
      <w:r w:rsidR="00446325">
        <w:rPr>
          <w:rFonts w:cs="Arial"/>
        </w:rPr>
        <w:t xml:space="preserve"> category approach. </w:t>
      </w:r>
      <w:r w:rsidR="00FD0BE2">
        <w:rPr>
          <w:rFonts w:cs="Arial"/>
        </w:rPr>
        <w:t>In applying this methodology, t</w:t>
      </w:r>
      <w:r w:rsidR="00446325">
        <w:rPr>
          <w:rFonts w:cs="Arial"/>
        </w:rPr>
        <w:t>he respondent su</w:t>
      </w:r>
      <w:r w:rsidR="00FD0BE2">
        <w:rPr>
          <w:rFonts w:cs="Arial"/>
        </w:rPr>
        <w:t>bmitted that its contention found support in</w:t>
      </w:r>
      <w:r w:rsidR="00446325">
        <w:rPr>
          <w:rFonts w:cs="Arial"/>
        </w:rPr>
        <w:t xml:space="preserve"> the definition</w:t>
      </w:r>
      <w:r w:rsidR="00B55E2C" w:rsidRPr="00B55E2C">
        <w:rPr>
          <w:rFonts w:cs="Arial"/>
        </w:rPr>
        <w:t xml:space="preserve"> </w:t>
      </w:r>
      <w:r w:rsidR="00B55E2C">
        <w:rPr>
          <w:rFonts w:cs="Arial"/>
        </w:rPr>
        <w:t>of “</w:t>
      </w:r>
      <w:r w:rsidR="00B55E2C">
        <w:rPr>
          <w:rFonts w:cs="Arial"/>
          <w:i/>
        </w:rPr>
        <w:t>mineral resource”</w:t>
      </w:r>
      <w:r w:rsidR="00446325">
        <w:rPr>
          <w:rFonts w:cs="Arial"/>
        </w:rPr>
        <w:t xml:space="preserve"> in the </w:t>
      </w:r>
      <w:r w:rsidR="00B55E2C">
        <w:rPr>
          <w:rFonts w:cs="Arial"/>
        </w:rPr>
        <w:t>Act, and</w:t>
      </w:r>
      <w:r w:rsidR="00FD0BE2">
        <w:rPr>
          <w:rFonts w:cs="Arial"/>
        </w:rPr>
        <w:t xml:space="preserve"> with</w:t>
      </w:r>
      <w:r w:rsidR="00B55E2C">
        <w:rPr>
          <w:rFonts w:cs="Arial"/>
        </w:rPr>
        <w:t xml:space="preserve"> further</w:t>
      </w:r>
      <w:r w:rsidR="00FD0BE2">
        <w:rPr>
          <w:rFonts w:cs="Arial"/>
        </w:rPr>
        <w:t xml:space="preserve"> regard</w:t>
      </w:r>
      <w:r w:rsidR="00B55E2C">
        <w:rPr>
          <w:rFonts w:cs="Arial"/>
        </w:rPr>
        <w:t xml:space="preserve"> to other secti</w:t>
      </w:r>
      <w:r w:rsidR="00FD0BE2">
        <w:rPr>
          <w:rFonts w:cs="Arial"/>
        </w:rPr>
        <w:t>ons in the Act where reference wa</w:t>
      </w:r>
      <w:r w:rsidR="00B55E2C">
        <w:rPr>
          <w:rFonts w:cs="Arial"/>
        </w:rPr>
        <w:t>s to “</w:t>
      </w:r>
      <w:r w:rsidR="00B55E2C">
        <w:rPr>
          <w:rFonts w:cs="Arial"/>
          <w:i/>
        </w:rPr>
        <w:t>mineral resource”, i.e.</w:t>
      </w:r>
      <w:r w:rsidR="00B55E2C">
        <w:rPr>
          <w:rFonts w:cs="Arial"/>
        </w:rPr>
        <w:t xml:space="preserve"> in the singular</w:t>
      </w:r>
      <w:r w:rsidR="00FD0BE2">
        <w:rPr>
          <w:rFonts w:cs="Arial"/>
        </w:rPr>
        <w:t xml:space="preserve"> form. </w:t>
      </w:r>
      <w:r w:rsidR="004B7676">
        <w:rPr>
          <w:rFonts w:cs="Arial"/>
        </w:rPr>
        <w:t>In that regard, it was submitted that s</w:t>
      </w:r>
      <w:r w:rsidR="000C05B5">
        <w:rPr>
          <w:rFonts w:cs="Arial"/>
        </w:rPr>
        <w:t>ections 2 and 3 of the Act</w:t>
      </w:r>
      <w:r w:rsidR="00FD0BE2">
        <w:rPr>
          <w:rFonts w:cs="Arial"/>
        </w:rPr>
        <w:t xml:space="preserve"> </w:t>
      </w:r>
      <w:r w:rsidR="004B7676">
        <w:rPr>
          <w:rFonts w:cs="Arial"/>
        </w:rPr>
        <w:t>supported the contention</w:t>
      </w:r>
      <w:r w:rsidR="00A9310E">
        <w:rPr>
          <w:rFonts w:cs="Arial"/>
        </w:rPr>
        <w:t xml:space="preserve"> of the respondent that the singular form was intended</w:t>
      </w:r>
      <w:r w:rsidR="004B7676">
        <w:rPr>
          <w:rFonts w:cs="Arial"/>
        </w:rPr>
        <w:t>.</w:t>
      </w:r>
      <w:r w:rsidR="000C05B5">
        <w:rPr>
          <w:rFonts w:cs="Arial"/>
        </w:rPr>
        <w:t xml:space="preserve"> The respondent further con</w:t>
      </w:r>
      <w:r w:rsidR="004B7676">
        <w:rPr>
          <w:rFonts w:cs="Arial"/>
        </w:rPr>
        <w:t>tended that nowhere in the Act wa</w:t>
      </w:r>
      <w:r w:rsidR="000C05B5">
        <w:rPr>
          <w:rFonts w:cs="Arial"/>
        </w:rPr>
        <w:t xml:space="preserve">s reference made to </w:t>
      </w:r>
      <w:r w:rsidR="000C05B5" w:rsidRPr="004B7676">
        <w:rPr>
          <w:rFonts w:cs="Arial"/>
          <w:i/>
        </w:rPr>
        <w:t>mineral source</w:t>
      </w:r>
      <w:r w:rsidR="000C05B5">
        <w:rPr>
          <w:rFonts w:cs="Arial"/>
        </w:rPr>
        <w:t xml:space="preserve"> in t</w:t>
      </w:r>
      <w:r w:rsidR="00A9310E">
        <w:rPr>
          <w:rFonts w:cs="Arial"/>
        </w:rPr>
        <w:t>he plural form. That approach</w:t>
      </w:r>
      <w:r w:rsidR="000C05B5">
        <w:rPr>
          <w:rFonts w:cs="Arial"/>
        </w:rPr>
        <w:t xml:space="preserve"> ignores the reference in section 4 of the Act where the calculation of royalty is </w:t>
      </w:r>
      <w:r w:rsidR="000F6EB3">
        <w:rPr>
          <w:rFonts w:cs="Arial"/>
        </w:rPr>
        <w:t xml:space="preserve">to be calculated </w:t>
      </w:r>
      <w:r w:rsidR="000C05B5">
        <w:rPr>
          <w:rFonts w:cs="Arial"/>
        </w:rPr>
        <w:t>with reference to “</w:t>
      </w:r>
      <w:r w:rsidR="000C05B5">
        <w:rPr>
          <w:rFonts w:cs="Arial"/>
          <w:i/>
        </w:rPr>
        <w:t>mineral resources”,</w:t>
      </w:r>
      <w:r w:rsidR="000C05B5">
        <w:rPr>
          <w:rFonts w:cs="Arial"/>
        </w:rPr>
        <w:t xml:space="preserve"> </w:t>
      </w:r>
      <w:r w:rsidR="000C05B5">
        <w:rPr>
          <w:rFonts w:cs="Arial"/>
          <w:i/>
        </w:rPr>
        <w:t>i.e.</w:t>
      </w:r>
      <w:r w:rsidR="000C05B5">
        <w:rPr>
          <w:rFonts w:cs="Arial"/>
        </w:rPr>
        <w:t xml:space="preserve"> </w:t>
      </w:r>
      <w:r w:rsidR="00A9310E">
        <w:rPr>
          <w:rFonts w:cs="Arial"/>
        </w:rPr>
        <w:t xml:space="preserve">the concept </w:t>
      </w:r>
      <w:r w:rsidR="000C05B5">
        <w:rPr>
          <w:rFonts w:cs="Arial"/>
        </w:rPr>
        <w:t>in the plural form.</w:t>
      </w:r>
      <w:r w:rsidR="000F6EB3">
        <w:rPr>
          <w:rFonts w:cs="Arial"/>
        </w:rPr>
        <w:t xml:space="preserve"> In both subsections (1) and (2) </w:t>
      </w:r>
      <w:r w:rsidR="004B7676">
        <w:rPr>
          <w:rFonts w:cs="Arial"/>
        </w:rPr>
        <w:t>of section 4, the calculations we</w:t>
      </w:r>
      <w:r w:rsidR="000F6EB3">
        <w:rPr>
          <w:rFonts w:cs="Arial"/>
        </w:rPr>
        <w:t>re to be made with reference to “</w:t>
      </w:r>
      <w:r w:rsidR="000F6EB3">
        <w:rPr>
          <w:rFonts w:cs="Arial"/>
          <w:i/>
        </w:rPr>
        <w:t>mineral resources”</w:t>
      </w:r>
      <w:r w:rsidR="000F6EB3">
        <w:rPr>
          <w:rFonts w:cs="Arial"/>
        </w:rPr>
        <w:t xml:space="preserve"> in the plural form. A similar reference to the plural form of </w:t>
      </w:r>
      <w:r w:rsidR="00A9310E">
        <w:rPr>
          <w:rFonts w:cs="Arial"/>
        </w:rPr>
        <w:t xml:space="preserve">the concept </w:t>
      </w:r>
      <w:r w:rsidR="000F6EB3" w:rsidRPr="004B7676">
        <w:rPr>
          <w:rFonts w:cs="Arial"/>
          <w:i/>
        </w:rPr>
        <w:t>mineral resources</w:t>
      </w:r>
      <w:r w:rsidR="000F6EB3">
        <w:rPr>
          <w:rFonts w:cs="Arial"/>
        </w:rPr>
        <w:t xml:space="preserve"> is</w:t>
      </w:r>
      <w:r w:rsidR="004B7676">
        <w:rPr>
          <w:rFonts w:cs="Arial"/>
        </w:rPr>
        <w:t xml:space="preserve"> to be</w:t>
      </w:r>
      <w:r w:rsidR="000F6EB3">
        <w:rPr>
          <w:rFonts w:cs="Arial"/>
        </w:rPr>
        <w:t xml:space="preserve"> found in the provisions of sections 5(1) a</w:t>
      </w:r>
      <w:r w:rsidR="00A9310E">
        <w:rPr>
          <w:rFonts w:cs="Arial"/>
        </w:rPr>
        <w:t>nd (2) of the Act. Where</w:t>
      </w:r>
      <w:r w:rsidR="000F6EB3">
        <w:rPr>
          <w:rFonts w:cs="Arial"/>
        </w:rPr>
        <w:t xml:space="preserve"> there is a general reference to the singular for</w:t>
      </w:r>
      <w:r w:rsidR="00216E8C">
        <w:rPr>
          <w:rFonts w:cs="Arial"/>
        </w:rPr>
        <w:t>m of mineral “resource”, there are</w:t>
      </w:r>
      <w:r w:rsidR="004B7676">
        <w:rPr>
          <w:rFonts w:cs="Arial"/>
        </w:rPr>
        <w:t xml:space="preserve"> also</w:t>
      </w:r>
      <w:r w:rsidR="00216E8C">
        <w:rPr>
          <w:rFonts w:cs="Arial"/>
        </w:rPr>
        <w:t xml:space="preserve"> specific references elsewhere in the Act to the plural form.</w:t>
      </w:r>
    </w:p>
    <w:p w14:paraId="7D6E766B" w14:textId="1D545B97" w:rsidR="00216E8C" w:rsidRDefault="00216E8C" w:rsidP="009C07B7">
      <w:pPr>
        <w:spacing w:line="360" w:lineRule="auto"/>
        <w:ind w:left="720" w:hanging="720"/>
        <w:jc w:val="both"/>
        <w:rPr>
          <w:rFonts w:cs="Arial"/>
        </w:rPr>
      </w:pPr>
    </w:p>
    <w:p w14:paraId="3F4AC88E" w14:textId="06EBF0C7" w:rsidR="002867D5" w:rsidRDefault="00216E8C" w:rsidP="009C07B7">
      <w:pPr>
        <w:spacing w:line="360" w:lineRule="auto"/>
        <w:ind w:left="720" w:hanging="720"/>
        <w:jc w:val="both"/>
        <w:rPr>
          <w:rFonts w:cs="Arial"/>
        </w:rPr>
      </w:pPr>
      <w:r>
        <w:rPr>
          <w:rFonts w:cs="Arial"/>
        </w:rPr>
        <w:lastRenderedPageBreak/>
        <w:t>[</w:t>
      </w:r>
      <w:r w:rsidR="00172224">
        <w:rPr>
          <w:rFonts w:cs="Arial"/>
        </w:rPr>
        <w:t>21</w:t>
      </w:r>
      <w:r>
        <w:rPr>
          <w:rFonts w:cs="Arial"/>
        </w:rPr>
        <w:t>]</w:t>
      </w:r>
      <w:r>
        <w:rPr>
          <w:rFonts w:cs="Arial"/>
        </w:rPr>
        <w:tab/>
      </w:r>
      <w:r w:rsidR="004D1A83">
        <w:rPr>
          <w:rFonts w:cs="Arial"/>
        </w:rPr>
        <w:t>The canons of construction of interpretation are trite.</w:t>
      </w:r>
      <w:r w:rsidR="004D1A83">
        <w:rPr>
          <w:rStyle w:val="FootnoteReference"/>
          <w:rFonts w:cs="Arial"/>
        </w:rPr>
        <w:footnoteReference w:id="7"/>
      </w:r>
      <w:r w:rsidR="00A86C75">
        <w:rPr>
          <w:rFonts w:cs="Arial"/>
        </w:rPr>
        <w:t xml:space="preserve"> Primarily, the language used in the context of the provision or clause is the starting point. That is to be considered in the context of the document as a whole and applying the ordinary rules of grammar and syntax.</w:t>
      </w:r>
      <w:r w:rsidR="00523E23">
        <w:rPr>
          <w:rFonts w:cs="Arial"/>
        </w:rPr>
        <w:t xml:space="preserve"> A holistic approach is to be undertaken, where simultaneously the text, context and purpose is </w:t>
      </w:r>
      <w:r w:rsidR="00A9310E">
        <w:rPr>
          <w:rFonts w:cs="Arial"/>
        </w:rPr>
        <w:t xml:space="preserve">to be </w:t>
      </w:r>
      <w:r w:rsidR="00523E23">
        <w:rPr>
          <w:rFonts w:cs="Arial"/>
        </w:rPr>
        <w:t>considered.</w:t>
      </w:r>
      <w:r w:rsidR="00523E23">
        <w:rPr>
          <w:rStyle w:val="FootnoteReference"/>
          <w:rFonts w:cs="Arial"/>
        </w:rPr>
        <w:footnoteReference w:id="8"/>
      </w:r>
    </w:p>
    <w:p w14:paraId="6F42938A" w14:textId="49586809" w:rsidR="009B465B" w:rsidRDefault="009B465B" w:rsidP="009C07B7">
      <w:pPr>
        <w:spacing w:line="360" w:lineRule="auto"/>
        <w:ind w:left="720" w:hanging="720"/>
        <w:jc w:val="both"/>
        <w:rPr>
          <w:rFonts w:cs="Arial"/>
        </w:rPr>
      </w:pPr>
    </w:p>
    <w:p w14:paraId="5F9C0A78" w14:textId="1DF61BCB" w:rsidR="009B465B" w:rsidRPr="007D0476" w:rsidRDefault="009B465B" w:rsidP="009C07B7">
      <w:pPr>
        <w:spacing w:line="360" w:lineRule="auto"/>
        <w:ind w:left="720" w:hanging="720"/>
        <w:jc w:val="both"/>
        <w:rPr>
          <w:rFonts w:cs="Arial"/>
        </w:rPr>
      </w:pPr>
      <w:r>
        <w:rPr>
          <w:rFonts w:cs="Arial"/>
        </w:rPr>
        <w:t>[</w:t>
      </w:r>
      <w:r w:rsidR="00172224">
        <w:rPr>
          <w:rFonts w:cs="Arial"/>
        </w:rPr>
        <w:t>22</w:t>
      </w:r>
      <w:r>
        <w:rPr>
          <w:rFonts w:cs="Arial"/>
        </w:rPr>
        <w:t>]</w:t>
      </w:r>
      <w:r>
        <w:rPr>
          <w:rFonts w:cs="Arial"/>
        </w:rPr>
        <w:tab/>
        <w:t xml:space="preserve">Applying the approach explained in </w:t>
      </w:r>
      <w:r>
        <w:rPr>
          <w:rFonts w:cs="Arial"/>
          <w:i/>
        </w:rPr>
        <w:t>Auckland Park Seminary, supra,</w:t>
      </w:r>
      <w:r>
        <w:rPr>
          <w:rFonts w:cs="Arial"/>
        </w:rPr>
        <w:t xml:space="preserve"> no absurdity results in following the plural form of </w:t>
      </w:r>
      <w:r>
        <w:rPr>
          <w:rFonts w:cs="Arial"/>
          <w:i/>
        </w:rPr>
        <w:t>mineral resources</w:t>
      </w:r>
      <w:r>
        <w:rPr>
          <w:rFonts w:cs="Arial"/>
        </w:rPr>
        <w:t xml:space="preserve"> in section 4(2) of the Act. In the context of the Act as a whole, the legislature did apply the singular form of </w:t>
      </w:r>
      <w:r w:rsidRPr="004B7676">
        <w:rPr>
          <w:rFonts w:cs="Arial"/>
          <w:i/>
        </w:rPr>
        <w:t>mineral resources</w:t>
      </w:r>
      <w:r>
        <w:rPr>
          <w:rFonts w:cs="Arial"/>
        </w:rPr>
        <w:t xml:space="preserve"> where so intended, e.g. in sections 1, 2, 3, 6 and 6A of the Act.</w:t>
      </w:r>
      <w:r w:rsidR="00660FEA">
        <w:rPr>
          <w:rFonts w:cs="Arial"/>
        </w:rPr>
        <w:t xml:space="preserve"> It follows that the change in the meaning of the wording in section 4(2) of the Act was intentional.</w:t>
      </w:r>
      <w:r w:rsidR="00660FEA">
        <w:rPr>
          <w:rStyle w:val="FootnoteReference"/>
          <w:rFonts w:cs="Arial"/>
        </w:rPr>
        <w:footnoteReference w:id="9"/>
      </w:r>
      <w:r w:rsidR="002867D5">
        <w:rPr>
          <w:rFonts w:cs="Arial"/>
        </w:rPr>
        <w:t xml:space="preserve"> To hold otherwise, would defeat</w:t>
      </w:r>
      <w:r w:rsidR="00A9310E">
        <w:rPr>
          <w:rFonts w:cs="Arial"/>
        </w:rPr>
        <w:t xml:space="preserve"> the</w:t>
      </w:r>
      <w:r w:rsidR="002867D5">
        <w:rPr>
          <w:rFonts w:cs="Arial"/>
        </w:rPr>
        <w:t xml:space="preserve"> purpose of the rules of interpretation. It would nullify the principle of considering the ordinary language, grammar and syntax used in in the section, in particular where no absurd</w:t>
      </w:r>
      <w:r w:rsidR="007D0476">
        <w:rPr>
          <w:rFonts w:cs="Arial"/>
        </w:rPr>
        <w:t>ity would follow by applying that</w:t>
      </w:r>
      <w:r w:rsidR="002867D5">
        <w:rPr>
          <w:rFonts w:cs="Arial"/>
        </w:rPr>
        <w:t xml:space="preserve"> principle</w:t>
      </w:r>
      <w:r w:rsidR="007D0476">
        <w:rPr>
          <w:rFonts w:cs="Arial"/>
        </w:rPr>
        <w:t>.</w:t>
      </w:r>
    </w:p>
    <w:p w14:paraId="4973EB1E" w14:textId="62DDF934" w:rsidR="00660FEA" w:rsidRDefault="00660FEA" w:rsidP="009C07B7">
      <w:pPr>
        <w:spacing w:line="360" w:lineRule="auto"/>
        <w:ind w:left="720" w:hanging="720"/>
        <w:jc w:val="both"/>
        <w:rPr>
          <w:rFonts w:cs="Arial"/>
        </w:rPr>
      </w:pPr>
    </w:p>
    <w:p w14:paraId="78AE2185" w14:textId="43F992C5" w:rsidR="00660FEA" w:rsidRDefault="00660FEA" w:rsidP="009C07B7">
      <w:pPr>
        <w:spacing w:line="360" w:lineRule="auto"/>
        <w:ind w:left="720" w:hanging="720"/>
        <w:jc w:val="both"/>
        <w:rPr>
          <w:rFonts w:cs="Arial"/>
        </w:rPr>
      </w:pPr>
      <w:r>
        <w:rPr>
          <w:rFonts w:cs="Arial"/>
        </w:rPr>
        <w:t>[</w:t>
      </w:r>
      <w:r w:rsidR="00172224">
        <w:rPr>
          <w:rFonts w:cs="Arial"/>
        </w:rPr>
        <w:t>23</w:t>
      </w:r>
      <w:r>
        <w:rPr>
          <w:rFonts w:cs="Arial"/>
        </w:rPr>
        <w:t>]</w:t>
      </w:r>
      <w:r>
        <w:rPr>
          <w:rFonts w:cs="Arial"/>
        </w:rPr>
        <w:tab/>
      </w:r>
      <w:r w:rsidR="001F7EB8">
        <w:rPr>
          <w:rFonts w:cs="Arial"/>
        </w:rPr>
        <w:t xml:space="preserve">The applicant submitted that a compelling rational for the difference between </w:t>
      </w:r>
      <w:r w:rsidR="00A9310E">
        <w:rPr>
          <w:rFonts w:cs="Arial"/>
        </w:rPr>
        <w:t xml:space="preserve">the use of </w:t>
      </w:r>
      <w:r w:rsidR="001F7EB8">
        <w:rPr>
          <w:rFonts w:cs="Arial"/>
        </w:rPr>
        <w:t xml:space="preserve">the singular and plural forms of the concept of </w:t>
      </w:r>
      <w:r w:rsidR="001F7EB8" w:rsidRPr="004B7676">
        <w:rPr>
          <w:rFonts w:cs="Arial"/>
          <w:i/>
        </w:rPr>
        <w:t>mineral resource(s)</w:t>
      </w:r>
      <w:r w:rsidR="001F7EB8">
        <w:rPr>
          <w:rFonts w:cs="Arial"/>
        </w:rPr>
        <w:t xml:space="preserve"> can be derived with reference to the various provisions where the use of the concept is found. In</w:t>
      </w:r>
      <w:r w:rsidR="00A9310E">
        <w:rPr>
          <w:rFonts w:cs="Arial"/>
        </w:rPr>
        <w:t xml:space="preserve"> that instance, section 6 </w:t>
      </w:r>
      <w:r w:rsidR="001F7EB8">
        <w:rPr>
          <w:rFonts w:cs="Arial"/>
        </w:rPr>
        <w:t xml:space="preserve">of the Act </w:t>
      </w:r>
      <w:r w:rsidR="00956041">
        <w:rPr>
          <w:rFonts w:cs="Arial"/>
        </w:rPr>
        <w:t>applies the singular form as it requires an individual approach to each mineral resource for the purpose of establishing the tabulated condition of each particular resource in the Schedule to the Act. In contradistinction, the plural form of the concept is used in section</w:t>
      </w:r>
      <w:r w:rsidR="00176E57">
        <w:rPr>
          <w:rFonts w:cs="Arial"/>
        </w:rPr>
        <w:t>s</w:t>
      </w:r>
      <w:r w:rsidR="00956041">
        <w:rPr>
          <w:rFonts w:cs="Arial"/>
        </w:rPr>
        <w:t xml:space="preserve"> 4</w:t>
      </w:r>
      <w:r w:rsidR="00176E57">
        <w:rPr>
          <w:rFonts w:cs="Arial"/>
        </w:rPr>
        <w:t xml:space="preserve"> and 5</w:t>
      </w:r>
      <w:r w:rsidR="00956041">
        <w:rPr>
          <w:rFonts w:cs="Arial"/>
        </w:rPr>
        <w:t xml:space="preserve"> as it i</w:t>
      </w:r>
      <w:r w:rsidR="004B7676">
        <w:rPr>
          <w:rFonts w:cs="Arial"/>
        </w:rPr>
        <w:t>ntended</w:t>
      </w:r>
      <w:r w:rsidR="00956041">
        <w:rPr>
          <w:rFonts w:cs="Arial"/>
        </w:rPr>
        <w:t xml:space="preserve"> to calculate one overall royalty applicable to the extractor of the ore body which may contain multiple minerals mined in a single mining enterprise as part of a single extraction exercise. That </w:t>
      </w:r>
      <w:r w:rsidR="00956041">
        <w:rPr>
          <w:rFonts w:cs="Arial"/>
        </w:rPr>
        <w:lastRenderedPageBreak/>
        <w:t>submission is preferable. Capital and operational expenditure incurred in such exercise may not be practicable in allocating such expenditure to each individual mineral.</w:t>
      </w:r>
    </w:p>
    <w:p w14:paraId="26BFBCFF" w14:textId="77777777" w:rsidR="00A374AE" w:rsidRDefault="00A374AE" w:rsidP="009C07B7">
      <w:pPr>
        <w:spacing w:line="360" w:lineRule="auto"/>
        <w:jc w:val="both"/>
        <w:rPr>
          <w:rFonts w:cs="Arial"/>
        </w:rPr>
      </w:pPr>
    </w:p>
    <w:p w14:paraId="7C8FF9E4" w14:textId="05D38950" w:rsidR="00604BE9" w:rsidRPr="00A374AE" w:rsidRDefault="004B7676" w:rsidP="009C07B7">
      <w:pPr>
        <w:spacing w:line="360" w:lineRule="auto"/>
        <w:ind w:left="720" w:hanging="720"/>
        <w:jc w:val="both"/>
        <w:rPr>
          <w:rFonts w:cs="Arial"/>
        </w:rPr>
      </w:pPr>
      <w:r>
        <w:rPr>
          <w:rFonts w:cs="Arial"/>
        </w:rPr>
        <w:t>[</w:t>
      </w:r>
      <w:r w:rsidR="00172224">
        <w:rPr>
          <w:rFonts w:cs="Arial"/>
        </w:rPr>
        <w:t>24</w:t>
      </w:r>
      <w:r>
        <w:rPr>
          <w:rFonts w:cs="Arial"/>
        </w:rPr>
        <w:t>]</w:t>
      </w:r>
      <w:r>
        <w:rPr>
          <w:rFonts w:cs="Arial"/>
        </w:rPr>
        <w:tab/>
      </w:r>
      <w:r w:rsidR="00A374AE">
        <w:rPr>
          <w:rFonts w:cs="Arial"/>
        </w:rPr>
        <w:t xml:space="preserve">It is to be noted that the reference to </w:t>
      </w:r>
      <w:r w:rsidR="00A374AE">
        <w:rPr>
          <w:rFonts w:cs="Arial"/>
          <w:i/>
        </w:rPr>
        <w:t xml:space="preserve">unrefined mineral </w:t>
      </w:r>
      <w:proofErr w:type="gramStart"/>
      <w:r w:rsidR="00A374AE">
        <w:rPr>
          <w:rFonts w:cs="Arial"/>
          <w:i/>
        </w:rPr>
        <w:t>resources</w:t>
      </w:r>
      <w:r w:rsidR="00604BE9">
        <w:rPr>
          <w:rFonts w:cs="Arial"/>
        </w:rPr>
        <w:t xml:space="preserve">, </w:t>
      </w:r>
      <w:r w:rsidR="00A374AE">
        <w:rPr>
          <w:rFonts w:cs="Arial"/>
        </w:rPr>
        <w:t xml:space="preserve"> clearly</w:t>
      </w:r>
      <w:proofErr w:type="gramEnd"/>
      <w:r w:rsidR="00A374AE">
        <w:rPr>
          <w:rFonts w:cs="Arial"/>
        </w:rPr>
        <w:t xml:space="preserve"> contemplates the non-further processing thereof into separate and distinct mineral</w:t>
      </w:r>
      <w:r w:rsidR="0039275F">
        <w:rPr>
          <w:rFonts w:cs="Arial"/>
        </w:rPr>
        <w:t>s</w:t>
      </w:r>
      <w:r w:rsidR="00A374AE">
        <w:rPr>
          <w:rFonts w:cs="Arial"/>
        </w:rPr>
        <w:t xml:space="preserve"> as</w:t>
      </w:r>
      <w:r w:rsidR="0039275F">
        <w:rPr>
          <w:rFonts w:cs="Arial"/>
        </w:rPr>
        <w:t xml:space="preserve"> to be</w:t>
      </w:r>
      <w:r w:rsidR="007D0476">
        <w:rPr>
          <w:rFonts w:cs="Arial"/>
        </w:rPr>
        <w:t xml:space="preserve"> found in the Schedule to the Act.</w:t>
      </w:r>
    </w:p>
    <w:p w14:paraId="1BD4F144" w14:textId="0FBEC6EA" w:rsidR="00956041" w:rsidRDefault="00956041" w:rsidP="009C07B7">
      <w:pPr>
        <w:spacing w:line="360" w:lineRule="auto"/>
        <w:ind w:left="720" w:hanging="720"/>
        <w:jc w:val="both"/>
        <w:rPr>
          <w:rFonts w:cs="Arial"/>
        </w:rPr>
      </w:pPr>
    </w:p>
    <w:p w14:paraId="2A87D529" w14:textId="255A8C3A" w:rsidR="00956041" w:rsidRDefault="00956041" w:rsidP="009C07B7">
      <w:pPr>
        <w:spacing w:line="360" w:lineRule="auto"/>
        <w:ind w:left="720" w:hanging="720"/>
        <w:jc w:val="both"/>
        <w:rPr>
          <w:rFonts w:cs="Arial"/>
        </w:rPr>
      </w:pPr>
      <w:r>
        <w:rPr>
          <w:rFonts w:cs="Arial"/>
        </w:rPr>
        <w:t>[</w:t>
      </w:r>
      <w:r w:rsidR="00172224">
        <w:rPr>
          <w:rFonts w:cs="Arial"/>
        </w:rPr>
        <w:t>25</w:t>
      </w:r>
      <w:r>
        <w:rPr>
          <w:rFonts w:cs="Arial"/>
        </w:rPr>
        <w:t>]</w:t>
      </w:r>
      <w:r>
        <w:rPr>
          <w:rFonts w:cs="Arial"/>
        </w:rPr>
        <w:tab/>
      </w:r>
      <w:r w:rsidR="006E2C06">
        <w:rPr>
          <w:rFonts w:cs="Arial"/>
        </w:rPr>
        <w:t>The purpose</w:t>
      </w:r>
      <w:r w:rsidR="00B77BBC">
        <w:rPr>
          <w:rStyle w:val="FootnoteReference"/>
          <w:rFonts w:cs="Arial"/>
        </w:rPr>
        <w:footnoteReference w:id="10"/>
      </w:r>
      <w:r w:rsidR="006E2C06">
        <w:rPr>
          <w:rFonts w:cs="Arial"/>
        </w:rPr>
        <w:t xml:space="preserve"> of the accompanying explanatory memorandum</w:t>
      </w:r>
      <w:r w:rsidR="00FA5753">
        <w:rPr>
          <w:rFonts w:cs="Arial"/>
        </w:rPr>
        <w:t xml:space="preserve"> to</w:t>
      </w:r>
      <w:r w:rsidR="007D0476">
        <w:rPr>
          <w:rFonts w:cs="Arial"/>
        </w:rPr>
        <w:t xml:space="preserve"> the Bill</w:t>
      </w:r>
      <w:r w:rsidR="008F72C5">
        <w:rPr>
          <w:rFonts w:cs="Arial"/>
        </w:rPr>
        <w:t>,</w:t>
      </w:r>
      <w:r w:rsidR="006E2C06">
        <w:rPr>
          <w:rFonts w:cs="Arial"/>
        </w:rPr>
        <w:t xml:space="preserve"> was to inform Parliament w</w:t>
      </w:r>
      <w:r w:rsidR="00EC6A8E">
        <w:rPr>
          <w:rFonts w:cs="Arial"/>
        </w:rPr>
        <w:t>hat was intended with the Bill</w:t>
      </w:r>
      <w:r w:rsidR="006E2C06">
        <w:rPr>
          <w:rFonts w:cs="Arial"/>
        </w:rPr>
        <w:t>.</w:t>
      </w:r>
      <w:r w:rsidR="007D0476">
        <w:rPr>
          <w:rFonts w:cs="Arial"/>
        </w:rPr>
        <w:t xml:space="preserve"> In </w:t>
      </w:r>
      <w:r w:rsidR="00770121">
        <w:rPr>
          <w:rFonts w:cs="Arial"/>
        </w:rPr>
        <w:t xml:space="preserve">that regard, the explanatory memorandum explained the policy choice and methodology adopted by Parliament and the approach to per-mineral methodology was specifically rejected. The memorandum stipulated a regime which imposed royalties on an aggregated basis applicable to the </w:t>
      </w:r>
      <w:r w:rsidR="00770121">
        <w:rPr>
          <w:rFonts w:cs="Arial"/>
          <w:i/>
        </w:rPr>
        <w:t>mineral resources</w:t>
      </w:r>
      <w:r w:rsidR="00770121">
        <w:rPr>
          <w:rFonts w:cs="Arial"/>
        </w:rPr>
        <w:t xml:space="preserve">, </w:t>
      </w:r>
      <w:r w:rsidR="00770121">
        <w:rPr>
          <w:rFonts w:cs="Arial"/>
          <w:i/>
        </w:rPr>
        <w:t>i.e.</w:t>
      </w:r>
      <w:r w:rsidR="00770121">
        <w:rPr>
          <w:rFonts w:cs="Arial"/>
        </w:rPr>
        <w:t xml:space="preserve"> in the plural form.</w:t>
      </w:r>
      <w:r w:rsidR="000A2A1B">
        <w:rPr>
          <w:rFonts w:cs="Arial"/>
        </w:rPr>
        <w:t xml:space="preserve"> The explanatory memorandum clearly contradicts an interpretation as contended for </w:t>
      </w:r>
      <w:r w:rsidR="00176E57">
        <w:rPr>
          <w:rFonts w:cs="Arial"/>
        </w:rPr>
        <w:t xml:space="preserve">by the respondent – a </w:t>
      </w:r>
      <w:r w:rsidR="000A2A1B">
        <w:rPr>
          <w:rFonts w:cs="Arial"/>
        </w:rPr>
        <w:t xml:space="preserve">clear support of the ordinary language, grammar and meaning interpretation. Such interpretation to be afforded to section 4(2) of the Act, supports </w:t>
      </w:r>
      <w:r w:rsidR="00647C2A">
        <w:rPr>
          <w:rFonts w:cs="Arial"/>
        </w:rPr>
        <w:t>the purpose of the royalty regime to compensate the State fully for the value of the minerals.</w:t>
      </w:r>
      <w:r w:rsidR="00647C2A">
        <w:rPr>
          <w:rStyle w:val="FootnoteReference"/>
          <w:rFonts w:cs="Arial"/>
        </w:rPr>
        <w:footnoteReference w:id="11"/>
      </w:r>
    </w:p>
    <w:p w14:paraId="7FB830E8" w14:textId="62438525" w:rsidR="00EC6A8E" w:rsidRDefault="00EC6A8E" w:rsidP="009C07B7">
      <w:pPr>
        <w:spacing w:line="360" w:lineRule="auto"/>
        <w:ind w:left="720" w:hanging="720"/>
        <w:jc w:val="both"/>
        <w:rPr>
          <w:rFonts w:cs="Arial"/>
        </w:rPr>
      </w:pPr>
    </w:p>
    <w:p w14:paraId="5357CAF6" w14:textId="6E7A1CB4" w:rsidR="00EC6A8E" w:rsidRDefault="00EC6A8E" w:rsidP="009C07B7">
      <w:pPr>
        <w:spacing w:line="360" w:lineRule="auto"/>
        <w:ind w:left="720" w:hanging="720"/>
        <w:jc w:val="both"/>
        <w:rPr>
          <w:rFonts w:cs="Arial"/>
        </w:rPr>
      </w:pPr>
      <w:r>
        <w:rPr>
          <w:rFonts w:cs="Arial"/>
        </w:rPr>
        <w:t>[</w:t>
      </w:r>
      <w:r w:rsidR="00172224">
        <w:rPr>
          <w:rFonts w:cs="Arial"/>
        </w:rPr>
        <w:t>26</w:t>
      </w:r>
      <w:r>
        <w:rPr>
          <w:rFonts w:cs="Arial"/>
        </w:rPr>
        <w:t>]</w:t>
      </w:r>
      <w:r>
        <w:rPr>
          <w:rFonts w:cs="Arial"/>
        </w:rPr>
        <w:tab/>
      </w:r>
      <w:r w:rsidR="001212B0">
        <w:rPr>
          <w:rFonts w:cs="Arial"/>
        </w:rPr>
        <w:t>In so far as it is required to consider the parties</w:t>
      </w:r>
      <w:r w:rsidR="00176E57">
        <w:rPr>
          <w:rFonts w:cs="Arial"/>
        </w:rPr>
        <w:t>’</w:t>
      </w:r>
      <w:r w:rsidR="001212B0">
        <w:rPr>
          <w:rFonts w:cs="Arial"/>
        </w:rPr>
        <w:t xml:space="preserve"> prior approach to the meaning of the phrase “</w:t>
      </w:r>
      <w:r w:rsidR="001212B0">
        <w:rPr>
          <w:rFonts w:cs="Arial"/>
          <w:i/>
        </w:rPr>
        <w:t>mineral resources”</w:t>
      </w:r>
      <w:r w:rsidR="001212B0">
        <w:rPr>
          <w:rFonts w:cs="Arial"/>
        </w:rPr>
        <w:t xml:space="preserve"> in section 4(2) of the Act, the respondent (as well as the industry), until this matter came to the fore in the present instance, applied the aggregated approach contended for by the appl</w:t>
      </w:r>
      <w:r w:rsidR="00176E57">
        <w:rPr>
          <w:rFonts w:cs="Arial"/>
        </w:rPr>
        <w:t>icant, and in line with the explanatory</w:t>
      </w:r>
      <w:r w:rsidR="001212B0">
        <w:rPr>
          <w:rFonts w:cs="Arial"/>
        </w:rPr>
        <w:t xml:space="preserve"> memorandum to the Bill.</w:t>
      </w:r>
    </w:p>
    <w:p w14:paraId="044A6510" w14:textId="228A72E7" w:rsidR="00C603C4" w:rsidRDefault="00C603C4" w:rsidP="009C07B7">
      <w:pPr>
        <w:spacing w:line="360" w:lineRule="auto"/>
        <w:ind w:left="720" w:hanging="720"/>
        <w:jc w:val="both"/>
        <w:rPr>
          <w:rFonts w:cs="Arial"/>
        </w:rPr>
      </w:pPr>
    </w:p>
    <w:p w14:paraId="3466BD58" w14:textId="622DC519" w:rsidR="00C603C4" w:rsidRDefault="00C603C4" w:rsidP="009C07B7">
      <w:pPr>
        <w:spacing w:line="360" w:lineRule="auto"/>
        <w:ind w:left="720" w:hanging="720"/>
        <w:jc w:val="both"/>
        <w:rPr>
          <w:rFonts w:cs="Arial"/>
        </w:rPr>
      </w:pPr>
      <w:r>
        <w:rPr>
          <w:rFonts w:cs="Arial"/>
        </w:rPr>
        <w:t>[</w:t>
      </w:r>
      <w:r w:rsidR="00172224">
        <w:rPr>
          <w:rFonts w:cs="Arial"/>
        </w:rPr>
        <w:t>27</w:t>
      </w:r>
      <w:r>
        <w:rPr>
          <w:rFonts w:cs="Arial"/>
        </w:rPr>
        <w:t>]</w:t>
      </w:r>
      <w:r>
        <w:rPr>
          <w:rFonts w:cs="Arial"/>
        </w:rPr>
        <w:tab/>
      </w:r>
      <w:r w:rsidR="003E0CBC">
        <w:rPr>
          <w:rFonts w:cs="Arial"/>
        </w:rPr>
        <w:t>It follows that the interpretation of section 4(2) of the Act as contended for by the respondent, cannot be upheld.</w:t>
      </w:r>
      <w:r w:rsidR="00176E57">
        <w:rPr>
          <w:rFonts w:cs="Arial"/>
        </w:rPr>
        <w:t xml:space="preserve"> It is a contradictory approach to applying the ordinary principles of interpretation.</w:t>
      </w:r>
      <w:r w:rsidR="003E0CBC">
        <w:rPr>
          <w:rFonts w:cs="Arial"/>
        </w:rPr>
        <w:t xml:space="preserve"> It stands to be rejected.</w:t>
      </w:r>
    </w:p>
    <w:p w14:paraId="10211A14" w14:textId="01F2D9FC" w:rsidR="00591EF2" w:rsidRDefault="00591EF2" w:rsidP="009C07B7">
      <w:pPr>
        <w:spacing w:line="360" w:lineRule="auto"/>
        <w:ind w:left="720" w:hanging="720"/>
        <w:jc w:val="both"/>
        <w:rPr>
          <w:rFonts w:cs="Arial"/>
        </w:rPr>
      </w:pPr>
    </w:p>
    <w:p w14:paraId="1AADC51E" w14:textId="65132823" w:rsidR="008C695E" w:rsidRDefault="00591EF2" w:rsidP="009C07B7">
      <w:pPr>
        <w:spacing w:line="360" w:lineRule="auto"/>
        <w:ind w:left="720" w:hanging="720"/>
        <w:jc w:val="both"/>
        <w:rPr>
          <w:rFonts w:cs="Arial"/>
        </w:rPr>
      </w:pPr>
      <w:r>
        <w:rPr>
          <w:rFonts w:cs="Arial"/>
        </w:rPr>
        <w:t>[</w:t>
      </w:r>
      <w:r w:rsidR="00172224">
        <w:rPr>
          <w:rFonts w:cs="Arial"/>
        </w:rPr>
        <w:t>28</w:t>
      </w:r>
      <w:r>
        <w:rPr>
          <w:rFonts w:cs="Arial"/>
        </w:rPr>
        <w:t>]</w:t>
      </w:r>
      <w:r>
        <w:rPr>
          <w:rFonts w:cs="Arial"/>
        </w:rPr>
        <w:tab/>
        <w:t xml:space="preserve">The respondent relied on </w:t>
      </w:r>
      <w:r w:rsidR="00176E57">
        <w:rPr>
          <w:rFonts w:cs="Arial"/>
        </w:rPr>
        <w:t xml:space="preserve">further </w:t>
      </w:r>
      <w:r>
        <w:rPr>
          <w:rFonts w:cs="Arial"/>
        </w:rPr>
        <w:t>residual defences, one of which is that the applicant had failed to follow the internal remedies, namely</w:t>
      </w:r>
      <w:r w:rsidR="000176BF">
        <w:rPr>
          <w:rFonts w:cs="Arial"/>
        </w:rPr>
        <w:t>, a review in</w:t>
      </w:r>
      <w:r>
        <w:rPr>
          <w:rFonts w:cs="Arial"/>
        </w:rPr>
        <w:t xml:space="preserve"> terms of PAJA</w:t>
      </w:r>
      <w:r w:rsidR="000176BF">
        <w:rPr>
          <w:rFonts w:cs="Arial"/>
        </w:rPr>
        <w:t>. There is no merit in that defence. As recorded earlier, the applicant is entitled to seek a declaratory. It was not obliged to follow a review procedure, which in the present instance was not available, nor applicable.</w:t>
      </w:r>
      <w:r w:rsidR="000176BF">
        <w:rPr>
          <w:rStyle w:val="FootnoteReference"/>
          <w:rFonts w:cs="Arial"/>
        </w:rPr>
        <w:footnoteReference w:id="12"/>
      </w:r>
      <w:r w:rsidR="000176BF">
        <w:rPr>
          <w:rFonts w:cs="Arial"/>
        </w:rPr>
        <w:t xml:space="preserve"> </w:t>
      </w:r>
    </w:p>
    <w:p w14:paraId="54AEBB0C" w14:textId="77777777" w:rsidR="008C695E" w:rsidRDefault="008C695E" w:rsidP="009C07B7">
      <w:pPr>
        <w:spacing w:line="360" w:lineRule="auto"/>
        <w:ind w:left="720" w:hanging="720"/>
        <w:jc w:val="both"/>
        <w:rPr>
          <w:rFonts w:cs="Arial"/>
        </w:rPr>
      </w:pPr>
    </w:p>
    <w:p w14:paraId="5CA140A2" w14:textId="79697E5B" w:rsidR="00591EF2" w:rsidRDefault="008C695E" w:rsidP="009C07B7">
      <w:pPr>
        <w:spacing w:line="360" w:lineRule="auto"/>
        <w:ind w:left="720" w:hanging="720"/>
        <w:jc w:val="both"/>
        <w:rPr>
          <w:rFonts w:cs="Arial"/>
        </w:rPr>
      </w:pPr>
      <w:r>
        <w:rPr>
          <w:rFonts w:cs="Arial"/>
        </w:rPr>
        <w:t>[</w:t>
      </w:r>
      <w:r w:rsidR="00172224">
        <w:rPr>
          <w:rFonts w:cs="Arial"/>
        </w:rPr>
        <w:t>29</w:t>
      </w:r>
      <w:r>
        <w:rPr>
          <w:rFonts w:cs="Arial"/>
        </w:rPr>
        <w:t>]</w:t>
      </w:r>
      <w:r>
        <w:rPr>
          <w:rFonts w:cs="Arial"/>
        </w:rPr>
        <w:tab/>
      </w:r>
      <w:r w:rsidR="000176BF">
        <w:rPr>
          <w:rFonts w:cs="Arial"/>
        </w:rPr>
        <w:t>The other</w:t>
      </w:r>
      <w:r>
        <w:rPr>
          <w:rFonts w:cs="Arial"/>
        </w:rPr>
        <w:t xml:space="preserve"> residual defence related to </w:t>
      </w:r>
      <w:r w:rsidR="000176BF">
        <w:rPr>
          <w:rFonts w:cs="Arial"/>
        </w:rPr>
        <w:t>alleged “mootness”.</w:t>
      </w:r>
      <w:r w:rsidR="000176BF">
        <w:rPr>
          <w:rStyle w:val="FootnoteReference"/>
          <w:rFonts w:cs="Arial"/>
        </w:rPr>
        <w:footnoteReference w:id="13"/>
      </w:r>
      <w:r>
        <w:rPr>
          <w:rFonts w:cs="Arial"/>
        </w:rPr>
        <w:t xml:space="preserve"> The Constitutional Court held in respect of contested construction of a statutory provision that it presents a “live issue” to be adjudicated upon.</w:t>
      </w:r>
      <w:r>
        <w:rPr>
          <w:rStyle w:val="FootnoteReference"/>
          <w:rFonts w:cs="Arial"/>
        </w:rPr>
        <w:footnoteReference w:id="14"/>
      </w:r>
    </w:p>
    <w:p w14:paraId="316D5796" w14:textId="6CA3BBCF" w:rsidR="00176E57" w:rsidRDefault="00176E57" w:rsidP="009C07B7">
      <w:pPr>
        <w:spacing w:line="360" w:lineRule="auto"/>
        <w:ind w:left="720" w:hanging="720"/>
        <w:jc w:val="both"/>
        <w:rPr>
          <w:rFonts w:cs="Arial"/>
        </w:rPr>
      </w:pPr>
    </w:p>
    <w:p w14:paraId="6068E32B" w14:textId="425E8FDD" w:rsidR="00176E57" w:rsidRDefault="00176E57" w:rsidP="009C07B7">
      <w:pPr>
        <w:spacing w:line="360" w:lineRule="auto"/>
        <w:ind w:left="720" w:hanging="720"/>
        <w:jc w:val="both"/>
        <w:rPr>
          <w:rFonts w:cs="Arial"/>
        </w:rPr>
      </w:pPr>
      <w:r>
        <w:rPr>
          <w:rFonts w:cs="Arial"/>
        </w:rPr>
        <w:t>[</w:t>
      </w:r>
      <w:r w:rsidR="00172224">
        <w:rPr>
          <w:rFonts w:cs="Arial"/>
        </w:rPr>
        <w:t>30</w:t>
      </w:r>
      <w:r>
        <w:rPr>
          <w:rFonts w:cs="Arial"/>
        </w:rPr>
        <w:t>]</w:t>
      </w:r>
      <w:r>
        <w:rPr>
          <w:rFonts w:cs="Arial"/>
        </w:rPr>
        <w:tab/>
        <w:t>Neither of the further two residual defences accordingly have any merit. Both fail.</w:t>
      </w:r>
    </w:p>
    <w:p w14:paraId="69544688" w14:textId="14E8B653" w:rsidR="003E0CBC" w:rsidRDefault="003E0CBC" w:rsidP="009C07B7">
      <w:pPr>
        <w:spacing w:line="360" w:lineRule="auto"/>
        <w:ind w:left="720" w:hanging="720"/>
        <w:jc w:val="both"/>
        <w:rPr>
          <w:rFonts w:cs="Arial"/>
        </w:rPr>
      </w:pPr>
    </w:p>
    <w:p w14:paraId="3EA7453A" w14:textId="7BC62C58" w:rsidR="003E0CBC" w:rsidRDefault="003E0CBC" w:rsidP="009C07B7">
      <w:pPr>
        <w:spacing w:line="360" w:lineRule="auto"/>
        <w:ind w:left="720" w:hanging="720"/>
        <w:jc w:val="both"/>
        <w:rPr>
          <w:rFonts w:cs="Arial"/>
        </w:rPr>
      </w:pPr>
      <w:r>
        <w:rPr>
          <w:rFonts w:cs="Arial"/>
        </w:rPr>
        <w:t>[</w:t>
      </w:r>
      <w:r w:rsidR="00172224">
        <w:rPr>
          <w:rFonts w:cs="Arial"/>
        </w:rPr>
        <w:t>31</w:t>
      </w:r>
      <w:r>
        <w:rPr>
          <w:rFonts w:cs="Arial"/>
        </w:rPr>
        <w:t>]</w:t>
      </w:r>
      <w:r>
        <w:rPr>
          <w:rFonts w:cs="Arial"/>
        </w:rPr>
        <w:tab/>
        <w:t>Consequently, the applicant is entitled to the declaratory sought in the notice of motion.</w:t>
      </w:r>
    </w:p>
    <w:p w14:paraId="323BB1E3" w14:textId="27B10410" w:rsidR="003E0CBC" w:rsidRDefault="003E0CBC" w:rsidP="009C07B7">
      <w:pPr>
        <w:spacing w:line="360" w:lineRule="auto"/>
        <w:ind w:left="720" w:hanging="720"/>
        <w:jc w:val="both"/>
        <w:rPr>
          <w:rFonts w:cs="Arial"/>
        </w:rPr>
      </w:pPr>
    </w:p>
    <w:p w14:paraId="4CF5AE42" w14:textId="2CCB23F9" w:rsidR="003E0CBC" w:rsidRDefault="003E0CBC" w:rsidP="009C07B7">
      <w:pPr>
        <w:spacing w:line="360" w:lineRule="auto"/>
        <w:ind w:left="720" w:hanging="720"/>
        <w:jc w:val="both"/>
        <w:rPr>
          <w:rFonts w:cs="Arial"/>
        </w:rPr>
      </w:pPr>
      <w:r>
        <w:rPr>
          <w:rFonts w:cs="Arial"/>
        </w:rPr>
        <w:t>I accordingly grant the following order:</w:t>
      </w:r>
    </w:p>
    <w:p w14:paraId="082FDAB5" w14:textId="77777777" w:rsidR="00176E57" w:rsidRDefault="00176E57" w:rsidP="009C07B7">
      <w:pPr>
        <w:spacing w:line="360" w:lineRule="auto"/>
        <w:ind w:left="720" w:hanging="720"/>
        <w:jc w:val="both"/>
        <w:rPr>
          <w:rFonts w:cs="Arial"/>
        </w:rPr>
      </w:pPr>
    </w:p>
    <w:p w14:paraId="3014CBB4" w14:textId="77A9478A" w:rsidR="000412D9" w:rsidRDefault="000412D9" w:rsidP="009C07B7">
      <w:pPr>
        <w:pStyle w:val="ListParagraph"/>
        <w:numPr>
          <w:ilvl w:val="0"/>
          <w:numId w:val="3"/>
        </w:numPr>
        <w:spacing w:line="360" w:lineRule="auto"/>
        <w:jc w:val="both"/>
        <w:rPr>
          <w:rFonts w:ascii="Arial" w:hAnsi="Arial" w:cs="Arial"/>
        </w:rPr>
      </w:pPr>
      <w:r>
        <w:rPr>
          <w:rFonts w:ascii="Arial" w:hAnsi="Arial" w:cs="Arial"/>
        </w:rPr>
        <w:t xml:space="preserve">The respondent’s point </w:t>
      </w:r>
      <w:r>
        <w:rPr>
          <w:rFonts w:ascii="Arial" w:hAnsi="Arial" w:cs="Arial"/>
          <w:i/>
        </w:rPr>
        <w:t xml:space="preserve">in </w:t>
      </w:r>
      <w:proofErr w:type="spellStart"/>
      <w:r>
        <w:rPr>
          <w:rFonts w:ascii="Arial" w:hAnsi="Arial" w:cs="Arial"/>
          <w:i/>
        </w:rPr>
        <w:t>limine</w:t>
      </w:r>
      <w:proofErr w:type="spellEnd"/>
      <w:r>
        <w:rPr>
          <w:rFonts w:ascii="Arial" w:hAnsi="Arial" w:cs="Arial"/>
        </w:rPr>
        <w:t xml:space="preserve"> on the issue of jurisdiction is dismissed.</w:t>
      </w:r>
    </w:p>
    <w:p w14:paraId="342A63D5" w14:textId="77777777" w:rsidR="000412D9" w:rsidRDefault="000412D9" w:rsidP="009C07B7">
      <w:pPr>
        <w:pStyle w:val="ListParagraph"/>
        <w:spacing w:line="360" w:lineRule="auto"/>
        <w:ind w:left="1440"/>
        <w:jc w:val="both"/>
        <w:rPr>
          <w:rFonts w:ascii="Arial" w:hAnsi="Arial" w:cs="Arial"/>
        </w:rPr>
      </w:pPr>
    </w:p>
    <w:p w14:paraId="789AFD01" w14:textId="55D38EA9" w:rsidR="003E0CBC" w:rsidRPr="00176E57" w:rsidRDefault="003E0CBC" w:rsidP="009C07B7">
      <w:pPr>
        <w:pStyle w:val="ListParagraph"/>
        <w:numPr>
          <w:ilvl w:val="0"/>
          <w:numId w:val="3"/>
        </w:numPr>
        <w:spacing w:line="360" w:lineRule="auto"/>
        <w:jc w:val="both"/>
        <w:rPr>
          <w:rFonts w:ascii="Arial" w:hAnsi="Arial" w:cs="Arial"/>
        </w:rPr>
      </w:pPr>
      <w:r w:rsidRPr="00176E57">
        <w:rPr>
          <w:rFonts w:ascii="Arial" w:hAnsi="Arial" w:cs="Arial"/>
        </w:rPr>
        <w:t>It is declared that for purposes of determining the percentage to be applied under section 4(2) of the Mineral and Petroleum Resources Royalty Act, 28 of 2008:</w:t>
      </w:r>
    </w:p>
    <w:p w14:paraId="64D4C3DF" w14:textId="45AE45CF" w:rsidR="003E0CBC" w:rsidRDefault="003E0CBC" w:rsidP="009C07B7">
      <w:pPr>
        <w:pStyle w:val="ListParagraph"/>
        <w:spacing w:line="360" w:lineRule="auto"/>
        <w:ind w:left="1440"/>
        <w:jc w:val="both"/>
        <w:rPr>
          <w:rFonts w:cs="Arial"/>
        </w:rPr>
      </w:pPr>
    </w:p>
    <w:p w14:paraId="49B8E326" w14:textId="2EA62CDA" w:rsidR="003E0CBC" w:rsidRDefault="003E0CBC" w:rsidP="009C07B7">
      <w:pPr>
        <w:pStyle w:val="ListParagraph"/>
        <w:numPr>
          <w:ilvl w:val="0"/>
          <w:numId w:val="4"/>
        </w:numPr>
        <w:spacing w:line="360" w:lineRule="auto"/>
        <w:ind w:left="2694" w:hanging="534"/>
        <w:jc w:val="both"/>
        <w:rPr>
          <w:rFonts w:ascii="Arial" w:hAnsi="Arial" w:cs="Arial"/>
        </w:rPr>
      </w:pPr>
      <w:r>
        <w:rPr>
          <w:rFonts w:ascii="Arial" w:hAnsi="Arial" w:cs="Arial"/>
        </w:rPr>
        <w:t>All unrefined mineral resources transferred by Richards Bay Mining (Pty) Ltd, as the same extractor must be aggregated ; accordingly</w:t>
      </w:r>
    </w:p>
    <w:p w14:paraId="3813635D" w14:textId="77777777" w:rsidR="003E0CBC" w:rsidRDefault="003E0CBC" w:rsidP="009C07B7">
      <w:pPr>
        <w:pStyle w:val="ListParagraph"/>
        <w:spacing w:line="360" w:lineRule="auto"/>
        <w:ind w:left="2694"/>
        <w:jc w:val="both"/>
        <w:rPr>
          <w:rFonts w:ascii="Arial" w:hAnsi="Arial" w:cs="Arial"/>
        </w:rPr>
      </w:pPr>
    </w:p>
    <w:p w14:paraId="70EC3F8B" w14:textId="18F83AC1" w:rsidR="003E0CBC" w:rsidRDefault="003E0CBC" w:rsidP="009C07B7">
      <w:pPr>
        <w:pStyle w:val="ListParagraph"/>
        <w:numPr>
          <w:ilvl w:val="0"/>
          <w:numId w:val="4"/>
        </w:numPr>
        <w:spacing w:line="360" w:lineRule="auto"/>
        <w:ind w:left="2694" w:hanging="534"/>
        <w:jc w:val="both"/>
        <w:rPr>
          <w:rFonts w:ascii="Arial" w:hAnsi="Arial" w:cs="Arial"/>
        </w:rPr>
      </w:pPr>
      <w:r>
        <w:rPr>
          <w:rFonts w:ascii="Arial" w:hAnsi="Arial" w:cs="Arial"/>
        </w:rPr>
        <w:lastRenderedPageBreak/>
        <w:t>A single percentage is to be calculated (thus only one royalty rate is to be applied) in respect of all unrefined  mineral resources transferred</w:t>
      </w:r>
      <w:r w:rsidR="00A62E7F">
        <w:rPr>
          <w:rFonts w:ascii="Arial" w:hAnsi="Arial" w:cs="Arial"/>
        </w:rPr>
        <w:t xml:space="preserve"> by Richards Bay Mining (Pty) Ltd, as the same extractor; therefore</w:t>
      </w:r>
    </w:p>
    <w:p w14:paraId="71ED322A" w14:textId="77777777" w:rsidR="00A62E7F" w:rsidRPr="00A62E7F" w:rsidRDefault="00A62E7F" w:rsidP="009C07B7">
      <w:pPr>
        <w:pStyle w:val="ListParagraph"/>
        <w:spacing w:line="360" w:lineRule="auto"/>
        <w:rPr>
          <w:rFonts w:ascii="Arial" w:hAnsi="Arial" w:cs="Arial"/>
        </w:rPr>
      </w:pPr>
    </w:p>
    <w:p w14:paraId="05F2B185" w14:textId="16E070D9" w:rsidR="00A62E7F" w:rsidRPr="003E0CBC" w:rsidRDefault="00A62E7F" w:rsidP="009C07B7">
      <w:pPr>
        <w:pStyle w:val="ListParagraph"/>
        <w:numPr>
          <w:ilvl w:val="0"/>
          <w:numId w:val="4"/>
        </w:numPr>
        <w:spacing w:line="360" w:lineRule="auto"/>
        <w:ind w:left="2694" w:hanging="534"/>
        <w:jc w:val="both"/>
        <w:rPr>
          <w:rFonts w:ascii="Arial" w:hAnsi="Arial" w:cs="Arial"/>
        </w:rPr>
      </w:pPr>
      <w:r>
        <w:rPr>
          <w:rFonts w:ascii="Arial" w:hAnsi="Arial" w:cs="Arial"/>
        </w:rPr>
        <w:t>The calculation is not to be performed by adopting a mineral - by - mineral or category – by – category approach.</w:t>
      </w:r>
    </w:p>
    <w:p w14:paraId="3AF014AF" w14:textId="77777777" w:rsidR="003E0CBC" w:rsidRPr="003E0CBC" w:rsidRDefault="003E0CBC" w:rsidP="009C07B7">
      <w:pPr>
        <w:pStyle w:val="ListParagraph"/>
        <w:spacing w:line="360" w:lineRule="auto"/>
        <w:ind w:left="1440"/>
        <w:jc w:val="both"/>
        <w:rPr>
          <w:rFonts w:ascii="Arial" w:hAnsi="Arial" w:cs="Arial"/>
        </w:rPr>
      </w:pPr>
    </w:p>
    <w:p w14:paraId="00A2615F" w14:textId="692ADA55" w:rsidR="00A62E7F" w:rsidRDefault="00A62E7F" w:rsidP="009C07B7">
      <w:pPr>
        <w:pStyle w:val="ListParagraph"/>
        <w:numPr>
          <w:ilvl w:val="0"/>
          <w:numId w:val="3"/>
        </w:numPr>
        <w:spacing w:line="360" w:lineRule="auto"/>
        <w:jc w:val="both"/>
        <w:rPr>
          <w:rFonts w:ascii="Arial" w:hAnsi="Arial" w:cs="Arial"/>
        </w:rPr>
      </w:pPr>
      <w:r>
        <w:rPr>
          <w:rFonts w:ascii="Arial" w:hAnsi="Arial" w:cs="Arial"/>
        </w:rPr>
        <w:t>The respondent is ordered to pay the applicant’s costs, such costs to include the costs of two counsel;</w:t>
      </w:r>
    </w:p>
    <w:p w14:paraId="2C06DB14" w14:textId="77777777" w:rsidR="00A62E7F" w:rsidRDefault="00A62E7F" w:rsidP="009C07B7">
      <w:pPr>
        <w:pStyle w:val="ListParagraph"/>
        <w:spacing w:line="360" w:lineRule="auto"/>
        <w:ind w:left="1440"/>
        <w:jc w:val="both"/>
        <w:rPr>
          <w:rFonts w:ascii="Arial" w:hAnsi="Arial" w:cs="Arial"/>
        </w:rPr>
      </w:pPr>
    </w:p>
    <w:p w14:paraId="7876E871" w14:textId="489D0AE7" w:rsidR="00A62E7F" w:rsidRPr="00A62E7F" w:rsidRDefault="00A62E7F" w:rsidP="009C07B7">
      <w:pPr>
        <w:pStyle w:val="ListParagraph"/>
        <w:numPr>
          <w:ilvl w:val="0"/>
          <w:numId w:val="3"/>
        </w:numPr>
        <w:spacing w:line="360" w:lineRule="auto"/>
        <w:jc w:val="both"/>
        <w:rPr>
          <w:rFonts w:ascii="Arial" w:hAnsi="Arial" w:cs="Arial"/>
        </w:rPr>
      </w:pPr>
      <w:r>
        <w:rPr>
          <w:rFonts w:ascii="Arial" w:hAnsi="Arial" w:cs="Arial"/>
        </w:rPr>
        <w:t>Leave is granted in terms of Rule 6(5)(e) of the Uniform Rules of Court to file the further affidavi</w:t>
      </w:r>
      <w:r w:rsidR="004A4C42">
        <w:rPr>
          <w:rFonts w:ascii="Arial" w:hAnsi="Arial" w:cs="Arial"/>
        </w:rPr>
        <w:t xml:space="preserve">t deposed to by Andries Myburg </w:t>
      </w:r>
      <w:r>
        <w:rPr>
          <w:rFonts w:ascii="Arial" w:hAnsi="Arial" w:cs="Arial"/>
        </w:rPr>
        <w:t xml:space="preserve">on 26 August 2023, including its annexure. </w:t>
      </w:r>
    </w:p>
    <w:p w14:paraId="7275CE83" w14:textId="56DE561B" w:rsidR="00A41CB0" w:rsidRDefault="00A41CB0" w:rsidP="009C07B7">
      <w:pPr>
        <w:spacing w:line="360" w:lineRule="auto"/>
        <w:jc w:val="both"/>
      </w:pPr>
    </w:p>
    <w:p w14:paraId="63AE3482" w14:textId="7BA001F6" w:rsidR="00394333" w:rsidRDefault="00394333" w:rsidP="009C07B7">
      <w:pPr>
        <w:spacing w:line="360" w:lineRule="auto"/>
        <w:ind w:left="720" w:hanging="720"/>
        <w:jc w:val="both"/>
      </w:pPr>
    </w:p>
    <w:p w14:paraId="4478237E" w14:textId="77777777" w:rsidR="004A4C42" w:rsidRDefault="004A4C42" w:rsidP="009C07B7">
      <w:pPr>
        <w:spacing w:line="360" w:lineRule="auto"/>
        <w:ind w:left="720" w:hanging="720"/>
        <w:jc w:val="both"/>
      </w:pPr>
    </w:p>
    <w:p w14:paraId="21EE6F52" w14:textId="77777777" w:rsidR="006C7C31" w:rsidRDefault="006C7C31" w:rsidP="006C7C31">
      <w:pPr>
        <w:jc w:val="both"/>
      </w:pPr>
    </w:p>
    <w:p w14:paraId="53315117" w14:textId="05C0200A"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4C5D5C53" w:rsidR="006C7C31" w:rsidRDefault="006C7C31" w:rsidP="006C7C31">
      <w:pPr>
        <w:jc w:val="right"/>
      </w:pPr>
      <w:r>
        <w:t>JUDGE OF THE HIGH COURT</w:t>
      </w:r>
    </w:p>
    <w:p w14:paraId="34ABB9D0" w14:textId="5223F08C" w:rsidR="009C07B7" w:rsidRDefault="009C07B7" w:rsidP="006C7C31">
      <w:pPr>
        <w:jc w:val="right"/>
      </w:pPr>
    </w:p>
    <w:p w14:paraId="47D001B3" w14:textId="00308D4D" w:rsidR="009C07B7" w:rsidRDefault="009C07B7" w:rsidP="006C7C31">
      <w:pPr>
        <w:jc w:val="right"/>
      </w:pPr>
    </w:p>
    <w:p w14:paraId="61A97BFE" w14:textId="77777777" w:rsidR="009C07B7" w:rsidRDefault="009C07B7" w:rsidP="006C7C31">
      <w:pPr>
        <w:jc w:val="right"/>
      </w:pPr>
    </w:p>
    <w:p w14:paraId="792C5F28" w14:textId="20C659B3" w:rsidR="006C7C31" w:rsidRDefault="00BE23CA" w:rsidP="004A4C42">
      <w:pPr>
        <w:jc w:val="both"/>
      </w:pPr>
      <w:r>
        <w:rPr>
          <w:rFonts w:eastAsia="Arial Unicode MS" w:cs="Arial"/>
          <w:bCs/>
        </w:rPr>
        <w:t xml:space="preserve"> </w:t>
      </w:r>
      <w:bookmarkStart w:id="0" w:name="_GoBack"/>
      <w:bookmarkEnd w:id="0"/>
    </w:p>
    <w:p w14:paraId="364B7346" w14:textId="77777777" w:rsidR="006C7C31" w:rsidRDefault="006C7C31" w:rsidP="006C7C31">
      <w:pPr>
        <w:jc w:val="both"/>
      </w:pPr>
    </w:p>
    <w:p w14:paraId="025D9CDE" w14:textId="3CB4396A" w:rsidR="009C07B7" w:rsidRDefault="006C7C31" w:rsidP="006C7C31">
      <w:pPr>
        <w:jc w:val="both"/>
      </w:pPr>
      <w:r>
        <w:t>On behalf of Applicant:</w:t>
      </w:r>
      <w:r w:rsidR="009C07B7">
        <w:t xml:space="preserve"> </w:t>
      </w:r>
      <w:r w:rsidR="009C07B7">
        <w:tab/>
        <w:t xml:space="preserve">Adv JJ </w:t>
      </w:r>
      <w:proofErr w:type="spellStart"/>
      <w:r w:rsidR="009C07B7">
        <w:t>Gauntlett</w:t>
      </w:r>
      <w:proofErr w:type="spellEnd"/>
      <w:r w:rsidR="009C07B7">
        <w:t xml:space="preserve"> SC KC</w:t>
      </w:r>
    </w:p>
    <w:p w14:paraId="01477FFA" w14:textId="77777777" w:rsidR="001C5F9B" w:rsidRDefault="009C07B7" w:rsidP="006C7C31">
      <w:pPr>
        <w:jc w:val="both"/>
      </w:pPr>
      <w:r>
        <w:t xml:space="preserve">                                      </w:t>
      </w:r>
      <w:r>
        <w:tab/>
        <w:t xml:space="preserve">Adv FB </w:t>
      </w:r>
      <w:proofErr w:type="spellStart"/>
      <w:r>
        <w:t>Pelser</w:t>
      </w:r>
      <w:proofErr w:type="spellEnd"/>
    </w:p>
    <w:p w14:paraId="07921415" w14:textId="5E2D0C8E" w:rsidR="006C7C31" w:rsidRDefault="006C7C31" w:rsidP="006C7C31">
      <w:pPr>
        <w:jc w:val="both"/>
      </w:pPr>
      <w:r>
        <w:tab/>
      </w:r>
      <w:r>
        <w:tab/>
      </w:r>
    </w:p>
    <w:p w14:paraId="0A192055" w14:textId="7FA983EF" w:rsidR="006C7C31" w:rsidRDefault="006C7C31" w:rsidP="006C7C31">
      <w:pPr>
        <w:jc w:val="both"/>
      </w:pPr>
      <w:r>
        <w:t>Instructed by:</w:t>
      </w:r>
      <w:r w:rsidR="00996251">
        <w:tab/>
      </w:r>
      <w:r w:rsidR="00996251">
        <w:tab/>
      </w:r>
      <w:r w:rsidR="001C5F9B">
        <w:t xml:space="preserve">Edward Nathan </w:t>
      </w:r>
      <w:proofErr w:type="spellStart"/>
      <w:r w:rsidR="001C5F9B">
        <w:t>Sonnenbergs</w:t>
      </w:r>
      <w:proofErr w:type="spellEnd"/>
      <w:r w:rsidR="001C5F9B">
        <w:t xml:space="preserve"> Inc.</w:t>
      </w:r>
      <w:r>
        <w:tab/>
      </w:r>
      <w:r>
        <w:tab/>
      </w:r>
      <w:r>
        <w:tab/>
      </w:r>
    </w:p>
    <w:p w14:paraId="00FA00EC" w14:textId="77777777" w:rsidR="006C7C31" w:rsidRDefault="006C7C31" w:rsidP="006C7C31">
      <w:pPr>
        <w:jc w:val="both"/>
      </w:pPr>
    </w:p>
    <w:p w14:paraId="5F994D7C" w14:textId="77777777" w:rsidR="009C07B7" w:rsidRDefault="006C7C31" w:rsidP="006C7C31">
      <w:pPr>
        <w:jc w:val="both"/>
      </w:pPr>
      <w:r>
        <w:t>On behalf of Respondent:</w:t>
      </w:r>
      <w:r w:rsidR="009C07B7">
        <w:tab/>
        <w:t xml:space="preserve">Adv L </w:t>
      </w:r>
      <w:proofErr w:type="spellStart"/>
      <w:r w:rsidR="009C07B7">
        <w:t>Sigogo</w:t>
      </w:r>
      <w:proofErr w:type="spellEnd"/>
      <w:r w:rsidR="009C07B7">
        <w:t xml:space="preserve"> SC</w:t>
      </w:r>
    </w:p>
    <w:p w14:paraId="40850B0A" w14:textId="77777777" w:rsidR="001C5F9B" w:rsidRDefault="009C07B7" w:rsidP="006C7C31">
      <w:pPr>
        <w:jc w:val="both"/>
      </w:pPr>
      <w:r>
        <w:tab/>
      </w:r>
      <w:r>
        <w:tab/>
      </w:r>
      <w:r>
        <w:tab/>
      </w:r>
      <w:r>
        <w:tab/>
        <w:t xml:space="preserve">Adv M </w:t>
      </w:r>
      <w:proofErr w:type="spellStart"/>
      <w:r>
        <w:t>Masilo</w:t>
      </w:r>
      <w:proofErr w:type="spellEnd"/>
    </w:p>
    <w:p w14:paraId="12021F60" w14:textId="21CC9536" w:rsidR="006C7C31" w:rsidRDefault="006C7C31" w:rsidP="006C7C31">
      <w:pPr>
        <w:jc w:val="both"/>
      </w:pPr>
      <w:r>
        <w:tab/>
      </w:r>
      <w:r>
        <w:tab/>
      </w:r>
    </w:p>
    <w:p w14:paraId="187348E5" w14:textId="1E45269A" w:rsidR="009C07B7" w:rsidRDefault="006C7C31" w:rsidP="006C7C31">
      <w:r>
        <w:t>Instructed by:</w:t>
      </w:r>
      <w:r w:rsidR="001C5F9B">
        <w:tab/>
      </w:r>
      <w:r w:rsidR="001C5F9B">
        <w:tab/>
      </w:r>
      <w:proofErr w:type="spellStart"/>
      <w:r w:rsidR="001C5F9B">
        <w:t>Motsoeneng</w:t>
      </w:r>
      <w:proofErr w:type="spellEnd"/>
      <w:r w:rsidR="001C5F9B">
        <w:t xml:space="preserve"> Bill Attorneys Inc.</w:t>
      </w:r>
    </w:p>
    <w:p w14:paraId="76DA5F8A" w14:textId="77777777" w:rsidR="009C07B7" w:rsidRDefault="009C07B7" w:rsidP="006C7C31"/>
    <w:p w14:paraId="570D2C05" w14:textId="77777777" w:rsidR="009C07B7" w:rsidRDefault="009C07B7" w:rsidP="006C7C31">
      <w:r>
        <w:t>Date of Hearing:</w:t>
      </w:r>
      <w:r>
        <w:tab/>
      </w:r>
      <w:r>
        <w:tab/>
        <w:t>07 February 2024</w:t>
      </w:r>
    </w:p>
    <w:p w14:paraId="649EE26A" w14:textId="77777777" w:rsidR="009C07B7" w:rsidRDefault="009C07B7" w:rsidP="006C7C31"/>
    <w:p w14:paraId="767A5DD8" w14:textId="5B323390" w:rsidR="00564B22" w:rsidRDefault="009C07B7" w:rsidP="006C7C31">
      <w:r>
        <w:t>Judgment Delivered:</w:t>
      </w:r>
      <w:r>
        <w:tab/>
        <w:t>26 March 2024</w:t>
      </w:r>
      <w:r w:rsidR="006C7C31">
        <w:tab/>
      </w:r>
      <w:r w:rsidR="006C7C31">
        <w:tab/>
      </w:r>
      <w:r w:rsidR="006C7C31">
        <w:tab/>
      </w:r>
    </w:p>
    <w:sectPr w:rsidR="00564B22" w:rsidSect="00172224">
      <w:headerReference w:type="even" r:id="rId10"/>
      <w:headerReference w:type="default" r:id="rId11"/>
      <w:pgSz w:w="11900" w:h="16840"/>
      <w:pgMar w:top="851"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9FE7" w14:textId="77777777" w:rsidR="00594D12" w:rsidRDefault="00594D12">
      <w:r>
        <w:separator/>
      </w:r>
    </w:p>
  </w:endnote>
  <w:endnote w:type="continuationSeparator" w:id="0">
    <w:p w14:paraId="2D60A03D" w14:textId="77777777" w:rsidR="00594D12" w:rsidRDefault="0059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4A16" w14:textId="77777777" w:rsidR="00594D12" w:rsidRDefault="00594D12">
      <w:r>
        <w:separator/>
      </w:r>
    </w:p>
  </w:footnote>
  <w:footnote w:type="continuationSeparator" w:id="0">
    <w:p w14:paraId="4ABA7BF3" w14:textId="77777777" w:rsidR="00594D12" w:rsidRDefault="00594D12">
      <w:r>
        <w:continuationSeparator/>
      </w:r>
    </w:p>
  </w:footnote>
  <w:footnote w:id="1">
    <w:p w14:paraId="0319EA05" w14:textId="77777777" w:rsidR="001F7EB8" w:rsidRPr="00512A08" w:rsidRDefault="001F7EB8" w:rsidP="0099149F">
      <w:pPr>
        <w:pStyle w:val="FootnoteText"/>
        <w:rPr>
          <w:lang w:val="en-ZA"/>
        </w:rPr>
      </w:pPr>
      <w:r>
        <w:rPr>
          <w:rStyle w:val="FootnoteReference"/>
        </w:rPr>
        <w:footnoteRef/>
      </w:r>
      <w:r>
        <w:t xml:space="preserve"> </w:t>
      </w:r>
      <w:r>
        <w:rPr>
          <w:lang w:val="en-ZA"/>
        </w:rPr>
        <w:t>2001(1) SA 1109 (CC)</w:t>
      </w:r>
    </w:p>
  </w:footnote>
  <w:footnote w:id="2">
    <w:p w14:paraId="542BA75D" w14:textId="31DF964C" w:rsidR="001F7EB8" w:rsidRPr="0036087C" w:rsidRDefault="001F7EB8">
      <w:pPr>
        <w:pStyle w:val="FootnoteText"/>
        <w:rPr>
          <w:lang w:val="en-ZA"/>
        </w:rPr>
      </w:pPr>
      <w:r>
        <w:rPr>
          <w:rStyle w:val="FootnoteReference"/>
        </w:rPr>
        <w:footnoteRef/>
      </w:r>
      <w:r>
        <w:t xml:space="preserve"> </w:t>
      </w:r>
      <w:r>
        <w:rPr>
          <w:lang w:val="en-ZA"/>
        </w:rPr>
        <w:t>[2023] ZASCA 144 (8 November 2023)</w:t>
      </w:r>
    </w:p>
  </w:footnote>
  <w:footnote w:id="3">
    <w:p w14:paraId="7A1E069B" w14:textId="77777777" w:rsidR="001F7EB8" w:rsidRPr="00A03141" w:rsidRDefault="001F7EB8" w:rsidP="004D3B99">
      <w:pPr>
        <w:pStyle w:val="FootnoteText"/>
        <w:rPr>
          <w:lang w:val="en-ZA"/>
        </w:rPr>
      </w:pPr>
      <w:r>
        <w:rPr>
          <w:rStyle w:val="FootnoteReference"/>
        </w:rPr>
        <w:footnoteRef/>
      </w:r>
      <w:r>
        <w:t xml:space="preserve"> </w:t>
      </w:r>
      <w:r>
        <w:rPr>
          <w:lang w:val="en-ZA"/>
        </w:rPr>
        <w:t>2022(5) SA 1 (CC) para 41</w:t>
      </w:r>
    </w:p>
  </w:footnote>
  <w:footnote w:id="4">
    <w:p w14:paraId="4BE83493" w14:textId="77777777" w:rsidR="0024521D" w:rsidRPr="00A37F01" w:rsidRDefault="0024521D" w:rsidP="0024521D">
      <w:pPr>
        <w:pStyle w:val="FootnoteText"/>
        <w:rPr>
          <w:lang w:val="en-ZA"/>
        </w:rPr>
      </w:pPr>
      <w:r>
        <w:rPr>
          <w:rStyle w:val="FootnoteReference"/>
        </w:rPr>
        <w:footnoteRef/>
      </w:r>
      <w:r>
        <w:t xml:space="preserve"> </w:t>
      </w:r>
      <w:r>
        <w:rPr>
          <w:lang w:val="en-ZA"/>
        </w:rPr>
        <w:t>2023(3) BCLR 333 (C)</w:t>
      </w:r>
    </w:p>
  </w:footnote>
  <w:footnote w:id="5">
    <w:p w14:paraId="6CF06044" w14:textId="77777777" w:rsidR="001F7EB8" w:rsidRPr="00BF7D27" w:rsidRDefault="001F7EB8" w:rsidP="004D3B99">
      <w:pPr>
        <w:pStyle w:val="FootnoteText"/>
        <w:rPr>
          <w:lang w:val="en-ZA"/>
        </w:rPr>
      </w:pPr>
      <w:r>
        <w:rPr>
          <w:rStyle w:val="FootnoteReference"/>
        </w:rPr>
        <w:footnoteRef/>
      </w:r>
      <w:r>
        <w:t xml:space="preserve"> </w:t>
      </w:r>
      <w:r>
        <w:rPr>
          <w:lang w:val="en-ZA"/>
        </w:rPr>
        <w:t xml:space="preserve">See minority judgment in </w:t>
      </w:r>
      <w:proofErr w:type="spellStart"/>
      <w:r>
        <w:rPr>
          <w:i/>
          <w:lang w:val="en-ZA"/>
        </w:rPr>
        <w:t>Lueven</w:t>
      </w:r>
      <w:proofErr w:type="spellEnd"/>
      <w:r>
        <w:rPr>
          <w:i/>
          <w:lang w:val="en-ZA"/>
        </w:rPr>
        <w:t>, supra,</w:t>
      </w:r>
      <w:r>
        <w:rPr>
          <w:lang w:val="en-ZA"/>
        </w:rPr>
        <w:t xml:space="preserve"> para 33 where the significance of the definition of “</w:t>
      </w:r>
      <w:r>
        <w:rPr>
          <w:i/>
          <w:lang w:val="en-ZA"/>
        </w:rPr>
        <w:t>assessment</w:t>
      </w:r>
      <w:r>
        <w:rPr>
          <w:lang w:val="en-ZA"/>
        </w:rPr>
        <w:t>” in the context of section 105 of the TAA is noted.</w:t>
      </w:r>
    </w:p>
  </w:footnote>
  <w:footnote w:id="6">
    <w:p w14:paraId="45C9A847" w14:textId="7D33D7C5" w:rsidR="007D0476" w:rsidRPr="00B77BBC" w:rsidRDefault="007D0476">
      <w:pPr>
        <w:pStyle w:val="FootnoteText"/>
        <w:rPr>
          <w:lang w:val="en-ZA"/>
        </w:rPr>
      </w:pPr>
      <w:r>
        <w:rPr>
          <w:rStyle w:val="FootnoteReference"/>
        </w:rPr>
        <w:footnoteRef/>
      </w:r>
      <w:r>
        <w:t xml:space="preserve"> </w:t>
      </w:r>
      <w:r>
        <w:rPr>
          <w:i/>
          <w:lang w:val="en-ZA"/>
        </w:rPr>
        <w:t>University of Johannesburg v Auckland Park Theological Semina</w:t>
      </w:r>
      <w:r w:rsidR="00B77BBC">
        <w:rPr>
          <w:i/>
          <w:lang w:val="en-ZA"/>
        </w:rPr>
        <w:t>r</w:t>
      </w:r>
      <w:r>
        <w:rPr>
          <w:i/>
          <w:lang w:val="en-ZA"/>
        </w:rPr>
        <w:t>y</w:t>
      </w:r>
      <w:r w:rsidR="00B77BBC">
        <w:rPr>
          <w:lang w:val="en-ZA"/>
        </w:rPr>
        <w:t xml:space="preserve"> 2021(6) SA 1 (CC)</w:t>
      </w:r>
    </w:p>
  </w:footnote>
  <w:footnote w:id="7">
    <w:p w14:paraId="638DD87B" w14:textId="04B7C6F3" w:rsidR="001F7EB8" w:rsidRPr="00523E23" w:rsidRDefault="001F7EB8" w:rsidP="004D1A83">
      <w:pPr>
        <w:pStyle w:val="FootnoteText"/>
        <w:spacing w:before="240"/>
        <w:rPr>
          <w:lang w:val="en-ZA"/>
        </w:rPr>
      </w:pPr>
      <w:r>
        <w:rPr>
          <w:rStyle w:val="FootnoteReference"/>
        </w:rPr>
        <w:footnoteRef/>
      </w:r>
      <w:r>
        <w:t xml:space="preserve"> </w:t>
      </w:r>
      <w:r>
        <w:rPr>
          <w:lang w:val="en-ZA"/>
        </w:rPr>
        <w:t xml:space="preserve">See </w:t>
      </w:r>
      <w:r>
        <w:rPr>
          <w:i/>
          <w:lang w:val="en-ZA"/>
        </w:rPr>
        <w:t xml:space="preserve">Natal Joint Municipal Pension Fund v </w:t>
      </w:r>
      <w:proofErr w:type="spellStart"/>
      <w:r>
        <w:rPr>
          <w:i/>
          <w:lang w:val="en-ZA"/>
        </w:rPr>
        <w:t>Endumeni</w:t>
      </w:r>
      <w:proofErr w:type="spellEnd"/>
      <w:r>
        <w:rPr>
          <w:i/>
          <w:lang w:val="en-ZA"/>
        </w:rPr>
        <w:t xml:space="preserve"> Municipality</w:t>
      </w:r>
      <w:r>
        <w:rPr>
          <w:lang w:val="en-ZA"/>
        </w:rPr>
        <w:t xml:space="preserve"> 2012(4) SA 593 (SCA); </w:t>
      </w:r>
      <w:proofErr w:type="spellStart"/>
      <w:r>
        <w:rPr>
          <w:i/>
          <w:lang w:val="en-ZA"/>
        </w:rPr>
        <w:t>Botma-Batho</w:t>
      </w:r>
      <w:proofErr w:type="spellEnd"/>
      <w:r>
        <w:rPr>
          <w:i/>
          <w:lang w:val="en-ZA"/>
        </w:rPr>
        <w:t xml:space="preserve"> Transport (</w:t>
      </w:r>
      <w:proofErr w:type="spellStart"/>
      <w:r>
        <w:rPr>
          <w:i/>
          <w:lang w:val="en-ZA"/>
        </w:rPr>
        <w:t>Edms</w:t>
      </w:r>
      <w:proofErr w:type="spellEnd"/>
      <w:r>
        <w:rPr>
          <w:i/>
          <w:lang w:val="en-ZA"/>
        </w:rPr>
        <w:t xml:space="preserve">) </w:t>
      </w:r>
      <w:proofErr w:type="spellStart"/>
      <w:r>
        <w:rPr>
          <w:i/>
          <w:lang w:val="en-ZA"/>
        </w:rPr>
        <w:t>Bpk</w:t>
      </w:r>
      <w:proofErr w:type="spellEnd"/>
      <w:r>
        <w:rPr>
          <w:i/>
          <w:lang w:val="en-ZA"/>
        </w:rPr>
        <w:t xml:space="preserve"> v S </w:t>
      </w:r>
      <w:proofErr w:type="spellStart"/>
      <w:r>
        <w:rPr>
          <w:i/>
          <w:lang w:val="en-ZA"/>
        </w:rPr>
        <w:t>Botma</w:t>
      </w:r>
      <w:proofErr w:type="spellEnd"/>
      <w:r>
        <w:rPr>
          <w:i/>
          <w:lang w:val="en-ZA"/>
        </w:rPr>
        <w:t xml:space="preserve"> &amp; </w:t>
      </w:r>
      <w:proofErr w:type="spellStart"/>
      <w:r>
        <w:rPr>
          <w:i/>
          <w:lang w:val="en-ZA"/>
        </w:rPr>
        <w:t>Seun</w:t>
      </w:r>
      <w:proofErr w:type="spellEnd"/>
      <w:r>
        <w:rPr>
          <w:i/>
          <w:lang w:val="en-ZA"/>
        </w:rPr>
        <w:t xml:space="preserve"> Transport (</w:t>
      </w:r>
      <w:proofErr w:type="spellStart"/>
      <w:r>
        <w:rPr>
          <w:i/>
          <w:lang w:val="en-ZA"/>
        </w:rPr>
        <w:t>Edms</w:t>
      </w:r>
      <w:proofErr w:type="spellEnd"/>
      <w:r>
        <w:rPr>
          <w:i/>
          <w:lang w:val="en-ZA"/>
        </w:rPr>
        <w:t xml:space="preserve">) </w:t>
      </w:r>
      <w:proofErr w:type="spellStart"/>
      <w:r>
        <w:rPr>
          <w:i/>
          <w:lang w:val="en-ZA"/>
        </w:rPr>
        <w:t>Bpk</w:t>
      </w:r>
      <w:proofErr w:type="spellEnd"/>
      <w:r>
        <w:rPr>
          <w:lang w:val="en-ZA"/>
        </w:rPr>
        <w:t xml:space="preserve"> 2014(2) SA 494 (SCA); see also </w:t>
      </w:r>
      <w:r>
        <w:rPr>
          <w:i/>
          <w:lang w:val="en-ZA"/>
        </w:rPr>
        <w:t xml:space="preserve">Minister of Police v Fidelity Security Services (Pty) Ltd </w:t>
      </w:r>
      <w:r>
        <w:rPr>
          <w:lang w:val="en-ZA"/>
        </w:rPr>
        <w:t>2023(3) BCLR 270 (CC)</w:t>
      </w:r>
    </w:p>
  </w:footnote>
  <w:footnote w:id="8">
    <w:p w14:paraId="1E555B7C" w14:textId="33D56841" w:rsidR="001F7EB8" w:rsidRPr="009B465B" w:rsidRDefault="001F7EB8">
      <w:pPr>
        <w:pStyle w:val="FootnoteText"/>
        <w:rPr>
          <w:lang w:val="en-ZA"/>
        </w:rPr>
      </w:pPr>
      <w:r>
        <w:rPr>
          <w:rStyle w:val="FootnoteReference"/>
        </w:rPr>
        <w:footnoteRef/>
      </w:r>
      <w:r>
        <w:t xml:space="preserve"> </w:t>
      </w:r>
      <w:r>
        <w:rPr>
          <w:i/>
          <w:lang w:val="en-ZA"/>
        </w:rPr>
        <w:t>University of Johannesburg v Auckland Park Theological Seminary</w:t>
      </w:r>
      <w:r w:rsidR="00B77BBC">
        <w:rPr>
          <w:i/>
          <w:lang w:val="en-ZA"/>
        </w:rPr>
        <w:t>, supra</w:t>
      </w:r>
      <w:r>
        <w:rPr>
          <w:lang w:val="en-ZA"/>
        </w:rPr>
        <w:t xml:space="preserve"> </w:t>
      </w:r>
    </w:p>
  </w:footnote>
  <w:footnote w:id="9">
    <w:p w14:paraId="168EE51F" w14:textId="6C559E8D" w:rsidR="001F7EB8" w:rsidRPr="00660FEA" w:rsidRDefault="001F7EB8">
      <w:pPr>
        <w:pStyle w:val="FootnoteText"/>
        <w:rPr>
          <w:lang w:val="en-ZA"/>
        </w:rPr>
      </w:pPr>
      <w:r>
        <w:rPr>
          <w:rStyle w:val="FootnoteReference"/>
        </w:rPr>
        <w:footnoteRef/>
      </w:r>
      <w:r>
        <w:t xml:space="preserve"> </w:t>
      </w:r>
      <w:r>
        <w:rPr>
          <w:i/>
          <w:lang w:val="en-ZA"/>
        </w:rPr>
        <w:t>Van Zyl  v Auto Commodities (Pty) Ltd</w:t>
      </w:r>
      <w:r>
        <w:rPr>
          <w:lang w:val="en-ZA"/>
        </w:rPr>
        <w:t xml:space="preserve"> 2021(5) SA 171 SCA; </w:t>
      </w:r>
      <w:r>
        <w:rPr>
          <w:i/>
          <w:lang w:val="en-ZA"/>
        </w:rPr>
        <w:t>Barry v Clearwater Estates NPC</w:t>
      </w:r>
      <w:r>
        <w:rPr>
          <w:lang w:val="en-ZA"/>
        </w:rPr>
        <w:t xml:space="preserve"> 2017(3) SA 364 (SCA)</w:t>
      </w:r>
    </w:p>
  </w:footnote>
  <w:footnote w:id="10">
    <w:p w14:paraId="21F62219" w14:textId="1B77A34B" w:rsidR="00B77BBC" w:rsidRPr="006F3543" w:rsidRDefault="00B77BBC">
      <w:pPr>
        <w:pStyle w:val="FootnoteText"/>
        <w:rPr>
          <w:lang w:val="en-ZA"/>
        </w:rPr>
      </w:pPr>
      <w:r>
        <w:rPr>
          <w:rStyle w:val="FootnoteReference"/>
        </w:rPr>
        <w:footnoteRef/>
      </w:r>
      <w:r>
        <w:t xml:space="preserve"> </w:t>
      </w:r>
      <w:r>
        <w:rPr>
          <w:i/>
          <w:lang w:val="en-ZA"/>
        </w:rPr>
        <w:t>University of Johannesburg, supra</w:t>
      </w:r>
      <w:r>
        <w:rPr>
          <w:lang w:val="en-ZA"/>
        </w:rPr>
        <w:t xml:space="preserve">; </w:t>
      </w:r>
      <w:r>
        <w:rPr>
          <w:i/>
          <w:lang w:val="en-ZA"/>
        </w:rPr>
        <w:t xml:space="preserve">United Manganese of Kalahari (Pty) Ltd v Commissioner, South African Revenue Service </w:t>
      </w:r>
      <w:r>
        <w:rPr>
          <w:lang w:val="en-ZA"/>
        </w:rPr>
        <w:t xml:space="preserve">2018(2) SA 275 (GP); </w:t>
      </w:r>
      <w:r>
        <w:rPr>
          <w:i/>
          <w:lang w:val="en-ZA"/>
        </w:rPr>
        <w:t>Commissioner, South African Revenue Service v United Manganese of Kalahari (Pty) Ltd</w:t>
      </w:r>
      <w:r>
        <w:rPr>
          <w:lang w:val="en-ZA"/>
        </w:rPr>
        <w:t xml:space="preserve"> 2020(4) SA 428 (SCA); </w:t>
      </w:r>
      <w:r w:rsidR="006F3543">
        <w:rPr>
          <w:i/>
          <w:lang w:val="en-ZA"/>
        </w:rPr>
        <w:t>National Union of Metal Workers v Aveng Trident Steel</w:t>
      </w:r>
      <w:r w:rsidR="006F3543">
        <w:rPr>
          <w:lang w:val="en-ZA"/>
        </w:rPr>
        <w:t xml:space="preserve"> 2021(2) BCLR 168 (CC)</w:t>
      </w:r>
    </w:p>
  </w:footnote>
  <w:footnote w:id="11">
    <w:p w14:paraId="08028825" w14:textId="529C755C" w:rsidR="00647C2A" w:rsidRPr="00647C2A" w:rsidRDefault="00647C2A">
      <w:pPr>
        <w:pStyle w:val="FootnoteText"/>
        <w:rPr>
          <w:lang w:val="en-ZA"/>
        </w:rPr>
      </w:pPr>
      <w:r>
        <w:rPr>
          <w:rStyle w:val="FootnoteReference"/>
        </w:rPr>
        <w:footnoteRef/>
      </w:r>
      <w:r>
        <w:t xml:space="preserve"> </w:t>
      </w:r>
      <w:r>
        <w:rPr>
          <w:i/>
          <w:lang w:val="en-ZA"/>
        </w:rPr>
        <w:t>United Manganese of Kalahari, supra</w:t>
      </w:r>
    </w:p>
  </w:footnote>
  <w:footnote w:id="12">
    <w:p w14:paraId="6B19C85A" w14:textId="2054E181" w:rsidR="000176BF" w:rsidRPr="000176BF" w:rsidRDefault="000176BF">
      <w:pPr>
        <w:pStyle w:val="FootnoteText"/>
        <w:rPr>
          <w:lang w:val="en-ZA"/>
        </w:rPr>
      </w:pPr>
      <w:r>
        <w:rPr>
          <w:rStyle w:val="FootnoteReference"/>
        </w:rPr>
        <w:footnoteRef/>
      </w:r>
      <w:r>
        <w:t xml:space="preserve"> See </w:t>
      </w:r>
      <w:r>
        <w:rPr>
          <w:i/>
        </w:rPr>
        <w:t>Forestry South Africa v Minister of Human Settlements, Water and Sanitation</w:t>
      </w:r>
      <w:r>
        <w:t xml:space="preserve"> [2024] 1 All SA 22 (SCA) </w:t>
      </w:r>
    </w:p>
  </w:footnote>
  <w:footnote w:id="13">
    <w:p w14:paraId="2D3EB38A" w14:textId="29EC6890" w:rsidR="000176BF" w:rsidRPr="000176BF" w:rsidRDefault="000176BF">
      <w:pPr>
        <w:pStyle w:val="FootnoteText"/>
        <w:rPr>
          <w:lang w:val="en-ZA"/>
        </w:rPr>
      </w:pPr>
      <w:r>
        <w:rPr>
          <w:rStyle w:val="FootnoteReference"/>
        </w:rPr>
        <w:footnoteRef/>
      </w:r>
      <w:r>
        <w:t xml:space="preserve"> See </w:t>
      </w:r>
      <w:r>
        <w:rPr>
          <w:i/>
        </w:rPr>
        <w:t>BP Southern Africa (Pty) Ltd v Commissioner for the South African Revenue Service</w:t>
      </w:r>
      <w:r>
        <w:t xml:space="preserve"> [2024] ZASCA 2 (SCA)</w:t>
      </w:r>
    </w:p>
  </w:footnote>
  <w:footnote w:id="14">
    <w:p w14:paraId="7ABBF6F4" w14:textId="53313F29" w:rsidR="008C695E" w:rsidRPr="008C695E" w:rsidRDefault="008C695E">
      <w:pPr>
        <w:pStyle w:val="FootnoteText"/>
        <w:rPr>
          <w:lang w:val="en-ZA"/>
        </w:rPr>
      </w:pPr>
      <w:r>
        <w:rPr>
          <w:rStyle w:val="FootnoteReference"/>
        </w:rPr>
        <w:footnoteRef/>
      </w:r>
      <w:r>
        <w:t xml:space="preserve"> </w:t>
      </w:r>
      <w:r>
        <w:rPr>
          <w:i/>
          <w:lang w:val="en-ZA"/>
        </w:rPr>
        <w:t xml:space="preserve">Competition Commission v </w:t>
      </w:r>
      <w:proofErr w:type="spellStart"/>
      <w:r>
        <w:rPr>
          <w:i/>
          <w:lang w:val="en-ZA"/>
        </w:rPr>
        <w:t>Hosken</w:t>
      </w:r>
      <w:proofErr w:type="spellEnd"/>
      <w:r>
        <w:rPr>
          <w:i/>
          <w:lang w:val="en-ZA"/>
        </w:rPr>
        <w:t xml:space="preserve"> Consolidated Investments Ltd</w:t>
      </w:r>
      <w:r>
        <w:rPr>
          <w:lang w:val="en-ZA"/>
        </w:rPr>
        <w:t xml:space="preserve"> 2019(3) SA 1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FBE" w14:textId="77777777" w:rsidR="001F7EB8" w:rsidRDefault="001F7EB8" w:rsidP="001F7E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1F7EB8" w:rsidRDefault="001F7EB8" w:rsidP="00FF66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571" w14:textId="17885C1A" w:rsidR="001F7EB8" w:rsidRDefault="001F7EB8" w:rsidP="001F7E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C42">
      <w:rPr>
        <w:rStyle w:val="PageNumber"/>
        <w:noProof/>
      </w:rPr>
      <w:t>10</w:t>
    </w:r>
    <w:r>
      <w:rPr>
        <w:rStyle w:val="PageNumber"/>
      </w:rPr>
      <w:fldChar w:fldCharType="end"/>
    </w:r>
  </w:p>
  <w:p w14:paraId="3A348D61" w14:textId="77777777" w:rsidR="001F7EB8" w:rsidRDefault="001F7EB8" w:rsidP="00FF66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177"/>
    <w:multiLevelType w:val="hybridMultilevel"/>
    <w:tmpl w:val="51A47A8E"/>
    <w:lvl w:ilvl="0" w:tplc="384E7CBC">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D4667AA"/>
    <w:multiLevelType w:val="hybridMultilevel"/>
    <w:tmpl w:val="51A47A8E"/>
    <w:lvl w:ilvl="0" w:tplc="384E7CBC">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0A60A74"/>
    <w:multiLevelType w:val="hybridMultilevel"/>
    <w:tmpl w:val="D40093AA"/>
    <w:lvl w:ilvl="0" w:tplc="5874EC72">
      <w:start w:val="1"/>
      <w:numFmt w:val="lowerLetter"/>
      <w:lvlText w:val="(%1)"/>
      <w:lvlJc w:val="left"/>
      <w:pPr>
        <w:ind w:left="2520" w:hanging="360"/>
      </w:pPr>
      <w:rPr>
        <w:rFonts w:ascii="Arial" w:hAnsi="Arial" w:cs="Arial"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4A5850AF"/>
    <w:multiLevelType w:val="hybridMultilevel"/>
    <w:tmpl w:val="AFA271DE"/>
    <w:lvl w:ilvl="0" w:tplc="CC4AD60C">
      <w:start w:val="1"/>
      <w:numFmt w:val="decimal"/>
      <w:lvlText w:val="%1"/>
      <w:lvlJc w:val="left"/>
      <w:pPr>
        <w:ind w:left="1440" w:hanging="72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176BF"/>
    <w:rsid w:val="000326B3"/>
    <w:rsid w:val="000412D9"/>
    <w:rsid w:val="00056358"/>
    <w:rsid w:val="00063285"/>
    <w:rsid w:val="00076458"/>
    <w:rsid w:val="000929B0"/>
    <w:rsid w:val="000A2A1B"/>
    <w:rsid w:val="000A7AE3"/>
    <w:rsid w:val="000C05B5"/>
    <w:rsid w:val="000C72A8"/>
    <w:rsid w:val="000F6EB3"/>
    <w:rsid w:val="0011627D"/>
    <w:rsid w:val="001212B0"/>
    <w:rsid w:val="00150F1D"/>
    <w:rsid w:val="001517BB"/>
    <w:rsid w:val="00172224"/>
    <w:rsid w:val="00176E57"/>
    <w:rsid w:val="001A651D"/>
    <w:rsid w:val="001B6D0F"/>
    <w:rsid w:val="001C5F9B"/>
    <w:rsid w:val="001D55E3"/>
    <w:rsid w:val="001F7EB8"/>
    <w:rsid w:val="00216E8C"/>
    <w:rsid w:val="00233EB5"/>
    <w:rsid w:val="0024521D"/>
    <w:rsid w:val="00280036"/>
    <w:rsid w:val="002867D5"/>
    <w:rsid w:val="002909C1"/>
    <w:rsid w:val="002A4915"/>
    <w:rsid w:val="002A4C19"/>
    <w:rsid w:val="0036087C"/>
    <w:rsid w:val="00375843"/>
    <w:rsid w:val="0039275F"/>
    <w:rsid w:val="00394333"/>
    <w:rsid w:val="003C2049"/>
    <w:rsid w:val="003E0CBC"/>
    <w:rsid w:val="003E2E7A"/>
    <w:rsid w:val="00412FFF"/>
    <w:rsid w:val="00430A24"/>
    <w:rsid w:val="00436FD5"/>
    <w:rsid w:val="00446325"/>
    <w:rsid w:val="0045032E"/>
    <w:rsid w:val="00456DF1"/>
    <w:rsid w:val="00494D24"/>
    <w:rsid w:val="004A4C42"/>
    <w:rsid w:val="004A7AC2"/>
    <w:rsid w:val="004B7676"/>
    <w:rsid w:val="004B7B42"/>
    <w:rsid w:val="004D1A83"/>
    <w:rsid w:val="004D3B99"/>
    <w:rsid w:val="004D4B1F"/>
    <w:rsid w:val="00501292"/>
    <w:rsid w:val="00512A08"/>
    <w:rsid w:val="00523E23"/>
    <w:rsid w:val="00543FCA"/>
    <w:rsid w:val="00557C6D"/>
    <w:rsid w:val="00564B22"/>
    <w:rsid w:val="0057041F"/>
    <w:rsid w:val="005918EC"/>
    <w:rsid w:val="00591EF2"/>
    <w:rsid w:val="00594D12"/>
    <w:rsid w:val="005C7331"/>
    <w:rsid w:val="00604BE9"/>
    <w:rsid w:val="00626572"/>
    <w:rsid w:val="006450C9"/>
    <w:rsid w:val="00647C2A"/>
    <w:rsid w:val="00660FEA"/>
    <w:rsid w:val="00674B46"/>
    <w:rsid w:val="006C7C31"/>
    <w:rsid w:val="006E1C8C"/>
    <w:rsid w:val="006E2C06"/>
    <w:rsid w:val="006E62D9"/>
    <w:rsid w:val="006E7B7A"/>
    <w:rsid w:val="006F3543"/>
    <w:rsid w:val="007107E8"/>
    <w:rsid w:val="0073102A"/>
    <w:rsid w:val="007331E2"/>
    <w:rsid w:val="00770121"/>
    <w:rsid w:val="00774EB6"/>
    <w:rsid w:val="007B3295"/>
    <w:rsid w:val="007D0476"/>
    <w:rsid w:val="007D7728"/>
    <w:rsid w:val="0080354E"/>
    <w:rsid w:val="00822ACD"/>
    <w:rsid w:val="00855DCD"/>
    <w:rsid w:val="00890382"/>
    <w:rsid w:val="008C695E"/>
    <w:rsid w:val="008C764F"/>
    <w:rsid w:val="008F72C5"/>
    <w:rsid w:val="009072A1"/>
    <w:rsid w:val="00917598"/>
    <w:rsid w:val="00956041"/>
    <w:rsid w:val="00962CFE"/>
    <w:rsid w:val="00970DBF"/>
    <w:rsid w:val="00975794"/>
    <w:rsid w:val="00980E39"/>
    <w:rsid w:val="0099149F"/>
    <w:rsid w:val="00996251"/>
    <w:rsid w:val="009B465B"/>
    <w:rsid w:val="009B7221"/>
    <w:rsid w:val="009C07B7"/>
    <w:rsid w:val="009D25EE"/>
    <w:rsid w:val="009F48E5"/>
    <w:rsid w:val="009F73E5"/>
    <w:rsid w:val="00A01506"/>
    <w:rsid w:val="00A03141"/>
    <w:rsid w:val="00A374AE"/>
    <w:rsid w:val="00A37F01"/>
    <w:rsid w:val="00A41CB0"/>
    <w:rsid w:val="00A62E7F"/>
    <w:rsid w:val="00A86C75"/>
    <w:rsid w:val="00A9310E"/>
    <w:rsid w:val="00B12DA6"/>
    <w:rsid w:val="00B30239"/>
    <w:rsid w:val="00B402B9"/>
    <w:rsid w:val="00B50968"/>
    <w:rsid w:val="00B55E2C"/>
    <w:rsid w:val="00B77BBC"/>
    <w:rsid w:val="00BA3A11"/>
    <w:rsid w:val="00BA516A"/>
    <w:rsid w:val="00BE23CA"/>
    <w:rsid w:val="00BF7D27"/>
    <w:rsid w:val="00C33C5B"/>
    <w:rsid w:val="00C40014"/>
    <w:rsid w:val="00C603C4"/>
    <w:rsid w:val="00C752D6"/>
    <w:rsid w:val="00C754C3"/>
    <w:rsid w:val="00CA571F"/>
    <w:rsid w:val="00CB5A04"/>
    <w:rsid w:val="00CC7FBF"/>
    <w:rsid w:val="00CF1EA3"/>
    <w:rsid w:val="00D342DC"/>
    <w:rsid w:val="00D36692"/>
    <w:rsid w:val="00D36F47"/>
    <w:rsid w:val="00D443BC"/>
    <w:rsid w:val="00D836E1"/>
    <w:rsid w:val="00DB6529"/>
    <w:rsid w:val="00DD2AA1"/>
    <w:rsid w:val="00E45B36"/>
    <w:rsid w:val="00E64BBA"/>
    <w:rsid w:val="00E7285F"/>
    <w:rsid w:val="00E72AD7"/>
    <w:rsid w:val="00E8574B"/>
    <w:rsid w:val="00EC6A8E"/>
    <w:rsid w:val="00EF5810"/>
    <w:rsid w:val="00F1104D"/>
    <w:rsid w:val="00F30FE0"/>
    <w:rsid w:val="00F325A3"/>
    <w:rsid w:val="00F33822"/>
    <w:rsid w:val="00F44F6F"/>
    <w:rsid w:val="00FA5753"/>
    <w:rsid w:val="00FC14C7"/>
    <w:rsid w:val="00FD0BE2"/>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512A08"/>
    <w:rPr>
      <w:sz w:val="20"/>
      <w:szCs w:val="20"/>
    </w:rPr>
  </w:style>
  <w:style w:type="character" w:customStyle="1" w:styleId="FootnoteTextChar">
    <w:name w:val="Footnote Text Char"/>
    <w:basedOn w:val="DefaultParagraphFont"/>
    <w:link w:val="FootnoteText"/>
    <w:uiPriority w:val="99"/>
    <w:semiHidden/>
    <w:rsid w:val="00512A08"/>
    <w:rPr>
      <w:rFonts w:ascii="Arial" w:hAnsi="Arial"/>
      <w:sz w:val="20"/>
      <w:szCs w:val="20"/>
      <w:lang w:val="en-GB"/>
    </w:rPr>
  </w:style>
  <w:style w:type="character" w:styleId="FootnoteReference">
    <w:name w:val="footnote reference"/>
    <w:basedOn w:val="DefaultParagraphFont"/>
    <w:uiPriority w:val="99"/>
    <w:semiHidden/>
    <w:unhideWhenUsed/>
    <w:rsid w:val="00512A08"/>
    <w:rPr>
      <w:vertAlign w:val="superscript"/>
    </w:rPr>
  </w:style>
  <w:style w:type="paragraph" w:styleId="BalloonText">
    <w:name w:val="Balloon Text"/>
    <w:basedOn w:val="Normal"/>
    <w:link w:val="BalloonTextChar"/>
    <w:uiPriority w:val="99"/>
    <w:semiHidden/>
    <w:unhideWhenUsed/>
    <w:rsid w:val="007B3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9FF6-DC4C-441E-8A0C-3D652F31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Bokka VZyl</cp:lastModifiedBy>
  <cp:revision>5</cp:revision>
  <cp:lastPrinted>2024-03-18T09:10:00Z</cp:lastPrinted>
  <dcterms:created xsi:type="dcterms:W3CDTF">2024-03-26T07:13:00Z</dcterms:created>
  <dcterms:modified xsi:type="dcterms:W3CDTF">2024-03-26T07:32:00Z</dcterms:modified>
</cp:coreProperties>
</file>