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A4BE" w14:textId="77777777" w:rsidR="006715C9" w:rsidRPr="00B328B8" w:rsidRDefault="006715C9" w:rsidP="00F60AE1">
      <w:pPr>
        <w:tabs>
          <w:tab w:val="left" w:pos="720"/>
          <w:tab w:val="left" w:pos="1440"/>
        </w:tabs>
        <w:jc w:val="center"/>
        <w:rPr>
          <w:rFonts w:ascii="CG Times" w:hAnsi="CG Times" w:cs="Arial"/>
          <w:b/>
          <w:sz w:val="26"/>
          <w:szCs w:val="26"/>
          <w:lang w:val="en-ZA"/>
        </w:rPr>
      </w:pPr>
      <w:bookmarkStart w:id="0" w:name="_GoBack"/>
      <w:bookmarkEnd w:id="0"/>
      <w:r w:rsidRPr="00B328B8">
        <w:rPr>
          <w:rFonts w:ascii="CG Times" w:hAnsi="CG Times"/>
          <w:noProof/>
          <w:sz w:val="26"/>
          <w:szCs w:val="26"/>
          <w:lang w:val="en-ZA" w:eastAsia="en-ZA"/>
        </w:rPr>
        <w:drawing>
          <wp:inline distT="0" distB="0" distL="0" distR="0" wp14:anchorId="30997123" wp14:editId="099609FC">
            <wp:extent cx="1296000" cy="1296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16EECC91" w14:textId="77777777" w:rsidR="00956600" w:rsidRPr="00B328B8" w:rsidRDefault="00956600" w:rsidP="006715C9">
      <w:pPr>
        <w:jc w:val="center"/>
        <w:rPr>
          <w:rFonts w:ascii="CG Times" w:hAnsi="CG Times" w:cs="Arial"/>
          <w:b/>
          <w:sz w:val="26"/>
          <w:szCs w:val="26"/>
          <w:lang w:val="en-ZA"/>
        </w:rPr>
      </w:pPr>
      <w:r w:rsidRPr="00B328B8">
        <w:rPr>
          <w:rFonts w:ascii="CG Times" w:hAnsi="CG Times" w:cs="Arial"/>
          <w:b/>
          <w:sz w:val="26"/>
          <w:szCs w:val="26"/>
          <w:lang w:val="en-ZA"/>
        </w:rPr>
        <w:t>IN THE HIGH COURT OF SOUTH AFRICA</w:t>
      </w:r>
    </w:p>
    <w:p w14:paraId="622A8B59" w14:textId="6E17ED4E" w:rsidR="00956600" w:rsidRPr="00B328B8" w:rsidRDefault="008F356B"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 xml:space="preserve">(GAUTENG DIVISION, </w:t>
      </w:r>
      <w:r w:rsidR="006A4D21">
        <w:rPr>
          <w:rFonts w:ascii="CG Times" w:hAnsi="CG Times" w:cs="Arial"/>
          <w:b/>
          <w:sz w:val="26"/>
          <w:szCs w:val="26"/>
          <w:lang w:val="en-ZA"/>
        </w:rPr>
        <w:t>PRETORIA</w:t>
      </w:r>
      <w:r w:rsidR="00956600" w:rsidRPr="00B328B8">
        <w:rPr>
          <w:rFonts w:ascii="CG Times" w:hAnsi="CG Times" w:cs="Arial"/>
          <w:b/>
          <w:sz w:val="26"/>
          <w:szCs w:val="26"/>
          <w:lang w:val="en-ZA"/>
        </w:rPr>
        <w:t>)</w:t>
      </w:r>
    </w:p>
    <w:p w14:paraId="1530C9C6" w14:textId="77777777" w:rsidR="00956600" w:rsidRPr="00B328B8" w:rsidRDefault="00956600" w:rsidP="00956600">
      <w:pPr>
        <w:tabs>
          <w:tab w:val="left" w:pos="720"/>
          <w:tab w:val="left" w:pos="1440"/>
          <w:tab w:val="right" w:pos="8640"/>
        </w:tabs>
        <w:rPr>
          <w:rFonts w:ascii="CG Times" w:hAnsi="CG Times" w:cs="Arial"/>
          <w:b/>
          <w:sz w:val="26"/>
          <w:szCs w:val="26"/>
          <w:lang w:val="en-ZA"/>
        </w:rPr>
      </w:pPr>
    </w:p>
    <w:p w14:paraId="0BB96EC0" w14:textId="06D1C2D3" w:rsidR="00956600" w:rsidRPr="00E70F95" w:rsidRDefault="00956600" w:rsidP="00AF129D">
      <w:pPr>
        <w:tabs>
          <w:tab w:val="left" w:pos="720"/>
          <w:tab w:val="left" w:pos="1440"/>
          <w:tab w:val="right" w:pos="8640"/>
        </w:tabs>
        <w:jc w:val="center"/>
        <w:rPr>
          <w:rFonts w:ascii="CG Times" w:hAnsi="CG Times" w:cs="Arial"/>
          <w:b/>
          <w:bCs/>
          <w:sz w:val="26"/>
          <w:szCs w:val="26"/>
          <w:lang w:val="en-ZA"/>
        </w:rPr>
      </w:pPr>
    </w:p>
    <w:p w14:paraId="402C0668" w14:textId="77777777" w:rsidR="00E70F95" w:rsidRPr="00B328B8" w:rsidRDefault="00E70F95" w:rsidP="00956600">
      <w:pPr>
        <w:tabs>
          <w:tab w:val="left" w:pos="720"/>
          <w:tab w:val="left" w:pos="1440"/>
          <w:tab w:val="right" w:pos="8640"/>
        </w:tabs>
        <w:jc w:val="right"/>
        <w:rPr>
          <w:rFonts w:ascii="CG Times" w:hAnsi="CG Times" w:cs="Arial"/>
          <w:sz w:val="26"/>
          <w:szCs w:val="26"/>
          <w:lang w:val="en-ZA"/>
        </w:rPr>
      </w:pPr>
    </w:p>
    <w:p w14:paraId="63DA699B" w14:textId="160CE22D" w:rsidR="00956600" w:rsidRPr="00B328B8" w:rsidRDefault="00956600" w:rsidP="006715C9">
      <w:pPr>
        <w:tabs>
          <w:tab w:val="left" w:pos="720"/>
          <w:tab w:val="left" w:pos="1440"/>
        </w:tabs>
        <w:jc w:val="right"/>
        <w:rPr>
          <w:rFonts w:ascii="CG Times" w:hAnsi="CG Times" w:cs="Arial"/>
          <w:sz w:val="26"/>
          <w:szCs w:val="26"/>
          <w:lang w:val="en-ZA"/>
        </w:rPr>
      </w:pPr>
      <w:r w:rsidRPr="00B328B8">
        <w:rPr>
          <w:rFonts w:ascii="CG Times" w:hAnsi="CG Times" w:cs="Arial"/>
          <w:sz w:val="26"/>
          <w:szCs w:val="26"/>
          <w:lang w:val="en-ZA"/>
        </w:rPr>
        <w:t xml:space="preserve">CASE NO: </w:t>
      </w:r>
      <w:r w:rsidR="006A4D21">
        <w:rPr>
          <w:rFonts w:ascii="CG Times" w:hAnsi="CG Times" w:cs="Arial"/>
          <w:sz w:val="26"/>
          <w:szCs w:val="26"/>
          <w:lang w:val="en-ZA"/>
        </w:rPr>
        <w:t>1</w:t>
      </w:r>
      <w:r w:rsidR="00B97417">
        <w:rPr>
          <w:rFonts w:ascii="CG Times" w:hAnsi="CG Times" w:cs="Arial"/>
          <w:sz w:val="26"/>
          <w:szCs w:val="26"/>
          <w:lang w:val="en-ZA"/>
        </w:rPr>
        <w:t>5</w:t>
      </w:r>
      <w:r w:rsidR="006A4D21">
        <w:rPr>
          <w:rFonts w:ascii="CG Times" w:hAnsi="CG Times" w:cs="Arial"/>
          <w:sz w:val="26"/>
          <w:szCs w:val="26"/>
          <w:lang w:val="en-ZA"/>
        </w:rPr>
        <w:t>86</w:t>
      </w:r>
      <w:r w:rsidR="00CF3C2C">
        <w:rPr>
          <w:rFonts w:ascii="CG Times" w:hAnsi="CG Times" w:cs="Arial"/>
          <w:sz w:val="26"/>
          <w:szCs w:val="26"/>
          <w:lang w:val="en-ZA"/>
        </w:rPr>
        <w:t>7</w:t>
      </w:r>
      <w:r w:rsidR="001F2B59" w:rsidRPr="00B328B8">
        <w:rPr>
          <w:rFonts w:ascii="CG Times" w:hAnsi="CG Times" w:cs="Arial"/>
          <w:sz w:val="26"/>
          <w:szCs w:val="26"/>
          <w:lang w:val="en-ZA"/>
        </w:rPr>
        <w:t>/20</w:t>
      </w:r>
      <w:r w:rsidR="00CF3C2C">
        <w:rPr>
          <w:rFonts w:ascii="CG Times" w:hAnsi="CG Times" w:cs="Arial"/>
          <w:sz w:val="26"/>
          <w:szCs w:val="26"/>
          <w:lang w:val="en-ZA"/>
        </w:rPr>
        <w:t>2</w:t>
      </w:r>
      <w:r w:rsidR="006A4D21">
        <w:rPr>
          <w:rFonts w:ascii="CG Times" w:hAnsi="CG Times" w:cs="Arial"/>
          <w:sz w:val="26"/>
          <w:szCs w:val="26"/>
          <w:lang w:val="en-ZA"/>
        </w:rPr>
        <w:t>2</w:t>
      </w:r>
    </w:p>
    <w:p w14:paraId="4D123F71" w14:textId="77777777" w:rsidR="00956600" w:rsidRPr="00B328B8" w:rsidRDefault="00956600" w:rsidP="00956600">
      <w:pPr>
        <w:tabs>
          <w:tab w:val="left" w:pos="720"/>
          <w:tab w:val="left" w:pos="1440"/>
          <w:tab w:val="right" w:pos="8640"/>
        </w:tabs>
        <w:jc w:val="right"/>
        <w:rPr>
          <w:rFonts w:ascii="CG Times" w:hAnsi="CG Times" w:cs="Arial"/>
          <w:sz w:val="26"/>
          <w:szCs w:val="26"/>
          <w:lang w:val="en-ZA"/>
        </w:rPr>
      </w:pPr>
    </w:p>
    <w:p w14:paraId="5018AD9D" w14:textId="77777777" w:rsidR="00956600" w:rsidRPr="00B328B8" w:rsidRDefault="00956600" w:rsidP="00956600">
      <w:pPr>
        <w:tabs>
          <w:tab w:val="left" w:pos="720"/>
          <w:tab w:val="left" w:pos="1440"/>
          <w:tab w:val="right" w:pos="8640"/>
        </w:tabs>
        <w:rPr>
          <w:rFonts w:ascii="CG Times" w:hAnsi="CG Times" w:cs="Arial"/>
          <w:sz w:val="26"/>
          <w:szCs w:val="26"/>
          <w:lang w:val="en-ZA"/>
        </w:rPr>
      </w:pPr>
      <w:r w:rsidRPr="00B328B8">
        <w:rPr>
          <w:rFonts w:ascii="CG Times" w:hAnsi="CG Times" w:cs="Arial"/>
          <w:sz w:val="26"/>
          <w:szCs w:val="26"/>
          <w:lang w:val="en-ZA"/>
        </w:rPr>
        <w:t>In the matter between:</w:t>
      </w:r>
    </w:p>
    <w:p w14:paraId="5DC93886" w14:textId="77777777" w:rsidR="008F356B" w:rsidRPr="00B97417" w:rsidRDefault="008F356B" w:rsidP="00B97417">
      <w:pPr>
        <w:tabs>
          <w:tab w:val="left" w:pos="720"/>
          <w:tab w:val="left" w:pos="1440"/>
          <w:tab w:val="right" w:pos="8640"/>
        </w:tabs>
        <w:rPr>
          <w:b/>
          <w:sz w:val="26"/>
          <w:szCs w:val="26"/>
          <w:u w:val="single"/>
        </w:rPr>
      </w:pPr>
    </w:p>
    <w:p w14:paraId="0CAEFC81" w14:textId="6553B867" w:rsidR="00B97417" w:rsidRPr="00B97417" w:rsidRDefault="0075271B" w:rsidP="00B97417">
      <w:pPr>
        <w:pStyle w:val="Parties"/>
        <w:rPr>
          <w:rFonts w:ascii="Times New Roman" w:hAnsi="Times New Roman"/>
          <w:b/>
          <w:sz w:val="26"/>
          <w:szCs w:val="26"/>
        </w:rPr>
      </w:pPr>
      <w:r>
        <w:rPr>
          <w:rFonts w:ascii="Times New Roman" w:hAnsi="Times New Roman"/>
          <w:b/>
          <w:sz w:val="26"/>
          <w:szCs w:val="26"/>
        </w:rPr>
        <w:t xml:space="preserve">S A HERITAGE RESOURCES AGENCY </w:t>
      </w:r>
      <w:r w:rsidR="00B97417" w:rsidRPr="00B97417">
        <w:rPr>
          <w:rFonts w:ascii="Times New Roman" w:hAnsi="Times New Roman"/>
          <w:b/>
          <w:sz w:val="26"/>
          <w:szCs w:val="26"/>
        </w:rPr>
        <w:tab/>
      </w:r>
      <w:r w:rsidRPr="0075271B">
        <w:rPr>
          <w:rFonts w:ascii="Times New Roman" w:hAnsi="Times New Roman"/>
          <w:bCs/>
          <w:sz w:val="26"/>
          <w:szCs w:val="26"/>
        </w:rPr>
        <w:t xml:space="preserve">First </w:t>
      </w:r>
      <w:r w:rsidR="00B97417" w:rsidRPr="00B97417">
        <w:rPr>
          <w:rFonts w:ascii="Times New Roman" w:hAnsi="Times New Roman"/>
          <w:sz w:val="26"/>
          <w:szCs w:val="26"/>
        </w:rPr>
        <w:t>Applicant</w:t>
      </w:r>
    </w:p>
    <w:p w14:paraId="650AE964" w14:textId="3C8199EA" w:rsidR="00CC5A5B" w:rsidRDefault="0078271E" w:rsidP="00B97417">
      <w:pPr>
        <w:pStyle w:val="Parties"/>
        <w:rPr>
          <w:rFonts w:ascii="Times New Roman" w:hAnsi="Times New Roman"/>
          <w:bCs/>
          <w:sz w:val="26"/>
          <w:szCs w:val="26"/>
        </w:rPr>
      </w:pPr>
      <w:r>
        <w:rPr>
          <w:rFonts w:ascii="Times New Roman" w:hAnsi="Times New Roman"/>
          <w:b/>
          <w:sz w:val="26"/>
          <w:szCs w:val="26"/>
        </w:rPr>
        <w:t>ROBB</w:t>
      </w:r>
      <w:r w:rsidR="00F01B6E">
        <w:rPr>
          <w:rFonts w:ascii="Times New Roman" w:hAnsi="Times New Roman"/>
          <w:b/>
          <w:sz w:val="26"/>
          <w:szCs w:val="26"/>
        </w:rPr>
        <w:t>E</w:t>
      </w:r>
      <w:r>
        <w:rPr>
          <w:rFonts w:ascii="Times New Roman" w:hAnsi="Times New Roman"/>
          <w:b/>
          <w:sz w:val="26"/>
          <w:szCs w:val="26"/>
        </w:rPr>
        <w:t xml:space="preserve">N ISLAND MUSEUM                                                     </w:t>
      </w:r>
      <w:r w:rsidR="00CC5A5B">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bCs/>
          <w:sz w:val="26"/>
          <w:szCs w:val="26"/>
        </w:rPr>
        <w:t>Second Applicant</w:t>
      </w:r>
    </w:p>
    <w:p w14:paraId="2BE06148" w14:textId="77777777" w:rsidR="007F1176" w:rsidRDefault="00351AB8" w:rsidP="00B97417">
      <w:pPr>
        <w:pStyle w:val="Parties"/>
        <w:rPr>
          <w:rFonts w:ascii="Times New Roman" w:hAnsi="Times New Roman"/>
          <w:bCs/>
          <w:sz w:val="26"/>
          <w:szCs w:val="26"/>
        </w:rPr>
      </w:pPr>
      <w:r>
        <w:rPr>
          <w:rFonts w:ascii="Times New Roman" w:hAnsi="Times New Roman"/>
          <w:b/>
          <w:sz w:val="26"/>
          <w:szCs w:val="26"/>
        </w:rPr>
        <w:t>DEPT OF SPORTS, ARTS &amp; CULTURE</w:t>
      </w:r>
      <w:r w:rsidR="00CC5A5B">
        <w:rPr>
          <w:rFonts w:ascii="Times New Roman" w:hAnsi="Times New Roman"/>
          <w:b/>
          <w:sz w:val="26"/>
          <w:szCs w:val="26"/>
        </w:rPr>
        <w:t xml:space="preserve">                                           </w:t>
      </w:r>
      <w:r w:rsidR="00CC5A5B">
        <w:rPr>
          <w:rFonts w:ascii="Times New Roman" w:hAnsi="Times New Roman"/>
          <w:bCs/>
          <w:sz w:val="26"/>
          <w:szCs w:val="26"/>
        </w:rPr>
        <w:t>Third Applicant</w:t>
      </w:r>
    </w:p>
    <w:p w14:paraId="30198641" w14:textId="1635E008" w:rsidR="00B97417" w:rsidRPr="00B97417" w:rsidRDefault="00B97417" w:rsidP="00B97417">
      <w:pPr>
        <w:pStyle w:val="Parties"/>
        <w:rPr>
          <w:rFonts w:ascii="Times New Roman" w:hAnsi="Times New Roman"/>
          <w:sz w:val="26"/>
          <w:szCs w:val="26"/>
        </w:rPr>
      </w:pPr>
      <w:r w:rsidRPr="00B97417">
        <w:rPr>
          <w:rFonts w:ascii="Times New Roman" w:hAnsi="Times New Roman"/>
          <w:sz w:val="26"/>
          <w:szCs w:val="26"/>
        </w:rPr>
        <w:tab/>
      </w:r>
    </w:p>
    <w:p w14:paraId="5894B953" w14:textId="77777777" w:rsidR="008F356B" w:rsidRPr="00B328B8" w:rsidRDefault="008F356B" w:rsidP="006715C9">
      <w:pPr>
        <w:tabs>
          <w:tab w:val="left" w:pos="720"/>
          <w:tab w:val="left" w:pos="1440"/>
          <w:tab w:val="right" w:pos="8640"/>
        </w:tabs>
        <w:jc w:val="both"/>
        <w:rPr>
          <w:rFonts w:ascii="CG Times" w:hAnsi="CG Times" w:cs="Arial"/>
          <w:sz w:val="26"/>
          <w:szCs w:val="26"/>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4"/>
      </w:tblGrid>
      <w:tr w:rsidR="007377E0" w:rsidRPr="00B328B8" w14:paraId="5F699903" w14:textId="77777777" w:rsidTr="007377E0">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5C9689EE" w14:textId="77777777"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DELETE WHICHEVER IS NOT APPLICABLE</w:t>
            </w:r>
          </w:p>
          <w:p w14:paraId="16365511" w14:textId="639B2054" w:rsidR="007377E0" w:rsidRPr="00B328B8" w:rsidRDefault="007377E0" w:rsidP="007377E0">
            <w:pPr>
              <w:pStyle w:val="ListParagraph"/>
              <w:numPr>
                <w:ilvl w:val="0"/>
                <w:numId w:val="5"/>
              </w:numPr>
              <w:ind w:left="426" w:hanging="426"/>
              <w:jc w:val="both"/>
              <w:rPr>
                <w:rFonts w:ascii="CG Times" w:hAnsi="CG Times"/>
                <w:sz w:val="26"/>
                <w:szCs w:val="26"/>
              </w:rPr>
            </w:pPr>
            <w:r w:rsidRPr="00B328B8">
              <w:rPr>
                <w:rFonts w:ascii="CG Times" w:hAnsi="CG Times"/>
                <w:sz w:val="26"/>
                <w:szCs w:val="26"/>
              </w:rPr>
              <w:t xml:space="preserve">REPORTABLE: </w:t>
            </w:r>
            <w:r w:rsidR="0053728B">
              <w:rPr>
                <w:rFonts w:ascii="CG Times" w:hAnsi="CG Times"/>
                <w:sz w:val="26"/>
                <w:szCs w:val="26"/>
              </w:rPr>
              <w:t>YES/</w:t>
            </w:r>
            <w:r w:rsidRPr="00B328B8">
              <w:rPr>
                <w:rFonts w:ascii="CG Times" w:hAnsi="CG Times"/>
                <w:sz w:val="26"/>
                <w:szCs w:val="26"/>
              </w:rPr>
              <w:t>NO</w:t>
            </w:r>
          </w:p>
          <w:p w14:paraId="3D6A2C57" w14:textId="34D87376" w:rsidR="007377E0" w:rsidRPr="00B328B8" w:rsidRDefault="007377E0" w:rsidP="007377E0">
            <w:pPr>
              <w:pStyle w:val="ListParagraph"/>
              <w:numPr>
                <w:ilvl w:val="0"/>
                <w:numId w:val="5"/>
              </w:numPr>
              <w:ind w:left="426" w:hanging="426"/>
              <w:jc w:val="both"/>
              <w:rPr>
                <w:rFonts w:ascii="CG Times" w:hAnsi="CG Times"/>
                <w:sz w:val="26"/>
                <w:szCs w:val="26"/>
              </w:rPr>
            </w:pPr>
            <w:r w:rsidRPr="00B328B8">
              <w:rPr>
                <w:rFonts w:ascii="CG Times" w:hAnsi="CG Times"/>
                <w:sz w:val="26"/>
                <w:szCs w:val="26"/>
              </w:rPr>
              <w:t xml:space="preserve">OF INTEREST TO OTHERS JUDGES: </w:t>
            </w:r>
            <w:r w:rsidR="0053728B">
              <w:rPr>
                <w:rFonts w:ascii="CG Times" w:hAnsi="CG Times"/>
                <w:sz w:val="26"/>
                <w:szCs w:val="26"/>
              </w:rPr>
              <w:t>YES/</w:t>
            </w:r>
            <w:r w:rsidRPr="00B328B8">
              <w:rPr>
                <w:rFonts w:ascii="CG Times" w:hAnsi="CG Times"/>
                <w:sz w:val="26"/>
                <w:szCs w:val="26"/>
              </w:rPr>
              <w:t>NO</w:t>
            </w:r>
          </w:p>
          <w:p w14:paraId="47590DFF" w14:textId="77777777" w:rsidR="00A52554" w:rsidRDefault="007377E0" w:rsidP="00B42683">
            <w:pPr>
              <w:pStyle w:val="ListParagraph"/>
              <w:numPr>
                <w:ilvl w:val="0"/>
                <w:numId w:val="5"/>
              </w:numPr>
              <w:ind w:left="426" w:hanging="426"/>
              <w:jc w:val="both"/>
              <w:rPr>
                <w:rFonts w:ascii="CG Times" w:hAnsi="CG Times"/>
                <w:sz w:val="26"/>
                <w:szCs w:val="26"/>
              </w:rPr>
            </w:pPr>
            <w:r w:rsidRPr="00346E59">
              <w:rPr>
                <w:rFonts w:ascii="CG Times" w:hAnsi="CG Times"/>
                <w:sz w:val="26"/>
                <w:szCs w:val="26"/>
              </w:rPr>
              <w:t>REVISED</w:t>
            </w:r>
          </w:p>
          <w:p w14:paraId="56CC6744" w14:textId="0890D6B3" w:rsidR="00B42683" w:rsidRPr="00A52554" w:rsidRDefault="007377E0" w:rsidP="00A52554">
            <w:pPr>
              <w:jc w:val="both"/>
              <w:rPr>
                <w:rFonts w:ascii="CG Times" w:hAnsi="CG Times"/>
                <w:sz w:val="26"/>
                <w:szCs w:val="26"/>
              </w:rPr>
            </w:pPr>
            <w:r w:rsidRPr="00A52554">
              <w:rPr>
                <w:rFonts w:ascii="CG Times" w:hAnsi="CG Times"/>
                <w:sz w:val="26"/>
                <w:szCs w:val="26"/>
              </w:rPr>
              <w:t xml:space="preserve">    </w:t>
            </w:r>
            <w:r w:rsidR="00257D19" w:rsidRPr="00A52554">
              <w:rPr>
                <w:rFonts w:ascii="CG Times" w:hAnsi="CG Times"/>
                <w:sz w:val="26"/>
                <w:szCs w:val="26"/>
              </w:rPr>
              <w:t xml:space="preserve">                        </w:t>
            </w:r>
          </w:p>
          <w:p w14:paraId="0744A3A9" w14:textId="77777777" w:rsidR="00B42683" w:rsidRPr="00FE1F2B" w:rsidRDefault="00B42683" w:rsidP="00B42683">
            <w:pPr>
              <w:jc w:val="right"/>
              <w:rPr>
                <w:rFonts w:ascii="CG Times" w:hAnsi="CG Times"/>
                <w:sz w:val="26"/>
                <w:szCs w:val="26"/>
              </w:rPr>
            </w:pPr>
          </w:p>
          <w:p w14:paraId="32E8367F" w14:textId="6E4F291F" w:rsidR="007377E0" w:rsidRPr="0019698D" w:rsidRDefault="007377E0" w:rsidP="0019698D">
            <w:pPr>
              <w:rPr>
                <w:color w:val="1F4E79"/>
                <w:sz w:val="22"/>
                <w:szCs w:val="22"/>
                <w:lang w:val="en-ZA"/>
              </w:rPr>
            </w:pPr>
          </w:p>
          <w:p w14:paraId="117F659B" w14:textId="36A6DD0F"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 xml:space="preserve">        </w:t>
            </w:r>
          </w:p>
        </w:tc>
      </w:tr>
    </w:tbl>
    <w:p w14:paraId="712000A6" w14:textId="77777777" w:rsidR="006715C9" w:rsidRPr="00B328B8" w:rsidRDefault="006715C9" w:rsidP="006715C9">
      <w:pPr>
        <w:tabs>
          <w:tab w:val="left" w:pos="720"/>
          <w:tab w:val="left" w:pos="1440"/>
        </w:tabs>
        <w:jc w:val="both"/>
        <w:rPr>
          <w:rFonts w:ascii="CG Times" w:hAnsi="CG Times" w:cs="Arial"/>
          <w:b/>
          <w:sz w:val="26"/>
          <w:szCs w:val="26"/>
        </w:rPr>
      </w:pPr>
    </w:p>
    <w:p w14:paraId="73C5C41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05013DE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1BB10876" w14:textId="77777777" w:rsidR="008F356B" w:rsidRPr="00B328B8" w:rsidRDefault="008F356B" w:rsidP="006715C9">
      <w:pPr>
        <w:jc w:val="both"/>
        <w:rPr>
          <w:rFonts w:ascii="CG Times" w:hAnsi="CG Times" w:cs="Arial"/>
          <w:sz w:val="26"/>
          <w:szCs w:val="26"/>
        </w:rPr>
      </w:pPr>
      <w:r w:rsidRPr="00B328B8">
        <w:rPr>
          <w:rFonts w:ascii="CG Times" w:hAnsi="CG Times" w:cs="Arial"/>
          <w:sz w:val="26"/>
          <w:szCs w:val="26"/>
        </w:rPr>
        <w:t>and</w:t>
      </w:r>
    </w:p>
    <w:p w14:paraId="719E5129"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619C77DF"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4AAF8818"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2D36EC72" w14:textId="77777777" w:rsidR="00B97417" w:rsidRDefault="00B97417" w:rsidP="00B97417">
      <w:pPr>
        <w:pStyle w:val="Parties"/>
        <w:rPr>
          <w:rFonts w:ascii="Times New Roman" w:hAnsi="Times New Roman"/>
          <w:sz w:val="26"/>
          <w:szCs w:val="26"/>
        </w:rPr>
      </w:pPr>
    </w:p>
    <w:p w14:paraId="0895D4EB" w14:textId="77777777" w:rsidR="0011576A" w:rsidRDefault="0011576A" w:rsidP="00B97417">
      <w:pPr>
        <w:pStyle w:val="Parties"/>
        <w:rPr>
          <w:rFonts w:ascii="Times New Roman" w:hAnsi="Times New Roman"/>
          <w:sz w:val="26"/>
          <w:szCs w:val="26"/>
        </w:rPr>
      </w:pPr>
    </w:p>
    <w:p w14:paraId="2122395E" w14:textId="77777777" w:rsidR="0011576A" w:rsidRDefault="0011576A" w:rsidP="00B97417">
      <w:pPr>
        <w:pStyle w:val="Parties"/>
        <w:rPr>
          <w:rFonts w:ascii="Times New Roman" w:hAnsi="Times New Roman"/>
          <w:sz w:val="26"/>
          <w:szCs w:val="26"/>
        </w:rPr>
      </w:pPr>
    </w:p>
    <w:p w14:paraId="3D338B97" w14:textId="77777777" w:rsidR="0011576A" w:rsidRDefault="0011576A" w:rsidP="00B97417">
      <w:pPr>
        <w:pStyle w:val="Parties"/>
        <w:rPr>
          <w:rFonts w:ascii="Times New Roman" w:hAnsi="Times New Roman"/>
          <w:sz w:val="26"/>
          <w:szCs w:val="26"/>
        </w:rPr>
      </w:pPr>
    </w:p>
    <w:p w14:paraId="0A46BE76" w14:textId="77777777" w:rsidR="0011576A" w:rsidRDefault="0011576A" w:rsidP="00B97417">
      <w:pPr>
        <w:pStyle w:val="Parties"/>
        <w:rPr>
          <w:rFonts w:ascii="Times New Roman" w:hAnsi="Times New Roman"/>
          <w:sz w:val="26"/>
          <w:szCs w:val="26"/>
        </w:rPr>
      </w:pPr>
    </w:p>
    <w:p w14:paraId="06CE3AA5" w14:textId="77777777" w:rsidR="0011576A" w:rsidRPr="00B97417" w:rsidRDefault="0011576A" w:rsidP="00B97417">
      <w:pPr>
        <w:pStyle w:val="Parties"/>
        <w:rPr>
          <w:rFonts w:ascii="Times New Roman" w:hAnsi="Times New Roman"/>
          <w:sz w:val="26"/>
          <w:szCs w:val="26"/>
        </w:rPr>
      </w:pPr>
    </w:p>
    <w:p w14:paraId="2F19AE7A" w14:textId="467A629E" w:rsidR="00B97417" w:rsidRPr="00B97417" w:rsidRDefault="007F1176" w:rsidP="00B97417">
      <w:pPr>
        <w:pStyle w:val="Parties"/>
        <w:rPr>
          <w:rFonts w:ascii="Times New Roman" w:hAnsi="Times New Roman"/>
          <w:sz w:val="26"/>
          <w:szCs w:val="26"/>
        </w:rPr>
      </w:pPr>
      <w:r>
        <w:rPr>
          <w:rFonts w:ascii="Times New Roman" w:hAnsi="Times New Roman"/>
          <w:b/>
          <w:sz w:val="26"/>
          <w:szCs w:val="26"/>
        </w:rPr>
        <w:t>DR MAKAZIWE MANDELA</w:t>
      </w:r>
      <w:r w:rsidR="00B97417" w:rsidRPr="00B97417">
        <w:rPr>
          <w:rFonts w:ascii="Times New Roman" w:hAnsi="Times New Roman"/>
          <w:sz w:val="26"/>
          <w:szCs w:val="26"/>
        </w:rPr>
        <w:tab/>
        <w:t>First Respondent</w:t>
      </w:r>
    </w:p>
    <w:p w14:paraId="074748BA" w14:textId="3ED7BFDE" w:rsidR="00B97417" w:rsidRPr="00B97417" w:rsidRDefault="00690B53" w:rsidP="00B97417">
      <w:pPr>
        <w:pStyle w:val="Parties"/>
        <w:rPr>
          <w:rFonts w:ascii="Times New Roman" w:hAnsi="Times New Roman"/>
          <w:sz w:val="26"/>
          <w:szCs w:val="26"/>
        </w:rPr>
      </w:pPr>
      <w:r>
        <w:rPr>
          <w:rFonts w:ascii="Times New Roman" w:hAnsi="Times New Roman"/>
          <w:b/>
          <w:sz w:val="26"/>
          <w:szCs w:val="26"/>
        </w:rPr>
        <w:t xml:space="preserve">GUERNSEY’S </w:t>
      </w:r>
      <w:r w:rsidR="00B97417" w:rsidRPr="00B97417">
        <w:rPr>
          <w:rFonts w:ascii="Times New Roman" w:hAnsi="Times New Roman"/>
          <w:b/>
          <w:sz w:val="26"/>
          <w:szCs w:val="26"/>
        </w:rPr>
        <w:t>A</w:t>
      </w:r>
      <w:r>
        <w:rPr>
          <w:rFonts w:ascii="Times New Roman" w:hAnsi="Times New Roman"/>
          <w:b/>
          <w:sz w:val="26"/>
          <w:szCs w:val="26"/>
        </w:rPr>
        <w:t>UCTION HOUSE</w:t>
      </w:r>
      <w:r w:rsidR="00B97417" w:rsidRPr="00B97417">
        <w:rPr>
          <w:rFonts w:ascii="Times New Roman" w:hAnsi="Times New Roman"/>
          <w:sz w:val="26"/>
          <w:szCs w:val="26"/>
        </w:rPr>
        <w:tab/>
        <w:t>Second Respondent</w:t>
      </w:r>
    </w:p>
    <w:p w14:paraId="54BDC935" w14:textId="4333B4AF" w:rsidR="00B97417" w:rsidRPr="00B97417" w:rsidRDefault="00D44517" w:rsidP="00B97417">
      <w:pPr>
        <w:pStyle w:val="Parties"/>
        <w:rPr>
          <w:rFonts w:ascii="Times New Roman" w:hAnsi="Times New Roman"/>
          <w:sz w:val="26"/>
          <w:szCs w:val="26"/>
        </w:rPr>
      </w:pPr>
      <w:r>
        <w:rPr>
          <w:rFonts w:ascii="Times New Roman" w:hAnsi="Times New Roman"/>
          <w:b/>
          <w:sz w:val="26"/>
          <w:szCs w:val="26"/>
        </w:rPr>
        <w:t xml:space="preserve">ARLAN </w:t>
      </w:r>
      <w:r w:rsidR="00B97417" w:rsidRPr="00B97417">
        <w:rPr>
          <w:rFonts w:ascii="Times New Roman" w:hAnsi="Times New Roman"/>
          <w:b/>
          <w:sz w:val="26"/>
          <w:szCs w:val="26"/>
        </w:rPr>
        <w:t>ET</w:t>
      </w:r>
      <w:r>
        <w:rPr>
          <w:rFonts w:ascii="Times New Roman" w:hAnsi="Times New Roman"/>
          <w:b/>
          <w:sz w:val="26"/>
          <w:szCs w:val="26"/>
        </w:rPr>
        <w:t>T</w:t>
      </w:r>
      <w:r w:rsidR="00B97417" w:rsidRPr="00B97417">
        <w:rPr>
          <w:rFonts w:ascii="Times New Roman" w:hAnsi="Times New Roman"/>
          <w:b/>
          <w:sz w:val="26"/>
          <w:szCs w:val="26"/>
        </w:rPr>
        <w:t>I</w:t>
      </w:r>
      <w:r>
        <w:rPr>
          <w:rFonts w:ascii="Times New Roman" w:hAnsi="Times New Roman"/>
          <w:b/>
          <w:sz w:val="26"/>
          <w:szCs w:val="26"/>
        </w:rPr>
        <w:t>NGER</w:t>
      </w:r>
      <w:r w:rsidR="00B97417" w:rsidRPr="00B97417">
        <w:rPr>
          <w:rFonts w:ascii="Times New Roman" w:hAnsi="Times New Roman"/>
          <w:sz w:val="26"/>
          <w:szCs w:val="26"/>
        </w:rPr>
        <w:tab/>
        <w:t>Third Respondent</w:t>
      </w:r>
    </w:p>
    <w:p w14:paraId="0FDCD498" w14:textId="21BD53E2" w:rsidR="00B97417" w:rsidRPr="00B97417" w:rsidRDefault="00EF1FE3" w:rsidP="00B97417">
      <w:pPr>
        <w:pStyle w:val="Parties"/>
        <w:rPr>
          <w:rFonts w:ascii="Times New Roman" w:hAnsi="Times New Roman"/>
          <w:sz w:val="26"/>
          <w:szCs w:val="26"/>
        </w:rPr>
      </w:pPr>
      <w:r>
        <w:rPr>
          <w:rFonts w:ascii="Times New Roman" w:hAnsi="Times New Roman"/>
          <w:b/>
          <w:sz w:val="26"/>
          <w:szCs w:val="26"/>
        </w:rPr>
        <w:t>CHRISTO BRAND</w:t>
      </w:r>
      <w:r w:rsidR="00B97417" w:rsidRPr="00B97417">
        <w:rPr>
          <w:rFonts w:ascii="Times New Roman" w:hAnsi="Times New Roman"/>
          <w:sz w:val="26"/>
          <w:szCs w:val="26"/>
        </w:rPr>
        <w:tab/>
        <w:t>Fourth Respondent</w:t>
      </w:r>
    </w:p>
    <w:p w14:paraId="25D472A2" w14:textId="69A2C2D1" w:rsidR="00B97417" w:rsidRPr="00B97417" w:rsidRDefault="00EF1FE3" w:rsidP="00B97417">
      <w:pPr>
        <w:pStyle w:val="Parties"/>
        <w:rPr>
          <w:rFonts w:ascii="Times New Roman" w:hAnsi="Times New Roman"/>
          <w:sz w:val="26"/>
          <w:szCs w:val="26"/>
        </w:rPr>
      </w:pPr>
      <w:r>
        <w:rPr>
          <w:rFonts w:ascii="Times New Roman" w:hAnsi="Times New Roman"/>
          <w:b/>
          <w:sz w:val="26"/>
          <w:szCs w:val="26"/>
        </w:rPr>
        <w:t>DAVID PARR</w:t>
      </w:r>
      <w:r w:rsidR="00B97417" w:rsidRPr="00B97417">
        <w:rPr>
          <w:rFonts w:ascii="Times New Roman" w:hAnsi="Times New Roman"/>
          <w:b/>
          <w:sz w:val="26"/>
          <w:szCs w:val="26"/>
        </w:rPr>
        <w:t xml:space="preserve"> </w:t>
      </w:r>
      <w:r w:rsidR="00B97417" w:rsidRPr="00B97417">
        <w:rPr>
          <w:rFonts w:ascii="Times New Roman" w:hAnsi="Times New Roman"/>
          <w:sz w:val="26"/>
          <w:szCs w:val="26"/>
        </w:rPr>
        <w:tab/>
        <w:t>Fifth Respondent</w:t>
      </w:r>
    </w:p>
    <w:p w14:paraId="65733DDB" w14:textId="64E589C2" w:rsidR="00B97417" w:rsidRPr="00B97417" w:rsidRDefault="00B97417" w:rsidP="00B97417">
      <w:pPr>
        <w:pStyle w:val="Parties"/>
        <w:rPr>
          <w:rFonts w:ascii="Times New Roman" w:hAnsi="Times New Roman"/>
          <w:sz w:val="26"/>
          <w:szCs w:val="26"/>
        </w:rPr>
      </w:pPr>
    </w:p>
    <w:p w14:paraId="4E4B2A7D" w14:textId="5C60646C"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______</w:t>
      </w:r>
    </w:p>
    <w:p w14:paraId="34A9E5C9" w14:textId="77777777" w:rsidR="006715C9" w:rsidRPr="00B328B8" w:rsidRDefault="006715C9" w:rsidP="006715C9">
      <w:pPr>
        <w:rPr>
          <w:rFonts w:ascii="CG Times" w:hAnsi="CG Times" w:cs="Arial"/>
          <w:sz w:val="26"/>
          <w:szCs w:val="26"/>
          <w:lang w:val="en-ZA"/>
        </w:rPr>
      </w:pPr>
    </w:p>
    <w:p w14:paraId="74E12AD4" w14:textId="77777777" w:rsidR="00956600" w:rsidRPr="00B328B8" w:rsidRDefault="00956600" w:rsidP="00956600">
      <w:pPr>
        <w:tabs>
          <w:tab w:val="left" w:pos="720"/>
          <w:tab w:val="left" w:pos="1440"/>
          <w:tab w:val="right" w:pos="8640"/>
        </w:tabs>
        <w:rPr>
          <w:rFonts w:ascii="CG Times" w:hAnsi="CG Times" w:cs="Arial"/>
          <w:sz w:val="26"/>
          <w:szCs w:val="26"/>
          <w:lang w:val="en-ZA"/>
        </w:rPr>
      </w:pPr>
    </w:p>
    <w:p w14:paraId="7D350CE9" w14:textId="2FC542BE" w:rsidR="00956600" w:rsidRPr="00B328B8" w:rsidRDefault="00356759" w:rsidP="00956600">
      <w:pPr>
        <w:tabs>
          <w:tab w:val="left" w:pos="720"/>
          <w:tab w:val="left" w:pos="1440"/>
          <w:tab w:val="right" w:pos="8640"/>
        </w:tabs>
        <w:jc w:val="center"/>
        <w:rPr>
          <w:rFonts w:ascii="CG Times" w:hAnsi="CG Times" w:cs="Arial"/>
          <w:b/>
          <w:sz w:val="26"/>
          <w:szCs w:val="26"/>
          <w:lang w:val="en-ZA"/>
        </w:rPr>
      </w:pPr>
      <w:r>
        <w:rPr>
          <w:rFonts w:ascii="CG Times" w:hAnsi="CG Times" w:cs="Arial"/>
          <w:b/>
          <w:sz w:val="26"/>
          <w:szCs w:val="26"/>
          <w:lang w:val="en-ZA"/>
        </w:rPr>
        <w:t>JUDGMENT</w:t>
      </w:r>
      <w:r w:rsidR="00C83013">
        <w:rPr>
          <w:rFonts w:ascii="CG Times" w:hAnsi="CG Times" w:cs="Arial"/>
          <w:b/>
          <w:sz w:val="26"/>
          <w:szCs w:val="26"/>
          <w:lang w:val="en-ZA"/>
        </w:rPr>
        <w:t>: APPLICATION FOR LEAVE TO APPEAL</w:t>
      </w:r>
      <w:r w:rsidR="00456D26">
        <w:rPr>
          <w:rFonts w:ascii="CG Times" w:hAnsi="CG Times" w:cs="Arial"/>
          <w:b/>
          <w:sz w:val="26"/>
          <w:szCs w:val="26"/>
          <w:lang w:val="en-ZA"/>
        </w:rPr>
        <w:t xml:space="preserve"> </w:t>
      </w:r>
    </w:p>
    <w:p w14:paraId="773D3742" w14:textId="77777777" w:rsidR="006715C9" w:rsidRPr="00B328B8" w:rsidRDefault="006715C9" w:rsidP="00956600">
      <w:pPr>
        <w:tabs>
          <w:tab w:val="left" w:pos="720"/>
          <w:tab w:val="left" w:pos="1440"/>
          <w:tab w:val="right" w:pos="8640"/>
        </w:tabs>
        <w:jc w:val="center"/>
        <w:rPr>
          <w:rFonts w:ascii="CG Times" w:hAnsi="CG Times" w:cs="Arial"/>
          <w:b/>
          <w:sz w:val="26"/>
          <w:szCs w:val="26"/>
          <w:lang w:val="en-ZA"/>
        </w:rPr>
      </w:pPr>
    </w:p>
    <w:p w14:paraId="027DDF7C" w14:textId="6B11FE80"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w:t>
      </w:r>
    </w:p>
    <w:p w14:paraId="31F338F1" w14:textId="77777777" w:rsidR="007325CF" w:rsidRPr="00B328B8" w:rsidRDefault="007325CF" w:rsidP="00B4536B">
      <w:pPr>
        <w:spacing w:line="360" w:lineRule="auto"/>
        <w:rPr>
          <w:rFonts w:ascii="CG Times" w:hAnsi="CG Times" w:cs="Arial"/>
          <w:b/>
          <w:sz w:val="26"/>
          <w:szCs w:val="26"/>
        </w:rPr>
      </w:pPr>
    </w:p>
    <w:p w14:paraId="5ADC456D" w14:textId="77777777" w:rsidR="001F2B59" w:rsidRPr="00B328B8" w:rsidRDefault="001F2B59" w:rsidP="00B4536B">
      <w:pPr>
        <w:spacing w:line="360" w:lineRule="auto"/>
        <w:rPr>
          <w:rFonts w:ascii="CG Times" w:hAnsi="CG Times" w:cs="Arial"/>
          <w:b/>
          <w:sz w:val="26"/>
          <w:szCs w:val="26"/>
        </w:rPr>
      </w:pPr>
    </w:p>
    <w:p w14:paraId="4FDED8EF" w14:textId="657F66A6" w:rsidR="000C2F72" w:rsidRPr="00B70E9C" w:rsidRDefault="001338F3" w:rsidP="00B70E9C">
      <w:pPr>
        <w:spacing w:line="360" w:lineRule="auto"/>
        <w:rPr>
          <w:rFonts w:ascii="CG Times" w:hAnsi="CG Times" w:cs="Arial"/>
          <w:b/>
          <w:sz w:val="26"/>
          <w:szCs w:val="26"/>
        </w:rPr>
      </w:pPr>
      <w:r>
        <w:rPr>
          <w:rFonts w:ascii="CG Times" w:hAnsi="CG Times" w:cs="Arial"/>
          <w:b/>
          <w:sz w:val="26"/>
          <w:szCs w:val="26"/>
        </w:rPr>
        <w:lastRenderedPageBreak/>
        <w:t xml:space="preserve">CORAM BAQWA </w:t>
      </w:r>
      <w:r w:rsidR="006B1D57">
        <w:rPr>
          <w:rFonts w:ascii="CG Times" w:hAnsi="CG Times" w:cs="Arial"/>
          <w:b/>
          <w:sz w:val="26"/>
          <w:szCs w:val="26"/>
        </w:rPr>
        <w:t>J et</w:t>
      </w:r>
      <w:r>
        <w:rPr>
          <w:rFonts w:ascii="CG Times" w:hAnsi="CG Times" w:cs="Arial"/>
          <w:b/>
          <w:sz w:val="26"/>
          <w:szCs w:val="26"/>
        </w:rPr>
        <w:t xml:space="preserve"> </w:t>
      </w:r>
      <w:r w:rsidR="009C306C" w:rsidRPr="00B328B8">
        <w:rPr>
          <w:rFonts w:ascii="CG Times" w:hAnsi="CG Times" w:cs="Arial"/>
          <w:b/>
          <w:sz w:val="26"/>
          <w:szCs w:val="26"/>
        </w:rPr>
        <w:t xml:space="preserve">NGALWANA </w:t>
      </w:r>
      <w:r w:rsidR="001173D4" w:rsidRPr="00B328B8">
        <w:rPr>
          <w:rFonts w:ascii="CG Times" w:hAnsi="CG Times" w:cs="Arial"/>
          <w:b/>
          <w:sz w:val="26"/>
          <w:szCs w:val="26"/>
        </w:rPr>
        <w:t>A</w:t>
      </w:r>
      <w:r w:rsidR="00956600" w:rsidRPr="00B328B8">
        <w:rPr>
          <w:rFonts w:ascii="CG Times" w:hAnsi="CG Times" w:cs="Arial"/>
          <w:b/>
          <w:sz w:val="26"/>
          <w:szCs w:val="26"/>
        </w:rPr>
        <w:t>J</w:t>
      </w:r>
      <w:r>
        <w:rPr>
          <w:rFonts w:ascii="CG Times" w:hAnsi="CG Times" w:cs="Arial"/>
          <w:b/>
          <w:sz w:val="26"/>
          <w:szCs w:val="26"/>
        </w:rPr>
        <w:t xml:space="preserve"> et RAMAWELE</w:t>
      </w:r>
    </w:p>
    <w:p w14:paraId="7AE57E7B" w14:textId="77777777" w:rsidR="00083CBF" w:rsidRPr="000C2F72" w:rsidRDefault="00083CBF" w:rsidP="009F775A">
      <w:pPr>
        <w:spacing w:line="360" w:lineRule="auto"/>
        <w:jc w:val="both"/>
        <w:rPr>
          <w:rFonts w:ascii="CG Times" w:hAnsi="CG Times" w:cs="Times"/>
          <w:bCs/>
          <w:sz w:val="26"/>
          <w:szCs w:val="26"/>
          <w:u w:val="single"/>
        </w:rPr>
      </w:pPr>
    </w:p>
    <w:p w14:paraId="6A289701" w14:textId="3BE28CDB" w:rsidR="00270D8F" w:rsidRPr="003E3A0D" w:rsidRDefault="00056620" w:rsidP="003E3A0D">
      <w:pPr>
        <w:spacing w:line="360" w:lineRule="auto"/>
        <w:jc w:val="both"/>
        <w:rPr>
          <w:rFonts w:ascii="CG Times" w:hAnsi="CG Times" w:cs="Arial"/>
          <w:sz w:val="26"/>
          <w:szCs w:val="26"/>
        </w:rPr>
      </w:pPr>
      <w:r w:rsidRPr="003E3A0D">
        <w:rPr>
          <w:rFonts w:ascii="CG Times" w:hAnsi="CG Times" w:cs="Times"/>
          <w:bCs/>
          <w:sz w:val="26"/>
          <w:szCs w:val="26"/>
        </w:rPr>
        <w:t>[</w:t>
      </w:r>
      <w:r w:rsidR="00CF48FE" w:rsidRPr="003E3A0D">
        <w:rPr>
          <w:rFonts w:ascii="CG Times" w:hAnsi="CG Times" w:cs="Times"/>
          <w:bCs/>
          <w:sz w:val="26"/>
          <w:szCs w:val="26"/>
        </w:rPr>
        <w:t>1</w:t>
      </w:r>
      <w:r w:rsidRPr="003E3A0D">
        <w:rPr>
          <w:rFonts w:ascii="CG Times" w:hAnsi="CG Times" w:cs="Times"/>
          <w:bCs/>
          <w:sz w:val="26"/>
          <w:szCs w:val="26"/>
        </w:rPr>
        <w:t>]</w:t>
      </w:r>
      <w:r w:rsidRPr="003E3A0D">
        <w:rPr>
          <w:rFonts w:ascii="CG Times" w:hAnsi="CG Times" w:cs="Times"/>
          <w:bCs/>
          <w:sz w:val="26"/>
          <w:szCs w:val="26"/>
        </w:rPr>
        <w:tab/>
      </w:r>
      <w:r w:rsidR="00270D8F" w:rsidRPr="003E3A0D">
        <w:rPr>
          <w:rFonts w:ascii="CG Times" w:hAnsi="CG Times" w:cs="Arial"/>
          <w:sz w:val="26"/>
          <w:szCs w:val="26"/>
        </w:rPr>
        <w:t xml:space="preserve">It is axiomatic that the applicable standard in applications for leave to appeal has </w:t>
      </w:r>
      <w:r w:rsidR="003434F5">
        <w:rPr>
          <w:rFonts w:ascii="CG Times" w:hAnsi="CG Times" w:cs="Arial"/>
          <w:sz w:val="26"/>
          <w:szCs w:val="26"/>
        </w:rPr>
        <w:t xml:space="preserve">in the past </w:t>
      </w:r>
      <w:r w:rsidR="00270D8F" w:rsidRPr="003E3A0D">
        <w:rPr>
          <w:rFonts w:ascii="CG Times" w:hAnsi="CG Times" w:cs="Arial"/>
          <w:sz w:val="26"/>
          <w:szCs w:val="26"/>
        </w:rPr>
        <w:t xml:space="preserve">been whether there is a reasonable possibility that another Court may </w:t>
      </w:r>
      <w:r w:rsidR="00527250">
        <w:rPr>
          <w:rFonts w:ascii="CG Times" w:hAnsi="CG Times" w:cs="Arial"/>
          <w:sz w:val="26"/>
          <w:szCs w:val="26"/>
        </w:rPr>
        <w:t xml:space="preserve">or could </w:t>
      </w:r>
      <w:r w:rsidR="00270D8F" w:rsidRPr="003E3A0D">
        <w:rPr>
          <w:rFonts w:ascii="CG Times" w:hAnsi="CG Times" w:cs="Arial"/>
          <w:sz w:val="26"/>
          <w:szCs w:val="26"/>
        </w:rPr>
        <w:t>come to a different conclusion than that reached by the Court of first instance.</w:t>
      </w:r>
    </w:p>
    <w:p w14:paraId="3235F98D" w14:textId="77777777" w:rsidR="00270D8F" w:rsidRPr="0047417B" w:rsidRDefault="00270D8F" w:rsidP="009F775A">
      <w:pPr>
        <w:pStyle w:val="ListParagraph"/>
        <w:spacing w:line="360" w:lineRule="auto"/>
        <w:jc w:val="both"/>
        <w:rPr>
          <w:rFonts w:ascii="CG Times" w:hAnsi="CG Times" w:cs="Arial"/>
          <w:sz w:val="26"/>
          <w:szCs w:val="26"/>
        </w:rPr>
      </w:pPr>
    </w:p>
    <w:p w14:paraId="5BB3572F" w14:textId="755E7450" w:rsidR="00270D8F" w:rsidRPr="00906B48" w:rsidRDefault="000B0609" w:rsidP="00906B48">
      <w:pPr>
        <w:spacing w:line="360" w:lineRule="auto"/>
        <w:jc w:val="both"/>
        <w:rPr>
          <w:rFonts w:ascii="CG Times" w:hAnsi="CG Times" w:cs="Arial"/>
          <w:sz w:val="26"/>
          <w:szCs w:val="26"/>
        </w:rPr>
      </w:pPr>
      <w:r>
        <w:rPr>
          <w:rFonts w:ascii="CG Times" w:hAnsi="CG Times" w:cs="Arial"/>
          <w:sz w:val="26"/>
          <w:szCs w:val="26"/>
        </w:rPr>
        <w:t>[2]</w:t>
      </w:r>
      <w:r>
        <w:rPr>
          <w:rFonts w:ascii="CG Times" w:hAnsi="CG Times" w:cs="Arial"/>
          <w:sz w:val="26"/>
          <w:szCs w:val="26"/>
        </w:rPr>
        <w:tab/>
      </w:r>
      <w:r w:rsidR="00270D8F" w:rsidRPr="00906B48">
        <w:rPr>
          <w:rFonts w:ascii="CG Times" w:hAnsi="CG Times" w:cs="Arial"/>
          <w:sz w:val="26"/>
          <w:szCs w:val="26"/>
        </w:rPr>
        <w:t>Now the position is governed by the Superior Courts Act 10 of 2013 which says leave to appeal may be granted where:</w:t>
      </w:r>
    </w:p>
    <w:p w14:paraId="0A24926D" w14:textId="77777777" w:rsidR="00270D8F" w:rsidRPr="0047417B" w:rsidRDefault="00270D8F" w:rsidP="009F775A">
      <w:pPr>
        <w:pStyle w:val="ListParagraph"/>
        <w:spacing w:line="360" w:lineRule="auto"/>
        <w:ind w:left="0"/>
        <w:jc w:val="both"/>
        <w:rPr>
          <w:rFonts w:ascii="CG Times" w:hAnsi="CG Times" w:cs="Arial"/>
          <w:sz w:val="26"/>
          <w:szCs w:val="26"/>
        </w:rPr>
      </w:pPr>
    </w:p>
    <w:p w14:paraId="381205BD" w14:textId="77777777" w:rsidR="00270D8F" w:rsidRPr="0047417B" w:rsidRDefault="00270D8F" w:rsidP="009F775A">
      <w:pPr>
        <w:pStyle w:val="ListParagraph"/>
        <w:numPr>
          <w:ilvl w:val="1"/>
          <w:numId w:val="28"/>
        </w:numPr>
        <w:spacing w:line="360" w:lineRule="auto"/>
        <w:ind w:left="1276" w:hanging="567"/>
        <w:jc w:val="both"/>
        <w:rPr>
          <w:rFonts w:ascii="CG Times" w:hAnsi="CG Times" w:cs="Arial"/>
          <w:sz w:val="26"/>
          <w:szCs w:val="26"/>
        </w:rPr>
      </w:pPr>
      <w:r w:rsidRPr="0047417B">
        <w:rPr>
          <w:rFonts w:ascii="CG Times" w:hAnsi="CG Times" w:cs="Arial"/>
          <w:sz w:val="26"/>
          <w:szCs w:val="26"/>
        </w:rPr>
        <w:t>the appeal would have a reasonable prospect of success</w:t>
      </w:r>
      <w:r w:rsidRPr="0047417B">
        <w:rPr>
          <w:rStyle w:val="FootnoteReference"/>
          <w:rFonts w:ascii="CG Times" w:hAnsi="CG Times" w:cs="Arial"/>
          <w:sz w:val="26"/>
          <w:szCs w:val="26"/>
        </w:rPr>
        <w:footnoteReference w:id="1"/>
      </w:r>
      <w:r w:rsidRPr="0047417B">
        <w:rPr>
          <w:rFonts w:ascii="CG Times" w:hAnsi="CG Times" w:cs="Arial"/>
          <w:sz w:val="26"/>
          <w:szCs w:val="26"/>
        </w:rPr>
        <w:t xml:space="preserve"> or there is some compelling reason why the appeal should be heard, including conflicting judgments on the matter under consideration;</w:t>
      </w:r>
      <w:r w:rsidRPr="0047417B">
        <w:rPr>
          <w:rStyle w:val="FootnoteReference"/>
          <w:rFonts w:ascii="CG Times" w:hAnsi="CG Times" w:cs="Arial"/>
          <w:sz w:val="26"/>
          <w:szCs w:val="26"/>
        </w:rPr>
        <w:footnoteReference w:id="2"/>
      </w:r>
      <w:r w:rsidRPr="0047417B">
        <w:rPr>
          <w:rFonts w:ascii="CG Times" w:hAnsi="CG Times" w:cs="Arial"/>
          <w:sz w:val="26"/>
          <w:szCs w:val="26"/>
        </w:rPr>
        <w:t xml:space="preserve"> </w:t>
      </w:r>
    </w:p>
    <w:p w14:paraId="2672E899" w14:textId="77777777" w:rsidR="00270D8F" w:rsidRPr="0047417B" w:rsidRDefault="00270D8F" w:rsidP="009F775A">
      <w:pPr>
        <w:pStyle w:val="ListParagraph"/>
        <w:spacing w:line="360" w:lineRule="auto"/>
        <w:jc w:val="both"/>
        <w:rPr>
          <w:rFonts w:ascii="CG Times" w:hAnsi="CG Times" w:cs="Arial"/>
          <w:sz w:val="26"/>
          <w:szCs w:val="26"/>
        </w:rPr>
      </w:pPr>
    </w:p>
    <w:p w14:paraId="2151ED42" w14:textId="77777777" w:rsidR="00270D8F" w:rsidRPr="0047417B" w:rsidRDefault="00270D8F" w:rsidP="009F775A">
      <w:pPr>
        <w:pStyle w:val="ListParagraph"/>
        <w:numPr>
          <w:ilvl w:val="1"/>
          <w:numId w:val="28"/>
        </w:numPr>
        <w:spacing w:line="360" w:lineRule="auto"/>
        <w:ind w:left="1276" w:hanging="567"/>
        <w:jc w:val="both"/>
        <w:rPr>
          <w:rFonts w:ascii="CG Times" w:hAnsi="CG Times" w:cs="Arial"/>
          <w:sz w:val="26"/>
          <w:szCs w:val="26"/>
        </w:rPr>
      </w:pPr>
      <w:r w:rsidRPr="0047417B">
        <w:rPr>
          <w:rFonts w:ascii="CG Times" w:hAnsi="CG Times" w:cs="Arial"/>
          <w:sz w:val="26"/>
          <w:szCs w:val="26"/>
        </w:rPr>
        <w:t>the decision sought will have a practical effect or result;</w:t>
      </w:r>
      <w:r w:rsidRPr="0047417B">
        <w:rPr>
          <w:rStyle w:val="FootnoteReference"/>
          <w:rFonts w:ascii="CG Times" w:hAnsi="CG Times" w:cs="Arial"/>
          <w:sz w:val="26"/>
          <w:szCs w:val="26"/>
        </w:rPr>
        <w:footnoteReference w:id="3"/>
      </w:r>
      <w:r w:rsidRPr="0047417B">
        <w:rPr>
          <w:rFonts w:ascii="CG Times" w:hAnsi="CG Times" w:cs="Arial"/>
          <w:sz w:val="26"/>
          <w:szCs w:val="26"/>
        </w:rPr>
        <w:t xml:space="preserve"> and</w:t>
      </w:r>
    </w:p>
    <w:p w14:paraId="5F07AEE1" w14:textId="77777777" w:rsidR="00270D8F" w:rsidRPr="0047417B" w:rsidRDefault="00270D8F" w:rsidP="009F775A">
      <w:pPr>
        <w:pStyle w:val="ListParagraph"/>
        <w:spacing w:line="360" w:lineRule="auto"/>
        <w:jc w:val="both"/>
        <w:rPr>
          <w:rFonts w:ascii="CG Times" w:hAnsi="CG Times" w:cs="Arial"/>
          <w:sz w:val="26"/>
          <w:szCs w:val="26"/>
        </w:rPr>
      </w:pPr>
    </w:p>
    <w:p w14:paraId="44CCC687" w14:textId="77777777" w:rsidR="00270D8F" w:rsidRPr="0047417B" w:rsidRDefault="00270D8F" w:rsidP="009F775A">
      <w:pPr>
        <w:pStyle w:val="ListParagraph"/>
        <w:numPr>
          <w:ilvl w:val="1"/>
          <w:numId w:val="28"/>
        </w:numPr>
        <w:spacing w:line="360" w:lineRule="auto"/>
        <w:ind w:left="1276" w:hanging="567"/>
        <w:jc w:val="both"/>
        <w:rPr>
          <w:rFonts w:ascii="CG Times" w:hAnsi="CG Times" w:cs="Arial"/>
          <w:sz w:val="26"/>
          <w:szCs w:val="26"/>
        </w:rPr>
      </w:pPr>
      <w:r w:rsidRPr="0047417B">
        <w:rPr>
          <w:rFonts w:ascii="CG Times" w:hAnsi="CG Times" w:cs="Arial"/>
          <w:sz w:val="26"/>
          <w:szCs w:val="26"/>
        </w:rPr>
        <w:t>the appeal would lead to a just and prompt resolution of the real issues between the parties even where the decision sought to be appealed does not dispose of all the issues in the case</w:t>
      </w:r>
      <w:r w:rsidRPr="0047417B">
        <w:rPr>
          <w:rStyle w:val="FootnoteReference"/>
          <w:rFonts w:ascii="CG Times" w:hAnsi="CG Times" w:cs="Arial"/>
          <w:sz w:val="26"/>
          <w:szCs w:val="26"/>
        </w:rPr>
        <w:footnoteReference w:id="4"/>
      </w:r>
      <w:r w:rsidRPr="0047417B">
        <w:rPr>
          <w:rFonts w:ascii="CG Times" w:hAnsi="CG Times" w:cs="Arial"/>
          <w:sz w:val="26"/>
          <w:szCs w:val="26"/>
        </w:rPr>
        <w:t xml:space="preserve">. </w:t>
      </w:r>
    </w:p>
    <w:p w14:paraId="21F90B06" w14:textId="77777777" w:rsidR="00270D8F" w:rsidRDefault="00270D8F" w:rsidP="00933304">
      <w:pPr>
        <w:spacing w:line="360" w:lineRule="auto"/>
        <w:jc w:val="both"/>
        <w:rPr>
          <w:rFonts w:ascii="CG Times" w:hAnsi="CG Times" w:cs="Times"/>
          <w:bCs/>
          <w:sz w:val="26"/>
          <w:szCs w:val="26"/>
        </w:rPr>
      </w:pPr>
    </w:p>
    <w:p w14:paraId="000D1103" w14:textId="12FA4BC0" w:rsidR="003D6777" w:rsidRDefault="00752E8C" w:rsidP="00933304">
      <w:pPr>
        <w:spacing w:line="360" w:lineRule="auto"/>
        <w:jc w:val="both"/>
        <w:rPr>
          <w:rFonts w:ascii="CG Times" w:hAnsi="CG Times" w:cs="Arial"/>
          <w:sz w:val="26"/>
          <w:szCs w:val="26"/>
        </w:rPr>
      </w:pPr>
      <w:r>
        <w:rPr>
          <w:rFonts w:ascii="CG Times" w:hAnsi="CG Times" w:cs="Times"/>
          <w:bCs/>
          <w:sz w:val="26"/>
          <w:szCs w:val="26"/>
        </w:rPr>
        <w:t>[3]</w:t>
      </w:r>
      <w:r>
        <w:rPr>
          <w:rFonts w:ascii="CG Times" w:hAnsi="CG Times" w:cs="Times"/>
          <w:bCs/>
          <w:sz w:val="26"/>
          <w:szCs w:val="26"/>
        </w:rPr>
        <w:tab/>
      </w:r>
      <w:r w:rsidR="008C14F8">
        <w:rPr>
          <w:rFonts w:ascii="CG Times" w:hAnsi="CG Times" w:cs="Times"/>
          <w:bCs/>
          <w:sz w:val="26"/>
          <w:szCs w:val="26"/>
        </w:rPr>
        <w:t xml:space="preserve">In my view </w:t>
      </w:r>
      <w:r w:rsidR="00CE7A76">
        <w:rPr>
          <w:rFonts w:ascii="CG Times" w:hAnsi="CG Times" w:cs="Times"/>
          <w:bCs/>
          <w:sz w:val="26"/>
          <w:szCs w:val="26"/>
        </w:rPr>
        <w:t>the application before us meets none of these requirements.</w:t>
      </w:r>
      <w:r w:rsidR="003A3378">
        <w:rPr>
          <w:rFonts w:ascii="CG Times" w:hAnsi="CG Times" w:cs="Times"/>
          <w:bCs/>
          <w:sz w:val="26"/>
          <w:szCs w:val="26"/>
        </w:rPr>
        <w:t xml:space="preserve"> </w:t>
      </w:r>
      <w:r w:rsidR="00844547">
        <w:rPr>
          <w:rFonts w:ascii="CG Times" w:hAnsi="CG Times" w:cs="Times"/>
          <w:bCs/>
          <w:sz w:val="26"/>
          <w:szCs w:val="26"/>
        </w:rPr>
        <w:t>There are no prospects of success</w:t>
      </w:r>
      <w:r w:rsidR="00B53BB6">
        <w:rPr>
          <w:rFonts w:ascii="CG Times" w:hAnsi="CG Times" w:cs="Times"/>
          <w:bCs/>
          <w:sz w:val="26"/>
          <w:szCs w:val="26"/>
        </w:rPr>
        <w:t>.</w:t>
      </w:r>
      <w:r w:rsidR="00844547">
        <w:rPr>
          <w:rFonts w:ascii="CG Times" w:hAnsi="CG Times" w:cs="Times"/>
          <w:bCs/>
          <w:sz w:val="26"/>
          <w:szCs w:val="26"/>
        </w:rPr>
        <w:t xml:space="preserve"> </w:t>
      </w:r>
      <w:r w:rsidR="006702F6">
        <w:rPr>
          <w:rFonts w:ascii="CG Times" w:hAnsi="CG Times" w:cs="Times"/>
          <w:bCs/>
          <w:sz w:val="26"/>
          <w:szCs w:val="26"/>
        </w:rPr>
        <w:t xml:space="preserve">Even though the </w:t>
      </w:r>
      <w:r w:rsidR="00DE4481">
        <w:rPr>
          <w:rFonts w:ascii="CG Times" w:hAnsi="CG Times" w:cs="Times"/>
          <w:bCs/>
          <w:sz w:val="26"/>
          <w:szCs w:val="26"/>
        </w:rPr>
        <w:t xml:space="preserve">main judgment characterises </w:t>
      </w:r>
      <w:r w:rsidR="00933304">
        <w:rPr>
          <w:rFonts w:ascii="CG Times" w:hAnsi="CG Times" w:cs="Times"/>
          <w:bCs/>
          <w:sz w:val="26"/>
          <w:szCs w:val="26"/>
        </w:rPr>
        <w:t xml:space="preserve">the question in issue as </w:t>
      </w:r>
      <w:r w:rsidR="00B246C4">
        <w:rPr>
          <w:rFonts w:ascii="CG Times" w:hAnsi="CG Times" w:cs="Times"/>
          <w:bCs/>
          <w:sz w:val="26"/>
          <w:szCs w:val="26"/>
        </w:rPr>
        <w:t xml:space="preserve">being </w:t>
      </w:r>
      <w:r w:rsidR="00933304" w:rsidRPr="00B246C4">
        <w:rPr>
          <w:rFonts w:ascii="CG Times" w:hAnsi="CG Times" w:cs="Times"/>
          <w:bCs/>
          <w:i/>
          <w:iCs/>
          <w:sz w:val="26"/>
          <w:szCs w:val="26"/>
        </w:rPr>
        <w:t>“</w:t>
      </w:r>
      <w:r w:rsidR="00933304" w:rsidRPr="00B246C4">
        <w:rPr>
          <w:rFonts w:ascii="CG Times" w:hAnsi="CG Times" w:cs="Arial"/>
          <w:i/>
          <w:iCs/>
          <w:sz w:val="26"/>
          <w:szCs w:val="26"/>
        </w:rPr>
        <w:t>of wider significance and interest to the country as a whole</w:t>
      </w:r>
      <w:r w:rsidR="00680FBC">
        <w:rPr>
          <w:rFonts w:ascii="CG Times" w:hAnsi="CG Times" w:cs="Arial"/>
          <w:i/>
          <w:iCs/>
          <w:sz w:val="26"/>
          <w:szCs w:val="26"/>
        </w:rPr>
        <w:t>”</w:t>
      </w:r>
      <w:r w:rsidR="0047174B">
        <w:rPr>
          <w:rStyle w:val="FootnoteReference"/>
          <w:rFonts w:ascii="CG Times" w:hAnsi="CG Times" w:cs="Arial"/>
          <w:i/>
          <w:iCs/>
          <w:sz w:val="26"/>
          <w:szCs w:val="26"/>
        </w:rPr>
        <w:footnoteReference w:id="5"/>
      </w:r>
      <w:r w:rsidR="001C4A68">
        <w:rPr>
          <w:rFonts w:ascii="CG Times" w:hAnsi="CG Times" w:cs="Arial"/>
          <w:i/>
          <w:iCs/>
          <w:sz w:val="26"/>
          <w:szCs w:val="26"/>
        </w:rPr>
        <w:t>,</w:t>
      </w:r>
      <w:r w:rsidR="00757DC9">
        <w:rPr>
          <w:rFonts w:ascii="CG Times" w:hAnsi="CG Times" w:cs="Arial"/>
          <w:sz w:val="26"/>
          <w:szCs w:val="26"/>
        </w:rPr>
        <w:t xml:space="preserve"> </w:t>
      </w:r>
      <w:r w:rsidR="001C0B08">
        <w:rPr>
          <w:rFonts w:ascii="CG Times" w:hAnsi="CG Times" w:cs="Arial"/>
          <w:sz w:val="26"/>
          <w:szCs w:val="26"/>
        </w:rPr>
        <w:t xml:space="preserve">that </w:t>
      </w:r>
      <w:r w:rsidR="00AC69B1">
        <w:rPr>
          <w:rFonts w:ascii="CG Times" w:hAnsi="CG Times" w:cs="Arial"/>
          <w:sz w:val="26"/>
          <w:szCs w:val="26"/>
        </w:rPr>
        <w:t>consideration</w:t>
      </w:r>
      <w:r w:rsidR="001C0B08">
        <w:rPr>
          <w:rFonts w:ascii="CG Times" w:hAnsi="CG Times" w:cs="Arial"/>
          <w:sz w:val="26"/>
          <w:szCs w:val="26"/>
        </w:rPr>
        <w:t xml:space="preserve"> </w:t>
      </w:r>
      <w:r w:rsidR="0018656E">
        <w:rPr>
          <w:rFonts w:ascii="CG Times" w:hAnsi="CG Times" w:cs="Arial"/>
          <w:sz w:val="26"/>
          <w:szCs w:val="26"/>
        </w:rPr>
        <w:t xml:space="preserve">on its own </w:t>
      </w:r>
      <w:r w:rsidR="001C0B08">
        <w:rPr>
          <w:rFonts w:ascii="CG Times" w:hAnsi="CG Times" w:cs="Arial"/>
          <w:sz w:val="26"/>
          <w:szCs w:val="26"/>
        </w:rPr>
        <w:t xml:space="preserve">is not enough </w:t>
      </w:r>
      <w:r w:rsidR="00BB65F4">
        <w:rPr>
          <w:rFonts w:ascii="CG Times" w:hAnsi="CG Times" w:cs="Arial"/>
          <w:sz w:val="26"/>
          <w:szCs w:val="26"/>
        </w:rPr>
        <w:t xml:space="preserve">to </w:t>
      </w:r>
      <w:r w:rsidR="004947C5">
        <w:rPr>
          <w:rFonts w:ascii="CG Times" w:hAnsi="CG Times" w:cs="Arial"/>
          <w:sz w:val="26"/>
          <w:szCs w:val="26"/>
        </w:rPr>
        <w:t xml:space="preserve">found a compelling reason </w:t>
      </w:r>
      <w:r w:rsidR="00A83283">
        <w:rPr>
          <w:rFonts w:ascii="CG Times" w:hAnsi="CG Times" w:cs="Arial"/>
          <w:sz w:val="26"/>
          <w:szCs w:val="26"/>
        </w:rPr>
        <w:t xml:space="preserve">for </w:t>
      </w:r>
      <w:r w:rsidR="000817BD">
        <w:rPr>
          <w:rFonts w:ascii="CG Times" w:hAnsi="CG Times" w:cs="Arial"/>
          <w:sz w:val="26"/>
          <w:szCs w:val="26"/>
        </w:rPr>
        <w:t>burden</w:t>
      </w:r>
      <w:r w:rsidR="00A83283">
        <w:rPr>
          <w:rFonts w:ascii="CG Times" w:hAnsi="CG Times" w:cs="Arial"/>
          <w:sz w:val="26"/>
          <w:szCs w:val="26"/>
        </w:rPr>
        <w:t>ing</w:t>
      </w:r>
      <w:r w:rsidR="000817BD">
        <w:rPr>
          <w:rFonts w:ascii="CG Times" w:hAnsi="CG Times" w:cs="Arial"/>
          <w:sz w:val="26"/>
          <w:szCs w:val="26"/>
        </w:rPr>
        <w:t xml:space="preserve"> the Supreme Court of Appeal</w:t>
      </w:r>
      <w:r w:rsidR="00494347">
        <w:rPr>
          <w:rFonts w:ascii="CG Times" w:hAnsi="CG Times" w:cs="Arial"/>
          <w:sz w:val="26"/>
          <w:szCs w:val="26"/>
        </w:rPr>
        <w:t xml:space="preserve"> with an appeal </w:t>
      </w:r>
      <w:r w:rsidR="00B80BB9">
        <w:rPr>
          <w:rFonts w:ascii="CG Times" w:hAnsi="CG Times" w:cs="Arial"/>
          <w:sz w:val="26"/>
          <w:szCs w:val="26"/>
        </w:rPr>
        <w:t>that</w:t>
      </w:r>
      <w:r w:rsidR="00785EE3">
        <w:rPr>
          <w:rFonts w:ascii="CG Times" w:hAnsi="CG Times" w:cs="Arial"/>
          <w:sz w:val="26"/>
          <w:szCs w:val="26"/>
        </w:rPr>
        <w:t xml:space="preserve"> </w:t>
      </w:r>
      <w:r w:rsidR="00012252">
        <w:rPr>
          <w:rFonts w:ascii="CG Times" w:hAnsi="CG Times" w:cs="Arial"/>
          <w:sz w:val="26"/>
          <w:szCs w:val="26"/>
        </w:rPr>
        <w:t>collapses</w:t>
      </w:r>
      <w:r w:rsidR="00785EE3">
        <w:rPr>
          <w:rFonts w:ascii="CG Times" w:hAnsi="CG Times" w:cs="Arial"/>
          <w:sz w:val="26"/>
          <w:szCs w:val="26"/>
        </w:rPr>
        <w:t xml:space="preserve"> in the pleadings filed in the court of first instance</w:t>
      </w:r>
      <w:r w:rsidR="007007E8">
        <w:rPr>
          <w:rFonts w:ascii="CG Times" w:hAnsi="CG Times" w:cs="Arial"/>
          <w:sz w:val="26"/>
          <w:szCs w:val="26"/>
        </w:rPr>
        <w:t>.</w:t>
      </w:r>
      <w:r w:rsidR="00843B70">
        <w:rPr>
          <w:rStyle w:val="FootnoteReference"/>
          <w:rFonts w:ascii="CG Times" w:hAnsi="CG Times" w:cs="Arial"/>
          <w:sz w:val="26"/>
          <w:szCs w:val="26"/>
        </w:rPr>
        <w:footnoteReference w:id="6"/>
      </w:r>
      <w:r w:rsidR="007007E8">
        <w:rPr>
          <w:rFonts w:ascii="CG Times" w:hAnsi="CG Times" w:cs="Arial"/>
          <w:sz w:val="26"/>
          <w:szCs w:val="26"/>
        </w:rPr>
        <w:t xml:space="preserve"> </w:t>
      </w:r>
      <w:r w:rsidR="0035673D">
        <w:rPr>
          <w:rFonts w:ascii="CG Times" w:hAnsi="CG Times" w:cs="Arial"/>
          <w:sz w:val="26"/>
          <w:szCs w:val="26"/>
        </w:rPr>
        <w:t>The merits of the case</w:t>
      </w:r>
      <w:r w:rsidR="00593F05">
        <w:rPr>
          <w:rFonts w:ascii="CG Times" w:hAnsi="CG Times" w:cs="Arial"/>
          <w:sz w:val="26"/>
          <w:szCs w:val="26"/>
        </w:rPr>
        <w:t>, anchored in the pleadings that served before us,</w:t>
      </w:r>
      <w:r w:rsidR="0035673D">
        <w:rPr>
          <w:rFonts w:ascii="CG Times" w:hAnsi="CG Times" w:cs="Arial"/>
          <w:sz w:val="26"/>
          <w:szCs w:val="26"/>
        </w:rPr>
        <w:t xml:space="preserve"> are still decisive. </w:t>
      </w:r>
      <w:r w:rsidR="007007E8">
        <w:rPr>
          <w:rFonts w:ascii="CG Times" w:hAnsi="CG Times" w:cs="Arial"/>
          <w:sz w:val="26"/>
          <w:szCs w:val="26"/>
        </w:rPr>
        <w:t xml:space="preserve">This is so for </w:t>
      </w:r>
      <w:r w:rsidR="00EE59F7">
        <w:rPr>
          <w:rFonts w:ascii="CG Times" w:hAnsi="CG Times" w:cs="Arial"/>
          <w:sz w:val="26"/>
          <w:szCs w:val="26"/>
        </w:rPr>
        <w:t>several</w:t>
      </w:r>
      <w:r w:rsidR="006F5AF1">
        <w:rPr>
          <w:rFonts w:ascii="CG Times" w:hAnsi="CG Times" w:cs="Arial"/>
          <w:sz w:val="26"/>
          <w:szCs w:val="26"/>
        </w:rPr>
        <w:t xml:space="preserve"> reasons</w:t>
      </w:r>
      <w:r w:rsidR="003D6777">
        <w:rPr>
          <w:rFonts w:ascii="CG Times" w:hAnsi="CG Times" w:cs="Arial"/>
          <w:sz w:val="26"/>
          <w:szCs w:val="26"/>
        </w:rPr>
        <w:t>:</w:t>
      </w:r>
    </w:p>
    <w:p w14:paraId="43455D5D" w14:textId="77777777" w:rsidR="003D6777" w:rsidRDefault="003D6777" w:rsidP="00933304">
      <w:pPr>
        <w:spacing w:line="360" w:lineRule="auto"/>
        <w:jc w:val="both"/>
        <w:rPr>
          <w:rFonts w:ascii="CG Times" w:hAnsi="CG Times" w:cs="Arial"/>
          <w:sz w:val="26"/>
          <w:szCs w:val="26"/>
        </w:rPr>
      </w:pPr>
    </w:p>
    <w:p w14:paraId="6A382F4F" w14:textId="46B6B98E" w:rsidR="00FE16D3" w:rsidRDefault="003D6777" w:rsidP="008E1E73">
      <w:pPr>
        <w:spacing w:line="360" w:lineRule="auto"/>
        <w:ind w:left="1418" w:hanging="698"/>
        <w:jc w:val="both"/>
        <w:rPr>
          <w:rFonts w:ascii="CG Times" w:hAnsi="CG Times" w:cs="Arial"/>
          <w:sz w:val="26"/>
          <w:szCs w:val="26"/>
        </w:rPr>
      </w:pPr>
      <w:r>
        <w:rPr>
          <w:rFonts w:ascii="CG Times" w:hAnsi="CG Times" w:cs="Arial"/>
          <w:sz w:val="26"/>
          <w:szCs w:val="26"/>
        </w:rPr>
        <w:t>3.1</w:t>
      </w:r>
      <w:r>
        <w:rPr>
          <w:rFonts w:ascii="CG Times" w:hAnsi="CG Times" w:cs="Arial"/>
          <w:sz w:val="26"/>
          <w:szCs w:val="26"/>
        </w:rPr>
        <w:tab/>
      </w:r>
      <w:r w:rsidR="006F5AF1">
        <w:rPr>
          <w:rFonts w:ascii="CG Times" w:hAnsi="CG Times" w:cs="Arial"/>
          <w:sz w:val="26"/>
          <w:szCs w:val="26"/>
        </w:rPr>
        <w:t xml:space="preserve">First, the SCA will be bound by the record of pleadings </w:t>
      </w:r>
      <w:r w:rsidR="00756696">
        <w:rPr>
          <w:rFonts w:ascii="CG Times" w:hAnsi="CG Times" w:cs="Arial"/>
          <w:sz w:val="26"/>
          <w:szCs w:val="26"/>
        </w:rPr>
        <w:t xml:space="preserve">that served before us. </w:t>
      </w:r>
      <w:r w:rsidR="00C62A51">
        <w:rPr>
          <w:rFonts w:ascii="CG Times" w:hAnsi="CG Times" w:cs="Arial"/>
          <w:sz w:val="26"/>
          <w:szCs w:val="26"/>
        </w:rPr>
        <w:t xml:space="preserve">As explained in the main judgment, </w:t>
      </w:r>
      <w:r w:rsidR="00C1465F">
        <w:rPr>
          <w:rFonts w:ascii="CG Times" w:hAnsi="CG Times" w:cs="Arial"/>
          <w:sz w:val="26"/>
          <w:szCs w:val="26"/>
        </w:rPr>
        <w:t xml:space="preserve">even the </w:t>
      </w:r>
      <w:r w:rsidR="009F0E61">
        <w:rPr>
          <w:rFonts w:ascii="CG Times" w:hAnsi="CG Times" w:cs="Arial"/>
          <w:sz w:val="26"/>
          <w:szCs w:val="26"/>
        </w:rPr>
        <w:t xml:space="preserve">first </w:t>
      </w:r>
      <w:r w:rsidR="00C1465F">
        <w:rPr>
          <w:rFonts w:ascii="CG Times" w:hAnsi="CG Times" w:cs="Arial"/>
          <w:sz w:val="26"/>
          <w:szCs w:val="26"/>
        </w:rPr>
        <w:t>applicant</w:t>
      </w:r>
      <w:r w:rsidR="00255CD5">
        <w:rPr>
          <w:rStyle w:val="FootnoteReference"/>
          <w:rFonts w:ascii="CG Times" w:hAnsi="CG Times" w:cs="Arial"/>
          <w:sz w:val="26"/>
          <w:szCs w:val="26"/>
        </w:rPr>
        <w:footnoteReference w:id="7"/>
      </w:r>
      <w:r w:rsidR="00C1465F">
        <w:rPr>
          <w:rFonts w:ascii="CG Times" w:hAnsi="CG Times" w:cs="Arial"/>
          <w:sz w:val="26"/>
          <w:szCs w:val="26"/>
        </w:rPr>
        <w:t xml:space="preserve"> </w:t>
      </w:r>
      <w:r w:rsidR="00A34578">
        <w:rPr>
          <w:rFonts w:ascii="CG Times" w:hAnsi="CG Times" w:cs="Arial"/>
          <w:sz w:val="26"/>
          <w:szCs w:val="26"/>
        </w:rPr>
        <w:t>conceded i</w:t>
      </w:r>
      <w:r w:rsidR="00380F82">
        <w:rPr>
          <w:rFonts w:ascii="CG Times" w:hAnsi="CG Times" w:cs="Arial"/>
          <w:sz w:val="26"/>
          <w:szCs w:val="26"/>
        </w:rPr>
        <w:t>n its supplementary founding affidavit that</w:t>
      </w:r>
      <w:r w:rsidR="00A34578">
        <w:rPr>
          <w:rFonts w:ascii="CG Times" w:hAnsi="CG Times" w:cs="Arial"/>
          <w:sz w:val="26"/>
          <w:szCs w:val="26"/>
        </w:rPr>
        <w:t xml:space="preserve"> </w:t>
      </w:r>
      <w:r w:rsidR="00C62A51">
        <w:rPr>
          <w:rFonts w:ascii="CG Times" w:hAnsi="CG Times" w:cs="Arial"/>
          <w:sz w:val="26"/>
          <w:szCs w:val="26"/>
        </w:rPr>
        <w:t xml:space="preserve">the original founding </w:t>
      </w:r>
      <w:r w:rsidR="00102277">
        <w:rPr>
          <w:rFonts w:ascii="CG Times" w:hAnsi="CG Times" w:cs="Arial"/>
          <w:sz w:val="26"/>
          <w:szCs w:val="26"/>
        </w:rPr>
        <w:t xml:space="preserve">papers </w:t>
      </w:r>
      <w:r w:rsidR="00380F82" w:rsidRPr="002B5DDC">
        <w:rPr>
          <w:rFonts w:ascii="CG Times" w:hAnsi="CG Times" w:cs="Arial"/>
          <w:i/>
          <w:iCs/>
          <w:sz w:val="26"/>
          <w:szCs w:val="26"/>
        </w:rPr>
        <w:t>“do not set out fully all the facts necessary to enable the Court to make its determination in this matter</w:t>
      </w:r>
      <w:r w:rsidR="00680B29">
        <w:rPr>
          <w:rFonts w:ascii="CG Times" w:hAnsi="CG Times" w:cs="Arial"/>
          <w:i/>
          <w:iCs/>
          <w:sz w:val="26"/>
          <w:szCs w:val="26"/>
        </w:rPr>
        <w:t>…</w:t>
      </w:r>
      <w:r w:rsidR="00D82C6E">
        <w:rPr>
          <w:rFonts w:ascii="CG Times" w:hAnsi="CG Times" w:cs="Arial"/>
          <w:i/>
          <w:iCs/>
          <w:sz w:val="26"/>
          <w:szCs w:val="26"/>
        </w:rPr>
        <w:t xml:space="preserve"> </w:t>
      </w:r>
      <w:r w:rsidR="00680B29">
        <w:rPr>
          <w:rFonts w:ascii="CG Times" w:hAnsi="CG Times" w:cs="Arial"/>
          <w:i/>
          <w:iCs/>
          <w:sz w:val="26"/>
          <w:szCs w:val="26"/>
        </w:rPr>
        <w:t xml:space="preserve">[n]or do they fully set out </w:t>
      </w:r>
      <w:r w:rsidR="00B720C3">
        <w:rPr>
          <w:rFonts w:ascii="CG Times" w:hAnsi="CG Times" w:cs="Arial"/>
          <w:i/>
          <w:iCs/>
          <w:sz w:val="26"/>
          <w:szCs w:val="26"/>
        </w:rPr>
        <w:t xml:space="preserve">how these objects </w:t>
      </w:r>
      <w:r w:rsidR="00260E49">
        <w:rPr>
          <w:rFonts w:ascii="CG Times" w:hAnsi="CG Times" w:cs="Arial"/>
          <w:i/>
          <w:iCs/>
          <w:sz w:val="26"/>
          <w:szCs w:val="26"/>
        </w:rPr>
        <w:t>form part of the rich heritage of this country and its fight for democracy</w:t>
      </w:r>
      <w:r w:rsidR="00380F82" w:rsidRPr="002B5DDC">
        <w:rPr>
          <w:rFonts w:ascii="CG Times" w:hAnsi="CG Times" w:cs="Arial"/>
          <w:i/>
          <w:iCs/>
          <w:sz w:val="26"/>
          <w:szCs w:val="26"/>
        </w:rPr>
        <w:t>”</w:t>
      </w:r>
      <w:r w:rsidR="0085296D">
        <w:rPr>
          <w:rStyle w:val="FootnoteReference"/>
          <w:rFonts w:ascii="CG Times" w:hAnsi="CG Times" w:cs="Arial"/>
          <w:i/>
          <w:iCs/>
          <w:sz w:val="26"/>
          <w:szCs w:val="26"/>
        </w:rPr>
        <w:footnoteReference w:id="8"/>
      </w:r>
      <w:r w:rsidR="00102277">
        <w:rPr>
          <w:rFonts w:ascii="CG Times" w:hAnsi="CG Times" w:cs="Arial"/>
          <w:sz w:val="26"/>
          <w:szCs w:val="26"/>
        </w:rPr>
        <w:t xml:space="preserve">. </w:t>
      </w:r>
      <w:r w:rsidR="00740992">
        <w:rPr>
          <w:rFonts w:ascii="CG Times" w:hAnsi="CG Times" w:cs="Arial"/>
          <w:sz w:val="26"/>
          <w:szCs w:val="26"/>
        </w:rPr>
        <w:t xml:space="preserve">In other words, </w:t>
      </w:r>
      <w:r w:rsidR="005448B9">
        <w:rPr>
          <w:rFonts w:ascii="CG Times" w:hAnsi="CG Times" w:cs="Arial"/>
          <w:sz w:val="26"/>
          <w:szCs w:val="26"/>
        </w:rPr>
        <w:t>t</w:t>
      </w:r>
      <w:r w:rsidR="00C104FF">
        <w:rPr>
          <w:rFonts w:ascii="CG Times" w:hAnsi="CG Times" w:cs="Arial"/>
          <w:sz w:val="26"/>
          <w:szCs w:val="26"/>
        </w:rPr>
        <w:t xml:space="preserve">he </w:t>
      </w:r>
      <w:r w:rsidR="007509D1">
        <w:rPr>
          <w:rFonts w:ascii="CG Times" w:hAnsi="CG Times" w:cs="Arial"/>
          <w:sz w:val="26"/>
          <w:szCs w:val="26"/>
        </w:rPr>
        <w:t>applicant</w:t>
      </w:r>
      <w:r w:rsidR="00A935F6">
        <w:rPr>
          <w:rFonts w:ascii="CG Times" w:hAnsi="CG Times" w:cs="Arial"/>
          <w:sz w:val="26"/>
          <w:szCs w:val="26"/>
        </w:rPr>
        <w:t>s</w:t>
      </w:r>
      <w:r w:rsidR="007509D1">
        <w:rPr>
          <w:rFonts w:ascii="CG Times" w:hAnsi="CG Times" w:cs="Arial"/>
          <w:sz w:val="26"/>
          <w:szCs w:val="26"/>
        </w:rPr>
        <w:t xml:space="preserve"> ha</w:t>
      </w:r>
      <w:r w:rsidR="00A935F6">
        <w:rPr>
          <w:rFonts w:ascii="CG Times" w:hAnsi="CG Times" w:cs="Arial"/>
          <w:sz w:val="26"/>
          <w:szCs w:val="26"/>
        </w:rPr>
        <w:t>ve</w:t>
      </w:r>
      <w:r w:rsidR="007509D1">
        <w:rPr>
          <w:rFonts w:ascii="CG Times" w:hAnsi="CG Times" w:cs="Arial"/>
          <w:sz w:val="26"/>
          <w:szCs w:val="26"/>
        </w:rPr>
        <w:t xml:space="preserve"> conceded that </w:t>
      </w:r>
      <w:r w:rsidR="00BC6425">
        <w:rPr>
          <w:rFonts w:ascii="CG Times" w:hAnsi="CG Times" w:cs="Arial"/>
          <w:sz w:val="26"/>
          <w:szCs w:val="26"/>
        </w:rPr>
        <w:t>their</w:t>
      </w:r>
      <w:r w:rsidR="007A0EB8">
        <w:rPr>
          <w:rFonts w:ascii="CG Times" w:hAnsi="CG Times" w:cs="Arial"/>
          <w:sz w:val="26"/>
          <w:szCs w:val="26"/>
        </w:rPr>
        <w:t xml:space="preserve"> </w:t>
      </w:r>
      <w:r w:rsidR="00414937">
        <w:rPr>
          <w:rFonts w:ascii="CG Times" w:hAnsi="CG Times" w:cs="Arial"/>
          <w:sz w:val="26"/>
          <w:szCs w:val="26"/>
        </w:rPr>
        <w:t xml:space="preserve">founding papers do not set out facts </w:t>
      </w:r>
      <w:r w:rsidR="00AD696E">
        <w:rPr>
          <w:rFonts w:ascii="CG Times" w:hAnsi="CG Times" w:cs="Arial"/>
          <w:sz w:val="26"/>
          <w:szCs w:val="26"/>
        </w:rPr>
        <w:t xml:space="preserve">that are </w:t>
      </w:r>
      <w:r w:rsidR="00414937">
        <w:rPr>
          <w:rFonts w:ascii="CG Times" w:hAnsi="CG Times" w:cs="Arial"/>
          <w:sz w:val="26"/>
          <w:szCs w:val="26"/>
        </w:rPr>
        <w:t xml:space="preserve">sufficient to </w:t>
      </w:r>
      <w:r w:rsidR="00414937" w:rsidRPr="004211ED">
        <w:rPr>
          <w:rFonts w:ascii="CG Times" w:hAnsi="CG Times" w:cs="Arial"/>
          <w:sz w:val="26"/>
          <w:szCs w:val="26"/>
        </w:rPr>
        <w:t xml:space="preserve">meet the first requirement for the final interdict that </w:t>
      </w:r>
      <w:r w:rsidR="00AD696E" w:rsidRPr="004211ED">
        <w:rPr>
          <w:rFonts w:ascii="CG Times" w:hAnsi="CG Times" w:cs="Arial"/>
          <w:sz w:val="26"/>
          <w:szCs w:val="26"/>
        </w:rPr>
        <w:t>the applicant</w:t>
      </w:r>
      <w:r w:rsidR="00E745E3" w:rsidRPr="004211ED">
        <w:rPr>
          <w:rFonts w:ascii="CG Times" w:hAnsi="CG Times" w:cs="Arial"/>
          <w:sz w:val="26"/>
          <w:szCs w:val="26"/>
        </w:rPr>
        <w:t>s</w:t>
      </w:r>
      <w:r w:rsidR="00AD696E" w:rsidRPr="004211ED">
        <w:rPr>
          <w:rFonts w:ascii="CG Times" w:hAnsi="CG Times" w:cs="Arial"/>
          <w:sz w:val="26"/>
          <w:szCs w:val="26"/>
        </w:rPr>
        <w:t xml:space="preserve"> seek</w:t>
      </w:r>
      <w:r w:rsidR="00060A91" w:rsidRPr="004211ED">
        <w:rPr>
          <w:rFonts w:ascii="CG Times" w:hAnsi="CG Times" w:cs="Arial"/>
          <w:sz w:val="26"/>
          <w:szCs w:val="26"/>
        </w:rPr>
        <w:t xml:space="preserve"> (a clear right)</w:t>
      </w:r>
      <w:r w:rsidR="00AD696E" w:rsidRPr="004211ED">
        <w:rPr>
          <w:rFonts w:ascii="CG Times" w:hAnsi="CG Times" w:cs="Arial"/>
          <w:sz w:val="26"/>
          <w:szCs w:val="26"/>
        </w:rPr>
        <w:t>.</w:t>
      </w:r>
    </w:p>
    <w:p w14:paraId="10CF8260" w14:textId="77777777" w:rsidR="00FE16D3" w:rsidRDefault="00FE16D3" w:rsidP="008E1E73">
      <w:pPr>
        <w:spacing w:line="360" w:lineRule="auto"/>
        <w:ind w:left="1418" w:hanging="698"/>
        <w:jc w:val="both"/>
        <w:rPr>
          <w:rFonts w:ascii="CG Times" w:hAnsi="CG Times" w:cs="Arial"/>
          <w:sz w:val="26"/>
          <w:szCs w:val="26"/>
        </w:rPr>
      </w:pPr>
    </w:p>
    <w:p w14:paraId="53CE3D92" w14:textId="0A829165" w:rsidR="004E764C" w:rsidRDefault="00FE16D3" w:rsidP="00156E58">
      <w:pPr>
        <w:spacing w:line="360" w:lineRule="auto"/>
        <w:ind w:left="1418" w:hanging="698"/>
        <w:jc w:val="both"/>
        <w:rPr>
          <w:rFonts w:ascii="CG Times" w:hAnsi="CG Times" w:cs="Arial"/>
          <w:sz w:val="26"/>
          <w:szCs w:val="26"/>
        </w:rPr>
      </w:pPr>
      <w:r>
        <w:rPr>
          <w:rFonts w:ascii="CG Times" w:hAnsi="CG Times" w:cs="Arial"/>
          <w:sz w:val="26"/>
          <w:szCs w:val="26"/>
        </w:rPr>
        <w:t>3.2</w:t>
      </w:r>
      <w:r>
        <w:rPr>
          <w:rFonts w:ascii="CG Times" w:hAnsi="CG Times" w:cs="Arial"/>
          <w:sz w:val="26"/>
          <w:szCs w:val="26"/>
        </w:rPr>
        <w:tab/>
      </w:r>
      <w:r w:rsidR="00064290">
        <w:rPr>
          <w:rFonts w:ascii="CG Times" w:hAnsi="CG Times" w:cs="Arial"/>
          <w:sz w:val="26"/>
          <w:szCs w:val="26"/>
        </w:rPr>
        <w:t xml:space="preserve">Second, </w:t>
      </w:r>
      <w:r w:rsidR="004E764C">
        <w:rPr>
          <w:rFonts w:ascii="CG Times" w:hAnsi="CG Times" w:cs="Arial"/>
          <w:sz w:val="26"/>
          <w:szCs w:val="26"/>
        </w:rPr>
        <w:t>even allowing for the admission of the supplementary founding affidavit</w:t>
      </w:r>
      <w:r w:rsidR="00BB0928">
        <w:rPr>
          <w:rFonts w:ascii="CG Times" w:hAnsi="CG Times" w:cs="Arial"/>
          <w:sz w:val="26"/>
          <w:szCs w:val="26"/>
        </w:rPr>
        <w:t xml:space="preserve"> </w:t>
      </w:r>
      <w:r w:rsidR="00C16F64">
        <w:rPr>
          <w:rFonts w:ascii="CG Times" w:hAnsi="CG Times" w:cs="Arial"/>
          <w:sz w:val="26"/>
          <w:szCs w:val="26"/>
        </w:rPr>
        <w:t xml:space="preserve">some five months </w:t>
      </w:r>
      <w:r w:rsidR="00BB0928">
        <w:rPr>
          <w:rFonts w:ascii="CG Times" w:hAnsi="CG Times" w:cs="Arial"/>
          <w:sz w:val="26"/>
          <w:szCs w:val="26"/>
        </w:rPr>
        <w:t>after the filing of replying papers</w:t>
      </w:r>
      <w:r w:rsidR="004E764C">
        <w:rPr>
          <w:rFonts w:ascii="CG Times" w:hAnsi="CG Times" w:cs="Arial"/>
          <w:sz w:val="26"/>
          <w:szCs w:val="26"/>
        </w:rPr>
        <w:t xml:space="preserve">, </w:t>
      </w:r>
      <w:r>
        <w:rPr>
          <w:rFonts w:ascii="CG Times" w:hAnsi="CG Times" w:cs="Arial"/>
          <w:sz w:val="26"/>
          <w:szCs w:val="26"/>
        </w:rPr>
        <w:t xml:space="preserve">which was allowed in the interests of justice, </w:t>
      </w:r>
      <w:r w:rsidR="004E764C">
        <w:rPr>
          <w:rFonts w:ascii="CG Times" w:hAnsi="CG Times" w:cs="Arial"/>
          <w:sz w:val="26"/>
          <w:szCs w:val="26"/>
        </w:rPr>
        <w:t>there is no clear indication that the</w:t>
      </w:r>
      <w:r w:rsidR="006134A9">
        <w:rPr>
          <w:rFonts w:ascii="CG Times" w:hAnsi="CG Times" w:cs="Arial"/>
          <w:sz w:val="26"/>
          <w:szCs w:val="26"/>
        </w:rPr>
        <w:t xml:space="preserve"> Mandela Objects</w:t>
      </w:r>
      <w:r w:rsidR="004E764C">
        <w:rPr>
          <w:rFonts w:ascii="CG Times" w:hAnsi="CG Times" w:cs="Arial"/>
          <w:sz w:val="26"/>
          <w:szCs w:val="26"/>
        </w:rPr>
        <w:t xml:space="preserve"> </w:t>
      </w:r>
      <w:r w:rsidR="00DD57CD">
        <w:rPr>
          <w:rFonts w:ascii="CG Times" w:hAnsi="CG Times" w:cs="Arial"/>
          <w:sz w:val="26"/>
          <w:szCs w:val="26"/>
        </w:rPr>
        <w:t xml:space="preserve">fit the mould </w:t>
      </w:r>
      <w:r w:rsidR="007264A4">
        <w:rPr>
          <w:rFonts w:ascii="CG Times" w:hAnsi="CG Times" w:cs="Arial"/>
          <w:sz w:val="26"/>
          <w:szCs w:val="26"/>
        </w:rPr>
        <w:t>of</w:t>
      </w:r>
      <w:r w:rsidR="004E764C">
        <w:rPr>
          <w:rFonts w:ascii="CG Times" w:hAnsi="CG Times" w:cs="Arial"/>
          <w:sz w:val="26"/>
          <w:szCs w:val="26"/>
        </w:rPr>
        <w:t xml:space="preserve"> </w:t>
      </w:r>
      <w:r w:rsidR="004E764C" w:rsidRPr="00FD48A1">
        <w:rPr>
          <w:rFonts w:ascii="CG Times" w:hAnsi="CG Times" w:cs="Arial"/>
          <w:i/>
          <w:iCs/>
          <w:sz w:val="26"/>
          <w:szCs w:val="26"/>
        </w:rPr>
        <w:t>heritage objects</w:t>
      </w:r>
      <w:r w:rsidR="007264A4">
        <w:rPr>
          <w:rFonts w:ascii="CG Times" w:hAnsi="CG Times" w:cs="Arial"/>
          <w:sz w:val="26"/>
          <w:szCs w:val="26"/>
        </w:rPr>
        <w:t xml:space="preserve"> as envisaged </w:t>
      </w:r>
      <w:r w:rsidR="00F21D3C">
        <w:rPr>
          <w:rFonts w:ascii="CG Times" w:hAnsi="CG Times" w:cs="Arial"/>
          <w:sz w:val="26"/>
          <w:szCs w:val="26"/>
        </w:rPr>
        <w:t xml:space="preserve">in the </w:t>
      </w:r>
      <w:r w:rsidR="003B0BAA">
        <w:rPr>
          <w:rFonts w:ascii="CG Times" w:hAnsi="CG Times" w:cs="Arial"/>
          <w:sz w:val="26"/>
          <w:szCs w:val="26"/>
        </w:rPr>
        <w:t xml:space="preserve">Heritage </w:t>
      </w:r>
      <w:r w:rsidR="00F21D3C">
        <w:rPr>
          <w:rFonts w:ascii="CG Times" w:hAnsi="CG Times" w:cs="Arial"/>
          <w:sz w:val="26"/>
          <w:szCs w:val="26"/>
        </w:rPr>
        <w:t>Act</w:t>
      </w:r>
      <w:r w:rsidR="00CA76ED">
        <w:rPr>
          <w:rFonts w:ascii="CG Times" w:hAnsi="CG Times" w:cs="Arial"/>
          <w:sz w:val="26"/>
          <w:szCs w:val="26"/>
        </w:rPr>
        <w:t>.</w:t>
      </w:r>
      <w:r w:rsidR="00E7758D">
        <w:rPr>
          <w:rFonts w:ascii="CG Times" w:hAnsi="CG Times" w:cs="Arial"/>
          <w:sz w:val="26"/>
          <w:szCs w:val="26"/>
        </w:rPr>
        <w:t xml:space="preserve"> The </w:t>
      </w:r>
      <w:r w:rsidR="00F21D3C">
        <w:rPr>
          <w:rFonts w:ascii="CG Times" w:hAnsi="CG Times" w:cs="Arial"/>
          <w:sz w:val="26"/>
          <w:szCs w:val="26"/>
        </w:rPr>
        <w:t>applicant</w:t>
      </w:r>
      <w:r w:rsidR="007B1D97">
        <w:rPr>
          <w:rFonts w:ascii="CG Times" w:hAnsi="CG Times" w:cs="Arial"/>
          <w:sz w:val="26"/>
          <w:szCs w:val="26"/>
        </w:rPr>
        <w:t>s</w:t>
      </w:r>
      <w:r w:rsidR="00F21D3C">
        <w:rPr>
          <w:rFonts w:ascii="CG Times" w:hAnsi="CG Times" w:cs="Arial"/>
          <w:sz w:val="26"/>
          <w:szCs w:val="26"/>
        </w:rPr>
        <w:t xml:space="preserve">’ </w:t>
      </w:r>
      <w:r w:rsidR="00E7758D">
        <w:rPr>
          <w:rFonts w:ascii="CG Times" w:hAnsi="CG Times" w:cs="Arial"/>
          <w:sz w:val="26"/>
          <w:szCs w:val="26"/>
        </w:rPr>
        <w:t>broad</w:t>
      </w:r>
      <w:r w:rsidR="00F21D3C">
        <w:rPr>
          <w:rFonts w:ascii="CG Times" w:hAnsi="CG Times" w:cs="Arial"/>
          <w:sz w:val="26"/>
          <w:szCs w:val="26"/>
        </w:rPr>
        <w:t xml:space="preserve"> sweep</w:t>
      </w:r>
      <w:r w:rsidR="00B43D4C">
        <w:rPr>
          <w:rFonts w:ascii="CG Times" w:hAnsi="CG Times" w:cs="Arial"/>
          <w:sz w:val="26"/>
          <w:szCs w:val="26"/>
        </w:rPr>
        <w:t xml:space="preserve"> </w:t>
      </w:r>
      <w:r w:rsidR="00617984">
        <w:rPr>
          <w:rFonts w:ascii="CG Times" w:hAnsi="CG Times" w:cs="Arial"/>
          <w:sz w:val="26"/>
          <w:szCs w:val="26"/>
        </w:rPr>
        <w:t xml:space="preserve">of </w:t>
      </w:r>
      <w:r w:rsidR="00617984" w:rsidRPr="00617984">
        <w:rPr>
          <w:rFonts w:ascii="CG Times" w:hAnsi="CG Times" w:cs="Arial"/>
          <w:i/>
          <w:iCs/>
          <w:sz w:val="26"/>
          <w:szCs w:val="26"/>
        </w:rPr>
        <w:t>“</w:t>
      </w:r>
      <w:r w:rsidR="007626E9">
        <w:rPr>
          <w:rFonts w:ascii="CG Times" w:hAnsi="CG Times" w:cs="Arial"/>
          <w:i/>
          <w:iCs/>
          <w:sz w:val="26"/>
          <w:szCs w:val="26"/>
        </w:rPr>
        <w:t xml:space="preserve">list of </w:t>
      </w:r>
      <w:r w:rsidR="00617984" w:rsidRPr="00617984">
        <w:rPr>
          <w:rFonts w:ascii="CG Times" w:hAnsi="CG Times" w:cs="Arial"/>
          <w:i/>
          <w:iCs/>
          <w:sz w:val="26"/>
          <w:szCs w:val="26"/>
        </w:rPr>
        <w:t xml:space="preserve">types of </w:t>
      </w:r>
      <w:r w:rsidR="00334258">
        <w:rPr>
          <w:rFonts w:ascii="CG Times" w:hAnsi="CG Times" w:cs="Arial"/>
          <w:i/>
          <w:iCs/>
          <w:sz w:val="26"/>
          <w:szCs w:val="26"/>
        </w:rPr>
        <w:t xml:space="preserve">heritage </w:t>
      </w:r>
      <w:r w:rsidR="00617984" w:rsidRPr="00617984">
        <w:rPr>
          <w:rFonts w:ascii="CG Times" w:hAnsi="CG Times" w:cs="Arial"/>
          <w:i/>
          <w:iCs/>
          <w:sz w:val="26"/>
          <w:szCs w:val="26"/>
        </w:rPr>
        <w:t>objects”</w:t>
      </w:r>
      <w:r w:rsidR="00153C90">
        <w:rPr>
          <w:rFonts w:ascii="CG Times" w:hAnsi="CG Times" w:cs="Arial"/>
          <w:sz w:val="26"/>
          <w:szCs w:val="26"/>
        </w:rPr>
        <w:t>,</w:t>
      </w:r>
      <w:r w:rsidR="008D5B67">
        <w:rPr>
          <w:rFonts w:ascii="CG Times" w:hAnsi="CG Times" w:cs="Arial"/>
          <w:sz w:val="26"/>
          <w:szCs w:val="26"/>
        </w:rPr>
        <w:t xml:space="preserve"> </w:t>
      </w:r>
      <w:r w:rsidR="00334258">
        <w:rPr>
          <w:rFonts w:ascii="CG Times" w:hAnsi="CG Times" w:cs="Arial"/>
          <w:sz w:val="26"/>
          <w:szCs w:val="26"/>
        </w:rPr>
        <w:t xml:space="preserve">by dint of </w:t>
      </w:r>
      <w:r w:rsidR="00334258" w:rsidRPr="00334258">
        <w:rPr>
          <w:rFonts w:ascii="CG Times" w:hAnsi="CG Times" w:cs="Arial"/>
          <w:i/>
          <w:iCs/>
          <w:sz w:val="26"/>
          <w:szCs w:val="26"/>
        </w:rPr>
        <w:t>“</w:t>
      </w:r>
      <w:r w:rsidR="00CD3362">
        <w:rPr>
          <w:rFonts w:ascii="CG Times" w:hAnsi="CG Times" w:cs="Arial"/>
          <w:i/>
          <w:iCs/>
          <w:sz w:val="26"/>
          <w:szCs w:val="26"/>
        </w:rPr>
        <w:t xml:space="preserve">strong </w:t>
      </w:r>
      <w:r w:rsidR="00334258" w:rsidRPr="00334258">
        <w:rPr>
          <w:rFonts w:ascii="CG Times" w:hAnsi="CG Times" w:cs="Arial"/>
          <w:i/>
          <w:iCs/>
          <w:sz w:val="26"/>
          <w:szCs w:val="26"/>
        </w:rPr>
        <w:t>association”</w:t>
      </w:r>
      <w:r w:rsidR="00334258">
        <w:rPr>
          <w:rFonts w:ascii="CG Times" w:hAnsi="CG Times" w:cs="Arial"/>
          <w:sz w:val="26"/>
          <w:szCs w:val="26"/>
        </w:rPr>
        <w:t xml:space="preserve"> with </w:t>
      </w:r>
      <w:r w:rsidR="00973096">
        <w:rPr>
          <w:rFonts w:ascii="CG Times" w:hAnsi="CG Times" w:cs="Arial"/>
          <w:sz w:val="26"/>
          <w:szCs w:val="26"/>
        </w:rPr>
        <w:t>the former statesman</w:t>
      </w:r>
      <w:r w:rsidR="00153C90">
        <w:rPr>
          <w:rFonts w:ascii="CG Times" w:hAnsi="CG Times" w:cs="Arial"/>
          <w:sz w:val="26"/>
          <w:szCs w:val="26"/>
        </w:rPr>
        <w:t>,</w:t>
      </w:r>
      <w:r w:rsidR="00973096">
        <w:rPr>
          <w:rFonts w:ascii="CG Times" w:hAnsi="CG Times" w:cs="Arial"/>
          <w:sz w:val="26"/>
          <w:szCs w:val="26"/>
        </w:rPr>
        <w:t xml:space="preserve"> </w:t>
      </w:r>
      <w:r w:rsidR="008D5B67">
        <w:rPr>
          <w:rFonts w:ascii="CG Times" w:hAnsi="CG Times" w:cs="Arial"/>
          <w:sz w:val="26"/>
          <w:szCs w:val="26"/>
        </w:rPr>
        <w:t xml:space="preserve">would result in absurdity that would render </w:t>
      </w:r>
      <w:r w:rsidR="006430CA" w:rsidRPr="006430CA">
        <w:rPr>
          <w:rFonts w:ascii="CG Times" w:hAnsi="CG Times" w:cs="Arial"/>
          <w:i/>
          <w:iCs/>
          <w:sz w:val="26"/>
          <w:szCs w:val="26"/>
        </w:rPr>
        <w:t>“heritage objects”</w:t>
      </w:r>
      <w:r w:rsidR="006430CA">
        <w:rPr>
          <w:rFonts w:ascii="CG Times" w:hAnsi="CG Times" w:cs="Arial"/>
          <w:sz w:val="26"/>
          <w:szCs w:val="26"/>
        </w:rPr>
        <w:t xml:space="preserve"> of </w:t>
      </w:r>
      <w:r w:rsidR="008D5B67">
        <w:rPr>
          <w:rFonts w:ascii="CG Times" w:hAnsi="CG Times" w:cs="Arial"/>
          <w:sz w:val="26"/>
          <w:szCs w:val="26"/>
        </w:rPr>
        <w:t>any and every object</w:t>
      </w:r>
      <w:r w:rsidR="00BA7169">
        <w:rPr>
          <w:rFonts w:ascii="CG Times" w:hAnsi="CG Times" w:cs="Arial"/>
          <w:sz w:val="26"/>
          <w:szCs w:val="26"/>
        </w:rPr>
        <w:t xml:space="preserve"> that is</w:t>
      </w:r>
      <w:r w:rsidR="008D5B67">
        <w:rPr>
          <w:rFonts w:ascii="CG Times" w:hAnsi="CG Times" w:cs="Arial"/>
          <w:sz w:val="26"/>
          <w:szCs w:val="26"/>
        </w:rPr>
        <w:t xml:space="preserve"> </w:t>
      </w:r>
      <w:r w:rsidR="00A546D0">
        <w:rPr>
          <w:rFonts w:ascii="CG Times" w:hAnsi="CG Times" w:cs="Arial"/>
          <w:sz w:val="26"/>
          <w:szCs w:val="26"/>
        </w:rPr>
        <w:t xml:space="preserve">even vaguely </w:t>
      </w:r>
      <w:r w:rsidR="001A2F38">
        <w:rPr>
          <w:rFonts w:ascii="CG Times" w:hAnsi="CG Times" w:cs="Arial"/>
          <w:i/>
          <w:iCs/>
          <w:sz w:val="26"/>
          <w:szCs w:val="26"/>
        </w:rPr>
        <w:t>“</w:t>
      </w:r>
      <w:r w:rsidR="00415601" w:rsidRPr="009B431F">
        <w:rPr>
          <w:rFonts w:ascii="CG Times" w:hAnsi="CG Times" w:cs="Arial"/>
          <w:i/>
          <w:iCs/>
          <w:sz w:val="26"/>
          <w:szCs w:val="26"/>
        </w:rPr>
        <w:t>related to</w:t>
      </w:r>
      <w:r w:rsidR="00890BDB">
        <w:rPr>
          <w:rFonts w:ascii="CG Times" w:hAnsi="CG Times" w:cs="Arial"/>
          <w:i/>
          <w:iCs/>
          <w:sz w:val="26"/>
          <w:szCs w:val="26"/>
        </w:rPr>
        <w:t>”</w:t>
      </w:r>
      <w:r w:rsidR="00415601" w:rsidRPr="009B431F">
        <w:rPr>
          <w:rFonts w:ascii="CG Times" w:hAnsi="CG Times" w:cs="Arial"/>
          <w:i/>
          <w:iCs/>
          <w:sz w:val="26"/>
          <w:szCs w:val="26"/>
        </w:rPr>
        <w:t xml:space="preserve"> </w:t>
      </w:r>
      <w:r w:rsidR="00890BDB">
        <w:rPr>
          <w:rFonts w:ascii="CG Times" w:hAnsi="CG Times" w:cs="Arial"/>
          <w:sz w:val="26"/>
          <w:szCs w:val="26"/>
        </w:rPr>
        <w:t xml:space="preserve">President Mandela </w:t>
      </w:r>
      <w:r w:rsidR="000365D7">
        <w:rPr>
          <w:rFonts w:ascii="CG Times" w:hAnsi="CG Times" w:cs="Arial"/>
          <w:sz w:val="26"/>
          <w:szCs w:val="26"/>
        </w:rPr>
        <w:t xml:space="preserve">or any other </w:t>
      </w:r>
      <w:r w:rsidR="000365D7">
        <w:rPr>
          <w:rFonts w:ascii="CG Times" w:hAnsi="CG Times" w:cs="Arial"/>
          <w:i/>
          <w:iCs/>
          <w:sz w:val="26"/>
          <w:szCs w:val="26"/>
        </w:rPr>
        <w:t>“</w:t>
      </w:r>
      <w:r w:rsidR="00415601" w:rsidRPr="009B431F">
        <w:rPr>
          <w:rFonts w:ascii="CG Times" w:hAnsi="CG Times" w:cs="Arial"/>
          <w:i/>
          <w:iCs/>
          <w:sz w:val="26"/>
          <w:szCs w:val="26"/>
        </w:rPr>
        <w:t>significant political figures and leaders in South Africa”</w:t>
      </w:r>
      <w:r w:rsidR="009D6D0A">
        <w:rPr>
          <w:rFonts w:ascii="CG Times" w:hAnsi="CG Times" w:cs="Arial"/>
          <w:sz w:val="26"/>
          <w:szCs w:val="26"/>
        </w:rPr>
        <w:t xml:space="preserve">, or </w:t>
      </w:r>
      <w:r w:rsidR="00415601">
        <w:rPr>
          <w:rFonts w:ascii="CG Times" w:hAnsi="CG Times" w:cs="Arial"/>
          <w:sz w:val="26"/>
          <w:szCs w:val="26"/>
        </w:rPr>
        <w:t xml:space="preserve">objects which have </w:t>
      </w:r>
      <w:r w:rsidR="00415601" w:rsidRPr="00510AA4">
        <w:rPr>
          <w:rFonts w:ascii="CG Times" w:hAnsi="CG Times" w:cs="Arial"/>
          <w:i/>
          <w:iCs/>
          <w:sz w:val="26"/>
          <w:szCs w:val="26"/>
        </w:rPr>
        <w:t>“strong or special association with the life or work of a person … of importance in the history of South Africa”</w:t>
      </w:r>
      <w:r w:rsidR="00156E58">
        <w:rPr>
          <w:rFonts w:ascii="CG Times" w:hAnsi="CG Times" w:cs="Arial"/>
          <w:sz w:val="26"/>
          <w:szCs w:val="26"/>
        </w:rPr>
        <w:t xml:space="preserve">. </w:t>
      </w:r>
      <w:r w:rsidR="00422D92">
        <w:rPr>
          <w:rFonts w:ascii="CG Times" w:hAnsi="CG Times" w:cs="Arial"/>
          <w:sz w:val="26"/>
          <w:szCs w:val="26"/>
        </w:rPr>
        <w:t xml:space="preserve">What a </w:t>
      </w:r>
      <w:r w:rsidR="00422D92" w:rsidRPr="00824862">
        <w:rPr>
          <w:rFonts w:ascii="CG Times" w:hAnsi="CG Times" w:cs="Arial"/>
          <w:i/>
          <w:iCs/>
          <w:sz w:val="26"/>
          <w:szCs w:val="26"/>
        </w:rPr>
        <w:t>“</w:t>
      </w:r>
      <w:r w:rsidR="00EA3D64">
        <w:rPr>
          <w:rFonts w:ascii="CG Times" w:hAnsi="CG Times" w:cs="Arial"/>
          <w:i/>
          <w:iCs/>
          <w:sz w:val="26"/>
          <w:szCs w:val="26"/>
        </w:rPr>
        <w:t xml:space="preserve">strong or </w:t>
      </w:r>
      <w:r w:rsidR="00422D92" w:rsidRPr="00824862">
        <w:rPr>
          <w:rFonts w:ascii="CG Times" w:hAnsi="CG Times" w:cs="Arial"/>
          <w:i/>
          <w:iCs/>
          <w:sz w:val="26"/>
          <w:szCs w:val="26"/>
        </w:rPr>
        <w:t>special association”</w:t>
      </w:r>
      <w:r w:rsidR="00422D92">
        <w:rPr>
          <w:rFonts w:ascii="CG Times" w:hAnsi="CG Times" w:cs="Arial"/>
          <w:sz w:val="26"/>
          <w:szCs w:val="26"/>
        </w:rPr>
        <w:t xml:space="preserve"> </w:t>
      </w:r>
      <w:r w:rsidR="00824862">
        <w:rPr>
          <w:rFonts w:ascii="CG Times" w:hAnsi="CG Times" w:cs="Arial"/>
          <w:sz w:val="26"/>
          <w:szCs w:val="26"/>
        </w:rPr>
        <w:t>is</w:t>
      </w:r>
      <w:r w:rsidR="002B35D2">
        <w:rPr>
          <w:rFonts w:ascii="CG Times" w:hAnsi="CG Times" w:cs="Arial"/>
          <w:sz w:val="26"/>
          <w:szCs w:val="26"/>
        </w:rPr>
        <w:t>, as a measure adopted by the applicant</w:t>
      </w:r>
      <w:r w:rsidR="00F97ADA">
        <w:rPr>
          <w:rFonts w:ascii="CG Times" w:hAnsi="CG Times" w:cs="Arial"/>
          <w:sz w:val="26"/>
          <w:szCs w:val="26"/>
        </w:rPr>
        <w:t>s</w:t>
      </w:r>
      <w:r w:rsidR="002B35D2">
        <w:rPr>
          <w:rFonts w:ascii="CG Times" w:hAnsi="CG Times" w:cs="Arial"/>
          <w:sz w:val="26"/>
          <w:szCs w:val="26"/>
        </w:rPr>
        <w:t xml:space="preserve"> to declare </w:t>
      </w:r>
      <w:r w:rsidR="00ED61A3" w:rsidRPr="00ED61A3">
        <w:rPr>
          <w:rFonts w:ascii="CG Times" w:hAnsi="CG Times" w:cs="Arial"/>
          <w:i/>
          <w:iCs/>
          <w:sz w:val="26"/>
          <w:szCs w:val="26"/>
        </w:rPr>
        <w:t>“</w:t>
      </w:r>
      <w:r w:rsidR="002B35D2" w:rsidRPr="00ED61A3">
        <w:rPr>
          <w:rFonts w:ascii="CG Times" w:hAnsi="CG Times" w:cs="Arial"/>
          <w:i/>
          <w:iCs/>
          <w:sz w:val="26"/>
          <w:szCs w:val="26"/>
        </w:rPr>
        <w:t>types</w:t>
      </w:r>
      <w:r w:rsidR="00ED61A3" w:rsidRPr="00ED61A3">
        <w:rPr>
          <w:rFonts w:ascii="CG Times" w:hAnsi="CG Times" w:cs="Arial"/>
          <w:i/>
          <w:iCs/>
          <w:sz w:val="26"/>
          <w:szCs w:val="26"/>
        </w:rPr>
        <w:t>”</w:t>
      </w:r>
      <w:r w:rsidR="002B35D2">
        <w:rPr>
          <w:rFonts w:ascii="CG Times" w:hAnsi="CG Times" w:cs="Arial"/>
          <w:sz w:val="26"/>
          <w:szCs w:val="26"/>
        </w:rPr>
        <w:t xml:space="preserve"> of objects as heritage object</w:t>
      </w:r>
      <w:r w:rsidR="00822387">
        <w:rPr>
          <w:rFonts w:ascii="CG Times" w:hAnsi="CG Times" w:cs="Arial"/>
          <w:sz w:val="26"/>
          <w:szCs w:val="26"/>
        </w:rPr>
        <w:t>s, is conjectural in the extreme.</w:t>
      </w:r>
      <w:r w:rsidR="00824862">
        <w:rPr>
          <w:rFonts w:ascii="CG Times" w:hAnsi="CG Times" w:cs="Arial"/>
          <w:sz w:val="26"/>
          <w:szCs w:val="26"/>
        </w:rPr>
        <w:t xml:space="preserve"> </w:t>
      </w:r>
      <w:r w:rsidR="003D52F7">
        <w:rPr>
          <w:rFonts w:ascii="CG Times" w:hAnsi="CG Times" w:cs="Arial"/>
          <w:sz w:val="26"/>
          <w:szCs w:val="26"/>
        </w:rPr>
        <w:t xml:space="preserve">So, too, </w:t>
      </w:r>
      <w:r w:rsidR="00B35DCE" w:rsidRPr="003F6858">
        <w:rPr>
          <w:rFonts w:ascii="CG Times" w:hAnsi="CG Times" w:cs="Arial"/>
          <w:i/>
          <w:iCs/>
          <w:sz w:val="26"/>
          <w:szCs w:val="26"/>
        </w:rPr>
        <w:t>“a person of importance in the history of South Africa”</w:t>
      </w:r>
      <w:r w:rsidR="003F6858">
        <w:rPr>
          <w:rFonts w:ascii="CG Times" w:hAnsi="CG Times" w:cs="Arial"/>
          <w:sz w:val="26"/>
          <w:szCs w:val="26"/>
        </w:rPr>
        <w:t xml:space="preserve">. </w:t>
      </w:r>
      <w:r w:rsidR="008E16CB">
        <w:rPr>
          <w:rFonts w:ascii="CG Times" w:hAnsi="CG Times" w:cs="Arial"/>
          <w:sz w:val="26"/>
          <w:szCs w:val="26"/>
        </w:rPr>
        <w:t xml:space="preserve">For example, </w:t>
      </w:r>
      <w:r w:rsidR="004E6A01">
        <w:rPr>
          <w:rFonts w:ascii="CG Times" w:hAnsi="CG Times" w:cs="Arial"/>
          <w:sz w:val="26"/>
          <w:szCs w:val="26"/>
        </w:rPr>
        <w:t>what distinguishes President Mandela’s stationary exercise bi</w:t>
      </w:r>
      <w:r w:rsidR="007F2B39">
        <w:rPr>
          <w:rFonts w:ascii="CG Times" w:hAnsi="CG Times" w:cs="Arial"/>
          <w:sz w:val="26"/>
          <w:szCs w:val="26"/>
        </w:rPr>
        <w:t>cycle</w:t>
      </w:r>
      <w:r w:rsidR="004E6A01">
        <w:rPr>
          <w:rFonts w:ascii="CG Times" w:hAnsi="CG Times" w:cs="Arial"/>
          <w:sz w:val="26"/>
          <w:szCs w:val="26"/>
        </w:rPr>
        <w:t xml:space="preserve"> </w:t>
      </w:r>
      <w:r w:rsidR="005E7E69">
        <w:rPr>
          <w:rFonts w:ascii="CG Times" w:hAnsi="CG Times" w:cs="Arial"/>
          <w:sz w:val="26"/>
          <w:szCs w:val="26"/>
        </w:rPr>
        <w:t xml:space="preserve">(not included in the </w:t>
      </w:r>
      <w:r w:rsidR="008A625A">
        <w:rPr>
          <w:rFonts w:ascii="CG Times" w:hAnsi="CG Times" w:cs="Arial"/>
          <w:sz w:val="26"/>
          <w:szCs w:val="26"/>
        </w:rPr>
        <w:t xml:space="preserve">list of </w:t>
      </w:r>
      <w:r w:rsidR="005E7E69">
        <w:rPr>
          <w:rFonts w:ascii="CG Times" w:hAnsi="CG Times" w:cs="Arial"/>
          <w:sz w:val="26"/>
          <w:szCs w:val="26"/>
        </w:rPr>
        <w:t xml:space="preserve">types of heritage objects) </w:t>
      </w:r>
      <w:r w:rsidR="008A625A">
        <w:rPr>
          <w:rFonts w:ascii="CG Times" w:hAnsi="CG Times" w:cs="Arial"/>
          <w:sz w:val="26"/>
          <w:szCs w:val="26"/>
        </w:rPr>
        <w:t xml:space="preserve">from </w:t>
      </w:r>
      <w:r w:rsidR="001676EC">
        <w:rPr>
          <w:rFonts w:ascii="CG Times" w:hAnsi="CG Times" w:cs="Arial"/>
          <w:sz w:val="26"/>
          <w:szCs w:val="26"/>
        </w:rPr>
        <w:t xml:space="preserve">a copy of the Constitution that he </w:t>
      </w:r>
      <w:r w:rsidR="00637459">
        <w:rPr>
          <w:rFonts w:ascii="CG Times" w:hAnsi="CG Times" w:cs="Arial"/>
          <w:sz w:val="26"/>
          <w:szCs w:val="26"/>
        </w:rPr>
        <w:t xml:space="preserve">autographed and handed back </w:t>
      </w:r>
      <w:r w:rsidR="001676EC">
        <w:rPr>
          <w:rFonts w:ascii="CG Times" w:hAnsi="CG Times" w:cs="Arial"/>
          <w:sz w:val="26"/>
          <w:szCs w:val="26"/>
        </w:rPr>
        <w:t xml:space="preserve">to his former gaoler-turned-friend </w:t>
      </w:r>
      <w:r w:rsidR="00810A4C">
        <w:rPr>
          <w:rFonts w:ascii="CG Times" w:hAnsi="CG Times" w:cs="Arial"/>
          <w:sz w:val="26"/>
          <w:szCs w:val="26"/>
        </w:rPr>
        <w:t xml:space="preserve">when the latter asked him </w:t>
      </w:r>
      <w:r w:rsidR="005F3CBA">
        <w:rPr>
          <w:rFonts w:ascii="CG Times" w:hAnsi="CG Times" w:cs="Arial"/>
          <w:sz w:val="26"/>
          <w:szCs w:val="26"/>
        </w:rPr>
        <w:t xml:space="preserve">to initial it </w:t>
      </w:r>
      <w:r w:rsidR="00150CF4">
        <w:rPr>
          <w:rFonts w:ascii="CG Times" w:hAnsi="CG Times" w:cs="Arial"/>
          <w:sz w:val="26"/>
          <w:szCs w:val="26"/>
        </w:rPr>
        <w:t xml:space="preserve">(included in the list of types of heritage objects) when both </w:t>
      </w:r>
      <w:r w:rsidR="00024184">
        <w:rPr>
          <w:rFonts w:ascii="CG Times" w:hAnsi="CG Times" w:cs="Arial"/>
          <w:sz w:val="26"/>
          <w:szCs w:val="26"/>
        </w:rPr>
        <w:t xml:space="preserve">seem to have </w:t>
      </w:r>
      <w:r w:rsidR="00D922BB" w:rsidRPr="005E0C92">
        <w:rPr>
          <w:rFonts w:ascii="CG Times" w:hAnsi="CG Times" w:cs="Arial"/>
          <w:i/>
          <w:iCs/>
          <w:sz w:val="26"/>
          <w:szCs w:val="26"/>
        </w:rPr>
        <w:t xml:space="preserve">“strong association </w:t>
      </w:r>
      <w:r w:rsidR="00FB6E0B" w:rsidRPr="005E0C92">
        <w:rPr>
          <w:rFonts w:ascii="CG Times" w:hAnsi="CG Times" w:cs="Arial"/>
          <w:i/>
          <w:iCs/>
          <w:sz w:val="26"/>
          <w:szCs w:val="26"/>
        </w:rPr>
        <w:t xml:space="preserve">with [him] a person of importance in the history </w:t>
      </w:r>
      <w:r w:rsidR="005E0C92" w:rsidRPr="005E0C92">
        <w:rPr>
          <w:rFonts w:ascii="CG Times" w:hAnsi="CG Times" w:cs="Arial"/>
          <w:i/>
          <w:iCs/>
          <w:sz w:val="26"/>
          <w:szCs w:val="26"/>
        </w:rPr>
        <w:t>of South Africa”</w:t>
      </w:r>
      <w:r w:rsidR="005E0C92">
        <w:rPr>
          <w:rFonts w:ascii="CG Times" w:hAnsi="CG Times" w:cs="Arial"/>
          <w:sz w:val="26"/>
          <w:szCs w:val="26"/>
        </w:rPr>
        <w:t xml:space="preserve">? </w:t>
      </w:r>
      <w:r w:rsidR="00D253CD">
        <w:rPr>
          <w:rFonts w:ascii="CG Times" w:hAnsi="CG Times" w:cs="Arial"/>
          <w:sz w:val="26"/>
          <w:szCs w:val="26"/>
        </w:rPr>
        <w:t xml:space="preserve">In fact, why should a copy of the fourth respondent’s </w:t>
      </w:r>
      <w:r w:rsidR="00334FE4">
        <w:rPr>
          <w:rFonts w:ascii="CG Times" w:hAnsi="CG Times" w:cs="Arial"/>
          <w:sz w:val="26"/>
          <w:szCs w:val="26"/>
        </w:rPr>
        <w:t xml:space="preserve">constitution be declared a type of heritage </w:t>
      </w:r>
      <w:r w:rsidR="00A70D4D">
        <w:rPr>
          <w:rFonts w:ascii="CG Times" w:hAnsi="CG Times" w:cs="Arial"/>
          <w:sz w:val="26"/>
          <w:szCs w:val="26"/>
        </w:rPr>
        <w:t xml:space="preserve">object by sheer dint of President Nelson Mandela </w:t>
      </w:r>
      <w:r w:rsidR="0057651C">
        <w:rPr>
          <w:rFonts w:ascii="CG Times" w:hAnsi="CG Times" w:cs="Arial"/>
          <w:sz w:val="26"/>
          <w:szCs w:val="26"/>
        </w:rPr>
        <w:t xml:space="preserve">autographing it, </w:t>
      </w:r>
      <w:r w:rsidR="00142F4F">
        <w:rPr>
          <w:rFonts w:ascii="CG Times" w:hAnsi="CG Times" w:cs="Arial"/>
          <w:sz w:val="26"/>
          <w:szCs w:val="26"/>
        </w:rPr>
        <w:t xml:space="preserve">at the fourth respondent’s request, </w:t>
      </w:r>
      <w:r w:rsidR="000E0DA9">
        <w:rPr>
          <w:rFonts w:ascii="CG Times" w:hAnsi="CG Times" w:cs="Arial"/>
          <w:sz w:val="26"/>
          <w:szCs w:val="26"/>
        </w:rPr>
        <w:t xml:space="preserve">and </w:t>
      </w:r>
      <w:r w:rsidR="0057651C">
        <w:rPr>
          <w:rFonts w:ascii="CG Times" w:hAnsi="CG Times" w:cs="Arial"/>
          <w:sz w:val="26"/>
          <w:szCs w:val="26"/>
        </w:rPr>
        <w:t>including a personal message to the fourth respondent?</w:t>
      </w:r>
      <w:r w:rsidR="00B56A30">
        <w:rPr>
          <w:rStyle w:val="FootnoteReference"/>
          <w:rFonts w:ascii="CG Times" w:hAnsi="CG Times" w:cs="Arial"/>
          <w:sz w:val="26"/>
          <w:szCs w:val="26"/>
        </w:rPr>
        <w:footnoteReference w:id="9"/>
      </w:r>
      <w:r w:rsidR="0057651C">
        <w:rPr>
          <w:rFonts w:ascii="CG Times" w:hAnsi="CG Times" w:cs="Arial"/>
          <w:sz w:val="26"/>
          <w:szCs w:val="26"/>
        </w:rPr>
        <w:t xml:space="preserve"> </w:t>
      </w:r>
      <w:r w:rsidR="00C33004">
        <w:rPr>
          <w:rFonts w:ascii="CG Times" w:hAnsi="CG Times" w:cs="Arial"/>
          <w:sz w:val="26"/>
          <w:szCs w:val="26"/>
        </w:rPr>
        <w:t>T</w:t>
      </w:r>
      <w:r w:rsidR="00845B35">
        <w:rPr>
          <w:rFonts w:ascii="CG Times" w:hAnsi="CG Times" w:cs="Arial"/>
          <w:sz w:val="26"/>
          <w:szCs w:val="26"/>
        </w:rPr>
        <w:t xml:space="preserve">he </w:t>
      </w:r>
      <w:r w:rsidR="00FA1227">
        <w:rPr>
          <w:rFonts w:ascii="CG Times" w:hAnsi="CG Times" w:cs="Arial"/>
          <w:sz w:val="26"/>
          <w:szCs w:val="26"/>
        </w:rPr>
        <w:t xml:space="preserve">conjectural </w:t>
      </w:r>
      <w:r w:rsidR="00845B35">
        <w:rPr>
          <w:rFonts w:ascii="CG Times" w:hAnsi="CG Times" w:cs="Arial"/>
          <w:sz w:val="26"/>
          <w:szCs w:val="26"/>
        </w:rPr>
        <w:t xml:space="preserve">facts pleaded even in the supplementary founding affidavit </w:t>
      </w:r>
      <w:r w:rsidR="003F6858">
        <w:rPr>
          <w:rFonts w:ascii="CG Times" w:hAnsi="CG Times" w:cs="Arial"/>
          <w:sz w:val="26"/>
          <w:szCs w:val="26"/>
        </w:rPr>
        <w:t xml:space="preserve">simply </w:t>
      </w:r>
      <w:r w:rsidR="00103948">
        <w:rPr>
          <w:rFonts w:ascii="CG Times" w:hAnsi="CG Times" w:cs="Arial"/>
          <w:sz w:val="26"/>
          <w:szCs w:val="26"/>
        </w:rPr>
        <w:t>do not satisfy the “clear right” requirement.</w:t>
      </w:r>
      <w:r w:rsidR="004E764C">
        <w:rPr>
          <w:rFonts w:ascii="CG Times" w:hAnsi="CG Times" w:cs="Arial"/>
          <w:sz w:val="26"/>
          <w:szCs w:val="26"/>
        </w:rPr>
        <w:t xml:space="preserve"> </w:t>
      </w:r>
    </w:p>
    <w:p w14:paraId="633BEE53" w14:textId="77777777" w:rsidR="004B5AA5" w:rsidRDefault="004B5AA5" w:rsidP="00156E58">
      <w:pPr>
        <w:spacing w:line="360" w:lineRule="auto"/>
        <w:ind w:left="1418" w:hanging="698"/>
        <w:jc w:val="both"/>
        <w:rPr>
          <w:rFonts w:ascii="CG Times" w:hAnsi="CG Times" w:cs="Arial"/>
          <w:sz w:val="26"/>
          <w:szCs w:val="26"/>
        </w:rPr>
      </w:pPr>
    </w:p>
    <w:p w14:paraId="3358E9A6" w14:textId="1F073437" w:rsidR="004E764C" w:rsidRDefault="004B5AA5" w:rsidP="009772A5">
      <w:pPr>
        <w:spacing w:line="360" w:lineRule="auto"/>
        <w:ind w:left="1418" w:hanging="698"/>
        <w:jc w:val="both"/>
        <w:rPr>
          <w:rFonts w:ascii="CG Times" w:hAnsi="CG Times" w:cs="Arial"/>
          <w:sz w:val="26"/>
          <w:szCs w:val="26"/>
        </w:rPr>
      </w:pPr>
      <w:r>
        <w:rPr>
          <w:rFonts w:ascii="CG Times" w:hAnsi="CG Times" w:cs="Arial"/>
          <w:sz w:val="26"/>
          <w:szCs w:val="26"/>
        </w:rPr>
        <w:t>3.3</w:t>
      </w:r>
      <w:r>
        <w:rPr>
          <w:rFonts w:ascii="CG Times" w:hAnsi="CG Times" w:cs="Arial"/>
          <w:sz w:val="26"/>
          <w:szCs w:val="26"/>
        </w:rPr>
        <w:tab/>
      </w:r>
      <w:r w:rsidR="000D3213">
        <w:rPr>
          <w:rFonts w:ascii="CG Times" w:hAnsi="CG Times" w:cs="Arial"/>
          <w:sz w:val="26"/>
          <w:szCs w:val="26"/>
        </w:rPr>
        <w:t xml:space="preserve">Third, </w:t>
      </w:r>
      <w:r w:rsidR="00634F7D">
        <w:rPr>
          <w:rFonts w:ascii="CG Times" w:hAnsi="CG Times" w:cs="Arial"/>
          <w:sz w:val="26"/>
          <w:szCs w:val="26"/>
        </w:rPr>
        <w:t>the applicant</w:t>
      </w:r>
      <w:r w:rsidR="00C161F3">
        <w:rPr>
          <w:rFonts w:ascii="CG Times" w:hAnsi="CG Times" w:cs="Arial"/>
          <w:sz w:val="26"/>
          <w:szCs w:val="26"/>
        </w:rPr>
        <w:t>s</w:t>
      </w:r>
      <w:r w:rsidR="00634F7D">
        <w:rPr>
          <w:rFonts w:ascii="CG Times" w:hAnsi="CG Times" w:cs="Arial"/>
          <w:sz w:val="26"/>
          <w:szCs w:val="26"/>
        </w:rPr>
        <w:t xml:space="preserve"> did not dispute the fourth respondent’s </w:t>
      </w:r>
      <w:r w:rsidR="009772A5">
        <w:rPr>
          <w:rFonts w:ascii="CG Times" w:hAnsi="CG Times" w:cs="Arial"/>
          <w:sz w:val="26"/>
          <w:szCs w:val="26"/>
        </w:rPr>
        <w:t xml:space="preserve">averment that </w:t>
      </w:r>
      <w:r w:rsidR="004E764C">
        <w:rPr>
          <w:rFonts w:ascii="CG Times" w:hAnsi="CG Times" w:cs="Arial"/>
          <w:sz w:val="26"/>
          <w:szCs w:val="26"/>
        </w:rPr>
        <w:t xml:space="preserve">the key in question is </w:t>
      </w:r>
      <w:r w:rsidR="004E764C" w:rsidRPr="002A4492">
        <w:rPr>
          <w:rFonts w:ascii="CG Times" w:hAnsi="CG Times" w:cs="Arial"/>
          <w:i/>
          <w:iCs/>
          <w:sz w:val="26"/>
          <w:szCs w:val="26"/>
        </w:rPr>
        <w:t>“not an official Robben Island prison key”</w:t>
      </w:r>
      <w:r w:rsidR="004E764C">
        <w:rPr>
          <w:rFonts w:ascii="CG Times" w:hAnsi="CG Times" w:cs="Arial"/>
          <w:sz w:val="26"/>
          <w:szCs w:val="26"/>
        </w:rPr>
        <w:t>.</w:t>
      </w:r>
      <w:r w:rsidR="00A411A5">
        <w:rPr>
          <w:rStyle w:val="FootnoteReference"/>
          <w:rFonts w:ascii="CG Times" w:hAnsi="CG Times" w:cs="Arial"/>
          <w:sz w:val="26"/>
          <w:szCs w:val="26"/>
        </w:rPr>
        <w:footnoteReference w:id="10"/>
      </w:r>
      <w:r w:rsidR="004E764C">
        <w:rPr>
          <w:rFonts w:ascii="CG Times" w:hAnsi="CG Times" w:cs="Arial"/>
          <w:sz w:val="26"/>
          <w:szCs w:val="26"/>
        </w:rPr>
        <w:t xml:space="preserve"> </w:t>
      </w:r>
      <w:r w:rsidR="00C161F3">
        <w:rPr>
          <w:rFonts w:ascii="CG Times" w:hAnsi="CG Times" w:cs="Arial"/>
          <w:sz w:val="26"/>
          <w:szCs w:val="26"/>
        </w:rPr>
        <w:t>The first applicant</w:t>
      </w:r>
      <w:r w:rsidR="004E764C">
        <w:rPr>
          <w:rFonts w:ascii="CG Times" w:hAnsi="CG Times" w:cs="Arial"/>
          <w:sz w:val="26"/>
          <w:szCs w:val="26"/>
        </w:rPr>
        <w:t xml:space="preserve"> simply dismissed </w:t>
      </w:r>
      <w:r w:rsidR="00B852BD">
        <w:rPr>
          <w:rFonts w:ascii="CG Times" w:hAnsi="CG Times" w:cs="Arial"/>
          <w:sz w:val="26"/>
          <w:szCs w:val="26"/>
        </w:rPr>
        <w:t>the averment</w:t>
      </w:r>
      <w:r w:rsidR="004E764C">
        <w:rPr>
          <w:rFonts w:ascii="CG Times" w:hAnsi="CG Times" w:cs="Arial"/>
          <w:sz w:val="26"/>
          <w:szCs w:val="26"/>
        </w:rPr>
        <w:t xml:space="preserve"> as </w:t>
      </w:r>
      <w:r w:rsidR="004E764C" w:rsidRPr="005E53D0">
        <w:rPr>
          <w:rFonts w:ascii="CG Times" w:hAnsi="CG Times" w:cs="Arial"/>
          <w:i/>
          <w:iCs/>
          <w:sz w:val="26"/>
          <w:szCs w:val="26"/>
        </w:rPr>
        <w:t>“interesting [but] unfortunately irrelevant”</w:t>
      </w:r>
      <w:r w:rsidR="004E764C">
        <w:rPr>
          <w:rFonts w:ascii="CG Times" w:hAnsi="CG Times" w:cs="Arial"/>
          <w:sz w:val="26"/>
          <w:szCs w:val="26"/>
        </w:rPr>
        <w:t>.</w:t>
      </w:r>
      <w:r w:rsidR="0083224D">
        <w:rPr>
          <w:rStyle w:val="FootnoteReference"/>
          <w:rFonts w:ascii="CG Times" w:hAnsi="CG Times" w:cs="Arial"/>
          <w:sz w:val="26"/>
          <w:szCs w:val="26"/>
        </w:rPr>
        <w:footnoteReference w:id="11"/>
      </w:r>
      <w:r w:rsidR="004E764C">
        <w:rPr>
          <w:rFonts w:ascii="CG Times" w:hAnsi="CG Times" w:cs="Arial"/>
          <w:sz w:val="26"/>
          <w:szCs w:val="26"/>
        </w:rPr>
        <w:t xml:space="preserve"> </w:t>
      </w:r>
      <w:r w:rsidR="0013700C">
        <w:rPr>
          <w:rFonts w:ascii="CG Times" w:hAnsi="CG Times" w:cs="Arial"/>
          <w:sz w:val="26"/>
          <w:szCs w:val="26"/>
        </w:rPr>
        <w:t xml:space="preserve">This factual dispute goes to the heart </w:t>
      </w:r>
      <w:r w:rsidR="003C5967">
        <w:rPr>
          <w:rFonts w:ascii="CG Times" w:hAnsi="CG Times" w:cs="Arial"/>
          <w:sz w:val="26"/>
          <w:szCs w:val="26"/>
        </w:rPr>
        <w:t>of whether the object in question</w:t>
      </w:r>
      <w:r w:rsidR="00CC1D80">
        <w:rPr>
          <w:rFonts w:ascii="CG Times" w:hAnsi="CG Times" w:cs="Arial"/>
          <w:sz w:val="26"/>
          <w:szCs w:val="26"/>
        </w:rPr>
        <w:t xml:space="preserve"> </w:t>
      </w:r>
      <w:r w:rsidR="00DA1E2A">
        <w:rPr>
          <w:rFonts w:ascii="CG Times" w:hAnsi="CG Times" w:cs="Arial"/>
          <w:sz w:val="26"/>
          <w:szCs w:val="26"/>
        </w:rPr>
        <w:t xml:space="preserve">indeed </w:t>
      </w:r>
      <w:r w:rsidR="0050408C">
        <w:rPr>
          <w:rFonts w:ascii="CG Times" w:hAnsi="CG Times" w:cs="Arial"/>
          <w:sz w:val="26"/>
          <w:szCs w:val="26"/>
        </w:rPr>
        <w:t>falls within the list of types of</w:t>
      </w:r>
      <w:r w:rsidR="00161A4B">
        <w:rPr>
          <w:rFonts w:ascii="CG Times" w:hAnsi="CG Times" w:cs="Arial"/>
          <w:sz w:val="26"/>
          <w:szCs w:val="26"/>
        </w:rPr>
        <w:t xml:space="preserve"> heritage object</w:t>
      </w:r>
      <w:r w:rsidR="0050408C">
        <w:rPr>
          <w:rFonts w:ascii="CG Times" w:hAnsi="CG Times" w:cs="Arial"/>
          <w:sz w:val="26"/>
          <w:szCs w:val="26"/>
        </w:rPr>
        <w:t>s</w:t>
      </w:r>
      <w:r w:rsidR="00161A4B">
        <w:rPr>
          <w:rFonts w:ascii="CG Times" w:hAnsi="CG Times" w:cs="Arial"/>
          <w:sz w:val="26"/>
          <w:szCs w:val="26"/>
        </w:rPr>
        <w:t xml:space="preserve"> as</w:t>
      </w:r>
      <w:r w:rsidR="003C5967">
        <w:rPr>
          <w:rFonts w:ascii="CG Times" w:hAnsi="CG Times" w:cs="Arial"/>
          <w:sz w:val="26"/>
          <w:szCs w:val="26"/>
        </w:rPr>
        <w:t xml:space="preserve"> claimed by the applicant</w:t>
      </w:r>
      <w:r w:rsidR="0050408C">
        <w:rPr>
          <w:rFonts w:ascii="CG Times" w:hAnsi="CG Times" w:cs="Arial"/>
          <w:sz w:val="26"/>
          <w:szCs w:val="26"/>
        </w:rPr>
        <w:t>s</w:t>
      </w:r>
      <w:r w:rsidR="003C5967">
        <w:rPr>
          <w:rFonts w:ascii="CG Times" w:hAnsi="CG Times" w:cs="Arial"/>
          <w:sz w:val="26"/>
          <w:szCs w:val="26"/>
        </w:rPr>
        <w:t>.</w:t>
      </w:r>
      <w:r w:rsidR="00F616F4">
        <w:rPr>
          <w:rFonts w:ascii="CG Times" w:hAnsi="CG Times" w:cs="Arial"/>
          <w:sz w:val="26"/>
          <w:szCs w:val="26"/>
        </w:rPr>
        <w:t xml:space="preserve"> I</w:t>
      </w:r>
      <w:r w:rsidR="00130474">
        <w:rPr>
          <w:rFonts w:ascii="CG Times" w:hAnsi="CG Times" w:cs="Arial"/>
          <w:sz w:val="26"/>
          <w:szCs w:val="26"/>
        </w:rPr>
        <w:t>t is clearly not an irrelevant consideration.</w:t>
      </w:r>
      <w:r w:rsidR="003C5967">
        <w:rPr>
          <w:rFonts w:ascii="CG Times" w:hAnsi="CG Times" w:cs="Arial"/>
          <w:sz w:val="26"/>
          <w:szCs w:val="26"/>
        </w:rPr>
        <w:t xml:space="preserve"> </w:t>
      </w:r>
      <w:r w:rsidR="0069028E">
        <w:rPr>
          <w:rFonts w:ascii="CG Times" w:hAnsi="CG Times" w:cs="Arial"/>
          <w:sz w:val="26"/>
          <w:szCs w:val="26"/>
        </w:rPr>
        <w:t xml:space="preserve">Again, the application fell at the first hurdle in this regard in failing to establish a </w:t>
      </w:r>
      <w:r w:rsidR="00A91049">
        <w:rPr>
          <w:rFonts w:ascii="CG Times" w:hAnsi="CG Times" w:cs="Arial"/>
          <w:sz w:val="26"/>
          <w:szCs w:val="26"/>
        </w:rPr>
        <w:t xml:space="preserve">clear (or even </w:t>
      </w:r>
      <w:r w:rsidR="00A91049" w:rsidRPr="00E123C7">
        <w:rPr>
          <w:rFonts w:ascii="CG Times" w:hAnsi="CG Times" w:cs="Arial"/>
          <w:i/>
          <w:iCs/>
          <w:sz w:val="26"/>
          <w:szCs w:val="26"/>
        </w:rPr>
        <w:t>prima facie</w:t>
      </w:r>
      <w:r w:rsidR="00A91049">
        <w:rPr>
          <w:rFonts w:ascii="CG Times" w:hAnsi="CG Times" w:cs="Arial"/>
          <w:sz w:val="26"/>
          <w:szCs w:val="26"/>
        </w:rPr>
        <w:t>) right to the interdict sought.</w:t>
      </w:r>
    </w:p>
    <w:p w14:paraId="086B714E" w14:textId="77777777" w:rsidR="00F917CD" w:rsidRDefault="00F917CD" w:rsidP="009772A5">
      <w:pPr>
        <w:spacing w:line="360" w:lineRule="auto"/>
        <w:ind w:left="1418" w:hanging="698"/>
        <w:jc w:val="both"/>
        <w:rPr>
          <w:rFonts w:ascii="CG Times" w:hAnsi="CG Times" w:cs="Arial"/>
          <w:sz w:val="26"/>
          <w:szCs w:val="26"/>
        </w:rPr>
      </w:pPr>
    </w:p>
    <w:p w14:paraId="5DAF9AAE" w14:textId="4F59BD26" w:rsidR="004E764C" w:rsidRDefault="00F917CD" w:rsidP="009F4399">
      <w:pPr>
        <w:spacing w:line="360" w:lineRule="auto"/>
        <w:ind w:left="1418" w:hanging="698"/>
        <w:jc w:val="both"/>
        <w:rPr>
          <w:rFonts w:ascii="CG Times" w:hAnsi="CG Times" w:cs="Arial"/>
          <w:sz w:val="26"/>
          <w:szCs w:val="26"/>
        </w:rPr>
      </w:pPr>
      <w:r>
        <w:rPr>
          <w:rFonts w:ascii="CG Times" w:hAnsi="CG Times" w:cs="Arial"/>
          <w:sz w:val="26"/>
          <w:szCs w:val="26"/>
        </w:rPr>
        <w:t>3.4</w:t>
      </w:r>
      <w:r>
        <w:rPr>
          <w:rFonts w:ascii="CG Times" w:hAnsi="CG Times" w:cs="Arial"/>
          <w:sz w:val="26"/>
          <w:szCs w:val="26"/>
        </w:rPr>
        <w:tab/>
        <w:t xml:space="preserve">Fourth, </w:t>
      </w:r>
      <w:r w:rsidR="009F4399">
        <w:rPr>
          <w:rFonts w:ascii="CG Times" w:hAnsi="CG Times" w:cs="Arial"/>
          <w:sz w:val="26"/>
          <w:szCs w:val="26"/>
        </w:rPr>
        <w:t>even w</w:t>
      </w:r>
      <w:r w:rsidR="004E764C">
        <w:rPr>
          <w:rFonts w:ascii="CG Times" w:hAnsi="CG Times" w:cs="Arial"/>
          <w:sz w:val="26"/>
          <w:szCs w:val="26"/>
        </w:rPr>
        <w:t xml:space="preserve">hen the </w:t>
      </w:r>
      <w:r w:rsidR="009F4399">
        <w:rPr>
          <w:rFonts w:ascii="CG Times" w:hAnsi="CG Times" w:cs="Arial"/>
          <w:sz w:val="26"/>
          <w:szCs w:val="26"/>
        </w:rPr>
        <w:t>f</w:t>
      </w:r>
      <w:r w:rsidR="004E764C">
        <w:rPr>
          <w:rFonts w:ascii="CG Times" w:hAnsi="CG Times" w:cs="Arial"/>
          <w:sz w:val="26"/>
          <w:szCs w:val="26"/>
        </w:rPr>
        <w:t xml:space="preserve">ourth </w:t>
      </w:r>
      <w:r w:rsidR="009F4399">
        <w:rPr>
          <w:rFonts w:ascii="CG Times" w:hAnsi="CG Times" w:cs="Arial"/>
          <w:sz w:val="26"/>
          <w:szCs w:val="26"/>
        </w:rPr>
        <w:t>r</w:t>
      </w:r>
      <w:r w:rsidR="004E764C">
        <w:rPr>
          <w:rFonts w:ascii="CG Times" w:hAnsi="CG Times" w:cs="Arial"/>
          <w:sz w:val="26"/>
          <w:szCs w:val="26"/>
        </w:rPr>
        <w:t xml:space="preserve">espondent, in a supplementary answer to the </w:t>
      </w:r>
      <w:r w:rsidR="009B23D4">
        <w:rPr>
          <w:rFonts w:ascii="CG Times" w:hAnsi="CG Times" w:cs="Arial"/>
          <w:sz w:val="26"/>
          <w:szCs w:val="26"/>
        </w:rPr>
        <w:t xml:space="preserve">first </w:t>
      </w:r>
      <w:r w:rsidR="009F4399">
        <w:rPr>
          <w:rFonts w:ascii="CG Times" w:hAnsi="CG Times" w:cs="Arial"/>
          <w:sz w:val="26"/>
          <w:szCs w:val="26"/>
        </w:rPr>
        <w:t>applicant’s</w:t>
      </w:r>
      <w:r w:rsidR="004E764C">
        <w:rPr>
          <w:rFonts w:ascii="CG Times" w:hAnsi="CG Times" w:cs="Arial"/>
          <w:sz w:val="26"/>
          <w:szCs w:val="26"/>
        </w:rPr>
        <w:t xml:space="preserve"> supplementary founding affidavit, again stated that the key </w:t>
      </w:r>
      <w:r w:rsidR="001E1088">
        <w:rPr>
          <w:rFonts w:ascii="CG Times" w:hAnsi="CG Times" w:cs="Arial"/>
          <w:sz w:val="26"/>
          <w:szCs w:val="26"/>
        </w:rPr>
        <w:t xml:space="preserve">in question </w:t>
      </w:r>
      <w:r w:rsidR="004E764C">
        <w:rPr>
          <w:rFonts w:ascii="CG Times" w:hAnsi="CG Times" w:cs="Arial"/>
          <w:sz w:val="26"/>
          <w:szCs w:val="26"/>
        </w:rPr>
        <w:t xml:space="preserve">was a </w:t>
      </w:r>
      <w:r w:rsidR="003018B8" w:rsidRPr="003018B8">
        <w:rPr>
          <w:rFonts w:ascii="CG Times" w:hAnsi="CG Times" w:cs="Arial"/>
          <w:i/>
          <w:iCs/>
          <w:sz w:val="26"/>
          <w:szCs w:val="26"/>
        </w:rPr>
        <w:t>“</w:t>
      </w:r>
      <w:r w:rsidR="004E764C" w:rsidRPr="003018B8">
        <w:rPr>
          <w:rFonts w:ascii="CG Times" w:hAnsi="CG Times" w:cs="Arial"/>
          <w:i/>
          <w:iCs/>
          <w:sz w:val="26"/>
          <w:szCs w:val="26"/>
        </w:rPr>
        <w:t>replica</w:t>
      </w:r>
      <w:r w:rsidR="003018B8" w:rsidRPr="003018B8">
        <w:rPr>
          <w:rFonts w:ascii="CG Times" w:hAnsi="CG Times" w:cs="Arial"/>
          <w:i/>
          <w:iCs/>
          <w:sz w:val="26"/>
          <w:szCs w:val="26"/>
        </w:rPr>
        <w:t>”</w:t>
      </w:r>
      <w:r w:rsidR="004E764C">
        <w:rPr>
          <w:rFonts w:ascii="CG Times" w:hAnsi="CG Times" w:cs="Arial"/>
          <w:sz w:val="26"/>
          <w:szCs w:val="26"/>
        </w:rPr>
        <w:t xml:space="preserve"> of the real thing, </w:t>
      </w:r>
      <w:r w:rsidR="0077696E">
        <w:rPr>
          <w:rFonts w:ascii="CG Times" w:hAnsi="CG Times" w:cs="Arial"/>
          <w:sz w:val="26"/>
          <w:szCs w:val="26"/>
        </w:rPr>
        <w:t xml:space="preserve">none of the </w:t>
      </w:r>
      <w:r w:rsidR="003018B8">
        <w:rPr>
          <w:rFonts w:ascii="CG Times" w:hAnsi="CG Times" w:cs="Arial"/>
          <w:sz w:val="26"/>
          <w:szCs w:val="26"/>
        </w:rPr>
        <w:t>applicant</w:t>
      </w:r>
      <w:r w:rsidR="0077696E">
        <w:rPr>
          <w:rFonts w:ascii="CG Times" w:hAnsi="CG Times" w:cs="Arial"/>
          <w:sz w:val="26"/>
          <w:szCs w:val="26"/>
        </w:rPr>
        <w:t>s</w:t>
      </w:r>
      <w:r w:rsidR="00A92513">
        <w:rPr>
          <w:rFonts w:ascii="CG Times" w:hAnsi="CG Times" w:cs="Arial"/>
          <w:sz w:val="26"/>
          <w:szCs w:val="26"/>
        </w:rPr>
        <w:t xml:space="preserve"> </w:t>
      </w:r>
      <w:r w:rsidR="004E764C">
        <w:rPr>
          <w:rFonts w:ascii="CG Times" w:hAnsi="CG Times" w:cs="Arial"/>
          <w:sz w:val="26"/>
          <w:szCs w:val="26"/>
        </w:rPr>
        <w:t xml:space="preserve">put up </w:t>
      </w:r>
      <w:r w:rsidR="0077696E">
        <w:rPr>
          <w:rFonts w:ascii="CG Times" w:hAnsi="CG Times" w:cs="Arial"/>
          <w:sz w:val="26"/>
          <w:szCs w:val="26"/>
        </w:rPr>
        <w:t>an</w:t>
      </w:r>
      <w:r w:rsidR="00A92513">
        <w:rPr>
          <w:rFonts w:ascii="CG Times" w:hAnsi="CG Times" w:cs="Arial"/>
          <w:sz w:val="26"/>
          <w:szCs w:val="26"/>
        </w:rPr>
        <w:t xml:space="preserve"> </w:t>
      </w:r>
      <w:r w:rsidR="004E764C">
        <w:rPr>
          <w:rFonts w:ascii="CG Times" w:hAnsi="CG Times" w:cs="Arial"/>
          <w:sz w:val="26"/>
          <w:szCs w:val="26"/>
        </w:rPr>
        <w:t>affidavit specifically de</w:t>
      </w:r>
      <w:r w:rsidR="00A92513">
        <w:rPr>
          <w:rFonts w:ascii="CG Times" w:hAnsi="CG Times" w:cs="Arial"/>
          <w:sz w:val="26"/>
          <w:szCs w:val="26"/>
        </w:rPr>
        <w:t xml:space="preserve">aling </w:t>
      </w:r>
      <w:r w:rsidR="00023714">
        <w:rPr>
          <w:rFonts w:ascii="CG Times" w:hAnsi="CG Times" w:cs="Arial"/>
          <w:sz w:val="26"/>
          <w:szCs w:val="26"/>
        </w:rPr>
        <w:t xml:space="preserve">directly </w:t>
      </w:r>
      <w:r w:rsidR="00A92513">
        <w:rPr>
          <w:rFonts w:ascii="CG Times" w:hAnsi="CG Times" w:cs="Arial"/>
          <w:sz w:val="26"/>
          <w:szCs w:val="26"/>
        </w:rPr>
        <w:t xml:space="preserve">with </w:t>
      </w:r>
      <w:r w:rsidR="004E764C">
        <w:rPr>
          <w:rFonts w:ascii="CG Times" w:hAnsi="CG Times" w:cs="Arial"/>
          <w:sz w:val="26"/>
          <w:szCs w:val="26"/>
        </w:rPr>
        <w:t xml:space="preserve">this allegation. The bare denial by the </w:t>
      </w:r>
      <w:r w:rsidR="0077696E">
        <w:rPr>
          <w:rFonts w:ascii="CG Times" w:hAnsi="CG Times" w:cs="Arial"/>
          <w:sz w:val="26"/>
          <w:szCs w:val="26"/>
        </w:rPr>
        <w:t>first applicant</w:t>
      </w:r>
      <w:r w:rsidR="004E764C">
        <w:rPr>
          <w:rFonts w:ascii="CG Times" w:hAnsi="CG Times" w:cs="Arial"/>
          <w:sz w:val="26"/>
          <w:szCs w:val="26"/>
        </w:rPr>
        <w:t xml:space="preserve"> of the </w:t>
      </w:r>
      <w:r w:rsidR="004E764C" w:rsidRPr="00741B34">
        <w:rPr>
          <w:rFonts w:ascii="CG Times" w:hAnsi="CG Times" w:cs="Arial"/>
          <w:i/>
          <w:iCs/>
          <w:sz w:val="26"/>
          <w:szCs w:val="26"/>
        </w:rPr>
        <w:t>“contents”</w:t>
      </w:r>
      <w:r w:rsidR="004E764C">
        <w:rPr>
          <w:rFonts w:ascii="CG Times" w:hAnsi="CG Times" w:cs="Arial"/>
          <w:sz w:val="26"/>
          <w:szCs w:val="26"/>
        </w:rPr>
        <w:t xml:space="preserve"> of four paragraphs, including the one containing this allegation, does not avail </w:t>
      </w:r>
      <w:r w:rsidR="001D780E">
        <w:rPr>
          <w:rFonts w:ascii="CG Times" w:hAnsi="CG Times" w:cs="Arial"/>
          <w:sz w:val="26"/>
          <w:szCs w:val="26"/>
        </w:rPr>
        <w:t>i</w:t>
      </w:r>
      <w:r w:rsidR="004E764C">
        <w:rPr>
          <w:rFonts w:ascii="CG Times" w:hAnsi="CG Times" w:cs="Arial"/>
          <w:sz w:val="26"/>
          <w:szCs w:val="26"/>
        </w:rPr>
        <w:t>t</w:t>
      </w:r>
      <w:r w:rsidR="001D780E">
        <w:rPr>
          <w:rFonts w:ascii="CG Times" w:hAnsi="CG Times" w:cs="Arial"/>
          <w:sz w:val="26"/>
          <w:szCs w:val="26"/>
        </w:rPr>
        <w:t>.</w:t>
      </w:r>
      <w:r w:rsidR="004E764C">
        <w:rPr>
          <w:rFonts w:ascii="CG Times" w:hAnsi="CG Times" w:cs="Arial"/>
          <w:sz w:val="26"/>
          <w:szCs w:val="26"/>
        </w:rPr>
        <w:t xml:space="preserve"> </w:t>
      </w:r>
    </w:p>
    <w:p w14:paraId="59472655" w14:textId="77777777" w:rsidR="00601AD8" w:rsidRDefault="00601AD8" w:rsidP="009F4399">
      <w:pPr>
        <w:spacing w:line="360" w:lineRule="auto"/>
        <w:ind w:left="1418" w:hanging="698"/>
        <w:jc w:val="both"/>
        <w:rPr>
          <w:rFonts w:ascii="CG Times" w:hAnsi="CG Times" w:cs="Arial"/>
          <w:sz w:val="26"/>
          <w:szCs w:val="26"/>
        </w:rPr>
      </w:pPr>
    </w:p>
    <w:p w14:paraId="3AFE88DE" w14:textId="175A1E72" w:rsidR="00601AD8" w:rsidRDefault="00601AD8" w:rsidP="009F4399">
      <w:pPr>
        <w:spacing w:line="360" w:lineRule="auto"/>
        <w:ind w:left="1418" w:hanging="698"/>
        <w:jc w:val="both"/>
        <w:rPr>
          <w:rFonts w:ascii="CG Times" w:hAnsi="CG Times" w:cs="Arial"/>
          <w:sz w:val="26"/>
          <w:szCs w:val="26"/>
        </w:rPr>
      </w:pPr>
      <w:r>
        <w:rPr>
          <w:rFonts w:ascii="CG Times" w:hAnsi="CG Times" w:cs="Arial"/>
          <w:sz w:val="26"/>
          <w:szCs w:val="26"/>
        </w:rPr>
        <w:t>3.5</w:t>
      </w:r>
      <w:r>
        <w:rPr>
          <w:rFonts w:ascii="CG Times" w:hAnsi="CG Times" w:cs="Arial"/>
          <w:sz w:val="26"/>
          <w:szCs w:val="26"/>
        </w:rPr>
        <w:tab/>
        <w:t xml:space="preserve">Fifth, </w:t>
      </w:r>
      <w:r w:rsidR="00403218">
        <w:rPr>
          <w:rFonts w:ascii="CG Times" w:hAnsi="CG Times" w:cs="Arial"/>
          <w:sz w:val="26"/>
          <w:szCs w:val="26"/>
        </w:rPr>
        <w:t xml:space="preserve">in </w:t>
      </w:r>
      <w:r w:rsidR="00F031C2">
        <w:rPr>
          <w:rFonts w:ascii="CG Times" w:hAnsi="CG Times" w:cs="Arial"/>
          <w:sz w:val="26"/>
          <w:szCs w:val="26"/>
        </w:rPr>
        <w:t>their</w:t>
      </w:r>
      <w:r w:rsidR="00403218">
        <w:rPr>
          <w:rFonts w:ascii="CG Times" w:hAnsi="CG Times" w:cs="Arial"/>
          <w:sz w:val="26"/>
          <w:szCs w:val="26"/>
        </w:rPr>
        <w:t xml:space="preserve"> </w:t>
      </w:r>
      <w:r w:rsidR="00A30C16">
        <w:rPr>
          <w:rFonts w:ascii="CG Times" w:hAnsi="CG Times" w:cs="Arial"/>
          <w:sz w:val="26"/>
          <w:szCs w:val="26"/>
        </w:rPr>
        <w:t xml:space="preserve">Notice of Application for Leave to Appeal </w:t>
      </w:r>
      <w:r w:rsidR="00772051">
        <w:rPr>
          <w:rFonts w:ascii="CG Times" w:hAnsi="CG Times" w:cs="Arial"/>
          <w:sz w:val="26"/>
          <w:szCs w:val="26"/>
        </w:rPr>
        <w:t>the applicant</w:t>
      </w:r>
      <w:r w:rsidR="00F031C2">
        <w:rPr>
          <w:rFonts w:ascii="CG Times" w:hAnsi="CG Times" w:cs="Arial"/>
          <w:sz w:val="26"/>
          <w:szCs w:val="26"/>
        </w:rPr>
        <w:t>s</w:t>
      </w:r>
      <w:r w:rsidR="00772051">
        <w:rPr>
          <w:rFonts w:ascii="CG Times" w:hAnsi="CG Times" w:cs="Arial"/>
          <w:sz w:val="26"/>
          <w:szCs w:val="26"/>
        </w:rPr>
        <w:t xml:space="preserve"> </w:t>
      </w:r>
      <w:r w:rsidR="00A30C16">
        <w:rPr>
          <w:rFonts w:ascii="CG Times" w:hAnsi="CG Times" w:cs="Arial"/>
          <w:sz w:val="26"/>
          <w:szCs w:val="26"/>
        </w:rPr>
        <w:t>seek to pedal a different canoe than the one t</w:t>
      </w:r>
      <w:r w:rsidR="002F0F19">
        <w:rPr>
          <w:rFonts w:ascii="CG Times" w:hAnsi="CG Times" w:cs="Arial"/>
          <w:sz w:val="26"/>
          <w:szCs w:val="26"/>
        </w:rPr>
        <w:t>hey</w:t>
      </w:r>
      <w:r w:rsidR="00A30C16">
        <w:rPr>
          <w:rFonts w:ascii="CG Times" w:hAnsi="CG Times" w:cs="Arial"/>
          <w:sz w:val="26"/>
          <w:szCs w:val="26"/>
        </w:rPr>
        <w:t xml:space="preserve"> pedalled </w:t>
      </w:r>
      <w:r w:rsidR="0086137E">
        <w:rPr>
          <w:rFonts w:ascii="CG Times" w:hAnsi="CG Times" w:cs="Arial"/>
          <w:sz w:val="26"/>
          <w:szCs w:val="26"/>
        </w:rPr>
        <w:t xml:space="preserve">in </w:t>
      </w:r>
      <w:r w:rsidR="002F0F19">
        <w:rPr>
          <w:rFonts w:ascii="CG Times" w:hAnsi="CG Times" w:cs="Arial"/>
          <w:sz w:val="26"/>
          <w:szCs w:val="26"/>
        </w:rPr>
        <w:t>the</w:t>
      </w:r>
      <w:r w:rsidR="0086137E">
        <w:rPr>
          <w:rFonts w:ascii="CG Times" w:hAnsi="CG Times" w:cs="Arial"/>
          <w:sz w:val="26"/>
          <w:szCs w:val="26"/>
        </w:rPr>
        <w:t xml:space="preserve"> main application</w:t>
      </w:r>
      <w:r w:rsidR="00964031">
        <w:rPr>
          <w:rFonts w:ascii="CG Times" w:hAnsi="CG Times" w:cs="Arial"/>
          <w:sz w:val="26"/>
          <w:szCs w:val="26"/>
        </w:rPr>
        <w:t>. This t</w:t>
      </w:r>
      <w:r w:rsidR="002F0F19">
        <w:rPr>
          <w:rFonts w:ascii="CG Times" w:hAnsi="CG Times" w:cs="Arial"/>
          <w:sz w:val="26"/>
          <w:szCs w:val="26"/>
        </w:rPr>
        <w:t>hey</w:t>
      </w:r>
      <w:r w:rsidR="00964031">
        <w:rPr>
          <w:rFonts w:ascii="CG Times" w:hAnsi="CG Times" w:cs="Arial"/>
          <w:sz w:val="26"/>
          <w:szCs w:val="26"/>
        </w:rPr>
        <w:t xml:space="preserve"> do</w:t>
      </w:r>
      <w:r w:rsidR="00FB672E">
        <w:rPr>
          <w:rFonts w:ascii="CG Times" w:hAnsi="CG Times" w:cs="Arial"/>
          <w:sz w:val="26"/>
          <w:szCs w:val="26"/>
        </w:rPr>
        <w:t xml:space="preserve"> in order</w:t>
      </w:r>
      <w:r w:rsidR="004C6E7C">
        <w:rPr>
          <w:rFonts w:ascii="CG Times" w:hAnsi="CG Times" w:cs="Arial"/>
          <w:sz w:val="26"/>
          <w:szCs w:val="26"/>
        </w:rPr>
        <w:t xml:space="preserve"> to navigate the less than placid waters </w:t>
      </w:r>
      <w:r w:rsidR="0020262E">
        <w:rPr>
          <w:rFonts w:ascii="CG Times" w:hAnsi="CG Times" w:cs="Arial"/>
          <w:sz w:val="26"/>
          <w:szCs w:val="26"/>
        </w:rPr>
        <w:t xml:space="preserve">in which </w:t>
      </w:r>
      <w:r w:rsidR="002F0F19">
        <w:rPr>
          <w:rFonts w:ascii="CG Times" w:hAnsi="CG Times" w:cs="Arial"/>
          <w:sz w:val="26"/>
          <w:szCs w:val="26"/>
        </w:rPr>
        <w:t>their</w:t>
      </w:r>
      <w:r w:rsidR="00FB672E">
        <w:rPr>
          <w:rFonts w:ascii="CG Times" w:hAnsi="CG Times" w:cs="Arial"/>
          <w:sz w:val="26"/>
          <w:szCs w:val="26"/>
        </w:rPr>
        <w:t xml:space="preserve"> pleaded case</w:t>
      </w:r>
      <w:r w:rsidR="0020262E">
        <w:rPr>
          <w:rFonts w:ascii="CG Times" w:hAnsi="CG Times" w:cs="Arial"/>
          <w:sz w:val="26"/>
          <w:szCs w:val="26"/>
        </w:rPr>
        <w:t xml:space="preserve"> </w:t>
      </w:r>
      <w:r w:rsidR="00CB6797">
        <w:rPr>
          <w:rFonts w:ascii="CG Times" w:hAnsi="CG Times" w:cs="Arial"/>
          <w:sz w:val="26"/>
          <w:szCs w:val="26"/>
        </w:rPr>
        <w:t>place</w:t>
      </w:r>
      <w:r w:rsidR="00AA1381">
        <w:rPr>
          <w:rFonts w:ascii="CG Times" w:hAnsi="CG Times" w:cs="Arial"/>
          <w:sz w:val="26"/>
          <w:szCs w:val="26"/>
        </w:rPr>
        <w:t>s</w:t>
      </w:r>
      <w:r w:rsidR="00CB6797">
        <w:rPr>
          <w:rFonts w:ascii="CG Times" w:hAnsi="CG Times" w:cs="Arial"/>
          <w:sz w:val="26"/>
          <w:szCs w:val="26"/>
        </w:rPr>
        <w:t xml:space="preserve"> </w:t>
      </w:r>
      <w:r w:rsidR="00AA1381">
        <w:rPr>
          <w:rFonts w:ascii="CG Times" w:hAnsi="CG Times" w:cs="Arial"/>
          <w:sz w:val="26"/>
          <w:szCs w:val="26"/>
        </w:rPr>
        <w:t>them</w:t>
      </w:r>
      <w:r w:rsidR="0086137E">
        <w:rPr>
          <w:rFonts w:ascii="CG Times" w:hAnsi="CG Times" w:cs="Arial"/>
          <w:sz w:val="26"/>
          <w:szCs w:val="26"/>
        </w:rPr>
        <w:t xml:space="preserve">. In the main application, counsel was at pains to emphasise that </w:t>
      </w:r>
      <w:r w:rsidR="007D1CB5">
        <w:rPr>
          <w:rFonts w:ascii="CG Times" w:hAnsi="CG Times" w:cs="Arial"/>
          <w:sz w:val="26"/>
          <w:szCs w:val="26"/>
        </w:rPr>
        <w:t xml:space="preserve">the applicants’ case was </w:t>
      </w:r>
      <w:r w:rsidR="007D1CB5" w:rsidRPr="007D1CB5">
        <w:rPr>
          <w:rFonts w:ascii="CG Times" w:hAnsi="CG Times" w:cs="Arial"/>
          <w:sz w:val="26"/>
          <w:szCs w:val="26"/>
          <w:u w:val="single"/>
        </w:rPr>
        <w:t>not</w:t>
      </w:r>
      <w:r w:rsidR="007D1CB5" w:rsidRPr="007D1CB5">
        <w:rPr>
          <w:rFonts w:ascii="CG Times" w:hAnsi="CG Times" w:cs="Arial"/>
          <w:sz w:val="26"/>
          <w:szCs w:val="26"/>
        </w:rPr>
        <w:t xml:space="preserve"> that</w:t>
      </w:r>
      <w:r w:rsidR="007D1CB5">
        <w:rPr>
          <w:rFonts w:ascii="CG Times" w:hAnsi="CG Times" w:cs="Arial"/>
          <w:sz w:val="26"/>
          <w:szCs w:val="26"/>
        </w:rPr>
        <w:t xml:space="preserve"> </w:t>
      </w:r>
      <w:r w:rsidR="000C191F" w:rsidRPr="000C191F">
        <w:rPr>
          <w:rFonts w:ascii="CG Times" w:hAnsi="CG Times" w:cs="Arial"/>
          <w:sz w:val="26"/>
          <w:szCs w:val="26"/>
          <w:u w:val="single"/>
        </w:rPr>
        <w:t>each</w:t>
      </w:r>
      <w:r w:rsidR="000C191F">
        <w:rPr>
          <w:rFonts w:ascii="CG Times" w:hAnsi="CG Times" w:cs="Arial"/>
          <w:sz w:val="26"/>
          <w:szCs w:val="26"/>
        </w:rPr>
        <w:t xml:space="preserve"> of the Mandela Objects was declared heritage objects.</w:t>
      </w:r>
      <w:r w:rsidR="008B6C58">
        <w:rPr>
          <w:rFonts w:ascii="CG Times" w:hAnsi="CG Times" w:cs="Arial"/>
          <w:sz w:val="26"/>
          <w:szCs w:val="26"/>
        </w:rPr>
        <w:t xml:space="preserve"> </w:t>
      </w:r>
      <w:r w:rsidR="00206C78">
        <w:rPr>
          <w:rFonts w:ascii="CG Times" w:hAnsi="CG Times" w:cs="Arial"/>
          <w:sz w:val="26"/>
          <w:szCs w:val="26"/>
        </w:rPr>
        <w:t>Their case was rather that all these Mandela Objects were</w:t>
      </w:r>
      <w:r w:rsidR="00F97750">
        <w:rPr>
          <w:rFonts w:ascii="CG Times" w:hAnsi="CG Times" w:cs="Arial"/>
          <w:sz w:val="26"/>
          <w:szCs w:val="26"/>
        </w:rPr>
        <w:t>, as a group,</w:t>
      </w:r>
      <w:r w:rsidR="00206C78">
        <w:rPr>
          <w:rFonts w:ascii="CG Times" w:hAnsi="CG Times" w:cs="Arial"/>
          <w:sz w:val="26"/>
          <w:szCs w:val="26"/>
        </w:rPr>
        <w:t xml:space="preserve"> </w:t>
      </w:r>
      <w:r w:rsidR="00D81A75">
        <w:rPr>
          <w:rFonts w:ascii="CG Times" w:hAnsi="CG Times" w:cs="Arial"/>
          <w:sz w:val="26"/>
          <w:szCs w:val="26"/>
        </w:rPr>
        <w:t xml:space="preserve">declared </w:t>
      </w:r>
      <w:r w:rsidR="00D476CA">
        <w:rPr>
          <w:rFonts w:ascii="CG Times" w:hAnsi="CG Times" w:cs="Arial"/>
          <w:sz w:val="26"/>
          <w:szCs w:val="26"/>
        </w:rPr>
        <w:t xml:space="preserve">or deemed </w:t>
      </w:r>
      <w:r w:rsidR="00D81A75">
        <w:rPr>
          <w:rFonts w:ascii="CG Times" w:hAnsi="CG Times" w:cs="Arial"/>
          <w:sz w:val="26"/>
          <w:szCs w:val="26"/>
        </w:rPr>
        <w:t xml:space="preserve">heritage objects </w:t>
      </w:r>
      <w:r w:rsidR="009A5B0B">
        <w:rPr>
          <w:rFonts w:ascii="CG Times" w:hAnsi="CG Times" w:cs="Arial"/>
          <w:sz w:val="26"/>
          <w:szCs w:val="26"/>
        </w:rPr>
        <w:t xml:space="preserve">under the broad sweep </w:t>
      </w:r>
      <w:r w:rsidR="00263EBA">
        <w:rPr>
          <w:rFonts w:ascii="CG Times" w:hAnsi="CG Times" w:cs="Arial"/>
          <w:sz w:val="26"/>
          <w:szCs w:val="26"/>
        </w:rPr>
        <w:t xml:space="preserve">of </w:t>
      </w:r>
      <w:r w:rsidR="00D81A75" w:rsidRPr="00CE76DC">
        <w:rPr>
          <w:rFonts w:ascii="CG Times" w:hAnsi="CG Times" w:cs="Arial"/>
          <w:i/>
          <w:iCs/>
          <w:sz w:val="26"/>
          <w:szCs w:val="26"/>
        </w:rPr>
        <w:t>“</w:t>
      </w:r>
      <w:r w:rsidR="00220768" w:rsidRPr="00CE76DC">
        <w:rPr>
          <w:rFonts w:ascii="CG Times" w:hAnsi="CG Times" w:cs="Arial"/>
          <w:i/>
          <w:iCs/>
          <w:sz w:val="26"/>
          <w:szCs w:val="26"/>
        </w:rPr>
        <w:t xml:space="preserve">list of </w:t>
      </w:r>
      <w:r w:rsidR="00D81A75" w:rsidRPr="00CE76DC">
        <w:rPr>
          <w:rFonts w:ascii="CG Times" w:hAnsi="CG Times" w:cs="Arial"/>
          <w:i/>
          <w:iCs/>
          <w:sz w:val="26"/>
          <w:szCs w:val="26"/>
        </w:rPr>
        <w:t xml:space="preserve">types of </w:t>
      </w:r>
      <w:r w:rsidR="00CE76DC">
        <w:rPr>
          <w:rFonts w:ascii="CG Times" w:hAnsi="CG Times" w:cs="Arial"/>
          <w:i/>
          <w:iCs/>
          <w:sz w:val="26"/>
          <w:szCs w:val="26"/>
        </w:rPr>
        <w:t xml:space="preserve">heritage </w:t>
      </w:r>
      <w:r w:rsidR="00D81A75" w:rsidRPr="00CE76DC">
        <w:rPr>
          <w:rFonts w:ascii="CG Times" w:hAnsi="CG Times" w:cs="Arial"/>
          <w:i/>
          <w:iCs/>
          <w:sz w:val="26"/>
          <w:szCs w:val="26"/>
        </w:rPr>
        <w:t>objects”</w:t>
      </w:r>
      <w:r w:rsidR="009A5B0B">
        <w:rPr>
          <w:rFonts w:ascii="CG Times" w:hAnsi="CG Times" w:cs="Arial"/>
          <w:sz w:val="26"/>
          <w:szCs w:val="26"/>
        </w:rPr>
        <w:t xml:space="preserve"> </w:t>
      </w:r>
      <w:r w:rsidR="00263EBA">
        <w:rPr>
          <w:rFonts w:ascii="CG Times" w:hAnsi="CG Times" w:cs="Arial"/>
          <w:sz w:val="26"/>
          <w:szCs w:val="26"/>
        </w:rPr>
        <w:t xml:space="preserve">as envisaged </w:t>
      </w:r>
      <w:r w:rsidR="009A5B0B">
        <w:rPr>
          <w:rFonts w:ascii="CG Times" w:hAnsi="CG Times" w:cs="Arial"/>
          <w:sz w:val="26"/>
          <w:szCs w:val="26"/>
        </w:rPr>
        <w:t xml:space="preserve">in </w:t>
      </w:r>
      <w:r w:rsidR="00263EBA">
        <w:rPr>
          <w:rFonts w:ascii="CG Times" w:hAnsi="CG Times" w:cs="Arial"/>
          <w:sz w:val="26"/>
          <w:szCs w:val="26"/>
        </w:rPr>
        <w:t xml:space="preserve">paragraphs 3.3, 3.5 and 3.6 of </w:t>
      </w:r>
      <w:r w:rsidR="009A5B0B">
        <w:rPr>
          <w:rFonts w:ascii="CG Times" w:hAnsi="CG Times" w:cs="Arial"/>
          <w:sz w:val="26"/>
          <w:szCs w:val="26"/>
        </w:rPr>
        <w:t xml:space="preserve">the </w:t>
      </w:r>
      <w:r w:rsidR="00263EBA">
        <w:rPr>
          <w:rFonts w:ascii="CG Times" w:hAnsi="CG Times" w:cs="Arial"/>
          <w:sz w:val="26"/>
          <w:szCs w:val="26"/>
        </w:rPr>
        <w:t xml:space="preserve">government </w:t>
      </w:r>
      <w:r w:rsidR="009A5B0B">
        <w:rPr>
          <w:rFonts w:ascii="CG Times" w:hAnsi="CG Times" w:cs="Arial"/>
          <w:sz w:val="26"/>
          <w:szCs w:val="26"/>
        </w:rPr>
        <w:t>gazette of 18 April 2019</w:t>
      </w:r>
      <w:r w:rsidR="0005396E">
        <w:rPr>
          <w:rFonts w:ascii="CG Times" w:hAnsi="CG Times" w:cs="Arial"/>
          <w:sz w:val="26"/>
          <w:szCs w:val="26"/>
        </w:rPr>
        <w:t xml:space="preserve">. </w:t>
      </w:r>
      <w:r w:rsidR="00B40CF3">
        <w:rPr>
          <w:rFonts w:ascii="CG Times" w:hAnsi="CG Times" w:cs="Arial"/>
          <w:sz w:val="26"/>
          <w:szCs w:val="26"/>
        </w:rPr>
        <w:t xml:space="preserve">Indeed, this was the case pleaded in the </w:t>
      </w:r>
      <w:r w:rsidR="00326C5C" w:rsidRPr="00094AEC">
        <w:rPr>
          <w:rFonts w:ascii="CG Times" w:hAnsi="CG Times" w:cs="Arial"/>
          <w:i/>
          <w:iCs/>
          <w:sz w:val="26"/>
          <w:szCs w:val="26"/>
        </w:rPr>
        <w:t>“</w:t>
      </w:r>
      <w:r w:rsidR="00B40CF3" w:rsidRPr="00094AEC">
        <w:rPr>
          <w:rFonts w:ascii="CG Times" w:hAnsi="CG Times" w:cs="Arial"/>
          <w:i/>
          <w:iCs/>
          <w:sz w:val="26"/>
          <w:szCs w:val="26"/>
        </w:rPr>
        <w:t xml:space="preserve">supplementary </w:t>
      </w:r>
      <w:r w:rsidR="00326C5C" w:rsidRPr="00094AEC">
        <w:rPr>
          <w:rFonts w:ascii="CG Times" w:hAnsi="CG Times" w:cs="Arial"/>
          <w:i/>
          <w:iCs/>
          <w:sz w:val="26"/>
          <w:szCs w:val="26"/>
        </w:rPr>
        <w:t>replying and answering affidavit</w:t>
      </w:r>
      <w:r w:rsidR="00E33487" w:rsidRPr="00094AEC">
        <w:rPr>
          <w:rFonts w:ascii="CG Times" w:hAnsi="CG Times" w:cs="Arial"/>
          <w:i/>
          <w:iCs/>
          <w:sz w:val="26"/>
          <w:szCs w:val="26"/>
        </w:rPr>
        <w:t xml:space="preserve"> in the main application and the counter-application</w:t>
      </w:r>
      <w:r w:rsidR="00326C5C" w:rsidRPr="00094AEC">
        <w:rPr>
          <w:rFonts w:ascii="CG Times" w:hAnsi="CG Times" w:cs="Arial"/>
          <w:i/>
          <w:iCs/>
          <w:sz w:val="26"/>
          <w:szCs w:val="26"/>
        </w:rPr>
        <w:t>”</w:t>
      </w:r>
      <w:r w:rsidR="00E33487">
        <w:rPr>
          <w:rStyle w:val="FootnoteReference"/>
          <w:rFonts w:ascii="CG Times" w:hAnsi="CG Times" w:cs="Arial"/>
          <w:sz w:val="26"/>
          <w:szCs w:val="26"/>
        </w:rPr>
        <w:footnoteReference w:id="12"/>
      </w:r>
      <w:r w:rsidR="00265C89">
        <w:rPr>
          <w:rFonts w:ascii="CG Times" w:hAnsi="CG Times" w:cs="Arial"/>
          <w:sz w:val="26"/>
          <w:szCs w:val="26"/>
        </w:rPr>
        <w:t>. It was also the basis on which the first respondent’s counter-application for review was dismissed</w:t>
      </w:r>
      <w:r w:rsidR="000A041B">
        <w:rPr>
          <w:rFonts w:ascii="CG Times" w:hAnsi="CG Times" w:cs="Arial"/>
          <w:sz w:val="26"/>
          <w:szCs w:val="26"/>
        </w:rPr>
        <w:t xml:space="preserve"> as she sought to review a decision that was never made</w:t>
      </w:r>
      <w:r w:rsidR="0063506E">
        <w:rPr>
          <w:rFonts w:ascii="CG Times" w:hAnsi="CG Times" w:cs="Arial"/>
          <w:sz w:val="26"/>
          <w:szCs w:val="26"/>
        </w:rPr>
        <w:t xml:space="preserve"> (namely, the declaration of each of the 29 Mandela Objects as a heritage object)</w:t>
      </w:r>
      <w:r w:rsidR="00D47906">
        <w:rPr>
          <w:rFonts w:ascii="CG Times" w:hAnsi="CG Times" w:cs="Arial"/>
          <w:sz w:val="26"/>
          <w:szCs w:val="26"/>
        </w:rPr>
        <w:t xml:space="preserve"> as strongly argued by counsel for the applicant</w:t>
      </w:r>
      <w:r w:rsidR="00FB1B1F">
        <w:rPr>
          <w:rFonts w:ascii="CG Times" w:hAnsi="CG Times" w:cs="Arial"/>
          <w:sz w:val="26"/>
          <w:szCs w:val="26"/>
        </w:rPr>
        <w:t>s</w:t>
      </w:r>
      <w:r w:rsidR="00265C89">
        <w:rPr>
          <w:rFonts w:ascii="CG Times" w:hAnsi="CG Times" w:cs="Arial"/>
          <w:sz w:val="26"/>
          <w:szCs w:val="26"/>
        </w:rPr>
        <w:t>.</w:t>
      </w:r>
      <w:r w:rsidR="003949E0">
        <w:rPr>
          <w:rFonts w:ascii="CG Times" w:hAnsi="CG Times" w:cs="Arial"/>
          <w:sz w:val="26"/>
          <w:szCs w:val="26"/>
        </w:rPr>
        <w:t xml:space="preserve"> Now, the applicant</w:t>
      </w:r>
      <w:r w:rsidR="00FB1B1F">
        <w:rPr>
          <w:rFonts w:ascii="CG Times" w:hAnsi="CG Times" w:cs="Arial"/>
          <w:sz w:val="26"/>
          <w:szCs w:val="26"/>
        </w:rPr>
        <w:t>s</w:t>
      </w:r>
      <w:r w:rsidR="003949E0">
        <w:rPr>
          <w:rFonts w:ascii="CG Times" w:hAnsi="CG Times" w:cs="Arial"/>
          <w:sz w:val="26"/>
          <w:szCs w:val="26"/>
        </w:rPr>
        <w:t xml:space="preserve"> </w:t>
      </w:r>
      <w:r w:rsidR="00204BF8">
        <w:rPr>
          <w:rFonts w:ascii="CG Times" w:hAnsi="CG Times" w:cs="Arial"/>
          <w:sz w:val="26"/>
          <w:szCs w:val="26"/>
        </w:rPr>
        <w:t xml:space="preserve">will have </w:t>
      </w:r>
      <w:r w:rsidR="00370F4A">
        <w:rPr>
          <w:rFonts w:ascii="CG Times" w:hAnsi="CG Times" w:cs="Arial"/>
          <w:sz w:val="26"/>
          <w:szCs w:val="26"/>
        </w:rPr>
        <w:t xml:space="preserve">the SCA conclude that </w:t>
      </w:r>
      <w:r w:rsidR="00370F4A" w:rsidRPr="008E2726">
        <w:rPr>
          <w:rFonts w:ascii="CG Times" w:hAnsi="CG Times" w:cs="Arial"/>
          <w:sz w:val="26"/>
          <w:szCs w:val="26"/>
          <w:u w:val="single"/>
        </w:rPr>
        <w:t>each</w:t>
      </w:r>
      <w:r w:rsidR="00370F4A">
        <w:rPr>
          <w:rFonts w:ascii="CG Times" w:hAnsi="CG Times" w:cs="Arial"/>
          <w:sz w:val="26"/>
          <w:szCs w:val="26"/>
        </w:rPr>
        <w:t xml:space="preserve"> of the </w:t>
      </w:r>
      <w:r w:rsidR="009C5838">
        <w:rPr>
          <w:rFonts w:ascii="CG Times" w:hAnsi="CG Times" w:cs="Arial"/>
          <w:sz w:val="26"/>
          <w:szCs w:val="26"/>
        </w:rPr>
        <w:t xml:space="preserve">29 </w:t>
      </w:r>
      <w:r w:rsidR="00370F4A">
        <w:rPr>
          <w:rFonts w:ascii="CG Times" w:hAnsi="CG Times" w:cs="Arial"/>
          <w:sz w:val="26"/>
          <w:szCs w:val="26"/>
        </w:rPr>
        <w:t>Mandel</w:t>
      </w:r>
      <w:r w:rsidR="009C5838">
        <w:rPr>
          <w:rFonts w:ascii="CG Times" w:hAnsi="CG Times" w:cs="Arial"/>
          <w:sz w:val="26"/>
          <w:szCs w:val="26"/>
        </w:rPr>
        <w:t>a</w:t>
      </w:r>
      <w:r w:rsidR="00370F4A">
        <w:rPr>
          <w:rFonts w:ascii="CG Times" w:hAnsi="CG Times" w:cs="Arial"/>
          <w:sz w:val="26"/>
          <w:szCs w:val="26"/>
        </w:rPr>
        <w:t xml:space="preserve"> Objects </w:t>
      </w:r>
      <w:r w:rsidR="0045379D">
        <w:rPr>
          <w:rFonts w:ascii="CG Times" w:hAnsi="CG Times" w:cs="Arial"/>
          <w:sz w:val="26"/>
          <w:szCs w:val="26"/>
        </w:rPr>
        <w:t xml:space="preserve">falls within the ambit of </w:t>
      </w:r>
      <w:r w:rsidR="002E2211">
        <w:rPr>
          <w:rFonts w:ascii="CG Times" w:hAnsi="CG Times" w:cs="Arial"/>
          <w:sz w:val="26"/>
          <w:szCs w:val="26"/>
        </w:rPr>
        <w:t xml:space="preserve">lists of heritage objects </w:t>
      </w:r>
      <w:r w:rsidR="008E2726">
        <w:rPr>
          <w:rFonts w:ascii="CG Times" w:hAnsi="CG Times" w:cs="Arial"/>
          <w:sz w:val="26"/>
          <w:szCs w:val="26"/>
        </w:rPr>
        <w:t xml:space="preserve">(no longer </w:t>
      </w:r>
      <w:r w:rsidR="006C4623">
        <w:rPr>
          <w:rFonts w:ascii="CG Times" w:hAnsi="CG Times" w:cs="Arial"/>
          <w:sz w:val="26"/>
          <w:szCs w:val="26"/>
        </w:rPr>
        <w:t>all of them as a group)</w:t>
      </w:r>
      <w:r w:rsidR="00BA145E">
        <w:rPr>
          <w:rFonts w:ascii="CG Times" w:hAnsi="CG Times" w:cs="Arial"/>
          <w:sz w:val="26"/>
          <w:szCs w:val="26"/>
        </w:rPr>
        <w:t xml:space="preserve"> and faults </w:t>
      </w:r>
      <w:r w:rsidR="008E5578">
        <w:rPr>
          <w:rFonts w:ascii="CG Times" w:hAnsi="CG Times" w:cs="Arial"/>
          <w:sz w:val="26"/>
          <w:szCs w:val="26"/>
        </w:rPr>
        <w:t>this court</w:t>
      </w:r>
      <w:r w:rsidR="00BA145E">
        <w:rPr>
          <w:rFonts w:ascii="CG Times" w:hAnsi="CG Times" w:cs="Arial"/>
          <w:sz w:val="26"/>
          <w:szCs w:val="26"/>
        </w:rPr>
        <w:t xml:space="preserve"> for not having reached that conclusion</w:t>
      </w:r>
      <w:r w:rsidR="002E2211">
        <w:rPr>
          <w:rFonts w:ascii="CG Times" w:hAnsi="CG Times" w:cs="Arial"/>
          <w:sz w:val="26"/>
          <w:szCs w:val="26"/>
        </w:rPr>
        <w:t>.</w:t>
      </w:r>
      <w:r w:rsidR="00D779F0">
        <w:rPr>
          <w:rStyle w:val="FootnoteReference"/>
          <w:rFonts w:ascii="CG Times" w:hAnsi="CG Times" w:cs="Arial"/>
          <w:sz w:val="26"/>
          <w:szCs w:val="26"/>
        </w:rPr>
        <w:footnoteReference w:id="13"/>
      </w:r>
      <w:r w:rsidR="006578A9">
        <w:rPr>
          <w:rFonts w:ascii="CG Times" w:hAnsi="CG Times" w:cs="Arial"/>
          <w:sz w:val="26"/>
          <w:szCs w:val="26"/>
        </w:rPr>
        <w:t xml:space="preserve"> </w:t>
      </w:r>
      <w:r w:rsidR="00BA145E">
        <w:rPr>
          <w:rFonts w:ascii="CG Times" w:hAnsi="CG Times" w:cs="Arial"/>
          <w:sz w:val="26"/>
          <w:szCs w:val="26"/>
        </w:rPr>
        <w:t>But t</w:t>
      </w:r>
      <w:r w:rsidR="002A51B0">
        <w:rPr>
          <w:rFonts w:ascii="CG Times" w:hAnsi="CG Times" w:cs="Arial"/>
          <w:sz w:val="26"/>
          <w:szCs w:val="26"/>
        </w:rPr>
        <w:t xml:space="preserve">hat </w:t>
      </w:r>
      <w:r w:rsidR="0007189F">
        <w:rPr>
          <w:rFonts w:ascii="CG Times" w:hAnsi="CG Times" w:cs="Arial"/>
          <w:sz w:val="26"/>
          <w:szCs w:val="26"/>
        </w:rPr>
        <w:t>i</w:t>
      </w:r>
      <w:r w:rsidR="002A51B0">
        <w:rPr>
          <w:rFonts w:ascii="CG Times" w:hAnsi="CG Times" w:cs="Arial"/>
          <w:sz w:val="26"/>
          <w:szCs w:val="26"/>
        </w:rPr>
        <w:t xml:space="preserve">s not the question </w:t>
      </w:r>
      <w:r w:rsidR="002A741A">
        <w:rPr>
          <w:rFonts w:ascii="CG Times" w:hAnsi="CG Times" w:cs="Arial"/>
          <w:sz w:val="26"/>
          <w:szCs w:val="26"/>
        </w:rPr>
        <w:t>this court was</w:t>
      </w:r>
      <w:r w:rsidR="0007189F">
        <w:rPr>
          <w:rFonts w:ascii="CG Times" w:hAnsi="CG Times" w:cs="Arial"/>
          <w:sz w:val="26"/>
          <w:szCs w:val="26"/>
        </w:rPr>
        <w:t xml:space="preserve"> asked </w:t>
      </w:r>
      <w:r w:rsidR="002A51B0">
        <w:rPr>
          <w:rFonts w:ascii="CG Times" w:hAnsi="CG Times" w:cs="Arial"/>
          <w:sz w:val="26"/>
          <w:szCs w:val="26"/>
        </w:rPr>
        <w:t xml:space="preserve">to determine. </w:t>
      </w:r>
      <w:r w:rsidR="00414061">
        <w:rPr>
          <w:rFonts w:ascii="CG Times" w:hAnsi="CG Times" w:cs="Arial"/>
          <w:sz w:val="26"/>
          <w:szCs w:val="26"/>
        </w:rPr>
        <w:t xml:space="preserve">Again, </w:t>
      </w:r>
      <w:r w:rsidR="00A504D8">
        <w:rPr>
          <w:rFonts w:ascii="CG Times" w:hAnsi="CG Times" w:cs="Arial"/>
          <w:sz w:val="26"/>
          <w:szCs w:val="26"/>
        </w:rPr>
        <w:t>the case falls at the first hurdle.</w:t>
      </w:r>
      <w:r w:rsidR="003949E0">
        <w:rPr>
          <w:rFonts w:ascii="CG Times" w:hAnsi="CG Times" w:cs="Arial"/>
          <w:sz w:val="26"/>
          <w:szCs w:val="26"/>
        </w:rPr>
        <w:t xml:space="preserve"> </w:t>
      </w:r>
      <w:r w:rsidR="00C12547">
        <w:rPr>
          <w:rFonts w:ascii="CG Times" w:hAnsi="CG Times" w:cs="Arial"/>
          <w:sz w:val="26"/>
          <w:szCs w:val="26"/>
        </w:rPr>
        <w:t xml:space="preserve"> </w:t>
      </w:r>
    </w:p>
    <w:p w14:paraId="34CDF155" w14:textId="77777777" w:rsidR="004E764C" w:rsidRDefault="004E764C" w:rsidP="004E764C">
      <w:pPr>
        <w:spacing w:line="360" w:lineRule="auto"/>
        <w:ind w:right="-46"/>
        <w:jc w:val="both"/>
        <w:rPr>
          <w:rFonts w:ascii="CG Times" w:hAnsi="CG Times" w:cs="Arial"/>
          <w:sz w:val="26"/>
          <w:szCs w:val="26"/>
        </w:rPr>
      </w:pPr>
    </w:p>
    <w:p w14:paraId="32391B04" w14:textId="55BA0A0E" w:rsidR="004E764C" w:rsidRDefault="004E764C" w:rsidP="004E764C">
      <w:pPr>
        <w:spacing w:line="360" w:lineRule="auto"/>
        <w:jc w:val="both"/>
        <w:rPr>
          <w:rFonts w:ascii="CG Times" w:hAnsi="CG Times" w:cs="Arial"/>
          <w:sz w:val="26"/>
          <w:szCs w:val="26"/>
        </w:rPr>
      </w:pPr>
      <w:r>
        <w:rPr>
          <w:rFonts w:ascii="CG Times" w:hAnsi="CG Times" w:cs="Arial"/>
          <w:sz w:val="26"/>
          <w:szCs w:val="26"/>
        </w:rPr>
        <w:t>[</w:t>
      </w:r>
      <w:r w:rsidR="001E0BCF">
        <w:rPr>
          <w:rFonts w:ascii="CG Times" w:hAnsi="CG Times" w:cs="Arial"/>
          <w:sz w:val="26"/>
          <w:szCs w:val="26"/>
        </w:rPr>
        <w:t>4</w:t>
      </w:r>
      <w:r>
        <w:rPr>
          <w:rFonts w:ascii="CG Times" w:hAnsi="CG Times" w:cs="Arial"/>
          <w:sz w:val="26"/>
          <w:szCs w:val="26"/>
        </w:rPr>
        <w:t>]</w:t>
      </w:r>
      <w:r>
        <w:rPr>
          <w:rFonts w:ascii="CG Times" w:hAnsi="CG Times" w:cs="Arial"/>
          <w:sz w:val="26"/>
          <w:szCs w:val="26"/>
        </w:rPr>
        <w:tab/>
      </w:r>
      <w:r w:rsidR="00E14BEE">
        <w:rPr>
          <w:rFonts w:ascii="CG Times" w:hAnsi="CG Times" w:cs="Arial"/>
          <w:sz w:val="26"/>
          <w:szCs w:val="26"/>
        </w:rPr>
        <w:t>A</w:t>
      </w:r>
      <w:r w:rsidR="001E0BCF">
        <w:rPr>
          <w:rFonts w:ascii="CG Times" w:hAnsi="CG Times" w:cs="Arial"/>
          <w:sz w:val="26"/>
          <w:szCs w:val="26"/>
        </w:rPr>
        <w:t xml:space="preserve">bsent a clear right, </w:t>
      </w:r>
      <w:r w:rsidR="00E14BEE">
        <w:rPr>
          <w:rFonts w:ascii="CG Times" w:hAnsi="CG Times" w:cs="Arial"/>
          <w:sz w:val="26"/>
          <w:szCs w:val="26"/>
        </w:rPr>
        <w:t xml:space="preserve">the </w:t>
      </w:r>
      <w:r>
        <w:rPr>
          <w:rFonts w:ascii="CG Times" w:hAnsi="CG Times" w:cs="Arial"/>
          <w:sz w:val="26"/>
          <w:szCs w:val="26"/>
        </w:rPr>
        <w:t>irreparable harm</w:t>
      </w:r>
      <w:r w:rsidR="00E14BEE">
        <w:rPr>
          <w:rFonts w:ascii="CG Times" w:hAnsi="CG Times" w:cs="Arial"/>
          <w:sz w:val="26"/>
          <w:szCs w:val="26"/>
        </w:rPr>
        <w:t xml:space="preserve"> enquiry becomes otiose</w:t>
      </w:r>
      <w:r>
        <w:rPr>
          <w:rFonts w:ascii="CG Times" w:hAnsi="CG Times" w:cs="Arial"/>
          <w:sz w:val="26"/>
          <w:szCs w:val="26"/>
        </w:rPr>
        <w:t xml:space="preserve">. As the </w:t>
      </w:r>
      <w:r w:rsidR="0086297D">
        <w:rPr>
          <w:rFonts w:ascii="CG Times" w:hAnsi="CG Times" w:cs="Arial"/>
          <w:sz w:val="26"/>
          <w:szCs w:val="26"/>
        </w:rPr>
        <w:t>applicant</w:t>
      </w:r>
      <w:r w:rsidR="00BD397F">
        <w:rPr>
          <w:rFonts w:ascii="CG Times" w:hAnsi="CG Times" w:cs="Arial"/>
          <w:sz w:val="26"/>
          <w:szCs w:val="26"/>
        </w:rPr>
        <w:t>s</w:t>
      </w:r>
      <w:r>
        <w:rPr>
          <w:rFonts w:ascii="CG Times" w:hAnsi="CG Times" w:cs="Arial"/>
          <w:sz w:val="26"/>
          <w:szCs w:val="26"/>
        </w:rPr>
        <w:t xml:space="preserve"> fe</w:t>
      </w:r>
      <w:r w:rsidR="002A0962">
        <w:rPr>
          <w:rFonts w:ascii="CG Times" w:hAnsi="CG Times" w:cs="Arial"/>
          <w:sz w:val="26"/>
          <w:szCs w:val="26"/>
        </w:rPr>
        <w:t>ll</w:t>
      </w:r>
      <w:r>
        <w:rPr>
          <w:rFonts w:ascii="CG Times" w:hAnsi="CG Times" w:cs="Arial"/>
          <w:sz w:val="26"/>
          <w:szCs w:val="26"/>
        </w:rPr>
        <w:t xml:space="preserve"> at the first hurdle of the final interdict requirements, </w:t>
      </w:r>
      <w:r w:rsidR="009750C8">
        <w:rPr>
          <w:rFonts w:ascii="CG Times" w:hAnsi="CG Times" w:cs="Arial"/>
          <w:sz w:val="26"/>
          <w:szCs w:val="26"/>
        </w:rPr>
        <w:t xml:space="preserve">the SCA will not be at large nevertheless to </w:t>
      </w:r>
      <w:r>
        <w:rPr>
          <w:rFonts w:ascii="CG Times" w:hAnsi="CG Times" w:cs="Arial"/>
          <w:sz w:val="26"/>
          <w:szCs w:val="26"/>
        </w:rPr>
        <w:t>consider the other</w:t>
      </w:r>
      <w:r w:rsidR="009750C8">
        <w:rPr>
          <w:rFonts w:ascii="CG Times" w:hAnsi="CG Times" w:cs="Arial"/>
          <w:sz w:val="26"/>
          <w:szCs w:val="26"/>
        </w:rPr>
        <w:t xml:space="preserve"> requirements</w:t>
      </w:r>
      <w:r>
        <w:rPr>
          <w:rFonts w:ascii="CG Times" w:hAnsi="CG Times" w:cs="Arial"/>
          <w:sz w:val="26"/>
          <w:szCs w:val="26"/>
        </w:rPr>
        <w:t xml:space="preserve"> </w:t>
      </w:r>
      <w:r w:rsidR="00C427C7">
        <w:rPr>
          <w:rFonts w:ascii="CG Times" w:hAnsi="CG Times" w:cs="Arial"/>
          <w:sz w:val="26"/>
          <w:szCs w:val="26"/>
        </w:rPr>
        <w:t xml:space="preserve">because no court, including the SCA, </w:t>
      </w:r>
      <w:r>
        <w:rPr>
          <w:rFonts w:ascii="CG Times" w:hAnsi="CG Times" w:cs="Arial"/>
          <w:sz w:val="26"/>
          <w:szCs w:val="26"/>
        </w:rPr>
        <w:t xml:space="preserve">has discretion to grant </w:t>
      </w:r>
      <w:r w:rsidR="00C427C7">
        <w:rPr>
          <w:rFonts w:ascii="CG Times" w:hAnsi="CG Times" w:cs="Arial"/>
          <w:sz w:val="26"/>
          <w:szCs w:val="26"/>
        </w:rPr>
        <w:t xml:space="preserve">an interdict </w:t>
      </w:r>
      <w:r>
        <w:rPr>
          <w:rFonts w:ascii="CG Times" w:hAnsi="CG Times" w:cs="Arial"/>
          <w:sz w:val="26"/>
          <w:szCs w:val="26"/>
        </w:rPr>
        <w:t>where any one of the requirements has not been met.</w:t>
      </w:r>
      <w:r w:rsidR="00CB6340">
        <w:rPr>
          <w:rFonts w:ascii="CG Times" w:hAnsi="CG Times" w:cs="Arial"/>
          <w:sz w:val="26"/>
          <w:szCs w:val="26"/>
        </w:rPr>
        <w:t xml:space="preserve"> It would thus be irresponsible of </w:t>
      </w:r>
      <w:r w:rsidR="009427FB">
        <w:rPr>
          <w:rFonts w:ascii="CG Times" w:hAnsi="CG Times" w:cs="Arial"/>
          <w:sz w:val="26"/>
          <w:szCs w:val="26"/>
        </w:rPr>
        <w:t>this court</w:t>
      </w:r>
      <w:r w:rsidR="00CB6340">
        <w:rPr>
          <w:rFonts w:ascii="CG Times" w:hAnsi="CG Times" w:cs="Arial"/>
          <w:sz w:val="26"/>
          <w:szCs w:val="26"/>
        </w:rPr>
        <w:t xml:space="preserve"> to burden the SCA needlessly with an appeal </w:t>
      </w:r>
      <w:r w:rsidR="00A61894">
        <w:rPr>
          <w:rFonts w:ascii="CG Times" w:hAnsi="CG Times" w:cs="Arial"/>
          <w:sz w:val="26"/>
          <w:szCs w:val="26"/>
        </w:rPr>
        <w:t xml:space="preserve">where the applicant itself concedes that its founding papers do not </w:t>
      </w:r>
      <w:r w:rsidR="00B348BC">
        <w:rPr>
          <w:rFonts w:ascii="CG Times" w:hAnsi="CG Times" w:cs="Arial"/>
          <w:sz w:val="26"/>
          <w:szCs w:val="26"/>
        </w:rPr>
        <w:t xml:space="preserve">satisfy the first requirement </w:t>
      </w:r>
      <w:r w:rsidR="00731E9C">
        <w:rPr>
          <w:rFonts w:ascii="CG Times" w:hAnsi="CG Times" w:cs="Arial"/>
          <w:sz w:val="26"/>
          <w:szCs w:val="26"/>
        </w:rPr>
        <w:t xml:space="preserve">for an interdict, where </w:t>
      </w:r>
      <w:r w:rsidR="00125CF1">
        <w:rPr>
          <w:rFonts w:ascii="CG Times" w:hAnsi="CG Times" w:cs="Arial"/>
          <w:sz w:val="26"/>
          <w:szCs w:val="26"/>
        </w:rPr>
        <w:t xml:space="preserve">determinative factual averments are not disputed or </w:t>
      </w:r>
      <w:r w:rsidR="007622E3">
        <w:rPr>
          <w:rFonts w:ascii="CG Times" w:hAnsi="CG Times" w:cs="Arial"/>
          <w:sz w:val="26"/>
          <w:szCs w:val="26"/>
        </w:rPr>
        <w:t>meaningfully engaged with</w:t>
      </w:r>
      <w:r w:rsidR="007B535D">
        <w:rPr>
          <w:rFonts w:ascii="CG Times" w:hAnsi="CG Times" w:cs="Arial"/>
          <w:sz w:val="26"/>
          <w:szCs w:val="26"/>
        </w:rPr>
        <w:t xml:space="preserve">, and where </w:t>
      </w:r>
      <w:r w:rsidR="00A60D0F">
        <w:rPr>
          <w:rFonts w:ascii="CG Times" w:hAnsi="CG Times" w:cs="Arial"/>
          <w:sz w:val="26"/>
          <w:szCs w:val="26"/>
        </w:rPr>
        <w:t>the applicant</w:t>
      </w:r>
      <w:r w:rsidR="00A51ACC">
        <w:rPr>
          <w:rFonts w:ascii="CG Times" w:hAnsi="CG Times" w:cs="Arial"/>
          <w:sz w:val="26"/>
          <w:szCs w:val="26"/>
        </w:rPr>
        <w:t>s</w:t>
      </w:r>
      <w:r w:rsidR="00A60D0F">
        <w:rPr>
          <w:rFonts w:ascii="CG Times" w:hAnsi="CG Times" w:cs="Arial"/>
          <w:sz w:val="26"/>
          <w:szCs w:val="26"/>
        </w:rPr>
        <w:t xml:space="preserve"> seek to advance a new case on appeal that t</w:t>
      </w:r>
      <w:r w:rsidR="003F1664">
        <w:rPr>
          <w:rFonts w:ascii="CG Times" w:hAnsi="CG Times" w:cs="Arial"/>
          <w:sz w:val="26"/>
          <w:szCs w:val="26"/>
        </w:rPr>
        <w:t>hey</w:t>
      </w:r>
      <w:r w:rsidR="00A60D0F">
        <w:rPr>
          <w:rFonts w:ascii="CG Times" w:hAnsi="CG Times" w:cs="Arial"/>
          <w:sz w:val="26"/>
          <w:szCs w:val="26"/>
        </w:rPr>
        <w:t xml:space="preserve"> had expressly disavowed </w:t>
      </w:r>
      <w:r w:rsidR="00736CA2">
        <w:rPr>
          <w:rFonts w:ascii="CG Times" w:hAnsi="CG Times" w:cs="Arial"/>
          <w:sz w:val="26"/>
          <w:szCs w:val="26"/>
        </w:rPr>
        <w:t>before us</w:t>
      </w:r>
      <w:r w:rsidR="007622E3">
        <w:rPr>
          <w:rFonts w:ascii="CG Times" w:hAnsi="CG Times" w:cs="Arial"/>
          <w:sz w:val="26"/>
          <w:szCs w:val="26"/>
        </w:rPr>
        <w:t>.</w:t>
      </w:r>
    </w:p>
    <w:p w14:paraId="1F7F4572" w14:textId="77777777" w:rsidR="001C4A68" w:rsidRDefault="001C4A68" w:rsidP="00933304">
      <w:pPr>
        <w:spacing w:line="360" w:lineRule="auto"/>
        <w:jc w:val="both"/>
        <w:rPr>
          <w:rFonts w:ascii="CG Times" w:hAnsi="CG Times" w:cs="Arial"/>
          <w:sz w:val="26"/>
          <w:szCs w:val="26"/>
        </w:rPr>
      </w:pPr>
    </w:p>
    <w:p w14:paraId="48055E26" w14:textId="03C6D1D7" w:rsidR="00116F7F" w:rsidRPr="006702F6" w:rsidRDefault="00736CA2" w:rsidP="00933304">
      <w:pPr>
        <w:spacing w:line="360" w:lineRule="auto"/>
        <w:jc w:val="both"/>
        <w:rPr>
          <w:rFonts w:ascii="CG Times" w:hAnsi="CG Times" w:cs="Times"/>
          <w:bCs/>
          <w:sz w:val="26"/>
          <w:szCs w:val="26"/>
        </w:rPr>
      </w:pPr>
      <w:r>
        <w:rPr>
          <w:rFonts w:ascii="CG Times" w:hAnsi="CG Times" w:cs="Arial"/>
          <w:sz w:val="26"/>
          <w:szCs w:val="26"/>
        </w:rPr>
        <w:t>[5]</w:t>
      </w:r>
      <w:r>
        <w:rPr>
          <w:rFonts w:ascii="CG Times" w:hAnsi="CG Times" w:cs="Arial"/>
          <w:sz w:val="26"/>
          <w:szCs w:val="26"/>
        </w:rPr>
        <w:tab/>
      </w:r>
      <w:r w:rsidR="00A82FD3">
        <w:rPr>
          <w:rFonts w:ascii="CG Times" w:hAnsi="CG Times" w:cs="Arial"/>
          <w:sz w:val="26"/>
          <w:szCs w:val="26"/>
        </w:rPr>
        <w:t>There are no compelling reasons for the appeal to be heard</w:t>
      </w:r>
      <w:r w:rsidR="00D13782">
        <w:rPr>
          <w:rFonts w:ascii="CG Times" w:hAnsi="CG Times" w:cs="Arial"/>
          <w:sz w:val="26"/>
          <w:szCs w:val="26"/>
        </w:rPr>
        <w:t>.</w:t>
      </w:r>
      <w:r w:rsidR="00A82FD3">
        <w:rPr>
          <w:rFonts w:ascii="CG Times" w:hAnsi="CG Times" w:cs="Arial"/>
          <w:sz w:val="26"/>
          <w:szCs w:val="26"/>
        </w:rPr>
        <w:t xml:space="preserve"> </w:t>
      </w:r>
      <w:r w:rsidR="00D13782">
        <w:rPr>
          <w:rFonts w:ascii="CG Times" w:hAnsi="CG Times" w:cs="Arial"/>
          <w:sz w:val="26"/>
          <w:szCs w:val="26"/>
        </w:rPr>
        <w:t>The applicant</w:t>
      </w:r>
      <w:r w:rsidR="003F1664">
        <w:rPr>
          <w:rFonts w:ascii="CG Times" w:hAnsi="CG Times" w:cs="Arial"/>
          <w:sz w:val="26"/>
          <w:szCs w:val="26"/>
        </w:rPr>
        <w:t>s</w:t>
      </w:r>
      <w:r w:rsidR="00D13782">
        <w:rPr>
          <w:rFonts w:ascii="CG Times" w:hAnsi="CG Times" w:cs="Arial"/>
          <w:sz w:val="26"/>
          <w:szCs w:val="26"/>
        </w:rPr>
        <w:t xml:space="preserve"> </w:t>
      </w:r>
      <w:r w:rsidR="003F1664">
        <w:rPr>
          <w:rFonts w:ascii="CG Times" w:hAnsi="CG Times" w:cs="Arial"/>
          <w:sz w:val="26"/>
          <w:szCs w:val="26"/>
        </w:rPr>
        <w:t>are</w:t>
      </w:r>
      <w:r w:rsidR="00D13782">
        <w:rPr>
          <w:rFonts w:ascii="CG Times" w:hAnsi="CG Times" w:cs="Arial"/>
          <w:sz w:val="26"/>
          <w:szCs w:val="26"/>
        </w:rPr>
        <w:t xml:space="preserve"> correct </w:t>
      </w:r>
      <w:r w:rsidR="00D41A0F">
        <w:rPr>
          <w:rFonts w:ascii="CG Times" w:hAnsi="CG Times" w:cs="Arial"/>
          <w:sz w:val="26"/>
          <w:szCs w:val="26"/>
        </w:rPr>
        <w:t xml:space="preserve">that </w:t>
      </w:r>
      <w:r w:rsidR="008C0043" w:rsidRPr="00D41C7B">
        <w:rPr>
          <w:rFonts w:ascii="CG Times" w:hAnsi="CG Times" w:cs="Arial"/>
          <w:sz w:val="26"/>
          <w:szCs w:val="26"/>
        </w:rPr>
        <w:t>the application before us turned on the proper interpretation</w:t>
      </w:r>
      <w:r w:rsidR="00A964CC" w:rsidRPr="00D41C7B">
        <w:rPr>
          <w:rFonts w:ascii="CG Times" w:hAnsi="CG Times" w:cs="Arial"/>
          <w:sz w:val="26"/>
          <w:szCs w:val="26"/>
        </w:rPr>
        <w:t xml:space="preserve"> of an Act of Parliament and regulations promulgated in pursuance of the o</w:t>
      </w:r>
      <w:r w:rsidR="004D161D" w:rsidRPr="00D41C7B">
        <w:rPr>
          <w:rFonts w:ascii="CG Times" w:hAnsi="CG Times" w:cs="Arial"/>
          <w:sz w:val="26"/>
          <w:szCs w:val="26"/>
        </w:rPr>
        <w:t>bjects of that legislation.</w:t>
      </w:r>
      <w:r w:rsidR="00015415" w:rsidRPr="006D18A2">
        <w:rPr>
          <w:rFonts w:ascii="CG Times" w:hAnsi="CG Times" w:cs="Arial"/>
          <w:color w:val="FF0000"/>
          <w:sz w:val="26"/>
          <w:szCs w:val="26"/>
        </w:rPr>
        <w:t xml:space="preserve"> </w:t>
      </w:r>
      <w:r w:rsidR="00015415">
        <w:rPr>
          <w:rFonts w:ascii="CG Times" w:hAnsi="CG Times" w:cs="Arial"/>
          <w:sz w:val="26"/>
          <w:szCs w:val="26"/>
        </w:rPr>
        <w:t xml:space="preserve">We know from a </w:t>
      </w:r>
      <w:r w:rsidR="004E3C85">
        <w:rPr>
          <w:rFonts w:ascii="CG Times" w:hAnsi="CG Times" w:cs="Arial"/>
          <w:sz w:val="26"/>
          <w:szCs w:val="26"/>
        </w:rPr>
        <w:t xml:space="preserve">long </w:t>
      </w:r>
      <w:r w:rsidR="00015415">
        <w:rPr>
          <w:rFonts w:ascii="CG Times" w:hAnsi="CG Times" w:cs="Arial"/>
          <w:sz w:val="26"/>
          <w:szCs w:val="26"/>
        </w:rPr>
        <w:t>line of cases</w:t>
      </w:r>
      <w:r w:rsidR="001C0287">
        <w:rPr>
          <w:rFonts w:ascii="CG Times" w:hAnsi="CG Times" w:cs="Arial"/>
          <w:sz w:val="26"/>
          <w:szCs w:val="26"/>
        </w:rPr>
        <w:t xml:space="preserve"> that </w:t>
      </w:r>
      <w:r w:rsidR="00AC47A9">
        <w:rPr>
          <w:rFonts w:ascii="CG Times" w:hAnsi="CG Times" w:cs="Arial"/>
          <w:sz w:val="26"/>
          <w:szCs w:val="26"/>
        </w:rPr>
        <w:t xml:space="preserve">a case that turns on </w:t>
      </w:r>
      <w:r w:rsidR="00BD76F4">
        <w:rPr>
          <w:rFonts w:ascii="CG Times" w:hAnsi="CG Times" w:cs="Arial"/>
          <w:sz w:val="26"/>
          <w:szCs w:val="26"/>
        </w:rPr>
        <w:t xml:space="preserve">the </w:t>
      </w:r>
      <w:r w:rsidR="004E3C85">
        <w:rPr>
          <w:rFonts w:ascii="CG Times" w:hAnsi="CG Times" w:cs="Arial"/>
          <w:sz w:val="26"/>
          <w:szCs w:val="26"/>
        </w:rPr>
        <w:t xml:space="preserve">interpretation and application of legislation </w:t>
      </w:r>
      <w:r w:rsidR="00204DFE">
        <w:rPr>
          <w:rFonts w:ascii="CG Times" w:hAnsi="CG Times" w:cs="Arial"/>
          <w:sz w:val="26"/>
          <w:szCs w:val="26"/>
        </w:rPr>
        <w:t xml:space="preserve">specifically mandated by the Constitution </w:t>
      </w:r>
      <w:r w:rsidR="003B0779">
        <w:rPr>
          <w:rFonts w:ascii="CG Times" w:hAnsi="CG Times" w:cs="Arial"/>
          <w:sz w:val="26"/>
          <w:szCs w:val="26"/>
        </w:rPr>
        <w:t>thereby raises a constitutional matter.</w:t>
      </w:r>
      <w:r w:rsidR="003B0779" w:rsidRPr="00BB3F52">
        <w:rPr>
          <w:rStyle w:val="FootnoteReference"/>
          <w:bCs/>
          <w:sz w:val="26"/>
          <w:szCs w:val="26"/>
        </w:rPr>
        <w:footnoteReference w:id="14"/>
      </w:r>
      <w:r w:rsidR="0064401B">
        <w:rPr>
          <w:rFonts w:ascii="CG Times" w:hAnsi="CG Times" w:cs="Arial"/>
          <w:sz w:val="26"/>
          <w:szCs w:val="26"/>
        </w:rPr>
        <w:t xml:space="preserve"> </w:t>
      </w:r>
      <w:r w:rsidR="00925F22">
        <w:rPr>
          <w:rFonts w:ascii="CG Times" w:hAnsi="CG Times" w:cs="Arial"/>
          <w:sz w:val="26"/>
          <w:szCs w:val="26"/>
        </w:rPr>
        <w:t xml:space="preserve">This is so even if the </w:t>
      </w:r>
      <w:r w:rsidR="00FC147E">
        <w:rPr>
          <w:rFonts w:ascii="CG Times" w:hAnsi="CG Times" w:cs="Arial"/>
          <w:sz w:val="26"/>
          <w:szCs w:val="26"/>
        </w:rPr>
        <w:t>legislative provisions in issue are not the subject of constitutional attack.</w:t>
      </w:r>
      <w:r w:rsidR="00011B87" w:rsidRPr="00BB3F52">
        <w:rPr>
          <w:rStyle w:val="FootnoteReference"/>
          <w:bCs/>
          <w:sz w:val="26"/>
          <w:szCs w:val="26"/>
        </w:rPr>
        <w:footnoteReference w:id="15"/>
      </w:r>
      <w:r w:rsidR="00E573F7">
        <w:rPr>
          <w:rFonts w:ascii="CG Times" w:hAnsi="CG Times" w:cs="Arial"/>
          <w:sz w:val="26"/>
          <w:szCs w:val="26"/>
        </w:rPr>
        <w:t xml:space="preserve"> The high court cannot be the final arbiter on constitutional issues.</w:t>
      </w:r>
    </w:p>
    <w:p w14:paraId="5EBEC105" w14:textId="77777777" w:rsidR="00B42E78" w:rsidRDefault="00B42E78" w:rsidP="008E1384">
      <w:pPr>
        <w:spacing w:line="360" w:lineRule="auto"/>
        <w:jc w:val="both"/>
        <w:rPr>
          <w:rFonts w:ascii="CG Times" w:hAnsi="CG Times" w:cs="Times"/>
          <w:sz w:val="26"/>
          <w:szCs w:val="26"/>
          <w:lang w:eastAsia="en-ZA"/>
        </w:rPr>
      </w:pPr>
    </w:p>
    <w:p w14:paraId="00782F7B" w14:textId="47CAAD60" w:rsidR="008D784A" w:rsidRDefault="00B42E78" w:rsidP="008E1384">
      <w:pPr>
        <w:spacing w:line="360" w:lineRule="auto"/>
        <w:jc w:val="both"/>
        <w:rPr>
          <w:rFonts w:ascii="CG Times" w:hAnsi="CG Times" w:cs="Times"/>
          <w:sz w:val="26"/>
          <w:szCs w:val="26"/>
          <w:lang w:eastAsia="en-ZA"/>
        </w:rPr>
      </w:pPr>
      <w:r>
        <w:rPr>
          <w:rFonts w:ascii="CG Times" w:hAnsi="CG Times" w:cs="Times"/>
          <w:sz w:val="26"/>
          <w:szCs w:val="26"/>
          <w:lang w:eastAsia="en-ZA"/>
        </w:rPr>
        <w:t>[</w:t>
      </w:r>
      <w:r w:rsidR="00F40B0C">
        <w:rPr>
          <w:rFonts w:ascii="CG Times" w:hAnsi="CG Times" w:cs="Times"/>
          <w:sz w:val="26"/>
          <w:szCs w:val="26"/>
          <w:lang w:eastAsia="en-ZA"/>
        </w:rPr>
        <w:t>6</w:t>
      </w:r>
      <w:r>
        <w:rPr>
          <w:rFonts w:ascii="CG Times" w:hAnsi="CG Times" w:cs="Times"/>
          <w:sz w:val="26"/>
          <w:szCs w:val="26"/>
          <w:lang w:eastAsia="en-ZA"/>
        </w:rPr>
        <w:t>]</w:t>
      </w:r>
      <w:r>
        <w:rPr>
          <w:rFonts w:ascii="CG Times" w:hAnsi="CG Times" w:cs="Times"/>
          <w:sz w:val="26"/>
          <w:szCs w:val="26"/>
          <w:lang w:eastAsia="en-ZA"/>
        </w:rPr>
        <w:tab/>
      </w:r>
      <w:r w:rsidR="00F40B0C">
        <w:rPr>
          <w:rFonts w:ascii="CG Times" w:hAnsi="CG Times" w:cs="Times"/>
          <w:sz w:val="26"/>
          <w:szCs w:val="26"/>
          <w:lang w:eastAsia="en-ZA"/>
        </w:rPr>
        <w:t>But this does not assist the applicant</w:t>
      </w:r>
      <w:r w:rsidR="007A5366">
        <w:rPr>
          <w:rFonts w:ascii="CG Times" w:hAnsi="CG Times" w:cs="Times"/>
          <w:sz w:val="26"/>
          <w:szCs w:val="26"/>
          <w:lang w:eastAsia="en-ZA"/>
        </w:rPr>
        <w:t>s</w:t>
      </w:r>
      <w:r w:rsidR="00C90C51">
        <w:rPr>
          <w:rFonts w:ascii="CG Times" w:hAnsi="CG Times" w:cs="Times"/>
          <w:sz w:val="26"/>
          <w:szCs w:val="26"/>
          <w:lang w:eastAsia="en-ZA"/>
        </w:rPr>
        <w:t>,</w:t>
      </w:r>
      <w:r w:rsidR="00F40B0C">
        <w:rPr>
          <w:rFonts w:ascii="CG Times" w:hAnsi="CG Times" w:cs="Times"/>
          <w:sz w:val="26"/>
          <w:szCs w:val="26"/>
          <w:lang w:eastAsia="en-ZA"/>
        </w:rPr>
        <w:t xml:space="preserve"> </w:t>
      </w:r>
      <w:r w:rsidR="00B30FE7">
        <w:rPr>
          <w:rFonts w:ascii="CG Times" w:hAnsi="CG Times" w:cs="Times"/>
          <w:sz w:val="26"/>
          <w:szCs w:val="26"/>
          <w:lang w:eastAsia="en-ZA"/>
        </w:rPr>
        <w:t xml:space="preserve">and there are at least two reasons for that </w:t>
      </w:r>
      <w:r w:rsidR="00C90C51">
        <w:rPr>
          <w:rFonts w:ascii="CG Times" w:hAnsi="CG Times" w:cs="Times"/>
          <w:sz w:val="26"/>
          <w:szCs w:val="26"/>
          <w:lang w:eastAsia="en-ZA"/>
        </w:rPr>
        <w:t xml:space="preserve">conclusion. First, </w:t>
      </w:r>
      <w:r w:rsidR="004A68DC">
        <w:rPr>
          <w:rFonts w:ascii="CG Times" w:hAnsi="CG Times" w:cs="Times"/>
          <w:sz w:val="26"/>
          <w:szCs w:val="26"/>
          <w:lang w:eastAsia="en-ZA"/>
        </w:rPr>
        <w:t>no constitutional issue arises in this case. None was pleaded</w:t>
      </w:r>
      <w:r w:rsidR="00B6621C">
        <w:rPr>
          <w:rFonts w:ascii="CG Times" w:hAnsi="CG Times" w:cs="Times"/>
          <w:sz w:val="26"/>
          <w:szCs w:val="26"/>
          <w:lang w:eastAsia="en-ZA"/>
        </w:rPr>
        <w:t xml:space="preserve"> by the applicants</w:t>
      </w:r>
      <w:r w:rsidR="004A68DC">
        <w:rPr>
          <w:rFonts w:ascii="CG Times" w:hAnsi="CG Times" w:cs="Times"/>
          <w:sz w:val="26"/>
          <w:szCs w:val="26"/>
          <w:lang w:eastAsia="en-ZA"/>
        </w:rPr>
        <w:t>.</w:t>
      </w:r>
      <w:r w:rsidR="00CD757B">
        <w:rPr>
          <w:rStyle w:val="FootnoteReference"/>
          <w:rFonts w:ascii="CG Times" w:hAnsi="CG Times" w:cs="Times"/>
          <w:sz w:val="26"/>
          <w:szCs w:val="26"/>
          <w:lang w:eastAsia="en-ZA"/>
        </w:rPr>
        <w:footnoteReference w:id="16"/>
      </w:r>
      <w:r w:rsidR="004A68DC">
        <w:rPr>
          <w:rFonts w:ascii="CG Times" w:hAnsi="CG Times" w:cs="Times"/>
          <w:sz w:val="26"/>
          <w:szCs w:val="26"/>
          <w:lang w:eastAsia="en-ZA"/>
        </w:rPr>
        <w:t xml:space="preserve"> </w:t>
      </w:r>
      <w:r w:rsidR="00B31C21">
        <w:rPr>
          <w:rFonts w:ascii="CG Times" w:hAnsi="CG Times" w:cs="Times"/>
          <w:sz w:val="26"/>
          <w:szCs w:val="26"/>
          <w:lang w:eastAsia="en-ZA"/>
        </w:rPr>
        <w:t xml:space="preserve">The constitutional validity of the Act and regulations was not in issue. </w:t>
      </w:r>
      <w:r w:rsidR="001E3790">
        <w:rPr>
          <w:rFonts w:ascii="CG Times" w:hAnsi="CG Times" w:cs="Times"/>
          <w:sz w:val="26"/>
          <w:szCs w:val="26"/>
          <w:lang w:eastAsia="en-ZA"/>
        </w:rPr>
        <w:t xml:space="preserve">Second, in any event, </w:t>
      </w:r>
      <w:r w:rsidR="00E178A1">
        <w:rPr>
          <w:rFonts w:ascii="CG Times" w:hAnsi="CG Times" w:cs="Times"/>
          <w:sz w:val="26"/>
          <w:szCs w:val="26"/>
          <w:lang w:eastAsia="en-ZA"/>
        </w:rPr>
        <w:t xml:space="preserve">the appellate </w:t>
      </w:r>
      <w:r w:rsidR="004B6F7E">
        <w:rPr>
          <w:rFonts w:ascii="CG Times" w:hAnsi="CG Times" w:cs="Times"/>
          <w:sz w:val="26"/>
          <w:szCs w:val="26"/>
          <w:lang w:eastAsia="en-ZA"/>
        </w:rPr>
        <w:t xml:space="preserve">jurisdiction of the appeal court where the interpretation of a legislative provision is in issue </w:t>
      </w:r>
      <w:r w:rsidR="00B30272">
        <w:rPr>
          <w:rFonts w:ascii="CG Times" w:hAnsi="CG Times" w:cs="Times"/>
          <w:sz w:val="26"/>
          <w:szCs w:val="26"/>
          <w:lang w:eastAsia="en-ZA"/>
        </w:rPr>
        <w:t xml:space="preserve">is triggered where </w:t>
      </w:r>
      <w:r w:rsidR="00B7085B">
        <w:rPr>
          <w:rFonts w:ascii="CG Times" w:hAnsi="CG Times" w:cs="Times"/>
          <w:sz w:val="26"/>
          <w:szCs w:val="26"/>
          <w:lang w:eastAsia="en-ZA"/>
        </w:rPr>
        <w:t xml:space="preserve">the legislation in question is specifically mandated by the Constitution. </w:t>
      </w:r>
      <w:r w:rsidR="00600793">
        <w:rPr>
          <w:rFonts w:ascii="CG Times" w:hAnsi="CG Times" w:cs="Times"/>
          <w:sz w:val="26"/>
          <w:szCs w:val="26"/>
          <w:lang w:eastAsia="en-ZA"/>
        </w:rPr>
        <w:t>Examples include the Labour Relations Act</w:t>
      </w:r>
      <w:r w:rsidR="001A22FB">
        <w:rPr>
          <w:rStyle w:val="FootnoteReference"/>
          <w:rFonts w:ascii="CG Times" w:hAnsi="CG Times" w:cs="Times"/>
          <w:sz w:val="26"/>
          <w:szCs w:val="26"/>
          <w:lang w:eastAsia="en-ZA"/>
        </w:rPr>
        <w:footnoteReference w:id="17"/>
      </w:r>
      <w:r w:rsidR="00600793">
        <w:rPr>
          <w:rFonts w:ascii="CG Times" w:hAnsi="CG Times" w:cs="Times"/>
          <w:sz w:val="26"/>
          <w:szCs w:val="26"/>
          <w:lang w:eastAsia="en-ZA"/>
        </w:rPr>
        <w:t xml:space="preserve"> (specifically mandated by s</w:t>
      </w:r>
      <w:r w:rsidR="00875544">
        <w:rPr>
          <w:rFonts w:ascii="CG Times" w:hAnsi="CG Times" w:cs="Times"/>
          <w:sz w:val="26"/>
          <w:szCs w:val="26"/>
          <w:lang w:eastAsia="en-ZA"/>
        </w:rPr>
        <w:t xml:space="preserve">ection 23 of the Constitution); the </w:t>
      </w:r>
      <w:r w:rsidR="004E1D94">
        <w:rPr>
          <w:rFonts w:ascii="CG Times" w:hAnsi="CG Times" w:cs="Times"/>
          <w:sz w:val="26"/>
          <w:szCs w:val="26"/>
          <w:lang w:eastAsia="en-ZA"/>
        </w:rPr>
        <w:t>Equality Act</w:t>
      </w:r>
      <w:r w:rsidR="003A28A5">
        <w:rPr>
          <w:rStyle w:val="FootnoteReference"/>
          <w:rFonts w:ascii="CG Times" w:hAnsi="CG Times" w:cs="Times"/>
          <w:sz w:val="26"/>
          <w:szCs w:val="26"/>
          <w:lang w:eastAsia="en-ZA"/>
        </w:rPr>
        <w:footnoteReference w:id="18"/>
      </w:r>
      <w:r w:rsidR="00E617AD">
        <w:rPr>
          <w:rFonts w:ascii="CG Times" w:hAnsi="CG Times" w:cs="Times"/>
          <w:sz w:val="26"/>
          <w:szCs w:val="26"/>
          <w:lang w:eastAsia="en-ZA"/>
        </w:rPr>
        <w:t xml:space="preserve"> (specifically mandated by section 9(2) of the Constitution); </w:t>
      </w:r>
      <w:r w:rsidR="000B1253">
        <w:rPr>
          <w:rFonts w:ascii="CG Times" w:hAnsi="CG Times" w:cs="Times"/>
          <w:sz w:val="26"/>
          <w:szCs w:val="26"/>
          <w:lang w:eastAsia="en-ZA"/>
        </w:rPr>
        <w:t xml:space="preserve">the </w:t>
      </w:r>
      <w:r w:rsidR="00F51010">
        <w:rPr>
          <w:rFonts w:ascii="CG Times" w:hAnsi="CG Times" w:cs="Times"/>
          <w:sz w:val="26"/>
          <w:szCs w:val="26"/>
          <w:lang w:eastAsia="en-ZA"/>
        </w:rPr>
        <w:t xml:space="preserve">Promotion of </w:t>
      </w:r>
      <w:r w:rsidR="00554724">
        <w:rPr>
          <w:rFonts w:ascii="CG Times" w:hAnsi="CG Times" w:cs="Times"/>
          <w:sz w:val="26"/>
          <w:szCs w:val="26"/>
          <w:lang w:eastAsia="en-ZA"/>
        </w:rPr>
        <w:t>Administrative Justice Act</w:t>
      </w:r>
      <w:r w:rsidR="00554724">
        <w:rPr>
          <w:rStyle w:val="FootnoteReference"/>
          <w:rFonts w:ascii="CG Times" w:hAnsi="CG Times" w:cs="Times"/>
          <w:sz w:val="26"/>
          <w:szCs w:val="26"/>
          <w:lang w:eastAsia="en-ZA"/>
        </w:rPr>
        <w:footnoteReference w:id="19"/>
      </w:r>
      <w:r w:rsidR="00554724">
        <w:rPr>
          <w:rFonts w:ascii="CG Times" w:hAnsi="CG Times" w:cs="Times"/>
          <w:sz w:val="26"/>
          <w:szCs w:val="26"/>
          <w:lang w:eastAsia="en-ZA"/>
        </w:rPr>
        <w:t xml:space="preserve"> (specifically mandated by section 33 of the Constitution); the </w:t>
      </w:r>
      <w:r w:rsidR="00F33EB6">
        <w:rPr>
          <w:rFonts w:ascii="CG Times" w:hAnsi="CG Times" w:cs="Times"/>
          <w:sz w:val="26"/>
          <w:szCs w:val="26"/>
          <w:lang w:eastAsia="en-ZA"/>
        </w:rPr>
        <w:t>Promotion of Access to Information Act</w:t>
      </w:r>
      <w:r w:rsidR="00511690">
        <w:rPr>
          <w:rStyle w:val="FootnoteReference"/>
          <w:rFonts w:ascii="CG Times" w:hAnsi="CG Times" w:cs="Times"/>
          <w:sz w:val="26"/>
          <w:szCs w:val="26"/>
          <w:lang w:eastAsia="en-ZA"/>
        </w:rPr>
        <w:footnoteReference w:id="20"/>
      </w:r>
      <w:r w:rsidR="00F33EB6">
        <w:rPr>
          <w:rFonts w:ascii="CG Times" w:hAnsi="CG Times" w:cs="Times"/>
          <w:sz w:val="26"/>
          <w:szCs w:val="26"/>
          <w:lang w:eastAsia="en-ZA"/>
        </w:rPr>
        <w:t xml:space="preserve"> (specifically </w:t>
      </w:r>
      <w:r w:rsidR="00511690">
        <w:rPr>
          <w:rFonts w:ascii="CG Times" w:hAnsi="CG Times" w:cs="Times"/>
          <w:sz w:val="26"/>
          <w:szCs w:val="26"/>
          <w:lang w:eastAsia="en-ZA"/>
        </w:rPr>
        <w:t xml:space="preserve">mandated by section 32 of the Constitution). </w:t>
      </w:r>
      <w:r w:rsidR="000C3CDC">
        <w:rPr>
          <w:rFonts w:ascii="CG Times" w:hAnsi="CG Times" w:cs="Times"/>
          <w:sz w:val="26"/>
          <w:szCs w:val="26"/>
          <w:lang w:eastAsia="en-ZA"/>
        </w:rPr>
        <w:t>The Heritage Act</w:t>
      </w:r>
      <w:r w:rsidR="00701999">
        <w:rPr>
          <w:rStyle w:val="FootnoteReference"/>
          <w:rFonts w:ascii="CG Times" w:hAnsi="CG Times" w:cs="Times"/>
          <w:sz w:val="26"/>
          <w:szCs w:val="26"/>
          <w:lang w:eastAsia="en-ZA"/>
        </w:rPr>
        <w:footnoteReference w:id="21"/>
      </w:r>
      <w:r w:rsidR="000C3CDC">
        <w:rPr>
          <w:rFonts w:ascii="CG Times" w:hAnsi="CG Times" w:cs="Times"/>
          <w:sz w:val="26"/>
          <w:szCs w:val="26"/>
          <w:lang w:eastAsia="en-ZA"/>
        </w:rPr>
        <w:t xml:space="preserve"> is nowhere mandated by the Constitution</w:t>
      </w:r>
      <w:r w:rsidR="003C61AE">
        <w:rPr>
          <w:rFonts w:ascii="CG Times" w:hAnsi="CG Times" w:cs="Times"/>
          <w:sz w:val="26"/>
          <w:szCs w:val="26"/>
          <w:lang w:eastAsia="en-ZA"/>
        </w:rPr>
        <w:t xml:space="preserve">. </w:t>
      </w:r>
      <w:r w:rsidR="002108C1">
        <w:rPr>
          <w:rFonts w:ascii="CG Times" w:hAnsi="CG Times" w:cs="Times"/>
          <w:sz w:val="26"/>
          <w:szCs w:val="26"/>
          <w:lang w:eastAsia="en-ZA"/>
        </w:rPr>
        <w:t>It therefore does not fall among the category of pieces of legislation the interpretation of which</w:t>
      </w:r>
      <w:r w:rsidR="00ED5641">
        <w:rPr>
          <w:rFonts w:ascii="CG Times" w:hAnsi="CG Times" w:cs="Times"/>
          <w:sz w:val="26"/>
          <w:szCs w:val="26"/>
          <w:lang w:eastAsia="en-ZA"/>
        </w:rPr>
        <w:t>, absent a constitutional challenge,</w:t>
      </w:r>
      <w:r w:rsidR="002108C1">
        <w:rPr>
          <w:rFonts w:ascii="CG Times" w:hAnsi="CG Times" w:cs="Times"/>
          <w:sz w:val="26"/>
          <w:szCs w:val="26"/>
          <w:lang w:eastAsia="en-ZA"/>
        </w:rPr>
        <w:t xml:space="preserve"> </w:t>
      </w:r>
      <w:r w:rsidR="00ED5641">
        <w:rPr>
          <w:rFonts w:ascii="CG Times" w:hAnsi="CG Times" w:cs="Times"/>
          <w:sz w:val="26"/>
          <w:szCs w:val="26"/>
          <w:lang w:eastAsia="en-ZA"/>
        </w:rPr>
        <w:t xml:space="preserve">triggers </w:t>
      </w:r>
      <w:r w:rsidR="008D784A">
        <w:rPr>
          <w:rFonts w:ascii="CG Times" w:hAnsi="CG Times" w:cs="Times"/>
          <w:sz w:val="26"/>
          <w:szCs w:val="26"/>
          <w:lang w:eastAsia="en-ZA"/>
        </w:rPr>
        <w:t xml:space="preserve">a constitutional matter. </w:t>
      </w:r>
    </w:p>
    <w:p w14:paraId="3D9E01A8" w14:textId="77777777" w:rsidR="008D784A" w:rsidRDefault="008D784A" w:rsidP="008E1384">
      <w:pPr>
        <w:spacing w:line="360" w:lineRule="auto"/>
        <w:jc w:val="both"/>
        <w:rPr>
          <w:rFonts w:ascii="CG Times" w:hAnsi="CG Times" w:cs="Times"/>
          <w:sz w:val="26"/>
          <w:szCs w:val="26"/>
          <w:lang w:eastAsia="en-ZA"/>
        </w:rPr>
      </w:pPr>
    </w:p>
    <w:p w14:paraId="05C81016" w14:textId="62FE4673" w:rsidR="00CB15B6" w:rsidRDefault="006272EE" w:rsidP="008E1384">
      <w:pPr>
        <w:spacing w:line="360" w:lineRule="auto"/>
        <w:jc w:val="both"/>
        <w:rPr>
          <w:rFonts w:ascii="CG Times" w:hAnsi="CG Times" w:cs="Times"/>
          <w:sz w:val="26"/>
          <w:szCs w:val="26"/>
          <w:lang w:eastAsia="en-ZA"/>
        </w:rPr>
      </w:pPr>
      <w:r>
        <w:rPr>
          <w:rFonts w:ascii="CG Times" w:hAnsi="CG Times" w:cs="Times"/>
          <w:sz w:val="26"/>
          <w:szCs w:val="26"/>
          <w:lang w:eastAsia="en-ZA"/>
        </w:rPr>
        <w:t>[7]</w:t>
      </w:r>
      <w:r>
        <w:rPr>
          <w:rFonts w:ascii="CG Times" w:hAnsi="CG Times" w:cs="Times"/>
          <w:sz w:val="26"/>
          <w:szCs w:val="26"/>
          <w:lang w:eastAsia="en-ZA"/>
        </w:rPr>
        <w:tab/>
      </w:r>
      <w:r w:rsidR="00262C88">
        <w:rPr>
          <w:rFonts w:ascii="CG Times" w:hAnsi="CG Times" w:cs="Times"/>
          <w:sz w:val="26"/>
          <w:szCs w:val="26"/>
          <w:lang w:eastAsia="en-ZA"/>
        </w:rPr>
        <w:t>While the</w:t>
      </w:r>
      <w:r w:rsidR="001C1A11">
        <w:rPr>
          <w:rFonts w:ascii="CG Times" w:hAnsi="CG Times" w:cs="Times"/>
          <w:sz w:val="26"/>
          <w:szCs w:val="26"/>
          <w:lang w:eastAsia="en-ZA"/>
        </w:rPr>
        <w:t xml:space="preserve">re is no denying </w:t>
      </w:r>
      <w:r w:rsidR="001C1A11" w:rsidRPr="00DC56E9">
        <w:rPr>
          <w:rFonts w:ascii="CG Times" w:hAnsi="CG Times" w:cs="Times"/>
          <w:sz w:val="26"/>
          <w:szCs w:val="26"/>
          <w:lang w:eastAsia="en-ZA"/>
        </w:rPr>
        <w:t>that the</w:t>
      </w:r>
      <w:r w:rsidR="00262C88" w:rsidRPr="00DC56E9">
        <w:rPr>
          <w:rFonts w:ascii="CG Times" w:hAnsi="CG Times" w:cs="Times"/>
          <w:sz w:val="26"/>
          <w:szCs w:val="26"/>
          <w:lang w:eastAsia="en-ZA"/>
        </w:rPr>
        <w:t xml:space="preserve"> </w:t>
      </w:r>
      <w:r w:rsidR="001C1A11" w:rsidRPr="00DC56E9">
        <w:rPr>
          <w:rFonts w:ascii="CG Times" w:hAnsi="CG Times" w:cs="Times"/>
          <w:sz w:val="26"/>
          <w:szCs w:val="26"/>
          <w:lang w:eastAsia="en-ZA"/>
        </w:rPr>
        <w:t xml:space="preserve">case raises important issues about </w:t>
      </w:r>
      <w:r w:rsidR="00FC2F2B" w:rsidRPr="00DC56E9">
        <w:rPr>
          <w:rFonts w:ascii="CG Times" w:hAnsi="CG Times" w:cs="Times"/>
          <w:sz w:val="26"/>
          <w:szCs w:val="26"/>
          <w:lang w:eastAsia="en-ZA"/>
        </w:rPr>
        <w:t xml:space="preserve">national </w:t>
      </w:r>
      <w:r w:rsidR="001C1A11" w:rsidRPr="00DC56E9">
        <w:rPr>
          <w:rFonts w:ascii="CG Times" w:hAnsi="CG Times" w:cs="Times"/>
          <w:sz w:val="26"/>
          <w:szCs w:val="26"/>
          <w:lang w:eastAsia="en-ZA"/>
        </w:rPr>
        <w:t>heritage</w:t>
      </w:r>
      <w:r w:rsidR="00FC2F2B" w:rsidRPr="00DC56E9">
        <w:rPr>
          <w:rFonts w:ascii="CG Times" w:hAnsi="CG Times" w:cs="Times"/>
          <w:sz w:val="26"/>
          <w:szCs w:val="26"/>
          <w:lang w:eastAsia="en-ZA"/>
        </w:rPr>
        <w:t>, as the main judgment itself expressly recognises</w:t>
      </w:r>
      <w:r w:rsidR="00FC2F2B">
        <w:rPr>
          <w:rFonts w:ascii="CG Times" w:hAnsi="CG Times" w:cs="Times"/>
          <w:sz w:val="26"/>
          <w:szCs w:val="26"/>
          <w:lang w:eastAsia="en-ZA"/>
        </w:rPr>
        <w:t xml:space="preserve">, sight must not be lost that those issues are </w:t>
      </w:r>
      <w:r w:rsidR="00BA4259">
        <w:rPr>
          <w:rFonts w:ascii="CG Times" w:hAnsi="CG Times" w:cs="Times"/>
          <w:sz w:val="26"/>
          <w:szCs w:val="26"/>
          <w:lang w:eastAsia="en-ZA"/>
        </w:rPr>
        <w:t xml:space="preserve">defined by and </w:t>
      </w:r>
      <w:r w:rsidR="00FC2F2B">
        <w:rPr>
          <w:rFonts w:ascii="CG Times" w:hAnsi="CG Times" w:cs="Times"/>
          <w:sz w:val="26"/>
          <w:szCs w:val="26"/>
          <w:lang w:eastAsia="en-ZA"/>
        </w:rPr>
        <w:t>anchored in the pleadings</w:t>
      </w:r>
      <w:r w:rsidR="0098564A">
        <w:rPr>
          <w:rFonts w:ascii="CG Times" w:hAnsi="CG Times" w:cs="Times"/>
          <w:sz w:val="26"/>
          <w:szCs w:val="26"/>
          <w:lang w:eastAsia="en-ZA"/>
        </w:rPr>
        <w:t xml:space="preserve"> in this case.</w:t>
      </w:r>
      <w:r w:rsidR="001C1A11">
        <w:rPr>
          <w:rFonts w:ascii="CG Times" w:hAnsi="CG Times" w:cs="Times"/>
          <w:sz w:val="26"/>
          <w:szCs w:val="26"/>
          <w:lang w:eastAsia="en-ZA"/>
        </w:rPr>
        <w:t xml:space="preserve"> </w:t>
      </w:r>
      <w:r w:rsidR="00277081">
        <w:rPr>
          <w:rFonts w:ascii="CG Times" w:hAnsi="CG Times" w:cs="Times"/>
          <w:sz w:val="26"/>
          <w:szCs w:val="26"/>
          <w:lang w:eastAsia="en-ZA"/>
        </w:rPr>
        <w:t>As I have already indicated, t</w:t>
      </w:r>
      <w:r w:rsidR="00E87E61">
        <w:rPr>
          <w:rFonts w:ascii="CG Times" w:hAnsi="CG Times" w:cs="Times"/>
          <w:sz w:val="26"/>
          <w:szCs w:val="26"/>
          <w:lang w:eastAsia="en-ZA"/>
        </w:rPr>
        <w:t xml:space="preserve">he mere fact that a case concerns an important matter of national importance </w:t>
      </w:r>
      <w:r w:rsidR="009740C6">
        <w:rPr>
          <w:rFonts w:ascii="CG Times" w:hAnsi="CG Times" w:cs="Times"/>
          <w:sz w:val="26"/>
          <w:szCs w:val="26"/>
          <w:lang w:eastAsia="en-ZA"/>
        </w:rPr>
        <w:t xml:space="preserve">cannot, without more, and by dint only of that fact, </w:t>
      </w:r>
      <w:r w:rsidR="007C3C68">
        <w:rPr>
          <w:rFonts w:ascii="CG Times" w:hAnsi="CG Times" w:cs="Times"/>
          <w:sz w:val="26"/>
          <w:szCs w:val="26"/>
          <w:lang w:eastAsia="en-ZA"/>
        </w:rPr>
        <w:t>entitle a losing party to an appeal.</w:t>
      </w:r>
      <w:r w:rsidR="00CE0199">
        <w:rPr>
          <w:rStyle w:val="FootnoteReference"/>
          <w:rFonts w:ascii="CG Times" w:hAnsi="CG Times" w:cs="Arial"/>
          <w:sz w:val="26"/>
          <w:szCs w:val="26"/>
        </w:rPr>
        <w:footnoteReference w:id="22"/>
      </w:r>
      <w:r w:rsidR="00F854A8">
        <w:rPr>
          <w:rFonts w:ascii="CG Times" w:hAnsi="CG Times" w:cs="Times"/>
          <w:sz w:val="26"/>
          <w:szCs w:val="26"/>
          <w:lang w:eastAsia="en-ZA"/>
        </w:rPr>
        <w:t xml:space="preserve"> That would </w:t>
      </w:r>
      <w:r w:rsidR="00447A81">
        <w:rPr>
          <w:rFonts w:ascii="CG Times" w:hAnsi="CG Times" w:cs="Times"/>
          <w:sz w:val="26"/>
          <w:szCs w:val="26"/>
          <w:lang w:eastAsia="en-ZA"/>
        </w:rPr>
        <w:t xml:space="preserve">open the </w:t>
      </w:r>
      <w:r w:rsidR="002979D2">
        <w:rPr>
          <w:rFonts w:ascii="CG Times" w:hAnsi="CG Times" w:cs="Times"/>
          <w:sz w:val="26"/>
          <w:szCs w:val="26"/>
          <w:lang w:eastAsia="en-ZA"/>
        </w:rPr>
        <w:t xml:space="preserve">floodgates for </w:t>
      </w:r>
      <w:r w:rsidR="00447A81">
        <w:rPr>
          <w:rFonts w:ascii="CG Times" w:hAnsi="CG Times" w:cs="Times"/>
          <w:sz w:val="26"/>
          <w:szCs w:val="26"/>
          <w:lang w:eastAsia="en-ZA"/>
        </w:rPr>
        <w:t xml:space="preserve">needless </w:t>
      </w:r>
      <w:r w:rsidR="002979D2">
        <w:rPr>
          <w:rFonts w:ascii="CG Times" w:hAnsi="CG Times" w:cs="Times"/>
          <w:sz w:val="26"/>
          <w:szCs w:val="26"/>
          <w:lang w:eastAsia="en-ZA"/>
        </w:rPr>
        <w:t xml:space="preserve">and unmeritorious </w:t>
      </w:r>
      <w:r w:rsidR="00447A81">
        <w:rPr>
          <w:rFonts w:ascii="CG Times" w:hAnsi="CG Times" w:cs="Times"/>
          <w:sz w:val="26"/>
          <w:szCs w:val="26"/>
          <w:lang w:eastAsia="en-ZA"/>
        </w:rPr>
        <w:t>appeals</w:t>
      </w:r>
      <w:r w:rsidR="002979D2">
        <w:rPr>
          <w:rFonts w:ascii="CG Times" w:hAnsi="CG Times" w:cs="Times"/>
          <w:sz w:val="26"/>
          <w:szCs w:val="26"/>
          <w:lang w:eastAsia="en-ZA"/>
        </w:rPr>
        <w:t xml:space="preserve">. </w:t>
      </w:r>
      <w:r w:rsidR="009B4ED9">
        <w:rPr>
          <w:rFonts w:ascii="CG Times" w:hAnsi="CG Times" w:cs="Times"/>
          <w:sz w:val="26"/>
          <w:szCs w:val="26"/>
          <w:lang w:eastAsia="en-ZA"/>
        </w:rPr>
        <w:t xml:space="preserve">There </w:t>
      </w:r>
      <w:r w:rsidR="00B12BCD">
        <w:rPr>
          <w:rFonts w:ascii="CG Times" w:hAnsi="CG Times" w:cs="Times"/>
          <w:sz w:val="26"/>
          <w:szCs w:val="26"/>
          <w:lang w:eastAsia="en-ZA"/>
        </w:rPr>
        <w:t>can in my view be no compelling reason for an appeal to be heard</w:t>
      </w:r>
      <w:r w:rsidR="00BE7DF6">
        <w:rPr>
          <w:rFonts w:ascii="CG Times" w:hAnsi="CG Times" w:cs="Times"/>
          <w:sz w:val="26"/>
          <w:szCs w:val="26"/>
          <w:lang w:eastAsia="en-ZA"/>
        </w:rPr>
        <w:t xml:space="preserve">, even where the issues </w:t>
      </w:r>
      <w:r w:rsidR="005F0BAE">
        <w:rPr>
          <w:rFonts w:ascii="CG Times" w:hAnsi="CG Times" w:cs="Times"/>
          <w:sz w:val="26"/>
          <w:szCs w:val="26"/>
          <w:lang w:eastAsia="en-ZA"/>
        </w:rPr>
        <w:t>that arise in the case</w:t>
      </w:r>
      <w:r w:rsidR="00BE7DF6">
        <w:rPr>
          <w:rFonts w:ascii="CG Times" w:hAnsi="CG Times" w:cs="Times"/>
          <w:sz w:val="26"/>
          <w:szCs w:val="26"/>
          <w:lang w:eastAsia="en-ZA"/>
        </w:rPr>
        <w:t xml:space="preserve"> are </w:t>
      </w:r>
      <w:r w:rsidR="005F0BAE">
        <w:rPr>
          <w:rFonts w:ascii="CG Times" w:hAnsi="CG Times" w:cs="Times"/>
          <w:sz w:val="26"/>
          <w:szCs w:val="26"/>
          <w:lang w:eastAsia="en-ZA"/>
        </w:rPr>
        <w:t xml:space="preserve">of national importance, </w:t>
      </w:r>
      <w:r w:rsidR="000C3AC2">
        <w:rPr>
          <w:rFonts w:ascii="CG Times" w:hAnsi="CG Times" w:cs="Times"/>
          <w:sz w:val="26"/>
          <w:szCs w:val="26"/>
          <w:lang w:eastAsia="en-ZA"/>
        </w:rPr>
        <w:t>but the pleadings fail to define them</w:t>
      </w:r>
      <w:r w:rsidR="00980898">
        <w:rPr>
          <w:rFonts w:ascii="CG Times" w:hAnsi="CG Times" w:cs="Times"/>
          <w:sz w:val="26"/>
          <w:szCs w:val="26"/>
          <w:lang w:eastAsia="en-ZA"/>
        </w:rPr>
        <w:t>.</w:t>
      </w:r>
      <w:r w:rsidR="00B777D5">
        <w:rPr>
          <w:rFonts w:ascii="CG Times" w:hAnsi="CG Times" w:cs="Times"/>
          <w:sz w:val="26"/>
          <w:szCs w:val="26"/>
          <w:lang w:eastAsia="en-ZA"/>
        </w:rPr>
        <w:t xml:space="preserve"> It is the pleadings </w:t>
      </w:r>
      <w:r w:rsidR="000D4DC1" w:rsidRPr="000D4DC1">
        <w:rPr>
          <w:rFonts w:ascii="CG Times" w:hAnsi="CG Times" w:cs="Times"/>
          <w:i/>
          <w:iCs/>
          <w:sz w:val="26"/>
          <w:szCs w:val="26"/>
          <w:lang w:eastAsia="en-ZA"/>
        </w:rPr>
        <w:t>a quo</w:t>
      </w:r>
      <w:r w:rsidR="000D4DC1">
        <w:rPr>
          <w:rFonts w:ascii="CG Times" w:hAnsi="CG Times" w:cs="Times"/>
          <w:sz w:val="26"/>
          <w:szCs w:val="26"/>
          <w:lang w:eastAsia="en-ZA"/>
        </w:rPr>
        <w:t xml:space="preserve"> </w:t>
      </w:r>
      <w:r w:rsidR="00B777D5">
        <w:rPr>
          <w:rFonts w:ascii="CG Times" w:hAnsi="CG Times" w:cs="Times"/>
          <w:sz w:val="26"/>
          <w:szCs w:val="26"/>
          <w:lang w:eastAsia="en-ZA"/>
        </w:rPr>
        <w:t>that define the issues</w:t>
      </w:r>
      <w:r w:rsidR="00B12BCD">
        <w:rPr>
          <w:rFonts w:ascii="CG Times" w:hAnsi="CG Times" w:cs="Times"/>
          <w:sz w:val="26"/>
          <w:szCs w:val="26"/>
          <w:lang w:eastAsia="en-ZA"/>
        </w:rPr>
        <w:t xml:space="preserve"> </w:t>
      </w:r>
      <w:r w:rsidR="006A646B">
        <w:rPr>
          <w:rFonts w:ascii="CG Times" w:hAnsi="CG Times" w:cs="Times"/>
          <w:sz w:val="26"/>
          <w:szCs w:val="26"/>
          <w:lang w:eastAsia="en-ZA"/>
        </w:rPr>
        <w:t>to be decided on appeal</w:t>
      </w:r>
      <w:r w:rsidR="00726C6A">
        <w:rPr>
          <w:rFonts w:ascii="CG Times" w:hAnsi="CG Times" w:cs="Times"/>
          <w:sz w:val="26"/>
          <w:szCs w:val="26"/>
          <w:lang w:eastAsia="en-ZA"/>
        </w:rPr>
        <w:t>;</w:t>
      </w:r>
      <w:r w:rsidR="006A646B">
        <w:rPr>
          <w:rFonts w:ascii="CG Times" w:hAnsi="CG Times" w:cs="Times"/>
          <w:sz w:val="26"/>
          <w:szCs w:val="26"/>
          <w:lang w:eastAsia="en-ZA"/>
        </w:rPr>
        <w:t xml:space="preserve"> </w:t>
      </w:r>
      <w:r w:rsidR="00726C6A">
        <w:rPr>
          <w:rFonts w:ascii="CG Times" w:hAnsi="CG Times" w:cs="Times"/>
          <w:sz w:val="26"/>
          <w:szCs w:val="26"/>
          <w:lang w:eastAsia="en-ZA"/>
        </w:rPr>
        <w:t xml:space="preserve">it is </w:t>
      </w:r>
      <w:r w:rsidR="006A646B">
        <w:rPr>
          <w:rFonts w:ascii="CG Times" w:hAnsi="CG Times" w:cs="Times"/>
          <w:sz w:val="26"/>
          <w:szCs w:val="26"/>
          <w:lang w:eastAsia="en-ZA"/>
        </w:rPr>
        <w:t>not the nature of the issues that determine the appealability</w:t>
      </w:r>
      <w:r w:rsidR="00371E42">
        <w:rPr>
          <w:rFonts w:ascii="CG Times" w:hAnsi="CG Times" w:cs="Times"/>
          <w:sz w:val="26"/>
          <w:szCs w:val="26"/>
          <w:lang w:eastAsia="en-ZA"/>
        </w:rPr>
        <w:t xml:space="preserve"> of the judgment or order.</w:t>
      </w:r>
      <w:r w:rsidR="00197EEE">
        <w:rPr>
          <w:rFonts w:ascii="CG Times" w:hAnsi="CG Times" w:cs="Times"/>
          <w:sz w:val="26"/>
          <w:szCs w:val="26"/>
          <w:lang w:eastAsia="en-ZA"/>
        </w:rPr>
        <w:t xml:space="preserve"> In other words, </w:t>
      </w:r>
      <w:r w:rsidR="001D2109">
        <w:rPr>
          <w:rFonts w:ascii="CG Times" w:hAnsi="CG Times" w:cs="Times"/>
          <w:sz w:val="26"/>
          <w:szCs w:val="26"/>
          <w:lang w:eastAsia="en-ZA"/>
        </w:rPr>
        <w:t>while national heritage is an important issue</w:t>
      </w:r>
      <w:r w:rsidR="002D0BF4">
        <w:rPr>
          <w:rFonts w:ascii="CG Times" w:hAnsi="CG Times" w:cs="Times"/>
          <w:sz w:val="26"/>
          <w:szCs w:val="26"/>
          <w:lang w:eastAsia="en-ZA"/>
        </w:rPr>
        <w:t xml:space="preserve"> for the country as a whole, </w:t>
      </w:r>
      <w:r w:rsidR="00BA02FD">
        <w:rPr>
          <w:rFonts w:ascii="CG Times" w:hAnsi="CG Times" w:cs="Times"/>
          <w:sz w:val="26"/>
          <w:szCs w:val="26"/>
          <w:lang w:eastAsia="en-ZA"/>
        </w:rPr>
        <w:t xml:space="preserve">the undisputed facts in </w:t>
      </w:r>
      <w:r w:rsidR="002D0BF4">
        <w:rPr>
          <w:rFonts w:ascii="CG Times" w:hAnsi="CG Times" w:cs="Times"/>
          <w:sz w:val="26"/>
          <w:szCs w:val="26"/>
          <w:lang w:eastAsia="en-ZA"/>
        </w:rPr>
        <w:t xml:space="preserve">this </w:t>
      </w:r>
      <w:r w:rsidR="00BA02FD">
        <w:rPr>
          <w:rFonts w:ascii="CG Times" w:hAnsi="CG Times" w:cs="Times"/>
          <w:sz w:val="26"/>
          <w:szCs w:val="26"/>
          <w:lang w:eastAsia="en-ZA"/>
        </w:rPr>
        <w:t xml:space="preserve">case </w:t>
      </w:r>
      <w:r w:rsidR="00216147">
        <w:rPr>
          <w:rFonts w:ascii="CG Times" w:hAnsi="CG Times" w:cs="Times"/>
          <w:sz w:val="26"/>
          <w:szCs w:val="26"/>
          <w:lang w:eastAsia="en-ZA"/>
        </w:rPr>
        <w:t>(some of which are described above</w:t>
      </w:r>
      <w:r w:rsidR="00F0201F">
        <w:rPr>
          <w:rFonts w:ascii="CG Times" w:hAnsi="CG Times" w:cs="Times"/>
          <w:sz w:val="26"/>
          <w:szCs w:val="26"/>
          <w:lang w:eastAsia="en-ZA"/>
        </w:rPr>
        <w:t xml:space="preserve">) </w:t>
      </w:r>
      <w:r w:rsidR="00BA02FD">
        <w:rPr>
          <w:rFonts w:ascii="CG Times" w:hAnsi="CG Times" w:cs="Times"/>
          <w:sz w:val="26"/>
          <w:szCs w:val="26"/>
          <w:lang w:eastAsia="en-ZA"/>
        </w:rPr>
        <w:t xml:space="preserve">render it </w:t>
      </w:r>
      <w:r w:rsidR="009A1859">
        <w:rPr>
          <w:rFonts w:ascii="CG Times" w:hAnsi="CG Times" w:cs="Times"/>
          <w:sz w:val="26"/>
          <w:szCs w:val="26"/>
          <w:lang w:eastAsia="en-ZA"/>
        </w:rPr>
        <w:t>un</w:t>
      </w:r>
      <w:r w:rsidR="00D82661">
        <w:rPr>
          <w:rFonts w:ascii="CG Times" w:hAnsi="CG Times" w:cs="Times"/>
          <w:sz w:val="26"/>
          <w:szCs w:val="26"/>
          <w:lang w:eastAsia="en-ZA"/>
        </w:rPr>
        <w:t xml:space="preserve">suitable </w:t>
      </w:r>
      <w:r w:rsidR="009A1859">
        <w:rPr>
          <w:rFonts w:ascii="CG Times" w:hAnsi="CG Times" w:cs="Times"/>
          <w:sz w:val="26"/>
          <w:szCs w:val="26"/>
          <w:lang w:eastAsia="en-ZA"/>
        </w:rPr>
        <w:t xml:space="preserve">for the determination </w:t>
      </w:r>
      <w:r w:rsidR="00216147">
        <w:rPr>
          <w:rFonts w:ascii="CG Times" w:hAnsi="CG Times" w:cs="Times"/>
          <w:sz w:val="26"/>
          <w:szCs w:val="26"/>
          <w:lang w:eastAsia="en-ZA"/>
        </w:rPr>
        <w:t>of that issue</w:t>
      </w:r>
      <w:r w:rsidR="000E702D">
        <w:rPr>
          <w:rFonts w:ascii="CG Times" w:hAnsi="CG Times" w:cs="Times"/>
          <w:sz w:val="26"/>
          <w:szCs w:val="26"/>
          <w:lang w:eastAsia="en-ZA"/>
        </w:rPr>
        <w:t xml:space="preserve"> on its legal merits</w:t>
      </w:r>
      <w:r w:rsidR="00216147">
        <w:rPr>
          <w:rFonts w:ascii="CG Times" w:hAnsi="CG Times" w:cs="Times"/>
          <w:sz w:val="26"/>
          <w:szCs w:val="26"/>
          <w:lang w:eastAsia="en-ZA"/>
        </w:rPr>
        <w:t xml:space="preserve">. </w:t>
      </w:r>
      <w:r w:rsidR="00F0201F">
        <w:rPr>
          <w:rFonts w:ascii="CG Times" w:hAnsi="CG Times" w:cs="Times"/>
          <w:sz w:val="26"/>
          <w:szCs w:val="26"/>
          <w:lang w:eastAsia="en-ZA"/>
        </w:rPr>
        <w:t xml:space="preserve">In my judgment, the SCA will simply not be able to see past the </w:t>
      </w:r>
      <w:r w:rsidR="00A04342">
        <w:rPr>
          <w:rFonts w:ascii="CG Times" w:hAnsi="CG Times" w:cs="Times"/>
          <w:sz w:val="26"/>
          <w:szCs w:val="26"/>
          <w:lang w:eastAsia="en-ZA"/>
        </w:rPr>
        <w:t>poverty of the pleaded case in the applicant</w:t>
      </w:r>
      <w:r w:rsidR="00F169CB">
        <w:rPr>
          <w:rFonts w:ascii="CG Times" w:hAnsi="CG Times" w:cs="Times"/>
          <w:sz w:val="26"/>
          <w:szCs w:val="26"/>
          <w:lang w:eastAsia="en-ZA"/>
        </w:rPr>
        <w:t>s</w:t>
      </w:r>
      <w:r w:rsidR="00A04342">
        <w:rPr>
          <w:rFonts w:ascii="CG Times" w:hAnsi="CG Times" w:cs="Times"/>
          <w:sz w:val="26"/>
          <w:szCs w:val="26"/>
          <w:lang w:eastAsia="en-ZA"/>
        </w:rPr>
        <w:t>’</w:t>
      </w:r>
      <w:r w:rsidR="00A0445E">
        <w:rPr>
          <w:rFonts w:ascii="CG Times" w:hAnsi="CG Times" w:cs="Times"/>
          <w:sz w:val="26"/>
          <w:szCs w:val="26"/>
          <w:lang w:eastAsia="en-ZA"/>
        </w:rPr>
        <w:t xml:space="preserve"> papers as </w:t>
      </w:r>
      <w:r w:rsidR="0083723C">
        <w:rPr>
          <w:rFonts w:ascii="CG Times" w:hAnsi="CG Times" w:cs="Times"/>
          <w:sz w:val="26"/>
          <w:szCs w:val="26"/>
          <w:lang w:eastAsia="en-ZA"/>
        </w:rPr>
        <w:t>i</w:t>
      </w:r>
      <w:r w:rsidR="00A0445E">
        <w:rPr>
          <w:rFonts w:ascii="CG Times" w:hAnsi="CG Times" w:cs="Times"/>
          <w:sz w:val="26"/>
          <w:szCs w:val="26"/>
          <w:lang w:eastAsia="en-ZA"/>
        </w:rPr>
        <w:t xml:space="preserve">t seeks to find its way to the </w:t>
      </w:r>
      <w:r w:rsidR="00FD3299">
        <w:rPr>
          <w:rFonts w:ascii="CG Times" w:hAnsi="CG Times" w:cs="Times"/>
          <w:sz w:val="26"/>
          <w:szCs w:val="26"/>
          <w:lang w:eastAsia="en-ZA"/>
        </w:rPr>
        <w:t xml:space="preserve">legal </w:t>
      </w:r>
      <w:r w:rsidR="00A0445E">
        <w:rPr>
          <w:rFonts w:ascii="CG Times" w:hAnsi="CG Times" w:cs="Times"/>
          <w:sz w:val="26"/>
          <w:szCs w:val="26"/>
          <w:lang w:eastAsia="en-ZA"/>
        </w:rPr>
        <w:t xml:space="preserve">merits of the </w:t>
      </w:r>
      <w:r w:rsidR="00FD3299">
        <w:rPr>
          <w:rFonts w:ascii="CG Times" w:hAnsi="CG Times" w:cs="Times"/>
          <w:sz w:val="26"/>
          <w:szCs w:val="26"/>
          <w:lang w:eastAsia="en-ZA"/>
        </w:rPr>
        <w:t>case.</w:t>
      </w:r>
      <w:r w:rsidR="00D82661">
        <w:rPr>
          <w:rFonts w:ascii="CG Times" w:hAnsi="CG Times" w:cs="Times"/>
          <w:sz w:val="26"/>
          <w:szCs w:val="26"/>
          <w:lang w:eastAsia="en-ZA"/>
        </w:rPr>
        <w:t xml:space="preserve"> </w:t>
      </w:r>
    </w:p>
    <w:p w14:paraId="72C6116E" w14:textId="1E8C41E1" w:rsidR="00BA4259" w:rsidRDefault="006A646B" w:rsidP="008E1384">
      <w:pPr>
        <w:spacing w:line="360" w:lineRule="auto"/>
        <w:jc w:val="both"/>
        <w:rPr>
          <w:rFonts w:ascii="CG Times" w:hAnsi="CG Times" w:cs="Times"/>
          <w:sz w:val="26"/>
          <w:szCs w:val="26"/>
          <w:lang w:eastAsia="en-ZA"/>
        </w:rPr>
      </w:pPr>
      <w:r>
        <w:rPr>
          <w:rFonts w:ascii="CG Times" w:hAnsi="CG Times" w:cs="Times"/>
          <w:sz w:val="26"/>
          <w:szCs w:val="26"/>
          <w:lang w:eastAsia="en-ZA"/>
        </w:rPr>
        <w:t xml:space="preserve"> </w:t>
      </w:r>
      <w:r w:rsidR="00B12BCD">
        <w:rPr>
          <w:rFonts w:ascii="CG Times" w:hAnsi="CG Times" w:cs="Times"/>
          <w:sz w:val="26"/>
          <w:szCs w:val="26"/>
          <w:lang w:eastAsia="en-ZA"/>
        </w:rPr>
        <w:t xml:space="preserve"> </w:t>
      </w:r>
      <w:r w:rsidR="009740C6">
        <w:rPr>
          <w:rFonts w:ascii="CG Times" w:hAnsi="CG Times" w:cs="Times"/>
          <w:sz w:val="26"/>
          <w:szCs w:val="26"/>
          <w:lang w:eastAsia="en-ZA"/>
        </w:rPr>
        <w:t xml:space="preserve"> </w:t>
      </w:r>
    </w:p>
    <w:p w14:paraId="2BD010A4" w14:textId="3F11013F" w:rsidR="00EE7CFA" w:rsidRDefault="00AB071B" w:rsidP="008E1384">
      <w:pPr>
        <w:spacing w:line="360" w:lineRule="auto"/>
        <w:jc w:val="both"/>
        <w:rPr>
          <w:rFonts w:ascii="CG Times" w:hAnsi="CG Times" w:cs="Times"/>
          <w:sz w:val="26"/>
          <w:szCs w:val="26"/>
          <w:lang w:eastAsia="en-ZA"/>
        </w:rPr>
      </w:pPr>
      <w:r>
        <w:rPr>
          <w:rFonts w:ascii="CG Times" w:hAnsi="CG Times" w:cs="Times"/>
          <w:sz w:val="26"/>
          <w:szCs w:val="26"/>
          <w:lang w:eastAsia="en-ZA"/>
        </w:rPr>
        <w:t>[8]</w:t>
      </w:r>
      <w:r>
        <w:rPr>
          <w:rFonts w:ascii="CG Times" w:hAnsi="CG Times" w:cs="Times"/>
          <w:sz w:val="26"/>
          <w:szCs w:val="26"/>
          <w:lang w:eastAsia="en-ZA"/>
        </w:rPr>
        <w:tab/>
      </w:r>
      <w:r w:rsidR="001551FB">
        <w:rPr>
          <w:rFonts w:ascii="CG Times" w:hAnsi="CG Times" w:cs="Times"/>
          <w:sz w:val="26"/>
          <w:szCs w:val="26"/>
          <w:lang w:eastAsia="en-ZA"/>
        </w:rPr>
        <w:t xml:space="preserve">The submission that this court ventured into law-making rather than confine itself to interpretation and application of the </w:t>
      </w:r>
      <w:r w:rsidR="00E507D7">
        <w:rPr>
          <w:rFonts w:ascii="CG Times" w:hAnsi="CG Times" w:cs="Times"/>
          <w:sz w:val="26"/>
          <w:szCs w:val="26"/>
          <w:lang w:eastAsia="en-ZA"/>
        </w:rPr>
        <w:t xml:space="preserve">relevant provisions </w:t>
      </w:r>
      <w:r w:rsidR="00E37238">
        <w:rPr>
          <w:rFonts w:ascii="CG Times" w:hAnsi="CG Times" w:cs="Times"/>
          <w:sz w:val="26"/>
          <w:szCs w:val="26"/>
          <w:lang w:eastAsia="en-ZA"/>
        </w:rPr>
        <w:t xml:space="preserve">of the Heritage Act and regulations </w:t>
      </w:r>
      <w:r w:rsidR="00E507D7">
        <w:rPr>
          <w:rFonts w:ascii="CG Times" w:hAnsi="CG Times" w:cs="Times"/>
          <w:sz w:val="26"/>
          <w:szCs w:val="26"/>
          <w:lang w:eastAsia="en-ZA"/>
        </w:rPr>
        <w:t xml:space="preserve">is </w:t>
      </w:r>
      <w:r w:rsidR="00E37238">
        <w:rPr>
          <w:rFonts w:ascii="CG Times" w:hAnsi="CG Times" w:cs="Times"/>
          <w:sz w:val="26"/>
          <w:szCs w:val="26"/>
          <w:lang w:eastAsia="en-ZA"/>
        </w:rPr>
        <w:t xml:space="preserve">not borne out </w:t>
      </w:r>
      <w:r w:rsidR="00E507D7">
        <w:rPr>
          <w:rFonts w:ascii="CG Times" w:hAnsi="CG Times" w:cs="Times"/>
          <w:sz w:val="26"/>
          <w:szCs w:val="26"/>
          <w:lang w:eastAsia="en-ZA"/>
        </w:rPr>
        <w:t>by the content of the main judgment</w:t>
      </w:r>
      <w:r w:rsidR="007C3D2B">
        <w:rPr>
          <w:rFonts w:ascii="CG Times" w:hAnsi="CG Times" w:cs="Times"/>
          <w:sz w:val="26"/>
          <w:szCs w:val="26"/>
          <w:lang w:eastAsia="en-ZA"/>
        </w:rPr>
        <w:t xml:space="preserve"> which dedicates a large portion to th</w:t>
      </w:r>
      <w:r w:rsidR="00B62927">
        <w:rPr>
          <w:rFonts w:ascii="CG Times" w:hAnsi="CG Times" w:cs="Times"/>
          <w:sz w:val="26"/>
          <w:szCs w:val="26"/>
          <w:lang w:eastAsia="en-ZA"/>
        </w:rPr>
        <w:t xml:space="preserve">e interpretative </w:t>
      </w:r>
      <w:r w:rsidR="007C3D2B">
        <w:rPr>
          <w:rFonts w:ascii="CG Times" w:hAnsi="CG Times" w:cs="Times"/>
          <w:sz w:val="26"/>
          <w:szCs w:val="26"/>
          <w:lang w:eastAsia="en-ZA"/>
        </w:rPr>
        <w:t>exercise</w:t>
      </w:r>
      <w:r w:rsidR="00E507D7">
        <w:rPr>
          <w:rFonts w:ascii="CG Times" w:hAnsi="CG Times" w:cs="Times"/>
          <w:sz w:val="26"/>
          <w:szCs w:val="26"/>
          <w:lang w:eastAsia="en-ZA"/>
        </w:rPr>
        <w:t xml:space="preserve">. </w:t>
      </w:r>
      <w:r w:rsidR="002F5BBD">
        <w:rPr>
          <w:rFonts w:ascii="CG Times" w:hAnsi="CG Times" w:cs="Times"/>
          <w:sz w:val="26"/>
          <w:szCs w:val="26"/>
          <w:lang w:eastAsia="en-ZA"/>
        </w:rPr>
        <w:t xml:space="preserve">It is not clear to me how paragraph 63 of the main judgment can </w:t>
      </w:r>
      <w:r w:rsidR="007A67EA">
        <w:rPr>
          <w:rFonts w:ascii="CG Times" w:hAnsi="CG Times" w:cs="Times"/>
          <w:sz w:val="26"/>
          <w:szCs w:val="26"/>
          <w:lang w:eastAsia="en-ZA"/>
        </w:rPr>
        <w:t>in good faith be read as legislating.</w:t>
      </w:r>
      <w:r w:rsidR="008C1C4A">
        <w:rPr>
          <w:rFonts w:ascii="CG Times" w:hAnsi="CG Times" w:cs="Times"/>
          <w:sz w:val="26"/>
          <w:szCs w:val="26"/>
          <w:lang w:eastAsia="en-ZA"/>
        </w:rPr>
        <w:t xml:space="preserve"> The paragraph plainly evinces </w:t>
      </w:r>
      <w:r w:rsidR="000E4425">
        <w:rPr>
          <w:rFonts w:ascii="CG Times" w:hAnsi="CG Times" w:cs="Times"/>
          <w:sz w:val="26"/>
          <w:szCs w:val="26"/>
          <w:lang w:eastAsia="en-ZA"/>
        </w:rPr>
        <w:t xml:space="preserve">an interpretative exercise. </w:t>
      </w:r>
      <w:r w:rsidR="000D0D6A">
        <w:rPr>
          <w:rFonts w:ascii="CG Times" w:hAnsi="CG Times" w:cs="Times"/>
          <w:sz w:val="26"/>
          <w:szCs w:val="26"/>
          <w:lang w:eastAsia="en-ZA"/>
        </w:rPr>
        <w:t>P</w:t>
      </w:r>
      <w:r w:rsidR="000E4425">
        <w:rPr>
          <w:rFonts w:ascii="CG Times" w:hAnsi="CG Times" w:cs="Times"/>
          <w:sz w:val="26"/>
          <w:szCs w:val="26"/>
          <w:lang w:eastAsia="en-ZA"/>
        </w:rPr>
        <w:t>ara</w:t>
      </w:r>
      <w:r w:rsidR="000D0D6A">
        <w:rPr>
          <w:rFonts w:ascii="CG Times" w:hAnsi="CG Times" w:cs="Times"/>
          <w:sz w:val="26"/>
          <w:szCs w:val="26"/>
          <w:lang w:eastAsia="en-ZA"/>
        </w:rPr>
        <w:t>graph 64 puts this beyond doubt.</w:t>
      </w:r>
    </w:p>
    <w:p w14:paraId="756C81EE" w14:textId="77777777" w:rsidR="00EE7CFA" w:rsidRDefault="00EE7CFA" w:rsidP="008E1384">
      <w:pPr>
        <w:spacing w:line="360" w:lineRule="auto"/>
        <w:jc w:val="both"/>
        <w:rPr>
          <w:rFonts w:ascii="CG Times" w:hAnsi="CG Times" w:cs="Times"/>
          <w:sz w:val="26"/>
          <w:szCs w:val="26"/>
          <w:lang w:eastAsia="en-ZA"/>
        </w:rPr>
      </w:pPr>
    </w:p>
    <w:p w14:paraId="3A14905F" w14:textId="10C7DF23" w:rsidR="00C24D64" w:rsidRDefault="00A32C97" w:rsidP="008E1384">
      <w:pPr>
        <w:spacing w:line="360" w:lineRule="auto"/>
        <w:jc w:val="both"/>
        <w:rPr>
          <w:rFonts w:ascii="CG Times" w:hAnsi="CG Times" w:cs="Times"/>
          <w:sz w:val="26"/>
          <w:szCs w:val="26"/>
          <w:lang w:eastAsia="en-ZA"/>
        </w:rPr>
      </w:pPr>
      <w:r>
        <w:rPr>
          <w:rFonts w:ascii="CG Times" w:hAnsi="CG Times" w:cs="Times"/>
          <w:sz w:val="26"/>
          <w:szCs w:val="26"/>
          <w:lang w:eastAsia="en-ZA"/>
        </w:rPr>
        <w:t>[9]</w:t>
      </w:r>
      <w:r>
        <w:rPr>
          <w:rFonts w:ascii="CG Times" w:hAnsi="CG Times" w:cs="Times"/>
          <w:sz w:val="26"/>
          <w:szCs w:val="26"/>
          <w:lang w:eastAsia="en-ZA"/>
        </w:rPr>
        <w:tab/>
        <w:t xml:space="preserve">There is no </w:t>
      </w:r>
      <w:r w:rsidRPr="00501E9F">
        <w:rPr>
          <w:rFonts w:ascii="CG Times" w:hAnsi="CG Times" w:cs="Times"/>
          <w:i/>
          <w:iCs/>
          <w:sz w:val="26"/>
          <w:szCs w:val="26"/>
          <w:lang w:eastAsia="en-ZA"/>
        </w:rPr>
        <w:t>“uncertainty”</w:t>
      </w:r>
      <w:r>
        <w:rPr>
          <w:rFonts w:ascii="CG Times" w:hAnsi="CG Times" w:cs="Times"/>
          <w:sz w:val="26"/>
          <w:szCs w:val="26"/>
          <w:lang w:eastAsia="en-ZA"/>
        </w:rPr>
        <w:t xml:space="preserve"> created by the judgment </w:t>
      </w:r>
      <w:r w:rsidR="00874205">
        <w:rPr>
          <w:rFonts w:ascii="CG Times" w:hAnsi="CG Times" w:cs="Times"/>
          <w:sz w:val="26"/>
          <w:szCs w:val="26"/>
          <w:lang w:eastAsia="en-ZA"/>
        </w:rPr>
        <w:t xml:space="preserve">as regards </w:t>
      </w:r>
      <w:r w:rsidR="00872ED3">
        <w:rPr>
          <w:rFonts w:ascii="CG Times" w:hAnsi="CG Times" w:cs="Times"/>
          <w:sz w:val="26"/>
          <w:szCs w:val="26"/>
          <w:lang w:eastAsia="en-ZA"/>
        </w:rPr>
        <w:t xml:space="preserve">the future interpretation of </w:t>
      </w:r>
      <w:r w:rsidR="00872ED3" w:rsidRPr="000735E6">
        <w:rPr>
          <w:rFonts w:ascii="CG Times" w:hAnsi="CG Times" w:cs="Times"/>
          <w:i/>
          <w:iCs/>
          <w:sz w:val="26"/>
          <w:szCs w:val="26"/>
          <w:lang w:eastAsia="en-ZA"/>
        </w:rPr>
        <w:t>“lists of types”</w:t>
      </w:r>
      <w:r w:rsidR="00872ED3">
        <w:rPr>
          <w:rFonts w:ascii="CG Times" w:hAnsi="CG Times" w:cs="Times"/>
          <w:sz w:val="26"/>
          <w:szCs w:val="26"/>
          <w:lang w:eastAsia="en-ZA"/>
        </w:rPr>
        <w:t xml:space="preserve"> of heritage objects.  The judgment is self-evidently confi</w:t>
      </w:r>
      <w:r w:rsidR="00C24D64">
        <w:rPr>
          <w:rFonts w:ascii="CG Times" w:hAnsi="CG Times" w:cs="Times"/>
          <w:sz w:val="26"/>
          <w:szCs w:val="26"/>
          <w:lang w:eastAsia="en-ZA"/>
        </w:rPr>
        <w:t>ned to the pleaded case</w:t>
      </w:r>
      <w:r w:rsidR="00D658CE">
        <w:rPr>
          <w:rFonts w:ascii="CG Times" w:hAnsi="CG Times" w:cs="Times"/>
          <w:sz w:val="26"/>
          <w:szCs w:val="26"/>
          <w:lang w:eastAsia="en-ZA"/>
        </w:rPr>
        <w:t xml:space="preserve"> and does not seek to </w:t>
      </w:r>
      <w:r w:rsidR="00CF5217">
        <w:rPr>
          <w:rFonts w:ascii="CG Times" w:hAnsi="CG Times" w:cs="Times"/>
          <w:sz w:val="26"/>
          <w:szCs w:val="26"/>
          <w:lang w:eastAsia="en-ZA"/>
        </w:rPr>
        <w:t>venture (speculatively) into future inte</w:t>
      </w:r>
      <w:r w:rsidR="009800F6">
        <w:rPr>
          <w:rFonts w:ascii="CG Times" w:hAnsi="CG Times" w:cs="Times"/>
          <w:sz w:val="26"/>
          <w:szCs w:val="26"/>
          <w:lang w:eastAsia="en-ZA"/>
        </w:rPr>
        <w:t>r</w:t>
      </w:r>
      <w:r w:rsidR="00CF5217">
        <w:rPr>
          <w:rFonts w:ascii="CG Times" w:hAnsi="CG Times" w:cs="Times"/>
          <w:sz w:val="26"/>
          <w:szCs w:val="26"/>
          <w:lang w:eastAsia="en-ZA"/>
        </w:rPr>
        <w:t xml:space="preserve">pretations on facts </w:t>
      </w:r>
      <w:r w:rsidR="00AC547F">
        <w:rPr>
          <w:rFonts w:ascii="CG Times" w:hAnsi="CG Times" w:cs="Times"/>
          <w:sz w:val="26"/>
          <w:szCs w:val="26"/>
          <w:lang w:eastAsia="en-ZA"/>
        </w:rPr>
        <w:t>that are not before us</w:t>
      </w:r>
      <w:r w:rsidR="00C24D64">
        <w:rPr>
          <w:rFonts w:ascii="CG Times" w:hAnsi="CG Times" w:cs="Times"/>
          <w:sz w:val="26"/>
          <w:szCs w:val="26"/>
          <w:lang w:eastAsia="en-ZA"/>
        </w:rPr>
        <w:t xml:space="preserve">. </w:t>
      </w:r>
    </w:p>
    <w:p w14:paraId="4067EC0C" w14:textId="77777777" w:rsidR="00506206" w:rsidRDefault="00506206" w:rsidP="008E1384">
      <w:pPr>
        <w:spacing w:line="360" w:lineRule="auto"/>
        <w:jc w:val="both"/>
        <w:rPr>
          <w:rFonts w:ascii="CG Times" w:hAnsi="CG Times" w:cs="Times"/>
          <w:sz w:val="26"/>
          <w:szCs w:val="26"/>
          <w:lang w:eastAsia="en-ZA"/>
        </w:rPr>
      </w:pPr>
    </w:p>
    <w:p w14:paraId="77BFF426" w14:textId="23D8B87C" w:rsidR="00506206" w:rsidRDefault="00506206" w:rsidP="008E1384">
      <w:pPr>
        <w:spacing w:line="360" w:lineRule="auto"/>
        <w:jc w:val="both"/>
        <w:rPr>
          <w:rFonts w:ascii="CG Times" w:hAnsi="CG Times" w:cs="Times"/>
          <w:sz w:val="26"/>
          <w:szCs w:val="26"/>
          <w:lang w:eastAsia="en-ZA"/>
        </w:rPr>
      </w:pPr>
      <w:r>
        <w:rPr>
          <w:rFonts w:ascii="CG Times" w:hAnsi="CG Times" w:cs="Times"/>
          <w:sz w:val="26"/>
          <w:szCs w:val="26"/>
          <w:lang w:eastAsia="en-ZA"/>
        </w:rPr>
        <w:t>[10]</w:t>
      </w:r>
      <w:r>
        <w:rPr>
          <w:rFonts w:ascii="CG Times" w:hAnsi="CG Times" w:cs="Times"/>
          <w:sz w:val="26"/>
          <w:szCs w:val="26"/>
          <w:lang w:eastAsia="en-ZA"/>
        </w:rPr>
        <w:tab/>
        <w:t>C</w:t>
      </w:r>
      <w:r>
        <w:rPr>
          <w:rFonts w:ascii="CG Times" w:hAnsi="CG Times"/>
          <w:sz w:val="26"/>
          <w:szCs w:val="26"/>
        </w:rPr>
        <w:t xml:space="preserve">ounsel for the applicants </w:t>
      </w:r>
      <w:r w:rsidR="00932732">
        <w:rPr>
          <w:rFonts w:ascii="CG Times" w:hAnsi="CG Times"/>
          <w:sz w:val="26"/>
          <w:szCs w:val="26"/>
        </w:rPr>
        <w:t xml:space="preserve">argued that because </w:t>
      </w:r>
      <w:r>
        <w:rPr>
          <w:rFonts w:ascii="CG Times" w:hAnsi="CG Times"/>
          <w:sz w:val="26"/>
          <w:szCs w:val="26"/>
        </w:rPr>
        <w:t>s</w:t>
      </w:r>
      <w:r w:rsidR="00932732">
        <w:rPr>
          <w:rFonts w:ascii="CG Times" w:hAnsi="CG Times"/>
          <w:sz w:val="26"/>
          <w:szCs w:val="26"/>
        </w:rPr>
        <w:t xml:space="preserve">ection </w:t>
      </w:r>
      <w:r>
        <w:rPr>
          <w:rFonts w:ascii="CG Times" w:hAnsi="CG Times"/>
          <w:sz w:val="26"/>
          <w:szCs w:val="26"/>
        </w:rPr>
        <w:t xml:space="preserve">5(3) </w:t>
      </w:r>
      <w:r w:rsidR="00932732">
        <w:rPr>
          <w:rFonts w:ascii="CG Times" w:hAnsi="CG Times"/>
          <w:sz w:val="26"/>
          <w:szCs w:val="26"/>
        </w:rPr>
        <w:t xml:space="preserve">of the Heritage Act </w:t>
      </w:r>
      <w:r>
        <w:rPr>
          <w:rFonts w:ascii="CG Times" w:hAnsi="CG Times"/>
          <w:sz w:val="26"/>
          <w:szCs w:val="26"/>
        </w:rPr>
        <w:t>is not under challenge</w:t>
      </w:r>
      <w:r w:rsidR="00932732">
        <w:rPr>
          <w:rFonts w:ascii="CG Times" w:hAnsi="CG Times"/>
          <w:sz w:val="26"/>
          <w:szCs w:val="26"/>
        </w:rPr>
        <w:t>,</w:t>
      </w:r>
      <w:r>
        <w:rPr>
          <w:rFonts w:ascii="CG Times" w:hAnsi="CG Times"/>
          <w:sz w:val="26"/>
          <w:szCs w:val="26"/>
        </w:rPr>
        <w:t xml:space="preserve"> </w:t>
      </w:r>
      <w:r w:rsidR="00932732">
        <w:rPr>
          <w:rFonts w:ascii="CG Times" w:hAnsi="CG Times"/>
          <w:sz w:val="26"/>
          <w:szCs w:val="26"/>
        </w:rPr>
        <w:t xml:space="preserve">it </w:t>
      </w:r>
      <w:r>
        <w:rPr>
          <w:rFonts w:ascii="CG Times" w:hAnsi="CG Times"/>
          <w:sz w:val="26"/>
          <w:szCs w:val="26"/>
        </w:rPr>
        <w:t xml:space="preserve">cannot be a basis for dismissing the application. </w:t>
      </w:r>
      <w:r w:rsidR="00ED1124">
        <w:rPr>
          <w:rFonts w:ascii="CG Times" w:hAnsi="CG Times"/>
          <w:sz w:val="26"/>
          <w:szCs w:val="26"/>
        </w:rPr>
        <w:t>Counsel seems to have misunderstood the basis for th</w:t>
      </w:r>
      <w:r w:rsidR="00526BF4">
        <w:rPr>
          <w:rFonts w:ascii="CG Times" w:hAnsi="CG Times"/>
          <w:sz w:val="26"/>
          <w:szCs w:val="26"/>
        </w:rPr>
        <w:t xml:space="preserve">is court’s decision. </w:t>
      </w:r>
      <w:r>
        <w:rPr>
          <w:rFonts w:ascii="CG Times" w:hAnsi="CG Times"/>
          <w:sz w:val="26"/>
          <w:szCs w:val="26"/>
        </w:rPr>
        <w:t xml:space="preserve">The </w:t>
      </w:r>
      <w:r w:rsidR="00EB7B96">
        <w:rPr>
          <w:rFonts w:ascii="CG Times" w:hAnsi="CG Times"/>
          <w:sz w:val="26"/>
          <w:szCs w:val="26"/>
        </w:rPr>
        <w:t>approach of this court is clear in the main judgment and specifically in paragrap</w:t>
      </w:r>
      <w:r w:rsidR="00D70E26">
        <w:rPr>
          <w:rFonts w:ascii="CG Times" w:hAnsi="CG Times"/>
          <w:sz w:val="26"/>
          <w:szCs w:val="26"/>
        </w:rPr>
        <w:t>hs 43 to 64</w:t>
      </w:r>
      <w:r w:rsidR="004E16A2">
        <w:rPr>
          <w:rFonts w:ascii="CG Times" w:hAnsi="CG Times"/>
          <w:sz w:val="26"/>
          <w:szCs w:val="26"/>
        </w:rPr>
        <w:t xml:space="preserve"> on this score</w:t>
      </w:r>
      <w:r w:rsidR="00D70E26">
        <w:rPr>
          <w:rFonts w:ascii="CG Times" w:hAnsi="CG Times"/>
          <w:sz w:val="26"/>
          <w:szCs w:val="26"/>
        </w:rPr>
        <w:t xml:space="preserve">. </w:t>
      </w:r>
      <w:r w:rsidR="00486D6D">
        <w:rPr>
          <w:rFonts w:ascii="CG Times" w:hAnsi="CG Times"/>
          <w:sz w:val="26"/>
          <w:szCs w:val="26"/>
        </w:rPr>
        <w:t>Tempting as it is, w</w:t>
      </w:r>
      <w:r w:rsidR="00D70E26">
        <w:rPr>
          <w:rFonts w:ascii="CG Times" w:hAnsi="CG Times"/>
          <w:sz w:val="26"/>
          <w:szCs w:val="26"/>
        </w:rPr>
        <w:t xml:space="preserve">e should not be drawn into </w:t>
      </w:r>
      <w:r w:rsidR="00486D6D">
        <w:rPr>
          <w:rFonts w:ascii="CG Times" w:hAnsi="CG Times"/>
          <w:sz w:val="26"/>
          <w:szCs w:val="26"/>
        </w:rPr>
        <w:t>rephrasing what we have already said in the main judgment</w:t>
      </w:r>
      <w:r w:rsidR="00934718">
        <w:rPr>
          <w:rFonts w:ascii="CG Times" w:hAnsi="CG Times"/>
          <w:sz w:val="26"/>
          <w:szCs w:val="26"/>
        </w:rPr>
        <w:t xml:space="preserve">, lest we be taken to have </w:t>
      </w:r>
      <w:r w:rsidR="00486D6D">
        <w:rPr>
          <w:rFonts w:ascii="CG Times" w:hAnsi="CG Times"/>
          <w:sz w:val="26"/>
          <w:szCs w:val="26"/>
        </w:rPr>
        <w:t>refashion</w:t>
      </w:r>
      <w:r w:rsidR="00934718">
        <w:rPr>
          <w:rFonts w:ascii="CG Times" w:hAnsi="CG Times"/>
          <w:sz w:val="26"/>
          <w:szCs w:val="26"/>
        </w:rPr>
        <w:t xml:space="preserve">ed our reasoning. </w:t>
      </w:r>
      <w:r w:rsidR="002D5FB8">
        <w:rPr>
          <w:rFonts w:ascii="CG Times" w:hAnsi="CG Times"/>
          <w:sz w:val="26"/>
          <w:szCs w:val="26"/>
        </w:rPr>
        <w:t>We do not.</w:t>
      </w:r>
    </w:p>
    <w:p w14:paraId="3017EE79" w14:textId="77777777" w:rsidR="00C24D64" w:rsidRDefault="00C24D64" w:rsidP="008E1384">
      <w:pPr>
        <w:spacing w:line="360" w:lineRule="auto"/>
        <w:jc w:val="both"/>
        <w:rPr>
          <w:rFonts w:ascii="CG Times" w:hAnsi="CG Times" w:cs="Times"/>
          <w:sz w:val="26"/>
          <w:szCs w:val="26"/>
          <w:lang w:eastAsia="en-ZA"/>
        </w:rPr>
      </w:pPr>
    </w:p>
    <w:p w14:paraId="424D191E" w14:textId="0ADA7C11" w:rsidR="001561C2" w:rsidRDefault="00E22195" w:rsidP="000564CD">
      <w:pPr>
        <w:spacing w:line="360" w:lineRule="auto"/>
        <w:jc w:val="both"/>
        <w:rPr>
          <w:rFonts w:ascii="CG Times" w:hAnsi="CG Times" w:cs="Times"/>
          <w:sz w:val="26"/>
          <w:szCs w:val="26"/>
          <w:lang w:eastAsia="en-ZA"/>
        </w:rPr>
      </w:pPr>
      <w:r>
        <w:rPr>
          <w:rFonts w:ascii="CG Times" w:hAnsi="CG Times" w:cs="Times"/>
          <w:sz w:val="26"/>
          <w:szCs w:val="26"/>
          <w:lang w:eastAsia="en-ZA"/>
        </w:rPr>
        <w:t>[1</w:t>
      </w:r>
      <w:r w:rsidR="004E16A2">
        <w:rPr>
          <w:rFonts w:ascii="CG Times" w:hAnsi="CG Times" w:cs="Times"/>
          <w:sz w:val="26"/>
          <w:szCs w:val="26"/>
          <w:lang w:eastAsia="en-ZA"/>
        </w:rPr>
        <w:t>1</w:t>
      </w:r>
      <w:r>
        <w:rPr>
          <w:rFonts w:ascii="CG Times" w:hAnsi="CG Times" w:cs="Times"/>
          <w:sz w:val="26"/>
          <w:szCs w:val="26"/>
          <w:lang w:eastAsia="en-ZA"/>
        </w:rPr>
        <w:t>]</w:t>
      </w:r>
      <w:r>
        <w:rPr>
          <w:rFonts w:ascii="CG Times" w:hAnsi="CG Times" w:cs="Times"/>
          <w:sz w:val="26"/>
          <w:szCs w:val="26"/>
          <w:lang w:eastAsia="en-ZA"/>
        </w:rPr>
        <w:tab/>
        <w:t>For these reason</w:t>
      </w:r>
      <w:r w:rsidR="00BB4A44">
        <w:rPr>
          <w:rFonts w:ascii="CG Times" w:hAnsi="CG Times" w:cs="Times"/>
          <w:sz w:val="26"/>
          <w:szCs w:val="26"/>
          <w:lang w:eastAsia="en-ZA"/>
        </w:rPr>
        <w:t>s</w:t>
      </w:r>
      <w:r>
        <w:rPr>
          <w:rFonts w:ascii="CG Times" w:hAnsi="CG Times" w:cs="Times"/>
          <w:sz w:val="26"/>
          <w:szCs w:val="26"/>
          <w:lang w:eastAsia="en-ZA"/>
        </w:rPr>
        <w:t xml:space="preserve">, and those already </w:t>
      </w:r>
      <w:r w:rsidR="00BB4A44">
        <w:rPr>
          <w:rFonts w:ascii="CG Times" w:hAnsi="CG Times" w:cs="Times"/>
          <w:sz w:val="26"/>
          <w:szCs w:val="26"/>
          <w:lang w:eastAsia="en-ZA"/>
        </w:rPr>
        <w:t xml:space="preserve">given in the main judgment, the appeal has no prospects of success. </w:t>
      </w:r>
    </w:p>
    <w:p w14:paraId="2244D733" w14:textId="77777777" w:rsidR="001561C2" w:rsidRDefault="001561C2" w:rsidP="000564CD">
      <w:pPr>
        <w:spacing w:line="360" w:lineRule="auto"/>
        <w:jc w:val="both"/>
        <w:rPr>
          <w:rFonts w:ascii="CG Times" w:hAnsi="CG Times" w:cs="Times"/>
          <w:sz w:val="26"/>
          <w:szCs w:val="26"/>
          <w:lang w:eastAsia="en-ZA"/>
        </w:rPr>
      </w:pPr>
    </w:p>
    <w:p w14:paraId="6DE77564" w14:textId="0771295F" w:rsidR="00331F97" w:rsidRDefault="001561C2" w:rsidP="000564CD">
      <w:pPr>
        <w:spacing w:line="360" w:lineRule="auto"/>
        <w:jc w:val="both"/>
        <w:rPr>
          <w:rFonts w:ascii="CG Times" w:hAnsi="CG Times" w:cs="Times"/>
          <w:sz w:val="26"/>
          <w:szCs w:val="26"/>
          <w:lang w:eastAsia="en-ZA"/>
        </w:rPr>
      </w:pPr>
      <w:r>
        <w:rPr>
          <w:rFonts w:ascii="CG Times" w:hAnsi="CG Times" w:cs="Times"/>
          <w:sz w:val="26"/>
          <w:szCs w:val="26"/>
          <w:lang w:eastAsia="en-ZA"/>
        </w:rPr>
        <w:t>[1</w:t>
      </w:r>
      <w:r w:rsidR="00163F69">
        <w:rPr>
          <w:rFonts w:ascii="CG Times" w:hAnsi="CG Times" w:cs="Times"/>
          <w:sz w:val="26"/>
          <w:szCs w:val="26"/>
          <w:lang w:eastAsia="en-ZA"/>
        </w:rPr>
        <w:t>2</w:t>
      </w:r>
      <w:r>
        <w:rPr>
          <w:rFonts w:ascii="CG Times" w:hAnsi="CG Times" w:cs="Times"/>
          <w:sz w:val="26"/>
          <w:szCs w:val="26"/>
          <w:lang w:eastAsia="en-ZA"/>
        </w:rPr>
        <w:t>]</w:t>
      </w:r>
      <w:r>
        <w:rPr>
          <w:rFonts w:ascii="CG Times" w:hAnsi="CG Times" w:cs="Times"/>
          <w:sz w:val="26"/>
          <w:szCs w:val="26"/>
          <w:lang w:eastAsia="en-ZA"/>
        </w:rPr>
        <w:tab/>
      </w:r>
      <w:r w:rsidR="00BB4A44">
        <w:rPr>
          <w:rFonts w:ascii="CG Times" w:hAnsi="CG Times" w:cs="Times"/>
          <w:sz w:val="26"/>
          <w:szCs w:val="26"/>
          <w:lang w:eastAsia="en-ZA"/>
        </w:rPr>
        <w:t xml:space="preserve">There are </w:t>
      </w:r>
      <w:r w:rsidR="005B0846">
        <w:rPr>
          <w:rFonts w:ascii="CG Times" w:hAnsi="CG Times" w:cs="Times"/>
          <w:sz w:val="26"/>
          <w:szCs w:val="26"/>
          <w:lang w:eastAsia="en-ZA"/>
        </w:rPr>
        <w:t xml:space="preserve">also </w:t>
      </w:r>
      <w:r w:rsidR="00BB4A44">
        <w:rPr>
          <w:rFonts w:ascii="CG Times" w:hAnsi="CG Times" w:cs="Times"/>
          <w:sz w:val="26"/>
          <w:szCs w:val="26"/>
          <w:lang w:eastAsia="en-ZA"/>
        </w:rPr>
        <w:t xml:space="preserve">no compelling reasons for allowing the appeal. </w:t>
      </w:r>
      <w:r w:rsidR="007E6117" w:rsidRPr="00E90B09">
        <w:rPr>
          <w:rFonts w:ascii="CG Times" w:hAnsi="CG Times" w:cs="Times"/>
          <w:sz w:val="26"/>
          <w:szCs w:val="26"/>
          <w:lang w:eastAsia="en-ZA"/>
        </w:rPr>
        <w:t xml:space="preserve">The </w:t>
      </w:r>
      <w:r w:rsidR="00763F88" w:rsidRPr="00E90B09">
        <w:rPr>
          <w:rFonts w:ascii="CG Times" w:hAnsi="CG Times" w:cs="Times"/>
          <w:sz w:val="26"/>
          <w:szCs w:val="26"/>
          <w:lang w:eastAsia="en-ZA"/>
        </w:rPr>
        <w:t xml:space="preserve">foreign </w:t>
      </w:r>
      <w:r w:rsidR="00CE6960" w:rsidRPr="00E90B09">
        <w:rPr>
          <w:rFonts w:ascii="CG Times" w:hAnsi="CG Times" w:cs="Times"/>
          <w:sz w:val="26"/>
          <w:szCs w:val="26"/>
          <w:lang w:eastAsia="en-ZA"/>
        </w:rPr>
        <w:t>law</w:t>
      </w:r>
      <w:r w:rsidR="00763F88">
        <w:rPr>
          <w:rFonts w:ascii="CG Times" w:hAnsi="CG Times" w:cs="Times"/>
          <w:sz w:val="26"/>
          <w:szCs w:val="26"/>
          <w:lang w:eastAsia="en-ZA"/>
        </w:rPr>
        <w:t xml:space="preserve">, now advanced for the first time in </w:t>
      </w:r>
      <w:r w:rsidR="00A64EEB">
        <w:rPr>
          <w:rFonts w:ascii="CG Times" w:hAnsi="CG Times" w:cs="Times"/>
          <w:sz w:val="26"/>
          <w:szCs w:val="26"/>
          <w:lang w:eastAsia="en-ZA"/>
        </w:rPr>
        <w:t>heads of argument in this application</w:t>
      </w:r>
      <w:r w:rsidR="00763F88">
        <w:rPr>
          <w:rFonts w:ascii="CG Times" w:hAnsi="CG Times" w:cs="Times"/>
          <w:sz w:val="26"/>
          <w:szCs w:val="26"/>
          <w:lang w:eastAsia="en-ZA"/>
        </w:rPr>
        <w:t xml:space="preserve">, </w:t>
      </w:r>
      <w:r w:rsidR="00A64EEB">
        <w:rPr>
          <w:rFonts w:ascii="CG Times" w:hAnsi="CG Times" w:cs="Times"/>
          <w:sz w:val="26"/>
          <w:szCs w:val="26"/>
          <w:lang w:eastAsia="en-ZA"/>
        </w:rPr>
        <w:t xml:space="preserve">cannot </w:t>
      </w:r>
      <w:r w:rsidR="00432B40">
        <w:rPr>
          <w:rFonts w:ascii="CG Times" w:hAnsi="CG Times" w:cs="Times"/>
          <w:sz w:val="26"/>
          <w:szCs w:val="26"/>
          <w:lang w:eastAsia="en-ZA"/>
        </w:rPr>
        <w:t>avail the applicant</w:t>
      </w:r>
      <w:r w:rsidR="00AA2FC2">
        <w:rPr>
          <w:rFonts w:ascii="CG Times" w:hAnsi="CG Times" w:cs="Times"/>
          <w:sz w:val="26"/>
          <w:szCs w:val="26"/>
          <w:lang w:eastAsia="en-ZA"/>
        </w:rPr>
        <w:t>s</w:t>
      </w:r>
      <w:r w:rsidR="00432B40">
        <w:rPr>
          <w:rFonts w:ascii="CG Times" w:hAnsi="CG Times" w:cs="Times"/>
          <w:sz w:val="26"/>
          <w:szCs w:val="26"/>
          <w:lang w:eastAsia="en-ZA"/>
        </w:rPr>
        <w:t xml:space="preserve">. </w:t>
      </w:r>
      <w:r w:rsidR="0006680C">
        <w:rPr>
          <w:rFonts w:ascii="CG Times" w:hAnsi="CG Times" w:cs="Times"/>
          <w:sz w:val="26"/>
          <w:szCs w:val="26"/>
          <w:lang w:eastAsia="en-ZA"/>
        </w:rPr>
        <w:t>The</w:t>
      </w:r>
      <w:r w:rsidR="00E31B1D">
        <w:rPr>
          <w:rFonts w:ascii="CG Times" w:hAnsi="CG Times" w:cs="Times"/>
          <w:sz w:val="26"/>
          <w:szCs w:val="26"/>
          <w:lang w:eastAsia="en-ZA"/>
        </w:rPr>
        <w:t xml:space="preserve"> foreign law</w:t>
      </w:r>
      <w:r w:rsidR="0006680C">
        <w:rPr>
          <w:rFonts w:ascii="CG Times" w:hAnsi="CG Times" w:cs="Times"/>
          <w:sz w:val="26"/>
          <w:szCs w:val="26"/>
          <w:lang w:eastAsia="en-ZA"/>
        </w:rPr>
        <w:t xml:space="preserve"> should have been provided </w:t>
      </w:r>
      <w:r w:rsidR="003617A8">
        <w:rPr>
          <w:rFonts w:ascii="CG Times" w:hAnsi="CG Times" w:cs="Times"/>
          <w:sz w:val="26"/>
          <w:szCs w:val="26"/>
          <w:lang w:eastAsia="en-ZA"/>
        </w:rPr>
        <w:t xml:space="preserve">in evidence </w:t>
      </w:r>
      <w:r w:rsidR="0006680C">
        <w:rPr>
          <w:rFonts w:ascii="CG Times" w:hAnsi="CG Times" w:cs="Times"/>
          <w:sz w:val="26"/>
          <w:szCs w:val="26"/>
          <w:lang w:eastAsia="en-ZA"/>
        </w:rPr>
        <w:t xml:space="preserve">and properly debated before us </w:t>
      </w:r>
      <w:r w:rsidR="00375933">
        <w:rPr>
          <w:rFonts w:ascii="CG Times" w:hAnsi="CG Times" w:cs="Times"/>
          <w:sz w:val="26"/>
          <w:szCs w:val="26"/>
          <w:lang w:eastAsia="en-ZA"/>
        </w:rPr>
        <w:t>in the main case. We would then have engaged with th</w:t>
      </w:r>
      <w:r w:rsidR="006153CA">
        <w:rPr>
          <w:rFonts w:ascii="CG Times" w:hAnsi="CG Times" w:cs="Times"/>
          <w:sz w:val="26"/>
          <w:szCs w:val="26"/>
          <w:lang w:eastAsia="en-ZA"/>
        </w:rPr>
        <w:t>at evidence</w:t>
      </w:r>
      <w:r w:rsidR="00375933">
        <w:rPr>
          <w:rFonts w:ascii="CG Times" w:hAnsi="CG Times" w:cs="Times"/>
          <w:sz w:val="26"/>
          <w:szCs w:val="26"/>
          <w:lang w:eastAsia="en-ZA"/>
        </w:rPr>
        <w:t xml:space="preserve"> </w:t>
      </w:r>
      <w:r w:rsidR="007B0964">
        <w:rPr>
          <w:rFonts w:ascii="CG Times" w:hAnsi="CG Times" w:cs="Times"/>
          <w:sz w:val="26"/>
          <w:szCs w:val="26"/>
          <w:lang w:eastAsia="en-ZA"/>
        </w:rPr>
        <w:t xml:space="preserve">and taken </w:t>
      </w:r>
      <w:r w:rsidR="006153CA">
        <w:rPr>
          <w:rFonts w:ascii="CG Times" w:hAnsi="CG Times" w:cs="Times"/>
          <w:sz w:val="26"/>
          <w:szCs w:val="26"/>
          <w:lang w:eastAsia="en-ZA"/>
        </w:rPr>
        <w:t>i</w:t>
      </w:r>
      <w:r w:rsidR="007B0964">
        <w:rPr>
          <w:rFonts w:ascii="CG Times" w:hAnsi="CG Times" w:cs="Times"/>
          <w:sz w:val="26"/>
          <w:szCs w:val="26"/>
          <w:lang w:eastAsia="en-ZA"/>
        </w:rPr>
        <w:t xml:space="preserve">t into account in rendering our judgment. It would not be fair </w:t>
      </w:r>
      <w:r w:rsidR="00240469">
        <w:rPr>
          <w:rFonts w:ascii="CG Times" w:hAnsi="CG Times" w:cs="Times"/>
          <w:sz w:val="26"/>
          <w:szCs w:val="26"/>
          <w:lang w:eastAsia="en-ZA"/>
        </w:rPr>
        <w:t xml:space="preserve">on the respondents – and it would not be in the interests of justice </w:t>
      </w:r>
      <w:r w:rsidR="00526414">
        <w:rPr>
          <w:rFonts w:ascii="CG Times" w:hAnsi="CG Times" w:cs="Times"/>
          <w:sz w:val="26"/>
          <w:szCs w:val="26"/>
          <w:lang w:eastAsia="en-ZA"/>
        </w:rPr>
        <w:t>–</w:t>
      </w:r>
      <w:r w:rsidR="00240469">
        <w:rPr>
          <w:rFonts w:ascii="CG Times" w:hAnsi="CG Times" w:cs="Times"/>
          <w:sz w:val="26"/>
          <w:szCs w:val="26"/>
          <w:lang w:eastAsia="en-ZA"/>
        </w:rPr>
        <w:t xml:space="preserve"> </w:t>
      </w:r>
      <w:r w:rsidR="00526414">
        <w:rPr>
          <w:rFonts w:ascii="CG Times" w:hAnsi="CG Times" w:cs="Times"/>
          <w:sz w:val="26"/>
          <w:szCs w:val="26"/>
          <w:lang w:eastAsia="en-ZA"/>
        </w:rPr>
        <w:t xml:space="preserve">at this late stage to require them to address </w:t>
      </w:r>
      <w:r w:rsidR="005D00CA">
        <w:rPr>
          <w:rFonts w:ascii="CG Times" w:hAnsi="CG Times" w:cs="Times"/>
          <w:sz w:val="26"/>
          <w:szCs w:val="26"/>
          <w:lang w:eastAsia="en-ZA"/>
        </w:rPr>
        <w:t xml:space="preserve">the new foreign </w:t>
      </w:r>
      <w:r w:rsidR="000D1259">
        <w:rPr>
          <w:rFonts w:ascii="CG Times" w:hAnsi="CG Times" w:cs="Times"/>
          <w:sz w:val="26"/>
          <w:szCs w:val="26"/>
          <w:lang w:eastAsia="en-ZA"/>
        </w:rPr>
        <w:t>law</w:t>
      </w:r>
      <w:r w:rsidR="005D00CA">
        <w:rPr>
          <w:rFonts w:ascii="CG Times" w:hAnsi="CG Times" w:cs="Times"/>
          <w:sz w:val="26"/>
          <w:szCs w:val="26"/>
          <w:lang w:eastAsia="en-ZA"/>
        </w:rPr>
        <w:t xml:space="preserve"> </w:t>
      </w:r>
      <w:r w:rsidR="00F66C88" w:rsidRPr="00E077B9">
        <w:rPr>
          <w:rFonts w:ascii="CG Times" w:hAnsi="CG Times" w:cs="Times"/>
          <w:i/>
          <w:iCs/>
          <w:sz w:val="26"/>
          <w:szCs w:val="26"/>
          <w:lang w:eastAsia="en-ZA"/>
        </w:rPr>
        <w:t>dehors</w:t>
      </w:r>
      <w:r w:rsidR="00F66C88">
        <w:rPr>
          <w:rFonts w:ascii="CG Times" w:hAnsi="CG Times" w:cs="Times"/>
          <w:sz w:val="26"/>
          <w:szCs w:val="26"/>
          <w:lang w:eastAsia="en-ZA"/>
        </w:rPr>
        <w:t xml:space="preserve"> legislative context</w:t>
      </w:r>
      <w:r w:rsidR="00D61077">
        <w:rPr>
          <w:rFonts w:ascii="CG Times" w:hAnsi="CG Times" w:cs="Times"/>
          <w:sz w:val="26"/>
          <w:szCs w:val="26"/>
          <w:lang w:eastAsia="en-ZA"/>
        </w:rPr>
        <w:t xml:space="preserve"> of the countries from which they spring</w:t>
      </w:r>
      <w:r w:rsidR="00E077B9">
        <w:rPr>
          <w:rFonts w:ascii="CG Times" w:hAnsi="CG Times" w:cs="Times"/>
          <w:sz w:val="26"/>
          <w:szCs w:val="26"/>
          <w:lang w:eastAsia="en-ZA"/>
        </w:rPr>
        <w:t>.</w:t>
      </w:r>
      <w:r w:rsidR="000D1259">
        <w:rPr>
          <w:rFonts w:ascii="CG Times" w:hAnsi="CG Times" w:cs="Times"/>
          <w:sz w:val="26"/>
          <w:szCs w:val="26"/>
          <w:lang w:eastAsia="en-ZA"/>
        </w:rPr>
        <w:t xml:space="preserve"> </w:t>
      </w:r>
      <w:r w:rsidR="000564CD" w:rsidRPr="000564CD">
        <w:rPr>
          <w:rFonts w:ascii="CG Times" w:hAnsi="CG Times" w:cs="Times"/>
          <w:sz w:val="26"/>
          <w:szCs w:val="26"/>
          <w:lang w:eastAsia="en-ZA"/>
        </w:rPr>
        <w:t xml:space="preserve">The content and effect of foreign law is a question of fact </w:t>
      </w:r>
      <w:r w:rsidR="00445E15">
        <w:rPr>
          <w:rFonts w:ascii="CG Times" w:hAnsi="CG Times" w:cs="Times"/>
          <w:sz w:val="26"/>
          <w:szCs w:val="26"/>
          <w:lang w:eastAsia="en-ZA"/>
        </w:rPr>
        <w:t>t</w:t>
      </w:r>
      <w:r w:rsidR="00522E1C">
        <w:rPr>
          <w:rFonts w:ascii="CG Times" w:hAnsi="CG Times" w:cs="Times"/>
          <w:sz w:val="26"/>
          <w:szCs w:val="26"/>
          <w:lang w:eastAsia="en-ZA"/>
        </w:rPr>
        <w:t xml:space="preserve">hat </w:t>
      </w:r>
      <w:r w:rsidR="000564CD" w:rsidRPr="000564CD">
        <w:rPr>
          <w:rFonts w:ascii="CG Times" w:hAnsi="CG Times" w:cs="Times"/>
          <w:sz w:val="26"/>
          <w:szCs w:val="26"/>
          <w:lang w:eastAsia="en-ZA"/>
        </w:rPr>
        <w:t xml:space="preserve">must be proved </w:t>
      </w:r>
      <w:r w:rsidR="00522E1C">
        <w:rPr>
          <w:rFonts w:ascii="CG Times" w:hAnsi="CG Times" w:cs="Times"/>
          <w:sz w:val="26"/>
          <w:szCs w:val="26"/>
          <w:lang w:eastAsia="en-ZA"/>
        </w:rPr>
        <w:t>in evidence</w:t>
      </w:r>
      <w:r w:rsidR="00E47AFA">
        <w:rPr>
          <w:rFonts w:ascii="CG Times" w:hAnsi="CG Times" w:cs="Times"/>
          <w:sz w:val="26"/>
          <w:szCs w:val="26"/>
          <w:lang w:eastAsia="en-ZA"/>
        </w:rPr>
        <w:t>. That the applicant</w:t>
      </w:r>
      <w:r w:rsidR="007809B4">
        <w:rPr>
          <w:rFonts w:ascii="CG Times" w:hAnsi="CG Times" w:cs="Times"/>
          <w:sz w:val="26"/>
          <w:szCs w:val="26"/>
          <w:lang w:eastAsia="en-ZA"/>
        </w:rPr>
        <w:t>s</w:t>
      </w:r>
      <w:r w:rsidR="00E47AFA">
        <w:rPr>
          <w:rFonts w:ascii="CG Times" w:hAnsi="CG Times" w:cs="Times"/>
          <w:sz w:val="26"/>
          <w:szCs w:val="26"/>
          <w:lang w:eastAsia="en-ZA"/>
        </w:rPr>
        <w:t xml:space="preserve"> ha</w:t>
      </w:r>
      <w:r w:rsidR="007809B4">
        <w:rPr>
          <w:rFonts w:ascii="CG Times" w:hAnsi="CG Times" w:cs="Times"/>
          <w:sz w:val="26"/>
          <w:szCs w:val="26"/>
          <w:lang w:eastAsia="en-ZA"/>
        </w:rPr>
        <w:t>ve</w:t>
      </w:r>
      <w:r w:rsidR="00E47AFA">
        <w:rPr>
          <w:rFonts w:ascii="CG Times" w:hAnsi="CG Times" w:cs="Times"/>
          <w:sz w:val="26"/>
          <w:szCs w:val="26"/>
          <w:lang w:eastAsia="en-ZA"/>
        </w:rPr>
        <w:t xml:space="preserve"> not done. </w:t>
      </w:r>
      <w:r w:rsidR="005C7FC2">
        <w:rPr>
          <w:rFonts w:ascii="CG Times" w:hAnsi="CG Times" w:cs="Times"/>
          <w:sz w:val="26"/>
          <w:szCs w:val="26"/>
          <w:lang w:eastAsia="en-ZA"/>
        </w:rPr>
        <w:t>They</w:t>
      </w:r>
      <w:r w:rsidR="00E47AFA">
        <w:rPr>
          <w:rFonts w:ascii="CG Times" w:hAnsi="CG Times" w:cs="Times"/>
          <w:sz w:val="26"/>
          <w:szCs w:val="26"/>
          <w:lang w:eastAsia="en-ZA"/>
        </w:rPr>
        <w:t xml:space="preserve"> cannot at this late stage, </w:t>
      </w:r>
      <w:r w:rsidR="005C7FC2">
        <w:rPr>
          <w:rFonts w:ascii="CG Times" w:hAnsi="CG Times" w:cs="Times"/>
          <w:sz w:val="26"/>
          <w:szCs w:val="26"/>
          <w:lang w:eastAsia="en-ZA"/>
        </w:rPr>
        <w:t xml:space="preserve">and </w:t>
      </w:r>
      <w:r w:rsidR="00E47AFA">
        <w:rPr>
          <w:rFonts w:ascii="CG Times" w:hAnsi="CG Times" w:cs="Times"/>
          <w:sz w:val="26"/>
          <w:szCs w:val="26"/>
          <w:lang w:eastAsia="en-ZA"/>
        </w:rPr>
        <w:t>in heads of argument</w:t>
      </w:r>
      <w:r w:rsidR="005C7FC2">
        <w:rPr>
          <w:rFonts w:ascii="CG Times" w:hAnsi="CG Times" w:cs="Times"/>
          <w:sz w:val="26"/>
          <w:szCs w:val="26"/>
          <w:lang w:eastAsia="en-ZA"/>
        </w:rPr>
        <w:t>,</w:t>
      </w:r>
      <w:r w:rsidR="00E47AFA">
        <w:rPr>
          <w:rFonts w:ascii="CG Times" w:hAnsi="CG Times" w:cs="Times"/>
          <w:sz w:val="26"/>
          <w:szCs w:val="26"/>
          <w:lang w:eastAsia="en-ZA"/>
        </w:rPr>
        <w:t xml:space="preserve"> </w:t>
      </w:r>
      <w:r w:rsidR="00D76C4C">
        <w:rPr>
          <w:rFonts w:ascii="CG Times" w:hAnsi="CG Times" w:cs="Times"/>
          <w:sz w:val="26"/>
          <w:szCs w:val="26"/>
          <w:lang w:eastAsia="en-ZA"/>
        </w:rPr>
        <w:t>raise this new foreign law for the first time.</w:t>
      </w:r>
      <w:r w:rsidR="007601EB">
        <w:rPr>
          <w:rFonts w:ascii="CG Times" w:hAnsi="CG Times" w:cs="Times"/>
          <w:sz w:val="26"/>
          <w:szCs w:val="26"/>
          <w:lang w:eastAsia="en-ZA"/>
        </w:rPr>
        <w:t xml:space="preserve"> This issue has previously received judicial consideration</w:t>
      </w:r>
      <w:r w:rsidR="00200A0E">
        <w:rPr>
          <w:rFonts w:ascii="CG Times" w:hAnsi="CG Times" w:cs="Times"/>
          <w:sz w:val="26"/>
          <w:szCs w:val="26"/>
          <w:lang w:eastAsia="en-ZA"/>
        </w:rPr>
        <w:t xml:space="preserve"> in a line of cases</w:t>
      </w:r>
      <w:r w:rsidR="002143BE">
        <w:rPr>
          <w:rFonts w:ascii="CG Times" w:hAnsi="CG Times" w:cs="Times"/>
          <w:sz w:val="26"/>
          <w:szCs w:val="26"/>
          <w:lang w:eastAsia="en-ZA"/>
        </w:rPr>
        <w:t xml:space="preserve">, including the SCA (in its previous incarnation) and </w:t>
      </w:r>
      <w:r w:rsidR="00CE7835">
        <w:rPr>
          <w:rFonts w:ascii="CG Times" w:hAnsi="CG Times" w:cs="Times"/>
          <w:sz w:val="26"/>
          <w:szCs w:val="26"/>
          <w:lang w:eastAsia="en-ZA"/>
        </w:rPr>
        <w:t>this division</w:t>
      </w:r>
      <w:r w:rsidR="007601EB">
        <w:rPr>
          <w:rFonts w:ascii="CG Times" w:hAnsi="CG Times" w:cs="Times"/>
          <w:sz w:val="26"/>
          <w:szCs w:val="26"/>
          <w:lang w:eastAsia="en-ZA"/>
        </w:rPr>
        <w:t xml:space="preserve">. </w:t>
      </w:r>
      <w:r w:rsidR="00331F97">
        <w:rPr>
          <w:rFonts w:ascii="CG Times" w:hAnsi="CG Times" w:cs="Times"/>
          <w:sz w:val="26"/>
          <w:szCs w:val="26"/>
          <w:lang w:eastAsia="en-ZA"/>
        </w:rPr>
        <w:t>It has been said:</w:t>
      </w:r>
    </w:p>
    <w:p w14:paraId="1148ADBF" w14:textId="77777777" w:rsidR="00331F97" w:rsidRDefault="00331F97" w:rsidP="000564CD">
      <w:pPr>
        <w:spacing w:line="360" w:lineRule="auto"/>
        <w:jc w:val="both"/>
        <w:rPr>
          <w:rFonts w:ascii="CG Times" w:hAnsi="CG Times" w:cs="Times"/>
          <w:sz w:val="26"/>
          <w:szCs w:val="26"/>
          <w:lang w:eastAsia="en-ZA"/>
        </w:rPr>
      </w:pPr>
    </w:p>
    <w:p w14:paraId="417AE27D" w14:textId="5634AB99" w:rsidR="00E4448A" w:rsidRDefault="00331F97" w:rsidP="00FA655D">
      <w:pPr>
        <w:spacing w:line="360" w:lineRule="auto"/>
        <w:ind w:left="851" w:right="521"/>
        <w:jc w:val="both"/>
        <w:rPr>
          <w:rFonts w:ascii="CG Times" w:hAnsi="CG Times" w:cs="Times"/>
          <w:sz w:val="22"/>
          <w:szCs w:val="22"/>
          <w:lang w:eastAsia="en-ZA"/>
        </w:rPr>
      </w:pPr>
      <w:r w:rsidRPr="00FA655D">
        <w:rPr>
          <w:rFonts w:ascii="CG Times" w:hAnsi="CG Times" w:cs="Times"/>
          <w:sz w:val="22"/>
          <w:szCs w:val="22"/>
          <w:lang w:eastAsia="en-ZA"/>
        </w:rPr>
        <w:t>“The content and effect of a foreign law is a question of fact and must be proved (</w:t>
      </w:r>
      <w:r w:rsidRPr="00E15806">
        <w:rPr>
          <w:rFonts w:ascii="CG Times" w:hAnsi="CG Times" w:cs="Times"/>
          <w:i/>
          <w:iCs/>
          <w:sz w:val="22"/>
          <w:szCs w:val="22"/>
          <w:lang w:eastAsia="en-ZA"/>
        </w:rPr>
        <w:t>Schlesinger v Commissioner for Inland Revenue</w:t>
      </w:r>
      <w:r w:rsidRPr="00FA655D">
        <w:rPr>
          <w:rFonts w:ascii="CG Times" w:hAnsi="CG Times" w:cs="Times"/>
          <w:sz w:val="22"/>
          <w:szCs w:val="22"/>
          <w:lang w:eastAsia="en-ZA"/>
        </w:rPr>
        <w:t xml:space="preserve"> 1964 (3) SA 389 (A) at 396G). Proof is usually furnished by the evidence of properly qualified persons who have an expert knowledge of the law in question. Where the relevant foreign law is statutory in nature, then, in my opinion, it is the right and duty of the Court itself to examine the statute and to determine the meaning and effect thereof </w:t>
      </w:r>
      <w:r w:rsidRPr="008A032D">
        <w:rPr>
          <w:rFonts w:ascii="CG Times" w:hAnsi="CG Times" w:cs="Times"/>
          <w:sz w:val="22"/>
          <w:szCs w:val="22"/>
          <w:u w:val="single"/>
          <w:lang w:eastAsia="en-ZA"/>
        </w:rPr>
        <w:t>in the light of the expert testimony</w:t>
      </w:r>
      <w:r w:rsidRPr="00FA655D">
        <w:rPr>
          <w:rFonts w:ascii="CG Times" w:hAnsi="CG Times" w:cs="Times"/>
          <w:sz w:val="22"/>
          <w:szCs w:val="22"/>
          <w:lang w:eastAsia="en-ZA"/>
        </w:rPr>
        <w:t xml:space="preserve">, especially where such testimony is of a conflicting nature. (Cf </w:t>
      </w:r>
      <w:r w:rsidRPr="002C557D">
        <w:rPr>
          <w:rFonts w:ascii="CG Times" w:hAnsi="CG Times" w:cs="Times"/>
          <w:i/>
          <w:iCs/>
          <w:sz w:val="22"/>
          <w:szCs w:val="22"/>
          <w:lang w:eastAsia="en-ZA"/>
        </w:rPr>
        <w:t>Cheshire and North Private International Law</w:t>
      </w:r>
      <w:r w:rsidRPr="00FA655D">
        <w:rPr>
          <w:rFonts w:ascii="CG Times" w:hAnsi="CG Times" w:cs="Times"/>
          <w:sz w:val="22"/>
          <w:szCs w:val="22"/>
          <w:lang w:eastAsia="en-ZA"/>
        </w:rPr>
        <w:t xml:space="preserve"> 10th ed at 129; Dicey and Morris </w:t>
      </w:r>
      <w:r w:rsidRPr="002C557D">
        <w:rPr>
          <w:rFonts w:ascii="CG Times" w:hAnsi="CG Times" w:cs="Times"/>
          <w:i/>
          <w:iCs/>
          <w:sz w:val="22"/>
          <w:szCs w:val="22"/>
          <w:lang w:eastAsia="en-ZA"/>
        </w:rPr>
        <w:t>The Conflict of Laws</w:t>
      </w:r>
      <w:r w:rsidRPr="00FA655D">
        <w:rPr>
          <w:rFonts w:ascii="CG Times" w:hAnsi="CG Times" w:cs="Times"/>
          <w:sz w:val="22"/>
          <w:szCs w:val="22"/>
          <w:lang w:eastAsia="en-ZA"/>
        </w:rPr>
        <w:t xml:space="preserve"> 10th ed at 1211 - 12; </w:t>
      </w:r>
      <w:r w:rsidRPr="002C557D">
        <w:rPr>
          <w:rFonts w:ascii="CG Times" w:hAnsi="CG Times" w:cs="Times"/>
          <w:i/>
          <w:iCs/>
          <w:sz w:val="22"/>
          <w:szCs w:val="22"/>
          <w:lang w:eastAsia="en-ZA"/>
        </w:rPr>
        <w:t>De Beéche v South American Stores Ltd and Chilian Stores Ltd</w:t>
      </w:r>
      <w:r w:rsidRPr="00FA655D">
        <w:rPr>
          <w:rFonts w:ascii="CG Times" w:hAnsi="CG Times" w:cs="Times"/>
          <w:sz w:val="22"/>
          <w:szCs w:val="22"/>
          <w:lang w:eastAsia="en-ZA"/>
        </w:rPr>
        <w:t xml:space="preserve"> 1935 AC 148 at 158 - 9.) It follows that the party relying on the foreign statute should, generally speaking, place that statute before the Court. Accordingly, the argument based on the</w:t>
      </w:r>
      <w:r w:rsidR="00FA655D" w:rsidRPr="00FA655D">
        <w:rPr>
          <w:rFonts w:ascii="CG Times" w:hAnsi="CG Times" w:cs="Times"/>
          <w:sz w:val="22"/>
          <w:szCs w:val="22"/>
          <w:lang w:eastAsia="en-ZA"/>
        </w:rPr>
        <w:t xml:space="preserve"> </w:t>
      </w:r>
      <w:r w:rsidRPr="00FA655D">
        <w:rPr>
          <w:rFonts w:ascii="CG Times" w:hAnsi="CG Times" w:cs="Times"/>
          <w:sz w:val="22"/>
          <w:szCs w:val="22"/>
          <w:lang w:eastAsia="en-ZA"/>
        </w:rPr>
        <w:t>alleged proper law of the contract cannot succeed.</w:t>
      </w:r>
      <w:r w:rsidR="00FA655D" w:rsidRPr="00FA655D">
        <w:rPr>
          <w:rFonts w:ascii="CG Times" w:hAnsi="CG Times" w:cs="Times"/>
          <w:sz w:val="22"/>
          <w:szCs w:val="22"/>
          <w:lang w:eastAsia="en-ZA"/>
        </w:rPr>
        <w:t>”</w:t>
      </w:r>
      <w:r w:rsidR="001171C1">
        <w:rPr>
          <w:rStyle w:val="FootnoteReference"/>
          <w:rFonts w:ascii="CG Times" w:hAnsi="CG Times" w:cs="Times"/>
          <w:sz w:val="22"/>
          <w:szCs w:val="22"/>
          <w:lang w:eastAsia="en-ZA"/>
        </w:rPr>
        <w:footnoteReference w:id="23"/>
      </w:r>
    </w:p>
    <w:p w14:paraId="16F962D5" w14:textId="3F0C803E" w:rsidR="00D05E17" w:rsidRPr="00FA655D" w:rsidRDefault="00CA0B12" w:rsidP="00D05E17">
      <w:pPr>
        <w:spacing w:line="360" w:lineRule="auto"/>
        <w:ind w:left="851" w:right="521"/>
        <w:jc w:val="right"/>
        <w:rPr>
          <w:rFonts w:ascii="CG Times" w:hAnsi="CG Times" w:cs="Times"/>
          <w:sz w:val="22"/>
          <w:szCs w:val="22"/>
          <w:lang w:eastAsia="en-ZA"/>
        </w:rPr>
      </w:pPr>
      <w:r>
        <w:rPr>
          <w:rFonts w:ascii="CG Times" w:hAnsi="CG Times" w:cs="Times"/>
          <w:sz w:val="22"/>
          <w:szCs w:val="22"/>
          <w:lang w:eastAsia="en-ZA"/>
        </w:rPr>
        <w:t>(emphasis added)</w:t>
      </w:r>
    </w:p>
    <w:p w14:paraId="32D0CA29" w14:textId="77777777" w:rsidR="00E65D31" w:rsidRDefault="00E65D31" w:rsidP="002C6087">
      <w:pPr>
        <w:spacing w:line="360" w:lineRule="auto"/>
        <w:jc w:val="both"/>
        <w:rPr>
          <w:rFonts w:ascii="CG Times" w:hAnsi="CG Times" w:cs="Arial"/>
          <w:sz w:val="26"/>
          <w:szCs w:val="26"/>
        </w:rPr>
      </w:pPr>
    </w:p>
    <w:p w14:paraId="1EF02660" w14:textId="286A0A12" w:rsidR="00031BF1" w:rsidRDefault="00E65D31" w:rsidP="00E43DE3">
      <w:pPr>
        <w:spacing w:line="360" w:lineRule="auto"/>
        <w:jc w:val="both"/>
        <w:rPr>
          <w:rFonts w:ascii="CG Times" w:hAnsi="CG Times" w:cs="Arial"/>
          <w:sz w:val="26"/>
          <w:szCs w:val="26"/>
        </w:rPr>
      </w:pPr>
      <w:r>
        <w:rPr>
          <w:rFonts w:ascii="CG Times" w:hAnsi="CG Times" w:cs="Arial"/>
          <w:sz w:val="26"/>
          <w:szCs w:val="26"/>
        </w:rPr>
        <w:t>[</w:t>
      </w:r>
      <w:r w:rsidR="00517FA8">
        <w:rPr>
          <w:rFonts w:ascii="CG Times" w:hAnsi="CG Times" w:cs="Arial"/>
          <w:sz w:val="26"/>
          <w:szCs w:val="26"/>
        </w:rPr>
        <w:t>1</w:t>
      </w:r>
      <w:r w:rsidR="00545ED6">
        <w:rPr>
          <w:rFonts w:ascii="CG Times" w:hAnsi="CG Times" w:cs="Arial"/>
          <w:sz w:val="26"/>
          <w:szCs w:val="26"/>
        </w:rPr>
        <w:t>3</w:t>
      </w:r>
      <w:r>
        <w:rPr>
          <w:rFonts w:ascii="CG Times" w:hAnsi="CG Times" w:cs="Arial"/>
          <w:sz w:val="26"/>
          <w:szCs w:val="26"/>
        </w:rPr>
        <w:t>]</w:t>
      </w:r>
      <w:r>
        <w:rPr>
          <w:rFonts w:ascii="CG Times" w:hAnsi="CG Times" w:cs="Arial"/>
          <w:sz w:val="26"/>
          <w:szCs w:val="26"/>
        </w:rPr>
        <w:tab/>
      </w:r>
      <w:r w:rsidR="00142DD3">
        <w:rPr>
          <w:rFonts w:ascii="CG Times" w:hAnsi="CG Times" w:cs="Arial"/>
          <w:sz w:val="26"/>
          <w:szCs w:val="26"/>
        </w:rPr>
        <w:t>The foreign law now advanced by the applicant</w:t>
      </w:r>
      <w:r w:rsidR="00CA0B12">
        <w:rPr>
          <w:rFonts w:ascii="CG Times" w:hAnsi="CG Times" w:cs="Arial"/>
          <w:sz w:val="26"/>
          <w:szCs w:val="26"/>
        </w:rPr>
        <w:t>s</w:t>
      </w:r>
      <w:r w:rsidR="00142DD3">
        <w:rPr>
          <w:rFonts w:ascii="CG Times" w:hAnsi="CG Times" w:cs="Arial"/>
          <w:sz w:val="26"/>
          <w:szCs w:val="26"/>
        </w:rPr>
        <w:t xml:space="preserve"> </w:t>
      </w:r>
      <w:r w:rsidR="00DD3530">
        <w:rPr>
          <w:rFonts w:ascii="CG Times" w:hAnsi="CG Times" w:cs="Arial"/>
          <w:sz w:val="26"/>
          <w:szCs w:val="26"/>
        </w:rPr>
        <w:t xml:space="preserve">in </w:t>
      </w:r>
      <w:r w:rsidR="00CA0B12">
        <w:rPr>
          <w:rFonts w:ascii="CG Times" w:hAnsi="CG Times" w:cs="Arial"/>
          <w:sz w:val="26"/>
          <w:szCs w:val="26"/>
        </w:rPr>
        <w:t>the</w:t>
      </w:r>
      <w:r w:rsidR="00DD3530">
        <w:rPr>
          <w:rFonts w:ascii="CG Times" w:hAnsi="CG Times" w:cs="Arial"/>
          <w:sz w:val="26"/>
          <w:szCs w:val="26"/>
        </w:rPr>
        <w:t xml:space="preserve"> heads of argument </w:t>
      </w:r>
      <w:r w:rsidR="00FB7ED1">
        <w:rPr>
          <w:rFonts w:ascii="CG Times" w:hAnsi="CG Times" w:cs="Arial"/>
          <w:sz w:val="26"/>
          <w:szCs w:val="26"/>
        </w:rPr>
        <w:t xml:space="preserve">filed on their behalf </w:t>
      </w:r>
      <w:r w:rsidR="00142DD3">
        <w:rPr>
          <w:rFonts w:ascii="CG Times" w:hAnsi="CG Times" w:cs="Arial"/>
          <w:sz w:val="26"/>
          <w:szCs w:val="26"/>
        </w:rPr>
        <w:t>at this late stage is not a factual matter about which this Court can take judicial notice</w:t>
      </w:r>
      <w:r w:rsidR="00CD71A4">
        <w:rPr>
          <w:rFonts w:ascii="CG Times" w:hAnsi="CG Times" w:cs="Arial"/>
          <w:sz w:val="26"/>
          <w:szCs w:val="26"/>
        </w:rPr>
        <w:t xml:space="preserve"> as there is no expert evidence in relation to which such judicial notice could possibly be taken.</w:t>
      </w:r>
      <w:r w:rsidR="00E50E6A">
        <w:rPr>
          <w:rFonts w:ascii="CG Times" w:hAnsi="CG Times" w:cs="Arial"/>
          <w:sz w:val="26"/>
          <w:szCs w:val="26"/>
        </w:rPr>
        <w:t xml:space="preserve"> This is because, </w:t>
      </w:r>
      <w:r w:rsidR="00E50E6A" w:rsidRPr="00E50E6A">
        <w:rPr>
          <w:rFonts w:ascii="CG Times" w:hAnsi="CG Times" w:cs="Arial"/>
          <w:sz w:val="26"/>
          <w:szCs w:val="26"/>
        </w:rPr>
        <w:t>where the relevant foreign law is statutory</w:t>
      </w:r>
      <w:r w:rsidR="00157E8F">
        <w:rPr>
          <w:rFonts w:ascii="CG Times" w:hAnsi="CG Times" w:cs="Arial"/>
          <w:sz w:val="26"/>
          <w:szCs w:val="26"/>
        </w:rPr>
        <w:t xml:space="preserve"> in nature</w:t>
      </w:r>
      <w:r w:rsidR="00E50E6A" w:rsidRPr="00E50E6A">
        <w:rPr>
          <w:rFonts w:ascii="CG Times" w:hAnsi="CG Times" w:cs="Arial"/>
          <w:sz w:val="26"/>
          <w:szCs w:val="26"/>
        </w:rPr>
        <w:t xml:space="preserve">, it is the right and duty of the Court itself to examine the statute and to determine the meaning and effect thereof </w:t>
      </w:r>
      <w:r w:rsidR="00E50E6A" w:rsidRPr="00A72CFF">
        <w:rPr>
          <w:rFonts w:ascii="CG Times" w:hAnsi="CG Times" w:cs="Arial"/>
          <w:sz w:val="26"/>
          <w:szCs w:val="26"/>
          <w:u w:val="single"/>
        </w:rPr>
        <w:t>in the light of the expert testimony</w:t>
      </w:r>
      <w:r w:rsidR="00157E8F">
        <w:rPr>
          <w:rFonts w:ascii="CG Times" w:hAnsi="CG Times" w:cs="Arial"/>
          <w:sz w:val="26"/>
          <w:szCs w:val="26"/>
        </w:rPr>
        <w:t>.</w:t>
      </w:r>
      <w:r w:rsidR="000402C5">
        <w:rPr>
          <w:rStyle w:val="FootnoteReference"/>
          <w:rFonts w:ascii="CG Times" w:hAnsi="CG Times" w:cs="Arial"/>
          <w:sz w:val="26"/>
          <w:szCs w:val="26"/>
        </w:rPr>
        <w:footnoteReference w:id="24"/>
      </w:r>
      <w:r w:rsidR="00157E8F">
        <w:rPr>
          <w:rFonts w:ascii="CG Times" w:hAnsi="CG Times" w:cs="Arial"/>
          <w:sz w:val="26"/>
          <w:szCs w:val="26"/>
        </w:rPr>
        <w:t xml:space="preserve"> But in the absence of expert testimony</w:t>
      </w:r>
      <w:r w:rsidR="00785D61">
        <w:rPr>
          <w:rFonts w:ascii="CG Times" w:hAnsi="CG Times" w:cs="Arial"/>
          <w:sz w:val="26"/>
          <w:szCs w:val="26"/>
        </w:rPr>
        <w:t xml:space="preserve"> in relation to such foreign law, there is no room for taking judicial notice </w:t>
      </w:r>
      <w:r w:rsidR="000A3A9D">
        <w:rPr>
          <w:rFonts w:ascii="CG Times" w:hAnsi="CG Times" w:cs="Arial"/>
          <w:sz w:val="26"/>
          <w:szCs w:val="26"/>
        </w:rPr>
        <w:t>of it.</w:t>
      </w:r>
      <w:r w:rsidR="00CE07FC">
        <w:rPr>
          <w:rFonts w:ascii="CG Times" w:hAnsi="CG Times" w:cs="Arial"/>
          <w:sz w:val="26"/>
          <w:szCs w:val="26"/>
        </w:rPr>
        <w:t xml:space="preserve"> That this foreign law is sought to be used as an interpretative guide </w:t>
      </w:r>
      <w:r w:rsidR="000B2F4A">
        <w:rPr>
          <w:rFonts w:ascii="CG Times" w:hAnsi="CG Times" w:cs="Arial"/>
          <w:sz w:val="26"/>
          <w:szCs w:val="26"/>
        </w:rPr>
        <w:t>does not take the matter any further. That is how we understood the purpose for introducing it</w:t>
      </w:r>
      <w:r w:rsidR="00260C57">
        <w:rPr>
          <w:rFonts w:ascii="CG Times" w:hAnsi="CG Times" w:cs="Arial"/>
          <w:sz w:val="26"/>
          <w:szCs w:val="26"/>
        </w:rPr>
        <w:t>.</w:t>
      </w:r>
      <w:r w:rsidR="00CE07FC">
        <w:rPr>
          <w:rFonts w:ascii="CG Times" w:hAnsi="CG Times" w:cs="Arial"/>
          <w:sz w:val="26"/>
          <w:szCs w:val="26"/>
        </w:rPr>
        <w:t xml:space="preserve"> </w:t>
      </w:r>
    </w:p>
    <w:p w14:paraId="2B9141AB" w14:textId="77777777" w:rsidR="00160CEC" w:rsidRDefault="00160CEC" w:rsidP="00E43DE3">
      <w:pPr>
        <w:spacing w:line="360" w:lineRule="auto"/>
        <w:jc w:val="both"/>
        <w:rPr>
          <w:rFonts w:ascii="CG Times" w:hAnsi="CG Times" w:cs="Arial"/>
          <w:sz w:val="26"/>
          <w:szCs w:val="26"/>
        </w:rPr>
      </w:pPr>
    </w:p>
    <w:p w14:paraId="11B09717" w14:textId="56D592BB" w:rsidR="007659BF" w:rsidRPr="005B5882" w:rsidRDefault="00160CEC" w:rsidP="00E43DE3">
      <w:pPr>
        <w:spacing w:line="360" w:lineRule="auto"/>
        <w:jc w:val="both"/>
        <w:rPr>
          <w:rFonts w:ascii="CG Times" w:hAnsi="CG Times" w:cs="Arial"/>
          <w:sz w:val="26"/>
          <w:szCs w:val="26"/>
        </w:rPr>
      </w:pPr>
      <w:r>
        <w:rPr>
          <w:rFonts w:ascii="CG Times" w:hAnsi="CG Times" w:cs="Arial"/>
          <w:sz w:val="26"/>
          <w:szCs w:val="26"/>
        </w:rPr>
        <w:t>[1</w:t>
      </w:r>
      <w:r w:rsidR="00CE07FC">
        <w:rPr>
          <w:rFonts w:ascii="CG Times" w:hAnsi="CG Times" w:cs="Arial"/>
          <w:sz w:val="26"/>
          <w:szCs w:val="26"/>
        </w:rPr>
        <w:t>4</w:t>
      </w:r>
      <w:r>
        <w:rPr>
          <w:rFonts w:ascii="CG Times" w:hAnsi="CG Times" w:cs="Arial"/>
          <w:sz w:val="26"/>
          <w:szCs w:val="26"/>
        </w:rPr>
        <w:t>]</w:t>
      </w:r>
      <w:r>
        <w:rPr>
          <w:rFonts w:ascii="CG Times" w:hAnsi="CG Times" w:cs="Arial"/>
          <w:sz w:val="26"/>
          <w:szCs w:val="26"/>
        </w:rPr>
        <w:tab/>
      </w:r>
      <w:r w:rsidR="007659BF">
        <w:rPr>
          <w:rFonts w:ascii="CG Times" w:hAnsi="CG Times" w:cs="Arial"/>
          <w:sz w:val="26"/>
          <w:szCs w:val="26"/>
        </w:rPr>
        <w:t xml:space="preserve">Counsel for the applicants invokes section </w:t>
      </w:r>
      <w:r w:rsidR="00232F3C">
        <w:rPr>
          <w:rFonts w:ascii="CG Times" w:hAnsi="CG Times" w:cs="Arial"/>
          <w:sz w:val="26"/>
          <w:szCs w:val="26"/>
        </w:rPr>
        <w:t>233 of the Constitution in urging us to consider foreign law</w:t>
      </w:r>
      <w:r w:rsidR="00F6590E">
        <w:rPr>
          <w:rFonts w:ascii="CG Times" w:hAnsi="CG Times" w:cs="Arial"/>
          <w:sz w:val="26"/>
          <w:szCs w:val="26"/>
        </w:rPr>
        <w:t xml:space="preserve">. There is no warrant for this. Section 233 says: </w:t>
      </w:r>
      <w:r w:rsidR="00F6590E" w:rsidRPr="00D22E8D">
        <w:rPr>
          <w:rFonts w:ascii="CG Times" w:hAnsi="CG Times" w:cs="Arial"/>
          <w:i/>
          <w:iCs/>
          <w:sz w:val="26"/>
          <w:szCs w:val="26"/>
        </w:rPr>
        <w:t>“</w:t>
      </w:r>
      <w:r w:rsidR="00F6590E" w:rsidRPr="00D22E8D">
        <w:rPr>
          <w:rFonts w:ascii="CG Times" w:hAnsi="CG Times"/>
          <w:i/>
          <w:iCs/>
          <w:sz w:val="26"/>
          <w:szCs w:val="26"/>
        </w:rPr>
        <w:t>When interpreting any legislation, every court must prefer any reasonable interpretation of the legislation that is consistent with international law over any alternative interpretation that is inconsistent with international law.”</w:t>
      </w:r>
      <w:r w:rsidR="005B5882">
        <w:rPr>
          <w:rFonts w:ascii="CG Times" w:hAnsi="CG Times"/>
          <w:sz w:val="26"/>
          <w:szCs w:val="26"/>
        </w:rPr>
        <w:t xml:space="preserve"> But nowhere do the applicants </w:t>
      </w:r>
      <w:r w:rsidR="00621626">
        <w:rPr>
          <w:rFonts w:ascii="CG Times" w:hAnsi="CG Times"/>
          <w:sz w:val="26"/>
          <w:szCs w:val="26"/>
        </w:rPr>
        <w:t>plead any inconsistency of the Heritage Act with international law.</w:t>
      </w:r>
      <w:r w:rsidR="00134A84">
        <w:rPr>
          <w:rFonts w:ascii="CG Times" w:hAnsi="CG Times"/>
          <w:sz w:val="26"/>
          <w:szCs w:val="26"/>
        </w:rPr>
        <w:t xml:space="preserve"> That is not the case advanced by their counsel in argument either. </w:t>
      </w:r>
      <w:r w:rsidR="001C1EFC">
        <w:rPr>
          <w:rFonts w:ascii="CG Times" w:hAnsi="CG Times"/>
          <w:sz w:val="26"/>
          <w:szCs w:val="26"/>
        </w:rPr>
        <w:t xml:space="preserve">It is thus not entirely clear </w:t>
      </w:r>
      <w:r w:rsidR="003F1229">
        <w:rPr>
          <w:rFonts w:ascii="CG Times" w:hAnsi="CG Times"/>
          <w:sz w:val="26"/>
          <w:szCs w:val="26"/>
        </w:rPr>
        <w:t xml:space="preserve">to what end recourse to international law </w:t>
      </w:r>
      <w:r w:rsidR="0084035C">
        <w:rPr>
          <w:rFonts w:ascii="CG Times" w:hAnsi="CG Times"/>
          <w:sz w:val="26"/>
          <w:szCs w:val="26"/>
        </w:rPr>
        <w:t>can possibly aid this court in the proper interpretation of the Heritage Act</w:t>
      </w:r>
      <w:r w:rsidR="0096388A">
        <w:rPr>
          <w:rFonts w:ascii="CG Times" w:hAnsi="CG Times"/>
          <w:sz w:val="26"/>
          <w:szCs w:val="26"/>
        </w:rPr>
        <w:t>.</w:t>
      </w:r>
      <w:r w:rsidR="009C3565">
        <w:rPr>
          <w:rFonts w:ascii="CG Times" w:hAnsi="CG Times"/>
          <w:sz w:val="26"/>
          <w:szCs w:val="26"/>
        </w:rPr>
        <w:t xml:space="preserve"> Recourse to international law</w:t>
      </w:r>
      <w:r w:rsidR="00B50AAF">
        <w:rPr>
          <w:rFonts w:ascii="CG Times" w:hAnsi="CG Times"/>
          <w:sz w:val="26"/>
          <w:szCs w:val="26"/>
        </w:rPr>
        <w:t>,</w:t>
      </w:r>
      <w:r w:rsidR="009C3565">
        <w:rPr>
          <w:rFonts w:ascii="CG Times" w:hAnsi="CG Times"/>
          <w:sz w:val="26"/>
          <w:szCs w:val="26"/>
        </w:rPr>
        <w:t xml:space="preserve"> in </w:t>
      </w:r>
      <w:r w:rsidR="00B50AAF">
        <w:rPr>
          <w:rFonts w:ascii="CG Times" w:hAnsi="CG Times"/>
          <w:sz w:val="26"/>
          <w:szCs w:val="26"/>
        </w:rPr>
        <w:t xml:space="preserve">light of what has been pleaded, </w:t>
      </w:r>
      <w:r w:rsidR="00B079E7">
        <w:rPr>
          <w:rFonts w:ascii="CG Times" w:hAnsi="CG Times"/>
          <w:sz w:val="26"/>
          <w:szCs w:val="26"/>
        </w:rPr>
        <w:t>will in my view be of no assistance to the SCA.</w:t>
      </w:r>
    </w:p>
    <w:p w14:paraId="44644BFE" w14:textId="77777777" w:rsidR="007659BF" w:rsidRDefault="007659BF" w:rsidP="00E43DE3">
      <w:pPr>
        <w:spacing w:line="360" w:lineRule="auto"/>
        <w:jc w:val="both"/>
        <w:rPr>
          <w:rFonts w:ascii="CG Times" w:hAnsi="CG Times" w:cs="Arial"/>
          <w:sz w:val="26"/>
          <w:szCs w:val="26"/>
        </w:rPr>
      </w:pPr>
    </w:p>
    <w:p w14:paraId="1BC69419" w14:textId="3ABA897F" w:rsidR="00160CEC" w:rsidRDefault="007659BF" w:rsidP="00E43DE3">
      <w:pPr>
        <w:spacing w:line="360" w:lineRule="auto"/>
        <w:jc w:val="both"/>
        <w:rPr>
          <w:rFonts w:ascii="CG Times" w:hAnsi="CG Times" w:cs="Arial"/>
          <w:sz w:val="26"/>
          <w:szCs w:val="26"/>
        </w:rPr>
      </w:pPr>
      <w:r>
        <w:rPr>
          <w:rFonts w:ascii="CG Times" w:hAnsi="CG Times" w:cs="Arial"/>
          <w:sz w:val="26"/>
          <w:szCs w:val="26"/>
        </w:rPr>
        <w:t>[15]</w:t>
      </w:r>
      <w:r>
        <w:rPr>
          <w:rFonts w:ascii="CG Times" w:hAnsi="CG Times" w:cs="Arial"/>
          <w:sz w:val="26"/>
          <w:szCs w:val="26"/>
        </w:rPr>
        <w:tab/>
      </w:r>
      <w:r w:rsidR="0002487C">
        <w:rPr>
          <w:rFonts w:ascii="CG Times" w:hAnsi="CG Times" w:cs="Arial"/>
          <w:sz w:val="26"/>
          <w:szCs w:val="26"/>
        </w:rPr>
        <w:t xml:space="preserve">The applicants claim </w:t>
      </w:r>
      <w:r w:rsidR="00FA73F8">
        <w:rPr>
          <w:rFonts w:ascii="CG Times" w:hAnsi="CG Times" w:cs="Arial"/>
          <w:sz w:val="26"/>
          <w:szCs w:val="26"/>
        </w:rPr>
        <w:t xml:space="preserve">in their heads of argument </w:t>
      </w:r>
      <w:r w:rsidR="0002487C">
        <w:rPr>
          <w:rFonts w:ascii="CG Times" w:hAnsi="CG Times" w:cs="Arial"/>
          <w:sz w:val="26"/>
          <w:szCs w:val="26"/>
        </w:rPr>
        <w:t xml:space="preserve">that South Africa is party to </w:t>
      </w:r>
      <w:r w:rsidR="000B5B1A">
        <w:rPr>
          <w:rFonts w:ascii="CG Times" w:hAnsi="CG Times" w:cs="Arial"/>
          <w:sz w:val="26"/>
          <w:szCs w:val="26"/>
        </w:rPr>
        <w:t>at least two multilateral treaties for the protection and regulation of heritage objects</w:t>
      </w:r>
      <w:r w:rsidR="00ED495C">
        <w:rPr>
          <w:rFonts w:ascii="CG Times" w:hAnsi="CG Times" w:cs="Arial"/>
          <w:sz w:val="26"/>
          <w:szCs w:val="26"/>
        </w:rPr>
        <w:t xml:space="preserve">, and </w:t>
      </w:r>
      <w:r w:rsidR="00F61548">
        <w:rPr>
          <w:rFonts w:ascii="CG Times" w:hAnsi="CG Times" w:cs="Arial"/>
          <w:sz w:val="26"/>
          <w:szCs w:val="26"/>
        </w:rPr>
        <w:t xml:space="preserve">that </w:t>
      </w:r>
      <w:r w:rsidR="00ED495C">
        <w:rPr>
          <w:rFonts w:ascii="CG Times" w:hAnsi="CG Times" w:cs="Arial"/>
          <w:sz w:val="26"/>
          <w:szCs w:val="26"/>
        </w:rPr>
        <w:t xml:space="preserve">a regional policy document was accepted by </w:t>
      </w:r>
      <w:r w:rsidR="006837D6">
        <w:rPr>
          <w:rFonts w:ascii="CG Times" w:hAnsi="CG Times" w:cs="Arial"/>
          <w:sz w:val="26"/>
          <w:szCs w:val="26"/>
        </w:rPr>
        <w:t xml:space="preserve">the </w:t>
      </w:r>
      <w:r w:rsidR="00ED495C">
        <w:rPr>
          <w:rFonts w:ascii="CG Times" w:hAnsi="CG Times" w:cs="Arial"/>
          <w:sz w:val="26"/>
          <w:szCs w:val="26"/>
        </w:rPr>
        <w:t>South African head of state in 2020.</w:t>
      </w:r>
      <w:r w:rsidR="00F61548">
        <w:rPr>
          <w:rFonts w:ascii="CG Times" w:hAnsi="CG Times" w:cs="Arial"/>
          <w:sz w:val="26"/>
          <w:szCs w:val="26"/>
        </w:rPr>
        <w:t xml:space="preserve"> </w:t>
      </w:r>
      <w:r w:rsidR="0074251F">
        <w:rPr>
          <w:rFonts w:ascii="CG Times" w:hAnsi="CG Times" w:cs="Arial"/>
          <w:sz w:val="26"/>
          <w:szCs w:val="26"/>
        </w:rPr>
        <w:t xml:space="preserve">They then seek to invoke these treaties </w:t>
      </w:r>
      <w:r w:rsidR="006F7A51">
        <w:rPr>
          <w:rFonts w:ascii="CG Times" w:hAnsi="CG Times" w:cs="Arial"/>
          <w:sz w:val="26"/>
          <w:szCs w:val="26"/>
        </w:rPr>
        <w:t>and policy documents with a view to moving us to granting leave to appeal</w:t>
      </w:r>
      <w:r w:rsidR="00DF6E0B">
        <w:rPr>
          <w:rFonts w:ascii="CG Times" w:hAnsi="CG Times" w:cs="Arial"/>
          <w:sz w:val="26"/>
          <w:szCs w:val="26"/>
        </w:rPr>
        <w:t>.</w:t>
      </w:r>
      <w:r w:rsidR="006F7A51">
        <w:rPr>
          <w:rFonts w:ascii="CG Times" w:hAnsi="CG Times" w:cs="Arial"/>
          <w:sz w:val="26"/>
          <w:szCs w:val="26"/>
        </w:rPr>
        <w:t xml:space="preserve"> </w:t>
      </w:r>
      <w:r w:rsidR="00E35613">
        <w:rPr>
          <w:rFonts w:ascii="CG Times" w:hAnsi="CG Times" w:cs="Arial"/>
          <w:sz w:val="26"/>
          <w:szCs w:val="26"/>
        </w:rPr>
        <w:t>But</w:t>
      </w:r>
      <w:r w:rsidR="00742226">
        <w:rPr>
          <w:rFonts w:ascii="CG Times" w:hAnsi="CG Times" w:cs="Arial"/>
          <w:sz w:val="26"/>
          <w:szCs w:val="26"/>
        </w:rPr>
        <w:t xml:space="preserve"> </w:t>
      </w:r>
      <w:r w:rsidR="00ED495C">
        <w:rPr>
          <w:rFonts w:ascii="CG Times" w:hAnsi="CG Times" w:cs="Arial"/>
          <w:sz w:val="26"/>
          <w:szCs w:val="26"/>
        </w:rPr>
        <w:t xml:space="preserve">these are factual allegations that should have been placed in evidence before us. They cannot simply be advanced for the first time, as if common cause, in heads of argument </w:t>
      </w:r>
      <w:r w:rsidR="00FA73F8">
        <w:rPr>
          <w:rFonts w:ascii="CG Times" w:hAnsi="CG Times" w:cs="Arial"/>
          <w:sz w:val="26"/>
          <w:szCs w:val="26"/>
        </w:rPr>
        <w:t>in an application for leave to appeal.</w:t>
      </w:r>
      <w:r w:rsidR="00D246CC">
        <w:rPr>
          <w:rFonts w:ascii="CG Times" w:hAnsi="CG Times" w:cs="Arial"/>
          <w:sz w:val="26"/>
          <w:szCs w:val="26"/>
        </w:rPr>
        <w:t xml:space="preserve"> In any event, there is no warrant for recourse to these instruments for reasons already </w:t>
      </w:r>
      <w:r w:rsidR="00DE29C7">
        <w:rPr>
          <w:rFonts w:ascii="CG Times" w:hAnsi="CG Times" w:cs="Arial"/>
          <w:sz w:val="26"/>
          <w:szCs w:val="26"/>
        </w:rPr>
        <w:t>given.</w:t>
      </w:r>
      <w:r w:rsidR="00ED495C">
        <w:rPr>
          <w:rFonts w:ascii="CG Times" w:hAnsi="CG Times" w:cs="Arial"/>
          <w:sz w:val="26"/>
          <w:szCs w:val="26"/>
        </w:rPr>
        <w:t xml:space="preserve"> </w:t>
      </w:r>
    </w:p>
    <w:p w14:paraId="6CD37FB5" w14:textId="77777777" w:rsidR="00031BF1" w:rsidRDefault="00031BF1" w:rsidP="00E43DE3">
      <w:pPr>
        <w:spacing w:line="360" w:lineRule="auto"/>
        <w:jc w:val="both"/>
        <w:rPr>
          <w:rFonts w:ascii="CG Times" w:hAnsi="CG Times" w:cs="Arial"/>
          <w:sz w:val="26"/>
          <w:szCs w:val="26"/>
        </w:rPr>
      </w:pPr>
    </w:p>
    <w:p w14:paraId="72DC5A25" w14:textId="3D7C82D6" w:rsidR="00F0464A" w:rsidRDefault="00E3245C" w:rsidP="00E43DE3">
      <w:pPr>
        <w:spacing w:line="360" w:lineRule="auto"/>
        <w:jc w:val="both"/>
        <w:rPr>
          <w:rFonts w:ascii="CG Times" w:hAnsi="CG Times" w:cs="Arial"/>
          <w:sz w:val="26"/>
          <w:szCs w:val="26"/>
        </w:rPr>
      </w:pPr>
      <w:r>
        <w:rPr>
          <w:rFonts w:ascii="CG Times" w:hAnsi="CG Times" w:cs="Arial"/>
          <w:sz w:val="26"/>
          <w:szCs w:val="26"/>
        </w:rPr>
        <w:t>[1</w:t>
      </w:r>
      <w:r w:rsidR="00DE29C7">
        <w:rPr>
          <w:rFonts w:ascii="CG Times" w:hAnsi="CG Times" w:cs="Arial"/>
          <w:sz w:val="26"/>
          <w:szCs w:val="26"/>
        </w:rPr>
        <w:t>6</w:t>
      </w:r>
      <w:r>
        <w:rPr>
          <w:rFonts w:ascii="CG Times" w:hAnsi="CG Times" w:cs="Arial"/>
          <w:sz w:val="26"/>
          <w:szCs w:val="26"/>
        </w:rPr>
        <w:t>]</w:t>
      </w:r>
      <w:r>
        <w:rPr>
          <w:rFonts w:ascii="CG Times" w:hAnsi="CG Times" w:cs="Arial"/>
          <w:sz w:val="26"/>
          <w:szCs w:val="26"/>
        </w:rPr>
        <w:tab/>
      </w:r>
      <w:r w:rsidR="00F0464A">
        <w:rPr>
          <w:rFonts w:ascii="CG Times" w:hAnsi="CG Times" w:cs="Arial"/>
          <w:sz w:val="26"/>
          <w:szCs w:val="26"/>
        </w:rPr>
        <w:t xml:space="preserve">Finally, the applicants </w:t>
      </w:r>
      <w:r w:rsidR="002D5467">
        <w:rPr>
          <w:rFonts w:ascii="CG Times" w:hAnsi="CG Times" w:cs="Arial"/>
          <w:sz w:val="26"/>
          <w:szCs w:val="26"/>
        </w:rPr>
        <w:t xml:space="preserve">complain that we </w:t>
      </w:r>
      <w:r w:rsidR="00A4562D" w:rsidRPr="00627414">
        <w:rPr>
          <w:rFonts w:ascii="CG Times" w:hAnsi="CG Times" w:cs="Arial"/>
          <w:i/>
          <w:iCs/>
          <w:sz w:val="26"/>
          <w:szCs w:val="26"/>
        </w:rPr>
        <w:t xml:space="preserve">“overlooked or undervalued the qualifying effect of the term “significant” </w:t>
      </w:r>
      <w:r w:rsidR="00A87E48" w:rsidRPr="00627414">
        <w:rPr>
          <w:rFonts w:ascii="CG Times" w:hAnsi="CG Times" w:cs="Arial"/>
          <w:i/>
          <w:iCs/>
          <w:sz w:val="26"/>
          <w:szCs w:val="26"/>
        </w:rPr>
        <w:t xml:space="preserve">in each of the categories of the List of Types </w:t>
      </w:r>
      <w:r w:rsidR="00627414" w:rsidRPr="00627414">
        <w:rPr>
          <w:rFonts w:ascii="CG Times" w:hAnsi="CG Times" w:cs="Arial"/>
          <w:i/>
          <w:iCs/>
          <w:sz w:val="26"/>
          <w:szCs w:val="26"/>
        </w:rPr>
        <w:t>relied on by the applicants”</w:t>
      </w:r>
      <w:r w:rsidR="00627414">
        <w:rPr>
          <w:rFonts w:ascii="CG Times" w:hAnsi="CG Times" w:cs="Arial"/>
          <w:sz w:val="26"/>
          <w:szCs w:val="26"/>
        </w:rPr>
        <w:t>. They say</w:t>
      </w:r>
      <w:r w:rsidR="00D16354">
        <w:rPr>
          <w:rFonts w:ascii="CG Times" w:hAnsi="CG Times" w:cs="Arial"/>
          <w:sz w:val="26"/>
          <w:szCs w:val="26"/>
        </w:rPr>
        <w:t>:</w:t>
      </w:r>
      <w:r w:rsidR="00627414">
        <w:rPr>
          <w:rFonts w:ascii="CG Times" w:hAnsi="CG Times" w:cs="Arial"/>
          <w:sz w:val="26"/>
          <w:szCs w:val="26"/>
        </w:rPr>
        <w:t xml:space="preserve"> </w:t>
      </w:r>
      <w:r w:rsidR="00627414" w:rsidRPr="00795C04">
        <w:rPr>
          <w:rFonts w:ascii="CG Times" w:hAnsi="CG Times" w:cs="Arial"/>
          <w:i/>
          <w:iCs/>
          <w:sz w:val="26"/>
          <w:szCs w:val="26"/>
        </w:rPr>
        <w:t>“</w:t>
      </w:r>
      <w:r w:rsidR="008C3274" w:rsidRPr="00795C04">
        <w:rPr>
          <w:rFonts w:ascii="CG Times" w:hAnsi="CG Times" w:cs="Arial"/>
          <w:i/>
          <w:iCs/>
          <w:sz w:val="26"/>
          <w:szCs w:val="26"/>
        </w:rPr>
        <w:t xml:space="preserve">A proper interpretation of such categories would have confined itself to </w:t>
      </w:r>
      <w:r w:rsidR="00E01C0D" w:rsidRPr="00795C04">
        <w:rPr>
          <w:rFonts w:ascii="CG Times" w:hAnsi="CG Times" w:cs="Arial"/>
          <w:i/>
          <w:iCs/>
          <w:sz w:val="26"/>
          <w:szCs w:val="26"/>
        </w:rPr>
        <w:t>giving meaning to that term as a central element of the text</w:t>
      </w:r>
      <w:r w:rsidR="005E12ED" w:rsidRPr="00795C04">
        <w:rPr>
          <w:rFonts w:ascii="CG Times" w:hAnsi="CG Times" w:cs="Arial"/>
          <w:i/>
          <w:iCs/>
          <w:sz w:val="26"/>
          <w:szCs w:val="26"/>
        </w:rPr>
        <w:t xml:space="preserve">, context and (broad) purpose of the List of Types and the empowering </w:t>
      </w:r>
      <w:r w:rsidR="00795C04" w:rsidRPr="00795C04">
        <w:rPr>
          <w:rFonts w:ascii="CG Times" w:hAnsi="CG Times" w:cs="Arial"/>
          <w:i/>
          <w:iCs/>
          <w:sz w:val="26"/>
          <w:szCs w:val="26"/>
        </w:rPr>
        <w:t>Heritage Act”</w:t>
      </w:r>
      <w:r w:rsidR="00795C04">
        <w:rPr>
          <w:rFonts w:ascii="CG Times" w:hAnsi="CG Times" w:cs="Arial"/>
          <w:sz w:val="26"/>
          <w:szCs w:val="26"/>
        </w:rPr>
        <w:t>.</w:t>
      </w:r>
      <w:r w:rsidR="00D16354">
        <w:rPr>
          <w:rStyle w:val="FootnoteReference"/>
          <w:rFonts w:ascii="CG Times" w:hAnsi="CG Times" w:cs="Arial"/>
          <w:sz w:val="26"/>
          <w:szCs w:val="26"/>
        </w:rPr>
        <w:footnoteReference w:id="25"/>
      </w:r>
      <w:r w:rsidR="00E01C0D">
        <w:rPr>
          <w:rFonts w:ascii="CG Times" w:hAnsi="CG Times" w:cs="Arial"/>
          <w:sz w:val="26"/>
          <w:szCs w:val="26"/>
        </w:rPr>
        <w:t xml:space="preserve"> </w:t>
      </w:r>
      <w:r w:rsidR="004203EA">
        <w:rPr>
          <w:rFonts w:ascii="CG Times" w:hAnsi="CG Times" w:cs="Arial"/>
          <w:sz w:val="26"/>
          <w:szCs w:val="26"/>
        </w:rPr>
        <w:t xml:space="preserve">But this ground of appeal is </w:t>
      </w:r>
      <w:r w:rsidR="00513540">
        <w:rPr>
          <w:rFonts w:ascii="CG Times" w:hAnsi="CG Times" w:cs="Arial"/>
          <w:sz w:val="26"/>
          <w:szCs w:val="26"/>
        </w:rPr>
        <w:t xml:space="preserve">in </w:t>
      </w:r>
      <w:r w:rsidR="00920364">
        <w:rPr>
          <w:rFonts w:ascii="CG Times" w:hAnsi="CG Times" w:cs="Arial"/>
          <w:sz w:val="26"/>
          <w:szCs w:val="26"/>
        </w:rPr>
        <w:t xml:space="preserve">sharp contrast to what the applicants urged us </w:t>
      </w:r>
      <w:r w:rsidR="00920364" w:rsidRPr="00920364">
        <w:rPr>
          <w:rFonts w:ascii="CG Times" w:hAnsi="CG Times" w:cs="Arial"/>
          <w:sz w:val="26"/>
          <w:szCs w:val="26"/>
          <w:u w:val="single"/>
        </w:rPr>
        <w:t>not</w:t>
      </w:r>
      <w:r w:rsidR="00920364">
        <w:rPr>
          <w:rFonts w:ascii="CG Times" w:hAnsi="CG Times" w:cs="Arial"/>
          <w:sz w:val="26"/>
          <w:szCs w:val="26"/>
        </w:rPr>
        <w:t xml:space="preserve"> to do</w:t>
      </w:r>
      <w:r w:rsidR="0013721E">
        <w:rPr>
          <w:rFonts w:ascii="CG Times" w:hAnsi="CG Times" w:cs="Arial"/>
          <w:sz w:val="26"/>
          <w:szCs w:val="26"/>
        </w:rPr>
        <w:t xml:space="preserve"> at this interdict stage</w:t>
      </w:r>
      <w:r w:rsidR="00920364">
        <w:rPr>
          <w:rFonts w:ascii="CG Times" w:hAnsi="CG Times" w:cs="Arial"/>
          <w:sz w:val="26"/>
          <w:szCs w:val="26"/>
        </w:rPr>
        <w:t>. In their heads of argument</w:t>
      </w:r>
      <w:r w:rsidR="0011198D">
        <w:rPr>
          <w:rFonts w:ascii="CG Times" w:hAnsi="CG Times" w:cs="Arial"/>
          <w:sz w:val="26"/>
          <w:szCs w:val="26"/>
        </w:rPr>
        <w:t xml:space="preserve"> </w:t>
      </w:r>
      <w:r w:rsidR="003E0235">
        <w:rPr>
          <w:rFonts w:ascii="CG Times" w:hAnsi="CG Times" w:cs="Arial"/>
          <w:sz w:val="26"/>
          <w:szCs w:val="26"/>
        </w:rPr>
        <w:t>in the counter-application, thei</w:t>
      </w:r>
      <w:r w:rsidR="002C56A3">
        <w:rPr>
          <w:rFonts w:ascii="CG Times" w:hAnsi="CG Times" w:cs="Arial"/>
          <w:sz w:val="26"/>
          <w:szCs w:val="26"/>
        </w:rPr>
        <w:t xml:space="preserve">r counsel urged that: </w:t>
      </w:r>
      <w:r w:rsidR="002C56A3" w:rsidRPr="00853BCF">
        <w:rPr>
          <w:rFonts w:ascii="CG Times" w:hAnsi="CG Times" w:cs="Arial"/>
          <w:i/>
          <w:iCs/>
          <w:sz w:val="26"/>
          <w:szCs w:val="26"/>
        </w:rPr>
        <w:t xml:space="preserve">“To conduct a significance assessment at this point </w:t>
      </w:r>
      <w:r w:rsidR="00853BCF" w:rsidRPr="00853BCF">
        <w:rPr>
          <w:rFonts w:ascii="CG Times" w:hAnsi="CG Times" w:cs="Arial"/>
          <w:i/>
          <w:iCs/>
          <w:sz w:val="26"/>
          <w:szCs w:val="26"/>
        </w:rPr>
        <w:t>would be to mis</w:t>
      </w:r>
      <w:r w:rsidR="00853BCF">
        <w:rPr>
          <w:rFonts w:ascii="CG Times" w:hAnsi="CG Times" w:cs="Arial"/>
          <w:i/>
          <w:iCs/>
          <w:sz w:val="26"/>
          <w:szCs w:val="26"/>
        </w:rPr>
        <w:t>a</w:t>
      </w:r>
      <w:r w:rsidR="00853BCF" w:rsidRPr="00853BCF">
        <w:rPr>
          <w:rFonts w:ascii="CG Times" w:hAnsi="CG Times" w:cs="Arial"/>
          <w:i/>
          <w:iCs/>
          <w:sz w:val="26"/>
          <w:szCs w:val="26"/>
        </w:rPr>
        <w:t>pply section 32(19)”</w:t>
      </w:r>
      <w:r w:rsidR="00853BCF">
        <w:rPr>
          <w:rFonts w:ascii="CG Times" w:hAnsi="CG Times" w:cs="Arial"/>
          <w:sz w:val="26"/>
          <w:szCs w:val="26"/>
        </w:rPr>
        <w:t>.</w:t>
      </w:r>
      <w:r w:rsidR="00853BCF">
        <w:rPr>
          <w:rStyle w:val="FootnoteReference"/>
          <w:rFonts w:ascii="CG Times" w:hAnsi="CG Times" w:cs="Arial"/>
          <w:sz w:val="26"/>
          <w:szCs w:val="26"/>
        </w:rPr>
        <w:footnoteReference w:id="26"/>
      </w:r>
      <w:r w:rsidR="00336A13">
        <w:rPr>
          <w:rFonts w:ascii="CG Times" w:hAnsi="CG Times" w:cs="Arial"/>
          <w:sz w:val="26"/>
          <w:szCs w:val="26"/>
        </w:rPr>
        <w:t xml:space="preserve"> </w:t>
      </w:r>
      <w:r w:rsidR="00E40CC3">
        <w:rPr>
          <w:rFonts w:ascii="CG Times" w:hAnsi="CG Times" w:cs="Arial"/>
          <w:sz w:val="26"/>
          <w:szCs w:val="26"/>
        </w:rPr>
        <w:t xml:space="preserve">The applicants cannot pedal two canoes at once. </w:t>
      </w:r>
      <w:r w:rsidR="00092164">
        <w:rPr>
          <w:rFonts w:ascii="CG Times" w:hAnsi="CG Times" w:cs="Arial"/>
          <w:sz w:val="26"/>
          <w:szCs w:val="26"/>
        </w:rPr>
        <w:t xml:space="preserve">They cannot fault this court for failing to perform the very exercise they </w:t>
      </w:r>
      <w:r w:rsidR="00EB0C7D">
        <w:rPr>
          <w:rFonts w:ascii="CG Times" w:hAnsi="CG Times" w:cs="Arial"/>
          <w:sz w:val="26"/>
          <w:szCs w:val="26"/>
        </w:rPr>
        <w:t>urged us not to perform in the first place.</w:t>
      </w:r>
      <w:r w:rsidR="002C56A3">
        <w:rPr>
          <w:rFonts w:ascii="CG Times" w:hAnsi="CG Times" w:cs="Arial"/>
          <w:sz w:val="26"/>
          <w:szCs w:val="26"/>
        </w:rPr>
        <w:t xml:space="preserve"> </w:t>
      </w:r>
    </w:p>
    <w:p w14:paraId="3429BE00" w14:textId="77777777" w:rsidR="00F0464A" w:rsidRDefault="00F0464A" w:rsidP="00E43DE3">
      <w:pPr>
        <w:spacing w:line="360" w:lineRule="auto"/>
        <w:jc w:val="both"/>
        <w:rPr>
          <w:rFonts w:ascii="CG Times" w:hAnsi="CG Times" w:cs="Arial"/>
          <w:sz w:val="26"/>
          <w:szCs w:val="26"/>
        </w:rPr>
      </w:pPr>
    </w:p>
    <w:p w14:paraId="5E1C23BB" w14:textId="27FBBFF3" w:rsidR="00EE0088" w:rsidRDefault="00F0464A" w:rsidP="00E43DE3">
      <w:pPr>
        <w:spacing w:line="360" w:lineRule="auto"/>
        <w:jc w:val="both"/>
        <w:rPr>
          <w:rFonts w:ascii="CG Times" w:hAnsi="CG Times" w:cs="Arial"/>
          <w:sz w:val="26"/>
          <w:szCs w:val="26"/>
        </w:rPr>
      </w:pPr>
      <w:r>
        <w:rPr>
          <w:rFonts w:ascii="CG Times" w:hAnsi="CG Times" w:cs="Arial"/>
          <w:sz w:val="26"/>
          <w:szCs w:val="26"/>
        </w:rPr>
        <w:t>[1</w:t>
      </w:r>
      <w:r w:rsidR="009C6FE0">
        <w:rPr>
          <w:rFonts w:ascii="CG Times" w:hAnsi="CG Times" w:cs="Arial"/>
          <w:sz w:val="26"/>
          <w:szCs w:val="26"/>
        </w:rPr>
        <w:t>7</w:t>
      </w:r>
      <w:r>
        <w:rPr>
          <w:rFonts w:ascii="CG Times" w:hAnsi="CG Times" w:cs="Arial"/>
          <w:sz w:val="26"/>
          <w:szCs w:val="26"/>
        </w:rPr>
        <w:t>]</w:t>
      </w:r>
      <w:r>
        <w:rPr>
          <w:rFonts w:ascii="CG Times" w:hAnsi="CG Times" w:cs="Arial"/>
          <w:sz w:val="26"/>
          <w:szCs w:val="26"/>
        </w:rPr>
        <w:tab/>
      </w:r>
      <w:r w:rsidR="00E65D31">
        <w:rPr>
          <w:rFonts w:ascii="CG Times" w:hAnsi="CG Times" w:cs="Arial"/>
          <w:sz w:val="26"/>
          <w:szCs w:val="26"/>
        </w:rPr>
        <w:t xml:space="preserve">In the circumstances, </w:t>
      </w:r>
      <w:r w:rsidR="00517FA8">
        <w:rPr>
          <w:rFonts w:ascii="CG Times" w:hAnsi="CG Times" w:cs="Arial"/>
          <w:sz w:val="26"/>
          <w:szCs w:val="26"/>
        </w:rPr>
        <w:t xml:space="preserve">I would dismiss the application with costs </w:t>
      </w:r>
      <w:r w:rsidR="00275BC2">
        <w:rPr>
          <w:rFonts w:ascii="CG Times" w:hAnsi="CG Times" w:cs="Arial"/>
          <w:sz w:val="26"/>
          <w:szCs w:val="26"/>
        </w:rPr>
        <w:t>in relation to both the first and fourth respondents, including the costs consequent upon the employment of two Counsel.</w:t>
      </w:r>
      <w:r w:rsidR="00BF04A3">
        <w:rPr>
          <w:rFonts w:ascii="CG Times" w:hAnsi="CG Times" w:cs="Arial"/>
          <w:sz w:val="26"/>
          <w:szCs w:val="26"/>
        </w:rPr>
        <w:t xml:space="preserve"> </w:t>
      </w:r>
    </w:p>
    <w:p w14:paraId="54466675" w14:textId="77777777" w:rsidR="00EE0088" w:rsidRDefault="00EE0088" w:rsidP="00E43DE3">
      <w:pPr>
        <w:spacing w:line="360" w:lineRule="auto"/>
        <w:jc w:val="both"/>
        <w:rPr>
          <w:rFonts w:ascii="CG Times" w:hAnsi="CG Times" w:cs="Arial"/>
          <w:sz w:val="26"/>
          <w:szCs w:val="26"/>
        </w:rPr>
      </w:pPr>
    </w:p>
    <w:p w14:paraId="25869247" w14:textId="39AEFFD7" w:rsidR="00E43DE3" w:rsidRDefault="00EE0088" w:rsidP="00E43DE3">
      <w:pPr>
        <w:spacing w:line="360" w:lineRule="auto"/>
        <w:jc w:val="both"/>
        <w:rPr>
          <w:rFonts w:ascii="CG Times" w:hAnsi="CG Times" w:cs="Arial"/>
          <w:sz w:val="26"/>
          <w:szCs w:val="26"/>
        </w:rPr>
      </w:pPr>
      <w:r>
        <w:rPr>
          <w:rFonts w:ascii="CG Times" w:hAnsi="CG Times" w:cs="Arial"/>
          <w:sz w:val="26"/>
          <w:szCs w:val="26"/>
        </w:rPr>
        <w:t>[1</w:t>
      </w:r>
      <w:r w:rsidR="002E04EE">
        <w:rPr>
          <w:rFonts w:ascii="CG Times" w:hAnsi="CG Times" w:cs="Arial"/>
          <w:sz w:val="26"/>
          <w:szCs w:val="26"/>
        </w:rPr>
        <w:t>8</w:t>
      </w:r>
      <w:r>
        <w:rPr>
          <w:rFonts w:ascii="CG Times" w:hAnsi="CG Times" w:cs="Arial"/>
          <w:sz w:val="26"/>
          <w:szCs w:val="26"/>
        </w:rPr>
        <w:t>]</w:t>
      </w:r>
      <w:r>
        <w:rPr>
          <w:rFonts w:ascii="CG Times" w:hAnsi="CG Times" w:cs="Arial"/>
          <w:sz w:val="26"/>
          <w:szCs w:val="26"/>
        </w:rPr>
        <w:tab/>
      </w:r>
      <w:r w:rsidR="00BF04A3">
        <w:rPr>
          <w:rFonts w:ascii="CG Times" w:hAnsi="CG Times" w:cs="Arial"/>
          <w:sz w:val="26"/>
          <w:szCs w:val="26"/>
        </w:rPr>
        <w:t>Since the first respondent’s cross-</w:t>
      </w:r>
      <w:r w:rsidR="00E43DE3">
        <w:rPr>
          <w:rFonts w:ascii="CG Times" w:hAnsi="CG Times" w:cs="Arial"/>
          <w:sz w:val="26"/>
          <w:szCs w:val="26"/>
        </w:rPr>
        <w:t>application is contingent upon the granting of leave to the applicant</w:t>
      </w:r>
      <w:r w:rsidR="00930766">
        <w:rPr>
          <w:rFonts w:ascii="CG Times" w:hAnsi="CG Times" w:cs="Arial"/>
          <w:sz w:val="26"/>
          <w:szCs w:val="26"/>
        </w:rPr>
        <w:t>s</w:t>
      </w:r>
      <w:r w:rsidR="00E43DE3">
        <w:rPr>
          <w:rFonts w:ascii="CG Times" w:hAnsi="CG Times" w:cs="Arial"/>
          <w:sz w:val="26"/>
          <w:szCs w:val="26"/>
        </w:rPr>
        <w:t xml:space="preserve">, </w:t>
      </w:r>
      <w:r w:rsidR="00E65D31">
        <w:rPr>
          <w:rFonts w:ascii="CG Times" w:hAnsi="CG Times" w:cs="Arial"/>
          <w:sz w:val="26"/>
          <w:szCs w:val="26"/>
        </w:rPr>
        <w:t xml:space="preserve">it </w:t>
      </w:r>
      <w:r w:rsidR="00E43DE3">
        <w:rPr>
          <w:rFonts w:ascii="CG Times" w:hAnsi="CG Times" w:cs="Arial"/>
          <w:sz w:val="26"/>
          <w:szCs w:val="26"/>
        </w:rPr>
        <w:t xml:space="preserve">is not necessary to deal with it. </w:t>
      </w:r>
    </w:p>
    <w:p w14:paraId="732F13CD" w14:textId="77777777" w:rsidR="007A3170" w:rsidRDefault="007A3170" w:rsidP="002C6087">
      <w:pPr>
        <w:spacing w:line="360" w:lineRule="auto"/>
        <w:jc w:val="both"/>
        <w:rPr>
          <w:rFonts w:ascii="CG Times" w:hAnsi="CG Times" w:cs="Arial"/>
          <w:sz w:val="26"/>
          <w:szCs w:val="26"/>
        </w:rPr>
      </w:pPr>
    </w:p>
    <w:p w14:paraId="54E56690" w14:textId="1CDD7DA4" w:rsidR="007A3170" w:rsidRPr="0020734A" w:rsidRDefault="0020734A" w:rsidP="002C6087">
      <w:pPr>
        <w:spacing w:line="360" w:lineRule="auto"/>
        <w:jc w:val="both"/>
        <w:rPr>
          <w:rFonts w:ascii="CG Times" w:hAnsi="CG Times" w:cs="Arial"/>
          <w:b/>
          <w:bCs/>
          <w:sz w:val="26"/>
          <w:szCs w:val="26"/>
          <w:u w:val="single"/>
        </w:rPr>
      </w:pPr>
      <w:r w:rsidRPr="0020734A">
        <w:rPr>
          <w:rFonts w:ascii="CG Times" w:hAnsi="CG Times" w:cs="Arial"/>
          <w:b/>
          <w:bCs/>
          <w:sz w:val="26"/>
          <w:szCs w:val="26"/>
          <w:u w:val="single"/>
        </w:rPr>
        <w:t>Order</w:t>
      </w:r>
    </w:p>
    <w:p w14:paraId="3F07041B" w14:textId="77777777" w:rsidR="00576B21" w:rsidRDefault="00576B21" w:rsidP="002C6087">
      <w:pPr>
        <w:spacing w:line="360" w:lineRule="auto"/>
        <w:jc w:val="both"/>
        <w:rPr>
          <w:rFonts w:ascii="CG Times" w:hAnsi="CG Times" w:cs="Arial"/>
          <w:sz w:val="26"/>
          <w:szCs w:val="26"/>
        </w:rPr>
      </w:pPr>
    </w:p>
    <w:p w14:paraId="02468DAE" w14:textId="113ECD3A" w:rsidR="00B34E54" w:rsidRDefault="001338F3" w:rsidP="002C6087">
      <w:pPr>
        <w:spacing w:line="360" w:lineRule="auto"/>
        <w:jc w:val="both"/>
        <w:rPr>
          <w:rFonts w:ascii="CG Times" w:hAnsi="CG Times" w:cs="Arial"/>
          <w:sz w:val="26"/>
          <w:szCs w:val="26"/>
        </w:rPr>
      </w:pPr>
      <w:r>
        <w:rPr>
          <w:rFonts w:ascii="CG Times" w:hAnsi="CG Times" w:cs="Arial"/>
          <w:sz w:val="26"/>
          <w:szCs w:val="26"/>
        </w:rPr>
        <w:t>In the result, I propose that</w:t>
      </w:r>
      <w:r w:rsidR="0020734A">
        <w:rPr>
          <w:rFonts w:ascii="CG Times" w:hAnsi="CG Times" w:cs="Arial"/>
          <w:sz w:val="26"/>
          <w:szCs w:val="26"/>
        </w:rPr>
        <w:t xml:space="preserve"> the following order</w:t>
      </w:r>
      <w:r>
        <w:rPr>
          <w:rFonts w:ascii="CG Times" w:hAnsi="CG Times" w:cs="Arial"/>
          <w:sz w:val="26"/>
          <w:szCs w:val="26"/>
        </w:rPr>
        <w:t xml:space="preserve"> be made</w:t>
      </w:r>
      <w:r w:rsidR="0020734A">
        <w:rPr>
          <w:rFonts w:ascii="CG Times" w:hAnsi="CG Times" w:cs="Arial"/>
          <w:sz w:val="26"/>
          <w:szCs w:val="26"/>
        </w:rPr>
        <w:t>:</w:t>
      </w:r>
    </w:p>
    <w:p w14:paraId="4D5490AB" w14:textId="77777777" w:rsidR="0020734A" w:rsidRDefault="0020734A" w:rsidP="002C6087">
      <w:pPr>
        <w:spacing w:line="360" w:lineRule="auto"/>
        <w:jc w:val="both"/>
        <w:rPr>
          <w:rFonts w:ascii="CG Times" w:hAnsi="CG Times" w:cs="Arial"/>
          <w:sz w:val="26"/>
          <w:szCs w:val="26"/>
        </w:rPr>
      </w:pPr>
    </w:p>
    <w:p w14:paraId="14652E7A" w14:textId="794E3E89" w:rsidR="00976FDE" w:rsidRDefault="00F0162F" w:rsidP="0020734A">
      <w:pPr>
        <w:pStyle w:val="ListParagraph"/>
        <w:numPr>
          <w:ilvl w:val="1"/>
          <w:numId w:val="19"/>
        </w:numPr>
        <w:tabs>
          <w:tab w:val="clear" w:pos="1440"/>
        </w:tabs>
        <w:spacing w:line="360" w:lineRule="auto"/>
        <w:ind w:left="709" w:hanging="709"/>
        <w:jc w:val="both"/>
        <w:rPr>
          <w:rFonts w:ascii="CG Times" w:hAnsi="CG Times" w:cs="Arial"/>
          <w:sz w:val="26"/>
          <w:szCs w:val="26"/>
        </w:rPr>
      </w:pPr>
      <w:r>
        <w:rPr>
          <w:rFonts w:ascii="CG Times" w:hAnsi="CG Times" w:cs="Arial"/>
          <w:sz w:val="26"/>
          <w:szCs w:val="26"/>
        </w:rPr>
        <w:t xml:space="preserve">The application </w:t>
      </w:r>
      <w:r w:rsidR="005B75A5">
        <w:rPr>
          <w:rFonts w:ascii="CG Times" w:hAnsi="CG Times" w:cs="Arial"/>
          <w:sz w:val="26"/>
          <w:szCs w:val="26"/>
        </w:rPr>
        <w:t xml:space="preserve">for leave to appeal </w:t>
      </w:r>
      <w:r>
        <w:rPr>
          <w:rFonts w:ascii="CG Times" w:hAnsi="CG Times" w:cs="Arial"/>
          <w:sz w:val="26"/>
          <w:szCs w:val="26"/>
        </w:rPr>
        <w:t>is dismissed</w:t>
      </w:r>
      <w:r w:rsidR="00976FDE">
        <w:rPr>
          <w:rFonts w:ascii="CG Times" w:hAnsi="CG Times" w:cs="Arial"/>
          <w:sz w:val="26"/>
          <w:szCs w:val="26"/>
        </w:rPr>
        <w:t>.</w:t>
      </w:r>
    </w:p>
    <w:p w14:paraId="58F85720" w14:textId="2498D791" w:rsidR="001123DD" w:rsidRDefault="00976FDE" w:rsidP="0020734A">
      <w:pPr>
        <w:pStyle w:val="ListParagraph"/>
        <w:numPr>
          <w:ilvl w:val="1"/>
          <w:numId w:val="19"/>
        </w:numPr>
        <w:tabs>
          <w:tab w:val="clear" w:pos="1440"/>
        </w:tabs>
        <w:spacing w:line="360" w:lineRule="auto"/>
        <w:ind w:left="709" w:hanging="709"/>
        <w:jc w:val="both"/>
        <w:rPr>
          <w:rFonts w:ascii="CG Times" w:hAnsi="CG Times" w:cs="Arial"/>
          <w:sz w:val="26"/>
          <w:szCs w:val="26"/>
        </w:rPr>
      </w:pPr>
      <w:r>
        <w:rPr>
          <w:rFonts w:ascii="CG Times" w:hAnsi="CG Times" w:cs="Arial"/>
          <w:sz w:val="26"/>
          <w:szCs w:val="26"/>
        </w:rPr>
        <w:t xml:space="preserve">The </w:t>
      </w:r>
      <w:r w:rsidR="00676073">
        <w:rPr>
          <w:rFonts w:ascii="CG Times" w:hAnsi="CG Times" w:cs="Arial"/>
          <w:sz w:val="26"/>
          <w:szCs w:val="26"/>
        </w:rPr>
        <w:t>applicant</w:t>
      </w:r>
      <w:r w:rsidR="007318F2">
        <w:rPr>
          <w:rFonts w:ascii="CG Times" w:hAnsi="CG Times" w:cs="Arial"/>
          <w:sz w:val="26"/>
          <w:szCs w:val="26"/>
        </w:rPr>
        <w:t>s</w:t>
      </w:r>
      <w:r>
        <w:rPr>
          <w:rFonts w:ascii="CG Times" w:hAnsi="CG Times" w:cs="Arial"/>
          <w:sz w:val="26"/>
          <w:szCs w:val="26"/>
        </w:rPr>
        <w:t xml:space="preserve"> </w:t>
      </w:r>
      <w:r w:rsidR="007318F2">
        <w:rPr>
          <w:rFonts w:ascii="CG Times" w:hAnsi="CG Times" w:cs="Arial"/>
          <w:sz w:val="26"/>
          <w:szCs w:val="26"/>
        </w:rPr>
        <w:t>are, jointly and severally,</w:t>
      </w:r>
      <w:r>
        <w:rPr>
          <w:rFonts w:ascii="CG Times" w:hAnsi="CG Times" w:cs="Arial"/>
          <w:sz w:val="26"/>
          <w:szCs w:val="26"/>
        </w:rPr>
        <w:t xml:space="preserve"> to pay the costs of the first and fourth respondents</w:t>
      </w:r>
      <w:r w:rsidR="00B93A0A">
        <w:rPr>
          <w:rFonts w:ascii="CG Times" w:hAnsi="CG Times" w:cs="Arial"/>
          <w:sz w:val="26"/>
          <w:szCs w:val="26"/>
        </w:rPr>
        <w:t xml:space="preserve">, </w:t>
      </w:r>
      <w:r w:rsidR="001123DD">
        <w:rPr>
          <w:rFonts w:ascii="CG Times" w:hAnsi="CG Times" w:cs="Arial"/>
          <w:sz w:val="26"/>
          <w:szCs w:val="26"/>
        </w:rPr>
        <w:t>including the costs consequent upon the employment of two counsel</w:t>
      </w:r>
      <w:r w:rsidR="00410930">
        <w:rPr>
          <w:rFonts w:ascii="CG Times" w:hAnsi="CG Times" w:cs="Arial"/>
          <w:sz w:val="26"/>
          <w:szCs w:val="26"/>
        </w:rPr>
        <w:t xml:space="preserve"> in each instance</w:t>
      </w:r>
      <w:r w:rsidR="001123DD">
        <w:rPr>
          <w:rFonts w:ascii="CG Times" w:hAnsi="CG Times" w:cs="Arial"/>
          <w:sz w:val="26"/>
          <w:szCs w:val="26"/>
        </w:rPr>
        <w:t>.</w:t>
      </w:r>
    </w:p>
    <w:p w14:paraId="57B6F1E8" w14:textId="77777777" w:rsidR="006173E4" w:rsidRPr="006173E4" w:rsidRDefault="006173E4" w:rsidP="006173E4">
      <w:pPr>
        <w:pStyle w:val="ListParagraph"/>
        <w:rPr>
          <w:rFonts w:ascii="CG Times" w:hAnsi="CG Times" w:cs="Arial"/>
          <w:sz w:val="26"/>
          <w:szCs w:val="26"/>
        </w:rPr>
      </w:pPr>
    </w:p>
    <w:p w14:paraId="28DD2C0A" w14:textId="6CBAF33A" w:rsidR="00955154" w:rsidRDefault="00463184" w:rsidP="00714EBE">
      <w:pPr>
        <w:spacing w:line="360" w:lineRule="auto"/>
        <w:jc w:val="both"/>
        <w:rPr>
          <w:rFonts w:ascii="CG Times" w:hAnsi="CG Times" w:cs="Arial"/>
          <w:sz w:val="26"/>
          <w:szCs w:val="26"/>
        </w:rPr>
      </w:pPr>
      <w:r w:rsidRPr="00714EBE">
        <w:rPr>
          <w:rFonts w:ascii="CG Times" w:hAnsi="CG Times" w:cs="Arial"/>
          <w:sz w:val="26"/>
          <w:szCs w:val="26"/>
        </w:rPr>
        <w:t xml:space="preserve"> </w:t>
      </w:r>
    </w:p>
    <w:p w14:paraId="06D3E393" w14:textId="77777777" w:rsidR="00E3245C" w:rsidRPr="00714EBE" w:rsidRDefault="00E3245C" w:rsidP="00714EBE">
      <w:pPr>
        <w:spacing w:line="360" w:lineRule="auto"/>
        <w:jc w:val="both"/>
        <w:rPr>
          <w:rFonts w:ascii="CG Times" w:hAnsi="CG Times" w:cs="Arial"/>
          <w:sz w:val="26"/>
          <w:szCs w:val="26"/>
        </w:rPr>
      </w:pPr>
    </w:p>
    <w:p w14:paraId="495BB46D" w14:textId="107DE114" w:rsidR="00B34E54" w:rsidRPr="007C0E14" w:rsidRDefault="001338F3" w:rsidP="001338F3">
      <w:pPr>
        <w:spacing w:line="360" w:lineRule="auto"/>
        <w:jc w:val="right"/>
        <w:rPr>
          <w:rFonts w:ascii="CG Times" w:hAnsi="CG Times" w:cs="Arial"/>
          <w:sz w:val="26"/>
          <w:szCs w:val="26"/>
        </w:rPr>
      </w:pPr>
      <w:r>
        <w:rPr>
          <w:rFonts w:ascii="CG Times" w:hAnsi="CG Times" w:cs="Arial"/>
          <w:sz w:val="26"/>
          <w:szCs w:val="26"/>
        </w:rPr>
        <w:t xml:space="preserve"> ____________________</w:t>
      </w:r>
    </w:p>
    <w:p w14:paraId="1379564B" w14:textId="08CAE1DC" w:rsidR="00B328B8" w:rsidRPr="00755C0B"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V NGALWANA </w:t>
      </w:r>
    </w:p>
    <w:p w14:paraId="30F02F06" w14:textId="0F538BA6" w:rsidR="00B328B8" w:rsidRPr="00755C0B"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ACTING JUDGE OF THE HIGH COURT</w:t>
      </w:r>
    </w:p>
    <w:p w14:paraId="0948C05D" w14:textId="21533058" w:rsidR="00B328B8"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sidR="00D52453">
        <w:rPr>
          <w:rFonts w:ascii="CG Times" w:hAnsi="CG Times" w:cs="Arial"/>
          <w:b/>
          <w:sz w:val="26"/>
          <w:szCs w:val="26"/>
        </w:rPr>
        <w:t>PRETORIA</w:t>
      </w:r>
    </w:p>
    <w:p w14:paraId="3260910D" w14:textId="77777777" w:rsidR="00821B40" w:rsidRDefault="00821B40" w:rsidP="00B97417">
      <w:pPr>
        <w:pStyle w:val="ListParagraph"/>
        <w:spacing w:line="360" w:lineRule="auto"/>
        <w:ind w:left="0"/>
        <w:jc w:val="right"/>
        <w:rPr>
          <w:rFonts w:ascii="CG Times" w:hAnsi="CG Times" w:cs="Arial"/>
          <w:b/>
          <w:sz w:val="26"/>
          <w:szCs w:val="26"/>
        </w:rPr>
      </w:pPr>
    </w:p>
    <w:p w14:paraId="4F8CDC26" w14:textId="77777777" w:rsidR="00821B40" w:rsidRDefault="00821B40" w:rsidP="00B97417">
      <w:pPr>
        <w:pStyle w:val="ListParagraph"/>
        <w:spacing w:line="360" w:lineRule="auto"/>
        <w:ind w:left="0"/>
        <w:jc w:val="right"/>
        <w:rPr>
          <w:rFonts w:ascii="CG Times" w:hAnsi="CG Times" w:cs="Arial"/>
          <w:b/>
          <w:sz w:val="26"/>
          <w:szCs w:val="26"/>
        </w:rPr>
      </w:pPr>
    </w:p>
    <w:p w14:paraId="54296045" w14:textId="77777777" w:rsidR="0046711D" w:rsidRDefault="0046711D" w:rsidP="00B97417">
      <w:pPr>
        <w:pStyle w:val="ListParagraph"/>
        <w:spacing w:line="360" w:lineRule="auto"/>
        <w:ind w:left="0"/>
        <w:jc w:val="right"/>
        <w:rPr>
          <w:rFonts w:ascii="CG Times" w:hAnsi="CG Times" w:cs="Arial"/>
          <w:b/>
          <w:sz w:val="26"/>
          <w:szCs w:val="26"/>
        </w:rPr>
      </w:pPr>
    </w:p>
    <w:p w14:paraId="7EE6867D" w14:textId="49399603" w:rsidR="0046711D" w:rsidRPr="0046711D" w:rsidRDefault="0046711D" w:rsidP="001338F3">
      <w:pPr>
        <w:pStyle w:val="ListParagraph"/>
        <w:spacing w:line="360" w:lineRule="auto"/>
        <w:ind w:left="0"/>
        <w:rPr>
          <w:rFonts w:ascii="CG Times" w:hAnsi="CG Times" w:cs="Arial"/>
          <w:bCs/>
          <w:sz w:val="26"/>
          <w:szCs w:val="26"/>
        </w:rPr>
      </w:pPr>
      <w:r w:rsidRPr="0046711D">
        <w:rPr>
          <w:rFonts w:ascii="CG Times" w:hAnsi="CG Times" w:cs="Arial"/>
          <w:bCs/>
          <w:sz w:val="26"/>
          <w:szCs w:val="26"/>
        </w:rPr>
        <w:t>I agree.</w:t>
      </w:r>
    </w:p>
    <w:p w14:paraId="7F10D60C" w14:textId="6AB448F9" w:rsidR="001338F3" w:rsidRDefault="001338F3" w:rsidP="001338F3">
      <w:pPr>
        <w:pStyle w:val="ListParagraph"/>
        <w:spacing w:line="360" w:lineRule="auto"/>
        <w:ind w:left="0"/>
        <w:jc w:val="right"/>
        <w:rPr>
          <w:rFonts w:ascii="CG Times" w:hAnsi="CG Times" w:cs="Arial"/>
          <w:b/>
          <w:sz w:val="26"/>
          <w:szCs w:val="26"/>
        </w:rPr>
      </w:pPr>
      <w:r>
        <w:rPr>
          <w:rFonts w:ascii="CG Times" w:hAnsi="CG Times" w:cs="Arial"/>
          <w:b/>
          <w:sz w:val="26"/>
          <w:szCs w:val="26"/>
        </w:rPr>
        <w:t>________________________</w:t>
      </w:r>
    </w:p>
    <w:p w14:paraId="5E02ACBB" w14:textId="7D3BED70" w:rsidR="00821B40" w:rsidRPr="00755C0B" w:rsidRDefault="001338F3" w:rsidP="001338F3">
      <w:pPr>
        <w:pStyle w:val="ListParagraph"/>
        <w:spacing w:line="360" w:lineRule="auto"/>
        <w:ind w:left="0"/>
        <w:jc w:val="right"/>
        <w:rPr>
          <w:rFonts w:ascii="CG Times" w:hAnsi="CG Times" w:cs="Arial"/>
          <w:b/>
          <w:sz w:val="26"/>
          <w:szCs w:val="26"/>
        </w:rPr>
      </w:pPr>
      <w:r>
        <w:rPr>
          <w:rFonts w:ascii="CG Times" w:hAnsi="CG Times" w:cs="Arial"/>
          <w:b/>
          <w:sz w:val="26"/>
          <w:szCs w:val="26"/>
        </w:rPr>
        <w:t xml:space="preserve">R RAMAWELE </w:t>
      </w:r>
    </w:p>
    <w:p w14:paraId="27A95841" w14:textId="5E82B01E" w:rsidR="00821B40" w:rsidRPr="00755C0B" w:rsidRDefault="001338F3" w:rsidP="00821B40">
      <w:pPr>
        <w:pStyle w:val="ListParagraph"/>
        <w:spacing w:line="360" w:lineRule="auto"/>
        <w:ind w:left="0"/>
        <w:jc w:val="right"/>
        <w:rPr>
          <w:rFonts w:ascii="CG Times" w:hAnsi="CG Times" w:cs="Arial"/>
          <w:b/>
          <w:sz w:val="26"/>
          <w:szCs w:val="26"/>
        </w:rPr>
      </w:pPr>
      <w:r>
        <w:rPr>
          <w:rFonts w:ascii="CG Times" w:hAnsi="CG Times" w:cs="Arial"/>
          <w:b/>
          <w:sz w:val="26"/>
          <w:szCs w:val="26"/>
        </w:rPr>
        <w:t xml:space="preserve">ACTING </w:t>
      </w:r>
      <w:r w:rsidR="00821B40" w:rsidRPr="00755C0B">
        <w:rPr>
          <w:rFonts w:ascii="CG Times" w:hAnsi="CG Times" w:cs="Arial"/>
          <w:b/>
          <w:sz w:val="26"/>
          <w:szCs w:val="26"/>
        </w:rPr>
        <w:t>JUDGE OF THE HIGH COURT</w:t>
      </w:r>
    </w:p>
    <w:p w14:paraId="495AC8AF" w14:textId="26AB72AF" w:rsidR="00821B40" w:rsidRDefault="00821B40" w:rsidP="00821B40">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Pr>
          <w:rFonts w:ascii="CG Times" w:hAnsi="CG Times" w:cs="Arial"/>
          <w:b/>
          <w:sz w:val="26"/>
          <w:szCs w:val="26"/>
        </w:rPr>
        <w:t>PRETORIA</w:t>
      </w:r>
    </w:p>
    <w:p w14:paraId="266D2336" w14:textId="77777777" w:rsidR="001338F3" w:rsidRDefault="001338F3" w:rsidP="001338F3">
      <w:pPr>
        <w:pStyle w:val="ListParagraph"/>
        <w:spacing w:line="360" w:lineRule="auto"/>
        <w:ind w:left="0"/>
        <w:rPr>
          <w:rFonts w:ascii="CG Times" w:hAnsi="CG Times" w:cs="Arial"/>
          <w:bCs/>
          <w:sz w:val="26"/>
          <w:szCs w:val="26"/>
        </w:rPr>
      </w:pPr>
    </w:p>
    <w:p w14:paraId="6ADEB3A2" w14:textId="77777777" w:rsidR="00705D71" w:rsidRDefault="00705D71" w:rsidP="001338F3">
      <w:pPr>
        <w:pStyle w:val="ListParagraph"/>
        <w:spacing w:line="360" w:lineRule="auto"/>
        <w:ind w:left="0"/>
        <w:rPr>
          <w:rFonts w:ascii="CG Times" w:hAnsi="CG Times" w:cs="Arial"/>
          <w:bCs/>
          <w:sz w:val="26"/>
          <w:szCs w:val="26"/>
        </w:rPr>
      </w:pPr>
    </w:p>
    <w:p w14:paraId="57836760" w14:textId="00DA33A6" w:rsidR="0046711D" w:rsidRPr="0046711D" w:rsidRDefault="001338F3" w:rsidP="001338F3">
      <w:pPr>
        <w:pStyle w:val="ListParagraph"/>
        <w:spacing w:line="360" w:lineRule="auto"/>
        <w:ind w:left="0"/>
        <w:rPr>
          <w:rFonts w:ascii="CG Times" w:hAnsi="CG Times" w:cs="Arial"/>
          <w:bCs/>
          <w:sz w:val="26"/>
          <w:szCs w:val="26"/>
        </w:rPr>
      </w:pPr>
      <w:r>
        <w:rPr>
          <w:rFonts w:ascii="CG Times" w:hAnsi="CG Times" w:cs="Arial"/>
          <w:bCs/>
          <w:sz w:val="26"/>
          <w:szCs w:val="26"/>
        </w:rPr>
        <w:t>I agree and it is so ordered</w:t>
      </w:r>
    </w:p>
    <w:p w14:paraId="1FAC938E" w14:textId="77777777" w:rsidR="00115226" w:rsidRDefault="00115226" w:rsidP="00B97417">
      <w:pPr>
        <w:pStyle w:val="ListParagraph"/>
        <w:spacing w:line="360" w:lineRule="auto"/>
        <w:ind w:left="0"/>
        <w:jc w:val="right"/>
        <w:rPr>
          <w:rFonts w:ascii="CG Times" w:hAnsi="CG Times" w:cs="Arial"/>
          <w:b/>
          <w:sz w:val="26"/>
          <w:szCs w:val="26"/>
        </w:rPr>
      </w:pPr>
    </w:p>
    <w:p w14:paraId="603AD204" w14:textId="77777777" w:rsidR="00370BD7" w:rsidRDefault="00370BD7" w:rsidP="00B97417">
      <w:pPr>
        <w:pStyle w:val="ListParagraph"/>
        <w:spacing w:line="360" w:lineRule="auto"/>
        <w:ind w:left="0"/>
        <w:jc w:val="right"/>
        <w:rPr>
          <w:rFonts w:ascii="CG Times" w:hAnsi="CG Times" w:cs="Arial"/>
          <w:b/>
          <w:sz w:val="26"/>
          <w:szCs w:val="26"/>
        </w:rPr>
      </w:pPr>
    </w:p>
    <w:p w14:paraId="41FFF5FE" w14:textId="20941F41" w:rsidR="00C56FF7" w:rsidRDefault="001338F3" w:rsidP="00B97417">
      <w:pPr>
        <w:pStyle w:val="ListParagraph"/>
        <w:spacing w:line="360" w:lineRule="auto"/>
        <w:ind w:left="0"/>
        <w:jc w:val="right"/>
        <w:rPr>
          <w:rFonts w:ascii="CG Times" w:hAnsi="CG Times" w:cs="Arial"/>
          <w:b/>
          <w:sz w:val="26"/>
          <w:szCs w:val="26"/>
        </w:rPr>
      </w:pPr>
      <w:r>
        <w:rPr>
          <w:rFonts w:ascii="CG Times" w:hAnsi="CG Times" w:cs="Arial"/>
          <w:b/>
          <w:sz w:val="26"/>
          <w:szCs w:val="26"/>
        </w:rPr>
        <w:tab/>
        <w:t>__________________</w:t>
      </w:r>
    </w:p>
    <w:p w14:paraId="66DA533D" w14:textId="4B8300BC" w:rsidR="00115226" w:rsidRPr="00755C0B" w:rsidRDefault="001338F3" w:rsidP="00115226">
      <w:pPr>
        <w:pStyle w:val="ListParagraph"/>
        <w:spacing w:line="360" w:lineRule="auto"/>
        <w:ind w:left="0"/>
        <w:jc w:val="right"/>
        <w:rPr>
          <w:rFonts w:ascii="CG Times" w:hAnsi="CG Times" w:cs="Arial"/>
          <w:b/>
          <w:sz w:val="26"/>
          <w:szCs w:val="26"/>
        </w:rPr>
      </w:pPr>
      <w:r>
        <w:rPr>
          <w:rFonts w:ascii="CG Times" w:hAnsi="CG Times" w:cs="Arial"/>
          <w:b/>
          <w:sz w:val="26"/>
          <w:szCs w:val="26"/>
        </w:rPr>
        <w:t>SELBY BAQWA</w:t>
      </w:r>
      <w:r w:rsidR="00115226" w:rsidRPr="00755C0B">
        <w:rPr>
          <w:rFonts w:ascii="CG Times" w:hAnsi="CG Times" w:cs="Arial"/>
          <w:b/>
          <w:sz w:val="26"/>
          <w:szCs w:val="26"/>
        </w:rPr>
        <w:t xml:space="preserve"> </w:t>
      </w:r>
    </w:p>
    <w:p w14:paraId="60B83F13" w14:textId="5B8C5D62" w:rsidR="00115226" w:rsidRPr="00755C0B" w:rsidRDefault="00115226" w:rsidP="00115226">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 JUDGE OF THE HIGH COURT</w:t>
      </w:r>
    </w:p>
    <w:p w14:paraId="77F7573A" w14:textId="175895AB" w:rsidR="00115226" w:rsidRDefault="00115226" w:rsidP="00115226">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Pr>
          <w:rFonts w:ascii="CG Times" w:hAnsi="CG Times" w:cs="Arial"/>
          <w:b/>
          <w:sz w:val="26"/>
          <w:szCs w:val="26"/>
        </w:rPr>
        <w:t>PRETORIA</w:t>
      </w:r>
    </w:p>
    <w:p w14:paraId="2B0AEE07" w14:textId="77777777" w:rsidR="00B328B8" w:rsidRPr="00755C0B" w:rsidRDefault="00B328B8" w:rsidP="00B97417">
      <w:pPr>
        <w:pStyle w:val="ListParagraph"/>
        <w:spacing w:line="360" w:lineRule="auto"/>
        <w:ind w:left="0"/>
        <w:rPr>
          <w:rFonts w:ascii="CG Times" w:eastAsia="Arial Unicode MS" w:hAnsi="CG Times" w:cs="Arial"/>
          <w:bCs/>
          <w:sz w:val="26"/>
          <w:szCs w:val="26"/>
        </w:rPr>
      </w:pPr>
    </w:p>
    <w:p w14:paraId="6A5E1DE6" w14:textId="1AF16E5D" w:rsidR="00B328B8" w:rsidRPr="00755C0B" w:rsidRDefault="00B328B8" w:rsidP="00B97417">
      <w:pPr>
        <w:pStyle w:val="ListParagraph"/>
        <w:spacing w:line="360" w:lineRule="auto"/>
        <w:ind w:left="0"/>
        <w:jc w:val="both"/>
        <w:rPr>
          <w:rFonts w:ascii="CG Times" w:hAnsi="CG Times" w:cs="Arial"/>
          <w:b/>
          <w:i/>
          <w:iCs/>
          <w:sz w:val="26"/>
          <w:szCs w:val="26"/>
        </w:rPr>
      </w:pPr>
      <w:r w:rsidRPr="00755C0B">
        <w:rPr>
          <w:rFonts w:ascii="CG Times" w:eastAsia="Arial Unicode MS" w:hAnsi="CG Times" w:cs="Arial"/>
          <w:bCs/>
          <w:sz w:val="26"/>
          <w:szCs w:val="26"/>
        </w:rPr>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8D506F">
        <w:rPr>
          <w:rFonts w:ascii="CG Times" w:eastAsia="Arial Unicode MS" w:hAnsi="CG Times" w:cs="Arial"/>
          <w:bCs/>
          <w:sz w:val="26"/>
          <w:szCs w:val="26"/>
        </w:rPr>
        <w:t>20</w:t>
      </w:r>
      <w:r w:rsidRPr="00755C0B">
        <w:rPr>
          <w:rFonts w:ascii="CG Times" w:eastAsia="Arial Unicode MS" w:hAnsi="CG Times" w:cs="Arial"/>
          <w:bCs/>
          <w:sz w:val="26"/>
          <w:szCs w:val="26"/>
        </w:rPr>
        <w:t xml:space="preserve"> </w:t>
      </w:r>
      <w:r w:rsidR="00807B5D">
        <w:rPr>
          <w:rFonts w:ascii="CG Times" w:eastAsia="Arial Unicode MS" w:hAnsi="CG Times" w:cs="Arial"/>
          <w:bCs/>
          <w:sz w:val="26"/>
          <w:szCs w:val="26"/>
        </w:rPr>
        <w:t xml:space="preserve">March </w:t>
      </w:r>
      <w:r w:rsidR="00E62B48">
        <w:rPr>
          <w:rFonts w:ascii="CG Times" w:eastAsia="Arial Unicode MS" w:hAnsi="CG Times" w:cs="Arial"/>
          <w:bCs/>
          <w:sz w:val="26"/>
          <w:szCs w:val="26"/>
        </w:rPr>
        <w:t>2</w:t>
      </w:r>
      <w:r w:rsidRPr="00755C0B">
        <w:rPr>
          <w:rFonts w:ascii="CG Times" w:eastAsia="Arial Unicode MS" w:hAnsi="CG Times" w:cs="Arial"/>
          <w:bCs/>
          <w:sz w:val="26"/>
          <w:szCs w:val="26"/>
        </w:rPr>
        <w:t>02</w:t>
      </w:r>
      <w:r w:rsidR="00807B5D">
        <w:rPr>
          <w:rFonts w:ascii="CG Times" w:eastAsia="Arial Unicode MS" w:hAnsi="CG Times" w:cs="Arial"/>
          <w:bCs/>
          <w:sz w:val="26"/>
          <w:szCs w:val="26"/>
        </w:rPr>
        <w:t>4</w:t>
      </w:r>
      <w:r w:rsidRPr="00755C0B">
        <w:rPr>
          <w:rFonts w:ascii="CG Times" w:eastAsia="Arial Unicode MS" w:hAnsi="CG Times" w:cs="Arial"/>
          <w:bCs/>
          <w:sz w:val="26"/>
          <w:szCs w:val="26"/>
        </w:rPr>
        <w:t>.</w:t>
      </w:r>
    </w:p>
    <w:p w14:paraId="0E75250D" w14:textId="77777777" w:rsidR="00B328B8" w:rsidRPr="00755C0B" w:rsidRDefault="00B328B8" w:rsidP="00B97417">
      <w:pPr>
        <w:pStyle w:val="Default"/>
        <w:spacing w:line="360" w:lineRule="auto"/>
        <w:rPr>
          <w:rFonts w:ascii="CG Times" w:hAnsi="CG Times"/>
          <w:sz w:val="26"/>
          <w:szCs w:val="26"/>
        </w:rPr>
      </w:pPr>
    </w:p>
    <w:p w14:paraId="31692CFF" w14:textId="4B529EF7" w:rsidR="00B328B8"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 xml:space="preserve">Date of </w:t>
      </w:r>
      <w:r w:rsidR="00EC33B5">
        <w:rPr>
          <w:rFonts w:ascii="CG Times" w:hAnsi="CG Times"/>
          <w:sz w:val="26"/>
          <w:szCs w:val="26"/>
        </w:rPr>
        <w:t>hearing</w:t>
      </w:r>
      <w:r w:rsidRPr="00755C0B">
        <w:rPr>
          <w:rFonts w:ascii="CG Times" w:hAnsi="CG Times"/>
          <w:sz w:val="26"/>
          <w:szCs w:val="26"/>
        </w:rPr>
        <w:t xml:space="preserve">: </w:t>
      </w:r>
      <w:r w:rsidR="00EC33B5">
        <w:rPr>
          <w:rFonts w:ascii="CG Times" w:hAnsi="CG Times"/>
          <w:sz w:val="26"/>
          <w:szCs w:val="26"/>
        </w:rPr>
        <w:t>1</w:t>
      </w:r>
      <w:r w:rsidR="00807B5D">
        <w:rPr>
          <w:rFonts w:ascii="CG Times" w:hAnsi="CG Times"/>
          <w:sz w:val="26"/>
          <w:szCs w:val="26"/>
        </w:rPr>
        <w:t>3 March</w:t>
      </w:r>
      <w:r w:rsidRPr="00755C0B">
        <w:rPr>
          <w:rFonts w:ascii="CG Times" w:hAnsi="CG Times"/>
          <w:sz w:val="26"/>
          <w:szCs w:val="26"/>
        </w:rPr>
        <w:t xml:space="preserve"> 202</w:t>
      </w:r>
      <w:r w:rsidR="00807B5D">
        <w:rPr>
          <w:rFonts w:ascii="CG Times" w:hAnsi="CG Times"/>
          <w:sz w:val="26"/>
          <w:szCs w:val="26"/>
        </w:rPr>
        <w:t>4</w:t>
      </w:r>
    </w:p>
    <w:p w14:paraId="2AEFF925" w14:textId="64531C1E" w:rsidR="00B328B8" w:rsidRPr="00755C0B" w:rsidRDefault="00B328B8" w:rsidP="00B97417">
      <w:pPr>
        <w:pStyle w:val="ListParagraph"/>
        <w:spacing w:line="360" w:lineRule="auto"/>
        <w:ind w:left="0"/>
        <w:rPr>
          <w:rFonts w:ascii="CG Times" w:hAnsi="CG Times" w:cs="Arial"/>
          <w:sz w:val="26"/>
          <w:szCs w:val="26"/>
        </w:rPr>
      </w:pPr>
      <w:r w:rsidRPr="00755C0B">
        <w:rPr>
          <w:rFonts w:ascii="CG Times" w:hAnsi="CG Times" w:cs="Arial"/>
          <w:sz w:val="26"/>
          <w:szCs w:val="26"/>
        </w:rPr>
        <w:t xml:space="preserve">Date of judgment: </w:t>
      </w:r>
      <w:r w:rsidR="008D506F">
        <w:rPr>
          <w:rFonts w:ascii="CG Times" w:hAnsi="CG Times" w:cs="Arial"/>
          <w:sz w:val="26"/>
          <w:szCs w:val="26"/>
        </w:rPr>
        <w:t>20</w:t>
      </w:r>
      <w:r w:rsidRPr="00755C0B">
        <w:rPr>
          <w:rFonts w:ascii="CG Times" w:hAnsi="CG Times" w:cs="Arial"/>
          <w:sz w:val="26"/>
          <w:szCs w:val="26"/>
        </w:rPr>
        <w:t xml:space="preserve"> </w:t>
      </w:r>
      <w:r w:rsidR="00807B5D">
        <w:rPr>
          <w:rFonts w:ascii="CG Times" w:hAnsi="CG Times" w:cs="Arial"/>
          <w:sz w:val="26"/>
          <w:szCs w:val="26"/>
        </w:rPr>
        <w:t xml:space="preserve">March </w:t>
      </w:r>
      <w:r w:rsidRPr="00755C0B">
        <w:rPr>
          <w:rFonts w:ascii="CG Times" w:hAnsi="CG Times" w:cs="Arial"/>
          <w:sz w:val="26"/>
          <w:szCs w:val="26"/>
        </w:rPr>
        <w:t>202</w:t>
      </w:r>
      <w:r w:rsidR="00807B5D">
        <w:rPr>
          <w:rFonts w:ascii="CG Times" w:hAnsi="CG Times" w:cs="Arial"/>
          <w:sz w:val="26"/>
          <w:szCs w:val="26"/>
        </w:rPr>
        <w:t>4</w:t>
      </w:r>
    </w:p>
    <w:p w14:paraId="5335D75B" w14:textId="77777777" w:rsidR="00B328B8" w:rsidRPr="00755C0B" w:rsidRDefault="00B328B8" w:rsidP="00B97417">
      <w:pPr>
        <w:pStyle w:val="Default"/>
        <w:spacing w:line="360" w:lineRule="auto"/>
        <w:rPr>
          <w:rFonts w:ascii="CG Times" w:hAnsi="CG Times"/>
          <w:b/>
          <w:bCs/>
          <w:sz w:val="26"/>
          <w:szCs w:val="26"/>
        </w:rPr>
      </w:pPr>
    </w:p>
    <w:p w14:paraId="5393B2DF" w14:textId="77777777" w:rsidR="00B328B8" w:rsidRPr="00755C0B" w:rsidRDefault="00B328B8" w:rsidP="00B97417">
      <w:pPr>
        <w:pStyle w:val="Default"/>
        <w:spacing w:line="360" w:lineRule="auto"/>
        <w:rPr>
          <w:rFonts w:ascii="CG Times" w:hAnsi="CG Times"/>
          <w:sz w:val="26"/>
          <w:szCs w:val="26"/>
        </w:rPr>
      </w:pPr>
      <w:r w:rsidRPr="00755C0B">
        <w:rPr>
          <w:rFonts w:ascii="CG Times" w:hAnsi="CG Times"/>
          <w:b/>
          <w:bCs/>
          <w:sz w:val="26"/>
          <w:szCs w:val="26"/>
        </w:rPr>
        <w:t xml:space="preserve">Appearances: </w:t>
      </w:r>
    </w:p>
    <w:p w14:paraId="6441F5AB" w14:textId="77777777" w:rsidR="00B328B8" w:rsidRPr="00755C0B" w:rsidRDefault="00B328B8" w:rsidP="00B97417">
      <w:pPr>
        <w:pStyle w:val="Default"/>
        <w:spacing w:line="360" w:lineRule="auto"/>
        <w:rPr>
          <w:rFonts w:ascii="CG Times" w:hAnsi="CG Times"/>
          <w:sz w:val="26"/>
          <w:szCs w:val="26"/>
        </w:rPr>
      </w:pPr>
    </w:p>
    <w:p w14:paraId="1862764B" w14:textId="46A6BC45" w:rsidR="00D7085C" w:rsidRPr="00755C0B" w:rsidRDefault="00114B1D" w:rsidP="00B97417">
      <w:pPr>
        <w:pStyle w:val="Default"/>
        <w:spacing w:line="360" w:lineRule="auto"/>
        <w:rPr>
          <w:rFonts w:ascii="CG Times" w:hAnsi="CG Times"/>
          <w:sz w:val="26"/>
          <w:szCs w:val="26"/>
        </w:rPr>
      </w:pPr>
      <w:r w:rsidRPr="00755C0B">
        <w:rPr>
          <w:rFonts w:ascii="CG Times" w:hAnsi="CG Times"/>
          <w:sz w:val="26"/>
          <w:szCs w:val="26"/>
        </w:rPr>
        <w:t xml:space="preserve">Attorneys for the </w:t>
      </w:r>
      <w:r w:rsidR="00545904">
        <w:rPr>
          <w:rFonts w:ascii="CG Times" w:hAnsi="CG Times"/>
          <w:sz w:val="26"/>
          <w:szCs w:val="26"/>
        </w:rPr>
        <w:t xml:space="preserve">First </w:t>
      </w:r>
      <w:r w:rsidRPr="00755C0B">
        <w:rPr>
          <w:rFonts w:ascii="CG Times" w:hAnsi="CG Times"/>
          <w:sz w:val="26"/>
          <w:szCs w:val="26"/>
        </w:rPr>
        <w:t>Applicant:</w:t>
      </w:r>
      <w:r w:rsidR="00D7085C"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D50FA6">
        <w:rPr>
          <w:rFonts w:ascii="CG Times" w:hAnsi="CG Times"/>
          <w:sz w:val="26"/>
          <w:szCs w:val="26"/>
        </w:rPr>
        <w:t>Bowman Gilfillan Inc</w:t>
      </w:r>
      <w:r w:rsidR="000C6649" w:rsidRPr="00755C0B">
        <w:rPr>
          <w:rFonts w:ascii="CG Times" w:hAnsi="CG Times"/>
          <w:sz w:val="26"/>
          <w:szCs w:val="26"/>
        </w:rPr>
        <w:t xml:space="preserve"> </w:t>
      </w:r>
    </w:p>
    <w:p w14:paraId="64B35F92" w14:textId="059173FE" w:rsidR="00D7085C" w:rsidRPr="00755C0B" w:rsidRDefault="00D7085C" w:rsidP="00B97417">
      <w:pPr>
        <w:pStyle w:val="Default"/>
        <w:spacing w:line="360" w:lineRule="auto"/>
        <w:rPr>
          <w:rFonts w:ascii="CG Times" w:hAnsi="CG Times"/>
          <w:sz w:val="26"/>
          <w:szCs w:val="26"/>
        </w:rPr>
      </w:pPr>
      <w:r w:rsidRPr="00755C0B">
        <w:rPr>
          <w:rFonts w:ascii="CG Times" w:hAnsi="CG Times"/>
          <w:sz w:val="26"/>
          <w:szCs w:val="26"/>
        </w:rPr>
        <w:t>Counsel for the Applicant:</w:t>
      </w:r>
      <w:r w:rsidRPr="00755C0B">
        <w:rPr>
          <w:rFonts w:ascii="CG Times" w:hAnsi="CG Times"/>
          <w:sz w:val="26"/>
          <w:szCs w:val="26"/>
        </w:rPr>
        <w:tab/>
      </w:r>
      <w:r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8D3EB8">
        <w:rPr>
          <w:rFonts w:ascii="CG Times" w:hAnsi="CG Times"/>
          <w:sz w:val="26"/>
          <w:szCs w:val="26"/>
        </w:rPr>
        <w:t>R Pear</w:t>
      </w:r>
      <w:r w:rsidR="00996E92">
        <w:rPr>
          <w:rFonts w:ascii="CG Times" w:hAnsi="CG Times"/>
          <w:sz w:val="26"/>
          <w:szCs w:val="26"/>
        </w:rPr>
        <w:t>c</w:t>
      </w:r>
      <w:r w:rsidR="008D3EB8">
        <w:rPr>
          <w:rFonts w:ascii="CG Times" w:hAnsi="CG Times"/>
          <w:sz w:val="26"/>
          <w:szCs w:val="26"/>
        </w:rPr>
        <w:t>e</w:t>
      </w:r>
      <w:r w:rsidR="00996E92">
        <w:rPr>
          <w:rFonts w:ascii="CG Times" w:hAnsi="CG Times"/>
          <w:sz w:val="26"/>
          <w:szCs w:val="26"/>
        </w:rPr>
        <w:t xml:space="preserve"> SC</w:t>
      </w:r>
      <w:r w:rsidRPr="00755C0B">
        <w:rPr>
          <w:rFonts w:ascii="CG Times" w:hAnsi="CG Times"/>
          <w:sz w:val="26"/>
          <w:szCs w:val="26"/>
        </w:rPr>
        <w:t xml:space="preserve"> (0</w:t>
      </w:r>
      <w:r w:rsidR="008460D9">
        <w:rPr>
          <w:rFonts w:ascii="CG Times" w:hAnsi="CG Times"/>
          <w:sz w:val="26"/>
          <w:szCs w:val="26"/>
        </w:rPr>
        <w:t>8</w:t>
      </w:r>
      <w:r w:rsidR="00996E92">
        <w:rPr>
          <w:rFonts w:ascii="CG Times" w:hAnsi="CG Times"/>
          <w:sz w:val="26"/>
          <w:szCs w:val="26"/>
        </w:rPr>
        <w:t>3</w:t>
      </w:r>
      <w:r w:rsidRPr="00755C0B">
        <w:rPr>
          <w:rFonts w:ascii="CG Times" w:hAnsi="CG Times"/>
          <w:sz w:val="26"/>
          <w:szCs w:val="26"/>
        </w:rPr>
        <w:t> </w:t>
      </w:r>
      <w:r w:rsidR="00996E92">
        <w:rPr>
          <w:rFonts w:ascii="CG Times" w:hAnsi="CG Times"/>
          <w:sz w:val="26"/>
          <w:szCs w:val="26"/>
        </w:rPr>
        <w:t>650</w:t>
      </w:r>
      <w:r w:rsidRPr="00755C0B">
        <w:rPr>
          <w:rFonts w:ascii="CG Times" w:hAnsi="CG Times"/>
          <w:sz w:val="26"/>
          <w:szCs w:val="26"/>
        </w:rPr>
        <w:t xml:space="preserve"> </w:t>
      </w:r>
      <w:r w:rsidR="00996E92">
        <w:rPr>
          <w:rFonts w:ascii="CG Times" w:hAnsi="CG Times"/>
          <w:sz w:val="26"/>
          <w:szCs w:val="26"/>
        </w:rPr>
        <w:t>502</w:t>
      </w:r>
      <w:r w:rsidR="008460D9">
        <w:rPr>
          <w:rFonts w:ascii="CG Times" w:hAnsi="CG Times"/>
          <w:sz w:val="26"/>
          <w:szCs w:val="26"/>
        </w:rPr>
        <w:t>2</w:t>
      </w:r>
      <w:r w:rsidR="00C26395">
        <w:rPr>
          <w:rFonts w:ascii="CG Times" w:hAnsi="CG Times"/>
          <w:sz w:val="26"/>
          <w:szCs w:val="26"/>
        </w:rPr>
        <w:t>)</w:t>
      </w:r>
    </w:p>
    <w:p w14:paraId="5F0AA50B" w14:textId="381B9158" w:rsidR="00114B1D" w:rsidRPr="00755C0B" w:rsidRDefault="00D7085C" w:rsidP="00B97417">
      <w:pPr>
        <w:pStyle w:val="Default"/>
        <w:spacing w:line="360" w:lineRule="auto"/>
        <w:rPr>
          <w:rFonts w:ascii="CG Times" w:hAnsi="CG Times"/>
          <w:sz w:val="26"/>
          <w:szCs w:val="26"/>
        </w:rPr>
      </w:pP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C26395">
        <w:rPr>
          <w:rFonts w:ascii="CG Times" w:hAnsi="CG Times"/>
          <w:sz w:val="26"/>
          <w:szCs w:val="26"/>
        </w:rPr>
        <w:t>Y</w:t>
      </w:r>
      <w:r w:rsidR="008460D9">
        <w:rPr>
          <w:rFonts w:ascii="CG Times" w:hAnsi="CG Times"/>
          <w:sz w:val="26"/>
          <w:szCs w:val="26"/>
        </w:rPr>
        <w:t xml:space="preserve"> </w:t>
      </w:r>
      <w:r w:rsidR="00B3264C">
        <w:rPr>
          <w:rFonts w:ascii="CG Times" w:hAnsi="CG Times"/>
          <w:sz w:val="26"/>
          <w:szCs w:val="26"/>
        </w:rPr>
        <w:t xml:space="preserve">S </w:t>
      </w:r>
      <w:r w:rsidR="00C26395">
        <w:rPr>
          <w:rFonts w:ascii="CG Times" w:hAnsi="CG Times"/>
          <w:sz w:val="26"/>
          <w:szCs w:val="26"/>
        </w:rPr>
        <w:t>Ntloko</w:t>
      </w:r>
      <w:r w:rsidRPr="00755C0B">
        <w:rPr>
          <w:rFonts w:ascii="CG Times" w:hAnsi="CG Times"/>
          <w:sz w:val="26"/>
          <w:szCs w:val="26"/>
        </w:rPr>
        <w:t xml:space="preserve"> (08</w:t>
      </w:r>
      <w:r w:rsidR="00B3264C">
        <w:rPr>
          <w:rFonts w:ascii="CG Times" w:hAnsi="CG Times"/>
          <w:sz w:val="26"/>
          <w:szCs w:val="26"/>
        </w:rPr>
        <w:t>2</w:t>
      </w:r>
      <w:r w:rsidRPr="00755C0B">
        <w:rPr>
          <w:rFonts w:ascii="CG Times" w:hAnsi="CG Times"/>
          <w:sz w:val="26"/>
          <w:szCs w:val="26"/>
        </w:rPr>
        <w:t> </w:t>
      </w:r>
      <w:r w:rsidR="00B3264C">
        <w:rPr>
          <w:rFonts w:ascii="CG Times" w:hAnsi="CG Times"/>
          <w:sz w:val="26"/>
          <w:szCs w:val="26"/>
        </w:rPr>
        <w:t>04</w:t>
      </w:r>
      <w:r w:rsidRPr="00755C0B">
        <w:rPr>
          <w:rFonts w:ascii="CG Times" w:hAnsi="CG Times"/>
          <w:sz w:val="26"/>
          <w:szCs w:val="26"/>
        </w:rPr>
        <w:t xml:space="preserve">4 </w:t>
      </w:r>
      <w:r w:rsidR="00B3264C">
        <w:rPr>
          <w:rFonts w:ascii="CG Times" w:hAnsi="CG Times"/>
          <w:sz w:val="26"/>
          <w:szCs w:val="26"/>
        </w:rPr>
        <w:t>8108</w:t>
      </w:r>
      <w:r w:rsidRPr="00755C0B">
        <w:rPr>
          <w:rFonts w:ascii="CG Times" w:hAnsi="CG Times"/>
          <w:sz w:val="26"/>
          <w:szCs w:val="26"/>
        </w:rPr>
        <w:t>)</w:t>
      </w:r>
      <w:r w:rsidR="003E052E" w:rsidRPr="00755C0B">
        <w:rPr>
          <w:rFonts w:ascii="CG Times" w:hAnsi="CG Times"/>
          <w:sz w:val="26"/>
          <w:szCs w:val="26"/>
        </w:rPr>
        <w:tab/>
      </w:r>
    </w:p>
    <w:p w14:paraId="2FA22EF2" w14:textId="77777777" w:rsidR="00114B1D" w:rsidRPr="00755C0B" w:rsidRDefault="00114B1D" w:rsidP="00B97417">
      <w:pPr>
        <w:pStyle w:val="Default"/>
        <w:spacing w:line="360" w:lineRule="auto"/>
        <w:rPr>
          <w:rFonts w:ascii="CG Times" w:hAnsi="CG Times"/>
          <w:sz w:val="26"/>
          <w:szCs w:val="26"/>
        </w:rPr>
      </w:pPr>
    </w:p>
    <w:p w14:paraId="517A8719" w14:textId="14A3AE0B" w:rsidR="00B328B8"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 xml:space="preserve">Attorneys for </w:t>
      </w:r>
      <w:r w:rsidR="00EB5CB0">
        <w:rPr>
          <w:rFonts w:ascii="CG Times" w:hAnsi="CG Times"/>
          <w:sz w:val="26"/>
          <w:szCs w:val="26"/>
        </w:rPr>
        <w:t>First</w:t>
      </w:r>
      <w:r w:rsidR="00114B1D" w:rsidRPr="00755C0B">
        <w:rPr>
          <w:rFonts w:ascii="CG Times" w:hAnsi="CG Times"/>
          <w:sz w:val="26"/>
          <w:szCs w:val="26"/>
        </w:rPr>
        <w:t xml:space="preserve"> Respondent</w:t>
      </w:r>
      <w:r w:rsidR="005867C0" w:rsidRPr="00755C0B">
        <w:rPr>
          <w:rFonts w:ascii="CG Times" w:hAnsi="CG Times"/>
          <w:sz w:val="26"/>
          <w:szCs w:val="26"/>
        </w:rPr>
        <w:t>:</w:t>
      </w:r>
      <w:r w:rsidR="005867C0" w:rsidRPr="00755C0B">
        <w:rPr>
          <w:rFonts w:ascii="CG Times" w:hAnsi="CG Times"/>
          <w:sz w:val="26"/>
          <w:szCs w:val="26"/>
        </w:rPr>
        <w:tab/>
      </w:r>
      <w:r w:rsidR="00EB5CB0">
        <w:rPr>
          <w:rFonts w:ascii="CG Times" w:hAnsi="CG Times"/>
          <w:sz w:val="26"/>
          <w:szCs w:val="26"/>
        </w:rPr>
        <w:tab/>
      </w:r>
      <w:r w:rsidR="00EB5CB0">
        <w:rPr>
          <w:rFonts w:ascii="CG Times" w:hAnsi="CG Times"/>
          <w:sz w:val="26"/>
          <w:szCs w:val="26"/>
        </w:rPr>
        <w:tab/>
      </w:r>
      <w:r w:rsidR="009F6992">
        <w:rPr>
          <w:rFonts w:ascii="CG Times" w:hAnsi="CG Times"/>
          <w:sz w:val="26"/>
          <w:szCs w:val="26"/>
        </w:rPr>
        <w:t>Wes</w:t>
      </w:r>
      <w:r w:rsidR="008460D9">
        <w:rPr>
          <w:rFonts w:ascii="CG Times" w:hAnsi="CG Times"/>
          <w:sz w:val="26"/>
          <w:szCs w:val="26"/>
        </w:rPr>
        <w:t xml:space="preserve">ley </w:t>
      </w:r>
      <w:r w:rsidR="009F6992">
        <w:rPr>
          <w:rFonts w:ascii="CG Times" w:hAnsi="CG Times"/>
          <w:sz w:val="26"/>
          <w:szCs w:val="26"/>
        </w:rPr>
        <w:t>R Hayes Attorneys</w:t>
      </w:r>
    </w:p>
    <w:p w14:paraId="69D1E261" w14:textId="19387B53" w:rsidR="005867C0"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Counsel</w:t>
      </w:r>
      <w:r w:rsidR="009240E6">
        <w:rPr>
          <w:rFonts w:ascii="CG Times" w:hAnsi="CG Times"/>
          <w:sz w:val="26"/>
          <w:szCs w:val="26"/>
        </w:rPr>
        <w:t xml:space="preserve"> </w:t>
      </w:r>
      <w:r w:rsidR="009240E6" w:rsidRPr="00755C0B">
        <w:rPr>
          <w:rFonts w:ascii="CG Times" w:hAnsi="CG Times"/>
          <w:sz w:val="26"/>
          <w:szCs w:val="26"/>
        </w:rPr>
        <w:t xml:space="preserve">for </w:t>
      </w:r>
      <w:r w:rsidR="00745E65">
        <w:rPr>
          <w:rFonts w:ascii="CG Times" w:hAnsi="CG Times"/>
          <w:sz w:val="26"/>
          <w:szCs w:val="26"/>
        </w:rPr>
        <w:t xml:space="preserve">First </w:t>
      </w:r>
      <w:r w:rsidR="009240E6" w:rsidRPr="00755C0B">
        <w:rPr>
          <w:rFonts w:ascii="CG Times" w:hAnsi="CG Times"/>
          <w:sz w:val="26"/>
          <w:szCs w:val="26"/>
        </w:rPr>
        <w:t>Respondent</w:t>
      </w:r>
      <w:r w:rsidRPr="00755C0B">
        <w:rPr>
          <w:rFonts w:ascii="CG Times" w:hAnsi="CG Times"/>
          <w:sz w:val="26"/>
          <w:szCs w:val="26"/>
        </w:rPr>
        <w:t>:</w:t>
      </w:r>
      <w:r w:rsidR="008460D9">
        <w:rPr>
          <w:rFonts w:ascii="CG Times" w:hAnsi="CG Times"/>
          <w:sz w:val="26"/>
          <w:szCs w:val="26"/>
        </w:rPr>
        <w:tab/>
      </w:r>
      <w:r w:rsidR="00745E65">
        <w:rPr>
          <w:rFonts w:ascii="CG Times" w:hAnsi="CG Times"/>
          <w:sz w:val="26"/>
          <w:szCs w:val="26"/>
        </w:rPr>
        <w:tab/>
      </w:r>
      <w:r w:rsidR="00745E65">
        <w:rPr>
          <w:rFonts w:ascii="CG Times" w:hAnsi="CG Times"/>
          <w:sz w:val="26"/>
          <w:szCs w:val="26"/>
        </w:rPr>
        <w:tab/>
        <w:t xml:space="preserve">R Buchanan </w:t>
      </w:r>
      <w:r w:rsidR="005867C0" w:rsidRPr="00755C0B">
        <w:rPr>
          <w:rFonts w:ascii="CG Times" w:hAnsi="CG Times"/>
          <w:sz w:val="26"/>
          <w:szCs w:val="26"/>
        </w:rPr>
        <w:t>SC</w:t>
      </w:r>
      <w:r w:rsidR="00D7085C" w:rsidRPr="00755C0B">
        <w:rPr>
          <w:rFonts w:ascii="CG Times" w:hAnsi="CG Times"/>
          <w:sz w:val="26"/>
          <w:szCs w:val="26"/>
        </w:rPr>
        <w:t xml:space="preserve"> (08</w:t>
      </w:r>
      <w:r w:rsidR="004A5FC8">
        <w:rPr>
          <w:rFonts w:ascii="CG Times" w:hAnsi="CG Times"/>
          <w:sz w:val="26"/>
          <w:szCs w:val="26"/>
        </w:rPr>
        <w:t>2</w:t>
      </w:r>
      <w:r w:rsidR="00D7085C" w:rsidRPr="00755C0B">
        <w:rPr>
          <w:rFonts w:ascii="CG Times" w:hAnsi="CG Times"/>
          <w:sz w:val="26"/>
          <w:szCs w:val="26"/>
        </w:rPr>
        <w:t> </w:t>
      </w:r>
      <w:r w:rsidR="0045752F">
        <w:rPr>
          <w:rFonts w:ascii="CG Times" w:hAnsi="CG Times"/>
          <w:sz w:val="26"/>
          <w:szCs w:val="26"/>
        </w:rPr>
        <w:t>652</w:t>
      </w:r>
      <w:r w:rsidR="00D7085C" w:rsidRPr="00755C0B">
        <w:rPr>
          <w:rFonts w:ascii="CG Times" w:hAnsi="CG Times"/>
          <w:sz w:val="26"/>
          <w:szCs w:val="26"/>
        </w:rPr>
        <w:t xml:space="preserve"> </w:t>
      </w:r>
      <w:r w:rsidR="0045752F">
        <w:rPr>
          <w:rFonts w:ascii="CG Times" w:hAnsi="CG Times"/>
          <w:sz w:val="26"/>
          <w:szCs w:val="26"/>
        </w:rPr>
        <w:t>541</w:t>
      </w:r>
      <w:r w:rsidR="009240E6">
        <w:rPr>
          <w:rFonts w:ascii="CG Times" w:hAnsi="CG Times"/>
          <w:sz w:val="26"/>
          <w:szCs w:val="26"/>
        </w:rPr>
        <w:t>0</w:t>
      </w:r>
      <w:r w:rsidR="00D7085C" w:rsidRPr="00755C0B">
        <w:rPr>
          <w:rFonts w:ascii="CG Times" w:hAnsi="CG Times"/>
          <w:sz w:val="26"/>
          <w:szCs w:val="26"/>
        </w:rPr>
        <w:t>)</w:t>
      </w:r>
    </w:p>
    <w:p w14:paraId="649DAC16" w14:textId="7B00E2B0" w:rsidR="00B328B8" w:rsidRPr="00755C0B" w:rsidRDefault="0045752F" w:rsidP="008460D9">
      <w:pPr>
        <w:pStyle w:val="Default"/>
        <w:spacing w:line="360" w:lineRule="auto"/>
        <w:ind w:left="4320" w:firstLine="720"/>
        <w:rPr>
          <w:rFonts w:ascii="CG Times" w:hAnsi="CG Times"/>
          <w:sz w:val="26"/>
          <w:szCs w:val="26"/>
        </w:rPr>
      </w:pPr>
      <w:r>
        <w:rPr>
          <w:rFonts w:ascii="CG Times" w:hAnsi="CG Times"/>
          <w:sz w:val="26"/>
          <w:szCs w:val="26"/>
        </w:rPr>
        <w:t>D A</w:t>
      </w:r>
      <w:r w:rsidR="009240E6">
        <w:rPr>
          <w:rFonts w:ascii="CG Times" w:hAnsi="CG Times"/>
          <w:sz w:val="26"/>
          <w:szCs w:val="26"/>
        </w:rPr>
        <w:t xml:space="preserve"> </w:t>
      </w:r>
      <w:r>
        <w:rPr>
          <w:rFonts w:ascii="CG Times" w:hAnsi="CG Times"/>
          <w:sz w:val="26"/>
          <w:szCs w:val="26"/>
        </w:rPr>
        <w:t>Smith</w:t>
      </w:r>
      <w:r w:rsidR="00D7085C" w:rsidRPr="00755C0B">
        <w:rPr>
          <w:rFonts w:ascii="CG Times" w:hAnsi="CG Times"/>
          <w:sz w:val="26"/>
          <w:szCs w:val="26"/>
        </w:rPr>
        <w:t xml:space="preserve"> (0</w:t>
      </w:r>
      <w:r w:rsidR="00A431B6">
        <w:rPr>
          <w:rFonts w:ascii="CG Times" w:hAnsi="CG Times"/>
          <w:sz w:val="26"/>
          <w:szCs w:val="26"/>
        </w:rPr>
        <w:t>64</w:t>
      </w:r>
      <w:r w:rsidR="00D7085C" w:rsidRPr="00755C0B">
        <w:rPr>
          <w:rFonts w:ascii="CG Times" w:hAnsi="CG Times"/>
          <w:sz w:val="26"/>
          <w:szCs w:val="26"/>
        </w:rPr>
        <w:t> </w:t>
      </w:r>
      <w:r w:rsidR="00A431B6">
        <w:rPr>
          <w:rFonts w:ascii="CG Times" w:hAnsi="CG Times"/>
          <w:sz w:val="26"/>
          <w:szCs w:val="26"/>
        </w:rPr>
        <w:t>0</w:t>
      </w:r>
      <w:r w:rsidR="00D7085C" w:rsidRPr="00755C0B">
        <w:rPr>
          <w:rFonts w:ascii="CG Times" w:hAnsi="CG Times"/>
          <w:sz w:val="26"/>
          <w:szCs w:val="26"/>
        </w:rPr>
        <w:t>6</w:t>
      </w:r>
      <w:r w:rsidR="00A431B6">
        <w:rPr>
          <w:rFonts w:ascii="CG Times" w:hAnsi="CG Times"/>
          <w:sz w:val="26"/>
          <w:szCs w:val="26"/>
        </w:rPr>
        <w:t>8</w:t>
      </w:r>
      <w:r w:rsidR="00D7085C" w:rsidRPr="00755C0B">
        <w:rPr>
          <w:rFonts w:ascii="CG Times" w:hAnsi="CG Times"/>
          <w:sz w:val="26"/>
          <w:szCs w:val="26"/>
        </w:rPr>
        <w:t xml:space="preserve"> </w:t>
      </w:r>
      <w:r w:rsidR="00A431B6">
        <w:rPr>
          <w:rFonts w:ascii="CG Times" w:hAnsi="CG Times"/>
          <w:sz w:val="26"/>
          <w:szCs w:val="26"/>
        </w:rPr>
        <w:t>9</w:t>
      </w:r>
      <w:r w:rsidR="009240E6">
        <w:rPr>
          <w:rFonts w:ascii="CG Times" w:hAnsi="CG Times"/>
          <w:sz w:val="26"/>
          <w:szCs w:val="26"/>
        </w:rPr>
        <w:t>7</w:t>
      </w:r>
      <w:r w:rsidR="00A431B6">
        <w:rPr>
          <w:rFonts w:ascii="CG Times" w:hAnsi="CG Times"/>
          <w:sz w:val="26"/>
          <w:szCs w:val="26"/>
        </w:rPr>
        <w:t>97</w:t>
      </w:r>
      <w:r w:rsidR="00D7085C" w:rsidRPr="00755C0B">
        <w:rPr>
          <w:rFonts w:ascii="CG Times" w:hAnsi="CG Times"/>
          <w:sz w:val="26"/>
          <w:szCs w:val="26"/>
        </w:rPr>
        <w:t>)</w:t>
      </w:r>
    </w:p>
    <w:p w14:paraId="4FC36F46" w14:textId="77777777" w:rsidR="008460D9" w:rsidRDefault="008460D9" w:rsidP="008460D9">
      <w:pPr>
        <w:pStyle w:val="Default"/>
        <w:spacing w:line="360" w:lineRule="auto"/>
        <w:rPr>
          <w:rFonts w:ascii="CG Times" w:hAnsi="CG Times"/>
          <w:sz w:val="26"/>
          <w:szCs w:val="26"/>
        </w:rPr>
      </w:pPr>
    </w:p>
    <w:p w14:paraId="3054C452" w14:textId="780440AC" w:rsidR="008460D9" w:rsidRPr="00755C0B" w:rsidRDefault="008460D9" w:rsidP="008460D9">
      <w:pPr>
        <w:pStyle w:val="Default"/>
        <w:spacing w:line="360" w:lineRule="auto"/>
        <w:rPr>
          <w:rFonts w:ascii="CG Times" w:hAnsi="CG Times"/>
          <w:sz w:val="26"/>
          <w:szCs w:val="26"/>
        </w:rPr>
      </w:pPr>
      <w:r w:rsidRPr="00755C0B">
        <w:rPr>
          <w:rFonts w:ascii="CG Times" w:hAnsi="CG Times"/>
          <w:sz w:val="26"/>
          <w:szCs w:val="26"/>
        </w:rPr>
        <w:t xml:space="preserve">Attorneys for </w:t>
      </w:r>
      <w:r w:rsidR="00972B78">
        <w:rPr>
          <w:rFonts w:ascii="CG Times" w:hAnsi="CG Times"/>
          <w:sz w:val="26"/>
          <w:szCs w:val="26"/>
        </w:rPr>
        <w:t xml:space="preserve">Fourth </w:t>
      </w:r>
      <w:r w:rsidRPr="00755C0B">
        <w:rPr>
          <w:rFonts w:ascii="CG Times" w:hAnsi="CG Times"/>
          <w:sz w:val="26"/>
          <w:szCs w:val="26"/>
        </w:rPr>
        <w:t>Respondent:</w:t>
      </w:r>
      <w:r w:rsidRPr="00755C0B">
        <w:rPr>
          <w:rFonts w:ascii="CG Times" w:hAnsi="CG Times"/>
          <w:sz w:val="26"/>
          <w:szCs w:val="26"/>
        </w:rPr>
        <w:tab/>
      </w:r>
      <w:r w:rsidR="00972B78">
        <w:rPr>
          <w:rFonts w:ascii="CG Times" w:hAnsi="CG Times"/>
          <w:sz w:val="26"/>
          <w:szCs w:val="26"/>
        </w:rPr>
        <w:tab/>
      </w:r>
      <w:r w:rsidR="00972B78">
        <w:rPr>
          <w:rFonts w:ascii="CG Times" w:hAnsi="CG Times"/>
          <w:sz w:val="26"/>
          <w:szCs w:val="26"/>
        </w:rPr>
        <w:tab/>
      </w:r>
      <w:r w:rsidR="003A67CE">
        <w:rPr>
          <w:rFonts w:ascii="CG Times" w:hAnsi="CG Times"/>
          <w:sz w:val="26"/>
          <w:szCs w:val="26"/>
        </w:rPr>
        <w:t xml:space="preserve">ZS </w:t>
      </w:r>
      <w:r>
        <w:rPr>
          <w:rFonts w:ascii="CG Times" w:hAnsi="CG Times"/>
          <w:sz w:val="26"/>
          <w:szCs w:val="26"/>
        </w:rPr>
        <w:t>Inc</w:t>
      </w:r>
    </w:p>
    <w:p w14:paraId="3EFC53BB" w14:textId="1662C11F" w:rsidR="008460D9" w:rsidRPr="00755C0B" w:rsidRDefault="008460D9" w:rsidP="008460D9">
      <w:pPr>
        <w:pStyle w:val="Default"/>
        <w:spacing w:line="360" w:lineRule="auto"/>
        <w:rPr>
          <w:rFonts w:ascii="CG Times" w:hAnsi="CG Times"/>
          <w:sz w:val="26"/>
          <w:szCs w:val="26"/>
        </w:rPr>
      </w:pPr>
      <w:r w:rsidRPr="00755C0B">
        <w:rPr>
          <w:rFonts w:ascii="CG Times" w:hAnsi="CG Times"/>
          <w:sz w:val="26"/>
          <w:szCs w:val="26"/>
        </w:rPr>
        <w:t>Counsel for</w:t>
      </w:r>
      <w:r w:rsidR="00687EB1">
        <w:rPr>
          <w:rFonts w:ascii="CG Times" w:hAnsi="CG Times"/>
          <w:sz w:val="26"/>
          <w:szCs w:val="26"/>
        </w:rPr>
        <w:t xml:space="preserve"> </w:t>
      </w:r>
      <w:r w:rsidR="003A67CE">
        <w:rPr>
          <w:rFonts w:ascii="CG Times" w:hAnsi="CG Times"/>
          <w:sz w:val="26"/>
          <w:szCs w:val="26"/>
        </w:rPr>
        <w:t>Fourth</w:t>
      </w:r>
      <w:r w:rsidR="009240E6">
        <w:rPr>
          <w:rFonts w:ascii="CG Times" w:hAnsi="CG Times"/>
          <w:sz w:val="26"/>
          <w:szCs w:val="26"/>
        </w:rPr>
        <w:t xml:space="preserve"> </w:t>
      </w:r>
      <w:r w:rsidR="009240E6" w:rsidRPr="00755C0B">
        <w:rPr>
          <w:rFonts w:ascii="CG Times" w:hAnsi="CG Times"/>
          <w:sz w:val="26"/>
          <w:szCs w:val="26"/>
        </w:rPr>
        <w:t>Respondent</w:t>
      </w:r>
      <w:r w:rsidRPr="00755C0B">
        <w:rPr>
          <w:rFonts w:ascii="CG Times" w:hAnsi="CG Times"/>
          <w:sz w:val="26"/>
          <w:szCs w:val="26"/>
        </w:rPr>
        <w:t>:</w:t>
      </w:r>
      <w:r w:rsidRPr="00755C0B">
        <w:rPr>
          <w:rFonts w:ascii="CG Times" w:hAnsi="CG Times"/>
          <w:sz w:val="26"/>
          <w:szCs w:val="26"/>
        </w:rPr>
        <w:tab/>
      </w:r>
      <w:r w:rsidR="003A67CE">
        <w:rPr>
          <w:rFonts w:ascii="CG Times" w:hAnsi="CG Times"/>
          <w:sz w:val="26"/>
          <w:szCs w:val="26"/>
        </w:rPr>
        <w:tab/>
      </w:r>
      <w:r w:rsidR="003A67CE">
        <w:rPr>
          <w:rFonts w:ascii="CG Times" w:hAnsi="CG Times"/>
          <w:sz w:val="26"/>
          <w:szCs w:val="26"/>
        </w:rPr>
        <w:tab/>
      </w:r>
      <w:r w:rsidR="00157827">
        <w:rPr>
          <w:rFonts w:ascii="CG Times" w:hAnsi="CG Times"/>
          <w:sz w:val="26"/>
          <w:szCs w:val="26"/>
        </w:rPr>
        <w:t xml:space="preserve">R </w:t>
      </w:r>
      <w:r w:rsidR="009240E6">
        <w:rPr>
          <w:rFonts w:ascii="CG Times" w:hAnsi="CG Times"/>
          <w:sz w:val="26"/>
          <w:szCs w:val="26"/>
        </w:rPr>
        <w:t>M</w:t>
      </w:r>
      <w:r w:rsidR="004867C9">
        <w:rPr>
          <w:rFonts w:ascii="CG Times" w:hAnsi="CG Times"/>
          <w:sz w:val="26"/>
          <w:szCs w:val="26"/>
        </w:rPr>
        <w:t>acWilliam</w:t>
      </w:r>
      <w:r w:rsidRPr="00755C0B">
        <w:rPr>
          <w:rFonts w:ascii="CG Times" w:hAnsi="CG Times"/>
          <w:sz w:val="26"/>
          <w:szCs w:val="26"/>
        </w:rPr>
        <w:t xml:space="preserve"> SC (0</w:t>
      </w:r>
      <w:r w:rsidR="00975130">
        <w:rPr>
          <w:rFonts w:ascii="CG Times" w:hAnsi="CG Times"/>
          <w:sz w:val="26"/>
          <w:szCs w:val="26"/>
        </w:rPr>
        <w:t>79</w:t>
      </w:r>
      <w:r w:rsidR="007878D7">
        <w:rPr>
          <w:rFonts w:ascii="CG Times" w:hAnsi="CG Times"/>
          <w:sz w:val="26"/>
          <w:szCs w:val="26"/>
        </w:rPr>
        <w:t> </w:t>
      </w:r>
      <w:r w:rsidR="004132D3">
        <w:rPr>
          <w:rFonts w:ascii="CG Times" w:hAnsi="CG Times"/>
          <w:sz w:val="26"/>
          <w:szCs w:val="26"/>
        </w:rPr>
        <w:t>2</w:t>
      </w:r>
      <w:r w:rsidR="00975130">
        <w:rPr>
          <w:rFonts w:ascii="CG Times" w:hAnsi="CG Times"/>
          <w:sz w:val="26"/>
          <w:szCs w:val="26"/>
        </w:rPr>
        <w:t>90</w:t>
      </w:r>
      <w:r w:rsidR="007878D7">
        <w:rPr>
          <w:rFonts w:ascii="CG Times" w:hAnsi="CG Times"/>
          <w:sz w:val="26"/>
          <w:szCs w:val="26"/>
        </w:rPr>
        <w:t xml:space="preserve"> </w:t>
      </w:r>
      <w:r w:rsidR="00EC2A5B">
        <w:rPr>
          <w:rFonts w:ascii="CG Times" w:hAnsi="CG Times"/>
          <w:sz w:val="26"/>
          <w:szCs w:val="26"/>
        </w:rPr>
        <w:t>3695</w:t>
      </w:r>
      <w:r w:rsidR="007878D7">
        <w:rPr>
          <w:rFonts w:ascii="CG Times" w:hAnsi="CG Times"/>
          <w:sz w:val="26"/>
          <w:szCs w:val="26"/>
        </w:rPr>
        <w:t>)</w:t>
      </w:r>
      <w:r w:rsidRPr="00755C0B">
        <w:rPr>
          <w:rFonts w:ascii="CG Times" w:hAnsi="CG Times"/>
          <w:sz w:val="26"/>
          <w:szCs w:val="26"/>
        </w:rPr>
        <w:t xml:space="preserve"> </w:t>
      </w:r>
    </w:p>
    <w:p w14:paraId="0FDFB850" w14:textId="6DA12C7A" w:rsidR="002E491C" w:rsidRDefault="00D77174" w:rsidP="00363C00">
      <w:pPr>
        <w:pStyle w:val="Default"/>
        <w:spacing w:line="360" w:lineRule="auto"/>
        <w:ind w:left="4320" w:firstLine="720"/>
        <w:rPr>
          <w:rFonts w:ascii="CG Times" w:hAnsi="CG Times"/>
          <w:sz w:val="26"/>
          <w:szCs w:val="26"/>
        </w:rPr>
      </w:pPr>
      <w:r>
        <w:rPr>
          <w:rFonts w:ascii="CG Times" w:hAnsi="CG Times"/>
          <w:sz w:val="26"/>
          <w:szCs w:val="26"/>
        </w:rPr>
        <w:t>R Van Wyk</w:t>
      </w:r>
      <w:r w:rsidR="009240E6">
        <w:rPr>
          <w:rFonts w:ascii="CG Times" w:hAnsi="CG Times"/>
          <w:sz w:val="26"/>
          <w:szCs w:val="26"/>
        </w:rPr>
        <w:t xml:space="preserve"> </w:t>
      </w:r>
      <w:r w:rsidR="008460D9" w:rsidRPr="00755C0B">
        <w:rPr>
          <w:rFonts w:ascii="CG Times" w:hAnsi="CG Times"/>
          <w:sz w:val="26"/>
          <w:szCs w:val="26"/>
        </w:rPr>
        <w:t>(0</w:t>
      </w:r>
      <w:r w:rsidR="009240E6">
        <w:rPr>
          <w:rFonts w:ascii="CG Times" w:hAnsi="CG Times"/>
          <w:sz w:val="26"/>
          <w:szCs w:val="26"/>
        </w:rPr>
        <w:t>72</w:t>
      </w:r>
      <w:r>
        <w:rPr>
          <w:rFonts w:ascii="CG Times" w:hAnsi="CG Times"/>
          <w:sz w:val="26"/>
          <w:szCs w:val="26"/>
        </w:rPr>
        <w:t> 193 4426</w:t>
      </w:r>
      <w:r w:rsidR="008460D9" w:rsidRPr="00755C0B">
        <w:rPr>
          <w:rFonts w:ascii="CG Times" w:hAnsi="CG Times"/>
          <w:sz w:val="26"/>
          <w:szCs w:val="26"/>
        </w:rPr>
        <w:t>)</w:t>
      </w:r>
    </w:p>
    <w:p w14:paraId="5B342B45" w14:textId="72F30C97" w:rsidR="002E491C" w:rsidRDefault="002E491C">
      <w:pPr>
        <w:spacing w:after="200" w:line="276" w:lineRule="auto"/>
        <w:rPr>
          <w:rFonts w:ascii="CG Times" w:eastAsia="SimSun" w:hAnsi="CG Times" w:cs="Arial"/>
          <w:color w:val="000000"/>
          <w:sz w:val="26"/>
          <w:szCs w:val="26"/>
          <w:lang w:val="en-US"/>
        </w:rPr>
      </w:pPr>
    </w:p>
    <w:sectPr w:rsidR="002E491C" w:rsidSect="002E311B">
      <w:headerReference w:type="default" r:id="rId10"/>
      <w:footerReference w:type="default" r:id="rId11"/>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5BC2" w14:textId="77777777" w:rsidR="00FB652B" w:rsidRDefault="00FB652B" w:rsidP="006B7890">
      <w:r>
        <w:separator/>
      </w:r>
    </w:p>
  </w:endnote>
  <w:endnote w:type="continuationSeparator" w:id="0">
    <w:p w14:paraId="6C45B871" w14:textId="77777777" w:rsidR="00FB652B" w:rsidRDefault="00FB652B" w:rsidP="006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E24C" w14:textId="77777777" w:rsidR="008E70F4" w:rsidRDefault="008E70F4">
    <w:pPr>
      <w:pStyle w:val="Footer"/>
      <w:jc w:val="center"/>
    </w:pPr>
  </w:p>
  <w:p w14:paraId="7AF569E1" w14:textId="77777777" w:rsidR="008E70F4" w:rsidRDefault="008E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9CB1" w14:textId="77777777" w:rsidR="00FB652B" w:rsidRDefault="00FB652B" w:rsidP="006B7890">
      <w:r>
        <w:separator/>
      </w:r>
    </w:p>
  </w:footnote>
  <w:footnote w:type="continuationSeparator" w:id="0">
    <w:p w14:paraId="763E19A9" w14:textId="77777777" w:rsidR="00FB652B" w:rsidRDefault="00FB652B" w:rsidP="006B7890">
      <w:r>
        <w:continuationSeparator/>
      </w:r>
    </w:p>
  </w:footnote>
  <w:footnote w:id="1">
    <w:p w14:paraId="4D87B99B" w14:textId="77777777" w:rsidR="00270D8F" w:rsidRPr="00635E1C" w:rsidRDefault="00270D8F" w:rsidP="005C2F24">
      <w:pPr>
        <w:pStyle w:val="FootnoteText"/>
        <w:ind w:left="284" w:hanging="284"/>
        <w:rPr>
          <w:rFonts w:ascii="CG Times" w:hAnsi="CG Times"/>
          <w:lang w:val="en-ZA"/>
        </w:rPr>
      </w:pPr>
      <w:r w:rsidRPr="00635E1C">
        <w:rPr>
          <w:rStyle w:val="FootnoteReference"/>
          <w:rFonts w:ascii="CG Times" w:hAnsi="CG Times"/>
        </w:rPr>
        <w:footnoteRef/>
      </w:r>
      <w:r w:rsidRPr="00635E1C">
        <w:rPr>
          <w:rFonts w:ascii="CG Times" w:hAnsi="CG Times"/>
        </w:rPr>
        <w:t xml:space="preserve"> </w:t>
      </w:r>
      <w:r w:rsidRPr="00635E1C">
        <w:rPr>
          <w:rFonts w:ascii="CG Times" w:hAnsi="CG Times"/>
          <w:lang w:val="en-ZA"/>
        </w:rPr>
        <w:tab/>
        <w:t>Section 17(1)(a)(i)</w:t>
      </w:r>
    </w:p>
  </w:footnote>
  <w:footnote w:id="2">
    <w:p w14:paraId="6AE85EBA" w14:textId="77777777" w:rsidR="00270D8F" w:rsidRPr="00635E1C" w:rsidRDefault="00270D8F" w:rsidP="005C2F24">
      <w:pPr>
        <w:pStyle w:val="FootnoteText"/>
        <w:ind w:left="284" w:hanging="284"/>
        <w:rPr>
          <w:rFonts w:ascii="CG Times" w:hAnsi="CG Times"/>
          <w:lang w:val="en-US"/>
        </w:rPr>
      </w:pPr>
      <w:r w:rsidRPr="00635E1C">
        <w:rPr>
          <w:rStyle w:val="FootnoteReference"/>
          <w:rFonts w:ascii="CG Times" w:hAnsi="CG Times"/>
        </w:rPr>
        <w:footnoteRef/>
      </w:r>
      <w:r w:rsidRPr="00635E1C">
        <w:rPr>
          <w:rFonts w:ascii="CG Times" w:hAnsi="CG Times"/>
        </w:rPr>
        <w:t xml:space="preserve"> </w:t>
      </w:r>
      <w:r w:rsidRPr="00635E1C">
        <w:rPr>
          <w:rFonts w:ascii="CG Times" w:hAnsi="CG Times"/>
          <w:lang w:val="en-US"/>
        </w:rPr>
        <w:tab/>
        <w:t>Section 17(1)(a)(ii)</w:t>
      </w:r>
    </w:p>
  </w:footnote>
  <w:footnote w:id="3">
    <w:p w14:paraId="6F86E33A" w14:textId="77777777" w:rsidR="00270D8F" w:rsidRPr="00635E1C" w:rsidRDefault="00270D8F" w:rsidP="005C2F24">
      <w:pPr>
        <w:pStyle w:val="FootnoteText"/>
        <w:ind w:left="284" w:hanging="284"/>
        <w:jc w:val="both"/>
        <w:rPr>
          <w:rFonts w:ascii="CG Times" w:hAnsi="CG Times"/>
          <w:lang w:val="en-US"/>
        </w:rPr>
      </w:pPr>
      <w:r w:rsidRPr="00635E1C">
        <w:rPr>
          <w:rStyle w:val="FootnoteReference"/>
          <w:rFonts w:ascii="CG Times" w:hAnsi="CG Times"/>
        </w:rPr>
        <w:footnoteRef/>
      </w:r>
      <w:r w:rsidRPr="00635E1C">
        <w:rPr>
          <w:rFonts w:ascii="CG Times" w:hAnsi="CG Times"/>
        </w:rPr>
        <w:t xml:space="preserve"> </w:t>
      </w:r>
      <w:r w:rsidRPr="00635E1C">
        <w:rPr>
          <w:rFonts w:ascii="CG Times" w:hAnsi="CG Times"/>
          <w:lang w:val="en-US"/>
        </w:rPr>
        <w:tab/>
        <w:t>The effect of section 17(1)(b) read together with section 16(2)(a)(i) is that where the decision sought will have no practical effect or result, the appeal may be dismissed on this ground alone.</w:t>
      </w:r>
    </w:p>
  </w:footnote>
  <w:footnote w:id="4">
    <w:p w14:paraId="24C82A5F" w14:textId="77777777" w:rsidR="00270D8F" w:rsidRPr="00BA5A18" w:rsidRDefault="00270D8F" w:rsidP="005C2F24">
      <w:pPr>
        <w:pStyle w:val="FootnoteText"/>
        <w:ind w:left="284" w:hanging="284"/>
        <w:rPr>
          <w:lang w:val="en-ZA"/>
        </w:rPr>
      </w:pPr>
      <w:r w:rsidRPr="00635E1C">
        <w:rPr>
          <w:rStyle w:val="FootnoteReference"/>
          <w:rFonts w:ascii="CG Times" w:hAnsi="CG Times"/>
        </w:rPr>
        <w:footnoteRef/>
      </w:r>
      <w:r w:rsidRPr="00635E1C">
        <w:rPr>
          <w:rFonts w:ascii="CG Times" w:hAnsi="CG Times"/>
        </w:rPr>
        <w:t xml:space="preserve"> </w:t>
      </w:r>
      <w:r w:rsidRPr="00635E1C">
        <w:rPr>
          <w:rFonts w:ascii="CG Times" w:hAnsi="CG Times"/>
          <w:lang w:val="en-ZA"/>
        </w:rPr>
        <w:tab/>
        <w:t>Section 17(1)(c)</w:t>
      </w:r>
    </w:p>
  </w:footnote>
  <w:footnote w:id="5">
    <w:p w14:paraId="43009F78" w14:textId="11FDFFAB" w:rsidR="0047174B" w:rsidRPr="0047174B" w:rsidRDefault="0047174B" w:rsidP="005C2F24">
      <w:pPr>
        <w:pStyle w:val="FootnoteText"/>
        <w:ind w:left="284" w:hanging="284"/>
        <w:rPr>
          <w:lang w:val="en-US"/>
        </w:rPr>
      </w:pPr>
      <w:r>
        <w:rPr>
          <w:rStyle w:val="FootnoteReference"/>
        </w:rPr>
        <w:footnoteRef/>
      </w:r>
      <w:r>
        <w:t xml:space="preserve"> </w:t>
      </w:r>
      <w:r>
        <w:rPr>
          <w:lang w:val="en-US"/>
        </w:rPr>
        <w:tab/>
        <w:t>Judgment, para 24</w:t>
      </w:r>
    </w:p>
  </w:footnote>
  <w:footnote w:id="6">
    <w:p w14:paraId="77018C6E" w14:textId="7AB3696D" w:rsidR="00843B70" w:rsidRPr="00843B70" w:rsidRDefault="00843B70" w:rsidP="00843B70">
      <w:pPr>
        <w:pStyle w:val="FootnoteText"/>
        <w:ind w:left="284" w:hanging="284"/>
        <w:rPr>
          <w:lang w:val="en-US"/>
        </w:rPr>
      </w:pPr>
      <w:r>
        <w:rPr>
          <w:rStyle w:val="FootnoteReference"/>
        </w:rPr>
        <w:footnoteRef/>
      </w:r>
      <w:r>
        <w:t xml:space="preserve"> </w:t>
      </w:r>
      <w:r>
        <w:rPr>
          <w:lang w:val="en-US"/>
        </w:rPr>
        <w:tab/>
      </w:r>
      <w:r w:rsidR="00891F6B" w:rsidRPr="00DC3D55">
        <w:rPr>
          <w:i/>
          <w:iCs/>
          <w:lang w:val="en-US"/>
        </w:rPr>
        <w:t xml:space="preserve">Minister of Justice and Constitutional Development </w:t>
      </w:r>
      <w:r w:rsidR="000C2D02" w:rsidRPr="00DC3D55">
        <w:rPr>
          <w:i/>
          <w:iCs/>
          <w:lang w:val="en-US"/>
        </w:rPr>
        <w:t>and Others v Southern Africa Litigation Centre</w:t>
      </w:r>
      <w:r w:rsidR="00DC3D55" w:rsidRPr="00DC3D55">
        <w:rPr>
          <w:i/>
          <w:iCs/>
          <w:lang w:val="en-US"/>
        </w:rPr>
        <w:t xml:space="preserve"> and Other</w:t>
      </w:r>
      <w:r w:rsidR="00DC3D55">
        <w:rPr>
          <w:i/>
          <w:iCs/>
          <w:lang w:val="en-US"/>
        </w:rPr>
        <w:t>s</w:t>
      </w:r>
      <w:r w:rsidR="00DC3D55" w:rsidRPr="00DC3D55">
        <w:rPr>
          <w:i/>
          <w:iCs/>
          <w:lang w:val="en-US"/>
        </w:rPr>
        <w:t xml:space="preserve"> </w:t>
      </w:r>
      <w:r w:rsidR="00DC3D55">
        <w:rPr>
          <w:lang w:val="en-US"/>
        </w:rPr>
        <w:t>2016 (3) SA 317 (SCA), at para 24.</w:t>
      </w:r>
      <w:r w:rsidR="000C2D02">
        <w:rPr>
          <w:lang w:val="en-US"/>
        </w:rPr>
        <w:t xml:space="preserve"> </w:t>
      </w:r>
    </w:p>
  </w:footnote>
  <w:footnote w:id="7">
    <w:p w14:paraId="470B5560" w14:textId="20FB15B7" w:rsidR="00255CD5" w:rsidRPr="00255CD5" w:rsidRDefault="00255CD5" w:rsidP="008C0525">
      <w:pPr>
        <w:pStyle w:val="FootnoteText"/>
        <w:ind w:left="284" w:hanging="284"/>
        <w:jc w:val="both"/>
        <w:rPr>
          <w:lang w:val="en-US"/>
        </w:rPr>
      </w:pPr>
      <w:r>
        <w:rPr>
          <w:rStyle w:val="FootnoteReference"/>
        </w:rPr>
        <w:footnoteRef/>
      </w:r>
      <w:r>
        <w:t xml:space="preserve"> </w:t>
      </w:r>
      <w:r>
        <w:rPr>
          <w:lang w:val="en-US"/>
        </w:rPr>
        <w:tab/>
      </w:r>
      <w:r w:rsidR="00907A67">
        <w:rPr>
          <w:lang w:val="en-US"/>
        </w:rPr>
        <w:t xml:space="preserve">The </w:t>
      </w:r>
      <w:r w:rsidR="0043481F">
        <w:rPr>
          <w:lang w:val="en-US"/>
        </w:rPr>
        <w:t xml:space="preserve">application </w:t>
      </w:r>
      <w:r w:rsidR="004D6708">
        <w:rPr>
          <w:lang w:val="en-US"/>
        </w:rPr>
        <w:t xml:space="preserve">for leave to appeal </w:t>
      </w:r>
      <w:r w:rsidR="00B7617E">
        <w:rPr>
          <w:lang w:val="en-US"/>
        </w:rPr>
        <w:t xml:space="preserve">appears to be </w:t>
      </w:r>
      <w:r w:rsidR="0043481F">
        <w:rPr>
          <w:lang w:val="en-US"/>
        </w:rPr>
        <w:t xml:space="preserve">launched </w:t>
      </w:r>
      <w:r w:rsidR="00B7617E">
        <w:rPr>
          <w:lang w:val="en-US"/>
        </w:rPr>
        <w:t xml:space="preserve">on behalf of </w:t>
      </w:r>
      <w:r w:rsidR="0043481F">
        <w:rPr>
          <w:lang w:val="en-US"/>
        </w:rPr>
        <w:t xml:space="preserve">all </w:t>
      </w:r>
      <w:r w:rsidR="004D6708">
        <w:rPr>
          <w:lang w:val="en-US"/>
        </w:rPr>
        <w:t>three applicants.</w:t>
      </w:r>
      <w:r w:rsidR="00E51F45">
        <w:rPr>
          <w:lang w:val="en-US"/>
        </w:rPr>
        <w:t xml:space="preserve"> For that reason, reference is made to </w:t>
      </w:r>
      <w:r w:rsidR="008C0525">
        <w:rPr>
          <w:lang w:val="en-US"/>
        </w:rPr>
        <w:t>“</w:t>
      </w:r>
      <w:r w:rsidR="00E51F45">
        <w:rPr>
          <w:lang w:val="en-US"/>
        </w:rPr>
        <w:t>the applicants</w:t>
      </w:r>
      <w:r w:rsidR="008C0525">
        <w:rPr>
          <w:lang w:val="en-US"/>
        </w:rPr>
        <w:t>”</w:t>
      </w:r>
      <w:r w:rsidR="00E51F45">
        <w:rPr>
          <w:lang w:val="en-US"/>
        </w:rPr>
        <w:t xml:space="preserve"> rather than just “first applicant” even though </w:t>
      </w:r>
      <w:r w:rsidR="00B454B1">
        <w:rPr>
          <w:lang w:val="en-US"/>
        </w:rPr>
        <w:t>the pleadings referred to are under the hand of the latter.</w:t>
      </w:r>
      <w:r>
        <w:rPr>
          <w:lang w:val="en-US"/>
        </w:rPr>
        <w:t xml:space="preserve"> </w:t>
      </w:r>
    </w:p>
  </w:footnote>
  <w:footnote w:id="8">
    <w:p w14:paraId="6AF95A9E" w14:textId="777D9D4A" w:rsidR="0085296D" w:rsidRPr="0085296D" w:rsidRDefault="0085296D" w:rsidP="0085296D">
      <w:pPr>
        <w:pStyle w:val="FootnoteText"/>
        <w:ind w:left="284" w:hanging="284"/>
        <w:rPr>
          <w:lang w:val="en-US"/>
        </w:rPr>
      </w:pPr>
      <w:r>
        <w:rPr>
          <w:rStyle w:val="FootnoteReference"/>
        </w:rPr>
        <w:footnoteRef/>
      </w:r>
      <w:r>
        <w:t xml:space="preserve"> </w:t>
      </w:r>
      <w:r>
        <w:rPr>
          <w:lang w:val="en-US"/>
        </w:rPr>
        <w:tab/>
        <w:t>Caselines 002-179, para 12</w:t>
      </w:r>
    </w:p>
  </w:footnote>
  <w:footnote w:id="9">
    <w:p w14:paraId="4E1076F4" w14:textId="0065649E" w:rsidR="00B56A30" w:rsidRPr="00B56A30" w:rsidRDefault="00B56A30" w:rsidP="00364C29">
      <w:pPr>
        <w:pStyle w:val="FootnoteText"/>
        <w:ind w:left="284" w:hanging="284"/>
        <w:rPr>
          <w:lang w:val="en-US"/>
        </w:rPr>
      </w:pPr>
      <w:r>
        <w:rPr>
          <w:rStyle w:val="FootnoteReference"/>
        </w:rPr>
        <w:footnoteRef/>
      </w:r>
      <w:r w:rsidR="00364C29">
        <w:t xml:space="preserve"> </w:t>
      </w:r>
      <w:r w:rsidR="00364C29">
        <w:tab/>
      </w:r>
      <w:r>
        <w:t xml:space="preserve">The applicants do not dispute that the copy autographed by </w:t>
      </w:r>
      <w:r w:rsidR="00364C29">
        <w:t xml:space="preserve">President Mandela was the fourth respondent’s </w:t>
      </w:r>
      <w:r w:rsidR="00B212ED">
        <w:t>own personal copy. see</w:t>
      </w:r>
      <w:r>
        <w:t xml:space="preserve"> </w:t>
      </w:r>
      <w:r w:rsidR="00022182">
        <w:t>Caselines 002-</w:t>
      </w:r>
      <w:r w:rsidR="00F556F3">
        <w:t>107/62 &amp; 002-</w:t>
      </w:r>
      <w:r w:rsidR="00022182">
        <w:t>138/</w:t>
      </w:r>
      <w:r w:rsidR="007D2284">
        <w:t>49</w:t>
      </w:r>
    </w:p>
  </w:footnote>
  <w:footnote w:id="10">
    <w:p w14:paraId="43E0AB49" w14:textId="6A0DFDF4" w:rsidR="00A411A5" w:rsidRPr="00A411A5" w:rsidRDefault="00A411A5" w:rsidP="00A411A5">
      <w:pPr>
        <w:pStyle w:val="FootnoteText"/>
        <w:ind w:left="284" w:hanging="284"/>
        <w:rPr>
          <w:lang w:val="en-US"/>
        </w:rPr>
      </w:pPr>
      <w:r>
        <w:rPr>
          <w:rStyle w:val="FootnoteReference"/>
        </w:rPr>
        <w:footnoteRef/>
      </w:r>
      <w:r>
        <w:t xml:space="preserve"> </w:t>
      </w:r>
      <w:r>
        <w:rPr>
          <w:lang w:val="en-US"/>
        </w:rPr>
        <w:tab/>
        <w:t>Caselines 002-102/40</w:t>
      </w:r>
    </w:p>
  </w:footnote>
  <w:footnote w:id="11">
    <w:p w14:paraId="01C4CE98" w14:textId="2D34FD50" w:rsidR="0083224D" w:rsidRPr="00A411A5" w:rsidRDefault="0083224D" w:rsidP="0083224D">
      <w:pPr>
        <w:pStyle w:val="FootnoteText"/>
        <w:ind w:left="284" w:hanging="284"/>
        <w:rPr>
          <w:lang w:val="en-US"/>
        </w:rPr>
      </w:pPr>
      <w:r>
        <w:rPr>
          <w:rStyle w:val="FootnoteReference"/>
        </w:rPr>
        <w:footnoteRef/>
      </w:r>
      <w:r>
        <w:t xml:space="preserve"> </w:t>
      </w:r>
      <w:r>
        <w:rPr>
          <w:lang w:val="en-US"/>
        </w:rPr>
        <w:tab/>
        <w:t>Caselines 002-137/45</w:t>
      </w:r>
    </w:p>
  </w:footnote>
  <w:footnote w:id="12">
    <w:p w14:paraId="11587DE2" w14:textId="6FC46489" w:rsidR="00E33487" w:rsidRPr="00E33487" w:rsidRDefault="00E33487" w:rsidP="00E33487">
      <w:pPr>
        <w:pStyle w:val="FootnoteText"/>
        <w:ind w:left="284" w:hanging="284"/>
        <w:rPr>
          <w:lang w:val="en-US"/>
        </w:rPr>
      </w:pPr>
      <w:r>
        <w:rPr>
          <w:rStyle w:val="FootnoteReference"/>
        </w:rPr>
        <w:footnoteRef/>
      </w:r>
      <w:r>
        <w:t xml:space="preserve"> </w:t>
      </w:r>
      <w:r>
        <w:rPr>
          <w:lang w:val="en-US"/>
        </w:rPr>
        <w:tab/>
        <w:t xml:space="preserve">Caselines </w:t>
      </w:r>
      <w:r w:rsidR="00AB6D8D">
        <w:rPr>
          <w:lang w:val="en-US"/>
        </w:rPr>
        <w:t>002-436, paras 22-2</w:t>
      </w:r>
      <w:r w:rsidR="001263E2">
        <w:rPr>
          <w:lang w:val="en-US"/>
        </w:rPr>
        <w:t>4</w:t>
      </w:r>
      <w:r w:rsidR="008A31A4">
        <w:rPr>
          <w:lang w:val="en-US"/>
        </w:rPr>
        <w:t xml:space="preserve"> et seq</w:t>
      </w:r>
    </w:p>
  </w:footnote>
  <w:footnote w:id="13">
    <w:p w14:paraId="7B8BA874" w14:textId="12C52079" w:rsidR="00D779F0" w:rsidRPr="00D779F0" w:rsidRDefault="00D779F0" w:rsidP="00D779F0">
      <w:pPr>
        <w:pStyle w:val="FootnoteText"/>
        <w:ind w:left="284" w:hanging="284"/>
        <w:rPr>
          <w:lang w:val="en-US"/>
        </w:rPr>
      </w:pPr>
      <w:r>
        <w:rPr>
          <w:rStyle w:val="FootnoteReference"/>
        </w:rPr>
        <w:footnoteRef/>
      </w:r>
      <w:r>
        <w:t xml:space="preserve"> </w:t>
      </w:r>
      <w:r>
        <w:rPr>
          <w:lang w:val="en-US"/>
        </w:rPr>
        <w:tab/>
        <w:t>Caselines</w:t>
      </w:r>
      <w:r w:rsidR="009A023B">
        <w:rPr>
          <w:lang w:val="en-US"/>
        </w:rPr>
        <w:t xml:space="preserve"> 012-7, paras 10 &amp; 11</w:t>
      </w:r>
    </w:p>
  </w:footnote>
  <w:footnote w:id="14">
    <w:p w14:paraId="520DACC6" w14:textId="00F0C7A8" w:rsidR="003B0779" w:rsidRPr="00BB3F52" w:rsidRDefault="003B0779" w:rsidP="005576BE">
      <w:pPr>
        <w:pStyle w:val="FootnoteText"/>
        <w:ind w:left="284" w:hanging="284"/>
        <w:jc w:val="both"/>
      </w:pPr>
      <w:r w:rsidRPr="00BB3F52">
        <w:rPr>
          <w:rStyle w:val="FootnoteReference"/>
        </w:rPr>
        <w:footnoteRef/>
      </w:r>
      <w:r w:rsidRPr="00BB3F52">
        <w:t xml:space="preserve"> </w:t>
      </w:r>
      <w:r w:rsidRPr="00BB3F52">
        <w:tab/>
      </w:r>
      <w:r w:rsidRPr="00BB3F52">
        <w:rPr>
          <w:i/>
          <w:iCs/>
        </w:rPr>
        <w:t>Bato Star Fishing (Pty) Ltd v Minister of Environmental Affairs and Others</w:t>
      </w:r>
      <w:r w:rsidRPr="00BB3F52">
        <w:t xml:space="preserve"> 2004 (4) SA 490 (CC) at para 25; </w:t>
      </w:r>
      <w:r w:rsidRPr="00BB3F52">
        <w:rPr>
          <w:i/>
          <w:iCs/>
        </w:rPr>
        <w:t>National Union of Metalworkers of South Africa and Others v Bader Bop (Pty) Ltd and Another</w:t>
      </w:r>
      <w:r w:rsidRPr="00BB3F52">
        <w:t xml:space="preserve"> 2003 (3) SA 513 (CC) at para 15; </w:t>
      </w:r>
      <w:r w:rsidRPr="00BB3F52">
        <w:rPr>
          <w:i/>
          <w:iCs/>
        </w:rPr>
        <w:t>National Education Health and Allied Workers Union v University of Cape Town and Others</w:t>
      </w:r>
      <w:r w:rsidRPr="00BB3F52">
        <w:t xml:space="preserve"> 2003 (3) SA 1 (CC) at paras 14 – 15; </w:t>
      </w:r>
      <w:r w:rsidRPr="00BB3F52">
        <w:rPr>
          <w:i/>
          <w:iCs/>
        </w:rPr>
        <w:t>Sidumo and Another v Rustenburg Platinum Mines Ltd and Others</w:t>
      </w:r>
      <w:r w:rsidRPr="00BB3F52">
        <w:t xml:space="preserve"> 2008 (2) SA 24 (CC) at paras 50 – 51</w:t>
      </w:r>
      <w:r w:rsidR="00FF0C27">
        <w:t xml:space="preserve">; </w:t>
      </w:r>
      <w:r w:rsidR="00FF0C27" w:rsidRPr="00460B59">
        <w:rPr>
          <w:i/>
          <w:iCs/>
        </w:rPr>
        <w:t xml:space="preserve">Normandien </w:t>
      </w:r>
      <w:r w:rsidR="00A74FC7" w:rsidRPr="00460B59">
        <w:rPr>
          <w:i/>
          <w:iCs/>
        </w:rPr>
        <w:t xml:space="preserve">Farms (Pty) Ltd </w:t>
      </w:r>
      <w:r w:rsidR="00FF0C27" w:rsidRPr="00460B59">
        <w:rPr>
          <w:i/>
          <w:iCs/>
        </w:rPr>
        <w:t xml:space="preserve">v </w:t>
      </w:r>
      <w:r w:rsidR="00ED152A" w:rsidRPr="00460B59">
        <w:rPr>
          <w:i/>
          <w:iCs/>
        </w:rPr>
        <w:t>SA Agency for Promotion of Petroleum</w:t>
      </w:r>
      <w:r w:rsidR="00061440" w:rsidRPr="00460B59">
        <w:rPr>
          <w:i/>
          <w:iCs/>
        </w:rPr>
        <w:t xml:space="preserve"> Exploration and Exploitation Soc Ltd </w:t>
      </w:r>
      <w:r w:rsidR="00460B59" w:rsidRPr="00460B59">
        <w:rPr>
          <w:i/>
          <w:iCs/>
        </w:rPr>
        <w:t>and Another</w:t>
      </w:r>
      <w:r w:rsidR="00460B59">
        <w:t xml:space="preserve"> </w:t>
      </w:r>
      <w:r w:rsidR="00061440">
        <w:t>2020 (</w:t>
      </w:r>
      <w:r w:rsidR="000A0044">
        <w:t>4</w:t>
      </w:r>
      <w:r w:rsidR="00061440">
        <w:t xml:space="preserve">) SA </w:t>
      </w:r>
      <w:r w:rsidR="00460B59">
        <w:t>409 (CC) at para 38</w:t>
      </w:r>
      <w:r w:rsidR="00061440">
        <w:t xml:space="preserve"> </w:t>
      </w:r>
    </w:p>
  </w:footnote>
  <w:footnote w:id="15">
    <w:p w14:paraId="3C355A7F" w14:textId="53B6D5F5" w:rsidR="00011B87" w:rsidRPr="00BB3F52" w:rsidRDefault="00011B87" w:rsidP="00011B87">
      <w:pPr>
        <w:pStyle w:val="FootnoteText"/>
        <w:ind w:left="284" w:hanging="284"/>
        <w:jc w:val="both"/>
      </w:pPr>
      <w:r w:rsidRPr="00BB3F52">
        <w:rPr>
          <w:rStyle w:val="FootnoteReference"/>
        </w:rPr>
        <w:footnoteRef/>
      </w:r>
      <w:r w:rsidRPr="00BB3F52">
        <w:t xml:space="preserve"> </w:t>
      </w:r>
      <w:r w:rsidRPr="00BB3F52">
        <w:tab/>
      </w:r>
      <w:r w:rsidRPr="00BB3F52">
        <w:rPr>
          <w:i/>
          <w:iCs/>
        </w:rPr>
        <w:t>National Education Health and Allied Workers Union v University of Cape Town and Others</w:t>
      </w:r>
      <w:r w:rsidRPr="00BB3F52">
        <w:t> 2003 (3) SA 1 (CC) at para 15</w:t>
      </w:r>
    </w:p>
  </w:footnote>
  <w:footnote w:id="16">
    <w:p w14:paraId="584F5BF3" w14:textId="76DDDC20" w:rsidR="00CD757B" w:rsidRPr="00CD757B" w:rsidRDefault="00CD757B" w:rsidP="002E34F7">
      <w:pPr>
        <w:pStyle w:val="FootnoteText"/>
        <w:ind w:left="284" w:hanging="284"/>
        <w:jc w:val="both"/>
        <w:rPr>
          <w:lang w:val="en-US"/>
        </w:rPr>
      </w:pPr>
      <w:r>
        <w:rPr>
          <w:rStyle w:val="FootnoteReference"/>
        </w:rPr>
        <w:footnoteRef/>
      </w:r>
      <w:r>
        <w:t xml:space="preserve"> </w:t>
      </w:r>
      <w:r>
        <w:rPr>
          <w:lang w:val="en-US"/>
        </w:rPr>
        <w:tab/>
        <w:t xml:space="preserve">The </w:t>
      </w:r>
      <w:r w:rsidR="002E34F7">
        <w:rPr>
          <w:lang w:val="en-US"/>
        </w:rPr>
        <w:t>“</w:t>
      </w:r>
      <w:r>
        <w:rPr>
          <w:lang w:val="en-US"/>
        </w:rPr>
        <w:t>deprivation of property</w:t>
      </w:r>
      <w:r w:rsidR="002E34F7">
        <w:rPr>
          <w:lang w:val="en-US"/>
        </w:rPr>
        <w:t>”</w:t>
      </w:r>
      <w:r>
        <w:rPr>
          <w:lang w:val="en-US"/>
        </w:rPr>
        <w:t xml:space="preserve"> argument advanced by the first respondent</w:t>
      </w:r>
      <w:r w:rsidR="00C83F7B">
        <w:rPr>
          <w:lang w:val="en-US"/>
        </w:rPr>
        <w:t xml:space="preserve"> has not been considered as it was unnecessary to do so</w:t>
      </w:r>
      <w:r w:rsidR="002E34F7">
        <w:rPr>
          <w:lang w:val="en-US"/>
        </w:rPr>
        <w:t>.</w:t>
      </w:r>
    </w:p>
  </w:footnote>
  <w:footnote w:id="17">
    <w:p w14:paraId="66EDFEE3" w14:textId="1ED60B92" w:rsidR="001A22FB" w:rsidRPr="001A22FB" w:rsidRDefault="001A22FB" w:rsidP="001A22FB">
      <w:pPr>
        <w:pStyle w:val="FootnoteText"/>
        <w:ind w:left="284" w:hanging="284"/>
        <w:rPr>
          <w:lang w:val="en-US"/>
        </w:rPr>
      </w:pPr>
      <w:r>
        <w:rPr>
          <w:rStyle w:val="FootnoteReference"/>
        </w:rPr>
        <w:footnoteRef/>
      </w:r>
      <w:r>
        <w:t xml:space="preserve"> </w:t>
      </w:r>
      <w:r>
        <w:rPr>
          <w:lang w:val="en-US"/>
        </w:rPr>
        <w:tab/>
        <w:t>66 of 19</w:t>
      </w:r>
      <w:r w:rsidR="00277FA3">
        <w:rPr>
          <w:lang w:val="en-US"/>
        </w:rPr>
        <w:t>95</w:t>
      </w:r>
    </w:p>
  </w:footnote>
  <w:footnote w:id="18">
    <w:p w14:paraId="3A53253A" w14:textId="1C6B52CA" w:rsidR="003A28A5" w:rsidRPr="003A28A5" w:rsidRDefault="003A28A5" w:rsidP="00751B21">
      <w:pPr>
        <w:pStyle w:val="FootnoteText"/>
        <w:ind w:left="284" w:hanging="284"/>
        <w:rPr>
          <w:lang w:val="en-US"/>
        </w:rPr>
      </w:pPr>
      <w:r>
        <w:rPr>
          <w:rStyle w:val="FootnoteReference"/>
        </w:rPr>
        <w:footnoteRef/>
      </w:r>
      <w:r>
        <w:t xml:space="preserve"> </w:t>
      </w:r>
      <w:r w:rsidR="00751B21">
        <w:rPr>
          <w:lang w:val="en-US"/>
        </w:rPr>
        <w:tab/>
        <w:t>Promotion of Equality and Prevention of Unfair Discrimination Act, 4 of 2000</w:t>
      </w:r>
    </w:p>
  </w:footnote>
  <w:footnote w:id="19">
    <w:p w14:paraId="39AE4CE8" w14:textId="12E6A7E7" w:rsidR="00554724" w:rsidRPr="00554724" w:rsidRDefault="00554724" w:rsidP="00554724">
      <w:pPr>
        <w:pStyle w:val="FootnoteText"/>
        <w:ind w:left="284" w:hanging="284"/>
        <w:rPr>
          <w:lang w:val="en-US"/>
        </w:rPr>
      </w:pPr>
      <w:r>
        <w:rPr>
          <w:rStyle w:val="FootnoteReference"/>
        </w:rPr>
        <w:footnoteRef/>
      </w:r>
      <w:r>
        <w:t xml:space="preserve"> </w:t>
      </w:r>
      <w:r>
        <w:rPr>
          <w:lang w:val="en-US"/>
        </w:rPr>
        <w:tab/>
        <w:t>3 of 2000</w:t>
      </w:r>
    </w:p>
  </w:footnote>
  <w:footnote w:id="20">
    <w:p w14:paraId="37E8C926" w14:textId="6BA20AD4" w:rsidR="00511690" w:rsidRPr="00FE6EC3" w:rsidRDefault="00511690" w:rsidP="00511690">
      <w:pPr>
        <w:pStyle w:val="FootnoteText"/>
        <w:ind w:left="284" w:hanging="284"/>
        <w:rPr>
          <w:lang w:val="en-US"/>
        </w:rPr>
      </w:pPr>
      <w:r>
        <w:rPr>
          <w:rStyle w:val="FootnoteReference"/>
        </w:rPr>
        <w:footnoteRef/>
      </w:r>
      <w:r>
        <w:t xml:space="preserve"> </w:t>
      </w:r>
      <w:r>
        <w:rPr>
          <w:lang w:val="en-US"/>
        </w:rPr>
        <w:tab/>
        <w:t>2 of 2000</w:t>
      </w:r>
    </w:p>
  </w:footnote>
  <w:footnote w:id="21">
    <w:p w14:paraId="23B12402" w14:textId="107AC794" w:rsidR="00701999" w:rsidRPr="00701999" w:rsidRDefault="00701999" w:rsidP="00701999">
      <w:pPr>
        <w:pStyle w:val="FootnoteText"/>
        <w:ind w:left="284" w:hanging="284"/>
        <w:rPr>
          <w:lang w:val="en-US"/>
        </w:rPr>
      </w:pPr>
      <w:r w:rsidRPr="00FE6EC3">
        <w:rPr>
          <w:rStyle w:val="FootnoteReference"/>
        </w:rPr>
        <w:footnoteRef/>
      </w:r>
      <w:r w:rsidRPr="00FE6EC3">
        <w:t xml:space="preserve"> </w:t>
      </w:r>
      <w:r w:rsidRPr="00FE6EC3">
        <w:rPr>
          <w:lang w:val="en-US"/>
        </w:rPr>
        <w:tab/>
      </w:r>
      <w:r w:rsidRPr="00FE6EC3">
        <w:rPr>
          <w:lang w:eastAsia="en-ZA"/>
        </w:rPr>
        <w:t>National Heritage Resources Act, 25 of 1999</w:t>
      </w:r>
    </w:p>
  </w:footnote>
  <w:footnote w:id="22">
    <w:p w14:paraId="3862F5D2" w14:textId="77777777" w:rsidR="00CE0199" w:rsidRPr="00843B70" w:rsidRDefault="00CE0199" w:rsidP="00CE0199">
      <w:pPr>
        <w:pStyle w:val="FootnoteText"/>
        <w:ind w:left="284" w:hanging="284"/>
        <w:rPr>
          <w:lang w:val="en-US"/>
        </w:rPr>
      </w:pPr>
      <w:r>
        <w:rPr>
          <w:rStyle w:val="FootnoteReference"/>
        </w:rPr>
        <w:footnoteRef/>
      </w:r>
      <w:r>
        <w:t xml:space="preserve"> </w:t>
      </w:r>
      <w:r>
        <w:rPr>
          <w:lang w:val="en-US"/>
        </w:rPr>
        <w:tab/>
      </w:r>
      <w:r w:rsidRPr="00DC3D55">
        <w:rPr>
          <w:i/>
          <w:iCs/>
          <w:lang w:val="en-US"/>
        </w:rPr>
        <w:t>Minister of Justice and Constitutional Development and Others v Southern Africa Litigation Centre and Other</w:t>
      </w:r>
      <w:r>
        <w:rPr>
          <w:i/>
          <w:iCs/>
          <w:lang w:val="en-US"/>
        </w:rPr>
        <w:t>s</w:t>
      </w:r>
      <w:r w:rsidRPr="00DC3D55">
        <w:rPr>
          <w:i/>
          <w:iCs/>
          <w:lang w:val="en-US"/>
        </w:rPr>
        <w:t xml:space="preserve"> </w:t>
      </w:r>
      <w:r>
        <w:rPr>
          <w:lang w:val="en-US"/>
        </w:rPr>
        <w:t xml:space="preserve">2016 (3) SA 317 (SCA), at para 24. </w:t>
      </w:r>
    </w:p>
  </w:footnote>
  <w:footnote w:id="23">
    <w:p w14:paraId="3DA7F99A" w14:textId="671AEB89" w:rsidR="001171C1" w:rsidRPr="001171C1" w:rsidRDefault="001171C1" w:rsidP="001171C1">
      <w:pPr>
        <w:pStyle w:val="FootnoteText"/>
        <w:ind w:left="284" w:hanging="284"/>
        <w:rPr>
          <w:lang w:val="en-US"/>
        </w:rPr>
      </w:pPr>
      <w:r>
        <w:rPr>
          <w:rStyle w:val="FootnoteReference"/>
        </w:rPr>
        <w:footnoteRef/>
      </w:r>
      <w:r>
        <w:t xml:space="preserve"> </w:t>
      </w:r>
      <w:r>
        <w:rPr>
          <w:lang w:val="en-US"/>
        </w:rPr>
        <w:tab/>
      </w:r>
      <w:r w:rsidR="00CB79D3" w:rsidRPr="008C3B6A">
        <w:rPr>
          <w:i/>
          <w:iCs/>
          <w:lang w:val="en-US"/>
        </w:rPr>
        <w:t xml:space="preserve">Standard Bank of SA Ltd and Another v </w:t>
      </w:r>
      <w:r w:rsidR="00ED1DC7" w:rsidRPr="008C3B6A">
        <w:rPr>
          <w:i/>
          <w:iCs/>
          <w:lang w:val="en-US"/>
        </w:rPr>
        <w:t>Ocean Commodities Inc and Others</w:t>
      </w:r>
      <w:r w:rsidR="00ED1DC7">
        <w:rPr>
          <w:lang w:val="en-US"/>
        </w:rPr>
        <w:t xml:space="preserve"> 1983 (1) SA </w:t>
      </w:r>
      <w:r w:rsidR="00345C93">
        <w:rPr>
          <w:lang w:val="en-US"/>
        </w:rPr>
        <w:t>276 (A), at 294G-</w:t>
      </w:r>
      <w:r w:rsidR="008C3B6A">
        <w:rPr>
          <w:lang w:val="en-US"/>
        </w:rPr>
        <w:t>295A</w:t>
      </w:r>
      <w:r w:rsidR="00CE7835">
        <w:rPr>
          <w:lang w:val="en-US"/>
        </w:rPr>
        <w:t xml:space="preserve">. See also </w:t>
      </w:r>
      <w:r w:rsidR="009B58FF" w:rsidRPr="002F0A25">
        <w:rPr>
          <w:i/>
          <w:iCs/>
          <w:lang w:val="en-US"/>
        </w:rPr>
        <w:t xml:space="preserve">Skilya Property Investments </w:t>
      </w:r>
      <w:r w:rsidR="009C3B2B" w:rsidRPr="002F0A25">
        <w:rPr>
          <w:i/>
          <w:iCs/>
          <w:lang w:val="en-US"/>
        </w:rPr>
        <w:t>(Pty) Ltd v Lloyds of London Underwriting</w:t>
      </w:r>
      <w:r w:rsidR="009C3B2B">
        <w:rPr>
          <w:lang w:val="en-US"/>
        </w:rPr>
        <w:t xml:space="preserve"> 2002 (3) SA 765 (T)</w:t>
      </w:r>
      <w:r w:rsidR="00737376">
        <w:rPr>
          <w:lang w:val="en-US"/>
        </w:rPr>
        <w:t xml:space="preserve">, at </w:t>
      </w:r>
      <w:r w:rsidR="0076433C">
        <w:rPr>
          <w:lang w:val="en-US"/>
        </w:rPr>
        <w:t>793</w:t>
      </w:r>
      <w:r w:rsidR="002F0A25">
        <w:rPr>
          <w:lang w:val="en-US"/>
        </w:rPr>
        <w:t>G et seq.</w:t>
      </w:r>
      <w:r w:rsidR="00CE7835">
        <w:rPr>
          <w:lang w:val="en-US"/>
        </w:rPr>
        <w:t xml:space="preserve"> </w:t>
      </w:r>
      <w:r w:rsidR="00ED1DC7">
        <w:rPr>
          <w:lang w:val="en-US"/>
        </w:rPr>
        <w:t xml:space="preserve"> </w:t>
      </w:r>
      <w:r w:rsidR="00DF048C" w:rsidRPr="003C6F77">
        <w:rPr>
          <w:i/>
          <w:iCs/>
          <w:lang w:val="en-US"/>
        </w:rPr>
        <w:t>Laurens NO v Von H</w:t>
      </w:r>
      <w:r w:rsidR="003C6F77" w:rsidRPr="003C6F77">
        <w:rPr>
          <w:i/>
          <w:iCs/>
          <w:lang w:val="en-US"/>
        </w:rPr>
        <w:t>ö</w:t>
      </w:r>
      <w:r w:rsidR="00DF048C" w:rsidRPr="003C6F77">
        <w:rPr>
          <w:i/>
          <w:iCs/>
          <w:lang w:val="en-US"/>
        </w:rPr>
        <w:t>hne</w:t>
      </w:r>
      <w:r w:rsidR="00DF048C">
        <w:rPr>
          <w:lang w:val="en-US"/>
        </w:rPr>
        <w:t xml:space="preserve"> </w:t>
      </w:r>
      <w:r w:rsidR="0015373B">
        <w:rPr>
          <w:lang w:val="en-US"/>
        </w:rPr>
        <w:t xml:space="preserve">1993 (2) SA 104 (W), at </w:t>
      </w:r>
      <w:r w:rsidR="00E00C1E">
        <w:rPr>
          <w:lang w:val="en-US"/>
        </w:rPr>
        <w:t>116B-D.</w:t>
      </w:r>
    </w:p>
  </w:footnote>
  <w:footnote w:id="24">
    <w:p w14:paraId="5DE20B4D" w14:textId="74D23E27" w:rsidR="000402C5" w:rsidRPr="000402C5" w:rsidRDefault="000402C5" w:rsidP="000402C5">
      <w:pPr>
        <w:pStyle w:val="FootnoteText"/>
        <w:ind w:left="284" w:hanging="284"/>
        <w:rPr>
          <w:lang w:val="en-US"/>
        </w:rPr>
      </w:pPr>
      <w:r>
        <w:rPr>
          <w:rStyle w:val="FootnoteReference"/>
        </w:rPr>
        <w:footnoteRef/>
      </w:r>
      <w:r>
        <w:t xml:space="preserve"> </w:t>
      </w:r>
      <w:r>
        <w:rPr>
          <w:lang w:val="en-US"/>
        </w:rPr>
        <w:tab/>
      </w:r>
      <w:r w:rsidRPr="003C6F77">
        <w:rPr>
          <w:i/>
          <w:iCs/>
          <w:lang w:val="en-US"/>
        </w:rPr>
        <w:t>Laurens NO v Von Höhne</w:t>
      </w:r>
      <w:r>
        <w:rPr>
          <w:lang w:val="en-US"/>
        </w:rPr>
        <w:t xml:space="preserve"> 1993 (2) SA 104 (W), at 116</w:t>
      </w:r>
      <w:r w:rsidR="002B6E7C">
        <w:rPr>
          <w:lang w:val="en-US"/>
        </w:rPr>
        <w:t>C-</w:t>
      </w:r>
      <w:r>
        <w:rPr>
          <w:lang w:val="en-US"/>
        </w:rPr>
        <w:t>D</w:t>
      </w:r>
    </w:p>
  </w:footnote>
  <w:footnote w:id="25">
    <w:p w14:paraId="1738672F" w14:textId="119D2215" w:rsidR="00D16354" w:rsidRPr="00D16354" w:rsidRDefault="00D16354" w:rsidP="00D16354">
      <w:pPr>
        <w:pStyle w:val="FootnoteText"/>
        <w:ind w:left="284" w:hanging="284"/>
        <w:rPr>
          <w:lang w:val="en-US"/>
        </w:rPr>
      </w:pPr>
      <w:r>
        <w:rPr>
          <w:rStyle w:val="FootnoteReference"/>
        </w:rPr>
        <w:footnoteRef/>
      </w:r>
      <w:r>
        <w:t xml:space="preserve"> </w:t>
      </w:r>
      <w:r>
        <w:rPr>
          <w:lang w:val="en-US"/>
        </w:rPr>
        <w:tab/>
        <w:t>Caselines 012-6, para 9</w:t>
      </w:r>
    </w:p>
  </w:footnote>
  <w:footnote w:id="26">
    <w:p w14:paraId="3C770DCA" w14:textId="54A257DE" w:rsidR="00853BCF" w:rsidRPr="00853BCF" w:rsidRDefault="00853BCF" w:rsidP="00853BCF">
      <w:pPr>
        <w:pStyle w:val="FootnoteText"/>
        <w:ind w:left="284" w:hanging="284"/>
        <w:rPr>
          <w:lang w:val="en-US"/>
        </w:rPr>
      </w:pPr>
      <w:r>
        <w:rPr>
          <w:rStyle w:val="FootnoteReference"/>
        </w:rPr>
        <w:footnoteRef/>
      </w:r>
      <w:r>
        <w:t xml:space="preserve"> </w:t>
      </w:r>
      <w:r>
        <w:rPr>
          <w:lang w:val="en-US"/>
        </w:rPr>
        <w:tab/>
        <w:t xml:space="preserve">Caselines </w:t>
      </w:r>
      <w:r w:rsidR="00324532">
        <w:rPr>
          <w:lang w:val="en-US"/>
        </w:rPr>
        <w:t>003-233, para 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0"/>
        <w:szCs w:val="20"/>
      </w:rPr>
    </w:sdtEndPr>
    <w:sdtContent>
      <w:p w14:paraId="5FD1845B" w14:textId="01D2E0C1" w:rsidR="008E70F4" w:rsidRDefault="008E70F4">
        <w:pPr>
          <w:pStyle w:val="Header"/>
          <w:jc w:val="right"/>
        </w:pPr>
        <w:r w:rsidRPr="009F2C96">
          <w:rPr>
            <w:sz w:val="20"/>
            <w:szCs w:val="20"/>
          </w:rPr>
          <w:t xml:space="preserve">Page </w:t>
        </w:r>
        <w:r w:rsidRPr="009F2C96">
          <w:rPr>
            <w:b/>
            <w:bCs/>
            <w:sz w:val="20"/>
            <w:szCs w:val="20"/>
          </w:rPr>
          <w:fldChar w:fldCharType="begin"/>
        </w:r>
        <w:r w:rsidRPr="009F2C96">
          <w:rPr>
            <w:b/>
            <w:bCs/>
            <w:sz w:val="20"/>
            <w:szCs w:val="20"/>
          </w:rPr>
          <w:instrText xml:space="preserve"> PAGE </w:instrText>
        </w:r>
        <w:r w:rsidRPr="009F2C96">
          <w:rPr>
            <w:b/>
            <w:bCs/>
            <w:sz w:val="20"/>
            <w:szCs w:val="20"/>
          </w:rPr>
          <w:fldChar w:fldCharType="separate"/>
        </w:r>
        <w:r w:rsidR="003E07EB">
          <w:rPr>
            <w:b/>
            <w:bCs/>
            <w:noProof/>
            <w:sz w:val="20"/>
            <w:szCs w:val="20"/>
          </w:rPr>
          <w:t>12</w:t>
        </w:r>
        <w:r w:rsidRPr="009F2C96">
          <w:rPr>
            <w:b/>
            <w:bCs/>
            <w:sz w:val="20"/>
            <w:szCs w:val="20"/>
          </w:rPr>
          <w:fldChar w:fldCharType="end"/>
        </w:r>
        <w:r w:rsidRPr="009F2C96">
          <w:rPr>
            <w:sz w:val="20"/>
            <w:szCs w:val="20"/>
          </w:rPr>
          <w:t xml:space="preserve"> of </w:t>
        </w:r>
        <w:r w:rsidRPr="009F2C96">
          <w:rPr>
            <w:b/>
            <w:bCs/>
            <w:sz w:val="20"/>
            <w:szCs w:val="20"/>
          </w:rPr>
          <w:fldChar w:fldCharType="begin"/>
        </w:r>
        <w:r w:rsidRPr="009F2C96">
          <w:rPr>
            <w:b/>
            <w:bCs/>
            <w:sz w:val="20"/>
            <w:szCs w:val="20"/>
          </w:rPr>
          <w:instrText xml:space="preserve"> NUMPAGES  </w:instrText>
        </w:r>
        <w:r w:rsidRPr="009F2C96">
          <w:rPr>
            <w:b/>
            <w:bCs/>
            <w:sz w:val="20"/>
            <w:szCs w:val="20"/>
          </w:rPr>
          <w:fldChar w:fldCharType="separate"/>
        </w:r>
        <w:r w:rsidR="003E07EB">
          <w:rPr>
            <w:b/>
            <w:bCs/>
            <w:noProof/>
            <w:sz w:val="20"/>
            <w:szCs w:val="20"/>
          </w:rPr>
          <w:t>12</w:t>
        </w:r>
        <w:r w:rsidRPr="009F2C96">
          <w:rPr>
            <w:b/>
            <w:bCs/>
            <w:sz w:val="20"/>
            <w:szCs w:val="20"/>
          </w:rPr>
          <w:fldChar w:fldCharType="end"/>
        </w:r>
      </w:p>
    </w:sdtContent>
  </w:sdt>
  <w:p w14:paraId="03CF8642" w14:textId="77777777" w:rsidR="008E70F4" w:rsidRDefault="008E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C9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A335F2"/>
    <w:multiLevelType w:val="multilevel"/>
    <w:tmpl w:val="63C4C9E4"/>
    <w:lvl w:ilvl="0">
      <w:start w:val="26"/>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6FB0578"/>
    <w:multiLevelType w:val="multilevel"/>
    <w:tmpl w:val="21C61EC0"/>
    <w:lvl w:ilvl="0">
      <w:start w:val="1"/>
      <w:numFmt w:val="lowerLetter"/>
      <w:lvlText w:val="(%1)"/>
      <w:lvlJc w:val="left"/>
      <w:pPr>
        <w:tabs>
          <w:tab w:val="num" w:pos="720"/>
        </w:tabs>
        <w:ind w:left="720" w:hanging="360"/>
      </w:pPr>
      <w:rPr>
        <w:rFonts w:ascii="CG Times" w:eastAsia="Times New Roman" w:hAnsi="CG Times" w:cs="Tim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37D18"/>
    <w:multiLevelType w:val="multilevel"/>
    <w:tmpl w:val="2B5022B2"/>
    <w:lvl w:ilvl="0">
      <w:start w:val="1"/>
      <w:numFmt w:val="decimal"/>
      <w:lvlText w:val="%1."/>
      <w:lvlJc w:val="left"/>
      <w:pPr>
        <w:ind w:left="540" w:hanging="360"/>
      </w:pPr>
      <w:rPr>
        <w:rFonts w:ascii="CG Times" w:hAnsi="CG Times" w:cs="Arial" w:hint="default"/>
        <w:b w:val="0"/>
        <w:i w:val="0"/>
        <w:sz w:val="26"/>
        <w:szCs w:val="26"/>
      </w:rPr>
    </w:lvl>
    <w:lvl w:ilvl="1">
      <w:start w:val="1"/>
      <w:numFmt w:val="decimal"/>
      <w:isLgl/>
      <w:lvlText w:val="%1.%2."/>
      <w:lvlJc w:val="left"/>
      <w:pPr>
        <w:ind w:left="900" w:hanging="360"/>
      </w:pPr>
      <w:rPr>
        <w:rFonts w:ascii="CG Times" w:hAnsi="CG Times" w:cs="Arial" w:hint="default"/>
        <w:b w:val="0"/>
        <w:bCs w:val="0"/>
        <w:i w:val="0"/>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1958AE"/>
    <w:multiLevelType w:val="multilevel"/>
    <w:tmpl w:val="845A0986"/>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B4157"/>
    <w:multiLevelType w:val="hybridMultilevel"/>
    <w:tmpl w:val="30A45194"/>
    <w:lvl w:ilvl="0" w:tplc="F9980250">
      <w:start w:val="1"/>
      <w:numFmt w:val="upp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2D5A0B29"/>
    <w:multiLevelType w:val="multilevel"/>
    <w:tmpl w:val="2A44DC6A"/>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242174"/>
    <w:multiLevelType w:val="hybridMultilevel"/>
    <w:tmpl w:val="18ACEA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5342B2A"/>
    <w:multiLevelType w:val="hybridMultilevel"/>
    <w:tmpl w:val="57CA4054"/>
    <w:lvl w:ilvl="0" w:tplc="D51ADC92">
      <w:start w:val="43"/>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B84E68"/>
    <w:multiLevelType w:val="hybridMultilevel"/>
    <w:tmpl w:val="98B28218"/>
    <w:lvl w:ilvl="0" w:tplc="B9685A5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74279E5"/>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7726CE"/>
    <w:multiLevelType w:val="multilevel"/>
    <w:tmpl w:val="EEAE06FC"/>
    <w:lvl w:ilvl="0">
      <w:start w:val="3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991FEA"/>
    <w:multiLevelType w:val="multilevel"/>
    <w:tmpl w:val="E1A05610"/>
    <w:lvl w:ilvl="0">
      <w:start w:val="1"/>
      <w:numFmt w:val="decimal"/>
      <w:lvlText w:val="%1."/>
      <w:lvlJc w:val="left"/>
      <w:pPr>
        <w:ind w:left="720" w:hanging="360"/>
      </w:pPr>
      <w:rPr>
        <w:rFonts w:hint="default"/>
        <w:b w:val="0"/>
        <w:bCs w:val="0"/>
        <w:i w:val="0"/>
        <w:iCs w:val="0"/>
        <w:color w:val="auto"/>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AEE609E"/>
    <w:multiLevelType w:val="multilevel"/>
    <w:tmpl w:val="BA329652"/>
    <w:lvl w:ilvl="0">
      <w:start w:val="31"/>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4F011822"/>
    <w:multiLevelType w:val="multilevel"/>
    <w:tmpl w:val="2DC693A6"/>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DC6232"/>
    <w:multiLevelType w:val="multilevel"/>
    <w:tmpl w:val="CEDED778"/>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1440"/>
        </w:tabs>
        <w:ind w:left="1474" w:hanging="754"/>
      </w:pPr>
      <w:rPr>
        <w:rFonts w:hint="default"/>
      </w:rPr>
    </w:lvl>
    <w:lvl w:ilvl="2">
      <w:start w:val="1"/>
      <w:numFmt w:val="decimal"/>
      <w:lvlText w:val="%1.%2.%3."/>
      <w:lvlJc w:val="left"/>
      <w:pPr>
        <w:tabs>
          <w:tab w:val="num" w:pos="2160"/>
        </w:tabs>
        <w:ind w:left="2211" w:hanging="771"/>
      </w:pPr>
      <w:rPr>
        <w:rFonts w:hint="default"/>
      </w:rPr>
    </w:lvl>
    <w:lvl w:ilvl="3">
      <w:start w:val="1"/>
      <w:numFmt w:val="decimal"/>
      <w:lvlText w:val="%1.%2.%3.%4."/>
      <w:lvlJc w:val="left"/>
      <w:pPr>
        <w:tabs>
          <w:tab w:val="num" w:pos="3168"/>
        </w:tabs>
        <w:ind w:left="3119" w:hanging="959"/>
      </w:pPr>
      <w:rPr>
        <w:rFonts w:hint="default"/>
      </w:rPr>
    </w:lvl>
    <w:lvl w:ilvl="4">
      <w:start w:val="1"/>
      <w:numFmt w:val="decimal"/>
      <w:lvlText w:val="%1.%2.%3.%4.%5."/>
      <w:lvlJc w:val="left"/>
      <w:pPr>
        <w:tabs>
          <w:tab w:val="num" w:pos="288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76F73DE"/>
    <w:multiLevelType w:val="hybridMultilevel"/>
    <w:tmpl w:val="F828BE1E"/>
    <w:lvl w:ilvl="0" w:tplc="4600F47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12AD41C">
      <w:start w:val="1"/>
      <w:numFmt w:val="lowerLetter"/>
      <w:lvlText w:val="%3."/>
      <w:lvlJc w:val="right"/>
      <w:pPr>
        <w:ind w:left="2520" w:hanging="180"/>
      </w:pPr>
      <w:rPr>
        <w:rFonts w:ascii="Arial" w:eastAsia="Times New Roman" w:hAnsi="Arial" w:cs="Arial"/>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C7A0CF3"/>
    <w:multiLevelType w:val="hybridMultilevel"/>
    <w:tmpl w:val="D0225470"/>
    <w:lvl w:ilvl="0" w:tplc="9DBCA7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6A645E3"/>
    <w:multiLevelType w:val="hybridMultilevel"/>
    <w:tmpl w:val="530C7E88"/>
    <w:lvl w:ilvl="0" w:tplc="C14294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7AB4EFD"/>
    <w:multiLevelType w:val="hybridMultilevel"/>
    <w:tmpl w:val="219A5E2E"/>
    <w:lvl w:ilvl="0" w:tplc="E27C62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87404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B752E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DE66A61"/>
    <w:multiLevelType w:val="multilevel"/>
    <w:tmpl w:val="96246CAA"/>
    <w:lvl w:ilvl="0">
      <w:start w:val="4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57751A"/>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3A66A04"/>
    <w:multiLevelType w:val="multilevel"/>
    <w:tmpl w:val="E1541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60156B9"/>
    <w:multiLevelType w:val="hybridMultilevel"/>
    <w:tmpl w:val="E9AC1E7A"/>
    <w:lvl w:ilvl="0" w:tplc="000651C2">
      <w:start w:val="127"/>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1"/>
  </w:num>
  <w:num w:numId="3">
    <w:abstractNumId w:val="22"/>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3"/>
  </w:num>
  <w:num w:numId="9">
    <w:abstractNumId w:val="3"/>
    <w:lvlOverride w:ilvl="0">
      <w:startOverride w:val="182"/>
    </w:lvlOverride>
    <w:lvlOverride w:ilvl="1">
      <w:startOverride w:val="3"/>
    </w:lvlOverride>
  </w:num>
  <w:num w:numId="10">
    <w:abstractNumId w:val="5"/>
  </w:num>
  <w:num w:numId="11">
    <w:abstractNumId w:val="20"/>
  </w:num>
  <w:num w:numId="12">
    <w:abstractNumId w:val="26"/>
  </w:num>
  <w:num w:numId="13">
    <w:abstractNumId w:val="27"/>
  </w:num>
  <w:num w:numId="14">
    <w:abstractNumId w:val="10"/>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3"/>
  </w:num>
  <w:num w:numId="22">
    <w:abstractNumId w:val="0"/>
  </w:num>
  <w:num w:numId="23">
    <w:abstractNumId w:val="13"/>
  </w:num>
  <w:num w:numId="24">
    <w:abstractNumId w:val="4"/>
  </w:num>
  <w:num w:numId="25">
    <w:abstractNumId w:val="15"/>
  </w:num>
  <w:num w:numId="26">
    <w:abstractNumId w:val="24"/>
  </w:num>
  <w:num w:numId="27">
    <w:abstractNumId w:val="1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00"/>
    <w:rsid w:val="00001237"/>
    <w:rsid w:val="00001B53"/>
    <w:rsid w:val="00001B9A"/>
    <w:rsid w:val="00001CFB"/>
    <w:rsid w:val="00002D41"/>
    <w:rsid w:val="00003CFE"/>
    <w:rsid w:val="00011B87"/>
    <w:rsid w:val="00012252"/>
    <w:rsid w:val="0001279B"/>
    <w:rsid w:val="00012925"/>
    <w:rsid w:val="00013337"/>
    <w:rsid w:val="0001338F"/>
    <w:rsid w:val="00015415"/>
    <w:rsid w:val="0001778E"/>
    <w:rsid w:val="00020387"/>
    <w:rsid w:val="00022182"/>
    <w:rsid w:val="000226FC"/>
    <w:rsid w:val="00023075"/>
    <w:rsid w:val="000231BF"/>
    <w:rsid w:val="00023714"/>
    <w:rsid w:val="00024184"/>
    <w:rsid w:val="00024228"/>
    <w:rsid w:val="00024481"/>
    <w:rsid w:val="00024546"/>
    <w:rsid w:val="0002487C"/>
    <w:rsid w:val="00024CD8"/>
    <w:rsid w:val="00026856"/>
    <w:rsid w:val="0002710E"/>
    <w:rsid w:val="000279D7"/>
    <w:rsid w:val="00030392"/>
    <w:rsid w:val="00031BF1"/>
    <w:rsid w:val="000365D7"/>
    <w:rsid w:val="00037897"/>
    <w:rsid w:val="000402C5"/>
    <w:rsid w:val="00041759"/>
    <w:rsid w:val="00041893"/>
    <w:rsid w:val="00041A2A"/>
    <w:rsid w:val="00041C1A"/>
    <w:rsid w:val="00041DBB"/>
    <w:rsid w:val="00046034"/>
    <w:rsid w:val="00046726"/>
    <w:rsid w:val="00046FFE"/>
    <w:rsid w:val="00047003"/>
    <w:rsid w:val="000479BB"/>
    <w:rsid w:val="000515E2"/>
    <w:rsid w:val="0005396E"/>
    <w:rsid w:val="00054210"/>
    <w:rsid w:val="000564CD"/>
    <w:rsid w:val="000564D1"/>
    <w:rsid w:val="00056620"/>
    <w:rsid w:val="00060A91"/>
    <w:rsid w:val="00061440"/>
    <w:rsid w:val="00062028"/>
    <w:rsid w:val="000626EF"/>
    <w:rsid w:val="000628CE"/>
    <w:rsid w:val="00063568"/>
    <w:rsid w:val="00063729"/>
    <w:rsid w:val="00064290"/>
    <w:rsid w:val="00064299"/>
    <w:rsid w:val="000644BB"/>
    <w:rsid w:val="00064838"/>
    <w:rsid w:val="000658F7"/>
    <w:rsid w:val="00065AE4"/>
    <w:rsid w:val="00065B6E"/>
    <w:rsid w:val="0006680C"/>
    <w:rsid w:val="0007189F"/>
    <w:rsid w:val="00071CD9"/>
    <w:rsid w:val="000735E6"/>
    <w:rsid w:val="0007561F"/>
    <w:rsid w:val="000758AC"/>
    <w:rsid w:val="00076432"/>
    <w:rsid w:val="000765A9"/>
    <w:rsid w:val="0007667B"/>
    <w:rsid w:val="000800BD"/>
    <w:rsid w:val="00080761"/>
    <w:rsid w:val="000817BD"/>
    <w:rsid w:val="000823CE"/>
    <w:rsid w:val="000834EF"/>
    <w:rsid w:val="00083CBF"/>
    <w:rsid w:val="00084999"/>
    <w:rsid w:val="0008508E"/>
    <w:rsid w:val="0008568A"/>
    <w:rsid w:val="00085CAB"/>
    <w:rsid w:val="00085E21"/>
    <w:rsid w:val="0008705D"/>
    <w:rsid w:val="000872B4"/>
    <w:rsid w:val="00090401"/>
    <w:rsid w:val="00090EF8"/>
    <w:rsid w:val="00091E37"/>
    <w:rsid w:val="00092164"/>
    <w:rsid w:val="00093A5A"/>
    <w:rsid w:val="000947CA"/>
    <w:rsid w:val="00094AEC"/>
    <w:rsid w:val="00094EAE"/>
    <w:rsid w:val="00095074"/>
    <w:rsid w:val="0009639E"/>
    <w:rsid w:val="00096551"/>
    <w:rsid w:val="000969B3"/>
    <w:rsid w:val="00096DF1"/>
    <w:rsid w:val="000974EA"/>
    <w:rsid w:val="000A0044"/>
    <w:rsid w:val="000A041B"/>
    <w:rsid w:val="000A27FD"/>
    <w:rsid w:val="000A294B"/>
    <w:rsid w:val="000A29C6"/>
    <w:rsid w:val="000A3A9D"/>
    <w:rsid w:val="000A480D"/>
    <w:rsid w:val="000A4BB6"/>
    <w:rsid w:val="000A4C8F"/>
    <w:rsid w:val="000A4DE0"/>
    <w:rsid w:val="000A710D"/>
    <w:rsid w:val="000B0007"/>
    <w:rsid w:val="000B0609"/>
    <w:rsid w:val="000B1253"/>
    <w:rsid w:val="000B2F4A"/>
    <w:rsid w:val="000B308B"/>
    <w:rsid w:val="000B31B2"/>
    <w:rsid w:val="000B32D8"/>
    <w:rsid w:val="000B56B7"/>
    <w:rsid w:val="000B5B1A"/>
    <w:rsid w:val="000B6BD1"/>
    <w:rsid w:val="000B74D1"/>
    <w:rsid w:val="000B7AD6"/>
    <w:rsid w:val="000B7E0F"/>
    <w:rsid w:val="000C04FD"/>
    <w:rsid w:val="000C081D"/>
    <w:rsid w:val="000C191F"/>
    <w:rsid w:val="000C2D02"/>
    <w:rsid w:val="000C2F72"/>
    <w:rsid w:val="000C365D"/>
    <w:rsid w:val="000C3AC2"/>
    <w:rsid w:val="000C3CDC"/>
    <w:rsid w:val="000C5B9B"/>
    <w:rsid w:val="000C61E0"/>
    <w:rsid w:val="000C6649"/>
    <w:rsid w:val="000D021C"/>
    <w:rsid w:val="000D0903"/>
    <w:rsid w:val="000D0D6A"/>
    <w:rsid w:val="000D10F1"/>
    <w:rsid w:val="000D1259"/>
    <w:rsid w:val="000D1F70"/>
    <w:rsid w:val="000D2F9A"/>
    <w:rsid w:val="000D30CB"/>
    <w:rsid w:val="000D31D1"/>
    <w:rsid w:val="000D3213"/>
    <w:rsid w:val="000D3F47"/>
    <w:rsid w:val="000D3F69"/>
    <w:rsid w:val="000D4DC1"/>
    <w:rsid w:val="000D4EA7"/>
    <w:rsid w:val="000D57A5"/>
    <w:rsid w:val="000D5A60"/>
    <w:rsid w:val="000D6810"/>
    <w:rsid w:val="000E0DA9"/>
    <w:rsid w:val="000E150C"/>
    <w:rsid w:val="000E1813"/>
    <w:rsid w:val="000E182F"/>
    <w:rsid w:val="000E38EC"/>
    <w:rsid w:val="000E4425"/>
    <w:rsid w:val="000E4D5A"/>
    <w:rsid w:val="000E674D"/>
    <w:rsid w:val="000E6898"/>
    <w:rsid w:val="000E702D"/>
    <w:rsid w:val="000E7153"/>
    <w:rsid w:val="000F1196"/>
    <w:rsid w:val="000F177F"/>
    <w:rsid w:val="000F1FA8"/>
    <w:rsid w:val="000F46C8"/>
    <w:rsid w:val="000F728E"/>
    <w:rsid w:val="000F7415"/>
    <w:rsid w:val="000F76C3"/>
    <w:rsid w:val="001004C3"/>
    <w:rsid w:val="00100C06"/>
    <w:rsid w:val="00102277"/>
    <w:rsid w:val="00102C6A"/>
    <w:rsid w:val="00103948"/>
    <w:rsid w:val="00104811"/>
    <w:rsid w:val="00104BE6"/>
    <w:rsid w:val="00104E97"/>
    <w:rsid w:val="00106973"/>
    <w:rsid w:val="00106E43"/>
    <w:rsid w:val="00107601"/>
    <w:rsid w:val="0011198D"/>
    <w:rsid w:val="00112088"/>
    <w:rsid w:val="001123DD"/>
    <w:rsid w:val="00114B1D"/>
    <w:rsid w:val="00115226"/>
    <w:rsid w:val="0011576A"/>
    <w:rsid w:val="00116F7F"/>
    <w:rsid w:val="001171C1"/>
    <w:rsid w:val="001173D4"/>
    <w:rsid w:val="00117F8C"/>
    <w:rsid w:val="00121171"/>
    <w:rsid w:val="001216FB"/>
    <w:rsid w:val="00123609"/>
    <w:rsid w:val="00123B7F"/>
    <w:rsid w:val="001241FA"/>
    <w:rsid w:val="001243C8"/>
    <w:rsid w:val="00124834"/>
    <w:rsid w:val="00124DC6"/>
    <w:rsid w:val="00124EEA"/>
    <w:rsid w:val="001255D3"/>
    <w:rsid w:val="00125CF1"/>
    <w:rsid w:val="00125DF0"/>
    <w:rsid w:val="001261C0"/>
    <w:rsid w:val="00126309"/>
    <w:rsid w:val="001263E2"/>
    <w:rsid w:val="00127019"/>
    <w:rsid w:val="00127135"/>
    <w:rsid w:val="00127616"/>
    <w:rsid w:val="00127ED0"/>
    <w:rsid w:val="00130474"/>
    <w:rsid w:val="00130B4D"/>
    <w:rsid w:val="00130C42"/>
    <w:rsid w:val="001317C3"/>
    <w:rsid w:val="00132D90"/>
    <w:rsid w:val="001338F3"/>
    <w:rsid w:val="00134A84"/>
    <w:rsid w:val="00135451"/>
    <w:rsid w:val="001358E0"/>
    <w:rsid w:val="00136D8E"/>
    <w:rsid w:val="0013700C"/>
    <w:rsid w:val="0013721E"/>
    <w:rsid w:val="00137C16"/>
    <w:rsid w:val="00137F87"/>
    <w:rsid w:val="00137FFB"/>
    <w:rsid w:val="00140C2C"/>
    <w:rsid w:val="001413A2"/>
    <w:rsid w:val="00141774"/>
    <w:rsid w:val="00141887"/>
    <w:rsid w:val="00141E6C"/>
    <w:rsid w:val="00142BEE"/>
    <w:rsid w:val="00142DD3"/>
    <w:rsid w:val="00142F4F"/>
    <w:rsid w:val="0014430A"/>
    <w:rsid w:val="00144A40"/>
    <w:rsid w:val="00144F63"/>
    <w:rsid w:val="00146080"/>
    <w:rsid w:val="00146EAE"/>
    <w:rsid w:val="00147BA4"/>
    <w:rsid w:val="00150CF4"/>
    <w:rsid w:val="00152087"/>
    <w:rsid w:val="001529D5"/>
    <w:rsid w:val="0015373B"/>
    <w:rsid w:val="00153C90"/>
    <w:rsid w:val="001551FB"/>
    <w:rsid w:val="00155F23"/>
    <w:rsid w:val="001561C2"/>
    <w:rsid w:val="00156E58"/>
    <w:rsid w:val="00157681"/>
    <w:rsid w:val="00157827"/>
    <w:rsid w:val="00157B7F"/>
    <w:rsid w:val="00157E8F"/>
    <w:rsid w:val="0016001E"/>
    <w:rsid w:val="00160CEC"/>
    <w:rsid w:val="0016100B"/>
    <w:rsid w:val="001617C6"/>
    <w:rsid w:val="00161A4B"/>
    <w:rsid w:val="00163F69"/>
    <w:rsid w:val="00164265"/>
    <w:rsid w:val="00164308"/>
    <w:rsid w:val="00165603"/>
    <w:rsid w:val="00166CB4"/>
    <w:rsid w:val="001676EC"/>
    <w:rsid w:val="00167C94"/>
    <w:rsid w:val="001702BF"/>
    <w:rsid w:val="001703CA"/>
    <w:rsid w:val="00170437"/>
    <w:rsid w:val="00170A2F"/>
    <w:rsid w:val="001728E3"/>
    <w:rsid w:val="001736B2"/>
    <w:rsid w:val="001748AB"/>
    <w:rsid w:val="00176339"/>
    <w:rsid w:val="00177133"/>
    <w:rsid w:val="00181A11"/>
    <w:rsid w:val="001821D1"/>
    <w:rsid w:val="00182D44"/>
    <w:rsid w:val="00186069"/>
    <w:rsid w:val="0018656E"/>
    <w:rsid w:val="0018674C"/>
    <w:rsid w:val="00187FD8"/>
    <w:rsid w:val="00187FF0"/>
    <w:rsid w:val="001907B7"/>
    <w:rsid w:val="00191AFD"/>
    <w:rsid w:val="0019202D"/>
    <w:rsid w:val="001938BC"/>
    <w:rsid w:val="00194786"/>
    <w:rsid w:val="0019698D"/>
    <w:rsid w:val="00197487"/>
    <w:rsid w:val="00197EEE"/>
    <w:rsid w:val="001A10E9"/>
    <w:rsid w:val="001A1753"/>
    <w:rsid w:val="001A1B58"/>
    <w:rsid w:val="001A1E09"/>
    <w:rsid w:val="001A22FB"/>
    <w:rsid w:val="001A2F38"/>
    <w:rsid w:val="001A4290"/>
    <w:rsid w:val="001A46F5"/>
    <w:rsid w:val="001A4B50"/>
    <w:rsid w:val="001A5003"/>
    <w:rsid w:val="001A50A4"/>
    <w:rsid w:val="001A5B4B"/>
    <w:rsid w:val="001A5C7A"/>
    <w:rsid w:val="001A5FC2"/>
    <w:rsid w:val="001A6579"/>
    <w:rsid w:val="001A6751"/>
    <w:rsid w:val="001A76FE"/>
    <w:rsid w:val="001B1F36"/>
    <w:rsid w:val="001B2772"/>
    <w:rsid w:val="001B28F9"/>
    <w:rsid w:val="001B2B8E"/>
    <w:rsid w:val="001B47FB"/>
    <w:rsid w:val="001B48C1"/>
    <w:rsid w:val="001B519B"/>
    <w:rsid w:val="001B56F5"/>
    <w:rsid w:val="001B5DA9"/>
    <w:rsid w:val="001B7180"/>
    <w:rsid w:val="001B7A59"/>
    <w:rsid w:val="001C0287"/>
    <w:rsid w:val="001C0B08"/>
    <w:rsid w:val="001C1A11"/>
    <w:rsid w:val="001C1EFC"/>
    <w:rsid w:val="001C34C5"/>
    <w:rsid w:val="001C4A68"/>
    <w:rsid w:val="001C737F"/>
    <w:rsid w:val="001D2109"/>
    <w:rsid w:val="001D216D"/>
    <w:rsid w:val="001D4779"/>
    <w:rsid w:val="001D5EE2"/>
    <w:rsid w:val="001D6759"/>
    <w:rsid w:val="001D6D69"/>
    <w:rsid w:val="001D6F59"/>
    <w:rsid w:val="001D780E"/>
    <w:rsid w:val="001D788C"/>
    <w:rsid w:val="001D795E"/>
    <w:rsid w:val="001E02B2"/>
    <w:rsid w:val="001E0BCF"/>
    <w:rsid w:val="001E1088"/>
    <w:rsid w:val="001E12E2"/>
    <w:rsid w:val="001E2DBB"/>
    <w:rsid w:val="001E3790"/>
    <w:rsid w:val="001E39EC"/>
    <w:rsid w:val="001E3C62"/>
    <w:rsid w:val="001E3F37"/>
    <w:rsid w:val="001E4587"/>
    <w:rsid w:val="001E4C2D"/>
    <w:rsid w:val="001E4D21"/>
    <w:rsid w:val="001E5E92"/>
    <w:rsid w:val="001E7DF3"/>
    <w:rsid w:val="001E7FBD"/>
    <w:rsid w:val="001F25FC"/>
    <w:rsid w:val="001F2B59"/>
    <w:rsid w:val="001F2E6E"/>
    <w:rsid w:val="001F361D"/>
    <w:rsid w:val="001F44EB"/>
    <w:rsid w:val="001F477E"/>
    <w:rsid w:val="001F5AA4"/>
    <w:rsid w:val="001F5F2F"/>
    <w:rsid w:val="001F646E"/>
    <w:rsid w:val="00200A0E"/>
    <w:rsid w:val="0020256A"/>
    <w:rsid w:val="0020262E"/>
    <w:rsid w:val="002026DC"/>
    <w:rsid w:val="00203A4F"/>
    <w:rsid w:val="00203FAC"/>
    <w:rsid w:val="00204BF8"/>
    <w:rsid w:val="00204DFE"/>
    <w:rsid w:val="00205DF6"/>
    <w:rsid w:val="00206C78"/>
    <w:rsid w:val="0020734A"/>
    <w:rsid w:val="00207F9F"/>
    <w:rsid w:val="002108C1"/>
    <w:rsid w:val="0021124A"/>
    <w:rsid w:val="002143BE"/>
    <w:rsid w:val="00214642"/>
    <w:rsid w:val="002150A5"/>
    <w:rsid w:val="00216147"/>
    <w:rsid w:val="0021637F"/>
    <w:rsid w:val="00217CD1"/>
    <w:rsid w:val="00220768"/>
    <w:rsid w:val="00222342"/>
    <w:rsid w:val="00224C41"/>
    <w:rsid w:val="002264E7"/>
    <w:rsid w:val="002269E9"/>
    <w:rsid w:val="002306C4"/>
    <w:rsid w:val="00231FD7"/>
    <w:rsid w:val="00232E4F"/>
    <w:rsid w:val="00232F3C"/>
    <w:rsid w:val="00235F59"/>
    <w:rsid w:val="0023749E"/>
    <w:rsid w:val="0023758A"/>
    <w:rsid w:val="00237901"/>
    <w:rsid w:val="002401AE"/>
    <w:rsid w:val="00240469"/>
    <w:rsid w:val="00241EAB"/>
    <w:rsid w:val="00242EA3"/>
    <w:rsid w:val="00243635"/>
    <w:rsid w:val="00243D43"/>
    <w:rsid w:val="00244872"/>
    <w:rsid w:val="00244DAF"/>
    <w:rsid w:val="00246DAF"/>
    <w:rsid w:val="00247F3C"/>
    <w:rsid w:val="002502F0"/>
    <w:rsid w:val="00253A80"/>
    <w:rsid w:val="00253DB6"/>
    <w:rsid w:val="0025407E"/>
    <w:rsid w:val="0025489C"/>
    <w:rsid w:val="00255891"/>
    <w:rsid w:val="00255CD5"/>
    <w:rsid w:val="00257ACA"/>
    <w:rsid w:val="00257D19"/>
    <w:rsid w:val="00260319"/>
    <w:rsid w:val="00260967"/>
    <w:rsid w:val="00260C57"/>
    <w:rsid w:val="00260E49"/>
    <w:rsid w:val="00262124"/>
    <w:rsid w:val="002625F1"/>
    <w:rsid w:val="00262C88"/>
    <w:rsid w:val="00263BBF"/>
    <w:rsid w:val="00263EBA"/>
    <w:rsid w:val="00264810"/>
    <w:rsid w:val="00264BC6"/>
    <w:rsid w:val="00265BE1"/>
    <w:rsid w:val="00265C89"/>
    <w:rsid w:val="002665F3"/>
    <w:rsid w:val="00266A66"/>
    <w:rsid w:val="0026786D"/>
    <w:rsid w:val="00267E0A"/>
    <w:rsid w:val="00270D8F"/>
    <w:rsid w:val="002730EE"/>
    <w:rsid w:val="00273561"/>
    <w:rsid w:val="00273FBE"/>
    <w:rsid w:val="00275BC2"/>
    <w:rsid w:val="00275EA9"/>
    <w:rsid w:val="002766F7"/>
    <w:rsid w:val="00277081"/>
    <w:rsid w:val="00277C3A"/>
    <w:rsid w:val="00277FA3"/>
    <w:rsid w:val="00280C34"/>
    <w:rsid w:val="00281EEB"/>
    <w:rsid w:val="00282002"/>
    <w:rsid w:val="002823D8"/>
    <w:rsid w:val="00282414"/>
    <w:rsid w:val="00283B7E"/>
    <w:rsid w:val="00283ECF"/>
    <w:rsid w:val="0028587D"/>
    <w:rsid w:val="00285E3B"/>
    <w:rsid w:val="002867A5"/>
    <w:rsid w:val="00286D6B"/>
    <w:rsid w:val="00286DD5"/>
    <w:rsid w:val="00290686"/>
    <w:rsid w:val="002911D9"/>
    <w:rsid w:val="0029337F"/>
    <w:rsid w:val="00293773"/>
    <w:rsid w:val="0029387B"/>
    <w:rsid w:val="00295513"/>
    <w:rsid w:val="002956EA"/>
    <w:rsid w:val="00295831"/>
    <w:rsid w:val="00295FD6"/>
    <w:rsid w:val="0029739D"/>
    <w:rsid w:val="002979D2"/>
    <w:rsid w:val="002A0170"/>
    <w:rsid w:val="002A0962"/>
    <w:rsid w:val="002A1B5B"/>
    <w:rsid w:val="002A3C12"/>
    <w:rsid w:val="002A432A"/>
    <w:rsid w:val="002A4492"/>
    <w:rsid w:val="002A46B0"/>
    <w:rsid w:val="002A4EAC"/>
    <w:rsid w:val="002A51B0"/>
    <w:rsid w:val="002A5599"/>
    <w:rsid w:val="002A61DB"/>
    <w:rsid w:val="002A653E"/>
    <w:rsid w:val="002A68D5"/>
    <w:rsid w:val="002A70D1"/>
    <w:rsid w:val="002A741A"/>
    <w:rsid w:val="002A7AA7"/>
    <w:rsid w:val="002B036F"/>
    <w:rsid w:val="002B0891"/>
    <w:rsid w:val="002B13FF"/>
    <w:rsid w:val="002B19F1"/>
    <w:rsid w:val="002B1A81"/>
    <w:rsid w:val="002B1E69"/>
    <w:rsid w:val="002B2657"/>
    <w:rsid w:val="002B2A47"/>
    <w:rsid w:val="002B2AF4"/>
    <w:rsid w:val="002B35D2"/>
    <w:rsid w:val="002B386B"/>
    <w:rsid w:val="002B3DB0"/>
    <w:rsid w:val="002B472B"/>
    <w:rsid w:val="002B4DCF"/>
    <w:rsid w:val="002B5D05"/>
    <w:rsid w:val="002B5DDC"/>
    <w:rsid w:val="002B6E7C"/>
    <w:rsid w:val="002C007F"/>
    <w:rsid w:val="002C0CCB"/>
    <w:rsid w:val="002C159B"/>
    <w:rsid w:val="002C557D"/>
    <w:rsid w:val="002C56A3"/>
    <w:rsid w:val="002C6087"/>
    <w:rsid w:val="002C6423"/>
    <w:rsid w:val="002C78DC"/>
    <w:rsid w:val="002D07ED"/>
    <w:rsid w:val="002D0BF4"/>
    <w:rsid w:val="002D0EA2"/>
    <w:rsid w:val="002D3E6A"/>
    <w:rsid w:val="002D4AD9"/>
    <w:rsid w:val="002D5227"/>
    <w:rsid w:val="002D5467"/>
    <w:rsid w:val="002D5FB8"/>
    <w:rsid w:val="002D658F"/>
    <w:rsid w:val="002D6B96"/>
    <w:rsid w:val="002E04EE"/>
    <w:rsid w:val="002E17D1"/>
    <w:rsid w:val="002E2211"/>
    <w:rsid w:val="002E311B"/>
    <w:rsid w:val="002E34F7"/>
    <w:rsid w:val="002E491C"/>
    <w:rsid w:val="002E7E75"/>
    <w:rsid w:val="002F0A25"/>
    <w:rsid w:val="002F0B16"/>
    <w:rsid w:val="002F0F19"/>
    <w:rsid w:val="002F2BE6"/>
    <w:rsid w:val="002F3684"/>
    <w:rsid w:val="002F3797"/>
    <w:rsid w:val="002F3CA2"/>
    <w:rsid w:val="002F47A8"/>
    <w:rsid w:val="002F4CF5"/>
    <w:rsid w:val="002F5BBD"/>
    <w:rsid w:val="002F623B"/>
    <w:rsid w:val="002F6866"/>
    <w:rsid w:val="002F6A0B"/>
    <w:rsid w:val="002F7359"/>
    <w:rsid w:val="002F739D"/>
    <w:rsid w:val="00300A6D"/>
    <w:rsid w:val="00301621"/>
    <w:rsid w:val="003018B8"/>
    <w:rsid w:val="00301ACE"/>
    <w:rsid w:val="003047AD"/>
    <w:rsid w:val="00306299"/>
    <w:rsid w:val="00306F10"/>
    <w:rsid w:val="00307161"/>
    <w:rsid w:val="003073F1"/>
    <w:rsid w:val="003073FF"/>
    <w:rsid w:val="0030780A"/>
    <w:rsid w:val="00307DA8"/>
    <w:rsid w:val="00307FC0"/>
    <w:rsid w:val="003117FD"/>
    <w:rsid w:val="003122DD"/>
    <w:rsid w:val="00314893"/>
    <w:rsid w:val="003148FB"/>
    <w:rsid w:val="00314936"/>
    <w:rsid w:val="003154F1"/>
    <w:rsid w:val="00315EBD"/>
    <w:rsid w:val="00315FA8"/>
    <w:rsid w:val="00316116"/>
    <w:rsid w:val="00320118"/>
    <w:rsid w:val="00320A1F"/>
    <w:rsid w:val="003216CA"/>
    <w:rsid w:val="003228D6"/>
    <w:rsid w:val="00322A4A"/>
    <w:rsid w:val="003233E3"/>
    <w:rsid w:val="00324532"/>
    <w:rsid w:val="00324C59"/>
    <w:rsid w:val="00326AF7"/>
    <w:rsid w:val="00326C5C"/>
    <w:rsid w:val="003279BE"/>
    <w:rsid w:val="00327C5A"/>
    <w:rsid w:val="00330033"/>
    <w:rsid w:val="003309D0"/>
    <w:rsid w:val="00331F95"/>
    <w:rsid w:val="00331F97"/>
    <w:rsid w:val="0033216C"/>
    <w:rsid w:val="00332203"/>
    <w:rsid w:val="00332BCD"/>
    <w:rsid w:val="0033352A"/>
    <w:rsid w:val="00333F3B"/>
    <w:rsid w:val="00334258"/>
    <w:rsid w:val="00334FE4"/>
    <w:rsid w:val="003366E6"/>
    <w:rsid w:val="00336A13"/>
    <w:rsid w:val="00337BF9"/>
    <w:rsid w:val="00340E74"/>
    <w:rsid w:val="00341549"/>
    <w:rsid w:val="00341DE9"/>
    <w:rsid w:val="00343075"/>
    <w:rsid w:val="003434F5"/>
    <w:rsid w:val="003446C8"/>
    <w:rsid w:val="003447D5"/>
    <w:rsid w:val="00344B86"/>
    <w:rsid w:val="003458B9"/>
    <w:rsid w:val="00345C93"/>
    <w:rsid w:val="00346B8B"/>
    <w:rsid w:val="00346E59"/>
    <w:rsid w:val="00350DD1"/>
    <w:rsid w:val="00350F07"/>
    <w:rsid w:val="00351AB8"/>
    <w:rsid w:val="00355464"/>
    <w:rsid w:val="00355AB1"/>
    <w:rsid w:val="00355B65"/>
    <w:rsid w:val="0035673D"/>
    <w:rsid w:val="00356759"/>
    <w:rsid w:val="0036079A"/>
    <w:rsid w:val="003617A8"/>
    <w:rsid w:val="00362910"/>
    <w:rsid w:val="0036297D"/>
    <w:rsid w:val="003631B8"/>
    <w:rsid w:val="003631BB"/>
    <w:rsid w:val="00363C00"/>
    <w:rsid w:val="00364C29"/>
    <w:rsid w:val="00364FDE"/>
    <w:rsid w:val="003651C8"/>
    <w:rsid w:val="003657F3"/>
    <w:rsid w:val="00367FAA"/>
    <w:rsid w:val="00370BD7"/>
    <w:rsid w:val="00370F4A"/>
    <w:rsid w:val="00371D80"/>
    <w:rsid w:val="00371E42"/>
    <w:rsid w:val="003721DC"/>
    <w:rsid w:val="00372CE9"/>
    <w:rsid w:val="00373025"/>
    <w:rsid w:val="00374249"/>
    <w:rsid w:val="00374DB3"/>
    <w:rsid w:val="00375933"/>
    <w:rsid w:val="0037661A"/>
    <w:rsid w:val="00380F82"/>
    <w:rsid w:val="0038353B"/>
    <w:rsid w:val="003836DB"/>
    <w:rsid w:val="00384E6E"/>
    <w:rsid w:val="00386392"/>
    <w:rsid w:val="003864AB"/>
    <w:rsid w:val="00386518"/>
    <w:rsid w:val="00386F7B"/>
    <w:rsid w:val="00387061"/>
    <w:rsid w:val="00387D85"/>
    <w:rsid w:val="00390B9C"/>
    <w:rsid w:val="0039129C"/>
    <w:rsid w:val="00391475"/>
    <w:rsid w:val="00391F1F"/>
    <w:rsid w:val="00392C16"/>
    <w:rsid w:val="003949E0"/>
    <w:rsid w:val="00394DC7"/>
    <w:rsid w:val="00394DFD"/>
    <w:rsid w:val="003954C6"/>
    <w:rsid w:val="00396164"/>
    <w:rsid w:val="003A28A5"/>
    <w:rsid w:val="003A2ACC"/>
    <w:rsid w:val="003A2DCA"/>
    <w:rsid w:val="003A3378"/>
    <w:rsid w:val="003A4FDB"/>
    <w:rsid w:val="003A5ED8"/>
    <w:rsid w:val="003A6369"/>
    <w:rsid w:val="003A675E"/>
    <w:rsid w:val="003A67CE"/>
    <w:rsid w:val="003A70B4"/>
    <w:rsid w:val="003A7548"/>
    <w:rsid w:val="003B0779"/>
    <w:rsid w:val="003B0BAA"/>
    <w:rsid w:val="003B0D90"/>
    <w:rsid w:val="003B133F"/>
    <w:rsid w:val="003B17A8"/>
    <w:rsid w:val="003B349C"/>
    <w:rsid w:val="003B41E4"/>
    <w:rsid w:val="003C0B9C"/>
    <w:rsid w:val="003C0EFA"/>
    <w:rsid w:val="003C45CB"/>
    <w:rsid w:val="003C46EC"/>
    <w:rsid w:val="003C5370"/>
    <w:rsid w:val="003C5967"/>
    <w:rsid w:val="003C61A5"/>
    <w:rsid w:val="003C61AE"/>
    <w:rsid w:val="003C6F77"/>
    <w:rsid w:val="003C74B6"/>
    <w:rsid w:val="003C7AB4"/>
    <w:rsid w:val="003C7B5F"/>
    <w:rsid w:val="003D03C0"/>
    <w:rsid w:val="003D2F0C"/>
    <w:rsid w:val="003D3A04"/>
    <w:rsid w:val="003D52F7"/>
    <w:rsid w:val="003D52FD"/>
    <w:rsid w:val="003D5932"/>
    <w:rsid w:val="003D6210"/>
    <w:rsid w:val="003D6263"/>
    <w:rsid w:val="003D6777"/>
    <w:rsid w:val="003E0235"/>
    <w:rsid w:val="003E052E"/>
    <w:rsid w:val="003E07EB"/>
    <w:rsid w:val="003E162F"/>
    <w:rsid w:val="003E1719"/>
    <w:rsid w:val="003E2D20"/>
    <w:rsid w:val="003E3A0D"/>
    <w:rsid w:val="003E56FA"/>
    <w:rsid w:val="003F0433"/>
    <w:rsid w:val="003F0F8C"/>
    <w:rsid w:val="003F1229"/>
    <w:rsid w:val="003F1664"/>
    <w:rsid w:val="003F1E4F"/>
    <w:rsid w:val="003F1E62"/>
    <w:rsid w:val="003F2373"/>
    <w:rsid w:val="003F28A3"/>
    <w:rsid w:val="003F57B6"/>
    <w:rsid w:val="003F62D5"/>
    <w:rsid w:val="003F6858"/>
    <w:rsid w:val="003F6B95"/>
    <w:rsid w:val="003F7216"/>
    <w:rsid w:val="003F7426"/>
    <w:rsid w:val="003F742B"/>
    <w:rsid w:val="003F7B11"/>
    <w:rsid w:val="00400277"/>
    <w:rsid w:val="00401440"/>
    <w:rsid w:val="0040160C"/>
    <w:rsid w:val="00401E16"/>
    <w:rsid w:val="00402F9B"/>
    <w:rsid w:val="00403218"/>
    <w:rsid w:val="0040511F"/>
    <w:rsid w:val="0040683C"/>
    <w:rsid w:val="00406DA4"/>
    <w:rsid w:val="004100F3"/>
    <w:rsid w:val="00410930"/>
    <w:rsid w:val="00410BFD"/>
    <w:rsid w:val="0041115F"/>
    <w:rsid w:val="004112C9"/>
    <w:rsid w:val="00412062"/>
    <w:rsid w:val="0041311E"/>
    <w:rsid w:val="004132D3"/>
    <w:rsid w:val="00413C47"/>
    <w:rsid w:val="00414061"/>
    <w:rsid w:val="004143FE"/>
    <w:rsid w:val="004144CC"/>
    <w:rsid w:val="00414937"/>
    <w:rsid w:val="004149B8"/>
    <w:rsid w:val="00414D14"/>
    <w:rsid w:val="00415601"/>
    <w:rsid w:val="00416FE2"/>
    <w:rsid w:val="004203EA"/>
    <w:rsid w:val="00420B40"/>
    <w:rsid w:val="004211ED"/>
    <w:rsid w:val="00421224"/>
    <w:rsid w:val="00421AC0"/>
    <w:rsid w:val="00421E45"/>
    <w:rsid w:val="00422208"/>
    <w:rsid w:val="00422D92"/>
    <w:rsid w:val="00423200"/>
    <w:rsid w:val="00424DE0"/>
    <w:rsid w:val="0042594A"/>
    <w:rsid w:val="00427621"/>
    <w:rsid w:val="00427DD1"/>
    <w:rsid w:val="00430A29"/>
    <w:rsid w:val="00430AF9"/>
    <w:rsid w:val="004317CB"/>
    <w:rsid w:val="00431A21"/>
    <w:rsid w:val="004323D0"/>
    <w:rsid w:val="00432B40"/>
    <w:rsid w:val="004336A3"/>
    <w:rsid w:val="00433806"/>
    <w:rsid w:val="00433C78"/>
    <w:rsid w:val="0043481F"/>
    <w:rsid w:val="00434AF6"/>
    <w:rsid w:val="00436465"/>
    <w:rsid w:val="00436717"/>
    <w:rsid w:val="004368C2"/>
    <w:rsid w:val="00437CE8"/>
    <w:rsid w:val="004400B9"/>
    <w:rsid w:val="004405C1"/>
    <w:rsid w:val="00441B3E"/>
    <w:rsid w:val="00441F5E"/>
    <w:rsid w:val="00442084"/>
    <w:rsid w:val="0044245C"/>
    <w:rsid w:val="00442C46"/>
    <w:rsid w:val="00443EEB"/>
    <w:rsid w:val="00444146"/>
    <w:rsid w:val="00444AF2"/>
    <w:rsid w:val="00444B05"/>
    <w:rsid w:val="004451C1"/>
    <w:rsid w:val="00445570"/>
    <w:rsid w:val="00445E15"/>
    <w:rsid w:val="00446224"/>
    <w:rsid w:val="0044781F"/>
    <w:rsid w:val="00447A81"/>
    <w:rsid w:val="00451019"/>
    <w:rsid w:val="004516FB"/>
    <w:rsid w:val="0045225F"/>
    <w:rsid w:val="00452304"/>
    <w:rsid w:val="004523AA"/>
    <w:rsid w:val="004529DE"/>
    <w:rsid w:val="00452A8E"/>
    <w:rsid w:val="004534C0"/>
    <w:rsid w:val="0045379D"/>
    <w:rsid w:val="00455CC4"/>
    <w:rsid w:val="00456311"/>
    <w:rsid w:val="00456D26"/>
    <w:rsid w:val="00456D43"/>
    <w:rsid w:val="00456D54"/>
    <w:rsid w:val="0045752F"/>
    <w:rsid w:val="00457820"/>
    <w:rsid w:val="00460B59"/>
    <w:rsid w:val="0046115D"/>
    <w:rsid w:val="00461247"/>
    <w:rsid w:val="0046134B"/>
    <w:rsid w:val="00461499"/>
    <w:rsid w:val="00463184"/>
    <w:rsid w:val="00464239"/>
    <w:rsid w:val="00464795"/>
    <w:rsid w:val="004653BB"/>
    <w:rsid w:val="00465629"/>
    <w:rsid w:val="00465D6A"/>
    <w:rsid w:val="00465D7D"/>
    <w:rsid w:val="0046711D"/>
    <w:rsid w:val="00467598"/>
    <w:rsid w:val="00467664"/>
    <w:rsid w:val="00471084"/>
    <w:rsid w:val="0047174B"/>
    <w:rsid w:val="00471834"/>
    <w:rsid w:val="00471FF1"/>
    <w:rsid w:val="0047383D"/>
    <w:rsid w:val="0047535F"/>
    <w:rsid w:val="00477FA7"/>
    <w:rsid w:val="00480FCD"/>
    <w:rsid w:val="004819DD"/>
    <w:rsid w:val="0048315F"/>
    <w:rsid w:val="004838BF"/>
    <w:rsid w:val="004850EF"/>
    <w:rsid w:val="004867C9"/>
    <w:rsid w:val="00486C13"/>
    <w:rsid w:val="00486D6D"/>
    <w:rsid w:val="004871FE"/>
    <w:rsid w:val="00491911"/>
    <w:rsid w:val="00492061"/>
    <w:rsid w:val="0049236A"/>
    <w:rsid w:val="00493044"/>
    <w:rsid w:val="0049316D"/>
    <w:rsid w:val="0049429C"/>
    <w:rsid w:val="00494347"/>
    <w:rsid w:val="004947C5"/>
    <w:rsid w:val="00494EE3"/>
    <w:rsid w:val="004972D7"/>
    <w:rsid w:val="004973BB"/>
    <w:rsid w:val="00497BBC"/>
    <w:rsid w:val="004A0255"/>
    <w:rsid w:val="004A0DF5"/>
    <w:rsid w:val="004A2FA1"/>
    <w:rsid w:val="004A3DE5"/>
    <w:rsid w:val="004A4BBA"/>
    <w:rsid w:val="004A5A4F"/>
    <w:rsid w:val="004A5DE6"/>
    <w:rsid w:val="004A5FC8"/>
    <w:rsid w:val="004A6435"/>
    <w:rsid w:val="004A68DC"/>
    <w:rsid w:val="004A7C3A"/>
    <w:rsid w:val="004B0A1D"/>
    <w:rsid w:val="004B0D2B"/>
    <w:rsid w:val="004B145D"/>
    <w:rsid w:val="004B16E1"/>
    <w:rsid w:val="004B193B"/>
    <w:rsid w:val="004B1B73"/>
    <w:rsid w:val="004B3B0C"/>
    <w:rsid w:val="004B4A19"/>
    <w:rsid w:val="004B4A21"/>
    <w:rsid w:val="004B4E17"/>
    <w:rsid w:val="004B50EC"/>
    <w:rsid w:val="004B54C5"/>
    <w:rsid w:val="004B5AA5"/>
    <w:rsid w:val="004B68B3"/>
    <w:rsid w:val="004B6F7E"/>
    <w:rsid w:val="004C010D"/>
    <w:rsid w:val="004C073A"/>
    <w:rsid w:val="004C09A5"/>
    <w:rsid w:val="004C0FDB"/>
    <w:rsid w:val="004C1652"/>
    <w:rsid w:val="004C199D"/>
    <w:rsid w:val="004C1EF6"/>
    <w:rsid w:val="004C32A7"/>
    <w:rsid w:val="004C3BF2"/>
    <w:rsid w:val="004C4E11"/>
    <w:rsid w:val="004C6E7C"/>
    <w:rsid w:val="004D088D"/>
    <w:rsid w:val="004D0983"/>
    <w:rsid w:val="004D161D"/>
    <w:rsid w:val="004D314C"/>
    <w:rsid w:val="004D35A4"/>
    <w:rsid w:val="004D5CFB"/>
    <w:rsid w:val="004D5E5B"/>
    <w:rsid w:val="004D619C"/>
    <w:rsid w:val="004D6708"/>
    <w:rsid w:val="004D7426"/>
    <w:rsid w:val="004D79E1"/>
    <w:rsid w:val="004E0661"/>
    <w:rsid w:val="004E16A2"/>
    <w:rsid w:val="004E1D94"/>
    <w:rsid w:val="004E2D08"/>
    <w:rsid w:val="004E3C85"/>
    <w:rsid w:val="004E5104"/>
    <w:rsid w:val="004E5858"/>
    <w:rsid w:val="004E619A"/>
    <w:rsid w:val="004E6A01"/>
    <w:rsid w:val="004E764C"/>
    <w:rsid w:val="004E78D6"/>
    <w:rsid w:val="004E791D"/>
    <w:rsid w:val="004F035A"/>
    <w:rsid w:val="004F07FA"/>
    <w:rsid w:val="004F175B"/>
    <w:rsid w:val="004F29EA"/>
    <w:rsid w:val="004F3582"/>
    <w:rsid w:val="004F3CC8"/>
    <w:rsid w:val="004F4261"/>
    <w:rsid w:val="004F5316"/>
    <w:rsid w:val="004F7444"/>
    <w:rsid w:val="00500832"/>
    <w:rsid w:val="00501E9F"/>
    <w:rsid w:val="0050408C"/>
    <w:rsid w:val="005047E1"/>
    <w:rsid w:val="00506206"/>
    <w:rsid w:val="005064F5"/>
    <w:rsid w:val="00506AA4"/>
    <w:rsid w:val="00506CD3"/>
    <w:rsid w:val="0050702D"/>
    <w:rsid w:val="005072F1"/>
    <w:rsid w:val="00510444"/>
    <w:rsid w:val="00510AA4"/>
    <w:rsid w:val="00511690"/>
    <w:rsid w:val="005117DB"/>
    <w:rsid w:val="00513540"/>
    <w:rsid w:val="00513C99"/>
    <w:rsid w:val="00514B38"/>
    <w:rsid w:val="005166AB"/>
    <w:rsid w:val="005170B8"/>
    <w:rsid w:val="00517FA8"/>
    <w:rsid w:val="00520ECD"/>
    <w:rsid w:val="0052261B"/>
    <w:rsid w:val="00522E1C"/>
    <w:rsid w:val="00523001"/>
    <w:rsid w:val="00526414"/>
    <w:rsid w:val="00526B0D"/>
    <w:rsid w:val="00526BF4"/>
    <w:rsid w:val="00526D7E"/>
    <w:rsid w:val="00527250"/>
    <w:rsid w:val="0052775A"/>
    <w:rsid w:val="00531192"/>
    <w:rsid w:val="005326DB"/>
    <w:rsid w:val="00533191"/>
    <w:rsid w:val="005343B4"/>
    <w:rsid w:val="00535610"/>
    <w:rsid w:val="00535F05"/>
    <w:rsid w:val="0053708C"/>
    <w:rsid w:val="0053728B"/>
    <w:rsid w:val="00537961"/>
    <w:rsid w:val="00537C26"/>
    <w:rsid w:val="00537D5F"/>
    <w:rsid w:val="0054066A"/>
    <w:rsid w:val="00541BBC"/>
    <w:rsid w:val="00542BD4"/>
    <w:rsid w:val="00544015"/>
    <w:rsid w:val="005448B9"/>
    <w:rsid w:val="00545842"/>
    <w:rsid w:val="00545904"/>
    <w:rsid w:val="00545ED6"/>
    <w:rsid w:val="005468FE"/>
    <w:rsid w:val="0054695C"/>
    <w:rsid w:val="00550220"/>
    <w:rsid w:val="00550CEE"/>
    <w:rsid w:val="00550E7E"/>
    <w:rsid w:val="00551F8C"/>
    <w:rsid w:val="005525A6"/>
    <w:rsid w:val="0055260C"/>
    <w:rsid w:val="005534C8"/>
    <w:rsid w:val="00553D7F"/>
    <w:rsid w:val="00554724"/>
    <w:rsid w:val="00554FB0"/>
    <w:rsid w:val="005558F4"/>
    <w:rsid w:val="0055597D"/>
    <w:rsid w:val="00555B95"/>
    <w:rsid w:val="0055605C"/>
    <w:rsid w:val="005576BE"/>
    <w:rsid w:val="005613D4"/>
    <w:rsid w:val="00561888"/>
    <w:rsid w:val="005652FD"/>
    <w:rsid w:val="00567061"/>
    <w:rsid w:val="005671C6"/>
    <w:rsid w:val="00567229"/>
    <w:rsid w:val="005677CC"/>
    <w:rsid w:val="0056792A"/>
    <w:rsid w:val="005705A9"/>
    <w:rsid w:val="0057067C"/>
    <w:rsid w:val="0057193D"/>
    <w:rsid w:val="0057343F"/>
    <w:rsid w:val="00573CD7"/>
    <w:rsid w:val="00574C4F"/>
    <w:rsid w:val="00575AED"/>
    <w:rsid w:val="005763D1"/>
    <w:rsid w:val="0057651C"/>
    <w:rsid w:val="00576655"/>
    <w:rsid w:val="00576B21"/>
    <w:rsid w:val="005801DD"/>
    <w:rsid w:val="00581643"/>
    <w:rsid w:val="00581C22"/>
    <w:rsid w:val="00583A87"/>
    <w:rsid w:val="00583DC2"/>
    <w:rsid w:val="0058403C"/>
    <w:rsid w:val="00584817"/>
    <w:rsid w:val="00584C07"/>
    <w:rsid w:val="00585B3D"/>
    <w:rsid w:val="005867C0"/>
    <w:rsid w:val="00587B26"/>
    <w:rsid w:val="005910D2"/>
    <w:rsid w:val="0059361A"/>
    <w:rsid w:val="005936DB"/>
    <w:rsid w:val="00593ACB"/>
    <w:rsid w:val="00593F05"/>
    <w:rsid w:val="00593FB4"/>
    <w:rsid w:val="00594943"/>
    <w:rsid w:val="00594B99"/>
    <w:rsid w:val="00595557"/>
    <w:rsid w:val="00596225"/>
    <w:rsid w:val="00596659"/>
    <w:rsid w:val="005968BE"/>
    <w:rsid w:val="00597C67"/>
    <w:rsid w:val="00597CEA"/>
    <w:rsid w:val="005A1F4D"/>
    <w:rsid w:val="005A2604"/>
    <w:rsid w:val="005A2682"/>
    <w:rsid w:val="005A3B60"/>
    <w:rsid w:val="005A4E62"/>
    <w:rsid w:val="005A5B80"/>
    <w:rsid w:val="005A6F6B"/>
    <w:rsid w:val="005A7401"/>
    <w:rsid w:val="005A760C"/>
    <w:rsid w:val="005A7A69"/>
    <w:rsid w:val="005B0459"/>
    <w:rsid w:val="005B0846"/>
    <w:rsid w:val="005B0C38"/>
    <w:rsid w:val="005B0F49"/>
    <w:rsid w:val="005B1A88"/>
    <w:rsid w:val="005B2DFD"/>
    <w:rsid w:val="005B2EEF"/>
    <w:rsid w:val="005B4042"/>
    <w:rsid w:val="005B5882"/>
    <w:rsid w:val="005B5BA1"/>
    <w:rsid w:val="005B6BC4"/>
    <w:rsid w:val="005B75A5"/>
    <w:rsid w:val="005B79A5"/>
    <w:rsid w:val="005C0118"/>
    <w:rsid w:val="005C13F5"/>
    <w:rsid w:val="005C16B4"/>
    <w:rsid w:val="005C1781"/>
    <w:rsid w:val="005C1A57"/>
    <w:rsid w:val="005C2242"/>
    <w:rsid w:val="005C2F24"/>
    <w:rsid w:val="005C4D48"/>
    <w:rsid w:val="005C5329"/>
    <w:rsid w:val="005C5A04"/>
    <w:rsid w:val="005C648D"/>
    <w:rsid w:val="005C6A82"/>
    <w:rsid w:val="005C7FC2"/>
    <w:rsid w:val="005D00CA"/>
    <w:rsid w:val="005D2401"/>
    <w:rsid w:val="005D248A"/>
    <w:rsid w:val="005D2DAC"/>
    <w:rsid w:val="005D2FFB"/>
    <w:rsid w:val="005D3847"/>
    <w:rsid w:val="005D447A"/>
    <w:rsid w:val="005D4FEC"/>
    <w:rsid w:val="005D6F67"/>
    <w:rsid w:val="005E0C92"/>
    <w:rsid w:val="005E12ED"/>
    <w:rsid w:val="005E1336"/>
    <w:rsid w:val="005E1888"/>
    <w:rsid w:val="005E19CB"/>
    <w:rsid w:val="005E238A"/>
    <w:rsid w:val="005E3615"/>
    <w:rsid w:val="005E42DE"/>
    <w:rsid w:val="005E467E"/>
    <w:rsid w:val="005E53D0"/>
    <w:rsid w:val="005E7E69"/>
    <w:rsid w:val="005F008D"/>
    <w:rsid w:val="005F01B9"/>
    <w:rsid w:val="005F078A"/>
    <w:rsid w:val="005F0BAE"/>
    <w:rsid w:val="005F2A62"/>
    <w:rsid w:val="005F33BA"/>
    <w:rsid w:val="005F3CBA"/>
    <w:rsid w:val="005F3DC7"/>
    <w:rsid w:val="005F3FB0"/>
    <w:rsid w:val="005F4E0C"/>
    <w:rsid w:val="005F5AA6"/>
    <w:rsid w:val="005F6816"/>
    <w:rsid w:val="00600793"/>
    <w:rsid w:val="00601AD8"/>
    <w:rsid w:val="00601C39"/>
    <w:rsid w:val="0060311E"/>
    <w:rsid w:val="006048A1"/>
    <w:rsid w:val="006050AD"/>
    <w:rsid w:val="00606632"/>
    <w:rsid w:val="0060682D"/>
    <w:rsid w:val="006077E7"/>
    <w:rsid w:val="00607B40"/>
    <w:rsid w:val="00610D89"/>
    <w:rsid w:val="00610E01"/>
    <w:rsid w:val="006117EF"/>
    <w:rsid w:val="00611F9D"/>
    <w:rsid w:val="006120A4"/>
    <w:rsid w:val="006134A9"/>
    <w:rsid w:val="0061385D"/>
    <w:rsid w:val="00614084"/>
    <w:rsid w:val="006142A6"/>
    <w:rsid w:val="00614A4F"/>
    <w:rsid w:val="00614CE2"/>
    <w:rsid w:val="006153CA"/>
    <w:rsid w:val="00616F23"/>
    <w:rsid w:val="006173E4"/>
    <w:rsid w:val="00617984"/>
    <w:rsid w:val="006202BF"/>
    <w:rsid w:val="00621626"/>
    <w:rsid w:val="00621AA4"/>
    <w:rsid w:val="00623B26"/>
    <w:rsid w:val="006242D0"/>
    <w:rsid w:val="00625BAA"/>
    <w:rsid w:val="006269B7"/>
    <w:rsid w:val="006272EE"/>
    <w:rsid w:val="00627414"/>
    <w:rsid w:val="00627480"/>
    <w:rsid w:val="0063090D"/>
    <w:rsid w:val="00630FA4"/>
    <w:rsid w:val="00632C73"/>
    <w:rsid w:val="00632E23"/>
    <w:rsid w:val="00634D2B"/>
    <w:rsid w:val="00634F7D"/>
    <w:rsid w:val="0063503D"/>
    <w:rsid w:val="0063506E"/>
    <w:rsid w:val="006354BC"/>
    <w:rsid w:val="0063726F"/>
    <w:rsid w:val="00637459"/>
    <w:rsid w:val="006400CA"/>
    <w:rsid w:val="00640622"/>
    <w:rsid w:val="00641E18"/>
    <w:rsid w:val="006428D5"/>
    <w:rsid w:val="006430CA"/>
    <w:rsid w:val="00643B97"/>
    <w:rsid w:val="00643C6C"/>
    <w:rsid w:val="0064401B"/>
    <w:rsid w:val="0064478C"/>
    <w:rsid w:val="0064522C"/>
    <w:rsid w:val="006458B2"/>
    <w:rsid w:val="00646265"/>
    <w:rsid w:val="00646372"/>
    <w:rsid w:val="0064665F"/>
    <w:rsid w:val="00646B9E"/>
    <w:rsid w:val="00650108"/>
    <w:rsid w:val="00650311"/>
    <w:rsid w:val="0065088F"/>
    <w:rsid w:val="00652531"/>
    <w:rsid w:val="00654A87"/>
    <w:rsid w:val="00654C8A"/>
    <w:rsid w:val="006556DC"/>
    <w:rsid w:val="00655719"/>
    <w:rsid w:val="00655B5A"/>
    <w:rsid w:val="0065753D"/>
    <w:rsid w:val="006578A9"/>
    <w:rsid w:val="00657CF2"/>
    <w:rsid w:val="00660527"/>
    <w:rsid w:val="006615D6"/>
    <w:rsid w:val="0066180E"/>
    <w:rsid w:val="00661E82"/>
    <w:rsid w:val="00662016"/>
    <w:rsid w:val="00663A0F"/>
    <w:rsid w:val="0066694B"/>
    <w:rsid w:val="0066729A"/>
    <w:rsid w:val="00667603"/>
    <w:rsid w:val="006702F6"/>
    <w:rsid w:val="006705BE"/>
    <w:rsid w:val="006715C9"/>
    <w:rsid w:val="00672686"/>
    <w:rsid w:val="00673EEE"/>
    <w:rsid w:val="00674C54"/>
    <w:rsid w:val="00676073"/>
    <w:rsid w:val="006763C3"/>
    <w:rsid w:val="006774C0"/>
    <w:rsid w:val="00680B29"/>
    <w:rsid w:val="00680FBC"/>
    <w:rsid w:val="006823D2"/>
    <w:rsid w:val="006828D2"/>
    <w:rsid w:val="00683380"/>
    <w:rsid w:val="006834E9"/>
    <w:rsid w:val="006837D6"/>
    <w:rsid w:val="00684DA0"/>
    <w:rsid w:val="00686C21"/>
    <w:rsid w:val="00687299"/>
    <w:rsid w:val="0068749E"/>
    <w:rsid w:val="006876A2"/>
    <w:rsid w:val="00687EB1"/>
    <w:rsid w:val="0069028E"/>
    <w:rsid w:val="00690B53"/>
    <w:rsid w:val="006913DE"/>
    <w:rsid w:val="00692BE4"/>
    <w:rsid w:val="00693457"/>
    <w:rsid w:val="00694821"/>
    <w:rsid w:val="0069510B"/>
    <w:rsid w:val="00695274"/>
    <w:rsid w:val="006959E1"/>
    <w:rsid w:val="006973E4"/>
    <w:rsid w:val="006976AD"/>
    <w:rsid w:val="006A03FC"/>
    <w:rsid w:val="006A2BB7"/>
    <w:rsid w:val="006A2D0A"/>
    <w:rsid w:val="006A3A83"/>
    <w:rsid w:val="006A4D21"/>
    <w:rsid w:val="006A646B"/>
    <w:rsid w:val="006A65AA"/>
    <w:rsid w:val="006A6A4C"/>
    <w:rsid w:val="006A6F07"/>
    <w:rsid w:val="006A743E"/>
    <w:rsid w:val="006A788F"/>
    <w:rsid w:val="006B0D63"/>
    <w:rsid w:val="006B0F81"/>
    <w:rsid w:val="006B143D"/>
    <w:rsid w:val="006B1D57"/>
    <w:rsid w:val="006B39B0"/>
    <w:rsid w:val="006B3B7B"/>
    <w:rsid w:val="006B7890"/>
    <w:rsid w:val="006C1054"/>
    <w:rsid w:val="006C28A7"/>
    <w:rsid w:val="006C4623"/>
    <w:rsid w:val="006C5243"/>
    <w:rsid w:val="006C5638"/>
    <w:rsid w:val="006C5B3E"/>
    <w:rsid w:val="006C60B0"/>
    <w:rsid w:val="006C742E"/>
    <w:rsid w:val="006D054F"/>
    <w:rsid w:val="006D07D2"/>
    <w:rsid w:val="006D18A2"/>
    <w:rsid w:val="006D18B3"/>
    <w:rsid w:val="006D198E"/>
    <w:rsid w:val="006D4278"/>
    <w:rsid w:val="006D4ED4"/>
    <w:rsid w:val="006D4F50"/>
    <w:rsid w:val="006D5167"/>
    <w:rsid w:val="006D569F"/>
    <w:rsid w:val="006D68A7"/>
    <w:rsid w:val="006E0192"/>
    <w:rsid w:val="006E106A"/>
    <w:rsid w:val="006E1137"/>
    <w:rsid w:val="006E15F0"/>
    <w:rsid w:val="006E1842"/>
    <w:rsid w:val="006E1BFC"/>
    <w:rsid w:val="006E1FBC"/>
    <w:rsid w:val="006E2670"/>
    <w:rsid w:val="006E288D"/>
    <w:rsid w:val="006E3213"/>
    <w:rsid w:val="006E3541"/>
    <w:rsid w:val="006E69BA"/>
    <w:rsid w:val="006E7157"/>
    <w:rsid w:val="006E7AE6"/>
    <w:rsid w:val="006E7CFA"/>
    <w:rsid w:val="006E7DE3"/>
    <w:rsid w:val="006F070A"/>
    <w:rsid w:val="006F09FB"/>
    <w:rsid w:val="006F1AF4"/>
    <w:rsid w:val="006F3CAB"/>
    <w:rsid w:val="006F41E9"/>
    <w:rsid w:val="006F55AB"/>
    <w:rsid w:val="006F5AF1"/>
    <w:rsid w:val="006F6336"/>
    <w:rsid w:val="006F7A51"/>
    <w:rsid w:val="007007E8"/>
    <w:rsid w:val="00701999"/>
    <w:rsid w:val="00701ABB"/>
    <w:rsid w:val="00701F28"/>
    <w:rsid w:val="00702847"/>
    <w:rsid w:val="00702887"/>
    <w:rsid w:val="007047C2"/>
    <w:rsid w:val="0070534A"/>
    <w:rsid w:val="00705D71"/>
    <w:rsid w:val="007064C0"/>
    <w:rsid w:val="00706ADA"/>
    <w:rsid w:val="00707646"/>
    <w:rsid w:val="00707E79"/>
    <w:rsid w:val="00710832"/>
    <w:rsid w:val="00710E2F"/>
    <w:rsid w:val="00711151"/>
    <w:rsid w:val="00711439"/>
    <w:rsid w:val="00712073"/>
    <w:rsid w:val="00712800"/>
    <w:rsid w:val="00713D1C"/>
    <w:rsid w:val="00714EBE"/>
    <w:rsid w:val="007156A1"/>
    <w:rsid w:val="007156B1"/>
    <w:rsid w:val="007157F4"/>
    <w:rsid w:val="007163D7"/>
    <w:rsid w:val="00716839"/>
    <w:rsid w:val="00717185"/>
    <w:rsid w:val="007217AA"/>
    <w:rsid w:val="00721C2D"/>
    <w:rsid w:val="00722B5C"/>
    <w:rsid w:val="007231B0"/>
    <w:rsid w:val="0072583C"/>
    <w:rsid w:val="00726184"/>
    <w:rsid w:val="007264A4"/>
    <w:rsid w:val="00726C6A"/>
    <w:rsid w:val="00726D10"/>
    <w:rsid w:val="00727E10"/>
    <w:rsid w:val="00731156"/>
    <w:rsid w:val="007313EE"/>
    <w:rsid w:val="007318F2"/>
    <w:rsid w:val="00731E9C"/>
    <w:rsid w:val="00732299"/>
    <w:rsid w:val="007322AB"/>
    <w:rsid w:val="007325CF"/>
    <w:rsid w:val="00732890"/>
    <w:rsid w:val="00732B81"/>
    <w:rsid w:val="007333E4"/>
    <w:rsid w:val="00733A1A"/>
    <w:rsid w:val="00736CA2"/>
    <w:rsid w:val="00737376"/>
    <w:rsid w:val="007377E0"/>
    <w:rsid w:val="00740992"/>
    <w:rsid w:val="00740C46"/>
    <w:rsid w:val="0074154C"/>
    <w:rsid w:val="00741A26"/>
    <w:rsid w:val="00741B34"/>
    <w:rsid w:val="00742226"/>
    <w:rsid w:val="007422BE"/>
    <w:rsid w:val="0074244B"/>
    <w:rsid w:val="0074251F"/>
    <w:rsid w:val="00742621"/>
    <w:rsid w:val="0074278F"/>
    <w:rsid w:val="00744041"/>
    <w:rsid w:val="007443BE"/>
    <w:rsid w:val="00744AA7"/>
    <w:rsid w:val="00745E65"/>
    <w:rsid w:val="007465F3"/>
    <w:rsid w:val="00746882"/>
    <w:rsid w:val="007469A9"/>
    <w:rsid w:val="00750444"/>
    <w:rsid w:val="007509D1"/>
    <w:rsid w:val="00750D25"/>
    <w:rsid w:val="00751402"/>
    <w:rsid w:val="00751B21"/>
    <w:rsid w:val="0075271B"/>
    <w:rsid w:val="00752859"/>
    <w:rsid w:val="00752E8C"/>
    <w:rsid w:val="00754528"/>
    <w:rsid w:val="00755C0B"/>
    <w:rsid w:val="00756696"/>
    <w:rsid w:val="00756D81"/>
    <w:rsid w:val="00757074"/>
    <w:rsid w:val="00757A5A"/>
    <w:rsid w:val="00757B32"/>
    <w:rsid w:val="00757DC9"/>
    <w:rsid w:val="007601EB"/>
    <w:rsid w:val="00760ACD"/>
    <w:rsid w:val="00761063"/>
    <w:rsid w:val="00761B05"/>
    <w:rsid w:val="007622E3"/>
    <w:rsid w:val="007626E9"/>
    <w:rsid w:val="00763F88"/>
    <w:rsid w:val="0076433C"/>
    <w:rsid w:val="007659BF"/>
    <w:rsid w:val="007663E4"/>
    <w:rsid w:val="007678C6"/>
    <w:rsid w:val="00767B97"/>
    <w:rsid w:val="00770424"/>
    <w:rsid w:val="00770D03"/>
    <w:rsid w:val="00771AB0"/>
    <w:rsid w:val="00772051"/>
    <w:rsid w:val="007724BF"/>
    <w:rsid w:val="00774034"/>
    <w:rsid w:val="0077647C"/>
    <w:rsid w:val="007764DE"/>
    <w:rsid w:val="0077696E"/>
    <w:rsid w:val="00777921"/>
    <w:rsid w:val="00777A18"/>
    <w:rsid w:val="007809B4"/>
    <w:rsid w:val="007814D1"/>
    <w:rsid w:val="00781748"/>
    <w:rsid w:val="00782615"/>
    <w:rsid w:val="0078271E"/>
    <w:rsid w:val="00784B71"/>
    <w:rsid w:val="00785CA8"/>
    <w:rsid w:val="00785D61"/>
    <w:rsid w:val="00785E19"/>
    <w:rsid w:val="00785EE3"/>
    <w:rsid w:val="007862DB"/>
    <w:rsid w:val="00786831"/>
    <w:rsid w:val="00786BFE"/>
    <w:rsid w:val="007875A6"/>
    <w:rsid w:val="007878D7"/>
    <w:rsid w:val="00787ED3"/>
    <w:rsid w:val="00791FA7"/>
    <w:rsid w:val="0079356C"/>
    <w:rsid w:val="0079541A"/>
    <w:rsid w:val="00795456"/>
    <w:rsid w:val="00795C04"/>
    <w:rsid w:val="0079622C"/>
    <w:rsid w:val="007970FF"/>
    <w:rsid w:val="007971B9"/>
    <w:rsid w:val="00797E2A"/>
    <w:rsid w:val="007A051F"/>
    <w:rsid w:val="007A0EB8"/>
    <w:rsid w:val="007A1BED"/>
    <w:rsid w:val="007A2613"/>
    <w:rsid w:val="007A3170"/>
    <w:rsid w:val="007A3AB3"/>
    <w:rsid w:val="007A3F95"/>
    <w:rsid w:val="007A41DF"/>
    <w:rsid w:val="007A49B3"/>
    <w:rsid w:val="007A5366"/>
    <w:rsid w:val="007A5892"/>
    <w:rsid w:val="007A618B"/>
    <w:rsid w:val="007A67EA"/>
    <w:rsid w:val="007A6EC1"/>
    <w:rsid w:val="007A7BC3"/>
    <w:rsid w:val="007A7C2B"/>
    <w:rsid w:val="007B05A8"/>
    <w:rsid w:val="007B0964"/>
    <w:rsid w:val="007B1B78"/>
    <w:rsid w:val="007B1D97"/>
    <w:rsid w:val="007B4EC4"/>
    <w:rsid w:val="007B535D"/>
    <w:rsid w:val="007B63DF"/>
    <w:rsid w:val="007B6B97"/>
    <w:rsid w:val="007C0308"/>
    <w:rsid w:val="007C0D23"/>
    <w:rsid w:val="007C0E14"/>
    <w:rsid w:val="007C327A"/>
    <w:rsid w:val="007C3731"/>
    <w:rsid w:val="007C3C68"/>
    <w:rsid w:val="007C3D2B"/>
    <w:rsid w:val="007C5977"/>
    <w:rsid w:val="007C5B19"/>
    <w:rsid w:val="007C667D"/>
    <w:rsid w:val="007C6F4A"/>
    <w:rsid w:val="007C75CE"/>
    <w:rsid w:val="007C7787"/>
    <w:rsid w:val="007D0D78"/>
    <w:rsid w:val="007D10D8"/>
    <w:rsid w:val="007D1CB5"/>
    <w:rsid w:val="007D1CDA"/>
    <w:rsid w:val="007D2284"/>
    <w:rsid w:val="007D2FCA"/>
    <w:rsid w:val="007D3374"/>
    <w:rsid w:val="007D3831"/>
    <w:rsid w:val="007D4F3C"/>
    <w:rsid w:val="007D56E3"/>
    <w:rsid w:val="007D5A1E"/>
    <w:rsid w:val="007D6784"/>
    <w:rsid w:val="007D7F18"/>
    <w:rsid w:val="007E0D62"/>
    <w:rsid w:val="007E0FEE"/>
    <w:rsid w:val="007E1A88"/>
    <w:rsid w:val="007E27AD"/>
    <w:rsid w:val="007E2C2B"/>
    <w:rsid w:val="007E3A15"/>
    <w:rsid w:val="007E5E9A"/>
    <w:rsid w:val="007E5F56"/>
    <w:rsid w:val="007E6076"/>
    <w:rsid w:val="007E6117"/>
    <w:rsid w:val="007E65D9"/>
    <w:rsid w:val="007E7C58"/>
    <w:rsid w:val="007F01FE"/>
    <w:rsid w:val="007F1176"/>
    <w:rsid w:val="007F1188"/>
    <w:rsid w:val="007F1E50"/>
    <w:rsid w:val="007F2B39"/>
    <w:rsid w:val="007F387D"/>
    <w:rsid w:val="007F4E0D"/>
    <w:rsid w:val="007F5197"/>
    <w:rsid w:val="007F688A"/>
    <w:rsid w:val="007F7ED1"/>
    <w:rsid w:val="0080047D"/>
    <w:rsid w:val="0080060A"/>
    <w:rsid w:val="00801F4A"/>
    <w:rsid w:val="00802837"/>
    <w:rsid w:val="0080435C"/>
    <w:rsid w:val="0080475F"/>
    <w:rsid w:val="00804F56"/>
    <w:rsid w:val="008054A2"/>
    <w:rsid w:val="00805ED4"/>
    <w:rsid w:val="00806636"/>
    <w:rsid w:val="0080666E"/>
    <w:rsid w:val="00807B5D"/>
    <w:rsid w:val="0081090D"/>
    <w:rsid w:val="00810A4C"/>
    <w:rsid w:val="0081130F"/>
    <w:rsid w:val="00811534"/>
    <w:rsid w:val="00813FC6"/>
    <w:rsid w:val="00814CC1"/>
    <w:rsid w:val="00814DC5"/>
    <w:rsid w:val="008156E7"/>
    <w:rsid w:val="00817857"/>
    <w:rsid w:val="008212FE"/>
    <w:rsid w:val="00821B40"/>
    <w:rsid w:val="00822387"/>
    <w:rsid w:val="008223E2"/>
    <w:rsid w:val="00824595"/>
    <w:rsid w:val="00824862"/>
    <w:rsid w:val="008248DF"/>
    <w:rsid w:val="008257A2"/>
    <w:rsid w:val="008263D2"/>
    <w:rsid w:val="00827AC6"/>
    <w:rsid w:val="00827B42"/>
    <w:rsid w:val="00827B90"/>
    <w:rsid w:val="008300BD"/>
    <w:rsid w:val="008301FC"/>
    <w:rsid w:val="0083224D"/>
    <w:rsid w:val="00832499"/>
    <w:rsid w:val="0083447C"/>
    <w:rsid w:val="00835386"/>
    <w:rsid w:val="0083723C"/>
    <w:rsid w:val="00837D12"/>
    <w:rsid w:val="0084035C"/>
    <w:rsid w:val="008414BA"/>
    <w:rsid w:val="0084312C"/>
    <w:rsid w:val="00843978"/>
    <w:rsid w:val="00843B70"/>
    <w:rsid w:val="00844547"/>
    <w:rsid w:val="008446E3"/>
    <w:rsid w:val="00844AE9"/>
    <w:rsid w:val="00845A1E"/>
    <w:rsid w:val="00845B35"/>
    <w:rsid w:val="00845C23"/>
    <w:rsid w:val="008460D9"/>
    <w:rsid w:val="00847865"/>
    <w:rsid w:val="0084798B"/>
    <w:rsid w:val="008479FC"/>
    <w:rsid w:val="00847BB7"/>
    <w:rsid w:val="00847CA1"/>
    <w:rsid w:val="0085296D"/>
    <w:rsid w:val="00852AD7"/>
    <w:rsid w:val="008535CE"/>
    <w:rsid w:val="00853BCF"/>
    <w:rsid w:val="00853FFD"/>
    <w:rsid w:val="00855151"/>
    <w:rsid w:val="0085605D"/>
    <w:rsid w:val="00857466"/>
    <w:rsid w:val="00857839"/>
    <w:rsid w:val="00857B34"/>
    <w:rsid w:val="0086137E"/>
    <w:rsid w:val="008615D4"/>
    <w:rsid w:val="00861E59"/>
    <w:rsid w:val="0086297D"/>
    <w:rsid w:val="00863396"/>
    <w:rsid w:val="00863AF3"/>
    <w:rsid w:val="00863BBB"/>
    <w:rsid w:val="00863F0B"/>
    <w:rsid w:val="00864390"/>
    <w:rsid w:val="008645F6"/>
    <w:rsid w:val="00864788"/>
    <w:rsid w:val="008649BB"/>
    <w:rsid w:val="00866E19"/>
    <w:rsid w:val="00870252"/>
    <w:rsid w:val="008706DC"/>
    <w:rsid w:val="00871096"/>
    <w:rsid w:val="00872911"/>
    <w:rsid w:val="00872A6A"/>
    <w:rsid w:val="00872ED3"/>
    <w:rsid w:val="0087346A"/>
    <w:rsid w:val="00874205"/>
    <w:rsid w:val="008746FF"/>
    <w:rsid w:val="00874AFC"/>
    <w:rsid w:val="00875544"/>
    <w:rsid w:val="008761AD"/>
    <w:rsid w:val="0087742F"/>
    <w:rsid w:val="00881757"/>
    <w:rsid w:val="00881F09"/>
    <w:rsid w:val="0088271B"/>
    <w:rsid w:val="0088393F"/>
    <w:rsid w:val="00884C9C"/>
    <w:rsid w:val="00885541"/>
    <w:rsid w:val="00886142"/>
    <w:rsid w:val="008861FC"/>
    <w:rsid w:val="0088725C"/>
    <w:rsid w:val="008878B1"/>
    <w:rsid w:val="00887BED"/>
    <w:rsid w:val="00887EBE"/>
    <w:rsid w:val="00890BDB"/>
    <w:rsid w:val="00891B23"/>
    <w:rsid w:val="00891E29"/>
    <w:rsid w:val="00891F6B"/>
    <w:rsid w:val="00892A59"/>
    <w:rsid w:val="00892FBE"/>
    <w:rsid w:val="0089307D"/>
    <w:rsid w:val="00893B7E"/>
    <w:rsid w:val="00893E10"/>
    <w:rsid w:val="00893F85"/>
    <w:rsid w:val="00894085"/>
    <w:rsid w:val="00894B20"/>
    <w:rsid w:val="00895706"/>
    <w:rsid w:val="008958D8"/>
    <w:rsid w:val="0089704C"/>
    <w:rsid w:val="008970E5"/>
    <w:rsid w:val="008A032D"/>
    <w:rsid w:val="008A0A68"/>
    <w:rsid w:val="008A2D38"/>
    <w:rsid w:val="008A2EBC"/>
    <w:rsid w:val="008A31A4"/>
    <w:rsid w:val="008A4422"/>
    <w:rsid w:val="008A625A"/>
    <w:rsid w:val="008A677D"/>
    <w:rsid w:val="008A6799"/>
    <w:rsid w:val="008B2D8B"/>
    <w:rsid w:val="008B3815"/>
    <w:rsid w:val="008B469E"/>
    <w:rsid w:val="008B48F4"/>
    <w:rsid w:val="008B4B27"/>
    <w:rsid w:val="008B4F83"/>
    <w:rsid w:val="008B50EC"/>
    <w:rsid w:val="008B6C58"/>
    <w:rsid w:val="008B70D9"/>
    <w:rsid w:val="008B7777"/>
    <w:rsid w:val="008C0043"/>
    <w:rsid w:val="008C0525"/>
    <w:rsid w:val="008C0581"/>
    <w:rsid w:val="008C0F9E"/>
    <w:rsid w:val="008C14F8"/>
    <w:rsid w:val="008C1BCC"/>
    <w:rsid w:val="008C1C4A"/>
    <w:rsid w:val="008C2196"/>
    <w:rsid w:val="008C21C8"/>
    <w:rsid w:val="008C221C"/>
    <w:rsid w:val="008C3141"/>
    <w:rsid w:val="008C3274"/>
    <w:rsid w:val="008C3B6A"/>
    <w:rsid w:val="008C4482"/>
    <w:rsid w:val="008C599E"/>
    <w:rsid w:val="008D0BB1"/>
    <w:rsid w:val="008D0DB5"/>
    <w:rsid w:val="008D24AB"/>
    <w:rsid w:val="008D359E"/>
    <w:rsid w:val="008D3EB8"/>
    <w:rsid w:val="008D437C"/>
    <w:rsid w:val="008D4EDD"/>
    <w:rsid w:val="008D506F"/>
    <w:rsid w:val="008D5426"/>
    <w:rsid w:val="008D5B67"/>
    <w:rsid w:val="008D66AA"/>
    <w:rsid w:val="008D784A"/>
    <w:rsid w:val="008D7F73"/>
    <w:rsid w:val="008D7F96"/>
    <w:rsid w:val="008E0082"/>
    <w:rsid w:val="008E11AD"/>
    <w:rsid w:val="008E1384"/>
    <w:rsid w:val="008E16CB"/>
    <w:rsid w:val="008E1E73"/>
    <w:rsid w:val="008E2726"/>
    <w:rsid w:val="008E3255"/>
    <w:rsid w:val="008E4430"/>
    <w:rsid w:val="008E4A17"/>
    <w:rsid w:val="008E4F36"/>
    <w:rsid w:val="008E4F37"/>
    <w:rsid w:val="008E53C2"/>
    <w:rsid w:val="008E5578"/>
    <w:rsid w:val="008E5633"/>
    <w:rsid w:val="008E5CEE"/>
    <w:rsid w:val="008E6004"/>
    <w:rsid w:val="008E6D39"/>
    <w:rsid w:val="008E6D60"/>
    <w:rsid w:val="008E6EF3"/>
    <w:rsid w:val="008E70F4"/>
    <w:rsid w:val="008F0702"/>
    <w:rsid w:val="008F1122"/>
    <w:rsid w:val="008F356B"/>
    <w:rsid w:val="008F410A"/>
    <w:rsid w:val="008F44F5"/>
    <w:rsid w:val="008F4529"/>
    <w:rsid w:val="008F476D"/>
    <w:rsid w:val="008F4BFF"/>
    <w:rsid w:val="008F4C86"/>
    <w:rsid w:val="008F50BF"/>
    <w:rsid w:val="008F515A"/>
    <w:rsid w:val="008F76F3"/>
    <w:rsid w:val="00900B59"/>
    <w:rsid w:val="0090114A"/>
    <w:rsid w:val="00901468"/>
    <w:rsid w:val="00902CF3"/>
    <w:rsid w:val="00904110"/>
    <w:rsid w:val="00904FD6"/>
    <w:rsid w:val="009051C3"/>
    <w:rsid w:val="009056B5"/>
    <w:rsid w:val="00906B48"/>
    <w:rsid w:val="0090730F"/>
    <w:rsid w:val="00907A67"/>
    <w:rsid w:val="0091240A"/>
    <w:rsid w:val="00913475"/>
    <w:rsid w:val="0091408A"/>
    <w:rsid w:val="00914F61"/>
    <w:rsid w:val="00916C84"/>
    <w:rsid w:val="009179C9"/>
    <w:rsid w:val="00920364"/>
    <w:rsid w:val="00920877"/>
    <w:rsid w:val="00920DCF"/>
    <w:rsid w:val="00920EF6"/>
    <w:rsid w:val="00921B50"/>
    <w:rsid w:val="0092206B"/>
    <w:rsid w:val="0092210F"/>
    <w:rsid w:val="0092289A"/>
    <w:rsid w:val="009240E6"/>
    <w:rsid w:val="009247D3"/>
    <w:rsid w:val="0092532E"/>
    <w:rsid w:val="00925410"/>
    <w:rsid w:val="00925F22"/>
    <w:rsid w:val="00926BBE"/>
    <w:rsid w:val="00930766"/>
    <w:rsid w:val="009321C1"/>
    <w:rsid w:val="009326A5"/>
    <w:rsid w:val="00932732"/>
    <w:rsid w:val="00933304"/>
    <w:rsid w:val="00934718"/>
    <w:rsid w:val="009355DA"/>
    <w:rsid w:val="00935683"/>
    <w:rsid w:val="00935DC1"/>
    <w:rsid w:val="00935EC1"/>
    <w:rsid w:val="00940975"/>
    <w:rsid w:val="00940EC6"/>
    <w:rsid w:val="00941502"/>
    <w:rsid w:val="009427FB"/>
    <w:rsid w:val="009441B8"/>
    <w:rsid w:val="0094486B"/>
    <w:rsid w:val="00945551"/>
    <w:rsid w:val="00945792"/>
    <w:rsid w:val="00947FC0"/>
    <w:rsid w:val="00950629"/>
    <w:rsid w:val="00951EB6"/>
    <w:rsid w:val="00952598"/>
    <w:rsid w:val="00952CAA"/>
    <w:rsid w:val="00955154"/>
    <w:rsid w:val="00956600"/>
    <w:rsid w:val="00956960"/>
    <w:rsid w:val="00956ECB"/>
    <w:rsid w:val="009576F7"/>
    <w:rsid w:val="009604FA"/>
    <w:rsid w:val="00960E12"/>
    <w:rsid w:val="009616F6"/>
    <w:rsid w:val="009619D0"/>
    <w:rsid w:val="009626CB"/>
    <w:rsid w:val="0096388A"/>
    <w:rsid w:val="00964031"/>
    <w:rsid w:val="00965527"/>
    <w:rsid w:val="00966971"/>
    <w:rsid w:val="00972B78"/>
    <w:rsid w:val="00973096"/>
    <w:rsid w:val="009740C6"/>
    <w:rsid w:val="009749AE"/>
    <w:rsid w:val="00974B34"/>
    <w:rsid w:val="009750C8"/>
    <w:rsid w:val="00975130"/>
    <w:rsid w:val="00976732"/>
    <w:rsid w:val="00976FDE"/>
    <w:rsid w:val="009772A5"/>
    <w:rsid w:val="009777B6"/>
    <w:rsid w:val="009778FE"/>
    <w:rsid w:val="00977EA1"/>
    <w:rsid w:val="009800F6"/>
    <w:rsid w:val="00980898"/>
    <w:rsid w:val="00980C26"/>
    <w:rsid w:val="0098248A"/>
    <w:rsid w:val="0098357F"/>
    <w:rsid w:val="00984616"/>
    <w:rsid w:val="00984D03"/>
    <w:rsid w:val="0098564A"/>
    <w:rsid w:val="00985C6D"/>
    <w:rsid w:val="0098645D"/>
    <w:rsid w:val="0098656F"/>
    <w:rsid w:val="00987107"/>
    <w:rsid w:val="00987F87"/>
    <w:rsid w:val="009903F4"/>
    <w:rsid w:val="009910AB"/>
    <w:rsid w:val="00991779"/>
    <w:rsid w:val="00991DC6"/>
    <w:rsid w:val="00993899"/>
    <w:rsid w:val="009941B4"/>
    <w:rsid w:val="009954DC"/>
    <w:rsid w:val="009960CF"/>
    <w:rsid w:val="00996751"/>
    <w:rsid w:val="00996E92"/>
    <w:rsid w:val="00997653"/>
    <w:rsid w:val="009977A3"/>
    <w:rsid w:val="009977A6"/>
    <w:rsid w:val="00997BAD"/>
    <w:rsid w:val="00997EAC"/>
    <w:rsid w:val="009A023B"/>
    <w:rsid w:val="009A10A4"/>
    <w:rsid w:val="009A1184"/>
    <w:rsid w:val="009A1859"/>
    <w:rsid w:val="009A29BE"/>
    <w:rsid w:val="009A2BF9"/>
    <w:rsid w:val="009A5B0B"/>
    <w:rsid w:val="009A6E68"/>
    <w:rsid w:val="009A6F7E"/>
    <w:rsid w:val="009A7072"/>
    <w:rsid w:val="009A7BB3"/>
    <w:rsid w:val="009B19BB"/>
    <w:rsid w:val="009B1A6E"/>
    <w:rsid w:val="009B1EDD"/>
    <w:rsid w:val="009B23D4"/>
    <w:rsid w:val="009B3B28"/>
    <w:rsid w:val="009B431F"/>
    <w:rsid w:val="009B46F2"/>
    <w:rsid w:val="009B4D35"/>
    <w:rsid w:val="009B4ED9"/>
    <w:rsid w:val="009B4F30"/>
    <w:rsid w:val="009B58FF"/>
    <w:rsid w:val="009B6438"/>
    <w:rsid w:val="009B70E1"/>
    <w:rsid w:val="009B7198"/>
    <w:rsid w:val="009B7757"/>
    <w:rsid w:val="009B7E00"/>
    <w:rsid w:val="009C0129"/>
    <w:rsid w:val="009C20D9"/>
    <w:rsid w:val="009C21E9"/>
    <w:rsid w:val="009C2221"/>
    <w:rsid w:val="009C2805"/>
    <w:rsid w:val="009C2EB6"/>
    <w:rsid w:val="009C306C"/>
    <w:rsid w:val="009C3565"/>
    <w:rsid w:val="009C374B"/>
    <w:rsid w:val="009C3B2B"/>
    <w:rsid w:val="009C538E"/>
    <w:rsid w:val="009C5838"/>
    <w:rsid w:val="009C5D3A"/>
    <w:rsid w:val="009C6FE0"/>
    <w:rsid w:val="009C7CD7"/>
    <w:rsid w:val="009C7FAA"/>
    <w:rsid w:val="009D00C6"/>
    <w:rsid w:val="009D18FC"/>
    <w:rsid w:val="009D1AB2"/>
    <w:rsid w:val="009D24D7"/>
    <w:rsid w:val="009D3428"/>
    <w:rsid w:val="009D3730"/>
    <w:rsid w:val="009D3E66"/>
    <w:rsid w:val="009D46D2"/>
    <w:rsid w:val="009D5719"/>
    <w:rsid w:val="009D5FE7"/>
    <w:rsid w:val="009D6D0A"/>
    <w:rsid w:val="009D7F06"/>
    <w:rsid w:val="009E01BF"/>
    <w:rsid w:val="009E05C7"/>
    <w:rsid w:val="009E1488"/>
    <w:rsid w:val="009E20FE"/>
    <w:rsid w:val="009E21D2"/>
    <w:rsid w:val="009E4E28"/>
    <w:rsid w:val="009E50C1"/>
    <w:rsid w:val="009E5862"/>
    <w:rsid w:val="009E587E"/>
    <w:rsid w:val="009F0D70"/>
    <w:rsid w:val="009F0E61"/>
    <w:rsid w:val="009F1E89"/>
    <w:rsid w:val="009F2C96"/>
    <w:rsid w:val="009F32FA"/>
    <w:rsid w:val="009F34B3"/>
    <w:rsid w:val="009F3A84"/>
    <w:rsid w:val="009F429E"/>
    <w:rsid w:val="009F4399"/>
    <w:rsid w:val="009F44D1"/>
    <w:rsid w:val="009F53FF"/>
    <w:rsid w:val="009F6992"/>
    <w:rsid w:val="009F7472"/>
    <w:rsid w:val="009F775A"/>
    <w:rsid w:val="009F7C54"/>
    <w:rsid w:val="00A00D87"/>
    <w:rsid w:val="00A02115"/>
    <w:rsid w:val="00A03C18"/>
    <w:rsid w:val="00A04342"/>
    <w:rsid w:val="00A0445E"/>
    <w:rsid w:val="00A0575C"/>
    <w:rsid w:val="00A063DE"/>
    <w:rsid w:val="00A067AA"/>
    <w:rsid w:val="00A07325"/>
    <w:rsid w:val="00A0747A"/>
    <w:rsid w:val="00A07899"/>
    <w:rsid w:val="00A07F30"/>
    <w:rsid w:val="00A10566"/>
    <w:rsid w:val="00A10C3F"/>
    <w:rsid w:val="00A11764"/>
    <w:rsid w:val="00A12B63"/>
    <w:rsid w:val="00A13061"/>
    <w:rsid w:val="00A15344"/>
    <w:rsid w:val="00A15F38"/>
    <w:rsid w:val="00A1661B"/>
    <w:rsid w:val="00A16B97"/>
    <w:rsid w:val="00A20045"/>
    <w:rsid w:val="00A21511"/>
    <w:rsid w:val="00A21575"/>
    <w:rsid w:val="00A217A2"/>
    <w:rsid w:val="00A232F6"/>
    <w:rsid w:val="00A2344A"/>
    <w:rsid w:val="00A23840"/>
    <w:rsid w:val="00A25EF3"/>
    <w:rsid w:val="00A2744A"/>
    <w:rsid w:val="00A30C16"/>
    <w:rsid w:val="00A30CA7"/>
    <w:rsid w:val="00A3229B"/>
    <w:rsid w:val="00A32C97"/>
    <w:rsid w:val="00A33BE4"/>
    <w:rsid w:val="00A34578"/>
    <w:rsid w:val="00A34A94"/>
    <w:rsid w:val="00A35195"/>
    <w:rsid w:val="00A35A67"/>
    <w:rsid w:val="00A3679C"/>
    <w:rsid w:val="00A36F08"/>
    <w:rsid w:val="00A376AC"/>
    <w:rsid w:val="00A37985"/>
    <w:rsid w:val="00A37FD5"/>
    <w:rsid w:val="00A411A5"/>
    <w:rsid w:val="00A42994"/>
    <w:rsid w:val="00A431B6"/>
    <w:rsid w:val="00A43855"/>
    <w:rsid w:val="00A4389D"/>
    <w:rsid w:val="00A445D8"/>
    <w:rsid w:val="00A4562D"/>
    <w:rsid w:val="00A45CBA"/>
    <w:rsid w:val="00A467FD"/>
    <w:rsid w:val="00A46F75"/>
    <w:rsid w:val="00A47161"/>
    <w:rsid w:val="00A504D8"/>
    <w:rsid w:val="00A50B34"/>
    <w:rsid w:val="00A50D27"/>
    <w:rsid w:val="00A51ACC"/>
    <w:rsid w:val="00A52554"/>
    <w:rsid w:val="00A52961"/>
    <w:rsid w:val="00A53DB6"/>
    <w:rsid w:val="00A546D0"/>
    <w:rsid w:val="00A60D0F"/>
    <w:rsid w:val="00A61894"/>
    <w:rsid w:val="00A621C8"/>
    <w:rsid w:val="00A62ED9"/>
    <w:rsid w:val="00A62FE9"/>
    <w:rsid w:val="00A635BD"/>
    <w:rsid w:val="00A64EEB"/>
    <w:rsid w:val="00A65888"/>
    <w:rsid w:val="00A65A3C"/>
    <w:rsid w:val="00A669E7"/>
    <w:rsid w:val="00A6729F"/>
    <w:rsid w:val="00A67520"/>
    <w:rsid w:val="00A70D4D"/>
    <w:rsid w:val="00A72329"/>
    <w:rsid w:val="00A72CFF"/>
    <w:rsid w:val="00A74D46"/>
    <w:rsid w:val="00A74FC7"/>
    <w:rsid w:val="00A76674"/>
    <w:rsid w:val="00A76A9C"/>
    <w:rsid w:val="00A76F4D"/>
    <w:rsid w:val="00A772AF"/>
    <w:rsid w:val="00A80759"/>
    <w:rsid w:val="00A80F7A"/>
    <w:rsid w:val="00A81101"/>
    <w:rsid w:val="00A82FD3"/>
    <w:rsid w:val="00A83283"/>
    <w:rsid w:val="00A84D22"/>
    <w:rsid w:val="00A87385"/>
    <w:rsid w:val="00A87E48"/>
    <w:rsid w:val="00A90647"/>
    <w:rsid w:val="00A90E33"/>
    <w:rsid w:val="00A91049"/>
    <w:rsid w:val="00A91F27"/>
    <w:rsid w:val="00A92513"/>
    <w:rsid w:val="00A935F6"/>
    <w:rsid w:val="00A93864"/>
    <w:rsid w:val="00A948E1"/>
    <w:rsid w:val="00A958A1"/>
    <w:rsid w:val="00A96199"/>
    <w:rsid w:val="00A964CC"/>
    <w:rsid w:val="00A96880"/>
    <w:rsid w:val="00A96EB2"/>
    <w:rsid w:val="00AA01AF"/>
    <w:rsid w:val="00AA0879"/>
    <w:rsid w:val="00AA09C8"/>
    <w:rsid w:val="00AA09CB"/>
    <w:rsid w:val="00AA124F"/>
    <w:rsid w:val="00AA1381"/>
    <w:rsid w:val="00AA2FC2"/>
    <w:rsid w:val="00AA41F1"/>
    <w:rsid w:val="00AA6618"/>
    <w:rsid w:val="00AA7F48"/>
    <w:rsid w:val="00AB022D"/>
    <w:rsid w:val="00AB064B"/>
    <w:rsid w:val="00AB071B"/>
    <w:rsid w:val="00AB1639"/>
    <w:rsid w:val="00AB2AAB"/>
    <w:rsid w:val="00AB2B1C"/>
    <w:rsid w:val="00AB4346"/>
    <w:rsid w:val="00AB4E69"/>
    <w:rsid w:val="00AB4F52"/>
    <w:rsid w:val="00AB55B7"/>
    <w:rsid w:val="00AB56BA"/>
    <w:rsid w:val="00AB641B"/>
    <w:rsid w:val="00AB6D8D"/>
    <w:rsid w:val="00AB7510"/>
    <w:rsid w:val="00AB7778"/>
    <w:rsid w:val="00AC07B3"/>
    <w:rsid w:val="00AC11A2"/>
    <w:rsid w:val="00AC1A8E"/>
    <w:rsid w:val="00AC207A"/>
    <w:rsid w:val="00AC229E"/>
    <w:rsid w:val="00AC290F"/>
    <w:rsid w:val="00AC2B57"/>
    <w:rsid w:val="00AC35BD"/>
    <w:rsid w:val="00AC37D3"/>
    <w:rsid w:val="00AC380C"/>
    <w:rsid w:val="00AC3A9C"/>
    <w:rsid w:val="00AC47A9"/>
    <w:rsid w:val="00AC4BED"/>
    <w:rsid w:val="00AC547F"/>
    <w:rsid w:val="00AC5B6F"/>
    <w:rsid w:val="00AC69B1"/>
    <w:rsid w:val="00AC7420"/>
    <w:rsid w:val="00AD0474"/>
    <w:rsid w:val="00AD161B"/>
    <w:rsid w:val="00AD36DD"/>
    <w:rsid w:val="00AD386C"/>
    <w:rsid w:val="00AD4C75"/>
    <w:rsid w:val="00AD5053"/>
    <w:rsid w:val="00AD56D1"/>
    <w:rsid w:val="00AD57D3"/>
    <w:rsid w:val="00AD5841"/>
    <w:rsid w:val="00AD6804"/>
    <w:rsid w:val="00AD696E"/>
    <w:rsid w:val="00AE0A9D"/>
    <w:rsid w:val="00AE0FAE"/>
    <w:rsid w:val="00AE31D8"/>
    <w:rsid w:val="00AE3E1F"/>
    <w:rsid w:val="00AE4236"/>
    <w:rsid w:val="00AE4A47"/>
    <w:rsid w:val="00AE4FFD"/>
    <w:rsid w:val="00AE589A"/>
    <w:rsid w:val="00AE6591"/>
    <w:rsid w:val="00AE66F6"/>
    <w:rsid w:val="00AE6CAA"/>
    <w:rsid w:val="00AE72AD"/>
    <w:rsid w:val="00AE7C3E"/>
    <w:rsid w:val="00AF0E5B"/>
    <w:rsid w:val="00AF129D"/>
    <w:rsid w:val="00AF256B"/>
    <w:rsid w:val="00AF33C4"/>
    <w:rsid w:val="00AF37A6"/>
    <w:rsid w:val="00AF478B"/>
    <w:rsid w:val="00AF5D06"/>
    <w:rsid w:val="00AF71D0"/>
    <w:rsid w:val="00AF7748"/>
    <w:rsid w:val="00AF77A0"/>
    <w:rsid w:val="00B01914"/>
    <w:rsid w:val="00B0265D"/>
    <w:rsid w:val="00B04B38"/>
    <w:rsid w:val="00B05C88"/>
    <w:rsid w:val="00B06A04"/>
    <w:rsid w:val="00B06E95"/>
    <w:rsid w:val="00B06FDC"/>
    <w:rsid w:val="00B076D4"/>
    <w:rsid w:val="00B079E7"/>
    <w:rsid w:val="00B11CC9"/>
    <w:rsid w:val="00B123AC"/>
    <w:rsid w:val="00B12BCD"/>
    <w:rsid w:val="00B1319B"/>
    <w:rsid w:val="00B14438"/>
    <w:rsid w:val="00B164C3"/>
    <w:rsid w:val="00B16A01"/>
    <w:rsid w:val="00B16D1C"/>
    <w:rsid w:val="00B20D94"/>
    <w:rsid w:val="00B212ED"/>
    <w:rsid w:val="00B21EC4"/>
    <w:rsid w:val="00B22E43"/>
    <w:rsid w:val="00B2384B"/>
    <w:rsid w:val="00B2445E"/>
    <w:rsid w:val="00B246C4"/>
    <w:rsid w:val="00B249D9"/>
    <w:rsid w:val="00B2583F"/>
    <w:rsid w:val="00B2630B"/>
    <w:rsid w:val="00B26344"/>
    <w:rsid w:val="00B265B7"/>
    <w:rsid w:val="00B27131"/>
    <w:rsid w:val="00B27622"/>
    <w:rsid w:val="00B277AA"/>
    <w:rsid w:val="00B30272"/>
    <w:rsid w:val="00B30AC4"/>
    <w:rsid w:val="00B30FE7"/>
    <w:rsid w:val="00B31AE6"/>
    <w:rsid w:val="00B31C21"/>
    <w:rsid w:val="00B3264C"/>
    <w:rsid w:val="00B328B8"/>
    <w:rsid w:val="00B329AC"/>
    <w:rsid w:val="00B348BC"/>
    <w:rsid w:val="00B34E34"/>
    <w:rsid w:val="00B34E54"/>
    <w:rsid w:val="00B35DCE"/>
    <w:rsid w:val="00B37DC3"/>
    <w:rsid w:val="00B40CF3"/>
    <w:rsid w:val="00B40DF3"/>
    <w:rsid w:val="00B4122B"/>
    <w:rsid w:val="00B416F0"/>
    <w:rsid w:val="00B41F6F"/>
    <w:rsid w:val="00B42683"/>
    <w:rsid w:val="00B42905"/>
    <w:rsid w:val="00B42CC6"/>
    <w:rsid w:val="00B42E78"/>
    <w:rsid w:val="00B4329F"/>
    <w:rsid w:val="00B43B12"/>
    <w:rsid w:val="00B43D4C"/>
    <w:rsid w:val="00B44159"/>
    <w:rsid w:val="00B4536B"/>
    <w:rsid w:val="00B454B1"/>
    <w:rsid w:val="00B457FD"/>
    <w:rsid w:val="00B46B2F"/>
    <w:rsid w:val="00B507BE"/>
    <w:rsid w:val="00B50AAF"/>
    <w:rsid w:val="00B515B7"/>
    <w:rsid w:val="00B52EE2"/>
    <w:rsid w:val="00B52EF1"/>
    <w:rsid w:val="00B53502"/>
    <w:rsid w:val="00B53BB6"/>
    <w:rsid w:val="00B56A30"/>
    <w:rsid w:val="00B56A5B"/>
    <w:rsid w:val="00B575E5"/>
    <w:rsid w:val="00B60154"/>
    <w:rsid w:val="00B60EA9"/>
    <w:rsid w:val="00B6222D"/>
    <w:rsid w:val="00B62557"/>
    <w:rsid w:val="00B6257D"/>
    <w:rsid w:val="00B626FA"/>
    <w:rsid w:val="00B62927"/>
    <w:rsid w:val="00B640BA"/>
    <w:rsid w:val="00B6621C"/>
    <w:rsid w:val="00B678A7"/>
    <w:rsid w:val="00B7085B"/>
    <w:rsid w:val="00B70DE8"/>
    <w:rsid w:val="00B70E9C"/>
    <w:rsid w:val="00B7184C"/>
    <w:rsid w:val="00B720C3"/>
    <w:rsid w:val="00B73B86"/>
    <w:rsid w:val="00B743E8"/>
    <w:rsid w:val="00B74C59"/>
    <w:rsid w:val="00B7617E"/>
    <w:rsid w:val="00B7686D"/>
    <w:rsid w:val="00B777D5"/>
    <w:rsid w:val="00B80110"/>
    <w:rsid w:val="00B80BB9"/>
    <w:rsid w:val="00B80D81"/>
    <w:rsid w:val="00B8194D"/>
    <w:rsid w:val="00B81AF8"/>
    <w:rsid w:val="00B81CA1"/>
    <w:rsid w:val="00B826C1"/>
    <w:rsid w:val="00B828F5"/>
    <w:rsid w:val="00B83F61"/>
    <w:rsid w:val="00B84EEB"/>
    <w:rsid w:val="00B852BD"/>
    <w:rsid w:val="00B8533F"/>
    <w:rsid w:val="00B855F1"/>
    <w:rsid w:val="00B87BF4"/>
    <w:rsid w:val="00B902D5"/>
    <w:rsid w:val="00B90574"/>
    <w:rsid w:val="00B90E51"/>
    <w:rsid w:val="00B90FB8"/>
    <w:rsid w:val="00B92447"/>
    <w:rsid w:val="00B924C3"/>
    <w:rsid w:val="00B93210"/>
    <w:rsid w:val="00B93A0A"/>
    <w:rsid w:val="00B9411F"/>
    <w:rsid w:val="00B941C7"/>
    <w:rsid w:val="00B945E2"/>
    <w:rsid w:val="00B946E4"/>
    <w:rsid w:val="00B94A7D"/>
    <w:rsid w:val="00B95C1D"/>
    <w:rsid w:val="00B9600E"/>
    <w:rsid w:val="00B97417"/>
    <w:rsid w:val="00B97D7D"/>
    <w:rsid w:val="00BA02FD"/>
    <w:rsid w:val="00BA0470"/>
    <w:rsid w:val="00BA0EAE"/>
    <w:rsid w:val="00BA12B9"/>
    <w:rsid w:val="00BA145E"/>
    <w:rsid w:val="00BA1AF2"/>
    <w:rsid w:val="00BA1BA3"/>
    <w:rsid w:val="00BA2472"/>
    <w:rsid w:val="00BA27FC"/>
    <w:rsid w:val="00BA4259"/>
    <w:rsid w:val="00BA42AA"/>
    <w:rsid w:val="00BA4FFB"/>
    <w:rsid w:val="00BA635C"/>
    <w:rsid w:val="00BA6DB8"/>
    <w:rsid w:val="00BA705A"/>
    <w:rsid w:val="00BA7169"/>
    <w:rsid w:val="00BA73CD"/>
    <w:rsid w:val="00BA74B2"/>
    <w:rsid w:val="00BA78D5"/>
    <w:rsid w:val="00BB04F0"/>
    <w:rsid w:val="00BB06D2"/>
    <w:rsid w:val="00BB0928"/>
    <w:rsid w:val="00BB1BF1"/>
    <w:rsid w:val="00BB2055"/>
    <w:rsid w:val="00BB4492"/>
    <w:rsid w:val="00BB4A44"/>
    <w:rsid w:val="00BB4E3A"/>
    <w:rsid w:val="00BB65F4"/>
    <w:rsid w:val="00BB7B2F"/>
    <w:rsid w:val="00BB7B97"/>
    <w:rsid w:val="00BC13DD"/>
    <w:rsid w:val="00BC2BA9"/>
    <w:rsid w:val="00BC3EC0"/>
    <w:rsid w:val="00BC4E3A"/>
    <w:rsid w:val="00BC6425"/>
    <w:rsid w:val="00BC67F6"/>
    <w:rsid w:val="00BC711A"/>
    <w:rsid w:val="00BC75A8"/>
    <w:rsid w:val="00BD307A"/>
    <w:rsid w:val="00BD397F"/>
    <w:rsid w:val="00BD3F23"/>
    <w:rsid w:val="00BD4C10"/>
    <w:rsid w:val="00BD4F03"/>
    <w:rsid w:val="00BD5A56"/>
    <w:rsid w:val="00BD5EF4"/>
    <w:rsid w:val="00BD728B"/>
    <w:rsid w:val="00BD74B6"/>
    <w:rsid w:val="00BD76F4"/>
    <w:rsid w:val="00BE04F2"/>
    <w:rsid w:val="00BE062A"/>
    <w:rsid w:val="00BE0D44"/>
    <w:rsid w:val="00BE20EF"/>
    <w:rsid w:val="00BE3873"/>
    <w:rsid w:val="00BE4254"/>
    <w:rsid w:val="00BE52D7"/>
    <w:rsid w:val="00BE6256"/>
    <w:rsid w:val="00BE7735"/>
    <w:rsid w:val="00BE7DF6"/>
    <w:rsid w:val="00BE7E73"/>
    <w:rsid w:val="00BF04A3"/>
    <w:rsid w:val="00BF0EE0"/>
    <w:rsid w:val="00BF156A"/>
    <w:rsid w:val="00BF1B69"/>
    <w:rsid w:val="00BF23BE"/>
    <w:rsid w:val="00BF2973"/>
    <w:rsid w:val="00BF2C41"/>
    <w:rsid w:val="00BF2CD4"/>
    <w:rsid w:val="00BF2DE4"/>
    <w:rsid w:val="00BF3D7F"/>
    <w:rsid w:val="00BF4386"/>
    <w:rsid w:val="00BF6F84"/>
    <w:rsid w:val="00C00022"/>
    <w:rsid w:val="00C00AEE"/>
    <w:rsid w:val="00C02234"/>
    <w:rsid w:val="00C031CE"/>
    <w:rsid w:val="00C033A2"/>
    <w:rsid w:val="00C03E5A"/>
    <w:rsid w:val="00C040E4"/>
    <w:rsid w:val="00C050BA"/>
    <w:rsid w:val="00C065EE"/>
    <w:rsid w:val="00C06C69"/>
    <w:rsid w:val="00C07AA1"/>
    <w:rsid w:val="00C104FF"/>
    <w:rsid w:val="00C11CDB"/>
    <w:rsid w:val="00C12547"/>
    <w:rsid w:val="00C12A11"/>
    <w:rsid w:val="00C12B46"/>
    <w:rsid w:val="00C12BC1"/>
    <w:rsid w:val="00C136E7"/>
    <w:rsid w:val="00C1465F"/>
    <w:rsid w:val="00C15457"/>
    <w:rsid w:val="00C15AB0"/>
    <w:rsid w:val="00C161F3"/>
    <w:rsid w:val="00C16219"/>
    <w:rsid w:val="00C168CC"/>
    <w:rsid w:val="00C16C8F"/>
    <w:rsid w:val="00C16F64"/>
    <w:rsid w:val="00C173FA"/>
    <w:rsid w:val="00C2404E"/>
    <w:rsid w:val="00C240B7"/>
    <w:rsid w:val="00C24D64"/>
    <w:rsid w:val="00C25A98"/>
    <w:rsid w:val="00C26395"/>
    <w:rsid w:val="00C26850"/>
    <w:rsid w:val="00C27722"/>
    <w:rsid w:val="00C27D85"/>
    <w:rsid w:val="00C27F81"/>
    <w:rsid w:val="00C30EC9"/>
    <w:rsid w:val="00C31F8F"/>
    <w:rsid w:val="00C31FDF"/>
    <w:rsid w:val="00C328CD"/>
    <w:rsid w:val="00C33004"/>
    <w:rsid w:val="00C33BDA"/>
    <w:rsid w:val="00C35B79"/>
    <w:rsid w:val="00C36BEE"/>
    <w:rsid w:val="00C40754"/>
    <w:rsid w:val="00C4121D"/>
    <w:rsid w:val="00C41280"/>
    <w:rsid w:val="00C427C7"/>
    <w:rsid w:val="00C451C7"/>
    <w:rsid w:val="00C45B23"/>
    <w:rsid w:val="00C506CC"/>
    <w:rsid w:val="00C52010"/>
    <w:rsid w:val="00C52029"/>
    <w:rsid w:val="00C52734"/>
    <w:rsid w:val="00C53523"/>
    <w:rsid w:val="00C54012"/>
    <w:rsid w:val="00C54024"/>
    <w:rsid w:val="00C5404A"/>
    <w:rsid w:val="00C54319"/>
    <w:rsid w:val="00C56FF7"/>
    <w:rsid w:val="00C62094"/>
    <w:rsid w:val="00C6246B"/>
    <w:rsid w:val="00C62A51"/>
    <w:rsid w:val="00C62B8F"/>
    <w:rsid w:val="00C6363A"/>
    <w:rsid w:val="00C63710"/>
    <w:rsid w:val="00C63EA3"/>
    <w:rsid w:val="00C6573A"/>
    <w:rsid w:val="00C663E9"/>
    <w:rsid w:val="00C66CD4"/>
    <w:rsid w:val="00C66DF2"/>
    <w:rsid w:val="00C67017"/>
    <w:rsid w:val="00C71B91"/>
    <w:rsid w:val="00C71CE2"/>
    <w:rsid w:val="00C755FA"/>
    <w:rsid w:val="00C75C67"/>
    <w:rsid w:val="00C76EC6"/>
    <w:rsid w:val="00C7773A"/>
    <w:rsid w:val="00C7787D"/>
    <w:rsid w:val="00C77DCD"/>
    <w:rsid w:val="00C803FE"/>
    <w:rsid w:val="00C80F49"/>
    <w:rsid w:val="00C81298"/>
    <w:rsid w:val="00C81A3D"/>
    <w:rsid w:val="00C81FC1"/>
    <w:rsid w:val="00C83013"/>
    <w:rsid w:val="00C83433"/>
    <w:rsid w:val="00C83F7B"/>
    <w:rsid w:val="00C84695"/>
    <w:rsid w:val="00C85B90"/>
    <w:rsid w:val="00C862B7"/>
    <w:rsid w:val="00C86C21"/>
    <w:rsid w:val="00C90C51"/>
    <w:rsid w:val="00C91789"/>
    <w:rsid w:val="00C91909"/>
    <w:rsid w:val="00C926D4"/>
    <w:rsid w:val="00C9298D"/>
    <w:rsid w:val="00C92D7C"/>
    <w:rsid w:val="00C9332A"/>
    <w:rsid w:val="00C94AC4"/>
    <w:rsid w:val="00C96282"/>
    <w:rsid w:val="00C966C0"/>
    <w:rsid w:val="00C96E4A"/>
    <w:rsid w:val="00C97557"/>
    <w:rsid w:val="00CA0B12"/>
    <w:rsid w:val="00CA0CC5"/>
    <w:rsid w:val="00CA0D3A"/>
    <w:rsid w:val="00CA1AAC"/>
    <w:rsid w:val="00CA2601"/>
    <w:rsid w:val="00CA2AC1"/>
    <w:rsid w:val="00CA306B"/>
    <w:rsid w:val="00CA3EFE"/>
    <w:rsid w:val="00CA4095"/>
    <w:rsid w:val="00CA4A15"/>
    <w:rsid w:val="00CA4BB2"/>
    <w:rsid w:val="00CA54BB"/>
    <w:rsid w:val="00CA5615"/>
    <w:rsid w:val="00CA5CCB"/>
    <w:rsid w:val="00CA600F"/>
    <w:rsid w:val="00CA71FC"/>
    <w:rsid w:val="00CA75BD"/>
    <w:rsid w:val="00CA76ED"/>
    <w:rsid w:val="00CA79F6"/>
    <w:rsid w:val="00CB0FC9"/>
    <w:rsid w:val="00CB15B6"/>
    <w:rsid w:val="00CB1FD8"/>
    <w:rsid w:val="00CB214A"/>
    <w:rsid w:val="00CB452F"/>
    <w:rsid w:val="00CB5045"/>
    <w:rsid w:val="00CB6221"/>
    <w:rsid w:val="00CB6340"/>
    <w:rsid w:val="00CB6797"/>
    <w:rsid w:val="00CB7023"/>
    <w:rsid w:val="00CB79D3"/>
    <w:rsid w:val="00CC0CF0"/>
    <w:rsid w:val="00CC17C7"/>
    <w:rsid w:val="00CC1D80"/>
    <w:rsid w:val="00CC324A"/>
    <w:rsid w:val="00CC3578"/>
    <w:rsid w:val="00CC38B9"/>
    <w:rsid w:val="00CC39E9"/>
    <w:rsid w:val="00CC3D86"/>
    <w:rsid w:val="00CC52C3"/>
    <w:rsid w:val="00CC5A5B"/>
    <w:rsid w:val="00CD09B1"/>
    <w:rsid w:val="00CD0EAC"/>
    <w:rsid w:val="00CD1CCA"/>
    <w:rsid w:val="00CD3362"/>
    <w:rsid w:val="00CD3864"/>
    <w:rsid w:val="00CD3EE0"/>
    <w:rsid w:val="00CD4778"/>
    <w:rsid w:val="00CD4CA1"/>
    <w:rsid w:val="00CD55A3"/>
    <w:rsid w:val="00CD7001"/>
    <w:rsid w:val="00CD71A4"/>
    <w:rsid w:val="00CD757B"/>
    <w:rsid w:val="00CD790B"/>
    <w:rsid w:val="00CE0199"/>
    <w:rsid w:val="00CE07FC"/>
    <w:rsid w:val="00CE1BFD"/>
    <w:rsid w:val="00CE219B"/>
    <w:rsid w:val="00CE230F"/>
    <w:rsid w:val="00CE2896"/>
    <w:rsid w:val="00CE2BFF"/>
    <w:rsid w:val="00CE35D6"/>
    <w:rsid w:val="00CE3E67"/>
    <w:rsid w:val="00CE5FF4"/>
    <w:rsid w:val="00CE6960"/>
    <w:rsid w:val="00CE76DC"/>
    <w:rsid w:val="00CE7835"/>
    <w:rsid w:val="00CE7A76"/>
    <w:rsid w:val="00CF156A"/>
    <w:rsid w:val="00CF2478"/>
    <w:rsid w:val="00CF253C"/>
    <w:rsid w:val="00CF2BA0"/>
    <w:rsid w:val="00CF330D"/>
    <w:rsid w:val="00CF3C2C"/>
    <w:rsid w:val="00CF3E61"/>
    <w:rsid w:val="00CF4003"/>
    <w:rsid w:val="00CF456A"/>
    <w:rsid w:val="00CF48FE"/>
    <w:rsid w:val="00CF5217"/>
    <w:rsid w:val="00CF58AC"/>
    <w:rsid w:val="00CF5D64"/>
    <w:rsid w:val="00CF70F8"/>
    <w:rsid w:val="00CF7347"/>
    <w:rsid w:val="00D018BB"/>
    <w:rsid w:val="00D01C32"/>
    <w:rsid w:val="00D01E60"/>
    <w:rsid w:val="00D01FA1"/>
    <w:rsid w:val="00D02610"/>
    <w:rsid w:val="00D02FD2"/>
    <w:rsid w:val="00D0351E"/>
    <w:rsid w:val="00D04079"/>
    <w:rsid w:val="00D04684"/>
    <w:rsid w:val="00D04A38"/>
    <w:rsid w:val="00D05BD5"/>
    <w:rsid w:val="00D05E17"/>
    <w:rsid w:val="00D071EA"/>
    <w:rsid w:val="00D111CD"/>
    <w:rsid w:val="00D131EC"/>
    <w:rsid w:val="00D13782"/>
    <w:rsid w:val="00D1473A"/>
    <w:rsid w:val="00D14EDC"/>
    <w:rsid w:val="00D15983"/>
    <w:rsid w:val="00D1618A"/>
    <w:rsid w:val="00D16354"/>
    <w:rsid w:val="00D167B6"/>
    <w:rsid w:val="00D16DDC"/>
    <w:rsid w:val="00D177E6"/>
    <w:rsid w:val="00D17AA2"/>
    <w:rsid w:val="00D17CDE"/>
    <w:rsid w:val="00D205C8"/>
    <w:rsid w:val="00D20822"/>
    <w:rsid w:val="00D20A75"/>
    <w:rsid w:val="00D20CA9"/>
    <w:rsid w:val="00D21655"/>
    <w:rsid w:val="00D21C8B"/>
    <w:rsid w:val="00D22E8D"/>
    <w:rsid w:val="00D23552"/>
    <w:rsid w:val="00D23BFE"/>
    <w:rsid w:val="00D24392"/>
    <w:rsid w:val="00D246CC"/>
    <w:rsid w:val="00D24D40"/>
    <w:rsid w:val="00D2514F"/>
    <w:rsid w:val="00D253CD"/>
    <w:rsid w:val="00D258D5"/>
    <w:rsid w:val="00D2590B"/>
    <w:rsid w:val="00D25A51"/>
    <w:rsid w:val="00D26697"/>
    <w:rsid w:val="00D27362"/>
    <w:rsid w:val="00D27D68"/>
    <w:rsid w:val="00D318E2"/>
    <w:rsid w:val="00D33C5B"/>
    <w:rsid w:val="00D34F4A"/>
    <w:rsid w:val="00D35132"/>
    <w:rsid w:val="00D353FA"/>
    <w:rsid w:val="00D379EB"/>
    <w:rsid w:val="00D37FA4"/>
    <w:rsid w:val="00D40E36"/>
    <w:rsid w:val="00D41A0F"/>
    <w:rsid w:val="00D41C7B"/>
    <w:rsid w:val="00D4417B"/>
    <w:rsid w:val="00D44517"/>
    <w:rsid w:val="00D44D01"/>
    <w:rsid w:val="00D4592F"/>
    <w:rsid w:val="00D476CA"/>
    <w:rsid w:val="00D47906"/>
    <w:rsid w:val="00D50B30"/>
    <w:rsid w:val="00D50FA6"/>
    <w:rsid w:val="00D5133B"/>
    <w:rsid w:val="00D5151F"/>
    <w:rsid w:val="00D52453"/>
    <w:rsid w:val="00D5268E"/>
    <w:rsid w:val="00D52AF3"/>
    <w:rsid w:val="00D53812"/>
    <w:rsid w:val="00D539D5"/>
    <w:rsid w:val="00D55267"/>
    <w:rsid w:val="00D55D8C"/>
    <w:rsid w:val="00D563E6"/>
    <w:rsid w:val="00D56E9B"/>
    <w:rsid w:val="00D56FF1"/>
    <w:rsid w:val="00D57597"/>
    <w:rsid w:val="00D607A4"/>
    <w:rsid w:val="00D61077"/>
    <w:rsid w:val="00D611A4"/>
    <w:rsid w:val="00D61503"/>
    <w:rsid w:val="00D62291"/>
    <w:rsid w:val="00D64060"/>
    <w:rsid w:val="00D64ED4"/>
    <w:rsid w:val="00D64F27"/>
    <w:rsid w:val="00D658CE"/>
    <w:rsid w:val="00D6617C"/>
    <w:rsid w:val="00D67151"/>
    <w:rsid w:val="00D70287"/>
    <w:rsid w:val="00D7085C"/>
    <w:rsid w:val="00D70E26"/>
    <w:rsid w:val="00D73C7E"/>
    <w:rsid w:val="00D7524E"/>
    <w:rsid w:val="00D76C4C"/>
    <w:rsid w:val="00D77071"/>
    <w:rsid w:val="00D77174"/>
    <w:rsid w:val="00D779F0"/>
    <w:rsid w:val="00D80CC4"/>
    <w:rsid w:val="00D81A75"/>
    <w:rsid w:val="00D82661"/>
    <w:rsid w:val="00D82C6E"/>
    <w:rsid w:val="00D83514"/>
    <w:rsid w:val="00D83F88"/>
    <w:rsid w:val="00D8469B"/>
    <w:rsid w:val="00D8494A"/>
    <w:rsid w:val="00D87ACE"/>
    <w:rsid w:val="00D87E81"/>
    <w:rsid w:val="00D90FA3"/>
    <w:rsid w:val="00D9118F"/>
    <w:rsid w:val="00D91313"/>
    <w:rsid w:val="00D91BAB"/>
    <w:rsid w:val="00D922BB"/>
    <w:rsid w:val="00D93A3D"/>
    <w:rsid w:val="00D941D7"/>
    <w:rsid w:val="00D967AB"/>
    <w:rsid w:val="00D97452"/>
    <w:rsid w:val="00D97941"/>
    <w:rsid w:val="00D97EF7"/>
    <w:rsid w:val="00DA046B"/>
    <w:rsid w:val="00DA1E2A"/>
    <w:rsid w:val="00DA341C"/>
    <w:rsid w:val="00DA4BFF"/>
    <w:rsid w:val="00DA4D28"/>
    <w:rsid w:val="00DA6066"/>
    <w:rsid w:val="00DA7413"/>
    <w:rsid w:val="00DA7733"/>
    <w:rsid w:val="00DA77FB"/>
    <w:rsid w:val="00DB0B4C"/>
    <w:rsid w:val="00DB1A24"/>
    <w:rsid w:val="00DB2291"/>
    <w:rsid w:val="00DB2CD6"/>
    <w:rsid w:val="00DB32D8"/>
    <w:rsid w:val="00DB3A5C"/>
    <w:rsid w:val="00DB4558"/>
    <w:rsid w:val="00DB5972"/>
    <w:rsid w:val="00DB6573"/>
    <w:rsid w:val="00DB737A"/>
    <w:rsid w:val="00DC00BD"/>
    <w:rsid w:val="00DC0ABE"/>
    <w:rsid w:val="00DC1323"/>
    <w:rsid w:val="00DC31FE"/>
    <w:rsid w:val="00DC3D55"/>
    <w:rsid w:val="00DC4E58"/>
    <w:rsid w:val="00DC56E9"/>
    <w:rsid w:val="00DD0156"/>
    <w:rsid w:val="00DD0E51"/>
    <w:rsid w:val="00DD1525"/>
    <w:rsid w:val="00DD16FA"/>
    <w:rsid w:val="00DD1863"/>
    <w:rsid w:val="00DD2CAC"/>
    <w:rsid w:val="00DD2DAE"/>
    <w:rsid w:val="00DD3530"/>
    <w:rsid w:val="00DD3FA5"/>
    <w:rsid w:val="00DD488E"/>
    <w:rsid w:val="00DD493D"/>
    <w:rsid w:val="00DD5394"/>
    <w:rsid w:val="00DD556E"/>
    <w:rsid w:val="00DD57CD"/>
    <w:rsid w:val="00DD6E01"/>
    <w:rsid w:val="00DE06E5"/>
    <w:rsid w:val="00DE0E18"/>
    <w:rsid w:val="00DE18C9"/>
    <w:rsid w:val="00DE29C7"/>
    <w:rsid w:val="00DE2A49"/>
    <w:rsid w:val="00DE3928"/>
    <w:rsid w:val="00DE4481"/>
    <w:rsid w:val="00DE521D"/>
    <w:rsid w:val="00DE55E5"/>
    <w:rsid w:val="00DE6104"/>
    <w:rsid w:val="00DE6C0D"/>
    <w:rsid w:val="00DE7523"/>
    <w:rsid w:val="00DF0267"/>
    <w:rsid w:val="00DF048C"/>
    <w:rsid w:val="00DF1076"/>
    <w:rsid w:val="00DF3BE3"/>
    <w:rsid w:val="00DF3C32"/>
    <w:rsid w:val="00DF3EF2"/>
    <w:rsid w:val="00DF5653"/>
    <w:rsid w:val="00DF57CD"/>
    <w:rsid w:val="00DF6E0B"/>
    <w:rsid w:val="00DF7F26"/>
    <w:rsid w:val="00E00373"/>
    <w:rsid w:val="00E0037C"/>
    <w:rsid w:val="00E004AB"/>
    <w:rsid w:val="00E00C1E"/>
    <w:rsid w:val="00E01AAD"/>
    <w:rsid w:val="00E01C0D"/>
    <w:rsid w:val="00E01F36"/>
    <w:rsid w:val="00E0258F"/>
    <w:rsid w:val="00E02B87"/>
    <w:rsid w:val="00E040CB"/>
    <w:rsid w:val="00E04CEB"/>
    <w:rsid w:val="00E077B9"/>
    <w:rsid w:val="00E07E45"/>
    <w:rsid w:val="00E103E3"/>
    <w:rsid w:val="00E10E4B"/>
    <w:rsid w:val="00E11397"/>
    <w:rsid w:val="00E1236E"/>
    <w:rsid w:val="00E123C7"/>
    <w:rsid w:val="00E12F36"/>
    <w:rsid w:val="00E137F0"/>
    <w:rsid w:val="00E13ADB"/>
    <w:rsid w:val="00E14BEE"/>
    <w:rsid w:val="00E155AD"/>
    <w:rsid w:val="00E15806"/>
    <w:rsid w:val="00E1684C"/>
    <w:rsid w:val="00E178A1"/>
    <w:rsid w:val="00E21765"/>
    <w:rsid w:val="00E217BE"/>
    <w:rsid w:val="00E21F8A"/>
    <w:rsid w:val="00E22195"/>
    <w:rsid w:val="00E229E5"/>
    <w:rsid w:val="00E23303"/>
    <w:rsid w:val="00E2470E"/>
    <w:rsid w:val="00E256AD"/>
    <w:rsid w:val="00E25E8C"/>
    <w:rsid w:val="00E26367"/>
    <w:rsid w:val="00E27242"/>
    <w:rsid w:val="00E27AC0"/>
    <w:rsid w:val="00E31B1D"/>
    <w:rsid w:val="00E31DA0"/>
    <w:rsid w:val="00E3245C"/>
    <w:rsid w:val="00E3303A"/>
    <w:rsid w:val="00E33487"/>
    <w:rsid w:val="00E33CC5"/>
    <w:rsid w:val="00E344FA"/>
    <w:rsid w:val="00E34696"/>
    <w:rsid w:val="00E34F6E"/>
    <w:rsid w:val="00E352C9"/>
    <w:rsid w:val="00E35613"/>
    <w:rsid w:val="00E358B9"/>
    <w:rsid w:val="00E35EFC"/>
    <w:rsid w:val="00E36930"/>
    <w:rsid w:val="00E37238"/>
    <w:rsid w:val="00E3736D"/>
    <w:rsid w:val="00E403ED"/>
    <w:rsid w:val="00E40CC3"/>
    <w:rsid w:val="00E420D2"/>
    <w:rsid w:val="00E424F3"/>
    <w:rsid w:val="00E42832"/>
    <w:rsid w:val="00E42851"/>
    <w:rsid w:val="00E43DE3"/>
    <w:rsid w:val="00E43E4F"/>
    <w:rsid w:val="00E4448A"/>
    <w:rsid w:val="00E45B0D"/>
    <w:rsid w:val="00E47939"/>
    <w:rsid w:val="00E47AFA"/>
    <w:rsid w:val="00E47C69"/>
    <w:rsid w:val="00E507D7"/>
    <w:rsid w:val="00E50E6A"/>
    <w:rsid w:val="00E51F45"/>
    <w:rsid w:val="00E52F17"/>
    <w:rsid w:val="00E53866"/>
    <w:rsid w:val="00E53B5D"/>
    <w:rsid w:val="00E55756"/>
    <w:rsid w:val="00E56D24"/>
    <w:rsid w:val="00E573F7"/>
    <w:rsid w:val="00E57B3F"/>
    <w:rsid w:val="00E60769"/>
    <w:rsid w:val="00E617AD"/>
    <w:rsid w:val="00E61B9E"/>
    <w:rsid w:val="00E62B48"/>
    <w:rsid w:val="00E655D2"/>
    <w:rsid w:val="00E656B2"/>
    <w:rsid w:val="00E65D31"/>
    <w:rsid w:val="00E6668A"/>
    <w:rsid w:val="00E66E51"/>
    <w:rsid w:val="00E7070B"/>
    <w:rsid w:val="00E70F95"/>
    <w:rsid w:val="00E71160"/>
    <w:rsid w:val="00E712A6"/>
    <w:rsid w:val="00E71676"/>
    <w:rsid w:val="00E71DF4"/>
    <w:rsid w:val="00E72067"/>
    <w:rsid w:val="00E73141"/>
    <w:rsid w:val="00E73461"/>
    <w:rsid w:val="00E73C18"/>
    <w:rsid w:val="00E745E3"/>
    <w:rsid w:val="00E75CAD"/>
    <w:rsid w:val="00E767DE"/>
    <w:rsid w:val="00E7758D"/>
    <w:rsid w:val="00E77652"/>
    <w:rsid w:val="00E80D5E"/>
    <w:rsid w:val="00E80E85"/>
    <w:rsid w:val="00E819C0"/>
    <w:rsid w:val="00E839A3"/>
    <w:rsid w:val="00E859F5"/>
    <w:rsid w:val="00E86E24"/>
    <w:rsid w:val="00E86FF3"/>
    <w:rsid w:val="00E87E61"/>
    <w:rsid w:val="00E90B09"/>
    <w:rsid w:val="00E911AA"/>
    <w:rsid w:val="00E91668"/>
    <w:rsid w:val="00E946DE"/>
    <w:rsid w:val="00E950EE"/>
    <w:rsid w:val="00E9636A"/>
    <w:rsid w:val="00E96F0C"/>
    <w:rsid w:val="00EA0BE7"/>
    <w:rsid w:val="00EA0CBF"/>
    <w:rsid w:val="00EA2ED7"/>
    <w:rsid w:val="00EA3267"/>
    <w:rsid w:val="00EA3ACD"/>
    <w:rsid w:val="00EA3D64"/>
    <w:rsid w:val="00EA3DF4"/>
    <w:rsid w:val="00EA5075"/>
    <w:rsid w:val="00EA51C4"/>
    <w:rsid w:val="00EA5C75"/>
    <w:rsid w:val="00EA6BB4"/>
    <w:rsid w:val="00EA6EB2"/>
    <w:rsid w:val="00EA70C1"/>
    <w:rsid w:val="00EA7F3A"/>
    <w:rsid w:val="00EB0C7D"/>
    <w:rsid w:val="00EB0F4B"/>
    <w:rsid w:val="00EB2109"/>
    <w:rsid w:val="00EB421F"/>
    <w:rsid w:val="00EB5CB0"/>
    <w:rsid w:val="00EB7B96"/>
    <w:rsid w:val="00EB7C82"/>
    <w:rsid w:val="00EC0FD9"/>
    <w:rsid w:val="00EC2A5B"/>
    <w:rsid w:val="00EC33B5"/>
    <w:rsid w:val="00EC4C60"/>
    <w:rsid w:val="00EC7758"/>
    <w:rsid w:val="00EC7EA8"/>
    <w:rsid w:val="00ED1124"/>
    <w:rsid w:val="00ED152A"/>
    <w:rsid w:val="00ED162E"/>
    <w:rsid w:val="00ED1DC7"/>
    <w:rsid w:val="00ED495C"/>
    <w:rsid w:val="00ED4B14"/>
    <w:rsid w:val="00ED5641"/>
    <w:rsid w:val="00ED61A3"/>
    <w:rsid w:val="00ED6654"/>
    <w:rsid w:val="00ED789A"/>
    <w:rsid w:val="00EE0088"/>
    <w:rsid w:val="00EE0EDB"/>
    <w:rsid w:val="00EE10E8"/>
    <w:rsid w:val="00EE37A5"/>
    <w:rsid w:val="00EE41B7"/>
    <w:rsid w:val="00EE42EF"/>
    <w:rsid w:val="00EE59F7"/>
    <w:rsid w:val="00EE6BDC"/>
    <w:rsid w:val="00EE7021"/>
    <w:rsid w:val="00EE7481"/>
    <w:rsid w:val="00EE7CFA"/>
    <w:rsid w:val="00EF104E"/>
    <w:rsid w:val="00EF1ED9"/>
    <w:rsid w:val="00EF1FE3"/>
    <w:rsid w:val="00EF42D6"/>
    <w:rsid w:val="00EF470E"/>
    <w:rsid w:val="00EF76FB"/>
    <w:rsid w:val="00F0162F"/>
    <w:rsid w:val="00F01B6E"/>
    <w:rsid w:val="00F01CDC"/>
    <w:rsid w:val="00F01D60"/>
    <w:rsid w:val="00F01E12"/>
    <w:rsid w:val="00F0201F"/>
    <w:rsid w:val="00F0203D"/>
    <w:rsid w:val="00F0224A"/>
    <w:rsid w:val="00F031C2"/>
    <w:rsid w:val="00F0399D"/>
    <w:rsid w:val="00F03D2C"/>
    <w:rsid w:val="00F0464A"/>
    <w:rsid w:val="00F05C16"/>
    <w:rsid w:val="00F05C46"/>
    <w:rsid w:val="00F05EC4"/>
    <w:rsid w:val="00F06387"/>
    <w:rsid w:val="00F063A4"/>
    <w:rsid w:val="00F06C02"/>
    <w:rsid w:val="00F0746C"/>
    <w:rsid w:val="00F10D38"/>
    <w:rsid w:val="00F11C24"/>
    <w:rsid w:val="00F13C2E"/>
    <w:rsid w:val="00F14182"/>
    <w:rsid w:val="00F144F8"/>
    <w:rsid w:val="00F169CB"/>
    <w:rsid w:val="00F1720C"/>
    <w:rsid w:val="00F2019A"/>
    <w:rsid w:val="00F20348"/>
    <w:rsid w:val="00F2154D"/>
    <w:rsid w:val="00F21898"/>
    <w:rsid w:val="00F21D3C"/>
    <w:rsid w:val="00F21E46"/>
    <w:rsid w:val="00F2222F"/>
    <w:rsid w:val="00F22FB9"/>
    <w:rsid w:val="00F238A5"/>
    <w:rsid w:val="00F2449D"/>
    <w:rsid w:val="00F26069"/>
    <w:rsid w:val="00F27578"/>
    <w:rsid w:val="00F30D64"/>
    <w:rsid w:val="00F31512"/>
    <w:rsid w:val="00F31A3C"/>
    <w:rsid w:val="00F32458"/>
    <w:rsid w:val="00F3293E"/>
    <w:rsid w:val="00F32FCC"/>
    <w:rsid w:val="00F33EB6"/>
    <w:rsid w:val="00F345E0"/>
    <w:rsid w:val="00F35A4A"/>
    <w:rsid w:val="00F35B69"/>
    <w:rsid w:val="00F35BA0"/>
    <w:rsid w:val="00F36610"/>
    <w:rsid w:val="00F405F3"/>
    <w:rsid w:val="00F40A87"/>
    <w:rsid w:val="00F40B0C"/>
    <w:rsid w:val="00F40CE3"/>
    <w:rsid w:val="00F415EC"/>
    <w:rsid w:val="00F4294E"/>
    <w:rsid w:val="00F42AFB"/>
    <w:rsid w:val="00F42CF9"/>
    <w:rsid w:val="00F43C37"/>
    <w:rsid w:val="00F45E5A"/>
    <w:rsid w:val="00F46637"/>
    <w:rsid w:val="00F467E9"/>
    <w:rsid w:val="00F46AF8"/>
    <w:rsid w:val="00F46EFE"/>
    <w:rsid w:val="00F47540"/>
    <w:rsid w:val="00F50375"/>
    <w:rsid w:val="00F50418"/>
    <w:rsid w:val="00F51010"/>
    <w:rsid w:val="00F51057"/>
    <w:rsid w:val="00F51707"/>
    <w:rsid w:val="00F517DD"/>
    <w:rsid w:val="00F51995"/>
    <w:rsid w:val="00F54281"/>
    <w:rsid w:val="00F55297"/>
    <w:rsid w:val="00F556F3"/>
    <w:rsid w:val="00F5700F"/>
    <w:rsid w:val="00F57EE4"/>
    <w:rsid w:val="00F6094E"/>
    <w:rsid w:val="00F60AE1"/>
    <w:rsid w:val="00F60C97"/>
    <w:rsid w:val="00F6101F"/>
    <w:rsid w:val="00F61548"/>
    <w:rsid w:val="00F616F4"/>
    <w:rsid w:val="00F61B00"/>
    <w:rsid w:val="00F6214E"/>
    <w:rsid w:val="00F64A73"/>
    <w:rsid w:val="00F65657"/>
    <w:rsid w:val="00F6590E"/>
    <w:rsid w:val="00F6627F"/>
    <w:rsid w:val="00F66C88"/>
    <w:rsid w:val="00F706EB"/>
    <w:rsid w:val="00F72687"/>
    <w:rsid w:val="00F72FC6"/>
    <w:rsid w:val="00F735DE"/>
    <w:rsid w:val="00F74514"/>
    <w:rsid w:val="00F76EAE"/>
    <w:rsid w:val="00F76F93"/>
    <w:rsid w:val="00F77011"/>
    <w:rsid w:val="00F771A1"/>
    <w:rsid w:val="00F7768B"/>
    <w:rsid w:val="00F80BA3"/>
    <w:rsid w:val="00F81F6C"/>
    <w:rsid w:val="00F82A2F"/>
    <w:rsid w:val="00F845DE"/>
    <w:rsid w:val="00F846DD"/>
    <w:rsid w:val="00F8549B"/>
    <w:rsid w:val="00F854A7"/>
    <w:rsid w:val="00F854A8"/>
    <w:rsid w:val="00F85952"/>
    <w:rsid w:val="00F85A87"/>
    <w:rsid w:val="00F86A66"/>
    <w:rsid w:val="00F906F4"/>
    <w:rsid w:val="00F907EC"/>
    <w:rsid w:val="00F91310"/>
    <w:rsid w:val="00F917CD"/>
    <w:rsid w:val="00F917EE"/>
    <w:rsid w:val="00F921B8"/>
    <w:rsid w:val="00F94198"/>
    <w:rsid w:val="00F94727"/>
    <w:rsid w:val="00F947C6"/>
    <w:rsid w:val="00F94DD9"/>
    <w:rsid w:val="00F950B2"/>
    <w:rsid w:val="00F9599B"/>
    <w:rsid w:val="00F95AD4"/>
    <w:rsid w:val="00F97750"/>
    <w:rsid w:val="00F97ADA"/>
    <w:rsid w:val="00FA1227"/>
    <w:rsid w:val="00FA25FC"/>
    <w:rsid w:val="00FA2D14"/>
    <w:rsid w:val="00FA2E16"/>
    <w:rsid w:val="00FA3525"/>
    <w:rsid w:val="00FA3740"/>
    <w:rsid w:val="00FA44D6"/>
    <w:rsid w:val="00FA50ED"/>
    <w:rsid w:val="00FA53E5"/>
    <w:rsid w:val="00FA655D"/>
    <w:rsid w:val="00FA65B4"/>
    <w:rsid w:val="00FA73F8"/>
    <w:rsid w:val="00FA7DC2"/>
    <w:rsid w:val="00FB0C87"/>
    <w:rsid w:val="00FB1429"/>
    <w:rsid w:val="00FB1B1F"/>
    <w:rsid w:val="00FB20AE"/>
    <w:rsid w:val="00FB2DF0"/>
    <w:rsid w:val="00FB3A1A"/>
    <w:rsid w:val="00FB3BB4"/>
    <w:rsid w:val="00FB652B"/>
    <w:rsid w:val="00FB65CC"/>
    <w:rsid w:val="00FB672E"/>
    <w:rsid w:val="00FB6E0B"/>
    <w:rsid w:val="00FB7ED1"/>
    <w:rsid w:val="00FB7F81"/>
    <w:rsid w:val="00FC0C60"/>
    <w:rsid w:val="00FC122D"/>
    <w:rsid w:val="00FC12A7"/>
    <w:rsid w:val="00FC147E"/>
    <w:rsid w:val="00FC1C31"/>
    <w:rsid w:val="00FC2F2B"/>
    <w:rsid w:val="00FC3394"/>
    <w:rsid w:val="00FC3418"/>
    <w:rsid w:val="00FC4AB2"/>
    <w:rsid w:val="00FC4CAD"/>
    <w:rsid w:val="00FC4EA7"/>
    <w:rsid w:val="00FC5A7D"/>
    <w:rsid w:val="00FC5D97"/>
    <w:rsid w:val="00FC6224"/>
    <w:rsid w:val="00FC6435"/>
    <w:rsid w:val="00FC7105"/>
    <w:rsid w:val="00FD0707"/>
    <w:rsid w:val="00FD0F61"/>
    <w:rsid w:val="00FD10DE"/>
    <w:rsid w:val="00FD239C"/>
    <w:rsid w:val="00FD28B7"/>
    <w:rsid w:val="00FD3299"/>
    <w:rsid w:val="00FD355C"/>
    <w:rsid w:val="00FD3BE1"/>
    <w:rsid w:val="00FD48A1"/>
    <w:rsid w:val="00FD571E"/>
    <w:rsid w:val="00FD6175"/>
    <w:rsid w:val="00FD658C"/>
    <w:rsid w:val="00FD7034"/>
    <w:rsid w:val="00FD7DA6"/>
    <w:rsid w:val="00FD7E28"/>
    <w:rsid w:val="00FE118B"/>
    <w:rsid w:val="00FE16D1"/>
    <w:rsid w:val="00FE16D3"/>
    <w:rsid w:val="00FE1D17"/>
    <w:rsid w:val="00FE1EEA"/>
    <w:rsid w:val="00FE1F2B"/>
    <w:rsid w:val="00FE2319"/>
    <w:rsid w:val="00FE2340"/>
    <w:rsid w:val="00FE293C"/>
    <w:rsid w:val="00FE2B4A"/>
    <w:rsid w:val="00FE3218"/>
    <w:rsid w:val="00FE3D30"/>
    <w:rsid w:val="00FE49C8"/>
    <w:rsid w:val="00FE50F0"/>
    <w:rsid w:val="00FE51B2"/>
    <w:rsid w:val="00FE66AE"/>
    <w:rsid w:val="00FE698C"/>
    <w:rsid w:val="00FE6EC3"/>
    <w:rsid w:val="00FE762E"/>
    <w:rsid w:val="00FF0C27"/>
    <w:rsid w:val="00FF1285"/>
    <w:rsid w:val="00FF1AA2"/>
    <w:rsid w:val="00FF1F94"/>
    <w:rsid w:val="00FF2DF8"/>
    <w:rsid w:val="00FF3316"/>
    <w:rsid w:val="00FF332F"/>
    <w:rsid w:val="00FF4C6B"/>
    <w:rsid w:val="00FF53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C91"/>
  <w15:docId w15:val="{6DC42E91-70FA-4C5C-8B4A-48F72DB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0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B3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0B32D8"/>
    <w:pPr>
      <w:keepNext w:val="0"/>
      <w:keepLines w:val="0"/>
      <w:widowControl w:val="0"/>
      <w:numPr>
        <w:ilvl w:val="1"/>
      </w:numPr>
      <w:spacing w:before="0" w:line="480" w:lineRule="auto"/>
      <w:jc w:val="both"/>
      <w:outlineLvl w:val="1"/>
    </w:pPr>
    <w:rPr>
      <w:rFonts w:ascii="Arial" w:eastAsia="Times New Roman" w:hAnsi="Arial" w:cs="Times New Roman"/>
      <w:b w:val="0"/>
      <w:bCs w:val="0"/>
      <w:color w:val="auto"/>
      <w:kern w:val="28"/>
      <w:sz w:val="25"/>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2D8"/>
    <w:rPr>
      <w:rFonts w:ascii="Arial" w:eastAsia="Times New Roman" w:hAnsi="Arial" w:cs="Times New Roman"/>
      <w:kern w:val="28"/>
      <w:sz w:val="25"/>
      <w:szCs w:val="20"/>
    </w:rPr>
  </w:style>
  <w:style w:type="paragraph" w:styleId="ListParagraph">
    <w:name w:val="List Paragraph"/>
    <w:aliases w:val="Body text,List Paragraph1"/>
    <w:basedOn w:val="Normal"/>
    <w:link w:val="ListParagraphChar"/>
    <w:uiPriority w:val="34"/>
    <w:qFormat/>
    <w:rsid w:val="000B32D8"/>
    <w:pPr>
      <w:ind w:left="720"/>
      <w:contextualSpacing/>
    </w:pPr>
  </w:style>
  <w:style w:type="character" w:customStyle="1" w:styleId="Heading1Char">
    <w:name w:val="Heading 1 Char"/>
    <w:basedOn w:val="DefaultParagraphFont"/>
    <w:link w:val="Heading1"/>
    <w:uiPriority w:val="9"/>
    <w:rsid w:val="000B32D8"/>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6B7890"/>
    <w:rPr>
      <w:sz w:val="20"/>
      <w:szCs w:val="20"/>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6B7890"/>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6B7890"/>
    <w:rPr>
      <w:vertAlign w:val="superscript"/>
    </w:rPr>
  </w:style>
  <w:style w:type="paragraph" w:styleId="BalloonText">
    <w:name w:val="Balloon Text"/>
    <w:basedOn w:val="Normal"/>
    <w:link w:val="BalloonTextChar"/>
    <w:uiPriority w:val="99"/>
    <w:semiHidden/>
    <w:unhideWhenUsed/>
    <w:rsid w:val="0039129C"/>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39129C"/>
    <w:rPr>
      <w:rFonts w:ascii="Tahoma" w:hAnsi="Tahoma" w:cs="Tahoma"/>
      <w:sz w:val="16"/>
      <w:szCs w:val="16"/>
    </w:rPr>
  </w:style>
  <w:style w:type="paragraph" w:styleId="Header">
    <w:name w:val="header"/>
    <w:basedOn w:val="Normal"/>
    <w:link w:val="HeaderChar"/>
    <w:uiPriority w:val="99"/>
    <w:unhideWhenUsed/>
    <w:rsid w:val="006715C9"/>
    <w:pPr>
      <w:tabs>
        <w:tab w:val="center" w:pos="4513"/>
        <w:tab w:val="right" w:pos="9026"/>
      </w:tabs>
    </w:pPr>
  </w:style>
  <w:style w:type="character" w:customStyle="1" w:styleId="HeaderChar">
    <w:name w:val="Header Char"/>
    <w:basedOn w:val="DefaultParagraphFont"/>
    <w:link w:val="Header"/>
    <w:uiPriority w:val="99"/>
    <w:rsid w:val="006715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5C9"/>
    <w:pPr>
      <w:tabs>
        <w:tab w:val="center" w:pos="4513"/>
        <w:tab w:val="right" w:pos="9026"/>
      </w:tabs>
    </w:pPr>
  </w:style>
  <w:style w:type="character" w:customStyle="1" w:styleId="FooterChar">
    <w:name w:val="Footer Char"/>
    <w:basedOn w:val="DefaultParagraphFont"/>
    <w:link w:val="Footer"/>
    <w:uiPriority w:val="99"/>
    <w:rsid w:val="006715C9"/>
    <w:rPr>
      <w:rFonts w:ascii="Times New Roman" w:eastAsia="Times New Roman" w:hAnsi="Times New Roman" w:cs="Times New Roman"/>
      <w:sz w:val="24"/>
      <w:szCs w:val="24"/>
      <w:lang w:val="en-US"/>
    </w:rPr>
  </w:style>
  <w:style w:type="paragraph" w:customStyle="1" w:styleId="Default">
    <w:name w:val="Default"/>
    <w:rsid w:val="00B328B8"/>
    <w:pPr>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JUDGMENTNUMBERED">
    <w:name w:val="JUDGMENT NUMBERED"/>
    <w:basedOn w:val="Normal"/>
    <w:next w:val="Normal"/>
    <w:link w:val="JUDGMENTNUMBEREDChar"/>
    <w:qFormat/>
    <w:rsid w:val="00D35132"/>
    <w:pPr>
      <w:numPr>
        <w:numId w:val="10"/>
      </w:numPr>
      <w:spacing w:line="360" w:lineRule="auto"/>
      <w:jc w:val="both"/>
    </w:pPr>
    <w:rPr>
      <w:sz w:val="26"/>
      <w:szCs w:val="22"/>
      <w:lang w:val="en-ZA"/>
    </w:rPr>
  </w:style>
  <w:style w:type="paragraph" w:customStyle="1" w:styleId="QUOTEINFOOTNOTE">
    <w:name w:val="QUOTE IN FOOTNOTE"/>
    <w:basedOn w:val="Normal"/>
    <w:next w:val="Normal"/>
    <w:qFormat/>
    <w:rsid w:val="00D35132"/>
    <w:pPr>
      <w:spacing w:after="120"/>
      <w:ind w:left="720" w:right="720"/>
      <w:jc w:val="both"/>
    </w:pPr>
    <w:rPr>
      <w:sz w:val="20"/>
      <w:szCs w:val="22"/>
      <w:lang w:val="en-ZA"/>
    </w:rPr>
  </w:style>
  <w:style w:type="character" w:customStyle="1" w:styleId="JUDGMENTNUMBEREDChar">
    <w:name w:val="JUDGMENT NUMBERED Char"/>
    <w:basedOn w:val="DefaultParagraphFont"/>
    <w:link w:val="JUDGMENTNUMBERED"/>
    <w:locked/>
    <w:rsid w:val="00D35132"/>
    <w:rPr>
      <w:rFonts w:ascii="Times New Roman" w:eastAsia="Times New Roman" w:hAnsi="Times New Roman" w:cs="Times New Roman"/>
      <w:sz w:val="26"/>
    </w:rPr>
  </w:style>
  <w:style w:type="character" w:styleId="Hyperlink">
    <w:name w:val="Hyperlink"/>
    <w:basedOn w:val="DefaultParagraphFont"/>
    <w:uiPriority w:val="99"/>
    <w:semiHidden/>
    <w:unhideWhenUsed/>
    <w:rsid w:val="00D35132"/>
    <w:rPr>
      <w:color w:val="0000FF"/>
      <w:u w:val="single"/>
    </w:rPr>
  </w:style>
  <w:style w:type="paragraph" w:customStyle="1" w:styleId="Parties">
    <w:name w:val="Parties"/>
    <w:basedOn w:val="Normal"/>
    <w:qFormat/>
    <w:rsid w:val="00B97417"/>
    <w:pPr>
      <w:tabs>
        <w:tab w:val="right" w:pos="9072"/>
      </w:tabs>
      <w:suppressAutoHyphens/>
      <w:jc w:val="both"/>
    </w:pPr>
    <w:rPr>
      <w:rFonts w:ascii="Arial" w:hAnsi="Arial"/>
      <w:snapToGrid w:val="0"/>
      <w:szCs w:val="20"/>
    </w:rPr>
  </w:style>
  <w:style w:type="character" w:styleId="CommentReference">
    <w:name w:val="annotation reference"/>
    <w:basedOn w:val="DefaultParagraphFont"/>
    <w:uiPriority w:val="99"/>
    <w:semiHidden/>
    <w:unhideWhenUsed/>
    <w:rsid w:val="00DE2A49"/>
    <w:rPr>
      <w:sz w:val="16"/>
      <w:szCs w:val="16"/>
    </w:rPr>
  </w:style>
  <w:style w:type="paragraph" w:styleId="CommentText">
    <w:name w:val="annotation text"/>
    <w:basedOn w:val="Normal"/>
    <w:link w:val="CommentTextChar"/>
    <w:uiPriority w:val="99"/>
    <w:semiHidden/>
    <w:unhideWhenUsed/>
    <w:rsid w:val="00DE2A49"/>
    <w:rPr>
      <w:sz w:val="20"/>
      <w:szCs w:val="20"/>
    </w:rPr>
  </w:style>
  <w:style w:type="character" w:customStyle="1" w:styleId="CommentTextChar">
    <w:name w:val="Comment Text Char"/>
    <w:basedOn w:val="DefaultParagraphFont"/>
    <w:link w:val="CommentText"/>
    <w:uiPriority w:val="99"/>
    <w:semiHidden/>
    <w:rsid w:val="00DE2A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A49"/>
    <w:rPr>
      <w:b/>
      <w:bCs/>
    </w:rPr>
  </w:style>
  <w:style w:type="character" w:customStyle="1" w:styleId="CommentSubjectChar">
    <w:name w:val="Comment Subject Char"/>
    <w:basedOn w:val="CommentTextChar"/>
    <w:link w:val="CommentSubject"/>
    <w:uiPriority w:val="99"/>
    <w:semiHidden/>
    <w:rsid w:val="00DE2A49"/>
    <w:rPr>
      <w:rFonts w:ascii="Times New Roman" w:eastAsia="Times New Roman" w:hAnsi="Times New Roman" w:cs="Times New Roman"/>
      <w:b/>
      <w:bCs/>
      <w:sz w:val="20"/>
      <w:szCs w:val="20"/>
      <w:lang w:val="en-US"/>
    </w:rPr>
  </w:style>
  <w:style w:type="paragraph" w:customStyle="1" w:styleId="Textbody">
    <w:name w:val="Text body"/>
    <w:basedOn w:val="Default"/>
    <w:uiPriority w:val="99"/>
    <w:rsid w:val="00492061"/>
    <w:pPr>
      <w:widowControl w:val="0"/>
      <w:spacing w:after="115"/>
    </w:pPr>
    <w:rPr>
      <w:rFonts w:ascii="Times New Roman" w:eastAsiaTheme="minorEastAsia" w:hAnsi="Times New Roman" w:cs="Times New Roman"/>
      <w:color w:val="auto"/>
      <w:lang w:val="en-ZA" w:eastAsia="en-ZA"/>
    </w:rPr>
  </w:style>
  <w:style w:type="character" w:customStyle="1" w:styleId="ListParagraphChar">
    <w:name w:val="List Paragraph Char"/>
    <w:aliases w:val="Body text Char,List Paragraph1 Char"/>
    <w:link w:val="ListParagraph"/>
    <w:uiPriority w:val="34"/>
    <w:rsid w:val="00270D8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820">
      <w:bodyDiv w:val="1"/>
      <w:marLeft w:val="0"/>
      <w:marRight w:val="0"/>
      <w:marTop w:val="0"/>
      <w:marBottom w:val="0"/>
      <w:divBdr>
        <w:top w:val="none" w:sz="0" w:space="0" w:color="auto"/>
        <w:left w:val="none" w:sz="0" w:space="0" w:color="auto"/>
        <w:bottom w:val="none" w:sz="0" w:space="0" w:color="auto"/>
        <w:right w:val="none" w:sz="0" w:space="0" w:color="auto"/>
      </w:divBdr>
    </w:div>
    <w:div w:id="324673122">
      <w:bodyDiv w:val="1"/>
      <w:marLeft w:val="0"/>
      <w:marRight w:val="0"/>
      <w:marTop w:val="0"/>
      <w:marBottom w:val="0"/>
      <w:divBdr>
        <w:top w:val="none" w:sz="0" w:space="0" w:color="auto"/>
        <w:left w:val="none" w:sz="0" w:space="0" w:color="auto"/>
        <w:bottom w:val="none" w:sz="0" w:space="0" w:color="auto"/>
        <w:right w:val="none" w:sz="0" w:space="0" w:color="auto"/>
      </w:divBdr>
    </w:div>
    <w:div w:id="641890845">
      <w:bodyDiv w:val="1"/>
      <w:marLeft w:val="0"/>
      <w:marRight w:val="0"/>
      <w:marTop w:val="0"/>
      <w:marBottom w:val="0"/>
      <w:divBdr>
        <w:top w:val="none" w:sz="0" w:space="0" w:color="auto"/>
        <w:left w:val="none" w:sz="0" w:space="0" w:color="auto"/>
        <w:bottom w:val="none" w:sz="0" w:space="0" w:color="auto"/>
        <w:right w:val="none" w:sz="0" w:space="0" w:color="auto"/>
      </w:divBdr>
    </w:div>
    <w:div w:id="710805667">
      <w:bodyDiv w:val="1"/>
      <w:marLeft w:val="0"/>
      <w:marRight w:val="0"/>
      <w:marTop w:val="0"/>
      <w:marBottom w:val="0"/>
      <w:divBdr>
        <w:top w:val="none" w:sz="0" w:space="0" w:color="auto"/>
        <w:left w:val="none" w:sz="0" w:space="0" w:color="auto"/>
        <w:bottom w:val="none" w:sz="0" w:space="0" w:color="auto"/>
        <w:right w:val="none" w:sz="0" w:space="0" w:color="auto"/>
      </w:divBdr>
    </w:div>
    <w:div w:id="788233485">
      <w:bodyDiv w:val="1"/>
      <w:marLeft w:val="0"/>
      <w:marRight w:val="0"/>
      <w:marTop w:val="0"/>
      <w:marBottom w:val="0"/>
      <w:divBdr>
        <w:top w:val="none" w:sz="0" w:space="0" w:color="auto"/>
        <w:left w:val="none" w:sz="0" w:space="0" w:color="auto"/>
        <w:bottom w:val="none" w:sz="0" w:space="0" w:color="auto"/>
        <w:right w:val="none" w:sz="0" w:space="0" w:color="auto"/>
      </w:divBdr>
    </w:div>
    <w:div w:id="1222328283">
      <w:bodyDiv w:val="1"/>
      <w:marLeft w:val="0"/>
      <w:marRight w:val="0"/>
      <w:marTop w:val="0"/>
      <w:marBottom w:val="0"/>
      <w:divBdr>
        <w:top w:val="none" w:sz="0" w:space="0" w:color="auto"/>
        <w:left w:val="none" w:sz="0" w:space="0" w:color="auto"/>
        <w:bottom w:val="none" w:sz="0" w:space="0" w:color="auto"/>
        <w:right w:val="none" w:sz="0" w:space="0" w:color="auto"/>
      </w:divBdr>
    </w:div>
    <w:div w:id="1504275877">
      <w:bodyDiv w:val="1"/>
      <w:marLeft w:val="0"/>
      <w:marRight w:val="0"/>
      <w:marTop w:val="0"/>
      <w:marBottom w:val="0"/>
      <w:divBdr>
        <w:top w:val="none" w:sz="0" w:space="0" w:color="auto"/>
        <w:left w:val="none" w:sz="0" w:space="0" w:color="auto"/>
        <w:bottom w:val="none" w:sz="0" w:space="0" w:color="auto"/>
        <w:right w:val="none" w:sz="0" w:space="0" w:color="auto"/>
      </w:divBdr>
    </w:div>
    <w:div w:id="1537623139">
      <w:bodyDiv w:val="1"/>
      <w:marLeft w:val="0"/>
      <w:marRight w:val="0"/>
      <w:marTop w:val="0"/>
      <w:marBottom w:val="0"/>
      <w:divBdr>
        <w:top w:val="none" w:sz="0" w:space="0" w:color="auto"/>
        <w:left w:val="none" w:sz="0" w:space="0" w:color="auto"/>
        <w:bottom w:val="none" w:sz="0" w:space="0" w:color="auto"/>
        <w:right w:val="none" w:sz="0" w:space="0" w:color="auto"/>
      </w:divBdr>
    </w:div>
    <w:div w:id="1574269795">
      <w:bodyDiv w:val="1"/>
      <w:marLeft w:val="0"/>
      <w:marRight w:val="0"/>
      <w:marTop w:val="0"/>
      <w:marBottom w:val="0"/>
      <w:divBdr>
        <w:top w:val="none" w:sz="0" w:space="0" w:color="auto"/>
        <w:left w:val="none" w:sz="0" w:space="0" w:color="auto"/>
        <w:bottom w:val="none" w:sz="0" w:space="0" w:color="auto"/>
        <w:right w:val="none" w:sz="0" w:space="0" w:color="auto"/>
      </w:divBdr>
    </w:div>
    <w:div w:id="1741907445">
      <w:bodyDiv w:val="1"/>
      <w:marLeft w:val="0"/>
      <w:marRight w:val="0"/>
      <w:marTop w:val="0"/>
      <w:marBottom w:val="0"/>
      <w:divBdr>
        <w:top w:val="none" w:sz="0" w:space="0" w:color="auto"/>
        <w:left w:val="none" w:sz="0" w:space="0" w:color="auto"/>
        <w:bottom w:val="none" w:sz="0" w:space="0" w:color="auto"/>
        <w:right w:val="none" w:sz="0" w:space="0" w:color="auto"/>
      </w:divBdr>
    </w:div>
    <w:div w:id="1960650161">
      <w:bodyDiv w:val="1"/>
      <w:marLeft w:val="0"/>
      <w:marRight w:val="0"/>
      <w:marTop w:val="0"/>
      <w:marBottom w:val="0"/>
      <w:divBdr>
        <w:top w:val="none" w:sz="0" w:space="0" w:color="auto"/>
        <w:left w:val="none" w:sz="0" w:space="0" w:color="auto"/>
        <w:bottom w:val="none" w:sz="0" w:space="0" w:color="auto"/>
        <w:right w:val="none" w:sz="0" w:space="0" w:color="auto"/>
      </w:divBdr>
      <w:divsChild>
        <w:div w:id="59983731">
          <w:marLeft w:val="0"/>
          <w:marRight w:val="0"/>
          <w:marTop w:val="0"/>
          <w:marBottom w:val="180"/>
          <w:divBdr>
            <w:top w:val="none" w:sz="0" w:space="0" w:color="auto"/>
            <w:left w:val="none" w:sz="0" w:space="0" w:color="auto"/>
            <w:bottom w:val="none" w:sz="0" w:space="0" w:color="auto"/>
            <w:right w:val="none" w:sz="0" w:space="0" w:color="auto"/>
          </w:divBdr>
        </w:div>
        <w:div w:id="894243074">
          <w:marLeft w:val="0"/>
          <w:marRight w:val="0"/>
          <w:marTop w:val="0"/>
          <w:marBottom w:val="180"/>
          <w:divBdr>
            <w:top w:val="none" w:sz="0" w:space="0" w:color="auto"/>
            <w:left w:val="none" w:sz="0" w:space="0" w:color="auto"/>
            <w:bottom w:val="none" w:sz="0" w:space="0" w:color="auto"/>
            <w:right w:val="none" w:sz="0" w:space="0" w:color="auto"/>
          </w:divBdr>
        </w:div>
        <w:div w:id="2072802725">
          <w:marLeft w:val="0"/>
          <w:marRight w:val="0"/>
          <w:marTop w:val="0"/>
          <w:marBottom w:val="180"/>
          <w:divBdr>
            <w:top w:val="none" w:sz="0" w:space="0" w:color="auto"/>
            <w:left w:val="none" w:sz="0" w:space="0" w:color="auto"/>
            <w:bottom w:val="none" w:sz="0" w:space="0" w:color="auto"/>
            <w:right w:val="none" w:sz="0" w:space="0" w:color="auto"/>
          </w:divBdr>
        </w:div>
        <w:div w:id="15224716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7353-B767-46F7-A60A-12C44A3F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Judge-John Murphy</dc:creator>
  <cp:lastModifiedBy>Molebogeng Raseroka</cp:lastModifiedBy>
  <cp:revision>2</cp:revision>
  <cp:lastPrinted>2023-12-01T11:56:00Z</cp:lastPrinted>
  <dcterms:created xsi:type="dcterms:W3CDTF">2024-03-20T08:43:00Z</dcterms:created>
  <dcterms:modified xsi:type="dcterms:W3CDTF">2024-03-20T08:43:00Z</dcterms:modified>
</cp:coreProperties>
</file>