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6B004" w14:textId="77777777" w:rsidR="00975CDE" w:rsidRPr="00975CDE" w:rsidRDefault="00975CDE" w:rsidP="00975CDE">
      <w:pPr>
        <w:jc w:val="center"/>
        <w:rPr>
          <w:rFonts w:ascii="Arial" w:hAnsi="Arial" w:cs="Arial"/>
          <w:b/>
        </w:rPr>
      </w:pPr>
      <w:r w:rsidRPr="00975CDE">
        <w:rPr>
          <w:rFonts w:ascii="Arial" w:hAnsi="Arial" w:cs="Arial"/>
          <w:b/>
        </w:rPr>
        <w:t>REPUBLIC OF SOUTH AFRICA</w:t>
      </w:r>
    </w:p>
    <w:p w14:paraId="5B6B41A6" w14:textId="77777777" w:rsidR="00975CDE" w:rsidRPr="00975CDE" w:rsidRDefault="00975CDE" w:rsidP="00975CDE">
      <w:pPr>
        <w:jc w:val="center"/>
        <w:rPr>
          <w:rFonts w:ascii="Arial" w:hAnsi="Arial" w:cs="Arial"/>
        </w:rPr>
      </w:pPr>
      <w:r w:rsidRPr="00975CDE">
        <w:rPr>
          <w:rFonts w:ascii="Arial" w:hAnsi="Arial" w:cs="Arial"/>
          <w:noProof/>
          <w:lang w:eastAsia="en-ZA"/>
        </w:rPr>
        <w:drawing>
          <wp:inline distT="0" distB="0" distL="0" distR="0" wp14:anchorId="3A60DB89" wp14:editId="70B95581">
            <wp:extent cx="1371600" cy="13747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4775"/>
                    </a:xfrm>
                    <a:prstGeom prst="rect">
                      <a:avLst/>
                    </a:prstGeom>
                    <a:noFill/>
                    <a:ln>
                      <a:noFill/>
                    </a:ln>
                  </pic:spPr>
                </pic:pic>
              </a:graphicData>
            </a:graphic>
          </wp:inline>
        </w:drawing>
      </w:r>
    </w:p>
    <w:p w14:paraId="3CC25FFC" w14:textId="77777777" w:rsidR="00975CDE" w:rsidRPr="00975CDE" w:rsidRDefault="00975CDE" w:rsidP="00975CDE">
      <w:pPr>
        <w:jc w:val="center"/>
        <w:rPr>
          <w:rFonts w:ascii="Arial" w:hAnsi="Arial" w:cs="Arial"/>
          <w:b/>
        </w:rPr>
      </w:pPr>
      <w:r w:rsidRPr="00975CDE">
        <w:rPr>
          <w:rFonts w:ascii="Arial" w:hAnsi="Arial" w:cs="Arial"/>
          <w:b/>
        </w:rPr>
        <w:t>IN THE HIGH COURT OF SOUTH AFRICA</w:t>
      </w:r>
    </w:p>
    <w:p w14:paraId="07E928DB" w14:textId="6CC8FBF3" w:rsidR="00975CDE" w:rsidRDefault="00975CDE" w:rsidP="00975CDE">
      <w:pPr>
        <w:jc w:val="center"/>
        <w:rPr>
          <w:rFonts w:ascii="Arial" w:hAnsi="Arial" w:cs="Arial"/>
          <w:b/>
        </w:rPr>
      </w:pPr>
      <w:r w:rsidRPr="00975CDE">
        <w:rPr>
          <w:rFonts w:ascii="Arial" w:hAnsi="Arial" w:cs="Arial"/>
          <w:b/>
        </w:rPr>
        <w:t>(GAUTENG DIVISION, PRETORIA)</w:t>
      </w:r>
    </w:p>
    <w:p w14:paraId="75768672" w14:textId="2747BA96" w:rsidR="00975CDE" w:rsidRDefault="00975CDE" w:rsidP="00975CDE">
      <w:pPr>
        <w:jc w:val="center"/>
        <w:rPr>
          <w:rFonts w:ascii="Arial" w:hAnsi="Arial" w:cs="Arial"/>
          <w:b/>
        </w:rPr>
      </w:pPr>
    </w:p>
    <w:p w14:paraId="799A60A1" w14:textId="77777777" w:rsidR="00382F30" w:rsidRDefault="00382F30" w:rsidP="00B81032">
      <w:pPr>
        <w:spacing w:line="360" w:lineRule="auto"/>
        <w:jc w:val="right"/>
        <w:rPr>
          <w:rFonts w:ascii="Arial" w:hAnsi="Arial" w:cs="Arial"/>
        </w:rPr>
      </w:pPr>
    </w:p>
    <w:p w14:paraId="388B8E66" w14:textId="77777777" w:rsidR="00382F30" w:rsidRDefault="00382F30" w:rsidP="00B81032">
      <w:pPr>
        <w:spacing w:line="360" w:lineRule="auto"/>
        <w:jc w:val="right"/>
        <w:rPr>
          <w:rFonts w:ascii="Arial" w:hAnsi="Arial" w:cs="Arial"/>
        </w:rPr>
      </w:pPr>
    </w:p>
    <w:tbl>
      <w:tblPr>
        <w:tblStyle w:val="TableGrid"/>
        <w:tblW w:w="0" w:type="auto"/>
        <w:tblLook w:val="04A0" w:firstRow="1" w:lastRow="0" w:firstColumn="1" w:lastColumn="0" w:noHBand="0" w:noVBand="1"/>
      </w:tblPr>
      <w:tblGrid>
        <w:gridCol w:w="6232"/>
      </w:tblGrid>
      <w:tr w:rsidR="006E7077" w14:paraId="5C509B75" w14:textId="77777777" w:rsidTr="0096206F">
        <w:trPr>
          <w:trHeight w:val="2184"/>
        </w:trPr>
        <w:tc>
          <w:tcPr>
            <w:tcW w:w="6232" w:type="dxa"/>
          </w:tcPr>
          <w:p w14:paraId="01EDC4BE" w14:textId="3A3FCB69" w:rsidR="006E7077" w:rsidRPr="00D56EE4" w:rsidRDefault="00D56EE4" w:rsidP="00D56EE4">
            <w:pPr>
              <w:ind w:left="720" w:hanging="360"/>
              <w:contextualSpacing/>
              <w:rPr>
                <w:rFonts w:ascii="Arial" w:hAnsi="Arial" w:cs="Arial"/>
              </w:rPr>
            </w:pPr>
            <w:r w:rsidRPr="006E7077">
              <w:rPr>
                <w:rFonts w:ascii="Arial" w:hAnsi="Arial" w:cs="Arial"/>
              </w:rPr>
              <w:t>(1)</w:t>
            </w:r>
            <w:r w:rsidRPr="006E7077">
              <w:rPr>
                <w:rFonts w:ascii="Arial" w:hAnsi="Arial" w:cs="Arial"/>
              </w:rPr>
              <w:tab/>
            </w:r>
            <w:r w:rsidR="006E7077" w:rsidRPr="00D56EE4">
              <w:rPr>
                <w:rFonts w:ascii="Arial" w:hAnsi="Arial" w:cs="Arial"/>
              </w:rPr>
              <w:t>REPORTABLE:    YES / NO</w:t>
            </w:r>
          </w:p>
          <w:p w14:paraId="19A17029" w14:textId="2A7763DC" w:rsidR="006E7077" w:rsidRPr="00D56EE4" w:rsidRDefault="00D56EE4" w:rsidP="00D56EE4">
            <w:pPr>
              <w:ind w:left="720" w:hanging="360"/>
              <w:contextualSpacing/>
              <w:rPr>
                <w:rFonts w:ascii="Arial" w:hAnsi="Arial" w:cs="Arial"/>
              </w:rPr>
            </w:pPr>
            <w:r w:rsidRPr="006E7077">
              <w:rPr>
                <w:rFonts w:ascii="Arial" w:hAnsi="Arial" w:cs="Arial"/>
              </w:rPr>
              <w:t>(2)</w:t>
            </w:r>
            <w:r w:rsidRPr="006E7077">
              <w:rPr>
                <w:rFonts w:ascii="Arial" w:hAnsi="Arial" w:cs="Arial"/>
              </w:rPr>
              <w:tab/>
            </w:r>
            <w:r w:rsidR="006E7077" w:rsidRPr="00D56EE4">
              <w:rPr>
                <w:rFonts w:ascii="Arial" w:hAnsi="Arial" w:cs="Arial"/>
              </w:rPr>
              <w:t>OF INTEREST TO OTHER JUDGES:   YES / NO</w:t>
            </w:r>
          </w:p>
          <w:p w14:paraId="6158A525" w14:textId="3E592F31" w:rsidR="006E7077" w:rsidRPr="00D56EE4" w:rsidRDefault="00D56EE4" w:rsidP="00D56EE4">
            <w:pPr>
              <w:ind w:left="720" w:hanging="360"/>
              <w:contextualSpacing/>
              <w:rPr>
                <w:rFonts w:ascii="Arial" w:hAnsi="Arial" w:cs="Arial"/>
              </w:rPr>
            </w:pPr>
            <w:r w:rsidRPr="006E7077">
              <w:rPr>
                <w:rFonts w:ascii="Arial" w:hAnsi="Arial" w:cs="Arial"/>
              </w:rPr>
              <w:t>(3)</w:t>
            </w:r>
            <w:r w:rsidRPr="006E7077">
              <w:rPr>
                <w:rFonts w:ascii="Arial" w:hAnsi="Arial" w:cs="Arial"/>
              </w:rPr>
              <w:tab/>
            </w:r>
            <w:r w:rsidR="006E7077" w:rsidRPr="00D56EE4">
              <w:rPr>
                <w:rFonts w:ascii="Arial" w:hAnsi="Arial" w:cs="Arial"/>
              </w:rPr>
              <w:t>REVISED:</w:t>
            </w:r>
          </w:p>
          <w:p w14:paraId="20C45B87" w14:textId="77777777" w:rsidR="006E7077" w:rsidRPr="006E7077" w:rsidRDefault="006E7077" w:rsidP="00AA7EA6">
            <w:pPr>
              <w:rPr>
                <w:rFonts w:ascii="Arial" w:hAnsi="Arial" w:cs="Arial"/>
              </w:rPr>
            </w:pPr>
          </w:p>
          <w:p w14:paraId="27F810C7" w14:textId="77777777" w:rsidR="006E7077" w:rsidRPr="006E7077" w:rsidRDefault="006E7077" w:rsidP="00AA7EA6">
            <w:pPr>
              <w:rPr>
                <w:rFonts w:ascii="Arial" w:hAnsi="Arial" w:cs="Arial"/>
              </w:rPr>
            </w:pPr>
            <w:r w:rsidRPr="006E7077">
              <w:rPr>
                <w:rFonts w:ascii="Arial" w:hAnsi="Arial" w:cs="Arial"/>
              </w:rPr>
              <w:t>__________________     _____________________</w:t>
            </w:r>
          </w:p>
          <w:p w14:paraId="72A867C0" w14:textId="77777777" w:rsidR="006E7077" w:rsidRPr="006E7077" w:rsidRDefault="006E7077" w:rsidP="00AA7EA6">
            <w:pPr>
              <w:rPr>
                <w:rFonts w:ascii="Arial" w:hAnsi="Arial" w:cs="Arial"/>
              </w:rPr>
            </w:pPr>
            <w:r w:rsidRPr="006E7077">
              <w:rPr>
                <w:rFonts w:ascii="Arial" w:hAnsi="Arial" w:cs="Arial"/>
              </w:rPr>
              <w:t>DATE                                   SIGNATURE</w:t>
            </w:r>
          </w:p>
          <w:p w14:paraId="41A11933" w14:textId="77777777" w:rsidR="006E7077" w:rsidRDefault="006E7077" w:rsidP="00AA7EA6"/>
        </w:tc>
      </w:tr>
    </w:tbl>
    <w:p w14:paraId="220326DB" w14:textId="38B1DF14" w:rsidR="00382F30" w:rsidRDefault="00382F30" w:rsidP="006E7077">
      <w:pPr>
        <w:spacing w:line="360" w:lineRule="auto"/>
        <w:rPr>
          <w:rFonts w:ascii="Arial" w:hAnsi="Arial" w:cs="Arial"/>
        </w:rPr>
      </w:pPr>
    </w:p>
    <w:p w14:paraId="12178817" w14:textId="04A3FBE5" w:rsidR="00B81032" w:rsidRPr="00913E1A" w:rsidRDefault="00B81032" w:rsidP="00B81032">
      <w:pPr>
        <w:spacing w:line="360" w:lineRule="auto"/>
        <w:jc w:val="right"/>
        <w:rPr>
          <w:rFonts w:ascii="Arial" w:hAnsi="Arial" w:cs="Arial"/>
        </w:rPr>
      </w:pPr>
      <w:r w:rsidRPr="00913E1A">
        <w:rPr>
          <w:rFonts w:ascii="Arial" w:hAnsi="Arial" w:cs="Arial"/>
        </w:rPr>
        <w:t xml:space="preserve">Case Number: </w:t>
      </w:r>
      <w:r w:rsidRPr="00913E1A">
        <w:rPr>
          <w:rFonts w:ascii="Arial" w:hAnsi="Arial" w:cs="Arial"/>
          <w:b/>
          <w:bCs/>
        </w:rPr>
        <w:t>54121/</w:t>
      </w:r>
      <w:r w:rsidR="00212D5E" w:rsidRPr="00913E1A">
        <w:rPr>
          <w:rFonts w:ascii="Arial" w:hAnsi="Arial" w:cs="Arial"/>
          <w:b/>
          <w:bCs/>
        </w:rPr>
        <w:t>20</w:t>
      </w:r>
      <w:r w:rsidRPr="00913E1A">
        <w:rPr>
          <w:rFonts w:ascii="Arial" w:hAnsi="Arial" w:cs="Arial"/>
          <w:b/>
          <w:bCs/>
        </w:rPr>
        <w:t>19</w:t>
      </w:r>
    </w:p>
    <w:p w14:paraId="2BCC9507" w14:textId="77777777" w:rsidR="00B81032" w:rsidRPr="00913E1A" w:rsidRDefault="00B81032" w:rsidP="00B81032">
      <w:pPr>
        <w:spacing w:line="360" w:lineRule="auto"/>
        <w:jc w:val="right"/>
        <w:rPr>
          <w:rFonts w:ascii="Arial" w:hAnsi="Arial" w:cs="Arial"/>
        </w:rPr>
      </w:pPr>
    </w:p>
    <w:p w14:paraId="627DE9A2" w14:textId="77777777" w:rsidR="00B81032" w:rsidRPr="00913E1A" w:rsidRDefault="00B81032" w:rsidP="00B81032">
      <w:pPr>
        <w:spacing w:line="360" w:lineRule="auto"/>
        <w:rPr>
          <w:rFonts w:ascii="Arial" w:hAnsi="Arial" w:cs="Arial"/>
        </w:rPr>
      </w:pPr>
      <w:r w:rsidRPr="00913E1A">
        <w:rPr>
          <w:rFonts w:ascii="Arial" w:hAnsi="Arial" w:cs="Arial"/>
        </w:rPr>
        <w:t>In the matter between:</w:t>
      </w:r>
    </w:p>
    <w:p w14:paraId="1378DF9E" w14:textId="77777777" w:rsidR="00B81032" w:rsidRPr="00913E1A" w:rsidRDefault="00B81032" w:rsidP="00B81032">
      <w:pPr>
        <w:spacing w:line="360" w:lineRule="auto"/>
        <w:rPr>
          <w:rFonts w:ascii="Arial" w:hAnsi="Arial" w:cs="Arial"/>
        </w:rPr>
      </w:pPr>
      <w:r w:rsidRPr="00913E1A">
        <w:rPr>
          <w:rFonts w:ascii="Arial" w:hAnsi="Arial" w:cs="Arial"/>
          <w:b/>
        </w:rPr>
        <w:t xml:space="preserve">KAREL JOHANNES VAN AS N.O.                            </w:t>
      </w:r>
      <w:r w:rsidR="00212D5E" w:rsidRPr="00913E1A">
        <w:rPr>
          <w:rFonts w:ascii="Arial" w:hAnsi="Arial" w:cs="Arial"/>
          <w:b/>
        </w:rPr>
        <w:t xml:space="preserve">          </w:t>
      </w:r>
      <w:r w:rsidR="00913E1A">
        <w:rPr>
          <w:rFonts w:ascii="Arial" w:hAnsi="Arial" w:cs="Arial"/>
          <w:b/>
        </w:rPr>
        <w:tab/>
      </w:r>
      <w:r w:rsidR="00913E1A">
        <w:rPr>
          <w:rFonts w:ascii="Arial" w:hAnsi="Arial" w:cs="Arial"/>
          <w:b/>
        </w:rPr>
        <w:tab/>
        <w:t xml:space="preserve">    </w:t>
      </w:r>
      <w:r w:rsidR="00212D5E" w:rsidRPr="00913E1A">
        <w:rPr>
          <w:rFonts w:ascii="Arial" w:hAnsi="Arial" w:cs="Arial"/>
        </w:rPr>
        <w:t>First Applicant</w:t>
      </w:r>
    </w:p>
    <w:p w14:paraId="1F277C3A" w14:textId="77777777" w:rsidR="00B81032" w:rsidRPr="00913E1A" w:rsidRDefault="00B81032" w:rsidP="00B81032">
      <w:pPr>
        <w:spacing w:line="360" w:lineRule="auto"/>
        <w:rPr>
          <w:rFonts w:ascii="Arial" w:hAnsi="Arial" w:cs="Arial"/>
        </w:rPr>
      </w:pPr>
      <w:r w:rsidRPr="00913E1A">
        <w:rPr>
          <w:rFonts w:ascii="Arial" w:hAnsi="Arial" w:cs="Arial"/>
          <w:b/>
        </w:rPr>
        <w:t xml:space="preserve">STAR STONE CRUSHERS CC                              </w:t>
      </w:r>
      <w:r w:rsidR="00212D5E" w:rsidRPr="00913E1A">
        <w:rPr>
          <w:rFonts w:ascii="Arial" w:hAnsi="Arial" w:cs="Arial"/>
          <w:b/>
        </w:rPr>
        <w:t xml:space="preserve">          </w:t>
      </w:r>
      <w:r w:rsidR="00913E1A">
        <w:rPr>
          <w:rFonts w:ascii="Arial" w:hAnsi="Arial" w:cs="Arial"/>
          <w:b/>
        </w:rPr>
        <w:tab/>
        <w:t xml:space="preserve">          </w:t>
      </w:r>
      <w:r w:rsidR="00212D5E" w:rsidRPr="00913E1A">
        <w:rPr>
          <w:rFonts w:ascii="Arial" w:hAnsi="Arial" w:cs="Arial"/>
        </w:rPr>
        <w:t xml:space="preserve">Second Applicant </w:t>
      </w:r>
    </w:p>
    <w:p w14:paraId="48D59004" w14:textId="77777777" w:rsidR="00B81032" w:rsidRPr="00913E1A" w:rsidRDefault="00B81032" w:rsidP="00B81032">
      <w:pPr>
        <w:spacing w:line="360" w:lineRule="auto"/>
        <w:rPr>
          <w:rFonts w:ascii="Arial" w:hAnsi="Arial" w:cs="Arial"/>
        </w:rPr>
      </w:pPr>
      <w:r w:rsidRPr="00913E1A">
        <w:rPr>
          <w:rFonts w:ascii="Arial" w:hAnsi="Arial" w:cs="Arial"/>
          <w:b/>
        </w:rPr>
        <w:t xml:space="preserve">KAREL JOHANNES VAN AS N.O.                           </w:t>
      </w:r>
      <w:r w:rsidR="00212D5E" w:rsidRPr="00913E1A">
        <w:rPr>
          <w:rFonts w:ascii="Arial" w:hAnsi="Arial" w:cs="Arial"/>
          <w:b/>
        </w:rPr>
        <w:t xml:space="preserve">         </w:t>
      </w:r>
      <w:r w:rsidR="00913E1A">
        <w:rPr>
          <w:rFonts w:ascii="Arial" w:hAnsi="Arial" w:cs="Arial"/>
          <w:b/>
        </w:rPr>
        <w:tab/>
      </w:r>
      <w:r w:rsidR="00913E1A">
        <w:rPr>
          <w:rFonts w:ascii="Arial" w:hAnsi="Arial" w:cs="Arial"/>
          <w:b/>
        </w:rPr>
        <w:tab/>
        <w:t xml:space="preserve">   </w:t>
      </w:r>
      <w:r w:rsidR="00212D5E" w:rsidRPr="00913E1A">
        <w:rPr>
          <w:rFonts w:ascii="Arial" w:hAnsi="Arial" w:cs="Arial"/>
        </w:rPr>
        <w:t>Third Applicant</w:t>
      </w:r>
    </w:p>
    <w:p w14:paraId="4402C637" w14:textId="77777777" w:rsidR="00B81032" w:rsidRPr="00913E1A" w:rsidRDefault="00B81032" w:rsidP="00B81032">
      <w:pPr>
        <w:spacing w:line="360" w:lineRule="auto"/>
        <w:rPr>
          <w:rFonts w:ascii="Arial" w:hAnsi="Arial" w:cs="Arial"/>
          <w:b/>
        </w:rPr>
      </w:pPr>
      <w:r w:rsidRPr="00913E1A">
        <w:rPr>
          <w:rFonts w:ascii="Arial" w:hAnsi="Arial" w:cs="Arial"/>
          <w:b/>
        </w:rPr>
        <w:t>CHRISTINE CATHERINE VAN AS N.O.</w:t>
      </w:r>
    </w:p>
    <w:p w14:paraId="77F0C36D" w14:textId="77777777" w:rsidR="00E8723F" w:rsidRDefault="00E8723F" w:rsidP="00B81032">
      <w:pPr>
        <w:spacing w:line="360" w:lineRule="auto"/>
        <w:rPr>
          <w:rFonts w:ascii="Arial" w:hAnsi="Arial" w:cs="Arial"/>
        </w:rPr>
      </w:pPr>
    </w:p>
    <w:p w14:paraId="397B00E0" w14:textId="66DE4458" w:rsidR="00B81032" w:rsidRPr="00913E1A" w:rsidRDefault="00B81032" w:rsidP="00B81032">
      <w:pPr>
        <w:spacing w:line="360" w:lineRule="auto"/>
        <w:rPr>
          <w:rFonts w:ascii="Arial" w:hAnsi="Arial" w:cs="Arial"/>
        </w:rPr>
      </w:pPr>
      <w:r w:rsidRPr="00913E1A">
        <w:rPr>
          <w:rFonts w:ascii="Arial" w:hAnsi="Arial" w:cs="Arial"/>
        </w:rPr>
        <w:t>and</w:t>
      </w:r>
    </w:p>
    <w:p w14:paraId="350D6D47" w14:textId="77777777" w:rsidR="00E8723F" w:rsidRDefault="00E8723F" w:rsidP="00B81032">
      <w:pPr>
        <w:spacing w:line="360" w:lineRule="auto"/>
        <w:rPr>
          <w:rFonts w:ascii="Arial" w:hAnsi="Arial" w:cs="Arial"/>
          <w:b/>
        </w:rPr>
      </w:pPr>
    </w:p>
    <w:p w14:paraId="3EDD637F" w14:textId="6A86162B" w:rsidR="00B81032" w:rsidRPr="00913E1A" w:rsidRDefault="00B81032" w:rsidP="00B81032">
      <w:pPr>
        <w:spacing w:line="360" w:lineRule="auto"/>
        <w:rPr>
          <w:rFonts w:ascii="Arial" w:hAnsi="Arial" w:cs="Arial"/>
        </w:rPr>
      </w:pPr>
      <w:r w:rsidRPr="00913E1A">
        <w:rPr>
          <w:rFonts w:ascii="Arial" w:hAnsi="Arial" w:cs="Arial"/>
          <w:b/>
        </w:rPr>
        <w:t xml:space="preserve">GETRUIDA SUSANNA JACOBS N.O.                   </w:t>
      </w:r>
      <w:r w:rsidR="00212D5E" w:rsidRPr="00913E1A">
        <w:rPr>
          <w:rFonts w:ascii="Arial" w:hAnsi="Arial" w:cs="Arial"/>
          <w:b/>
        </w:rPr>
        <w:t xml:space="preserve">          </w:t>
      </w:r>
      <w:r w:rsidR="00913E1A">
        <w:rPr>
          <w:rFonts w:ascii="Arial" w:hAnsi="Arial" w:cs="Arial"/>
          <w:b/>
        </w:rPr>
        <w:tab/>
        <w:t xml:space="preserve">          </w:t>
      </w:r>
      <w:r w:rsidR="00212D5E" w:rsidRPr="00913E1A">
        <w:rPr>
          <w:rFonts w:ascii="Arial" w:hAnsi="Arial" w:cs="Arial"/>
        </w:rPr>
        <w:t>First Respondent</w:t>
      </w:r>
    </w:p>
    <w:p w14:paraId="4E3EDBF9" w14:textId="77777777" w:rsidR="00B81032" w:rsidRPr="00913E1A" w:rsidRDefault="00B81032" w:rsidP="00B81032">
      <w:pPr>
        <w:spacing w:line="360" w:lineRule="auto"/>
        <w:rPr>
          <w:rFonts w:ascii="Arial" w:hAnsi="Arial" w:cs="Arial"/>
          <w:b/>
        </w:rPr>
      </w:pPr>
      <w:r w:rsidRPr="00913E1A">
        <w:rPr>
          <w:rFonts w:ascii="Arial" w:hAnsi="Arial" w:cs="Arial"/>
          <w:b/>
        </w:rPr>
        <w:t xml:space="preserve">DAWID MATTHEE N.O.                                  </w:t>
      </w:r>
      <w:r w:rsidR="00212D5E" w:rsidRPr="00913E1A">
        <w:rPr>
          <w:rFonts w:ascii="Arial" w:hAnsi="Arial" w:cs="Arial"/>
          <w:b/>
        </w:rPr>
        <w:t xml:space="preserve">          </w:t>
      </w:r>
      <w:r w:rsidR="00913E1A">
        <w:rPr>
          <w:rFonts w:ascii="Arial" w:hAnsi="Arial" w:cs="Arial"/>
          <w:b/>
        </w:rPr>
        <w:tab/>
      </w:r>
      <w:r w:rsidR="00913E1A">
        <w:rPr>
          <w:rFonts w:ascii="Arial" w:hAnsi="Arial" w:cs="Arial"/>
          <w:b/>
        </w:rPr>
        <w:tab/>
        <w:t xml:space="preserve">     </w:t>
      </w:r>
      <w:r w:rsidR="00212D5E" w:rsidRPr="00913E1A">
        <w:rPr>
          <w:rFonts w:ascii="Arial" w:hAnsi="Arial" w:cs="Arial"/>
        </w:rPr>
        <w:t>Second Respondent</w:t>
      </w:r>
      <w:r w:rsidR="00212D5E" w:rsidRPr="00913E1A">
        <w:rPr>
          <w:rFonts w:ascii="Arial" w:hAnsi="Arial" w:cs="Arial"/>
          <w:b/>
        </w:rPr>
        <w:t xml:space="preserve"> </w:t>
      </w:r>
    </w:p>
    <w:p w14:paraId="5C89BB51" w14:textId="77777777" w:rsidR="00B81032" w:rsidRPr="00913E1A" w:rsidRDefault="00B81032" w:rsidP="00B81032">
      <w:pPr>
        <w:spacing w:line="360" w:lineRule="auto"/>
        <w:rPr>
          <w:rFonts w:ascii="Arial" w:hAnsi="Arial" w:cs="Arial"/>
        </w:rPr>
      </w:pPr>
      <w:r w:rsidRPr="00913E1A">
        <w:rPr>
          <w:rFonts w:ascii="Arial" w:hAnsi="Arial" w:cs="Arial"/>
          <w:b/>
        </w:rPr>
        <w:t xml:space="preserve">GETRUIDA SUSANNA JACOBS N.O.                  </w:t>
      </w:r>
      <w:r w:rsidR="00212D5E" w:rsidRPr="00913E1A">
        <w:rPr>
          <w:rFonts w:ascii="Arial" w:hAnsi="Arial" w:cs="Arial"/>
          <w:b/>
        </w:rPr>
        <w:t xml:space="preserve">         </w:t>
      </w:r>
      <w:r w:rsidR="00913E1A">
        <w:rPr>
          <w:rFonts w:ascii="Arial" w:hAnsi="Arial" w:cs="Arial"/>
          <w:b/>
        </w:rPr>
        <w:tab/>
        <w:t xml:space="preserve">         </w:t>
      </w:r>
      <w:r w:rsidR="00212D5E" w:rsidRPr="00913E1A">
        <w:rPr>
          <w:rFonts w:ascii="Arial" w:hAnsi="Arial" w:cs="Arial"/>
        </w:rPr>
        <w:t>Third Respondent</w:t>
      </w:r>
    </w:p>
    <w:p w14:paraId="2AE406CB" w14:textId="77777777" w:rsidR="00B81032" w:rsidRPr="00913E1A" w:rsidRDefault="00B81032" w:rsidP="00B81032">
      <w:pPr>
        <w:spacing w:line="360" w:lineRule="auto"/>
        <w:rPr>
          <w:rFonts w:ascii="Arial" w:hAnsi="Arial" w:cs="Arial"/>
          <w:b/>
        </w:rPr>
      </w:pPr>
      <w:r w:rsidRPr="00913E1A">
        <w:rPr>
          <w:rFonts w:ascii="Arial" w:hAnsi="Arial" w:cs="Arial"/>
          <w:b/>
        </w:rPr>
        <w:t xml:space="preserve">DAWID MATTHEE N.O.                                   </w:t>
      </w:r>
      <w:r w:rsidR="00212D5E" w:rsidRPr="00913E1A">
        <w:rPr>
          <w:rFonts w:ascii="Arial" w:hAnsi="Arial" w:cs="Arial"/>
          <w:b/>
        </w:rPr>
        <w:t xml:space="preserve">          </w:t>
      </w:r>
      <w:r w:rsidR="00913E1A">
        <w:rPr>
          <w:rFonts w:ascii="Arial" w:hAnsi="Arial" w:cs="Arial"/>
          <w:b/>
        </w:rPr>
        <w:tab/>
      </w:r>
      <w:r w:rsidR="00913E1A">
        <w:rPr>
          <w:rFonts w:ascii="Arial" w:hAnsi="Arial" w:cs="Arial"/>
          <w:b/>
        </w:rPr>
        <w:tab/>
        <w:t xml:space="preserve">       </w:t>
      </w:r>
      <w:r w:rsidR="00212D5E" w:rsidRPr="00913E1A">
        <w:rPr>
          <w:rFonts w:ascii="Arial" w:hAnsi="Arial" w:cs="Arial"/>
        </w:rPr>
        <w:t>Fourth Respondent</w:t>
      </w:r>
      <w:r w:rsidR="00212D5E" w:rsidRPr="00913E1A">
        <w:rPr>
          <w:rFonts w:ascii="Arial" w:hAnsi="Arial" w:cs="Arial"/>
          <w:b/>
        </w:rPr>
        <w:t xml:space="preserve"> </w:t>
      </w:r>
    </w:p>
    <w:p w14:paraId="08E55099" w14:textId="77777777" w:rsidR="00B81032" w:rsidRPr="00913E1A" w:rsidRDefault="00B81032" w:rsidP="00B81032">
      <w:pPr>
        <w:spacing w:line="360" w:lineRule="auto"/>
        <w:rPr>
          <w:rFonts w:ascii="Arial" w:hAnsi="Arial" w:cs="Arial"/>
          <w:b/>
        </w:rPr>
      </w:pPr>
      <w:r w:rsidRPr="00913E1A">
        <w:rPr>
          <w:rFonts w:ascii="Arial" w:hAnsi="Arial" w:cs="Arial"/>
          <w:b/>
        </w:rPr>
        <w:t xml:space="preserve">DAWID MATTHEE N.O.                                      </w:t>
      </w:r>
      <w:r w:rsidR="00212D5E" w:rsidRPr="00913E1A">
        <w:rPr>
          <w:rFonts w:ascii="Arial" w:hAnsi="Arial" w:cs="Arial"/>
          <w:b/>
        </w:rPr>
        <w:t xml:space="preserve">          </w:t>
      </w:r>
      <w:r w:rsidR="00913E1A">
        <w:rPr>
          <w:rFonts w:ascii="Arial" w:hAnsi="Arial" w:cs="Arial"/>
          <w:b/>
        </w:rPr>
        <w:tab/>
        <w:t xml:space="preserve">          </w:t>
      </w:r>
      <w:r w:rsidR="00212D5E" w:rsidRPr="00913E1A">
        <w:rPr>
          <w:rFonts w:ascii="Arial" w:hAnsi="Arial" w:cs="Arial"/>
        </w:rPr>
        <w:t>Fifth Respondent</w:t>
      </w:r>
      <w:r w:rsidR="00212D5E" w:rsidRPr="00913E1A">
        <w:rPr>
          <w:rFonts w:ascii="Arial" w:hAnsi="Arial" w:cs="Arial"/>
          <w:b/>
        </w:rPr>
        <w:t xml:space="preserve"> </w:t>
      </w:r>
    </w:p>
    <w:p w14:paraId="6051AF8F" w14:textId="77777777" w:rsidR="00B81032" w:rsidRPr="00913E1A" w:rsidRDefault="00B81032" w:rsidP="00B81032">
      <w:pPr>
        <w:spacing w:line="360" w:lineRule="auto"/>
        <w:rPr>
          <w:rFonts w:ascii="Arial" w:hAnsi="Arial" w:cs="Arial"/>
        </w:rPr>
      </w:pPr>
      <w:r w:rsidRPr="00913E1A">
        <w:rPr>
          <w:rFonts w:ascii="Arial" w:hAnsi="Arial" w:cs="Arial"/>
          <w:b/>
        </w:rPr>
        <w:t xml:space="preserve">CYNTHIA MATTHEE N.O.                                   </w:t>
      </w:r>
      <w:r w:rsidR="00212D5E" w:rsidRPr="00913E1A">
        <w:rPr>
          <w:rFonts w:ascii="Arial" w:hAnsi="Arial" w:cs="Arial"/>
          <w:b/>
        </w:rPr>
        <w:t xml:space="preserve">         </w:t>
      </w:r>
      <w:r w:rsidR="00913E1A">
        <w:rPr>
          <w:rFonts w:ascii="Arial" w:hAnsi="Arial" w:cs="Arial"/>
          <w:b/>
        </w:rPr>
        <w:tab/>
        <w:t xml:space="preserve">         </w:t>
      </w:r>
      <w:r w:rsidR="00212D5E" w:rsidRPr="00913E1A">
        <w:rPr>
          <w:rFonts w:ascii="Arial" w:hAnsi="Arial" w:cs="Arial"/>
        </w:rPr>
        <w:t>Sixth Respondent</w:t>
      </w:r>
    </w:p>
    <w:p w14:paraId="38C8E0B5" w14:textId="77777777" w:rsidR="00B81032" w:rsidRPr="00913E1A" w:rsidRDefault="00B81032" w:rsidP="00B81032">
      <w:pPr>
        <w:spacing w:line="360" w:lineRule="auto"/>
        <w:rPr>
          <w:rFonts w:ascii="Arial" w:hAnsi="Arial" w:cs="Arial"/>
        </w:rPr>
      </w:pPr>
      <w:r w:rsidRPr="00913E1A">
        <w:rPr>
          <w:rFonts w:ascii="Arial" w:hAnsi="Arial" w:cs="Arial"/>
          <w:b/>
        </w:rPr>
        <w:t xml:space="preserve">GERTRUIDA SUSANNA JACOBS                   </w:t>
      </w:r>
      <w:r w:rsidR="00212D5E" w:rsidRPr="00913E1A">
        <w:rPr>
          <w:rFonts w:ascii="Arial" w:hAnsi="Arial" w:cs="Arial"/>
          <w:b/>
        </w:rPr>
        <w:t xml:space="preserve">          </w:t>
      </w:r>
      <w:r w:rsidR="00913E1A">
        <w:rPr>
          <w:rFonts w:ascii="Arial" w:hAnsi="Arial" w:cs="Arial"/>
          <w:b/>
        </w:rPr>
        <w:tab/>
      </w:r>
      <w:r w:rsidR="00913E1A">
        <w:rPr>
          <w:rFonts w:ascii="Arial" w:hAnsi="Arial" w:cs="Arial"/>
          <w:b/>
        </w:rPr>
        <w:tab/>
        <w:t xml:space="preserve">    </w:t>
      </w:r>
      <w:r w:rsidR="00212D5E" w:rsidRPr="00913E1A">
        <w:rPr>
          <w:rFonts w:ascii="Arial" w:hAnsi="Arial" w:cs="Arial"/>
        </w:rPr>
        <w:t>Seventh Respondent</w:t>
      </w:r>
    </w:p>
    <w:p w14:paraId="0D615ED7" w14:textId="77777777" w:rsidR="00B81032" w:rsidRPr="00913E1A" w:rsidRDefault="00B81032" w:rsidP="00B81032">
      <w:pPr>
        <w:spacing w:line="360" w:lineRule="auto"/>
        <w:rPr>
          <w:rFonts w:ascii="Arial" w:hAnsi="Arial" w:cs="Arial"/>
        </w:rPr>
      </w:pPr>
      <w:r w:rsidRPr="00913E1A">
        <w:rPr>
          <w:rFonts w:ascii="Arial" w:hAnsi="Arial" w:cs="Arial"/>
          <w:b/>
        </w:rPr>
        <w:lastRenderedPageBreak/>
        <w:t xml:space="preserve">DAWID MATTHEE                                            </w:t>
      </w:r>
      <w:r w:rsidR="00212D5E" w:rsidRPr="00913E1A">
        <w:rPr>
          <w:rFonts w:ascii="Arial" w:hAnsi="Arial" w:cs="Arial"/>
          <w:b/>
        </w:rPr>
        <w:t xml:space="preserve">         </w:t>
      </w:r>
      <w:r w:rsidR="00913E1A">
        <w:rPr>
          <w:rFonts w:ascii="Arial" w:hAnsi="Arial" w:cs="Arial"/>
          <w:b/>
        </w:rPr>
        <w:tab/>
      </w:r>
      <w:r w:rsidR="00913E1A">
        <w:rPr>
          <w:rFonts w:ascii="Arial" w:hAnsi="Arial" w:cs="Arial"/>
          <w:b/>
        </w:rPr>
        <w:tab/>
        <w:t xml:space="preserve">       </w:t>
      </w:r>
      <w:r w:rsidR="00212D5E" w:rsidRPr="00913E1A">
        <w:rPr>
          <w:rFonts w:ascii="Arial" w:hAnsi="Arial" w:cs="Arial"/>
        </w:rPr>
        <w:t>Eighth Respondent</w:t>
      </w:r>
    </w:p>
    <w:p w14:paraId="6B8024D6" w14:textId="77777777" w:rsidR="00B81032" w:rsidRPr="00913E1A" w:rsidRDefault="00B81032" w:rsidP="00B81032">
      <w:pPr>
        <w:spacing w:line="360" w:lineRule="auto"/>
        <w:rPr>
          <w:rFonts w:ascii="Arial" w:hAnsi="Arial" w:cs="Arial"/>
          <w:b/>
        </w:rPr>
      </w:pPr>
      <w:r w:rsidRPr="00913E1A">
        <w:rPr>
          <w:rFonts w:ascii="Arial" w:hAnsi="Arial" w:cs="Arial"/>
          <w:b/>
        </w:rPr>
        <w:t xml:space="preserve">THE MASTER OF THE HIGH COURT, PRETORIA       </w:t>
      </w:r>
      <w:r w:rsidR="00913E1A">
        <w:rPr>
          <w:rFonts w:ascii="Arial" w:hAnsi="Arial" w:cs="Arial"/>
          <w:b/>
        </w:rPr>
        <w:t xml:space="preserve"> </w:t>
      </w:r>
      <w:r w:rsidR="00913E1A">
        <w:rPr>
          <w:rFonts w:ascii="Arial" w:hAnsi="Arial" w:cs="Arial"/>
          <w:b/>
        </w:rPr>
        <w:tab/>
        <w:t xml:space="preserve">         </w:t>
      </w:r>
      <w:r w:rsidR="00913E1A" w:rsidRPr="00913E1A">
        <w:rPr>
          <w:rFonts w:ascii="Arial" w:hAnsi="Arial" w:cs="Arial"/>
        </w:rPr>
        <w:t>Ninth Respondent</w:t>
      </w:r>
      <w:r w:rsidRPr="00913E1A">
        <w:rPr>
          <w:rFonts w:ascii="Arial" w:hAnsi="Arial" w:cs="Arial"/>
          <w:b/>
        </w:rPr>
        <w:t xml:space="preserve">                                          </w:t>
      </w:r>
      <w:r w:rsidR="00212D5E" w:rsidRPr="00913E1A">
        <w:rPr>
          <w:rFonts w:ascii="Arial" w:hAnsi="Arial" w:cs="Arial"/>
          <w:b/>
        </w:rPr>
        <w:t xml:space="preserve">   </w:t>
      </w:r>
    </w:p>
    <w:p w14:paraId="2E121191" w14:textId="77777777" w:rsidR="00B81032" w:rsidRPr="00913E1A" w:rsidRDefault="000867E6" w:rsidP="00B81032">
      <w:pPr>
        <w:spacing w:line="360" w:lineRule="auto"/>
        <w:rPr>
          <w:rFonts w:ascii="Arial" w:hAnsi="Arial" w:cs="Arial"/>
        </w:rPr>
      </w:pPr>
      <w:r w:rsidRPr="00913E1A">
        <w:rPr>
          <w:rFonts w:ascii="Arial" w:hAnsi="Arial" w:cs="Arial"/>
          <w:b/>
        </w:rPr>
        <w:t>MIDCITY</w:t>
      </w:r>
      <w:r w:rsidR="00B81032" w:rsidRPr="00913E1A">
        <w:rPr>
          <w:rFonts w:ascii="Arial" w:hAnsi="Arial" w:cs="Arial"/>
          <w:b/>
        </w:rPr>
        <w:t xml:space="preserve"> PROPERTY SERVICES (PTY) LTD     </w:t>
      </w:r>
      <w:r w:rsidR="00212D5E" w:rsidRPr="00913E1A">
        <w:rPr>
          <w:rFonts w:ascii="Arial" w:hAnsi="Arial" w:cs="Arial"/>
          <w:b/>
        </w:rPr>
        <w:t xml:space="preserve">         </w:t>
      </w:r>
      <w:r w:rsidR="008B15D4">
        <w:rPr>
          <w:rFonts w:ascii="Arial" w:hAnsi="Arial" w:cs="Arial"/>
          <w:b/>
        </w:rPr>
        <w:tab/>
        <w:t xml:space="preserve">        </w:t>
      </w:r>
      <w:r w:rsidR="00212D5E" w:rsidRPr="00913E1A">
        <w:rPr>
          <w:rFonts w:ascii="Arial" w:hAnsi="Arial" w:cs="Arial"/>
        </w:rPr>
        <w:t>Tenth Respondent</w:t>
      </w:r>
    </w:p>
    <w:p w14:paraId="0638A9D7" w14:textId="77777777" w:rsidR="00B81032" w:rsidRPr="00913E1A" w:rsidRDefault="00B81032" w:rsidP="00B81032">
      <w:pPr>
        <w:spacing w:line="360" w:lineRule="auto"/>
        <w:rPr>
          <w:rFonts w:ascii="Arial" w:hAnsi="Arial" w:cs="Arial"/>
        </w:rPr>
      </w:pPr>
      <w:r w:rsidRPr="00913E1A">
        <w:rPr>
          <w:rFonts w:ascii="Arial" w:hAnsi="Arial" w:cs="Arial"/>
          <w:b/>
        </w:rPr>
        <w:t xml:space="preserve">FREDERIK JOHANNES VAN AS N.O.           </w:t>
      </w:r>
      <w:r w:rsidR="00212D5E" w:rsidRPr="00913E1A">
        <w:rPr>
          <w:rFonts w:ascii="Arial" w:hAnsi="Arial" w:cs="Arial"/>
          <w:b/>
        </w:rPr>
        <w:t xml:space="preserve">          </w:t>
      </w:r>
      <w:r w:rsidR="008B15D4">
        <w:rPr>
          <w:rFonts w:ascii="Arial" w:hAnsi="Arial" w:cs="Arial"/>
          <w:b/>
        </w:rPr>
        <w:tab/>
      </w:r>
      <w:r w:rsidR="008B15D4">
        <w:rPr>
          <w:rFonts w:ascii="Arial" w:hAnsi="Arial" w:cs="Arial"/>
          <w:b/>
        </w:rPr>
        <w:tab/>
        <w:t xml:space="preserve">   </w:t>
      </w:r>
      <w:r w:rsidR="00212D5E" w:rsidRPr="00913E1A">
        <w:rPr>
          <w:rFonts w:ascii="Arial" w:hAnsi="Arial" w:cs="Arial"/>
        </w:rPr>
        <w:t>Eleventh Respondent</w:t>
      </w:r>
    </w:p>
    <w:p w14:paraId="46D85F7E" w14:textId="77777777" w:rsidR="00B81032" w:rsidRPr="00913E1A" w:rsidRDefault="00B81032" w:rsidP="00B81032">
      <w:pPr>
        <w:spacing w:line="360" w:lineRule="auto"/>
        <w:rPr>
          <w:rFonts w:ascii="Arial" w:hAnsi="Arial" w:cs="Arial"/>
        </w:rPr>
      </w:pPr>
      <w:r w:rsidRPr="00913E1A">
        <w:rPr>
          <w:rFonts w:ascii="Arial" w:hAnsi="Arial" w:cs="Arial"/>
          <w:b/>
        </w:rPr>
        <w:t xml:space="preserve">CHANTELL VAN AS N.O.                               </w:t>
      </w:r>
      <w:r w:rsidR="00212D5E" w:rsidRPr="00913E1A">
        <w:rPr>
          <w:rFonts w:ascii="Arial" w:hAnsi="Arial" w:cs="Arial"/>
          <w:b/>
        </w:rPr>
        <w:t xml:space="preserve">           </w:t>
      </w:r>
      <w:r w:rsidR="008B15D4">
        <w:rPr>
          <w:rFonts w:ascii="Arial" w:hAnsi="Arial" w:cs="Arial"/>
          <w:b/>
        </w:rPr>
        <w:tab/>
      </w:r>
      <w:r w:rsidR="008B15D4">
        <w:rPr>
          <w:rFonts w:ascii="Arial" w:hAnsi="Arial" w:cs="Arial"/>
          <w:b/>
        </w:rPr>
        <w:tab/>
        <w:t xml:space="preserve">      </w:t>
      </w:r>
      <w:r w:rsidR="00212D5E" w:rsidRPr="00913E1A">
        <w:rPr>
          <w:rFonts w:ascii="Arial" w:hAnsi="Arial" w:cs="Arial"/>
        </w:rPr>
        <w:t>Twelfth Respondent</w:t>
      </w:r>
    </w:p>
    <w:p w14:paraId="75D43C10" w14:textId="77777777" w:rsidR="00B81032" w:rsidRPr="008B15D4" w:rsidRDefault="00B81032" w:rsidP="00B81032">
      <w:pPr>
        <w:spacing w:line="360" w:lineRule="auto"/>
        <w:rPr>
          <w:rFonts w:ascii="Arial" w:hAnsi="Arial" w:cs="Arial"/>
          <w:b/>
        </w:rPr>
      </w:pPr>
      <w:r w:rsidRPr="00913E1A">
        <w:rPr>
          <w:rFonts w:ascii="Arial" w:hAnsi="Arial" w:cs="Arial"/>
          <w:b/>
        </w:rPr>
        <w:t xml:space="preserve">FERDINAND SMARTENRYK DEVENIER N.O.               </w:t>
      </w:r>
      <w:r w:rsidR="008B15D4">
        <w:rPr>
          <w:rFonts w:ascii="Arial" w:hAnsi="Arial" w:cs="Arial"/>
          <w:b/>
        </w:rPr>
        <w:tab/>
        <w:t xml:space="preserve"> </w:t>
      </w:r>
      <w:r w:rsidR="008B15D4" w:rsidRPr="00913E1A">
        <w:rPr>
          <w:rFonts w:ascii="Arial" w:hAnsi="Arial" w:cs="Arial"/>
        </w:rPr>
        <w:t>Thirteenth Respondent</w:t>
      </w:r>
      <w:r w:rsidR="008B15D4" w:rsidRPr="00913E1A">
        <w:rPr>
          <w:rFonts w:ascii="Arial" w:hAnsi="Arial" w:cs="Arial"/>
          <w:b/>
        </w:rPr>
        <w:t xml:space="preserve">        </w:t>
      </w:r>
      <w:r w:rsidRPr="00913E1A">
        <w:rPr>
          <w:rFonts w:ascii="Arial" w:hAnsi="Arial" w:cs="Arial"/>
          <w:b/>
        </w:rPr>
        <w:t xml:space="preserve">                 FREDERIK JOHANNES VAN AS               </w:t>
      </w:r>
      <w:r w:rsidR="00212D5E" w:rsidRPr="00913E1A">
        <w:rPr>
          <w:rFonts w:ascii="Arial" w:hAnsi="Arial" w:cs="Arial"/>
          <w:b/>
        </w:rPr>
        <w:tab/>
        <w:t xml:space="preserve">     </w:t>
      </w:r>
      <w:r w:rsidR="008B15D4">
        <w:rPr>
          <w:rFonts w:ascii="Arial" w:hAnsi="Arial" w:cs="Arial"/>
          <w:b/>
        </w:rPr>
        <w:tab/>
      </w:r>
      <w:r w:rsidR="008B15D4">
        <w:rPr>
          <w:rFonts w:ascii="Arial" w:hAnsi="Arial" w:cs="Arial"/>
          <w:b/>
        </w:rPr>
        <w:tab/>
      </w:r>
      <w:r w:rsidR="00212D5E" w:rsidRPr="00913E1A">
        <w:rPr>
          <w:rFonts w:ascii="Arial" w:hAnsi="Arial" w:cs="Arial"/>
        </w:rPr>
        <w:t>Fourteenth Respondent</w:t>
      </w:r>
    </w:p>
    <w:p w14:paraId="6A11231A" w14:textId="77777777" w:rsidR="00212D5E" w:rsidRPr="00913E1A" w:rsidRDefault="00212D5E" w:rsidP="00B81032">
      <w:pPr>
        <w:spacing w:line="360" w:lineRule="auto"/>
        <w:rPr>
          <w:rFonts w:ascii="Arial" w:hAnsi="Arial" w:cs="Arial"/>
        </w:rPr>
      </w:pPr>
    </w:p>
    <w:p w14:paraId="2E7C8EDD" w14:textId="77777777" w:rsidR="00B81032" w:rsidRPr="00913E1A" w:rsidRDefault="00B81032" w:rsidP="00B81032">
      <w:pPr>
        <w:pBdr>
          <w:top w:val="single" w:sz="4" w:space="1" w:color="auto"/>
        </w:pBdr>
        <w:spacing w:line="360" w:lineRule="auto"/>
        <w:rPr>
          <w:rFonts w:ascii="Arial" w:hAnsi="Arial" w:cs="Arial"/>
        </w:rPr>
      </w:pPr>
    </w:p>
    <w:p w14:paraId="7B8175C5" w14:textId="77777777" w:rsidR="00B81032" w:rsidRPr="00913E1A" w:rsidRDefault="00212D5E" w:rsidP="00B81032">
      <w:pPr>
        <w:spacing w:line="360" w:lineRule="auto"/>
        <w:jc w:val="center"/>
        <w:rPr>
          <w:rFonts w:ascii="Arial" w:hAnsi="Arial" w:cs="Arial"/>
          <w:b/>
        </w:rPr>
      </w:pPr>
      <w:r w:rsidRPr="00913E1A">
        <w:rPr>
          <w:rFonts w:ascii="Arial" w:hAnsi="Arial" w:cs="Arial"/>
          <w:b/>
        </w:rPr>
        <w:t>JUDGMENT</w:t>
      </w:r>
    </w:p>
    <w:p w14:paraId="308FFD54" w14:textId="77777777" w:rsidR="00B81032" w:rsidRPr="00913E1A" w:rsidRDefault="007376FA" w:rsidP="007426CB">
      <w:pPr>
        <w:spacing w:line="360" w:lineRule="auto"/>
        <w:jc w:val="both"/>
        <w:rPr>
          <w:rFonts w:ascii="Arial" w:hAnsi="Arial" w:cs="Arial"/>
        </w:rPr>
      </w:pPr>
      <w:r w:rsidRPr="00913E1A">
        <w:rPr>
          <w:rFonts w:ascii="Arial" w:hAnsi="Arial" w:cs="Arial"/>
        </w:rPr>
        <w:t>_____</w:t>
      </w:r>
      <w:r w:rsidR="00B81032" w:rsidRPr="00913E1A">
        <w:rPr>
          <w:rFonts w:ascii="Arial" w:hAnsi="Arial" w:cs="Arial"/>
        </w:rPr>
        <w:t>__________________________________________</w:t>
      </w:r>
      <w:r w:rsidR="007426CB" w:rsidRPr="00913E1A">
        <w:rPr>
          <w:rFonts w:ascii="Arial" w:hAnsi="Arial" w:cs="Arial"/>
        </w:rPr>
        <w:t>_________</w:t>
      </w:r>
      <w:r w:rsidR="008B15D4">
        <w:rPr>
          <w:rFonts w:ascii="Arial" w:hAnsi="Arial" w:cs="Arial"/>
        </w:rPr>
        <w:t>________</w:t>
      </w:r>
      <w:r w:rsidR="007426CB" w:rsidRPr="00913E1A">
        <w:rPr>
          <w:rFonts w:ascii="Arial" w:hAnsi="Arial" w:cs="Arial"/>
        </w:rPr>
        <w:t>___</w:t>
      </w:r>
    </w:p>
    <w:p w14:paraId="1EF6559C" w14:textId="77777777" w:rsidR="00762B8B" w:rsidRPr="00913E1A" w:rsidRDefault="00762B8B" w:rsidP="007426CB">
      <w:pPr>
        <w:spacing w:line="360" w:lineRule="auto"/>
        <w:jc w:val="both"/>
        <w:rPr>
          <w:rFonts w:ascii="Arial" w:hAnsi="Arial" w:cs="Arial"/>
          <w:b/>
          <w:u w:val="single"/>
        </w:rPr>
      </w:pPr>
    </w:p>
    <w:p w14:paraId="6B3F1032" w14:textId="77777777" w:rsidR="00762B8B" w:rsidRPr="008B15D4" w:rsidRDefault="00691F12" w:rsidP="007426CB">
      <w:pPr>
        <w:spacing w:line="360" w:lineRule="auto"/>
        <w:jc w:val="both"/>
        <w:rPr>
          <w:rFonts w:ascii="Arial" w:hAnsi="Arial" w:cs="Arial"/>
          <w:b/>
        </w:rPr>
      </w:pPr>
      <w:r w:rsidRPr="008B15D4">
        <w:rPr>
          <w:rFonts w:ascii="Arial" w:hAnsi="Arial" w:cs="Arial"/>
          <w:b/>
        </w:rPr>
        <w:t>T P Krüger AJ:</w:t>
      </w:r>
    </w:p>
    <w:p w14:paraId="6D5D35CA" w14:textId="77777777" w:rsidR="008B15D4" w:rsidRDefault="008B15D4" w:rsidP="00CF0BB1">
      <w:pPr>
        <w:spacing w:line="360" w:lineRule="auto"/>
        <w:ind w:left="1134" w:hanging="1134"/>
        <w:jc w:val="both"/>
        <w:rPr>
          <w:rFonts w:ascii="Arial" w:hAnsi="Arial" w:cs="Arial"/>
          <w:bCs/>
        </w:rPr>
      </w:pPr>
    </w:p>
    <w:p w14:paraId="2BE56851" w14:textId="273E67C3" w:rsidR="003B2876" w:rsidRPr="00913E1A" w:rsidRDefault="00691F12" w:rsidP="00CF0BB1">
      <w:pPr>
        <w:spacing w:line="360" w:lineRule="auto"/>
        <w:ind w:left="1134" w:hanging="1134"/>
        <w:jc w:val="both"/>
        <w:rPr>
          <w:rFonts w:ascii="Arial" w:hAnsi="Arial" w:cs="Arial"/>
        </w:rPr>
      </w:pPr>
      <w:r w:rsidRPr="00913E1A">
        <w:rPr>
          <w:rFonts w:ascii="Arial" w:hAnsi="Arial" w:cs="Arial"/>
          <w:bCs/>
        </w:rPr>
        <w:t>[1]</w:t>
      </w:r>
      <w:r w:rsidRPr="00913E1A">
        <w:rPr>
          <w:rFonts w:ascii="Arial" w:hAnsi="Arial" w:cs="Arial"/>
        </w:rPr>
        <w:t xml:space="preserve"> </w:t>
      </w:r>
      <w:r w:rsidRPr="00913E1A">
        <w:rPr>
          <w:rFonts w:ascii="Arial" w:hAnsi="Arial" w:cs="Arial"/>
        </w:rPr>
        <w:tab/>
      </w:r>
      <w:r w:rsidRPr="007A6015">
        <w:rPr>
          <w:rFonts w:ascii="Arial" w:hAnsi="Arial" w:cs="Arial"/>
        </w:rPr>
        <w:t xml:space="preserve">On 14 December 2020 </w:t>
      </w:r>
      <w:r w:rsidR="009A4E9D" w:rsidRPr="007A6015">
        <w:rPr>
          <w:rFonts w:ascii="Arial" w:hAnsi="Arial" w:cs="Arial"/>
        </w:rPr>
        <w:t>when this matter was first heard,</w:t>
      </w:r>
      <w:r w:rsidR="00CF2437" w:rsidRPr="007A6015">
        <w:rPr>
          <w:rFonts w:ascii="Arial" w:hAnsi="Arial" w:cs="Arial"/>
        </w:rPr>
        <w:t xml:space="preserve"> </w:t>
      </w:r>
      <w:r w:rsidR="009A4E9D" w:rsidRPr="007A6015">
        <w:rPr>
          <w:rFonts w:ascii="Arial" w:hAnsi="Arial" w:cs="Arial"/>
        </w:rPr>
        <w:t xml:space="preserve">the court </w:t>
      </w:r>
      <w:r w:rsidR="000E72C2" w:rsidRPr="007A6015">
        <w:rPr>
          <w:rFonts w:ascii="Arial" w:hAnsi="Arial" w:cs="Arial"/>
        </w:rPr>
        <w:t xml:space="preserve">at the instance of the first to fourth and seventh and eighth respondents </w:t>
      </w:r>
      <w:r w:rsidR="005A63F2" w:rsidRPr="007A6015">
        <w:rPr>
          <w:rFonts w:ascii="Arial" w:hAnsi="Arial" w:cs="Arial"/>
        </w:rPr>
        <w:t xml:space="preserve">upheld a point </w:t>
      </w:r>
      <w:r w:rsidR="005A63F2" w:rsidRPr="007A6015">
        <w:rPr>
          <w:rFonts w:ascii="Arial" w:hAnsi="Arial" w:cs="Arial"/>
          <w:i/>
          <w:iCs/>
        </w:rPr>
        <w:t>in limine</w:t>
      </w:r>
      <w:r w:rsidR="005A63F2" w:rsidRPr="007A6015">
        <w:rPr>
          <w:rFonts w:ascii="Arial" w:hAnsi="Arial" w:cs="Arial"/>
        </w:rPr>
        <w:t xml:space="preserve"> and </w:t>
      </w:r>
      <w:r w:rsidRPr="007A6015">
        <w:rPr>
          <w:rFonts w:ascii="Arial" w:hAnsi="Arial" w:cs="Arial"/>
        </w:rPr>
        <w:t xml:space="preserve">dismissed the application for lack of compliance with Regulation 4(2) of the Regulations governing the Administration of an Oath or Affirmation promulgated in terms of section 10 of the Justices of the Peace and Commissioners of Oath Act 16 of 163.   </w:t>
      </w:r>
      <w:r w:rsidR="00CF2437" w:rsidRPr="007A6015">
        <w:rPr>
          <w:rFonts w:ascii="Arial" w:hAnsi="Arial" w:cs="Arial"/>
        </w:rPr>
        <w:t>On 1 December 2022 a</w:t>
      </w:r>
      <w:r w:rsidRPr="007A6015">
        <w:rPr>
          <w:rFonts w:ascii="Arial" w:hAnsi="Arial" w:cs="Arial"/>
        </w:rPr>
        <w:t xml:space="preserve"> Full Bench </w:t>
      </w:r>
      <w:r w:rsidR="00CF2437" w:rsidRPr="007A6015">
        <w:rPr>
          <w:rFonts w:ascii="Arial" w:hAnsi="Arial" w:cs="Arial"/>
        </w:rPr>
        <w:t xml:space="preserve">upheld </w:t>
      </w:r>
      <w:r w:rsidR="000E72C2" w:rsidRPr="007A6015">
        <w:rPr>
          <w:rFonts w:ascii="Arial" w:hAnsi="Arial" w:cs="Arial"/>
        </w:rPr>
        <w:t>the</w:t>
      </w:r>
      <w:r w:rsidR="00CF2437" w:rsidRPr="007A6015">
        <w:rPr>
          <w:rFonts w:ascii="Arial" w:hAnsi="Arial" w:cs="Arial"/>
        </w:rPr>
        <w:t xml:space="preserve"> appeal against </w:t>
      </w:r>
      <w:r w:rsidR="005A63F2" w:rsidRPr="007A6015">
        <w:rPr>
          <w:rFonts w:ascii="Arial" w:hAnsi="Arial" w:cs="Arial"/>
        </w:rPr>
        <w:t xml:space="preserve">the </w:t>
      </w:r>
      <w:r w:rsidR="00CF2437" w:rsidRPr="007A6015">
        <w:rPr>
          <w:rFonts w:ascii="Arial" w:hAnsi="Arial" w:cs="Arial"/>
        </w:rPr>
        <w:t xml:space="preserve">first order </w:t>
      </w:r>
      <w:r w:rsidR="000E72C2" w:rsidRPr="007A6015">
        <w:rPr>
          <w:rFonts w:ascii="Arial" w:hAnsi="Arial" w:cs="Arial"/>
        </w:rPr>
        <w:t>and ordered that the application be reconsidered.</w:t>
      </w:r>
      <w:r w:rsidR="007A6015">
        <w:rPr>
          <w:rFonts w:ascii="Arial" w:hAnsi="Arial" w:cs="Arial"/>
        </w:rPr>
        <w:t xml:space="preserve"> </w:t>
      </w:r>
      <w:r w:rsidR="007A6015" w:rsidRPr="00E8723F">
        <w:rPr>
          <w:rFonts w:ascii="Arial" w:hAnsi="Arial" w:cs="Arial"/>
          <w:color w:val="000000" w:themeColor="text1"/>
        </w:rPr>
        <w:t>This court is thus seized with the reconsideration of the application.</w:t>
      </w:r>
    </w:p>
    <w:p w14:paraId="1ADFAE7D" w14:textId="77777777" w:rsidR="005A63F2" w:rsidRPr="00913E1A" w:rsidRDefault="005A63F2" w:rsidP="00691F12">
      <w:pPr>
        <w:spacing w:line="480" w:lineRule="auto"/>
        <w:ind w:left="1134" w:hanging="1134"/>
        <w:jc w:val="both"/>
        <w:rPr>
          <w:rFonts w:ascii="Arial" w:hAnsi="Arial" w:cs="Arial"/>
        </w:rPr>
      </w:pPr>
    </w:p>
    <w:p w14:paraId="1235BAB1" w14:textId="77777777" w:rsidR="00AF424D" w:rsidRPr="008B15D4" w:rsidRDefault="00CF2437" w:rsidP="00CF0BB1">
      <w:pPr>
        <w:spacing w:line="360" w:lineRule="auto"/>
        <w:ind w:left="1134" w:hanging="1134"/>
        <w:jc w:val="both"/>
        <w:rPr>
          <w:rFonts w:ascii="Arial" w:hAnsi="Arial" w:cs="Arial"/>
        </w:rPr>
      </w:pPr>
      <w:r w:rsidRPr="008B15D4">
        <w:rPr>
          <w:rFonts w:ascii="Arial" w:hAnsi="Arial" w:cs="Arial"/>
        </w:rPr>
        <w:t xml:space="preserve">[2] </w:t>
      </w:r>
      <w:r w:rsidRPr="008B15D4">
        <w:rPr>
          <w:rFonts w:ascii="Arial" w:hAnsi="Arial" w:cs="Arial"/>
        </w:rPr>
        <w:tab/>
      </w:r>
      <w:r w:rsidR="00CF0BB1" w:rsidRPr="008B15D4">
        <w:rPr>
          <w:rFonts w:ascii="Arial" w:hAnsi="Arial" w:cs="Arial"/>
        </w:rPr>
        <w:t>The applicants seek a</w:t>
      </w:r>
      <w:r w:rsidR="00AF424D" w:rsidRPr="008B15D4">
        <w:rPr>
          <w:rFonts w:ascii="Arial" w:hAnsi="Arial" w:cs="Arial"/>
        </w:rPr>
        <w:t>n order –</w:t>
      </w:r>
    </w:p>
    <w:p w14:paraId="3247E481" w14:textId="77777777" w:rsidR="00AF424D" w:rsidRPr="008B15D4" w:rsidRDefault="00AF424D" w:rsidP="00AF424D">
      <w:pPr>
        <w:spacing w:line="360" w:lineRule="auto"/>
        <w:ind w:left="2154" w:hanging="1020"/>
        <w:jc w:val="both"/>
        <w:rPr>
          <w:rFonts w:ascii="Arial" w:hAnsi="Arial" w:cs="Arial"/>
        </w:rPr>
      </w:pPr>
      <w:r w:rsidRPr="008B15D4">
        <w:rPr>
          <w:rFonts w:ascii="Arial" w:hAnsi="Arial" w:cs="Arial"/>
        </w:rPr>
        <w:t xml:space="preserve">(i) </w:t>
      </w:r>
      <w:r w:rsidRPr="008B15D4">
        <w:rPr>
          <w:rFonts w:ascii="Arial" w:hAnsi="Arial" w:cs="Arial"/>
        </w:rPr>
        <w:tab/>
      </w:r>
      <w:r w:rsidR="008F4F35" w:rsidRPr="008B15D4">
        <w:rPr>
          <w:rFonts w:ascii="Arial" w:hAnsi="Arial" w:cs="Arial"/>
        </w:rPr>
        <w:t>that</w:t>
      </w:r>
      <w:r w:rsidRPr="008B15D4">
        <w:rPr>
          <w:rFonts w:ascii="Arial" w:hAnsi="Arial" w:cs="Arial"/>
        </w:rPr>
        <w:t xml:space="preserve"> the first to fourth and seventh and eighth respondents </w:t>
      </w:r>
      <w:r w:rsidR="008F4F35" w:rsidRPr="008B15D4">
        <w:rPr>
          <w:rFonts w:ascii="Arial" w:hAnsi="Arial" w:cs="Arial"/>
        </w:rPr>
        <w:t xml:space="preserve">be held </w:t>
      </w:r>
      <w:r w:rsidRPr="008B15D4">
        <w:rPr>
          <w:rFonts w:ascii="Arial" w:hAnsi="Arial" w:cs="Arial"/>
        </w:rPr>
        <w:t>in contempt of court</w:t>
      </w:r>
      <w:r w:rsidR="008F4F35" w:rsidRPr="008B15D4">
        <w:rPr>
          <w:rFonts w:ascii="Arial" w:hAnsi="Arial" w:cs="Arial"/>
        </w:rPr>
        <w:t xml:space="preserve"> and be dealt with appropriately</w:t>
      </w:r>
      <w:r w:rsidRPr="008B15D4">
        <w:rPr>
          <w:rFonts w:ascii="Arial" w:hAnsi="Arial" w:cs="Arial"/>
        </w:rPr>
        <w:t xml:space="preserve">; </w:t>
      </w:r>
    </w:p>
    <w:p w14:paraId="0B15F84A" w14:textId="77777777" w:rsidR="008F4F35" w:rsidRPr="008B15D4" w:rsidRDefault="00AF424D" w:rsidP="00AF424D">
      <w:pPr>
        <w:spacing w:line="360" w:lineRule="auto"/>
        <w:ind w:left="2154" w:hanging="1020"/>
        <w:jc w:val="both"/>
        <w:rPr>
          <w:rFonts w:ascii="Arial" w:hAnsi="Arial" w:cs="Arial"/>
        </w:rPr>
      </w:pPr>
      <w:r w:rsidRPr="008B15D4">
        <w:rPr>
          <w:rFonts w:ascii="Arial" w:hAnsi="Arial" w:cs="Arial"/>
        </w:rPr>
        <w:t xml:space="preserve">(ii) </w:t>
      </w:r>
      <w:r w:rsidRPr="008B15D4">
        <w:rPr>
          <w:rFonts w:ascii="Arial" w:hAnsi="Arial" w:cs="Arial"/>
        </w:rPr>
        <w:tab/>
      </w:r>
      <w:r w:rsidR="008F4F35" w:rsidRPr="008B15D4">
        <w:rPr>
          <w:rFonts w:ascii="Arial" w:hAnsi="Arial" w:cs="Arial"/>
        </w:rPr>
        <w:t>that</w:t>
      </w:r>
      <w:r w:rsidRPr="008B15D4">
        <w:rPr>
          <w:rFonts w:ascii="Arial" w:hAnsi="Arial" w:cs="Arial"/>
        </w:rPr>
        <w:t xml:space="preserve"> the first to fourth respondents </w:t>
      </w:r>
      <w:r w:rsidR="008F4F35" w:rsidRPr="008B15D4">
        <w:rPr>
          <w:rFonts w:ascii="Arial" w:hAnsi="Arial" w:cs="Arial"/>
        </w:rPr>
        <w:t xml:space="preserve">be removed </w:t>
      </w:r>
      <w:r w:rsidRPr="008B15D4">
        <w:rPr>
          <w:rFonts w:ascii="Arial" w:hAnsi="Arial" w:cs="Arial"/>
        </w:rPr>
        <w:t xml:space="preserve">as trustees of two trusts and </w:t>
      </w:r>
      <w:r w:rsidR="008F4F35" w:rsidRPr="008B15D4">
        <w:rPr>
          <w:rFonts w:ascii="Arial" w:hAnsi="Arial" w:cs="Arial"/>
        </w:rPr>
        <w:t>they</w:t>
      </w:r>
      <w:r w:rsidRPr="008B15D4">
        <w:rPr>
          <w:rFonts w:ascii="Arial" w:hAnsi="Arial" w:cs="Arial"/>
        </w:rPr>
        <w:t xml:space="preserve"> </w:t>
      </w:r>
      <w:r w:rsidR="008F4F35" w:rsidRPr="008B15D4">
        <w:rPr>
          <w:rFonts w:ascii="Arial" w:hAnsi="Arial" w:cs="Arial"/>
        </w:rPr>
        <w:t>be</w:t>
      </w:r>
      <w:r w:rsidRPr="008B15D4">
        <w:rPr>
          <w:rFonts w:ascii="Arial" w:hAnsi="Arial" w:cs="Arial"/>
        </w:rPr>
        <w:t xml:space="preserve"> replaced by </w:t>
      </w:r>
      <w:r w:rsidR="008F4F35" w:rsidRPr="008B15D4">
        <w:rPr>
          <w:rFonts w:ascii="Arial" w:hAnsi="Arial" w:cs="Arial"/>
        </w:rPr>
        <w:t xml:space="preserve">independent trustees appointed by the Master of the High Court; </w:t>
      </w:r>
    </w:p>
    <w:p w14:paraId="64E2F709" w14:textId="77777777" w:rsidR="00CF2437" w:rsidRPr="008B15D4" w:rsidRDefault="008F4F35" w:rsidP="00AF424D">
      <w:pPr>
        <w:spacing w:line="360" w:lineRule="auto"/>
        <w:ind w:left="2154" w:hanging="1020"/>
        <w:jc w:val="both"/>
        <w:rPr>
          <w:rFonts w:ascii="Arial" w:hAnsi="Arial" w:cs="Arial"/>
        </w:rPr>
      </w:pPr>
      <w:r w:rsidRPr="008B15D4">
        <w:rPr>
          <w:rFonts w:ascii="Arial" w:hAnsi="Arial" w:cs="Arial"/>
        </w:rPr>
        <w:t xml:space="preserve">(iii) </w:t>
      </w:r>
      <w:r w:rsidRPr="008B15D4">
        <w:rPr>
          <w:rFonts w:ascii="Arial" w:hAnsi="Arial" w:cs="Arial"/>
        </w:rPr>
        <w:tab/>
        <w:t>that the trust deed of one of the two trusts mentioned in (ii) above be amended.</w:t>
      </w:r>
    </w:p>
    <w:p w14:paraId="722C1166" w14:textId="77777777" w:rsidR="008F4F35" w:rsidRPr="008B15D4" w:rsidRDefault="008F4F35" w:rsidP="00AF424D">
      <w:pPr>
        <w:spacing w:line="360" w:lineRule="auto"/>
        <w:ind w:left="2154" w:hanging="1020"/>
        <w:jc w:val="both"/>
        <w:rPr>
          <w:rFonts w:ascii="Arial" w:hAnsi="Arial" w:cs="Arial"/>
        </w:rPr>
      </w:pPr>
    </w:p>
    <w:p w14:paraId="1FA45CEF" w14:textId="77777777" w:rsidR="008F4F35" w:rsidRPr="008B15D4" w:rsidRDefault="008F4F35" w:rsidP="00603C88">
      <w:pPr>
        <w:spacing w:line="360" w:lineRule="auto"/>
        <w:ind w:left="1134"/>
        <w:jc w:val="both"/>
        <w:rPr>
          <w:rFonts w:ascii="Arial" w:hAnsi="Arial" w:cs="Arial"/>
        </w:rPr>
      </w:pPr>
      <w:r w:rsidRPr="008B15D4">
        <w:rPr>
          <w:rFonts w:ascii="Arial" w:hAnsi="Arial" w:cs="Arial"/>
        </w:rPr>
        <w:lastRenderedPageBreak/>
        <w:t xml:space="preserve">The first to eighth respondents in their counterapplication seek an order – </w:t>
      </w:r>
    </w:p>
    <w:p w14:paraId="7F8DFF6F" w14:textId="23134B71" w:rsidR="008F4F35" w:rsidRPr="00D56EE4" w:rsidRDefault="00D56EE4" w:rsidP="00D56EE4">
      <w:pPr>
        <w:spacing w:line="360" w:lineRule="auto"/>
        <w:ind w:left="2214" w:hanging="1080"/>
        <w:jc w:val="both"/>
        <w:rPr>
          <w:rFonts w:ascii="Arial" w:hAnsi="Arial" w:cs="Arial"/>
        </w:rPr>
      </w:pPr>
      <w:r w:rsidRPr="008B15D4">
        <w:rPr>
          <w:rFonts w:ascii="Arial" w:hAnsi="Arial" w:cs="Arial"/>
        </w:rPr>
        <w:t>(i)</w:t>
      </w:r>
      <w:r w:rsidRPr="008B15D4">
        <w:rPr>
          <w:rFonts w:ascii="Arial" w:hAnsi="Arial" w:cs="Arial"/>
        </w:rPr>
        <w:tab/>
      </w:r>
      <w:r w:rsidR="008F4F35" w:rsidRPr="00D56EE4">
        <w:rPr>
          <w:rFonts w:ascii="Arial" w:hAnsi="Arial" w:cs="Arial"/>
        </w:rPr>
        <w:t xml:space="preserve">that the determination of the application be postponed pending the adjudication of an action instituted by the eleventh to thirteenth respondents others under case number 74582/17, </w:t>
      </w:r>
      <w:r w:rsidR="008F4F35" w:rsidRPr="00D56EE4">
        <w:rPr>
          <w:rFonts w:ascii="Arial" w:hAnsi="Arial" w:cs="Arial"/>
          <w:i/>
          <w:u w:val="single"/>
        </w:rPr>
        <w:t>alternatively</w:t>
      </w:r>
      <w:r w:rsidR="008F4F35" w:rsidRPr="00D56EE4">
        <w:rPr>
          <w:rFonts w:ascii="Arial" w:hAnsi="Arial" w:cs="Arial"/>
        </w:rPr>
        <w:t xml:space="preserve"> that the application be consolidated with the aforesaid action for simultaneous determination;</w:t>
      </w:r>
    </w:p>
    <w:p w14:paraId="058D3186" w14:textId="03CFB0E1" w:rsidR="00603C88" w:rsidRPr="00D56EE4" w:rsidRDefault="00D56EE4" w:rsidP="00D56EE4">
      <w:pPr>
        <w:spacing w:line="360" w:lineRule="auto"/>
        <w:ind w:left="2214" w:hanging="1080"/>
        <w:jc w:val="both"/>
        <w:rPr>
          <w:rFonts w:ascii="Arial" w:hAnsi="Arial" w:cs="Arial"/>
        </w:rPr>
      </w:pPr>
      <w:r w:rsidRPr="008B15D4">
        <w:rPr>
          <w:rFonts w:ascii="Arial" w:hAnsi="Arial" w:cs="Arial"/>
        </w:rPr>
        <w:t>(ii)</w:t>
      </w:r>
      <w:r w:rsidRPr="008B15D4">
        <w:rPr>
          <w:rFonts w:ascii="Arial" w:hAnsi="Arial" w:cs="Arial"/>
        </w:rPr>
        <w:tab/>
      </w:r>
      <w:r w:rsidR="00603C88" w:rsidRPr="00D56EE4">
        <w:rPr>
          <w:rFonts w:ascii="Arial" w:hAnsi="Arial" w:cs="Arial"/>
        </w:rPr>
        <w:t>In the alternative, and if the above relief is refused, that the  first applicant be removed as trustee of one of the trust and be replaced by a trustee appointed by the Master.</w:t>
      </w:r>
    </w:p>
    <w:p w14:paraId="14B1A03F" w14:textId="77777777" w:rsidR="005A63F2" w:rsidRPr="00913E1A" w:rsidRDefault="005A63F2" w:rsidP="00603C88">
      <w:pPr>
        <w:spacing w:line="480" w:lineRule="auto"/>
        <w:jc w:val="both"/>
        <w:rPr>
          <w:rFonts w:ascii="Arial" w:hAnsi="Arial" w:cs="Arial"/>
        </w:rPr>
      </w:pPr>
    </w:p>
    <w:p w14:paraId="7D5D5E0F" w14:textId="77777777" w:rsidR="00B95908" w:rsidRPr="00913E1A" w:rsidRDefault="003B2876" w:rsidP="00B9590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rPr>
        <w:t xml:space="preserve">[3] </w:t>
      </w:r>
      <w:r w:rsidRPr="00913E1A">
        <w:rPr>
          <w:rFonts w:ascii="Arial" w:hAnsi="Arial" w:cs="Arial"/>
        </w:rPr>
        <w:tab/>
      </w:r>
      <w:r w:rsidR="006A606E" w:rsidRPr="00913E1A">
        <w:rPr>
          <w:rFonts w:ascii="Arial" w:hAnsi="Arial" w:cs="Arial"/>
          <w:lang w:val="en-GB"/>
        </w:rPr>
        <w:t xml:space="preserve">The </w:t>
      </w:r>
      <w:r w:rsidR="00862374" w:rsidRPr="00913E1A">
        <w:rPr>
          <w:rFonts w:ascii="Arial" w:hAnsi="Arial" w:cs="Arial"/>
          <w:lang w:val="en-GB"/>
        </w:rPr>
        <w:t xml:space="preserve">first </w:t>
      </w:r>
      <w:r w:rsidR="006A606E" w:rsidRPr="00913E1A">
        <w:rPr>
          <w:rFonts w:ascii="Arial" w:hAnsi="Arial" w:cs="Arial"/>
          <w:lang w:val="en-GB"/>
        </w:rPr>
        <w:t>applicant brings the application as a trustee of the Deelkraal Behuisings Trust</w:t>
      </w:r>
      <w:r w:rsidR="00E32533" w:rsidRPr="00913E1A">
        <w:rPr>
          <w:rFonts w:ascii="Arial" w:hAnsi="Arial" w:cs="Arial"/>
          <w:lang w:val="en-GB"/>
        </w:rPr>
        <w:t xml:space="preserve"> (hereinafter referred to as the “</w:t>
      </w:r>
      <w:r w:rsidR="000E72C2" w:rsidRPr="00913E1A">
        <w:rPr>
          <w:rFonts w:ascii="Arial" w:hAnsi="Arial" w:cs="Arial"/>
          <w:lang w:val="en-GB"/>
        </w:rPr>
        <w:t xml:space="preserve">Deelkraal </w:t>
      </w:r>
      <w:r w:rsidR="00E32533" w:rsidRPr="00913E1A">
        <w:rPr>
          <w:rFonts w:ascii="Arial" w:hAnsi="Arial" w:cs="Arial"/>
          <w:lang w:val="en-GB"/>
        </w:rPr>
        <w:t>trust”) and</w:t>
      </w:r>
      <w:r w:rsidR="006A606E" w:rsidRPr="00913E1A">
        <w:rPr>
          <w:rFonts w:ascii="Arial" w:hAnsi="Arial" w:cs="Arial"/>
          <w:lang w:val="en-GB"/>
        </w:rPr>
        <w:t xml:space="preserve"> in his capacity as a </w:t>
      </w:r>
      <w:r w:rsidR="00E32533" w:rsidRPr="00913E1A">
        <w:rPr>
          <w:rFonts w:ascii="Arial" w:hAnsi="Arial" w:cs="Arial"/>
          <w:lang w:val="en-GB"/>
        </w:rPr>
        <w:t>trustee</w:t>
      </w:r>
      <w:r w:rsidR="006A606E" w:rsidRPr="00913E1A">
        <w:rPr>
          <w:rFonts w:ascii="Arial" w:hAnsi="Arial" w:cs="Arial"/>
          <w:lang w:val="en-GB"/>
        </w:rPr>
        <w:t xml:space="preserve"> of </w:t>
      </w:r>
      <w:r w:rsidR="00E32533" w:rsidRPr="00913E1A">
        <w:rPr>
          <w:rFonts w:ascii="Arial" w:hAnsi="Arial" w:cs="Arial"/>
          <w:lang w:val="en-GB"/>
        </w:rPr>
        <w:t xml:space="preserve">the </w:t>
      </w:r>
      <w:r w:rsidR="006A606E" w:rsidRPr="00913E1A">
        <w:rPr>
          <w:rFonts w:ascii="Arial" w:hAnsi="Arial" w:cs="Arial"/>
          <w:lang w:val="en-GB"/>
        </w:rPr>
        <w:t>Pivotal Famil</w:t>
      </w:r>
      <w:r w:rsidR="00862374" w:rsidRPr="00913E1A">
        <w:rPr>
          <w:rFonts w:ascii="Arial" w:hAnsi="Arial" w:cs="Arial"/>
          <w:lang w:val="en-GB"/>
        </w:rPr>
        <w:t>y</w:t>
      </w:r>
      <w:r w:rsidR="006A606E" w:rsidRPr="00913E1A">
        <w:rPr>
          <w:rFonts w:ascii="Arial" w:hAnsi="Arial" w:cs="Arial"/>
          <w:lang w:val="en-GB"/>
        </w:rPr>
        <w:t xml:space="preserve"> Trust, who in turn holds 100% of the membership interest in Star Stone Crushers CC (</w:t>
      </w:r>
      <w:r w:rsidR="000E72C2" w:rsidRPr="00913E1A">
        <w:rPr>
          <w:rFonts w:ascii="Arial" w:hAnsi="Arial" w:cs="Arial"/>
          <w:lang w:val="en-GB"/>
        </w:rPr>
        <w:t>“Star Stone”</w:t>
      </w:r>
      <w:r w:rsidR="006A606E" w:rsidRPr="00913E1A">
        <w:rPr>
          <w:rFonts w:ascii="Arial" w:hAnsi="Arial" w:cs="Arial"/>
          <w:lang w:val="en-GB"/>
        </w:rPr>
        <w:t xml:space="preserve">). The fourth applicant is the other trustee of the Pivotal </w:t>
      </w:r>
      <w:r w:rsidR="000E72C2" w:rsidRPr="00913E1A">
        <w:rPr>
          <w:rFonts w:ascii="Arial" w:hAnsi="Arial" w:cs="Arial"/>
          <w:lang w:val="en-GB"/>
        </w:rPr>
        <w:t>t</w:t>
      </w:r>
      <w:r w:rsidR="006A606E" w:rsidRPr="00913E1A">
        <w:rPr>
          <w:rFonts w:ascii="Arial" w:hAnsi="Arial" w:cs="Arial"/>
          <w:lang w:val="en-GB"/>
        </w:rPr>
        <w:t xml:space="preserve">rust. </w:t>
      </w:r>
      <w:r w:rsidR="004A4F43" w:rsidRPr="00913E1A">
        <w:rPr>
          <w:rFonts w:ascii="Arial" w:hAnsi="Arial" w:cs="Arial"/>
          <w:lang w:val="en-GB"/>
        </w:rPr>
        <w:t xml:space="preserve">  For the sake of convenience, I shall refer to the first applicant as </w:t>
      </w:r>
      <w:r w:rsidR="003E2D44" w:rsidRPr="00913E1A">
        <w:rPr>
          <w:rFonts w:ascii="Arial" w:hAnsi="Arial" w:cs="Arial"/>
          <w:lang w:val="en-GB"/>
        </w:rPr>
        <w:t>“</w:t>
      </w:r>
      <w:r w:rsidR="004A4F43" w:rsidRPr="00913E1A">
        <w:rPr>
          <w:rFonts w:ascii="Arial" w:hAnsi="Arial" w:cs="Arial"/>
          <w:lang w:val="en-GB"/>
        </w:rPr>
        <w:t>Van As</w:t>
      </w:r>
      <w:r w:rsidR="003E2D44" w:rsidRPr="00913E1A">
        <w:rPr>
          <w:rFonts w:ascii="Arial" w:hAnsi="Arial" w:cs="Arial"/>
          <w:lang w:val="en-GB"/>
        </w:rPr>
        <w:t>”</w:t>
      </w:r>
      <w:r w:rsidR="004A4F43" w:rsidRPr="00913E1A">
        <w:rPr>
          <w:rFonts w:ascii="Arial" w:hAnsi="Arial" w:cs="Arial"/>
          <w:lang w:val="en-GB"/>
        </w:rPr>
        <w:t xml:space="preserve"> unless the context requires a different description.</w:t>
      </w:r>
    </w:p>
    <w:p w14:paraId="01EE691A" w14:textId="77777777" w:rsidR="00B95908" w:rsidRPr="00913E1A" w:rsidRDefault="00B95908" w:rsidP="00B95908">
      <w:pPr>
        <w:tabs>
          <w:tab w:val="left" w:pos="1134"/>
        </w:tabs>
        <w:spacing w:after="480" w:line="360" w:lineRule="auto"/>
        <w:ind w:left="1134" w:hanging="1134"/>
        <w:contextualSpacing/>
        <w:jc w:val="both"/>
        <w:rPr>
          <w:rFonts w:ascii="Arial" w:hAnsi="Arial" w:cs="Arial"/>
          <w:lang w:val="en-GB"/>
        </w:rPr>
      </w:pPr>
    </w:p>
    <w:p w14:paraId="3242C378" w14:textId="77777777" w:rsidR="006A606E" w:rsidRPr="00913E1A" w:rsidRDefault="00B95908" w:rsidP="006A606E">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 xml:space="preserve">[4] </w:t>
      </w:r>
      <w:r w:rsidRPr="00913E1A">
        <w:rPr>
          <w:rFonts w:ascii="Arial" w:hAnsi="Arial" w:cs="Arial"/>
          <w:lang w:val="en-GB"/>
        </w:rPr>
        <w:tab/>
      </w:r>
      <w:r w:rsidR="006A606E" w:rsidRPr="00913E1A">
        <w:rPr>
          <w:rFonts w:ascii="Arial" w:hAnsi="Arial" w:cs="Arial"/>
          <w:lang w:val="en-GB"/>
        </w:rPr>
        <w:t xml:space="preserve">The first </w:t>
      </w:r>
      <w:r w:rsidR="00E32533" w:rsidRPr="00913E1A">
        <w:rPr>
          <w:rFonts w:ascii="Arial" w:hAnsi="Arial" w:cs="Arial"/>
          <w:lang w:val="en-GB"/>
        </w:rPr>
        <w:t xml:space="preserve">respondent </w:t>
      </w:r>
      <w:r w:rsidR="004A4F43" w:rsidRPr="00913E1A">
        <w:rPr>
          <w:rFonts w:ascii="Arial" w:hAnsi="Arial" w:cs="Arial"/>
          <w:lang w:val="en-GB"/>
        </w:rPr>
        <w:t xml:space="preserve">(herein “Mrs Jacobs”) </w:t>
      </w:r>
      <w:r w:rsidR="00E32533" w:rsidRPr="00913E1A">
        <w:rPr>
          <w:rFonts w:ascii="Arial" w:hAnsi="Arial" w:cs="Arial"/>
          <w:lang w:val="en-GB"/>
        </w:rPr>
        <w:t xml:space="preserve">is the mother of the </w:t>
      </w:r>
      <w:r w:rsidR="003E2D44" w:rsidRPr="00913E1A">
        <w:rPr>
          <w:rFonts w:ascii="Arial" w:hAnsi="Arial" w:cs="Arial"/>
          <w:lang w:val="en-GB"/>
        </w:rPr>
        <w:t xml:space="preserve">first </w:t>
      </w:r>
      <w:r w:rsidR="00E32533" w:rsidRPr="00913E1A">
        <w:rPr>
          <w:rFonts w:ascii="Arial" w:hAnsi="Arial" w:cs="Arial"/>
          <w:lang w:val="en-GB"/>
        </w:rPr>
        <w:t xml:space="preserve">applicant. She </w:t>
      </w:r>
      <w:r w:rsidR="006A606E" w:rsidRPr="00913E1A">
        <w:rPr>
          <w:rFonts w:ascii="Arial" w:hAnsi="Arial" w:cs="Arial"/>
          <w:lang w:val="en-GB"/>
        </w:rPr>
        <w:t xml:space="preserve">and </w:t>
      </w:r>
      <w:r w:rsidR="00E32533" w:rsidRPr="00913E1A">
        <w:rPr>
          <w:rFonts w:ascii="Arial" w:hAnsi="Arial" w:cs="Arial"/>
          <w:lang w:val="en-GB"/>
        </w:rPr>
        <w:t xml:space="preserve">the </w:t>
      </w:r>
      <w:r w:rsidR="006A606E" w:rsidRPr="00913E1A">
        <w:rPr>
          <w:rFonts w:ascii="Arial" w:hAnsi="Arial" w:cs="Arial"/>
          <w:lang w:val="en-GB"/>
        </w:rPr>
        <w:t xml:space="preserve">second respondent </w:t>
      </w:r>
      <w:r w:rsidR="004A4F43" w:rsidRPr="00913E1A">
        <w:rPr>
          <w:rFonts w:ascii="Arial" w:hAnsi="Arial" w:cs="Arial"/>
          <w:lang w:val="en-GB"/>
        </w:rPr>
        <w:t xml:space="preserve">(herein “Matthee”) </w:t>
      </w:r>
      <w:r w:rsidR="006A606E" w:rsidRPr="00913E1A">
        <w:rPr>
          <w:rFonts w:ascii="Arial" w:hAnsi="Arial" w:cs="Arial"/>
          <w:lang w:val="en-GB"/>
        </w:rPr>
        <w:t xml:space="preserve">are the </w:t>
      </w:r>
      <w:r w:rsidR="00E32533" w:rsidRPr="00913E1A">
        <w:rPr>
          <w:rFonts w:ascii="Arial" w:hAnsi="Arial" w:cs="Arial"/>
          <w:lang w:val="en-GB"/>
        </w:rPr>
        <w:t xml:space="preserve">other two </w:t>
      </w:r>
      <w:r w:rsidR="006A606E" w:rsidRPr="00913E1A">
        <w:rPr>
          <w:rFonts w:ascii="Arial" w:hAnsi="Arial" w:cs="Arial"/>
          <w:lang w:val="en-GB"/>
        </w:rPr>
        <w:t>trustees</w:t>
      </w:r>
      <w:r w:rsidR="00E32533" w:rsidRPr="00913E1A">
        <w:rPr>
          <w:rFonts w:ascii="Arial" w:hAnsi="Arial" w:cs="Arial"/>
          <w:lang w:val="en-GB"/>
        </w:rPr>
        <w:t xml:space="preserve"> of the trust.  </w:t>
      </w:r>
      <w:r w:rsidR="004A4F43" w:rsidRPr="00913E1A">
        <w:rPr>
          <w:rFonts w:ascii="Arial" w:hAnsi="Arial" w:cs="Arial"/>
          <w:lang w:val="en-GB"/>
        </w:rPr>
        <w:t>Mrs Jacobs and Matthee</w:t>
      </w:r>
      <w:r w:rsidR="00E32533" w:rsidRPr="00913E1A">
        <w:rPr>
          <w:rFonts w:ascii="Arial" w:hAnsi="Arial" w:cs="Arial"/>
          <w:lang w:val="en-GB"/>
        </w:rPr>
        <w:t xml:space="preserve"> are also cited herein as the third and fourth respondents in their representative capacities as the trustees of the Sebenza Trust and as the seventh and eighth respondents in the personal capacities.</w:t>
      </w:r>
    </w:p>
    <w:p w14:paraId="46518ED7" w14:textId="77777777" w:rsidR="00E32533" w:rsidRPr="00913E1A" w:rsidRDefault="00E32533" w:rsidP="006A606E">
      <w:pPr>
        <w:tabs>
          <w:tab w:val="left" w:pos="1134"/>
        </w:tabs>
        <w:spacing w:after="480" w:line="360" w:lineRule="auto"/>
        <w:ind w:left="1134" w:hanging="1134"/>
        <w:contextualSpacing/>
        <w:jc w:val="both"/>
        <w:rPr>
          <w:rFonts w:ascii="Arial" w:hAnsi="Arial" w:cs="Arial"/>
          <w:lang w:val="en-GB"/>
        </w:rPr>
      </w:pPr>
    </w:p>
    <w:p w14:paraId="41E19A15" w14:textId="77777777" w:rsidR="004A4F43" w:rsidRPr="00913E1A" w:rsidRDefault="00E32533" w:rsidP="004A4F43">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 xml:space="preserve">[5] </w:t>
      </w:r>
      <w:r w:rsidRPr="00913E1A">
        <w:rPr>
          <w:rFonts w:ascii="Arial" w:hAnsi="Arial" w:cs="Arial"/>
          <w:lang w:val="en-GB"/>
        </w:rPr>
        <w:tab/>
      </w:r>
      <w:r w:rsidR="004A4F43" w:rsidRPr="00913E1A">
        <w:rPr>
          <w:rFonts w:ascii="Arial" w:hAnsi="Arial" w:cs="Arial"/>
          <w:lang w:val="en-GB"/>
        </w:rPr>
        <w:t xml:space="preserve">Matthee and his wife are the </w:t>
      </w:r>
      <w:r w:rsidRPr="00913E1A">
        <w:rPr>
          <w:rFonts w:ascii="Arial" w:hAnsi="Arial" w:cs="Arial"/>
          <w:lang w:val="en-GB"/>
        </w:rPr>
        <w:t xml:space="preserve">fifth and sixth respondents </w:t>
      </w:r>
      <w:r w:rsidR="004A4F43" w:rsidRPr="00913E1A">
        <w:rPr>
          <w:rFonts w:ascii="Arial" w:hAnsi="Arial" w:cs="Arial"/>
          <w:lang w:val="en-GB"/>
        </w:rPr>
        <w:t>as</w:t>
      </w:r>
      <w:r w:rsidRPr="00913E1A">
        <w:rPr>
          <w:rFonts w:ascii="Arial" w:hAnsi="Arial" w:cs="Arial"/>
          <w:lang w:val="en-GB"/>
        </w:rPr>
        <w:t xml:space="preserve"> trustees of the Rucinda Trust.</w:t>
      </w:r>
    </w:p>
    <w:p w14:paraId="06E0F884" w14:textId="77777777" w:rsidR="006A606E" w:rsidRPr="00913E1A" w:rsidRDefault="006A606E" w:rsidP="006A606E">
      <w:pPr>
        <w:tabs>
          <w:tab w:val="left" w:pos="1134"/>
        </w:tabs>
        <w:spacing w:after="480" w:line="360" w:lineRule="auto"/>
        <w:ind w:left="1134" w:hanging="1134"/>
        <w:contextualSpacing/>
        <w:jc w:val="both"/>
        <w:rPr>
          <w:rFonts w:ascii="Arial" w:hAnsi="Arial" w:cs="Arial"/>
          <w:lang w:val="en-GB"/>
        </w:rPr>
      </w:pPr>
    </w:p>
    <w:p w14:paraId="7FAA8E1B" w14:textId="77777777" w:rsidR="00836D9B" w:rsidRPr="00913E1A" w:rsidRDefault="00E32533" w:rsidP="006A606E">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 xml:space="preserve">[6] </w:t>
      </w:r>
      <w:r w:rsidRPr="00913E1A">
        <w:rPr>
          <w:rFonts w:ascii="Arial" w:hAnsi="Arial" w:cs="Arial"/>
          <w:lang w:val="en-GB"/>
        </w:rPr>
        <w:tab/>
      </w:r>
      <w:r w:rsidR="004A4F43" w:rsidRPr="00913E1A">
        <w:rPr>
          <w:rFonts w:ascii="Arial" w:hAnsi="Arial" w:cs="Arial"/>
          <w:lang w:val="en-GB"/>
        </w:rPr>
        <w:t xml:space="preserve">The ninth respondent is the Master of the High Court. </w:t>
      </w:r>
      <w:r w:rsidR="00836D9B" w:rsidRPr="00913E1A">
        <w:rPr>
          <w:rFonts w:ascii="Arial" w:hAnsi="Arial" w:cs="Arial"/>
          <w:lang w:val="en-GB"/>
        </w:rPr>
        <w:t>The Master is cited herein with the purpose to give effect to some of the relief sought by the applicants.</w:t>
      </w:r>
    </w:p>
    <w:p w14:paraId="4D1A9DD0" w14:textId="77777777" w:rsidR="00836D9B" w:rsidRPr="00913E1A" w:rsidRDefault="00836D9B" w:rsidP="006A606E">
      <w:pPr>
        <w:tabs>
          <w:tab w:val="left" w:pos="1134"/>
        </w:tabs>
        <w:spacing w:after="480" w:line="360" w:lineRule="auto"/>
        <w:ind w:left="1134" w:hanging="1134"/>
        <w:contextualSpacing/>
        <w:jc w:val="both"/>
        <w:rPr>
          <w:rFonts w:ascii="Arial" w:hAnsi="Arial" w:cs="Arial"/>
          <w:lang w:val="en-GB"/>
        </w:rPr>
      </w:pPr>
    </w:p>
    <w:p w14:paraId="11252615" w14:textId="77777777" w:rsidR="004A4F43" w:rsidRPr="00913E1A" w:rsidRDefault="00836D9B" w:rsidP="006A606E">
      <w:pPr>
        <w:tabs>
          <w:tab w:val="left" w:pos="1134"/>
        </w:tabs>
        <w:spacing w:after="480" w:line="360" w:lineRule="auto"/>
        <w:ind w:left="1134" w:hanging="1134"/>
        <w:contextualSpacing/>
        <w:jc w:val="both"/>
        <w:rPr>
          <w:rFonts w:ascii="Arial" w:hAnsi="Arial" w:cs="Arial"/>
          <w:color w:val="242121"/>
          <w:shd w:val="clear" w:color="auto" w:fill="FFFFFF"/>
        </w:rPr>
      </w:pPr>
      <w:r w:rsidRPr="00913E1A">
        <w:rPr>
          <w:rFonts w:ascii="Arial" w:hAnsi="Arial" w:cs="Arial"/>
          <w:lang w:val="en-GB"/>
        </w:rPr>
        <w:lastRenderedPageBreak/>
        <w:t xml:space="preserve">[7] </w:t>
      </w:r>
      <w:r w:rsidRPr="00913E1A">
        <w:rPr>
          <w:rFonts w:ascii="Arial" w:hAnsi="Arial" w:cs="Arial"/>
          <w:lang w:val="en-GB"/>
        </w:rPr>
        <w:tab/>
      </w:r>
      <w:r w:rsidR="004A4F43" w:rsidRPr="00913E1A">
        <w:rPr>
          <w:rFonts w:ascii="Arial" w:hAnsi="Arial" w:cs="Arial"/>
          <w:lang w:val="en-GB"/>
        </w:rPr>
        <w:t xml:space="preserve">The tenth respondent is MidCity </w:t>
      </w:r>
      <w:r w:rsidRPr="00913E1A">
        <w:rPr>
          <w:rFonts w:ascii="Arial" w:hAnsi="Arial" w:cs="Arial"/>
          <w:lang w:val="en-GB"/>
        </w:rPr>
        <w:t xml:space="preserve">Property Services (Pty) Ltd.  At the hearing of the application, counsel for the applicants indicated that the applicants did not pursue the relief to appoint MidCity as rental agents of the trust as </w:t>
      </w:r>
      <w:r w:rsidRPr="00913E1A">
        <w:rPr>
          <w:rFonts w:ascii="Arial" w:hAnsi="Arial" w:cs="Arial"/>
          <w:color w:val="242121"/>
          <w:shd w:val="clear" w:color="auto" w:fill="FFFFFF"/>
        </w:rPr>
        <w:t>a court cannot make a contract for the parties.</w:t>
      </w:r>
      <w:r w:rsidR="00EF6864" w:rsidRPr="00913E1A">
        <w:rPr>
          <w:rFonts w:ascii="Arial" w:hAnsi="Arial" w:cs="Arial"/>
          <w:color w:val="242121"/>
          <w:shd w:val="clear" w:color="auto" w:fill="FFFFFF"/>
        </w:rPr>
        <w:t xml:space="preserve"> </w:t>
      </w:r>
      <w:r w:rsidR="00862374" w:rsidRPr="00913E1A">
        <w:rPr>
          <w:rFonts w:ascii="Arial" w:hAnsi="Arial" w:cs="Arial"/>
          <w:color w:val="242121"/>
          <w:shd w:val="clear" w:color="auto" w:fill="FFFFFF"/>
        </w:rPr>
        <w:t xml:space="preserve">This </w:t>
      </w:r>
      <w:r w:rsidR="00291951" w:rsidRPr="00913E1A">
        <w:rPr>
          <w:rFonts w:ascii="Arial" w:hAnsi="Arial" w:cs="Arial"/>
          <w:color w:val="242121"/>
          <w:shd w:val="clear" w:color="auto" w:fill="FFFFFF"/>
        </w:rPr>
        <w:t>proposal</w:t>
      </w:r>
      <w:r w:rsidR="00862374" w:rsidRPr="00913E1A">
        <w:rPr>
          <w:rFonts w:ascii="Arial" w:hAnsi="Arial" w:cs="Arial"/>
          <w:color w:val="242121"/>
          <w:shd w:val="clear" w:color="auto" w:fill="FFFFFF"/>
        </w:rPr>
        <w:t xml:space="preserve"> </w:t>
      </w:r>
      <w:r w:rsidR="008240EA" w:rsidRPr="00913E1A">
        <w:rPr>
          <w:rFonts w:ascii="Arial" w:hAnsi="Arial" w:cs="Arial"/>
          <w:color w:val="242121"/>
          <w:shd w:val="clear" w:color="auto" w:fill="FFFFFF"/>
        </w:rPr>
        <w:t>accord</w:t>
      </w:r>
      <w:r w:rsidR="00291951" w:rsidRPr="00913E1A">
        <w:rPr>
          <w:rFonts w:ascii="Arial" w:hAnsi="Arial" w:cs="Arial"/>
          <w:color w:val="242121"/>
          <w:shd w:val="clear" w:color="auto" w:fill="FFFFFF"/>
        </w:rPr>
        <w:t>s</w:t>
      </w:r>
      <w:r w:rsidR="00862374" w:rsidRPr="00913E1A">
        <w:rPr>
          <w:rFonts w:ascii="Arial" w:hAnsi="Arial" w:cs="Arial"/>
          <w:color w:val="242121"/>
          <w:shd w:val="clear" w:color="auto" w:fill="FFFFFF"/>
        </w:rPr>
        <w:t xml:space="preserve"> with the principles enunciated in </w:t>
      </w:r>
      <w:r w:rsidR="00862374" w:rsidRPr="00913E1A">
        <w:rPr>
          <w:rFonts w:ascii="Arial" w:hAnsi="Arial" w:cs="Arial"/>
          <w:i/>
          <w:iCs/>
        </w:rPr>
        <w:t>City of Cape Town (CMC Administration) v Bourbon-Leftley and Another NNO 2006 (3) SA 488 (SCA)</w:t>
      </w:r>
      <w:r w:rsidR="00862374" w:rsidRPr="00913E1A">
        <w:rPr>
          <w:rFonts w:ascii="Arial" w:hAnsi="Arial" w:cs="Arial"/>
        </w:rPr>
        <w:t xml:space="preserve"> at para 9.</w:t>
      </w:r>
      <w:r w:rsidR="00EF6864" w:rsidRPr="00913E1A">
        <w:rPr>
          <w:rFonts w:ascii="Arial" w:hAnsi="Arial" w:cs="Arial"/>
          <w:color w:val="242121"/>
          <w:shd w:val="clear" w:color="auto" w:fill="FFFFFF"/>
        </w:rPr>
        <w:t xml:space="preserve"> </w:t>
      </w:r>
      <w:r w:rsidR="003E2D44" w:rsidRPr="00913E1A">
        <w:rPr>
          <w:rFonts w:ascii="Arial" w:hAnsi="Arial" w:cs="Arial"/>
          <w:color w:val="242121"/>
          <w:shd w:val="clear" w:color="auto" w:fill="FFFFFF"/>
        </w:rPr>
        <w:t xml:space="preserve"> </w:t>
      </w:r>
      <w:r w:rsidR="00EF6864" w:rsidRPr="00913E1A">
        <w:rPr>
          <w:rFonts w:ascii="Arial" w:hAnsi="Arial" w:cs="Arial"/>
          <w:color w:val="242121"/>
          <w:shd w:val="clear" w:color="auto" w:fill="FFFFFF"/>
        </w:rPr>
        <w:t>MidCity plays no further role in this application.</w:t>
      </w:r>
    </w:p>
    <w:p w14:paraId="5932AE39" w14:textId="77777777" w:rsidR="00EF6864" w:rsidRPr="00913E1A" w:rsidRDefault="00EF6864" w:rsidP="006A606E">
      <w:pPr>
        <w:tabs>
          <w:tab w:val="left" w:pos="1134"/>
        </w:tabs>
        <w:spacing w:after="480" w:line="360" w:lineRule="auto"/>
        <w:ind w:left="1134" w:hanging="1134"/>
        <w:contextualSpacing/>
        <w:jc w:val="both"/>
        <w:rPr>
          <w:rFonts w:ascii="Arial" w:hAnsi="Arial" w:cs="Arial"/>
          <w:color w:val="242121"/>
          <w:shd w:val="clear" w:color="auto" w:fill="FFFFFF"/>
        </w:rPr>
      </w:pPr>
    </w:p>
    <w:p w14:paraId="08529C33" w14:textId="77777777" w:rsidR="00672A68" w:rsidRPr="00913E1A" w:rsidRDefault="00EF6864" w:rsidP="006A606E">
      <w:pPr>
        <w:tabs>
          <w:tab w:val="left" w:pos="1134"/>
        </w:tabs>
        <w:spacing w:after="480" w:line="360" w:lineRule="auto"/>
        <w:ind w:left="1134" w:hanging="1134"/>
        <w:contextualSpacing/>
        <w:jc w:val="both"/>
        <w:rPr>
          <w:rFonts w:ascii="Arial" w:hAnsi="Arial" w:cs="Arial"/>
          <w:color w:val="242121"/>
          <w:shd w:val="clear" w:color="auto" w:fill="FFFFFF"/>
        </w:rPr>
      </w:pPr>
      <w:r w:rsidRPr="00913E1A">
        <w:rPr>
          <w:rFonts w:ascii="Arial" w:hAnsi="Arial" w:cs="Arial"/>
          <w:color w:val="242121"/>
          <w:shd w:val="clear" w:color="auto" w:fill="FFFFFF"/>
        </w:rPr>
        <w:t xml:space="preserve">[8] </w:t>
      </w:r>
      <w:r w:rsidRPr="00913E1A">
        <w:rPr>
          <w:rFonts w:ascii="Arial" w:hAnsi="Arial" w:cs="Arial"/>
          <w:color w:val="242121"/>
          <w:shd w:val="clear" w:color="auto" w:fill="FFFFFF"/>
        </w:rPr>
        <w:tab/>
        <w:t>The eleventh to thirteenth respondents are the trustees of the Frikkie van As Family Trust.  The eleventh respondent is cited as the fourteenth respondent</w:t>
      </w:r>
      <w:r w:rsidR="003E2D44" w:rsidRPr="00913E1A">
        <w:rPr>
          <w:rFonts w:ascii="Arial" w:hAnsi="Arial" w:cs="Arial"/>
          <w:color w:val="242121"/>
          <w:shd w:val="clear" w:color="auto" w:fill="FFFFFF"/>
        </w:rPr>
        <w:t xml:space="preserve"> in his personal capacity</w:t>
      </w:r>
      <w:r w:rsidRPr="00913E1A">
        <w:rPr>
          <w:rFonts w:ascii="Arial" w:hAnsi="Arial" w:cs="Arial"/>
          <w:color w:val="242121"/>
          <w:shd w:val="clear" w:color="auto" w:fill="FFFFFF"/>
        </w:rPr>
        <w:t xml:space="preserve">.  </w:t>
      </w:r>
      <w:r w:rsidR="00672A68" w:rsidRPr="00913E1A">
        <w:rPr>
          <w:rFonts w:ascii="Arial" w:hAnsi="Arial" w:cs="Arial"/>
          <w:color w:val="242121"/>
          <w:shd w:val="clear" w:color="auto" w:fill="FFFFFF"/>
        </w:rPr>
        <w:t>The applicants did not persist with any relief against the eleventh to fourteenth respondents and they did not participate in the hearing.</w:t>
      </w:r>
    </w:p>
    <w:p w14:paraId="643EFBAF" w14:textId="77777777" w:rsidR="00672A68" w:rsidRPr="00913E1A" w:rsidRDefault="00672A68" w:rsidP="006A606E">
      <w:pPr>
        <w:tabs>
          <w:tab w:val="left" w:pos="1134"/>
        </w:tabs>
        <w:spacing w:after="480" w:line="360" w:lineRule="auto"/>
        <w:ind w:left="1134" w:hanging="1134"/>
        <w:contextualSpacing/>
        <w:jc w:val="both"/>
        <w:rPr>
          <w:rFonts w:ascii="Arial" w:hAnsi="Arial" w:cs="Arial"/>
          <w:color w:val="242121"/>
          <w:shd w:val="clear" w:color="auto" w:fill="FFFFFF"/>
        </w:rPr>
      </w:pPr>
    </w:p>
    <w:p w14:paraId="5F4A5A64" w14:textId="77777777" w:rsidR="00672A68" w:rsidRPr="00913E1A" w:rsidRDefault="00672A68" w:rsidP="003E2D44">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color w:val="242121"/>
          <w:shd w:val="clear" w:color="auto" w:fill="FFFFFF"/>
        </w:rPr>
        <w:t xml:space="preserve">[9] </w:t>
      </w:r>
      <w:r w:rsidRPr="00913E1A">
        <w:rPr>
          <w:rFonts w:ascii="Arial" w:hAnsi="Arial" w:cs="Arial"/>
          <w:color w:val="242121"/>
          <w:shd w:val="clear" w:color="auto" w:fill="FFFFFF"/>
        </w:rPr>
        <w:tab/>
      </w:r>
      <w:r w:rsidR="006A606E" w:rsidRPr="00913E1A">
        <w:rPr>
          <w:rFonts w:ascii="Arial" w:hAnsi="Arial" w:cs="Arial"/>
          <w:lang w:val="en-GB"/>
        </w:rPr>
        <w:t xml:space="preserve">The beneficiaries of the </w:t>
      </w:r>
      <w:r w:rsidR="003E2D44" w:rsidRPr="00913E1A">
        <w:rPr>
          <w:rFonts w:ascii="Arial" w:hAnsi="Arial" w:cs="Arial"/>
          <w:lang w:val="en-GB"/>
        </w:rPr>
        <w:t xml:space="preserve">Deelkraal </w:t>
      </w:r>
      <w:r w:rsidR="004A4F43" w:rsidRPr="00913E1A">
        <w:rPr>
          <w:rFonts w:ascii="Arial" w:hAnsi="Arial" w:cs="Arial"/>
          <w:lang w:val="en-GB"/>
        </w:rPr>
        <w:t>t</w:t>
      </w:r>
      <w:r w:rsidR="006A606E" w:rsidRPr="00913E1A">
        <w:rPr>
          <w:rFonts w:ascii="Arial" w:hAnsi="Arial" w:cs="Arial"/>
          <w:lang w:val="en-GB"/>
        </w:rPr>
        <w:t xml:space="preserve">rust are the Sebenza Trust, </w:t>
      </w:r>
      <w:r w:rsidR="003E2D44" w:rsidRPr="00913E1A">
        <w:rPr>
          <w:rFonts w:ascii="Arial" w:hAnsi="Arial" w:cs="Arial"/>
          <w:lang w:val="en-GB"/>
        </w:rPr>
        <w:t xml:space="preserve">the Rucinda Trust and Star Stone </w:t>
      </w:r>
      <w:r w:rsidR="006A606E" w:rsidRPr="00913E1A">
        <w:rPr>
          <w:rFonts w:ascii="Arial" w:hAnsi="Arial" w:cs="Arial"/>
          <w:lang w:val="en-GB"/>
        </w:rPr>
        <w:t xml:space="preserve">which </w:t>
      </w:r>
      <w:r w:rsidR="003E2D44" w:rsidRPr="00913E1A">
        <w:rPr>
          <w:rFonts w:ascii="Arial" w:hAnsi="Arial" w:cs="Arial"/>
          <w:lang w:val="en-GB"/>
        </w:rPr>
        <w:t xml:space="preserve">respectively </w:t>
      </w:r>
      <w:r w:rsidR="006A606E" w:rsidRPr="00913E1A">
        <w:rPr>
          <w:rFonts w:ascii="Arial" w:hAnsi="Arial" w:cs="Arial"/>
          <w:lang w:val="en-GB"/>
        </w:rPr>
        <w:t>hold 45%</w:t>
      </w:r>
      <w:r w:rsidR="003E2D44" w:rsidRPr="00913E1A">
        <w:rPr>
          <w:rFonts w:ascii="Arial" w:hAnsi="Arial" w:cs="Arial"/>
          <w:lang w:val="en-GB"/>
        </w:rPr>
        <w:t>, 10% and</w:t>
      </w:r>
      <w:r w:rsidR="006A606E" w:rsidRPr="00913E1A">
        <w:rPr>
          <w:rFonts w:ascii="Arial" w:hAnsi="Arial" w:cs="Arial"/>
          <w:lang w:val="en-GB"/>
        </w:rPr>
        <w:t xml:space="preserve"> 45% of the beneficial interest in the </w:t>
      </w:r>
      <w:r w:rsidR="004A4F43" w:rsidRPr="00913E1A">
        <w:rPr>
          <w:rFonts w:ascii="Arial" w:hAnsi="Arial" w:cs="Arial"/>
          <w:lang w:val="en-GB"/>
        </w:rPr>
        <w:t>t</w:t>
      </w:r>
      <w:r w:rsidR="006A606E" w:rsidRPr="00913E1A">
        <w:rPr>
          <w:rFonts w:ascii="Arial" w:hAnsi="Arial" w:cs="Arial"/>
          <w:lang w:val="en-GB"/>
        </w:rPr>
        <w:t>rust.</w:t>
      </w:r>
      <w:r w:rsidR="003E2D44" w:rsidRPr="00913E1A">
        <w:rPr>
          <w:rFonts w:ascii="Arial" w:hAnsi="Arial" w:cs="Arial"/>
          <w:lang w:val="en-GB"/>
        </w:rPr>
        <w:t xml:space="preserve">  </w:t>
      </w:r>
      <w:r w:rsidR="008240EA" w:rsidRPr="00913E1A">
        <w:rPr>
          <w:rFonts w:ascii="Arial" w:hAnsi="Arial" w:cs="Arial"/>
          <w:lang w:val="en-GB"/>
        </w:rPr>
        <w:t>Mrs Jacobs</w:t>
      </w:r>
      <w:r w:rsidR="003E2D44" w:rsidRPr="00913E1A">
        <w:rPr>
          <w:rFonts w:ascii="Arial" w:hAnsi="Arial" w:cs="Arial"/>
          <w:lang w:val="en-GB"/>
        </w:rPr>
        <w:t>,</w:t>
      </w:r>
      <w:r w:rsidR="008240EA" w:rsidRPr="00913E1A">
        <w:rPr>
          <w:rFonts w:ascii="Arial" w:hAnsi="Arial" w:cs="Arial"/>
          <w:lang w:val="en-GB"/>
        </w:rPr>
        <w:t xml:space="preserve"> Matthee </w:t>
      </w:r>
      <w:r w:rsidR="003E2D44" w:rsidRPr="00913E1A">
        <w:rPr>
          <w:rFonts w:ascii="Arial" w:hAnsi="Arial" w:cs="Arial"/>
          <w:lang w:val="en-GB"/>
        </w:rPr>
        <w:t xml:space="preserve">and Van As </w:t>
      </w:r>
      <w:r w:rsidR="006A606E" w:rsidRPr="00913E1A">
        <w:rPr>
          <w:rFonts w:ascii="Arial" w:hAnsi="Arial" w:cs="Arial"/>
          <w:lang w:val="en-GB"/>
        </w:rPr>
        <w:t>hold office as trustee</w:t>
      </w:r>
      <w:r w:rsidR="008240EA" w:rsidRPr="00913E1A">
        <w:rPr>
          <w:rFonts w:ascii="Arial" w:hAnsi="Arial" w:cs="Arial"/>
          <w:lang w:val="en-GB"/>
        </w:rPr>
        <w:t>s</w:t>
      </w:r>
      <w:r w:rsidR="006A606E" w:rsidRPr="00913E1A">
        <w:rPr>
          <w:rFonts w:ascii="Arial" w:hAnsi="Arial" w:cs="Arial"/>
          <w:lang w:val="en-GB"/>
        </w:rPr>
        <w:t xml:space="preserve"> of the </w:t>
      </w:r>
      <w:r w:rsidR="003E2D44" w:rsidRPr="00913E1A">
        <w:rPr>
          <w:rFonts w:ascii="Arial" w:hAnsi="Arial" w:cs="Arial"/>
          <w:lang w:val="en-GB"/>
        </w:rPr>
        <w:t>Deelkraal trust</w:t>
      </w:r>
      <w:r w:rsidR="006A606E" w:rsidRPr="00913E1A">
        <w:rPr>
          <w:rFonts w:ascii="Arial" w:hAnsi="Arial" w:cs="Arial"/>
          <w:lang w:val="en-GB"/>
        </w:rPr>
        <w:t xml:space="preserve">, in </w:t>
      </w:r>
      <w:r w:rsidR="008240EA" w:rsidRPr="00913E1A">
        <w:rPr>
          <w:rFonts w:ascii="Arial" w:hAnsi="Arial" w:cs="Arial"/>
          <w:lang w:val="en-GB"/>
        </w:rPr>
        <w:t xml:space="preserve">their respectively </w:t>
      </w:r>
      <w:r w:rsidR="006A606E" w:rsidRPr="00913E1A">
        <w:rPr>
          <w:rFonts w:ascii="Arial" w:hAnsi="Arial" w:cs="Arial"/>
          <w:lang w:val="en-GB"/>
        </w:rPr>
        <w:t>capacit</w:t>
      </w:r>
      <w:r w:rsidR="008240EA" w:rsidRPr="00913E1A">
        <w:rPr>
          <w:rFonts w:ascii="Arial" w:hAnsi="Arial" w:cs="Arial"/>
          <w:lang w:val="en-GB"/>
        </w:rPr>
        <w:t>ies</w:t>
      </w:r>
      <w:r w:rsidR="006A606E" w:rsidRPr="00913E1A">
        <w:rPr>
          <w:rFonts w:ascii="Arial" w:hAnsi="Arial" w:cs="Arial"/>
          <w:lang w:val="en-GB"/>
        </w:rPr>
        <w:t xml:space="preserve"> as representative</w:t>
      </w:r>
      <w:r w:rsidR="008240EA" w:rsidRPr="00913E1A">
        <w:rPr>
          <w:rFonts w:ascii="Arial" w:hAnsi="Arial" w:cs="Arial"/>
          <w:lang w:val="en-GB"/>
        </w:rPr>
        <w:t>s</w:t>
      </w:r>
      <w:r w:rsidR="006A606E" w:rsidRPr="00913E1A">
        <w:rPr>
          <w:rFonts w:ascii="Arial" w:hAnsi="Arial" w:cs="Arial"/>
          <w:lang w:val="en-GB"/>
        </w:rPr>
        <w:t xml:space="preserve"> of </w:t>
      </w:r>
      <w:r w:rsidR="00B95908" w:rsidRPr="00913E1A">
        <w:rPr>
          <w:rFonts w:ascii="Arial" w:hAnsi="Arial" w:cs="Arial"/>
          <w:lang w:val="en-GB"/>
        </w:rPr>
        <w:t>the Sebenza Trust</w:t>
      </w:r>
      <w:r w:rsidR="008240EA" w:rsidRPr="00913E1A">
        <w:rPr>
          <w:rFonts w:ascii="Arial" w:hAnsi="Arial" w:cs="Arial"/>
          <w:lang w:val="en-GB"/>
        </w:rPr>
        <w:t xml:space="preserve"> and </w:t>
      </w:r>
      <w:r w:rsidR="00B95908" w:rsidRPr="00913E1A">
        <w:rPr>
          <w:rFonts w:ascii="Arial" w:hAnsi="Arial" w:cs="Arial"/>
          <w:lang w:val="en-GB"/>
        </w:rPr>
        <w:t>the Rucinda Trust</w:t>
      </w:r>
      <w:r w:rsidR="003E2D44" w:rsidRPr="00913E1A">
        <w:rPr>
          <w:rFonts w:ascii="Arial" w:hAnsi="Arial" w:cs="Arial"/>
          <w:lang w:val="en-GB"/>
        </w:rPr>
        <w:t xml:space="preserve"> and the Pivotal Family Trust,</w:t>
      </w:r>
      <w:r w:rsidR="00B95908" w:rsidRPr="00913E1A">
        <w:rPr>
          <w:rFonts w:ascii="Arial" w:hAnsi="Arial" w:cs="Arial"/>
          <w:lang w:val="en-GB"/>
        </w:rPr>
        <w:t xml:space="preserve">. </w:t>
      </w:r>
    </w:p>
    <w:p w14:paraId="427A84CC" w14:textId="77777777" w:rsidR="008240EA" w:rsidRPr="00913E1A" w:rsidRDefault="008240EA" w:rsidP="00672A68">
      <w:pPr>
        <w:tabs>
          <w:tab w:val="left" w:pos="1134"/>
        </w:tabs>
        <w:spacing w:after="480" w:line="360" w:lineRule="auto"/>
        <w:ind w:left="1134" w:hanging="1134"/>
        <w:contextualSpacing/>
        <w:jc w:val="both"/>
        <w:rPr>
          <w:rFonts w:ascii="Arial" w:hAnsi="Arial" w:cs="Arial"/>
          <w:lang w:val="en-GB"/>
        </w:rPr>
      </w:pPr>
    </w:p>
    <w:p w14:paraId="7145511C" w14:textId="77777777" w:rsidR="00672A68" w:rsidRPr="00913E1A" w:rsidRDefault="00672A68" w:rsidP="00C44040">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[1</w:t>
      </w:r>
      <w:r w:rsidR="003E2D44" w:rsidRPr="00913E1A">
        <w:rPr>
          <w:rFonts w:ascii="Arial" w:hAnsi="Arial" w:cs="Arial"/>
          <w:lang w:val="en-GB"/>
        </w:rPr>
        <w:t>0</w:t>
      </w:r>
      <w:r w:rsidRPr="00913E1A">
        <w:rPr>
          <w:rFonts w:ascii="Arial" w:hAnsi="Arial" w:cs="Arial"/>
          <w:lang w:val="en-GB"/>
        </w:rPr>
        <w:t xml:space="preserve">] </w:t>
      </w:r>
      <w:r w:rsidRPr="00913E1A">
        <w:rPr>
          <w:rFonts w:ascii="Arial" w:hAnsi="Arial" w:cs="Arial"/>
          <w:lang w:val="en-GB"/>
        </w:rPr>
        <w:tab/>
      </w:r>
      <w:r w:rsidR="009C0233" w:rsidRPr="00913E1A">
        <w:rPr>
          <w:rFonts w:ascii="Arial" w:hAnsi="Arial" w:cs="Arial"/>
          <w:lang w:val="en-GB"/>
        </w:rPr>
        <w:t xml:space="preserve">The </w:t>
      </w:r>
      <w:r w:rsidR="003E2D44" w:rsidRPr="00913E1A">
        <w:rPr>
          <w:rFonts w:ascii="Arial" w:hAnsi="Arial" w:cs="Arial"/>
          <w:lang w:val="en-GB"/>
        </w:rPr>
        <w:t xml:space="preserve">Deelkraal trust </w:t>
      </w:r>
      <w:r w:rsidR="009C0233" w:rsidRPr="00913E1A">
        <w:rPr>
          <w:rFonts w:ascii="Arial" w:hAnsi="Arial" w:cs="Arial"/>
          <w:lang w:val="en-GB"/>
        </w:rPr>
        <w:t xml:space="preserve">was created in 2008.  Mrs Jacobs was the founder of the </w:t>
      </w:r>
      <w:r w:rsidR="003E2D44" w:rsidRPr="00913E1A">
        <w:rPr>
          <w:rFonts w:ascii="Arial" w:hAnsi="Arial" w:cs="Arial"/>
          <w:lang w:val="en-GB"/>
        </w:rPr>
        <w:t>Deelkraal trust</w:t>
      </w:r>
      <w:r w:rsidR="00C44040" w:rsidRPr="00913E1A">
        <w:rPr>
          <w:rFonts w:ascii="Arial" w:hAnsi="Arial" w:cs="Arial"/>
          <w:lang w:val="en-GB"/>
        </w:rPr>
        <w:t>.  She and Matthee</w:t>
      </w:r>
      <w:r w:rsidR="003E2D44" w:rsidRPr="00913E1A">
        <w:rPr>
          <w:rFonts w:ascii="Arial" w:hAnsi="Arial" w:cs="Arial"/>
          <w:lang w:val="en-GB"/>
        </w:rPr>
        <w:t>,</w:t>
      </w:r>
      <w:r w:rsidR="00C44040" w:rsidRPr="00913E1A">
        <w:rPr>
          <w:rFonts w:ascii="Arial" w:hAnsi="Arial" w:cs="Arial"/>
          <w:lang w:val="en-GB"/>
        </w:rPr>
        <w:t xml:space="preserve"> together with Frik van As</w:t>
      </w:r>
      <w:r w:rsidR="003E2D44" w:rsidRPr="00913E1A">
        <w:rPr>
          <w:rFonts w:ascii="Arial" w:hAnsi="Arial" w:cs="Arial"/>
          <w:lang w:val="en-GB"/>
        </w:rPr>
        <w:t>,</w:t>
      </w:r>
      <w:r w:rsidR="00C44040" w:rsidRPr="00913E1A">
        <w:rPr>
          <w:rFonts w:ascii="Arial" w:hAnsi="Arial" w:cs="Arial"/>
          <w:lang w:val="en-GB"/>
        </w:rPr>
        <w:t xml:space="preserve"> were the original trustees</w:t>
      </w:r>
      <w:r w:rsidR="003E2D44" w:rsidRPr="00913E1A">
        <w:rPr>
          <w:rFonts w:ascii="Arial" w:hAnsi="Arial" w:cs="Arial"/>
          <w:lang w:val="en-GB"/>
        </w:rPr>
        <w:t>.</w:t>
      </w:r>
      <w:r w:rsidR="00C44040" w:rsidRPr="00913E1A">
        <w:rPr>
          <w:rFonts w:ascii="Arial" w:hAnsi="Arial" w:cs="Arial"/>
          <w:lang w:val="en-GB"/>
        </w:rPr>
        <w:t xml:space="preserve">  </w:t>
      </w:r>
      <w:r w:rsidR="00B95908" w:rsidRPr="00913E1A">
        <w:rPr>
          <w:rFonts w:ascii="Arial" w:hAnsi="Arial" w:cs="Arial"/>
          <w:lang w:val="en-GB"/>
        </w:rPr>
        <w:t xml:space="preserve">The </w:t>
      </w:r>
      <w:r w:rsidR="003E2D44" w:rsidRPr="00913E1A">
        <w:rPr>
          <w:rFonts w:ascii="Arial" w:hAnsi="Arial" w:cs="Arial"/>
          <w:lang w:val="en-GB"/>
        </w:rPr>
        <w:t xml:space="preserve">Deelkraal trust </w:t>
      </w:r>
      <w:r w:rsidRPr="00913E1A">
        <w:rPr>
          <w:rFonts w:ascii="Arial" w:hAnsi="Arial" w:cs="Arial"/>
          <w:lang w:val="en-GB"/>
        </w:rPr>
        <w:t>owns the</w:t>
      </w:r>
      <w:r w:rsidR="00B95908" w:rsidRPr="00913E1A">
        <w:rPr>
          <w:rFonts w:ascii="Arial" w:hAnsi="Arial" w:cs="Arial"/>
          <w:lang w:val="en-GB"/>
        </w:rPr>
        <w:t xml:space="preserve"> immovable propert</w:t>
      </w:r>
      <w:r w:rsidRPr="00913E1A">
        <w:rPr>
          <w:rFonts w:ascii="Arial" w:hAnsi="Arial" w:cs="Arial"/>
          <w:lang w:val="en-GB"/>
        </w:rPr>
        <w:t>ies</w:t>
      </w:r>
      <w:r w:rsidR="00B95908" w:rsidRPr="00913E1A">
        <w:rPr>
          <w:rFonts w:ascii="Arial" w:hAnsi="Arial" w:cs="Arial"/>
          <w:lang w:val="en-GB"/>
        </w:rPr>
        <w:t xml:space="preserve"> known as the remaining extent of Portion 10 (a portion of Portion 3), Portion 11 (a portion of Portion 10) and portion 22 (a portion of Portion 10) of the Farm Deelkraal 142, Registration Division IQ, </w:t>
      </w:r>
      <w:r w:rsidRPr="00913E1A">
        <w:rPr>
          <w:rFonts w:ascii="Arial" w:hAnsi="Arial" w:cs="Arial"/>
          <w:lang w:val="en-GB"/>
        </w:rPr>
        <w:t>Northwest</w:t>
      </w:r>
      <w:r w:rsidR="00B95908" w:rsidRPr="00913E1A">
        <w:rPr>
          <w:rFonts w:ascii="Arial" w:hAnsi="Arial" w:cs="Arial"/>
          <w:lang w:val="en-GB"/>
        </w:rPr>
        <w:t xml:space="preserve"> Province. </w:t>
      </w:r>
      <w:r w:rsidRPr="00913E1A">
        <w:rPr>
          <w:rFonts w:ascii="Arial" w:hAnsi="Arial" w:cs="Arial"/>
          <w:lang w:val="en-GB"/>
        </w:rPr>
        <w:t xml:space="preserve"> </w:t>
      </w:r>
      <w:r w:rsidR="00767570" w:rsidRPr="00913E1A">
        <w:rPr>
          <w:rFonts w:ascii="Arial" w:hAnsi="Arial" w:cs="Arial"/>
          <w:lang w:val="en-GB"/>
        </w:rPr>
        <w:t xml:space="preserve">These immovable properties were registered in the name of </w:t>
      </w:r>
      <w:r w:rsidR="008B0F72" w:rsidRPr="00913E1A">
        <w:rPr>
          <w:rFonts w:ascii="Arial" w:hAnsi="Arial" w:cs="Arial"/>
          <w:lang w:val="en-GB"/>
        </w:rPr>
        <w:t>the trust</w:t>
      </w:r>
      <w:r w:rsidR="00767570" w:rsidRPr="00913E1A">
        <w:rPr>
          <w:rFonts w:ascii="Arial" w:hAnsi="Arial" w:cs="Arial"/>
          <w:lang w:val="en-GB"/>
        </w:rPr>
        <w:t xml:space="preserve"> </w:t>
      </w:r>
      <w:r w:rsidR="008B0F72" w:rsidRPr="00913E1A">
        <w:rPr>
          <w:rFonts w:ascii="Arial" w:hAnsi="Arial" w:cs="Arial"/>
          <w:lang w:val="en-GB"/>
        </w:rPr>
        <w:t xml:space="preserve">round </w:t>
      </w:r>
      <w:r w:rsidR="00767570" w:rsidRPr="00913E1A">
        <w:rPr>
          <w:rFonts w:ascii="Arial" w:hAnsi="Arial" w:cs="Arial"/>
          <w:lang w:val="en-GB"/>
        </w:rPr>
        <w:t xml:space="preserve">about April 2009 whereafter the </w:t>
      </w:r>
      <w:r w:rsidR="003E2D44" w:rsidRPr="00913E1A">
        <w:rPr>
          <w:rFonts w:ascii="Arial" w:hAnsi="Arial" w:cs="Arial"/>
          <w:lang w:val="en-GB"/>
        </w:rPr>
        <w:t xml:space="preserve">Deelkraal trust </w:t>
      </w:r>
      <w:r w:rsidR="00767570" w:rsidRPr="00913E1A">
        <w:rPr>
          <w:rFonts w:ascii="Arial" w:hAnsi="Arial" w:cs="Arial"/>
          <w:lang w:val="en-GB"/>
        </w:rPr>
        <w:t xml:space="preserve">commenced with the renovation of the </w:t>
      </w:r>
      <w:r w:rsidR="00B95908" w:rsidRPr="00913E1A">
        <w:rPr>
          <w:rFonts w:ascii="Arial" w:hAnsi="Arial" w:cs="Arial"/>
          <w:lang w:val="en-GB"/>
        </w:rPr>
        <w:t>approximately 400 houses situated on the</w:t>
      </w:r>
      <w:r w:rsidRPr="00913E1A">
        <w:rPr>
          <w:rFonts w:ascii="Arial" w:hAnsi="Arial" w:cs="Arial"/>
          <w:lang w:val="en-GB"/>
        </w:rPr>
        <w:t>se</w:t>
      </w:r>
      <w:r w:rsidR="00B95908" w:rsidRPr="00913E1A">
        <w:rPr>
          <w:rFonts w:ascii="Arial" w:hAnsi="Arial" w:cs="Arial"/>
          <w:lang w:val="en-GB"/>
        </w:rPr>
        <w:t xml:space="preserve"> properties</w:t>
      </w:r>
      <w:r w:rsidRPr="00913E1A">
        <w:rPr>
          <w:rFonts w:ascii="Arial" w:hAnsi="Arial" w:cs="Arial"/>
          <w:lang w:val="en-GB"/>
        </w:rPr>
        <w:t>,</w:t>
      </w:r>
      <w:r w:rsidR="00B95908" w:rsidRPr="00913E1A">
        <w:rPr>
          <w:rFonts w:ascii="Arial" w:hAnsi="Arial" w:cs="Arial"/>
          <w:lang w:val="en-GB"/>
        </w:rPr>
        <w:t xml:space="preserve"> which are jointly known as the Deelkraal Estate</w:t>
      </w:r>
      <w:r w:rsidR="00CF0BB1" w:rsidRPr="00913E1A">
        <w:rPr>
          <w:rFonts w:ascii="Arial" w:hAnsi="Arial" w:cs="Arial"/>
          <w:lang w:val="en-GB"/>
        </w:rPr>
        <w:t xml:space="preserve"> (the “Estate”)</w:t>
      </w:r>
      <w:r w:rsidR="00B95908" w:rsidRPr="00913E1A">
        <w:rPr>
          <w:rFonts w:ascii="Arial" w:hAnsi="Arial" w:cs="Arial"/>
          <w:lang w:val="en-GB"/>
        </w:rPr>
        <w:t xml:space="preserve">. These houses are leased to the public, and it is from the rental collected that the </w:t>
      </w:r>
      <w:r w:rsidR="003E2D44" w:rsidRPr="00913E1A">
        <w:rPr>
          <w:rFonts w:ascii="Arial" w:hAnsi="Arial" w:cs="Arial"/>
          <w:lang w:val="en-GB"/>
        </w:rPr>
        <w:t xml:space="preserve">Deelkraal trust </w:t>
      </w:r>
      <w:r w:rsidR="00B95908" w:rsidRPr="00913E1A">
        <w:rPr>
          <w:rFonts w:ascii="Arial" w:hAnsi="Arial" w:cs="Arial"/>
          <w:lang w:val="en-GB"/>
        </w:rPr>
        <w:t>derives its sole income.</w:t>
      </w:r>
    </w:p>
    <w:p w14:paraId="0B45988F" w14:textId="77777777" w:rsidR="00672A68" w:rsidRPr="00913E1A" w:rsidRDefault="00672A68" w:rsidP="00672A68">
      <w:pPr>
        <w:tabs>
          <w:tab w:val="left" w:pos="1134"/>
        </w:tabs>
        <w:spacing w:after="480" w:line="360" w:lineRule="auto"/>
        <w:ind w:left="1134" w:hanging="1134"/>
        <w:contextualSpacing/>
        <w:jc w:val="both"/>
        <w:rPr>
          <w:rFonts w:ascii="Arial" w:hAnsi="Arial" w:cs="Arial"/>
          <w:lang w:val="en-GB"/>
        </w:rPr>
      </w:pPr>
    </w:p>
    <w:p w14:paraId="07FA6352" w14:textId="77777777" w:rsidR="00672A68" w:rsidRPr="00913E1A" w:rsidRDefault="00672A68" w:rsidP="00C44040">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lastRenderedPageBreak/>
        <w:t>[1</w:t>
      </w:r>
      <w:r w:rsidR="008B0F72" w:rsidRPr="00913E1A">
        <w:rPr>
          <w:rFonts w:ascii="Arial" w:hAnsi="Arial" w:cs="Arial"/>
          <w:lang w:val="en-GB"/>
        </w:rPr>
        <w:t>1</w:t>
      </w:r>
      <w:r w:rsidRPr="00913E1A">
        <w:rPr>
          <w:rFonts w:ascii="Arial" w:hAnsi="Arial" w:cs="Arial"/>
          <w:lang w:val="en-GB"/>
        </w:rPr>
        <w:t xml:space="preserve">] </w:t>
      </w:r>
      <w:r w:rsidRPr="00913E1A">
        <w:rPr>
          <w:rFonts w:ascii="Arial" w:hAnsi="Arial" w:cs="Arial"/>
          <w:lang w:val="en-GB"/>
        </w:rPr>
        <w:tab/>
      </w:r>
      <w:r w:rsidR="00B95908" w:rsidRPr="00913E1A">
        <w:rPr>
          <w:rFonts w:ascii="Arial" w:hAnsi="Arial" w:cs="Arial"/>
          <w:lang w:val="en-GB"/>
        </w:rPr>
        <w:t>From th</w:t>
      </w:r>
      <w:r w:rsidRPr="00913E1A">
        <w:rPr>
          <w:rFonts w:ascii="Arial" w:hAnsi="Arial" w:cs="Arial"/>
          <w:lang w:val="en-GB"/>
        </w:rPr>
        <w:t>e rental</w:t>
      </w:r>
      <w:r w:rsidR="00B95908" w:rsidRPr="00913E1A">
        <w:rPr>
          <w:rFonts w:ascii="Arial" w:hAnsi="Arial" w:cs="Arial"/>
          <w:lang w:val="en-GB"/>
        </w:rPr>
        <w:t xml:space="preserve"> income the </w:t>
      </w:r>
      <w:r w:rsidR="003E2D44" w:rsidRPr="00913E1A">
        <w:rPr>
          <w:rFonts w:ascii="Arial" w:hAnsi="Arial" w:cs="Arial"/>
          <w:lang w:val="en-GB"/>
        </w:rPr>
        <w:t xml:space="preserve">Deelkraal trust </w:t>
      </w:r>
      <w:r w:rsidR="00B95908" w:rsidRPr="00913E1A">
        <w:rPr>
          <w:rFonts w:ascii="Arial" w:hAnsi="Arial" w:cs="Arial"/>
          <w:lang w:val="en-GB"/>
        </w:rPr>
        <w:t>pay</w:t>
      </w:r>
      <w:r w:rsidR="00CF0BB1" w:rsidRPr="00913E1A">
        <w:rPr>
          <w:rFonts w:ascii="Arial" w:hAnsi="Arial" w:cs="Arial"/>
          <w:lang w:val="en-GB"/>
        </w:rPr>
        <w:t>s</w:t>
      </w:r>
      <w:r w:rsidR="00B95908" w:rsidRPr="00913E1A">
        <w:rPr>
          <w:rFonts w:ascii="Arial" w:hAnsi="Arial" w:cs="Arial"/>
          <w:lang w:val="en-GB"/>
        </w:rPr>
        <w:t xml:space="preserve"> its creditors, its employees, maintain the properties owned by it, and make distributions to its beneficiaries </w:t>
      </w:r>
      <w:r w:rsidRPr="00913E1A">
        <w:rPr>
          <w:rFonts w:ascii="Arial" w:hAnsi="Arial" w:cs="Arial"/>
          <w:lang w:val="en-GB"/>
        </w:rPr>
        <w:t xml:space="preserve">as </w:t>
      </w:r>
      <w:r w:rsidRPr="00E8723F">
        <w:rPr>
          <w:rFonts w:ascii="Arial" w:hAnsi="Arial" w:cs="Arial"/>
          <w:lang w:val="en-GB"/>
        </w:rPr>
        <w:t xml:space="preserve">and </w:t>
      </w:r>
      <w:r w:rsidR="00B95908" w:rsidRPr="00E8723F">
        <w:rPr>
          <w:rFonts w:ascii="Arial" w:hAnsi="Arial" w:cs="Arial"/>
          <w:lang w:val="en-GB"/>
        </w:rPr>
        <w:t>if</w:t>
      </w:r>
      <w:r w:rsidR="007A6015" w:rsidRPr="00E8723F">
        <w:rPr>
          <w:rFonts w:ascii="Arial" w:hAnsi="Arial" w:cs="Arial"/>
          <w:lang w:val="en-GB"/>
        </w:rPr>
        <w:t>,</w:t>
      </w:r>
      <w:r w:rsidR="00B95908" w:rsidRPr="00913E1A">
        <w:rPr>
          <w:rFonts w:ascii="Arial" w:hAnsi="Arial" w:cs="Arial"/>
          <w:lang w:val="en-GB"/>
        </w:rPr>
        <w:t xml:space="preserve"> its cash flow permits.</w:t>
      </w:r>
      <w:r w:rsidR="00C44040" w:rsidRPr="00913E1A">
        <w:rPr>
          <w:rFonts w:ascii="Arial" w:hAnsi="Arial" w:cs="Arial"/>
          <w:lang w:val="en-GB"/>
        </w:rPr>
        <w:t xml:space="preserve">  It is the distribution of the income that is the bone of contention between the parties.  </w:t>
      </w:r>
    </w:p>
    <w:p w14:paraId="2BC0EB33" w14:textId="77777777" w:rsidR="00672A68" w:rsidRPr="00913E1A" w:rsidRDefault="00672A68" w:rsidP="00672A68">
      <w:pPr>
        <w:tabs>
          <w:tab w:val="left" w:pos="1134"/>
        </w:tabs>
        <w:spacing w:after="480" w:line="360" w:lineRule="auto"/>
        <w:ind w:left="1134" w:hanging="1134"/>
        <w:contextualSpacing/>
        <w:jc w:val="both"/>
        <w:rPr>
          <w:rFonts w:ascii="Arial" w:hAnsi="Arial" w:cs="Arial"/>
          <w:lang w:val="en-GB"/>
        </w:rPr>
      </w:pPr>
    </w:p>
    <w:p w14:paraId="230BD607" w14:textId="77777777" w:rsidR="00672A68" w:rsidRPr="00913E1A" w:rsidRDefault="00672A68" w:rsidP="00556F6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[1</w:t>
      </w:r>
      <w:r w:rsidR="008B0F72" w:rsidRPr="00913E1A">
        <w:rPr>
          <w:rFonts w:ascii="Arial" w:hAnsi="Arial" w:cs="Arial"/>
          <w:lang w:val="en-GB"/>
        </w:rPr>
        <w:t>2</w:t>
      </w:r>
      <w:r w:rsidRPr="00913E1A">
        <w:rPr>
          <w:rFonts w:ascii="Arial" w:hAnsi="Arial" w:cs="Arial"/>
          <w:lang w:val="en-GB"/>
        </w:rPr>
        <w:t xml:space="preserve">] </w:t>
      </w:r>
      <w:r w:rsidRPr="00913E1A">
        <w:rPr>
          <w:rFonts w:ascii="Arial" w:hAnsi="Arial" w:cs="Arial"/>
          <w:lang w:val="en-GB"/>
        </w:rPr>
        <w:tab/>
      </w:r>
      <w:r w:rsidR="00556F68" w:rsidRPr="00913E1A">
        <w:rPr>
          <w:rFonts w:ascii="Arial" w:hAnsi="Arial" w:cs="Arial"/>
          <w:lang w:val="en-GB"/>
        </w:rPr>
        <w:t xml:space="preserve"> </w:t>
      </w:r>
      <w:r w:rsidRPr="00913E1A">
        <w:rPr>
          <w:rFonts w:ascii="Arial" w:hAnsi="Arial" w:cs="Arial"/>
          <w:lang w:val="en-GB"/>
        </w:rPr>
        <w:t>Mrs Jacobs</w:t>
      </w:r>
      <w:r w:rsidR="00B95908" w:rsidRPr="00913E1A">
        <w:rPr>
          <w:rFonts w:ascii="Arial" w:hAnsi="Arial" w:cs="Arial"/>
          <w:lang w:val="en-GB"/>
        </w:rPr>
        <w:t xml:space="preserve"> resides in one of the houses situated in the Estate. </w:t>
      </w:r>
      <w:r w:rsidRPr="00913E1A">
        <w:rPr>
          <w:rFonts w:ascii="Arial" w:hAnsi="Arial" w:cs="Arial"/>
          <w:lang w:val="en-GB"/>
        </w:rPr>
        <w:t>Van As</w:t>
      </w:r>
      <w:r w:rsidR="00B95908" w:rsidRPr="00913E1A">
        <w:rPr>
          <w:rFonts w:ascii="Arial" w:hAnsi="Arial" w:cs="Arial"/>
          <w:lang w:val="en-GB"/>
        </w:rPr>
        <w:t xml:space="preserve"> also occasionally resides in one of the houses. The </w:t>
      </w:r>
      <w:r w:rsidRPr="00913E1A">
        <w:rPr>
          <w:rFonts w:ascii="Arial" w:hAnsi="Arial" w:cs="Arial"/>
          <w:lang w:val="en-GB"/>
        </w:rPr>
        <w:t>t</w:t>
      </w:r>
      <w:r w:rsidR="00B95908" w:rsidRPr="00913E1A">
        <w:rPr>
          <w:rFonts w:ascii="Arial" w:hAnsi="Arial" w:cs="Arial"/>
          <w:lang w:val="en-GB"/>
        </w:rPr>
        <w:t xml:space="preserve">rust’s office, </w:t>
      </w:r>
      <w:r w:rsidR="003E2D44" w:rsidRPr="00913E1A">
        <w:rPr>
          <w:rFonts w:ascii="Arial" w:hAnsi="Arial" w:cs="Arial"/>
          <w:lang w:val="en-GB"/>
        </w:rPr>
        <w:t>its</w:t>
      </w:r>
      <w:r w:rsidR="00B95908" w:rsidRPr="00913E1A">
        <w:rPr>
          <w:rFonts w:ascii="Arial" w:hAnsi="Arial" w:cs="Arial"/>
          <w:lang w:val="en-GB"/>
        </w:rPr>
        <w:t xml:space="preserve"> principal place of business</w:t>
      </w:r>
      <w:r w:rsidR="00CF0BB1" w:rsidRPr="00913E1A">
        <w:rPr>
          <w:rFonts w:ascii="Arial" w:hAnsi="Arial" w:cs="Arial"/>
          <w:lang w:val="en-GB"/>
        </w:rPr>
        <w:t>,</w:t>
      </w:r>
      <w:r w:rsidR="00B95908" w:rsidRPr="00913E1A">
        <w:rPr>
          <w:rFonts w:ascii="Arial" w:hAnsi="Arial" w:cs="Arial"/>
          <w:lang w:val="en-GB"/>
        </w:rPr>
        <w:t xml:space="preserve"> is also situated in the Estate.  The </w:t>
      </w:r>
      <w:r w:rsidRPr="00913E1A">
        <w:rPr>
          <w:rFonts w:ascii="Arial" w:hAnsi="Arial" w:cs="Arial"/>
          <w:lang w:val="en-GB"/>
        </w:rPr>
        <w:t>t</w:t>
      </w:r>
      <w:r w:rsidR="00B95908" w:rsidRPr="00913E1A">
        <w:rPr>
          <w:rFonts w:ascii="Arial" w:hAnsi="Arial" w:cs="Arial"/>
          <w:lang w:val="en-GB"/>
        </w:rPr>
        <w:t xml:space="preserve">rust’s office is also the address where the various tenants of the </w:t>
      </w:r>
      <w:r w:rsidRPr="00913E1A">
        <w:rPr>
          <w:rFonts w:ascii="Arial" w:hAnsi="Arial" w:cs="Arial"/>
          <w:lang w:val="en-GB"/>
        </w:rPr>
        <w:t>t</w:t>
      </w:r>
      <w:r w:rsidR="00B95908" w:rsidRPr="00913E1A">
        <w:rPr>
          <w:rFonts w:ascii="Arial" w:hAnsi="Arial" w:cs="Arial"/>
          <w:lang w:val="en-GB"/>
        </w:rPr>
        <w:t xml:space="preserve">rust are supposed to pay the monthly rental and other charges (such as water and electricity). </w:t>
      </w:r>
    </w:p>
    <w:p w14:paraId="181E7D7F" w14:textId="77777777" w:rsidR="00672A68" w:rsidRPr="00913E1A" w:rsidRDefault="00672A68" w:rsidP="00672A68">
      <w:pPr>
        <w:tabs>
          <w:tab w:val="left" w:pos="1134"/>
        </w:tabs>
        <w:spacing w:after="480" w:line="360" w:lineRule="auto"/>
        <w:ind w:left="1134" w:hanging="1134"/>
        <w:contextualSpacing/>
        <w:jc w:val="both"/>
        <w:rPr>
          <w:rFonts w:ascii="Arial" w:hAnsi="Arial" w:cs="Arial"/>
          <w:lang w:val="en-GB"/>
        </w:rPr>
      </w:pPr>
    </w:p>
    <w:p w14:paraId="64C13864" w14:textId="77777777" w:rsidR="009E22B8" w:rsidRPr="00913E1A" w:rsidRDefault="009E22B8"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[1</w:t>
      </w:r>
      <w:r w:rsidR="008B0F72" w:rsidRPr="00913E1A">
        <w:rPr>
          <w:rFonts w:ascii="Arial" w:hAnsi="Arial" w:cs="Arial"/>
          <w:lang w:val="en-GB"/>
        </w:rPr>
        <w:t>3</w:t>
      </w:r>
      <w:r w:rsidRPr="00913E1A">
        <w:rPr>
          <w:rFonts w:ascii="Arial" w:hAnsi="Arial" w:cs="Arial"/>
          <w:lang w:val="en-GB"/>
        </w:rPr>
        <w:t xml:space="preserve">] </w:t>
      </w:r>
      <w:r w:rsidRPr="00913E1A">
        <w:rPr>
          <w:rFonts w:ascii="Arial" w:hAnsi="Arial" w:cs="Arial"/>
          <w:lang w:val="en-GB"/>
        </w:rPr>
        <w:tab/>
      </w:r>
      <w:r w:rsidR="00672A68" w:rsidRPr="00913E1A">
        <w:rPr>
          <w:rFonts w:ascii="Arial" w:hAnsi="Arial" w:cs="Arial"/>
          <w:lang w:val="en-GB"/>
        </w:rPr>
        <w:t xml:space="preserve">In terms of clause 10 of the </w:t>
      </w:r>
      <w:r w:rsidRPr="00913E1A">
        <w:rPr>
          <w:rFonts w:ascii="Arial" w:hAnsi="Arial" w:cs="Arial"/>
          <w:lang w:val="en-GB"/>
        </w:rPr>
        <w:t>t</w:t>
      </w:r>
      <w:r w:rsidR="00672A68" w:rsidRPr="00913E1A">
        <w:rPr>
          <w:rFonts w:ascii="Arial" w:hAnsi="Arial" w:cs="Arial"/>
          <w:lang w:val="en-GB"/>
        </w:rPr>
        <w:t>rust deed</w:t>
      </w:r>
      <w:r w:rsidRPr="00913E1A">
        <w:rPr>
          <w:rFonts w:ascii="Arial" w:hAnsi="Arial" w:cs="Arial"/>
          <w:lang w:val="en-GB"/>
        </w:rPr>
        <w:t>,</w:t>
      </w:r>
      <w:r w:rsidR="00672A68" w:rsidRPr="00913E1A">
        <w:rPr>
          <w:rFonts w:ascii="Arial" w:hAnsi="Arial" w:cs="Arial"/>
          <w:lang w:val="en-GB"/>
        </w:rPr>
        <w:t xml:space="preserve"> decisions by the </w:t>
      </w:r>
      <w:r w:rsidRPr="00913E1A">
        <w:rPr>
          <w:rFonts w:ascii="Arial" w:hAnsi="Arial" w:cs="Arial"/>
          <w:lang w:val="en-GB"/>
        </w:rPr>
        <w:t>t</w:t>
      </w:r>
      <w:r w:rsidR="00672A68" w:rsidRPr="00913E1A">
        <w:rPr>
          <w:rFonts w:ascii="Arial" w:hAnsi="Arial" w:cs="Arial"/>
          <w:lang w:val="en-GB"/>
        </w:rPr>
        <w:t xml:space="preserve">rustees must be supported by </w:t>
      </w:r>
      <w:r w:rsidRPr="00913E1A">
        <w:rPr>
          <w:rFonts w:ascii="Arial" w:hAnsi="Arial" w:cs="Arial"/>
          <w:lang w:val="en-GB"/>
        </w:rPr>
        <w:t>t</w:t>
      </w:r>
      <w:r w:rsidR="00672A68" w:rsidRPr="00913E1A">
        <w:rPr>
          <w:rFonts w:ascii="Arial" w:hAnsi="Arial" w:cs="Arial"/>
          <w:lang w:val="en-GB"/>
        </w:rPr>
        <w:t xml:space="preserve">rustees representing beneficiaries holding </w:t>
      </w:r>
      <w:r w:rsidR="008B0F72" w:rsidRPr="00913E1A">
        <w:rPr>
          <w:rFonts w:ascii="Arial" w:hAnsi="Arial" w:cs="Arial"/>
          <w:lang w:val="en-GB"/>
        </w:rPr>
        <w:t xml:space="preserve">at least </w:t>
      </w:r>
      <w:r w:rsidR="00672A68" w:rsidRPr="00913E1A">
        <w:rPr>
          <w:rFonts w:ascii="Arial" w:hAnsi="Arial" w:cs="Arial"/>
          <w:lang w:val="en-GB"/>
        </w:rPr>
        <w:t xml:space="preserve">60% of the beneficial interest in the </w:t>
      </w:r>
      <w:r w:rsidRPr="00913E1A">
        <w:rPr>
          <w:rFonts w:ascii="Arial" w:hAnsi="Arial" w:cs="Arial"/>
          <w:lang w:val="en-GB"/>
        </w:rPr>
        <w:t>t</w:t>
      </w:r>
      <w:r w:rsidR="00672A68" w:rsidRPr="00913E1A">
        <w:rPr>
          <w:rFonts w:ascii="Arial" w:hAnsi="Arial" w:cs="Arial"/>
          <w:lang w:val="en-GB"/>
        </w:rPr>
        <w:t>rust.</w:t>
      </w:r>
      <w:r w:rsidRPr="00913E1A">
        <w:rPr>
          <w:rFonts w:ascii="Arial" w:hAnsi="Arial" w:cs="Arial"/>
          <w:lang w:val="en-GB"/>
        </w:rPr>
        <w:t xml:space="preserve">  In practical terms this means that all the decisions taken by the trust</w:t>
      </w:r>
      <w:r w:rsidR="00CF0BB1" w:rsidRPr="00913E1A">
        <w:rPr>
          <w:rFonts w:ascii="Arial" w:hAnsi="Arial" w:cs="Arial"/>
          <w:lang w:val="en-GB"/>
        </w:rPr>
        <w:t>ees</w:t>
      </w:r>
      <w:r w:rsidRPr="00913E1A">
        <w:rPr>
          <w:rFonts w:ascii="Arial" w:hAnsi="Arial" w:cs="Arial"/>
          <w:lang w:val="en-GB"/>
        </w:rPr>
        <w:t xml:space="preserve"> must be unanimous.</w:t>
      </w:r>
    </w:p>
    <w:p w14:paraId="639D4A90" w14:textId="77777777" w:rsidR="00F24EF6" w:rsidRPr="00913E1A" w:rsidRDefault="00F24EF6" w:rsidP="00F24EF6">
      <w:pPr>
        <w:tabs>
          <w:tab w:val="left" w:pos="1134"/>
        </w:tabs>
        <w:spacing w:after="480" w:line="360" w:lineRule="auto"/>
        <w:ind w:left="1134" w:hanging="1134"/>
        <w:contextualSpacing/>
        <w:jc w:val="both"/>
        <w:rPr>
          <w:rFonts w:ascii="Arial" w:hAnsi="Arial" w:cs="Arial"/>
          <w:lang w:val="en-GB"/>
        </w:rPr>
      </w:pPr>
    </w:p>
    <w:p w14:paraId="24426848" w14:textId="77777777" w:rsidR="00F24EF6" w:rsidRPr="00913E1A" w:rsidRDefault="00F24EF6" w:rsidP="009F0763">
      <w:pPr>
        <w:tabs>
          <w:tab w:val="left" w:pos="1134"/>
        </w:tabs>
        <w:spacing w:after="480" w:line="360" w:lineRule="auto"/>
        <w:ind w:left="1134" w:hanging="1134"/>
        <w:contextualSpacing/>
        <w:jc w:val="both"/>
        <w:rPr>
          <w:rFonts w:ascii="Arial" w:hAnsi="Arial" w:cs="Arial"/>
        </w:rPr>
      </w:pPr>
      <w:r w:rsidRPr="00913E1A">
        <w:rPr>
          <w:rFonts w:ascii="Arial" w:hAnsi="Arial" w:cs="Arial"/>
          <w:lang w:val="en-GB"/>
        </w:rPr>
        <w:t>[1</w:t>
      </w:r>
      <w:r w:rsidR="008B0F72" w:rsidRPr="00913E1A">
        <w:rPr>
          <w:rFonts w:ascii="Arial" w:hAnsi="Arial" w:cs="Arial"/>
          <w:lang w:val="en-GB"/>
        </w:rPr>
        <w:t>4</w:t>
      </w:r>
      <w:r w:rsidRPr="00913E1A">
        <w:rPr>
          <w:rFonts w:ascii="Arial" w:hAnsi="Arial" w:cs="Arial"/>
          <w:lang w:val="en-GB"/>
        </w:rPr>
        <w:t xml:space="preserve">] </w:t>
      </w:r>
      <w:r w:rsidRPr="00913E1A">
        <w:rPr>
          <w:rFonts w:ascii="Arial" w:hAnsi="Arial" w:cs="Arial"/>
          <w:lang w:val="en-GB"/>
        </w:rPr>
        <w:tab/>
        <w:t xml:space="preserve">On </w:t>
      </w:r>
      <w:r w:rsidRPr="00913E1A">
        <w:rPr>
          <w:rFonts w:ascii="Arial" w:hAnsi="Arial" w:cs="Arial"/>
        </w:rPr>
        <w:t xml:space="preserve">5 September 2011 </w:t>
      </w:r>
      <w:r w:rsidR="009A4E9D" w:rsidRPr="00913E1A">
        <w:rPr>
          <w:rFonts w:ascii="Arial" w:hAnsi="Arial" w:cs="Arial"/>
        </w:rPr>
        <w:t xml:space="preserve">the trustees </w:t>
      </w:r>
      <w:r w:rsidRPr="00913E1A">
        <w:rPr>
          <w:rFonts w:ascii="Arial" w:hAnsi="Arial" w:cs="Arial"/>
        </w:rPr>
        <w:t>resolved to proportionally, pro rata to each beneficiar</w:t>
      </w:r>
      <w:r w:rsidR="008B0F72" w:rsidRPr="00913E1A">
        <w:rPr>
          <w:rFonts w:ascii="Arial" w:hAnsi="Arial" w:cs="Arial"/>
        </w:rPr>
        <w:t>y</w:t>
      </w:r>
      <w:r w:rsidRPr="00913E1A">
        <w:rPr>
          <w:rFonts w:ascii="Arial" w:hAnsi="Arial" w:cs="Arial"/>
        </w:rPr>
        <w:t>’</w:t>
      </w:r>
      <w:r w:rsidR="008B0F72" w:rsidRPr="00913E1A">
        <w:rPr>
          <w:rFonts w:ascii="Arial" w:hAnsi="Arial" w:cs="Arial"/>
        </w:rPr>
        <w:t>s</w:t>
      </w:r>
      <w:r w:rsidRPr="00913E1A">
        <w:rPr>
          <w:rFonts w:ascii="Arial" w:hAnsi="Arial" w:cs="Arial"/>
        </w:rPr>
        <w:t xml:space="preserve"> </w:t>
      </w:r>
      <w:r w:rsidR="009F0763" w:rsidRPr="00913E1A">
        <w:rPr>
          <w:rFonts w:ascii="Arial" w:hAnsi="Arial" w:cs="Arial"/>
        </w:rPr>
        <w:t>beneficial interest</w:t>
      </w:r>
      <w:r w:rsidRPr="00913E1A">
        <w:rPr>
          <w:rFonts w:ascii="Arial" w:hAnsi="Arial" w:cs="Arial"/>
        </w:rPr>
        <w:t xml:space="preserve"> in </w:t>
      </w:r>
      <w:r w:rsidR="009F0763" w:rsidRPr="00913E1A">
        <w:rPr>
          <w:rFonts w:ascii="Arial" w:hAnsi="Arial" w:cs="Arial"/>
        </w:rPr>
        <w:t xml:space="preserve">the </w:t>
      </w:r>
      <w:r w:rsidR="008B0F72" w:rsidRPr="00913E1A">
        <w:rPr>
          <w:rFonts w:ascii="Arial" w:hAnsi="Arial" w:cs="Arial"/>
        </w:rPr>
        <w:t>Deelkraal trust</w:t>
      </w:r>
      <w:r w:rsidRPr="00913E1A">
        <w:rPr>
          <w:rFonts w:ascii="Arial" w:hAnsi="Arial" w:cs="Arial"/>
        </w:rPr>
        <w:t xml:space="preserve">, divide the township into three portions. These portions </w:t>
      </w:r>
      <w:r w:rsidR="009F0763" w:rsidRPr="00913E1A">
        <w:rPr>
          <w:rFonts w:ascii="Arial" w:hAnsi="Arial" w:cs="Arial"/>
        </w:rPr>
        <w:t xml:space="preserve">are </w:t>
      </w:r>
      <w:r w:rsidRPr="00913E1A">
        <w:rPr>
          <w:rFonts w:ascii="Arial" w:hAnsi="Arial" w:cs="Arial"/>
        </w:rPr>
        <w:t>referred to this as “Deelkraal Noord 1”, Deelkraal Noord 2” and “Deelkraal Suid”.</w:t>
      </w:r>
      <w:r w:rsidR="009F0763" w:rsidRPr="00913E1A">
        <w:rPr>
          <w:rFonts w:ascii="Arial" w:hAnsi="Arial" w:cs="Arial"/>
          <w:lang w:val="en-GB"/>
        </w:rPr>
        <w:t xml:space="preserve"> </w:t>
      </w:r>
      <w:r w:rsidRPr="00913E1A">
        <w:rPr>
          <w:rFonts w:ascii="Arial" w:hAnsi="Arial" w:cs="Arial"/>
        </w:rPr>
        <w:t xml:space="preserve">This resolution was also minuted in the </w:t>
      </w:r>
      <w:r w:rsidR="009F0763" w:rsidRPr="00913E1A">
        <w:rPr>
          <w:rFonts w:ascii="Arial" w:hAnsi="Arial" w:cs="Arial"/>
        </w:rPr>
        <w:t>t</w:t>
      </w:r>
      <w:r w:rsidRPr="00913E1A">
        <w:rPr>
          <w:rFonts w:ascii="Arial" w:hAnsi="Arial" w:cs="Arial"/>
        </w:rPr>
        <w:t>rust register</w:t>
      </w:r>
      <w:r w:rsidR="009F0763" w:rsidRPr="00913E1A">
        <w:rPr>
          <w:rFonts w:ascii="Arial" w:hAnsi="Arial" w:cs="Arial"/>
        </w:rPr>
        <w:t>.</w:t>
      </w:r>
      <w:r w:rsidRPr="00913E1A">
        <w:rPr>
          <w:rFonts w:ascii="Arial" w:hAnsi="Arial" w:cs="Arial"/>
        </w:rPr>
        <w:t xml:space="preserve"> It is evident from this </w:t>
      </w:r>
      <w:r w:rsidR="009F0763" w:rsidRPr="00913E1A">
        <w:rPr>
          <w:rFonts w:ascii="Arial" w:hAnsi="Arial" w:cs="Arial"/>
        </w:rPr>
        <w:t>resolution</w:t>
      </w:r>
      <w:r w:rsidRPr="00913E1A">
        <w:rPr>
          <w:rFonts w:ascii="Arial" w:hAnsi="Arial" w:cs="Arial"/>
        </w:rPr>
        <w:t xml:space="preserve"> that the trustees accepted the </w:t>
      </w:r>
      <w:r w:rsidR="009F0763" w:rsidRPr="00913E1A">
        <w:rPr>
          <w:rFonts w:ascii="Arial" w:hAnsi="Arial" w:cs="Arial"/>
        </w:rPr>
        <w:t xml:space="preserve">benefit </w:t>
      </w:r>
      <w:r w:rsidRPr="00913E1A">
        <w:rPr>
          <w:rFonts w:ascii="Arial" w:hAnsi="Arial" w:cs="Arial"/>
        </w:rPr>
        <w:t>division whilst agreeing that each beneficiary/beneficiary group would from 1 October 2011 (the effective date) manage and administer its allocated “portion” and also become entitled to all profits and be liable for all losses.</w:t>
      </w:r>
      <w:r w:rsidR="009F0763" w:rsidRPr="00913E1A">
        <w:rPr>
          <w:rFonts w:ascii="Arial" w:hAnsi="Arial" w:cs="Arial"/>
          <w:lang w:val="en-GB"/>
        </w:rPr>
        <w:t xml:space="preserve">  </w:t>
      </w:r>
      <w:r w:rsidRPr="00913E1A">
        <w:rPr>
          <w:rFonts w:ascii="Arial" w:hAnsi="Arial" w:cs="Arial"/>
        </w:rPr>
        <w:t xml:space="preserve">It is evident that from 1 October 2011 the allocated and awarded benefits vested in the respective beneficiaries. This is also the factual </w:t>
      </w:r>
      <w:r w:rsidR="009F0763" w:rsidRPr="00913E1A">
        <w:rPr>
          <w:rFonts w:ascii="Arial" w:hAnsi="Arial" w:cs="Arial"/>
        </w:rPr>
        <w:t>position the</w:t>
      </w:r>
      <w:r w:rsidRPr="00913E1A">
        <w:rPr>
          <w:rFonts w:ascii="Arial" w:hAnsi="Arial" w:cs="Arial"/>
        </w:rPr>
        <w:t xml:space="preserve"> first applicant found when he was appointed as trustee.</w:t>
      </w:r>
      <w:r w:rsidR="009F0763" w:rsidRPr="00913E1A">
        <w:rPr>
          <w:rFonts w:ascii="Arial" w:hAnsi="Arial" w:cs="Arial"/>
        </w:rPr>
        <w:t xml:space="preserve">  </w:t>
      </w:r>
    </w:p>
    <w:p w14:paraId="22A75033" w14:textId="77777777" w:rsidR="008B0F72" w:rsidRPr="00913E1A" w:rsidRDefault="008B0F72" w:rsidP="009F0763">
      <w:pPr>
        <w:tabs>
          <w:tab w:val="left" w:pos="1134"/>
        </w:tabs>
        <w:spacing w:after="480" w:line="360" w:lineRule="auto"/>
        <w:ind w:left="1134" w:hanging="1134"/>
        <w:contextualSpacing/>
        <w:jc w:val="both"/>
        <w:rPr>
          <w:rFonts w:ascii="Arial" w:hAnsi="Arial" w:cs="Arial"/>
          <w:lang w:val="en-GB"/>
        </w:rPr>
      </w:pPr>
    </w:p>
    <w:p w14:paraId="07BC774B" w14:textId="77777777" w:rsidR="00F24EF6" w:rsidRPr="00913E1A" w:rsidRDefault="00F24EF6" w:rsidP="00F24EF6">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[1</w:t>
      </w:r>
      <w:r w:rsidR="008B0F72" w:rsidRPr="00913E1A">
        <w:rPr>
          <w:rFonts w:ascii="Arial" w:hAnsi="Arial" w:cs="Arial"/>
          <w:lang w:val="en-GB"/>
        </w:rPr>
        <w:t>5</w:t>
      </w:r>
      <w:r w:rsidRPr="00913E1A">
        <w:rPr>
          <w:rFonts w:ascii="Arial" w:hAnsi="Arial" w:cs="Arial"/>
          <w:lang w:val="en-GB"/>
        </w:rPr>
        <w:t xml:space="preserve">] </w:t>
      </w:r>
      <w:r w:rsidRPr="00913E1A">
        <w:rPr>
          <w:rFonts w:ascii="Arial" w:hAnsi="Arial" w:cs="Arial"/>
          <w:lang w:val="en-GB"/>
        </w:rPr>
        <w:tab/>
        <w:t xml:space="preserve">Van As was not originally a trustee of the </w:t>
      </w:r>
      <w:r w:rsidR="008B0F72" w:rsidRPr="00913E1A">
        <w:rPr>
          <w:rFonts w:ascii="Arial" w:hAnsi="Arial" w:cs="Arial"/>
        </w:rPr>
        <w:t>Deelkraal trust</w:t>
      </w:r>
      <w:r w:rsidRPr="00913E1A">
        <w:rPr>
          <w:rFonts w:ascii="Arial" w:hAnsi="Arial" w:cs="Arial"/>
          <w:lang w:val="en-GB"/>
        </w:rPr>
        <w:t xml:space="preserve">.  He became a trustee of the trust </w:t>
      </w:r>
      <w:r w:rsidR="00B30749" w:rsidRPr="00913E1A">
        <w:rPr>
          <w:rFonts w:ascii="Arial" w:hAnsi="Arial" w:cs="Arial"/>
          <w:lang w:val="en-GB"/>
        </w:rPr>
        <w:t xml:space="preserve">on 28 August 2017 </w:t>
      </w:r>
      <w:r w:rsidRPr="00913E1A">
        <w:rPr>
          <w:rFonts w:ascii="Arial" w:hAnsi="Arial" w:cs="Arial"/>
          <w:lang w:val="en-GB"/>
        </w:rPr>
        <w:t xml:space="preserve">when the Pivotal Family Trust obtained the shareholding </w:t>
      </w:r>
      <w:r w:rsidR="008B0F72" w:rsidRPr="00913E1A">
        <w:rPr>
          <w:rFonts w:ascii="Arial" w:hAnsi="Arial" w:cs="Arial"/>
          <w:lang w:val="en-GB"/>
        </w:rPr>
        <w:t xml:space="preserve">in Star Stone </w:t>
      </w:r>
      <w:r w:rsidRPr="00913E1A">
        <w:rPr>
          <w:rFonts w:ascii="Arial" w:hAnsi="Arial" w:cs="Arial"/>
          <w:lang w:val="en-GB"/>
        </w:rPr>
        <w:t xml:space="preserve">from the spouse of the fourteenth respondent. </w:t>
      </w:r>
    </w:p>
    <w:p w14:paraId="643925A7" w14:textId="77777777" w:rsidR="006F066E" w:rsidRPr="00913E1A" w:rsidRDefault="006F066E" w:rsidP="009F0763">
      <w:pPr>
        <w:tabs>
          <w:tab w:val="left" w:pos="1134"/>
        </w:tabs>
        <w:spacing w:after="480" w:line="360" w:lineRule="auto"/>
        <w:contextualSpacing/>
        <w:jc w:val="both"/>
        <w:rPr>
          <w:rFonts w:ascii="Arial" w:hAnsi="Arial" w:cs="Arial"/>
          <w:lang w:val="en-GB"/>
        </w:rPr>
      </w:pPr>
    </w:p>
    <w:p w14:paraId="7F66545A" w14:textId="77777777" w:rsidR="006F066E" w:rsidRPr="00913E1A" w:rsidRDefault="006F066E"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lastRenderedPageBreak/>
        <w:t>[1</w:t>
      </w:r>
      <w:r w:rsidR="008B0F72" w:rsidRPr="00913E1A">
        <w:rPr>
          <w:rFonts w:ascii="Arial" w:hAnsi="Arial" w:cs="Arial"/>
          <w:lang w:val="en-GB"/>
        </w:rPr>
        <w:t>6</w:t>
      </w:r>
      <w:r w:rsidRPr="00913E1A">
        <w:rPr>
          <w:rFonts w:ascii="Arial" w:hAnsi="Arial" w:cs="Arial"/>
          <w:lang w:val="en-GB"/>
        </w:rPr>
        <w:t xml:space="preserve">] </w:t>
      </w:r>
      <w:r w:rsidRPr="00913E1A">
        <w:rPr>
          <w:rFonts w:ascii="Arial" w:hAnsi="Arial" w:cs="Arial"/>
          <w:lang w:val="en-GB"/>
        </w:rPr>
        <w:tab/>
      </w:r>
      <w:r w:rsidR="009F0763" w:rsidRPr="00913E1A">
        <w:rPr>
          <w:rFonts w:ascii="Arial" w:hAnsi="Arial" w:cs="Arial"/>
          <w:lang w:val="en-GB"/>
        </w:rPr>
        <w:t>O</w:t>
      </w:r>
      <w:r w:rsidR="00854750" w:rsidRPr="00913E1A">
        <w:rPr>
          <w:rFonts w:ascii="Arial" w:hAnsi="Arial" w:cs="Arial"/>
          <w:lang w:val="en-GB"/>
        </w:rPr>
        <w:t xml:space="preserve">n </w:t>
      </w:r>
      <w:r w:rsidR="00AD14AF" w:rsidRPr="00913E1A">
        <w:rPr>
          <w:rFonts w:ascii="Arial" w:hAnsi="Arial" w:cs="Arial"/>
          <w:lang w:val="en-GB"/>
        </w:rPr>
        <w:t>5 September 2017</w:t>
      </w:r>
      <w:r w:rsidR="009F0763" w:rsidRPr="00913E1A">
        <w:rPr>
          <w:rFonts w:ascii="Arial" w:hAnsi="Arial" w:cs="Arial"/>
          <w:lang w:val="en-GB"/>
        </w:rPr>
        <w:t xml:space="preserve"> the trustees of the trust re</w:t>
      </w:r>
      <w:r w:rsidR="0079407E" w:rsidRPr="00913E1A">
        <w:rPr>
          <w:rFonts w:ascii="Arial" w:hAnsi="Arial" w:cs="Arial"/>
          <w:lang w:val="en-GB"/>
        </w:rPr>
        <w:t>solved</w:t>
      </w:r>
      <w:r w:rsidR="00AD14AF" w:rsidRPr="00913E1A">
        <w:rPr>
          <w:rFonts w:ascii="Arial" w:hAnsi="Arial" w:cs="Arial"/>
          <w:lang w:val="en-GB"/>
        </w:rPr>
        <w:t xml:space="preserve"> that the </w:t>
      </w:r>
      <w:r w:rsidR="008B0F72" w:rsidRPr="00913E1A">
        <w:rPr>
          <w:rFonts w:ascii="Arial" w:hAnsi="Arial" w:cs="Arial"/>
        </w:rPr>
        <w:t>Deelkraal trust</w:t>
      </w:r>
      <w:r w:rsidR="008B0F72" w:rsidRPr="00913E1A">
        <w:rPr>
          <w:rFonts w:ascii="Arial" w:hAnsi="Arial" w:cs="Arial"/>
          <w:lang w:val="en-GB"/>
        </w:rPr>
        <w:t xml:space="preserve"> </w:t>
      </w:r>
      <w:r w:rsidR="00AD14AF" w:rsidRPr="00913E1A">
        <w:rPr>
          <w:rFonts w:ascii="Arial" w:hAnsi="Arial" w:cs="Arial"/>
          <w:lang w:val="en-GB"/>
        </w:rPr>
        <w:t xml:space="preserve">would recover control over all its assets on the three immovable properties that formed the Estate and administer it </w:t>
      </w:r>
      <w:r w:rsidR="009A4E9D" w:rsidRPr="00913E1A">
        <w:rPr>
          <w:rFonts w:ascii="Arial" w:hAnsi="Arial" w:cs="Arial"/>
          <w:lang w:val="en-GB"/>
        </w:rPr>
        <w:t>for</w:t>
      </w:r>
      <w:r w:rsidR="00AD14AF" w:rsidRPr="00913E1A">
        <w:rPr>
          <w:rFonts w:ascii="Arial" w:hAnsi="Arial" w:cs="Arial"/>
          <w:lang w:val="en-GB"/>
        </w:rPr>
        <w:t xml:space="preserve"> the benefit of the trust</w:t>
      </w:r>
      <w:r w:rsidR="00854750" w:rsidRPr="00913E1A">
        <w:rPr>
          <w:rFonts w:ascii="Arial" w:hAnsi="Arial" w:cs="Arial"/>
          <w:lang w:val="en-GB"/>
        </w:rPr>
        <w:t xml:space="preserve"> and </w:t>
      </w:r>
      <w:r w:rsidR="00AD14AF" w:rsidRPr="00913E1A">
        <w:rPr>
          <w:rFonts w:ascii="Arial" w:hAnsi="Arial" w:cs="Arial"/>
          <w:lang w:val="en-GB"/>
        </w:rPr>
        <w:t>that a company would be incorporated to administer all services and levies</w:t>
      </w:r>
      <w:r w:rsidR="00854750" w:rsidRPr="00913E1A">
        <w:rPr>
          <w:rFonts w:ascii="Arial" w:hAnsi="Arial" w:cs="Arial"/>
          <w:lang w:val="en-GB"/>
        </w:rPr>
        <w:t xml:space="preserve"> owed to the </w:t>
      </w:r>
      <w:r w:rsidR="008B0F72" w:rsidRPr="00913E1A">
        <w:rPr>
          <w:rFonts w:ascii="Arial" w:hAnsi="Arial" w:cs="Arial"/>
        </w:rPr>
        <w:t>Deelkraal trust</w:t>
      </w:r>
      <w:r w:rsidR="00AD14AF" w:rsidRPr="00913E1A">
        <w:rPr>
          <w:rFonts w:ascii="Arial" w:hAnsi="Arial" w:cs="Arial"/>
          <w:lang w:val="en-GB"/>
        </w:rPr>
        <w:t xml:space="preserve">. </w:t>
      </w:r>
      <w:r w:rsidR="00854750" w:rsidRPr="00913E1A">
        <w:rPr>
          <w:rFonts w:ascii="Arial" w:hAnsi="Arial" w:cs="Arial"/>
          <w:lang w:val="en-GB"/>
        </w:rPr>
        <w:t xml:space="preserve"> </w:t>
      </w:r>
      <w:r w:rsidR="008B0F72" w:rsidRPr="00913E1A">
        <w:rPr>
          <w:rFonts w:ascii="Arial" w:hAnsi="Arial" w:cs="Arial"/>
          <w:lang w:val="en-GB"/>
        </w:rPr>
        <w:t>This resolution</w:t>
      </w:r>
      <w:r w:rsidR="0079407E" w:rsidRPr="00913E1A">
        <w:rPr>
          <w:rFonts w:ascii="Arial" w:hAnsi="Arial" w:cs="Arial"/>
          <w:lang w:val="en-GB"/>
        </w:rPr>
        <w:t xml:space="preserve"> </w:t>
      </w:r>
      <w:r w:rsidR="008B0F72" w:rsidRPr="00913E1A">
        <w:rPr>
          <w:rFonts w:ascii="Arial" w:hAnsi="Arial" w:cs="Arial"/>
          <w:lang w:val="en-GB"/>
        </w:rPr>
        <w:t xml:space="preserve">intended to and indeed </w:t>
      </w:r>
      <w:r w:rsidR="0079407E" w:rsidRPr="00913E1A">
        <w:rPr>
          <w:rFonts w:ascii="Arial" w:hAnsi="Arial" w:cs="Arial"/>
          <w:lang w:val="en-GB"/>
        </w:rPr>
        <w:t>revoke</w:t>
      </w:r>
      <w:r w:rsidR="008B0F72" w:rsidRPr="00913E1A">
        <w:rPr>
          <w:rFonts w:ascii="Arial" w:hAnsi="Arial" w:cs="Arial"/>
          <w:lang w:val="en-GB"/>
        </w:rPr>
        <w:t>d</w:t>
      </w:r>
      <w:r w:rsidR="0079407E" w:rsidRPr="00913E1A">
        <w:rPr>
          <w:rFonts w:ascii="Arial" w:hAnsi="Arial" w:cs="Arial"/>
          <w:lang w:val="en-GB"/>
        </w:rPr>
        <w:t xml:space="preserve"> the </w:t>
      </w:r>
      <w:r w:rsidR="009A4E9D" w:rsidRPr="00913E1A">
        <w:rPr>
          <w:rFonts w:ascii="Arial" w:hAnsi="Arial" w:cs="Arial"/>
          <w:lang w:val="en-GB"/>
        </w:rPr>
        <w:t>resolution</w:t>
      </w:r>
      <w:r w:rsidR="0079407E" w:rsidRPr="00913E1A">
        <w:rPr>
          <w:rFonts w:ascii="Arial" w:hAnsi="Arial" w:cs="Arial"/>
          <w:lang w:val="en-GB"/>
        </w:rPr>
        <w:t xml:space="preserve"> of 5 September 2011 referred to above.</w:t>
      </w:r>
    </w:p>
    <w:p w14:paraId="13BEF4FD" w14:textId="77777777" w:rsidR="00B30749" w:rsidRPr="00913E1A" w:rsidRDefault="00B30749" w:rsidP="009E22B8">
      <w:pPr>
        <w:tabs>
          <w:tab w:val="left" w:pos="1134"/>
        </w:tabs>
        <w:spacing w:after="480" w:line="360" w:lineRule="auto"/>
        <w:ind w:left="1134" w:hanging="1134"/>
        <w:contextualSpacing/>
        <w:jc w:val="both"/>
        <w:rPr>
          <w:rFonts w:ascii="Arial" w:hAnsi="Arial" w:cs="Arial"/>
          <w:lang w:val="en-GB"/>
        </w:rPr>
      </w:pPr>
    </w:p>
    <w:p w14:paraId="1FC93DCB" w14:textId="77777777" w:rsidR="00B30749" w:rsidRPr="00913E1A" w:rsidRDefault="00B30749"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rPr>
        <w:t>[1</w:t>
      </w:r>
      <w:r w:rsidR="008B0F72" w:rsidRPr="00913E1A">
        <w:rPr>
          <w:rFonts w:ascii="Arial" w:hAnsi="Arial" w:cs="Arial"/>
        </w:rPr>
        <w:t>7</w:t>
      </w:r>
      <w:r w:rsidRPr="00913E1A">
        <w:rPr>
          <w:rFonts w:ascii="Arial" w:hAnsi="Arial" w:cs="Arial"/>
        </w:rPr>
        <w:t xml:space="preserve">] </w:t>
      </w:r>
      <w:r w:rsidRPr="00913E1A">
        <w:rPr>
          <w:rFonts w:ascii="Arial" w:hAnsi="Arial" w:cs="Arial"/>
        </w:rPr>
        <w:tab/>
      </w:r>
      <w:r w:rsidR="008B0F72" w:rsidRPr="00913E1A">
        <w:rPr>
          <w:rFonts w:ascii="Arial" w:hAnsi="Arial" w:cs="Arial"/>
        </w:rPr>
        <w:t xml:space="preserve">After the trustees had taken their decision, </w:t>
      </w:r>
      <w:r w:rsidR="009A4E9D" w:rsidRPr="00913E1A">
        <w:rPr>
          <w:rFonts w:ascii="Arial" w:hAnsi="Arial" w:cs="Arial"/>
        </w:rPr>
        <w:t>Van As</w:t>
      </w:r>
      <w:r w:rsidRPr="00913E1A">
        <w:rPr>
          <w:rFonts w:ascii="Arial" w:hAnsi="Arial" w:cs="Arial"/>
        </w:rPr>
        <w:t xml:space="preserve"> took control of the finances and administration of the </w:t>
      </w:r>
      <w:r w:rsidR="00050317" w:rsidRPr="00913E1A">
        <w:rPr>
          <w:rFonts w:ascii="Arial" w:hAnsi="Arial" w:cs="Arial"/>
        </w:rPr>
        <w:t xml:space="preserve">trust and the Estate, much to the chagrin of Mrs Jacobs and Matthee.  </w:t>
      </w:r>
      <w:r w:rsidR="00C12415" w:rsidRPr="00913E1A">
        <w:rPr>
          <w:rFonts w:ascii="Arial" w:hAnsi="Arial" w:cs="Arial"/>
        </w:rPr>
        <w:t>Ignoring the September 2017 resolution, they</w:t>
      </w:r>
      <w:r w:rsidR="009A4E9D" w:rsidRPr="00913E1A">
        <w:rPr>
          <w:rFonts w:ascii="Arial" w:hAnsi="Arial" w:cs="Arial"/>
        </w:rPr>
        <w:t xml:space="preserve"> </w:t>
      </w:r>
      <w:r w:rsidR="00050317" w:rsidRPr="00913E1A">
        <w:rPr>
          <w:rFonts w:ascii="Arial" w:hAnsi="Arial" w:cs="Arial"/>
        </w:rPr>
        <w:t xml:space="preserve">continued to collect </w:t>
      </w:r>
      <w:r w:rsidR="009A4E9D" w:rsidRPr="00913E1A">
        <w:rPr>
          <w:rFonts w:ascii="Arial" w:hAnsi="Arial" w:cs="Arial"/>
        </w:rPr>
        <w:t xml:space="preserve">the rental income </w:t>
      </w:r>
      <w:r w:rsidR="00C12415" w:rsidRPr="00913E1A">
        <w:rPr>
          <w:rFonts w:ascii="Arial" w:hAnsi="Arial" w:cs="Arial"/>
        </w:rPr>
        <w:t xml:space="preserve">in accordance with the September 2011 resolution </w:t>
      </w:r>
      <w:r w:rsidR="009A4E9D" w:rsidRPr="00913E1A">
        <w:rPr>
          <w:rFonts w:ascii="Arial" w:hAnsi="Arial" w:cs="Arial"/>
        </w:rPr>
        <w:t xml:space="preserve">for the benefit of the Sebenza and Rucinda trusts and not for the benefit of the Deelkraal trust. </w:t>
      </w:r>
    </w:p>
    <w:p w14:paraId="06544AD9" w14:textId="77777777" w:rsidR="00AD14AF" w:rsidRPr="00913E1A" w:rsidRDefault="00AD14AF" w:rsidP="009E22B8">
      <w:pPr>
        <w:tabs>
          <w:tab w:val="left" w:pos="1134"/>
        </w:tabs>
        <w:spacing w:after="480" w:line="360" w:lineRule="auto"/>
        <w:ind w:left="1134" w:hanging="1134"/>
        <w:contextualSpacing/>
        <w:jc w:val="both"/>
        <w:rPr>
          <w:rFonts w:ascii="Arial" w:hAnsi="Arial" w:cs="Arial"/>
          <w:lang w:val="en-GB"/>
        </w:rPr>
      </w:pPr>
    </w:p>
    <w:p w14:paraId="6AC81FDA" w14:textId="77777777" w:rsidR="00B95908" w:rsidRPr="00913E1A" w:rsidRDefault="00AD14AF" w:rsidP="00913E1A">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[1</w:t>
      </w:r>
      <w:r w:rsidR="00EB6CED" w:rsidRPr="00913E1A">
        <w:rPr>
          <w:rFonts w:ascii="Arial" w:hAnsi="Arial" w:cs="Arial"/>
          <w:lang w:val="en-GB"/>
        </w:rPr>
        <w:t>8</w:t>
      </w:r>
      <w:r w:rsidRPr="00913E1A">
        <w:rPr>
          <w:rFonts w:ascii="Arial" w:hAnsi="Arial" w:cs="Arial"/>
          <w:lang w:val="en-GB"/>
        </w:rPr>
        <w:t xml:space="preserve">] </w:t>
      </w:r>
      <w:r w:rsidRPr="00913E1A">
        <w:rPr>
          <w:rFonts w:ascii="Arial" w:hAnsi="Arial" w:cs="Arial"/>
          <w:lang w:val="en-GB"/>
        </w:rPr>
        <w:tab/>
      </w:r>
      <w:r w:rsidR="00050317" w:rsidRPr="00913E1A">
        <w:rPr>
          <w:rFonts w:ascii="Arial" w:hAnsi="Arial" w:cs="Arial"/>
          <w:lang w:val="en-GB"/>
        </w:rPr>
        <w:t xml:space="preserve">This clearly led to tension between the parties involved, including Mr Frik van As, who held the view that Van As had </w:t>
      </w:r>
      <w:r w:rsidR="00C37D14" w:rsidRPr="00913E1A">
        <w:rPr>
          <w:rFonts w:ascii="Arial" w:hAnsi="Arial" w:cs="Arial"/>
          <w:lang w:val="en-GB"/>
        </w:rPr>
        <w:t xml:space="preserve">unlawfully acquired the shareholding in the second applicant. </w:t>
      </w:r>
      <w:r w:rsidR="00C12415" w:rsidRPr="00913E1A">
        <w:rPr>
          <w:rFonts w:ascii="Arial" w:hAnsi="Arial" w:cs="Arial"/>
          <w:lang w:val="en-GB"/>
        </w:rPr>
        <w:t xml:space="preserve">For this reason the trustees of the Frik van As Family Trust </w:t>
      </w:r>
      <w:r w:rsidR="00EB6CED" w:rsidRPr="00913E1A">
        <w:rPr>
          <w:rFonts w:ascii="Arial" w:hAnsi="Arial" w:cs="Arial"/>
          <w:lang w:val="en-GB"/>
        </w:rPr>
        <w:t>in October 2017 issued summons against the Pivotal trust to set aside the agreement of sale entered into with Frik van As’ spouse.  In an effort to calm the emotions, and a</w:t>
      </w:r>
      <w:r w:rsidR="00C37D14" w:rsidRPr="00913E1A">
        <w:rPr>
          <w:rFonts w:ascii="Arial" w:hAnsi="Arial" w:cs="Arial"/>
          <w:lang w:val="en-GB"/>
        </w:rPr>
        <w:t xml:space="preserve">t the suggestion of Matthee, the trustees of </w:t>
      </w:r>
      <w:r w:rsidR="00EB6CED" w:rsidRPr="00913E1A">
        <w:rPr>
          <w:rFonts w:ascii="Arial" w:hAnsi="Arial" w:cs="Arial"/>
        </w:rPr>
        <w:t xml:space="preserve">Deelkraal </w:t>
      </w:r>
      <w:r w:rsidR="00C37D14" w:rsidRPr="00913E1A">
        <w:rPr>
          <w:rFonts w:ascii="Arial" w:hAnsi="Arial" w:cs="Arial"/>
          <w:lang w:val="en-GB"/>
        </w:rPr>
        <w:t xml:space="preserve">trust held a meeting </w:t>
      </w:r>
      <w:r w:rsidR="00050317" w:rsidRPr="00913E1A">
        <w:rPr>
          <w:rFonts w:ascii="Arial" w:hAnsi="Arial" w:cs="Arial"/>
          <w:lang w:val="en-GB"/>
        </w:rPr>
        <w:t xml:space="preserve">at the offices of </w:t>
      </w:r>
      <w:r w:rsidR="00EB6CED" w:rsidRPr="00913E1A">
        <w:rPr>
          <w:rFonts w:ascii="Arial" w:hAnsi="Arial" w:cs="Arial"/>
          <w:lang w:val="en-GB"/>
        </w:rPr>
        <w:t>Savage Jooste &amp; Adams A</w:t>
      </w:r>
      <w:r w:rsidR="00050317" w:rsidRPr="00913E1A">
        <w:rPr>
          <w:rFonts w:ascii="Arial" w:hAnsi="Arial" w:cs="Arial"/>
          <w:lang w:val="en-GB"/>
        </w:rPr>
        <w:t xml:space="preserve">ttorneys </w:t>
      </w:r>
      <w:r w:rsidR="00EB6CED" w:rsidRPr="00913E1A">
        <w:rPr>
          <w:rFonts w:ascii="Arial" w:hAnsi="Arial" w:cs="Arial"/>
          <w:lang w:val="en-GB"/>
        </w:rPr>
        <w:t xml:space="preserve">(hereinafter “SJA”) </w:t>
      </w:r>
      <w:r w:rsidR="00050317" w:rsidRPr="00913E1A">
        <w:rPr>
          <w:rFonts w:ascii="Arial" w:hAnsi="Arial" w:cs="Arial"/>
          <w:lang w:val="en-GB"/>
        </w:rPr>
        <w:t>in Pretoria on</w:t>
      </w:r>
      <w:r w:rsidR="00C955EB" w:rsidRPr="00913E1A">
        <w:rPr>
          <w:rFonts w:ascii="Arial" w:hAnsi="Arial" w:cs="Arial"/>
          <w:lang w:val="en-GB"/>
        </w:rPr>
        <w:t xml:space="preserve"> 23 May 2018</w:t>
      </w:r>
      <w:r w:rsidR="00C37D14" w:rsidRPr="00913E1A">
        <w:rPr>
          <w:rFonts w:ascii="Arial" w:hAnsi="Arial" w:cs="Arial"/>
          <w:lang w:val="en-GB"/>
        </w:rPr>
        <w:t xml:space="preserve"> where they resolved as follows:</w:t>
      </w:r>
    </w:p>
    <w:p w14:paraId="1A7AD0CE" w14:textId="59B6CA99" w:rsidR="00B95908" w:rsidRPr="00D56EE4" w:rsidRDefault="00D56EE4" w:rsidP="00D56EE4">
      <w:pPr>
        <w:tabs>
          <w:tab w:val="left" w:pos="2268"/>
        </w:tabs>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(1)</w:t>
      </w:r>
      <w:r w:rsidRPr="00913E1A">
        <w:rPr>
          <w:rFonts w:asciiTheme="minorHAnsi" w:hAnsiTheme="minorHAnsi" w:cstheme="minorHAnsi"/>
          <w:lang w:val="en-GB"/>
        </w:rPr>
        <w:tab/>
      </w:r>
      <w:r w:rsidR="00B95908" w:rsidRPr="00D56EE4">
        <w:rPr>
          <w:rFonts w:asciiTheme="minorHAnsi" w:hAnsiTheme="minorHAnsi" w:cstheme="minorHAnsi"/>
          <w:lang w:val="en-GB"/>
        </w:rPr>
        <w:t>That the Trustees, acting personally and on behalf of the beneficiaries that they represent, immediately cease and desist from collecting any rental or other income in respect of the immovable properties owned by the Deelkraal Trust for their own benefit and/or the benefit of the beneficiaries that they represent and/or any third parties.</w:t>
      </w:r>
    </w:p>
    <w:p w14:paraId="74A923CF"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17CFA627" w14:textId="0DA85498"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8B15D4">
        <w:rPr>
          <w:rFonts w:asciiTheme="minorHAnsi" w:hAnsiTheme="minorHAnsi" w:cstheme="minorHAnsi"/>
          <w:lang w:val="en-GB"/>
        </w:rPr>
        <w:t>(2)</w:t>
      </w:r>
      <w:r w:rsidRPr="008B15D4">
        <w:rPr>
          <w:rFonts w:asciiTheme="minorHAnsi" w:hAnsiTheme="minorHAnsi" w:cstheme="minorHAnsi"/>
          <w:lang w:val="en-GB"/>
        </w:rPr>
        <w:tab/>
      </w:r>
      <w:r w:rsidR="00B95908" w:rsidRPr="00D56EE4">
        <w:rPr>
          <w:rFonts w:asciiTheme="minorHAnsi" w:hAnsiTheme="minorHAnsi" w:cstheme="minorHAnsi"/>
          <w:lang w:val="en-GB"/>
        </w:rPr>
        <w:t xml:space="preserve">That the Trustees shall ensure that all funds received by them personally and/or any of the beneficiaries that they represent and/or </w:t>
      </w:r>
      <w:r w:rsidR="00B95908" w:rsidRPr="00D56EE4">
        <w:rPr>
          <w:rFonts w:asciiTheme="minorHAnsi" w:hAnsiTheme="minorHAnsi" w:cstheme="minorHAnsi"/>
          <w:lang w:val="en-GB"/>
        </w:rPr>
        <w:lastRenderedPageBreak/>
        <w:t>any third entities in which they have an interest which constitute the rental or other income pertaining to the immovable properties owned by the Deelkraal Trust will immediately be paid into the bank account of the Deelkraal Trust, the bank account details of which are as follows:</w:t>
      </w:r>
    </w:p>
    <w:p w14:paraId="1425D3A7" w14:textId="77777777" w:rsidR="00B95908" w:rsidRPr="00913E1A" w:rsidRDefault="00B95908" w:rsidP="008B15D4">
      <w:pPr>
        <w:pStyle w:val="ListParagraph"/>
        <w:spacing w:after="480" w:line="360" w:lineRule="auto"/>
        <w:ind w:left="2268"/>
        <w:contextualSpacing/>
        <w:rPr>
          <w:rFonts w:asciiTheme="minorHAnsi" w:hAnsiTheme="minorHAnsi" w:cstheme="minorHAnsi"/>
          <w:lang w:val="en-GB"/>
        </w:rPr>
      </w:pPr>
      <w:r w:rsidRPr="00913E1A">
        <w:rPr>
          <w:rFonts w:asciiTheme="minorHAnsi" w:hAnsiTheme="minorHAnsi" w:cstheme="minorHAnsi"/>
          <w:lang w:val="en-GB"/>
        </w:rPr>
        <w:t>….</w:t>
      </w:r>
    </w:p>
    <w:p w14:paraId="0A356AF7" w14:textId="77777777" w:rsidR="00B95908" w:rsidRPr="00913E1A" w:rsidRDefault="00B95908" w:rsidP="00913E1A">
      <w:pPr>
        <w:pStyle w:val="ListParagraph"/>
        <w:spacing w:after="480" w:line="360" w:lineRule="auto"/>
        <w:ind w:left="2268"/>
        <w:contextualSpacing/>
        <w:rPr>
          <w:rFonts w:asciiTheme="minorHAnsi" w:hAnsiTheme="minorHAnsi" w:cstheme="minorHAnsi"/>
          <w:lang w:val="en-GB"/>
        </w:rPr>
      </w:pPr>
      <w:r w:rsidRPr="00913E1A">
        <w:rPr>
          <w:rFonts w:asciiTheme="minorHAnsi" w:hAnsiTheme="minorHAnsi" w:cstheme="minorHAnsi"/>
          <w:lang w:val="en-GB"/>
        </w:rPr>
        <w:t>or be dropped in the Deelkraal Trust’s drop safe (as the case may be).</w:t>
      </w:r>
    </w:p>
    <w:p w14:paraId="3E55292C" w14:textId="77777777" w:rsidR="00B95908" w:rsidRPr="00913E1A" w:rsidRDefault="00B95908" w:rsidP="00913E1A">
      <w:pPr>
        <w:pStyle w:val="ListParagraph"/>
        <w:spacing w:line="360" w:lineRule="auto"/>
        <w:rPr>
          <w:rFonts w:asciiTheme="minorHAnsi" w:hAnsiTheme="minorHAnsi" w:cstheme="minorHAnsi"/>
          <w:lang w:val="en-GB"/>
        </w:rPr>
      </w:pPr>
    </w:p>
    <w:p w14:paraId="64195399" w14:textId="51BC3729"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(3)</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That the Trustees continue to collect all rental and other income in respect of the immovable properties owned by the Deelkraal Trust, and ensure that all lease agreements in respect of such immovable properties are signed in the name of the Deelkraal Trust, which reflect the Deelkraal Trust as the Landlord and the Deelkraal Trust’s bank account details. </w:t>
      </w:r>
    </w:p>
    <w:p w14:paraId="3AA913E3" w14:textId="77777777" w:rsidR="00B95908" w:rsidRPr="00913E1A" w:rsidRDefault="00B95908" w:rsidP="00913E1A">
      <w:pPr>
        <w:pStyle w:val="ListParagraph"/>
        <w:spacing w:after="480" w:line="360" w:lineRule="auto"/>
        <w:ind w:left="1134"/>
        <w:contextualSpacing/>
        <w:rPr>
          <w:rFonts w:asciiTheme="minorHAnsi" w:hAnsiTheme="minorHAnsi" w:cstheme="minorHAnsi"/>
          <w:lang w:val="en-GB"/>
        </w:rPr>
      </w:pPr>
    </w:p>
    <w:p w14:paraId="036CB63F" w14:textId="238F453E"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(4)</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That all lease agreements to be signed by at least 2 (two) of the above-mentioned Trustees, and that any amendments to any lease agreements of the Deelkraal Trust be authorised by all 3 (three) above-mentioned Trustees in writing from time to time. </w:t>
      </w:r>
    </w:p>
    <w:p w14:paraId="7C984D00" w14:textId="77777777" w:rsidR="00B95908" w:rsidRPr="00913E1A" w:rsidRDefault="00B95908" w:rsidP="00913E1A">
      <w:pPr>
        <w:pStyle w:val="ListParagraph"/>
        <w:spacing w:line="360" w:lineRule="auto"/>
        <w:ind w:left="0"/>
        <w:rPr>
          <w:rFonts w:asciiTheme="minorHAnsi" w:hAnsiTheme="minorHAnsi" w:cstheme="minorHAnsi"/>
          <w:lang w:val="en-GB"/>
        </w:rPr>
      </w:pPr>
    </w:p>
    <w:p w14:paraId="79CEE917" w14:textId="27476F04"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(5)</w:t>
      </w:r>
      <w:r w:rsidRPr="00913E1A">
        <w:rPr>
          <w:rFonts w:asciiTheme="minorHAnsi" w:hAnsiTheme="minorHAnsi" w:cstheme="minorHAnsi"/>
          <w:lang w:val="en-GB"/>
        </w:rPr>
        <w:tab/>
      </w:r>
      <w:r w:rsidR="00B95908" w:rsidRPr="00D56EE4">
        <w:rPr>
          <w:rFonts w:asciiTheme="minorHAnsi" w:hAnsiTheme="minorHAnsi" w:cstheme="minorHAnsi"/>
          <w:lang w:val="en-GB"/>
        </w:rPr>
        <w:t>That none of the Trustees are authorised to enter into any other agreements on behalf of the Deelkraal Trust, unless same is authorised by all 3 (three) Trustees, provided that in the event that the Trustees cannot agree on whether to enter into an agreement on behalf of the Deelkraal Trust:</w:t>
      </w:r>
    </w:p>
    <w:p w14:paraId="11D10D5F" w14:textId="77777777" w:rsidR="00B95908" w:rsidRPr="00913E1A" w:rsidRDefault="00B95908" w:rsidP="00913E1A">
      <w:pPr>
        <w:pStyle w:val="ListParagraph"/>
        <w:spacing w:line="360" w:lineRule="auto"/>
        <w:ind w:left="0"/>
        <w:rPr>
          <w:rFonts w:asciiTheme="minorHAnsi" w:hAnsiTheme="minorHAnsi" w:cstheme="minorHAnsi"/>
          <w:lang w:val="en-GB"/>
        </w:rPr>
      </w:pPr>
    </w:p>
    <w:p w14:paraId="1BFAAC49" w14:textId="4FD9D01C"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lastRenderedPageBreak/>
        <w:t>(5.1)</w:t>
      </w:r>
      <w:r w:rsidRPr="00913E1A">
        <w:rPr>
          <w:rFonts w:asciiTheme="minorHAnsi" w:hAnsiTheme="minorHAnsi" w:cstheme="minorHAnsi"/>
          <w:lang w:val="en-GB"/>
        </w:rPr>
        <w:tab/>
      </w:r>
      <w:r w:rsidR="00B95908" w:rsidRPr="00D56EE4">
        <w:rPr>
          <w:rFonts w:asciiTheme="minorHAnsi" w:hAnsiTheme="minorHAnsi" w:cstheme="minorHAnsi"/>
          <w:lang w:val="en-GB"/>
        </w:rPr>
        <w:t>An aggrieved Trustee (‘the aggrieved Trustee’), shall within 5 (five) days of the other Trustees (‘ the disputing Trustees’) refusing to enter into any such agreement (‘ the disputed agreement’), refer the disputed agreement to Mr Arnold Rademeyer, and in his absence and/or unavailability to Mr Brandon Topham and Mr Wilhem Prinsloo (‘ the expert’), provided that in the event that there is a deadlock between Mr Brandon Topham and Mr Wilhelm Prinsloo, Mr Arnold Rademeyer shall make a final decision. In the event that the aggrieved Trustee fails to refer the disputed agreement to the experts within the aforementioned time period, the disputed agreement will automatically be deemed not to be approved.</w:t>
      </w:r>
    </w:p>
    <w:p w14:paraId="7AB03DE3" w14:textId="77777777" w:rsidR="00B95908" w:rsidRPr="00913E1A" w:rsidRDefault="00B95908" w:rsidP="00913E1A">
      <w:pPr>
        <w:pStyle w:val="ListParagraph"/>
        <w:tabs>
          <w:tab w:val="left" w:pos="3402"/>
        </w:tabs>
        <w:spacing w:after="480" w:line="360" w:lineRule="auto"/>
        <w:contextualSpacing/>
        <w:rPr>
          <w:rFonts w:asciiTheme="minorHAnsi" w:hAnsiTheme="minorHAnsi" w:cstheme="minorHAnsi"/>
          <w:lang w:val="en-GB"/>
        </w:rPr>
      </w:pPr>
    </w:p>
    <w:p w14:paraId="564337B5" w14:textId="7F67497A"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(5.2)</w:t>
      </w:r>
      <w:r w:rsidRPr="00913E1A">
        <w:rPr>
          <w:rFonts w:asciiTheme="minorHAnsi" w:hAnsiTheme="minorHAnsi" w:cstheme="minorHAnsi"/>
          <w:lang w:val="en-GB"/>
        </w:rPr>
        <w:tab/>
      </w:r>
      <w:r w:rsidR="00B95908" w:rsidRPr="00D56EE4">
        <w:rPr>
          <w:rFonts w:asciiTheme="minorHAnsi" w:hAnsiTheme="minorHAnsi" w:cstheme="minorHAnsi"/>
          <w:lang w:val="en-GB"/>
        </w:rPr>
        <w:t>The experts shall determine whether the disputed agreement is in actual fact in the best interest of the Deelkraal Trust and all of its beneficiaries, with due consideration to any written representations made by the Trustees do the experts within 5 (five) days of the referral of the disputed agreement to the experts, and the experts determination shall be final and binding on the Trustees.</w:t>
      </w:r>
    </w:p>
    <w:p w14:paraId="6BBCF989" w14:textId="77777777" w:rsidR="00B95908" w:rsidRPr="00913E1A" w:rsidRDefault="00B95908" w:rsidP="00913E1A">
      <w:pPr>
        <w:pStyle w:val="ListParagraph"/>
        <w:spacing w:line="360" w:lineRule="auto"/>
        <w:ind w:left="0"/>
        <w:rPr>
          <w:rFonts w:asciiTheme="minorHAnsi" w:hAnsiTheme="minorHAnsi" w:cstheme="minorHAnsi"/>
          <w:lang w:val="en-GB"/>
        </w:rPr>
      </w:pPr>
    </w:p>
    <w:p w14:paraId="4BBDF45B" w14:textId="599A6049"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(5.3)</w:t>
      </w:r>
      <w:r w:rsidRPr="00913E1A">
        <w:rPr>
          <w:rFonts w:asciiTheme="minorHAnsi" w:hAnsiTheme="minorHAnsi" w:cstheme="minorHAnsi"/>
          <w:lang w:val="en-GB"/>
        </w:rPr>
        <w:tab/>
      </w:r>
      <w:r w:rsidR="00B95908" w:rsidRPr="00D56EE4">
        <w:rPr>
          <w:rFonts w:asciiTheme="minorHAnsi" w:hAnsiTheme="minorHAnsi" w:cstheme="minorHAnsi"/>
          <w:lang w:val="en-GB"/>
        </w:rPr>
        <w:t>In the event that the experts determine that the disputed agreement is indeed in the best interest of the Deelkraal Trust and all of its beneficiaries, the disputing Trustee shall immediately sign the disputed agreement, failing which the disputing Trustee appoint the experts in rem saum (sic) to sign the disputed agreement on his/her behalf.</w:t>
      </w:r>
    </w:p>
    <w:p w14:paraId="51541D00" w14:textId="77777777" w:rsidR="00B95908" w:rsidRPr="00913E1A" w:rsidRDefault="00B95908" w:rsidP="00913E1A">
      <w:pPr>
        <w:pStyle w:val="ListParagraph"/>
        <w:spacing w:line="360" w:lineRule="auto"/>
        <w:ind w:left="0"/>
        <w:rPr>
          <w:rFonts w:asciiTheme="minorHAnsi" w:hAnsiTheme="minorHAnsi" w:cstheme="minorHAnsi"/>
          <w:lang w:val="en-GB"/>
        </w:rPr>
      </w:pPr>
    </w:p>
    <w:p w14:paraId="22E96FF4" w14:textId="19F37BB9"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(6)</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 That the Trustees immediately implement the following process of joint accountability in the Deelkraal Trust, and communicate same to all of the relevant staff members responsible for the collection and banking of the rental and other income pertaining to the immovable properties of the Deelkraal Trust: </w:t>
      </w:r>
    </w:p>
    <w:p w14:paraId="7078AD25"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6097458C" w14:textId="0C007B06"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(6.1)</w:t>
      </w:r>
      <w:r w:rsidRPr="00913E1A">
        <w:rPr>
          <w:rFonts w:asciiTheme="minorHAnsi" w:hAnsiTheme="minorHAnsi" w:cstheme="minorHAnsi"/>
          <w:lang w:val="en-GB"/>
        </w:rPr>
        <w:tab/>
      </w:r>
      <w:r w:rsidR="00B95908" w:rsidRPr="00D56EE4">
        <w:rPr>
          <w:rFonts w:asciiTheme="minorHAnsi" w:hAnsiTheme="minorHAnsi" w:cstheme="minorHAnsi"/>
          <w:lang w:val="en-GB"/>
        </w:rPr>
        <w:t>All cash, cheques and other forms of payment received at Deelkraal Trust’s offices pertaining to the immovable properties owned by the paste that must be accepted by 2 (two) Deelkraal Trust employees (‘ the accountable employees’).</w:t>
      </w:r>
    </w:p>
    <w:p w14:paraId="2653F549" w14:textId="77777777" w:rsidR="00B95908" w:rsidRPr="00913E1A" w:rsidRDefault="00B95908" w:rsidP="00913E1A">
      <w:pPr>
        <w:pStyle w:val="ListParagraph"/>
        <w:tabs>
          <w:tab w:val="left" w:pos="3402"/>
        </w:tabs>
        <w:spacing w:after="480" w:line="360" w:lineRule="auto"/>
        <w:contextualSpacing/>
        <w:rPr>
          <w:rFonts w:asciiTheme="minorHAnsi" w:hAnsiTheme="minorHAnsi" w:cstheme="minorHAnsi"/>
          <w:lang w:val="en-GB"/>
        </w:rPr>
      </w:pPr>
    </w:p>
    <w:p w14:paraId="7DF5BACC" w14:textId="4A392A87"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(6.2)</w:t>
      </w:r>
      <w:r w:rsidRPr="00913E1A">
        <w:rPr>
          <w:rFonts w:asciiTheme="minorHAnsi" w:hAnsiTheme="minorHAnsi" w:cstheme="minorHAnsi"/>
          <w:lang w:val="en-GB"/>
        </w:rPr>
        <w:tab/>
      </w:r>
      <w:r w:rsidR="00B95908" w:rsidRPr="00D56EE4">
        <w:rPr>
          <w:rFonts w:asciiTheme="minorHAnsi" w:hAnsiTheme="minorHAnsi" w:cstheme="minorHAnsi"/>
          <w:lang w:val="en-GB"/>
        </w:rPr>
        <w:t>The accountable employees must jointly count any cash received, record the amount of cash, cheques or other form of payment received by issuing a written receipt to the payee (in a Deelkraal Trust receipt book which is sequentially numbered), and jointly signed receipt as the accountable employees.</w:t>
      </w:r>
    </w:p>
    <w:p w14:paraId="570C16AC" w14:textId="77777777" w:rsidR="00B95908" w:rsidRPr="00913E1A" w:rsidRDefault="00B95908" w:rsidP="00913E1A">
      <w:pPr>
        <w:pStyle w:val="ListParagraph"/>
        <w:spacing w:line="360" w:lineRule="auto"/>
        <w:rPr>
          <w:rFonts w:asciiTheme="minorHAnsi" w:hAnsiTheme="minorHAnsi" w:cstheme="minorHAnsi"/>
          <w:lang w:val="en-GB"/>
        </w:rPr>
      </w:pPr>
    </w:p>
    <w:p w14:paraId="05CEBA5A" w14:textId="099A1BF2"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(6.3)</w:t>
      </w:r>
      <w:r w:rsidRPr="00913E1A">
        <w:rPr>
          <w:rFonts w:asciiTheme="minorHAnsi" w:hAnsiTheme="minorHAnsi" w:cstheme="minorHAnsi"/>
          <w:lang w:val="en-GB"/>
        </w:rPr>
        <w:tab/>
      </w:r>
      <w:r w:rsidR="00B95908" w:rsidRPr="00D56EE4">
        <w:rPr>
          <w:rFonts w:asciiTheme="minorHAnsi" w:hAnsiTheme="minorHAnsi" w:cstheme="minorHAnsi"/>
          <w:lang w:val="en-GB"/>
        </w:rPr>
        <w:t>Only one paste that receipt book must be in use at any given time by all accountable employees to ensure proper bookkeeping. All new, unused Deelkraal Trust receipt books will accordingly be held by auditors, and will be issued to the accountable employees on return of a duly completed Deelkraal Trust receipt book.</w:t>
      </w:r>
    </w:p>
    <w:p w14:paraId="66CFB774" w14:textId="77777777" w:rsidR="00B95908" w:rsidRPr="00913E1A" w:rsidRDefault="00B95908" w:rsidP="00913E1A">
      <w:pPr>
        <w:pStyle w:val="ListParagraph"/>
        <w:spacing w:line="360" w:lineRule="auto"/>
        <w:ind w:left="0"/>
        <w:rPr>
          <w:rFonts w:asciiTheme="minorHAnsi" w:hAnsiTheme="minorHAnsi" w:cstheme="minorHAnsi"/>
          <w:lang w:val="en-GB"/>
        </w:rPr>
      </w:pPr>
    </w:p>
    <w:p w14:paraId="49BDD626" w14:textId="1C0FDAA0"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(6.4)</w:t>
      </w:r>
      <w:r w:rsidRPr="00913E1A">
        <w:rPr>
          <w:rFonts w:asciiTheme="minorHAnsi" w:hAnsiTheme="minorHAnsi" w:cstheme="minorHAnsi"/>
          <w:lang w:val="en-GB"/>
        </w:rPr>
        <w:tab/>
      </w:r>
      <w:r w:rsidR="00B95908" w:rsidRPr="00D56EE4">
        <w:rPr>
          <w:rFonts w:asciiTheme="minorHAnsi" w:hAnsiTheme="minorHAnsi" w:cstheme="minorHAnsi"/>
          <w:lang w:val="en-GB"/>
        </w:rPr>
        <w:t>After issuing the receipts, the accountable employees shall jointly place all cash, cheques and other forms of payment in Deelkraal Trust’s drop safe. The drop safe shall be locked with (2) two keys, of which 1 (one) will be kept by Mr Karel van As or, and the other (1) one by Ms Gertie Jacobs. Once a week, Karel van As and Ms Gerty Jacobs will empty the safe, reconcile the cash, cheques and other payments received, and prepare the funds for collection and banking by a security company appointed by the Trustees from time to time, alternatively will personally attend to the banking thereof.</w:t>
      </w:r>
    </w:p>
    <w:p w14:paraId="12CD570F" w14:textId="77777777" w:rsidR="00B95908" w:rsidRPr="00913E1A" w:rsidRDefault="00B95908" w:rsidP="00913E1A">
      <w:pPr>
        <w:pStyle w:val="ListParagraph"/>
        <w:spacing w:line="360" w:lineRule="auto"/>
        <w:ind w:left="0"/>
        <w:rPr>
          <w:rFonts w:asciiTheme="minorHAnsi" w:hAnsiTheme="minorHAnsi" w:cstheme="minorHAnsi"/>
          <w:lang w:val="en-GB"/>
        </w:rPr>
      </w:pPr>
    </w:p>
    <w:p w14:paraId="6A919976" w14:textId="0A259737"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(6.5)</w:t>
      </w:r>
      <w:r w:rsidRPr="00913E1A">
        <w:rPr>
          <w:rFonts w:asciiTheme="minorHAnsi" w:hAnsiTheme="minorHAnsi" w:cstheme="minorHAnsi"/>
          <w:lang w:val="en-GB"/>
        </w:rPr>
        <w:tab/>
      </w:r>
      <w:r w:rsidR="00B95908" w:rsidRPr="00D56EE4">
        <w:rPr>
          <w:rFonts w:asciiTheme="minorHAnsi" w:hAnsiTheme="minorHAnsi" w:cstheme="minorHAnsi"/>
          <w:lang w:val="en-GB"/>
        </w:rPr>
        <w:t>In the event that cash is required for the operations of Deelkraal Trust for wages and/or petty cash, same will only be released by Mr Karel van As and Ms Gerty Jacobs on completion of a cash requisition form signed by both of them.</w:t>
      </w:r>
    </w:p>
    <w:p w14:paraId="6EB93ADA" w14:textId="77777777" w:rsidR="00B95908" w:rsidRPr="00913E1A" w:rsidRDefault="00B95908" w:rsidP="00913E1A">
      <w:pPr>
        <w:pStyle w:val="ListParagraph"/>
        <w:spacing w:line="360" w:lineRule="auto"/>
        <w:ind w:left="0"/>
        <w:rPr>
          <w:rFonts w:asciiTheme="minorHAnsi" w:hAnsiTheme="minorHAnsi" w:cstheme="minorHAnsi"/>
          <w:lang w:val="en-GB"/>
        </w:rPr>
      </w:pPr>
    </w:p>
    <w:p w14:paraId="5313A81E" w14:textId="6D0C0FAF"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(6.6)</w:t>
      </w:r>
      <w:r w:rsidRPr="00913E1A">
        <w:rPr>
          <w:rFonts w:asciiTheme="minorHAnsi" w:hAnsiTheme="minorHAnsi" w:cstheme="minorHAnsi"/>
          <w:lang w:val="en-GB"/>
        </w:rPr>
        <w:tab/>
      </w:r>
      <w:r w:rsidR="00B95908" w:rsidRPr="00D56EE4">
        <w:rPr>
          <w:rFonts w:asciiTheme="minorHAnsi" w:hAnsiTheme="minorHAnsi" w:cstheme="minorHAnsi"/>
          <w:lang w:val="en-GB"/>
        </w:rPr>
        <w:t>No employees will be allowed to deviate from the above process on the instructions of any of the Trustees of the Deelkraal Trust, unless such instructions are in writing and signed by all 3 (three) Trustees of the Deelkraal Trust from time to time.</w:t>
      </w:r>
    </w:p>
    <w:p w14:paraId="34256888"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1A27F6E2" w14:textId="5D361522"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lastRenderedPageBreak/>
        <w:t>(7)</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That all 3 (three) Trustees attend at FNB at 11:00 on Friday, 25 May 2018 and ensure that they are appointed as joint signatories on Deelkraal Trust’s bank account, which will have the following effect: </w:t>
      </w:r>
    </w:p>
    <w:p w14:paraId="0A370EE7" w14:textId="77777777" w:rsidR="00B95908" w:rsidRPr="00913E1A" w:rsidRDefault="00B95908" w:rsidP="00913E1A">
      <w:pPr>
        <w:pStyle w:val="ListParagraph"/>
        <w:spacing w:after="480" w:line="360" w:lineRule="auto"/>
        <w:ind w:left="0"/>
        <w:contextualSpacing/>
        <w:rPr>
          <w:rFonts w:asciiTheme="minorHAnsi" w:hAnsiTheme="minorHAnsi" w:cstheme="minorHAnsi"/>
          <w:lang w:val="en-GB"/>
        </w:rPr>
      </w:pPr>
    </w:p>
    <w:p w14:paraId="7D435C60" w14:textId="613058CD"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(7.1)</w:t>
      </w:r>
      <w:r w:rsidRPr="00913E1A">
        <w:rPr>
          <w:rFonts w:asciiTheme="minorHAnsi" w:hAnsiTheme="minorHAnsi" w:cstheme="minorHAnsi"/>
          <w:lang w:val="en-GB"/>
        </w:rPr>
        <w:tab/>
      </w:r>
      <w:r w:rsidR="00B95908" w:rsidRPr="00D56EE4">
        <w:rPr>
          <w:rFonts w:asciiTheme="minorHAnsi" w:hAnsiTheme="minorHAnsi" w:cstheme="minorHAnsi"/>
          <w:lang w:val="en-GB"/>
        </w:rPr>
        <w:t>All Trustees will have access to view the bank account of the Deelkraal Trust from time to time; and</w:t>
      </w:r>
    </w:p>
    <w:p w14:paraId="1C3BD260" w14:textId="77777777" w:rsidR="00B95908" w:rsidRPr="00913E1A" w:rsidRDefault="00B95908" w:rsidP="00913E1A">
      <w:pPr>
        <w:pStyle w:val="ListParagraph"/>
        <w:tabs>
          <w:tab w:val="left" w:pos="3402"/>
        </w:tabs>
        <w:spacing w:after="480" w:line="360" w:lineRule="auto"/>
        <w:contextualSpacing/>
        <w:rPr>
          <w:rFonts w:asciiTheme="minorHAnsi" w:hAnsiTheme="minorHAnsi" w:cstheme="minorHAnsi"/>
          <w:lang w:val="en-GB"/>
        </w:rPr>
      </w:pPr>
    </w:p>
    <w:p w14:paraId="3E027E53" w14:textId="6AF4CB3A"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(7.2)</w:t>
      </w:r>
      <w:r w:rsidRPr="00913E1A">
        <w:rPr>
          <w:rFonts w:asciiTheme="minorHAnsi" w:hAnsiTheme="minorHAnsi" w:cstheme="minorHAnsi"/>
          <w:lang w:val="en-GB"/>
        </w:rPr>
        <w:tab/>
      </w:r>
      <w:r w:rsidR="00B95908" w:rsidRPr="00D56EE4">
        <w:rPr>
          <w:rFonts w:asciiTheme="minorHAnsi" w:hAnsiTheme="minorHAnsi" w:cstheme="minorHAnsi"/>
          <w:lang w:val="en-GB"/>
        </w:rPr>
        <w:t>All payments made from the Deelkraal Trust’s bank account will require approval from Mr Karel van As and Ms Gerty Jacobs, with either Ms Gerty Jacobs or Mr Karel van As loading the payment, and the other one releasing same.</w:t>
      </w:r>
    </w:p>
    <w:p w14:paraId="00B4FAA4"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3A0019CE" w14:textId="1254D873"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(8)</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In the event that Ms Gerty Jacobs or Mr Karel van As load a payment to which he/she deems due and payable by the Deelkraal Trust (‘the aggrieved Trustee’), and the other person [Ms Gerty Jacobs or Mr Karel van As (as the case may be)] refuses to release such payment (‘the disputing Trustee’): </w:t>
      </w:r>
    </w:p>
    <w:p w14:paraId="30EABE78"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3899BD3D" w14:textId="4CC2F88F"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(8.1)</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The aggrieved Trustee shall within 5 (five) days of the disputing Trustee refusing to authorise the payment (‘the disputed payment’), refer the disputed payment to Mr Arnold Rademeyer, and in his absence and/or unavailability to Mr Brandon Topham and Mr Wilhem Prinsloo (‘the </w:t>
      </w:r>
      <w:r w:rsidR="00B95908" w:rsidRPr="00D56EE4">
        <w:rPr>
          <w:rFonts w:asciiTheme="minorHAnsi" w:hAnsiTheme="minorHAnsi" w:cstheme="minorHAnsi"/>
          <w:lang w:val="en-GB"/>
        </w:rPr>
        <w:lastRenderedPageBreak/>
        <w:t>expert’), provided that in the event that there is a deadlock between Mr Brandon Topham and Mr Wilhelm Prinsloo, Mr Arnold Rademeyer shall make a final decision. In the event that the aggrieved Trustee fails to refer the disputed payment to the experts within the aforesaid time period, the disputed payment will automatically be deemed not to be due and payable by the Deelkraal Trust.</w:t>
      </w:r>
    </w:p>
    <w:p w14:paraId="7CFD971C" w14:textId="77777777" w:rsidR="00B95908" w:rsidRPr="00913E1A" w:rsidRDefault="00B95908" w:rsidP="00913E1A">
      <w:pPr>
        <w:pStyle w:val="ListParagraph"/>
        <w:tabs>
          <w:tab w:val="left" w:pos="3402"/>
        </w:tabs>
        <w:spacing w:after="480" w:line="360" w:lineRule="auto"/>
        <w:contextualSpacing/>
        <w:rPr>
          <w:rFonts w:asciiTheme="minorHAnsi" w:hAnsiTheme="minorHAnsi" w:cstheme="minorHAnsi"/>
          <w:lang w:val="en-GB"/>
        </w:rPr>
      </w:pPr>
    </w:p>
    <w:p w14:paraId="279B1817" w14:textId="74B0B3DA"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(8.2)</w:t>
      </w:r>
      <w:r w:rsidRPr="00913E1A">
        <w:rPr>
          <w:rFonts w:asciiTheme="minorHAnsi" w:hAnsiTheme="minorHAnsi" w:cstheme="minorHAnsi"/>
          <w:lang w:val="en-GB"/>
        </w:rPr>
        <w:tab/>
      </w:r>
      <w:r w:rsidR="00B95908" w:rsidRPr="00D56EE4">
        <w:rPr>
          <w:rFonts w:asciiTheme="minorHAnsi" w:hAnsiTheme="minorHAnsi" w:cstheme="minorHAnsi"/>
          <w:lang w:val="en-GB"/>
        </w:rPr>
        <w:t>The experts shall determine whether the disputed payment is in actual fact due and payable by the Deelkraal Trust, with due consideration to any written representations made by the Trustees to the experts within 5 (five) days of the referral of the disputed payment to the experts, and the expert’s determination shall be final and binding on the Trustees.</w:t>
      </w:r>
    </w:p>
    <w:p w14:paraId="03F7FB35" w14:textId="77777777" w:rsidR="00B95908" w:rsidRPr="00913E1A" w:rsidRDefault="00B95908" w:rsidP="00913E1A">
      <w:pPr>
        <w:pStyle w:val="ListParagraph"/>
        <w:spacing w:line="360" w:lineRule="auto"/>
        <w:ind w:left="0"/>
        <w:rPr>
          <w:rFonts w:asciiTheme="minorHAnsi" w:hAnsiTheme="minorHAnsi" w:cstheme="minorHAnsi"/>
          <w:lang w:val="en-GB"/>
        </w:rPr>
      </w:pPr>
    </w:p>
    <w:p w14:paraId="5B6CD35B" w14:textId="40D1A25B"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(8.3)</w:t>
      </w:r>
      <w:r w:rsidRPr="00913E1A">
        <w:rPr>
          <w:rFonts w:asciiTheme="minorHAnsi" w:hAnsiTheme="minorHAnsi" w:cstheme="minorHAnsi"/>
          <w:lang w:val="en-GB"/>
        </w:rPr>
        <w:tab/>
      </w:r>
      <w:r w:rsidR="00B95908" w:rsidRPr="00D56EE4">
        <w:rPr>
          <w:rFonts w:asciiTheme="minorHAnsi" w:hAnsiTheme="minorHAnsi" w:cstheme="minorHAnsi"/>
          <w:lang w:val="en-GB"/>
        </w:rPr>
        <w:t>In the event that the experts determine that the disputed payment is indeed due and payable, the disputing Trustee shall immediately authorise the payment, failing which the disputing Trustee hereby appoints the experts in rem saum (sic) to authorise the payment on his/her behalf.</w:t>
      </w:r>
    </w:p>
    <w:p w14:paraId="78F51F40"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6EBCC83E" w14:textId="2B7A56D2"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(9)</w:t>
      </w:r>
      <w:r w:rsidRPr="00913E1A">
        <w:rPr>
          <w:rFonts w:asciiTheme="minorHAnsi" w:hAnsiTheme="minorHAnsi" w:cstheme="minorHAnsi"/>
          <w:lang w:val="en-GB"/>
        </w:rPr>
        <w:tab/>
      </w:r>
      <w:r w:rsidR="00B95908" w:rsidRPr="00D56EE4">
        <w:rPr>
          <w:rFonts w:asciiTheme="minorHAnsi" w:hAnsiTheme="minorHAnsi" w:cstheme="minorHAnsi"/>
          <w:lang w:val="en-GB"/>
        </w:rPr>
        <w:t>That Ms Gerty Jacobs and/or Mr Karel van As circulate any proposed distributions to the beneficiaries of the Deelkraal Trust (‘ the proposed distribution’) to the Trustees on the 20</w:t>
      </w:r>
      <w:r w:rsidR="00B95908" w:rsidRPr="00D56EE4">
        <w:rPr>
          <w:rFonts w:asciiTheme="minorHAnsi" w:hAnsiTheme="minorHAnsi" w:cstheme="minorHAnsi"/>
          <w:vertAlign w:val="superscript"/>
          <w:lang w:val="en-GB"/>
        </w:rPr>
        <w:t>th</w:t>
      </w:r>
      <w:r w:rsidR="00B95908" w:rsidRPr="00D56EE4">
        <w:rPr>
          <w:rFonts w:asciiTheme="minorHAnsi" w:hAnsiTheme="minorHAnsi" w:cstheme="minorHAnsi"/>
          <w:lang w:val="en-GB"/>
        </w:rPr>
        <w:t xml:space="preserve"> day of each and every month, with due consideration to the cash flow, solvency and liquidity of the </w:t>
      </w:r>
      <w:r w:rsidR="00B95908" w:rsidRPr="00D56EE4">
        <w:rPr>
          <w:rFonts w:asciiTheme="minorHAnsi" w:hAnsiTheme="minorHAnsi" w:cstheme="minorHAnsi"/>
          <w:lang w:val="en-GB"/>
        </w:rPr>
        <w:lastRenderedPageBreak/>
        <w:t>Deelkraal Trust, and that the Trustees respond in writing with their consent/objection (together with reasons for such objections) in respect of such proposed distribution within 48 (forty eight) hours, provided that:</w:t>
      </w:r>
    </w:p>
    <w:p w14:paraId="5B5AE53D" w14:textId="77777777" w:rsidR="00B95908" w:rsidRPr="00913E1A" w:rsidRDefault="00B95908" w:rsidP="00913E1A">
      <w:pPr>
        <w:pStyle w:val="ListParagraph"/>
        <w:spacing w:after="480" w:line="360" w:lineRule="auto"/>
        <w:ind w:left="0"/>
        <w:contextualSpacing/>
        <w:rPr>
          <w:rFonts w:asciiTheme="minorHAnsi" w:hAnsiTheme="minorHAnsi" w:cstheme="minorHAnsi"/>
          <w:lang w:val="en-GB"/>
        </w:rPr>
      </w:pPr>
    </w:p>
    <w:p w14:paraId="49193298" w14:textId="0FA34A76"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(9.1)</w:t>
      </w:r>
      <w:r w:rsidRPr="00913E1A">
        <w:rPr>
          <w:rFonts w:asciiTheme="minorHAnsi" w:hAnsiTheme="minorHAnsi" w:cstheme="minorHAnsi"/>
          <w:lang w:val="en-GB"/>
        </w:rPr>
        <w:tab/>
      </w:r>
      <w:r w:rsidR="00B95908" w:rsidRPr="00D56EE4">
        <w:rPr>
          <w:rFonts w:asciiTheme="minorHAnsi" w:hAnsiTheme="minorHAnsi" w:cstheme="minorHAnsi"/>
          <w:lang w:val="en-GB"/>
        </w:rPr>
        <w:t>Any failure on the part of a Trust deed to time is the consent/subject to the proposed distribution with the aforesaid 48 (forty eight) hours, will be deemed to be an acceptance of the proposed distribution.</w:t>
      </w:r>
    </w:p>
    <w:p w14:paraId="66B6DE76" w14:textId="77777777" w:rsidR="00B95908" w:rsidRPr="00913E1A" w:rsidRDefault="00B95908" w:rsidP="00913E1A">
      <w:pPr>
        <w:pStyle w:val="ListParagraph"/>
        <w:tabs>
          <w:tab w:val="left" w:pos="3402"/>
        </w:tabs>
        <w:spacing w:after="480" w:line="360" w:lineRule="auto"/>
        <w:ind w:left="0"/>
        <w:contextualSpacing/>
        <w:rPr>
          <w:rFonts w:asciiTheme="minorHAnsi" w:hAnsiTheme="minorHAnsi" w:cstheme="minorHAnsi"/>
          <w:lang w:val="en-GB"/>
        </w:rPr>
      </w:pPr>
    </w:p>
    <w:p w14:paraId="10814EA1" w14:textId="03D8B18B"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(9.2)</w:t>
      </w:r>
      <w:r w:rsidRPr="00913E1A">
        <w:rPr>
          <w:rFonts w:asciiTheme="minorHAnsi" w:hAnsiTheme="minorHAnsi" w:cstheme="minorHAnsi"/>
          <w:lang w:val="en-GB"/>
        </w:rPr>
        <w:tab/>
      </w:r>
      <w:r w:rsidR="00B95908" w:rsidRPr="00D56EE4">
        <w:rPr>
          <w:rFonts w:asciiTheme="minorHAnsi" w:hAnsiTheme="minorHAnsi" w:cstheme="minorHAnsi"/>
          <w:lang w:val="en-GB"/>
        </w:rPr>
        <w:t>In the event that a proposed distribution is approved by Ms Gerty Jacobs and Mr Karel van As (‘the approving Trustees’), the proposed distribution will be deemed to be approved, and the approving Trustees may proceed to load and release the proposed distribution (in accordance with what is set out in 7.2 above).</w:t>
      </w:r>
    </w:p>
    <w:p w14:paraId="4BB23055" w14:textId="77777777" w:rsidR="00B95908" w:rsidRPr="00913E1A" w:rsidRDefault="00B95908" w:rsidP="00913E1A">
      <w:pPr>
        <w:pStyle w:val="ListParagraph"/>
        <w:spacing w:after="480" w:line="360" w:lineRule="auto"/>
        <w:ind w:left="0"/>
        <w:contextualSpacing/>
        <w:rPr>
          <w:rFonts w:asciiTheme="minorHAnsi" w:hAnsiTheme="minorHAnsi" w:cstheme="minorHAnsi"/>
          <w:lang w:val="en-GB"/>
        </w:rPr>
      </w:pPr>
    </w:p>
    <w:p w14:paraId="0DF50F6A" w14:textId="3A5BFC6A"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t>(10)</w:t>
      </w:r>
      <w:r w:rsidRPr="00913E1A">
        <w:rPr>
          <w:rFonts w:asciiTheme="minorHAnsi" w:hAnsiTheme="minorHAnsi" w:cstheme="minorHAnsi"/>
          <w:lang w:val="en-GB"/>
        </w:rPr>
        <w:tab/>
      </w:r>
      <w:r w:rsidR="00B95908" w:rsidRPr="00D56EE4">
        <w:rPr>
          <w:rFonts w:asciiTheme="minorHAnsi" w:hAnsiTheme="minorHAnsi" w:cstheme="minorHAnsi"/>
          <w:lang w:val="en-GB"/>
        </w:rPr>
        <w:t>In the event that a proposed distribution is disputed by any of the Trustees (‘ the disputing Trustee’), then:</w:t>
      </w:r>
    </w:p>
    <w:p w14:paraId="0D5D0384"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445CA6A9" w14:textId="3C390BE5"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(10.1)</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Any of the Trustees shall within 3 (three) days of raising/receiving the objections to the proposed distribution (‘the disputed distribution’), refer the disputed </w:t>
      </w:r>
      <w:r w:rsidR="00B95908" w:rsidRPr="00D56EE4">
        <w:rPr>
          <w:rFonts w:asciiTheme="minorHAnsi" w:hAnsiTheme="minorHAnsi" w:cstheme="minorHAnsi"/>
          <w:lang w:val="en-GB"/>
        </w:rPr>
        <w:lastRenderedPageBreak/>
        <w:t>distribution to Mr Arnold Rademeyer, and in his absence and/or unavailability to Mr Brandon Topham and Mr Wilhem Prinsloo (‘the expert’), provided that in the event that there is a deadlock between Mr Brandon Topham and Mr Wilhelm Prinsloo, Mr Arnold Rademeyer shall make a final decision. In the event that any of the Trustees failed to refer the disputed distribution to the expert within the aforementioned time period, the disputed distribution will automatically be deemed not to be due and payable by the Deelkraal Trust, and none of the beneficiaries shall be entitled to a distribution for that particular month.</w:t>
      </w:r>
    </w:p>
    <w:p w14:paraId="317274B7" w14:textId="77777777" w:rsidR="00B95908" w:rsidRPr="00913E1A" w:rsidRDefault="00B95908" w:rsidP="00913E1A">
      <w:pPr>
        <w:pStyle w:val="ListParagraph"/>
        <w:tabs>
          <w:tab w:val="left" w:pos="3402"/>
        </w:tabs>
        <w:spacing w:after="480" w:line="360" w:lineRule="auto"/>
        <w:contextualSpacing/>
        <w:rPr>
          <w:rFonts w:asciiTheme="minorHAnsi" w:hAnsiTheme="minorHAnsi" w:cstheme="minorHAnsi"/>
          <w:lang w:val="en-GB"/>
        </w:rPr>
      </w:pPr>
    </w:p>
    <w:p w14:paraId="0EF469B9" w14:textId="0DF394E6"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(10.2)</w:t>
      </w:r>
      <w:r w:rsidRPr="00913E1A">
        <w:rPr>
          <w:rFonts w:asciiTheme="minorHAnsi" w:hAnsiTheme="minorHAnsi" w:cstheme="minorHAnsi"/>
          <w:lang w:val="en-GB"/>
        </w:rPr>
        <w:tab/>
      </w:r>
      <w:r w:rsidR="00B95908" w:rsidRPr="00D56EE4">
        <w:rPr>
          <w:rFonts w:asciiTheme="minorHAnsi" w:hAnsiTheme="minorHAnsi" w:cstheme="minorHAnsi"/>
          <w:lang w:val="en-GB"/>
        </w:rPr>
        <w:t>The expert shall determine whether the disputed distribution is in actual fact due and payable by the paste that, with due consideration to any written representations made by the Trustees to the expert within 5 (five) days of the referral of the disputed distribution to the expert, and the expert’s determination shall be final and binding on the Trustees.</w:t>
      </w:r>
    </w:p>
    <w:p w14:paraId="51889E7F" w14:textId="77777777" w:rsidR="00B95908" w:rsidRPr="00913E1A" w:rsidRDefault="00B95908" w:rsidP="00913E1A">
      <w:pPr>
        <w:pStyle w:val="ListParagraph"/>
        <w:spacing w:line="360" w:lineRule="auto"/>
        <w:rPr>
          <w:rFonts w:asciiTheme="minorHAnsi" w:hAnsiTheme="minorHAnsi" w:cstheme="minorHAnsi"/>
          <w:lang w:val="en-GB"/>
        </w:rPr>
      </w:pPr>
    </w:p>
    <w:p w14:paraId="01354223" w14:textId="3D66CAD5" w:rsidR="00B95908" w:rsidRPr="00D56EE4" w:rsidRDefault="00D56EE4" w:rsidP="00D56EE4">
      <w:pPr>
        <w:tabs>
          <w:tab w:val="left" w:pos="3402"/>
        </w:tabs>
        <w:spacing w:after="480" w:line="360" w:lineRule="auto"/>
        <w:ind w:left="3402" w:hanging="1134"/>
        <w:contextualSpacing/>
        <w:jc w:val="both"/>
        <w:rPr>
          <w:rFonts w:asciiTheme="minorHAnsi" w:hAnsiTheme="minorHAnsi" w:cstheme="minorHAnsi"/>
          <w:lang w:val="en-GB"/>
        </w:rPr>
      </w:pPr>
      <w:r w:rsidRPr="00913E1A">
        <w:rPr>
          <w:rFonts w:asciiTheme="minorHAnsi" w:hAnsiTheme="minorHAnsi" w:cstheme="minorHAnsi"/>
          <w:lang w:val="en-GB"/>
        </w:rPr>
        <w:t>(10.3)</w:t>
      </w:r>
      <w:r w:rsidRPr="00913E1A">
        <w:rPr>
          <w:rFonts w:asciiTheme="minorHAnsi" w:hAnsiTheme="minorHAnsi" w:cstheme="minorHAnsi"/>
          <w:lang w:val="en-GB"/>
        </w:rPr>
        <w:tab/>
      </w:r>
      <w:r w:rsidR="00B95908" w:rsidRPr="00D56EE4">
        <w:rPr>
          <w:rFonts w:asciiTheme="minorHAnsi" w:hAnsiTheme="minorHAnsi" w:cstheme="minorHAnsi"/>
          <w:lang w:val="en-GB"/>
        </w:rPr>
        <w:t>In the event that the expert determines that the disputed distribution is indeed due and payable, Ms Gerty Jacobs and Mr Karel van As shall immediately authorise payment of the proposed distribution, failing which the disputing Trustee hereby appoints the expert in rem saum (sic) to authorise the payment of the distribution on their behalf.</w:t>
      </w:r>
    </w:p>
    <w:p w14:paraId="7336DD94" w14:textId="77777777" w:rsidR="00B95908" w:rsidRPr="00913E1A" w:rsidRDefault="00B95908" w:rsidP="00913E1A">
      <w:pPr>
        <w:pStyle w:val="ListParagraph"/>
        <w:spacing w:after="480" w:line="360" w:lineRule="auto"/>
        <w:contextualSpacing/>
        <w:rPr>
          <w:rFonts w:asciiTheme="minorHAnsi" w:hAnsiTheme="minorHAnsi" w:cstheme="minorHAnsi"/>
          <w:lang w:val="en-GB"/>
        </w:rPr>
      </w:pPr>
    </w:p>
    <w:p w14:paraId="1ADF5EB2" w14:textId="389EFF54" w:rsidR="00B95908" w:rsidRPr="00D56EE4" w:rsidRDefault="00D56EE4" w:rsidP="00D56EE4">
      <w:pPr>
        <w:spacing w:after="480" w:line="360" w:lineRule="auto"/>
        <w:ind w:left="2268" w:hanging="1134"/>
        <w:contextualSpacing/>
        <w:jc w:val="both"/>
        <w:rPr>
          <w:rFonts w:asciiTheme="minorHAnsi" w:hAnsiTheme="minorHAnsi" w:cstheme="minorHAnsi"/>
          <w:lang w:val="en-GB"/>
        </w:rPr>
      </w:pPr>
      <w:r w:rsidRPr="00913E1A">
        <w:rPr>
          <w:rFonts w:asciiTheme="minorHAnsi" w:hAnsiTheme="minorHAnsi" w:cstheme="minorHAnsi"/>
          <w:lang w:val="en-GB"/>
        </w:rPr>
        <w:lastRenderedPageBreak/>
        <w:t>(11)</w:t>
      </w:r>
      <w:r w:rsidRPr="00913E1A">
        <w:rPr>
          <w:rFonts w:asciiTheme="minorHAnsi" w:hAnsiTheme="minorHAnsi" w:cstheme="minorHAnsi"/>
          <w:lang w:val="en-GB"/>
        </w:rPr>
        <w:tab/>
      </w:r>
      <w:r w:rsidR="00B95908" w:rsidRPr="00D56EE4">
        <w:rPr>
          <w:rFonts w:asciiTheme="minorHAnsi" w:hAnsiTheme="minorHAnsi" w:cstheme="minorHAnsi"/>
          <w:lang w:val="en-GB"/>
        </w:rPr>
        <w:t xml:space="preserve"> That any costs of the experts in determining any disputed payments and/or disputed distributions shall be paid by the Deelkraal Trust.</w:t>
      </w:r>
    </w:p>
    <w:p w14:paraId="06408F49" w14:textId="77777777" w:rsidR="00B95908" w:rsidRPr="006B544D" w:rsidRDefault="00B95908" w:rsidP="00B95908">
      <w:pPr>
        <w:pStyle w:val="ListParagraph"/>
        <w:tabs>
          <w:tab w:val="left" w:pos="1134"/>
        </w:tabs>
        <w:spacing w:after="480"/>
        <w:ind w:left="0"/>
        <w:contextualSpacing/>
        <w:rPr>
          <w:rFonts w:ascii="Tahoma" w:hAnsi="Tahoma" w:cs="Tahoma"/>
          <w:lang w:val="en-GB"/>
        </w:rPr>
      </w:pPr>
    </w:p>
    <w:p w14:paraId="75C594F8" w14:textId="77777777" w:rsidR="00D76739" w:rsidRPr="00913E1A" w:rsidRDefault="009E22B8" w:rsidP="00D9454A">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w:t>
      </w:r>
      <w:r w:rsidR="00EB6CED" w:rsidRPr="00913E1A">
        <w:rPr>
          <w:rFonts w:ascii="Arial" w:hAnsi="Arial" w:cs="Arial"/>
          <w:lang w:val="en-GB"/>
        </w:rPr>
        <w:t>19</w:t>
      </w:r>
      <w:r w:rsidRPr="00913E1A">
        <w:rPr>
          <w:rFonts w:ascii="Arial" w:hAnsi="Arial" w:cs="Arial"/>
          <w:lang w:val="en-GB"/>
        </w:rPr>
        <w:t xml:space="preserve">] </w:t>
      </w:r>
      <w:r w:rsidRPr="00913E1A">
        <w:rPr>
          <w:rFonts w:ascii="Arial" w:hAnsi="Arial" w:cs="Arial"/>
          <w:lang w:val="en-GB"/>
        </w:rPr>
        <w:tab/>
      </w:r>
      <w:r w:rsidR="00C37D14" w:rsidRPr="00913E1A">
        <w:rPr>
          <w:rFonts w:ascii="Arial" w:hAnsi="Arial" w:cs="Arial"/>
          <w:lang w:val="en-GB"/>
        </w:rPr>
        <w:t xml:space="preserve">The object of this resolution clearly was to normalise the affairs of the </w:t>
      </w:r>
      <w:r w:rsidR="00EB6CED" w:rsidRPr="00913E1A">
        <w:rPr>
          <w:rFonts w:ascii="Arial" w:hAnsi="Arial" w:cs="Arial"/>
        </w:rPr>
        <w:t>Deelkraal trust</w:t>
      </w:r>
      <w:r w:rsidR="00EB6CED" w:rsidRPr="00913E1A">
        <w:rPr>
          <w:rFonts w:ascii="Arial" w:hAnsi="Arial" w:cs="Arial"/>
          <w:lang w:val="en-GB"/>
        </w:rPr>
        <w:t xml:space="preserve"> </w:t>
      </w:r>
      <w:r w:rsidR="00C37D14" w:rsidRPr="00913E1A">
        <w:rPr>
          <w:rFonts w:ascii="Arial" w:hAnsi="Arial" w:cs="Arial"/>
          <w:lang w:val="en-GB"/>
        </w:rPr>
        <w:t xml:space="preserve">and to ensure that the trust received all the rental income from its properties. </w:t>
      </w:r>
      <w:r w:rsidR="00D76739" w:rsidRPr="00913E1A">
        <w:rPr>
          <w:rFonts w:ascii="Arial" w:hAnsi="Arial" w:cs="Arial"/>
          <w:lang w:val="en-GB"/>
        </w:rPr>
        <w:t xml:space="preserve">Mrs Jacobs </w:t>
      </w:r>
      <w:r w:rsidR="005C6C20" w:rsidRPr="00913E1A">
        <w:rPr>
          <w:rFonts w:ascii="Arial" w:hAnsi="Arial" w:cs="Arial"/>
          <w:lang w:val="en-GB"/>
        </w:rPr>
        <w:t xml:space="preserve">and Matthee </w:t>
      </w:r>
      <w:r w:rsidR="00EB6CED" w:rsidRPr="00913E1A">
        <w:rPr>
          <w:rFonts w:ascii="Arial" w:hAnsi="Arial" w:cs="Arial"/>
          <w:lang w:val="en-GB"/>
        </w:rPr>
        <w:t xml:space="preserve">however </w:t>
      </w:r>
      <w:r w:rsidR="00D76739" w:rsidRPr="00913E1A">
        <w:rPr>
          <w:rFonts w:ascii="Arial" w:hAnsi="Arial" w:cs="Arial"/>
          <w:lang w:val="en-GB"/>
        </w:rPr>
        <w:t xml:space="preserve">did not </w:t>
      </w:r>
      <w:r w:rsidR="00EB6CED" w:rsidRPr="00913E1A">
        <w:rPr>
          <w:rFonts w:ascii="Arial" w:hAnsi="Arial" w:cs="Arial"/>
          <w:lang w:val="en-GB"/>
        </w:rPr>
        <w:t>abide</w:t>
      </w:r>
      <w:r w:rsidR="00D76739" w:rsidRPr="00913E1A">
        <w:rPr>
          <w:rFonts w:ascii="Arial" w:hAnsi="Arial" w:cs="Arial"/>
          <w:lang w:val="en-GB"/>
        </w:rPr>
        <w:t xml:space="preserve"> the terms of the aforementioned resolution</w:t>
      </w:r>
      <w:r w:rsidR="00EB6CED" w:rsidRPr="00913E1A">
        <w:rPr>
          <w:rFonts w:ascii="Arial" w:hAnsi="Arial" w:cs="Arial"/>
          <w:lang w:val="en-GB"/>
        </w:rPr>
        <w:t>,</w:t>
      </w:r>
      <w:r w:rsidR="00D76739" w:rsidRPr="00913E1A">
        <w:rPr>
          <w:rFonts w:ascii="Arial" w:hAnsi="Arial" w:cs="Arial"/>
          <w:lang w:val="en-GB"/>
        </w:rPr>
        <w:t xml:space="preserve"> </w:t>
      </w:r>
      <w:r w:rsidR="00EB6CED" w:rsidRPr="00913E1A">
        <w:rPr>
          <w:rFonts w:ascii="Arial" w:hAnsi="Arial" w:cs="Arial"/>
          <w:lang w:val="en-GB"/>
        </w:rPr>
        <w:t>compelling</w:t>
      </w:r>
      <w:r w:rsidR="00D76739" w:rsidRPr="00913E1A">
        <w:rPr>
          <w:rFonts w:ascii="Arial" w:hAnsi="Arial" w:cs="Arial"/>
          <w:lang w:val="en-GB"/>
        </w:rPr>
        <w:t xml:space="preserve"> Van As </w:t>
      </w:r>
      <w:r w:rsidR="00EB6CED" w:rsidRPr="00913E1A">
        <w:rPr>
          <w:rFonts w:ascii="Arial" w:hAnsi="Arial" w:cs="Arial"/>
          <w:lang w:val="en-GB"/>
        </w:rPr>
        <w:t xml:space="preserve">to </w:t>
      </w:r>
      <w:r w:rsidR="00D76739" w:rsidRPr="00913E1A">
        <w:rPr>
          <w:rFonts w:ascii="Arial" w:hAnsi="Arial" w:cs="Arial"/>
          <w:lang w:val="en-GB"/>
        </w:rPr>
        <w:t xml:space="preserve">approach the court on an urgent basis to obtain an interdict </w:t>
      </w:r>
      <w:r w:rsidR="00EB6CED" w:rsidRPr="00913E1A">
        <w:rPr>
          <w:rFonts w:ascii="Arial" w:hAnsi="Arial" w:cs="Arial"/>
          <w:lang w:val="en-GB"/>
        </w:rPr>
        <w:t>ensuring compliance</w:t>
      </w:r>
      <w:r w:rsidR="00D9454A" w:rsidRPr="00913E1A">
        <w:rPr>
          <w:rFonts w:ascii="Arial" w:hAnsi="Arial" w:cs="Arial"/>
          <w:lang w:val="en-GB"/>
        </w:rPr>
        <w:t xml:space="preserve">.  </w:t>
      </w:r>
      <w:r w:rsidR="00D76739" w:rsidRPr="00913E1A">
        <w:rPr>
          <w:rFonts w:ascii="Arial" w:hAnsi="Arial" w:cs="Arial"/>
          <w:lang w:val="en-GB"/>
        </w:rPr>
        <w:t xml:space="preserve">Mrs Jacobs and Matthee opposed the application. In their </w:t>
      </w:r>
      <w:r w:rsidR="00EB6CED" w:rsidRPr="00913E1A">
        <w:rPr>
          <w:rFonts w:ascii="Arial" w:hAnsi="Arial" w:cs="Arial"/>
          <w:lang w:val="en-GB"/>
        </w:rPr>
        <w:t xml:space="preserve">joint </w:t>
      </w:r>
      <w:r w:rsidR="00D76739" w:rsidRPr="00913E1A">
        <w:rPr>
          <w:rFonts w:ascii="Arial" w:hAnsi="Arial" w:cs="Arial"/>
          <w:lang w:val="en-GB"/>
        </w:rPr>
        <w:t xml:space="preserve">answering affidavit </w:t>
      </w:r>
      <w:r w:rsidR="00C37D14" w:rsidRPr="00913E1A">
        <w:rPr>
          <w:rFonts w:ascii="Arial" w:hAnsi="Arial" w:cs="Arial"/>
          <w:lang w:val="en-GB"/>
        </w:rPr>
        <w:t>to the urgent application</w:t>
      </w:r>
      <w:r w:rsidR="00EB6CED" w:rsidRPr="00913E1A">
        <w:rPr>
          <w:rFonts w:ascii="Arial" w:hAnsi="Arial" w:cs="Arial"/>
          <w:lang w:val="en-GB"/>
        </w:rPr>
        <w:t>,</w:t>
      </w:r>
      <w:r w:rsidR="00C37D14" w:rsidRPr="00913E1A">
        <w:rPr>
          <w:rFonts w:ascii="Arial" w:hAnsi="Arial" w:cs="Arial"/>
          <w:lang w:val="en-GB"/>
        </w:rPr>
        <w:t xml:space="preserve"> </w:t>
      </w:r>
      <w:r w:rsidR="00D76739" w:rsidRPr="00913E1A">
        <w:rPr>
          <w:rFonts w:ascii="Arial" w:hAnsi="Arial" w:cs="Arial"/>
          <w:lang w:val="en-GB"/>
        </w:rPr>
        <w:t>Mrs Jacobs stated that -</w:t>
      </w:r>
    </w:p>
    <w:p w14:paraId="37F0E9CD" w14:textId="77777777" w:rsidR="00D76739" w:rsidRPr="00913E1A" w:rsidRDefault="00D76739" w:rsidP="00913E1A">
      <w:pPr>
        <w:pStyle w:val="ListParagraph"/>
        <w:tabs>
          <w:tab w:val="left" w:pos="1134"/>
        </w:tabs>
        <w:spacing w:after="480" w:line="360" w:lineRule="auto"/>
        <w:ind w:left="1134"/>
        <w:contextualSpacing/>
        <w:jc w:val="both"/>
        <w:rPr>
          <w:rFonts w:asciiTheme="minorHAnsi" w:hAnsiTheme="minorHAnsi" w:cstheme="minorHAnsi"/>
          <w:iCs/>
          <w:lang w:val="en-GB"/>
        </w:rPr>
      </w:pPr>
      <w:r w:rsidRPr="00913E1A">
        <w:rPr>
          <w:rFonts w:asciiTheme="minorHAnsi" w:hAnsiTheme="minorHAnsi" w:cstheme="minorHAnsi"/>
          <w:iCs/>
          <w:lang w:val="en-GB"/>
        </w:rPr>
        <w:t>“…, the second respondent and I do not, at this stage, dispute the validity of the resolution dated 23 May 2018 (‘the resolution’). To the contrary, the resolution was adopted at our insistence following the applicant’s conduct of assuming control of the Trust as his own personal fiefdom. Until revoked, amended or set aside the resolution stands as valid and all of the Trustees are duty bound to give effect to, as we also are under legal obligation to (i) give effect to all of the standing resolutions taken by the Trustees as well to (ii) at here in strict terms to our fiduciary obligations in managing the affairs of the Trust for the benefit of the beneficiaries. The application for obtaining of introductory relief is brought on an urgent basis without any sustainable legal foundation and it simply lacks a factual basis to support the relief sought. I shall return to dealing with the fact at the appropriate juncture.</w:t>
      </w:r>
      <w:r w:rsidRPr="00913E1A">
        <w:rPr>
          <w:rFonts w:asciiTheme="minorHAnsi" w:hAnsiTheme="minorHAnsi" w:cstheme="minorHAnsi"/>
          <w:iCs/>
        </w:rPr>
        <w:t>”</w:t>
      </w:r>
    </w:p>
    <w:p w14:paraId="3046331E" w14:textId="77777777" w:rsidR="00256BFE" w:rsidRPr="00913E1A" w:rsidRDefault="00256BFE" w:rsidP="00256BFE">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w:t>
      </w:r>
      <w:r w:rsidR="00D9454A" w:rsidRPr="00913E1A">
        <w:rPr>
          <w:rFonts w:ascii="Arial" w:hAnsi="Arial" w:cs="Arial"/>
          <w:lang w:val="en-GB"/>
        </w:rPr>
        <w:t>2</w:t>
      </w:r>
      <w:r w:rsidR="00F27CEA" w:rsidRPr="00913E1A">
        <w:rPr>
          <w:rFonts w:ascii="Arial" w:hAnsi="Arial" w:cs="Arial"/>
          <w:lang w:val="en-GB"/>
        </w:rPr>
        <w:t>0</w:t>
      </w:r>
      <w:r w:rsidRPr="00913E1A">
        <w:rPr>
          <w:rFonts w:ascii="Arial" w:hAnsi="Arial" w:cs="Arial"/>
          <w:lang w:val="en-GB"/>
        </w:rPr>
        <w:t xml:space="preserve">] </w:t>
      </w:r>
      <w:r w:rsidRPr="00913E1A">
        <w:rPr>
          <w:rFonts w:ascii="Arial" w:hAnsi="Arial" w:cs="Arial"/>
          <w:lang w:val="en-GB"/>
        </w:rPr>
        <w:tab/>
        <w:t>The urgent court hearing the application</w:t>
      </w:r>
      <w:r w:rsidR="00EB6CED" w:rsidRPr="00913E1A">
        <w:rPr>
          <w:rFonts w:ascii="Arial" w:hAnsi="Arial" w:cs="Arial"/>
          <w:lang w:val="en-GB"/>
        </w:rPr>
        <w:t>,</w:t>
      </w:r>
      <w:r w:rsidRPr="00913E1A">
        <w:rPr>
          <w:rFonts w:ascii="Arial" w:hAnsi="Arial" w:cs="Arial"/>
          <w:lang w:val="en-GB"/>
        </w:rPr>
        <w:t xml:space="preserve"> </w:t>
      </w:r>
      <w:r w:rsidR="00D9454A" w:rsidRPr="00913E1A">
        <w:rPr>
          <w:rFonts w:ascii="Arial" w:hAnsi="Arial" w:cs="Arial"/>
          <w:lang w:val="en-GB"/>
        </w:rPr>
        <w:t xml:space="preserve">seemingly </w:t>
      </w:r>
      <w:r w:rsidRPr="00913E1A">
        <w:rPr>
          <w:rFonts w:ascii="Arial" w:hAnsi="Arial" w:cs="Arial"/>
          <w:lang w:val="en-GB"/>
        </w:rPr>
        <w:t xml:space="preserve">found that this statement amounted to an undertaking to comply with the resolution passed by the trustees and struck the matter from the roll for lack of urgency. </w:t>
      </w:r>
      <w:r w:rsidR="00D9454A" w:rsidRPr="00913E1A">
        <w:rPr>
          <w:rFonts w:ascii="Arial" w:hAnsi="Arial" w:cs="Arial"/>
          <w:lang w:val="en-GB"/>
        </w:rPr>
        <w:t xml:space="preserve">  </w:t>
      </w:r>
    </w:p>
    <w:p w14:paraId="1023D0FB" w14:textId="77777777" w:rsidR="00603C88" w:rsidRPr="00913E1A" w:rsidRDefault="00603C88" w:rsidP="00256BFE">
      <w:pPr>
        <w:tabs>
          <w:tab w:val="left" w:pos="1134"/>
        </w:tabs>
        <w:spacing w:after="480" w:line="360" w:lineRule="auto"/>
        <w:ind w:left="1134" w:hanging="1134"/>
        <w:contextualSpacing/>
        <w:jc w:val="both"/>
        <w:rPr>
          <w:rFonts w:ascii="Arial" w:hAnsi="Arial" w:cs="Arial"/>
          <w:lang w:val="en-GB"/>
        </w:rPr>
      </w:pPr>
    </w:p>
    <w:p w14:paraId="4914E0CF" w14:textId="6F093D37" w:rsidR="00D76739" w:rsidRPr="00913E1A" w:rsidRDefault="00256BFE" w:rsidP="00D9454A">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w:t>
      </w:r>
      <w:r w:rsidR="0051510C" w:rsidRPr="00913E1A">
        <w:rPr>
          <w:rFonts w:ascii="Arial" w:hAnsi="Arial" w:cs="Arial"/>
          <w:lang w:val="en-GB"/>
        </w:rPr>
        <w:t>2</w:t>
      </w:r>
      <w:r w:rsidR="00F27CEA" w:rsidRPr="00913E1A">
        <w:rPr>
          <w:rFonts w:ascii="Arial" w:hAnsi="Arial" w:cs="Arial"/>
          <w:lang w:val="en-GB"/>
        </w:rPr>
        <w:t>1</w:t>
      </w:r>
      <w:r w:rsidRPr="00913E1A">
        <w:rPr>
          <w:rFonts w:ascii="Arial" w:hAnsi="Arial" w:cs="Arial"/>
          <w:lang w:val="en-GB"/>
        </w:rPr>
        <w:t xml:space="preserve">] </w:t>
      </w:r>
      <w:r w:rsidRPr="00913E1A">
        <w:rPr>
          <w:rFonts w:ascii="Arial" w:hAnsi="Arial" w:cs="Arial"/>
          <w:lang w:val="en-GB"/>
        </w:rPr>
        <w:tab/>
        <w:t xml:space="preserve">Van As then set the application down on the opposed roll </w:t>
      </w:r>
      <w:r w:rsidRPr="00E8723F">
        <w:rPr>
          <w:rFonts w:ascii="Arial" w:hAnsi="Arial" w:cs="Arial"/>
          <w:lang w:val="en-GB"/>
        </w:rPr>
        <w:t>and on</w:t>
      </w:r>
      <w:r w:rsidR="00D76739" w:rsidRPr="00E8723F">
        <w:rPr>
          <w:rFonts w:ascii="Arial" w:hAnsi="Arial" w:cs="Arial"/>
          <w:lang w:val="en-GB"/>
        </w:rPr>
        <w:t xml:space="preserve"> 6 May 2019</w:t>
      </w:r>
      <w:r w:rsidRPr="00E8723F">
        <w:rPr>
          <w:rFonts w:ascii="Arial" w:hAnsi="Arial" w:cs="Arial"/>
          <w:lang w:val="en-GB"/>
        </w:rPr>
        <w:t xml:space="preserve"> </w:t>
      </w:r>
      <w:r w:rsidR="007A6015" w:rsidRPr="00E8723F">
        <w:rPr>
          <w:rFonts w:ascii="Arial" w:hAnsi="Arial" w:cs="Arial"/>
          <w:lang w:val="en-GB"/>
        </w:rPr>
        <w:t xml:space="preserve">Retief </w:t>
      </w:r>
      <w:r w:rsidR="00E8723F" w:rsidRPr="00E8723F">
        <w:rPr>
          <w:rFonts w:ascii="Arial" w:hAnsi="Arial" w:cs="Arial"/>
          <w:lang w:val="en-GB"/>
        </w:rPr>
        <w:t>A</w:t>
      </w:r>
      <w:r w:rsidR="007A6015" w:rsidRPr="00E8723F">
        <w:rPr>
          <w:rFonts w:ascii="Arial" w:hAnsi="Arial" w:cs="Arial"/>
          <w:lang w:val="en-GB"/>
        </w:rPr>
        <w:t xml:space="preserve">J </w:t>
      </w:r>
      <w:r w:rsidRPr="00E8723F">
        <w:rPr>
          <w:rFonts w:ascii="Arial" w:hAnsi="Arial" w:cs="Arial"/>
          <w:lang w:val="en-GB"/>
        </w:rPr>
        <w:t>made an order in the following terms:</w:t>
      </w:r>
    </w:p>
    <w:p w14:paraId="410144CF" w14:textId="77777777" w:rsidR="00D76739" w:rsidRPr="00913E1A" w:rsidRDefault="00D76739" w:rsidP="00256BFE">
      <w:pPr>
        <w:pStyle w:val="ListParagraph"/>
        <w:tabs>
          <w:tab w:val="left" w:pos="1134"/>
        </w:tabs>
        <w:spacing w:after="480" w:line="360" w:lineRule="auto"/>
        <w:ind w:left="1134"/>
        <w:contextualSpacing/>
        <w:jc w:val="both"/>
        <w:rPr>
          <w:rFonts w:asciiTheme="minorHAnsi" w:hAnsiTheme="minorHAnsi" w:cstheme="minorHAnsi"/>
          <w:iCs/>
          <w:lang w:val="en-GB"/>
        </w:rPr>
      </w:pPr>
      <w:r w:rsidRPr="00913E1A">
        <w:rPr>
          <w:rFonts w:asciiTheme="minorHAnsi" w:hAnsiTheme="minorHAnsi" w:cstheme="minorHAnsi"/>
          <w:iCs/>
          <w:lang w:val="en-GB"/>
        </w:rPr>
        <w:lastRenderedPageBreak/>
        <w:t>‘The 1</w:t>
      </w:r>
      <w:r w:rsidRPr="00913E1A">
        <w:rPr>
          <w:rFonts w:asciiTheme="minorHAnsi" w:hAnsiTheme="minorHAnsi" w:cstheme="minorHAnsi"/>
          <w:iCs/>
          <w:vertAlign w:val="superscript"/>
          <w:lang w:val="en-GB"/>
        </w:rPr>
        <w:t>st</w:t>
      </w:r>
      <w:r w:rsidRPr="00913E1A">
        <w:rPr>
          <w:rFonts w:asciiTheme="minorHAnsi" w:hAnsiTheme="minorHAnsi" w:cstheme="minorHAnsi"/>
          <w:iCs/>
          <w:lang w:val="en-GB"/>
        </w:rPr>
        <w:t xml:space="preserve"> and 2</w:t>
      </w:r>
      <w:r w:rsidRPr="00913E1A">
        <w:rPr>
          <w:rFonts w:asciiTheme="minorHAnsi" w:hAnsiTheme="minorHAnsi" w:cstheme="minorHAnsi"/>
          <w:iCs/>
          <w:vertAlign w:val="superscript"/>
          <w:lang w:val="en-GB"/>
        </w:rPr>
        <w:t>nd</w:t>
      </w:r>
      <w:r w:rsidRPr="00913E1A">
        <w:rPr>
          <w:rFonts w:asciiTheme="minorHAnsi" w:hAnsiTheme="minorHAnsi" w:cstheme="minorHAnsi"/>
          <w:iCs/>
          <w:lang w:val="en-GB"/>
        </w:rPr>
        <w:t xml:space="preserve"> respondents are interdicted and restrained from contravening the written resolutions passed by the Trusteess of the Deelkraal Behuisings Trust (IT: 4808/08) on 23 May 2018 until such time that the Trustees of the Deelkraal Behuisings Trust duly amend and/or revoke same in terms of clause 10 of the Deelkraal Behuisings Trust’s Trust deed.’</w:t>
      </w:r>
    </w:p>
    <w:p w14:paraId="68B98A58" w14:textId="77777777" w:rsidR="003B7B63" w:rsidRPr="00913E1A" w:rsidRDefault="00256BFE"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[2</w:t>
      </w:r>
      <w:r w:rsidR="00F27CEA" w:rsidRPr="00913E1A">
        <w:rPr>
          <w:rFonts w:ascii="Arial" w:hAnsi="Arial" w:cs="Arial"/>
          <w:lang w:val="en-GB"/>
        </w:rPr>
        <w:t>2</w:t>
      </w:r>
      <w:r w:rsidRPr="00913E1A">
        <w:rPr>
          <w:rFonts w:ascii="Arial" w:hAnsi="Arial" w:cs="Arial"/>
          <w:lang w:val="en-GB"/>
        </w:rPr>
        <w:t xml:space="preserve">] </w:t>
      </w:r>
      <w:r w:rsidRPr="00913E1A">
        <w:rPr>
          <w:rFonts w:ascii="Arial" w:hAnsi="Arial" w:cs="Arial"/>
          <w:lang w:val="en-GB"/>
        </w:rPr>
        <w:tab/>
        <w:t xml:space="preserve">Mrs Jacobs and Matthee </w:t>
      </w:r>
      <w:r w:rsidR="00227E97" w:rsidRPr="00913E1A">
        <w:rPr>
          <w:rFonts w:ascii="Arial" w:hAnsi="Arial" w:cs="Arial"/>
          <w:lang w:val="en-GB"/>
        </w:rPr>
        <w:t xml:space="preserve">did not oppose the application on 6 May 2019 despite the fact that </w:t>
      </w:r>
      <w:r w:rsidR="0051510C" w:rsidRPr="00913E1A">
        <w:rPr>
          <w:rFonts w:ascii="Arial" w:hAnsi="Arial" w:cs="Arial"/>
          <w:lang w:val="en-GB"/>
        </w:rPr>
        <w:t>their</w:t>
      </w:r>
      <w:r w:rsidR="00227E97" w:rsidRPr="00913E1A">
        <w:rPr>
          <w:rFonts w:ascii="Arial" w:hAnsi="Arial" w:cs="Arial"/>
          <w:lang w:val="en-GB"/>
        </w:rPr>
        <w:t xml:space="preserve"> attorneys were in court when the order was granted.</w:t>
      </w:r>
      <w:r w:rsidR="0051510C" w:rsidRPr="00913E1A">
        <w:rPr>
          <w:rFonts w:ascii="Arial" w:hAnsi="Arial" w:cs="Arial"/>
          <w:lang w:val="en-GB"/>
        </w:rPr>
        <w:t xml:space="preserve">  </w:t>
      </w:r>
    </w:p>
    <w:p w14:paraId="30FD474F" w14:textId="77777777" w:rsidR="00256BFE" w:rsidRPr="00913E1A" w:rsidRDefault="00256BFE" w:rsidP="009E22B8">
      <w:pPr>
        <w:tabs>
          <w:tab w:val="left" w:pos="1134"/>
        </w:tabs>
        <w:spacing w:after="480" w:line="360" w:lineRule="auto"/>
        <w:ind w:left="1134" w:hanging="1134"/>
        <w:contextualSpacing/>
        <w:jc w:val="both"/>
        <w:rPr>
          <w:rFonts w:ascii="Arial" w:hAnsi="Arial" w:cs="Arial"/>
          <w:lang w:val="en-GB"/>
        </w:rPr>
      </w:pPr>
    </w:p>
    <w:p w14:paraId="7FA56668" w14:textId="77777777" w:rsidR="00256BFE" w:rsidRPr="00913E1A" w:rsidRDefault="00256BFE"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[2</w:t>
      </w:r>
      <w:r w:rsidR="00F27CEA" w:rsidRPr="00913E1A">
        <w:rPr>
          <w:rFonts w:ascii="Arial" w:hAnsi="Arial" w:cs="Arial"/>
          <w:lang w:val="en-GB"/>
        </w:rPr>
        <w:t>3</w:t>
      </w:r>
      <w:r w:rsidRPr="00913E1A">
        <w:rPr>
          <w:rFonts w:ascii="Arial" w:hAnsi="Arial" w:cs="Arial"/>
          <w:lang w:val="en-GB"/>
        </w:rPr>
        <w:t xml:space="preserve">] </w:t>
      </w:r>
      <w:r w:rsidRPr="00913E1A">
        <w:rPr>
          <w:rFonts w:ascii="Arial" w:hAnsi="Arial" w:cs="Arial"/>
          <w:lang w:val="en-GB"/>
        </w:rPr>
        <w:tab/>
      </w:r>
      <w:r w:rsidR="00F24EF6" w:rsidRPr="00913E1A">
        <w:rPr>
          <w:rFonts w:ascii="Arial" w:hAnsi="Arial" w:cs="Arial"/>
          <w:lang w:val="en-GB"/>
        </w:rPr>
        <w:t xml:space="preserve">In consequence of the court order, Van As dispatched letters to the tenants and employees of the trust to inform them of the court order </w:t>
      </w:r>
      <w:r w:rsidR="00C643F5" w:rsidRPr="00913E1A">
        <w:rPr>
          <w:rFonts w:ascii="Arial" w:hAnsi="Arial" w:cs="Arial"/>
          <w:lang w:val="en-GB"/>
        </w:rPr>
        <w:t xml:space="preserve">of 6 May 2019.  Notwithstanding the court order, the Sebenza Trust continued to collect rental and other income in respect of the immovable properties, refused to permit the employees of the trust to resume their duties, to return the movable assets belong to the trust, to pay all funds collected by Mrs Jacobs and the Sebenza Trust in respect of trust properties into the trust bank account and refused to sign lease agreements reflecting the trust as landlord and including its bank account.  In her answering affidavit, Mrs Jacobs fails to address these direct accusations. She does however attempt to justify her </w:t>
      </w:r>
      <w:r w:rsidR="00BA792C" w:rsidRPr="00913E1A">
        <w:rPr>
          <w:rFonts w:ascii="Arial" w:hAnsi="Arial" w:cs="Arial"/>
          <w:lang w:val="en-GB"/>
        </w:rPr>
        <w:t xml:space="preserve">conduct </w:t>
      </w:r>
      <w:r w:rsidR="00EB6CED" w:rsidRPr="00913E1A">
        <w:rPr>
          <w:rFonts w:ascii="Arial" w:hAnsi="Arial" w:cs="Arial"/>
          <w:lang w:val="en-GB"/>
        </w:rPr>
        <w:t xml:space="preserve">inter alia </w:t>
      </w:r>
      <w:r w:rsidR="00BA792C" w:rsidRPr="00913E1A">
        <w:rPr>
          <w:rFonts w:ascii="Arial" w:hAnsi="Arial" w:cs="Arial"/>
          <w:lang w:val="en-GB"/>
        </w:rPr>
        <w:t>by saying that she was entitled to withhold the rental income of some 80</w:t>
      </w:r>
      <w:r w:rsidR="00C643F5" w:rsidRPr="00913E1A">
        <w:rPr>
          <w:rFonts w:ascii="Arial" w:hAnsi="Arial" w:cs="Arial"/>
          <w:lang w:val="en-GB"/>
        </w:rPr>
        <w:t xml:space="preserve"> </w:t>
      </w:r>
      <w:r w:rsidR="00BA792C" w:rsidRPr="00913E1A">
        <w:rPr>
          <w:rFonts w:ascii="Arial" w:hAnsi="Arial" w:cs="Arial"/>
          <w:lang w:val="en-GB"/>
        </w:rPr>
        <w:t xml:space="preserve">houses </w:t>
      </w:r>
      <w:r w:rsidR="00A0556C" w:rsidRPr="00913E1A">
        <w:rPr>
          <w:rFonts w:ascii="Arial" w:hAnsi="Arial" w:cs="Arial"/>
          <w:lang w:val="en-GB"/>
        </w:rPr>
        <w:t>by virtue of an agreement entered into between a close corporation owned by Mrs Jacobs and the trust on 5 March 2009.  In the replying affidavit, Van As pointed out several shortcomings in respect of this argument.  The principal problem with the aforesaid agreement is that it was not authorised by all the trustees of the trust.  The resolution of the trust attached to the agreement was signed by only two trustees, namely Mrs Jacobs and Frik van As.  In addition, the resolution states that the third trustee, Matthee, was not present at the meeting but had only been informed of the decision.  The resolution</w:t>
      </w:r>
      <w:r w:rsidR="00EB6CED" w:rsidRPr="00913E1A">
        <w:rPr>
          <w:rFonts w:ascii="Arial" w:hAnsi="Arial" w:cs="Arial"/>
          <w:lang w:val="en-GB"/>
        </w:rPr>
        <w:t xml:space="preserve"> relied on by Mrs Jacobs offended</w:t>
      </w:r>
      <w:r w:rsidR="00A0556C" w:rsidRPr="00913E1A">
        <w:rPr>
          <w:rFonts w:ascii="Arial" w:hAnsi="Arial" w:cs="Arial"/>
          <w:lang w:val="en-GB"/>
        </w:rPr>
        <w:t xml:space="preserve"> against the provisions of clause 10 of the trust deed and </w:t>
      </w:r>
      <w:r w:rsidR="00EB6CED" w:rsidRPr="00913E1A">
        <w:rPr>
          <w:rFonts w:ascii="Arial" w:hAnsi="Arial" w:cs="Arial"/>
          <w:lang w:val="en-GB"/>
        </w:rPr>
        <w:t xml:space="preserve">was accordingly </w:t>
      </w:r>
      <w:r w:rsidR="00A0556C" w:rsidRPr="00913E1A">
        <w:rPr>
          <w:rFonts w:ascii="Arial" w:hAnsi="Arial" w:cs="Arial"/>
          <w:lang w:val="en-GB"/>
        </w:rPr>
        <w:t>void.</w:t>
      </w:r>
    </w:p>
    <w:p w14:paraId="07569347" w14:textId="77777777" w:rsidR="00A0556C" w:rsidRPr="00913E1A" w:rsidRDefault="00A0556C" w:rsidP="009E22B8">
      <w:pPr>
        <w:tabs>
          <w:tab w:val="left" w:pos="1134"/>
        </w:tabs>
        <w:spacing w:after="480" w:line="360" w:lineRule="auto"/>
        <w:ind w:left="1134" w:hanging="1134"/>
        <w:contextualSpacing/>
        <w:jc w:val="both"/>
        <w:rPr>
          <w:rFonts w:ascii="Arial" w:hAnsi="Arial" w:cs="Arial"/>
          <w:lang w:val="en-GB"/>
        </w:rPr>
      </w:pPr>
    </w:p>
    <w:p w14:paraId="1F5CC910" w14:textId="77777777" w:rsidR="00B07654" w:rsidRPr="00913E1A" w:rsidRDefault="00A0556C"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[2</w:t>
      </w:r>
      <w:r w:rsidR="00F27CEA" w:rsidRPr="00913E1A">
        <w:rPr>
          <w:rFonts w:ascii="Arial" w:hAnsi="Arial" w:cs="Arial"/>
          <w:lang w:val="en-GB"/>
        </w:rPr>
        <w:t>4</w:t>
      </w:r>
      <w:r w:rsidRPr="00913E1A">
        <w:rPr>
          <w:rFonts w:ascii="Arial" w:hAnsi="Arial" w:cs="Arial"/>
          <w:lang w:val="en-GB"/>
        </w:rPr>
        <w:t xml:space="preserve">] </w:t>
      </w:r>
      <w:r w:rsidRPr="00913E1A">
        <w:rPr>
          <w:rFonts w:ascii="Arial" w:hAnsi="Arial" w:cs="Arial"/>
          <w:lang w:val="en-GB"/>
        </w:rPr>
        <w:tab/>
      </w:r>
      <w:r w:rsidR="00EB6CED" w:rsidRPr="00913E1A">
        <w:rPr>
          <w:rFonts w:ascii="Arial" w:hAnsi="Arial" w:cs="Arial"/>
          <w:lang w:val="en-GB"/>
        </w:rPr>
        <w:t xml:space="preserve">After obtaining the court order, </w:t>
      </w:r>
      <w:r w:rsidRPr="00913E1A">
        <w:rPr>
          <w:rFonts w:ascii="Arial" w:hAnsi="Arial" w:cs="Arial"/>
          <w:lang w:val="en-GB"/>
        </w:rPr>
        <w:t xml:space="preserve">Van As instructed </w:t>
      </w:r>
      <w:r w:rsidR="000602DA" w:rsidRPr="00913E1A">
        <w:rPr>
          <w:rFonts w:ascii="Arial" w:hAnsi="Arial" w:cs="Arial"/>
          <w:lang w:val="en-GB"/>
        </w:rPr>
        <w:t>his attorneys</w:t>
      </w:r>
      <w:r w:rsidR="00EB6CED" w:rsidRPr="00913E1A">
        <w:rPr>
          <w:rFonts w:ascii="Arial" w:hAnsi="Arial" w:cs="Arial"/>
          <w:lang w:val="en-GB"/>
        </w:rPr>
        <w:t>, SJA</w:t>
      </w:r>
      <w:r w:rsidR="00291951" w:rsidRPr="00913E1A">
        <w:rPr>
          <w:rFonts w:ascii="Arial" w:hAnsi="Arial" w:cs="Arial"/>
          <w:lang w:val="en-GB"/>
        </w:rPr>
        <w:t xml:space="preserve"> (</w:t>
      </w:r>
      <w:r w:rsidR="00EA70E3" w:rsidRPr="00913E1A">
        <w:rPr>
          <w:rFonts w:ascii="Arial" w:hAnsi="Arial" w:cs="Arial"/>
          <w:lang w:val="en-GB"/>
        </w:rPr>
        <w:t xml:space="preserve">the continued reference to “SJA” hereafter means no disrespect to Ms Magdel </w:t>
      </w:r>
      <w:r w:rsidR="00EA70E3" w:rsidRPr="00913E1A">
        <w:rPr>
          <w:rFonts w:ascii="Arial" w:hAnsi="Arial" w:cs="Arial"/>
          <w:lang w:val="en-GB"/>
        </w:rPr>
        <w:lastRenderedPageBreak/>
        <w:t>van Biljon who was the author of the correspondence dealt with below)</w:t>
      </w:r>
      <w:r w:rsidR="00EB6CED" w:rsidRPr="00913E1A">
        <w:rPr>
          <w:rFonts w:ascii="Arial" w:hAnsi="Arial" w:cs="Arial"/>
          <w:lang w:val="en-GB"/>
        </w:rPr>
        <w:t>,</w:t>
      </w:r>
      <w:r w:rsidR="000602DA" w:rsidRPr="00913E1A">
        <w:rPr>
          <w:rFonts w:ascii="Arial" w:hAnsi="Arial" w:cs="Arial"/>
          <w:lang w:val="en-GB"/>
        </w:rPr>
        <w:t xml:space="preserve"> to write a letter to</w:t>
      </w:r>
      <w:r w:rsidR="00EB6CED" w:rsidRPr="00913E1A">
        <w:rPr>
          <w:rFonts w:ascii="Arial" w:hAnsi="Arial" w:cs="Arial"/>
          <w:lang w:val="en-GB"/>
        </w:rPr>
        <w:t xml:space="preserve"> Bernard van der Hoven Attorneys,</w:t>
      </w:r>
      <w:r w:rsidR="000602DA" w:rsidRPr="00913E1A">
        <w:rPr>
          <w:rFonts w:ascii="Arial" w:hAnsi="Arial" w:cs="Arial"/>
          <w:lang w:val="en-GB"/>
        </w:rPr>
        <w:t xml:space="preserve"> the attorneys of Mrs Jacobs and Matthee to demand compliance with the court order. The parties then, at the </w:t>
      </w:r>
      <w:r w:rsidR="00B07654" w:rsidRPr="00913E1A">
        <w:rPr>
          <w:rFonts w:ascii="Arial" w:hAnsi="Arial" w:cs="Arial"/>
          <w:lang w:val="en-GB"/>
        </w:rPr>
        <w:t xml:space="preserve">suggestion of </w:t>
      </w:r>
      <w:r w:rsidR="00EB6CED" w:rsidRPr="00913E1A">
        <w:rPr>
          <w:rFonts w:ascii="Arial" w:hAnsi="Arial" w:cs="Arial"/>
          <w:lang w:val="en-GB"/>
        </w:rPr>
        <w:t>Mr Van der Hoven</w:t>
      </w:r>
      <w:r w:rsidR="00B07654" w:rsidRPr="00913E1A">
        <w:rPr>
          <w:rFonts w:ascii="Arial" w:hAnsi="Arial" w:cs="Arial"/>
          <w:lang w:val="en-GB"/>
        </w:rPr>
        <w:t>,</w:t>
      </w:r>
      <w:r w:rsidR="000602DA" w:rsidRPr="00913E1A">
        <w:rPr>
          <w:rFonts w:ascii="Arial" w:hAnsi="Arial" w:cs="Arial"/>
          <w:lang w:val="en-GB"/>
        </w:rPr>
        <w:t xml:space="preserve"> held a round table conference to discuss a solution but this proved futile.  </w:t>
      </w:r>
    </w:p>
    <w:p w14:paraId="459A1C1E" w14:textId="77777777" w:rsidR="00B07654" w:rsidRPr="00913E1A" w:rsidRDefault="00B07654" w:rsidP="009E22B8">
      <w:pPr>
        <w:tabs>
          <w:tab w:val="left" w:pos="1134"/>
        </w:tabs>
        <w:spacing w:after="480" w:line="360" w:lineRule="auto"/>
        <w:ind w:left="1134" w:hanging="1134"/>
        <w:contextualSpacing/>
        <w:jc w:val="both"/>
        <w:rPr>
          <w:rFonts w:ascii="Arial" w:hAnsi="Arial" w:cs="Arial"/>
          <w:lang w:val="en-GB"/>
        </w:rPr>
      </w:pPr>
    </w:p>
    <w:p w14:paraId="4435724E" w14:textId="77777777" w:rsidR="00A0556C" w:rsidRPr="00913E1A" w:rsidRDefault="00B07654"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[2</w:t>
      </w:r>
      <w:r w:rsidR="00F27CEA" w:rsidRPr="00913E1A">
        <w:rPr>
          <w:rFonts w:ascii="Arial" w:hAnsi="Arial" w:cs="Arial"/>
          <w:lang w:val="en-GB"/>
        </w:rPr>
        <w:t>5</w:t>
      </w:r>
      <w:r w:rsidRPr="00913E1A">
        <w:rPr>
          <w:rFonts w:ascii="Arial" w:hAnsi="Arial" w:cs="Arial"/>
          <w:lang w:val="en-GB"/>
        </w:rPr>
        <w:t xml:space="preserve">] </w:t>
      </w:r>
      <w:r w:rsidRPr="00913E1A">
        <w:rPr>
          <w:rFonts w:ascii="Arial" w:hAnsi="Arial" w:cs="Arial"/>
          <w:lang w:val="en-GB"/>
        </w:rPr>
        <w:tab/>
        <w:t xml:space="preserve">Two days before the round table conference took place, Mrs Jacobs wrote letters to the tenants of the houses on the Estate and informed them that they should continue to pay their rental “where [their] contracts are at Deelkraal Estate” and that they were “under no obligation to sign any letters delivered to [them]”.  </w:t>
      </w:r>
      <w:r w:rsidR="00F27CEA" w:rsidRPr="00913E1A">
        <w:rPr>
          <w:rFonts w:ascii="Arial" w:hAnsi="Arial" w:cs="Arial"/>
          <w:lang w:val="en-GB"/>
        </w:rPr>
        <w:t xml:space="preserve">In doing so </w:t>
      </w:r>
      <w:r w:rsidRPr="00913E1A">
        <w:rPr>
          <w:rFonts w:ascii="Arial" w:hAnsi="Arial" w:cs="Arial"/>
          <w:lang w:val="en-GB"/>
        </w:rPr>
        <w:t>Mrs Jacobs elected to expressly ignore the strict terms of the court order.  Mrs Jacobs’ conduct elicited another letter to her attorneys demanding her and Matthee’s due and proper compliance with the court order.  A few days later</w:t>
      </w:r>
      <w:r w:rsidR="007E3D9F" w:rsidRPr="00913E1A">
        <w:rPr>
          <w:rFonts w:ascii="Arial" w:hAnsi="Arial" w:cs="Arial"/>
          <w:lang w:val="en-GB"/>
        </w:rPr>
        <w:t>, on 24 May 2019,</w:t>
      </w:r>
      <w:r w:rsidRPr="00913E1A">
        <w:rPr>
          <w:rFonts w:ascii="Arial" w:hAnsi="Arial" w:cs="Arial"/>
          <w:lang w:val="en-GB"/>
        </w:rPr>
        <w:t xml:space="preserve"> </w:t>
      </w:r>
      <w:r w:rsidR="00F27CEA" w:rsidRPr="00913E1A">
        <w:rPr>
          <w:rFonts w:ascii="Arial" w:hAnsi="Arial" w:cs="Arial"/>
          <w:lang w:val="en-GB"/>
        </w:rPr>
        <w:t>Mr Van der Hoven</w:t>
      </w:r>
      <w:r w:rsidRPr="00913E1A">
        <w:rPr>
          <w:rFonts w:ascii="Arial" w:hAnsi="Arial" w:cs="Arial"/>
          <w:lang w:val="en-GB"/>
        </w:rPr>
        <w:t xml:space="preserve"> wrote to </w:t>
      </w:r>
      <w:r w:rsidR="00F27CEA" w:rsidRPr="00913E1A">
        <w:rPr>
          <w:rFonts w:ascii="Arial" w:hAnsi="Arial" w:cs="Arial"/>
          <w:lang w:val="en-GB"/>
        </w:rPr>
        <w:t>SJA</w:t>
      </w:r>
      <w:r w:rsidRPr="00913E1A">
        <w:rPr>
          <w:rFonts w:ascii="Arial" w:hAnsi="Arial" w:cs="Arial"/>
          <w:lang w:val="en-GB"/>
        </w:rPr>
        <w:t xml:space="preserve"> and confirmed that she would “refrain from not complying with the court order dated 6 May 2019 read with the </w:t>
      </w:r>
      <w:r w:rsidR="007E3D9F" w:rsidRPr="00913E1A">
        <w:rPr>
          <w:rFonts w:ascii="Arial" w:hAnsi="Arial" w:cs="Arial"/>
          <w:lang w:val="en-GB"/>
        </w:rPr>
        <w:t xml:space="preserve">resolution adopted by the trustees of the trust on 23 May 2018”.  </w:t>
      </w:r>
      <w:r w:rsidR="00F27CEA" w:rsidRPr="00913E1A">
        <w:rPr>
          <w:rFonts w:ascii="Arial" w:hAnsi="Arial" w:cs="Arial"/>
          <w:lang w:val="en-GB"/>
        </w:rPr>
        <w:t>SJA</w:t>
      </w:r>
      <w:r w:rsidR="007E3D9F" w:rsidRPr="00913E1A">
        <w:rPr>
          <w:rFonts w:ascii="Arial" w:hAnsi="Arial" w:cs="Arial"/>
          <w:lang w:val="en-GB"/>
        </w:rPr>
        <w:t xml:space="preserve"> on the same date wrote back and acknowledged receipt of the undertaking but enquired whether Matthee would give the same undertaking.  The attorneys also warned that since Mrs Jacobs and Matthee had previously reneged on undertakings given under oath, Van As would not hesitate to launch contempt proceedings if they once more ignored the court order.</w:t>
      </w:r>
    </w:p>
    <w:p w14:paraId="516EF825" w14:textId="77777777" w:rsidR="007E3D9F" w:rsidRPr="00913E1A" w:rsidRDefault="007E3D9F" w:rsidP="009E22B8">
      <w:pPr>
        <w:tabs>
          <w:tab w:val="left" w:pos="1134"/>
        </w:tabs>
        <w:spacing w:after="480" w:line="360" w:lineRule="auto"/>
        <w:ind w:left="1134" w:hanging="1134"/>
        <w:contextualSpacing/>
        <w:jc w:val="both"/>
        <w:rPr>
          <w:rFonts w:ascii="Arial" w:hAnsi="Arial" w:cs="Arial"/>
          <w:lang w:val="en-GB"/>
        </w:rPr>
      </w:pPr>
    </w:p>
    <w:p w14:paraId="29328D2B" w14:textId="77777777" w:rsidR="007E3D9F" w:rsidRPr="00913E1A" w:rsidRDefault="007E3D9F"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[2</w:t>
      </w:r>
      <w:r w:rsidR="00F27CEA" w:rsidRPr="00913E1A">
        <w:rPr>
          <w:rFonts w:ascii="Arial" w:hAnsi="Arial" w:cs="Arial"/>
          <w:lang w:val="en-GB"/>
        </w:rPr>
        <w:t>6</w:t>
      </w:r>
      <w:r w:rsidRPr="00913E1A">
        <w:rPr>
          <w:rFonts w:ascii="Arial" w:hAnsi="Arial" w:cs="Arial"/>
          <w:lang w:val="en-GB"/>
        </w:rPr>
        <w:t xml:space="preserve">] </w:t>
      </w:r>
      <w:r w:rsidRPr="00913E1A">
        <w:rPr>
          <w:rFonts w:ascii="Arial" w:hAnsi="Arial" w:cs="Arial"/>
          <w:lang w:val="en-GB"/>
        </w:rPr>
        <w:tab/>
        <w:t xml:space="preserve">On 28 May 2019 </w:t>
      </w:r>
      <w:r w:rsidR="00F27CEA" w:rsidRPr="00913E1A">
        <w:rPr>
          <w:rFonts w:ascii="Arial" w:hAnsi="Arial" w:cs="Arial"/>
          <w:lang w:val="en-GB"/>
        </w:rPr>
        <w:t>SJA</w:t>
      </w:r>
      <w:r w:rsidRPr="00913E1A">
        <w:rPr>
          <w:rFonts w:ascii="Arial" w:hAnsi="Arial" w:cs="Arial"/>
          <w:lang w:val="en-GB"/>
        </w:rPr>
        <w:t xml:space="preserve"> complained to Mrs Jacobs’ attorney that she was not complying with her undertakings given in the letter of 24 May 2019.  This was followed on 29 May 2019 by a stern letter enquiring whether Mrs Jacobs understood the consequences of her conduct in refusing to comply with the court order.  </w:t>
      </w:r>
      <w:r w:rsidR="006F645D" w:rsidRPr="00913E1A">
        <w:rPr>
          <w:rFonts w:ascii="Arial" w:hAnsi="Arial" w:cs="Arial"/>
          <w:lang w:val="en-GB"/>
        </w:rPr>
        <w:t>A day later</w:t>
      </w:r>
      <w:r w:rsidR="00F27CEA" w:rsidRPr="00913E1A">
        <w:rPr>
          <w:rFonts w:ascii="Arial" w:hAnsi="Arial" w:cs="Arial"/>
          <w:lang w:val="en-GB"/>
        </w:rPr>
        <w:t>,</w:t>
      </w:r>
      <w:r w:rsidR="006F645D" w:rsidRPr="00913E1A">
        <w:rPr>
          <w:rFonts w:ascii="Arial" w:hAnsi="Arial" w:cs="Arial"/>
          <w:lang w:val="en-GB"/>
        </w:rPr>
        <w:t xml:space="preserve"> in a letter dated 30 May 2019 </w:t>
      </w:r>
      <w:r w:rsidR="00F27CEA" w:rsidRPr="00913E1A">
        <w:rPr>
          <w:rFonts w:ascii="Arial" w:hAnsi="Arial" w:cs="Arial"/>
          <w:lang w:val="en-GB"/>
        </w:rPr>
        <w:t xml:space="preserve">Mr Van der Hoven </w:t>
      </w:r>
      <w:r w:rsidR="006F645D" w:rsidRPr="00913E1A">
        <w:rPr>
          <w:rFonts w:ascii="Arial" w:hAnsi="Arial" w:cs="Arial"/>
          <w:lang w:val="en-GB"/>
        </w:rPr>
        <w:t xml:space="preserve">repeated </w:t>
      </w:r>
      <w:r w:rsidR="00F27CEA" w:rsidRPr="00913E1A">
        <w:rPr>
          <w:rFonts w:ascii="Arial" w:hAnsi="Arial" w:cs="Arial"/>
          <w:lang w:val="en-GB"/>
        </w:rPr>
        <w:t>Mrs Jacobs’</w:t>
      </w:r>
      <w:r w:rsidR="006F645D" w:rsidRPr="00913E1A">
        <w:rPr>
          <w:rFonts w:ascii="Arial" w:hAnsi="Arial" w:cs="Arial"/>
          <w:lang w:val="en-GB"/>
        </w:rPr>
        <w:t xml:space="preserve"> unequivocal undertaking to comply with the court order and </w:t>
      </w:r>
      <w:r w:rsidR="00F27CEA" w:rsidRPr="00913E1A">
        <w:rPr>
          <w:rFonts w:ascii="Arial" w:hAnsi="Arial" w:cs="Arial"/>
          <w:lang w:val="en-GB"/>
        </w:rPr>
        <w:t xml:space="preserve">confirmed </w:t>
      </w:r>
      <w:r w:rsidR="006F645D" w:rsidRPr="00913E1A">
        <w:rPr>
          <w:rFonts w:ascii="Arial" w:hAnsi="Arial" w:cs="Arial"/>
          <w:lang w:val="en-GB"/>
        </w:rPr>
        <w:t>that she subscribed to the principle that all income in respect of the immovable property owned by the trust would be collected for the credit of the trust.   According to the letter, Matthee denied that he had ever violated the 23 May 2018 resolution or that he was in a position to do so</w:t>
      </w:r>
      <w:r w:rsidR="00F27CEA" w:rsidRPr="00913E1A">
        <w:rPr>
          <w:rFonts w:ascii="Arial" w:hAnsi="Arial" w:cs="Arial"/>
          <w:lang w:val="en-GB"/>
        </w:rPr>
        <w:t>,</w:t>
      </w:r>
      <w:r w:rsidR="006F645D" w:rsidRPr="00913E1A">
        <w:rPr>
          <w:rFonts w:ascii="Arial" w:hAnsi="Arial" w:cs="Arial"/>
          <w:lang w:val="en-GB"/>
        </w:rPr>
        <w:t xml:space="preserve"> since he was not involved in the day-to-day management of the trust or the collection </w:t>
      </w:r>
      <w:r w:rsidR="006F645D" w:rsidRPr="00913E1A">
        <w:rPr>
          <w:rFonts w:ascii="Arial" w:hAnsi="Arial" w:cs="Arial"/>
          <w:lang w:val="en-GB"/>
        </w:rPr>
        <w:lastRenderedPageBreak/>
        <w:t>of any rental.  Matthee declared himself bound to the provisions of the May 2018 resolution and requested particulars of any default on his side.</w:t>
      </w:r>
    </w:p>
    <w:p w14:paraId="135E696A" w14:textId="77777777" w:rsidR="006F645D" w:rsidRPr="00913E1A" w:rsidRDefault="006F645D" w:rsidP="009E22B8">
      <w:pPr>
        <w:tabs>
          <w:tab w:val="left" w:pos="1134"/>
        </w:tabs>
        <w:spacing w:after="480" w:line="360" w:lineRule="auto"/>
        <w:ind w:left="1134" w:hanging="1134"/>
        <w:contextualSpacing/>
        <w:jc w:val="both"/>
        <w:rPr>
          <w:rFonts w:ascii="Arial" w:hAnsi="Arial" w:cs="Arial"/>
          <w:lang w:val="en-GB"/>
        </w:rPr>
      </w:pPr>
    </w:p>
    <w:p w14:paraId="27FEC33A" w14:textId="77777777" w:rsidR="00703656" w:rsidRPr="00913E1A" w:rsidRDefault="006F645D"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[2</w:t>
      </w:r>
      <w:r w:rsidR="00F27CEA" w:rsidRPr="00913E1A">
        <w:rPr>
          <w:rFonts w:ascii="Arial" w:hAnsi="Arial" w:cs="Arial"/>
          <w:lang w:val="en-GB"/>
        </w:rPr>
        <w:t>7</w:t>
      </w:r>
      <w:r w:rsidRPr="00913E1A">
        <w:rPr>
          <w:rFonts w:ascii="Arial" w:hAnsi="Arial" w:cs="Arial"/>
          <w:lang w:val="en-GB"/>
        </w:rPr>
        <w:t xml:space="preserve">] </w:t>
      </w:r>
      <w:r w:rsidRPr="00913E1A">
        <w:rPr>
          <w:rFonts w:ascii="Arial" w:hAnsi="Arial" w:cs="Arial"/>
          <w:lang w:val="en-GB"/>
        </w:rPr>
        <w:tab/>
        <w:t>On 4 June 2019 a spat arose about the payment of the salaries of the trust</w:t>
      </w:r>
      <w:r w:rsidR="00F27CEA" w:rsidRPr="00913E1A">
        <w:rPr>
          <w:rFonts w:ascii="Arial" w:hAnsi="Arial" w:cs="Arial"/>
          <w:lang w:val="en-GB"/>
        </w:rPr>
        <w:t>’s</w:t>
      </w:r>
      <w:r w:rsidRPr="00913E1A">
        <w:rPr>
          <w:rFonts w:ascii="Arial" w:hAnsi="Arial" w:cs="Arial"/>
          <w:lang w:val="en-GB"/>
        </w:rPr>
        <w:t xml:space="preserve"> employees.  According to Van As, all but two of the trust’s employees had taken up employment with the Sebenza Trust and had failed to render service to the </w:t>
      </w:r>
      <w:r w:rsidR="00F27CEA" w:rsidRPr="00913E1A">
        <w:rPr>
          <w:rFonts w:ascii="Arial" w:hAnsi="Arial" w:cs="Arial"/>
          <w:lang w:val="en-GB"/>
        </w:rPr>
        <w:t xml:space="preserve">Deelkraal </w:t>
      </w:r>
      <w:r w:rsidRPr="00913E1A">
        <w:rPr>
          <w:rFonts w:ascii="Arial" w:hAnsi="Arial" w:cs="Arial"/>
          <w:lang w:val="en-GB"/>
        </w:rPr>
        <w:t xml:space="preserve">trust from March to May 2019.  Notwithstanding Van As’ </w:t>
      </w:r>
      <w:r w:rsidR="003F1FD0" w:rsidRPr="00913E1A">
        <w:rPr>
          <w:rFonts w:ascii="Arial" w:hAnsi="Arial" w:cs="Arial"/>
          <w:lang w:val="en-GB"/>
        </w:rPr>
        <w:t xml:space="preserve">view, </w:t>
      </w:r>
      <w:r w:rsidR="00F27CEA" w:rsidRPr="00913E1A">
        <w:rPr>
          <w:rFonts w:ascii="Arial" w:hAnsi="Arial" w:cs="Arial"/>
          <w:lang w:val="en-GB"/>
        </w:rPr>
        <w:t>Mr Van der Hoven</w:t>
      </w:r>
      <w:r w:rsidR="003F1FD0" w:rsidRPr="00913E1A">
        <w:rPr>
          <w:rFonts w:ascii="Arial" w:hAnsi="Arial" w:cs="Arial"/>
          <w:lang w:val="en-GB"/>
        </w:rPr>
        <w:t xml:space="preserve"> addressed two letters to </w:t>
      </w:r>
      <w:r w:rsidR="00F27CEA" w:rsidRPr="00913E1A">
        <w:rPr>
          <w:rFonts w:ascii="Arial" w:hAnsi="Arial" w:cs="Arial"/>
          <w:lang w:val="en-GB"/>
        </w:rPr>
        <w:t>SJA</w:t>
      </w:r>
      <w:r w:rsidR="003F1FD0" w:rsidRPr="00913E1A">
        <w:rPr>
          <w:rFonts w:ascii="Arial" w:hAnsi="Arial" w:cs="Arial"/>
          <w:lang w:val="en-GB"/>
        </w:rPr>
        <w:t xml:space="preserve"> noting the refusal by the trust to pay the salaries of the employees.   </w:t>
      </w:r>
      <w:r w:rsidR="00F27CEA" w:rsidRPr="00913E1A">
        <w:rPr>
          <w:rFonts w:ascii="Arial" w:hAnsi="Arial" w:cs="Arial"/>
          <w:lang w:val="en-GB"/>
        </w:rPr>
        <w:t>SJA</w:t>
      </w:r>
      <w:r w:rsidR="003F1FD0" w:rsidRPr="00913E1A">
        <w:rPr>
          <w:rFonts w:ascii="Arial" w:hAnsi="Arial" w:cs="Arial"/>
          <w:lang w:val="en-GB"/>
        </w:rPr>
        <w:t xml:space="preserve"> responded on 5 June 2019 and set out </w:t>
      </w:r>
      <w:r w:rsidR="00F27CEA" w:rsidRPr="00913E1A">
        <w:rPr>
          <w:rFonts w:ascii="Arial" w:hAnsi="Arial" w:cs="Arial"/>
          <w:lang w:val="en-GB"/>
        </w:rPr>
        <w:t>Van As’</w:t>
      </w:r>
      <w:r w:rsidR="003F1FD0" w:rsidRPr="00913E1A">
        <w:rPr>
          <w:rFonts w:ascii="Arial" w:hAnsi="Arial" w:cs="Arial"/>
          <w:lang w:val="en-GB"/>
        </w:rPr>
        <w:t xml:space="preserve"> position on the rendering of service and </w:t>
      </w:r>
      <w:r w:rsidR="00983078" w:rsidRPr="00913E1A">
        <w:rPr>
          <w:rFonts w:ascii="Arial" w:hAnsi="Arial" w:cs="Arial"/>
          <w:lang w:val="en-GB"/>
        </w:rPr>
        <w:t xml:space="preserve">other related issues.  When </w:t>
      </w:r>
      <w:r w:rsidR="00F27CEA" w:rsidRPr="00913E1A">
        <w:rPr>
          <w:rFonts w:ascii="Arial" w:hAnsi="Arial" w:cs="Arial"/>
          <w:lang w:val="en-GB"/>
        </w:rPr>
        <w:t>Mr Van der Hoven</w:t>
      </w:r>
      <w:r w:rsidR="00983078" w:rsidRPr="00913E1A">
        <w:rPr>
          <w:rFonts w:ascii="Arial" w:hAnsi="Arial" w:cs="Arial"/>
          <w:lang w:val="en-GB"/>
        </w:rPr>
        <w:t xml:space="preserve"> did not </w:t>
      </w:r>
      <w:r w:rsidR="00F27CEA" w:rsidRPr="00913E1A">
        <w:rPr>
          <w:rFonts w:ascii="Arial" w:hAnsi="Arial" w:cs="Arial"/>
          <w:lang w:val="en-GB"/>
        </w:rPr>
        <w:t xml:space="preserve">immediately </w:t>
      </w:r>
      <w:r w:rsidR="00983078" w:rsidRPr="00913E1A">
        <w:rPr>
          <w:rFonts w:ascii="Arial" w:hAnsi="Arial" w:cs="Arial"/>
          <w:lang w:val="en-GB"/>
        </w:rPr>
        <w:t xml:space="preserve">reply to this letter, </w:t>
      </w:r>
      <w:r w:rsidR="00F27CEA" w:rsidRPr="00913E1A">
        <w:rPr>
          <w:rFonts w:ascii="Arial" w:hAnsi="Arial" w:cs="Arial"/>
          <w:lang w:val="en-GB"/>
        </w:rPr>
        <w:t>SJA</w:t>
      </w:r>
      <w:r w:rsidR="00983078" w:rsidRPr="00913E1A">
        <w:rPr>
          <w:rFonts w:ascii="Arial" w:hAnsi="Arial" w:cs="Arial"/>
          <w:lang w:val="en-GB"/>
        </w:rPr>
        <w:t xml:space="preserve"> had two telephonic discussions with </w:t>
      </w:r>
      <w:r w:rsidR="00F27CEA" w:rsidRPr="00913E1A">
        <w:rPr>
          <w:rFonts w:ascii="Arial" w:hAnsi="Arial" w:cs="Arial"/>
          <w:lang w:val="en-GB"/>
        </w:rPr>
        <w:t>him</w:t>
      </w:r>
      <w:r w:rsidR="00983078" w:rsidRPr="00913E1A">
        <w:rPr>
          <w:rFonts w:ascii="Arial" w:hAnsi="Arial" w:cs="Arial"/>
          <w:lang w:val="en-GB"/>
        </w:rPr>
        <w:t xml:space="preserve">, inter alia about the appointment of managing agents to collect the rental from tenants. On 13 June 2019 </w:t>
      </w:r>
      <w:r w:rsidR="00F27CEA" w:rsidRPr="00913E1A">
        <w:rPr>
          <w:rFonts w:ascii="Arial" w:hAnsi="Arial" w:cs="Arial"/>
          <w:lang w:val="en-GB"/>
        </w:rPr>
        <w:t>Mr Van der Hoven</w:t>
      </w:r>
      <w:r w:rsidR="00983078" w:rsidRPr="00913E1A">
        <w:rPr>
          <w:rFonts w:ascii="Arial" w:hAnsi="Arial" w:cs="Arial"/>
          <w:lang w:val="en-GB"/>
        </w:rPr>
        <w:t xml:space="preserve"> addressed correspondence to </w:t>
      </w:r>
      <w:r w:rsidR="00F27CEA" w:rsidRPr="00913E1A">
        <w:rPr>
          <w:rFonts w:ascii="Arial" w:hAnsi="Arial" w:cs="Arial"/>
          <w:lang w:val="en-GB"/>
        </w:rPr>
        <w:t>SJA</w:t>
      </w:r>
      <w:r w:rsidR="00983078" w:rsidRPr="00913E1A">
        <w:rPr>
          <w:rFonts w:ascii="Arial" w:hAnsi="Arial" w:cs="Arial"/>
          <w:lang w:val="en-GB"/>
        </w:rPr>
        <w:t xml:space="preserve"> and therein addressed </w:t>
      </w:r>
      <w:r w:rsidR="00F27CEA" w:rsidRPr="00913E1A">
        <w:rPr>
          <w:rFonts w:ascii="Arial" w:hAnsi="Arial" w:cs="Arial"/>
          <w:lang w:val="en-GB"/>
        </w:rPr>
        <w:t>his</w:t>
      </w:r>
      <w:r w:rsidR="00983078" w:rsidRPr="00913E1A">
        <w:rPr>
          <w:rFonts w:ascii="Arial" w:hAnsi="Arial" w:cs="Arial"/>
          <w:lang w:val="en-GB"/>
        </w:rPr>
        <w:t xml:space="preserve"> clients’ position in respect of various issues in contention between the parties, including the appointment of managing agents, the payment of salaries</w:t>
      </w:r>
      <w:r w:rsidR="00F27CEA" w:rsidRPr="00913E1A">
        <w:rPr>
          <w:rFonts w:ascii="Arial" w:hAnsi="Arial" w:cs="Arial"/>
          <w:lang w:val="en-GB"/>
        </w:rPr>
        <w:t xml:space="preserve"> and</w:t>
      </w:r>
      <w:r w:rsidR="00703656" w:rsidRPr="00913E1A">
        <w:rPr>
          <w:rFonts w:ascii="Arial" w:hAnsi="Arial" w:cs="Arial"/>
          <w:lang w:val="en-GB"/>
        </w:rPr>
        <w:t xml:space="preserve"> the alleged indebtedness of the trust to the close corporation run by Mrs Jacobs referred to above</w:t>
      </w:r>
      <w:r w:rsidR="00F27CEA" w:rsidRPr="00913E1A">
        <w:rPr>
          <w:rFonts w:ascii="Arial" w:hAnsi="Arial" w:cs="Arial"/>
          <w:lang w:val="en-GB"/>
        </w:rPr>
        <w:t>.</w:t>
      </w:r>
      <w:r w:rsidR="00703656" w:rsidRPr="00913E1A">
        <w:rPr>
          <w:rFonts w:ascii="Arial" w:hAnsi="Arial" w:cs="Arial"/>
          <w:lang w:val="en-GB"/>
        </w:rPr>
        <w:t xml:space="preserve"> </w:t>
      </w:r>
      <w:r w:rsidR="00F27CEA" w:rsidRPr="00913E1A">
        <w:rPr>
          <w:rFonts w:ascii="Arial" w:hAnsi="Arial" w:cs="Arial"/>
          <w:lang w:val="en-GB"/>
        </w:rPr>
        <w:t>It was also</w:t>
      </w:r>
      <w:r w:rsidR="00703656" w:rsidRPr="00913E1A">
        <w:rPr>
          <w:rFonts w:ascii="Arial" w:hAnsi="Arial" w:cs="Arial"/>
          <w:lang w:val="en-GB"/>
        </w:rPr>
        <w:t xml:space="preserve"> acknowledged that Frik van As was unlawfully appropriating income due to the trust</w:t>
      </w:r>
      <w:r w:rsidR="00F27CEA" w:rsidRPr="00913E1A">
        <w:rPr>
          <w:rFonts w:ascii="Arial" w:hAnsi="Arial" w:cs="Arial"/>
          <w:lang w:val="en-GB"/>
        </w:rPr>
        <w:t>,</w:t>
      </w:r>
      <w:r w:rsidR="00703656" w:rsidRPr="00913E1A">
        <w:rPr>
          <w:rFonts w:ascii="Arial" w:hAnsi="Arial" w:cs="Arial"/>
          <w:lang w:val="en-GB"/>
        </w:rPr>
        <w:t xml:space="preserve"> perhaps because </w:t>
      </w:r>
      <w:r w:rsidR="00F27CEA" w:rsidRPr="00913E1A">
        <w:rPr>
          <w:rFonts w:ascii="Arial" w:hAnsi="Arial" w:cs="Arial"/>
          <w:lang w:val="en-GB"/>
        </w:rPr>
        <w:t xml:space="preserve">Frik van As believed that </w:t>
      </w:r>
      <w:r w:rsidR="00703656" w:rsidRPr="00913E1A">
        <w:rPr>
          <w:rFonts w:ascii="Arial" w:hAnsi="Arial" w:cs="Arial"/>
          <w:lang w:val="en-GB"/>
        </w:rPr>
        <w:t xml:space="preserve">the September 2011 resolution referred to above remained in place.  On 14 June 2019 </w:t>
      </w:r>
      <w:r w:rsidR="00F27CEA" w:rsidRPr="00913E1A">
        <w:rPr>
          <w:rFonts w:ascii="Arial" w:hAnsi="Arial" w:cs="Arial"/>
          <w:lang w:val="en-GB"/>
        </w:rPr>
        <w:t>SJA</w:t>
      </w:r>
      <w:r w:rsidR="00703656" w:rsidRPr="00913E1A">
        <w:rPr>
          <w:rFonts w:ascii="Arial" w:hAnsi="Arial" w:cs="Arial"/>
          <w:lang w:val="en-GB"/>
        </w:rPr>
        <w:t xml:space="preserve"> responded and set out his position and made various proposals and counter-proposals to the content of the letter of 13 June 2019.  In this letter Van As once more threatened to bring an application for contempt against Mrs Jacobs and Matthee.</w:t>
      </w:r>
    </w:p>
    <w:p w14:paraId="739458FD" w14:textId="77777777" w:rsidR="00703656" w:rsidRPr="00913E1A" w:rsidRDefault="00703656" w:rsidP="009E22B8">
      <w:pPr>
        <w:tabs>
          <w:tab w:val="left" w:pos="1134"/>
        </w:tabs>
        <w:spacing w:after="480" w:line="360" w:lineRule="auto"/>
        <w:ind w:left="1134" w:hanging="1134"/>
        <w:contextualSpacing/>
        <w:jc w:val="both"/>
        <w:rPr>
          <w:rFonts w:ascii="Arial" w:hAnsi="Arial" w:cs="Arial"/>
          <w:lang w:val="en-GB"/>
        </w:rPr>
      </w:pPr>
    </w:p>
    <w:p w14:paraId="1D26E8B5" w14:textId="77777777" w:rsidR="006F645D" w:rsidRPr="00913E1A" w:rsidRDefault="00703656"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[2</w:t>
      </w:r>
      <w:r w:rsidR="009D5D8C" w:rsidRPr="00913E1A">
        <w:rPr>
          <w:rFonts w:ascii="Arial" w:hAnsi="Arial" w:cs="Arial"/>
          <w:lang w:val="en-GB"/>
        </w:rPr>
        <w:t>8</w:t>
      </w:r>
      <w:r w:rsidRPr="00913E1A">
        <w:rPr>
          <w:rFonts w:ascii="Arial" w:hAnsi="Arial" w:cs="Arial"/>
          <w:lang w:val="en-GB"/>
        </w:rPr>
        <w:t xml:space="preserve">] </w:t>
      </w:r>
      <w:r w:rsidRPr="00913E1A">
        <w:rPr>
          <w:rFonts w:ascii="Arial" w:hAnsi="Arial" w:cs="Arial"/>
          <w:lang w:val="en-GB"/>
        </w:rPr>
        <w:tab/>
        <w:t xml:space="preserve">On 26 June 2019 a representative of Mrs Jacobs, Matthee and Van As held a meeting where Van As once more proposed that the trust institute proceedings against Frik van As to interdict him from collecting rental and other income from immovable properties owned by the trust.  This was not acceptable to Mrs Jacobs’ representative </w:t>
      </w:r>
      <w:r w:rsidR="00F27CEA" w:rsidRPr="00913E1A">
        <w:rPr>
          <w:rFonts w:ascii="Arial" w:hAnsi="Arial" w:cs="Arial"/>
          <w:lang w:val="en-GB"/>
        </w:rPr>
        <w:t>or</w:t>
      </w:r>
      <w:r w:rsidRPr="00913E1A">
        <w:rPr>
          <w:rFonts w:ascii="Arial" w:hAnsi="Arial" w:cs="Arial"/>
          <w:lang w:val="en-GB"/>
        </w:rPr>
        <w:t xml:space="preserve"> to Matthee.  On 27 June 2019 </w:t>
      </w:r>
      <w:r w:rsidR="00F27CEA" w:rsidRPr="00913E1A">
        <w:rPr>
          <w:rFonts w:ascii="Arial" w:hAnsi="Arial" w:cs="Arial"/>
          <w:lang w:val="en-GB"/>
        </w:rPr>
        <w:t>SJA</w:t>
      </w:r>
      <w:r w:rsidRPr="00913E1A">
        <w:rPr>
          <w:rFonts w:ascii="Arial" w:hAnsi="Arial" w:cs="Arial"/>
          <w:lang w:val="en-GB"/>
        </w:rPr>
        <w:t xml:space="preserve"> </w:t>
      </w:r>
      <w:r w:rsidR="003D77B0" w:rsidRPr="00913E1A">
        <w:rPr>
          <w:rFonts w:ascii="Arial" w:hAnsi="Arial" w:cs="Arial"/>
          <w:lang w:val="en-GB"/>
        </w:rPr>
        <w:t xml:space="preserve">again threatened to launch contempt proceedings.  In reply, on the following day, Mrs Jacobs’ attorneys requested that he refrain from </w:t>
      </w:r>
      <w:r w:rsidR="003D77B0" w:rsidRPr="00913E1A">
        <w:rPr>
          <w:rFonts w:ascii="Arial" w:hAnsi="Arial" w:cs="Arial"/>
          <w:lang w:val="en-GB"/>
        </w:rPr>
        <w:lastRenderedPageBreak/>
        <w:t>embarking on unnecessary applications</w:t>
      </w:r>
      <w:r w:rsidR="00983078" w:rsidRPr="00913E1A">
        <w:rPr>
          <w:rFonts w:ascii="Arial" w:hAnsi="Arial" w:cs="Arial"/>
          <w:lang w:val="en-GB"/>
        </w:rPr>
        <w:t xml:space="preserve"> </w:t>
      </w:r>
      <w:r w:rsidR="003D77B0" w:rsidRPr="00913E1A">
        <w:rPr>
          <w:rFonts w:ascii="Arial" w:hAnsi="Arial" w:cs="Arial"/>
          <w:lang w:val="en-GB"/>
        </w:rPr>
        <w:t>in order not to burden the parties with unnecessary costs.</w:t>
      </w:r>
    </w:p>
    <w:p w14:paraId="78BA38E6" w14:textId="77777777" w:rsidR="003D77B0" w:rsidRPr="00913E1A" w:rsidRDefault="003D77B0" w:rsidP="009E22B8">
      <w:pPr>
        <w:tabs>
          <w:tab w:val="left" w:pos="1134"/>
        </w:tabs>
        <w:spacing w:after="480" w:line="360" w:lineRule="auto"/>
        <w:ind w:left="1134" w:hanging="1134"/>
        <w:contextualSpacing/>
        <w:jc w:val="both"/>
        <w:rPr>
          <w:rFonts w:ascii="Arial" w:hAnsi="Arial" w:cs="Arial"/>
          <w:lang w:val="en-GB"/>
        </w:rPr>
      </w:pPr>
    </w:p>
    <w:p w14:paraId="1B25C4E5" w14:textId="77777777" w:rsidR="003D77B0" w:rsidRPr="00913E1A" w:rsidRDefault="003D77B0" w:rsidP="009E22B8">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w:t>
      </w:r>
      <w:r w:rsidR="009D5D8C" w:rsidRPr="00913E1A">
        <w:rPr>
          <w:rFonts w:ascii="Arial" w:hAnsi="Arial" w:cs="Arial"/>
          <w:lang w:val="en-GB"/>
        </w:rPr>
        <w:t>29</w:t>
      </w:r>
      <w:r w:rsidRPr="00913E1A">
        <w:rPr>
          <w:rFonts w:ascii="Arial" w:hAnsi="Arial" w:cs="Arial"/>
          <w:lang w:val="en-GB"/>
        </w:rPr>
        <w:t xml:space="preserve">] </w:t>
      </w:r>
      <w:r w:rsidRPr="00913E1A">
        <w:rPr>
          <w:rFonts w:ascii="Arial" w:hAnsi="Arial" w:cs="Arial"/>
          <w:lang w:val="en-GB"/>
        </w:rPr>
        <w:tab/>
        <w:t xml:space="preserve">On 2 July 2019 in a letter addressed to SJA, Mr Van der Hoven suggested that the collection of rental and other income by Mrs Jacobs, Frik van As and the Frik van As Trust was justified by the indebtedness </w:t>
      </w:r>
      <w:r w:rsidR="009D5D8C" w:rsidRPr="00913E1A">
        <w:rPr>
          <w:rFonts w:ascii="Arial" w:hAnsi="Arial" w:cs="Arial"/>
          <w:lang w:val="en-GB"/>
        </w:rPr>
        <w:t>of the</w:t>
      </w:r>
      <w:r w:rsidRPr="00913E1A">
        <w:rPr>
          <w:rFonts w:ascii="Arial" w:hAnsi="Arial" w:cs="Arial"/>
          <w:lang w:val="en-GB"/>
        </w:rPr>
        <w:t xml:space="preserve"> Deelkraal Trust to Mrs Jacobs’ close corporation. He also wrote that the second applicant was not the lawful beneficiary of Deelkraal Trust.</w:t>
      </w:r>
    </w:p>
    <w:p w14:paraId="12FF4A0E" w14:textId="77777777" w:rsidR="004664FE" w:rsidRPr="00913E1A" w:rsidRDefault="004664FE" w:rsidP="009E22B8">
      <w:pPr>
        <w:tabs>
          <w:tab w:val="left" w:pos="1134"/>
        </w:tabs>
        <w:spacing w:after="480" w:line="360" w:lineRule="auto"/>
        <w:ind w:left="1134" w:hanging="1134"/>
        <w:contextualSpacing/>
        <w:jc w:val="both"/>
        <w:rPr>
          <w:rFonts w:ascii="Arial" w:hAnsi="Arial" w:cs="Arial"/>
          <w:lang w:val="en-GB"/>
        </w:rPr>
      </w:pPr>
    </w:p>
    <w:p w14:paraId="66C8ABCA" w14:textId="77777777" w:rsidR="004664FE" w:rsidRPr="00913E1A" w:rsidRDefault="004664FE" w:rsidP="004664FE">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[3</w:t>
      </w:r>
      <w:r w:rsidR="009D5D8C" w:rsidRPr="00913E1A">
        <w:rPr>
          <w:rFonts w:ascii="Arial" w:hAnsi="Arial" w:cs="Arial"/>
          <w:lang w:val="en-GB"/>
        </w:rPr>
        <w:t>0</w:t>
      </w:r>
      <w:r w:rsidRPr="00913E1A">
        <w:rPr>
          <w:rFonts w:ascii="Arial" w:hAnsi="Arial" w:cs="Arial"/>
          <w:lang w:val="en-GB"/>
        </w:rPr>
        <w:t xml:space="preserve">] </w:t>
      </w:r>
      <w:r w:rsidRPr="00913E1A">
        <w:rPr>
          <w:rFonts w:ascii="Arial" w:hAnsi="Arial" w:cs="Arial"/>
          <w:lang w:val="en-GB"/>
        </w:rPr>
        <w:tab/>
        <w:t xml:space="preserve">At this point in time it became clear to Van As that the parties would not be able to resolve the numerous disputes between them and decided to launch an application to hold Mrs Jacobs and Matthee in contempt of court, to remove </w:t>
      </w:r>
      <w:r w:rsidRPr="00913E1A">
        <w:rPr>
          <w:rFonts w:ascii="Arial" w:hAnsi="Arial" w:cs="Arial"/>
        </w:rPr>
        <w:t xml:space="preserve">the current Trustees </w:t>
      </w:r>
      <w:r w:rsidRPr="00913E1A">
        <w:rPr>
          <w:rFonts w:ascii="Arial" w:hAnsi="Arial" w:cs="Arial"/>
          <w:lang w:val="en-GB"/>
        </w:rPr>
        <w:t xml:space="preserve">of the Deelkraal Behuisings Trust </w:t>
      </w:r>
      <w:r w:rsidRPr="00913E1A">
        <w:rPr>
          <w:rFonts w:ascii="Arial" w:hAnsi="Arial" w:cs="Arial"/>
        </w:rPr>
        <w:t xml:space="preserve">in terms of section 20(1) of the </w:t>
      </w:r>
      <w:r w:rsidRPr="00913E1A">
        <w:rPr>
          <w:rFonts w:ascii="Arial" w:hAnsi="Arial" w:cs="Arial"/>
          <w:bCs/>
        </w:rPr>
        <w:t>Trust Property Control Act,</w:t>
      </w:r>
      <w:r w:rsidRPr="00913E1A">
        <w:rPr>
          <w:rFonts w:ascii="Arial" w:hAnsi="Arial" w:cs="Arial"/>
        </w:rPr>
        <w:t xml:space="preserve"> No. 57 of 1998 and to amend</w:t>
      </w:r>
      <w:r w:rsidRPr="00913E1A">
        <w:rPr>
          <w:rFonts w:ascii="Arial" w:hAnsi="Arial" w:cs="Arial"/>
          <w:lang w:val="en-GB"/>
        </w:rPr>
        <w:t xml:space="preserve"> the Trust deed of the </w:t>
      </w:r>
      <w:r w:rsidRPr="00913E1A">
        <w:rPr>
          <w:rFonts w:ascii="Arial" w:hAnsi="Arial" w:cs="Arial"/>
        </w:rPr>
        <w:t xml:space="preserve">in terms of section 13 of the </w:t>
      </w:r>
      <w:r w:rsidRPr="00913E1A">
        <w:rPr>
          <w:rFonts w:ascii="Arial" w:hAnsi="Arial" w:cs="Arial"/>
          <w:bCs/>
        </w:rPr>
        <w:t>Trust Property Control Act</w:t>
      </w:r>
      <w:r w:rsidRPr="00913E1A">
        <w:rPr>
          <w:rFonts w:ascii="Arial" w:hAnsi="Arial" w:cs="Arial"/>
        </w:rPr>
        <w:t>, No. 57 of 1998 to give effect to the removal of the trustees.</w:t>
      </w:r>
    </w:p>
    <w:p w14:paraId="3B7340C5" w14:textId="77777777" w:rsidR="004664FE" w:rsidRDefault="004664FE" w:rsidP="004664FE">
      <w:pPr>
        <w:tabs>
          <w:tab w:val="left" w:pos="1134"/>
        </w:tabs>
        <w:spacing w:after="480" w:line="360" w:lineRule="auto"/>
        <w:ind w:left="1134" w:hanging="1134"/>
        <w:contextualSpacing/>
        <w:jc w:val="both"/>
        <w:rPr>
          <w:rFonts w:ascii="Tahoma" w:hAnsi="Tahoma" w:cs="Tahoma"/>
          <w:lang w:val="en-GB"/>
        </w:rPr>
      </w:pPr>
    </w:p>
    <w:p w14:paraId="4F889DFB" w14:textId="77777777" w:rsidR="009D5D8C" w:rsidRPr="00913E1A" w:rsidRDefault="009D5D8C" w:rsidP="004664FE">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Contempt of Court</w:t>
      </w:r>
    </w:p>
    <w:p w14:paraId="47218CE9" w14:textId="77777777" w:rsidR="00A54A9C" w:rsidRPr="00913E1A" w:rsidRDefault="004664FE" w:rsidP="003A3C35">
      <w:pPr>
        <w:tabs>
          <w:tab w:val="left" w:pos="1134"/>
        </w:tabs>
        <w:spacing w:after="480" w:line="360" w:lineRule="auto"/>
        <w:ind w:left="1134" w:hanging="1134"/>
        <w:contextualSpacing/>
        <w:jc w:val="both"/>
        <w:rPr>
          <w:rFonts w:ascii="Arial" w:hAnsi="Arial" w:cs="Arial"/>
          <w:lang w:val="en-GB"/>
        </w:rPr>
      </w:pPr>
      <w:r w:rsidRPr="00913E1A">
        <w:rPr>
          <w:rFonts w:ascii="Arial" w:hAnsi="Arial" w:cs="Arial"/>
          <w:lang w:val="en-GB"/>
        </w:rPr>
        <w:t>[3</w:t>
      </w:r>
      <w:r w:rsidR="009D5D8C" w:rsidRPr="00913E1A">
        <w:rPr>
          <w:rFonts w:ascii="Arial" w:hAnsi="Arial" w:cs="Arial"/>
          <w:lang w:val="en-GB"/>
        </w:rPr>
        <w:t>1</w:t>
      </w:r>
      <w:r w:rsidRPr="00913E1A">
        <w:rPr>
          <w:rFonts w:ascii="Arial" w:hAnsi="Arial" w:cs="Arial"/>
          <w:lang w:val="en-GB"/>
        </w:rPr>
        <w:t xml:space="preserve">] </w:t>
      </w:r>
      <w:r w:rsidRPr="00913E1A">
        <w:rPr>
          <w:rFonts w:ascii="Arial" w:hAnsi="Arial" w:cs="Arial"/>
          <w:lang w:val="en-GB"/>
        </w:rPr>
        <w:tab/>
      </w:r>
      <w:r w:rsidR="009A6345" w:rsidRPr="00913E1A">
        <w:rPr>
          <w:rFonts w:ascii="Arial" w:hAnsi="Arial" w:cs="Arial"/>
        </w:rPr>
        <w:t xml:space="preserve">The </w:t>
      </w:r>
      <w:r w:rsidR="00A54A9C" w:rsidRPr="00913E1A">
        <w:rPr>
          <w:rFonts w:ascii="Arial" w:hAnsi="Arial" w:cs="Arial"/>
        </w:rPr>
        <w:t>a</w:t>
      </w:r>
      <w:r w:rsidR="009A6345" w:rsidRPr="00913E1A">
        <w:rPr>
          <w:rFonts w:ascii="Arial" w:hAnsi="Arial" w:cs="Arial"/>
        </w:rPr>
        <w:t>pplicant</w:t>
      </w:r>
      <w:r w:rsidR="00C36137" w:rsidRPr="00913E1A">
        <w:rPr>
          <w:rFonts w:ascii="Arial" w:hAnsi="Arial" w:cs="Arial"/>
        </w:rPr>
        <w:t>s</w:t>
      </w:r>
      <w:r w:rsidR="009A6345" w:rsidRPr="00913E1A">
        <w:rPr>
          <w:rFonts w:ascii="Arial" w:hAnsi="Arial" w:cs="Arial"/>
        </w:rPr>
        <w:t xml:space="preserve"> appl</w:t>
      </w:r>
      <w:r w:rsidR="00C36137" w:rsidRPr="00913E1A">
        <w:rPr>
          <w:rFonts w:ascii="Arial" w:hAnsi="Arial" w:cs="Arial"/>
        </w:rPr>
        <w:t xml:space="preserve">y </w:t>
      </w:r>
      <w:r w:rsidR="009A6345" w:rsidRPr="00913E1A">
        <w:rPr>
          <w:rFonts w:ascii="Arial" w:hAnsi="Arial" w:cs="Arial"/>
        </w:rPr>
        <w:t xml:space="preserve">for </w:t>
      </w:r>
      <w:r w:rsidR="00C36137" w:rsidRPr="00913E1A">
        <w:rPr>
          <w:rFonts w:ascii="Arial" w:hAnsi="Arial" w:cs="Arial"/>
        </w:rPr>
        <w:t xml:space="preserve">a declaratory order that </w:t>
      </w:r>
      <w:r w:rsidR="00A54A9C" w:rsidRPr="00913E1A">
        <w:rPr>
          <w:rFonts w:ascii="Arial" w:hAnsi="Arial" w:cs="Arial"/>
        </w:rPr>
        <w:t>Mrs Jacobs and Matthee</w:t>
      </w:r>
      <w:r w:rsidR="00C36137" w:rsidRPr="00913E1A">
        <w:rPr>
          <w:rFonts w:ascii="Arial" w:hAnsi="Arial" w:cs="Arial"/>
        </w:rPr>
        <w:t xml:space="preserve"> are in contempt of the court order of 6 May 2019</w:t>
      </w:r>
      <w:r w:rsidR="00A54A9C" w:rsidRPr="00913E1A">
        <w:rPr>
          <w:rFonts w:ascii="Arial" w:hAnsi="Arial" w:cs="Arial"/>
        </w:rPr>
        <w:t xml:space="preserve">. </w:t>
      </w:r>
      <w:r w:rsidR="000824C4" w:rsidRPr="00913E1A">
        <w:rPr>
          <w:rFonts w:ascii="Arial" w:hAnsi="Arial" w:cs="Arial"/>
        </w:rPr>
        <w:t xml:space="preserve">They </w:t>
      </w:r>
      <w:r w:rsidR="009D5D8C" w:rsidRPr="00913E1A">
        <w:rPr>
          <w:rFonts w:ascii="Arial" w:hAnsi="Arial" w:cs="Arial"/>
        </w:rPr>
        <w:t>move</w:t>
      </w:r>
      <w:r w:rsidR="00D15C73" w:rsidRPr="00913E1A">
        <w:rPr>
          <w:rFonts w:ascii="Arial" w:hAnsi="Arial" w:cs="Arial"/>
        </w:rPr>
        <w:t xml:space="preserve"> that </w:t>
      </w:r>
      <w:r w:rsidR="00A54A9C" w:rsidRPr="00913E1A">
        <w:rPr>
          <w:rFonts w:ascii="Arial" w:hAnsi="Arial" w:cs="Arial"/>
        </w:rPr>
        <w:t>Mrs Jacobs and Matthee be ordered to</w:t>
      </w:r>
      <w:r w:rsidR="000824C4" w:rsidRPr="00913E1A">
        <w:rPr>
          <w:rFonts w:ascii="Arial" w:hAnsi="Arial" w:cs="Arial"/>
        </w:rPr>
        <w:t xml:space="preserve"> </w:t>
      </w:r>
      <w:r w:rsidR="00C36137" w:rsidRPr="00913E1A">
        <w:rPr>
          <w:rFonts w:ascii="Arial" w:hAnsi="Arial" w:cs="Arial"/>
        </w:rPr>
        <w:t>purge the</w:t>
      </w:r>
      <w:r w:rsidR="009D5D8C" w:rsidRPr="00913E1A">
        <w:rPr>
          <w:rFonts w:ascii="Arial" w:hAnsi="Arial" w:cs="Arial"/>
        </w:rPr>
        <w:t>ir</w:t>
      </w:r>
      <w:r w:rsidR="00C36137" w:rsidRPr="00913E1A">
        <w:rPr>
          <w:rFonts w:ascii="Arial" w:hAnsi="Arial" w:cs="Arial"/>
        </w:rPr>
        <w:t xml:space="preserve"> contempt</w:t>
      </w:r>
      <w:r w:rsidR="000824C4" w:rsidRPr="00913E1A">
        <w:rPr>
          <w:rFonts w:ascii="Arial" w:hAnsi="Arial" w:cs="Arial"/>
        </w:rPr>
        <w:t xml:space="preserve"> </w:t>
      </w:r>
      <w:r w:rsidR="00A54A9C" w:rsidRPr="00913E1A">
        <w:rPr>
          <w:rFonts w:ascii="Arial" w:hAnsi="Arial" w:cs="Arial"/>
        </w:rPr>
        <w:t xml:space="preserve">within 10 (ten) days of the declarator </w:t>
      </w:r>
      <w:r w:rsidR="000824C4" w:rsidRPr="00913E1A">
        <w:rPr>
          <w:rFonts w:ascii="Arial" w:hAnsi="Arial" w:cs="Arial"/>
        </w:rPr>
        <w:t>failing which certain consequences would ensue,</w:t>
      </w:r>
      <w:r w:rsidR="00A54A9C" w:rsidRPr="00913E1A">
        <w:rPr>
          <w:rFonts w:ascii="Arial" w:hAnsi="Arial" w:cs="Arial"/>
        </w:rPr>
        <w:t xml:space="preserve"> alternatively that they be </w:t>
      </w:r>
      <w:r w:rsidR="00D15C73" w:rsidRPr="00913E1A">
        <w:rPr>
          <w:rFonts w:ascii="Arial" w:hAnsi="Arial" w:cs="Arial"/>
        </w:rPr>
        <w:t xml:space="preserve"> </w:t>
      </w:r>
      <w:r w:rsidR="000824C4" w:rsidRPr="00913E1A">
        <w:rPr>
          <w:rFonts w:ascii="Arial" w:hAnsi="Arial" w:cs="Arial"/>
        </w:rPr>
        <w:t>incarcerat</w:t>
      </w:r>
      <w:r w:rsidR="00A54A9C" w:rsidRPr="00913E1A">
        <w:rPr>
          <w:rFonts w:ascii="Arial" w:hAnsi="Arial" w:cs="Arial"/>
        </w:rPr>
        <w:t xml:space="preserve">ed </w:t>
      </w:r>
      <w:r w:rsidR="000824C4" w:rsidRPr="00913E1A">
        <w:rPr>
          <w:rFonts w:ascii="Arial" w:hAnsi="Arial" w:cs="Arial"/>
        </w:rPr>
        <w:t xml:space="preserve">for 30 (thirty) days </w:t>
      </w:r>
      <w:r w:rsidR="00D15C73" w:rsidRPr="00913E1A">
        <w:rPr>
          <w:rFonts w:ascii="Arial" w:hAnsi="Arial" w:cs="Arial"/>
        </w:rPr>
        <w:t>further</w:t>
      </w:r>
      <w:r w:rsidR="00A54A9C" w:rsidRPr="00913E1A">
        <w:rPr>
          <w:rFonts w:ascii="Arial" w:hAnsi="Arial" w:cs="Arial"/>
        </w:rPr>
        <w:t xml:space="preserve"> alternatively</w:t>
      </w:r>
      <w:r w:rsidR="00D15C73" w:rsidRPr="00913E1A">
        <w:rPr>
          <w:rFonts w:ascii="Arial" w:hAnsi="Arial" w:cs="Arial"/>
        </w:rPr>
        <w:t xml:space="preserve"> a just and equitable order</w:t>
      </w:r>
      <w:r w:rsidR="00A54A9C" w:rsidRPr="00913E1A">
        <w:rPr>
          <w:rFonts w:ascii="Arial" w:hAnsi="Arial" w:cs="Arial"/>
        </w:rPr>
        <w:t xml:space="preserve"> for the contempt</w:t>
      </w:r>
      <w:r w:rsidR="000824C4" w:rsidRPr="00913E1A">
        <w:rPr>
          <w:rFonts w:ascii="Arial" w:hAnsi="Arial" w:cs="Arial"/>
        </w:rPr>
        <w:t>.</w:t>
      </w:r>
    </w:p>
    <w:p w14:paraId="6D27A19B" w14:textId="77777777" w:rsidR="003A3C35" w:rsidRPr="003A3C35" w:rsidRDefault="00A54A9C" w:rsidP="00D45B70">
      <w:pPr>
        <w:pStyle w:val="Heading2"/>
        <w:shd w:val="clear" w:color="auto" w:fill="FFFFFF"/>
        <w:spacing w:before="240" w:beforeAutospacing="0" w:after="180" w:afterAutospacing="0" w:line="360" w:lineRule="auto"/>
        <w:ind w:left="1134" w:hanging="1134"/>
        <w:jc w:val="both"/>
        <w:rPr>
          <w:rFonts w:ascii="Arial" w:hAnsi="Arial" w:cs="Arial"/>
          <w:b w:val="0"/>
          <w:bCs w:val="0"/>
          <w:color w:val="000000" w:themeColor="text1"/>
          <w:sz w:val="24"/>
          <w:szCs w:val="24"/>
        </w:rPr>
      </w:pPr>
      <w:r w:rsidRPr="003A3C35">
        <w:rPr>
          <w:rFonts w:ascii="Arial" w:hAnsi="Arial" w:cs="Arial"/>
          <w:b w:val="0"/>
          <w:bCs w:val="0"/>
          <w:color w:val="000000" w:themeColor="text1"/>
          <w:sz w:val="24"/>
          <w:szCs w:val="24"/>
        </w:rPr>
        <w:t>[3</w:t>
      </w:r>
      <w:r w:rsidR="009D5D8C">
        <w:rPr>
          <w:rFonts w:ascii="Arial" w:hAnsi="Arial" w:cs="Arial"/>
          <w:b w:val="0"/>
          <w:bCs w:val="0"/>
          <w:color w:val="000000" w:themeColor="text1"/>
          <w:sz w:val="24"/>
          <w:szCs w:val="24"/>
        </w:rPr>
        <w:t>2</w:t>
      </w:r>
      <w:r w:rsidRPr="003A3C35">
        <w:rPr>
          <w:rFonts w:ascii="Arial" w:hAnsi="Arial" w:cs="Arial"/>
          <w:b w:val="0"/>
          <w:bCs w:val="0"/>
          <w:color w:val="000000" w:themeColor="text1"/>
          <w:sz w:val="24"/>
          <w:szCs w:val="24"/>
        </w:rPr>
        <w:t xml:space="preserve">] </w:t>
      </w:r>
      <w:r w:rsidR="003A3C35" w:rsidRPr="003A3C35">
        <w:rPr>
          <w:rFonts w:ascii="Arial" w:hAnsi="Arial" w:cs="Arial"/>
          <w:b w:val="0"/>
          <w:bCs w:val="0"/>
          <w:color w:val="000000" w:themeColor="text1"/>
          <w:sz w:val="24"/>
          <w:szCs w:val="24"/>
        </w:rPr>
        <w:t xml:space="preserve"> </w:t>
      </w:r>
      <w:r w:rsidR="003A3C35" w:rsidRPr="003A3C35">
        <w:rPr>
          <w:rFonts w:ascii="Arial" w:hAnsi="Arial" w:cs="Arial"/>
          <w:b w:val="0"/>
          <w:bCs w:val="0"/>
          <w:color w:val="000000" w:themeColor="text1"/>
          <w:sz w:val="24"/>
          <w:szCs w:val="24"/>
        </w:rPr>
        <w:tab/>
      </w:r>
      <w:r w:rsidR="003A3C35" w:rsidRPr="003A3C35">
        <w:rPr>
          <w:rFonts w:ascii="Arial" w:hAnsi="Arial" w:cs="Arial"/>
          <w:b w:val="0"/>
          <w:bCs w:val="0"/>
          <w:sz w:val="24"/>
          <w:szCs w:val="24"/>
        </w:rPr>
        <w:t xml:space="preserve">It is by now trite, as </w:t>
      </w:r>
      <w:r w:rsidR="003A3C35" w:rsidRPr="003A3C35">
        <w:rPr>
          <w:rFonts w:ascii="Arial" w:hAnsi="Arial" w:cs="Arial"/>
          <w:b w:val="0"/>
          <w:bCs w:val="0"/>
          <w:color w:val="242121"/>
          <w:sz w:val="24"/>
          <w:szCs w:val="24"/>
          <w:shd w:val="clear" w:color="auto" w:fill="FFFFFF"/>
          <w:lang w:val="en-GB"/>
        </w:rPr>
        <w:t>set out by the Supreme Court of Appeal in </w:t>
      </w:r>
      <w:r w:rsidR="003A3C35" w:rsidRPr="003A3C35">
        <w:rPr>
          <w:rFonts w:ascii="Arial" w:hAnsi="Arial" w:cs="Arial"/>
          <w:b w:val="0"/>
          <w:bCs w:val="0"/>
          <w:i/>
          <w:iCs/>
          <w:color w:val="242121"/>
          <w:sz w:val="24"/>
          <w:szCs w:val="24"/>
          <w:shd w:val="clear" w:color="auto" w:fill="FFFFFF"/>
          <w:lang w:val="en-GB"/>
        </w:rPr>
        <w:t xml:space="preserve">Fakie N.O. v CCII Systems (Pty) </w:t>
      </w:r>
      <w:r w:rsidR="003A3C35" w:rsidRPr="003A3C35">
        <w:rPr>
          <w:rFonts w:ascii="Arial" w:hAnsi="Arial" w:cs="Arial"/>
          <w:b w:val="0"/>
          <w:bCs w:val="0"/>
          <w:i/>
          <w:iCs/>
          <w:color w:val="000000" w:themeColor="text1"/>
          <w:sz w:val="24"/>
          <w:szCs w:val="24"/>
          <w:shd w:val="clear" w:color="auto" w:fill="FFFFFF"/>
          <w:lang w:val="en-GB"/>
        </w:rPr>
        <w:t>Ltd</w:t>
      </w:r>
      <w:r w:rsidR="003A3C35" w:rsidRPr="003A3C35">
        <w:rPr>
          <w:rFonts w:ascii="Arial" w:hAnsi="Arial" w:cs="Arial"/>
          <w:b w:val="0"/>
          <w:bCs w:val="0"/>
          <w:color w:val="000000" w:themeColor="text1"/>
          <w:sz w:val="24"/>
          <w:szCs w:val="24"/>
          <w:shd w:val="clear" w:color="auto" w:fill="FFFFFF"/>
          <w:lang w:val="en-GB"/>
        </w:rPr>
        <w:t> </w:t>
      </w:r>
      <w:hyperlink r:id="rId9" w:tooltip="View LawCiteRecord" w:history="1">
        <w:r w:rsidR="003A3C35" w:rsidRPr="003A3C35">
          <w:rPr>
            <w:rStyle w:val="Hyperlink"/>
            <w:rFonts w:ascii="Arial" w:hAnsi="Arial" w:cs="Arial"/>
            <w:b w:val="0"/>
            <w:bCs w:val="0"/>
            <w:color w:val="000000" w:themeColor="text1"/>
            <w:sz w:val="24"/>
            <w:szCs w:val="24"/>
            <w:u w:val="none"/>
            <w:shd w:val="clear" w:color="auto" w:fill="FFFFFF"/>
            <w:lang w:val="en-GB"/>
          </w:rPr>
          <w:t>2006 (4) SA 326</w:t>
        </w:r>
      </w:hyperlink>
      <w:r w:rsidR="003A3C35" w:rsidRPr="003A3C35">
        <w:rPr>
          <w:rFonts w:ascii="Arial" w:hAnsi="Arial" w:cs="Arial"/>
          <w:b w:val="0"/>
          <w:bCs w:val="0"/>
          <w:color w:val="000000" w:themeColor="text1"/>
          <w:sz w:val="24"/>
          <w:szCs w:val="24"/>
          <w:shd w:val="clear" w:color="auto" w:fill="FFFFFF"/>
          <w:lang w:val="en-GB"/>
        </w:rPr>
        <w:t> (SCA)</w:t>
      </w:r>
      <w:r w:rsidR="003A3C35" w:rsidRPr="003A3C35">
        <w:rPr>
          <w:rFonts w:ascii="Arial" w:hAnsi="Arial" w:cs="Arial"/>
          <w:b w:val="0"/>
          <w:bCs w:val="0"/>
          <w:i/>
          <w:iCs/>
          <w:color w:val="000000" w:themeColor="text1"/>
          <w:sz w:val="24"/>
          <w:szCs w:val="24"/>
          <w:shd w:val="clear" w:color="auto" w:fill="FFFFFF"/>
          <w:lang w:val="en-GB"/>
        </w:rPr>
        <w:t>,</w:t>
      </w:r>
      <w:r w:rsidR="003A3C35" w:rsidRPr="003A3C35">
        <w:rPr>
          <w:rFonts w:ascii="Arial" w:hAnsi="Arial" w:cs="Arial"/>
          <w:b w:val="0"/>
          <w:bCs w:val="0"/>
          <w:color w:val="000000" w:themeColor="text1"/>
          <w:sz w:val="24"/>
          <w:szCs w:val="24"/>
          <w:shd w:val="clear" w:color="auto" w:fill="FFFFFF"/>
          <w:lang w:val="en-GB"/>
        </w:rPr>
        <w:t> </w:t>
      </w:r>
      <w:r w:rsidR="003A3C35" w:rsidRPr="003A3C35">
        <w:rPr>
          <w:rFonts w:ascii="Arial" w:hAnsi="Arial" w:cs="Arial"/>
          <w:b w:val="0"/>
          <w:bCs w:val="0"/>
          <w:color w:val="242121"/>
          <w:sz w:val="24"/>
          <w:szCs w:val="24"/>
          <w:shd w:val="clear" w:color="auto" w:fill="FFFFFF"/>
          <w:lang w:val="en-GB"/>
        </w:rPr>
        <w:t>and approved by the Constitutional Court in </w:t>
      </w:r>
      <w:r w:rsidR="003A3C35" w:rsidRPr="003A3C35">
        <w:rPr>
          <w:rFonts w:ascii="Arial" w:hAnsi="Arial" w:cs="Arial"/>
          <w:b w:val="0"/>
          <w:bCs w:val="0"/>
          <w:i/>
          <w:iCs/>
          <w:color w:val="242121"/>
          <w:sz w:val="24"/>
          <w:szCs w:val="24"/>
          <w:shd w:val="clear" w:color="auto" w:fill="FFFFFF"/>
          <w:lang w:val="en-GB"/>
        </w:rPr>
        <w:t>Pheko v Ekurhuleni City </w:t>
      </w:r>
      <w:hyperlink r:id="rId10" w:tooltip="View LawCiteRecord" w:history="1">
        <w:r w:rsidR="003A3C35" w:rsidRPr="003A3C35">
          <w:rPr>
            <w:rStyle w:val="Hyperlink"/>
            <w:rFonts w:ascii="Arial" w:hAnsi="Arial" w:cs="Arial"/>
            <w:b w:val="0"/>
            <w:bCs w:val="0"/>
            <w:color w:val="000000" w:themeColor="text1"/>
            <w:sz w:val="24"/>
            <w:szCs w:val="24"/>
            <w:u w:val="none"/>
            <w:shd w:val="clear" w:color="auto" w:fill="FFFFFF"/>
            <w:lang w:val="en-GB"/>
          </w:rPr>
          <w:t>2015 (5) SA 600</w:t>
        </w:r>
      </w:hyperlink>
      <w:r w:rsidR="003A3C35" w:rsidRPr="003A3C35">
        <w:rPr>
          <w:rFonts w:ascii="Arial" w:hAnsi="Arial" w:cs="Arial"/>
          <w:b w:val="0"/>
          <w:bCs w:val="0"/>
          <w:color w:val="000000" w:themeColor="text1"/>
          <w:sz w:val="24"/>
          <w:szCs w:val="24"/>
          <w:shd w:val="clear" w:color="auto" w:fill="FFFFFF"/>
          <w:lang w:val="en-GB"/>
        </w:rPr>
        <w:t> (CC)</w:t>
      </w:r>
      <w:r w:rsidR="003A3C35" w:rsidRPr="003A3C35">
        <w:rPr>
          <w:rFonts w:ascii="Arial" w:hAnsi="Arial" w:cs="Arial"/>
          <w:b w:val="0"/>
          <w:bCs w:val="0"/>
          <w:color w:val="242121"/>
          <w:sz w:val="24"/>
          <w:szCs w:val="24"/>
          <w:shd w:val="clear" w:color="auto" w:fill="FFFFFF"/>
          <w:lang w:val="en-GB"/>
        </w:rPr>
        <w:t>, that an applicant who alleges contempt of court must establish that (a) an order was granted against the alleged contemnor; (b) the alleged contemnor was served with the order or had knowledge of it; and (c) the alleged contemnor failed to comply with the order. Once these elements are established, wilfulness and mala fides are presumed, and the respondent bears an evidentiary burden to establish a reasonable doubt. Should the respondent fail to discharge this burden, contempt will have been established.</w:t>
      </w:r>
    </w:p>
    <w:p w14:paraId="246FA4C8" w14:textId="77777777" w:rsidR="003A3C35" w:rsidRPr="003A3C35" w:rsidRDefault="003A3C35" w:rsidP="001A12F8">
      <w:pPr>
        <w:tabs>
          <w:tab w:val="left" w:pos="1134"/>
        </w:tabs>
        <w:spacing w:after="480" w:line="360" w:lineRule="auto"/>
        <w:ind w:left="1134" w:hanging="1134"/>
        <w:contextualSpacing/>
        <w:jc w:val="both"/>
        <w:rPr>
          <w:rFonts w:ascii="Verdana" w:hAnsi="Verdana" w:cs="Arial"/>
        </w:rPr>
      </w:pPr>
    </w:p>
    <w:p w14:paraId="6A114EAA" w14:textId="77777777" w:rsidR="00D45B70" w:rsidRDefault="003A3C35" w:rsidP="001A12F8">
      <w:pPr>
        <w:tabs>
          <w:tab w:val="left" w:pos="1134"/>
        </w:tabs>
        <w:spacing w:after="480" w:line="360" w:lineRule="auto"/>
        <w:ind w:left="1134" w:hanging="1134"/>
        <w:contextualSpacing/>
        <w:jc w:val="both"/>
        <w:rPr>
          <w:rFonts w:ascii="Arial" w:hAnsi="Arial" w:cs="Arial"/>
        </w:rPr>
      </w:pPr>
      <w:r w:rsidRPr="003A3C35">
        <w:rPr>
          <w:rFonts w:ascii="Arial" w:hAnsi="Arial" w:cs="Arial"/>
        </w:rPr>
        <w:t>[3</w:t>
      </w:r>
      <w:r w:rsidR="009D5D8C">
        <w:rPr>
          <w:rFonts w:ascii="Arial" w:hAnsi="Arial" w:cs="Arial"/>
        </w:rPr>
        <w:t>3</w:t>
      </w:r>
      <w:r w:rsidRPr="003A3C35">
        <w:rPr>
          <w:rFonts w:ascii="Arial" w:hAnsi="Arial" w:cs="Arial"/>
        </w:rPr>
        <w:t xml:space="preserve">] </w:t>
      </w:r>
      <w:r w:rsidRPr="003A3C35">
        <w:rPr>
          <w:rFonts w:ascii="Arial" w:hAnsi="Arial" w:cs="Arial"/>
        </w:rPr>
        <w:tab/>
      </w:r>
      <w:r w:rsidR="00D45B70">
        <w:rPr>
          <w:rFonts w:ascii="Arial" w:hAnsi="Arial" w:cs="Arial"/>
        </w:rPr>
        <w:t xml:space="preserve">The </w:t>
      </w:r>
      <w:r w:rsidR="003E48B4">
        <w:rPr>
          <w:rFonts w:ascii="Arial" w:hAnsi="Arial" w:cs="Arial"/>
        </w:rPr>
        <w:t xml:space="preserve">May 2019 </w:t>
      </w:r>
      <w:r w:rsidR="00D45B70">
        <w:rPr>
          <w:rFonts w:ascii="Arial" w:hAnsi="Arial" w:cs="Arial"/>
        </w:rPr>
        <w:t xml:space="preserve">court order was granted against Mrs Jacobs and Matthee in their representative capacities as trustees of the Deelkraal trust.  </w:t>
      </w:r>
      <w:r w:rsidR="003E48B4">
        <w:rPr>
          <w:rFonts w:ascii="Arial" w:hAnsi="Arial" w:cs="Arial"/>
        </w:rPr>
        <w:t>A contempt order can only be sought against them in that capacity and not in any other capacity, neither as as trustees of the Sebenza trust or in their personal capacities.  Insofar as relief is sought in them in any other capacity than as trustees of the Deelkraal trust, such relief will be incompetent.</w:t>
      </w:r>
    </w:p>
    <w:p w14:paraId="3503D0EF" w14:textId="77777777" w:rsidR="00D45B70" w:rsidRDefault="00D45B70" w:rsidP="001A12F8">
      <w:pPr>
        <w:tabs>
          <w:tab w:val="left" w:pos="1134"/>
        </w:tabs>
        <w:spacing w:after="480" w:line="360" w:lineRule="auto"/>
        <w:ind w:left="1134" w:hanging="1134"/>
        <w:contextualSpacing/>
        <w:jc w:val="both"/>
        <w:rPr>
          <w:rFonts w:ascii="Arial" w:hAnsi="Arial" w:cs="Arial"/>
        </w:rPr>
      </w:pPr>
    </w:p>
    <w:p w14:paraId="6E73405B" w14:textId="77777777" w:rsidR="001A12F8" w:rsidRDefault="003E48B4" w:rsidP="001A12F8">
      <w:pPr>
        <w:tabs>
          <w:tab w:val="left" w:pos="1134"/>
        </w:tabs>
        <w:spacing w:after="480" w:line="360" w:lineRule="auto"/>
        <w:ind w:left="1134" w:hanging="1134"/>
        <w:contextualSpacing/>
        <w:jc w:val="both"/>
        <w:rPr>
          <w:rFonts w:ascii="Arial" w:hAnsi="Arial" w:cs="Arial"/>
          <w:color w:val="000000" w:themeColor="text1"/>
        </w:rPr>
      </w:pPr>
      <w:r>
        <w:rPr>
          <w:rFonts w:ascii="Arial" w:hAnsi="Arial" w:cs="Arial"/>
          <w:color w:val="000000" w:themeColor="text1"/>
        </w:rPr>
        <w:t xml:space="preserve">[34] </w:t>
      </w:r>
      <w:r>
        <w:rPr>
          <w:rFonts w:ascii="Arial" w:hAnsi="Arial" w:cs="Arial"/>
          <w:color w:val="000000" w:themeColor="text1"/>
        </w:rPr>
        <w:tab/>
      </w:r>
      <w:r w:rsidR="003A3C35" w:rsidRPr="003A3C35">
        <w:rPr>
          <w:rFonts w:ascii="Arial" w:hAnsi="Arial" w:cs="Arial"/>
          <w:color w:val="000000" w:themeColor="text1"/>
        </w:rPr>
        <w:t xml:space="preserve">In </w:t>
      </w:r>
      <w:r w:rsidR="003A3C35" w:rsidRPr="003A3C35">
        <w:rPr>
          <w:rFonts w:ascii="Arial" w:hAnsi="Arial" w:cs="Arial"/>
          <w:i/>
          <w:iCs/>
          <w:color w:val="000000" w:themeColor="text1"/>
        </w:rPr>
        <w:t>Meadow Glen Home Owners Association and Others v City of Tshwane Metropolitan Municipality and Another</w:t>
      </w:r>
      <w:r w:rsidR="003A3C35" w:rsidRPr="003A3C35">
        <w:rPr>
          <w:rFonts w:ascii="Arial" w:hAnsi="Arial" w:cs="Arial"/>
          <w:color w:val="000000" w:themeColor="text1"/>
        </w:rPr>
        <w:t xml:space="preserve"> 2015 (2) SA 413 (SCA) at paragraph [16] the SCA held that although some punitive element is involved, the main objectives of contempt proceedings are to vindicate the authority of court and coerce litigants into complying with court orders.</w:t>
      </w:r>
      <w:r w:rsidR="009D5D8C">
        <w:rPr>
          <w:rFonts w:ascii="Arial" w:hAnsi="Arial" w:cs="Arial"/>
          <w:color w:val="000000" w:themeColor="text1"/>
        </w:rPr>
        <w:t xml:space="preserve">  </w:t>
      </w:r>
    </w:p>
    <w:p w14:paraId="5678D39A" w14:textId="77777777" w:rsidR="009D5D8C" w:rsidRDefault="009D5D8C" w:rsidP="001A12F8">
      <w:pPr>
        <w:tabs>
          <w:tab w:val="left" w:pos="1134"/>
        </w:tabs>
        <w:spacing w:after="480" w:line="360" w:lineRule="auto"/>
        <w:ind w:left="1134" w:hanging="1134"/>
        <w:contextualSpacing/>
        <w:jc w:val="both"/>
        <w:rPr>
          <w:rFonts w:ascii="Arial" w:hAnsi="Arial" w:cs="Arial"/>
          <w:color w:val="000000" w:themeColor="text1"/>
        </w:rPr>
      </w:pPr>
    </w:p>
    <w:p w14:paraId="745A8E30" w14:textId="77777777" w:rsidR="009D5D8C" w:rsidRPr="003A3C35" w:rsidRDefault="009D5D8C" w:rsidP="001A12F8">
      <w:pPr>
        <w:tabs>
          <w:tab w:val="left" w:pos="1134"/>
        </w:tabs>
        <w:spacing w:after="480" w:line="360" w:lineRule="auto"/>
        <w:ind w:left="1134" w:hanging="1134"/>
        <w:contextualSpacing/>
        <w:jc w:val="both"/>
        <w:rPr>
          <w:rFonts w:ascii="Arial" w:hAnsi="Arial" w:cs="Arial"/>
          <w:lang w:val="en-GB"/>
        </w:rPr>
      </w:pPr>
      <w:r>
        <w:rPr>
          <w:rFonts w:ascii="Arial" w:hAnsi="Arial" w:cs="Arial"/>
          <w:color w:val="000000" w:themeColor="text1"/>
        </w:rPr>
        <w:t>[3</w:t>
      </w:r>
      <w:r w:rsidR="003E48B4">
        <w:rPr>
          <w:rFonts w:ascii="Arial" w:hAnsi="Arial" w:cs="Arial"/>
          <w:color w:val="000000" w:themeColor="text1"/>
        </w:rPr>
        <w:t>5</w:t>
      </w:r>
      <w:r>
        <w:rPr>
          <w:rFonts w:ascii="Arial" w:hAnsi="Arial" w:cs="Arial"/>
          <w:color w:val="000000" w:themeColor="text1"/>
        </w:rPr>
        <w:t xml:space="preserve">] </w:t>
      </w:r>
      <w:r>
        <w:rPr>
          <w:rFonts w:ascii="Arial" w:hAnsi="Arial" w:cs="Arial"/>
          <w:color w:val="000000" w:themeColor="text1"/>
        </w:rPr>
        <w:tab/>
        <w:t xml:space="preserve">Courts issue orders for a variety of reasons, not least of all to ensure that there exists legal certainty amongst the participants involved in any dispute. Legal certainty ensures </w:t>
      </w:r>
      <w:r w:rsidR="0010436C">
        <w:rPr>
          <w:rFonts w:ascii="Arial" w:hAnsi="Arial" w:cs="Arial"/>
          <w:color w:val="000000" w:themeColor="text1"/>
        </w:rPr>
        <w:t xml:space="preserve">harmony and stability, and creates social order.  Once social order is achieved, peaceful co-existence is but a short step away.  If on the other hand, one or more of the participants wilfully ignores an order of court, the dove of peace turns into the crow of chaos, and society becomes ungovernable. </w:t>
      </w:r>
    </w:p>
    <w:p w14:paraId="510DC012" w14:textId="77777777" w:rsidR="001A12F8" w:rsidRDefault="001A12F8" w:rsidP="001A12F8">
      <w:pPr>
        <w:tabs>
          <w:tab w:val="left" w:pos="1134"/>
        </w:tabs>
        <w:spacing w:after="480" w:line="360" w:lineRule="auto"/>
        <w:ind w:left="1134" w:hanging="1134"/>
        <w:contextualSpacing/>
        <w:jc w:val="both"/>
        <w:rPr>
          <w:rFonts w:ascii="Tahoma" w:hAnsi="Tahoma" w:cs="Tahoma"/>
          <w:lang w:val="en-GB"/>
        </w:rPr>
      </w:pPr>
    </w:p>
    <w:p w14:paraId="178E5D77" w14:textId="77777777" w:rsidR="00CD55C1" w:rsidRDefault="001278BF" w:rsidP="001A12F8">
      <w:pPr>
        <w:tabs>
          <w:tab w:val="left" w:pos="1134"/>
        </w:tabs>
        <w:spacing w:after="480" w:line="360" w:lineRule="auto"/>
        <w:ind w:left="1134" w:hanging="1134"/>
        <w:contextualSpacing/>
        <w:jc w:val="both"/>
        <w:rPr>
          <w:rFonts w:ascii="Arial" w:hAnsi="Arial" w:cs="Arial"/>
          <w:lang w:val="en-GB"/>
        </w:rPr>
      </w:pPr>
      <w:r w:rsidRPr="003A3C35">
        <w:rPr>
          <w:rFonts w:ascii="Arial" w:hAnsi="Arial" w:cs="Arial"/>
          <w:lang w:val="en-GB"/>
        </w:rPr>
        <w:t>[3</w:t>
      </w:r>
      <w:r w:rsidR="003E48B4">
        <w:rPr>
          <w:rFonts w:ascii="Arial" w:hAnsi="Arial" w:cs="Arial"/>
          <w:lang w:val="en-GB"/>
        </w:rPr>
        <w:t>6</w:t>
      </w:r>
      <w:r w:rsidRPr="003A3C35">
        <w:rPr>
          <w:rFonts w:ascii="Arial" w:hAnsi="Arial" w:cs="Arial"/>
          <w:lang w:val="en-GB"/>
        </w:rPr>
        <w:t xml:space="preserve">] </w:t>
      </w:r>
      <w:r w:rsidRPr="003A3C35">
        <w:rPr>
          <w:rFonts w:ascii="Arial" w:hAnsi="Arial" w:cs="Arial"/>
          <w:lang w:val="en-GB"/>
        </w:rPr>
        <w:tab/>
      </w:r>
      <w:r w:rsidR="00CD55C1">
        <w:rPr>
          <w:rFonts w:ascii="Arial" w:hAnsi="Arial" w:cs="Arial"/>
          <w:lang w:val="en-GB"/>
        </w:rPr>
        <w:t>There is no doubt</w:t>
      </w:r>
      <w:r w:rsidR="001A12F8" w:rsidRPr="003A3C35">
        <w:rPr>
          <w:rFonts w:ascii="Arial" w:hAnsi="Arial" w:cs="Arial"/>
          <w:lang w:val="en-GB"/>
        </w:rPr>
        <w:t xml:space="preserve"> that Mrs Jacobs </w:t>
      </w:r>
      <w:r w:rsidR="003A3C35" w:rsidRPr="003A3C35">
        <w:rPr>
          <w:rFonts w:ascii="Arial" w:hAnsi="Arial" w:cs="Arial"/>
          <w:lang w:val="en-GB"/>
        </w:rPr>
        <w:t>elected to disregard</w:t>
      </w:r>
      <w:r w:rsidR="001A12F8" w:rsidRPr="003A3C35">
        <w:rPr>
          <w:rFonts w:ascii="Arial" w:hAnsi="Arial" w:cs="Arial"/>
          <w:lang w:val="en-GB"/>
        </w:rPr>
        <w:t xml:space="preserve"> the resolution of 23 May 2018</w:t>
      </w:r>
      <w:r w:rsidR="003A3C35" w:rsidRPr="003A3C35">
        <w:rPr>
          <w:rFonts w:ascii="Arial" w:hAnsi="Arial" w:cs="Arial"/>
          <w:lang w:val="en-GB"/>
        </w:rPr>
        <w:t xml:space="preserve"> to which she had penned her signature</w:t>
      </w:r>
      <w:r w:rsidR="0010436C">
        <w:rPr>
          <w:rFonts w:ascii="Arial" w:hAnsi="Arial" w:cs="Arial"/>
          <w:lang w:val="en-GB"/>
        </w:rPr>
        <w:t xml:space="preserve"> and wilfully </w:t>
      </w:r>
      <w:r w:rsidR="0010436C" w:rsidRPr="003A3C35">
        <w:rPr>
          <w:rFonts w:ascii="Arial" w:hAnsi="Arial" w:cs="Arial"/>
          <w:lang w:val="en-GB"/>
        </w:rPr>
        <w:t>ignored the terms of the court order</w:t>
      </w:r>
      <w:r w:rsidR="00CD55C1">
        <w:rPr>
          <w:rFonts w:ascii="Arial" w:hAnsi="Arial" w:cs="Arial"/>
          <w:lang w:val="en-GB"/>
        </w:rPr>
        <w:t xml:space="preserve"> that sought to enforce the resolution</w:t>
      </w:r>
      <w:r w:rsidR="001A12F8" w:rsidRPr="003A3C35">
        <w:rPr>
          <w:rFonts w:ascii="Arial" w:hAnsi="Arial" w:cs="Arial"/>
          <w:lang w:val="en-GB"/>
        </w:rPr>
        <w:t xml:space="preserve">. </w:t>
      </w:r>
    </w:p>
    <w:p w14:paraId="4BA4596C" w14:textId="77777777" w:rsidR="00CD55C1" w:rsidRDefault="00CD55C1" w:rsidP="001A12F8">
      <w:pPr>
        <w:tabs>
          <w:tab w:val="left" w:pos="1134"/>
        </w:tabs>
        <w:spacing w:after="480" w:line="360" w:lineRule="auto"/>
        <w:ind w:left="1134" w:hanging="1134"/>
        <w:contextualSpacing/>
        <w:jc w:val="both"/>
        <w:rPr>
          <w:rFonts w:ascii="Arial" w:hAnsi="Arial" w:cs="Arial"/>
          <w:lang w:val="en-GB"/>
        </w:rPr>
      </w:pPr>
    </w:p>
    <w:p w14:paraId="7B07711A" w14:textId="77777777" w:rsidR="001A12F8" w:rsidRPr="003A3C35" w:rsidRDefault="00CD55C1" w:rsidP="001A12F8">
      <w:pPr>
        <w:tabs>
          <w:tab w:val="left" w:pos="1134"/>
        </w:tabs>
        <w:spacing w:after="480" w:line="360" w:lineRule="auto"/>
        <w:ind w:left="1134" w:hanging="1134"/>
        <w:contextualSpacing/>
        <w:jc w:val="both"/>
        <w:rPr>
          <w:rFonts w:ascii="Arial" w:hAnsi="Arial" w:cs="Arial"/>
        </w:rPr>
      </w:pPr>
      <w:r>
        <w:rPr>
          <w:rFonts w:ascii="Arial" w:hAnsi="Arial" w:cs="Arial"/>
          <w:lang w:val="en-GB"/>
        </w:rPr>
        <w:t>[3</w:t>
      </w:r>
      <w:r w:rsidR="003E48B4">
        <w:rPr>
          <w:rFonts w:ascii="Arial" w:hAnsi="Arial" w:cs="Arial"/>
          <w:lang w:val="en-GB"/>
        </w:rPr>
        <w:t>7</w:t>
      </w:r>
      <w:r>
        <w:rPr>
          <w:rFonts w:ascii="Arial" w:hAnsi="Arial" w:cs="Arial"/>
          <w:lang w:val="en-GB"/>
        </w:rPr>
        <w:t xml:space="preserve">] </w:t>
      </w:r>
      <w:r>
        <w:rPr>
          <w:rFonts w:ascii="Arial" w:hAnsi="Arial" w:cs="Arial"/>
          <w:lang w:val="en-GB"/>
        </w:rPr>
        <w:tab/>
      </w:r>
      <w:r w:rsidR="001A12F8" w:rsidRPr="003A3C35">
        <w:rPr>
          <w:rFonts w:ascii="Arial" w:hAnsi="Arial" w:cs="Arial"/>
          <w:lang w:val="en-GB"/>
        </w:rPr>
        <w:t>In his heads of argument</w:t>
      </w:r>
      <w:r>
        <w:rPr>
          <w:rFonts w:ascii="Arial" w:hAnsi="Arial" w:cs="Arial"/>
          <w:lang w:val="en-GB"/>
        </w:rPr>
        <w:t>,</w:t>
      </w:r>
      <w:r w:rsidR="001A12F8" w:rsidRPr="003A3C35">
        <w:rPr>
          <w:rFonts w:ascii="Arial" w:hAnsi="Arial" w:cs="Arial"/>
          <w:lang w:val="en-GB"/>
        </w:rPr>
        <w:t xml:space="preserve"> counsel for Mrs Jacobs and Matthee conceded that it</w:t>
      </w:r>
      <w:r w:rsidR="001A12F8" w:rsidRPr="003A3C35">
        <w:rPr>
          <w:rFonts w:ascii="Arial" w:hAnsi="Arial" w:cs="Arial"/>
        </w:rPr>
        <w:t xml:space="preserve"> is common cause that they were aware of the content of the court order, that Mrs Jacobs failed to comply with the order and</w:t>
      </w:r>
      <w:r w:rsidR="001A12F8" w:rsidRPr="003A3C35">
        <w:rPr>
          <w:rFonts w:ascii="Arial" w:hAnsi="Arial" w:cs="Arial"/>
          <w:lang w:val="en-GB"/>
        </w:rPr>
        <w:t xml:space="preserve"> that the </w:t>
      </w:r>
      <w:r w:rsidR="001A12F8" w:rsidRPr="003A3C35">
        <w:rPr>
          <w:rFonts w:ascii="Arial" w:hAnsi="Arial" w:cs="Arial"/>
        </w:rPr>
        <w:t>second respondent was alerted to the order.</w:t>
      </w:r>
      <w:r>
        <w:rPr>
          <w:rFonts w:ascii="Arial" w:hAnsi="Arial" w:cs="Arial"/>
        </w:rPr>
        <w:t xml:space="preserve"> He argued that Mrs Jacobs in view of the history of the matter was justified in her conduct.  I disagree.  Mrs Jacobs in my opinion acted in wilful disobedience of a court order.  </w:t>
      </w:r>
    </w:p>
    <w:p w14:paraId="678AEFB9" w14:textId="77777777" w:rsidR="001278BF" w:rsidRPr="003A3C35" w:rsidRDefault="001278BF" w:rsidP="001278BF">
      <w:pPr>
        <w:tabs>
          <w:tab w:val="left" w:pos="2268"/>
        </w:tabs>
        <w:spacing w:after="480" w:line="360" w:lineRule="auto"/>
        <w:contextualSpacing/>
        <w:jc w:val="both"/>
        <w:rPr>
          <w:rFonts w:ascii="Arial" w:hAnsi="Arial" w:cs="Arial"/>
        </w:rPr>
      </w:pPr>
    </w:p>
    <w:p w14:paraId="581B8105" w14:textId="77777777" w:rsidR="00CD55C1" w:rsidRDefault="001278BF" w:rsidP="007038F7">
      <w:pPr>
        <w:tabs>
          <w:tab w:val="left" w:pos="2268"/>
        </w:tabs>
        <w:spacing w:after="480" w:line="360" w:lineRule="auto"/>
        <w:ind w:left="1134" w:hanging="1134"/>
        <w:contextualSpacing/>
        <w:jc w:val="both"/>
        <w:rPr>
          <w:rFonts w:ascii="Arial" w:hAnsi="Arial" w:cs="Arial"/>
        </w:rPr>
      </w:pPr>
      <w:r w:rsidRPr="003A3C35">
        <w:rPr>
          <w:rFonts w:ascii="Arial" w:hAnsi="Arial" w:cs="Arial"/>
        </w:rPr>
        <w:t>[3</w:t>
      </w:r>
      <w:r w:rsidR="003E48B4">
        <w:rPr>
          <w:rFonts w:ascii="Arial" w:hAnsi="Arial" w:cs="Arial"/>
        </w:rPr>
        <w:t>8</w:t>
      </w:r>
      <w:r w:rsidRPr="003A3C35">
        <w:rPr>
          <w:rFonts w:ascii="Arial" w:hAnsi="Arial" w:cs="Arial"/>
        </w:rPr>
        <w:t xml:space="preserve">]   </w:t>
      </w:r>
      <w:r w:rsidRPr="003A3C35">
        <w:rPr>
          <w:rFonts w:ascii="Arial" w:hAnsi="Arial" w:cs="Arial"/>
        </w:rPr>
        <w:tab/>
        <w:t>Mrs Jacobs</w:t>
      </w:r>
      <w:r w:rsidR="00CD55C1">
        <w:rPr>
          <w:rFonts w:ascii="Arial" w:hAnsi="Arial" w:cs="Arial"/>
        </w:rPr>
        <w:t xml:space="preserve">’ wilful disobedience translates into </w:t>
      </w:r>
      <w:r w:rsidRPr="003A3C35">
        <w:rPr>
          <w:rFonts w:ascii="Arial" w:hAnsi="Arial" w:cs="Arial"/>
        </w:rPr>
        <w:t xml:space="preserve">contempt of an order of court.  Her attempts to justify her conduct are not persuasive. </w:t>
      </w:r>
    </w:p>
    <w:p w14:paraId="32317D7A" w14:textId="3933846A" w:rsidR="00CD55C1" w:rsidRPr="00D56EE4" w:rsidRDefault="00D56EE4" w:rsidP="00D56EE4">
      <w:pPr>
        <w:tabs>
          <w:tab w:val="left" w:pos="2268"/>
        </w:tabs>
        <w:spacing w:after="480" w:line="360" w:lineRule="auto"/>
        <w:ind w:left="1854" w:hanging="720"/>
        <w:contextualSpacing/>
        <w:jc w:val="both"/>
        <w:rPr>
          <w:rFonts w:ascii="Arial" w:hAnsi="Arial" w:cs="Arial"/>
          <w:iCs/>
          <w:lang w:val="en-GB"/>
        </w:rPr>
      </w:pPr>
      <w:r>
        <w:rPr>
          <w:rFonts w:ascii="Arial" w:hAnsi="Arial" w:cs="Arial"/>
          <w:iCs/>
          <w:lang w:val="en-GB"/>
        </w:rPr>
        <w:t>(i)</w:t>
      </w:r>
      <w:r>
        <w:rPr>
          <w:rFonts w:ascii="Arial" w:hAnsi="Arial" w:cs="Arial"/>
          <w:iCs/>
          <w:lang w:val="en-GB"/>
        </w:rPr>
        <w:tab/>
      </w:r>
      <w:r w:rsidR="001278BF" w:rsidRPr="00D56EE4">
        <w:rPr>
          <w:rFonts w:ascii="Arial" w:hAnsi="Arial" w:cs="Arial"/>
        </w:rPr>
        <w:t xml:space="preserve">Already in May 2018 she, as a trustee of the Deelkraal </w:t>
      </w:r>
      <w:r w:rsidR="00671F1A" w:rsidRPr="00D56EE4">
        <w:rPr>
          <w:rFonts w:ascii="Arial" w:hAnsi="Arial" w:cs="Arial"/>
        </w:rPr>
        <w:t xml:space="preserve"> </w:t>
      </w:r>
      <w:r w:rsidR="001278BF" w:rsidRPr="00D56EE4">
        <w:rPr>
          <w:rFonts w:ascii="Arial" w:hAnsi="Arial" w:cs="Arial"/>
        </w:rPr>
        <w:t xml:space="preserve">Trust, agreed to  </w:t>
      </w:r>
      <w:r w:rsidR="001278BF" w:rsidRPr="00D56EE4">
        <w:rPr>
          <w:rFonts w:ascii="Arial" w:hAnsi="Arial" w:cs="Arial"/>
          <w:iCs/>
          <w:lang w:val="en-GB"/>
        </w:rPr>
        <w:t xml:space="preserve">immediately cease and desist from collecting any rental or other income in respect of the immovable properties owned by the Deelkraal Trust for </w:t>
      </w:r>
      <w:r w:rsidR="003C438F" w:rsidRPr="00D56EE4">
        <w:rPr>
          <w:rFonts w:ascii="Arial" w:hAnsi="Arial" w:cs="Arial"/>
          <w:iCs/>
          <w:lang w:val="en-GB"/>
        </w:rPr>
        <w:t xml:space="preserve">her </w:t>
      </w:r>
      <w:r w:rsidR="001278BF" w:rsidRPr="00D56EE4">
        <w:rPr>
          <w:rFonts w:ascii="Arial" w:hAnsi="Arial" w:cs="Arial"/>
          <w:iCs/>
          <w:lang w:val="en-GB"/>
        </w:rPr>
        <w:t>own benefit and/or the benefit of the beneficiaries that they represent and/or any third parties</w:t>
      </w:r>
      <w:r w:rsidR="003C438F" w:rsidRPr="00D56EE4">
        <w:rPr>
          <w:rFonts w:ascii="Arial" w:hAnsi="Arial" w:cs="Arial"/>
          <w:iCs/>
          <w:lang w:val="en-GB"/>
        </w:rPr>
        <w:t xml:space="preserve"> and that she</w:t>
      </w:r>
      <w:r w:rsidR="001278BF" w:rsidRPr="00D56EE4">
        <w:rPr>
          <w:rFonts w:ascii="Arial" w:hAnsi="Arial" w:cs="Arial"/>
          <w:iCs/>
          <w:lang w:val="en-GB"/>
        </w:rPr>
        <w:t xml:space="preserve"> </w:t>
      </w:r>
      <w:r w:rsidR="003C438F" w:rsidRPr="00D56EE4">
        <w:rPr>
          <w:rFonts w:ascii="Arial" w:hAnsi="Arial" w:cs="Arial"/>
          <w:iCs/>
          <w:lang w:val="en-GB"/>
        </w:rPr>
        <w:t xml:space="preserve">would </w:t>
      </w:r>
      <w:r w:rsidR="001278BF" w:rsidRPr="00D56EE4">
        <w:rPr>
          <w:rFonts w:ascii="Arial" w:hAnsi="Arial" w:cs="Arial"/>
          <w:iCs/>
          <w:lang w:val="en-GB"/>
        </w:rPr>
        <w:t xml:space="preserve">ensure that all funds received by </w:t>
      </w:r>
      <w:r w:rsidR="003C438F" w:rsidRPr="00D56EE4">
        <w:rPr>
          <w:rFonts w:ascii="Arial" w:hAnsi="Arial" w:cs="Arial"/>
          <w:iCs/>
          <w:lang w:val="en-GB"/>
        </w:rPr>
        <w:t>her</w:t>
      </w:r>
      <w:r w:rsidR="001278BF" w:rsidRPr="00D56EE4">
        <w:rPr>
          <w:rFonts w:ascii="Arial" w:hAnsi="Arial" w:cs="Arial"/>
          <w:iCs/>
          <w:lang w:val="en-GB"/>
        </w:rPr>
        <w:t xml:space="preserve"> personally and/or any of the beneficiaries that </w:t>
      </w:r>
      <w:r w:rsidR="003C438F" w:rsidRPr="00D56EE4">
        <w:rPr>
          <w:rFonts w:ascii="Arial" w:hAnsi="Arial" w:cs="Arial"/>
          <w:iCs/>
          <w:lang w:val="en-GB"/>
        </w:rPr>
        <w:t>she</w:t>
      </w:r>
      <w:r w:rsidR="001278BF" w:rsidRPr="00D56EE4">
        <w:rPr>
          <w:rFonts w:ascii="Arial" w:hAnsi="Arial" w:cs="Arial"/>
          <w:iCs/>
          <w:lang w:val="en-GB"/>
        </w:rPr>
        <w:t xml:space="preserve"> represent</w:t>
      </w:r>
      <w:r w:rsidR="003C438F" w:rsidRPr="00D56EE4">
        <w:rPr>
          <w:rFonts w:ascii="Arial" w:hAnsi="Arial" w:cs="Arial"/>
          <w:iCs/>
          <w:lang w:val="en-GB"/>
        </w:rPr>
        <w:t>s</w:t>
      </w:r>
      <w:r w:rsidR="001278BF" w:rsidRPr="00D56EE4">
        <w:rPr>
          <w:rFonts w:ascii="Arial" w:hAnsi="Arial" w:cs="Arial"/>
          <w:iCs/>
          <w:lang w:val="en-GB"/>
        </w:rPr>
        <w:t xml:space="preserve"> and/or any third entities in which </w:t>
      </w:r>
      <w:r w:rsidR="003C438F" w:rsidRPr="00D56EE4">
        <w:rPr>
          <w:rFonts w:ascii="Arial" w:hAnsi="Arial" w:cs="Arial"/>
          <w:iCs/>
          <w:lang w:val="en-GB"/>
        </w:rPr>
        <w:t>she has</w:t>
      </w:r>
      <w:r w:rsidR="001278BF" w:rsidRPr="00D56EE4">
        <w:rPr>
          <w:rFonts w:ascii="Arial" w:hAnsi="Arial" w:cs="Arial"/>
          <w:iCs/>
          <w:lang w:val="en-GB"/>
        </w:rPr>
        <w:t xml:space="preserve"> an interest which constitute the rental or other income pertaining to the immovable properties owned by the Deelkraal Trust </w:t>
      </w:r>
      <w:r w:rsidR="003C438F" w:rsidRPr="00D56EE4">
        <w:rPr>
          <w:rFonts w:ascii="Arial" w:hAnsi="Arial" w:cs="Arial"/>
          <w:iCs/>
          <w:lang w:val="en-GB"/>
        </w:rPr>
        <w:t>would</w:t>
      </w:r>
      <w:r w:rsidR="001278BF" w:rsidRPr="00D56EE4">
        <w:rPr>
          <w:rFonts w:ascii="Arial" w:hAnsi="Arial" w:cs="Arial"/>
          <w:iCs/>
          <w:lang w:val="en-GB"/>
        </w:rPr>
        <w:t xml:space="preserve"> immediately be paid into the bank account of the Deelkraal Trust</w:t>
      </w:r>
      <w:r w:rsidR="003C438F" w:rsidRPr="00D56EE4">
        <w:rPr>
          <w:rFonts w:ascii="Arial" w:hAnsi="Arial" w:cs="Arial"/>
          <w:iCs/>
          <w:lang w:val="en-GB"/>
        </w:rPr>
        <w:t xml:space="preserve"> </w:t>
      </w:r>
      <w:r w:rsidR="001278BF" w:rsidRPr="00D56EE4">
        <w:rPr>
          <w:rFonts w:ascii="Arial" w:hAnsi="Arial" w:cs="Arial"/>
          <w:iCs/>
          <w:lang w:val="en-GB"/>
        </w:rPr>
        <w:t>or be dropped in the Deelkraal Trust’s drop safe (as the case may be)</w:t>
      </w:r>
      <w:r w:rsidR="00CD55C1" w:rsidRPr="00D56EE4">
        <w:rPr>
          <w:rFonts w:ascii="Arial" w:hAnsi="Arial" w:cs="Arial"/>
          <w:iCs/>
          <w:lang w:val="en-GB"/>
        </w:rPr>
        <w:t>.</w:t>
      </w:r>
      <w:r w:rsidR="003C438F" w:rsidRPr="00D56EE4">
        <w:rPr>
          <w:rFonts w:ascii="Arial" w:hAnsi="Arial" w:cs="Arial"/>
          <w:iCs/>
          <w:lang w:val="en-GB"/>
        </w:rPr>
        <w:t xml:space="preserve"> </w:t>
      </w:r>
      <w:r w:rsidR="00CD55C1" w:rsidRPr="00D56EE4">
        <w:rPr>
          <w:rFonts w:ascii="Arial" w:hAnsi="Arial" w:cs="Arial"/>
          <w:iCs/>
          <w:lang w:val="en-GB"/>
        </w:rPr>
        <w:t>S</w:t>
      </w:r>
      <w:r w:rsidR="003C438F" w:rsidRPr="00D56EE4">
        <w:rPr>
          <w:rFonts w:ascii="Arial" w:hAnsi="Arial" w:cs="Arial"/>
          <w:iCs/>
          <w:lang w:val="en-GB"/>
        </w:rPr>
        <w:t>he</w:t>
      </w:r>
      <w:r w:rsidR="00CD55C1" w:rsidRPr="00D56EE4">
        <w:rPr>
          <w:rFonts w:ascii="Arial" w:hAnsi="Arial" w:cs="Arial"/>
          <w:iCs/>
          <w:lang w:val="en-GB"/>
        </w:rPr>
        <w:t>,</w:t>
      </w:r>
      <w:r w:rsidR="003C438F" w:rsidRPr="00D56EE4">
        <w:rPr>
          <w:rFonts w:ascii="Arial" w:hAnsi="Arial" w:cs="Arial"/>
          <w:iCs/>
          <w:lang w:val="en-GB"/>
        </w:rPr>
        <w:t xml:space="preserve"> as one of</w:t>
      </w:r>
      <w:r w:rsidR="001278BF" w:rsidRPr="00D56EE4">
        <w:rPr>
          <w:rFonts w:ascii="Arial" w:hAnsi="Arial" w:cs="Arial"/>
          <w:iCs/>
          <w:lang w:val="en-GB"/>
        </w:rPr>
        <w:t xml:space="preserve"> the </w:t>
      </w:r>
      <w:r w:rsidR="003C438F" w:rsidRPr="00D56EE4">
        <w:rPr>
          <w:rFonts w:ascii="Arial" w:hAnsi="Arial" w:cs="Arial"/>
          <w:iCs/>
          <w:lang w:val="en-GB"/>
        </w:rPr>
        <w:t>t</w:t>
      </w:r>
      <w:r w:rsidR="001278BF" w:rsidRPr="00D56EE4">
        <w:rPr>
          <w:rFonts w:ascii="Arial" w:hAnsi="Arial" w:cs="Arial"/>
          <w:iCs/>
          <w:lang w:val="en-GB"/>
        </w:rPr>
        <w:t>rustees</w:t>
      </w:r>
      <w:r w:rsidR="00CD55C1" w:rsidRPr="00D56EE4">
        <w:rPr>
          <w:rFonts w:ascii="Arial" w:hAnsi="Arial" w:cs="Arial"/>
          <w:iCs/>
          <w:lang w:val="en-GB"/>
        </w:rPr>
        <w:t>, undertook to</w:t>
      </w:r>
      <w:r w:rsidR="001278BF" w:rsidRPr="00D56EE4">
        <w:rPr>
          <w:rFonts w:ascii="Arial" w:hAnsi="Arial" w:cs="Arial"/>
          <w:iCs/>
          <w:lang w:val="en-GB"/>
        </w:rPr>
        <w:t xml:space="preserve"> continue to collect all rental and other income in respect of the immovable properties owned by the Deelkraal Trust, and ensure that all lease agreements in respect of such immovable properties are signed in the name of the Deelkraal Trust, which reflect the Deelkraal Trust as the </w:t>
      </w:r>
      <w:r w:rsidR="00CD55C1" w:rsidRPr="00D56EE4">
        <w:rPr>
          <w:rFonts w:ascii="Arial" w:hAnsi="Arial" w:cs="Arial"/>
          <w:iCs/>
          <w:lang w:val="en-GB"/>
        </w:rPr>
        <w:t>l</w:t>
      </w:r>
      <w:r w:rsidR="001278BF" w:rsidRPr="00D56EE4">
        <w:rPr>
          <w:rFonts w:ascii="Arial" w:hAnsi="Arial" w:cs="Arial"/>
          <w:iCs/>
          <w:lang w:val="en-GB"/>
        </w:rPr>
        <w:t xml:space="preserve">andlord and the Deelkraal Trust’s bank account details. </w:t>
      </w:r>
      <w:r w:rsidR="003C438F" w:rsidRPr="00D56EE4">
        <w:rPr>
          <w:rFonts w:ascii="Arial" w:hAnsi="Arial" w:cs="Arial"/>
          <w:iCs/>
          <w:lang w:val="en-GB"/>
        </w:rPr>
        <w:t xml:space="preserve"> </w:t>
      </w:r>
      <w:r w:rsidR="00671F1A" w:rsidRPr="00D56EE4">
        <w:rPr>
          <w:rFonts w:ascii="Arial" w:hAnsi="Arial" w:cs="Arial"/>
          <w:iCs/>
          <w:lang w:val="en-GB"/>
        </w:rPr>
        <w:t>Th</w:t>
      </w:r>
      <w:r w:rsidR="00CD55C1" w:rsidRPr="00D56EE4">
        <w:rPr>
          <w:rFonts w:ascii="Arial" w:hAnsi="Arial" w:cs="Arial"/>
          <w:iCs/>
          <w:lang w:val="en-GB"/>
        </w:rPr>
        <w:t>is</w:t>
      </w:r>
      <w:r w:rsidR="00671F1A" w:rsidRPr="00D56EE4">
        <w:rPr>
          <w:rFonts w:ascii="Arial" w:hAnsi="Arial" w:cs="Arial"/>
          <w:iCs/>
          <w:lang w:val="en-GB"/>
        </w:rPr>
        <w:t xml:space="preserve"> resolution replaced and </w:t>
      </w:r>
      <w:r w:rsidR="00CD55C1" w:rsidRPr="00D56EE4">
        <w:rPr>
          <w:rFonts w:ascii="Arial" w:hAnsi="Arial" w:cs="Arial"/>
          <w:iCs/>
          <w:lang w:val="en-GB"/>
        </w:rPr>
        <w:t>nullified</w:t>
      </w:r>
      <w:r w:rsidR="00671F1A" w:rsidRPr="00D56EE4">
        <w:rPr>
          <w:rFonts w:ascii="Arial" w:hAnsi="Arial" w:cs="Arial"/>
          <w:iCs/>
          <w:lang w:val="en-GB"/>
        </w:rPr>
        <w:t xml:space="preserve"> the 2011 resolution which allowed each beneficiary to collect for its own benefit the rental from tenants. </w:t>
      </w:r>
    </w:p>
    <w:p w14:paraId="2FA770F0" w14:textId="77777777" w:rsidR="00CD55C1" w:rsidRPr="00CD55C1" w:rsidRDefault="00CD55C1" w:rsidP="00CD55C1">
      <w:pPr>
        <w:pStyle w:val="ListParagraph"/>
        <w:tabs>
          <w:tab w:val="left" w:pos="2268"/>
        </w:tabs>
        <w:spacing w:after="480" w:line="360" w:lineRule="auto"/>
        <w:ind w:left="1854"/>
        <w:contextualSpacing/>
        <w:jc w:val="both"/>
        <w:rPr>
          <w:rFonts w:ascii="Arial" w:hAnsi="Arial" w:cs="Arial"/>
          <w:iCs/>
          <w:lang w:val="en-GB"/>
        </w:rPr>
      </w:pPr>
    </w:p>
    <w:p w14:paraId="45A462D5" w14:textId="6D9DD6BC" w:rsidR="00CD55C1" w:rsidRPr="00D56EE4" w:rsidRDefault="00D56EE4" w:rsidP="00D56EE4">
      <w:pPr>
        <w:tabs>
          <w:tab w:val="left" w:pos="2268"/>
        </w:tabs>
        <w:spacing w:after="480" w:line="360" w:lineRule="auto"/>
        <w:ind w:left="1854" w:hanging="720"/>
        <w:contextualSpacing/>
        <w:jc w:val="both"/>
        <w:rPr>
          <w:rFonts w:ascii="Arial" w:hAnsi="Arial" w:cs="Arial"/>
          <w:iCs/>
          <w:lang w:val="en-GB"/>
        </w:rPr>
      </w:pPr>
      <w:r>
        <w:rPr>
          <w:rFonts w:ascii="Arial" w:hAnsi="Arial" w:cs="Arial"/>
          <w:iCs/>
          <w:lang w:val="en-GB"/>
        </w:rPr>
        <w:t>(ii)</w:t>
      </w:r>
      <w:r>
        <w:rPr>
          <w:rFonts w:ascii="Arial" w:hAnsi="Arial" w:cs="Arial"/>
          <w:iCs/>
          <w:lang w:val="en-GB"/>
        </w:rPr>
        <w:tab/>
      </w:r>
      <w:r w:rsidR="003C438F" w:rsidRPr="00D56EE4">
        <w:rPr>
          <w:rFonts w:ascii="Arial" w:hAnsi="Arial" w:cs="Arial"/>
          <w:iCs/>
          <w:lang w:val="en-GB"/>
        </w:rPr>
        <w:t>When the matter came before the urgent court, she regarded th</w:t>
      </w:r>
      <w:r w:rsidR="00671F1A" w:rsidRPr="00D56EE4">
        <w:rPr>
          <w:rFonts w:ascii="Arial" w:hAnsi="Arial" w:cs="Arial"/>
          <w:iCs/>
          <w:lang w:val="en-GB"/>
        </w:rPr>
        <w:t>e May 2018</w:t>
      </w:r>
      <w:r w:rsidR="003C438F" w:rsidRPr="00D56EE4">
        <w:rPr>
          <w:rFonts w:ascii="Arial" w:hAnsi="Arial" w:cs="Arial"/>
          <w:iCs/>
          <w:lang w:val="en-GB"/>
        </w:rPr>
        <w:t xml:space="preserve"> resolution </w:t>
      </w:r>
      <w:r w:rsidR="00CD55C1" w:rsidRPr="00D56EE4">
        <w:rPr>
          <w:rFonts w:ascii="Arial" w:hAnsi="Arial" w:cs="Arial"/>
          <w:iCs/>
          <w:lang w:val="en-GB"/>
        </w:rPr>
        <w:t xml:space="preserve">as </w:t>
      </w:r>
      <w:r w:rsidR="003C438F" w:rsidRPr="00D56EE4">
        <w:rPr>
          <w:rFonts w:ascii="Arial" w:hAnsi="Arial" w:cs="Arial"/>
          <w:iCs/>
          <w:lang w:val="en-GB"/>
        </w:rPr>
        <w:t xml:space="preserve">binding on Matthee and herself.  </w:t>
      </w:r>
      <w:r w:rsidR="00671F1A" w:rsidRPr="00D56EE4">
        <w:rPr>
          <w:rFonts w:ascii="Arial" w:hAnsi="Arial" w:cs="Arial"/>
          <w:iCs/>
          <w:lang w:val="en-GB"/>
        </w:rPr>
        <w:t xml:space="preserve"> </w:t>
      </w:r>
    </w:p>
    <w:p w14:paraId="4E704F55" w14:textId="77777777" w:rsidR="00CD55C1" w:rsidRDefault="00CD55C1" w:rsidP="00CD55C1">
      <w:pPr>
        <w:pStyle w:val="ListParagraph"/>
        <w:tabs>
          <w:tab w:val="left" w:pos="2268"/>
        </w:tabs>
        <w:spacing w:after="480" w:line="360" w:lineRule="auto"/>
        <w:ind w:left="1854"/>
        <w:contextualSpacing/>
        <w:jc w:val="both"/>
        <w:rPr>
          <w:rFonts w:ascii="Arial" w:hAnsi="Arial" w:cs="Arial"/>
          <w:iCs/>
          <w:lang w:val="en-GB"/>
        </w:rPr>
      </w:pPr>
    </w:p>
    <w:p w14:paraId="45A0546F" w14:textId="32A66203" w:rsidR="00CD55C1" w:rsidRPr="00D56EE4" w:rsidRDefault="00D56EE4" w:rsidP="00D56EE4">
      <w:pPr>
        <w:tabs>
          <w:tab w:val="left" w:pos="2268"/>
        </w:tabs>
        <w:spacing w:after="480" w:line="360" w:lineRule="auto"/>
        <w:ind w:left="1854" w:hanging="720"/>
        <w:contextualSpacing/>
        <w:jc w:val="both"/>
        <w:rPr>
          <w:rFonts w:ascii="Arial" w:hAnsi="Arial" w:cs="Arial"/>
          <w:iCs/>
          <w:lang w:val="en-GB"/>
        </w:rPr>
      </w:pPr>
      <w:r>
        <w:rPr>
          <w:rFonts w:ascii="Arial" w:hAnsi="Arial" w:cs="Arial"/>
          <w:iCs/>
          <w:lang w:val="en-GB"/>
        </w:rPr>
        <w:t>(iii)</w:t>
      </w:r>
      <w:r>
        <w:rPr>
          <w:rFonts w:ascii="Arial" w:hAnsi="Arial" w:cs="Arial"/>
          <w:iCs/>
          <w:lang w:val="en-GB"/>
        </w:rPr>
        <w:tab/>
      </w:r>
      <w:r w:rsidR="003C438F" w:rsidRPr="00D56EE4">
        <w:rPr>
          <w:rFonts w:ascii="Arial" w:hAnsi="Arial" w:cs="Arial"/>
          <w:iCs/>
          <w:lang w:val="en-GB"/>
        </w:rPr>
        <w:t xml:space="preserve">She did not object to the order being granted on 6 May 2019, even though her attorney was present in court.  </w:t>
      </w:r>
    </w:p>
    <w:p w14:paraId="32D3F706" w14:textId="77777777" w:rsidR="00CD55C1" w:rsidRPr="00CD55C1" w:rsidRDefault="00CD55C1" w:rsidP="00CD55C1">
      <w:pPr>
        <w:pStyle w:val="ListParagraph"/>
        <w:rPr>
          <w:rFonts w:ascii="Arial" w:hAnsi="Arial" w:cs="Arial"/>
          <w:iCs/>
          <w:lang w:val="en-GB"/>
        </w:rPr>
      </w:pPr>
    </w:p>
    <w:p w14:paraId="08B86CB6" w14:textId="2090CC08" w:rsidR="00671F1A" w:rsidRPr="00D56EE4" w:rsidRDefault="00D56EE4" w:rsidP="00D56EE4">
      <w:pPr>
        <w:tabs>
          <w:tab w:val="left" w:pos="2268"/>
        </w:tabs>
        <w:spacing w:after="480" w:line="360" w:lineRule="auto"/>
        <w:ind w:left="1854" w:hanging="720"/>
        <w:contextualSpacing/>
        <w:jc w:val="both"/>
        <w:rPr>
          <w:rFonts w:ascii="Arial" w:hAnsi="Arial" w:cs="Arial"/>
          <w:iCs/>
          <w:lang w:val="en-GB"/>
        </w:rPr>
      </w:pPr>
      <w:r w:rsidRPr="00CD55C1">
        <w:rPr>
          <w:rFonts w:ascii="Arial" w:hAnsi="Arial" w:cs="Arial"/>
          <w:iCs/>
          <w:lang w:val="en-GB"/>
        </w:rPr>
        <w:t>(iv)</w:t>
      </w:r>
      <w:r w:rsidRPr="00CD55C1">
        <w:rPr>
          <w:rFonts w:ascii="Arial" w:hAnsi="Arial" w:cs="Arial"/>
          <w:iCs/>
          <w:lang w:val="en-GB"/>
        </w:rPr>
        <w:tab/>
      </w:r>
      <w:r w:rsidR="003C438F" w:rsidRPr="00D56EE4">
        <w:rPr>
          <w:rFonts w:ascii="Arial" w:hAnsi="Arial" w:cs="Arial"/>
          <w:iCs/>
          <w:lang w:val="en-GB"/>
        </w:rPr>
        <w:t xml:space="preserve">SJA on several occasions wrote to </w:t>
      </w:r>
      <w:r w:rsidR="00CD55C1" w:rsidRPr="00D56EE4">
        <w:rPr>
          <w:rFonts w:ascii="Arial" w:hAnsi="Arial" w:cs="Arial"/>
          <w:iCs/>
          <w:lang w:val="en-GB"/>
        </w:rPr>
        <w:t xml:space="preserve">her </w:t>
      </w:r>
      <w:r w:rsidR="007038F7" w:rsidRPr="00D56EE4">
        <w:rPr>
          <w:rFonts w:ascii="Arial" w:hAnsi="Arial" w:cs="Arial"/>
          <w:iCs/>
          <w:lang w:val="en-GB"/>
        </w:rPr>
        <w:t xml:space="preserve">legal representative, </w:t>
      </w:r>
      <w:r w:rsidR="003C438F" w:rsidRPr="00D56EE4">
        <w:rPr>
          <w:rFonts w:ascii="Arial" w:hAnsi="Arial" w:cs="Arial"/>
          <w:iCs/>
          <w:lang w:val="en-GB"/>
        </w:rPr>
        <w:t>Mr Van der Hoven</w:t>
      </w:r>
      <w:r w:rsidR="007038F7" w:rsidRPr="00D56EE4">
        <w:rPr>
          <w:rFonts w:ascii="Arial" w:hAnsi="Arial" w:cs="Arial"/>
          <w:iCs/>
          <w:lang w:val="en-GB"/>
        </w:rPr>
        <w:t>,</w:t>
      </w:r>
      <w:r w:rsidR="003C438F" w:rsidRPr="00D56EE4">
        <w:rPr>
          <w:rFonts w:ascii="Arial" w:hAnsi="Arial" w:cs="Arial"/>
          <w:iCs/>
          <w:lang w:val="en-GB"/>
        </w:rPr>
        <w:t xml:space="preserve"> to call her attention to the fact that she was deemed to be in contempt. The tenor of Mr Van der Hoven’s correspondence addressed to SJA indicate that he had taken extensive instructions from Mrs Jacobs</w:t>
      </w:r>
      <w:r w:rsidR="00671F1A" w:rsidRPr="00D56EE4">
        <w:rPr>
          <w:rFonts w:ascii="Arial" w:hAnsi="Arial" w:cs="Arial"/>
          <w:iCs/>
          <w:lang w:val="en-GB"/>
        </w:rPr>
        <w:t xml:space="preserve"> and he would have informed her of the demands from SJA to abide the terms of the May 2018 resolution and the court order.</w:t>
      </w:r>
    </w:p>
    <w:p w14:paraId="262F3931" w14:textId="77777777" w:rsidR="007038F7" w:rsidRDefault="003A3C35" w:rsidP="001A12F8">
      <w:pPr>
        <w:tabs>
          <w:tab w:val="left" w:pos="1134"/>
        </w:tabs>
        <w:spacing w:after="480" w:line="360" w:lineRule="auto"/>
        <w:ind w:left="1134" w:hanging="1134"/>
        <w:contextualSpacing/>
        <w:jc w:val="both"/>
        <w:rPr>
          <w:rFonts w:ascii="Arial" w:hAnsi="Arial" w:cs="Arial"/>
        </w:rPr>
      </w:pPr>
      <w:r w:rsidRPr="003A3C35">
        <w:rPr>
          <w:rFonts w:ascii="Arial" w:hAnsi="Arial" w:cs="Arial"/>
        </w:rPr>
        <w:t>[3</w:t>
      </w:r>
      <w:r w:rsidR="003E48B4">
        <w:rPr>
          <w:rFonts w:ascii="Arial" w:hAnsi="Arial" w:cs="Arial"/>
        </w:rPr>
        <w:t>9</w:t>
      </w:r>
      <w:r w:rsidRPr="003A3C35">
        <w:rPr>
          <w:rFonts w:ascii="Arial" w:hAnsi="Arial" w:cs="Arial"/>
        </w:rPr>
        <w:t xml:space="preserve">] </w:t>
      </w:r>
      <w:r w:rsidRPr="003A3C35">
        <w:rPr>
          <w:rFonts w:ascii="Arial" w:hAnsi="Arial" w:cs="Arial"/>
        </w:rPr>
        <w:tab/>
      </w:r>
      <w:r w:rsidR="007038F7">
        <w:rPr>
          <w:rFonts w:ascii="Arial" w:hAnsi="Arial" w:cs="Arial"/>
        </w:rPr>
        <w:t xml:space="preserve">I accordingly find that Mrs Jacobs has not discharged the evidentiary burden that rested on her </w:t>
      </w:r>
      <w:r w:rsidR="00D45B70">
        <w:rPr>
          <w:rFonts w:ascii="Arial" w:hAnsi="Arial" w:cs="Arial"/>
        </w:rPr>
        <w:t xml:space="preserve">in her representative capacity </w:t>
      </w:r>
      <w:r w:rsidR="007038F7">
        <w:rPr>
          <w:rFonts w:ascii="Arial" w:hAnsi="Arial" w:cs="Arial"/>
        </w:rPr>
        <w:t>to establish reasonable doubt that her conduct was excusable.</w:t>
      </w:r>
      <w:r w:rsidR="008B15D4">
        <w:rPr>
          <w:rFonts w:ascii="Arial" w:hAnsi="Arial" w:cs="Arial"/>
        </w:rPr>
        <w:t xml:space="preserve">  </w:t>
      </w:r>
    </w:p>
    <w:p w14:paraId="7CB1D3AE" w14:textId="77777777" w:rsidR="007038F7" w:rsidRDefault="007038F7" w:rsidP="001A12F8">
      <w:pPr>
        <w:tabs>
          <w:tab w:val="left" w:pos="1134"/>
        </w:tabs>
        <w:spacing w:after="480" w:line="360" w:lineRule="auto"/>
        <w:ind w:left="1134" w:hanging="1134"/>
        <w:contextualSpacing/>
        <w:jc w:val="both"/>
        <w:rPr>
          <w:rFonts w:ascii="Arial" w:hAnsi="Arial" w:cs="Arial"/>
        </w:rPr>
      </w:pPr>
    </w:p>
    <w:p w14:paraId="45EE9DE1" w14:textId="77777777" w:rsidR="00E8723F" w:rsidRDefault="007038F7" w:rsidP="00E8723F">
      <w:pPr>
        <w:tabs>
          <w:tab w:val="left" w:pos="1134"/>
        </w:tabs>
        <w:spacing w:after="480" w:line="360" w:lineRule="auto"/>
        <w:ind w:left="1134" w:hanging="1134"/>
        <w:contextualSpacing/>
        <w:jc w:val="both"/>
        <w:rPr>
          <w:rFonts w:ascii="Arial" w:hAnsi="Arial" w:cs="Arial"/>
        </w:rPr>
      </w:pPr>
      <w:r>
        <w:rPr>
          <w:rFonts w:ascii="Arial" w:hAnsi="Arial" w:cs="Arial"/>
        </w:rPr>
        <w:t>[</w:t>
      </w:r>
      <w:r w:rsidR="003E48B4">
        <w:rPr>
          <w:rFonts w:ascii="Arial" w:hAnsi="Arial" w:cs="Arial"/>
        </w:rPr>
        <w:t>40</w:t>
      </w:r>
      <w:r>
        <w:rPr>
          <w:rFonts w:ascii="Arial" w:hAnsi="Arial" w:cs="Arial"/>
        </w:rPr>
        <w:t xml:space="preserve">]  </w:t>
      </w:r>
      <w:r>
        <w:rPr>
          <w:rFonts w:ascii="Arial" w:hAnsi="Arial" w:cs="Arial"/>
        </w:rPr>
        <w:tab/>
      </w:r>
      <w:r w:rsidR="00291951">
        <w:rPr>
          <w:rFonts w:ascii="Arial" w:hAnsi="Arial" w:cs="Arial"/>
        </w:rPr>
        <w:t xml:space="preserve"> </w:t>
      </w:r>
      <w:r w:rsidR="00C96590" w:rsidRPr="002152CC">
        <w:rPr>
          <w:rFonts w:ascii="Arial" w:hAnsi="Arial" w:cs="Arial"/>
        </w:rPr>
        <w:t xml:space="preserve">A trust is not a legal persona but a legal institution </w:t>
      </w:r>
      <w:r w:rsidR="00C96590" w:rsidRPr="002152CC">
        <w:rPr>
          <w:rFonts w:ascii="Arial" w:hAnsi="Arial" w:cs="Arial"/>
          <w:i/>
          <w:iCs/>
        </w:rPr>
        <w:t>sui generis</w:t>
      </w:r>
      <w:r w:rsidR="00C96590" w:rsidRPr="002152CC">
        <w:rPr>
          <w:rFonts w:ascii="Arial" w:hAnsi="Arial" w:cs="Arial"/>
        </w:rPr>
        <w:t>. Its assets and liabilities vest in the trustees.</w:t>
      </w:r>
      <w:r w:rsidR="00785F09" w:rsidRPr="002152CC">
        <w:rPr>
          <w:rFonts w:ascii="Arial" w:hAnsi="Arial" w:cs="Arial"/>
        </w:rPr>
        <w:t xml:space="preserve">  </w:t>
      </w:r>
      <w:r w:rsidR="00271313" w:rsidRPr="002152CC">
        <w:rPr>
          <w:rFonts w:ascii="Arial" w:hAnsi="Arial" w:cs="Arial"/>
          <w:shd w:val="clear" w:color="auto" w:fill="FFFFFF"/>
        </w:rPr>
        <w:t xml:space="preserve">In </w:t>
      </w:r>
      <w:r w:rsidR="00271313" w:rsidRPr="002152CC">
        <w:rPr>
          <w:rFonts w:ascii="Arial" w:hAnsi="Arial" w:cs="Arial"/>
          <w:i/>
          <w:iCs/>
          <w:shd w:val="clear" w:color="auto" w:fill="FFFFFF"/>
        </w:rPr>
        <w:t>Doyle v Board of Executors</w:t>
      </w:r>
      <w:r w:rsidR="00271313" w:rsidRPr="002152CC">
        <w:rPr>
          <w:rFonts w:ascii="Arial" w:hAnsi="Arial" w:cs="Arial"/>
          <w:shd w:val="clear" w:color="auto" w:fill="FFFFFF"/>
        </w:rPr>
        <w:t xml:space="preserve"> 1999 (2) SA 805 (C) it was confirmed that the trustee’s duty  of  utmost  good  faith  (fiduciary  duty)  derived  from  his</w:t>
      </w:r>
      <w:r w:rsidR="002152CC">
        <w:rPr>
          <w:rFonts w:ascii="Arial" w:hAnsi="Arial" w:cs="Arial"/>
          <w:shd w:val="clear" w:color="auto" w:fill="FFFFFF"/>
        </w:rPr>
        <w:t xml:space="preserve"> or </w:t>
      </w:r>
      <w:r w:rsidR="00271313" w:rsidRPr="002152CC">
        <w:rPr>
          <w:rFonts w:ascii="Arial" w:hAnsi="Arial" w:cs="Arial"/>
          <w:shd w:val="clear" w:color="auto" w:fill="FFFFFF"/>
        </w:rPr>
        <w:t>her  office.  The trustee  is  often  also  a  co-beneficiary  and  burdened  with  inside  knowledge regarding the intentions of the founder, or the broader family involved in the trust.</w:t>
      </w:r>
      <w:r w:rsidR="00785F09" w:rsidRPr="002152CC">
        <w:rPr>
          <w:rFonts w:ascii="Arial" w:hAnsi="Arial" w:cs="Arial"/>
        </w:rPr>
        <w:t xml:space="preserve"> Persons who stand in relation to another in a position of confidence involving a duty to protect the interests of that other person are not allowed to place themselves in such a position that their interests conflict with their fiduciary duty. </w:t>
      </w:r>
      <w:r w:rsidR="00534A32" w:rsidRPr="002152CC">
        <w:rPr>
          <w:rFonts w:ascii="Arial" w:hAnsi="Arial" w:cs="Arial"/>
        </w:rPr>
        <w:t xml:space="preserve">  On the contrary, as was stated in </w:t>
      </w:r>
      <w:r w:rsidR="00534A32" w:rsidRPr="002152CC">
        <w:rPr>
          <w:rFonts w:ascii="Arial" w:hAnsi="Arial" w:cs="Arial"/>
          <w:i/>
          <w:iCs/>
        </w:rPr>
        <w:t xml:space="preserve">Sackville West v Nourse and another </w:t>
      </w:r>
      <w:r w:rsidR="00534A32" w:rsidRPr="002152CC">
        <w:rPr>
          <w:rFonts w:ascii="Arial" w:hAnsi="Arial" w:cs="Arial"/>
        </w:rPr>
        <w:t>1925 AD 516 at 534, dealing with the obligations of a tutor towards his ward’s property, which equally applies to a trustee dealing with trust property:</w:t>
      </w:r>
    </w:p>
    <w:p w14:paraId="618F1160" w14:textId="07BF034F" w:rsidR="00785F09" w:rsidRPr="00E8723F" w:rsidRDefault="00534A32" w:rsidP="00E8723F">
      <w:pPr>
        <w:tabs>
          <w:tab w:val="left" w:pos="1134"/>
        </w:tabs>
        <w:spacing w:after="480" w:line="360" w:lineRule="auto"/>
        <w:ind w:left="1134" w:hanging="1134"/>
        <w:contextualSpacing/>
        <w:jc w:val="both"/>
        <w:rPr>
          <w:rFonts w:ascii="Arial" w:hAnsi="Arial" w:cs="Arial"/>
        </w:rPr>
      </w:pPr>
      <w:r w:rsidRPr="002152CC">
        <w:rPr>
          <w:rFonts w:ascii="Arial" w:hAnsi="Arial" w:cs="Arial"/>
          <w:color w:val="000000"/>
        </w:rPr>
        <w:br/>
      </w:r>
      <w:r w:rsidRPr="00913E1A">
        <w:rPr>
          <w:rFonts w:asciiTheme="minorHAnsi" w:hAnsiTheme="minorHAnsi" w:cstheme="minorHAnsi"/>
          <w:color w:val="000000"/>
        </w:rPr>
        <w:t>“</w:t>
      </w:r>
      <w:r w:rsidRPr="00913E1A">
        <w:rPr>
          <w:rFonts w:asciiTheme="minorHAnsi" w:hAnsiTheme="minorHAnsi" w:cstheme="minorHAnsi"/>
          <w:color w:val="000000"/>
          <w:lang w:val="af-ZA"/>
        </w:rPr>
        <w:t xml:space="preserve">The effect of this authority is that a tutor must invest the property of his ward with diligence and safety. It is also said that a tutor must observe greater care in dealing </w:t>
      </w:r>
      <w:r w:rsidRPr="00913E1A">
        <w:rPr>
          <w:rFonts w:asciiTheme="minorHAnsi" w:hAnsiTheme="minorHAnsi" w:cstheme="minorHAnsi"/>
          <w:color w:val="000000"/>
          <w:lang w:val="af-ZA"/>
        </w:rPr>
        <w:lastRenderedPageBreak/>
        <w:t xml:space="preserve">with his ward’s money than he does with his own, for, while a man may act as he pleases with his own property, he is not at liberty to do so with that of his ward. </w:t>
      </w:r>
      <w:r w:rsidRPr="00913E1A">
        <w:rPr>
          <w:rFonts w:asciiTheme="minorHAnsi" w:hAnsiTheme="minorHAnsi" w:cstheme="minorHAnsi"/>
          <w:color w:val="000000"/>
          <w:u w:val="single"/>
          <w:lang w:val="af-ZA"/>
        </w:rPr>
        <w:t>The standard of care to be observed is accordingly not that which an ordinary man generally observes in the management of his own affairs, but that of the prudent and careful man</w:t>
      </w:r>
      <w:r w:rsidRPr="00913E1A">
        <w:rPr>
          <w:rFonts w:asciiTheme="minorHAnsi" w:hAnsiTheme="minorHAnsi" w:cstheme="minorHAnsi"/>
          <w:color w:val="000000"/>
          <w:lang w:val="af-ZA"/>
        </w:rPr>
        <w:t>;”</w:t>
      </w:r>
      <w:r w:rsidRPr="002152CC">
        <w:rPr>
          <w:rFonts w:ascii="Arial" w:hAnsi="Arial" w:cs="Arial"/>
          <w:color w:val="000000"/>
          <w:lang w:val="af-ZA"/>
        </w:rPr>
        <w:t xml:space="preserve"> [my underlining]</w:t>
      </w:r>
    </w:p>
    <w:p w14:paraId="489A7960" w14:textId="77777777" w:rsidR="00785F09" w:rsidRDefault="00785F09" w:rsidP="00DB170E">
      <w:pPr>
        <w:tabs>
          <w:tab w:val="left" w:pos="1134"/>
        </w:tabs>
        <w:spacing w:after="480" w:line="360" w:lineRule="auto"/>
        <w:ind w:left="1134" w:hanging="1134"/>
        <w:contextualSpacing/>
        <w:jc w:val="both"/>
        <w:rPr>
          <w:rFonts w:ascii="Arial" w:hAnsi="Arial" w:cs="Arial"/>
        </w:rPr>
      </w:pPr>
    </w:p>
    <w:p w14:paraId="692F281F" w14:textId="77777777" w:rsidR="00E16B6D" w:rsidRDefault="00E16B6D" w:rsidP="00E16B6D">
      <w:pPr>
        <w:tabs>
          <w:tab w:val="left" w:pos="1134"/>
        </w:tabs>
        <w:spacing w:after="480" w:line="360" w:lineRule="auto"/>
        <w:ind w:left="1134" w:hanging="1134"/>
        <w:contextualSpacing/>
        <w:jc w:val="both"/>
      </w:pPr>
      <w:r>
        <w:rPr>
          <w:rFonts w:ascii="Arial" w:hAnsi="Arial" w:cs="Arial"/>
        </w:rPr>
        <w:t>[4</w:t>
      </w:r>
      <w:r w:rsidR="008B15D4">
        <w:rPr>
          <w:rFonts w:ascii="Arial" w:hAnsi="Arial" w:cs="Arial"/>
        </w:rPr>
        <w:t>1</w:t>
      </w:r>
      <w:r>
        <w:rPr>
          <w:rFonts w:ascii="Arial" w:hAnsi="Arial" w:cs="Arial"/>
        </w:rPr>
        <w:t xml:space="preserve">] </w:t>
      </w:r>
      <w:r>
        <w:rPr>
          <w:rFonts w:ascii="Arial" w:hAnsi="Arial" w:cs="Arial"/>
        </w:rPr>
        <w:tab/>
      </w:r>
      <w:r w:rsidRPr="00E16B6D">
        <w:rPr>
          <w:rFonts w:ascii="Arial" w:hAnsi="Arial" w:cs="Arial"/>
        </w:rPr>
        <w:t>In Twentieth Century Fox Film Corporation and Others v Playboy films (Pty) Ltd and Others 1978 (3) SA 202 (W) at 203C-D, King AJ, as he then was, reached the conclusion that:</w:t>
      </w:r>
      <w:r>
        <w:t xml:space="preserve"> </w:t>
      </w:r>
    </w:p>
    <w:p w14:paraId="51231BB5" w14:textId="77777777" w:rsidR="00E16B6D" w:rsidRPr="00913E1A" w:rsidRDefault="00E16B6D" w:rsidP="00E16B6D">
      <w:pPr>
        <w:tabs>
          <w:tab w:val="left" w:pos="1134"/>
        </w:tabs>
        <w:spacing w:after="480" w:line="360" w:lineRule="auto"/>
        <w:ind w:left="1134" w:hanging="1134"/>
        <w:contextualSpacing/>
        <w:jc w:val="both"/>
        <w:rPr>
          <w:rFonts w:asciiTheme="minorHAnsi" w:hAnsiTheme="minorHAnsi" w:cstheme="minorHAnsi"/>
        </w:rPr>
      </w:pPr>
      <w:r>
        <w:tab/>
      </w:r>
    </w:p>
    <w:p w14:paraId="4AEABE8D" w14:textId="77777777" w:rsidR="00E16B6D" w:rsidRPr="00913E1A" w:rsidRDefault="00E16B6D" w:rsidP="00E16B6D">
      <w:pPr>
        <w:tabs>
          <w:tab w:val="left" w:pos="1134"/>
        </w:tabs>
        <w:spacing w:after="480" w:line="360" w:lineRule="auto"/>
        <w:ind w:left="1134" w:hanging="1134"/>
        <w:contextualSpacing/>
        <w:jc w:val="both"/>
        <w:rPr>
          <w:rFonts w:asciiTheme="minorHAnsi" w:hAnsiTheme="minorHAnsi" w:cstheme="minorHAnsi"/>
        </w:rPr>
      </w:pPr>
      <w:r w:rsidRPr="00913E1A">
        <w:rPr>
          <w:rFonts w:asciiTheme="minorHAnsi" w:hAnsiTheme="minorHAnsi" w:cstheme="minorHAnsi"/>
        </w:rPr>
        <w:tab/>
        <w:t xml:space="preserve">'A director of a company who, with knowledge of an order of Court against the company, causes the company to disobey the order is himself guilty of contempt of Court. By his act or omission such a director aids and abets the company to be in breach of the order of Court against the company. If it were not so a Court would have difficulty in ensuring that an order ad factum praestandum against a company is enforced by a punitive order.' </w:t>
      </w:r>
    </w:p>
    <w:p w14:paraId="2A9D1239" w14:textId="77777777" w:rsidR="00E16B6D" w:rsidRDefault="00E16B6D" w:rsidP="00E16B6D">
      <w:pPr>
        <w:tabs>
          <w:tab w:val="left" w:pos="1134"/>
        </w:tabs>
        <w:spacing w:after="480" w:line="360" w:lineRule="auto"/>
        <w:ind w:left="1134" w:hanging="1134"/>
        <w:contextualSpacing/>
        <w:jc w:val="both"/>
        <w:rPr>
          <w:rFonts w:ascii="Arial" w:hAnsi="Arial" w:cs="Arial"/>
        </w:rPr>
      </w:pPr>
    </w:p>
    <w:p w14:paraId="66D0D6DE" w14:textId="77777777" w:rsidR="00B344DD" w:rsidRPr="00842823" w:rsidRDefault="00E16B6D" w:rsidP="00E16B6D">
      <w:pPr>
        <w:tabs>
          <w:tab w:val="left" w:pos="1134"/>
        </w:tabs>
        <w:spacing w:after="480" w:line="360" w:lineRule="auto"/>
        <w:ind w:left="1134" w:hanging="1134"/>
        <w:contextualSpacing/>
        <w:jc w:val="both"/>
        <w:rPr>
          <w:rFonts w:ascii="Arial" w:hAnsi="Arial" w:cs="Arial"/>
          <w:color w:val="4D5156"/>
          <w:shd w:val="clear" w:color="auto" w:fill="FFFFFF"/>
        </w:rPr>
      </w:pPr>
      <w:r>
        <w:rPr>
          <w:rFonts w:ascii="Arial" w:hAnsi="Arial" w:cs="Arial"/>
        </w:rPr>
        <w:t>[4</w:t>
      </w:r>
      <w:r w:rsidR="008B15D4">
        <w:rPr>
          <w:rFonts w:ascii="Arial" w:hAnsi="Arial" w:cs="Arial"/>
        </w:rPr>
        <w:t>2</w:t>
      </w:r>
      <w:r>
        <w:rPr>
          <w:rFonts w:ascii="Arial" w:hAnsi="Arial" w:cs="Arial"/>
        </w:rPr>
        <w:t xml:space="preserve">] </w:t>
      </w:r>
      <w:r>
        <w:rPr>
          <w:rFonts w:ascii="Arial" w:hAnsi="Arial" w:cs="Arial"/>
        </w:rPr>
        <w:tab/>
      </w:r>
      <w:r w:rsidR="00B344DD" w:rsidRPr="00842823">
        <w:rPr>
          <w:rFonts w:ascii="Arial" w:hAnsi="Arial" w:cs="Arial"/>
        </w:rPr>
        <w:t xml:space="preserve">Public officials and even ministers of state may be held in contempt of court as was held </w:t>
      </w:r>
      <w:r w:rsidR="00B344DD" w:rsidRPr="008B15D4">
        <w:rPr>
          <w:rFonts w:ascii="Arial" w:hAnsi="Arial" w:cs="Arial"/>
          <w:color w:val="000000" w:themeColor="text1"/>
        </w:rPr>
        <w:t>in</w:t>
      </w:r>
      <w:r w:rsidR="00B344DD" w:rsidRPr="008B15D4">
        <w:rPr>
          <w:rFonts w:ascii="Arial" w:hAnsi="Arial" w:cs="Arial"/>
          <w:i/>
          <w:iCs/>
          <w:color w:val="000000" w:themeColor="text1"/>
        </w:rPr>
        <w:t xml:space="preserve"> </w:t>
      </w:r>
      <w:r w:rsidR="00B344DD" w:rsidRPr="008B15D4">
        <w:rPr>
          <w:rFonts w:ascii="Arial" w:hAnsi="Arial" w:cs="Arial"/>
          <w:color w:val="000000" w:themeColor="text1"/>
          <w:shd w:val="clear" w:color="auto" w:fill="FFFFFF"/>
        </w:rPr>
        <w:t> </w:t>
      </w:r>
      <w:r w:rsidR="00B344DD" w:rsidRPr="008B15D4">
        <w:rPr>
          <w:rStyle w:val="Emphasis"/>
          <w:rFonts w:ascii="Arial" w:hAnsi="Arial" w:cs="Arial"/>
          <w:color w:val="000000" w:themeColor="text1"/>
          <w:shd w:val="clear" w:color="auto" w:fill="FFFFFF"/>
        </w:rPr>
        <w:t>Mjeni v Minister of Health and Welfare</w:t>
      </w:r>
      <w:r w:rsidR="00B344DD" w:rsidRPr="008B15D4">
        <w:rPr>
          <w:rFonts w:ascii="Arial" w:hAnsi="Arial" w:cs="Arial"/>
          <w:color w:val="000000" w:themeColor="text1"/>
          <w:shd w:val="clear" w:color="auto" w:fill="FFFFFF"/>
        </w:rPr>
        <w:t>, </w:t>
      </w:r>
      <w:r w:rsidR="00B344DD" w:rsidRPr="008B15D4">
        <w:rPr>
          <w:rStyle w:val="Emphasis"/>
          <w:rFonts w:ascii="Arial" w:hAnsi="Arial" w:cs="Arial"/>
          <w:color w:val="000000" w:themeColor="text1"/>
          <w:shd w:val="clear" w:color="auto" w:fill="FFFFFF"/>
        </w:rPr>
        <w:t>Eastern Cape</w:t>
      </w:r>
      <w:r w:rsidR="00B344DD" w:rsidRPr="008B15D4">
        <w:rPr>
          <w:rFonts w:ascii="Arial" w:hAnsi="Arial" w:cs="Arial"/>
          <w:i/>
          <w:iCs/>
          <w:color w:val="000000" w:themeColor="text1"/>
          <w:shd w:val="clear" w:color="auto" w:fill="FFFFFF"/>
        </w:rPr>
        <w:t> </w:t>
      </w:r>
      <w:r w:rsidR="00B344DD" w:rsidRPr="00913E1A">
        <w:rPr>
          <w:rFonts w:ascii="Arial" w:hAnsi="Arial" w:cs="Arial"/>
          <w:color w:val="000000" w:themeColor="text1"/>
          <w:shd w:val="clear" w:color="auto" w:fill="FFFFFF"/>
        </w:rPr>
        <w:t>2000</w:t>
      </w:r>
      <w:r w:rsidR="008B15D4">
        <w:rPr>
          <w:rFonts w:ascii="Arial" w:hAnsi="Arial" w:cs="Arial"/>
          <w:color w:val="000000" w:themeColor="text1"/>
          <w:shd w:val="clear" w:color="auto" w:fill="FFFFFF"/>
        </w:rPr>
        <w:t xml:space="preserve"> </w:t>
      </w:r>
      <w:r w:rsidR="00B344DD" w:rsidRPr="00913E1A">
        <w:rPr>
          <w:rFonts w:ascii="Arial" w:hAnsi="Arial" w:cs="Arial"/>
          <w:color w:val="000000" w:themeColor="text1"/>
          <w:shd w:val="clear" w:color="auto" w:fill="FFFFFF"/>
        </w:rPr>
        <w:t>(4) SA 446 (TkH)</w:t>
      </w:r>
      <w:r w:rsidR="00842823" w:rsidRPr="00913E1A">
        <w:rPr>
          <w:rFonts w:ascii="Arial" w:hAnsi="Arial" w:cs="Arial"/>
          <w:color w:val="000000" w:themeColor="text1"/>
          <w:shd w:val="clear" w:color="auto" w:fill="FFFFFF"/>
        </w:rPr>
        <w:t xml:space="preserve">. </w:t>
      </w:r>
      <w:r w:rsidR="00842823" w:rsidRPr="008B15D4">
        <w:rPr>
          <w:rFonts w:ascii="Arial" w:hAnsi="Arial" w:cs="Arial"/>
          <w:color w:val="000000" w:themeColor="text1"/>
          <w:shd w:val="clear" w:color="auto" w:fill="FFFFFF"/>
        </w:rPr>
        <w:t xml:space="preserve"> If that is the case, </w:t>
      </w:r>
      <w:r w:rsidR="00913E1A" w:rsidRPr="008B15D4">
        <w:rPr>
          <w:rFonts w:ascii="Arial" w:hAnsi="Arial" w:cs="Arial"/>
          <w:color w:val="000000" w:themeColor="text1"/>
          <w:shd w:val="clear" w:color="auto" w:fill="FFFFFF"/>
        </w:rPr>
        <w:t xml:space="preserve">I can see no reason </w:t>
      </w:r>
      <w:r w:rsidR="00842823" w:rsidRPr="008B15D4">
        <w:rPr>
          <w:rFonts w:ascii="Arial" w:hAnsi="Arial" w:cs="Arial"/>
          <w:color w:val="000000" w:themeColor="text1"/>
          <w:shd w:val="clear" w:color="auto" w:fill="FFFFFF"/>
        </w:rPr>
        <w:t>why a trustee of a trust against whom an order has been granted in his</w:t>
      </w:r>
      <w:r w:rsidR="008B15D4">
        <w:rPr>
          <w:rFonts w:ascii="Arial" w:hAnsi="Arial" w:cs="Arial"/>
          <w:color w:val="000000" w:themeColor="text1"/>
          <w:shd w:val="clear" w:color="auto" w:fill="FFFFFF"/>
        </w:rPr>
        <w:t xml:space="preserve"> or her</w:t>
      </w:r>
      <w:r w:rsidR="00842823" w:rsidRPr="008B15D4">
        <w:rPr>
          <w:rFonts w:ascii="Arial" w:hAnsi="Arial" w:cs="Arial"/>
          <w:color w:val="000000" w:themeColor="text1"/>
          <w:shd w:val="clear" w:color="auto" w:fill="FFFFFF"/>
        </w:rPr>
        <w:t xml:space="preserve"> representative capacity</w:t>
      </w:r>
      <w:r w:rsidR="00913E1A" w:rsidRPr="008B15D4">
        <w:rPr>
          <w:rFonts w:ascii="Arial" w:hAnsi="Arial" w:cs="Arial"/>
          <w:color w:val="000000" w:themeColor="text1"/>
          <w:shd w:val="clear" w:color="auto" w:fill="FFFFFF"/>
        </w:rPr>
        <w:t xml:space="preserve"> cannot be held in contempt.</w:t>
      </w:r>
      <w:r w:rsidR="008B15D4">
        <w:rPr>
          <w:rFonts w:ascii="Arial" w:hAnsi="Arial" w:cs="Arial"/>
          <w:color w:val="000000" w:themeColor="text1"/>
          <w:shd w:val="clear" w:color="auto" w:fill="FFFFFF"/>
        </w:rPr>
        <w:t xml:space="preserve">   I accordingly hold that Mrs Jacobs is in contempt of the order of court of 6 May 2019.</w:t>
      </w:r>
    </w:p>
    <w:p w14:paraId="74CFEB65" w14:textId="77777777" w:rsidR="00842823" w:rsidRPr="00842823" w:rsidRDefault="00842823" w:rsidP="00E16B6D">
      <w:pPr>
        <w:tabs>
          <w:tab w:val="left" w:pos="1134"/>
        </w:tabs>
        <w:spacing w:after="480" w:line="360" w:lineRule="auto"/>
        <w:ind w:left="1134" w:hanging="1134"/>
        <w:contextualSpacing/>
        <w:jc w:val="both"/>
        <w:rPr>
          <w:rFonts w:ascii="Arial" w:hAnsi="Arial" w:cs="Arial"/>
          <w:color w:val="4D5156"/>
          <w:shd w:val="clear" w:color="auto" w:fill="FFFFFF"/>
        </w:rPr>
      </w:pPr>
    </w:p>
    <w:p w14:paraId="67867F58" w14:textId="77777777" w:rsidR="008B15D4" w:rsidRDefault="00842823" w:rsidP="008B15D4">
      <w:pPr>
        <w:tabs>
          <w:tab w:val="left" w:pos="1134"/>
        </w:tabs>
        <w:spacing w:after="480" w:line="360" w:lineRule="auto"/>
        <w:ind w:left="1134" w:hanging="1134"/>
        <w:contextualSpacing/>
        <w:jc w:val="both"/>
        <w:rPr>
          <w:rFonts w:ascii="Arial" w:hAnsi="Arial" w:cs="Arial"/>
          <w:color w:val="242121"/>
          <w:shd w:val="clear" w:color="auto" w:fill="FFFFFF"/>
          <w:lang w:val="en-GB"/>
        </w:rPr>
      </w:pPr>
      <w:r w:rsidRPr="00842823">
        <w:rPr>
          <w:rFonts w:ascii="Arial" w:hAnsi="Arial" w:cs="Arial"/>
          <w:color w:val="4D5156"/>
          <w:shd w:val="clear" w:color="auto" w:fill="FFFFFF"/>
        </w:rPr>
        <w:t>[4</w:t>
      </w:r>
      <w:r w:rsidR="0086560D">
        <w:rPr>
          <w:rFonts w:ascii="Arial" w:hAnsi="Arial" w:cs="Arial"/>
          <w:color w:val="4D5156"/>
          <w:shd w:val="clear" w:color="auto" w:fill="FFFFFF"/>
        </w:rPr>
        <w:t>3</w:t>
      </w:r>
      <w:r w:rsidRPr="00842823">
        <w:rPr>
          <w:rFonts w:ascii="Arial" w:hAnsi="Arial" w:cs="Arial"/>
          <w:color w:val="4D5156"/>
          <w:shd w:val="clear" w:color="auto" w:fill="FFFFFF"/>
        </w:rPr>
        <w:t xml:space="preserve">] </w:t>
      </w:r>
      <w:r w:rsidRPr="00842823">
        <w:rPr>
          <w:rFonts w:ascii="Arial" w:hAnsi="Arial" w:cs="Arial"/>
          <w:color w:val="4D5156"/>
          <w:shd w:val="clear" w:color="auto" w:fill="FFFFFF"/>
        </w:rPr>
        <w:tab/>
      </w:r>
      <w:r w:rsidR="008B15D4">
        <w:rPr>
          <w:rFonts w:ascii="Arial" w:hAnsi="Arial" w:cs="Arial"/>
        </w:rPr>
        <w:t xml:space="preserve">The next question that arises is whether Matthee is also in contempt of the court order.   The court granted </w:t>
      </w:r>
      <w:r w:rsidR="008B15D4" w:rsidRPr="003A3C35">
        <w:rPr>
          <w:rFonts w:ascii="Arial" w:hAnsi="Arial" w:cs="Arial"/>
          <w:color w:val="242121"/>
          <w:shd w:val="clear" w:color="auto" w:fill="FFFFFF"/>
          <w:lang w:val="en-GB"/>
        </w:rPr>
        <w:t>an order</w:t>
      </w:r>
      <w:r w:rsidR="008B15D4">
        <w:rPr>
          <w:rFonts w:ascii="Arial" w:hAnsi="Arial" w:cs="Arial"/>
          <w:color w:val="242121"/>
          <w:shd w:val="clear" w:color="auto" w:fill="FFFFFF"/>
          <w:lang w:val="en-GB"/>
        </w:rPr>
        <w:t xml:space="preserve"> against him in his representative capacity as trustee of the Deelkraal trust and he had knowledge thereof.</w:t>
      </w:r>
      <w:r w:rsidR="008B15D4" w:rsidRPr="003A3C35">
        <w:rPr>
          <w:rFonts w:ascii="Arial" w:hAnsi="Arial" w:cs="Arial"/>
          <w:color w:val="242121"/>
          <w:shd w:val="clear" w:color="auto" w:fill="FFFFFF"/>
          <w:lang w:val="en-GB"/>
        </w:rPr>
        <w:t xml:space="preserve"> </w:t>
      </w:r>
      <w:r w:rsidR="008B15D4">
        <w:rPr>
          <w:rFonts w:ascii="Arial" w:hAnsi="Arial" w:cs="Arial"/>
          <w:color w:val="242121"/>
          <w:shd w:val="clear" w:color="auto" w:fill="FFFFFF"/>
          <w:lang w:val="en-GB"/>
        </w:rPr>
        <w:t xml:space="preserve">  Matthee, as trustee of the Deelkraal trust, took no positive steps to prevent either the Sebenza trust or the Rucinda trust (both of which he was at the time a trustee – he has since been replaced as trustee of the Sebenza trust) from collecting rental from tenants after the May 2018 resolution </w:t>
      </w:r>
      <w:r w:rsidR="0086560D">
        <w:rPr>
          <w:rFonts w:ascii="Arial" w:hAnsi="Arial" w:cs="Arial"/>
          <w:color w:val="242121"/>
          <w:shd w:val="clear" w:color="auto" w:fill="FFFFFF"/>
          <w:lang w:val="en-GB"/>
        </w:rPr>
        <w:t>or</w:t>
      </w:r>
      <w:r w:rsidR="008B15D4">
        <w:rPr>
          <w:rFonts w:ascii="Arial" w:hAnsi="Arial" w:cs="Arial"/>
          <w:color w:val="242121"/>
          <w:shd w:val="clear" w:color="auto" w:fill="FFFFFF"/>
          <w:lang w:val="en-GB"/>
        </w:rPr>
        <w:t xml:space="preserve"> the May 2019 court order.  When called upon to support an application to interdict Frik van As from collecting rental, he refused to do so. </w:t>
      </w:r>
      <w:r w:rsidR="0086560D">
        <w:rPr>
          <w:rFonts w:ascii="Arial" w:hAnsi="Arial" w:cs="Arial"/>
          <w:color w:val="242121"/>
          <w:shd w:val="clear" w:color="auto" w:fill="FFFFFF"/>
          <w:lang w:val="en-GB"/>
        </w:rPr>
        <w:t xml:space="preserve"> </w:t>
      </w:r>
    </w:p>
    <w:p w14:paraId="2DD04456" w14:textId="77777777" w:rsidR="0086560D" w:rsidRDefault="0086560D" w:rsidP="008B15D4">
      <w:pPr>
        <w:tabs>
          <w:tab w:val="left" w:pos="1134"/>
        </w:tabs>
        <w:spacing w:after="480" w:line="360" w:lineRule="auto"/>
        <w:ind w:left="1134" w:hanging="1134"/>
        <w:contextualSpacing/>
        <w:jc w:val="both"/>
        <w:rPr>
          <w:rFonts w:ascii="Arial" w:hAnsi="Arial" w:cs="Arial"/>
          <w:color w:val="242121"/>
          <w:shd w:val="clear" w:color="auto" w:fill="FFFFFF"/>
          <w:lang w:val="en-GB"/>
        </w:rPr>
      </w:pPr>
    </w:p>
    <w:p w14:paraId="29DA6A44" w14:textId="77777777" w:rsidR="0086560D" w:rsidRPr="0086560D" w:rsidRDefault="0086560D" w:rsidP="008B15D4">
      <w:pPr>
        <w:tabs>
          <w:tab w:val="left" w:pos="1134"/>
        </w:tabs>
        <w:spacing w:after="480" w:line="360" w:lineRule="auto"/>
        <w:ind w:left="1134" w:hanging="1134"/>
        <w:contextualSpacing/>
        <w:jc w:val="both"/>
        <w:rPr>
          <w:rFonts w:ascii="Arial" w:hAnsi="Arial" w:cs="Arial"/>
          <w:sz w:val="32"/>
          <w:szCs w:val="32"/>
        </w:rPr>
      </w:pPr>
      <w:r w:rsidRPr="0086560D">
        <w:rPr>
          <w:rFonts w:ascii="Arial" w:hAnsi="Arial" w:cs="Arial"/>
          <w:color w:val="202122"/>
          <w:shd w:val="clear" w:color="auto" w:fill="FFFFFF"/>
        </w:rPr>
        <w:t xml:space="preserve">[44] </w:t>
      </w:r>
      <w:r w:rsidRPr="0086560D">
        <w:rPr>
          <w:rFonts w:ascii="Arial" w:hAnsi="Arial" w:cs="Arial"/>
          <w:color w:val="202122"/>
          <w:shd w:val="clear" w:color="auto" w:fill="FFFFFF"/>
        </w:rPr>
        <w:tab/>
      </w:r>
      <w:r w:rsidR="0051758D" w:rsidRPr="0051758D">
        <w:rPr>
          <w:rFonts w:ascii="Arial" w:hAnsi="Arial" w:cs="Arial"/>
          <w:color w:val="202122"/>
          <w:shd w:val="clear" w:color="auto" w:fill="FFFFFF"/>
        </w:rPr>
        <w:t xml:space="preserve">The Appellate Division in </w:t>
      </w:r>
      <w:r w:rsidR="0051758D" w:rsidRPr="0051758D">
        <w:rPr>
          <w:rFonts w:ascii="Arial" w:hAnsi="Arial" w:cs="Arial"/>
          <w:i/>
          <w:iCs/>
          <w:color w:val="202122"/>
          <w:shd w:val="clear" w:color="auto" w:fill="FFFFFF"/>
        </w:rPr>
        <w:t>Minister van Polisie v Ewels</w:t>
      </w:r>
      <w:r w:rsidR="0051758D" w:rsidRPr="0051758D">
        <w:rPr>
          <w:rFonts w:ascii="Arial" w:hAnsi="Arial" w:cs="Arial"/>
          <w:color w:val="202122"/>
          <w:shd w:val="clear" w:color="auto" w:fill="FFFFFF"/>
        </w:rPr>
        <w:t> </w:t>
      </w:r>
      <w:r w:rsidR="0051758D" w:rsidRPr="00E8723F">
        <w:rPr>
          <w:rFonts w:ascii="Arial" w:hAnsi="Arial" w:cs="Arial"/>
          <w:color w:val="202122"/>
          <w:shd w:val="clear" w:color="auto" w:fill="FFFFFF"/>
        </w:rPr>
        <w:t>1975 (3) </w:t>
      </w:r>
      <w:hyperlink r:id="rId11" w:tooltip="South African Law Reports" w:history="1">
        <w:r w:rsidR="0051758D" w:rsidRPr="00E8723F">
          <w:rPr>
            <w:rStyle w:val="Hyperlink"/>
            <w:rFonts w:ascii="Arial" w:hAnsi="Arial" w:cs="Arial"/>
            <w:color w:val="3366CC"/>
            <w:shd w:val="clear" w:color="auto" w:fill="FFFFFF"/>
          </w:rPr>
          <w:t>SA</w:t>
        </w:r>
      </w:hyperlink>
      <w:r w:rsidR="0051758D" w:rsidRPr="00E8723F">
        <w:rPr>
          <w:rFonts w:ascii="Arial" w:hAnsi="Arial" w:cs="Arial"/>
          <w:color w:val="202122"/>
          <w:shd w:val="clear" w:color="auto" w:fill="FFFFFF"/>
        </w:rPr>
        <w:t> 590 (A)</w:t>
      </w:r>
      <w:r w:rsidR="0051758D" w:rsidRPr="0051758D">
        <w:rPr>
          <w:rFonts w:ascii="Arial" w:hAnsi="Arial" w:cs="Arial"/>
          <w:color w:val="202122"/>
          <w:shd w:val="clear" w:color="auto" w:fill="FFFFFF"/>
        </w:rPr>
        <w:t xml:space="preserve"> laid down the principle that a</w:t>
      </w:r>
      <w:r w:rsidRPr="0051758D">
        <w:rPr>
          <w:rFonts w:ascii="Arial" w:hAnsi="Arial" w:cs="Arial"/>
          <w:color w:val="202122"/>
          <w:shd w:val="clear" w:color="auto" w:fill="FFFFFF"/>
        </w:rPr>
        <w:t xml:space="preserve"> failure to act or</w:t>
      </w:r>
      <w:r w:rsidRPr="0086560D">
        <w:rPr>
          <w:rFonts w:ascii="Arial" w:hAnsi="Arial" w:cs="Arial"/>
          <w:color w:val="202122"/>
          <w:shd w:val="clear" w:color="auto" w:fill="FFFFFF"/>
        </w:rPr>
        <w:t xml:space="preserve"> an omission is to be regarded as unlawful conduct when the circumstances of the case are of such a nature not only that the omission incites moral indignation, but also that the legal convictions of the community demand that it be regarded as unlawful and that the damage suffered be made good by the person who neglected to perform a positive act. In order to make a determination as to whether or not there is unlawfulness, therefore, the question is not whether there was the usual "negligence" of the </w:t>
      </w:r>
      <w:r w:rsidRPr="0086560D">
        <w:rPr>
          <w:rFonts w:ascii="Arial" w:hAnsi="Arial" w:cs="Arial"/>
          <w:i/>
          <w:iCs/>
          <w:color w:val="202122"/>
          <w:shd w:val="clear" w:color="auto" w:fill="FFFFFF"/>
        </w:rPr>
        <w:t>bonus paterfamilias</w:t>
      </w:r>
      <w:r w:rsidRPr="0086560D">
        <w:rPr>
          <w:rFonts w:ascii="Arial" w:hAnsi="Arial" w:cs="Arial"/>
          <w:color w:val="202122"/>
          <w:shd w:val="clear" w:color="auto" w:fill="FFFFFF"/>
        </w:rPr>
        <w:t>; the question is whether, regard being had to all the facts, there was a duty in law to act reasonably.</w:t>
      </w:r>
      <w:r w:rsidR="0051758D">
        <w:rPr>
          <w:rFonts w:ascii="Arial" w:hAnsi="Arial" w:cs="Arial"/>
          <w:color w:val="202122"/>
          <w:shd w:val="clear" w:color="auto" w:fill="FFFFFF"/>
        </w:rPr>
        <w:t xml:space="preserve"> There is no doubt that such a duty rested on Matthee.</w:t>
      </w:r>
    </w:p>
    <w:p w14:paraId="3B2B7012" w14:textId="77777777" w:rsidR="008B15D4" w:rsidRDefault="008B15D4" w:rsidP="008B15D4">
      <w:pPr>
        <w:tabs>
          <w:tab w:val="left" w:pos="1134"/>
        </w:tabs>
        <w:spacing w:after="480" w:line="360" w:lineRule="auto"/>
        <w:ind w:left="1134" w:hanging="1134"/>
        <w:contextualSpacing/>
        <w:jc w:val="both"/>
        <w:rPr>
          <w:rFonts w:ascii="Arial" w:hAnsi="Arial" w:cs="Arial"/>
        </w:rPr>
      </w:pPr>
    </w:p>
    <w:p w14:paraId="0C773351" w14:textId="77777777" w:rsidR="008B15D4" w:rsidRDefault="008B15D4" w:rsidP="008B15D4">
      <w:pPr>
        <w:tabs>
          <w:tab w:val="left" w:pos="1134"/>
        </w:tabs>
        <w:spacing w:after="480" w:line="360" w:lineRule="auto"/>
        <w:ind w:left="1134" w:hanging="1134"/>
        <w:contextualSpacing/>
        <w:jc w:val="both"/>
        <w:rPr>
          <w:rFonts w:ascii="Arial" w:hAnsi="Arial" w:cs="Arial"/>
        </w:rPr>
      </w:pPr>
      <w:r>
        <w:rPr>
          <w:rFonts w:ascii="Arial" w:hAnsi="Arial" w:cs="Arial"/>
        </w:rPr>
        <w:t>[4</w:t>
      </w:r>
      <w:r w:rsidR="0051758D">
        <w:rPr>
          <w:rFonts w:ascii="Arial" w:hAnsi="Arial" w:cs="Arial"/>
        </w:rPr>
        <w:t>5</w:t>
      </w:r>
      <w:r>
        <w:rPr>
          <w:rFonts w:ascii="Arial" w:hAnsi="Arial" w:cs="Arial"/>
        </w:rPr>
        <w:t xml:space="preserve">] </w:t>
      </w:r>
      <w:r>
        <w:rPr>
          <w:rFonts w:ascii="Arial" w:hAnsi="Arial" w:cs="Arial"/>
        </w:rPr>
        <w:tab/>
        <w:t xml:space="preserve">Matthee did not file an affidavit in answer to the application and the allegations against him.  His only version is recorded in the letter dated 30 May 2019 written by Mr Van der Hoven wherein he stated that (a) Matthee denied that he had ever reneged on any undertaking, more so any undertaking given under oath, (b) Matthee denied that he ever violated the May 2018 resolution or that he was in a position to do so. Matthee was no involved in the day to day management of the business of the Deelkraal trust or the collection of any rental.  “His 10% interest” in any event did not allow him to dictate proceedings. </w:t>
      </w:r>
    </w:p>
    <w:p w14:paraId="53F8568F" w14:textId="77777777" w:rsidR="008B15D4" w:rsidRPr="0051758D" w:rsidRDefault="008B15D4" w:rsidP="0051758D">
      <w:pPr>
        <w:tabs>
          <w:tab w:val="left" w:pos="1134"/>
        </w:tabs>
        <w:spacing w:after="480" w:line="360" w:lineRule="auto"/>
        <w:contextualSpacing/>
        <w:jc w:val="both"/>
        <w:rPr>
          <w:rFonts w:ascii="Arial" w:hAnsi="Arial" w:cs="Arial"/>
          <w:color w:val="000000" w:themeColor="text1"/>
          <w:shd w:val="clear" w:color="auto" w:fill="FFFFFF"/>
        </w:rPr>
      </w:pPr>
    </w:p>
    <w:p w14:paraId="791D8543" w14:textId="77777777" w:rsidR="00DB170E" w:rsidRPr="00842823" w:rsidRDefault="0051758D" w:rsidP="00842823">
      <w:pPr>
        <w:tabs>
          <w:tab w:val="left" w:pos="1134"/>
        </w:tabs>
        <w:spacing w:after="480" w:line="360" w:lineRule="auto"/>
        <w:ind w:left="1134" w:hanging="1134"/>
        <w:contextualSpacing/>
        <w:jc w:val="both"/>
        <w:rPr>
          <w:rFonts w:ascii="Arial" w:hAnsi="Arial" w:cs="Arial"/>
        </w:rPr>
      </w:pPr>
      <w:r>
        <w:rPr>
          <w:rFonts w:ascii="Arial" w:hAnsi="Arial" w:cs="Arial"/>
          <w:color w:val="000000" w:themeColor="text1"/>
          <w:shd w:val="clear" w:color="auto" w:fill="FFFFFF"/>
        </w:rPr>
        <w:t xml:space="preserve">[46] </w:t>
      </w:r>
      <w:r>
        <w:rPr>
          <w:rFonts w:ascii="Arial" w:hAnsi="Arial" w:cs="Arial"/>
          <w:color w:val="000000" w:themeColor="text1"/>
          <w:shd w:val="clear" w:color="auto" w:fill="FFFFFF"/>
        </w:rPr>
        <w:tab/>
      </w:r>
      <w:r w:rsidR="00842823" w:rsidRPr="0051758D">
        <w:rPr>
          <w:rFonts w:ascii="Arial" w:hAnsi="Arial" w:cs="Arial"/>
          <w:color w:val="000000" w:themeColor="text1"/>
          <w:shd w:val="clear" w:color="auto" w:fill="FFFFFF"/>
        </w:rPr>
        <w:t xml:space="preserve">The fact that Matthee denied active participation in the management of the Deelkraal trust does not excuse him.  </w:t>
      </w:r>
      <w:r w:rsidR="00842823" w:rsidRPr="00842823">
        <w:rPr>
          <w:rFonts w:ascii="Arial" w:hAnsi="Arial" w:cs="Arial"/>
        </w:rPr>
        <w:t xml:space="preserve">In </w:t>
      </w:r>
      <w:r w:rsidR="00B344DD" w:rsidRPr="00842823">
        <w:rPr>
          <w:rFonts w:ascii="Arial" w:eastAsiaTheme="minorHAnsi" w:hAnsi="Arial" w:cs="Arial"/>
          <w:i/>
          <w:iCs/>
          <w:lang w:val="en-GB"/>
        </w:rPr>
        <w:t>Höltz v Douglas and Associates (OFS) CC en Andere</w:t>
      </w:r>
      <w:r w:rsidR="00B344DD" w:rsidRPr="00842823">
        <w:rPr>
          <w:rFonts w:ascii="Arial" w:eastAsiaTheme="minorHAnsi" w:hAnsi="Arial" w:cs="Arial"/>
          <w:lang w:val="en-GB"/>
        </w:rPr>
        <w:t xml:space="preserve"> 1991 (2) SA 797 (O) at 801D-802E, it was held that a person who contributes to the offence of contempt of a court order, can, without being a principal offender, be punishable as an accomplice.</w:t>
      </w:r>
      <w:r w:rsidR="00B344DD" w:rsidRPr="00842823">
        <w:rPr>
          <w:rFonts w:ascii="Arial" w:hAnsi="Arial" w:cs="Arial"/>
        </w:rPr>
        <w:t xml:space="preserve"> </w:t>
      </w:r>
    </w:p>
    <w:p w14:paraId="7C8E48F5" w14:textId="77777777" w:rsidR="00842823" w:rsidRPr="00842823" w:rsidRDefault="00842823" w:rsidP="00842823">
      <w:pPr>
        <w:tabs>
          <w:tab w:val="left" w:pos="1134"/>
        </w:tabs>
        <w:spacing w:after="480" w:line="360" w:lineRule="auto"/>
        <w:ind w:left="1134" w:hanging="1134"/>
        <w:contextualSpacing/>
        <w:jc w:val="both"/>
        <w:rPr>
          <w:rFonts w:ascii="Arial" w:hAnsi="Arial" w:cs="Arial"/>
        </w:rPr>
      </w:pPr>
    </w:p>
    <w:p w14:paraId="7991D550" w14:textId="77777777" w:rsidR="00842823" w:rsidRDefault="00842823" w:rsidP="00842823">
      <w:pPr>
        <w:tabs>
          <w:tab w:val="left" w:pos="1134"/>
        </w:tabs>
        <w:spacing w:after="480" w:line="360" w:lineRule="auto"/>
        <w:ind w:left="1134" w:hanging="1134"/>
        <w:contextualSpacing/>
        <w:jc w:val="both"/>
        <w:rPr>
          <w:rFonts w:ascii="Arial" w:hAnsi="Arial" w:cs="Arial"/>
        </w:rPr>
      </w:pPr>
      <w:r w:rsidRPr="00842823">
        <w:rPr>
          <w:rFonts w:ascii="Arial" w:hAnsi="Arial" w:cs="Arial"/>
        </w:rPr>
        <w:t>[4</w:t>
      </w:r>
      <w:r w:rsidR="0051758D">
        <w:rPr>
          <w:rFonts w:ascii="Arial" w:hAnsi="Arial" w:cs="Arial"/>
        </w:rPr>
        <w:t>7</w:t>
      </w:r>
      <w:r w:rsidRPr="00842823">
        <w:rPr>
          <w:rFonts w:ascii="Arial" w:hAnsi="Arial" w:cs="Arial"/>
        </w:rPr>
        <w:t xml:space="preserve">] </w:t>
      </w:r>
      <w:r w:rsidRPr="00842823">
        <w:rPr>
          <w:rFonts w:ascii="Arial" w:hAnsi="Arial" w:cs="Arial"/>
        </w:rPr>
        <w:tab/>
        <w:t>In the premises, Matthee i</w:t>
      </w:r>
      <w:r>
        <w:rPr>
          <w:rFonts w:ascii="Arial" w:hAnsi="Arial" w:cs="Arial"/>
        </w:rPr>
        <w:t xml:space="preserve">n my judgment is also in contempt of the May 2019 court order.  His failure to take active steps to ensure the trust’s compliance with the court order does not pardon him – rather it convicts him.  As a trustee he had the duty to ensure that the trust complied with the court order.  </w:t>
      </w:r>
    </w:p>
    <w:p w14:paraId="6AB15712" w14:textId="77777777" w:rsidR="00842823" w:rsidRDefault="00842823" w:rsidP="00842823">
      <w:pPr>
        <w:tabs>
          <w:tab w:val="left" w:pos="1134"/>
        </w:tabs>
        <w:spacing w:after="480" w:line="360" w:lineRule="auto"/>
        <w:ind w:left="1134" w:hanging="1134"/>
        <w:contextualSpacing/>
        <w:jc w:val="both"/>
        <w:rPr>
          <w:rFonts w:ascii="Arial" w:hAnsi="Arial" w:cs="Arial"/>
        </w:rPr>
      </w:pPr>
    </w:p>
    <w:p w14:paraId="306634DE" w14:textId="77777777" w:rsidR="00114B62" w:rsidRPr="00841C01" w:rsidRDefault="00842823" w:rsidP="00841C01">
      <w:pPr>
        <w:tabs>
          <w:tab w:val="left" w:pos="1134"/>
        </w:tabs>
        <w:spacing w:after="480" w:line="360" w:lineRule="auto"/>
        <w:ind w:left="1134" w:hanging="1134"/>
        <w:contextualSpacing/>
        <w:jc w:val="both"/>
        <w:rPr>
          <w:rFonts w:ascii="Arial" w:hAnsi="Arial" w:cs="Arial"/>
        </w:rPr>
      </w:pPr>
      <w:r>
        <w:rPr>
          <w:rFonts w:ascii="Arial" w:hAnsi="Arial" w:cs="Arial"/>
        </w:rPr>
        <w:lastRenderedPageBreak/>
        <w:t>[4</w:t>
      </w:r>
      <w:r w:rsidR="0051758D">
        <w:rPr>
          <w:rFonts w:ascii="Arial" w:hAnsi="Arial" w:cs="Arial"/>
        </w:rPr>
        <w:t>8</w:t>
      </w:r>
      <w:r>
        <w:rPr>
          <w:rFonts w:ascii="Arial" w:hAnsi="Arial" w:cs="Arial"/>
        </w:rPr>
        <w:t xml:space="preserve">] </w:t>
      </w:r>
      <w:r>
        <w:rPr>
          <w:rFonts w:ascii="Arial" w:hAnsi="Arial" w:cs="Arial"/>
        </w:rPr>
        <w:tab/>
      </w:r>
      <w:r w:rsidR="00841C01">
        <w:rPr>
          <w:rFonts w:ascii="Arial" w:hAnsi="Arial" w:cs="Arial"/>
        </w:rPr>
        <w:t xml:space="preserve">A finding of contempt of a court order can lead to either a coercive or a punitive </w:t>
      </w:r>
      <w:r w:rsidR="00BA70CD">
        <w:rPr>
          <w:rFonts w:ascii="Arial" w:hAnsi="Arial" w:cs="Arial"/>
        </w:rPr>
        <w:t>sanction</w:t>
      </w:r>
      <w:r w:rsidR="00841C01">
        <w:rPr>
          <w:rFonts w:ascii="Arial" w:hAnsi="Arial" w:cs="Arial"/>
        </w:rPr>
        <w:t xml:space="preserve">, as </w:t>
      </w:r>
      <w:r w:rsidR="00114B62">
        <w:rPr>
          <w:rFonts w:ascii="Arial" w:hAnsi="Arial" w:cs="Arial"/>
        </w:rPr>
        <w:t xml:space="preserve">Khampepe ADCJ </w:t>
      </w:r>
      <w:r w:rsidR="00841C01">
        <w:rPr>
          <w:rFonts w:ascii="Arial" w:hAnsi="Arial" w:cs="Arial"/>
        </w:rPr>
        <w:t>explained</w:t>
      </w:r>
      <w:r w:rsidR="00114B62">
        <w:rPr>
          <w:rFonts w:ascii="Arial" w:hAnsi="Arial" w:cs="Arial"/>
        </w:rPr>
        <w:t xml:space="preserve"> in </w:t>
      </w:r>
      <w:r w:rsidR="00114B62" w:rsidRPr="00114B62">
        <w:rPr>
          <w:rFonts w:ascii="Arial" w:hAnsi="Arial" w:cs="Arial"/>
          <w:i/>
          <w:iCs/>
          <w:color w:val="000000" w:themeColor="text1"/>
        </w:rPr>
        <w:t>Secretary of the Judicial Commission of Inquiry into Allegations of State Capture, Corruption and Fraud in the Public Sector including Organs of State v Zuma and Others</w:t>
      </w:r>
      <w:r w:rsidR="00114B62" w:rsidRPr="00114B62">
        <w:rPr>
          <w:rFonts w:ascii="Arial" w:hAnsi="Arial" w:cs="Arial"/>
          <w:b/>
          <w:bCs/>
          <w:color w:val="000000" w:themeColor="text1"/>
        </w:rPr>
        <w:t xml:space="preserve"> </w:t>
      </w:r>
      <w:r w:rsidR="00114B62" w:rsidRPr="00114B62">
        <w:rPr>
          <w:rFonts w:ascii="Arial" w:hAnsi="Arial" w:cs="Arial"/>
          <w:color w:val="000000" w:themeColor="text1"/>
        </w:rPr>
        <w:t>2021 (5) SA 327 (CC)</w:t>
      </w:r>
      <w:r w:rsidR="00841C01">
        <w:rPr>
          <w:rFonts w:ascii="Arial" w:hAnsi="Arial" w:cs="Arial"/>
          <w:color w:val="000000" w:themeColor="text1"/>
        </w:rPr>
        <w:t>:</w:t>
      </w:r>
      <w:r w:rsidR="00114B62">
        <w:rPr>
          <w:rFonts w:ascii="Arial" w:hAnsi="Arial" w:cs="Arial"/>
          <w:color w:val="000000" w:themeColor="text1"/>
        </w:rPr>
        <w:t xml:space="preserve"> </w:t>
      </w:r>
    </w:p>
    <w:p w14:paraId="5C06EEA1" w14:textId="77777777" w:rsidR="00114B62" w:rsidRDefault="00114B62" w:rsidP="00841C01">
      <w:pPr>
        <w:pStyle w:val="NormalWeb"/>
        <w:shd w:val="clear" w:color="auto" w:fill="FFFFFF"/>
        <w:spacing w:before="144" w:beforeAutospacing="0" w:after="288" w:afterAutospacing="0" w:line="360" w:lineRule="atLeast"/>
        <w:ind w:left="1134"/>
        <w:jc w:val="both"/>
        <w:rPr>
          <w:rFonts w:asciiTheme="minorHAnsi" w:hAnsiTheme="minorHAnsi" w:cstheme="minorHAnsi"/>
          <w:color w:val="242121"/>
        </w:rPr>
      </w:pPr>
      <w:r w:rsidRPr="00841C01">
        <w:rPr>
          <w:rFonts w:asciiTheme="minorHAnsi" w:hAnsiTheme="minorHAnsi" w:cstheme="minorHAnsi"/>
          <w:color w:val="000000"/>
          <w:lang w:val="en-GB"/>
        </w:rPr>
        <w:t>[47]          </w:t>
      </w:r>
      <w:r w:rsidRPr="00841C01">
        <w:rPr>
          <w:rFonts w:asciiTheme="minorHAnsi" w:hAnsiTheme="minorHAnsi" w:cstheme="minorHAnsi"/>
          <w:color w:val="242121"/>
          <w:lang w:val="en-GB"/>
        </w:rPr>
        <w:t>I should start by explaining how the purposes of contempt of court proceedings should be understood.  As helpfully set out by the minority in </w:t>
      </w:r>
      <w:r w:rsidRPr="00841C01">
        <w:rPr>
          <w:rFonts w:asciiTheme="minorHAnsi" w:hAnsiTheme="minorHAnsi" w:cstheme="minorHAnsi"/>
          <w:i/>
          <w:iCs/>
          <w:color w:val="242121"/>
          <w:lang w:val="en-GB"/>
        </w:rPr>
        <w:t>Fakie</w:t>
      </w:r>
      <w:r w:rsidRPr="00841C01">
        <w:rPr>
          <w:rFonts w:asciiTheme="minorHAnsi" w:hAnsiTheme="minorHAnsi" w:cstheme="minorHAnsi"/>
          <w:color w:val="242121"/>
          <w:lang w:val="en-GB"/>
        </w:rPr>
        <w:t>, there is a distinction between coercive and punitive orders, which differences are “marked and important”.</w:t>
      </w:r>
      <w:r w:rsidRPr="00841C01">
        <w:rPr>
          <w:rFonts w:asciiTheme="minorHAnsi" w:hAnsiTheme="minorHAnsi" w:cstheme="minorHAnsi"/>
          <w:color w:val="242121"/>
        </w:rPr>
        <w:t>  </w:t>
      </w:r>
      <w:r w:rsidRPr="00841C01">
        <w:rPr>
          <w:rFonts w:asciiTheme="minorHAnsi" w:hAnsiTheme="minorHAnsi" w:cstheme="minorHAnsi"/>
          <w:color w:val="242121"/>
          <w:lang w:val="en-GB"/>
        </w:rPr>
        <w:t>A coercive order gives the respondent the opportunity to avoid imprisonment by complying with the original order and desisting from the offensive conduct.  Such an order is made primarily to ensure the effectiveness of the original order by bringing about compliance.  A final characteristic is that it only incidentally vindicates the authority of the court that has been disobeyed.</w:t>
      </w:r>
      <w:r w:rsidR="00841C01" w:rsidRPr="00841C01">
        <w:rPr>
          <w:rFonts w:asciiTheme="minorHAnsi" w:hAnsiTheme="minorHAnsi" w:cstheme="minorHAnsi"/>
          <w:color w:val="242121"/>
          <w:lang w:val="en-GB"/>
        </w:rPr>
        <w:t xml:space="preserve"> </w:t>
      </w:r>
      <w:r w:rsidRPr="00841C01">
        <w:rPr>
          <w:rFonts w:asciiTheme="minorHAnsi" w:hAnsiTheme="minorHAnsi" w:cstheme="minorHAnsi"/>
          <w:color w:val="242121"/>
          <w:lang w:val="en-GB"/>
        </w:rPr>
        <w:t>Conversely, the following are the characteristics of a punitive order: a sentence of imprisonment cannot be avoided by any action on the part of the respondent to comply with the original order; the sentence is unsuspended; it is related both to the seriousness of the default and the contumacy of the respondent; and the order is influenced by the need to assert the authority and dignity of the court, to set an example for others.</w:t>
      </w:r>
      <w:r w:rsidR="00841C01" w:rsidRPr="00841C01">
        <w:rPr>
          <w:rFonts w:asciiTheme="minorHAnsi" w:hAnsiTheme="minorHAnsi" w:cstheme="minorHAnsi"/>
          <w:color w:val="242121"/>
        </w:rPr>
        <w:t xml:space="preserve"> </w:t>
      </w:r>
    </w:p>
    <w:p w14:paraId="10FD895B" w14:textId="77777777" w:rsidR="00480603" w:rsidRPr="00841C01" w:rsidRDefault="00480603" w:rsidP="00480603">
      <w:pPr>
        <w:pStyle w:val="NormalWeb"/>
        <w:shd w:val="clear" w:color="auto" w:fill="FFFFFF"/>
        <w:spacing w:before="144" w:beforeAutospacing="0" w:after="288" w:afterAutospacing="0"/>
        <w:ind w:left="1134"/>
        <w:jc w:val="both"/>
        <w:rPr>
          <w:rFonts w:asciiTheme="minorHAnsi" w:hAnsiTheme="minorHAnsi" w:cstheme="minorHAnsi"/>
          <w:color w:val="242121"/>
        </w:rPr>
      </w:pPr>
    </w:p>
    <w:p w14:paraId="698B2CFE" w14:textId="77777777" w:rsidR="00AF449E" w:rsidRPr="00913E1A" w:rsidRDefault="00480603" w:rsidP="00480603">
      <w:pPr>
        <w:tabs>
          <w:tab w:val="left" w:pos="1134"/>
        </w:tabs>
        <w:spacing w:after="480" w:line="360" w:lineRule="auto"/>
        <w:ind w:left="1134" w:hanging="1134"/>
        <w:contextualSpacing/>
        <w:jc w:val="both"/>
        <w:rPr>
          <w:rFonts w:ascii="Arial" w:hAnsi="Arial" w:cs="Arial"/>
        </w:rPr>
      </w:pPr>
      <w:bookmarkStart w:id="0" w:name="_Ref75776789"/>
      <w:bookmarkEnd w:id="0"/>
      <w:r>
        <w:rPr>
          <w:rFonts w:ascii="Arial" w:hAnsi="Arial" w:cs="Arial"/>
        </w:rPr>
        <w:t>[4</w:t>
      </w:r>
      <w:r w:rsidR="0051758D">
        <w:rPr>
          <w:rFonts w:ascii="Arial" w:hAnsi="Arial" w:cs="Arial"/>
        </w:rPr>
        <w:t>9</w:t>
      </w:r>
      <w:r>
        <w:rPr>
          <w:rFonts w:ascii="Arial" w:hAnsi="Arial" w:cs="Arial"/>
        </w:rPr>
        <w:t xml:space="preserve">] </w:t>
      </w:r>
      <w:r>
        <w:rPr>
          <w:rFonts w:ascii="Arial" w:hAnsi="Arial" w:cs="Arial"/>
        </w:rPr>
        <w:tab/>
      </w:r>
      <w:r w:rsidR="00BA70CD">
        <w:rPr>
          <w:rFonts w:ascii="Arial" w:hAnsi="Arial" w:cs="Arial"/>
        </w:rPr>
        <w:t xml:space="preserve">If the applicants had not sought the removal of the first and second respondents as trustees of the Deelkraal trust, a coercive order would have </w:t>
      </w:r>
      <w:r w:rsidR="00BA70CD" w:rsidRPr="00913E1A">
        <w:rPr>
          <w:rFonts w:ascii="Arial" w:hAnsi="Arial" w:cs="Arial"/>
        </w:rPr>
        <w:t xml:space="preserve">been </w:t>
      </w:r>
      <w:r w:rsidR="00AF449E" w:rsidRPr="00913E1A">
        <w:rPr>
          <w:rFonts w:ascii="Arial" w:hAnsi="Arial" w:cs="Arial"/>
        </w:rPr>
        <w:t xml:space="preserve">appropriate.  Since I intend to grant an order removing </w:t>
      </w:r>
      <w:r w:rsidR="00295AC9">
        <w:rPr>
          <w:rFonts w:ascii="Arial" w:hAnsi="Arial" w:cs="Arial"/>
        </w:rPr>
        <w:t>Mrs Jacobs and Matthee</w:t>
      </w:r>
      <w:r w:rsidR="00AF449E" w:rsidRPr="00913E1A">
        <w:rPr>
          <w:rFonts w:ascii="Arial" w:hAnsi="Arial" w:cs="Arial"/>
        </w:rPr>
        <w:t xml:space="preserve"> as trustees, the only remaining option is a punitive order.  </w:t>
      </w:r>
    </w:p>
    <w:p w14:paraId="1B49EA50" w14:textId="77777777" w:rsidR="00AF449E" w:rsidRPr="00913E1A" w:rsidRDefault="00AF449E" w:rsidP="00480603">
      <w:pPr>
        <w:tabs>
          <w:tab w:val="left" w:pos="1134"/>
        </w:tabs>
        <w:spacing w:after="480" w:line="360" w:lineRule="auto"/>
        <w:ind w:left="1134" w:hanging="1134"/>
        <w:contextualSpacing/>
        <w:jc w:val="both"/>
        <w:rPr>
          <w:rFonts w:ascii="Arial" w:hAnsi="Arial" w:cs="Arial"/>
        </w:rPr>
      </w:pPr>
    </w:p>
    <w:p w14:paraId="7DAEB0F6" w14:textId="77777777" w:rsidR="00295AC9" w:rsidRDefault="00AF449E" w:rsidP="00295AC9">
      <w:pPr>
        <w:tabs>
          <w:tab w:val="left" w:pos="1134"/>
        </w:tabs>
        <w:spacing w:after="480" w:line="360" w:lineRule="auto"/>
        <w:ind w:left="1134" w:hanging="1134"/>
        <w:contextualSpacing/>
        <w:jc w:val="both"/>
        <w:rPr>
          <w:rFonts w:ascii="Arial" w:hAnsi="Arial" w:cs="Arial"/>
        </w:rPr>
      </w:pPr>
      <w:r w:rsidRPr="00913E1A">
        <w:rPr>
          <w:rFonts w:ascii="Arial" w:hAnsi="Arial" w:cs="Arial"/>
        </w:rPr>
        <w:t>[</w:t>
      </w:r>
      <w:r w:rsidR="0051758D">
        <w:rPr>
          <w:rFonts w:ascii="Arial" w:hAnsi="Arial" w:cs="Arial"/>
        </w:rPr>
        <w:t>50</w:t>
      </w:r>
      <w:r w:rsidRPr="00913E1A">
        <w:rPr>
          <w:rFonts w:ascii="Arial" w:hAnsi="Arial" w:cs="Arial"/>
        </w:rPr>
        <w:t xml:space="preserve">] </w:t>
      </w:r>
      <w:r w:rsidRPr="00913E1A">
        <w:rPr>
          <w:rFonts w:ascii="Arial" w:hAnsi="Arial" w:cs="Arial"/>
        </w:rPr>
        <w:tab/>
      </w:r>
      <w:r w:rsidR="00295AC9">
        <w:rPr>
          <w:rFonts w:ascii="Arial" w:hAnsi="Arial" w:cs="Arial"/>
        </w:rPr>
        <w:t xml:space="preserve">The following factors play a role in determining an appropriate order:  </w:t>
      </w:r>
    </w:p>
    <w:p w14:paraId="31C7CC86" w14:textId="4195E756" w:rsidR="00295AC9" w:rsidRPr="00D56EE4" w:rsidRDefault="00D56EE4" w:rsidP="00D56EE4">
      <w:pPr>
        <w:tabs>
          <w:tab w:val="left" w:pos="1134"/>
        </w:tabs>
        <w:spacing w:after="480" w:line="360" w:lineRule="auto"/>
        <w:ind w:left="1860" w:hanging="720"/>
        <w:contextualSpacing/>
        <w:jc w:val="both"/>
        <w:rPr>
          <w:rFonts w:ascii="Arial" w:hAnsi="Arial" w:cs="Arial"/>
        </w:rPr>
      </w:pPr>
      <w:r>
        <w:rPr>
          <w:rFonts w:ascii="Arial" w:hAnsi="Arial" w:cs="Arial"/>
        </w:rPr>
        <w:t>(i)</w:t>
      </w:r>
      <w:r>
        <w:rPr>
          <w:rFonts w:ascii="Arial" w:hAnsi="Arial" w:cs="Arial"/>
        </w:rPr>
        <w:tab/>
      </w:r>
      <w:r w:rsidR="00295AC9" w:rsidRPr="00D56EE4">
        <w:rPr>
          <w:rFonts w:ascii="Arial" w:hAnsi="Arial" w:cs="Arial"/>
        </w:rPr>
        <w:t>The history of the matter, in particular that Mrs Jacobs and Matthee in accordance with the 2011 resolution for several years collected for their own beneficiaries the rental income from the Deelkraal Estate</w:t>
      </w:r>
      <w:r w:rsidR="00E218B1" w:rsidRPr="00D56EE4">
        <w:rPr>
          <w:rFonts w:ascii="Arial" w:hAnsi="Arial" w:cs="Arial"/>
        </w:rPr>
        <w:t>;</w:t>
      </w:r>
    </w:p>
    <w:p w14:paraId="58FDED98" w14:textId="77777777" w:rsidR="00295AC9" w:rsidRDefault="00295AC9" w:rsidP="00295AC9">
      <w:pPr>
        <w:pStyle w:val="ListParagraph"/>
        <w:tabs>
          <w:tab w:val="left" w:pos="1134"/>
        </w:tabs>
        <w:spacing w:after="480" w:line="360" w:lineRule="auto"/>
        <w:ind w:left="1860"/>
        <w:contextualSpacing/>
        <w:jc w:val="both"/>
        <w:rPr>
          <w:rFonts w:ascii="Arial" w:hAnsi="Arial" w:cs="Arial"/>
        </w:rPr>
      </w:pPr>
    </w:p>
    <w:p w14:paraId="2090D3E9" w14:textId="2C99B460" w:rsidR="001278BF" w:rsidRPr="00D56EE4" w:rsidRDefault="00D56EE4" w:rsidP="00D56EE4">
      <w:pPr>
        <w:tabs>
          <w:tab w:val="left" w:pos="1134"/>
        </w:tabs>
        <w:spacing w:after="480" w:line="360" w:lineRule="auto"/>
        <w:ind w:left="1860" w:hanging="720"/>
        <w:contextualSpacing/>
        <w:jc w:val="both"/>
        <w:rPr>
          <w:rFonts w:ascii="Arial" w:hAnsi="Arial" w:cs="Arial"/>
        </w:rPr>
      </w:pPr>
      <w:r>
        <w:rPr>
          <w:rFonts w:ascii="Arial" w:hAnsi="Arial" w:cs="Arial"/>
        </w:rPr>
        <w:lastRenderedPageBreak/>
        <w:t>(ii)</w:t>
      </w:r>
      <w:r>
        <w:rPr>
          <w:rFonts w:ascii="Arial" w:hAnsi="Arial" w:cs="Arial"/>
        </w:rPr>
        <w:tab/>
      </w:r>
      <w:r w:rsidR="00E218B1" w:rsidRPr="00D56EE4">
        <w:rPr>
          <w:rFonts w:ascii="Arial" w:hAnsi="Arial" w:cs="Arial"/>
        </w:rPr>
        <w:t>T</w:t>
      </w:r>
      <w:r w:rsidR="00295AC9" w:rsidRPr="00D56EE4">
        <w:rPr>
          <w:rFonts w:ascii="Arial" w:hAnsi="Arial" w:cs="Arial"/>
        </w:rPr>
        <w:t xml:space="preserve">he familial relationship between the parties to this application, </w:t>
      </w:r>
      <w:r w:rsidR="00E218B1" w:rsidRPr="00D56EE4">
        <w:rPr>
          <w:rFonts w:ascii="Arial" w:hAnsi="Arial" w:cs="Arial"/>
        </w:rPr>
        <w:t>more so that Van As chose to bring contempt proceedings against his own mother</w:t>
      </w:r>
      <w:r w:rsidR="00D408F6" w:rsidRPr="00D56EE4">
        <w:rPr>
          <w:rFonts w:ascii="Arial" w:hAnsi="Arial" w:cs="Arial"/>
        </w:rPr>
        <w:t>, who is an octogenarian</w:t>
      </w:r>
      <w:r w:rsidR="00E218B1" w:rsidRPr="00D56EE4">
        <w:rPr>
          <w:rFonts w:ascii="Arial" w:hAnsi="Arial" w:cs="Arial"/>
        </w:rPr>
        <w:t>;</w:t>
      </w:r>
    </w:p>
    <w:p w14:paraId="6F1E5680" w14:textId="77777777" w:rsidR="00E218B1" w:rsidRPr="00E218B1" w:rsidRDefault="00E218B1" w:rsidP="00E218B1">
      <w:pPr>
        <w:pStyle w:val="ListParagraph"/>
        <w:rPr>
          <w:rFonts w:ascii="Arial" w:hAnsi="Arial" w:cs="Arial"/>
        </w:rPr>
      </w:pPr>
    </w:p>
    <w:p w14:paraId="79E969ED" w14:textId="35628434" w:rsidR="00E218B1" w:rsidRPr="00D56EE4" w:rsidRDefault="00D56EE4" w:rsidP="00D56EE4">
      <w:pPr>
        <w:tabs>
          <w:tab w:val="left" w:pos="1134"/>
        </w:tabs>
        <w:spacing w:after="480" w:line="360" w:lineRule="auto"/>
        <w:ind w:left="1860" w:hanging="720"/>
        <w:contextualSpacing/>
        <w:jc w:val="both"/>
        <w:rPr>
          <w:rFonts w:ascii="Arial" w:hAnsi="Arial" w:cs="Arial"/>
        </w:rPr>
      </w:pPr>
      <w:r>
        <w:rPr>
          <w:rFonts w:ascii="Arial" w:hAnsi="Arial" w:cs="Arial"/>
        </w:rPr>
        <w:t>(iii)</w:t>
      </w:r>
      <w:r>
        <w:rPr>
          <w:rFonts w:ascii="Arial" w:hAnsi="Arial" w:cs="Arial"/>
        </w:rPr>
        <w:tab/>
      </w:r>
      <w:r w:rsidR="00E218B1" w:rsidRPr="00D56EE4">
        <w:rPr>
          <w:rFonts w:ascii="Arial" w:hAnsi="Arial" w:cs="Arial"/>
        </w:rPr>
        <w:t>Van As only became a trustee of the Deelkraal trust in 2017;</w:t>
      </w:r>
    </w:p>
    <w:p w14:paraId="0A91AC00" w14:textId="77777777" w:rsidR="00E218B1" w:rsidRPr="00E218B1" w:rsidRDefault="00E218B1" w:rsidP="00E218B1">
      <w:pPr>
        <w:pStyle w:val="ListParagraph"/>
        <w:rPr>
          <w:rFonts w:ascii="Arial" w:hAnsi="Arial" w:cs="Arial"/>
        </w:rPr>
      </w:pPr>
    </w:p>
    <w:p w14:paraId="11803C11" w14:textId="757380A3" w:rsidR="00D408F6" w:rsidRPr="00D56EE4" w:rsidRDefault="00D56EE4" w:rsidP="00D56EE4">
      <w:pPr>
        <w:tabs>
          <w:tab w:val="left" w:pos="1134"/>
        </w:tabs>
        <w:spacing w:after="480" w:line="360" w:lineRule="auto"/>
        <w:ind w:left="1860" w:hanging="720"/>
        <w:contextualSpacing/>
        <w:jc w:val="both"/>
        <w:rPr>
          <w:rFonts w:ascii="Arial" w:hAnsi="Arial" w:cs="Arial"/>
        </w:rPr>
      </w:pPr>
      <w:r>
        <w:rPr>
          <w:rFonts w:ascii="Arial" w:hAnsi="Arial" w:cs="Arial"/>
        </w:rPr>
        <w:t>(iv)</w:t>
      </w:r>
      <w:r>
        <w:rPr>
          <w:rFonts w:ascii="Arial" w:hAnsi="Arial" w:cs="Arial"/>
        </w:rPr>
        <w:tab/>
      </w:r>
      <w:r w:rsidR="00D408F6" w:rsidRPr="00D56EE4">
        <w:rPr>
          <w:rFonts w:ascii="Arial" w:hAnsi="Arial" w:cs="Arial"/>
        </w:rPr>
        <w:t xml:space="preserve">After the Pivotal Family trust had obtained control over Star Stone, </w:t>
      </w:r>
      <w:r w:rsidR="00E218B1" w:rsidRPr="00D56EE4">
        <w:rPr>
          <w:rFonts w:ascii="Arial" w:hAnsi="Arial" w:cs="Arial"/>
        </w:rPr>
        <w:t xml:space="preserve">Frik van As </w:t>
      </w:r>
      <w:r w:rsidR="00D408F6" w:rsidRPr="00D56EE4">
        <w:rPr>
          <w:rFonts w:ascii="Arial" w:hAnsi="Arial" w:cs="Arial"/>
        </w:rPr>
        <w:t xml:space="preserve">personally or through the Frik van As trust </w:t>
      </w:r>
      <w:r w:rsidR="00E218B1" w:rsidRPr="00D56EE4">
        <w:rPr>
          <w:rFonts w:ascii="Arial" w:hAnsi="Arial" w:cs="Arial"/>
        </w:rPr>
        <w:t xml:space="preserve">continued to collect for his own account the rental income </w:t>
      </w:r>
      <w:r w:rsidR="00D408F6" w:rsidRPr="00D56EE4">
        <w:rPr>
          <w:rFonts w:ascii="Arial" w:hAnsi="Arial" w:cs="Arial"/>
        </w:rPr>
        <w:t>as he he had done since 2011 to the frustration of Van As;</w:t>
      </w:r>
    </w:p>
    <w:p w14:paraId="7F8D1743" w14:textId="77777777" w:rsidR="00D408F6" w:rsidRPr="00D408F6" w:rsidRDefault="00D408F6" w:rsidP="00D408F6">
      <w:pPr>
        <w:pStyle w:val="ListParagraph"/>
        <w:rPr>
          <w:rFonts w:ascii="Arial" w:hAnsi="Arial" w:cs="Arial"/>
        </w:rPr>
      </w:pPr>
    </w:p>
    <w:p w14:paraId="62C2634B" w14:textId="139D8373" w:rsidR="00580044" w:rsidRPr="00D56EE4" w:rsidRDefault="00D56EE4" w:rsidP="00D56EE4">
      <w:pPr>
        <w:tabs>
          <w:tab w:val="left" w:pos="1134"/>
        </w:tabs>
        <w:spacing w:after="480" w:line="360" w:lineRule="auto"/>
        <w:ind w:left="1860" w:hanging="720"/>
        <w:contextualSpacing/>
        <w:jc w:val="both"/>
        <w:rPr>
          <w:rFonts w:ascii="Arial" w:hAnsi="Arial" w:cs="Arial"/>
        </w:rPr>
      </w:pPr>
      <w:r>
        <w:rPr>
          <w:rFonts w:ascii="Arial" w:hAnsi="Arial" w:cs="Arial"/>
        </w:rPr>
        <w:t>(v)</w:t>
      </w:r>
      <w:r>
        <w:rPr>
          <w:rFonts w:ascii="Arial" w:hAnsi="Arial" w:cs="Arial"/>
        </w:rPr>
        <w:tab/>
      </w:r>
      <w:r w:rsidR="00E218B1" w:rsidRPr="00D56EE4">
        <w:rPr>
          <w:rFonts w:ascii="Arial" w:hAnsi="Arial" w:cs="Arial"/>
        </w:rPr>
        <w:t xml:space="preserve">The disrespect that both Mrs Jacobs and Matthee showed to the order of court </w:t>
      </w:r>
      <w:r w:rsidR="00D408F6" w:rsidRPr="00D56EE4">
        <w:rPr>
          <w:rFonts w:ascii="Arial" w:hAnsi="Arial" w:cs="Arial"/>
        </w:rPr>
        <w:t>despite several warnings to abide the order</w:t>
      </w:r>
      <w:r w:rsidR="00580044" w:rsidRPr="00D56EE4">
        <w:rPr>
          <w:rFonts w:ascii="Arial" w:hAnsi="Arial" w:cs="Arial"/>
        </w:rPr>
        <w:t>;</w:t>
      </w:r>
    </w:p>
    <w:p w14:paraId="56681B1F" w14:textId="77777777" w:rsidR="00580044" w:rsidRPr="00580044" w:rsidRDefault="00580044" w:rsidP="00580044">
      <w:pPr>
        <w:pStyle w:val="ListParagraph"/>
        <w:rPr>
          <w:rFonts w:ascii="Arial" w:hAnsi="Arial" w:cs="Arial"/>
        </w:rPr>
      </w:pPr>
    </w:p>
    <w:p w14:paraId="72E55D29" w14:textId="0571CB80" w:rsidR="00272454" w:rsidRPr="00D56EE4" w:rsidRDefault="00D56EE4" w:rsidP="00D56EE4">
      <w:pPr>
        <w:tabs>
          <w:tab w:val="left" w:pos="1134"/>
        </w:tabs>
        <w:spacing w:after="480" w:line="360" w:lineRule="auto"/>
        <w:ind w:left="1860" w:hanging="720"/>
        <w:contextualSpacing/>
        <w:jc w:val="both"/>
        <w:rPr>
          <w:rFonts w:ascii="Arial" w:hAnsi="Arial" w:cs="Arial"/>
        </w:rPr>
      </w:pPr>
      <w:r>
        <w:rPr>
          <w:rFonts w:ascii="Arial" w:hAnsi="Arial" w:cs="Arial"/>
        </w:rPr>
        <w:t>(vi)</w:t>
      </w:r>
      <w:r>
        <w:rPr>
          <w:rFonts w:ascii="Arial" w:hAnsi="Arial" w:cs="Arial"/>
        </w:rPr>
        <w:tab/>
      </w:r>
      <w:r w:rsidR="00580044" w:rsidRPr="00D56EE4">
        <w:rPr>
          <w:rFonts w:ascii="Arial" w:hAnsi="Arial" w:cs="Arial"/>
        </w:rPr>
        <w:t>There is no indication that Mrs Jacobs and Matthee had terminated the collection of rental income, even after Van As had commenced with the contempt application</w:t>
      </w:r>
      <w:r w:rsidR="00272454" w:rsidRPr="00D56EE4">
        <w:rPr>
          <w:rFonts w:ascii="Arial" w:hAnsi="Arial" w:cs="Arial"/>
        </w:rPr>
        <w:t>;</w:t>
      </w:r>
    </w:p>
    <w:p w14:paraId="6433D31F" w14:textId="77777777" w:rsidR="00272454" w:rsidRPr="00272454" w:rsidRDefault="00272454" w:rsidP="00272454">
      <w:pPr>
        <w:pStyle w:val="ListParagraph"/>
        <w:rPr>
          <w:rFonts w:ascii="Arial" w:hAnsi="Arial" w:cs="Arial"/>
        </w:rPr>
      </w:pPr>
    </w:p>
    <w:p w14:paraId="33373563" w14:textId="0E2D5680" w:rsidR="0051758D" w:rsidRPr="00D56EE4" w:rsidRDefault="00D56EE4" w:rsidP="00D56EE4">
      <w:pPr>
        <w:tabs>
          <w:tab w:val="left" w:pos="1134"/>
        </w:tabs>
        <w:spacing w:after="480" w:line="360" w:lineRule="auto"/>
        <w:ind w:left="1860" w:hanging="720"/>
        <w:contextualSpacing/>
        <w:jc w:val="both"/>
        <w:rPr>
          <w:rFonts w:ascii="Arial" w:hAnsi="Arial" w:cs="Arial"/>
        </w:rPr>
      </w:pPr>
      <w:r w:rsidRPr="00580044">
        <w:rPr>
          <w:rFonts w:ascii="Arial" w:hAnsi="Arial" w:cs="Arial"/>
        </w:rPr>
        <w:t>(vii)</w:t>
      </w:r>
      <w:r w:rsidRPr="00580044">
        <w:rPr>
          <w:rFonts w:ascii="Arial" w:hAnsi="Arial" w:cs="Arial"/>
        </w:rPr>
        <w:tab/>
      </w:r>
      <w:r w:rsidR="00272454" w:rsidRPr="00D56EE4">
        <w:rPr>
          <w:rFonts w:ascii="Arial" w:hAnsi="Arial" w:cs="Arial"/>
        </w:rPr>
        <w:t>Van As is not a knight in shining armour</w:t>
      </w:r>
      <w:r w:rsidR="00580044" w:rsidRPr="00D56EE4">
        <w:rPr>
          <w:rFonts w:ascii="Arial" w:hAnsi="Arial" w:cs="Arial"/>
        </w:rPr>
        <w:t>.</w:t>
      </w:r>
      <w:r w:rsidR="00272454" w:rsidRPr="00D56EE4">
        <w:rPr>
          <w:rFonts w:ascii="Arial" w:hAnsi="Arial" w:cs="Arial"/>
        </w:rPr>
        <w:t xml:space="preserve">  </w:t>
      </w:r>
      <w:r w:rsidR="003E6E19" w:rsidRPr="00D56EE4">
        <w:rPr>
          <w:rFonts w:ascii="Arial" w:hAnsi="Arial" w:cs="Arial"/>
        </w:rPr>
        <w:t xml:space="preserve">Although he is the driving force behind the contempt application, his motivation is not purely the benefit of the trust and the protection of the trust property. He has the </w:t>
      </w:r>
      <w:r w:rsidR="00272454" w:rsidRPr="00D56EE4">
        <w:rPr>
          <w:rFonts w:ascii="Arial" w:hAnsi="Arial" w:cs="Arial"/>
        </w:rPr>
        <w:t>same avaricious goals as</w:t>
      </w:r>
      <w:r w:rsidR="003E6E19" w:rsidRPr="00D56EE4">
        <w:rPr>
          <w:rFonts w:ascii="Arial" w:hAnsi="Arial" w:cs="Arial"/>
        </w:rPr>
        <w:t xml:space="preserve"> the other trustees.</w:t>
      </w:r>
    </w:p>
    <w:p w14:paraId="6807EABC" w14:textId="77777777" w:rsidR="0051758D" w:rsidRPr="00913E1A" w:rsidRDefault="0051758D" w:rsidP="0051758D">
      <w:pPr>
        <w:tabs>
          <w:tab w:val="left" w:pos="1134"/>
        </w:tabs>
        <w:spacing w:after="480" w:line="360" w:lineRule="auto"/>
        <w:ind w:left="1134" w:hanging="1134"/>
        <w:contextualSpacing/>
        <w:jc w:val="both"/>
        <w:rPr>
          <w:rFonts w:ascii="Arial" w:hAnsi="Arial" w:cs="Arial"/>
        </w:rPr>
      </w:pPr>
      <w:r>
        <w:rPr>
          <w:rFonts w:ascii="Arial" w:hAnsi="Arial" w:cs="Arial"/>
        </w:rPr>
        <w:t xml:space="preserve">[51] </w:t>
      </w:r>
      <w:r>
        <w:rPr>
          <w:rFonts w:ascii="Arial" w:hAnsi="Arial" w:cs="Arial"/>
        </w:rPr>
        <w:tab/>
      </w:r>
      <w:r w:rsidR="00D408F6">
        <w:rPr>
          <w:rFonts w:ascii="Arial" w:hAnsi="Arial" w:cs="Arial"/>
        </w:rPr>
        <w:t xml:space="preserve">I assume </w:t>
      </w:r>
      <w:r w:rsidR="00580044">
        <w:rPr>
          <w:rFonts w:ascii="Arial" w:hAnsi="Arial" w:cs="Arial"/>
        </w:rPr>
        <w:t xml:space="preserve">that </w:t>
      </w:r>
      <w:r w:rsidR="00D408F6">
        <w:rPr>
          <w:rFonts w:ascii="Arial" w:hAnsi="Arial" w:cs="Arial"/>
        </w:rPr>
        <w:t xml:space="preserve">the trustees appointed to replace the current trustees will recover from </w:t>
      </w:r>
      <w:r w:rsidR="00580044">
        <w:rPr>
          <w:rFonts w:ascii="Arial" w:hAnsi="Arial" w:cs="Arial"/>
        </w:rPr>
        <w:t xml:space="preserve">them the monies they had appropriated for themselves after the May 2018 resolution. </w:t>
      </w:r>
      <w:r w:rsidR="00D408F6">
        <w:rPr>
          <w:rFonts w:ascii="Arial" w:hAnsi="Arial" w:cs="Arial"/>
        </w:rPr>
        <w:t xml:space="preserve">A fine is </w:t>
      </w:r>
      <w:r w:rsidR="00580044">
        <w:rPr>
          <w:rFonts w:ascii="Arial" w:hAnsi="Arial" w:cs="Arial"/>
        </w:rPr>
        <w:t xml:space="preserve">therefore </w:t>
      </w:r>
      <w:r w:rsidR="00D408F6">
        <w:rPr>
          <w:rFonts w:ascii="Arial" w:hAnsi="Arial" w:cs="Arial"/>
        </w:rPr>
        <w:t>not appropriate</w:t>
      </w:r>
      <w:r w:rsidR="00580044">
        <w:rPr>
          <w:rFonts w:ascii="Arial" w:hAnsi="Arial" w:cs="Arial"/>
        </w:rPr>
        <w:t>. Only a</w:t>
      </w:r>
      <w:r w:rsidR="00D408F6">
        <w:rPr>
          <w:rFonts w:ascii="Arial" w:hAnsi="Arial" w:cs="Arial"/>
        </w:rPr>
        <w:t xml:space="preserve"> custodial sentence </w:t>
      </w:r>
      <w:r w:rsidR="00580044">
        <w:rPr>
          <w:rFonts w:ascii="Arial" w:hAnsi="Arial" w:cs="Arial"/>
        </w:rPr>
        <w:t>remains.  I am of the view that three (3) months imprisonment, suspended for a period of five (5) years on the condition that Mrs Jacobs and Matthee are not found guilty of contempt of court in that period, is an appropriate sentence.</w:t>
      </w:r>
    </w:p>
    <w:p w14:paraId="12C50AFC" w14:textId="77777777" w:rsidR="0095023A" w:rsidRPr="00913E1A" w:rsidRDefault="0095023A" w:rsidP="0095023A">
      <w:pPr>
        <w:tabs>
          <w:tab w:val="left" w:pos="1134"/>
        </w:tabs>
        <w:suppressAutoHyphens/>
        <w:spacing w:line="360" w:lineRule="auto"/>
        <w:jc w:val="both"/>
        <w:rPr>
          <w:rFonts w:ascii="Arial" w:hAnsi="Arial" w:cs="Arial"/>
          <w:spacing w:val="-3"/>
        </w:rPr>
      </w:pPr>
    </w:p>
    <w:p w14:paraId="2C433379" w14:textId="77777777" w:rsidR="00AF449E" w:rsidRPr="00913E1A" w:rsidRDefault="00AF449E" w:rsidP="0095023A">
      <w:pPr>
        <w:tabs>
          <w:tab w:val="left" w:pos="1134"/>
        </w:tabs>
        <w:suppressAutoHyphens/>
        <w:spacing w:line="360" w:lineRule="auto"/>
        <w:jc w:val="both"/>
        <w:rPr>
          <w:rFonts w:ascii="Arial" w:hAnsi="Arial" w:cs="Arial"/>
          <w:spacing w:val="-3"/>
        </w:rPr>
      </w:pPr>
      <w:r w:rsidRPr="00913E1A">
        <w:rPr>
          <w:rFonts w:ascii="Arial" w:hAnsi="Arial" w:cs="Arial"/>
          <w:spacing w:val="-3"/>
        </w:rPr>
        <w:t>Removal of the trustees of the Deelkraal trust</w:t>
      </w:r>
    </w:p>
    <w:p w14:paraId="291A7F34" w14:textId="77777777" w:rsidR="0095023A" w:rsidRPr="00913E1A" w:rsidRDefault="00AF449E" w:rsidP="00AF449E">
      <w:pPr>
        <w:tabs>
          <w:tab w:val="left" w:pos="1134"/>
        </w:tabs>
        <w:suppressAutoHyphens/>
        <w:spacing w:line="360" w:lineRule="auto"/>
        <w:ind w:left="1134" w:hanging="1134"/>
        <w:jc w:val="both"/>
        <w:rPr>
          <w:rFonts w:ascii="Arial" w:hAnsi="Arial" w:cs="Arial"/>
          <w:spacing w:val="-3"/>
        </w:rPr>
      </w:pPr>
      <w:r w:rsidRPr="00913E1A">
        <w:rPr>
          <w:rFonts w:ascii="Arial" w:hAnsi="Arial" w:cs="Arial"/>
        </w:rPr>
        <w:t>[5</w:t>
      </w:r>
      <w:r w:rsidR="0051758D">
        <w:rPr>
          <w:rFonts w:ascii="Arial" w:hAnsi="Arial" w:cs="Arial"/>
        </w:rPr>
        <w:t>2</w:t>
      </w:r>
      <w:r w:rsidRPr="00913E1A">
        <w:rPr>
          <w:rFonts w:ascii="Arial" w:hAnsi="Arial" w:cs="Arial"/>
        </w:rPr>
        <w:t xml:space="preserve">] </w:t>
      </w:r>
      <w:r w:rsidRPr="00913E1A">
        <w:rPr>
          <w:rFonts w:ascii="Arial" w:hAnsi="Arial" w:cs="Arial"/>
        </w:rPr>
        <w:tab/>
      </w:r>
      <w:r w:rsidR="0095023A" w:rsidRPr="00913E1A">
        <w:rPr>
          <w:rFonts w:ascii="Arial" w:hAnsi="Arial" w:cs="Arial"/>
        </w:rPr>
        <w:t xml:space="preserve">Section 20(1) of the </w:t>
      </w:r>
      <w:r w:rsidR="0095023A" w:rsidRPr="004B706B">
        <w:rPr>
          <w:rFonts w:ascii="Arial" w:hAnsi="Arial" w:cs="Arial"/>
          <w:bCs/>
        </w:rPr>
        <w:t>Trust Property Control Act,</w:t>
      </w:r>
      <w:r w:rsidR="0095023A" w:rsidRPr="00913E1A">
        <w:rPr>
          <w:rFonts w:ascii="Arial" w:hAnsi="Arial" w:cs="Arial"/>
        </w:rPr>
        <w:t xml:space="preserve"> No. 57 of 1998 provides as follows:</w:t>
      </w:r>
      <w:bookmarkStart w:id="1" w:name="0-0-0-296445"/>
      <w:bookmarkEnd w:id="1"/>
    </w:p>
    <w:p w14:paraId="788EA3FC" w14:textId="77777777" w:rsidR="004B706B" w:rsidRPr="004B706B" w:rsidRDefault="0095023A" w:rsidP="004B706B">
      <w:pPr>
        <w:tabs>
          <w:tab w:val="left" w:pos="1134"/>
        </w:tabs>
        <w:spacing w:before="360" w:after="360" w:line="360" w:lineRule="auto"/>
        <w:ind w:left="1134"/>
        <w:jc w:val="both"/>
        <w:rPr>
          <w:rFonts w:ascii="Tahoma" w:hAnsi="Tahoma" w:cs="Tahoma"/>
          <w:i/>
        </w:rPr>
      </w:pPr>
      <w:r w:rsidRPr="00913E1A">
        <w:rPr>
          <w:rFonts w:asciiTheme="minorHAnsi" w:hAnsiTheme="minorHAnsi" w:cstheme="minorHAnsi"/>
          <w:i/>
        </w:rPr>
        <w:lastRenderedPageBreak/>
        <w:t xml:space="preserve">A </w:t>
      </w:r>
      <w:r w:rsidR="00913E1A" w:rsidRPr="00913E1A">
        <w:rPr>
          <w:rFonts w:asciiTheme="minorHAnsi" w:hAnsiTheme="minorHAnsi" w:cstheme="minorHAnsi"/>
          <w:i/>
        </w:rPr>
        <w:t>t</w:t>
      </w:r>
      <w:r w:rsidRPr="00913E1A">
        <w:rPr>
          <w:rFonts w:asciiTheme="minorHAnsi" w:hAnsiTheme="minorHAnsi" w:cstheme="minorHAnsi"/>
          <w:i/>
        </w:rPr>
        <w:t xml:space="preserve">rustee may, on the application of the Master or any person having an interest in the </w:t>
      </w:r>
      <w:r w:rsidR="00913E1A" w:rsidRPr="00913E1A">
        <w:rPr>
          <w:rFonts w:asciiTheme="minorHAnsi" w:hAnsiTheme="minorHAnsi" w:cstheme="minorHAnsi"/>
          <w:i/>
        </w:rPr>
        <w:t>t</w:t>
      </w:r>
      <w:r w:rsidRPr="00913E1A">
        <w:rPr>
          <w:rFonts w:asciiTheme="minorHAnsi" w:hAnsiTheme="minorHAnsi" w:cstheme="minorHAnsi"/>
          <w:i/>
        </w:rPr>
        <w:t xml:space="preserve">rust property, at any time be removed from his office by the court if the court is satisfied that such removal will be in the interests of the </w:t>
      </w:r>
      <w:r w:rsidR="00913E1A" w:rsidRPr="00913E1A">
        <w:rPr>
          <w:rFonts w:asciiTheme="minorHAnsi" w:hAnsiTheme="minorHAnsi" w:cstheme="minorHAnsi"/>
          <w:i/>
        </w:rPr>
        <w:t>t</w:t>
      </w:r>
      <w:r w:rsidRPr="00913E1A">
        <w:rPr>
          <w:rFonts w:asciiTheme="minorHAnsi" w:hAnsiTheme="minorHAnsi" w:cstheme="minorHAnsi"/>
          <w:i/>
        </w:rPr>
        <w:t>rust and its beneficiaries</w:t>
      </w:r>
      <w:r w:rsidRPr="00AF449E">
        <w:rPr>
          <w:rFonts w:ascii="Tahoma" w:hAnsi="Tahoma" w:cs="Tahoma"/>
          <w:i/>
        </w:rPr>
        <w:t>.</w:t>
      </w:r>
    </w:p>
    <w:p w14:paraId="1336004C" w14:textId="77777777" w:rsidR="004B706B" w:rsidRDefault="004B706B" w:rsidP="00580044">
      <w:pPr>
        <w:pStyle w:val="Heading2"/>
        <w:shd w:val="clear" w:color="auto" w:fill="FFFFFF"/>
        <w:spacing w:before="240" w:beforeAutospacing="0" w:after="180" w:afterAutospacing="0" w:line="360" w:lineRule="auto"/>
        <w:ind w:left="1134" w:hanging="1134"/>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[53] </w:t>
      </w:r>
      <w:r>
        <w:rPr>
          <w:rFonts w:ascii="Arial" w:hAnsi="Arial" w:cs="Arial"/>
          <w:b w:val="0"/>
          <w:bCs w:val="0"/>
          <w:color w:val="000000" w:themeColor="text1"/>
          <w:sz w:val="24"/>
          <w:szCs w:val="24"/>
        </w:rPr>
        <w:tab/>
        <w:t xml:space="preserve">The applicants have a beneficial interest in the trust property.  They therefore have the necessary locus standi in terms of sec 20(1) </w:t>
      </w:r>
      <w:r>
        <w:rPr>
          <w:rFonts w:ascii="Arial" w:hAnsi="Arial" w:cs="Arial"/>
          <w:b w:val="0"/>
          <w:bCs w:val="0"/>
          <w:color w:val="000000" w:themeColor="text1"/>
          <w:sz w:val="24"/>
          <w:szCs w:val="24"/>
        </w:rPr>
        <w:tab/>
        <w:t>of the Trust Property Control Act to apply for the removal of the current trustees.</w:t>
      </w:r>
    </w:p>
    <w:p w14:paraId="19B61FEE" w14:textId="77777777" w:rsidR="0051758D" w:rsidRDefault="0051758D" w:rsidP="004B706B">
      <w:pPr>
        <w:pStyle w:val="Heading2"/>
        <w:shd w:val="clear" w:color="auto" w:fill="FFFFFF"/>
        <w:spacing w:before="240" w:beforeAutospacing="0" w:after="180" w:afterAutospacing="0" w:line="360" w:lineRule="auto"/>
        <w:ind w:left="1134" w:hanging="1134"/>
        <w:jc w:val="both"/>
        <w:rPr>
          <w:rFonts w:ascii="Arial" w:hAnsi="Arial" w:cs="Arial"/>
          <w:b w:val="0"/>
          <w:bCs w:val="0"/>
          <w:color w:val="000000" w:themeColor="text1"/>
          <w:sz w:val="24"/>
          <w:szCs w:val="24"/>
        </w:rPr>
      </w:pPr>
      <w:r w:rsidRPr="0051758D">
        <w:rPr>
          <w:rFonts w:ascii="Arial" w:hAnsi="Arial" w:cs="Arial"/>
          <w:b w:val="0"/>
          <w:bCs w:val="0"/>
          <w:color w:val="000000" w:themeColor="text1"/>
          <w:sz w:val="24"/>
          <w:szCs w:val="24"/>
        </w:rPr>
        <w:t>[5</w:t>
      </w:r>
      <w:r w:rsidR="004B706B">
        <w:rPr>
          <w:rFonts w:ascii="Arial" w:hAnsi="Arial" w:cs="Arial"/>
          <w:b w:val="0"/>
          <w:bCs w:val="0"/>
          <w:color w:val="000000" w:themeColor="text1"/>
          <w:sz w:val="24"/>
          <w:szCs w:val="24"/>
        </w:rPr>
        <w:t>4</w:t>
      </w:r>
      <w:r w:rsidRPr="0051758D">
        <w:rPr>
          <w:rFonts w:ascii="Arial" w:hAnsi="Arial" w:cs="Arial"/>
          <w:b w:val="0"/>
          <w:bCs w:val="0"/>
          <w:color w:val="000000" w:themeColor="text1"/>
          <w:sz w:val="24"/>
          <w:szCs w:val="24"/>
        </w:rPr>
        <w:t xml:space="preserve">] </w:t>
      </w:r>
      <w:r w:rsidRPr="0051758D">
        <w:rPr>
          <w:rFonts w:ascii="Arial" w:hAnsi="Arial" w:cs="Arial"/>
          <w:b w:val="0"/>
          <w:bCs w:val="0"/>
          <w:color w:val="000000" w:themeColor="text1"/>
          <w:sz w:val="24"/>
          <w:szCs w:val="24"/>
        </w:rPr>
        <w:tab/>
        <w:t xml:space="preserve">The SCA recently, in </w:t>
      </w:r>
      <w:r w:rsidRPr="004B706B">
        <w:rPr>
          <w:rFonts w:ascii="Arial" w:hAnsi="Arial" w:cs="Arial"/>
          <w:b w:val="0"/>
          <w:bCs w:val="0"/>
          <w:i/>
          <w:iCs/>
          <w:color w:val="000000" w:themeColor="text1"/>
          <w:sz w:val="24"/>
          <w:szCs w:val="24"/>
        </w:rPr>
        <w:t xml:space="preserve">Fletcher v McNair </w:t>
      </w:r>
      <w:r w:rsidRPr="0051758D">
        <w:rPr>
          <w:rFonts w:ascii="Arial" w:hAnsi="Arial" w:cs="Arial"/>
          <w:b w:val="0"/>
          <w:bCs w:val="0"/>
          <w:color w:val="000000" w:themeColor="text1"/>
          <w:sz w:val="24"/>
          <w:szCs w:val="24"/>
        </w:rPr>
        <w:t>(1350/2019) [2020] ZASCA 135 (23 October 2020) restated the requirements for the removal of a trustee.</w:t>
      </w:r>
    </w:p>
    <w:p w14:paraId="7AF3A966" w14:textId="77777777" w:rsidR="004B706B" w:rsidRDefault="004B706B" w:rsidP="004B706B">
      <w:pPr>
        <w:pStyle w:val="NormalWeb"/>
        <w:shd w:val="clear" w:color="auto" w:fill="FFFFFF"/>
        <w:spacing w:before="144" w:beforeAutospacing="0" w:after="0" w:afterAutospacing="0" w:line="480" w:lineRule="atLeast"/>
        <w:ind w:left="1134"/>
        <w:jc w:val="both"/>
        <w:rPr>
          <w:rFonts w:ascii="Verdana" w:hAnsi="Verdana"/>
          <w:color w:val="242121"/>
          <w:sz w:val="27"/>
          <w:szCs w:val="27"/>
        </w:rPr>
      </w:pPr>
      <w:r>
        <w:rPr>
          <w:rFonts w:ascii="Arial" w:hAnsi="Arial" w:cs="Arial"/>
          <w:color w:val="000000"/>
          <w:lang w:val="en-US"/>
        </w:rPr>
        <w:t>[19]        </w:t>
      </w:r>
      <w:r>
        <w:rPr>
          <w:rFonts w:ascii="Arial" w:hAnsi="Arial" w:cs="Arial"/>
          <w:color w:val="242121"/>
          <w:lang w:val="en-US"/>
        </w:rPr>
        <w:t>Our jurisprudence on the removal of trustees is neatly collated in </w:t>
      </w:r>
      <w:r>
        <w:rPr>
          <w:rFonts w:ascii="Arial" w:hAnsi="Arial" w:cs="Arial"/>
          <w:i/>
          <w:iCs/>
          <w:color w:val="242121"/>
          <w:lang w:val="en-US"/>
        </w:rPr>
        <w:t>Gowar </w:t>
      </w:r>
      <w:r>
        <w:rPr>
          <w:rFonts w:ascii="Arial" w:hAnsi="Arial" w:cs="Arial"/>
          <w:color w:val="242121"/>
          <w:lang w:val="en-US"/>
        </w:rPr>
        <w:t>at paras 31-32. There, Petse JA undertook a useful examination of authorities, from which the following principles can be distilled:</w:t>
      </w:r>
    </w:p>
    <w:p w14:paraId="70B6BA3E"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 xml:space="preserve">(a)  </w:t>
      </w:r>
      <w:r>
        <w:rPr>
          <w:rFonts w:ascii="Arial" w:hAnsi="Arial" w:cs="Arial"/>
          <w:color w:val="242121"/>
          <w:lang w:val="en-US"/>
        </w:rPr>
        <w:tab/>
        <w:t xml:space="preserve">the court may order the removal of a trustee only if such removal will, as required by s 20(1) of the Act, be in the interests of the </w:t>
      </w:r>
      <w:r w:rsidR="006D10B3">
        <w:rPr>
          <w:rFonts w:ascii="Arial" w:hAnsi="Arial" w:cs="Arial"/>
          <w:color w:val="242121"/>
          <w:lang w:val="en-US"/>
        </w:rPr>
        <w:t>t</w:t>
      </w:r>
      <w:r>
        <w:rPr>
          <w:rFonts w:ascii="Arial" w:hAnsi="Arial" w:cs="Arial"/>
          <w:color w:val="242121"/>
          <w:lang w:val="en-US"/>
        </w:rPr>
        <w:t>rust and its beneficiaries;</w:t>
      </w:r>
    </w:p>
    <w:p w14:paraId="2D13D708"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(b) </w:t>
      </w:r>
      <w:r>
        <w:rPr>
          <w:rFonts w:ascii="Arial" w:hAnsi="Arial" w:cs="Arial"/>
          <w:color w:val="242121"/>
          <w:lang w:val="en-US"/>
        </w:rPr>
        <w:tab/>
        <w:t>the power of the court to remove a trustee must be exercised with circumspection;</w:t>
      </w:r>
    </w:p>
    <w:p w14:paraId="6D2D2725"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 xml:space="preserve">(c)   </w:t>
      </w:r>
      <w:r>
        <w:rPr>
          <w:rFonts w:ascii="Arial" w:hAnsi="Arial" w:cs="Arial"/>
          <w:color w:val="242121"/>
          <w:lang w:val="en-US"/>
        </w:rPr>
        <w:tab/>
        <w:t>the sufficiency of the cause for removal is to be tested by a consideration of the interests of the estate;</w:t>
      </w:r>
    </w:p>
    <w:p w14:paraId="78439D17"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 xml:space="preserve">(d)  </w:t>
      </w:r>
      <w:r>
        <w:rPr>
          <w:rFonts w:ascii="Arial" w:hAnsi="Arial" w:cs="Arial"/>
          <w:color w:val="242121"/>
          <w:lang w:val="en-US"/>
        </w:rPr>
        <w:tab/>
        <w:t>the deliberate wishes of the deceased person to select persons in reliance upon their ability and character to manage the estate, should be respected, and not be lightly interfered with;</w:t>
      </w:r>
    </w:p>
    <w:p w14:paraId="54EE75DD"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 xml:space="preserve">(e)  </w:t>
      </w:r>
      <w:r>
        <w:rPr>
          <w:rFonts w:ascii="Arial" w:hAnsi="Arial" w:cs="Arial"/>
          <w:color w:val="242121"/>
          <w:lang w:val="en-US"/>
        </w:rPr>
        <w:tab/>
        <w:t xml:space="preserve">where there is disharmony, the essential test is whether it imperils the </w:t>
      </w:r>
      <w:r w:rsidR="006D10B3">
        <w:rPr>
          <w:rFonts w:ascii="Arial" w:hAnsi="Arial" w:cs="Arial"/>
          <w:color w:val="242121"/>
          <w:lang w:val="en-US"/>
        </w:rPr>
        <w:t>t</w:t>
      </w:r>
      <w:r>
        <w:rPr>
          <w:rFonts w:ascii="Arial" w:hAnsi="Arial" w:cs="Arial"/>
          <w:color w:val="242121"/>
          <w:lang w:val="en-US"/>
        </w:rPr>
        <w:t>rust estate or its proper administration;</w:t>
      </w:r>
    </w:p>
    <w:p w14:paraId="5B2C7886"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 xml:space="preserve">(f)   </w:t>
      </w:r>
      <w:r>
        <w:rPr>
          <w:rFonts w:ascii="Arial" w:hAnsi="Arial" w:cs="Arial"/>
          <w:color w:val="242121"/>
          <w:lang w:val="en-US"/>
        </w:rPr>
        <w:tab/>
        <w:t>mere friction or enmity between the trustee and the beneficiaries will not in itself be an adequate reason for the removal of the trustee from office;</w:t>
      </w:r>
    </w:p>
    <w:p w14:paraId="54189355"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lastRenderedPageBreak/>
        <w:t xml:space="preserve">(g)  </w:t>
      </w:r>
      <w:r>
        <w:rPr>
          <w:rFonts w:ascii="Arial" w:hAnsi="Arial" w:cs="Arial"/>
          <w:color w:val="242121"/>
          <w:lang w:val="en-US"/>
        </w:rPr>
        <w:tab/>
        <w:t>mere conflict amongst trustees themselves is not a sufficient reason for the removal of a trustee at the suit of another;</w:t>
      </w:r>
    </w:p>
    <w:p w14:paraId="4DD8F7DF"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 xml:space="preserve">(h)  </w:t>
      </w:r>
      <w:r>
        <w:rPr>
          <w:rFonts w:ascii="Arial" w:hAnsi="Arial" w:cs="Arial"/>
          <w:color w:val="242121"/>
          <w:lang w:val="en-US"/>
        </w:rPr>
        <w:tab/>
        <w:t>neither mala fides nor even misconduct are required for the removal of a trustee;</w:t>
      </w:r>
    </w:p>
    <w:p w14:paraId="17AA179B"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Verdana" w:hAnsi="Verdana"/>
          <w:color w:val="242121"/>
          <w:sz w:val="27"/>
          <w:szCs w:val="27"/>
          <w:lang w:val="en-US"/>
        </w:rPr>
      </w:pPr>
      <w:r>
        <w:rPr>
          <w:rFonts w:ascii="Arial" w:hAnsi="Arial" w:cs="Arial"/>
          <w:color w:val="242121"/>
          <w:lang w:val="en-US"/>
        </w:rPr>
        <w:t xml:space="preserve">(i)    </w:t>
      </w:r>
      <w:r>
        <w:rPr>
          <w:rFonts w:ascii="Arial" w:hAnsi="Arial" w:cs="Arial"/>
          <w:color w:val="242121"/>
          <w:lang w:val="en-US"/>
        </w:rPr>
        <w:tab/>
        <w:t>incorrect decisions and non-observance of the strict requirements of the law, do not of themselves, warrant the removal of a trustee;</w:t>
      </w:r>
    </w:p>
    <w:p w14:paraId="735856DE" w14:textId="77777777" w:rsidR="004B706B" w:rsidRDefault="004B706B" w:rsidP="004B706B">
      <w:pPr>
        <w:pStyle w:val="NormalWeb"/>
        <w:shd w:val="clear" w:color="auto" w:fill="FFFFFF"/>
        <w:spacing w:before="144" w:beforeAutospacing="0" w:after="0" w:afterAutospacing="0" w:line="480" w:lineRule="atLeast"/>
        <w:ind w:left="2154" w:hanging="1020"/>
        <w:jc w:val="both"/>
        <w:rPr>
          <w:rFonts w:ascii="Arial" w:hAnsi="Arial" w:cs="Arial"/>
          <w:color w:val="242121"/>
          <w:lang w:val="en-US"/>
        </w:rPr>
      </w:pPr>
      <w:r>
        <w:rPr>
          <w:rFonts w:ascii="Arial" w:hAnsi="Arial" w:cs="Arial"/>
          <w:color w:val="242121"/>
          <w:lang w:val="en-US"/>
        </w:rPr>
        <w:t xml:space="preserve">(j)    </w:t>
      </w:r>
      <w:r>
        <w:rPr>
          <w:rFonts w:ascii="Arial" w:hAnsi="Arial" w:cs="Arial"/>
          <w:color w:val="242121"/>
          <w:lang w:val="en-US"/>
        </w:rPr>
        <w:tab/>
        <w:t xml:space="preserve">the decisive consideration is the welfare of the beneficiaries and the proper administration of the </w:t>
      </w:r>
      <w:r w:rsidR="006D10B3">
        <w:rPr>
          <w:rFonts w:ascii="Arial" w:hAnsi="Arial" w:cs="Arial"/>
          <w:color w:val="242121"/>
          <w:lang w:val="en-US"/>
        </w:rPr>
        <w:t>trust and the trust property</w:t>
      </w:r>
      <w:r>
        <w:rPr>
          <w:rFonts w:ascii="Arial" w:hAnsi="Arial" w:cs="Arial"/>
          <w:color w:val="242121"/>
          <w:lang w:val="en-US"/>
        </w:rPr>
        <w:t>.</w:t>
      </w:r>
    </w:p>
    <w:p w14:paraId="1F098061" w14:textId="77777777" w:rsidR="0095023A" w:rsidRPr="003E6E19" w:rsidRDefault="006D10B3" w:rsidP="00580044">
      <w:pPr>
        <w:tabs>
          <w:tab w:val="left" w:pos="1134"/>
        </w:tabs>
        <w:spacing w:before="360" w:after="360" w:line="360" w:lineRule="auto"/>
        <w:ind w:left="1134" w:hanging="1134"/>
        <w:contextualSpacing/>
        <w:jc w:val="both"/>
        <w:rPr>
          <w:rFonts w:ascii="Arial" w:hAnsi="Arial" w:cs="Arial"/>
          <w:color w:val="000000"/>
          <w:lang w:eastAsia="en-ZA"/>
        </w:rPr>
      </w:pPr>
      <w:r w:rsidRPr="003E6E19">
        <w:rPr>
          <w:rFonts w:ascii="Arial" w:hAnsi="Arial" w:cs="Arial"/>
          <w:color w:val="000000"/>
          <w:lang w:eastAsia="en-ZA"/>
        </w:rPr>
        <w:t xml:space="preserve">[55] </w:t>
      </w:r>
      <w:r w:rsidRPr="003E6E19">
        <w:rPr>
          <w:rFonts w:ascii="Arial" w:hAnsi="Arial" w:cs="Arial"/>
          <w:color w:val="000000"/>
          <w:lang w:eastAsia="en-ZA"/>
        </w:rPr>
        <w:tab/>
      </w:r>
      <w:r w:rsidR="003D4CEF">
        <w:rPr>
          <w:rFonts w:ascii="Arial" w:hAnsi="Arial" w:cs="Arial"/>
          <w:color w:val="000000"/>
          <w:lang w:eastAsia="en-ZA"/>
        </w:rPr>
        <w:t xml:space="preserve">I am mindful of the fact that mere conflict between the trustees is not a ground for removal of trustees.  The acrimony </w:t>
      </w:r>
      <w:r w:rsidR="00CF1104">
        <w:rPr>
          <w:rFonts w:ascii="Arial" w:hAnsi="Arial" w:cs="Arial"/>
          <w:color w:val="000000"/>
          <w:lang w:eastAsia="en-ZA"/>
        </w:rPr>
        <w:t xml:space="preserve">between the trustees in this matter is however of such a nature that it will be in the best interest of the beneficiaries if all the trustees are removed. </w:t>
      </w:r>
      <w:r w:rsidRPr="003E6E19">
        <w:rPr>
          <w:rFonts w:ascii="Arial" w:hAnsi="Arial" w:cs="Arial"/>
          <w:color w:val="000000"/>
          <w:lang w:eastAsia="en-ZA"/>
        </w:rPr>
        <w:t xml:space="preserve">The </w:t>
      </w:r>
      <w:r w:rsidR="00580044" w:rsidRPr="003E6E19">
        <w:rPr>
          <w:rFonts w:ascii="Arial" w:hAnsi="Arial" w:cs="Arial"/>
          <w:color w:val="000000"/>
          <w:lang w:eastAsia="en-ZA"/>
        </w:rPr>
        <w:t xml:space="preserve">conduct of both Mrs Jacobs and Matthee described hereinabove </w:t>
      </w:r>
      <w:r w:rsidR="00272454" w:rsidRPr="003E6E19">
        <w:rPr>
          <w:rFonts w:ascii="Arial" w:hAnsi="Arial" w:cs="Arial"/>
          <w:color w:val="000000"/>
          <w:lang w:eastAsia="en-ZA"/>
        </w:rPr>
        <w:t xml:space="preserve">was improper and not aimed at the </w:t>
      </w:r>
      <w:r w:rsidR="00580044" w:rsidRPr="003E6E19">
        <w:rPr>
          <w:rFonts w:ascii="Arial" w:hAnsi="Arial" w:cs="Arial"/>
          <w:color w:val="000000"/>
          <w:lang w:eastAsia="en-ZA"/>
        </w:rPr>
        <w:t xml:space="preserve">proper administration of the </w:t>
      </w:r>
      <w:r w:rsidRPr="003E6E19">
        <w:rPr>
          <w:rFonts w:ascii="Arial" w:hAnsi="Arial" w:cs="Arial"/>
          <w:color w:val="000000"/>
          <w:lang w:eastAsia="en-ZA"/>
        </w:rPr>
        <w:t xml:space="preserve">Deelkraal trust </w:t>
      </w:r>
      <w:r w:rsidR="00580044" w:rsidRPr="003E6E19">
        <w:rPr>
          <w:rFonts w:ascii="Arial" w:hAnsi="Arial" w:cs="Arial"/>
          <w:color w:val="000000"/>
          <w:lang w:eastAsia="en-ZA"/>
        </w:rPr>
        <w:t>and the trust property</w:t>
      </w:r>
      <w:r w:rsidR="00272454" w:rsidRPr="003E6E19">
        <w:rPr>
          <w:rFonts w:ascii="Arial" w:hAnsi="Arial" w:cs="Arial"/>
          <w:color w:val="000000"/>
          <w:lang w:eastAsia="en-ZA"/>
        </w:rPr>
        <w:t xml:space="preserve">.  </w:t>
      </w:r>
      <w:r w:rsidR="007420B6">
        <w:rPr>
          <w:rFonts w:ascii="Arial" w:hAnsi="Arial" w:cs="Arial"/>
          <w:color w:val="000000"/>
          <w:lang w:eastAsia="en-ZA"/>
        </w:rPr>
        <w:t xml:space="preserve">The trustees have not been able to separate their own affairs and property from the affairs and property of the Deelkraal trust. They lack the ability to act impartially to the benefit of the trust. </w:t>
      </w:r>
      <w:r w:rsidR="00272454" w:rsidRPr="003E6E19">
        <w:rPr>
          <w:rFonts w:ascii="Arial" w:hAnsi="Arial" w:cs="Arial"/>
          <w:color w:val="000000"/>
          <w:lang w:eastAsia="en-ZA"/>
        </w:rPr>
        <w:t>There is no indication that the current trustees will in the near future be able to cooperate with one another to make unanimous decisions.  Summons has already been issued against the trust for payment of R9 million and there is no indication that any of the current trustees ha</w:t>
      </w:r>
      <w:r w:rsidR="003E6E19" w:rsidRPr="003E6E19">
        <w:rPr>
          <w:rFonts w:ascii="Arial" w:hAnsi="Arial" w:cs="Arial"/>
          <w:color w:val="000000"/>
          <w:lang w:eastAsia="en-ZA"/>
        </w:rPr>
        <w:t>s</w:t>
      </w:r>
      <w:r w:rsidR="00272454" w:rsidRPr="003E6E19">
        <w:rPr>
          <w:rFonts w:ascii="Arial" w:hAnsi="Arial" w:cs="Arial"/>
          <w:color w:val="000000"/>
          <w:lang w:eastAsia="en-ZA"/>
        </w:rPr>
        <w:t xml:space="preserve"> done anything to compromise that debt.  </w:t>
      </w:r>
      <w:r w:rsidR="003E6E19" w:rsidRPr="003E6E19">
        <w:rPr>
          <w:rFonts w:ascii="Arial" w:hAnsi="Arial" w:cs="Arial"/>
          <w:color w:val="000000"/>
          <w:lang w:eastAsia="en-ZA"/>
        </w:rPr>
        <w:t xml:space="preserve">Instead of acting in good faith to the trust and its beneficiaries, </w:t>
      </w:r>
      <w:r w:rsidR="00272454" w:rsidRPr="003E6E19">
        <w:rPr>
          <w:rFonts w:ascii="Arial" w:hAnsi="Arial" w:cs="Arial"/>
          <w:color w:val="000000"/>
          <w:lang w:eastAsia="en-ZA"/>
        </w:rPr>
        <w:t>they want to do is to fleece their own pockets.</w:t>
      </w:r>
    </w:p>
    <w:p w14:paraId="4A8EDB49" w14:textId="77777777" w:rsidR="003E6E19" w:rsidRPr="003E6E19" w:rsidRDefault="003E6E19" w:rsidP="00580044">
      <w:pPr>
        <w:tabs>
          <w:tab w:val="left" w:pos="1134"/>
        </w:tabs>
        <w:spacing w:before="360" w:after="360" w:line="360" w:lineRule="auto"/>
        <w:ind w:left="1134" w:hanging="1134"/>
        <w:contextualSpacing/>
        <w:jc w:val="both"/>
        <w:rPr>
          <w:rFonts w:ascii="Arial" w:hAnsi="Arial" w:cs="Arial"/>
          <w:color w:val="000000"/>
          <w:lang w:eastAsia="en-ZA"/>
        </w:rPr>
      </w:pPr>
    </w:p>
    <w:p w14:paraId="657F5563" w14:textId="77777777" w:rsidR="003E6E19" w:rsidRDefault="003E6E19" w:rsidP="003D4CEF">
      <w:pPr>
        <w:tabs>
          <w:tab w:val="left" w:pos="1134"/>
        </w:tabs>
        <w:spacing w:before="360" w:after="360" w:line="360" w:lineRule="auto"/>
        <w:ind w:left="1134" w:hanging="1134"/>
        <w:contextualSpacing/>
        <w:jc w:val="both"/>
        <w:rPr>
          <w:rFonts w:ascii="Arial" w:hAnsi="Arial" w:cs="Arial"/>
          <w:color w:val="000000"/>
          <w:lang w:eastAsia="en-ZA"/>
        </w:rPr>
      </w:pPr>
      <w:r w:rsidRPr="003E6E19">
        <w:rPr>
          <w:rFonts w:ascii="Arial" w:hAnsi="Arial" w:cs="Arial"/>
          <w:color w:val="000000"/>
          <w:lang w:eastAsia="en-ZA"/>
        </w:rPr>
        <w:t xml:space="preserve">[56] </w:t>
      </w:r>
      <w:r w:rsidRPr="003E6E19">
        <w:rPr>
          <w:rFonts w:ascii="Arial" w:hAnsi="Arial" w:cs="Arial"/>
          <w:color w:val="000000"/>
          <w:lang w:eastAsia="en-ZA"/>
        </w:rPr>
        <w:tab/>
      </w:r>
      <w:r w:rsidR="007420B6">
        <w:rPr>
          <w:rFonts w:ascii="Arial" w:hAnsi="Arial" w:cs="Arial"/>
          <w:color w:val="000000"/>
          <w:lang w:eastAsia="en-ZA"/>
        </w:rPr>
        <w:t xml:space="preserve">Both Van As and Mrs Jacobs have indicated that they are prepared to resign as trustees, if the other were to </w:t>
      </w:r>
      <w:r w:rsidR="003D4CEF">
        <w:rPr>
          <w:rFonts w:ascii="Arial" w:hAnsi="Arial" w:cs="Arial"/>
          <w:color w:val="000000"/>
          <w:lang w:eastAsia="en-ZA"/>
        </w:rPr>
        <w:t xml:space="preserve">leave office.  Both the main application and the counterapplication seek the removal of the present trustees.  </w:t>
      </w:r>
      <w:r>
        <w:rPr>
          <w:rFonts w:ascii="Arial" w:hAnsi="Arial" w:cs="Arial"/>
          <w:color w:val="000000"/>
          <w:lang w:eastAsia="en-ZA"/>
        </w:rPr>
        <w:t xml:space="preserve">It is necessary to regularise the affairs of the Deelkraal trust.  The appointment of independent trustees by the Master of the High Court </w:t>
      </w:r>
      <w:r w:rsidR="007420B6">
        <w:rPr>
          <w:rFonts w:ascii="Arial" w:hAnsi="Arial" w:cs="Arial"/>
          <w:color w:val="000000"/>
          <w:lang w:eastAsia="en-ZA"/>
        </w:rPr>
        <w:t>should achieve that.</w:t>
      </w:r>
      <w:r>
        <w:rPr>
          <w:rFonts w:ascii="Arial" w:hAnsi="Arial" w:cs="Arial"/>
          <w:color w:val="000000"/>
          <w:lang w:eastAsia="en-ZA"/>
        </w:rPr>
        <w:t xml:space="preserve"> </w:t>
      </w:r>
      <w:r w:rsidR="007420B6">
        <w:rPr>
          <w:rFonts w:ascii="Arial" w:hAnsi="Arial" w:cs="Arial"/>
          <w:color w:val="000000"/>
          <w:lang w:eastAsia="en-ZA"/>
        </w:rPr>
        <w:t xml:space="preserve"> </w:t>
      </w:r>
    </w:p>
    <w:p w14:paraId="60FB96F2" w14:textId="77777777" w:rsidR="003D4CEF" w:rsidRDefault="003D4CEF" w:rsidP="003D4CEF">
      <w:pPr>
        <w:tabs>
          <w:tab w:val="left" w:pos="1134"/>
        </w:tabs>
        <w:spacing w:before="360" w:after="360" w:line="360" w:lineRule="auto"/>
        <w:ind w:left="1134" w:hanging="1134"/>
        <w:contextualSpacing/>
        <w:jc w:val="both"/>
        <w:rPr>
          <w:rFonts w:ascii="Arial" w:hAnsi="Arial" w:cs="Arial"/>
          <w:color w:val="000000"/>
          <w:lang w:eastAsia="en-ZA"/>
        </w:rPr>
      </w:pPr>
    </w:p>
    <w:p w14:paraId="2EDAB5E8" w14:textId="77777777" w:rsidR="003D4CEF" w:rsidRDefault="003D4CEF" w:rsidP="003D4CEF">
      <w:pPr>
        <w:tabs>
          <w:tab w:val="left" w:pos="1134"/>
        </w:tabs>
        <w:spacing w:before="360" w:after="360" w:line="360" w:lineRule="auto"/>
        <w:ind w:left="1134" w:hanging="1134"/>
        <w:contextualSpacing/>
        <w:jc w:val="both"/>
        <w:rPr>
          <w:rFonts w:ascii="Arial" w:hAnsi="Arial" w:cs="Arial"/>
          <w:color w:val="000000"/>
          <w:lang w:eastAsia="en-ZA"/>
        </w:rPr>
      </w:pPr>
      <w:r>
        <w:rPr>
          <w:rFonts w:ascii="Arial" w:hAnsi="Arial" w:cs="Arial"/>
          <w:color w:val="000000"/>
          <w:lang w:eastAsia="en-ZA"/>
        </w:rPr>
        <w:lastRenderedPageBreak/>
        <w:t xml:space="preserve">[57] </w:t>
      </w:r>
      <w:r>
        <w:rPr>
          <w:rFonts w:ascii="Arial" w:hAnsi="Arial" w:cs="Arial"/>
          <w:color w:val="000000"/>
          <w:lang w:eastAsia="en-ZA"/>
        </w:rPr>
        <w:tab/>
        <w:t xml:space="preserve">It follows that all the trustees stand to be removed and the Master be directed to appoint new trustees.  </w:t>
      </w:r>
    </w:p>
    <w:p w14:paraId="17813FA7" w14:textId="77777777" w:rsidR="00CF1104" w:rsidRDefault="00CF1104" w:rsidP="003D4CEF">
      <w:pPr>
        <w:tabs>
          <w:tab w:val="left" w:pos="1134"/>
        </w:tabs>
        <w:spacing w:before="360" w:after="360" w:line="360" w:lineRule="auto"/>
        <w:ind w:left="1134" w:hanging="1134"/>
        <w:contextualSpacing/>
        <w:jc w:val="both"/>
        <w:rPr>
          <w:rFonts w:ascii="Arial" w:hAnsi="Arial" w:cs="Arial"/>
          <w:color w:val="000000"/>
          <w:lang w:eastAsia="en-ZA"/>
        </w:rPr>
      </w:pPr>
    </w:p>
    <w:p w14:paraId="5473B040" w14:textId="77777777" w:rsidR="00C2382F" w:rsidRDefault="00C2382F" w:rsidP="003D4CEF">
      <w:pPr>
        <w:tabs>
          <w:tab w:val="left" w:pos="1134"/>
        </w:tabs>
        <w:spacing w:before="360" w:after="360" w:line="360" w:lineRule="auto"/>
        <w:ind w:left="1134" w:hanging="1134"/>
        <w:contextualSpacing/>
        <w:jc w:val="both"/>
        <w:rPr>
          <w:rFonts w:ascii="Arial" w:hAnsi="Arial" w:cs="Arial"/>
          <w:color w:val="000000"/>
          <w:lang w:eastAsia="en-ZA"/>
        </w:rPr>
      </w:pPr>
      <w:r>
        <w:rPr>
          <w:rFonts w:ascii="Arial" w:hAnsi="Arial" w:cs="Arial"/>
          <w:color w:val="000000"/>
          <w:lang w:eastAsia="en-ZA"/>
        </w:rPr>
        <w:t>Amendment of the trust deed</w:t>
      </w:r>
    </w:p>
    <w:p w14:paraId="753D6522" w14:textId="77777777" w:rsidR="00CF1104" w:rsidRDefault="00C2382F" w:rsidP="003D4CEF">
      <w:pPr>
        <w:tabs>
          <w:tab w:val="left" w:pos="1134"/>
        </w:tabs>
        <w:spacing w:before="360" w:after="360" w:line="360" w:lineRule="auto"/>
        <w:ind w:left="1134" w:hanging="1134"/>
        <w:contextualSpacing/>
        <w:jc w:val="both"/>
        <w:rPr>
          <w:rFonts w:ascii="Arial" w:hAnsi="Arial" w:cs="Arial"/>
          <w:color w:val="000000"/>
          <w:lang w:eastAsia="en-ZA"/>
        </w:rPr>
      </w:pPr>
      <w:r>
        <w:rPr>
          <w:rFonts w:ascii="Arial" w:hAnsi="Arial" w:cs="Arial"/>
          <w:color w:val="000000"/>
          <w:lang w:eastAsia="en-ZA"/>
        </w:rPr>
        <w:t>[58]</w:t>
      </w:r>
      <w:r>
        <w:rPr>
          <w:rFonts w:ascii="Arial" w:hAnsi="Arial" w:cs="Arial"/>
          <w:color w:val="000000"/>
          <w:lang w:eastAsia="en-ZA"/>
        </w:rPr>
        <w:tab/>
        <w:t>The applicants in the third place seek an order in terms of section 13 of the Trust Property Control Act, 57 of 1988 for the amendment of the trust deed.  The section reads as follows:</w:t>
      </w:r>
    </w:p>
    <w:p w14:paraId="4F5DBA0B" w14:textId="77777777" w:rsidR="00C2382F" w:rsidRDefault="00C2382F" w:rsidP="003D4CEF">
      <w:pPr>
        <w:tabs>
          <w:tab w:val="left" w:pos="1134"/>
        </w:tabs>
        <w:spacing w:before="360" w:after="360" w:line="360" w:lineRule="auto"/>
        <w:ind w:left="1134" w:hanging="1134"/>
        <w:contextualSpacing/>
        <w:jc w:val="both"/>
        <w:rPr>
          <w:rFonts w:ascii="Arial" w:hAnsi="Arial" w:cs="Arial"/>
          <w:color w:val="000000"/>
          <w:lang w:eastAsia="en-ZA"/>
        </w:rPr>
      </w:pPr>
      <w:r>
        <w:rPr>
          <w:rFonts w:ascii="Arial" w:hAnsi="Arial" w:cs="Arial"/>
          <w:color w:val="000000"/>
          <w:lang w:eastAsia="en-ZA"/>
        </w:rPr>
        <w:tab/>
      </w:r>
    </w:p>
    <w:p w14:paraId="59B71907" w14:textId="77777777" w:rsidR="00C2382F" w:rsidRPr="00C2382F" w:rsidRDefault="00C2382F" w:rsidP="00C2382F">
      <w:pPr>
        <w:tabs>
          <w:tab w:val="left" w:pos="1134"/>
        </w:tabs>
        <w:spacing w:before="360" w:after="360" w:line="360" w:lineRule="auto"/>
        <w:ind w:left="1134"/>
        <w:contextualSpacing/>
        <w:jc w:val="both"/>
        <w:rPr>
          <w:rFonts w:asciiTheme="minorHAnsi" w:hAnsiTheme="minorHAnsi" w:cstheme="minorHAnsi"/>
          <w:color w:val="000000"/>
          <w:lang w:eastAsia="en-ZA"/>
        </w:rPr>
      </w:pPr>
      <w:r w:rsidRPr="00C2382F">
        <w:rPr>
          <w:rFonts w:asciiTheme="minorHAnsi" w:hAnsiTheme="minorHAnsi" w:cstheme="minorHAnsi"/>
          <w:color w:val="000000"/>
          <w:lang w:eastAsia="en-ZA"/>
        </w:rPr>
        <w:t>If a trust instrument contains any provision which brings about consequences which in the opinion of the court the founder of a trust did not contemplate or foresee and which –</w:t>
      </w:r>
    </w:p>
    <w:p w14:paraId="604803FF" w14:textId="12C09FEB" w:rsidR="0095023A" w:rsidRPr="00D56EE4" w:rsidRDefault="00D56EE4" w:rsidP="00D56EE4">
      <w:pPr>
        <w:tabs>
          <w:tab w:val="left" w:pos="1134"/>
        </w:tabs>
        <w:spacing w:before="360" w:after="360" w:line="360" w:lineRule="auto"/>
        <w:ind w:left="1500" w:hanging="360"/>
        <w:jc w:val="both"/>
        <w:rPr>
          <w:rFonts w:asciiTheme="minorHAnsi" w:hAnsiTheme="minorHAnsi" w:cstheme="minorHAnsi"/>
        </w:rPr>
      </w:pPr>
      <w:r w:rsidRPr="00C2382F">
        <w:rPr>
          <w:rFonts w:asciiTheme="minorHAnsi" w:hAnsiTheme="minorHAnsi" w:cstheme="minorHAnsi"/>
        </w:rPr>
        <w:t>(a)</w:t>
      </w:r>
      <w:r w:rsidRPr="00C2382F">
        <w:rPr>
          <w:rFonts w:asciiTheme="minorHAnsi" w:hAnsiTheme="minorHAnsi" w:cstheme="minorHAnsi"/>
        </w:rPr>
        <w:tab/>
      </w:r>
      <w:r w:rsidR="00C2382F" w:rsidRPr="00D56EE4">
        <w:rPr>
          <w:rFonts w:asciiTheme="minorHAnsi" w:hAnsiTheme="minorHAnsi" w:cstheme="minorHAnsi"/>
        </w:rPr>
        <w:t xml:space="preserve"> </w:t>
      </w:r>
      <w:r w:rsidR="00C2382F" w:rsidRPr="00D56EE4">
        <w:rPr>
          <w:rFonts w:asciiTheme="minorHAnsi" w:hAnsiTheme="minorHAnsi" w:cstheme="minorHAnsi"/>
        </w:rPr>
        <w:tab/>
        <w:t>hampers the achievement of the objects of the founder; or</w:t>
      </w:r>
    </w:p>
    <w:p w14:paraId="45CE4167" w14:textId="72241263" w:rsidR="00C2382F" w:rsidRPr="00D56EE4" w:rsidRDefault="00D56EE4" w:rsidP="00D56EE4">
      <w:pPr>
        <w:tabs>
          <w:tab w:val="left" w:pos="1134"/>
        </w:tabs>
        <w:spacing w:before="360" w:after="360" w:line="360" w:lineRule="auto"/>
        <w:ind w:left="1500" w:hanging="360"/>
        <w:jc w:val="both"/>
        <w:rPr>
          <w:rFonts w:asciiTheme="minorHAnsi" w:hAnsiTheme="minorHAnsi" w:cstheme="minorHAnsi"/>
        </w:rPr>
      </w:pPr>
      <w:r w:rsidRPr="00C2382F">
        <w:rPr>
          <w:rFonts w:asciiTheme="minorHAnsi" w:hAnsiTheme="minorHAnsi" w:cstheme="minorHAnsi"/>
        </w:rPr>
        <w:t>(b)</w:t>
      </w:r>
      <w:r w:rsidRPr="00C2382F">
        <w:rPr>
          <w:rFonts w:asciiTheme="minorHAnsi" w:hAnsiTheme="minorHAnsi" w:cstheme="minorHAnsi"/>
        </w:rPr>
        <w:tab/>
      </w:r>
      <w:r w:rsidR="00C2382F" w:rsidRPr="00D56EE4">
        <w:rPr>
          <w:rFonts w:asciiTheme="minorHAnsi" w:hAnsiTheme="minorHAnsi" w:cstheme="minorHAnsi"/>
        </w:rPr>
        <w:t xml:space="preserve"> </w:t>
      </w:r>
      <w:r w:rsidR="00C2382F" w:rsidRPr="00D56EE4">
        <w:rPr>
          <w:rFonts w:asciiTheme="minorHAnsi" w:hAnsiTheme="minorHAnsi" w:cstheme="minorHAnsi"/>
        </w:rPr>
        <w:tab/>
        <w:t xml:space="preserve">Prejudices the interests of the beneficiaries; or </w:t>
      </w:r>
    </w:p>
    <w:p w14:paraId="14AFD840" w14:textId="30D795DE" w:rsidR="00C2382F" w:rsidRPr="00D56EE4" w:rsidRDefault="00D56EE4" w:rsidP="00D56EE4">
      <w:pPr>
        <w:tabs>
          <w:tab w:val="left" w:pos="1134"/>
        </w:tabs>
        <w:spacing w:before="360" w:after="360" w:line="360" w:lineRule="auto"/>
        <w:ind w:left="1500" w:hanging="360"/>
        <w:jc w:val="both"/>
        <w:rPr>
          <w:rFonts w:asciiTheme="minorHAnsi" w:hAnsiTheme="minorHAnsi" w:cstheme="minorHAnsi"/>
        </w:rPr>
      </w:pPr>
      <w:r w:rsidRPr="00C2382F">
        <w:rPr>
          <w:rFonts w:asciiTheme="minorHAnsi" w:hAnsiTheme="minorHAnsi" w:cstheme="minorHAnsi"/>
        </w:rPr>
        <w:t>(c)</w:t>
      </w:r>
      <w:r w:rsidRPr="00C2382F">
        <w:rPr>
          <w:rFonts w:asciiTheme="minorHAnsi" w:hAnsiTheme="minorHAnsi" w:cstheme="minorHAnsi"/>
        </w:rPr>
        <w:tab/>
      </w:r>
      <w:r w:rsidR="00C2382F" w:rsidRPr="00D56EE4">
        <w:rPr>
          <w:rFonts w:asciiTheme="minorHAnsi" w:hAnsiTheme="minorHAnsi" w:cstheme="minorHAnsi"/>
        </w:rPr>
        <w:t xml:space="preserve"> </w:t>
      </w:r>
      <w:r w:rsidR="00C2382F" w:rsidRPr="00D56EE4">
        <w:rPr>
          <w:rFonts w:asciiTheme="minorHAnsi" w:hAnsiTheme="minorHAnsi" w:cstheme="minorHAnsi"/>
        </w:rPr>
        <w:tab/>
        <w:t>is in conflict with the public interest,</w:t>
      </w:r>
    </w:p>
    <w:p w14:paraId="3907BBD5" w14:textId="77777777" w:rsidR="00C2382F" w:rsidRPr="00C2382F" w:rsidRDefault="00C2382F" w:rsidP="00C2382F">
      <w:pPr>
        <w:tabs>
          <w:tab w:val="left" w:pos="1134"/>
        </w:tabs>
        <w:spacing w:before="360" w:after="360" w:line="360" w:lineRule="auto"/>
        <w:ind w:left="1140"/>
        <w:jc w:val="both"/>
        <w:rPr>
          <w:rFonts w:ascii="Tahoma" w:hAnsi="Tahoma" w:cs="Tahoma"/>
        </w:rPr>
      </w:pPr>
      <w:r w:rsidRPr="00C2382F">
        <w:rPr>
          <w:rFonts w:asciiTheme="minorHAnsi" w:hAnsiTheme="minorHAnsi" w:cstheme="minorHAnsi"/>
        </w:rPr>
        <w:t>the court may, on application of the trustee or any person who in the opinion of the court has a sufficient interest in the trust property, delete or vary any such provision or make in respect thereof any order which the court deems just, including an order whereby particular trust property is substituted for particular other property, or an order terminating the trust.</w:t>
      </w:r>
    </w:p>
    <w:p w14:paraId="78BDB723" w14:textId="77777777" w:rsidR="007E3E58" w:rsidRPr="007E3E58" w:rsidRDefault="00C2382F" w:rsidP="007E3E58">
      <w:pPr>
        <w:tabs>
          <w:tab w:val="left" w:pos="1134"/>
        </w:tabs>
        <w:spacing w:before="360" w:after="360" w:line="360" w:lineRule="auto"/>
        <w:ind w:left="1134" w:hanging="1134"/>
        <w:jc w:val="both"/>
        <w:rPr>
          <w:rFonts w:ascii="Tahoma" w:hAnsi="Tahoma" w:cs="Tahoma"/>
          <w:lang w:eastAsia="en-ZA"/>
        </w:rPr>
      </w:pPr>
      <w:r w:rsidRPr="00C2382F">
        <w:rPr>
          <w:rFonts w:ascii="Arial" w:hAnsi="Arial" w:cs="Arial"/>
          <w:bCs/>
        </w:rPr>
        <w:t xml:space="preserve">[59] </w:t>
      </w:r>
      <w:r w:rsidRPr="00C2382F">
        <w:rPr>
          <w:rFonts w:ascii="Arial" w:hAnsi="Arial" w:cs="Arial"/>
          <w:bCs/>
        </w:rPr>
        <w:tab/>
      </w:r>
      <w:bookmarkStart w:id="2" w:name="top_fn5"/>
      <w:bookmarkEnd w:id="2"/>
      <w:r w:rsidR="007E3E58">
        <w:rPr>
          <w:rFonts w:ascii="Arial" w:hAnsi="Arial" w:cs="Arial"/>
          <w:bCs/>
        </w:rPr>
        <w:t xml:space="preserve">There is no doubt that the founder and trustee of a trust can vary the trust deed without the interference of the court.  </w:t>
      </w:r>
      <w:r w:rsidR="00EF5F88">
        <w:rPr>
          <w:rFonts w:ascii="Tahoma" w:hAnsi="Tahoma" w:cs="Tahoma"/>
          <w:lang w:eastAsia="en-ZA"/>
        </w:rPr>
        <w:t xml:space="preserve">In </w:t>
      </w:r>
      <w:r w:rsidR="007E3E58" w:rsidRPr="007E3E58">
        <w:rPr>
          <w:rFonts w:ascii="Arial" w:hAnsi="Arial" w:cs="Arial"/>
          <w:i/>
          <w:iCs/>
          <w:color w:val="000000" w:themeColor="text1"/>
        </w:rPr>
        <w:t xml:space="preserve">Potgieter v Potgieter NO and Others  </w:t>
      </w:r>
      <w:r w:rsidR="007E3E58" w:rsidRPr="007E3E58">
        <w:rPr>
          <w:rFonts w:ascii="Arial" w:hAnsi="Arial" w:cs="Arial"/>
          <w:color w:val="000000" w:themeColor="text1"/>
        </w:rPr>
        <w:t>2012 (1) SA 637 (SCA)</w:t>
      </w:r>
      <w:r w:rsidR="007E3E58" w:rsidRPr="007E3E58">
        <w:rPr>
          <w:rFonts w:ascii="Arial" w:hAnsi="Arial" w:cs="Arial"/>
          <w:i/>
          <w:iCs/>
          <w:color w:val="000000" w:themeColor="text1"/>
        </w:rPr>
        <w:t xml:space="preserve"> </w:t>
      </w:r>
      <w:r w:rsidR="007E3E58">
        <w:rPr>
          <w:rFonts w:ascii="Arial" w:hAnsi="Arial" w:cs="Arial"/>
          <w:color w:val="000000" w:themeColor="text1"/>
        </w:rPr>
        <w:t xml:space="preserve">the court in respect of the amendment of a trust instrument held that - </w:t>
      </w:r>
    </w:p>
    <w:p w14:paraId="2127B4F9" w14:textId="77777777" w:rsidR="0095023A" w:rsidRPr="00711603" w:rsidRDefault="007E3E58" w:rsidP="00711603">
      <w:pPr>
        <w:tabs>
          <w:tab w:val="left" w:pos="1134"/>
        </w:tabs>
        <w:spacing w:before="360" w:after="360" w:line="360" w:lineRule="auto"/>
        <w:ind w:left="1134" w:hanging="1134"/>
        <w:jc w:val="both"/>
        <w:rPr>
          <w:rFonts w:asciiTheme="minorHAnsi" w:hAnsiTheme="minorHAnsi" w:cstheme="minorHAnsi"/>
          <w:color w:val="000000" w:themeColor="text1"/>
        </w:rPr>
      </w:pPr>
      <w:r>
        <w:rPr>
          <w:rFonts w:ascii="Verdana" w:hAnsi="Verdana"/>
          <w:color w:val="242121"/>
          <w:sz w:val="27"/>
          <w:szCs w:val="27"/>
          <w:shd w:val="clear" w:color="auto" w:fill="FFFFFF"/>
        </w:rPr>
        <w:tab/>
      </w:r>
      <w:r w:rsidRPr="007E3E58">
        <w:rPr>
          <w:rFonts w:asciiTheme="minorHAnsi" w:hAnsiTheme="minorHAnsi" w:cstheme="minorHAnsi"/>
          <w:color w:val="000000" w:themeColor="text1"/>
          <w:shd w:val="clear" w:color="auto" w:fill="FFFFFF"/>
        </w:rPr>
        <w:t xml:space="preserve">[18] </w:t>
      </w:r>
      <w:r w:rsidRPr="007E3E58">
        <w:rPr>
          <w:rFonts w:asciiTheme="minorHAnsi" w:hAnsiTheme="minorHAnsi" w:cstheme="minorHAnsi"/>
          <w:color w:val="000000" w:themeColor="text1"/>
          <w:shd w:val="clear" w:color="auto" w:fill="FFFFFF"/>
        </w:rPr>
        <w:tab/>
        <w:t>… I believe these principles can be formulated thus: a trust deed executed by a founder and trustees of a trust for the benefit of others is akin to a contract for the benefit of a third party, also known as a </w:t>
      </w:r>
      <w:r w:rsidRPr="007E3E58">
        <w:rPr>
          <w:rFonts w:asciiTheme="minorHAnsi" w:hAnsiTheme="minorHAnsi" w:cstheme="minorHAnsi"/>
          <w:i/>
          <w:iCs/>
          <w:color w:val="000000" w:themeColor="text1"/>
          <w:shd w:val="clear" w:color="auto" w:fill="FFFFFF"/>
        </w:rPr>
        <w:t>stipulatio alteri</w:t>
      </w:r>
      <w:r w:rsidRPr="007E3E58">
        <w:rPr>
          <w:rFonts w:asciiTheme="minorHAnsi" w:hAnsiTheme="minorHAnsi" w:cstheme="minorHAnsi"/>
          <w:color w:val="000000" w:themeColor="text1"/>
          <w:shd w:val="clear" w:color="auto" w:fill="FFFFFF"/>
        </w:rPr>
        <w:t xml:space="preserve">. In consequence, the founder and trustee can vary or even cancel the agreement </w:t>
      </w:r>
      <w:r w:rsidRPr="007E3E58">
        <w:rPr>
          <w:rFonts w:asciiTheme="minorHAnsi" w:hAnsiTheme="minorHAnsi" w:cstheme="minorHAnsi"/>
          <w:color w:val="000000" w:themeColor="text1"/>
          <w:shd w:val="clear" w:color="auto" w:fill="FFFFFF"/>
        </w:rPr>
        <w:lastRenderedPageBreak/>
        <w:t>between them before the third party has accepted the benefits conferred on him or her by the trust deed. But once the beneficiary has accepted those benefits, the trust deed can only be varied with his or her consent. The reason is that, as in the case of a </w:t>
      </w:r>
      <w:r w:rsidRPr="007E3E58">
        <w:rPr>
          <w:rFonts w:asciiTheme="minorHAnsi" w:hAnsiTheme="minorHAnsi" w:cstheme="minorHAnsi"/>
          <w:i/>
          <w:iCs/>
          <w:color w:val="000000" w:themeColor="text1"/>
          <w:shd w:val="clear" w:color="auto" w:fill="FFFFFF"/>
        </w:rPr>
        <w:t>stipulatio alteri</w:t>
      </w:r>
      <w:r w:rsidRPr="007E3E58">
        <w:rPr>
          <w:rFonts w:asciiTheme="minorHAnsi" w:hAnsiTheme="minorHAnsi" w:cstheme="minorHAnsi"/>
          <w:color w:val="000000" w:themeColor="text1"/>
          <w:shd w:val="clear" w:color="auto" w:fill="FFFFFF"/>
        </w:rPr>
        <w:t>, it is only upon acceptance that the beneficiaries acquire rights under the trust (see eg </w:t>
      </w:r>
      <w:r w:rsidRPr="007E3E58">
        <w:rPr>
          <w:rFonts w:asciiTheme="minorHAnsi" w:hAnsiTheme="minorHAnsi" w:cstheme="minorHAnsi"/>
          <w:i/>
          <w:iCs/>
          <w:color w:val="000000" w:themeColor="text1"/>
          <w:shd w:val="clear" w:color="auto" w:fill="FFFFFF"/>
        </w:rPr>
        <w:t>Crookes NO v Watson </w:t>
      </w:r>
      <w:hyperlink r:id="rId12" w:tooltip="View LawCiteRecord" w:history="1">
        <w:r w:rsidRPr="007E3E58">
          <w:rPr>
            <w:rStyle w:val="Hyperlink"/>
            <w:rFonts w:asciiTheme="minorHAnsi" w:hAnsiTheme="minorHAnsi" w:cstheme="minorHAnsi"/>
            <w:color w:val="000000" w:themeColor="text1"/>
            <w:u w:val="none"/>
            <w:shd w:val="clear" w:color="auto" w:fill="FFFFFF"/>
          </w:rPr>
          <w:t>1956 (1) SA 277</w:t>
        </w:r>
      </w:hyperlink>
      <w:r w:rsidRPr="007E3E58">
        <w:rPr>
          <w:rFonts w:asciiTheme="minorHAnsi" w:hAnsiTheme="minorHAnsi" w:cstheme="minorHAnsi"/>
          <w:color w:val="000000" w:themeColor="text1"/>
          <w:shd w:val="clear" w:color="auto" w:fill="FFFFFF"/>
        </w:rPr>
        <w:t> (A) at 285F; </w:t>
      </w:r>
      <w:r w:rsidRPr="007E3E58">
        <w:rPr>
          <w:rFonts w:asciiTheme="minorHAnsi" w:hAnsiTheme="minorHAnsi" w:cstheme="minorHAnsi"/>
          <w:i/>
          <w:iCs/>
          <w:color w:val="000000" w:themeColor="text1"/>
          <w:shd w:val="clear" w:color="auto" w:fill="FFFFFF"/>
        </w:rPr>
        <w:t>Ex parte Hulton </w:t>
      </w:r>
      <w:hyperlink r:id="rId13" w:tooltip="View LawCiteRecord" w:history="1">
        <w:r w:rsidRPr="007E3E58">
          <w:rPr>
            <w:rStyle w:val="Hyperlink"/>
            <w:rFonts w:asciiTheme="minorHAnsi" w:hAnsiTheme="minorHAnsi" w:cstheme="minorHAnsi"/>
            <w:color w:val="000000" w:themeColor="text1"/>
            <w:u w:val="none"/>
            <w:shd w:val="clear" w:color="auto" w:fill="FFFFFF"/>
          </w:rPr>
          <w:t>1954 (1) SA 460</w:t>
        </w:r>
      </w:hyperlink>
      <w:r w:rsidRPr="007E3E58">
        <w:rPr>
          <w:rFonts w:asciiTheme="minorHAnsi" w:hAnsiTheme="minorHAnsi" w:cstheme="minorHAnsi"/>
          <w:color w:val="000000" w:themeColor="text1"/>
          <w:shd w:val="clear" w:color="auto" w:fill="FFFFFF"/>
        </w:rPr>
        <w:t> (C) at 466A-D; </w:t>
      </w:r>
      <w:r w:rsidRPr="007E3E58">
        <w:rPr>
          <w:rFonts w:asciiTheme="minorHAnsi" w:hAnsiTheme="minorHAnsi" w:cstheme="minorHAnsi"/>
          <w:i/>
          <w:iCs/>
          <w:color w:val="000000" w:themeColor="text1"/>
          <w:shd w:val="clear" w:color="auto" w:fill="FFFFFF"/>
        </w:rPr>
        <w:t>Hofer v Kevitt NO </w:t>
      </w:r>
      <w:hyperlink r:id="rId14" w:tooltip="View Case" w:history="1">
        <w:r w:rsidRPr="007E3E58">
          <w:rPr>
            <w:rStyle w:val="Hyperlink"/>
            <w:rFonts w:asciiTheme="minorHAnsi" w:hAnsiTheme="minorHAnsi" w:cstheme="minorHAnsi"/>
            <w:color w:val="000000" w:themeColor="text1"/>
            <w:u w:val="none"/>
            <w:shd w:val="clear" w:color="auto" w:fill="FFFFFF"/>
          </w:rPr>
          <w:t>[1997] ZASCA 79</w:t>
        </w:r>
      </w:hyperlink>
      <w:r w:rsidRPr="007E3E58">
        <w:rPr>
          <w:rFonts w:asciiTheme="minorHAnsi" w:hAnsiTheme="minorHAnsi" w:cstheme="minorHAnsi"/>
          <w:color w:val="000000" w:themeColor="text1"/>
          <w:shd w:val="clear" w:color="auto" w:fill="FFFFFF"/>
        </w:rPr>
        <w:t>; </w:t>
      </w:r>
      <w:hyperlink r:id="rId15" w:tooltip="View LawCiteRecord" w:history="1">
        <w:r w:rsidRPr="007E3E58">
          <w:rPr>
            <w:rStyle w:val="Hyperlink"/>
            <w:rFonts w:asciiTheme="minorHAnsi" w:hAnsiTheme="minorHAnsi" w:cstheme="minorHAnsi"/>
            <w:color w:val="000000" w:themeColor="text1"/>
            <w:u w:val="none"/>
            <w:shd w:val="clear" w:color="auto" w:fill="FFFFFF"/>
          </w:rPr>
          <w:t>1998 (1) SA 382</w:t>
        </w:r>
      </w:hyperlink>
      <w:r w:rsidRPr="007E3E58">
        <w:rPr>
          <w:rFonts w:asciiTheme="minorHAnsi" w:hAnsiTheme="minorHAnsi" w:cstheme="minorHAnsi"/>
          <w:color w:val="000000" w:themeColor="text1"/>
          <w:shd w:val="clear" w:color="auto" w:fill="FFFFFF"/>
        </w:rPr>
        <w:t> (SCA) at 386G-387E; Cameron, De Waal &amp; Wunsh </w:t>
      </w:r>
      <w:r w:rsidRPr="007E3E58">
        <w:rPr>
          <w:rFonts w:asciiTheme="minorHAnsi" w:hAnsiTheme="minorHAnsi" w:cstheme="minorHAnsi"/>
          <w:i/>
          <w:iCs/>
          <w:color w:val="000000" w:themeColor="text1"/>
          <w:shd w:val="clear" w:color="auto" w:fill="FFFFFF"/>
        </w:rPr>
        <w:t>Honoré’s South African Law of Trusts </w:t>
      </w:r>
      <w:r w:rsidRPr="007E3E58">
        <w:rPr>
          <w:rFonts w:asciiTheme="minorHAnsi" w:hAnsiTheme="minorHAnsi" w:cstheme="minorHAnsi"/>
          <w:color w:val="000000" w:themeColor="text1"/>
          <w:shd w:val="clear" w:color="auto" w:fill="FFFFFF"/>
        </w:rPr>
        <w:t>5 ed (2002) para 304).</w:t>
      </w:r>
    </w:p>
    <w:p w14:paraId="0B5686A8" w14:textId="77777777" w:rsidR="007E3E58" w:rsidRPr="00711603" w:rsidRDefault="007E3E58" w:rsidP="009605B8">
      <w:pPr>
        <w:spacing w:line="360" w:lineRule="auto"/>
        <w:ind w:left="1134" w:hanging="992"/>
        <w:jc w:val="both"/>
        <w:rPr>
          <w:rFonts w:ascii="Arial" w:hAnsi="Arial" w:cs="Arial"/>
        </w:rPr>
      </w:pPr>
      <w:r w:rsidRPr="00711603">
        <w:rPr>
          <w:rFonts w:ascii="Arial" w:hAnsi="Arial" w:cs="Arial"/>
        </w:rPr>
        <w:t xml:space="preserve">[60] </w:t>
      </w:r>
      <w:r w:rsidRPr="00711603">
        <w:rPr>
          <w:rFonts w:ascii="Arial" w:hAnsi="Arial" w:cs="Arial"/>
        </w:rPr>
        <w:tab/>
      </w:r>
      <w:r w:rsidR="00795FB2" w:rsidRPr="00711603">
        <w:rPr>
          <w:rFonts w:ascii="Arial" w:hAnsi="Arial" w:cs="Arial"/>
        </w:rPr>
        <w:t xml:space="preserve">Since I propose to remove the founder qua trustee and since the beneficiaries have already accepted </w:t>
      </w:r>
      <w:r w:rsidR="009605B8" w:rsidRPr="00711603">
        <w:rPr>
          <w:rFonts w:ascii="Arial" w:hAnsi="Arial" w:cs="Arial"/>
        </w:rPr>
        <w:t>and have at least since 2011 received the benefits in terms of the trust deed, it is no longer open to the founder and trustees to amend the trust deed.</w:t>
      </w:r>
    </w:p>
    <w:p w14:paraId="1178987A" w14:textId="77777777" w:rsidR="009605B8" w:rsidRPr="00711603" w:rsidRDefault="009605B8" w:rsidP="009605B8">
      <w:pPr>
        <w:spacing w:line="360" w:lineRule="auto"/>
        <w:ind w:left="1134" w:hanging="992"/>
        <w:jc w:val="both"/>
        <w:rPr>
          <w:rFonts w:ascii="Arial" w:hAnsi="Arial" w:cs="Arial"/>
        </w:rPr>
      </w:pPr>
    </w:p>
    <w:p w14:paraId="5A7E31B2" w14:textId="77777777" w:rsidR="0095023A" w:rsidRPr="00711603" w:rsidRDefault="009605B8" w:rsidP="00FE3888">
      <w:pPr>
        <w:spacing w:line="360" w:lineRule="auto"/>
        <w:ind w:left="1134" w:hanging="992"/>
        <w:jc w:val="both"/>
        <w:rPr>
          <w:rFonts w:ascii="Arial" w:hAnsi="Arial" w:cs="Arial"/>
        </w:rPr>
      </w:pPr>
      <w:r w:rsidRPr="00711603">
        <w:rPr>
          <w:rFonts w:ascii="Arial" w:hAnsi="Arial" w:cs="Arial"/>
        </w:rPr>
        <w:t xml:space="preserve">[61] </w:t>
      </w:r>
      <w:r w:rsidRPr="00711603">
        <w:rPr>
          <w:rFonts w:ascii="Arial" w:hAnsi="Arial" w:cs="Arial"/>
        </w:rPr>
        <w:tab/>
        <w:t xml:space="preserve">Section 13 quoted above is an obvious </w:t>
      </w:r>
      <w:r w:rsidR="00711603">
        <w:rPr>
          <w:rFonts w:ascii="Arial" w:hAnsi="Arial" w:cs="Arial"/>
        </w:rPr>
        <w:t xml:space="preserve">(albeit limited) </w:t>
      </w:r>
      <w:r w:rsidRPr="00711603">
        <w:rPr>
          <w:rFonts w:ascii="Arial" w:hAnsi="Arial" w:cs="Arial"/>
        </w:rPr>
        <w:t>exception to the rule that a court will not make a contract for parties.</w:t>
      </w:r>
      <w:r w:rsidR="00FE3888" w:rsidRPr="00711603">
        <w:rPr>
          <w:rFonts w:ascii="Arial" w:hAnsi="Arial" w:cs="Arial"/>
        </w:rPr>
        <w:t xml:space="preserve"> </w:t>
      </w:r>
      <w:r w:rsidR="0095023A" w:rsidRPr="00711603">
        <w:rPr>
          <w:rFonts w:ascii="Arial" w:hAnsi="Arial" w:cs="Arial"/>
        </w:rPr>
        <w:t xml:space="preserve">In order for a court to amend a </w:t>
      </w:r>
      <w:r w:rsidR="00711603">
        <w:rPr>
          <w:rFonts w:ascii="Arial" w:hAnsi="Arial" w:cs="Arial"/>
        </w:rPr>
        <w:t>trust deed</w:t>
      </w:r>
      <w:r w:rsidR="0095023A" w:rsidRPr="00711603">
        <w:rPr>
          <w:rFonts w:ascii="Arial" w:hAnsi="Arial" w:cs="Arial"/>
        </w:rPr>
        <w:t xml:space="preserve"> in terms of section 13, an applicant must show the following:</w:t>
      </w:r>
    </w:p>
    <w:p w14:paraId="36456E67" w14:textId="77777777" w:rsidR="0095023A" w:rsidRPr="00711603" w:rsidRDefault="0095023A" w:rsidP="0095023A">
      <w:pPr>
        <w:pStyle w:val="ListParagraph"/>
        <w:ind w:left="0"/>
        <w:rPr>
          <w:rFonts w:ascii="Arial" w:hAnsi="Arial" w:cs="Arial"/>
        </w:rPr>
      </w:pPr>
    </w:p>
    <w:p w14:paraId="20A93F1C" w14:textId="3E6EBB83" w:rsidR="00FE3888" w:rsidRPr="00D56EE4" w:rsidRDefault="00D56EE4" w:rsidP="00D56EE4">
      <w:pPr>
        <w:tabs>
          <w:tab w:val="left" w:pos="2268"/>
        </w:tabs>
        <w:spacing w:before="360" w:after="360" w:line="360" w:lineRule="auto"/>
        <w:ind w:left="1701" w:hanging="567"/>
        <w:jc w:val="both"/>
        <w:rPr>
          <w:rFonts w:ascii="Arial" w:hAnsi="Arial" w:cs="Arial"/>
        </w:rPr>
      </w:pPr>
      <w:r w:rsidRPr="00711603">
        <w:rPr>
          <w:rFonts w:ascii="Arial" w:hAnsi="Arial" w:cs="Arial"/>
        </w:rPr>
        <w:t>(a)</w:t>
      </w:r>
      <w:r w:rsidRPr="00711603">
        <w:rPr>
          <w:rFonts w:ascii="Arial" w:hAnsi="Arial" w:cs="Arial"/>
        </w:rPr>
        <w:tab/>
      </w:r>
      <w:r w:rsidR="0095023A" w:rsidRPr="00D56EE4">
        <w:rPr>
          <w:rFonts w:ascii="Arial" w:hAnsi="Arial" w:cs="Arial"/>
        </w:rPr>
        <w:t>the trust instrument contains a provision that brings about consequences which in the opinion of the court the founder did not contemplate or foresee;</w:t>
      </w:r>
    </w:p>
    <w:p w14:paraId="17E6D8E9" w14:textId="085C6381" w:rsidR="0095023A" w:rsidRPr="00D56EE4" w:rsidRDefault="00D56EE4" w:rsidP="00D56EE4">
      <w:pPr>
        <w:tabs>
          <w:tab w:val="left" w:pos="2268"/>
        </w:tabs>
        <w:spacing w:before="360" w:after="360" w:line="360" w:lineRule="auto"/>
        <w:ind w:left="1701" w:hanging="567"/>
        <w:jc w:val="both"/>
        <w:rPr>
          <w:rFonts w:ascii="Arial" w:hAnsi="Arial" w:cs="Arial"/>
        </w:rPr>
      </w:pPr>
      <w:r w:rsidRPr="00711603">
        <w:rPr>
          <w:rFonts w:ascii="Arial" w:hAnsi="Arial" w:cs="Arial"/>
        </w:rPr>
        <w:t>(b)</w:t>
      </w:r>
      <w:r w:rsidRPr="00711603">
        <w:rPr>
          <w:rFonts w:ascii="Arial" w:hAnsi="Arial" w:cs="Arial"/>
        </w:rPr>
        <w:tab/>
      </w:r>
      <w:r w:rsidR="0095023A" w:rsidRPr="00D56EE4">
        <w:rPr>
          <w:rFonts w:ascii="Arial" w:hAnsi="Arial" w:cs="Arial"/>
        </w:rPr>
        <w:t>the provision</w:t>
      </w:r>
      <w:r w:rsidR="00A94B28" w:rsidRPr="00D56EE4">
        <w:rPr>
          <w:rFonts w:ascii="Arial" w:hAnsi="Arial" w:cs="Arial"/>
        </w:rPr>
        <w:t>(s)</w:t>
      </w:r>
      <w:r w:rsidR="0095023A" w:rsidRPr="00D56EE4">
        <w:rPr>
          <w:rFonts w:ascii="Arial" w:hAnsi="Arial" w:cs="Arial"/>
        </w:rPr>
        <w:t xml:space="preserve"> in the trust deed either: </w:t>
      </w:r>
    </w:p>
    <w:p w14:paraId="0E1C1DEB" w14:textId="26B45DF4" w:rsidR="00A94B28" w:rsidRPr="00D56EE4" w:rsidRDefault="00D56EE4" w:rsidP="00D56EE4">
      <w:pPr>
        <w:tabs>
          <w:tab w:val="left" w:pos="3402"/>
        </w:tabs>
        <w:spacing w:before="360" w:after="360" w:line="360" w:lineRule="auto"/>
        <w:ind w:left="2268" w:hanging="567"/>
        <w:jc w:val="both"/>
        <w:rPr>
          <w:rFonts w:ascii="Arial" w:hAnsi="Arial" w:cs="Arial"/>
        </w:rPr>
      </w:pPr>
      <w:r w:rsidRPr="00711603">
        <w:rPr>
          <w:rFonts w:ascii="Arial" w:hAnsi="Arial" w:cs="Arial"/>
        </w:rPr>
        <w:t>(i)</w:t>
      </w:r>
      <w:r w:rsidRPr="00711603">
        <w:rPr>
          <w:rFonts w:ascii="Arial" w:hAnsi="Arial" w:cs="Arial"/>
        </w:rPr>
        <w:tab/>
      </w:r>
      <w:r w:rsidR="0095023A" w:rsidRPr="00D56EE4">
        <w:rPr>
          <w:rFonts w:ascii="Arial" w:hAnsi="Arial" w:cs="Arial"/>
        </w:rPr>
        <w:t xml:space="preserve">hampers the achievements of the objects of the founder; or </w:t>
      </w:r>
    </w:p>
    <w:p w14:paraId="67B4677B" w14:textId="77777777" w:rsidR="00A94B28" w:rsidRPr="00711603" w:rsidRDefault="00A94B28" w:rsidP="00A94B28">
      <w:pPr>
        <w:tabs>
          <w:tab w:val="left" w:pos="2268"/>
        </w:tabs>
        <w:spacing w:before="360" w:after="360" w:line="360" w:lineRule="auto"/>
        <w:ind w:left="1701"/>
        <w:jc w:val="both"/>
        <w:rPr>
          <w:rFonts w:ascii="Arial" w:hAnsi="Arial" w:cs="Arial"/>
        </w:rPr>
      </w:pPr>
      <w:r w:rsidRPr="00711603">
        <w:rPr>
          <w:rFonts w:ascii="Arial" w:hAnsi="Arial" w:cs="Arial"/>
        </w:rPr>
        <w:t xml:space="preserve">(ii)  </w:t>
      </w:r>
      <w:r w:rsidRPr="00711603">
        <w:rPr>
          <w:rFonts w:ascii="Arial" w:hAnsi="Arial" w:cs="Arial"/>
        </w:rPr>
        <w:tab/>
      </w:r>
      <w:r w:rsidR="0095023A" w:rsidRPr="00711603">
        <w:rPr>
          <w:rFonts w:ascii="Arial" w:hAnsi="Arial" w:cs="Arial"/>
        </w:rPr>
        <w:t>prejudices the interests of beneficiaries; or</w:t>
      </w:r>
    </w:p>
    <w:p w14:paraId="0EF2D2D9" w14:textId="404FD869" w:rsidR="0095023A" w:rsidRPr="00D56EE4" w:rsidRDefault="00D56EE4" w:rsidP="00D56EE4">
      <w:pPr>
        <w:tabs>
          <w:tab w:val="left" w:pos="3402"/>
        </w:tabs>
        <w:spacing w:before="360" w:after="360" w:line="360" w:lineRule="auto"/>
        <w:ind w:left="2268" w:hanging="567"/>
        <w:jc w:val="both"/>
        <w:rPr>
          <w:rFonts w:ascii="Arial" w:hAnsi="Arial" w:cs="Arial"/>
        </w:rPr>
      </w:pPr>
      <w:r w:rsidRPr="00711603">
        <w:rPr>
          <w:rFonts w:ascii="Arial" w:hAnsi="Arial" w:cs="Arial"/>
        </w:rPr>
        <w:t>(iii)</w:t>
      </w:r>
      <w:r w:rsidRPr="00711603">
        <w:rPr>
          <w:rFonts w:ascii="Arial" w:hAnsi="Arial" w:cs="Arial"/>
        </w:rPr>
        <w:tab/>
      </w:r>
      <w:r w:rsidR="0095023A" w:rsidRPr="00D56EE4">
        <w:rPr>
          <w:rFonts w:ascii="Arial" w:hAnsi="Arial" w:cs="Arial"/>
        </w:rPr>
        <w:t>is in conflict with public interest.</w:t>
      </w:r>
    </w:p>
    <w:p w14:paraId="148F774C" w14:textId="77777777" w:rsidR="00A5667C" w:rsidRDefault="00A94B28" w:rsidP="00252A31">
      <w:pPr>
        <w:pStyle w:val="Heading2"/>
        <w:shd w:val="clear" w:color="auto" w:fill="FFFFFF"/>
        <w:spacing w:before="240" w:beforeAutospacing="0" w:after="180" w:afterAutospacing="0" w:line="360" w:lineRule="auto"/>
        <w:ind w:left="1134" w:hanging="1134"/>
        <w:jc w:val="both"/>
        <w:rPr>
          <w:rFonts w:ascii="Arial" w:hAnsi="Arial" w:cs="Arial"/>
          <w:b w:val="0"/>
          <w:bCs w:val="0"/>
          <w:color w:val="000000" w:themeColor="text1"/>
          <w:sz w:val="24"/>
          <w:szCs w:val="24"/>
        </w:rPr>
      </w:pPr>
      <w:r w:rsidRPr="00A5667C">
        <w:rPr>
          <w:rFonts w:ascii="Arial" w:hAnsi="Arial" w:cs="Arial"/>
          <w:b w:val="0"/>
          <w:bCs w:val="0"/>
          <w:sz w:val="24"/>
          <w:szCs w:val="24"/>
        </w:rPr>
        <w:t xml:space="preserve">[62] </w:t>
      </w:r>
      <w:r w:rsidRPr="00A5667C">
        <w:rPr>
          <w:rFonts w:ascii="Arial" w:hAnsi="Arial" w:cs="Arial"/>
          <w:b w:val="0"/>
          <w:bCs w:val="0"/>
          <w:sz w:val="24"/>
          <w:szCs w:val="24"/>
        </w:rPr>
        <w:tab/>
      </w:r>
      <w:r w:rsidR="00A5667C" w:rsidRPr="00A5667C">
        <w:rPr>
          <w:rFonts w:ascii="Arial" w:hAnsi="Arial" w:cs="Arial"/>
          <w:b w:val="0"/>
          <w:bCs w:val="0"/>
          <w:sz w:val="24"/>
          <w:szCs w:val="24"/>
        </w:rPr>
        <w:t xml:space="preserve">If the trust deed does not contain a provision that brings about consequences that the founder had not foreseen and either hampers the achievements of the objects of the founder or prejudices the interests of the beneficiaries or </w:t>
      </w:r>
      <w:r w:rsidR="00A5667C" w:rsidRPr="00A5667C">
        <w:rPr>
          <w:rFonts w:ascii="Arial" w:hAnsi="Arial" w:cs="Arial"/>
          <w:b w:val="0"/>
          <w:bCs w:val="0"/>
          <w:sz w:val="24"/>
          <w:szCs w:val="24"/>
        </w:rPr>
        <w:lastRenderedPageBreak/>
        <w:t>is in conflict with the public interest, section 13 does not find application, as was held in</w:t>
      </w:r>
      <w:r w:rsidR="00A5667C" w:rsidRPr="00A5667C">
        <w:rPr>
          <w:rFonts w:ascii="Arial" w:hAnsi="Arial" w:cs="Arial"/>
          <w:b w:val="0"/>
          <w:bCs w:val="0"/>
          <w:color w:val="000000" w:themeColor="text1"/>
          <w:sz w:val="24"/>
          <w:szCs w:val="24"/>
        </w:rPr>
        <w:t xml:space="preserve"> </w:t>
      </w:r>
      <w:r w:rsidR="00A5667C" w:rsidRPr="00252A31">
        <w:rPr>
          <w:rFonts w:ascii="Arial" w:hAnsi="Arial" w:cs="Arial"/>
          <w:b w:val="0"/>
          <w:bCs w:val="0"/>
          <w:i/>
          <w:iCs/>
          <w:color w:val="000000" w:themeColor="text1"/>
          <w:sz w:val="24"/>
          <w:szCs w:val="24"/>
        </w:rPr>
        <w:t>Gowar and Another v Gowar and Others</w:t>
      </w:r>
      <w:r w:rsidR="00A5667C" w:rsidRPr="00A5667C">
        <w:rPr>
          <w:rFonts w:ascii="Arial" w:hAnsi="Arial" w:cs="Arial"/>
          <w:b w:val="0"/>
          <w:bCs w:val="0"/>
          <w:color w:val="000000" w:themeColor="text1"/>
          <w:sz w:val="24"/>
          <w:szCs w:val="24"/>
        </w:rPr>
        <w:t xml:space="preserve"> 2016 (5) SA 225 (SCA)</w:t>
      </w:r>
    </w:p>
    <w:p w14:paraId="5EE05561" w14:textId="77777777" w:rsidR="00252A31" w:rsidRPr="00252A31" w:rsidRDefault="00252A31" w:rsidP="00252A31">
      <w:pPr>
        <w:pStyle w:val="Heading2"/>
        <w:shd w:val="clear" w:color="auto" w:fill="FFFFFF"/>
        <w:spacing w:before="240" w:beforeAutospacing="0" w:after="180" w:afterAutospacing="0" w:line="360" w:lineRule="auto"/>
        <w:ind w:left="1134" w:hanging="1134"/>
        <w:jc w:val="both"/>
        <w:rPr>
          <w:rFonts w:ascii="Arial" w:hAnsi="Arial" w:cs="Arial"/>
          <w:b w:val="0"/>
          <w:bCs w:val="0"/>
          <w:color w:val="64473A"/>
          <w:sz w:val="24"/>
          <w:szCs w:val="24"/>
        </w:rPr>
      </w:pPr>
    </w:p>
    <w:p w14:paraId="5F3861F9" w14:textId="77777777" w:rsidR="0095023A" w:rsidRPr="00A5667C" w:rsidRDefault="00A5667C" w:rsidP="00A5667C">
      <w:pPr>
        <w:spacing w:line="360" w:lineRule="auto"/>
        <w:ind w:left="1134" w:hanging="1134"/>
        <w:jc w:val="both"/>
        <w:rPr>
          <w:rFonts w:ascii="Verdana" w:hAnsi="Verdana" w:cs="Arial"/>
        </w:rPr>
      </w:pPr>
      <w:r>
        <w:rPr>
          <w:rFonts w:ascii="Arial" w:hAnsi="Arial" w:cs="Arial"/>
        </w:rPr>
        <w:t xml:space="preserve">[63] </w:t>
      </w:r>
      <w:r>
        <w:rPr>
          <w:rFonts w:ascii="Arial" w:hAnsi="Arial" w:cs="Arial"/>
        </w:rPr>
        <w:tab/>
      </w:r>
      <w:r w:rsidR="0086053C" w:rsidRPr="00711603">
        <w:rPr>
          <w:rFonts w:ascii="Arial" w:hAnsi="Arial" w:cs="Arial"/>
        </w:rPr>
        <w:t>Counsel for the applicants in his heads of argument suggests that a</w:t>
      </w:r>
      <w:r w:rsidR="0095023A" w:rsidRPr="00711603">
        <w:rPr>
          <w:rFonts w:ascii="Arial" w:hAnsi="Arial" w:cs="Arial"/>
        </w:rPr>
        <w:t xml:space="preserve">n application under section 13 of the </w:t>
      </w:r>
      <w:r w:rsidR="0095023A" w:rsidRPr="00711603">
        <w:rPr>
          <w:rFonts w:ascii="Arial" w:hAnsi="Arial" w:cs="Arial"/>
          <w:bCs/>
        </w:rPr>
        <w:t>Trust Property Control Act</w:t>
      </w:r>
      <w:r w:rsidR="0095023A" w:rsidRPr="00711603">
        <w:rPr>
          <w:rFonts w:ascii="Arial" w:hAnsi="Arial" w:cs="Arial"/>
          <w:b/>
        </w:rPr>
        <w:t xml:space="preserve"> </w:t>
      </w:r>
      <w:r w:rsidR="0095023A" w:rsidRPr="00711603">
        <w:rPr>
          <w:rFonts w:ascii="Arial" w:hAnsi="Arial" w:cs="Arial"/>
        </w:rPr>
        <w:t xml:space="preserve">may be used when no power is given to the trustees to vary or change the terms of the trust deed. </w:t>
      </w:r>
      <w:r w:rsidR="00711603" w:rsidRPr="00711603">
        <w:rPr>
          <w:rFonts w:ascii="Arial" w:hAnsi="Arial" w:cs="Arial"/>
        </w:rPr>
        <w:t xml:space="preserve">The fact that clause 28 of the Deelkraal trust deed expressly stipulates that it can be amended by unanimous agreement between the trustees puts pay to </w:t>
      </w:r>
      <w:r w:rsidR="00711603">
        <w:rPr>
          <w:rFonts w:ascii="Arial" w:hAnsi="Arial" w:cs="Arial"/>
        </w:rPr>
        <w:t>t</w:t>
      </w:r>
      <w:r w:rsidR="00711603" w:rsidRPr="00711603">
        <w:rPr>
          <w:rFonts w:ascii="Arial" w:hAnsi="Arial" w:cs="Arial"/>
        </w:rPr>
        <w:t xml:space="preserve">his </w:t>
      </w:r>
      <w:r w:rsidR="00711603">
        <w:rPr>
          <w:rFonts w:ascii="Arial" w:hAnsi="Arial" w:cs="Arial"/>
        </w:rPr>
        <w:t xml:space="preserve">first </w:t>
      </w:r>
      <w:r w:rsidR="00711603" w:rsidRPr="00711603">
        <w:rPr>
          <w:rFonts w:ascii="Arial" w:hAnsi="Arial" w:cs="Arial"/>
        </w:rPr>
        <w:t>suggestion</w:t>
      </w:r>
      <w:r w:rsidR="00711603">
        <w:rPr>
          <w:rFonts w:ascii="Verdana" w:hAnsi="Verdana" w:cs="Arial"/>
        </w:rPr>
        <w:t xml:space="preserve">. </w:t>
      </w:r>
      <w:r w:rsidR="00711603">
        <w:rPr>
          <w:rFonts w:ascii="Arial" w:hAnsi="Arial" w:cs="Arial"/>
        </w:rPr>
        <w:t xml:space="preserve">Counsel also suggests that </w:t>
      </w:r>
      <w:r w:rsidR="0095023A" w:rsidRPr="0086053C">
        <w:rPr>
          <w:rFonts w:ascii="Arial" w:hAnsi="Arial" w:cs="Arial"/>
        </w:rPr>
        <w:t xml:space="preserve">application may be made in terms of section 13 where the right given to trustees to amend a trust deed has been given but the power to exercise such a right is disputed by a beneficiary or by some other person. </w:t>
      </w:r>
      <w:r>
        <w:rPr>
          <w:rFonts w:ascii="Arial" w:hAnsi="Arial" w:cs="Arial"/>
        </w:rPr>
        <w:t xml:space="preserve"> I disagree.  Section 13 does not contain such a limitation.</w:t>
      </w:r>
      <w:r w:rsidR="0086053C" w:rsidRPr="0086053C">
        <w:rPr>
          <w:rFonts w:ascii="Arial" w:hAnsi="Arial" w:cs="Arial"/>
        </w:rPr>
        <w:t xml:space="preserve">  He </w:t>
      </w:r>
      <w:r>
        <w:rPr>
          <w:rFonts w:ascii="Arial" w:hAnsi="Arial" w:cs="Arial"/>
        </w:rPr>
        <w:t>lastly proposes</w:t>
      </w:r>
      <w:r w:rsidR="0086053C" w:rsidRPr="0086053C">
        <w:rPr>
          <w:rFonts w:ascii="Arial" w:hAnsi="Arial" w:cs="Arial"/>
        </w:rPr>
        <w:t xml:space="preserve"> that </w:t>
      </w:r>
      <w:r w:rsidR="0095023A" w:rsidRPr="0086053C">
        <w:rPr>
          <w:rFonts w:ascii="Arial" w:hAnsi="Arial" w:cs="Arial"/>
        </w:rPr>
        <w:t xml:space="preserve">in order to achieve </w:t>
      </w:r>
      <w:r w:rsidR="0086053C" w:rsidRPr="0086053C">
        <w:rPr>
          <w:rFonts w:ascii="Arial" w:hAnsi="Arial" w:cs="Arial"/>
        </w:rPr>
        <w:t>the objective to remove the current trustees,</w:t>
      </w:r>
      <w:r w:rsidR="0095023A" w:rsidRPr="0086053C">
        <w:rPr>
          <w:rFonts w:ascii="Arial" w:hAnsi="Arial" w:cs="Arial"/>
        </w:rPr>
        <w:t xml:space="preserve"> the trust deed needs to be amended.</w:t>
      </w:r>
      <w:r w:rsidR="0086053C" w:rsidRPr="0086053C">
        <w:rPr>
          <w:rFonts w:ascii="Arial" w:hAnsi="Arial" w:cs="Arial"/>
        </w:rPr>
        <w:t xml:space="preserve">  He </w:t>
      </w:r>
      <w:r>
        <w:rPr>
          <w:rFonts w:ascii="Arial" w:hAnsi="Arial" w:cs="Arial"/>
        </w:rPr>
        <w:t>says</w:t>
      </w:r>
      <w:r w:rsidR="0086053C" w:rsidRPr="0086053C">
        <w:rPr>
          <w:rFonts w:ascii="Arial" w:hAnsi="Arial" w:cs="Arial"/>
        </w:rPr>
        <w:t xml:space="preserve"> that if </w:t>
      </w:r>
      <w:r w:rsidR="0095023A" w:rsidRPr="0086053C">
        <w:rPr>
          <w:rFonts w:ascii="Arial" w:hAnsi="Arial" w:cs="Arial"/>
        </w:rPr>
        <w:t xml:space="preserve">the court </w:t>
      </w:r>
      <w:r w:rsidR="0086053C" w:rsidRPr="0086053C">
        <w:rPr>
          <w:rFonts w:ascii="Arial" w:hAnsi="Arial" w:cs="Arial"/>
        </w:rPr>
        <w:t>were to find</w:t>
      </w:r>
      <w:r w:rsidR="0095023A" w:rsidRPr="0086053C">
        <w:rPr>
          <w:rFonts w:ascii="Arial" w:hAnsi="Arial" w:cs="Arial"/>
        </w:rPr>
        <w:t xml:space="preserve"> that the trustees </w:t>
      </w:r>
      <w:r w:rsidR="0086053C" w:rsidRPr="0086053C">
        <w:rPr>
          <w:rFonts w:ascii="Arial" w:hAnsi="Arial" w:cs="Arial"/>
        </w:rPr>
        <w:t>should</w:t>
      </w:r>
      <w:r w:rsidR="0095023A" w:rsidRPr="0086053C">
        <w:rPr>
          <w:rFonts w:ascii="Arial" w:hAnsi="Arial" w:cs="Arial"/>
        </w:rPr>
        <w:t xml:space="preserve"> to be removed</w:t>
      </w:r>
      <w:r w:rsidR="0086053C" w:rsidRPr="0086053C">
        <w:rPr>
          <w:rFonts w:ascii="Arial" w:hAnsi="Arial" w:cs="Arial"/>
        </w:rPr>
        <w:t>,</w:t>
      </w:r>
      <w:r w:rsidR="0095023A" w:rsidRPr="0086053C">
        <w:rPr>
          <w:rFonts w:ascii="Arial" w:hAnsi="Arial" w:cs="Arial"/>
        </w:rPr>
        <w:t xml:space="preserve"> the amendment of the trust deed should follow as a matter of course. </w:t>
      </w:r>
      <w:r w:rsidR="0086053C" w:rsidRPr="0086053C">
        <w:rPr>
          <w:rFonts w:ascii="Arial" w:hAnsi="Arial" w:cs="Arial"/>
        </w:rPr>
        <w:t>He states that i</w:t>
      </w:r>
      <w:r w:rsidR="0095023A" w:rsidRPr="0086053C">
        <w:rPr>
          <w:rFonts w:ascii="Arial" w:hAnsi="Arial" w:cs="Arial"/>
        </w:rPr>
        <w:t>ndependent trustees will not be able to function effectively if the trust deed is not amended in the terms proposed by the applicant</w:t>
      </w:r>
      <w:r w:rsidR="0086053C" w:rsidRPr="0086053C">
        <w:rPr>
          <w:rFonts w:ascii="Arial" w:hAnsi="Arial" w:cs="Arial"/>
        </w:rPr>
        <w:t>s</w:t>
      </w:r>
      <w:r w:rsidR="0095023A" w:rsidRPr="0086053C">
        <w:rPr>
          <w:rFonts w:ascii="Arial" w:hAnsi="Arial" w:cs="Arial"/>
        </w:rPr>
        <w:t>.</w:t>
      </w:r>
      <w:r>
        <w:rPr>
          <w:rFonts w:ascii="Arial" w:hAnsi="Arial" w:cs="Arial"/>
        </w:rPr>
        <w:t xml:space="preserve">  I also disagree with this proposal.  </w:t>
      </w:r>
    </w:p>
    <w:p w14:paraId="11137157" w14:textId="77777777" w:rsidR="00202C9C" w:rsidRPr="0086053C" w:rsidRDefault="00202C9C" w:rsidP="0086053C">
      <w:pPr>
        <w:spacing w:line="480" w:lineRule="auto"/>
        <w:jc w:val="both"/>
        <w:rPr>
          <w:rFonts w:ascii="Verdana" w:hAnsi="Verdana" w:cs="Arial"/>
          <w:iCs/>
          <w:lang w:eastAsia="en-ZA"/>
        </w:rPr>
      </w:pPr>
    </w:p>
    <w:p w14:paraId="31EFCEF4" w14:textId="77777777" w:rsidR="00D3249D" w:rsidRPr="0023451F" w:rsidRDefault="0086053C" w:rsidP="0023451F">
      <w:pPr>
        <w:spacing w:line="360" w:lineRule="auto"/>
        <w:ind w:left="1134" w:hanging="1134"/>
        <w:jc w:val="both"/>
        <w:rPr>
          <w:rFonts w:ascii="Arial" w:hAnsi="Arial" w:cs="Arial"/>
        </w:rPr>
      </w:pPr>
      <w:r w:rsidRPr="00500954">
        <w:rPr>
          <w:rFonts w:ascii="Arial" w:hAnsi="Arial" w:cs="Arial"/>
        </w:rPr>
        <w:t>[6</w:t>
      </w:r>
      <w:r w:rsidR="00252A31" w:rsidRPr="00500954">
        <w:rPr>
          <w:rFonts w:ascii="Arial" w:hAnsi="Arial" w:cs="Arial"/>
        </w:rPr>
        <w:t>4</w:t>
      </w:r>
      <w:r w:rsidRPr="00500954">
        <w:rPr>
          <w:rFonts w:ascii="Arial" w:hAnsi="Arial" w:cs="Arial"/>
        </w:rPr>
        <w:t>]</w:t>
      </w:r>
      <w:r>
        <w:rPr>
          <w:rFonts w:ascii="Verdana" w:hAnsi="Verdana" w:cs="Arial"/>
        </w:rPr>
        <w:t xml:space="preserve"> </w:t>
      </w:r>
      <w:r>
        <w:rPr>
          <w:rFonts w:ascii="Verdana" w:hAnsi="Verdana" w:cs="Arial"/>
        </w:rPr>
        <w:tab/>
      </w:r>
      <w:r w:rsidR="00252A31" w:rsidRPr="0023451F">
        <w:rPr>
          <w:rFonts w:ascii="Arial" w:hAnsi="Arial" w:cs="Arial"/>
        </w:rPr>
        <w:t xml:space="preserve">Like the court in </w:t>
      </w:r>
      <w:r w:rsidR="00252A31" w:rsidRPr="0023451F">
        <w:rPr>
          <w:rFonts w:ascii="Arial" w:hAnsi="Arial" w:cs="Arial"/>
          <w:i/>
          <w:iCs/>
        </w:rPr>
        <w:t>Potgieter, supra</w:t>
      </w:r>
      <w:r w:rsidR="00252A31" w:rsidRPr="0023451F">
        <w:rPr>
          <w:rFonts w:ascii="Arial" w:hAnsi="Arial" w:cs="Arial"/>
        </w:rPr>
        <w:t xml:space="preserve">, I find no provision in the original trust deed which brings about any consequence that could not be foreseen by the founder. The </w:t>
      </w:r>
      <w:r w:rsidR="00D37AAA" w:rsidRPr="0023451F">
        <w:rPr>
          <w:rFonts w:ascii="Arial" w:hAnsi="Arial" w:cs="Arial"/>
        </w:rPr>
        <w:t xml:space="preserve">proposed </w:t>
      </w:r>
      <w:r w:rsidR="00252A31" w:rsidRPr="0023451F">
        <w:rPr>
          <w:rFonts w:ascii="Arial" w:hAnsi="Arial" w:cs="Arial"/>
        </w:rPr>
        <w:t xml:space="preserve">amendment </w:t>
      </w:r>
      <w:r w:rsidR="00D37AAA" w:rsidRPr="0023451F">
        <w:rPr>
          <w:rFonts w:ascii="Arial" w:hAnsi="Arial" w:cs="Arial"/>
        </w:rPr>
        <w:t xml:space="preserve">to the heading of clause 5 and the deletion of the words “belanghebbende personeel” and “groepe” in clause 5.1 is purely cosmetic and can be dealt with by the newly appointed trustees. The deletion of clauses 1.5, 5.2 to 5.4.1, 7.2 &amp; 12.3 </w:t>
      </w:r>
      <w:r w:rsidR="00F16A56" w:rsidRPr="0023451F">
        <w:rPr>
          <w:rFonts w:ascii="Arial" w:hAnsi="Arial" w:cs="Arial"/>
        </w:rPr>
        <w:t xml:space="preserve">and the </w:t>
      </w:r>
      <w:r w:rsidR="00500954" w:rsidRPr="0023451F">
        <w:rPr>
          <w:rFonts w:ascii="Arial" w:hAnsi="Arial" w:cs="Arial"/>
        </w:rPr>
        <w:t xml:space="preserve">proposed </w:t>
      </w:r>
      <w:r w:rsidR="00F16A56" w:rsidRPr="0023451F">
        <w:rPr>
          <w:rFonts w:ascii="Arial" w:hAnsi="Arial" w:cs="Arial"/>
        </w:rPr>
        <w:t>amendment of clause 5.4.2 &amp; 7.5 to 7.</w:t>
      </w:r>
      <w:r w:rsidR="00500954" w:rsidRPr="0023451F">
        <w:rPr>
          <w:rFonts w:ascii="Arial" w:hAnsi="Arial" w:cs="Arial"/>
        </w:rPr>
        <w:t>8 &amp; 11.1,  11.2, 12.5,  19.1,  19.2, 22.4 &amp; 23</w:t>
      </w:r>
      <w:r w:rsidR="00F16A56" w:rsidRPr="0023451F">
        <w:rPr>
          <w:rFonts w:ascii="Arial" w:hAnsi="Arial" w:cs="Arial"/>
        </w:rPr>
        <w:t xml:space="preserve"> </w:t>
      </w:r>
      <w:r w:rsidR="00D37AAA" w:rsidRPr="0023451F">
        <w:rPr>
          <w:rFonts w:ascii="Arial" w:hAnsi="Arial" w:cs="Arial"/>
        </w:rPr>
        <w:t xml:space="preserve">fall in the same category.  </w:t>
      </w:r>
      <w:r w:rsidR="00500954" w:rsidRPr="0023451F">
        <w:rPr>
          <w:rFonts w:ascii="Arial" w:hAnsi="Arial" w:cs="Arial"/>
        </w:rPr>
        <w:t xml:space="preserve">  The applicants’ attempted amendment of  clause 10 of the trust deed to </w:t>
      </w:r>
      <w:r w:rsidR="0023451F" w:rsidRPr="0023451F">
        <w:rPr>
          <w:rFonts w:ascii="Arial" w:hAnsi="Arial" w:cs="Arial"/>
        </w:rPr>
        <w:t xml:space="preserve">replace the requisite 60% voting power with a mere majority falls foul of the first requirement contained in section 13.  It was indeed the position of the founder that a decision of the trustees should be supported by 60% of the trustees.  That provision at the moment equates </w:t>
      </w:r>
      <w:r w:rsidR="0023451F" w:rsidRPr="0023451F">
        <w:rPr>
          <w:rFonts w:ascii="Arial" w:hAnsi="Arial" w:cs="Arial"/>
        </w:rPr>
        <w:lastRenderedPageBreak/>
        <w:t>to a practical difficulty in the management of the trust, does not mean that it is competent for the court to exercise the statutory power conferred by section 13.</w:t>
      </w:r>
    </w:p>
    <w:p w14:paraId="57E330E5" w14:textId="77777777" w:rsidR="0023451F" w:rsidRDefault="0023451F" w:rsidP="0023451F">
      <w:pPr>
        <w:spacing w:line="360" w:lineRule="auto"/>
        <w:ind w:left="1134" w:hanging="1134"/>
        <w:jc w:val="both"/>
        <w:rPr>
          <w:rFonts w:ascii="Arial" w:hAnsi="Arial" w:cs="Arial"/>
        </w:rPr>
      </w:pPr>
    </w:p>
    <w:p w14:paraId="41D79B41" w14:textId="77777777" w:rsidR="0023451F" w:rsidRDefault="0023451F" w:rsidP="0023451F">
      <w:pPr>
        <w:spacing w:line="360" w:lineRule="auto"/>
        <w:ind w:left="1134" w:hanging="1134"/>
        <w:jc w:val="both"/>
        <w:rPr>
          <w:rFonts w:ascii="Arial" w:hAnsi="Arial" w:cs="Arial"/>
        </w:rPr>
      </w:pPr>
      <w:r>
        <w:rPr>
          <w:rFonts w:ascii="Arial" w:hAnsi="Arial" w:cs="Arial"/>
        </w:rPr>
        <w:t xml:space="preserve">[65] </w:t>
      </w:r>
      <w:r>
        <w:rPr>
          <w:rFonts w:ascii="Arial" w:hAnsi="Arial" w:cs="Arial"/>
        </w:rPr>
        <w:tab/>
        <w:t>The application to amend the trust deed therefore fails.</w:t>
      </w:r>
    </w:p>
    <w:p w14:paraId="076BF332" w14:textId="77777777" w:rsidR="0023451F" w:rsidRDefault="0023451F" w:rsidP="0023451F">
      <w:pPr>
        <w:spacing w:line="360" w:lineRule="auto"/>
        <w:ind w:left="1134" w:hanging="1134"/>
        <w:jc w:val="both"/>
        <w:rPr>
          <w:rFonts w:ascii="Arial" w:hAnsi="Arial" w:cs="Arial"/>
        </w:rPr>
      </w:pPr>
    </w:p>
    <w:p w14:paraId="535D6BD4" w14:textId="77777777" w:rsidR="0023451F" w:rsidRDefault="0023451F" w:rsidP="0023451F">
      <w:pPr>
        <w:spacing w:line="360" w:lineRule="auto"/>
        <w:ind w:left="1134" w:hanging="1134"/>
        <w:jc w:val="both"/>
        <w:rPr>
          <w:rFonts w:ascii="Arial" w:hAnsi="Arial" w:cs="Arial"/>
        </w:rPr>
      </w:pPr>
      <w:r>
        <w:rPr>
          <w:rFonts w:ascii="Arial" w:hAnsi="Arial" w:cs="Arial"/>
        </w:rPr>
        <w:t>Costs</w:t>
      </w:r>
    </w:p>
    <w:p w14:paraId="41FE735D" w14:textId="77777777" w:rsidR="0023451F" w:rsidRDefault="0023451F" w:rsidP="0023451F">
      <w:pPr>
        <w:spacing w:line="360" w:lineRule="auto"/>
        <w:ind w:left="1134" w:hanging="1134"/>
        <w:jc w:val="both"/>
        <w:rPr>
          <w:rFonts w:ascii="Arial" w:hAnsi="Arial" w:cs="Arial"/>
          <w:color w:val="242121"/>
          <w:shd w:val="clear" w:color="auto" w:fill="FFFFFF"/>
        </w:rPr>
      </w:pPr>
      <w:r w:rsidRPr="0023451F">
        <w:rPr>
          <w:rFonts w:ascii="Arial" w:hAnsi="Arial" w:cs="Arial"/>
          <w:color w:val="242121"/>
          <w:shd w:val="clear" w:color="auto" w:fill="FFFFFF"/>
        </w:rPr>
        <w:t xml:space="preserve">[66] </w:t>
      </w:r>
      <w:r w:rsidRPr="0023451F">
        <w:rPr>
          <w:rFonts w:ascii="Arial" w:hAnsi="Arial" w:cs="Arial"/>
          <w:color w:val="242121"/>
          <w:shd w:val="clear" w:color="auto" w:fill="FFFFFF"/>
        </w:rPr>
        <w:tab/>
        <w:t xml:space="preserve">What remains are matters of costs. The </w:t>
      </w:r>
      <w:r>
        <w:rPr>
          <w:rFonts w:ascii="Arial" w:hAnsi="Arial" w:cs="Arial"/>
          <w:color w:val="242121"/>
          <w:shd w:val="clear" w:color="auto" w:fill="FFFFFF"/>
        </w:rPr>
        <w:t>applicants</w:t>
      </w:r>
      <w:r w:rsidRPr="0023451F">
        <w:rPr>
          <w:rFonts w:ascii="Arial" w:hAnsi="Arial" w:cs="Arial"/>
          <w:color w:val="242121"/>
          <w:shd w:val="clear" w:color="auto" w:fill="FFFFFF"/>
        </w:rPr>
        <w:t>, on the one hand, were substantially successful in their application</w:t>
      </w:r>
      <w:r w:rsidR="00AF0B19">
        <w:rPr>
          <w:rFonts w:ascii="Arial" w:hAnsi="Arial" w:cs="Arial"/>
          <w:color w:val="242121"/>
          <w:shd w:val="clear" w:color="auto" w:fill="FFFFFF"/>
        </w:rPr>
        <w:t>, particularly in respect of the contempt application but only in the representative capacity as trustees of the Deelkraal trust</w:t>
      </w:r>
      <w:r w:rsidRPr="0023451F">
        <w:rPr>
          <w:rFonts w:ascii="Arial" w:hAnsi="Arial" w:cs="Arial"/>
          <w:color w:val="242121"/>
          <w:shd w:val="clear" w:color="auto" w:fill="FFFFFF"/>
        </w:rPr>
        <w:t xml:space="preserve">. </w:t>
      </w:r>
      <w:r w:rsidR="00AF0B19">
        <w:rPr>
          <w:rFonts w:ascii="Arial" w:hAnsi="Arial" w:cs="Arial"/>
          <w:color w:val="242121"/>
          <w:shd w:val="clear" w:color="auto" w:fill="FFFFFF"/>
        </w:rPr>
        <w:t xml:space="preserve"> T</w:t>
      </w:r>
      <w:r w:rsidRPr="0023451F">
        <w:rPr>
          <w:rFonts w:ascii="Arial" w:hAnsi="Arial" w:cs="Arial"/>
          <w:color w:val="242121"/>
          <w:shd w:val="clear" w:color="auto" w:fill="FFFFFF"/>
        </w:rPr>
        <w:t xml:space="preserve">he opposition by the respondents </w:t>
      </w:r>
      <w:r w:rsidR="00AF0B19">
        <w:rPr>
          <w:rFonts w:ascii="Arial" w:hAnsi="Arial" w:cs="Arial"/>
          <w:color w:val="242121"/>
          <w:shd w:val="clear" w:color="auto" w:fill="FFFFFF"/>
        </w:rPr>
        <w:t xml:space="preserve">to the contempt application </w:t>
      </w:r>
      <w:r w:rsidRPr="0023451F">
        <w:rPr>
          <w:rFonts w:ascii="Arial" w:hAnsi="Arial" w:cs="Arial"/>
          <w:color w:val="242121"/>
          <w:shd w:val="clear" w:color="auto" w:fill="FFFFFF"/>
        </w:rPr>
        <w:t>in their personal capacitie</w:t>
      </w:r>
      <w:r w:rsidR="00AF0B19">
        <w:rPr>
          <w:rFonts w:ascii="Arial" w:hAnsi="Arial" w:cs="Arial"/>
          <w:color w:val="242121"/>
          <w:shd w:val="clear" w:color="auto" w:fill="FFFFFF"/>
        </w:rPr>
        <w:t>s was not unfair</w:t>
      </w:r>
      <w:r w:rsidRPr="0023451F">
        <w:rPr>
          <w:rFonts w:ascii="Arial" w:hAnsi="Arial" w:cs="Arial"/>
          <w:color w:val="242121"/>
          <w:shd w:val="clear" w:color="auto" w:fill="FFFFFF"/>
        </w:rPr>
        <w:t xml:space="preserve">. </w:t>
      </w:r>
      <w:r w:rsidR="00AF0B19">
        <w:rPr>
          <w:rFonts w:ascii="Arial" w:hAnsi="Arial" w:cs="Arial"/>
          <w:color w:val="242121"/>
          <w:shd w:val="clear" w:color="auto" w:fill="FFFFFF"/>
        </w:rPr>
        <w:t xml:space="preserve">All the trustees of the trust stand to be removed. </w:t>
      </w:r>
      <w:r w:rsidRPr="0023451F">
        <w:rPr>
          <w:rFonts w:ascii="Arial" w:hAnsi="Arial" w:cs="Arial"/>
          <w:color w:val="242121"/>
          <w:shd w:val="clear" w:color="auto" w:fill="FFFFFF"/>
        </w:rPr>
        <w:t xml:space="preserve">In the result, I believe that all costs </w:t>
      </w:r>
      <w:r w:rsidR="00AF0B19">
        <w:rPr>
          <w:rFonts w:ascii="Arial" w:hAnsi="Arial" w:cs="Arial"/>
          <w:color w:val="242121"/>
          <w:shd w:val="clear" w:color="auto" w:fill="FFFFFF"/>
        </w:rPr>
        <w:t>should</w:t>
      </w:r>
      <w:r w:rsidRPr="0023451F">
        <w:rPr>
          <w:rFonts w:ascii="Arial" w:hAnsi="Arial" w:cs="Arial"/>
          <w:color w:val="242121"/>
          <w:shd w:val="clear" w:color="auto" w:fill="FFFFFF"/>
        </w:rPr>
        <w:t xml:space="preserve"> be borne by the trust.</w:t>
      </w:r>
    </w:p>
    <w:p w14:paraId="599C9E56" w14:textId="77777777" w:rsidR="00AF0B19" w:rsidRDefault="00AF0B19" w:rsidP="0023451F">
      <w:pPr>
        <w:spacing w:line="360" w:lineRule="auto"/>
        <w:ind w:left="1134" w:hanging="1134"/>
        <w:jc w:val="both"/>
        <w:rPr>
          <w:rFonts w:ascii="Arial" w:hAnsi="Arial" w:cs="Arial"/>
          <w:color w:val="242121"/>
          <w:shd w:val="clear" w:color="auto" w:fill="FFFFFF"/>
        </w:rPr>
      </w:pPr>
    </w:p>
    <w:p w14:paraId="68732421" w14:textId="77777777" w:rsidR="00AF0B19" w:rsidRDefault="00AF0B19" w:rsidP="0023451F">
      <w:pPr>
        <w:spacing w:line="360" w:lineRule="auto"/>
        <w:ind w:left="1134" w:hanging="1134"/>
        <w:jc w:val="both"/>
        <w:rPr>
          <w:rFonts w:ascii="Arial" w:hAnsi="Arial" w:cs="Arial"/>
          <w:color w:val="242121"/>
          <w:shd w:val="clear" w:color="auto" w:fill="FFFFFF"/>
        </w:rPr>
      </w:pPr>
      <w:r>
        <w:rPr>
          <w:rFonts w:ascii="Arial" w:hAnsi="Arial" w:cs="Arial"/>
          <w:color w:val="242121"/>
          <w:shd w:val="clear" w:color="auto" w:fill="FFFFFF"/>
        </w:rPr>
        <w:t>In the result I make the following order:</w:t>
      </w:r>
    </w:p>
    <w:p w14:paraId="243DEC7E" w14:textId="77777777" w:rsidR="00AF0B19" w:rsidRPr="00AF0B19" w:rsidRDefault="00AF0B19" w:rsidP="0023451F">
      <w:pPr>
        <w:spacing w:line="360" w:lineRule="auto"/>
        <w:ind w:left="1134" w:hanging="1134"/>
        <w:jc w:val="both"/>
        <w:rPr>
          <w:rFonts w:ascii="Arial" w:hAnsi="Arial" w:cs="Arial"/>
          <w:color w:val="242121"/>
          <w:sz w:val="28"/>
          <w:szCs w:val="28"/>
          <w:shd w:val="clear" w:color="auto" w:fill="FFFFFF"/>
        </w:rPr>
      </w:pPr>
    </w:p>
    <w:p w14:paraId="76A663D4" w14:textId="704D077C" w:rsidR="00AF0B19" w:rsidRPr="00D56EE4" w:rsidRDefault="00D56EE4" w:rsidP="00D56EE4">
      <w:pPr>
        <w:spacing w:line="360" w:lineRule="auto"/>
        <w:ind w:left="1134" w:hanging="1134"/>
        <w:jc w:val="both"/>
        <w:rPr>
          <w:rFonts w:ascii="Arial" w:hAnsi="Arial" w:cs="Arial"/>
        </w:rPr>
      </w:pPr>
      <w:r w:rsidRPr="00AF0B19">
        <w:rPr>
          <w:rFonts w:ascii="Arial" w:hAnsi="Arial" w:cs="Arial"/>
          <w:color w:val="242121"/>
        </w:rPr>
        <w:t>1.</w:t>
      </w:r>
      <w:r w:rsidRPr="00AF0B19">
        <w:rPr>
          <w:rFonts w:ascii="Arial" w:hAnsi="Arial" w:cs="Arial"/>
          <w:color w:val="242121"/>
        </w:rPr>
        <w:tab/>
      </w:r>
      <w:r w:rsidR="00AF0B19" w:rsidRPr="00D56EE4">
        <w:rPr>
          <w:rFonts w:ascii="Arial" w:hAnsi="Arial" w:cs="Arial"/>
        </w:rPr>
        <w:t xml:space="preserve">It is declared that the first respondent and the second respondent in their representative capacity as trustees of the Deelkraal </w:t>
      </w:r>
      <w:r w:rsidR="00645EAB" w:rsidRPr="00D56EE4">
        <w:rPr>
          <w:rFonts w:ascii="Arial" w:hAnsi="Arial" w:cs="Arial"/>
        </w:rPr>
        <w:t>Behuisings</w:t>
      </w:r>
      <w:r w:rsidR="00AF0B19" w:rsidRPr="00D56EE4">
        <w:rPr>
          <w:rFonts w:ascii="Arial" w:hAnsi="Arial" w:cs="Arial"/>
        </w:rPr>
        <w:t xml:space="preserve"> Trust </w:t>
      </w:r>
      <w:r w:rsidR="00645EAB" w:rsidRPr="00D56EE4">
        <w:rPr>
          <w:rFonts w:ascii="Arial" w:hAnsi="Arial" w:cs="Arial"/>
          <w:sz w:val="22"/>
          <w:szCs w:val="22"/>
        </w:rPr>
        <w:t xml:space="preserve">(IT 4808 / 08) </w:t>
      </w:r>
      <w:r w:rsidR="00AF0B19" w:rsidRPr="00D56EE4">
        <w:rPr>
          <w:rFonts w:ascii="Arial" w:hAnsi="Arial" w:cs="Arial"/>
        </w:rPr>
        <w:t xml:space="preserve">are in contempt of the </w:t>
      </w:r>
      <w:r w:rsidR="00645EAB" w:rsidRPr="00D56EE4">
        <w:rPr>
          <w:rFonts w:ascii="Arial" w:hAnsi="Arial" w:cs="Arial"/>
        </w:rPr>
        <w:t xml:space="preserve">court </w:t>
      </w:r>
      <w:r w:rsidR="00AF0B19" w:rsidRPr="00D56EE4">
        <w:rPr>
          <w:rFonts w:ascii="Arial" w:hAnsi="Arial" w:cs="Arial"/>
        </w:rPr>
        <w:t>order issued by Retief AJ on 6 May 2019;</w:t>
      </w:r>
    </w:p>
    <w:p w14:paraId="7B5D2D28" w14:textId="77777777" w:rsidR="007A6015" w:rsidRPr="007A6015" w:rsidRDefault="007A6015" w:rsidP="00AF0B19">
      <w:pPr>
        <w:pStyle w:val="ListParagraph"/>
        <w:spacing w:line="360" w:lineRule="auto"/>
        <w:ind w:left="1134"/>
        <w:jc w:val="both"/>
        <w:rPr>
          <w:rFonts w:ascii="Arial" w:hAnsi="Arial" w:cs="Arial"/>
          <w:color w:val="FF0000"/>
          <w:sz w:val="22"/>
          <w:szCs w:val="22"/>
        </w:rPr>
      </w:pPr>
    </w:p>
    <w:p w14:paraId="409A43E1" w14:textId="129E4D8A" w:rsidR="00AF0B19" w:rsidRPr="00D56EE4" w:rsidRDefault="00D56EE4" w:rsidP="00D56EE4">
      <w:pPr>
        <w:spacing w:line="360" w:lineRule="auto"/>
        <w:ind w:left="1134" w:hanging="1134"/>
        <w:jc w:val="both"/>
        <w:rPr>
          <w:rFonts w:ascii="Arial" w:hAnsi="Arial" w:cs="Arial"/>
          <w:sz w:val="22"/>
          <w:szCs w:val="22"/>
        </w:rPr>
      </w:pPr>
      <w:r w:rsidRPr="00AF0B19">
        <w:rPr>
          <w:rFonts w:ascii="Arial" w:hAnsi="Arial" w:cs="Arial"/>
          <w:color w:val="242121"/>
          <w:szCs w:val="22"/>
        </w:rPr>
        <w:t>2.</w:t>
      </w:r>
      <w:r w:rsidRPr="00AF0B19">
        <w:rPr>
          <w:rFonts w:ascii="Arial" w:hAnsi="Arial" w:cs="Arial"/>
          <w:color w:val="242121"/>
          <w:szCs w:val="22"/>
        </w:rPr>
        <w:tab/>
      </w:r>
      <w:r w:rsidR="00AF0B19" w:rsidRPr="00D56EE4">
        <w:rPr>
          <w:rFonts w:ascii="Arial" w:hAnsi="Arial" w:cs="Arial"/>
        </w:rPr>
        <w:t>The first and second respondents are sentenced to three (3) months imprisonment, suspended for a period of five (5) years on the condition that they are not found guilty of contempt of court in that period</w:t>
      </w:r>
      <w:r w:rsidR="00645EAB" w:rsidRPr="00D56EE4">
        <w:rPr>
          <w:rFonts w:ascii="Arial" w:hAnsi="Arial" w:cs="Arial"/>
        </w:rPr>
        <w:t>;</w:t>
      </w:r>
    </w:p>
    <w:p w14:paraId="792ADB63" w14:textId="77777777" w:rsidR="00AF0B19" w:rsidRPr="00AF0B19" w:rsidRDefault="00AF0B19" w:rsidP="00AF0B19">
      <w:pPr>
        <w:pStyle w:val="ListParagraph"/>
        <w:rPr>
          <w:rFonts w:ascii="Arial" w:hAnsi="Arial" w:cs="Arial"/>
          <w:sz w:val="22"/>
          <w:szCs w:val="22"/>
        </w:rPr>
      </w:pPr>
    </w:p>
    <w:p w14:paraId="7C2F5E32" w14:textId="77F987B0" w:rsidR="00AF0B19" w:rsidRPr="00D56EE4" w:rsidRDefault="00D56EE4" w:rsidP="00D56EE4">
      <w:pPr>
        <w:spacing w:line="360" w:lineRule="auto"/>
        <w:ind w:left="1134" w:hanging="1134"/>
        <w:jc w:val="both"/>
        <w:rPr>
          <w:rFonts w:ascii="Arial" w:hAnsi="Arial" w:cs="Arial"/>
          <w:sz w:val="22"/>
          <w:szCs w:val="22"/>
        </w:rPr>
      </w:pPr>
      <w:r>
        <w:rPr>
          <w:rFonts w:ascii="Arial" w:hAnsi="Arial" w:cs="Arial"/>
          <w:color w:val="242121"/>
          <w:szCs w:val="22"/>
        </w:rPr>
        <w:t>3.</w:t>
      </w:r>
      <w:r>
        <w:rPr>
          <w:rFonts w:ascii="Arial" w:hAnsi="Arial" w:cs="Arial"/>
          <w:color w:val="242121"/>
          <w:szCs w:val="22"/>
        </w:rPr>
        <w:tab/>
      </w:r>
      <w:r w:rsidR="00AF0B19" w:rsidRPr="00D56EE4">
        <w:rPr>
          <w:rFonts w:ascii="Arial" w:hAnsi="Arial" w:cs="Arial"/>
          <w:sz w:val="22"/>
          <w:szCs w:val="22"/>
        </w:rPr>
        <w:t>The first applicant and the first and second respondents are removed as trustees of the Deelkraal</w:t>
      </w:r>
      <w:r w:rsidR="00645EAB" w:rsidRPr="00D56EE4">
        <w:rPr>
          <w:rFonts w:ascii="Arial" w:hAnsi="Arial" w:cs="Arial"/>
          <w:sz w:val="22"/>
          <w:szCs w:val="22"/>
        </w:rPr>
        <w:t xml:space="preserve"> Behuisings Trust (IT 4808 / 08);</w:t>
      </w:r>
    </w:p>
    <w:p w14:paraId="403DA078" w14:textId="77777777" w:rsidR="00645EAB" w:rsidRPr="00645EAB" w:rsidRDefault="00645EAB" w:rsidP="00645EAB">
      <w:pPr>
        <w:pStyle w:val="ListParagraph"/>
        <w:rPr>
          <w:rFonts w:ascii="Arial" w:hAnsi="Arial" w:cs="Arial"/>
          <w:sz w:val="22"/>
          <w:szCs w:val="22"/>
        </w:rPr>
      </w:pPr>
    </w:p>
    <w:p w14:paraId="1742029F" w14:textId="733DB56B" w:rsidR="00645EAB" w:rsidRPr="00D56EE4" w:rsidRDefault="00D56EE4" w:rsidP="00D56EE4">
      <w:pPr>
        <w:spacing w:line="360" w:lineRule="auto"/>
        <w:ind w:left="1134" w:hanging="1134"/>
        <w:jc w:val="both"/>
        <w:rPr>
          <w:rFonts w:ascii="Arial" w:hAnsi="Arial" w:cs="Arial"/>
          <w:sz w:val="22"/>
          <w:szCs w:val="22"/>
        </w:rPr>
      </w:pPr>
      <w:r>
        <w:rPr>
          <w:rFonts w:ascii="Arial" w:hAnsi="Arial" w:cs="Arial"/>
          <w:color w:val="242121"/>
          <w:szCs w:val="22"/>
        </w:rPr>
        <w:t>4.</w:t>
      </w:r>
      <w:r>
        <w:rPr>
          <w:rFonts w:ascii="Arial" w:hAnsi="Arial" w:cs="Arial"/>
          <w:color w:val="242121"/>
          <w:szCs w:val="22"/>
        </w:rPr>
        <w:tab/>
      </w:r>
      <w:r w:rsidR="00645EAB" w:rsidRPr="00D56EE4">
        <w:rPr>
          <w:rFonts w:ascii="Arial" w:hAnsi="Arial" w:cs="Arial"/>
          <w:sz w:val="22"/>
          <w:szCs w:val="22"/>
        </w:rPr>
        <w:t>The Master of the High Court is directed to nominate and appoint three independent trustees for the Deelkraal Behuisings Trust (IT 4808 / 08 ) in the stead of the first applicant and the first and second respondents;</w:t>
      </w:r>
    </w:p>
    <w:p w14:paraId="5A6B5E3C" w14:textId="77777777" w:rsidR="00645EAB" w:rsidRPr="00645EAB" w:rsidRDefault="00645EAB" w:rsidP="00645EAB">
      <w:pPr>
        <w:pStyle w:val="ListParagraph"/>
        <w:rPr>
          <w:rFonts w:ascii="Arial" w:hAnsi="Arial" w:cs="Arial"/>
          <w:sz w:val="22"/>
          <w:szCs w:val="22"/>
        </w:rPr>
      </w:pPr>
    </w:p>
    <w:p w14:paraId="640B00C8" w14:textId="14EED898" w:rsidR="00645EAB" w:rsidRPr="00D56EE4" w:rsidRDefault="00D56EE4" w:rsidP="00D56EE4">
      <w:pPr>
        <w:spacing w:line="360" w:lineRule="auto"/>
        <w:ind w:left="1134" w:hanging="1134"/>
        <w:jc w:val="both"/>
        <w:rPr>
          <w:rFonts w:ascii="Arial" w:hAnsi="Arial" w:cs="Arial"/>
          <w:sz w:val="22"/>
          <w:szCs w:val="22"/>
        </w:rPr>
      </w:pPr>
      <w:r w:rsidRPr="00AF0B19">
        <w:rPr>
          <w:rFonts w:ascii="Arial" w:hAnsi="Arial" w:cs="Arial"/>
          <w:color w:val="242121"/>
          <w:szCs w:val="22"/>
        </w:rPr>
        <w:t>5.</w:t>
      </w:r>
      <w:r w:rsidRPr="00AF0B19">
        <w:rPr>
          <w:rFonts w:ascii="Arial" w:hAnsi="Arial" w:cs="Arial"/>
          <w:color w:val="242121"/>
          <w:szCs w:val="22"/>
        </w:rPr>
        <w:tab/>
      </w:r>
      <w:r w:rsidR="00645EAB" w:rsidRPr="00D56EE4">
        <w:rPr>
          <w:rFonts w:ascii="Arial" w:hAnsi="Arial" w:cs="Arial"/>
          <w:sz w:val="22"/>
          <w:szCs w:val="22"/>
        </w:rPr>
        <w:t>The costs of the application shall be borne on the scale as between attorney and client by the Deelkraal Behuisings Trust (IT 4808 / 08 ).</w:t>
      </w:r>
    </w:p>
    <w:p w14:paraId="1529E275" w14:textId="77777777" w:rsidR="00500954" w:rsidRPr="0023451F" w:rsidRDefault="00500954" w:rsidP="00A5667C">
      <w:pPr>
        <w:spacing w:line="480" w:lineRule="auto"/>
        <w:ind w:left="1134" w:hanging="1134"/>
        <w:jc w:val="both"/>
        <w:rPr>
          <w:rFonts w:ascii="Arial" w:hAnsi="Arial" w:cs="Arial"/>
          <w:sz w:val="22"/>
          <w:szCs w:val="22"/>
        </w:rPr>
      </w:pPr>
    </w:p>
    <w:p w14:paraId="02E16844" w14:textId="77777777" w:rsidR="00500954" w:rsidRDefault="00500954" w:rsidP="00A5667C">
      <w:pPr>
        <w:spacing w:line="480" w:lineRule="auto"/>
        <w:ind w:left="1134" w:hanging="1134"/>
        <w:jc w:val="both"/>
        <w:rPr>
          <w:rFonts w:ascii="Arial" w:hAnsi="Arial" w:cs="Arial"/>
          <w:sz w:val="22"/>
          <w:szCs w:val="22"/>
        </w:rPr>
      </w:pPr>
    </w:p>
    <w:p w14:paraId="1C69B04D" w14:textId="5DE06A05" w:rsidR="00645EAB" w:rsidRPr="0023451F" w:rsidRDefault="0096206F" w:rsidP="0096206F">
      <w:pPr>
        <w:spacing w:line="480" w:lineRule="auto"/>
        <w:ind w:left="1134" w:hanging="1134"/>
        <w:jc w:val="right"/>
        <w:rPr>
          <w:rFonts w:ascii="Arial" w:hAnsi="Arial" w:cs="Arial"/>
          <w:sz w:val="22"/>
          <w:szCs w:val="22"/>
        </w:rPr>
      </w:pPr>
      <w:r>
        <w:rPr>
          <w:rFonts w:ascii="Arial" w:hAnsi="Arial" w:cs="Arial"/>
          <w:sz w:val="22"/>
          <w:szCs w:val="22"/>
        </w:rPr>
        <w:t>__________________________________</w:t>
      </w:r>
    </w:p>
    <w:p w14:paraId="1D9D4B46" w14:textId="77777777" w:rsidR="00CF6B51" w:rsidRDefault="00645EAB" w:rsidP="00645EAB">
      <w:pPr>
        <w:spacing w:line="480" w:lineRule="auto"/>
        <w:ind w:left="4320" w:firstLine="720"/>
        <w:jc w:val="both"/>
        <w:rPr>
          <w:rFonts w:ascii="Verdana" w:hAnsi="Verdana" w:cs="Arial"/>
        </w:rPr>
      </w:pPr>
      <w:r>
        <w:rPr>
          <w:rFonts w:ascii="Verdana" w:hAnsi="Verdana" w:cs="Arial"/>
        </w:rPr>
        <w:t>T P KRÜGER</w:t>
      </w:r>
    </w:p>
    <w:p w14:paraId="365D89FB" w14:textId="77777777" w:rsidR="00645EAB" w:rsidRDefault="00645EAB" w:rsidP="00645EAB">
      <w:pPr>
        <w:spacing w:line="480" w:lineRule="auto"/>
        <w:ind w:left="4320" w:firstLine="720"/>
        <w:jc w:val="both"/>
        <w:rPr>
          <w:rFonts w:ascii="Verdana" w:hAnsi="Verdana" w:cs="Arial"/>
        </w:rPr>
      </w:pPr>
      <w:r>
        <w:rPr>
          <w:rFonts w:ascii="Verdana" w:hAnsi="Verdana" w:cs="Arial"/>
        </w:rPr>
        <w:t xml:space="preserve">Acting Judge of the High Court </w:t>
      </w:r>
    </w:p>
    <w:p w14:paraId="3D833BF3" w14:textId="77777777" w:rsidR="009E100B" w:rsidRPr="009E100B" w:rsidRDefault="009E100B" w:rsidP="009E100B">
      <w:pPr>
        <w:spacing w:line="480" w:lineRule="auto"/>
        <w:ind w:left="1440"/>
        <w:jc w:val="both"/>
        <w:rPr>
          <w:rFonts w:ascii="Verdana" w:hAnsi="Verdana" w:cs="Arial"/>
          <w:i/>
        </w:rPr>
      </w:pPr>
    </w:p>
    <w:p w14:paraId="6E9FA3FA" w14:textId="77777777" w:rsidR="00CF6B51" w:rsidRDefault="00CF6B51" w:rsidP="009E100B">
      <w:pPr>
        <w:spacing w:line="480" w:lineRule="auto"/>
        <w:ind w:left="720" w:hanging="720"/>
        <w:jc w:val="both"/>
        <w:rPr>
          <w:rFonts w:ascii="Verdana" w:hAnsi="Verdana" w:cs="Arial"/>
        </w:rPr>
      </w:pPr>
    </w:p>
    <w:p w14:paraId="7D62B1B1" w14:textId="0BF46EA9" w:rsidR="009A6345" w:rsidRDefault="007F4C50" w:rsidP="009E100B">
      <w:pPr>
        <w:spacing w:line="480" w:lineRule="auto"/>
        <w:ind w:left="720" w:hanging="720"/>
        <w:jc w:val="both"/>
        <w:rPr>
          <w:rFonts w:ascii="Arial" w:hAnsi="Arial" w:cs="Arial"/>
          <w:b/>
        </w:rPr>
      </w:pPr>
      <w:r w:rsidRPr="007F4C50">
        <w:rPr>
          <w:rFonts w:ascii="Arial" w:hAnsi="Arial" w:cs="Arial"/>
          <w:b/>
        </w:rPr>
        <w:t>A</w:t>
      </w:r>
      <w:r>
        <w:rPr>
          <w:rFonts w:ascii="Arial" w:hAnsi="Arial" w:cs="Arial"/>
          <w:b/>
        </w:rPr>
        <w:t>PPEARANCES</w:t>
      </w:r>
    </w:p>
    <w:p w14:paraId="6689AB40" w14:textId="602F2723" w:rsidR="007F4C50" w:rsidRDefault="007F4C50" w:rsidP="009E100B">
      <w:pPr>
        <w:spacing w:line="480" w:lineRule="auto"/>
        <w:ind w:left="720" w:hanging="720"/>
        <w:jc w:val="both"/>
        <w:rPr>
          <w:rFonts w:ascii="Arial" w:hAnsi="Arial" w:cs="Arial"/>
        </w:rPr>
      </w:pPr>
      <w:r>
        <w:rPr>
          <w:rFonts w:ascii="Arial" w:hAnsi="Arial" w:cs="Arial"/>
        </w:rPr>
        <w:t>For the Applicant:</w:t>
      </w:r>
      <w:r>
        <w:rPr>
          <w:rFonts w:ascii="Arial" w:hAnsi="Arial" w:cs="Arial"/>
        </w:rPr>
        <w:tab/>
      </w:r>
      <w:r w:rsidR="009F5D39">
        <w:rPr>
          <w:rFonts w:ascii="Arial" w:hAnsi="Arial" w:cs="Arial"/>
        </w:rPr>
        <w:tab/>
      </w:r>
      <w:r w:rsidR="00127F99">
        <w:rPr>
          <w:rFonts w:ascii="Arial" w:hAnsi="Arial" w:cs="Arial"/>
        </w:rPr>
        <w:tab/>
      </w:r>
      <w:r>
        <w:rPr>
          <w:rFonts w:ascii="Arial" w:hAnsi="Arial" w:cs="Arial"/>
        </w:rPr>
        <w:t>Adv A. Vorster</w:t>
      </w:r>
    </w:p>
    <w:p w14:paraId="4D68F7EB" w14:textId="3EE97BB1" w:rsidR="007F4C50" w:rsidRDefault="007F4C50" w:rsidP="009F5D39">
      <w:pPr>
        <w:spacing w:line="360" w:lineRule="auto"/>
        <w:ind w:left="720" w:hanging="720"/>
        <w:jc w:val="both"/>
        <w:rPr>
          <w:rFonts w:ascii="Arial" w:hAnsi="Arial" w:cs="Arial"/>
        </w:rPr>
      </w:pPr>
      <w:r>
        <w:rPr>
          <w:rFonts w:ascii="Arial" w:hAnsi="Arial" w:cs="Arial"/>
        </w:rPr>
        <w:t>Instructed by:</w:t>
      </w:r>
      <w:r w:rsidR="009F5D39">
        <w:rPr>
          <w:rFonts w:ascii="Arial" w:hAnsi="Arial" w:cs="Arial"/>
        </w:rPr>
        <w:t xml:space="preserve"> </w:t>
      </w:r>
      <w:r w:rsidR="009F5D39">
        <w:rPr>
          <w:rFonts w:ascii="Arial" w:hAnsi="Arial" w:cs="Arial"/>
        </w:rPr>
        <w:tab/>
      </w:r>
      <w:r w:rsidR="009F5D39">
        <w:rPr>
          <w:rFonts w:ascii="Arial" w:hAnsi="Arial" w:cs="Arial"/>
        </w:rPr>
        <w:tab/>
      </w:r>
      <w:r w:rsidR="00127F99">
        <w:rPr>
          <w:rFonts w:ascii="Arial" w:hAnsi="Arial" w:cs="Arial"/>
        </w:rPr>
        <w:tab/>
      </w:r>
      <w:r w:rsidR="00EA19E7">
        <w:rPr>
          <w:rFonts w:ascii="Arial" w:hAnsi="Arial" w:cs="Arial"/>
        </w:rPr>
        <w:t>GMI Attorneys</w:t>
      </w:r>
    </w:p>
    <w:p w14:paraId="3C94BB6F" w14:textId="37D8AC3F" w:rsidR="00EA19E7" w:rsidRDefault="00EA19E7" w:rsidP="009F5D39">
      <w:pPr>
        <w:spacing w:line="360" w:lineRule="auto"/>
        <w:ind w:left="720" w:hanging="72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sidR="009F5D39">
        <w:rPr>
          <w:rFonts w:ascii="Arial" w:hAnsi="Arial" w:cs="Arial"/>
        </w:rPr>
        <w:tab/>
      </w:r>
      <w:r w:rsidR="00127F99">
        <w:rPr>
          <w:rFonts w:ascii="Arial" w:hAnsi="Arial" w:cs="Arial"/>
        </w:rPr>
        <w:tab/>
      </w:r>
      <w:r>
        <w:rPr>
          <w:rFonts w:ascii="Arial" w:hAnsi="Arial" w:cs="Arial"/>
          <w:sz w:val="20"/>
          <w:szCs w:val="20"/>
        </w:rPr>
        <w:t xml:space="preserve">GMI House </w:t>
      </w:r>
    </w:p>
    <w:p w14:paraId="2A36E3EE" w14:textId="4F001CB8" w:rsidR="00EA19E7" w:rsidRDefault="00EA19E7" w:rsidP="009F5D39">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F5D39">
        <w:rPr>
          <w:rFonts w:ascii="Arial" w:hAnsi="Arial" w:cs="Arial"/>
          <w:sz w:val="20"/>
          <w:szCs w:val="20"/>
        </w:rPr>
        <w:tab/>
      </w:r>
      <w:r w:rsidR="00127F99">
        <w:rPr>
          <w:rFonts w:ascii="Arial" w:hAnsi="Arial" w:cs="Arial"/>
          <w:sz w:val="20"/>
          <w:szCs w:val="20"/>
        </w:rPr>
        <w:tab/>
      </w:r>
      <w:r>
        <w:rPr>
          <w:rFonts w:ascii="Arial" w:hAnsi="Arial" w:cs="Arial"/>
          <w:sz w:val="20"/>
          <w:szCs w:val="20"/>
        </w:rPr>
        <w:t xml:space="preserve">Harlequins Office Park </w:t>
      </w:r>
    </w:p>
    <w:p w14:paraId="7A8C81FE" w14:textId="1922D8E5" w:rsidR="00EA19E7" w:rsidRDefault="00EA19E7" w:rsidP="009F5D39">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F5D39">
        <w:rPr>
          <w:rFonts w:ascii="Arial" w:hAnsi="Arial" w:cs="Arial"/>
          <w:sz w:val="20"/>
          <w:szCs w:val="20"/>
        </w:rPr>
        <w:tab/>
      </w:r>
      <w:r w:rsidR="00127F99">
        <w:rPr>
          <w:rFonts w:ascii="Arial" w:hAnsi="Arial" w:cs="Arial"/>
          <w:sz w:val="20"/>
          <w:szCs w:val="20"/>
        </w:rPr>
        <w:tab/>
      </w:r>
      <w:r>
        <w:rPr>
          <w:rFonts w:ascii="Arial" w:hAnsi="Arial" w:cs="Arial"/>
          <w:sz w:val="20"/>
          <w:szCs w:val="20"/>
        </w:rPr>
        <w:t>164 Totius Street</w:t>
      </w:r>
    </w:p>
    <w:p w14:paraId="212C5E5D" w14:textId="3DF7D3F8" w:rsidR="009F5D39" w:rsidRPr="00EA19E7" w:rsidRDefault="009F5D39" w:rsidP="009F5D39">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27F99">
        <w:rPr>
          <w:rFonts w:ascii="Arial" w:hAnsi="Arial" w:cs="Arial"/>
          <w:sz w:val="20"/>
          <w:szCs w:val="20"/>
        </w:rPr>
        <w:tab/>
      </w:r>
      <w:r>
        <w:rPr>
          <w:rFonts w:ascii="Arial" w:hAnsi="Arial" w:cs="Arial"/>
          <w:sz w:val="20"/>
          <w:szCs w:val="20"/>
        </w:rPr>
        <w:t xml:space="preserve">Groenkloof. </w:t>
      </w:r>
    </w:p>
    <w:p w14:paraId="4E47C784" w14:textId="60F14459" w:rsidR="009E100B" w:rsidRDefault="009E100B" w:rsidP="009E100B">
      <w:pPr>
        <w:spacing w:line="480" w:lineRule="auto"/>
        <w:ind w:left="720" w:hanging="720"/>
        <w:jc w:val="both"/>
        <w:rPr>
          <w:rFonts w:ascii="Verdana" w:hAnsi="Verdana" w:cs="Arial"/>
        </w:rPr>
      </w:pPr>
    </w:p>
    <w:p w14:paraId="22D7E2AD" w14:textId="1205DE8E" w:rsidR="009F5D39" w:rsidRDefault="009F5D39" w:rsidP="009E100B">
      <w:pPr>
        <w:spacing w:line="480" w:lineRule="auto"/>
        <w:ind w:left="720" w:hanging="720"/>
        <w:jc w:val="both"/>
        <w:rPr>
          <w:rFonts w:ascii="Arial" w:hAnsi="Arial" w:cs="Arial"/>
        </w:rPr>
      </w:pPr>
      <w:r w:rsidRPr="009F5D39">
        <w:rPr>
          <w:rFonts w:ascii="Arial" w:hAnsi="Arial" w:cs="Arial"/>
        </w:rPr>
        <w:t>For the 1</w:t>
      </w:r>
      <w:r w:rsidRPr="009F5D39">
        <w:rPr>
          <w:rFonts w:ascii="Arial" w:hAnsi="Arial" w:cs="Arial"/>
          <w:vertAlign w:val="superscript"/>
        </w:rPr>
        <w:t>st</w:t>
      </w:r>
      <w:r w:rsidRPr="009F5D39">
        <w:rPr>
          <w:rFonts w:ascii="Arial" w:hAnsi="Arial" w:cs="Arial"/>
        </w:rPr>
        <w:t>-8</w:t>
      </w:r>
      <w:r w:rsidRPr="009F5D39">
        <w:rPr>
          <w:rFonts w:ascii="Arial" w:hAnsi="Arial" w:cs="Arial"/>
          <w:vertAlign w:val="superscript"/>
        </w:rPr>
        <w:t>th</w:t>
      </w:r>
      <w:r w:rsidRPr="009F5D39">
        <w:rPr>
          <w:rFonts w:ascii="Arial" w:hAnsi="Arial" w:cs="Arial"/>
        </w:rPr>
        <w:t xml:space="preserve"> Respondents: </w:t>
      </w:r>
      <w:r w:rsidR="00127F99">
        <w:rPr>
          <w:rFonts w:ascii="Arial" w:hAnsi="Arial" w:cs="Arial"/>
        </w:rPr>
        <w:tab/>
      </w:r>
      <w:r w:rsidR="00A46B93">
        <w:rPr>
          <w:rFonts w:ascii="Arial" w:hAnsi="Arial" w:cs="Arial"/>
        </w:rPr>
        <w:t>Adv J.G.W Basson</w:t>
      </w:r>
    </w:p>
    <w:p w14:paraId="0304CFDB" w14:textId="6E729748" w:rsidR="00A46B93" w:rsidRDefault="00A46B93" w:rsidP="00127F99">
      <w:pPr>
        <w:spacing w:line="360" w:lineRule="auto"/>
        <w:ind w:left="720" w:hanging="720"/>
        <w:jc w:val="both"/>
        <w:rPr>
          <w:rFonts w:ascii="Arial" w:hAnsi="Arial" w:cs="Arial"/>
        </w:rPr>
      </w:pPr>
      <w:r>
        <w:rPr>
          <w:rFonts w:ascii="Arial" w:hAnsi="Arial" w:cs="Arial"/>
        </w:rPr>
        <w:t>Instructed by:</w:t>
      </w:r>
      <w:r>
        <w:rPr>
          <w:rFonts w:ascii="Arial" w:hAnsi="Arial" w:cs="Arial"/>
        </w:rPr>
        <w:tab/>
      </w:r>
      <w:r>
        <w:rPr>
          <w:rFonts w:ascii="Arial" w:hAnsi="Arial" w:cs="Arial"/>
        </w:rPr>
        <w:tab/>
        <w:t xml:space="preserve">  </w:t>
      </w:r>
      <w:r w:rsidR="00127F99">
        <w:rPr>
          <w:rFonts w:ascii="Arial" w:hAnsi="Arial" w:cs="Arial"/>
        </w:rPr>
        <w:tab/>
      </w:r>
      <w:r>
        <w:rPr>
          <w:rFonts w:ascii="Arial" w:hAnsi="Arial" w:cs="Arial"/>
        </w:rPr>
        <w:t xml:space="preserve">Bernhard Van Der Hoven Attorneys </w:t>
      </w:r>
    </w:p>
    <w:p w14:paraId="502D1396" w14:textId="55CA0788" w:rsidR="00A46B93" w:rsidRDefault="00A46B93" w:rsidP="00127F99">
      <w:pPr>
        <w:spacing w:line="360" w:lineRule="auto"/>
        <w:ind w:left="720" w:hanging="72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27F99">
        <w:rPr>
          <w:rFonts w:ascii="Arial" w:hAnsi="Arial" w:cs="Arial"/>
        </w:rPr>
        <w:tab/>
      </w:r>
      <w:r w:rsidR="00127F99">
        <w:rPr>
          <w:rFonts w:ascii="Arial" w:hAnsi="Arial" w:cs="Arial"/>
          <w:sz w:val="20"/>
          <w:szCs w:val="20"/>
        </w:rPr>
        <w:t>225 Veale Street</w:t>
      </w:r>
    </w:p>
    <w:p w14:paraId="003BF2B6" w14:textId="466CC2A3" w:rsidR="00127F99" w:rsidRDefault="00127F99" w:rsidP="00127F99">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Brooklyn </w:t>
      </w:r>
    </w:p>
    <w:p w14:paraId="7A93B99B" w14:textId="77777777" w:rsidR="00127F99" w:rsidRDefault="00127F99" w:rsidP="00127F99">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Pretoria.</w:t>
      </w:r>
    </w:p>
    <w:p w14:paraId="32B582CB" w14:textId="77777777" w:rsidR="00127F99" w:rsidRDefault="00127F99" w:rsidP="00127F99">
      <w:pPr>
        <w:spacing w:line="360" w:lineRule="auto"/>
        <w:ind w:left="720" w:hanging="720"/>
        <w:jc w:val="both"/>
        <w:rPr>
          <w:rFonts w:ascii="Arial" w:hAnsi="Arial" w:cs="Arial"/>
          <w:sz w:val="20"/>
          <w:szCs w:val="20"/>
        </w:rPr>
      </w:pPr>
    </w:p>
    <w:p w14:paraId="14EDFBDE" w14:textId="77777777" w:rsidR="001701FF" w:rsidRDefault="001701FF" w:rsidP="00127F99">
      <w:pPr>
        <w:spacing w:line="360" w:lineRule="auto"/>
        <w:ind w:left="720" w:hanging="720"/>
        <w:jc w:val="both"/>
        <w:rPr>
          <w:rFonts w:ascii="Arial" w:hAnsi="Arial" w:cs="Arial"/>
        </w:rPr>
      </w:pPr>
    </w:p>
    <w:p w14:paraId="403F9883" w14:textId="7F0F9C59" w:rsidR="00127F99" w:rsidRPr="001701FF" w:rsidRDefault="00127F99" w:rsidP="003D3DC1">
      <w:pPr>
        <w:spacing w:line="480" w:lineRule="auto"/>
        <w:ind w:left="720" w:hanging="720"/>
        <w:jc w:val="both"/>
        <w:rPr>
          <w:rFonts w:ascii="Arial" w:hAnsi="Arial" w:cs="Arial"/>
        </w:rPr>
      </w:pPr>
      <w:r w:rsidRPr="001701FF">
        <w:rPr>
          <w:rFonts w:ascii="Arial" w:hAnsi="Arial" w:cs="Arial"/>
        </w:rPr>
        <w:t>For the 11</w:t>
      </w:r>
      <w:r w:rsidRPr="001701FF">
        <w:rPr>
          <w:rFonts w:ascii="Arial" w:hAnsi="Arial" w:cs="Arial"/>
          <w:vertAlign w:val="superscript"/>
        </w:rPr>
        <w:t>th</w:t>
      </w:r>
      <w:r w:rsidRPr="001701FF">
        <w:rPr>
          <w:rFonts w:ascii="Arial" w:hAnsi="Arial" w:cs="Arial"/>
        </w:rPr>
        <w:t xml:space="preserve"> – 14</w:t>
      </w:r>
      <w:r w:rsidRPr="001701FF">
        <w:rPr>
          <w:rFonts w:ascii="Arial" w:hAnsi="Arial" w:cs="Arial"/>
          <w:vertAlign w:val="superscript"/>
        </w:rPr>
        <w:t>th</w:t>
      </w:r>
      <w:r w:rsidRPr="001701FF">
        <w:rPr>
          <w:rFonts w:ascii="Arial" w:hAnsi="Arial" w:cs="Arial"/>
        </w:rPr>
        <w:t xml:space="preserve"> Respondents:</w:t>
      </w:r>
      <w:r w:rsidRPr="001701FF">
        <w:rPr>
          <w:rFonts w:ascii="Arial" w:hAnsi="Arial" w:cs="Arial"/>
        </w:rPr>
        <w:tab/>
        <w:t>Adv R Grundlingh</w:t>
      </w:r>
    </w:p>
    <w:p w14:paraId="189DBAD3" w14:textId="2F6A5655" w:rsidR="00513C1E" w:rsidRPr="001701FF" w:rsidRDefault="00127F99" w:rsidP="003D3DC1">
      <w:pPr>
        <w:spacing w:line="360" w:lineRule="auto"/>
        <w:ind w:left="720" w:hanging="720"/>
        <w:jc w:val="both"/>
        <w:rPr>
          <w:rFonts w:ascii="Arial" w:hAnsi="Arial" w:cs="Arial"/>
        </w:rPr>
      </w:pPr>
      <w:r w:rsidRPr="001701FF">
        <w:rPr>
          <w:rFonts w:ascii="Arial" w:hAnsi="Arial" w:cs="Arial"/>
        </w:rPr>
        <w:t>Instructed by:</w:t>
      </w:r>
      <w:r w:rsidRPr="001701FF">
        <w:rPr>
          <w:rFonts w:ascii="Arial" w:hAnsi="Arial" w:cs="Arial"/>
        </w:rPr>
        <w:tab/>
      </w:r>
      <w:r w:rsidRPr="001701FF">
        <w:rPr>
          <w:rFonts w:ascii="Arial" w:hAnsi="Arial" w:cs="Arial"/>
        </w:rPr>
        <w:tab/>
      </w:r>
      <w:r w:rsidRPr="001701FF">
        <w:rPr>
          <w:rFonts w:ascii="Arial" w:hAnsi="Arial" w:cs="Arial"/>
        </w:rPr>
        <w:tab/>
      </w:r>
      <w:r w:rsidR="00513C1E" w:rsidRPr="001701FF">
        <w:rPr>
          <w:rFonts w:ascii="Arial" w:hAnsi="Arial" w:cs="Arial"/>
        </w:rPr>
        <w:t xml:space="preserve">Scheepers &amp; Aucamp Attorneys </w:t>
      </w:r>
    </w:p>
    <w:p w14:paraId="58F2B52A" w14:textId="77777777" w:rsidR="00513C1E" w:rsidRDefault="00513C1E" w:rsidP="003D3DC1">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 Alers Van Aardt Bester Inc</w:t>
      </w:r>
    </w:p>
    <w:p w14:paraId="62836530" w14:textId="77777777" w:rsidR="00513C1E" w:rsidRDefault="00513C1E" w:rsidP="003D3DC1">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Unit 2, 1004 Saxby Avenue</w:t>
      </w:r>
    </w:p>
    <w:p w14:paraId="238284B8" w14:textId="77777777" w:rsidR="00513C1E" w:rsidRDefault="00513C1E" w:rsidP="003D3DC1">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Eldoraigne</w:t>
      </w:r>
    </w:p>
    <w:p w14:paraId="2EF2C113" w14:textId="16CA437A" w:rsidR="00127F99" w:rsidRPr="00A46B93" w:rsidRDefault="00513C1E" w:rsidP="003D3DC1">
      <w:pPr>
        <w:spacing w:line="36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Centurion. </w:t>
      </w:r>
      <w:r w:rsidR="00127F99">
        <w:rPr>
          <w:rFonts w:ascii="Arial" w:hAnsi="Arial" w:cs="Arial"/>
          <w:sz w:val="20"/>
          <w:szCs w:val="20"/>
        </w:rPr>
        <w:t xml:space="preserve"> </w:t>
      </w:r>
    </w:p>
    <w:p w14:paraId="30200161" w14:textId="6CA8D611" w:rsidR="008B619C" w:rsidRDefault="008B619C" w:rsidP="008B619C">
      <w:pPr>
        <w:spacing w:line="360" w:lineRule="auto"/>
        <w:jc w:val="both"/>
        <w:rPr>
          <w:rFonts w:ascii="Verdana" w:hAnsi="Verdana" w:cs="Arial"/>
        </w:rPr>
      </w:pPr>
    </w:p>
    <w:p w14:paraId="4F9D0E62" w14:textId="368B17FD" w:rsidR="008B619C" w:rsidRPr="002330BB" w:rsidRDefault="008B619C" w:rsidP="003D3DC1">
      <w:pPr>
        <w:spacing w:line="360" w:lineRule="auto"/>
        <w:ind w:left="720" w:hanging="720"/>
        <w:jc w:val="both"/>
        <w:rPr>
          <w:rFonts w:ascii="Arial" w:hAnsi="Arial" w:cs="Arial"/>
        </w:rPr>
      </w:pPr>
      <w:r w:rsidRPr="002330BB">
        <w:rPr>
          <w:rFonts w:ascii="Arial" w:hAnsi="Arial" w:cs="Arial"/>
        </w:rPr>
        <w:t>DATE OF HEARING: 08-09 February 2024</w:t>
      </w:r>
    </w:p>
    <w:p w14:paraId="53DB4CFE" w14:textId="77777777" w:rsidR="002330BB" w:rsidRPr="00E545A9" w:rsidRDefault="008B619C" w:rsidP="003D3DC1">
      <w:pPr>
        <w:spacing w:line="360" w:lineRule="auto"/>
        <w:ind w:left="720" w:hanging="720"/>
        <w:jc w:val="both"/>
        <w:rPr>
          <w:rFonts w:ascii="Arial" w:hAnsi="Arial" w:cs="Arial"/>
          <w:b/>
        </w:rPr>
      </w:pPr>
      <w:r w:rsidRPr="00E545A9">
        <w:rPr>
          <w:rFonts w:ascii="Arial" w:hAnsi="Arial" w:cs="Arial"/>
          <w:b/>
        </w:rPr>
        <w:t>JUDGMENT ELECTRONICALLY TRANSMITTED TO THE PARTIES</w:t>
      </w:r>
      <w:r w:rsidR="002330BB" w:rsidRPr="00E545A9">
        <w:rPr>
          <w:rFonts w:ascii="Arial" w:hAnsi="Arial" w:cs="Arial"/>
          <w:b/>
        </w:rPr>
        <w:t>/ LEGAL</w:t>
      </w:r>
    </w:p>
    <w:p w14:paraId="11242220" w14:textId="5BD6A095" w:rsidR="008B619C" w:rsidRPr="00E545A9" w:rsidRDefault="002330BB" w:rsidP="003D3DC1">
      <w:pPr>
        <w:spacing w:line="360" w:lineRule="auto"/>
        <w:ind w:left="720" w:hanging="720"/>
        <w:jc w:val="both"/>
        <w:rPr>
          <w:rFonts w:ascii="Arial" w:hAnsi="Arial" w:cs="Arial"/>
          <w:b/>
        </w:rPr>
      </w:pPr>
      <w:r w:rsidRPr="00E545A9">
        <w:rPr>
          <w:rFonts w:ascii="Arial" w:hAnsi="Arial" w:cs="Arial"/>
          <w:b/>
        </w:rPr>
        <w:t>REPRESENTATIVES ON THE 27</w:t>
      </w:r>
      <w:r w:rsidRPr="00E545A9">
        <w:rPr>
          <w:rFonts w:ascii="Arial" w:hAnsi="Arial" w:cs="Arial"/>
          <w:b/>
          <w:vertAlign w:val="superscript"/>
        </w:rPr>
        <w:t>TH</w:t>
      </w:r>
      <w:r w:rsidRPr="00E545A9">
        <w:rPr>
          <w:rFonts w:ascii="Arial" w:hAnsi="Arial" w:cs="Arial"/>
          <w:b/>
        </w:rPr>
        <w:t xml:space="preserve"> MARCH 2024. </w:t>
      </w:r>
    </w:p>
    <w:sectPr w:rsidR="008B619C" w:rsidRPr="00E545A9" w:rsidSect="00EF7C8C">
      <w:headerReference w:type="default" r:id="rId16"/>
      <w:pgSz w:w="11906" w:h="16838"/>
      <w:pgMar w:top="1440" w:right="1440"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29AAD" w14:textId="77777777" w:rsidR="00EF7C8C" w:rsidRDefault="00EF7C8C" w:rsidP="00B81032">
      <w:r>
        <w:separator/>
      </w:r>
    </w:p>
  </w:endnote>
  <w:endnote w:type="continuationSeparator" w:id="0">
    <w:p w14:paraId="2EDE1A2A" w14:textId="77777777" w:rsidR="00EF7C8C" w:rsidRDefault="00EF7C8C" w:rsidP="00B8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18363" w14:textId="77777777" w:rsidR="00EF7C8C" w:rsidRDefault="00EF7C8C" w:rsidP="00B81032">
      <w:r>
        <w:separator/>
      </w:r>
    </w:p>
  </w:footnote>
  <w:footnote w:type="continuationSeparator" w:id="0">
    <w:p w14:paraId="58BF6D5D" w14:textId="77777777" w:rsidR="00EF7C8C" w:rsidRDefault="00EF7C8C" w:rsidP="00B81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2359797"/>
      <w:docPartObj>
        <w:docPartGallery w:val="Page Numbers (Top of Page)"/>
        <w:docPartUnique/>
      </w:docPartObj>
    </w:sdtPr>
    <w:sdtEndPr>
      <w:rPr>
        <w:noProof/>
      </w:rPr>
    </w:sdtEndPr>
    <w:sdtContent>
      <w:p w14:paraId="39C44E1C" w14:textId="48584059" w:rsidR="009E100B" w:rsidRDefault="009E100B">
        <w:pPr>
          <w:pStyle w:val="Header"/>
          <w:jc w:val="right"/>
        </w:pPr>
        <w:r>
          <w:fldChar w:fldCharType="begin"/>
        </w:r>
        <w:r>
          <w:instrText xml:space="preserve"> PAGE   \* MERGEFORMAT </w:instrText>
        </w:r>
        <w:r>
          <w:fldChar w:fldCharType="separate"/>
        </w:r>
        <w:r w:rsidR="004F7FF4">
          <w:rPr>
            <w:noProof/>
          </w:rPr>
          <w:t>30</w:t>
        </w:r>
        <w:r>
          <w:rPr>
            <w:noProof/>
          </w:rPr>
          <w:fldChar w:fldCharType="end"/>
        </w:r>
      </w:p>
    </w:sdtContent>
  </w:sdt>
  <w:p w14:paraId="3AF55F2A" w14:textId="77777777" w:rsidR="009E100B" w:rsidRDefault="009E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7CBC"/>
    <w:multiLevelType w:val="hybridMultilevel"/>
    <w:tmpl w:val="51FA538A"/>
    <w:lvl w:ilvl="0" w:tplc="7DAC8BDE">
      <w:start w:val="1"/>
      <w:numFmt w:val="lowerLetter"/>
      <w:lvlText w:val="(%1)"/>
      <w:lvlJc w:val="left"/>
      <w:pPr>
        <w:ind w:left="2620" w:hanging="360"/>
      </w:pPr>
      <w:rPr>
        <w:rFonts w:hint="default"/>
      </w:r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abstractNum w:abstractNumId="1" w15:restartNumberingAfterBreak="0">
    <w:nsid w:val="00B25CFC"/>
    <w:multiLevelType w:val="hybridMultilevel"/>
    <w:tmpl w:val="D2E06C1A"/>
    <w:lvl w:ilvl="0" w:tplc="41860504">
      <w:start w:val="1"/>
      <w:numFmt w:val="lowerRoman"/>
      <w:lvlText w:val="(%1)"/>
      <w:lvlJc w:val="left"/>
      <w:pPr>
        <w:ind w:left="2214" w:hanging="108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B670E55"/>
    <w:multiLevelType w:val="multilevel"/>
    <w:tmpl w:val="1EB6AE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D315479"/>
    <w:multiLevelType w:val="hybridMultilevel"/>
    <w:tmpl w:val="40044790"/>
    <w:lvl w:ilvl="0" w:tplc="7C7ABECC">
      <w:start w:val="9"/>
      <w:numFmt w:val="lowerLetter"/>
      <w:lvlText w:val="(%1)"/>
      <w:lvlJc w:val="left"/>
      <w:pPr>
        <w:ind w:left="3760" w:hanging="360"/>
      </w:pPr>
      <w:rPr>
        <w:rFonts w:hint="default"/>
      </w:rPr>
    </w:lvl>
    <w:lvl w:ilvl="1" w:tplc="08090019" w:tentative="1">
      <w:start w:val="1"/>
      <w:numFmt w:val="lowerLetter"/>
      <w:lvlText w:val="%2."/>
      <w:lvlJc w:val="left"/>
      <w:pPr>
        <w:ind w:left="4480" w:hanging="360"/>
      </w:pPr>
    </w:lvl>
    <w:lvl w:ilvl="2" w:tplc="0809001B" w:tentative="1">
      <w:start w:val="1"/>
      <w:numFmt w:val="lowerRoman"/>
      <w:lvlText w:val="%3."/>
      <w:lvlJc w:val="right"/>
      <w:pPr>
        <w:ind w:left="5200" w:hanging="180"/>
      </w:pPr>
    </w:lvl>
    <w:lvl w:ilvl="3" w:tplc="0809000F" w:tentative="1">
      <w:start w:val="1"/>
      <w:numFmt w:val="decimal"/>
      <w:lvlText w:val="%4."/>
      <w:lvlJc w:val="left"/>
      <w:pPr>
        <w:ind w:left="5920" w:hanging="360"/>
      </w:pPr>
    </w:lvl>
    <w:lvl w:ilvl="4" w:tplc="08090019" w:tentative="1">
      <w:start w:val="1"/>
      <w:numFmt w:val="lowerLetter"/>
      <w:lvlText w:val="%5."/>
      <w:lvlJc w:val="left"/>
      <w:pPr>
        <w:ind w:left="6640" w:hanging="360"/>
      </w:pPr>
    </w:lvl>
    <w:lvl w:ilvl="5" w:tplc="0809001B" w:tentative="1">
      <w:start w:val="1"/>
      <w:numFmt w:val="lowerRoman"/>
      <w:lvlText w:val="%6."/>
      <w:lvlJc w:val="right"/>
      <w:pPr>
        <w:ind w:left="7360" w:hanging="180"/>
      </w:pPr>
    </w:lvl>
    <w:lvl w:ilvl="6" w:tplc="0809000F" w:tentative="1">
      <w:start w:val="1"/>
      <w:numFmt w:val="decimal"/>
      <w:lvlText w:val="%7."/>
      <w:lvlJc w:val="left"/>
      <w:pPr>
        <w:ind w:left="8080" w:hanging="360"/>
      </w:pPr>
    </w:lvl>
    <w:lvl w:ilvl="7" w:tplc="08090019" w:tentative="1">
      <w:start w:val="1"/>
      <w:numFmt w:val="lowerLetter"/>
      <w:lvlText w:val="%8."/>
      <w:lvlJc w:val="left"/>
      <w:pPr>
        <w:ind w:left="8800" w:hanging="360"/>
      </w:pPr>
    </w:lvl>
    <w:lvl w:ilvl="8" w:tplc="0809001B" w:tentative="1">
      <w:start w:val="1"/>
      <w:numFmt w:val="lowerRoman"/>
      <w:lvlText w:val="%9."/>
      <w:lvlJc w:val="right"/>
      <w:pPr>
        <w:ind w:left="9520" w:hanging="180"/>
      </w:pPr>
    </w:lvl>
  </w:abstractNum>
  <w:abstractNum w:abstractNumId="4" w15:restartNumberingAfterBreak="0">
    <w:nsid w:val="0ED07528"/>
    <w:multiLevelType w:val="hybridMultilevel"/>
    <w:tmpl w:val="29562D7E"/>
    <w:lvl w:ilvl="0" w:tplc="049E67EC">
      <w:start w:val="1"/>
      <w:numFmt w:val="decimal"/>
      <w:lvlText w:val="%1."/>
      <w:lvlJc w:val="left"/>
      <w:pPr>
        <w:ind w:left="720" w:hanging="360"/>
      </w:pPr>
      <w:rPr>
        <w:rFonts w:hint="default"/>
        <w:color w:val="24212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2C44"/>
    <w:multiLevelType w:val="hybridMultilevel"/>
    <w:tmpl w:val="D43ED5B8"/>
    <w:lvl w:ilvl="0" w:tplc="8AA423C6">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CE6460"/>
    <w:multiLevelType w:val="multilevel"/>
    <w:tmpl w:val="0E54F4B2"/>
    <w:lvl w:ilvl="0">
      <w:start w:val="5"/>
      <w:numFmt w:val="decimal"/>
      <w:lvlText w:val="(%1."/>
      <w:lvlJc w:val="left"/>
      <w:pPr>
        <w:ind w:left="525" w:hanging="525"/>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788" w:hanging="1080"/>
      </w:pPr>
      <w:rPr>
        <w:rFonts w:hint="default"/>
      </w:rPr>
    </w:lvl>
    <w:lvl w:ilvl="3">
      <w:start w:val="1"/>
      <w:numFmt w:val="decimal"/>
      <w:lvlText w:val="(%1.%2)%3.%4."/>
      <w:lvlJc w:val="left"/>
      <w:pPr>
        <w:ind w:left="7002" w:hanging="144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1070" w:hanging="1800"/>
      </w:pPr>
      <w:rPr>
        <w:rFonts w:hint="default"/>
      </w:rPr>
    </w:lvl>
    <w:lvl w:ilvl="6">
      <w:start w:val="1"/>
      <w:numFmt w:val="decimal"/>
      <w:lvlText w:val="(%1.%2)%3.%4.%5.%6.%7."/>
      <w:lvlJc w:val="left"/>
      <w:pPr>
        <w:ind w:left="13284" w:hanging="2160"/>
      </w:pPr>
      <w:rPr>
        <w:rFonts w:hint="default"/>
      </w:rPr>
    </w:lvl>
    <w:lvl w:ilvl="7">
      <w:start w:val="1"/>
      <w:numFmt w:val="decimal"/>
      <w:lvlText w:val="(%1.%2)%3.%4.%5.%6.%7.%8."/>
      <w:lvlJc w:val="left"/>
      <w:pPr>
        <w:ind w:left="15138" w:hanging="2160"/>
      </w:pPr>
      <w:rPr>
        <w:rFonts w:hint="default"/>
      </w:rPr>
    </w:lvl>
    <w:lvl w:ilvl="8">
      <w:start w:val="1"/>
      <w:numFmt w:val="decimal"/>
      <w:lvlText w:val="(%1.%2)%3.%4.%5.%6.%7.%8.%9."/>
      <w:lvlJc w:val="left"/>
      <w:pPr>
        <w:ind w:left="17352" w:hanging="2520"/>
      </w:pPr>
      <w:rPr>
        <w:rFonts w:hint="default"/>
      </w:rPr>
    </w:lvl>
  </w:abstractNum>
  <w:abstractNum w:abstractNumId="7" w15:restartNumberingAfterBreak="0">
    <w:nsid w:val="15F75A60"/>
    <w:multiLevelType w:val="multilevel"/>
    <w:tmpl w:val="C8587C3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96B4CCD"/>
    <w:multiLevelType w:val="hybridMultilevel"/>
    <w:tmpl w:val="0AC475BA"/>
    <w:lvl w:ilvl="0" w:tplc="373C5F0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1A0B52AB"/>
    <w:multiLevelType w:val="hybridMultilevel"/>
    <w:tmpl w:val="0750C2A2"/>
    <w:lvl w:ilvl="0" w:tplc="0E40266A">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1E59029E"/>
    <w:multiLevelType w:val="hybridMultilevel"/>
    <w:tmpl w:val="92FAFF34"/>
    <w:lvl w:ilvl="0" w:tplc="1EF039C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20CE3567"/>
    <w:multiLevelType w:val="multilevel"/>
    <w:tmpl w:val="A1EC8638"/>
    <w:lvl w:ilvl="0">
      <w:start w:val="14"/>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4"/>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283E1E0A"/>
    <w:multiLevelType w:val="multilevel"/>
    <w:tmpl w:val="454CE6FE"/>
    <w:lvl w:ilvl="0">
      <w:start w:val="13"/>
      <w:numFmt w:val="decimal"/>
      <w:lvlText w:val="%1"/>
      <w:lvlJc w:val="left"/>
      <w:pPr>
        <w:ind w:left="540" w:hanging="54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800" w:hanging="1800"/>
      </w:pPr>
      <w:rPr>
        <w:rFonts w:hint="default"/>
        <w:b w:val="0"/>
        <w:u w:val="none"/>
      </w:rPr>
    </w:lvl>
    <w:lvl w:ilvl="6">
      <w:start w:val="1"/>
      <w:numFmt w:val="decimal"/>
      <w:lvlText w:val="%1.%2.%3.%4.%5.%6.%7"/>
      <w:lvlJc w:val="left"/>
      <w:pPr>
        <w:ind w:left="2160" w:hanging="2160"/>
      </w:pPr>
      <w:rPr>
        <w:rFonts w:hint="default"/>
        <w:b w:val="0"/>
        <w:u w:val="none"/>
      </w:rPr>
    </w:lvl>
    <w:lvl w:ilvl="7">
      <w:start w:val="1"/>
      <w:numFmt w:val="decimal"/>
      <w:lvlText w:val="%1.%2.%3.%4.%5.%6.%7.%8"/>
      <w:lvlJc w:val="left"/>
      <w:pPr>
        <w:ind w:left="2520" w:hanging="2520"/>
      </w:pPr>
      <w:rPr>
        <w:rFonts w:hint="default"/>
        <w:b w:val="0"/>
        <w:u w:val="none"/>
      </w:rPr>
    </w:lvl>
    <w:lvl w:ilvl="8">
      <w:start w:val="1"/>
      <w:numFmt w:val="decimal"/>
      <w:lvlText w:val="%1.%2.%3.%4.%5.%6.%7.%8.%9"/>
      <w:lvlJc w:val="left"/>
      <w:pPr>
        <w:ind w:left="2880" w:hanging="2880"/>
      </w:pPr>
      <w:rPr>
        <w:rFonts w:hint="default"/>
        <w:b w:val="0"/>
        <w:u w:val="none"/>
      </w:rPr>
    </w:lvl>
  </w:abstractNum>
  <w:abstractNum w:abstractNumId="13" w15:restartNumberingAfterBreak="0">
    <w:nsid w:val="29A83DD6"/>
    <w:multiLevelType w:val="multilevel"/>
    <w:tmpl w:val="199260A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A734397"/>
    <w:multiLevelType w:val="multilevel"/>
    <w:tmpl w:val="7F7897D6"/>
    <w:lvl w:ilvl="0">
      <w:start w:val="10"/>
      <w:numFmt w:val="decimal"/>
      <w:lvlText w:val="(%1."/>
      <w:lvlJc w:val="left"/>
      <w:pPr>
        <w:ind w:left="660" w:hanging="6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348" w:hanging="1080"/>
      </w:pPr>
      <w:rPr>
        <w:rFonts w:hint="default"/>
      </w:rPr>
    </w:lvl>
    <w:lvl w:ilvl="3">
      <w:start w:val="1"/>
      <w:numFmt w:val="decimal"/>
      <w:lvlText w:val="(%1.%2)%3.%4."/>
      <w:lvlJc w:val="left"/>
      <w:pPr>
        <w:ind w:left="4842" w:hanging="144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592" w:hanging="2520"/>
      </w:pPr>
      <w:rPr>
        <w:rFonts w:hint="default"/>
      </w:rPr>
    </w:lvl>
  </w:abstractNum>
  <w:abstractNum w:abstractNumId="15" w15:restartNumberingAfterBreak="0">
    <w:nsid w:val="31D97DE5"/>
    <w:multiLevelType w:val="multilevel"/>
    <w:tmpl w:val="0D189F9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3771FC9"/>
    <w:multiLevelType w:val="multilevel"/>
    <w:tmpl w:val="4E9C2F4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54648A5"/>
    <w:multiLevelType w:val="multilevel"/>
    <w:tmpl w:val="51406352"/>
    <w:lvl w:ilvl="0">
      <w:start w:val="20"/>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71E0887"/>
    <w:multiLevelType w:val="multilevel"/>
    <w:tmpl w:val="AF72509C"/>
    <w:lvl w:ilvl="0">
      <w:start w:val="1"/>
      <w:numFmt w:val="decimal"/>
      <w:lvlText w:val="%1."/>
      <w:lvlJc w:val="left"/>
      <w:pPr>
        <w:ind w:left="720" w:hanging="720"/>
      </w:pPr>
      <w:rPr>
        <w:rFonts w:ascii="Century Gothic" w:hAnsi="Century Gothic" w:hint="default"/>
        <w:b w:val="0"/>
        <w:i w:val="0"/>
        <w:sz w:val="24"/>
      </w:rPr>
    </w:lvl>
    <w:lvl w:ilvl="1">
      <w:start w:val="1"/>
      <w:numFmt w:val="decimal"/>
      <w:lvlText w:val="%1.%2."/>
      <w:lvlJc w:val="left"/>
      <w:pPr>
        <w:ind w:left="1224" w:hanging="1224"/>
      </w:pPr>
      <w:rPr>
        <w:rFonts w:ascii="Tahoma" w:hAnsi="Tahoma" w:cs="Tahoma" w:hint="default"/>
        <w:b w:val="0"/>
        <w:i w:val="0"/>
        <w:sz w:val="24"/>
        <w:szCs w:val="24"/>
      </w:rPr>
    </w:lvl>
    <w:lvl w:ilvl="2">
      <w:start w:val="1"/>
      <w:numFmt w:val="decimal"/>
      <w:lvlText w:val="%1.%2.%3."/>
      <w:lvlJc w:val="left"/>
      <w:pPr>
        <w:ind w:left="1800" w:hanging="1800"/>
      </w:pPr>
      <w:rPr>
        <w:rFonts w:ascii="Tahoma" w:hAnsi="Tahoma" w:cs="Tahoma" w:hint="default"/>
        <w:b w:val="0"/>
        <w:i w:val="0"/>
        <w:sz w:val="24"/>
        <w:szCs w:val="24"/>
      </w:rPr>
    </w:lvl>
    <w:lvl w:ilvl="3">
      <w:start w:val="1"/>
      <w:numFmt w:val="decimal"/>
      <w:lvlText w:val="%1.%2.%3.%4."/>
      <w:lvlJc w:val="left"/>
      <w:pPr>
        <w:ind w:left="2448" w:hanging="2448"/>
      </w:pPr>
      <w:rPr>
        <w:rFonts w:ascii="Bookman Old Style" w:hAnsi="Bookman Old Style" w:hint="default"/>
        <w:b w:val="0"/>
        <w:i w:val="0"/>
        <w:sz w:val="24"/>
      </w:rPr>
    </w:lvl>
    <w:lvl w:ilvl="4">
      <w:start w:val="1"/>
      <w:numFmt w:val="decimal"/>
      <w:lvlText w:val="%1.%2.%3.%4.%5."/>
      <w:lvlJc w:val="left"/>
      <w:pPr>
        <w:ind w:left="3024" w:hanging="3024"/>
      </w:pPr>
      <w:rPr>
        <w:rFonts w:ascii="Bookman Old Style" w:hAnsi="Bookman Old Style"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394559"/>
    <w:multiLevelType w:val="multilevel"/>
    <w:tmpl w:val="423A1B1A"/>
    <w:lvl w:ilvl="0">
      <w:start w:val="1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4F200F2"/>
    <w:multiLevelType w:val="hybridMultilevel"/>
    <w:tmpl w:val="28C09F74"/>
    <w:lvl w:ilvl="0" w:tplc="273EF04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7D30202"/>
    <w:multiLevelType w:val="hybridMultilevel"/>
    <w:tmpl w:val="EF4CD470"/>
    <w:lvl w:ilvl="0" w:tplc="569867A0">
      <w:start w:val="1"/>
      <w:numFmt w:val="decimal"/>
      <w:lvlText w:val="(%1)"/>
      <w:lvlJc w:val="left"/>
      <w:pPr>
        <w:ind w:left="1494" w:hanging="36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2" w15:restartNumberingAfterBreak="0">
    <w:nsid w:val="620D453D"/>
    <w:multiLevelType w:val="multilevel"/>
    <w:tmpl w:val="10E43C72"/>
    <w:lvl w:ilvl="0">
      <w:start w:val="9"/>
      <w:numFmt w:val="decimal"/>
      <w:lvlText w:val="(%1."/>
      <w:lvlJc w:val="left"/>
      <w:pPr>
        <w:ind w:left="525" w:hanging="52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348" w:hanging="1080"/>
      </w:pPr>
      <w:rPr>
        <w:rFonts w:hint="default"/>
      </w:rPr>
    </w:lvl>
    <w:lvl w:ilvl="3">
      <w:start w:val="1"/>
      <w:numFmt w:val="decimal"/>
      <w:lvlText w:val="(%1.%2)%3.%4."/>
      <w:lvlJc w:val="left"/>
      <w:pPr>
        <w:ind w:left="4842" w:hanging="144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592" w:hanging="2520"/>
      </w:pPr>
      <w:rPr>
        <w:rFonts w:hint="default"/>
      </w:rPr>
    </w:lvl>
  </w:abstractNum>
  <w:abstractNum w:abstractNumId="23" w15:restartNumberingAfterBreak="0">
    <w:nsid w:val="6C5309E9"/>
    <w:multiLevelType w:val="multilevel"/>
    <w:tmpl w:val="C8587C3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EA3236A"/>
    <w:multiLevelType w:val="hybridMultilevel"/>
    <w:tmpl w:val="7E74B88C"/>
    <w:lvl w:ilvl="0" w:tplc="AF98E5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CA13DE"/>
    <w:multiLevelType w:val="multilevel"/>
    <w:tmpl w:val="CF52280A"/>
    <w:lvl w:ilvl="0">
      <w:start w:val="7"/>
      <w:numFmt w:val="decimal"/>
      <w:lvlText w:val="(%1."/>
      <w:lvlJc w:val="left"/>
      <w:pPr>
        <w:ind w:left="525" w:hanging="525"/>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788" w:hanging="1080"/>
      </w:pPr>
      <w:rPr>
        <w:rFonts w:hint="default"/>
      </w:rPr>
    </w:lvl>
    <w:lvl w:ilvl="3">
      <w:start w:val="1"/>
      <w:numFmt w:val="decimal"/>
      <w:lvlText w:val="(%1.%2)%3.%4."/>
      <w:lvlJc w:val="left"/>
      <w:pPr>
        <w:ind w:left="7002" w:hanging="144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1070" w:hanging="1800"/>
      </w:pPr>
      <w:rPr>
        <w:rFonts w:hint="default"/>
      </w:rPr>
    </w:lvl>
    <w:lvl w:ilvl="6">
      <w:start w:val="1"/>
      <w:numFmt w:val="decimal"/>
      <w:lvlText w:val="(%1.%2)%3.%4.%5.%6.%7."/>
      <w:lvlJc w:val="left"/>
      <w:pPr>
        <w:ind w:left="13284" w:hanging="2160"/>
      </w:pPr>
      <w:rPr>
        <w:rFonts w:hint="default"/>
      </w:rPr>
    </w:lvl>
    <w:lvl w:ilvl="7">
      <w:start w:val="1"/>
      <w:numFmt w:val="decimal"/>
      <w:lvlText w:val="(%1.%2)%3.%4.%5.%6.%7.%8."/>
      <w:lvlJc w:val="left"/>
      <w:pPr>
        <w:ind w:left="15138" w:hanging="2160"/>
      </w:pPr>
      <w:rPr>
        <w:rFonts w:hint="default"/>
      </w:rPr>
    </w:lvl>
    <w:lvl w:ilvl="8">
      <w:start w:val="1"/>
      <w:numFmt w:val="decimal"/>
      <w:lvlText w:val="(%1.%2)%3.%4.%5.%6.%7.%8.%9."/>
      <w:lvlJc w:val="left"/>
      <w:pPr>
        <w:ind w:left="17352" w:hanging="2520"/>
      </w:pPr>
      <w:rPr>
        <w:rFonts w:hint="default"/>
      </w:rPr>
    </w:lvl>
  </w:abstractNum>
  <w:abstractNum w:abstractNumId="26" w15:restartNumberingAfterBreak="0">
    <w:nsid w:val="70E42AFB"/>
    <w:multiLevelType w:val="multilevel"/>
    <w:tmpl w:val="16BEFCA2"/>
    <w:lvl w:ilvl="0">
      <w:start w:val="6"/>
      <w:numFmt w:val="decimal"/>
      <w:lvlText w:val="(%1."/>
      <w:lvlJc w:val="left"/>
      <w:pPr>
        <w:ind w:left="525" w:hanging="525"/>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788" w:hanging="1080"/>
      </w:pPr>
      <w:rPr>
        <w:rFonts w:hint="default"/>
      </w:rPr>
    </w:lvl>
    <w:lvl w:ilvl="3">
      <w:start w:val="1"/>
      <w:numFmt w:val="decimal"/>
      <w:lvlText w:val="(%1.%2)%3.%4."/>
      <w:lvlJc w:val="left"/>
      <w:pPr>
        <w:ind w:left="7002" w:hanging="144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1070" w:hanging="1800"/>
      </w:pPr>
      <w:rPr>
        <w:rFonts w:hint="default"/>
      </w:rPr>
    </w:lvl>
    <w:lvl w:ilvl="6">
      <w:start w:val="1"/>
      <w:numFmt w:val="decimal"/>
      <w:lvlText w:val="(%1.%2)%3.%4.%5.%6.%7."/>
      <w:lvlJc w:val="left"/>
      <w:pPr>
        <w:ind w:left="13284" w:hanging="2160"/>
      </w:pPr>
      <w:rPr>
        <w:rFonts w:hint="default"/>
      </w:rPr>
    </w:lvl>
    <w:lvl w:ilvl="7">
      <w:start w:val="1"/>
      <w:numFmt w:val="decimal"/>
      <w:lvlText w:val="(%1.%2)%3.%4.%5.%6.%7.%8."/>
      <w:lvlJc w:val="left"/>
      <w:pPr>
        <w:ind w:left="15138" w:hanging="2160"/>
      </w:pPr>
      <w:rPr>
        <w:rFonts w:hint="default"/>
      </w:rPr>
    </w:lvl>
    <w:lvl w:ilvl="8">
      <w:start w:val="1"/>
      <w:numFmt w:val="decimal"/>
      <w:lvlText w:val="(%1.%2)%3.%4.%5.%6.%7.%8.%9."/>
      <w:lvlJc w:val="left"/>
      <w:pPr>
        <w:ind w:left="17352" w:hanging="2520"/>
      </w:pPr>
      <w:rPr>
        <w:rFonts w:hint="default"/>
      </w:rPr>
    </w:lvl>
  </w:abstractNum>
  <w:abstractNum w:abstractNumId="27" w15:restartNumberingAfterBreak="0">
    <w:nsid w:val="7E294FEC"/>
    <w:multiLevelType w:val="multilevel"/>
    <w:tmpl w:val="AF164E40"/>
    <w:lvl w:ilvl="0">
      <w:start w:val="8"/>
      <w:numFmt w:val="decimal"/>
      <w:lvlText w:val="(%1."/>
      <w:lvlJc w:val="left"/>
      <w:pPr>
        <w:ind w:left="525" w:hanging="52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348" w:hanging="1080"/>
      </w:pPr>
      <w:rPr>
        <w:rFonts w:hint="default"/>
      </w:rPr>
    </w:lvl>
    <w:lvl w:ilvl="3">
      <w:start w:val="1"/>
      <w:numFmt w:val="decimal"/>
      <w:lvlText w:val="(%1.%2)%3.%4."/>
      <w:lvlJc w:val="left"/>
      <w:pPr>
        <w:ind w:left="4842" w:hanging="144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592" w:hanging="2520"/>
      </w:pPr>
      <w:rPr>
        <w:rFonts w:hint="default"/>
      </w:rPr>
    </w:lvl>
  </w:abstractNum>
  <w:abstractNum w:abstractNumId="28" w15:restartNumberingAfterBreak="0">
    <w:nsid w:val="7EFE2905"/>
    <w:multiLevelType w:val="hybridMultilevel"/>
    <w:tmpl w:val="EF4CD470"/>
    <w:lvl w:ilvl="0" w:tplc="FFFFFFFF">
      <w:start w:val="1"/>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1272513687">
    <w:abstractNumId w:val="5"/>
  </w:num>
  <w:num w:numId="2" w16cid:durableId="993414280">
    <w:abstractNumId w:val="12"/>
  </w:num>
  <w:num w:numId="3" w16cid:durableId="1016343485">
    <w:abstractNumId w:val="11"/>
  </w:num>
  <w:num w:numId="4" w16cid:durableId="921257336">
    <w:abstractNumId w:val="19"/>
  </w:num>
  <w:num w:numId="5" w16cid:durableId="1452090019">
    <w:abstractNumId w:val="17"/>
  </w:num>
  <w:num w:numId="6" w16cid:durableId="415130565">
    <w:abstractNumId w:val="2"/>
  </w:num>
  <w:num w:numId="7" w16cid:durableId="804271395">
    <w:abstractNumId w:val="18"/>
  </w:num>
  <w:num w:numId="8" w16cid:durableId="995109916">
    <w:abstractNumId w:val="21"/>
  </w:num>
  <w:num w:numId="9" w16cid:durableId="933974747">
    <w:abstractNumId w:val="6"/>
  </w:num>
  <w:num w:numId="10" w16cid:durableId="364870321">
    <w:abstractNumId w:val="26"/>
  </w:num>
  <w:num w:numId="11" w16cid:durableId="2096395664">
    <w:abstractNumId w:val="25"/>
  </w:num>
  <w:num w:numId="12" w16cid:durableId="1328364339">
    <w:abstractNumId w:val="27"/>
  </w:num>
  <w:num w:numId="13" w16cid:durableId="36243063">
    <w:abstractNumId w:val="22"/>
  </w:num>
  <w:num w:numId="14" w16cid:durableId="304235816">
    <w:abstractNumId w:val="14"/>
  </w:num>
  <w:num w:numId="15" w16cid:durableId="297535661">
    <w:abstractNumId w:val="10"/>
  </w:num>
  <w:num w:numId="16" w16cid:durableId="1949578860">
    <w:abstractNumId w:val="1"/>
  </w:num>
  <w:num w:numId="17" w16cid:durableId="696277087">
    <w:abstractNumId w:val="13"/>
  </w:num>
  <w:num w:numId="18" w16cid:durableId="352389379">
    <w:abstractNumId w:val="15"/>
  </w:num>
  <w:num w:numId="19" w16cid:durableId="372577639">
    <w:abstractNumId w:val="16"/>
  </w:num>
  <w:num w:numId="20" w16cid:durableId="412288650">
    <w:abstractNumId w:val="7"/>
  </w:num>
  <w:num w:numId="21" w16cid:durableId="2027519949">
    <w:abstractNumId w:val="23"/>
  </w:num>
  <w:num w:numId="22" w16cid:durableId="928729667">
    <w:abstractNumId w:val="28"/>
  </w:num>
  <w:num w:numId="23" w16cid:durableId="104077046">
    <w:abstractNumId w:val="20"/>
  </w:num>
  <w:num w:numId="24" w16cid:durableId="847331213">
    <w:abstractNumId w:val="9"/>
  </w:num>
  <w:num w:numId="25" w16cid:durableId="695734575">
    <w:abstractNumId w:val="8"/>
  </w:num>
  <w:num w:numId="26" w16cid:durableId="272328949">
    <w:abstractNumId w:val="0"/>
  </w:num>
  <w:num w:numId="27" w16cid:durableId="1108158684">
    <w:abstractNumId w:val="3"/>
  </w:num>
  <w:num w:numId="28" w16cid:durableId="1538006162">
    <w:abstractNumId w:val="4"/>
  </w:num>
  <w:num w:numId="29" w16cid:durableId="8127965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85D3A4-7792-4BA5-AD5B-1FDECE86CD8E}"/>
    <w:docVar w:name="dgnword-eventsink" w:val="463637976"/>
  </w:docVars>
  <w:rsids>
    <w:rsidRoot w:val="00B81032"/>
    <w:rsid w:val="000169C1"/>
    <w:rsid w:val="0004090A"/>
    <w:rsid w:val="00050317"/>
    <w:rsid w:val="000602DA"/>
    <w:rsid w:val="000649D0"/>
    <w:rsid w:val="00072D3C"/>
    <w:rsid w:val="000824C4"/>
    <w:rsid w:val="000867E6"/>
    <w:rsid w:val="00096D24"/>
    <w:rsid w:val="000D2A0C"/>
    <w:rsid w:val="000D4FB7"/>
    <w:rsid w:val="000E72C2"/>
    <w:rsid w:val="0010436C"/>
    <w:rsid w:val="00107304"/>
    <w:rsid w:val="00114B62"/>
    <w:rsid w:val="00122298"/>
    <w:rsid w:val="001269E4"/>
    <w:rsid w:val="001278BF"/>
    <w:rsid w:val="00127F99"/>
    <w:rsid w:val="00131302"/>
    <w:rsid w:val="001523C2"/>
    <w:rsid w:val="001555FD"/>
    <w:rsid w:val="001701FF"/>
    <w:rsid w:val="0018568F"/>
    <w:rsid w:val="001A12F8"/>
    <w:rsid w:val="001B4794"/>
    <w:rsid w:val="001D139C"/>
    <w:rsid w:val="00202C9C"/>
    <w:rsid w:val="00205BF8"/>
    <w:rsid w:val="00212D5E"/>
    <w:rsid w:val="002152CC"/>
    <w:rsid w:val="00227E97"/>
    <w:rsid w:val="00230BD7"/>
    <w:rsid w:val="002330BB"/>
    <w:rsid w:val="0023451F"/>
    <w:rsid w:val="00252A31"/>
    <w:rsid w:val="00256BFE"/>
    <w:rsid w:val="00270DBD"/>
    <w:rsid w:val="00271313"/>
    <w:rsid w:val="00272454"/>
    <w:rsid w:val="00282C4A"/>
    <w:rsid w:val="00290396"/>
    <w:rsid w:val="00291951"/>
    <w:rsid w:val="00295AC9"/>
    <w:rsid w:val="002A7B24"/>
    <w:rsid w:val="002B04E5"/>
    <w:rsid w:val="002C2F45"/>
    <w:rsid w:val="002C727C"/>
    <w:rsid w:val="002E0E36"/>
    <w:rsid w:val="002F2E0F"/>
    <w:rsid w:val="002F6A4E"/>
    <w:rsid w:val="00316908"/>
    <w:rsid w:val="003503F9"/>
    <w:rsid w:val="00380369"/>
    <w:rsid w:val="00382F30"/>
    <w:rsid w:val="0038602E"/>
    <w:rsid w:val="003931EB"/>
    <w:rsid w:val="00393C7B"/>
    <w:rsid w:val="003A3C35"/>
    <w:rsid w:val="003B2876"/>
    <w:rsid w:val="003B2C6A"/>
    <w:rsid w:val="003B7B63"/>
    <w:rsid w:val="003C21C3"/>
    <w:rsid w:val="003C438F"/>
    <w:rsid w:val="003D3DC1"/>
    <w:rsid w:val="003D4CEF"/>
    <w:rsid w:val="003D77B0"/>
    <w:rsid w:val="003E2D44"/>
    <w:rsid w:val="003E48B4"/>
    <w:rsid w:val="003E6E19"/>
    <w:rsid w:val="003F1FD0"/>
    <w:rsid w:val="003F3E7B"/>
    <w:rsid w:val="00402699"/>
    <w:rsid w:val="00405F82"/>
    <w:rsid w:val="00407A8A"/>
    <w:rsid w:val="0041238F"/>
    <w:rsid w:val="004664FE"/>
    <w:rsid w:val="004805BF"/>
    <w:rsid w:val="00480603"/>
    <w:rsid w:val="004911FC"/>
    <w:rsid w:val="004A4F43"/>
    <w:rsid w:val="004B004A"/>
    <w:rsid w:val="004B5999"/>
    <w:rsid w:val="004B706B"/>
    <w:rsid w:val="004D01E2"/>
    <w:rsid w:val="004F7968"/>
    <w:rsid w:val="004F7FF4"/>
    <w:rsid w:val="00500954"/>
    <w:rsid w:val="0050246F"/>
    <w:rsid w:val="00513C1E"/>
    <w:rsid w:val="0051510C"/>
    <w:rsid w:val="0051758D"/>
    <w:rsid w:val="0052470B"/>
    <w:rsid w:val="00532216"/>
    <w:rsid w:val="00534A32"/>
    <w:rsid w:val="00536EDB"/>
    <w:rsid w:val="005438B3"/>
    <w:rsid w:val="00556F68"/>
    <w:rsid w:val="00580044"/>
    <w:rsid w:val="00585BCE"/>
    <w:rsid w:val="005A63F2"/>
    <w:rsid w:val="005A792A"/>
    <w:rsid w:val="005B17E2"/>
    <w:rsid w:val="005B49A6"/>
    <w:rsid w:val="005C6C20"/>
    <w:rsid w:val="005E1170"/>
    <w:rsid w:val="005F61BB"/>
    <w:rsid w:val="00603C88"/>
    <w:rsid w:val="00604FC8"/>
    <w:rsid w:val="00626C5C"/>
    <w:rsid w:val="00645EAB"/>
    <w:rsid w:val="00650F42"/>
    <w:rsid w:val="00654A60"/>
    <w:rsid w:val="00663150"/>
    <w:rsid w:val="00663CA6"/>
    <w:rsid w:val="00671F1A"/>
    <w:rsid w:val="00672A68"/>
    <w:rsid w:val="006826B4"/>
    <w:rsid w:val="00691F12"/>
    <w:rsid w:val="00695550"/>
    <w:rsid w:val="006960E2"/>
    <w:rsid w:val="006A606E"/>
    <w:rsid w:val="006A6D27"/>
    <w:rsid w:val="006B1787"/>
    <w:rsid w:val="006B2752"/>
    <w:rsid w:val="006B6226"/>
    <w:rsid w:val="006D0A17"/>
    <w:rsid w:val="006D10B3"/>
    <w:rsid w:val="006E7077"/>
    <w:rsid w:val="006F066E"/>
    <w:rsid w:val="006F645D"/>
    <w:rsid w:val="00703656"/>
    <w:rsid w:val="007038F7"/>
    <w:rsid w:val="00711603"/>
    <w:rsid w:val="0073308F"/>
    <w:rsid w:val="007376FA"/>
    <w:rsid w:val="007420B6"/>
    <w:rsid w:val="007424A1"/>
    <w:rsid w:val="007426CB"/>
    <w:rsid w:val="00745B38"/>
    <w:rsid w:val="00762B8B"/>
    <w:rsid w:val="00767570"/>
    <w:rsid w:val="00771130"/>
    <w:rsid w:val="00785F09"/>
    <w:rsid w:val="0079407E"/>
    <w:rsid w:val="00795FB2"/>
    <w:rsid w:val="007A6015"/>
    <w:rsid w:val="007B79F2"/>
    <w:rsid w:val="007D00F4"/>
    <w:rsid w:val="007D1EB8"/>
    <w:rsid w:val="007E3D9F"/>
    <w:rsid w:val="007E3E58"/>
    <w:rsid w:val="007E6CC3"/>
    <w:rsid w:val="007F4C50"/>
    <w:rsid w:val="0080251D"/>
    <w:rsid w:val="00810EE0"/>
    <w:rsid w:val="0081222C"/>
    <w:rsid w:val="008240EA"/>
    <w:rsid w:val="00836D9B"/>
    <w:rsid w:val="0083725E"/>
    <w:rsid w:val="00841C01"/>
    <w:rsid w:val="00842823"/>
    <w:rsid w:val="00854750"/>
    <w:rsid w:val="0086053C"/>
    <w:rsid w:val="00862374"/>
    <w:rsid w:val="00863E4B"/>
    <w:rsid w:val="0086560D"/>
    <w:rsid w:val="008B0F72"/>
    <w:rsid w:val="008B0FFC"/>
    <w:rsid w:val="008B15D4"/>
    <w:rsid w:val="008B619C"/>
    <w:rsid w:val="008E6828"/>
    <w:rsid w:val="008F192A"/>
    <w:rsid w:val="008F25FB"/>
    <w:rsid w:val="008F4F35"/>
    <w:rsid w:val="00913E1A"/>
    <w:rsid w:val="009224A5"/>
    <w:rsid w:val="009345A4"/>
    <w:rsid w:val="0095023A"/>
    <w:rsid w:val="00953808"/>
    <w:rsid w:val="009561D4"/>
    <w:rsid w:val="009605B8"/>
    <w:rsid w:val="0096206F"/>
    <w:rsid w:val="00975CDE"/>
    <w:rsid w:val="00983078"/>
    <w:rsid w:val="00996E46"/>
    <w:rsid w:val="009A4E9D"/>
    <w:rsid w:val="009A6345"/>
    <w:rsid w:val="009B4601"/>
    <w:rsid w:val="009C0233"/>
    <w:rsid w:val="009C3486"/>
    <w:rsid w:val="009D0F41"/>
    <w:rsid w:val="009D5D8C"/>
    <w:rsid w:val="009E100B"/>
    <w:rsid w:val="009E22B8"/>
    <w:rsid w:val="009E569C"/>
    <w:rsid w:val="009F0763"/>
    <w:rsid w:val="009F5D39"/>
    <w:rsid w:val="00A0556C"/>
    <w:rsid w:val="00A226CB"/>
    <w:rsid w:val="00A26F3D"/>
    <w:rsid w:val="00A27574"/>
    <w:rsid w:val="00A3641E"/>
    <w:rsid w:val="00A46B93"/>
    <w:rsid w:val="00A54A9C"/>
    <w:rsid w:val="00A5667C"/>
    <w:rsid w:val="00A569EB"/>
    <w:rsid w:val="00A6492F"/>
    <w:rsid w:val="00A807F2"/>
    <w:rsid w:val="00A85E18"/>
    <w:rsid w:val="00A94B28"/>
    <w:rsid w:val="00A94C77"/>
    <w:rsid w:val="00AB3D4D"/>
    <w:rsid w:val="00AC438C"/>
    <w:rsid w:val="00AC5EA0"/>
    <w:rsid w:val="00AD0820"/>
    <w:rsid w:val="00AD14AF"/>
    <w:rsid w:val="00AF0B19"/>
    <w:rsid w:val="00AF424D"/>
    <w:rsid w:val="00AF449E"/>
    <w:rsid w:val="00B07654"/>
    <w:rsid w:val="00B30749"/>
    <w:rsid w:val="00B312C5"/>
    <w:rsid w:val="00B344DD"/>
    <w:rsid w:val="00B345AB"/>
    <w:rsid w:val="00B61150"/>
    <w:rsid w:val="00B81032"/>
    <w:rsid w:val="00B95908"/>
    <w:rsid w:val="00BA2A37"/>
    <w:rsid w:val="00BA70CD"/>
    <w:rsid w:val="00BA792C"/>
    <w:rsid w:val="00BB278D"/>
    <w:rsid w:val="00BC77DF"/>
    <w:rsid w:val="00C06DE5"/>
    <w:rsid w:val="00C12415"/>
    <w:rsid w:val="00C2315B"/>
    <w:rsid w:val="00C2382F"/>
    <w:rsid w:val="00C36137"/>
    <w:rsid w:val="00C37D14"/>
    <w:rsid w:val="00C44040"/>
    <w:rsid w:val="00C453C6"/>
    <w:rsid w:val="00C643F5"/>
    <w:rsid w:val="00C73913"/>
    <w:rsid w:val="00C918B3"/>
    <w:rsid w:val="00C94522"/>
    <w:rsid w:val="00C955EB"/>
    <w:rsid w:val="00C96590"/>
    <w:rsid w:val="00C975DD"/>
    <w:rsid w:val="00CB0E98"/>
    <w:rsid w:val="00CC1055"/>
    <w:rsid w:val="00CC7306"/>
    <w:rsid w:val="00CD273A"/>
    <w:rsid w:val="00CD2DB8"/>
    <w:rsid w:val="00CD388B"/>
    <w:rsid w:val="00CD55C1"/>
    <w:rsid w:val="00CF0BB1"/>
    <w:rsid w:val="00CF1104"/>
    <w:rsid w:val="00CF2437"/>
    <w:rsid w:val="00CF28A5"/>
    <w:rsid w:val="00CF6B51"/>
    <w:rsid w:val="00D02B36"/>
    <w:rsid w:val="00D15C73"/>
    <w:rsid w:val="00D17F39"/>
    <w:rsid w:val="00D22D55"/>
    <w:rsid w:val="00D31254"/>
    <w:rsid w:val="00D3249D"/>
    <w:rsid w:val="00D37AAA"/>
    <w:rsid w:val="00D408F6"/>
    <w:rsid w:val="00D446CA"/>
    <w:rsid w:val="00D45B70"/>
    <w:rsid w:val="00D51AE9"/>
    <w:rsid w:val="00D55756"/>
    <w:rsid w:val="00D56EE4"/>
    <w:rsid w:val="00D57274"/>
    <w:rsid w:val="00D76739"/>
    <w:rsid w:val="00D9454A"/>
    <w:rsid w:val="00D9529A"/>
    <w:rsid w:val="00DB170E"/>
    <w:rsid w:val="00DB6B9B"/>
    <w:rsid w:val="00DE17C9"/>
    <w:rsid w:val="00DF56C3"/>
    <w:rsid w:val="00E16B6D"/>
    <w:rsid w:val="00E171F3"/>
    <w:rsid w:val="00E218B1"/>
    <w:rsid w:val="00E307FB"/>
    <w:rsid w:val="00E32533"/>
    <w:rsid w:val="00E545A9"/>
    <w:rsid w:val="00E87126"/>
    <w:rsid w:val="00E8723F"/>
    <w:rsid w:val="00EA19E7"/>
    <w:rsid w:val="00EA70E3"/>
    <w:rsid w:val="00EB6CED"/>
    <w:rsid w:val="00EE4A3E"/>
    <w:rsid w:val="00EF2714"/>
    <w:rsid w:val="00EF574B"/>
    <w:rsid w:val="00EF5F88"/>
    <w:rsid w:val="00EF6864"/>
    <w:rsid w:val="00EF7C8C"/>
    <w:rsid w:val="00F16A56"/>
    <w:rsid w:val="00F24EF6"/>
    <w:rsid w:val="00F27C8A"/>
    <w:rsid w:val="00F27CEA"/>
    <w:rsid w:val="00F33D11"/>
    <w:rsid w:val="00F45893"/>
    <w:rsid w:val="00FC0B3C"/>
    <w:rsid w:val="00FD37C9"/>
    <w:rsid w:val="00FD7F15"/>
    <w:rsid w:val="00FE3888"/>
    <w:rsid w:val="00FE4414"/>
    <w:rsid w:val="00FE5EB0"/>
    <w:rsid w:val="00FF2D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B7000"/>
  <w15:chartTrackingRefBased/>
  <w15:docId w15:val="{6175AE21-2F6E-43C7-A0E5-D854F90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4B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3C3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032"/>
    <w:pPr>
      <w:tabs>
        <w:tab w:val="center" w:pos="4513"/>
        <w:tab w:val="right" w:pos="9026"/>
      </w:tabs>
    </w:pPr>
  </w:style>
  <w:style w:type="character" w:customStyle="1" w:styleId="HeaderChar">
    <w:name w:val="Header Char"/>
    <w:basedOn w:val="DefaultParagraphFont"/>
    <w:link w:val="Header"/>
    <w:uiPriority w:val="99"/>
    <w:rsid w:val="00B810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032"/>
    <w:pPr>
      <w:tabs>
        <w:tab w:val="center" w:pos="4513"/>
        <w:tab w:val="right" w:pos="9026"/>
      </w:tabs>
    </w:pPr>
  </w:style>
  <w:style w:type="character" w:customStyle="1" w:styleId="FooterChar">
    <w:name w:val="Footer Char"/>
    <w:basedOn w:val="DefaultParagraphFont"/>
    <w:link w:val="Footer"/>
    <w:uiPriority w:val="99"/>
    <w:rsid w:val="00B81032"/>
    <w:rPr>
      <w:rFonts w:ascii="Times New Roman" w:eastAsia="Times New Roman" w:hAnsi="Times New Roman" w:cs="Times New Roman"/>
      <w:sz w:val="24"/>
      <w:szCs w:val="24"/>
    </w:rPr>
  </w:style>
  <w:style w:type="paragraph" w:styleId="FootnoteText">
    <w:name w:val="footnote text"/>
    <w:basedOn w:val="Normal"/>
    <w:link w:val="FootnoteTextChar"/>
    <w:rsid w:val="007426CB"/>
    <w:rPr>
      <w:sz w:val="20"/>
      <w:szCs w:val="20"/>
    </w:rPr>
  </w:style>
  <w:style w:type="character" w:customStyle="1" w:styleId="FootnoteTextChar">
    <w:name w:val="Footnote Text Char"/>
    <w:basedOn w:val="DefaultParagraphFont"/>
    <w:link w:val="FootnoteText"/>
    <w:rsid w:val="007426CB"/>
    <w:rPr>
      <w:rFonts w:ascii="Times New Roman" w:eastAsia="Times New Roman" w:hAnsi="Times New Roman" w:cs="Times New Roman"/>
      <w:sz w:val="20"/>
      <w:szCs w:val="20"/>
    </w:rPr>
  </w:style>
  <w:style w:type="character" w:styleId="FootnoteReference">
    <w:name w:val="footnote reference"/>
    <w:rsid w:val="007426CB"/>
    <w:rPr>
      <w:vertAlign w:val="superscript"/>
    </w:rPr>
  </w:style>
  <w:style w:type="character" w:customStyle="1" w:styleId="mc">
    <w:name w:val="mc"/>
    <w:basedOn w:val="DefaultParagraphFont"/>
    <w:rsid w:val="009A6345"/>
  </w:style>
  <w:style w:type="paragraph" w:styleId="ListParagraph">
    <w:name w:val="List Paragraph"/>
    <w:basedOn w:val="Normal"/>
    <w:uiPriority w:val="34"/>
    <w:qFormat/>
    <w:rsid w:val="009A6345"/>
    <w:pPr>
      <w:ind w:left="720"/>
    </w:pPr>
  </w:style>
  <w:style w:type="character" w:styleId="Hyperlink">
    <w:name w:val="Hyperlink"/>
    <w:basedOn w:val="DefaultParagraphFont"/>
    <w:uiPriority w:val="99"/>
    <w:semiHidden/>
    <w:unhideWhenUsed/>
    <w:rsid w:val="001A12F8"/>
    <w:rPr>
      <w:color w:val="0000FF"/>
      <w:u w:val="single"/>
    </w:rPr>
  </w:style>
  <w:style w:type="character" w:styleId="FollowedHyperlink">
    <w:name w:val="FollowedHyperlink"/>
    <w:basedOn w:val="DefaultParagraphFont"/>
    <w:uiPriority w:val="99"/>
    <w:semiHidden/>
    <w:unhideWhenUsed/>
    <w:rsid w:val="001A12F8"/>
    <w:rPr>
      <w:color w:val="954F72" w:themeColor="followedHyperlink"/>
      <w:u w:val="single"/>
    </w:rPr>
  </w:style>
  <w:style w:type="character" w:customStyle="1" w:styleId="Heading2Char">
    <w:name w:val="Heading 2 Char"/>
    <w:basedOn w:val="DefaultParagraphFont"/>
    <w:link w:val="Heading2"/>
    <w:uiPriority w:val="9"/>
    <w:rsid w:val="003A3C3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34A32"/>
    <w:pPr>
      <w:spacing w:before="100" w:beforeAutospacing="1" w:after="100" w:afterAutospacing="1"/>
    </w:pPr>
    <w:rPr>
      <w:lang w:eastAsia="en-GB"/>
    </w:rPr>
  </w:style>
  <w:style w:type="character" w:styleId="Emphasis">
    <w:name w:val="Emphasis"/>
    <w:basedOn w:val="DefaultParagraphFont"/>
    <w:uiPriority w:val="20"/>
    <w:qFormat/>
    <w:rsid w:val="00B344DD"/>
    <w:rPr>
      <w:i/>
      <w:iCs/>
    </w:rPr>
  </w:style>
  <w:style w:type="character" w:customStyle="1" w:styleId="Heading1Char">
    <w:name w:val="Heading 1 Char"/>
    <w:basedOn w:val="DefaultParagraphFont"/>
    <w:link w:val="Heading1"/>
    <w:uiPriority w:val="9"/>
    <w:rsid w:val="00114B6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7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149575">
      <w:bodyDiv w:val="1"/>
      <w:marLeft w:val="0"/>
      <w:marRight w:val="0"/>
      <w:marTop w:val="0"/>
      <w:marBottom w:val="0"/>
      <w:divBdr>
        <w:top w:val="none" w:sz="0" w:space="0" w:color="auto"/>
        <w:left w:val="none" w:sz="0" w:space="0" w:color="auto"/>
        <w:bottom w:val="none" w:sz="0" w:space="0" w:color="auto"/>
        <w:right w:val="none" w:sz="0" w:space="0" w:color="auto"/>
      </w:divBdr>
    </w:div>
    <w:div w:id="369647660">
      <w:bodyDiv w:val="1"/>
      <w:marLeft w:val="0"/>
      <w:marRight w:val="0"/>
      <w:marTop w:val="0"/>
      <w:marBottom w:val="0"/>
      <w:divBdr>
        <w:top w:val="none" w:sz="0" w:space="0" w:color="auto"/>
        <w:left w:val="none" w:sz="0" w:space="0" w:color="auto"/>
        <w:bottom w:val="none" w:sz="0" w:space="0" w:color="auto"/>
        <w:right w:val="none" w:sz="0" w:space="0" w:color="auto"/>
      </w:divBdr>
    </w:div>
    <w:div w:id="524946952">
      <w:bodyDiv w:val="1"/>
      <w:marLeft w:val="0"/>
      <w:marRight w:val="0"/>
      <w:marTop w:val="0"/>
      <w:marBottom w:val="0"/>
      <w:divBdr>
        <w:top w:val="none" w:sz="0" w:space="0" w:color="auto"/>
        <w:left w:val="none" w:sz="0" w:space="0" w:color="auto"/>
        <w:bottom w:val="none" w:sz="0" w:space="0" w:color="auto"/>
        <w:right w:val="none" w:sz="0" w:space="0" w:color="auto"/>
      </w:divBdr>
      <w:divsChild>
        <w:div w:id="1135757644">
          <w:marLeft w:val="0"/>
          <w:marRight w:val="0"/>
          <w:marTop w:val="0"/>
          <w:marBottom w:val="225"/>
          <w:divBdr>
            <w:top w:val="single" w:sz="24" w:space="0" w:color="auto"/>
            <w:left w:val="single" w:sz="24" w:space="0" w:color="auto"/>
            <w:bottom w:val="single" w:sz="36" w:space="0" w:color="003300"/>
            <w:right w:val="single" w:sz="24" w:space="0" w:color="auto"/>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sChild>
        </w:div>
        <w:div w:id="1712338572">
          <w:marLeft w:val="0"/>
          <w:marRight w:val="0"/>
          <w:marTop w:val="0"/>
          <w:marBottom w:val="0"/>
          <w:divBdr>
            <w:top w:val="none" w:sz="0" w:space="0" w:color="auto"/>
            <w:left w:val="none" w:sz="0" w:space="0" w:color="auto"/>
            <w:bottom w:val="none" w:sz="0" w:space="0" w:color="auto"/>
            <w:right w:val="none" w:sz="0" w:space="0" w:color="auto"/>
          </w:divBdr>
          <w:divsChild>
            <w:div w:id="1596816836">
              <w:marLeft w:val="0"/>
              <w:marRight w:val="0"/>
              <w:marTop w:val="0"/>
              <w:marBottom w:val="0"/>
              <w:divBdr>
                <w:top w:val="none" w:sz="0" w:space="0" w:color="auto"/>
                <w:left w:val="none" w:sz="0" w:space="0" w:color="auto"/>
                <w:bottom w:val="none" w:sz="0" w:space="0" w:color="auto"/>
                <w:right w:val="none" w:sz="0" w:space="0" w:color="auto"/>
              </w:divBdr>
              <w:divsChild>
                <w:div w:id="1578203934">
                  <w:marLeft w:val="0"/>
                  <w:marRight w:val="0"/>
                  <w:marTop w:val="0"/>
                  <w:marBottom w:val="0"/>
                  <w:divBdr>
                    <w:top w:val="none" w:sz="0" w:space="0" w:color="auto"/>
                    <w:left w:val="none" w:sz="0" w:space="0" w:color="auto"/>
                    <w:bottom w:val="none" w:sz="0" w:space="0" w:color="auto"/>
                    <w:right w:val="none" w:sz="0" w:space="0" w:color="auto"/>
                  </w:divBdr>
                  <w:divsChild>
                    <w:div w:id="1453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58950">
      <w:bodyDiv w:val="1"/>
      <w:marLeft w:val="0"/>
      <w:marRight w:val="0"/>
      <w:marTop w:val="0"/>
      <w:marBottom w:val="0"/>
      <w:divBdr>
        <w:top w:val="none" w:sz="0" w:space="0" w:color="auto"/>
        <w:left w:val="none" w:sz="0" w:space="0" w:color="auto"/>
        <w:bottom w:val="none" w:sz="0" w:space="0" w:color="auto"/>
        <w:right w:val="none" w:sz="0" w:space="0" w:color="auto"/>
      </w:divBdr>
    </w:div>
    <w:div w:id="1533155324">
      <w:bodyDiv w:val="1"/>
      <w:marLeft w:val="0"/>
      <w:marRight w:val="0"/>
      <w:marTop w:val="0"/>
      <w:marBottom w:val="0"/>
      <w:divBdr>
        <w:top w:val="none" w:sz="0" w:space="0" w:color="auto"/>
        <w:left w:val="none" w:sz="0" w:space="0" w:color="auto"/>
        <w:bottom w:val="none" w:sz="0" w:space="0" w:color="auto"/>
        <w:right w:val="none" w:sz="0" w:space="0" w:color="auto"/>
      </w:divBdr>
      <w:divsChild>
        <w:div w:id="150221732">
          <w:marLeft w:val="0"/>
          <w:marRight w:val="0"/>
          <w:marTop w:val="0"/>
          <w:marBottom w:val="0"/>
          <w:divBdr>
            <w:top w:val="none" w:sz="0" w:space="0" w:color="auto"/>
            <w:left w:val="none" w:sz="0" w:space="0" w:color="auto"/>
            <w:bottom w:val="none" w:sz="0" w:space="0" w:color="auto"/>
            <w:right w:val="none" w:sz="0" w:space="0" w:color="auto"/>
          </w:divBdr>
        </w:div>
        <w:div w:id="824593079">
          <w:marLeft w:val="0"/>
          <w:marRight w:val="0"/>
          <w:marTop w:val="0"/>
          <w:marBottom w:val="0"/>
          <w:divBdr>
            <w:top w:val="none" w:sz="0" w:space="0" w:color="auto"/>
            <w:left w:val="none" w:sz="0" w:space="0" w:color="auto"/>
            <w:bottom w:val="none" w:sz="0" w:space="0" w:color="auto"/>
            <w:right w:val="none" w:sz="0" w:space="0" w:color="auto"/>
          </w:divBdr>
        </w:div>
      </w:divsChild>
    </w:div>
    <w:div w:id="1764838670">
      <w:bodyDiv w:val="1"/>
      <w:marLeft w:val="0"/>
      <w:marRight w:val="0"/>
      <w:marTop w:val="0"/>
      <w:marBottom w:val="0"/>
      <w:divBdr>
        <w:top w:val="none" w:sz="0" w:space="0" w:color="auto"/>
        <w:left w:val="none" w:sz="0" w:space="0" w:color="auto"/>
        <w:bottom w:val="none" w:sz="0" w:space="0" w:color="auto"/>
        <w:right w:val="none" w:sz="0" w:space="0" w:color="auto"/>
      </w:divBdr>
    </w:div>
    <w:div w:id="1776360366">
      <w:bodyDiv w:val="1"/>
      <w:marLeft w:val="0"/>
      <w:marRight w:val="0"/>
      <w:marTop w:val="0"/>
      <w:marBottom w:val="0"/>
      <w:divBdr>
        <w:top w:val="none" w:sz="0" w:space="0" w:color="auto"/>
        <w:left w:val="none" w:sz="0" w:space="0" w:color="auto"/>
        <w:bottom w:val="none" w:sz="0" w:space="0" w:color="auto"/>
        <w:right w:val="none" w:sz="0" w:space="0" w:color="auto"/>
      </w:divBdr>
    </w:div>
    <w:div w:id="1896236091">
      <w:bodyDiv w:val="1"/>
      <w:marLeft w:val="0"/>
      <w:marRight w:val="0"/>
      <w:marTop w:val="0"/>
      <w:marBottom w:val="0"/>
      <w:divBdr>
        <w:top w:val="none" w:sz="0" w:space="0" w:color="auto"/>
        <w:left w:val="none" w:sz="0" w:space="0" w:color="auto"/>
        <w:bottom w:val="none" w:sz="0" w:space="0" w:color="auto"/>
        <w:right w:val="none" w:sz="0" w:space="0" w:color="auto"/>
      </w:divBdr>
    </w:div>
    <w:div w:id="1931430920">
      <w:bodyDiv w:val="1"/>
      <w:marLeft w:val="0"/>
      <w:marRight w:val="0"/>
      <w:marTop w:val="0"/>
      <w:marBottom w:val="0"/>
      <w:divBdr>
        <w:top w:val="none" w:sz="0" w:space="0" w:color="auto"/>
        <w:left w:val="none" w:sz="0" w:space="0" w:color="auto"/>
        <w:bottom w:val="none" w:sz="0" w:space="0" w:color="auto"/>
        <w:right w:val="none" w:sz="0" w:space="0" w:color="auto"/>
      </w:divBdr>
    </w:div>
    <w:div w:id="2085225332">
      <w:bodyDiv w:val="1"/>
      <w:marLeft w:val="0"/>
      <w:marRight w:val="0"/>
      <w:marTop w:val="0"/>
      <w:marBottom w:val="0"/>
      <w:divBdr>
        <w:top w:val="none" w:sz="0" w:space="0" w:color="auto"/>
        <w:left w:val="none" w:sz="0" w:space="0" w:color="auto"/>
        <w:bottom w:val="none" w:sz="0" w:space="0" w:color="auto"/>
        <w:right w:val="none" w:sz="0" w:space="0" w:color="auto"/>
      </w:divBdr>
    </w:div>
    <w:div w:id="210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lii.org/cgi-bin/LawCite?cit=1954%20%281%29%20SA%204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1956%20%281%29%20SA%202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outh_African_Law_Reports" TargetMode="External"/><Relationship Id="rId5" Type="http://schemas.openxmlformats.org/officeDocument/2006/relationships/webSettings" Target="webSettings.xml"/><Relationship Id="rId15" Type="http://schemas.openxmlformats.org/officeDocument/2006/relationships/hyperlink" Target="https://www.saflii.org/cgi-bin/LawCite?cit=1998%20%281%29%20SA%20382" TargetMode="External"/><Relationship Id="rId10" Type="http://schemas.openxmlformats.org/officeDocument/2006/relationships/hyperlink" Target="https://www.saflii.org/cgi-bin/LawCite?cit=2015%20%285%29%20SA%20600" TargetMode="External"/><Relationship Id="rId4" Type="http://schemas.openxmlformats.org/officeDocument/2006/relationships/settings" Target="settings.xml"/><Relationship Id="rId9" Type="http://schemas.openxmlformats.org/officeDocument/2006/relationships/hyperlink" Target="https://www.saflii.org/cgi-bin/LawCite?cit=2006%20%284%29%20SA%20326" TargetMode="External"/><Relationship Id="rId14" Type="http://schemas.openxmlformats.org/officeDocument/2006/relationships/hyperlink" Target="http://www.saflii.org/za/cases/ZASCA/1997/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E1FB-7AC2-407B-B8C8-97339894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8540</Words>
  <Characters>48684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 Basson</dc:creator>
  <cp:keywords/>
  <dc:description/>
  <cp:lastModifiedBy>sathish sarshan  mohan</cp:lastModifiedBy>
  <cp:revision>4</cp:revision>
  <cp:lastPrinted>2024-03-27T07:34:00Z</cp:lastPrinted>
  <dcterms:created xsi:type="dcterms:W3CDTF">2024-03-27T07:35:00Z</dcterms:created>
  <dcterms:modified xsi:type="dcterms:W3CDTF">2024-04-01T21:03:00Z</dcterms:modified>
</cp:coreProperties>
</file>