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57B06" w14:textId="2CC27EE2" w:rsidR="00BB7FF7" w:rsidRDefault="00BB7FF7" w:rsidP="00BB7FF7">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noProof/>
          <w:sz w:val="24"/>
          <w:szCs w:val="24"/>
        </w:rPr>
        <w:drawing>
          <wp:inline distT="0" distB="0" distL="0" distR="0" wp14:anchorId="3C8A6E82" wp14:editId="25BE32DE">
            <wp:extent cx="4286250" cy="466725"/>
            <wp:effectExtent l="0" t="0" r="0" b="9525"/>
            <wp:docPr id="1497129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440D809" w14:textId="2CE9D2A0" w:rsidR="00E707D1" w:rsidRPr="00E707D1" w:rsidRDefault="00E707D1" w:rsidP="00BB7FF7">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noProof/>
          <w:sz w:val="24"/>
          <w:szCs w:val="24"/>
          <w:lang w:val="en-ZA" w:eastAsia="en-ZA"/>
        </w:rPr>
        <w:drawing>
          <wp:anchor distT="0" distB="0" distL="114300" distR="114300" simplePos="0" relativeHeight="251660288" behindDoc="0" locked="0" layoutInCell="1" allowOverlap="1" wp14:anchorId="3A87708B" wp14:editId="78F54AB3">
            <wp:simplePos x="0" y="0"/>
            <wp:positionH relativeFrom="column">
              <wp:posOffset>2217420</wp:posOffset>
            </wp:positionH>
            <wp:positionV relativeFrom="paragraph">
              <wp:posOffset>182880</wp:posOffset>
            </wp:positionV>
            <wp:extent cx="830580" cy="1125220"/>
            <wp:effectExtent l="19050" t="0" r="7620" b="0"/>
            <wp:wrapTopAndBottom/>
            <wp:docPr id="6"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9" cstate="print"/>
                    <a:srcRect/>
                    <a:stretch>
                      <a:fillRect/>
                    </a:stretch>
                  </pic:blipFill>
                  <pic:spPr bwMode="auto">
                    <a:xfrm>
                      <a:off x="0" y="0"/>
                      <a:ext cx="830580" cy="1125220"/>
                    </a:xfrm>
                    <a:prstGeom prst="rect">
                      <a:avLst/>
                    </a:prstGeom>
                    <a:noFill/>
                    <a:ln w="9525">
                      <a:noFill/>
                      <a:miter lim="800000"/>
                      <a:headEnd/>
                      <a:tailEnd/>
                    </a:ln>
                  </pic:spPr>
                </pic:pic>
              </a:graphicData>
            </a:graphic>
          </wp:anchor>
        </w:drawing>
      </w:r>
    </w:p>
    <w:p w14:paraId="3504D5DB" w14:textId="36B15C26" w:rsidR="0069267F" w:rsidRPr="00E707D1" w:rsidRDefault="0069267F" w:rsidP="0069267F">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u w:val="single"/>
        </w:rPr>
      </w:pPr>
      <w:r w:rsidRPr="00E707D1">
        <w:rPr>
          <w:sz w:val="24"/>
          <w:szCs w:val="24"/>
        </w:rPr>
        <w:fldChar w:fldCharType="begin"/>
      </w:r>
      <w:r w:rsidRPr="00E707D1">
        <w:rPr>
          <w:sz w:val="24"/>
          <w:szCs w:val="24"/>
        </w:rPr>
        <w:instrText xml:space="preserve"> SEQ CHAPTER \h \r 1</w:instrText>
      </w:r>
      <w:r w:rsidRPr="00E707D1">
        <w:rPr>
          <w:sz w:val="24"/>
          <w:szCs w:val="24"/>
        </w:rPr>
        <w:fldChar w:fldCharType="end"/>
      </w:r>
      <w:r w:rsidRPr="00E707D1">
        <w:rPr>
          <w:rFonts w:ascii="Arial" w:hAnsi="Arial" w:cs="Arial"/>
          <w:b/>
          <w:bCs/>
          <w:sz w:val="24"/>
          <w:szCs w:val="24"/>
          <w:u w:val="single"/>
        </w:rPr>
        <w:t>IN THE HIGH COURT OF SOUTH AFRICA</w:t>
      </w:r>
    </w:p>
    <w:p w14:paraId="158D0E93" w14:textId="77777777" w:rsidR="0069267F" w:rsidRPr="00E707D1" w:rsidRDefault="0069267F" w:rsidP="0069267F">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u w:val="single"/>
        </w:rPr>
      </w:pPr>
    </w:p>
    <w:p w14:paraId="5F74D2F9" w14:textId="6E7B9492" w:rsidR="0069267F" w:rsidRPr="00E707D1" w:rsidRDefault="0069267F" w:rsidP="0069267F">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u w:val="single"/>
        </w:rPr>
      </w:pPr>
      <w:r w:rsidRPr="00E707D1">
        <w:rPr>
          <w:rFonts w:ascii="Arial" w:hAnsi="Arial" w:cs="Arial"/>
          <w:b/>
          <w:bCs/>
          <w:sz w:val="24"/>
          <w:szCs w:val="24"/>
          <w:u w:val="single"/>
        </w:rPr>
        <w:t>(</w:t>
      </w:r>
      <w:r>
        <w:rPr>
          <w:rFonts w:ascii="Arial" w:hAnsi="Arial" w:cs="Arial"/>
          <w:b/>
          <w:bCs/>
          <w:sz w:val="24"/>
          <w:szCs w:val="24"/>
          <w:u w:val="single"/>
        </w:rPr>
        <w:t>GAUTENG DIVISION: PRETORIA</w:t>
      </w:r>
      <w:r w:rsidRPr="00E707D1">
        <w:rPr>
          <w:rFonts w:ascii="Arial" w:hAnsi="Arial" w:cs="Arial"/>
          <w:b/>
          <w:bCs/>
          <w:sz w:val="24"/>
          <w:szCs w:val="24"/>
          <w:u w:val="single"/>
        </w:rPr>
        <w:t>)</w:t>
      </w:r>
    </w:p>
    <w:p w14:paraId="1FCE95CB" w14:textId="77777777" w:rsidR="0069267F" w:rsidRDefault="0069267F" w:rsidP="0069267F">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69267F" w:rsidRPr="00ED11A7" w14:paraId="543BE841" w14:textId="77777777" w:rsidTr="00DA0153">
        <w:tc>
          <w:tcPr>
            <w:tcW w:w="4219" w:type="dxa"/>
          </w:tcPr>
          <w:p w14:paraId="53553F79" w14:textId="77777777" w:rsidR="0069267F" w:rsidRPr="00CB69D8" w:rsidRDefault="0069267F" w:rsidP="00DA0153">
            <w:pPr>
              <w:tabs>
                <w:tab w:val="center" w:pos="4320"/>
                <w:tab w:val="right" w:pos="8640"/>
              </w:tabs>
              <w:rPr>
                <w:rFonts w:ascii="Calibri" w:hAnsi="Calibri"/>
              </w:rPr>
            </w:pPr>
            <w:r w:rsidRPr="00205CE2">
              <w:rPr>
                <w:rFonts w:ascii="Arial" w:hAnsi="Arial" w:cs="Arial"/>
                <w:sz w:val="24"/>
                <w:szCs w:val="24"/>
              </w:rPr>
              <w:tab/>
            </w:r>
            <w:r w:rsidRPr="00CB69D8">
              <w:rPr>
                <w:rFonts w:ascii="Calibri" w:hAnsi="Calibri"/>
              </w:rPr>
              <w:t>DELETE WHICHEVER IS NOT APPLICABLE</w:t>
            </w:r>
          </w:p>
          <w:p w14:paraId="0870DDAD" w14:textId="743A9A7B" w:rsidR="0069267F" w:rsidRPr="00BB7FF7" w:rsidRDefault="00BB7FF7" w:rsidP="00BB7FF7">
            <w:pPr>
              <w:ind w:left="426" w:hanging="426"/>
            </w:pPr>
            <w:r w:rsidRPr="0057147B">
              <w:rPr>
                <w:rFonts w:ascii="Calibri" w:eastAsia="Calibri" w:hAnsi="Calibri"/>
                <w:lang w:val="af-ZA" w:eastAsia="en-US"/>
              </w:rPr>
              <w:t>(1)</w:t>
            </w:r>
            <w:r w:rsidRPr="0057147B">
              <w:rPr>
                <w:rFonts w:ascii="Calibri" w:eastAsia="Calibri" w:hAnsi="Calibri"/>
                <w:lang w:val="af-ZA" w:eastAsia="en-US"/>
              </w:rPr>
              <w:tab/>
            </w:r>
            <w:r w:rsidR="0069267F" w:rsidRPr="00BB7FF7">
              <w:t>REPORTABLE: NO</w:t>
            </w:r>
          </w:p>
          <w:p w14:paraId="6CF4EBB8" w14:textId="1DBE90A9" w:rsidR="0069267F" w:rsidRPr="00BB7FF7" w:rsidRDefault="00BB7FF7" w:rsidP="00BB7FF7">
            <w:pPr>
              <w:ind w:left="426" w:hanging="426"/>
            </w:pPr>
            <w:r w:rsidRPr="0057147B">
              <w:rPr>
                <w:rFonts w:ascii="Calibri" w:eastAsia="Calibri" w:hAnsi="Calibri"/>
                <w:lang w:val="af-ZA" w:eastAsia="en-US"/>
              </w:rPr>
              <w:t>(2)</w:t>
            </w:r>
            <w:r w:rsidRPr="0057147B">
              <w:rPr>
                <w:rFonts w:ascii="Calibri" w:eastAsia="Calibri" w:hAnsi="Calibri"/>
                <w:lang w:val="af-ZA" w:eastAsia="en-US"/>
              </w:rPr>
              <w:tab/>
            </w:r>
            <w:r w:rsidR="0069267F" w:rsidRPr="00BB7FF7">
              <w:t>OF INTEREST TO OTHER JUDGES: NO</w:t>
            </w:r>
          </w:p>
          <w:p w14:paraId="0B03E2B0" w14:textId="16E6EBA2" w:rsidR="0069267F" w:rsidRPr="00BB7FF7" w:rsidRDefault="00BB7FF7" w:rsidP="00BB7FF7">
            <w:pPr>
              <w:ind w:left="426" w:hanging="426"/>
            </w:pPr>
            <w:r w:rsidRPr="0057147B">
              <w:rPr>
                <w:rFonts w:ascii="Calibri" w:eastAsia="Calibri" w:hAnsi="Calibri"/>
                <w:lang w:val="af-ZA" w:eastAsia="en-US"/>
              </w:rPr>
              <w:t>(3)</w:t>
            </w:r>
            <w:r w:rsidRPr="0057147B">
              <w:rPr>
                <w:rFonts w:ascii="Calibri" w:eastAsia="Calibri" w:hAnsi="Calibri"/>
                <w:lang w:val="af-ZA" w:eastAsia="en-US"/>
              </w:rPr>
              <w:tab/>
            </w:r>
            <w:r w:rsidR="0069267F" w:rsidRPr="00BB7FF7">
              <w:t>REVISED</w:t>
            </w:r>
          </w:p>
          <w:p w14:paraId="2F1C42B2" w14:textId="77777777" w:rsidR="0069267F" w:rsidRPr="0057147B" w:rsidRDefault="0069267F" w:rsidP="00DA0153">
            <w:pPr>
              <w:pStyle w:val="ListParagraph"/>
              <w:tabs>
                <w:tab w:val="center" w:pos="4320"/>
                <w:tab w:val="right" w:pos="8640"/>
              </w:tabs>
              <w:rPr>
                <w:sz w:val="20"/>
                <w:szCs w:val="20"/>
              </w:rPr>
            </w:pPr>
          </w:p>
          <w:p w14:paraId="6A376873" w14:textId="7C54188A" w:rsidR="0069267F" w:rsidRPr="00CB69D8" w:rsidRDefault="0069267F" w:rsidP="00DA0153">
            <w:pPr>
              <w:tabs>
                <w:tab w:val="center" w:pos="4320"/>
                <w:tab w:val="right" w:pos="8640"/>
              </w:tabs>
              <w:rPr>
                <w:rFonts w:ascii="Calibri" w:hAnsi="Calibri"/>
              </w:rPr>
            </w:pPr>
            <w:r>
              <w:rPr>
                <w:rFonts w:ascii="Calibri" w:hAnsi="Calibri"/>
              </w:rPr>
              <w:t xml:space="preserve">15 MARCH 2024        </w:t>
            </w:r>
            <w:r w:rsidRPr="00CB69D8">
              <w:rPr>
                <w:rFonts w:ascii="Calibri" w:hAnsi="Calibri"/>
              </w:rPr>
              <w:t>..................................</w:t>
            </w:r>
          </w:p>
          <w:p w14:paraId="6AAEF00C" w14:textId="77777777" w:rsidR="0069267F" w:rsidRPr="00CB69D8" w:rsidRDefault="0069267F" w:rsidP="00DA0153">
            <w:pPr>
              <w:tabs>
                <w:tab w:val="center" w:pos="4320"/>
                <w:tab w:val="right" w:pos="8640"/>
              </w:tabs>
              <w:rPr>
                <w:rFonts w:ascii="Calibri" w:hAnsi="Calibri"/>
              </w:rPr>
            </w:pPr>
            <w:r w:rsidRPr="00CB69D8">
              <w:rPr>
                <w:rFonts w:ascii="Calibri" w:hAnsi="Calibri"/>
              </w:rPr>
              <w:t xml:space="preserve">         DATE                           SIGNATURE</w:t>
            </w:r>
          </w:p>
        </w:tc>
      </w:tr>
    </w:tbl>
    <w:p w14:paraId="1949F509" w14:textId="77777777" w:rsidR="0069267F" w:rsidRDefault="0069267F" w:rsidP="0069267F">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rPr>
      </w:pPr>
    </w:p>
    <w:p w14:paraId="454A1191" w14:textId="5E9C900A" w:rsidR="0069267F" w:rsidRDefault="0069267F" w:rsidP="0069267F">
      <w:pPr>
        <w:tabs>
          <w:tab w:val="right" w:pos="8199"/>
        </w:tabs>
        <w:spacing w:line="360" w:lineRule="auto"/>
        <w:jc w:val="right"/>
        <w:rPr>
          <w:rFonts w:ascii="Arial" w:hAnsi="Arial" w:cs="Arial"/>
          <w:sz w:val="24"/>
          <w:szCs w:val="24"/>
        </w:rPr>
      </w:pPr>
      <w:r>
        <w:rPr>
          <w:rFonts w:ascii="Arial" w:hAnsi="Arial" w:cs="Arial"/>
          <w:sz w:val="24"/>
          <w:szCs w:val="24"/>
        </w:rPr>
        <w:t>Date: 15 March 2024</w:t>
      </w:r>
    </w:p>
    <w:p w14:paraId="4590C377" w14:textId="77777777" w:rsidR="0069267F" w:rsidRPr="00F03FE2" w:rsidRDefault="0069267F" w:rsidP="0069267F">
      <w:pPr>
        <w:tabs>
          <w:tab w:val="right" w:pos="8199"/>
        </w:tabs>
        <w:spacing w:line="360" w:lineRule="auto"/>
        <w:jc w:val="right"/>
        <w:rPr>
          <w:rFonts w:ascii="Arial" w:hAnsi="Arial" w:cs="Arial"/>
          <w:b/>
          <w:bCs/>
          <w:sz w:val="24"/>
          <w:szCs w:val="24"/>
        </w:rPr>
      </w:pPr>
      <w:r w:rsidRPr="00F03FE2">
        <w:rPr>
          <w:rFonts w:ascii="Arial" w:hAnsi="Arial" w:cs="Arial"/>
          <w:b/>
          <w:bCs/>
          <w:sz w:val="24"/>
          <w:szCs w:val="24"/>
        </w:rPr>
        <w:t xml:space="preserve">Case number: </w:t>
      </w:r>
      <w:r>
        <w:rPr>
          <w:rFonts w:ascii="Arial" w:hAnsi="Arial" w:cs="Arial"/>
          <w:b/>
          <w:bCs/>
          <w:sz w:val="24"/>
          <w:szCs w:val="24"/>
        </w:rPr>
        <w:t>121487-2023</w:t>
      </w:r>
    </w:p>
    <w:p w14:paraId="7BFDB2AB" w14:textId="25B7C06C" w:rsidR="0069267F" w:rsidRPr="00D470A4" w:rsidRDefault="0069267F" w:rsidP="0069267F">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Calibri" w:hAnsi="Arial" w:cs="Arial"/>
          <w:sz w:val="24"/>
          <w:szCs w:val="24"/>
        </w:rPr>
      </w:pPr>
      <w:r w:rsidRPr="00D470A4">
        <w:rPr>
          <w:rFonts w:ascii="Arial" w:eastAsia="Calibri" w:hAnsi="Arial" w:cs="Arial"/>
          <w:sz w:val="24"/>
          <w:szCs w:val="24"/>
        </w:rPr>
        <w:t>In the matter between:</w:t>
      </w:r>
    </w:p>
    <w:p w14:paraId="4EBC4873" w14:textId="77777777" w:rsidR="0069267F" w:rsidRPr="00D470A4" w:rsidRDefault="0069267F" w:rsidP="0069267F">
      <w:pPr>
        <w:spacing w:before="240" w:line="360" w:lineRule="auto"/>
        <w:ind w:left="357" w:hanging="357"/>
        <w:rPr>
          <w:rFonts w:ascii="Arial" w:eastAsia="Calibri" w:hAnsi="Arial" w:cs="Arial"/>
          <w:b/>
          <w:sz w:val="24"/>
          <w:szCs w:val="24"/>
        </w:rPr>
      </w:pPr>
      <w:r>
        <w:rPr>
          <w:rFonts w:ascii="Arial" w:eastAsia="Calibri" w:hAnsi="Arial" w:cs="Arial"/>
          <w:b/>
          <w:sz w:val="24"/>
          <w:szCs w:val="24"/>
        </w:rPr>
        <w:t>THE SOUTH AFRICAN LEGAL PRACTICE COUNCIL</w:t>
      </w:r>
      <w:r w:rsidRPr="00D470A4">
        <w:rPr>
          <w:rFonts w:ascii="Arial" w:eastAsia="Calibri" w:hAnsi="Arial" w:cs="Arial"/>
          <w:b/>
          <w:sz w:val="24"/>
          <w:szCs w:val="24"/>
        </w:rPr>
        <w:tab/>
        <w:t xml:space="preserve">    APPLICANT</w:t>
      </w:r>
    </w:p>
    <w:p w14:paraId="28344735" w14:textId="77777777" w:rsidR="0069267F" w:rsidRPr="00D470A4" w:rsidRDefault="0069267F" w:rsidP="0069267F">
      <w:pPr>
        <w:spacing w:before="240" w:line="360" w:lineRule="auto"/>
        <w:ind w:left="357" w:hanging="357"/>
        <w:rPr>
          <w:rFonts w:ascii="Arial" w:eastAsia="Calibri" w:hAnsi="Arial" w:cs="Arial"/>
          <w:sz w:val="24"/>
          <w:szCs w:val="24"/>
        </w:rPr>
      </w:pPr>
      <w:r w:rsidRPr="00D470A4">
        <w:rPr>
          <w:rFonts w:ascii="Arial" w:eastAsia="Calibri" w:hAnsi="Arial" w:cs="Arial"/>
          <w:sz w:val="24"/>
          <w:szCs w:val="24"/>
        </w:rPr>
        <w:t>And</w:t>
      </w:r>
    </w:p>
    <w:p w14:paraId="789C9783" w14:textId="77777777" w:rsidR="0069267F" w:rsidRDefault="0069267F" w:rsidP="0069267F">
      <w:pPr>
        <w:spacing w:before="240" w:line="360" w:lineRule="auto"/>
        <w:ind w:left="357" w:hanging="357"/>
        <w:rPr>
          <w:rFonts w:ascii="Arial" w:eastAsia="Calibri" w:hAnsi="Arial" w:cs="Arial"/>
          <w:b/>
          <w:sz w:val="24"/>
          <w:szCs w:val="24"/>
        </w:rPr>
      </w:pPr>
      <w:r>
        <w:rPr>
          <w:rFonts w:ascii="Arial" w:eastAsia="Calibri" w:hAnsi="Arial" w:cs="Arial"/>
          <w:b/>
          <w:sz w:val="24"/>
          <w:szCs w:val="24"/>
        </w:rPr>
        <w:t>GODFREY MALUMANE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Pr="00D470A4">
        <w:rPr>
          <w:rFonts w:ascii="Arial" w:eastAsia="Calibri" w:hAnsi="Arial" w:cs="Arial"/>
          <w:b/>
          <w:sz w:val="24"/>
          <w:szCs w:val="24"/>
        </w:rPr>
        <w:t xml:space="preserve">      </w:t>
      </w:r>
      <w:r>
        <w:rPr>
          <w:rFonts w:ascii="Arial" w:eastAsia="Calibri" w:hAnsi="Arial" w:cs="Arial"/>
          <w:b/>
          <w:sz w:val="24"/>
          <w:szCs w:val="24"/>
        </w:rPr>
        <w:tab/>
      </w:r>
      <w:r>
        <w:rPr>
          <w:rFonts w:ascii="Arial" w:eastAsia="Calibri" w:hAnsi="Arial" w:cs="Arial"/>
          <w:b/>
          <w:sz w:val="24"/>
          <w:szCs w:val="24"/>
        </w:rPr>
        <w:tab/>
      </w:r>
      <w:r w:rsidRPr="00D470A4">
        <w:rPr>
          <w:rFonts w:ascii="Arial" w:eastAsia="Calibri" w:hAnsi="Arial" w:cs="Arial"/>
          <w:b/>
          <w:sz w:val="24"/>
          <w:szCs w:val="24"/>
        </w:rPr>
        <w:t>RESPONDENT</w:t>
      </w:r>
    </w:p>
    <w:p w14:paraId="2A6D85EF" w14:textId="71ECFEB4" w:rsidR="0069267F" w:rsidRDefault="0069267F" w:rsidP="0069267F">
      <w:pPr>
        <w:spacing w:before="240" w:line="360" w:lineRule="auto"/>
        <w:ind w:left="357" w:hanging="357"/>
        <w:rPr>
          <w:rFonts w:ascii="Arial" w:eastAsia="Calibri" w:hAnsi="Arial" w:cs="Arial"/>
          <w:b/>
          <w:sz w:val="24"/>
          <w:szCs w:val="24"/>
        </w:rPr>
      </w:pPr>
      <w:r>
        <w:rPr>
          <w:rFonts w:ascii="Arial" w:eastAsia="Calibri" w:hAnsi="Arial" w:cs="Arial"/>
          <w:b/>
          <w:sz w:val="24"/>
          <w:szCs w:val="24"/>
        </w:rPr>
        <w:t xml:space="preserve">(ID number: </w:t>
      </w:r>
      <w:r w:rsidR="006655D6">
        <w:rPr>
          <w:rFonts w:ascii="Arial" w:eastAsia="Calibri" w:hAnsi="Arial" w:cs="Arial"/>
          <w:b/>
          <w:sz w:val="24"/>
          <w:szCs w:val="24"/>
        </w:rPr>
        <w:t>[…]</w:t>
      </w:r>
      <w:r>
        <w:rPr>
          <w:rFonts w:ascii="Arial" w:eastAsia="Calibri" w:hAnsi="Arial" w:cs="Arial"/>
          <w:b/>
          <w:sz w:val="24"/>
          <w:szCs w:val="24"/>
        </w:rPr>
        <w:t>)</w:t>
      </w:r>
    </w:p>
    <w:p w14:paraId="417007EB" w14:textId="77777777" w:rsidR="00D20A7A" w:rsidRDefault="00D20A7A" w:rsidP="00D20A7A">
      <w:pPr>
        <w:tabs>
          <w:tab w:val="right" w:pos="8199"/>
        </w:tabs>
        <w:spacing w:line="360" w:lineRule="auto"/>
        <w:jc w:val="both"/>
        <w:rPr>
          <w:rFonts w:ascii="Arial" w:hAnsi="Arial" w:cs="Arial"/>
          <w:b/>
          <w:bCs/>
          <w:sz w:val="24"/>
          <w:szCs w:val="24"/>
        </w:rPr>
      </w:pPr>
    </w:p>
    <w:p w14:paraId="01EC9A7E" w14:textId="77777777" w:rsidR="00D20A7A" w:rsidRDefault="00D653B0"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b/>
          <w:bCs/>
          <w:sz w:val="24"/>
          <w:szCs w:val="24"/>
        </w:rPr>
      </w:pPr>
      <w:r>
        <w:rPr>
          <w:noProof/>
          <w:lang w:val="en-ZA" w:eastAsia="en-ZA"/>
        </w:rPr>
        <mc:AlternateContent>
          <mc:Choice Requires="wps">
            <w:drawing>
              <wp:anchor distT="0" distB="0" distL="114300" distR="114300" simplePos="0" relativeHeight="251657216" behindDoc="0" locked="0" layoutInCell="0" allowOverlap="1" wp14:anchorId="753FBCCB" wp14:editId="293ABD0C">
                <wp:simplePos x="0" y="0"/>
                <wp:positionH relativeFrom="margin">
                  <wp:posOffset>0</wp:posOffset>
                </wp:positionH>
                <wp:positionV relativeFrom="paragraph">
                  <wp:posOffset>0</wp:posOffset>
                </wp:positionV>
                <wp:extent cx="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AE662" id="Line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Pr>
          <w:noProof/>
          <w:lang w:val="en-ZA" w:eastAsia="en-ZA"/>
        </w:rPr>
        <mc:AlternateContent>
          <mc:Choice Requires="wps">
            <w:drawing>
              <wp:anchor distT="0" distB="0" distL="114300" distR="114300" simplePos="0" relativeHeight="251658240" behindDoc="0" locked="0" layoutInCell="0" allowOverlap="1" wp14:anchorId="4D732E3B" wp14:editId="56C1621A">
                <wp:simplePos x="0" y="0"/>
                <wp:positionH relativeFrom="margin">
                  <wp:posOffset>0</wp:posOffset>
                </wp:positionH>
                <wp:positionV relativeFrom="paragraph">
                  <wp:posOffset>5715</wp:posOffset>
                </wp:positionV>
                <wp:extent cx="5206365" cy="0"/>
                <wp:effectExtent l="9525" t="15240" r="1333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636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279D9" id="Line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0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usAEAAEkDAAAOAAAAZHJzL2Uyb0RvYy54bWysU8tu2zAQvBfoPxC815RVxGgFyzk4TS9p&#10;ayDpB6xJSiJKcQkubcl/X5KxnT5uQS7EPkezs6v17TxadtSBDLqWLxcVZ9pJVMb1Lf/5dP/hE2cU&#10;wSmw6HTLT5r47eb9u/XkG13jgFbpwBKIo2byLR9i9I0QJAc9Ai3Qa5eSHYYRYnJDL1SAKaGPVtRV&#10;tRITBuUDSk2UonfPSb4p+F2nZfzRdaQjsy1P3GJ5Q3n3+RWbNTR9AD8YeaYBr2AxgnHpo1eoO4jA&#10;DsH8BzUaGZCwiwuJo8CuM1KXGdI0y+qfaR4H8LrMksQhf5WJ3g5Wfj9u3S5k6nJ2j/4B5S9iDrcD&#10;uF4XAk8nnxa3zFKJyVNzbckO+V1g++kbqlQDh4hFhbkLY4ZM87G5iH26iq3nyGQK3tTV6uPqhjN5&#10;yQloLo0+UPyqcWTZaLk1LusADRwfKGYi0FxKctjhvbG27NI6NiW29fJzXToIrVE5m+so9PutDewI&#10;+RzS/VTlAhLaX2UBD04VtEGD+nK2Ixj7bKd6685qZAHytVGzR3XahYtKaV+F5vm28kH86Zfulz9g&#10;8xsAAP//AwBQSwMEFAAGAAgAAAAhALZ6sWfYAAAAAgEAAA8AAABkcnMvZG93bnJldi54bWxMj8FO&#10;wzAQRO9I/IO1SNyoU5BQG7KpoIgL4kIbgbi58TaJGq+t2E3D37M90duMZjXztlhNrlcjDbHzjDCf&#10;ZaCIa287bhCq7dvdAlRMhq3pPRPCL0VYlddXhcmtP/EnjZvUKCnhmBuENqWQax3rlpyJMx+IJdv7&#10;wZkkdmi0HcxJyl2v77PsUTvTsSy0JtC6pfqwOTqEh21WfcUurenj/fXle6wCh5+AeHszPT+BSjSl&#10;/2M44ws6lMK080e2UfUI8khCWIKSbDFfitidrS4LfYle/gEAAP//AwBQSwECLQAUAAYACAAAACEA&#10;toM4kv4AAADhAQAAEwAAAAAAAAAAAAAAAAAAAAAAW0NvbnRlbnRfVHlwZXNdLnhtbFBLAQItABQA&#10;BgAIAAAAIQA4/SH/1gAAAJQBAAALAAAAAAAAAAAAAAAAAC8BAABfcmVscy8ucmVsc1BLAQItABQA&#10;BgAIAAAAIQC+auSusAEAAEkDAAAOAAAAAAAAAAAAAAAAAC4CAABkcnMvZTJvRG9jLnhtbFBLAQIt&#10;ABQABgAIAAAAIQC2erFn2AAAAAIBAAAPAAAAAAAAAAAAAAAAAAoEAABkcnMvZG93bnJldi54bWxQ&#10;SwUGAAAAAAQABADzAAAADwUAAAAA&#10;" o:allowincell="f" strokecolor="#020000" strokeweight=".96pt">
                <w10:wrap anchorx="margin"/>
              </v:line>
            </w:pict>
          </mc:Fallback>
        </mc:AlternateContent>
      </w:r>
    </w:p>
    <w:p w14:paraId="6CEF7843" w14:textId="77777777" w:rsidR="00D20A7A" w:rsidRDefault="00D20A7A"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bCs/>
          <w:sz w:val="24"/>
          <w:szCs w:val="24"/>
        </w:rPr>
      </w:pPr>
      <w:r>
        <w:rPr>
          <w:rFonts w:ascii="Arial" w:hAnsi="Arial" w:cs="Arial"/>
          <w:b/>
          <w:bCs/>
          <w:sz w:val="24"/>
          <w:szCs w:val="24"/>
        </w:rPr>
        <w:t>JUDGMENT</w:t>
      </w:r>
    </w:p>
    <w:p w14:paraId="39E58DCA" w14:textId="77777777" w:rsidR="00D20A7A" w:rsidRPr="00EC5415" w:rsidRDefault="00D20A7A"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Cs/>
          <w:sz w:val="24"/>
          <w:szCs w:val="24"/>
        </w:rPr>
      </w:pPr>
      <w:r w:rsidRPr="00EC5415">
        <w:rPr>
          <w:rFonts w:ascii="Arial" w:hAnsi="Arial" w:cs="Arial"/>
          <w:bCs/>
          <w:sz w:val="24"/>
          <w:szCs w:val="24"/>
        </w:rPr>
        <w:t>______________________________________________________________</w:t>
      </w:r>
    </w:p>
    <w:p w14:paraId="367D5B12" w14:textId="77777777" w:rsidR="00D20A7A" w:rsidRDefault="00D20A7A"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i/>
          <w:sz w:val="24"/>
          <w:szCs w:val="24"/>
          <w:u w:val="single"/>
        </w:rPr>
      </w:pPr>
    </w:p>
    <w:p w14:paraId="021B8F78" w14:textId="576E2600" w:rsidR="00D20A7A" w:rsidRDefault="00964758"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i/>
          <w:sz w:val="24"/>
          <w:szCs w:val="24"/>
          <w:u w:val="single"/>
        </w:rPr>
      </w:pPr>
      <w:r>
        <w:rPr>
          <w:rFonts w:ascii="Arial" w:hAnsi="Arial" w:cs="Arial"/>
          <w:i/>
          <w:sz w:val="24"/>
          <w:szCs w:val="24"/>
          <w:u w:val="single"/>
        </w:rPr>
        <w:t>MINNAAR AJ</w:t>
      </w:r>
      <w:r w:rsidR="00D20A7A" w:rsidRPr="00BC79C6">
        <w:rPr>
          <w:rFonts w:ascii="Arial" w:hAnsi="Arial" w:cs="Arial"/>
          <w:i/>
          <w:sz w:val="24"/>
          <w:szCs w:val="24"/>
          <w:u w:val="single"/>
        </w:rPr>
        <w:t>,</w:t>
      </w:r>
    </w:p>
    <w:p w14:paraId="37076795" w14:textId="74E52D44" w:rsidR="00F91155" w:rsidRPr="00BB7FF7" w:rsidRDefault="00BB7FF7" w:rsidP="00BB7FF7">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w:t>
      </w:r>
      <w:r>
        <w:rPr>
          <w:rFonts w:ascii="Arial" w:eastAsia="Calibri" w:hAnsi="Arial" w:cs="Arial"/>
          <w:sz w:val="24"/>
          <w:szCs w:val="24"/>
          <w:lang w:val="af-ZA" w:eastAsia="en-US"/>
        </w:rPr>
        <w:tab/>
      </w:r>
      <w:r w:rsidR="00F91155" w:rsidRPr="00BB7FF7">
        <w:rPr>
          <w:rFonts w:ascii="Arial" w:hAnsi="Arial" w:cs="Arial"/>
          <w:sz w:val="24"/>
          <w:szCs w:val="24"/>
        </w:rPr>
        <w:t xml:space="preserve">On </w:t>
      </w:r>
      <w:r w:rsidR="0069267F" w:rsidRPr="00BB7FF7">
        <w:rPr>
          <w:rFonts w:ascii="Arial" w:hAnsi="Arial" w:cs="Arial"/>
          <w:sz w:val="24"/>
          <w:szCs w:val="24"/>
        </w:rPr>
        <w:t>22 December</w:t>
      </w:r>
      <w:r w:rsidR="00F91155" w:rsidRPr="00BB7FF7">
        <w:rPr>
          <w:rFonts w:ascii="Arial" w:hAnsi="Arial" w:cs="Arial"/>
          <w:sz w:val="24"/>
          <w:szCs w:val="24"/>
        </w:rPr>
        <w:t xml:space="preserve"> 2023</w:t>
      </w:r>
      <w:r w:rsidR="00AC5B0D" w:rsidRPr="00BB7FF7">
        <w:rPr>
          <w:rFonts w:ascii="Arial" w:hAnsi="Arial" w:cs="Arial"/>
          <w:sz w:val="24"/>
          <w:szCs w:val="24"/>
        </w:rPr>
        <w:t>,</w:t>
      </w:r>
      <w:r w:rsidR="00F91155" w:rsidRPr="00BB7FF7">
        <w:rPr>
          <w:rFonts w:ascii="Arial" w:hAnsi="Arial" w:cs="Arial"/>
          <w:sz w:val="24"/>
          <w:szCs w:val="24"/>
        </w:rPr>
        <w:t xml:space="preserve"> I </w:t>
      </w:r>
      <w:r w:rsidR="00AC5B0D" w:rsidRPr="00BB7FF7">
        <w:rPr>
          <w:rFonts w:ascii="Arial" w:hAnsi="Arial" w:cs="Arial"/>
          <w:sz w:val="24"/>
          <w:szCs w:val="24"/>
        </w:rPr>
        <w:t>delivered</w:t>
      </w:r>
      <w:r w:rsidR="00F91155" w:rsidRPr="00BB7FF7">
        <w:rPr>
          <w:rFonts w:ascii="Arial" w:hAnsi="Arial" w:cs="Arial"/>
          <w:sz w:val="24"/>
          <w:szCs w:val="24"/>
        </w:rPr>
        <w:t xml:space="preserve"> judgment in terms of which the </w:t>
      </w:r>
      <w:r w:rsidR="00B507DD" w:rsidRPr="00BB7FF7">
        <w:rPr>
          <w:rFonts w:ascii="Arial" w:hAnsi="Arial" w:cs="Arial"/>
          <w:sz w:val="24"/>
          <w:szCs w:val="24"/>
        </w:rPr>
        <w:t xml:space="preserve">respondent was suspended from practising as an attorney of this Court. </w:t>
      </w:r>
      <w:r w:rsidR="00B507DD" w:rsidRPr="00BB7FF7">
        <w:rPr>
          <w:rFonts w:ascii="Arial" w:hAnsi="Arial" w:cs="Arial"/>
          <w:sz w:val="24"/>
          <w:szCs w:val="24"/>
        </w:rPr>
        <w:lastRenderedPageBreak/>
        <w:t xml:space="preserve">The suspension was ordered to be in place until the applicant satisfies the </w:t>
      </w:r>
      <w:r w:rsidR="002253AD" w:rsidRPr="00BB7FF7">
        <w:rPr>
          <w:rFonts w:ascii="Arial" w:hAnsi="Arial" w:cs="Arial"/>
          <w:sz w:val="24"/>
          <w:szCs w:val="24"/>
        </w:rPr>
        <w:t>C</w:t>
      </w:r>
      <w:r w:rsidR="00B507DD" w:rsidRPr="00BB7FF7">
        <w:rPr>
          <w:rFonts w:ascii="Arial" w:hAnsi="Arial" w:cs="Arial"/>
          <w:sz w:val="24"/>
          <w:szCs w:val="24"/>
        </w:rPr>
        <w:t xml:space="preserve">ourt that he is a fit and proper person to resume </w:t>
      </w:r>
      <w:r w:rsidR="00034CDA" w:rsidRPr="00BB7FF7">
        <w:rPr>
          <w:rFonts w:ascii="Arial" w:hAnsi="Arial" w:cs="Arial"/>
          <w:sz w:val="24"/>
          <w:szCs w:val="24"/>
        </w:rPr>
        <w:t>practise</w:t>
      </w:r>
      <w:r w:rsidR="00B507DD" w:rsidRPr="00BB7FF7">
        <w:rPr>
          <w:rFonts w:ascii="Arial" w:hAnsi="Arial" w:cs="Arial"/>
          <w:sz w:val="24"/>
          <w:szCs w:val="24"/>
        </w:rPr>
        <w:t xml:space="preserve"> as an attorney. Further </w:t>
      </w:r>
      <w:r w:rsidR="00034CDA" w:rsidRPr="00BB7FF7">
        <w:rPr>
          <w:rFonts w:ascii="Arial" w:hAnsi="Arial" w:cs="Arial"/>
          <w:sz w:val="24"/>
          <w:szCs w:val="24"/>
        </w:rPr>
        <w:t>ancillary</w:t>
      </w:r>
      <w:r w:rsidR="00B507DD" w:rsidRPr="00BB7FF7">
        <w:rPr>
          <w:rFonts w:ascii="Arial" w:hAnsi="Arial" w:cs="Arial"/>
          <w:sz w:val="24"/>
          <w:szCs w:val="24"/>
        </w:rPr>
        <w:t xml:space="preserve"> relief </w:t>
      </w:r>
      <w:r w:rsidR="00034CDA" w:rsidRPr="00BB7FF7">
        <w:rPr>
          <w:rFonts w:ascii="Arial" w:hAnsi="Arial" w:cs="Arial"/>
          <w:sz w:val="24"/>
          <w:szCs w:val="24"/>
        </w:rPr>
        <w:t>was</w:t>
      </w:r>
      <w:r w:rsidR="00B507DD" w:rsidRPr="00BB7FF7">
        <w:rPr>
          <w:rFonts w:ascii="Arial" w:hAnsi="Arial" w:cs="Arial"/>
          <w:sz w:val="24"/>
          <w:szCs w:val="24"/>
        </w:rPr>
        <w:t xml:space="preserve"> also included in my order dealing with the </w:t>
      </w:r>
      <w:r w:rsidR="00034CDA" w:rsidRPr="00BB7FF7">
        <w:rPr>
          <w:rFonts w:ascii="Arial" w:hAnsi="Arial" w:cs="Arial"/>
          <w:sz w:val="24"/>
          <w:szCs w:val="24"/>
        </w:rPr>
        <w:t>practise</w:t>
      </w:r>
      <w:r w:rsidR="00B507DD" w:rsidRPr="00BB7FF7">
        <w:rPr>
          <w:rFonts w:ascii="Arial" w:hAnsi="Arial" w:cs="Arial"/>
          <w:sz w:val="24"/>
          <w:szCs w:val="24"/>
        </w:rPr>
        <w:t xml:space="preserve"> of the applicant and what was expected of him to comply with the order of suspension.</w:t>
      </w:r>
    </w:p>
    <w:p w14:paraId="227E95BE" w14:textId="77777777" w:rsidR="00D450A9" w:rsidRDefault="00D450A9" w:rsidP="00D450A9">
      <w:pPr>
        <w:pStyle w:val="ListParagraph"/>
        <w:spacing w:line="480" w:lineRule="auto"/>
        <w:jc w:val="both"/>
        <w:rPr>
          <w:rFonts w:ascii="Arial" w:hAnsi="Arial" w:cs="Arial"/>
          <w:sz w:val="24"/>
          <w:szCs w:val="24"/>
        </w:rPr>
      </w:pPr>
    </w:p>
    <w:p w14:paraId="3A12A710" w14:textId="2BB5293F" w:rsidR="0011792A" w:rsidRPr="00BB7FF7" w:rsidRDefault="00BB7FF7" w:rsidP="00BB7FF7">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w:t>
      </w:r>
      <w:r>
        <w:rPr>
          <w:rFonts w:ascii="Arial" w:eastAsia="Calibri" w:hAnsi="Arial" w:cs="Arial"/>
          <w:sz w:val="24"/>
          <w:szCs w:val="24"/>
          <w:lang w:val="af-ZA" w:eastAsia="en-US"/>
        </w:rPr>
        <w:tab/>
      </w:r>
      <w:r w:rsidR="00F91155" w:rsidRPr="00BB7FF7">
        <w:rPr>
          <w:rFonts w:ascii="Arial" w:hAnsi="Arial" w:cs="Arial"/>
          <w:sz w:val="24"/>
          <w:szCs w:val="24"/>
        </w:rPr>
        <w:t>The applicant</w:t>
      </w:r>
      <w:r w:rsidR="00B507DD" w:rsidRPr="00BB7FF7">
        <w:rPr>
          <w:rFonts w:ascii="Arial" w:hAnsi="Arial" w:cs="Arial"/>
          <w:sz w:val="24"/>
          <w:szCs w:val="24"/>
        </w:rPr>
        <w:t xml:space="preserve">, through his attorneys, </w:t>
      </w:r>
      <w:proofErr w:type="spellStart"/>
      <w:r w:rsidR="00B507DD" w:rsidRPr="00BB7FF7">
        <w:rPr>
          <w:rFonts w:ascii="Arial" w:hAnsi="Arial" w:cs="Arial"/>
          <w:sz w:val="24"/>
          <w:szCs w:val="24"/>
        </w:rPr>
        <w:t>Maesela</w:t>
      </w:r>
      <w:proofErr w:type="spellEnd"/>
      <w:r w:rsidR="00B507DD" w:rsidRPr="00BB7FF7">
        <w:rPr>
          <w:rFonts w:ascii="Arial" w:hAnsi="Arial" w:cs="Arial"/>
          <w:sz w:val="24"/>
          <w:szCs w:val="24"/>
        </w:rPr>
        <w:t xml:space="preserve"> Incorporated,</w:t>
      </w:r>
      <w:r w:rsidR="00F91155" w:rsidRPr="00BB7FF7">
        <w:rPr>
          <w:rFonts w:ascii="Arial" w:hAnsi="Arial" w:cs="Arial"/>
          <w:sz w:val="24"/>
          <w:szCs w:val="24"/>
        </w:rPr>
        <w:t xml:space="preserve"> launched an application for leave to appeal on </w:t>
      </w:r>
      <w:r w:rsidR="00B507DD" w:rsidRPr="00BB7FF7">
        <w:rPr>
          <w:rFonts w:ascii="Arial" w:hAnsi="Arial" w:cs="Arial"/>
          <w:sz w:val="24"/>
          <w:szCs w:val="24"/>
        </w:rPr>
        <w:t xml:space="preserve">9 January 2024. </w:t>
      </w:r>
    </w:p>
    <w:p w14:paraId="48D22884" w14:textId="77777777" w:rsidR="0011792A" w:rsidRDefault="0011792A" w:rsidP="0011792A">
      <w:pPr>
        <w:pStyle w:val="ListParagraph"/>
        <w:spacing w:line="480" w:lineRule="auto"/>
        <w:jc w:val="both"/>
        <w:rPr>
          <w:rFonts w:ascii="Arial" w:hAnsi="Arial" w:cs="Arial"/>
          <w:sz w:val="24"/>
          <w:szCs w:val="24"/>
        </w:rPr>
      </w:pPr>
    </w:p>
    <w:p w14:paraId="5DB5B115" w14:textId="6D4C27EE" w:rsidR="0011792A" w:rsidRPr="00BB7FF7" w:rsidRDefault="00BB7FF7" w:rsidP="00BB7FF7">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[3]</w:t>
      </w:r>
      <w:r>
        <w:rPr>
          <w:rFonts w:ascii="Arial" w:eastAsia="Calibri" w:hAnsi="Arial" w:cs="Arial"/>
          <w:sz w:val="24"/>
          <w:szCs w:val="24"/>
          <w:lang w:val="af-ZA" w:eastAsia="en-US"/>
        </w:rPr>
        <w:tab/>
      </w:r>
      <w:r w:rsidR="0011792A" w:rsidRPr="00BB7FF7">
        <w:rPr>
          <w:rFonts w:ascii="Arial" w:hAnsi="Arial" w:cs="Arial"/>
          <w:sz w:val="24"/>
          <w:szCs w:val="24"/>
        </w:rPr>
        <w:t>On 29 January 2024, the applicant delivered an application in which, in essence, an amended application for leave to appeal was delivered. This application was delivered by Zehir Omar Attorneys.</w:t>
      </w:r>
    </w:p>
    <w:p w14:paraId="7B4CB8B7" w14:textId="77777777" w:rsidR="0011792A" w:rsidRDefault="0011792A" w:rsidP="0011792A">
      <w:pPr>
        <w:pStyle w:val="ListParagraph"/>
        <w:spacing w:line="480" w:lineRule="auto"/>
        <w:jc w:val="both"/>
        <w:rPr>
          <w:rFonts w:ascii="Arial" w:hAnsi="Arial" w:cs="Arial"/>
          <w:sz w:val="24"/>
          <w:szCs w:val="24"/>
        </w:rPr>
      </w:pPr>
    </w:p>
    <w:p w14:paraId="612A6599" w14:textId="3A2E2FF6" w:rsidR="00F91155" w:rsidRPr="00BB7FF7" w:rsidRDefault="00BB7FF7" w:rsidP="00BB7FF7">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[4]</w:t>
      </w:r>
      <w:r>
        <w:rPr>
          <w:rFonts w:ascii="Arial" w:eastAsia="Calibri" w:hAnsi="Arial" w:cs="Arial"/>
          <w:sz w:val="24"/>
          <w:szCs w:val="24"/>
          <w:lang w:val="af-ZA" w:eastAsia="en-US"/>
        </w:rPr>
        <w:tab/>
      </w:r>
      <w:r w:rsidR="00B507DD" w:rsidRPr="00BB7FF7">
        <w:rPr>
          <w:rFonts w:ascii="Arial" w:hAnsi="Arial" w:cs="Arial"/>
          <w:sz w:val="24"/>
          <w:szCs w:val="24"/>
        </w:rPr>
        <w:t xml:space="preserve">On 4 March 2024, </w:t>
      </w:r>
      <w:proofErr w:type="spellStart"/>
      <w:r w:rsidR="00B507DD" w:rsidRPr="00BB7FF7">
        <w:rPr>
          <w:rFonts w:ascii="Arial" w:hAnsi="Arial" w:cs="Arial"/>
          <w:sz w:val="24"/>
          <w:szCs w:val="24"/>
        </w:rPr>
        <w:t>Maesela</w:t>
      </w:r>
      <w:proofErr w:type="spellEnd"/>
      <w:r w:rsidR="00B507DD" w:rsidRPr="00BB7FF7">
        <w:rPr>
          <w:rFonts w:ascii="Arial" w:hAnsi="Arial" w:cs="Arial"/>
          <w:sz w:val="24"/>
          <w:szCs w:val="24"/>
        </w:rPr>
        <w:t xml:space="preserve"> Incorporated delivered a notice of withdrawal of attorneys of record.</w:t>
      </w:r>
    </w:p>
    <w:p w14:paraId="4DD24D33" w14:textId="77777777" w:rsidR="00D450A9" w:rsidRDefault="00D450A9" w:rsidP="00D450A9">
      <w:pPr>
        <w:pStyle w:val="ListParagraph"/>
        <w:spacing w:line="480" w:lineRule="auto"/>
        <w:jc w:val="both"/>
        <w:rPr>
          <w:rFonts w:ascii="Arial" w:hAnsi="Arial" w:cs="Arial"/>
          <w:sz w:val="24"/>
          <w:szCs w:val="24"/>
        </w:rPr>
      </w:pPr>
    </w:p>
    <w:p w14:paraId="78E02824" w14:textId="0A02D3A2" w:rsidR="00D450A9" w:rsidRPr="00BB7FF7" w:rsidRDefault="00BB7FF7" w:rsidP="00BB7FF7">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[5]</w:t>
      </w:r>
      <w:r>
        <w:rPr>
          <w:rFonts w:ascii="Arial" w:eastAsia="Calibri" w:hAnsi="Arial" w:cs="Arial"/>
          <w:sz w:val="24"/>
          <w:szCs w:val="24"/>
          <w:lang w:val="af-ZA" w:eastAsia="en-US"/>
        </w:rPr>
        <w:tab/>
      </w:r>
      <w:r w:rsidR="0011792A" w:rsidRPr="00BB7FF7">
        <w:rPr>
          <w:rFonts w:ascii="Arial" w:hAnsi="Arial" w:cs="Arial"/>
          <w:sz w:val="24"/>
          <w:szCs w:val="24"/>
        </w:rPr>
        <w:t xml:space="preserve">No formal notice of substitution as attorneys of record was delivered by </w:t>
      </w:r>
      <w:proofErr w:type="spellStart"/>
      <w:r w:rsidR="0011792A" w:rsidRPr="00BB7FF7">
        <w:rPr>
          <w:rFonts w:ascii="Arial" w:hAnsi="Arial" w:cs="Arial"/>
          <w:sz w:val="24"/>
          <w:szCs w:val="24"/>
        </w:rPr>
        <w:t>Zehir</w:t>
      </w:r>
      <w:proofErr w:type="spellEnd"/>
      <w:r w:rsidR="0011792A" w:rsidRPr="00BB7FF7">
        <w:rPr>
          <w:rFonts w:ascii="Arial" w:hAnsi="Arial" w:cs="Arial"/>
          <w:sz w:val="24"/>
          <w:szCs w:val="24"/>
        </w:rPr>
        <w:t xml:space="preserve"> Omar Attorneys. On the day of hearing the application for leave to appeal</w:t>
      </w:r>
      <w:r w:rsidR="00B75AB8" w:rsidRPr="00BB7FF7">
        <w:rPr>
          <w:rFonts w:ascii="Arial" w:hAnsi="Arial" w:cs="Arial"/>
          <w:sz w:val="24"/>
          <w:szCs w:val="24"/>
        </w:rPr>
        <w:t>,</w:t>
      </w:r>
      <w:r w:rsidR="0011792A" w:rsidRPr="00BB7FF7">
        <w:rPr>
          <w:rFonts w:ascii="Arial" w:hAnsi="Arial" w:cs="Arial"/>
          <w:sz w:val="24"/>
          <w:szCs w:val="24"/>
        </w:rPr>
        <w:t xml:space="preserve"> Mr Zehir Omar appeared and confirmed that Zehir Omar Attorneys has the mandate to appear on behalf of the applicant. This submission by Mr Omar was accepted </w:t>
      </w:r>
      <w:r w:rsidR="00B75AB8" w:rsidRPr="00BB7FF7">
        <w:rPr>
          <w:rFonts w:ascii="Arial" w:hAnsi="Arial" w:cs="Arial"/>
          <w:sz w:val="24"/>
          <w:szCs w:val="24"/>
        </w:rPr>
        <w:t>and an undertaking was provided that a</w:t>
      </w:r>
      <w:r w:rsidR="0011792A" w:rsidRPr="00BB7FF7">
        <w:rPr>
          <w:rFonts w:ascii="Arial" w:hAnsi="Arial" w:cs="Arial"/>
          <w:sz w:val="24"/>
          <w:szCs w:val="24"/>
        </w:rPr>
        <w:t xml:space="preserve"> formal notice of substitution as attorney of record be uploaded. Despite </w:t>
      </w:r>
      <w:r w:rsidR="00B75AB8" w:rsidRPr="00BB7FF7">
        <w:rPr>
          <w:rFonts w:ascii="Arial" w:hAnsi="Arial" w:cs="Arial"/>
          <w:sz w:val="24"/>
          <w:szCs w:val="24"/>
        </w:rPr>
        <w:t>this</w:t>
      </w:r>
      <w:r w:rsidR="0011792A" w:rsidRPr="00BB7FF7">
        <w:rPr>
          <w:rFonts w:ascii="Arial" w:hAnsi="Arial" w:cs="Arial"/>
          <w:sz w:val="24"/>
          <w:szCs w:val="24"/>
        </w:rPr>
        <w:t xml:space="preserve"> undertaking by Mr Omar, such formal notice of substitution as attorney of record has not, as </w:t>
      </w:r>
      <w:r w:rsidR="00034CDA" w:rsidRPr="00BB7FF7">
        <w:rPr>
          <w:rFonts w:ascii="Arial" w:hAnsi="Arial" w:cs="Arial"/>
          <w:sz w:val="24"/>
          <w:szCs w:val="24"/>
        </w:rPr>
        <w:t>of</w:t>
      </w:r>
      <w:r w:rsidR="0011792A" w:rsidRPr="00BB7FF7">
        <w:rPr>
          <w:rFonts w:ascii="Arial" w:hAnsi="Arial" w:cs="Arial"/>
          <w:sz w:val="24"/>
          <w:szCs w:val="24"/>
        </w:rPr>
        <w:t xml:space="preserve"> </w:t>
      </w:r>
      <w:r w:rsidR="00034CDA" w:rsidRPr="00BB7FF7">
        <w:rPr>
          <w:rFonts w:ascii="Arial" w:hAnsi="Arial" w:cs="Arial"/>
          <w:sz w:val="24"/>
          <w:szCs w:val="24"/>
        </w:rPr>
        <w:t xml:space="preserve">the </w:t>
      </w:r>
      <w:r w:rsidR="0011792A" w:rsidRPr="00BB7FF7">
        <w:rPr>
          <w:rFonts w:ascii="Arial" w:hAnsi="Arial" w:cs="Arial"/>
          <w:sz w:val="24"/>
          <w:szCs w:val="24"/>
        </w:rPr>
        <w:t xml:space="preserve">date of this judgment, been </w:t>
      </w:r>
      <w:r w:rsidR="0011792A" w:rsidRPr="00BB7FF7">
        <w:rPr>
          <w:rFonts w:ascii="Arial" w:hAnsi="Arial" w:cs="Arial"/>
          <w:sz w:val="24"/>
          <w:szCs w:val="24"/>
        </w:rPr>
        <w:lastRenderedPageBreak/>
        <w:t>uploaded. For all purposes of the application for leave to appeal</w:t>
      </w:r>
      <w:r w:rsidR="00B75AB8" w:rsidRPr="00BB7FF7">
        <w:rPr>
          <w:rFonts w:ascii="Arial" w:hAnsi="Arial" w:cs="Arial"/>
          <w:sz w:val="24"/>
          <w:szCs w:val="24"/>
        </w:rPr>
        <w:t>,</w:t>
      </w:r>
      <w:r w:rsidR="0011792A" w:rsidRPr="00BB7FF7">
        <w:rPr>
          <w:rFonts w:ascii="Arial" w:hAnsi="Arial" w:cs="Arial"/>
          <w:sz w:val="24"/>
          <w:szCs w:val="24"/>
        </w:rPr>
        <w:t xml:space="preserve"> it is accepted that Zehir Omar Attorneys is duly mandated to represent the applicant herein.</w:t>
      </w:r>
    </w:p>
    <w:p w14:paraId="483E30A5" w14:textId="77777777" w:rsidR="00D450A9" w:rsidRDefault="00D450A9" w:rsidP="00D450A9">
      <w:pPr>
        <w:pStyle w:val="ListParagraph"/>
        <w:spacing w:line="480" w:lineRule="auto"/>
        <w:jc w:val="both"/>
        <w:rPr>
          <w:rFonts w:ascii="Arial" w:hAnsi="Arial" w:cs="Arial"/>
          <w:sz w:val="24"/>
          <w:szCs w:val="24"/>
        </w:rPr>
      </w:pPr>
    </w:p>
    <w:p w14:paraId="36B6DA00" w14:textId="4DA60793" w:rsidR="00F91155" w:rsidRPr="00BB7FF7" w:rsidRDefault="00BB7FF7" w:rsidP="00BB7FF7">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[6]</w:t>
      </w:r>
      <w:r>
        <w:rPr>
          <w:rFonts w:ascii="Arial" w:eastAsia="Calibri" w:hAnsi="Arial" w:cs="Arial"/>
          <w:sz w:val="24"/>
          <w:szCs w:val="24"/>
          <w:lang w:val="af-ZA" w:eastAsia="en-US"/>
        </w:rPr>
        <w:tab/>
      </w:r>
      <w:r w:rsidR="0011792A" w:rsidRPr="00BB7FF7">
        <w:rPr>
          <w:rFonts w:ascii="Arial" w:hAnsi="Arial" w:cs="Arial"/>
          <w:sz w:val="24"/>
          <w:szCs w:val="24"/>
        </w:rPr>
        <w:t>On the date of hearing of the application for leave to appeal, Mr Omar confirmed that the applicant is relying on the amended notice of application for leave to appeal and that the application for leave to appeal, delivered on 9 January 2024 should be disregarded.</w:t>
      </w:r>
    </w:p>
    <w:p w14:paraId="2CDCCA36" w14:textId="77777777" w:rsidR="00D450A9" w:rsidRDefault="00D450A9" w:rsidP="00D450A9">
      <w:pPr>
        <w:pStyle w:val="ListParagraph"/>
        <w:spacing w:line="480" w:lineRule="auto"/>
        <w:jc w:val="both"/>
        <w:rPr>
          <w:rFonts w:ascii="Arial" w:hAnsi="Arial" w:cs="Arial"/>
          <w:sz w:val="24"/>
          <w:szCs w:val="24"/>
        </w:rPr>
      </w:pPr>
    </w:p>
    <w:p w14:paraId="76BE5D0E" w14:textId="4BC75E79" w:rsidR="00F91155" w:rsidRPr="00BB7FF7" w:rsidRDefault="00BB7FF7" w:rsidP="00BB7FF7">
      <w:pPr>
        <w:spacing w:line="480" w:lineRule="auto"/>
        <w:ind w:left="720" w:hanging="360"/>
        <w:jc w:val="both"/>
        <w:rPr>
          <w:rFonts w:ascii="Arial" w:hAnsi="Arial" w:cs="Arial"/>
          <w:sz w:val="24"/>
          <w:szCs w:val="24"/>
        </w:rPr>
      </w:pPr>
      <w:r w:rsidRPr="009E594A">
        <w:rPr>
          <w:rFonts w:ascii="Arial" w:eastAsia="Calibri" w:hAnsi="Arial" w:cs="Arial"/>
          <w:sz w:val="24"/>
          <w:szCs w:val="24"/>
          <w:lang w:val="af-ZA" w:eastAsia="en-US"/>
        </w:rPr>
        <w:t>[7]</w:t>
      </w:r>
      <w:r w:rsidRPr="009E594A">
        <w:rPr>
          <w:rFonts w:ascii="Arial" w:eastAsia="Calibri" w:hAnsi="Arial" w:cs="Arial"/>
          <w:sz w:val="24"/>
          <w:szCs w:val="24"/>
          <w:lang w:val="af-ZA" w:eastAsia="en-US"/>
        </w:rPr>
        <w:tab/>
      </w:r>
      <w:r w:rsidR="0011792A" w:rsidRPr="00BB7FF7">
        <w:rPr>
          <w:rFonts w:ascii="Arial" w:hAnsi="Arial" w:cs="Arial"/>
          <w:sz w:val="24"/>
          <w:szCs w:val="24"/>
        </w:rPr>
        <w:t xml:space="preserve">The application for leave to appeal is mainly premised thereon that the provisions of </w:t>
      </w:r>
      <w:r w:rsidR="0023738E" w:rsidRPr="00BB7FF7">
        <w:rPr>
          <w:rFonts w:ascii="Arial" w:hAnsi="Arial" w:cs="Arial"/>
          <w:sz w:val="24"/>
          <w:szCs w:val="24"/>
        </w:rPr>
        <w:t xml:space="preserve">the Promotion of Administrative Justice Act 3 of 2000 </w:t>
      </w:r>
      <w:r w:rsidR="002253AD" w:rsidRPr="00BB7FF7">
        <w:rPr>
          <w:rFonts w:ascii="Arial" w:hAnsi="Arial" w:cs="Arial"/>
          <w:sz w:val="24"/>
          <w:szCs w:val="24"/>
        </w:rPr>
        <w:t>find application</w:t>
      </w:r>
      <w:r w:rsidR="0023738E" w:rsidRPr="00BB7FF7">
        <w:rPr>
          <w:rFonts w:ascii="Arial" w:hAnsi="Arial" w:cs="Arial"/>
          <w:sz w:val="24"/>
          <w:szCs w:val="24"/>
        </w:rPr>
        <w:t xml:space="preserve"> to the striking or suspension of attorneys and that this court erred in not considering and applying same. </w:t>
      </w:r>
      <w:r w:rsidR="009E594A" w:rsidRPr="00BB7FF7">
        <w:rPr>
          <w:rFonts w:ascii="Arial" w:hAnsi="Arial" w:cs="Arial"/>
          <w:sz w:val="24"/>
          <w:szCs w:val="24"/>
        </w:rPr>
        <w:t>It was further submitted that,</w:t>
      </w:r>
      <w:r w:rsidR="00034CDA" w:rsidRPr="00BB7FF7">
        <w:rPr>
          <w:rFonts w:ascii="Arial" w:hAnsi="Arial" w:cs="Arial"/>
          <w:sz w:val="24"/>
          <w:szCs w:val="24"/>
        </w:rPr>
        <w:t xml:space="preserve"> </w:t>
      </w:r>
      <w:r w:rsidR="009E594A" w:rsidRPr="00BB7FF7">
        <w:rPr>
          <w:rFonts w:ascii="Arial" w:hAnsi="Arial" w:cs="Arial"/>
          <w:sz w:val="24"/>
          <w:szCs w:val="24"/>
        </w:rPr>
        <w:t>in terms of section 33(3) of the Constitution of the Republic of South Africa, the applicant has t</w:t>
      </w:r>
      <w:r w:rsidR="002253AD" w:rsidRPr="00BB7FF7">
        <w:rPr>
          <w:rFonts w:ascii="Arial" w:hAnsi="Arial" w:cs="Arial"/>
          <w:sz w:val="24"/>
          <w:szCs w:val="24"/>
        </w:rPr>
        <w:t>he</w:t>
      </w:r>
      <w:r w:rsidR="009E594A" w:rsidRPr="00BB7FF7">
        <w:rPr>
          <w:rFonts w:ascii="Arial" w:hAnsi="Arial" w:cs="Arial"/>
          <w:sz w:val="24"/>
          <w:szCs w:val="24"/>
        </w:rPr>
        <w:t xml:space="preserve"> right to review the respondent’s decision to approach the </w:t>
      </w:r>
      <w:r w:rsidR="002253AD" w:rsidRPr="00BB7FF7">
        <w:rPr>
          <w:rFonts w:ascii="Arial" w:hAnsi="Arial" w:cs="Arial"/>
          <w:sz w:val="24"/>
          <w:szCs w:val="24"/>
        </w:rPr>
        <w:t>C</w:t>
      </w:r>
      <w:r w:rsidR="009E594A" w:rsidRPr="00BB7FF7">
        <w:rPr>
          <w:rFonts w:ascii="Arial" w:hAnsi="Arial" w:cs="Arial"/>
          <w:sz w:val="24"/>
          <w:szCs w:val="24"/>
        </w:rPr>
        <w:t xml:space="preserve">ourt to apply for the suspension of the applicant. </w:t>
      </w:r>
      <w:r w:rsidR="0023738E" w:rsidRPr="00BB7FF7">
        <w:rPr>
          <w:rFonts w:ascii="Arial" w:hAnsi="Arial" w:cs="Arial"/>
          <w:sz w:val="24"/>
          <w:szCs w:val="24"/>
        </w:rPr>
        <w:t xml:space="preserve">It is further the case of the applicant that an inquiry had to be conducted into the financial position of the applicant to determine whether the applicant had at his disposal a liquid fund large </w:t>
      </w:r>
      <w:r w:rsidR="00034CDA" w:rsidRPr="00BB7FF7">
        <w:rPr>
          <w:rFonts w:ascii="Arial" w:hAnsi="Arial" w:cs="Arial"/>
          <w:sz w:val="24"/>
          <w:szCs w:val="24"/>
        </w:rPr>
        <w:t>enough</w:t>
      </w:r>
      <w:r w:rsidR="0023738E" w:rsidRPr="00BB7FF7">
        <w:rPr>
          <w:rFonts w:ascii="Arial" w:hAnsi="Arial" w:cs="Arial"/>
          <w:sz w:val="24"/>
          <w:szCs w:val="24"/>
        </w:rPr>
        <w:t xml:space="preserve"> to enable him to pay, if necessary, the money which he supposed to have accrued to the benefit of the applicant’s trust clients. It is further alleged that the </w:t>
      </w:r>
      <w:r w:rsidR="002253AD" w:rsidRPr="00BB7FF7">
        <w:rPr>
          <w:rFonts w:ascii="Arial" w:hAnsi="Arial" w:cs="Arial"/>
          <w:sz w:val="24"/>
          <w:szCs w:val="24"/>
        </w:rPr>
        <w:t>C</w:t>
      </w:r>
      <w:r w:rsidR="0023738E" w:rsidRPr="00BB7FF7">
        <w:rPr>
          <w:rFonts w:ascii="Arial" w:hAnsi="Arial" w:cs="Arial"/>
          <w:sz w:val="24"/>
          <w:szCs w:val="24"/>
        </w:rPr>
        <w:t xml:space="preserve">ourt erred in not </w:t>
      </w:r>
      <w:proofErr w:type="gramStart"/>
      <w:r w:rsidR="0023738E" w:rsidRPr="00BB7FF7">
        <w:rPr>
          <w:rFonts w:ascii="Arial" w:hAnsi="Arial" w:cs="Arial"/>
          <w:sz w:val="24"/>
          <w:szCs w:val="24"/>
        </w:rPr>
        <w:t>taking into account</w:t>
      </w:r>
      <w:proofErr w:type="gramEnd"/>
      <w:r w:rsidR="0023738E" w:rsidRPr="00BB7FF7">
        <w:rPr>
          <w:rFonts w:ascii="Arial" w:hAnsi="Arial" w:cs="Arial"/>
          <w:sz w:val="24"/>
          <w:szCs w:val="24"/>
        </w:rPr>
        <w:t xml:space="preserve"> that the suspension of the applicant would materially and </w:t>
      </w:r>
      <w:r w:rsidR="00034CDA" w:rsidRPr="00BB7FF7">
        <w:rPr>
          <w:rFonts w:ascii="Arial" w:hAnsi="Arial" w:cs="Arial"/>
          <w:sz w:val="24"/>
          <w:szCs w:val="24"/>
        </w:rPr>
        <w:t>adversely</w:t>
      </w:r>
      <w:r w:rsidR="0023738E" w:rsidRPr="00BB7FF7">
        <w:rPr>
          <w:rFonts w:ascii="Arial" w:hAnsi="Arial" w:cs="Arial"/>
          <w:sz w:val="24"/>
          <w:szCs w:val="24"/>
        </w:rPr>
        <w:t xml:space="preserve"> affect members of the public, and more specifically so</w:t>
      </w:r>
      <w:r w:rsidR="00B75AB8" w:rsidRPr="00BB7FF7">
        <w:rPr>
          <w:rFonts w:ascii="Arial" w:hAnsi="Arial" w:cs="Arial"/>
          <w:sz w:val="24"/>
          <w:szCs w:val="24"/>
        </w:rPr>
        <w:t>,</w:t>
      </w:r>
      <w:r w:rsidR="0023738E" w:rsidRPr="00BB7FF7">
        <w:rPr>
          <w:rFonts w:ascii="Arial" w:hAnsi="Arial" w:cs="Arial"/>
          <w:sz w:val="24"/>
          <w:szCs w:val="24"/>
        </w:rPr>
        <w:t xml:space="preserve"> the more than one hundred clients that the applicant was doing work for on the date of suspension. An attack on the jurisdiction of </w:t>
      </w:r>
      <w:r w:rsidR="0023738E" w:rsidRPr="00BB7FF7">
        <w:rPr>
          <w:rFonts w:ascii="Arial" w:hAnsi="Arial" w:cs="Arial"/>
          <w:sz w:val="24"/>
          <w:szCs w:val="24"/>
        </w:rPr>
        <w:lastRenderedPageBreak/>
        <w:t xml:space="preserve">the </w:t>
      </w:r>
      <w:r w:rsidR="002253AD" w:rsidRPr="00BB7FF7">
        <w:rPr>
          <w:rFonts w:ascii="Arial" w:hAnsi="Arial" w:cs="Arial"/>
          <w:sz w:val="24"/>
          <w:szCs w:val="24"/>
        </w:rPr>
        <w:t>C</w:t>
      </w:r>
      <w:r w:rsidR="0023738E" w:rsidRPr="00BB7FF7">
        <w:rPr>
          <w:rFonts w:ascii="Arial" w:hAnsi="Arial" w:cs="Arial"/>
          <w:sz w:val="24"/>
          <w:szCs w:val="24"/>
        </w:rPr>
        <w:t>ourt, t</w:t>
      </w:r>
      <w:r w:rsidR="00B75AB8" w:rsidRPr="00BB7FF7">
        <w:rPr>
          <w:rFonts w:ascii="Arial" w:hAnsi="Arial" w:cs="Arial"/>
          <w:sz w:val="24"/>
          <w:szCs w:val="24"/>
        </w:rPr>
        <w:t>o</w:t>
      </w:r>
      <w:r w:rsidR="0023738E" w:rsidRPr="00BB7FF7">
        <w:rPr>
          <w:rFonts w:ascii="Arial" w:hAnsi="Arial" w:cs="Arial"/>
          <w:sz w:val="24"/>
          <w:szCs w:val="24"/>
        </w:rPr>
        <w:t xml:space="preserve"> </w:t>
      </w:r>
      <w:r w:rsidR="00B75AB8" w:rsidRPr="00BB7FF7">
        <w:rPr>
          <w:rFonts w:ascii="Arial" w:hAnsi="Arial" w:cs="Arial"/>
          <w:sz w:val="24"/>
          <w:szCs w:val="24"/>
        </w:rPr>
        <w:t>entertain</w:t>
      </w:r>
      <w:r w:rsidR="0023738E" w:rsidRPr="00BB7FF7">
        <w:rPr>
          <w:rFonts w:ascii="Arial" w:hAnsi="Arial" w:cs="Arial"/>
          <w:sz w:val="24"/>
          <w:szCs w:val="24"/>
        </w:rPr>
        <w:t xml:space="preserve"> the respondent’s application was also levied. </w:t>
      </w:r>
      <w:r w:rsidR="00034CDA" w:rsidRPr="00BB7FF7">
        <w:rPr>
          <w:rFonts w:ascii="Arial" w:hAnsi="Arial" w:cs="Arial"/>
          <w:sz w:val="24"/>
          <w:szCs w:val="24"/>
        </w:rPr>
        <w:t>It</w:t>
      </w:r>
      <w:r w:rsidR="00B75AB8" w:rsidRPr="00BB7FF7">
        <w:rPr>
          <w:rFonts w:ascii="Arial" w:hAnsi="Arial" w:cs="Arial"/>
          <w:sz w:val="24"/>
          <w:szCs w:val="24"/>
        </w:rPr>
        <w:t xml:space="preserve"> was further</w:t>
      </w:r>
      <w:r w:rsidR="0023738E" w:rsidRPr="00BB7FF7">
        <w:rPr>
          <w:rFonts w:ascii="Arial" w:hAnsi="Arial" w:cs="Arial"/>
          <w:sz w:val="24"/>
          <w:szCs w:val="24"/>
        </w:rPr>
        <w:t xml:space="preserve"> alleged that the </w:t>
      </w:r>
      <w:r w:rsidR="002253AD" w:rsidRPr="00BB7FF7">
        <w:rPr>
          <w:rFonts w:ascii="Arial" w:hAnsi="Arial" w:cs="Arial"/>
          <w:sz w:val="24"/>
          <w:szCs w:val="24"/>
        </w:rPr>
        <w:t>C</w:t>
      </w:r>
      <w:r w:rsidR="0023738E" w:rsidRPr="00BB7FF7">
        <w:rPr>
          <w:rFonts w:ascii="Arial" w:hAnsi="Arial" w:cs="Arial"/>
          <w:sz w:val="24"/>
          <w:szCs w:val="24"/>
        </w:rPr>
        <w:t xml:space="preserve">ourt misdirected itself by </w:t>
      </w:r>
      <w:r w:rsidR="00034CDA" w:rsidRPr="00BB7FF7">
        <w:rPr>
          <w:rFonts w:ascii="Arial" w:hAnsi="Arial" w:cs="Arial"/>
          <w:sz w:val="24"/>
          <w:szCs w:val="24"/>
        </w:rPr>
        <w:t>over-emphasizing</w:t>
      </w:r>
      <w:r w:rsidR="0023738E" w:rsidRPr="00BB7FF7">
        <w:rPr>
          <w:rFonts w:ascii="Arial" w:hAnsi="Arial" w:cs="Arial"/>
          <w:sz w:val="24"/>
          <w:szCs w:val="24"/>
        </w:rPr>
        <w:t xml:space="preserve"> the seriousness of the applicant’s alleged misconduct.</w:t>
      </w:r>
    </w:p>
    <w:p w14:paraId="11CCDBE9" w14:textId="77777777" w:rsidR="00304ADC" w:rsidRDefault="00304ADC" w:rsidP="00304ADC">
      <w:pPr>
        <w:pStyle w:val="ListParagraph"/>
        <w:spacing w:line="480" w:lineRule="auto"/>
        <w:jc w:val="both"/>
        <w:rPr>
          <w:rFonts w:ascii="Arial" w:hAnsi="Arial" w:cs="Arial"/>
          <w:sz w:val="24"/>
          <w:szCs w:val="24"/>
        </w:rPr>
      </w:pPr>
    </w:p>
    <w:p w14:paraId="12A851AD" w14:textId="5E0C3CFE" w:rsidR="00304ADC" w:rsidRPr="00BB7FF7" w:rsidRDefault="00BB7FF7" w:rsidP="00BB7FF7">
      <w:pPr>
        <w:spacing w:line="480" w:lineRule="auto"/>
        <w:ind w:left="720" w:hanging="360"/>
        <w:jc w:val="both"/>
        <w:rPr>
          <w:rFonts w:ascii="Arial" w:hAnsi="Arial" w:cs="Arial"/>
          <w:sz w:val="24"/>
          <w:szCs w:val="24"/>
        </w:rPr>
      </w:pPr>
      <w:r w:rsidRPr="0023738E">
        <w:rPr>
          <w:rFonts w:ascii="Arial" w:eastAsia="Calibri" w:hAnsi="Arial" w:cs="Arial"/>
          <w:sz w:val="24"/>
          <w:szCs w:val="24"/>
          <w:lang w:val="af-ZA" w:eastAsia="en-US"/>
        </w:rPr>
        <w:t>[8]</w:t>
      </w:r>
      <w:r w:rsidRPr="0023738E">
        <w:rPr>
          <w:rFonts w:ascii="Arial" w:eastAsia="Calibri" w:hAnsi="Arial" w:cs="Arial"/>
          <w:sz w:val="24"/>
          <w:szCs w:val="24"/>
          <w:lang w:val="af-ZA" w:eastAsia="en-US"/>
        </w:rPr>
        <w:tab/>
      </w:r>
      <w:r w:rsidR="00D450A9" w:rsidRPr="00BB7FF7">
        <w:rPr>
          <w:rFonts w:ascii="Arial" w:hAnsi="Arial" w:cs="Arial"/>
          <w:sz w:val="24"/>
          <w:szCs w:val="24"/>
        </w:rPr>
        <w:t xml:space="preserve">Applications for leave to appeal are dealt with in terms of the provisions of Rule 49 of the Uniform Rules of Court read with </w:t>
      </w:r>
      <w:r w:rsidR="00AC5B0D" w:rsidRPr="00BB7FF7">
        <w:rPr>
          <w:rFonts w:ascii="Arial" w:hAnsi="Arial" w:cs="Arial"/>
          <w:sz w:val="24"/>
          <w:szCs w:val="24"/>
        </w:rPr>
        <w:t>sections</w:t>
      </w:r>
      <w:r w:rsidR="00D450A9" w:rsidRPr="00BB7FF7">
        <w:rPr>
          <w:rFonts w:ascii="Arial" w:hAnsi="Arial" w:cs="Arial"/>
          <w:sz w:val="24"/>
          <w:szCs w:val="24"/>
        </w:rPr>
        <w:t xml:space="preserve"> 16 and 17 of the Superiors Courts Act 10 of 2013 (“the Superior Courts Act”).</w:t>
      </w:r>
    </w:p>
    <w:p w14:paraId="7C7671A4" w14:textId="5C378F55" w:rsidR="00590D03" w:rsidRDefault="00590D03" w:rsidP="00692EA4">
      <w:pPr>
        <w:pStyle w:val="ListParagraph"/>
        <w:spacing w:line="480" w:lineRule="auto"/>
        <w:ind w:right="-44"/>
        <w:jc w:val="both"/>
        <w:rPr>
          <w:rFonts w:ascii="Arial" w:hAnsi="Arial" w:cs="Arial"/>
          <w:sz w:val="24"/>
          <w:szCs w:val="24"/>
        </w:rPr>
      </w:pPr>
    </w:p>
    <w:p w14:paraId="541EA3D9" w14:textId="262CC0F7" w:rsidR="00304ADC" w:rsidRPr="00BB7FF7" w:rsidRDefault="00BB7FF7" w:rsidP="00BB7FF7">
      <w:pPr>
        <w:spacing w:line="480" w:lineRule="auto"/>
        <w:ind w:left="720" w:right="-44" w:hanging="360"/>
        <w:jc w:val="both"/>
        <w:rPr>
          <w:rFonts w:ascii="Arial" w:hAnsi="Arial" w:cs="Arial"/>
          <w:sz w:val="24"/>
          <w:szCs w:val="24"/>
        </w:rPr>
      </w:pPr>
      <w:r w:rsidRPr="00590D03">
        <w:rPr>
          <w:rFonts w:ascii="Arial" w:eastAsia="Calibri" w:hAnsi="Arial" w:cs="Arial"/>
          <w:sz w:val="24"/>
          <w:szCs w:val="24"/>
          <w:lang w:val="af-ZA" w:eastAsia="en-US"/>
        </w:rPr>
        <w:t>[9]</w:t>
      </w:r>
      <w:r w:rsidRPr="00590D03">
        <w:rPr>
          <w:rFonts w:ascii="Arial" w:eastAsia="Calibri" w:hAnsi="Arial" w:cs="Arial"/>
          <w:sz w:val="24"/>
          <w:szCs w:val="24"/>
          <w:lang w:val="af-ZA" w:eastAsia="en-US"/>
        </w:rPr>
        <w:tab/>
      </w:r>
      <w:r w:rsidR="00304ADC" w:rsidRPr="00BB7FF7">
        <w:rPr>
          <w:rFonts w:ascii="Arial" w:hAnsi="Arial" w:cs="Arial"/>
          <w:sz w:val="24"/>
          <w:szCs w:val="24"/>
        </w:rPr>
        <w:t>Section 17(1) of the Superior Courts Act provides the test applicable to applications for leave to appeal. Section 17(1) reads as follows:</w:t>
      </w:r>
    </w:p>
    <w:p w14:paraId="3680AE8C" w14:textId="35C7C8A9" w:rsidR="00304ADC" w:rsidRPr="00304ADC" w:rsidRDefault="00304ADC" w:rsidP="00304ADC">
      <w:pPr>
        <w:pStyle w:val="ListParagraph"/>
        <w:spacing w:line="480" w:lineRule="auto"/>
        <w:ind w:right="-44"/>
        <w:jc w:val="both"/>
        <w:rPr>
          <w:rFonts w:ascii="Arial" w:hAnsi="Arial" w:cs="Arial"/>
          <w:i/>
          <w:iCs/>
          <w:sz w:val="24"/>
          <w:szCs w:val="24"/>
        </w:rPr>
      </w:pPr>
      <w:r w:rsidRPr="00304ADC">
        <w:rPr>
          <w:rFonts w:ascii="Arial" w:hAnsi="Arial" w:cs="Arial"/>
          <w:i/>
          <w:iCs/>
          <w:sz w:val="24"/>
          <w:szCs w:val="24"/>
        </w:rPr>
        <w:t>“(1) Leave to appeal may only be given where the judge or judges concerned are of the opinion that-</w:t>
      </w:r>
    </w:p>
    <w:p w14:paraId="01B50E39" w14:textId="77777777" w:rsidR="00304ADC" w:rsidRPr="00304ADC" w:rsidRDefault="00304ADC" w:rsidP="0008682C">
      <w:pPr>
        <w:pStyle w:val="ListParagraph"/>
        <w:spacing w:line="480" w:lineRule="auto"/>
        <w:ind w:left="1440" w:right="-44" w:hanging="720"/>
        <w:jc w:val="both"/>
        <w:rPr>
          <w:rFonts w:ascii="Arial" w:hAnsi="Arial" w:cs="Arial"/>
          <w:i/>
          <w:iCs/>
          <w:sz w:val="24"/>
          <w:szCs w:val="24"/>
        </w:rPr>
      </w:pPr>
      <w:r w:rsidRPr="00304ADC">
        <w:rPr>
          <w:rFonts w:ascii="Arial" w:hAnsi="Arial" w:cs="Arial"/>
          <w:i/>
          <w:iCs/>
          <w:sz w:val="24"/>
          <w:szCs w:val="24"/>
        </w:rPr>
        <w:t>(a)</w:t>
      </w:r>
      <w:r w:rsidRPr="00304ADC">
        <w:rPr>
          <w:rFonts w:ascii="Arial" w:hAnsi="Arial" w:cs="Arial"/>
          <w:i/>
          <w:iCs/>
          <w:sz w:val="24"/>
          <w:szCs w:val="24"/>
        </w:rPr>
        <w:tab/>
        <w:t>  (i)</w:t>
      </w:r>
      <w:r w:rsidRPr="00304ADC">
        <w:rPr>
          <w:rFonts w:ascii="Arial" w:hAnsi="Arial" w:cs="Arial"/>
          <w:i/>
          <w:iCs/>
          <w:sz w:val="24"/>
          <w:szCs w:val="24"/>
        </w:rPr>
        <w:tab/>
        <w:t>the appeal would have a reasonable prospect of success; or</w:t>
      </w:r>
    </w:p>
    <w:p w14:paraId="19EF60A0" w14:textId="77777777" w:rsidR="00304ADC" w:rsidRPr="00304ADC" w:rsidRDefault="00304ADC" w:rsidP="0008682C">
      <w:pPr>
        <w:pStyle w:val="ListParagraph"/>
        <w:spacing w:line="480" w:lineRule="auto"/>
        <w:ind w:left="2160" w:right="-44" w:hanging="720"/>
        <w:jc w:val="both"/>
        <w:rPr>
          <w:rFonts w:ascii="Arial" w:hAnsi="Arial" w:cs="Arial"/>
          <w:i/>
          <w:iCs/>
          <w:sz w:val="24"/>
          <w:szCs w:val="24"/>
        </w:rPr>
      </w:pPr>
      <w:r w:rsidRPr="00304ADC">
        <w:rPr>
          <w:rFonts w:ascii="Arial" w:hAnsi="Arial" w:cs="Arial"/>
          <w:i/>
          <w:iCs/>
          <w:sz w:val="24"/>
          <w:szCs w:val="24"/>
        </w:rPr>
        <w:t>(ii)</w:t>
      </w:r>
      <w:r w:rsidRPr="00304ADC">
        <w:rPr>
          <w:rFonts w:ascii="Arial" w:hAnsi="Arial" w:cs="Arial"/>
          <w:i/>
          <w:iCs/>
          <w:sz w:val="24"/>
          <w:szCs w:val="24"/>
        </w:rPr>
        <w:tab/>
        <w:t>there is some other compelling reason why the appeal should be heard, including conflicting judgments on the matter under consideration;</w:t>
      </w:r>
    </w:p>
    <w:p w14:paraId="0F5A8B49" w14:textId="77777777" w:rsidR="00304ADC" w:rsidRPr="00304ADC" w:rsidRDefault="00304ADC" w:rsidP="0008682C">
      <w:pPr>
        <w:pStyle w:val="ListParagraph"/>
        <w:spacing w:line="480" w:lineRule="auto"/>
        <w:ind w:left="1440" w:right="-44" w:hanging="720"/>
        <w:jc w:val="both"/>
        <w:rPr>
          <w:rFonts w:ascii="Arial" w:hAnsi="Arial" w:cs="Arial"/>
          <w:i/>
          <w:iCs/>
          <w:sz w:val="24"/>
          <w:szCs w:val="24"/>
        </w:rPr>
      </w:pPr>
      <w:r w:rsidRPr="00304ADC">
        <w:rPr>
          <w:rFonts w:ascii="Arial" w:hAnsi="Arial" w:cs="Arial"/>
          <w:i/>
          <w:iCs/>
          <w:sz w:val="24"/>
          <w:szCs w:val="24"/>
        </w:rPr>
        <w:t>(b)</w:t>
      </w:r>
      <w:r w:rsidRPr="00304ADC">
        <w:rPr>
          <w:rFonts w:ascii="Arial" w:hAnsi="Arial" w:cs="Arial"/>
          <w:i/>
          <w:iCs/>
          <w:sz w:val="24"/>
          <w:szCs w:val="24"/>
        </w:rPr>
        <w:tab/>
        <w:t>the decision sought on appeal does not fall within the ambit of section 16 (2) (a); and</w:t>
      </w:r>
    </w:p>
    <w:p w14:paraId="1F9E19A2" w14:textId="77777777" w:rsidR="00304ADC" w:rsidRPr="00304ADC" w:rsidRDefault="00304ADC" w:rsidP="0008682C">
      <w:pPr>
        <w:pStyle w:val="ListParagraph"/>
        <w:spacing w:line="480" w:lineRule="auto"/>
        <w:ind w:left="1440" w:right="-44" w:hanging="720"/>
        <w:jc w:val="both"/>
        <w:rPr>
          <w:rFonts w:ascii="Arial" w:hAnsi="Arial" w:cs="Arial"/>
          <w:i/>
          <w:iCs/>
          <w:sz w:val="24"/>
          <w:szCs w:val="24"/>
        </w:rPr>
      </w:pPr>
      <w:r w:rsidRPr="00304ADC">
        <w:rPr>
          <w:rFonts w:ascii="Arial" w:hAnsi="Arial" w:cs="Arial"/>
          <w:i/>
          <w:iCs/>
          <w:sz w:val="24"/>
          <w:szCs w:val="24"/>
        </w:rPr>
        <w:t>(c)</w:t>
      </w:r>
      <w:r w:rsidRPr="00304ADC">
        <w:rPr>
          <w:rFonts w:ascii="Arial" w:hAnsi="Arial" w:cs="Arial"/>
          <w:i/>
          <w:iCs/>
          <w:sz w:val="24"/>
          <w:szCs w:val="24"/>
        </w:rPr>
        <w:tab/>
        <w:t>where the decision sought to be appealed does not dispose of all the issues in the case, the appeal would lead to a just and prompt resolution of the real issues between the parties.”</w:t>
      </w:r>
    </w:p>
    <w:p w14:paraId="0F4A127A" w14:textId="77777777" w:rsidR="00304ADC" w:rsidRPr="00304ADC" w:rsidRDefault="00304ADC" w:rsidP="0008682C">
      <w:pPr>
        <w:pStyle w:val="ListParagraph"/>
        <w:spacing w:line="480" w:lineRule="auto"/>
        <w:ind w:right="-44"/>
        <w:jc w:val="both"/>
        <w:rPr>
          <w:rFonts w:ascii="Arial" w:hAnsi="Arial" w:cs="Arial"/>
          <w:i/>
          <w:iCs/>
          <w:sz w:val="24"/>
          <w:szCs w:val="24"/>
        </w:rPr>
      </w:pPr>
    </w:p>
    <w:p w14:paraId="27B395C2" w14:textId="4B728EE7" w:rsidR="00304ADC" w:rsidRPr="00BB7FF7" w:rsidRDefault="00BB7FF7" w:rsidP="00BB7FF7">
      <w:pPr>
        <w:spacing w:line="480" w:lineRule="auto"/>
        <w:ind w:left="720" w:right="-44" w:hanging="360"/>
        <w:jc w:val="both"/>
        <w:rPr>
          <w:rFonts w:ascii="Arial" w:hAnsi="Arial" w:cs="Arial"/>
          <w:sz w:val="24"/>
          <w:szCs w:val="24"/>
        </w:rPr>
      </w:pPr>
      <w:r>
        <w:rPr>
          <w:rFonts w:ascii="Arial" w:eastAsia="Calibri" w:hAnsi="Arial" w:cs="Arial"/>
          <w:sz w:val="24"/>
          <w:szCs w:val="24"/>
          <w:lang w:val="af-ZA" w:eastAsia="en-US"/>
        </w:rPr>
        <w:t>[10]</w:t>
      </w:r>
      <w:r>
        <w:rPr>
          <w:rFonts w:ascii="Arial" w:eastAsia="Calibri" w:hAnsi="Arial" w:cs="Arial"/>
          <w:sz w:val="24"/>
          <w:szCs w:val="24"/>
          <w:lang w:val="af-ZA" w:eastAsia="en-US"/>
        </w:rPr>
        <w:tab/>
      </w:r>
      <w:r w:rsidR="00304ADC" w:rsidRPr="00BB7FF7">
        <w:rPr>
          <w:rFonts w:ascii="Arial" w:hAnsi="Arial" w:cs="Arial"/>
          <w:sz w:val="24"/>
          <w:szCs w:val="24"/>
        </w:rPr>
        <w:t>Section 17(1)(a)(</w:t>
      </w:r>
      <w:proofErr w:type="spellStart"/>
      <w:r w:rsidR="00304ADC" w:rsidRPr="00BB7FF7">
        <w:rPr>
          <w:rFonts w:ascii="Arial" w:hAnsi="Arial" w:cs="Arial"/>
          <w:sz w:val="24"/>
          <w:szCs w:val="24"/>
        </w:rPr>
        <w:t>i</w:t>
      </w:r>
      <w:proofErr w:type="spellEnd"/>
      <w:r w:rsidR="00304ADC" w:rsidRPr="00BB7FF7">
        <w:rPr>
          <w:rFonts w:ascii="Arial" w:hAnsi="Arial" w:cs="Arial"/>
          <w:sz w:val="24"/>
          <w:szCs w:val="24"/>
        </w:rPr>
        <w:t xml:space="preserve">) of the Superior Courts Act was dealt with in the </w:t>
      </w:r>
      <w:r w:rsidR="00304ADC" w:rsidRPr="00BB7FF7">
        <w:rPr>
          <w:rFonts w:ascii="Arial" w:hAnsi="Arial" w:cs="Arial"/>
          <w:sz w:val="24"/>
          <w:szCs w:val="24"/>
        </w:rPr>
        <w:lastRenderedPageBreak/>
        <w:t xml:space="preserve">decision of the Land Claim Court in </w:t>
      </w:r>
      <w:r w:rsidR="00304ADC" w:rsidRPr="00BB7FF7">
        <w:rPr>
          <w:rFonts w:ascii="Arial" w:hAnsi="Arial" w:cs="Arial"/>
          <w:i/>
          <w:iCs/>
          <w:sz w:val="24"/>
          <w:szCs w:val="24"/>
        </w:rPr>
        <w:t xml:space="preserve">The Mont </w:t>
      </w:r>
      <w:proofErr w:type="spellStart"/>
      <w:r w:rsidR="00304ADC" w:rsidRPr="00BB7FF7">
        <w:rPr>
          <w:rFonts w:ascii="Arial" w:hAnsi="Arial" w:cs="Arial"/>
          <w:i/>
          <w:iCs/>
          <w:sz w:val="24"/>
          <w:szCs w:val="24"/>
        </w:rPr>
        <w:t>Chevaux</w:t>
      </w:r>
      <w:proofErr w:type="spellEnd"/>
      <w:r w:rsidR="00304ADC" w:rsidRPr="00BB7FF7">
        <w:rPr>
          <w:rFonts w:ascii="Arial" w:hAnsi="Arial" w:cs="Arial"/>
          <w:i/>
          <w:iCs/>
          <w:sz w:val="24"/>
          <w:szCs w:val="24"/>
        </w:rPr>
        <w:t xml:space="preserve"> Trust v Tina Goosen &amp; 18 Others</w:t>
      </w:r>
      <w:r w:rsidR="0092295C" w:rsidRPr="00BB7FF7">
        <w:rPr>
          <w:rFonts w:ascii="Arial" w:hAnsi="Arial" w:cs="Arial"/>
          <w:i/>
          <w:iCs/>
          <w:sz w:val="24"/>
          <w:szCs w:val="24"/>
        </w:rPr>
        <w:t xml:space="preserve"> </w:t>
      </w:r>
      <w:r w:rsidR="0092295C" w:rsidRPr="00BB7FF7">
        <w:rPr>
          <w:rFonts w:ascii="Arial" w:hAnsi="Arial" w:cs="Arial"/>
          <w:sz w:val="24"/>
          <w:szCs w:val="24"/>
        </w:rPr>
        <w:t>2014 (JDR 2325 (LCC); 2014 JDR 2325</w:t>
      </w:r>
      <w:r w:rsidR="0092295C">
        <w:t xml:space="preserve"> </w:t>
      </w:r>
      <w:r w:rsidR="00304ADC" w:rsidRPr="00BB7FF7">
        <w:rPr>
          <w:rFonts w:ascii="Arial" w:hAnsi="Arial" w:cs="Arial"/>
          <w:sz w:val="24"/>
          <w:szCs w:val="24"/>
        </w:rPr>
        <w:t xml:space="preserve"> in which Bertelsmann J held that the use of the word </w:t>
      </w:r>
      <w:r w:rsidR="00304ADC" w:rsidRPr="00BB7FF7">
        <w:rPr>
          <w:rFonts w:ascii="Arial" w:hAnsi="Arial" w:cs="Arial"/>
          <w:i/>
          <w:iCs/>
          <w:sz w:val="24"/>
          <w:szCs w:val="24"/>
        </w:rPr>
        <w:t xml:space="preserve">“would” </w:t>
      </w:r>
      <w:r w:rsidR="00304ADC" w:rsidRPr="00BB7FF7">
        <w:rPr>
          <w:rFonts w:ascii="Arial" w:hAnsi="Arial" w:cs="Arial"/>
          <w:sz w:val="24"/>
          <w:szCs w:val="24"/>
        </w:rPr>
        <w:t xml:space="preserve">(as opposed to could) in the provisions is an indication that the threshold for leave to appeal has been raised. It was further held that the word </w:t>
      </w:r>
      <w:r w:rsidR="00304ADC" w:rsidRPr="00BB7FF7">
        <w:rPr>
          <w:rFonts w:ascii="Arial" w:hAnsi="Arial" w:cs="Arial"/>
          <w:i/>
          <w:iCs/>
          <w:sz w:val="24"/>
          <w:szCs w:val="24"/>
        </w:rPr>
        <w:t>“would”</w:t>
      </w:r>
      <w:r w:rsidR="00304ADC" w:rsidRPr="00BB7FF7">
        <w:rPr>
          <w:rFonts w:ascii="Arial" w:hAnsi="Arial" w:cs="Arial"/>
          <w:sz w:val="24"/>
          <w:szCs w:val="24"/>
        </w:rPr>
        <w:t xml:space="preserve"> indicates a measure of certainty that another court will differ from the judgment appealed against.</w:t>
      </w:r>
      <w:r w:rsidR="00304ADC">
        <w:rPr>
          <w:rStyle w:val="FootnoteReference"/>
          <w:rFonts w:ascii="Arial" w:hAnsi="Arial" w:cs="Arial"/>
          <w:sz w:val="24"/>
          <w:szCs w:val="24"/>
        </w:rPr>
        <w:footnoteReference w:id="1"/>
      </w:r>
    </w:p>
    <w:p w14:paraId="3338A6A2" w14:textId="77777777" w:rsidR="00590D03" w:rsidRPr="00304ADC" w:rsidRDefault="00590D03" w:rsidP="00590D03">
      <w:pPr>
        <w:pStyle w:val="ListParagraph"/>
        <w:spacing w:line="480" w:lineRule="auto"/>
        <w:ind w:right="-44"/>
        <w:jc w:val="both"/>
        <w:rPr>
          <w:rFonts w:ascii="Arial" w:hAnsi="Arial" w:cs="Arial"/>
          <w:sz w:val="24"/>
          <w:szCs w:val="24"/>
        </w:rPr>
      </w:pPr>
    </w:p>
    <w:p w14:paraId="1B5A50C2" w14:textId="04D66F24" w:rsidR="00304ADC" w:rsidRPr="00BB7FF7" w:rsidRDefault="00BB7FF7" w:rsidP="00BB7FF7">
      <w:pPr>
        <w:spacing w:line="480" w:lineRule="auto"/>
        <w:ind w:left="720" w:right="-44" w:hanging="360"/>
        <w:jc w:val="both"/>
        <w:rPr>
          <w:rFonts w:ascii="Arial" w:hAnsi="Arial" w:cs="Arial"/>
          <w:sz w:val="24"/>
          <w:szCs w:val="24"/>
        </w:rPr>
      </w:pPr>
      <w:r w:rsidRPr="0008682C">
        <w:rPr>
          <w:rFonts w:ascii="Arial" w:eastAsia="Calibri" w:hAnsi="Arial" w:cs="Arial"/>
          <w:sz w:val="24"/>
          <w:szCs w:val="24"/>
          <w:lang w:val="af-ZA" w:eastAsia="en-US"/>
        </w:rPr>
        <w:t>[11]</w:t>
      </w:r>
      <w:r w:rsidRPr="0008682C">
        <w:rPr>
          <w:rFonts w:ascii="Arial" w:eastAsia="Calibri" w:hAnsi="Arial" w:cs="Arial"/>
          <w:sz w:val="24"/>
          <w:szCs w:val="24"/>
          <w:lang w:val="af-ZA" w:eastAsia="en-US"/>
        </w:rPr>
        <w:tab/>
      </w:r>
      <w:r w:rsidR="00304ADC" w:rsidRPr="00BB7FF7">
        <w:rPr>
          <w:rFonts w:ascii="Arial" w:hAnsi="Arial" w:cs="Arial"/>
          <w:sz w:val="24"/>
          <w:szCs w:val="24"/>
        </w:rPr>
        <w:t>On the rigidity of the threshold, Plaskett AJA</w:t>
      </w:r>
      <w:r w:rsidR="003D72E7" w:rsidRPr="00BB7FF7">
        <w:rPr>
          <w:rFonts w:ascii="Arial" w:hAnsi="Arial" w:cs="Arial"/>
          <w:sz w:val="24"/>
          <w:szCs w:val="24"/>
        </w:rPr>
        <w:t xml:space="preserve"> (</w:t>
      </w:r>
      <w:r w:rsidR="00304ADC" w:rsidRPr="00BB7FF7">
        <w:rPr>
          <w:rFonts w:ascii="Arial" w:hAnsi="Arial" w:cs="Arial"/>
          <w:sz w:val="24"/>
          <w:szCs w:val="24"/>
        </w:rPr>
        <w:t>as he then was</w:t>
      </w:r>
      <w:r w:rsidR="003D72E7" w:rsidRPr="00BB7FF7">
        <w:rPr>
          <w:rFonts w:ascii="Arial" w:hAnsi="Arial" w:cs="Arial"/>
          <w:sz w:val="24"/>
          <w:szCs w:val="24"/>
        </w:rPr>
        <w:t>) in which Cloete JA and Maya JA (as she then was) concurred,</w:t>
      </w:r>
      <w:r w:rsidR="00304ADC" w:rsidRPr="00BB7FF7">
        <w:rPr>
          <w:rFonts w:ascii="Arial" w:hAnsi="Arial" w:cs="Arial"/>
          <w:sz w:val="24"/>
          <w:szCs w:val="24"/>
        </w:rPr>
        <w:t xml:space="preserve"> wrote the following </w:t>
      </w:r>
      <w:r w:rsidR="003D72E7" w:rsidRPr="00BB7FF7">
        <w:rPr>
          <w:rFonts w:ascii="Arial" w:hAnsi="Arial" w:cs="Arial"/>
          <w:i/>
          <w:iCs/>
          <w:sz w:val="24"/>
          <w:szCs w:val="24"/>
        </w:rPr>
        <w:t>S v Smith 2012</w:t>
      </w:r>
      <w:r w:rsidR="003D72E7" w:rsidRPr="00BB7FF7">
        <w:rPr>
          <w:rFonts w:ascii="Arial" w:hAnsi="Arial" w:cs="Arial"/>
          <w:sz w:val="24"/>
          <w:szCs w:val="24"/>
        </w:rPr>
        <w:t xml:space="preserve"> (1) SACR 567 (SCA) ([2011] ZASCA 15) at paragraph 7:</w:t>
      </w:r>
    </w:p>
    <w:p w14:paraId="72D8F3C5" w14:textId="76533978" w:rsidR="00304ADC" w:rsidRPr="00304ADC" w:rsidRDefault="00304ADC" w:rsidP="0008682C">
      <w:pPr>
        <w:pStyle w:val="ListParagraph"/>
        <w:spacing w:line="480" w:lineRule="auto"/>
        <w:ind w:right="-44"/>
        <w:jc w:val="both"/>
        <w:rPr>
          <w:rFonts w:ascii="Arial" w:hAnsi="Arial" w:cs="Arial"/>
          <w:i/>
          <w:iCs/>
          <w:sz w:val="24"/>
          <w:szCs w:val="24"/>
        </w:rPr>
      </w:pPr>
      <w:r w:rsidRPr="00304ADC">
        <w:rPr>
          <w:rFonts w:ascii="Arial" w:hAnsi="Arial" w:cs="Arial"/>
          <w:i/>
          <w:iCs/>
          <w:sz w:val="24"/>
          <w:szCs w:val="24"/>
        </w:rPr>
        <w:t>'What the test of reasonable prospects of success postulates is a dispassionate decision, based on the facts and the law that the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p>
    <w:p w14:paraId="080CCFD8" w14:textId="77777777" w:rsidR="00304ADC" w:rsidRPr="00304ADC" w:rsidRDefault="00304ADC" w:rsidP="0008682C">
      <w:pPr>
        <w:pStyle w:val="ListParagraph"/>
        <w:spacing w:line="480" w:lineRule="auto"/>
        <w:ind w:right="-44"/>
        <w:jc w:val="both"/>
        <w:rPr>
          <w:rFonts w:ascii="Arial" w:hAnsi="Arial" w:cs="Arial"/>
          <w:i/>
          <w:iCs/>
          <w:sz w:val="24"/>
          <w:szCs w:val="24"/>
        </w:rPr>
      </w:pPr>
    </w:p>
    <w:p w14:paraId="6E8E4DEF" w14:textId="4AD27328" w:rsidR="00304ADC" w:rsidRPr="00BB7FF7" w:rsidRDefault="00BB7FF7" w:rsidP="00BB7FF7">
      <w:pPr>
        <w:spacing w:line="480" w:lineRule="auto"/>
        <w:ind w:left="720" w:right="-44" w:hanging="360"/>
        <w:jc w:val="both"/>
        <w:rPr>
          <w:rFonts w:ascii="Arial" w:hAnsi="Arial" w:cs="Arial"/>
          <w:sz w:val="24"/>
          <w:szCs w:val="24"/>
        </w:rPr>
      </w:pPr>
      <w:r w:rsidRPr="00304ADC">
        <w:rPr>
          <w:rFonts w:ascii="Arial" w:eastAsia="Calibri" w:hAnsi="Arial" w:cs="Arial"/>
          <w:sz w:val="24"/>
          <w:szCs w:val="24"/>
          <w:lang w:val="af-ZA" w:eastAsia="en-US"/>
        </w:rPr>
        <w:t>[12]</w:t>
      </w:r>
      <w:r w:rsidRPr="00304ADC">
        <w:rPr>
          <w:rFonts w:ascii="Arial" w:eastAsia="Calibri" w:hAnsi="Arial" w:cs="Arial"/>
          <w:sz w:val="24"/>
          <w:szCs w:val="24"/>
          <w:lang w:val="af-ZA" w:eastAsia="en-US"/>
        </w:rPr>
        <w:tab/>
      </w:r>
      <w:r w:rsidR="00304ADC" w:rsidRPr="00BB7FF7">
        <w:rPr>
          <w:rFonts w:ascii="Arial" w:hAnsi="Arial" w:cs="Arial"/>
          <w:sz w:val="24"/>
          <w:szCs w:val="24"/>
        </w:rPr>
        <w:t xml:space="preserve">Under section 17(1)(a)(ii) of the Superior Courts Act the </w:t>
      </w:r>
      <w:r w:rsidR="002253AD" w:rsidRPr="00BB7FF7">
        <w:rPr>
          <w:rFonts w:ascii="Arial" w:hAnsi="Arial" w:cs="Arial"/>
          <w:sz w:val="24"/>
          <w:szCs w:val="24"/>
        </w:rPr>
        <w:t>C</w:t>
      </w:r>
      <w:r w:rsidR="00304ADC" w:rsidRPr="00BB7FF7">
        <w:rPr>
          <w:rFonts w:ascii="Arial" w:hAnsi="Arial" w:cs="Arial"/>
          <w:sz w:val="24"/>
          <w:szCs w:val="24"/>
        </w:rPr>
        <w:t>ourt determining an application for leave to appeal ought to enquire whether there is a compelling reason for the appeal to be heard.</w:t>
      </w:r>
      <w:r w:rsidR="00304ADC">
        <w:rPr>
          <w:rStyle w:val="FootnoteReference"/>
          <w:rFonts w:ascii="Arial" w:hAnsi="Arial" w:cs="Arial"/>
          <w:sz w:val="24"/>
          <w:szCs w:val="24"/>
        </w:rPr>
        <w:footnoteReference w:id="2"/>
      </w:r>
      <w:r w:rsidR="00304ADC" w:rsidRPr="00BB7FF7">
        <w:rPr>
          <w:rFonts w:ascii="Arial" w:hAnsi="Arial" w:cs="Arial"/>
          <w:sz w:val="24"/>
          <w:szCs w:val="24"/>
        </w:rPr>
        <w:t xml:space="preserve"> The enquiry is factual and, therefore, each application ought to be decided on its own facts.</w:t>
      </w:r>
    </w:p>
    <w:p w14:paraId="6450BA11" w14:textId="77777777" w:rsidR="00304ADC" w:rsidRPr="00304ADC" w:rsidRDefault="00304ADC" w:rsidP="0008682C">
      <w:pPr>
        <w:pStyle w:val="ListParagraph"/>
        <w:spacing w:line="480" w:lineRule="auto"/>
        <w:ind w:right="-44"/>
        <w:jc w:val="both"/>
        <w:rPr>
          <w:rFonts w:ascii="Arial" w:hAnsi="Arial" w:cs="Arial"/>
          <w:sz w:val="24"/>
          <w:szCs w:val="24"/>
        </w:rPr>
      </w:pPr>
    </w:p>
    <w:p w14:paraId="07FEFBEA" w14:textId="5A956C06" w:rsidR="00304ADC" w:rsidRPr="00BB7FF7" w:rsidRDefault="00BB7FF7" w:rsidP="00BB7FF7">
      <w:pPr>
        <w:spacing w:line="480" w:lineRule="auto"/>
        <w:ind w:left="720" w:right="-44" w:hanging="360"/>
        <w:jc w:val="both"/>
        <w:rPr>
          <w:rFonts w:ascii="Arial" w:hAnsi="Arial" w:cs="Arial"/>
          <w:sz w:val="24"/>
          <w:szCs w:val="24"/>
        </w:rPr>
      </w:pPr>
      <w:r w:rsidRPr="00304ADC">
        <w:rPr>
          <w:rFonts w:ascii="Arial" w:eastAsia="Calibri" w:hAnsi="Arial" w:cs="Arial"/>
          <w:sz w:val="24"/>
          <w:szCs w:val="24"/>
          <w:lang w:val="af-ZA" w:eastAsia="en-US"/>
        </w:rPr>
        <w:t>[13]</w:t>
      </w:r>
      <w:r w:rsidRPr="00304ADC">
        <w:rPr>
          <w:rFonts w:ascii="Arial" w:eastAsia="Calibri" w:hAnsi="Arial" w:cs="Arial"/>
          <w:sz w:val="24"/>
          <w:szCs w:val="24"/>
          <w:lang w:val="af-ZA" w:eastAsia="en-US"/>
        </w:rPr>
        <w:tab/>
      </w:r>
      <w:r w:rsidR="00304ADC" w:rsidRPr="00BB7FF7">
        <w:rPr>
          <w:rFonts w:ascii="Arial" w:hAnsi="Arial" w:cs="Arial"/>
          <w:sz w:val="24"/>
          <w:szCs w:val="24"/>
        </w:rPr>
        <w:t>Other considerations beyond the abovementioned statutory provisions</w:t>
      </w:r>
      <w:r w:rsidR="00590D03" w:rsidRPr="00BB7FF7">
        <w:rPr>
          <w:rFonts w:ascii="Arial" w:hAnsi="Arial" w:cs="Arial"/>
          <w:sz w:val="24"/>
          <w:szCs w:val="24"/>
        </w:rPr>
        <w:t xml:space="preserve"> would</w:t>
      </w:r>
      <w:r w:rsidR="00304ADC" w:rsidRPr="00BB7FF7">
        <w:rPr>
          <w:rFonts w:ascii="Arial" w:hAnsi="Arial" w:cs="Arial"/>
          <w:sz w:val="24"/>
          <w:szCs w:val="24"/>
        </w:rPr>
        <w:t xml:space="preserve"> include where the material case is of substantial importance to the appellant and where the decision sought to be appealed against involves an important question of law</w:t>
      </w:r>
      <w:r w:rsidR="00304ADC">
        <w:rPr>
          <w:rStyle w:val="FootnoteReference"/>
          <w:rFonts w:ascii="Arial" w:hAnsi="Arial" w:cs="Arial"/>
          <w:sz w:val="24"/>
          <w:szCs w:val="24"/>
        </w:rPr>
        <w:footnoteReference w:id="3"/>
      </w:r>
      <w:r w:rsidR="00304ADC" w:rsidRPr="00BB7FF7">
        <w:rPr>
          <w:rFonts w:ascii="Arial" w:hAnsi="Arial" w:cs="Arial"/>
          <w:sz w:val="24"/>
          <w:szCs w:val="24"/>
        </w:rPr>
        <w:t xml:space="preserve"> or where required by the interests of justice.</w:t>
      </w:r>
      <w:r w:rsidR="00304ADC">
        <w:rPr>
          <w:rStyle w:val="FootnoteReference"/>
          <w:rFonts w:ascii="Arial" w:hAnsi="Arial" w:cs="Arial"/>
          <w:sz w:val="24"/>
          <w:szCs w:val="24"/>
        </w:rPr>
        <w:footnoteReference w:id="4"/>
      </w:r>
    </w:p>
    <w:p w14:paraId="5C12FC66" w14:textId="77777777" w:rsidR="00304ADC" w:rsidRPr="00304ADC" w:rsidRDefault="00304ADC" w:rsidP="0008682C">
      <w:pPr>
        <w:pStyle w:val="ListParagraph"/>
        <w:spacing w:line="480" w:lineRule="auto"/>
        <w:ind w:right="-44"/>
        <w:jc w:val="both"/>
        <w:rPr>
          <w:rFonts w:ascii="Arial" w:hAnsi="Arial" w:cs="Arial"/>
          <w:sz w:val="24"/>
          <w:szCs w:val="24"/>
        </w:rPr>
      </w:pPr>
    </w:p>
    <w:p w14:paraId="76B77E38" w14:textId="71D57FA7" w:rsidR="00304ADC" w:rsidRPr="00BB7FF7" w:rsidRDefault="00BB7FF7" w:rsidP="00BB7FF7">
      <w:pPr>
        <w:spacing w:line="480" w:lineRule="auto"/>
        <w:ind w:left="720" w:right="-44" w:hanging="360"/>
        <w:jc w:val="both"/>
        <w:rPr>
          <w:rFonts w:ascii="Arial" w:hAnsi="Arial" w:cs="Arial"/>
          <w:sz w:val="24"/>
          <w:szCs w:val="24"/>
        </w:rPr>
      </w:pPr>
      <w:r w:rsidRPr="00304ADC">
        <w:rPr>
          <w:rFonts w:ascii="Arial" w:eastAsia="Calibri" w:hAnsi="Arial" w:cs="Arial"/>
          <w:sz w:val="24"/>
          <w:szCs w:val="24"/>
          <w:lang w:val="af-ZA" w:eastAsia="en-US"/>
        </w:rPr>
        <w:t>[14]</w:t>
      </w:r>
      <w:r w:rsidRPr="00304ADC">
        <w:rPr>
          <w:rFonts w:ascii="Arial" w:eastAsia="Calibri" w:hAnsi="Arial" w:cs="Arial"/>
          <w:sz w:val="24"/>
          <w:szCs w:val="24"/>
          <w:lang w:val="af-ZA" w:eastAsia="en-US"/>
        </w:rPr>
        <w:tab/>
      </w:r>
      <w:r w:rsidR="0008682C" w:rsidRPr="00BB7FF7">
        <w:rPr>
          <w:rFonts w:ascii="Arial" w:hAnsi="Arial" w:cs="Arial"/>
          <w:sz w:val="24"/>
          <w:szCs w:val="24"/>
        </w:rPr>
        <w:t>If regard is had to my judgment, read with the application for leave to appeal</w:t>
      </w:r>
      <w:r w:rsidR="00590D03" w:rsidRPr="00BB7FF7">
        <w:rPr>
          <w:rFonts w:ascii="Arial" w:hAnsi="Arial" w:cs="Arial"/>
          <w:sz w:val="24"/>
          <w:szCs w:val="24"/>
        </w:rPr>
        <w:t>,</w:t>
      </w:r>
      <w:r w:rsidR="0008682C" w:rsidRPr="00BB7FF7">
        <w:rPr>
          <w:rFonts w:ascii="Arial" w:hAnsi="Arial" w:cs="Arial"/>
          <w:sz w:val="24"/>
          <w:szCs w:val="24"/>
        </w:rPr>
        <w:t xml:space="preserve"> then it is my conclusion that</w:t>
      </w:r>
      <w:r w:rsidR="009E594A" w:rsidRPr="00BB7FF7">
        <w:rPr>
          <w:rFonts w:ascii="Arial" w:hAnsi="Arial" w:cs="Arial"/>
          <w:sz w:val="24"/>
          <w:szCs w:val="24"/>
        </w:rPr>
        <w:t>, although subjectively to the applicant the case might be of substantial importance,</w:t>
      </w:r>
      <w:r w:rsidR="0008682C" w:rsidRPr="00BB7FF7">
        <w:rPr>
          <w:rFonts w:ascii="Arial" w:hAnsi="Arial" w:cs="Arial"/>
          <w:sz w:val="24"/>
          <w:szCs w:val="24"/>
        </w:rPr>
        <w:t xml:space="preserve"> t</w:t>
      </w:r>
      <w:r w:rsidR="00304ADC" w:rsidRPr="00BB7FF7">
        <w:rPr>
          <w:rFonts w:ascii="Arial" w:hAnsi="Arial" w:cs="Arial"/>
          <w:sz w:val="24"/>
          <w:szCs w:val="24"/>
        </w:rPr>
        <w:t>he application lacks any semblance of prospect of success, let alone reasonable prospect of success</w:t>
      </w:r>
      <w:r w:rsidR="0008682C" w:rsidRPr="00BB7FF7">
        <w:rPr>
          <w:rFonts w:ascii="Arial" w:hAnsi="Arial" w:cs="Arial"/>
          <w:sz w:val="24"/>
          <w:szCs w:val="24"/>
        </w:rPr>
        <w:t>.</w:t>
      </w:r>
    </w:p>
    <w:p w14:paraId="78722526" w14:textId="77777777" w:rsidR="00304ADC" w:rsidRPr="00304ADC" w:rsidRDefault="00304ADC" w:rsidP="0008682C">
      <w:pPr>
        <w:pStyle w:val="ListParagraph"/>
        <w:spacing w:line="480" w:lineRule="auto"/>
        <w:ind w:right="-44"/>
        <w:jc w:val="both"/>
        <w:rPr>
          <w:rFonts w:ascii="Arial" w:hAnsi="Arial" w:cs="Arial"/>
          <w:sz w:val="24"/>
          <w:szCs w:val="24"/>
        </w:rPr>
      </w:pPr>
    </w:p>
    <w:p w14:paraId="4E0817EB" w14:textId="64435F56" w:rsidR="00304ADC" w:rsidRPr="00BB7FF7" w:rsidRDefault="00BB7FF7" w:rsidP="00BB7FF7">
      <w:pPr>
        <w:spacing w:line="480" w:lineRule="auto"/>
        <w:ind w:left="720" w:right="-44" w:hanging="360"/>
        <w:jc w:val="both"/>
        <w:rPr>
          <w:rFonts w:ascii="Arial" w:hAnsi="Arial" w:cs="Arial"/>
          <w:sz w:val="24"/>
          <w:szCs w:val="24"/>
        </w:rPr>
      </w:pPr>
      <w:r>
        <w:rPr>
          <w:rFonts w:ascii="Arial" w:eastAsia="Calibri" w:hAnsi="Arial" w:cs="Arial"/>
          <w:sz w:val="24"/>
          <w:szCs w:val="24"/>
          <w:lang w:val="af-ZA" w:eastAsia="en-US"/>
        </w:rPr>
        <w:t>[15]</w:t>
      </w:r>
      <w:r>
        <w:rPr>
          <w:rFonts w:ascii="Arial" w:eastAsia="Calibri" w:hAnsi="Arial" w:cs="Arial"/>
          <w:sz w:val="24"/>
          <w:szCs w:val="24"/>
          <w:lang w:val="af-ZA" w:eastAsia="en-US"/>
        </w:rPr>
        <w:tab/>
      </w:r>
      <w:r w:rsidR="00304ADC" w:rsidRPr="00BB7FF7">
        <w:rPr>
          <w:rFonts w:ascii="Arial" w:hAnsi="Arial" w:cs="Arial"/>
          <w:sz w:val="24"/>
          <w:szCs w:val="24"/>
        </w:rPr>
        <w:t xml:space="preserve">No other compelling reason is advanced </w:t>
      </w:r>
      <w:r w:rsidR="00AC5B0D" w:rsidRPr="00BB7FF7">
        <w:rPr>
          <w:rFonts w:ascii="Arial" w:hAnsi="Arial" w:cs="Arial"/>
          <w:sz w:val="24"/>
          <w:szCs w:val="24"/>
        </w:rPr>
        <w:t xml:space="preserve">as to </w:t>
      </w:r>
      <w:r w:rsidR="00304ADC" w:rsidRPr="00BB7FF7">
        <w:rPr>
          <w:rFonts w:ascii="Arial" w:hAnsi="Arial" w:cs="Arial"/>
          <w:sz w:val="24"/>
          <w:szCs w:val="24"/>
        </w:rPr>
        <w:t xml:space="preserve">why the appeal should be heard and the interest of justice </w:t>
      </w:r>
      <w:r w:rsidR="00AC5B0D" w:rsidRPr="00BB7FF7">
        <w:rPr>
          <w:rFonts w:ascii="Arial" w:hAnsi="Arial" w:cs="Arial"/>
          <w:sz w:val="24"/>
          <w:szCs w:val="24"/>
        </w:rPr>
        <w:t>is</w:t>
      </w:r>
      <w:r w:rsidR="00304ADC" w:rsidRPr="00BB7FF7">
        <w:rPr>
          <w:rFonts w:ascii="Arial" w:hAnsi="Arial" w:cs="Arial"/>
          <w:sz w:val="24"/>
          <w:szCs w:val="24"/>
        </w:rPr>
        <w:t xml:space="preserve"> not implicated</w:t>
      </w:r>
      <w:r w:rsidR="009E594A" w:rsidRPr="00BB7FF7">
        <w:rPr>
          <w:rFonts w:ascii="Arial" w:hAnsi="Arial" w:cs="Arial"/>
          <w:sz w:val="24"/>
          <w:szCs w:val="24"/>
        </w:rPr>
        <w:t>. Neither is a valid important question of law raised</w:t>
      </w:r>
      <w:r w:rsidR="00304ADC" w:rsidRPr="00BB7FF7">
        <w:rPr>
          <w:rFonts w:ascii="Arial" w:hAnsi="Arial" w:cs="Arial"/>
          <w:sz w:val="24"/>
          <w:szCs w:val="24"/>
        </w:rPr>
        <w:t>.</w:t>
      </w:r>
    </w:p>
    <w:p w14:paraId="4B0DF17B" w14:textId="77777777" w:rsidR="0008682C" w:rsidRPr="00304ADC" w:rsidRDefault="0008682C" w:rsidP="0008682C">
      <w:pPr>
        <w:pStyle w:val="ListParagraph"/>
        <w:spacing w:line="480" w:lineRule="auto"/>
        <w:ind w:right="-44"/>
        <w:jc w:val="both"/>
        <w:rPr>
          <w:rFonts w:ascii="Arial" w:hAnsi="Arial" w:cs="Arial"/>
          <w:sz w:val="24"/>
          <w:szCs w:val="24"/>
        </w:rPr>
      </w:pPr>
    </w:p>
    <w:p w14:paraId="1F89E1CF" w14:textId="06E3FB5A" w:rsidR="00692EA4" w:rsidRPr="00BB7FF7" w:rsidRDefault="00BB7FF7" w:rsidP="00BB7FF7">
      <w:pPr>
        <w:spacing w:line="480" w:lineRule="auto"/>
        <w:ind w:left="720" w:right="-44" w:hanging="360"/>
        <w:jc w:val="both"/>
        <w:rPr>
          <w:rFonts w:ascii="Arial" w:hAnsi="Arial" w:cs="Arial"/>
          <w:sz w:val="24"/>
          <w:szCs w:val="24"/>
        </w:rPr>
      </w:pPr>
      <w:r w:rsidRPr="00270EDB">
        <w:rPr>
          <w:rFonts w:ascii="Arial" w:eastAsia="Calibri" w:hAnsi="Arial" w:cs="Arial"/>
          <w:sz w:val="24"/>
          <w:szCs w:val="24"/>
          <w:lang w:val="af-ZA" w:eastAsia="en-US"/>
        </w:rPr>
        <w:t>[16]</w:t>
      </w:r>
      <w:r w:rsidRPr="00270EDB">
        <w:rPr>
          <w:rFonts w:ascii="Arial" w:eastAsia="Calibri" w:hAnsi="Arial" w:cs="Arial"/>
          <w:sz w:val="24"/>
          <w:szCs w:val="24"/>
          <w:lang w:val="af-ZA" w:eastAsia="en-US"/>
        </w:rPr>
        <w:tab/>
      </w:r>
      <w:r w:rsidR="00304ADC" w:rsidRPr="00BB7FF7">
        <w:rPr>
          <w:rFonts w:ascii="Arial" w:hAnsi="Arial" w:cs="Arial"/>
          <w:sz w:val="24"/>
          <w:szCs w:val="24"/>
        </w:rPr>
        <w:t xml:space="preserve">As the provisions of section 17(1)(a) of the Superior Courts Act clearly demand, the application must be dismissed, as leave to appeal may only be given when the Court </w:t>
      </w:r>
      <w:r w:rsidR="00AC5B0D" w:rsidRPr="00BB7FF7">
        <w:rPr>
          <w:rFonts w:ascii="Arial" w:hAnsi="Arial" w:cs="Arial"/>
          <w:sz w:val="24"/>
          <w:szCs w:val="24"/>
        </w:rPr>
        <w:t>believes</w:t>
      </w:r>
      <w:r w:rsidR="00304ADC" w:rsidRPr="00BB7FF7">
        <w:rPr>
          <w:rFonts w:ascii="Arial" w:hAnsi="Arial" w:cs="Arial"/>
          <w:sz w:val="24"/>
          <w:szCs w:val="24"/>
        </w:rPr>
        <w:t xml:space="preserve"> that the intended appeal “would have” a reasonable prospect of success. </w:t>
      </w:r>
      <w:r w:rsidR="00590D03" w:rsidRPr="00BB7FF7">
        <w:rPr>
          <w:rFonts w:ascii="Arial" w:hAnsi="Arial" w:cs="Arial"/>
          <w:sz w:val="24"/>
          <w:szCs w:val="24"/>
        </w:rPr>
        <w:t xml:space="preserve">The applicant </w:t>
      </w:r>
      <w:r w:rsidR="00AC5B0D" w:rsidRPr="00BB7FF7">
        <w:rPr>
          <w:rFonts w:ascii="Arial" w:hAnsi="Arial" w:cs="Arial"/>
          <w:sz w:val="24"/>
          <w:szCs w:val="24"/>
        </w:rPr>
        <w:t>has</w:t>
      </w:r>
      <w:r w:rsidR="00590D03" w:rsidRPr="00BB7FF7">
        <w:rPr>
          <w:rFonts w:ascii="Arial" w:hAnsi="Arial" w:cs="Arial"/>
          <w:sz w:val="24"/>
          <w:szCs w:val="24"/>
        </w:rPr>
        <w:t xml:space="preserve"> failed to make out a case that </w:t>
      </w:r>
      <w:r w:rsidR="00AC5B0D" w:rsidRPr="00BB7FF7">
        <w:rPr>
          <w:rFonts w:ascii="Arial" w:hAnsi="Arial" w:cs="Arial"/>
          <w:sz w:val="24"/>
          <w:szCs w:val="24"/>
        </w:rPr>
        <w:t>another</w:t>
      </w:r>
      <w:r w:rsidR="00304ADC" w:rsidRPr="00BB7FF7">
        <w:rPr>
          <w:rFonts w:ascii="Arial" w:hAnsi="Arial" w:cs="Arial"/>
          <w:sz w:val="24"/>
          <w:szCs w:val="24"/>
        </w:rPr>
        <w:t xml:space="preserve"> </w:t>
      </w:r>
      <w:r w:rsidR="002253AD" w:rsidRPr="00BB7FF7">
        <w:rPr>
          <w:rFonts w:ascii="Arial" w:hAnsi="Arial" w:cs="Arial"/>
          <w:sz w:val="24"/>
          <w:szCs w:val="24"/>
        </w:rPr>
        <w:t>C</w:t>
      </w:r>
      <w:r w:rsidR="00304ADC" w:rsidRPr="00BB7FF7">
        <w:rPr>
          <w:rFonts w:ascii="Arial" w:hAnsi="Arial" w:cs="Arial"/>
          <w:sz w:val="24"/>
          <w:szCs w:val="24"/>
        </w:rPr>
        <w:t xml:space="preserve">ourt would reach a different conclusion or outcome to the judgment </w:t>
      </w:r>
      <w:r w:rsidR="00590D03" w:rsidRPr="00BB7FF7">
        <w:rPr>
          <w:rFonts w:ascii="Arial" w:hAnsi="Arial" w:cs="Arial"/>
          <w:i/>
          <w:iCs/>
          <w:sz w:val="24"/>
          <w:szCs w:val="24"/>
        </w:rPr>
        <w:t>in casu</w:t>
      </w:r>
      <w:r w:rsidR="00304ADC" w:rsidRPr="00BB7FF7">
        <w:rPr>
          <w:rFonts w:ascii="Arial" w:hAnsi="Arial" w:cs="Arial"/>
          <w:sz w:val="24"/>
          <w:szCs w:val="24"/>
        </w:rPr>
        <w:t>.</w:t>
      </w:r>
    </w:p>
    <w:p w14:paraId="755D3643" w14:textId="77777777" w:rsidR="00270EDB" w:rsidRDefault="00270EDB" w:rsidP="00270EDB">
      <w:pPr>
        <w:pStyle w:val="ListParagraph"/>
        <w:spacing w:line="480" w:lineRule="auto"/>
        <w:ind w:right="-44"/>
        <w:jc w:val="both"/>
        <w:rPr>
          <w:rFonts w:ascii="Arial" w:hAnsi="Arial" w:cs="Arial"/>
          <w:sz w:val="24"/>
          <w:szCs w:val="24"/>
        </w:rPr>
      </w:pPr>
    </w:p>
    <w:p w14:paraId="6CF66872" w14:textId="0F2BDDC5" w:rsidR="00692EA4" w:rsidRPr="00BB7FF7" w:rsidRDefault="00BB7FF7" w:rsidP="00BB7FF7">
      <w:pPr>
        <w:spacing w:line="480" w:lineRule="auto"/>
        <w:ind w:left="720" w:right="-44" w:hanging="360"/>
        <w:jc w:val="both"/>
        <w:rPr>
          <w:rFonts w:ascii="Arial" w:hAnsi="Arial" w:cs="Arial"/>
          <w:sz w:val="24"/>
          <w:szCs w:val="24"/>
        </w:rPr>
      </w:pPr>
      <w:r w:rsidRPr="00270EDB">
        <w:rPr>
          <w:rFonts w:ascii="Arial" w:eastAsia="Calibri" w:hAnsi="Arial" w:cs="Arial"/>
          <w:sz w:val="24"/>
          <w:szCs w:val="24"/>
          <w:lang w:val="af-ZA" w:eastAsia="en-US"/>
        </w:rPr>
        <w:t>[17]</w:t>
      </w:r>
      <w:r w:rsidRPr="00270EDB">
        <w:rPr>
          <w:rFonts w:ascii="Arial" w:eastAsia="Calibri" w:hAnsi="Arial" w:cs="Arial"/>
          <w:sz w:val="24"/>
          <w:szCs w:val="24"/>
          <w:lang w:val="af-ZA" w:eastAsia="en-US"/>
        </w:rPr>
        <w:tab/>
      </w:r>
      <w:r w:rsidR="00270EDB" w:rsidRPr="00BB7FF7">
        <w:rPr>
          <w:rFonts w:ascii="Arial" w:hAnsi="Arial" w:cs="Arial"/>
          <w:sz w:val="24"/>
          <w:szCs w:val="24"/>
        </w:rPr>
        <w:t xml:space="preserve">On the approach as to costs, it was held in </w:t>
      </w:r>
      <w:r w:rsidR="00270EDB" w:rsidRPr="00BB7FF7">
        <w:rPr>
          <w:rFonts w:ascii="Arial" w:hAnsi="Arial" w:cs="Arial"/>
          <w:i/>
          <w:iCs/>
          <w:sz w:val="24"/>
          <w:szCs w:val="24"/>
        </w:rPr>
        <w:t xml:space="preserve">Ferreira v Levin NO &amp; Others; </w:t>
      </w:r>
      <w:proofErr w:type="spellStart"/>
      <w:r w:rsidR="00270EDB" w:rsidRPr="00BB7FF7">
        <w:rPr>
          <w:rFonts w:ascii="Arial" w:hAnsi="Arial" w:cs="Arial"/>
          <w:i/>
          <w:iCs/>
          <w:sz w:val="24"/>
          <w:szCs w:val="24"/>
        </w:rPr>
        <w:t>Vryenhoek</w:t>
      </w:r>
      <w:proofErr w:type="spellEnd"/>
      <w:r w:rsidR="00270EDB" w:rsidRPr="00BB7FF7">
        <w:rPr>
          <w:rFonts w:ascii="Arial" w:hAnsi="Arial" w:cs="Arial"/>
          <w:i/>
          <w:iCs/>
          <w:sz w:val="24"/>
          <w:szCs w:val="24"/>
        </w:rPr>
        <w:t xml:space="preserve"> &amp; Others v Powell NO and Others</w:t>
      </w:r>
      <w:r w:rsidR="00270EDB" w:rsidRPr="00BB7FF7">
        <w:rPr>
          <w:rFonts w:ascii="Arial" w:hAnsi="Arial" w:cs="Arial"/>
          <w:sz w:val="24"/>
          <w:szCs w:val="24"/>
        </w:rPr>
        <w:t xml:space="preserve"> 1996 (2) SA 621 (CC) at paragraph 3:</w:t>
      </w:r>
    </w:p>
    <w:p w14:paraId="7906DD5A" w14:textId="74DA906F" w:rsidR="00D6470F" w:rsidRPr="00270EDB" w:rsidRDefault="00270EDB" w:rsidP="00D6470F">
      <w:pPr>
        <w:pStyle w:val="ListParagraph"/>
        <w:spacing w:line="480" w:lineRule="auto"/>
        <w:jc w:val="both"/>
        <w:rPr>
          <w:rFonts w:ascii="Arial" w:hAnsi="Arial" w:cs="Arial"/>
          <w:i/>
          <w:iCs/>
          <w:sz w:val="24"/>
          <w:szCs w:val="24"/>
        </w:rPr>
      </w:pPr>
      <w:r>
        <w:rPr>
          <w:rFonts w:ascii="Arial" w:hAnsi="Arial" w:cs="Arial"/>
          <w:i/>
          <w:iCs/>
          <w:sz w:val="24"/>
          <w:szCs w:val="24"/>
        </w:rPr>
        <w:t>“</w:t>
      </w:r>
      <w:r w:rsidRPr="00270EDB">
        <w:rPr>
          <w:rFonts w:ascii="Arial" w:hAnsi="Arial" w:cs="Arial"/>
          <w:i/>
          <w:iCs/>
          <w:sz w:val="24"/>
          <w:szCs w:val="24"/>
        </w:rPr>
        <w:t>The Supreme Court has, over the years, developed a flexible approach to costs which proceeds from two basic principles, the first being that the award of costs, unless expressly otherwise enacted, is in the discretion of the presiding judicial officer, and the second that the successful party should, as a general rule, have his or her costs. Even this second principle is subject to the first. The second principle is subject to a large number of exceptions where the successful party is deprived of his or her costs. Without attempting either comprehensiveness or complete analytical accuracy, depriving successful parties of their costs can depend on circumstances such as, for example, the conduct of parties, the conduct of their legal representatives, whether a party achieves technical success only,  the nature of the litigants and the nature of the</w:t>
      </w:r>
      <w:r w:rsidR="00AC5B0D">
        <w:rPr>
          <w:rFonts w:ascii="Arial" w:hAnsi="Arial" w:cs="Arial"/>
          <w:i/>
          <w:iCs/>
          <w:sz w:val="24"/>
          <w:szCs w:val="24"/>
        </w:rPr>
        <w:t xml:space="preserve"> </w:t>
      </w:r>
      <w:r w:rsidRPr="00270EDB">
        <w:rPr>
          <w:rFonts w:ascii="Arial" w:hAnsi="Arial" w:cs="Arial"/>
          <w:i/>
          <w:iCs/>
          <w:sz w:val="24"/>
          <w:szCs w:val="24"/>
        </w:rPr>
        <w:t xml:space="preserve">proceedings. I mention these examples to indicate that the principles which have been developed in relation to the award of costs are by their </w:t>
      </w:r>
      <w:r w:rsidRPr="00270EDB">
        <w:rPr>
          <w:rFonts w:ascii="Arial" w:hAnsi="Arial" w:cs="Arial"/>
          <w:i/>
          <w:iCs/>
          <w:sz w:val="24"/>
          <w:szCs w:val="24"/>
        </w:rPr>
        <w:lastRenderedPageBreak/>
        <w:t>nature sufficiently flexible and adaptable to meet new needs which may arise in regard to constitutional litigation. They offer a useful point of departure. If the need arises the rules may have to be substantially adapted; this should however be done on a case by case basis. It is   unnecessary, if not impossible, at this stage to attempt to formulate comprehensive rules regarding costs in constitutional litigation.</w:t>
      </w:r>
      <w:r>
        <w:rPr>
          <w:rFonts w:ascii="Arial" w:hAnsi="Arial" w:cs="Arial"/>
          <w:i/>
          <w:iCs/>
          <w:sz w:val="24"/>
          <w:szCs w:val="24"/>
        </w:rPr>
        <w:t>”</w:t>
      </w:r>
    </w:p>
    <w:p w14:paraId="56756F7C" w14:textId="77777777" w:rsidR="00D6470F" w:rsidRPr="00D6470F" w:rsidRDefault="00D6470F" w:rsidP="00D6470F">
      <w:pPr>
        <w:pStyle w:val="ListParagraph"/>
        <w:rPr>
          <w:rFonts w:ascii="Arial" w:hAnsi="Arial" w:cs="Arial"/>
          <w:sz w:val="24"/>
          <w:szCs w:val="24"/>
        </w:rPr>
      </w:pPr>
    </w:p>
    <w:p w14:paraId="2B038233" w14:textId="70C0BEBD" w:rsidR="003D72E7" w:rsidRPr="00BB7FF7" w:rsidRDefault="00BB7FF7" w:rsidP="00BB7FF7">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[18]</w:t>
      </w:r>
      <w:r>
        <w:rPr>
          <w:rFonts w:ascii="Arial" w:eastAsia="Calibri" w:hAnsi="Arial" w:cs="Arial"/>
          <w:sz w:val="24"/>
          <w:szCs w:val="24"/>
          <w:lang w:val="af-ZA" w:eastAsia="en-US"/>
        </w:rPr>
        <w:tab/>
      </w:r>
      <w:r w:rsidR="003D72E7" w:rsidRPr="00BB7FF7">
        <w:rPr>
          <w:rFonts w:ascii="Arial" w:hAnsi="Arial" w:cs="Arial"/>
          <w:sz w:val="24"/>
          <w:szCs w:val="24"/>
        </w:rPr>
        <w:t xml:space="preserve">I can see no basis upon which another </w:t>
      </w:r>
      <w:r w:rsidR="002253AD" w:rsidRPr="00BB7FF7">
        <w:rPr>
          <w:rFonts w:ascii="Arial" w:hAnsi="Arial" w:cs="Arial"/>
          <w:sz w:val="24"/>
          <w:szCs w:val="24"/>
        </w:rPr>
        <w:t>C</w:t>
      </w:r>
      <w:r w:rsidR="003D72E7" w:rsidRPr="00BB7FF7">
        <w:rPr>
          <w:rFonts w:ascii="Arial" w:hAnsi="Arial" w:cs="Arial"/>
          <w:sz w:val="24"/>
          <w:szCs w:val="24"/>
        </w:rPr>
        <w:t xml:space="preserve">ourt would differ from the costs order made in my judgment. </w:t>
      </w:r>
    </w:p>
    <w:p w14:paraId="3F11C467" w14:textId="77777777" w:rsidR="003D72E7" w:rsidRDefault="003D72E7" w:rsidP="003D72E7">
      <w:pPr>
        <w:pStyle w:val="ListParagraph"/>
        <w:spacing w:line="480" w:lineRule="auto"/>
        <w:jc w:val="both"/>
        <w:rPr>
          <w:rFonts w:ascii="Arial" w:hAnsi="Arial" w:cs="Arial"/>
          <w:sz w:val="24"/>
          <w:szCs w:val="24"/>
        </w:rPr>
      </w:pPr>
    </w:p>
    <w:p w14:paraId="44968111" w14:textId="0993CE18" w:rsidR="00B75AB8" w:rsidRPr="00BB7FF7" w:rsidRDefault="00BB7FF7" w:rsidP="00BB7FF7">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[19]</w:t>
      </w:r>
      <w:r>
        <w:rPr>
          <w:rFonts w:ascii="Arial" w:eastAsia="Calibri" w:hAnsi="Arial" w:cs="Arial"/>
          <w:sz w:val="24"/>
          <w:szCs w:val="24"/>
          <w:lang w:val="af-ZA" w:eastAsia="en-US"/>
        </w:rPr>
        <w:tab/>
      </w:r>
      <w:r w:rsidR="00B75AB8" w:rsidRPr="00BB7FF7">
        <w:rPr>
          <w:rFonts w:ascii="Arial" w:hAnsi="Arial" w:cs="Arial"/>
          <w:sz w:val="24"/>
          <w:szCs w:val="24"/>
        </w:rPr>
        <w:t xml:space="preserve">There is no basis upon which the respondent should be out of pocket </w:t>
      </w:r>
      <w:r w:rsidR="00064689" w:rsidRPr="00BB7FF7">
        <w:rPr>
          <w:rFonts w:ascii="Arial" w:hAnsi="Arial" w:cs="Arial"/>
          <w:sz w:val="24"/>
          <w:szCs w:val="24"/>
        </w:rPr>
        <w:t xml:space="preserve">in opposing this application for leave to appeal </w:t>
      </w:r>
      <w:r w:rsidR="00B75AB8" w:rsidRPr="00BB7FF7">
        <w:rPr>
          <w:rFonts w:ascii="Arial" w:hAnsi="Arial" w:cs="Arial"/>
          <w:sz w:val="24"/>
          <w:szCs w:val="24"/>
        </w:rPr>
        <w:t>and as such the respondent is entitled to the costs of this application on the scale as between attorney and client.</w:t>
      </w:r>
    </w:p>
    <w:p w14:paraId="57F21A8F" w14:textId="370D1D93" w:rsidR="00270EDB" w:rsidRDefault="00270EDB" w:rsidP="00270EDB">
      <w:pPr>
        <w:pStyle w:val="ListParagraph"/>
        <w:spacing w:line="480" w:lineRule="auto"/>
        <w:jc w:val="both"/>
        <w:rPr>
          <w:rFonts w:ascii="Arial" w:hAnsi="Arial" w:cs="Arial"/>
          <w:sz w:val="24"/>
          <w:szCs w:val="24"/>
        </w:rPr>
      </w:pPr>
    </w:p>
    <w:p w14:paraId="2E99C62D" w14:textId="02E307FA" w:rsidR="001A3806" w:rsidRPr="00BB7FF7" w:rsidRDefault="00BB7FF7" w:rsidP="00BB7FF7">
      <w:pPr>
        <w:spacing w:line="480" w:lineRule="auto"/>
        <w:ind w:left="720" w:hanging="360"/>
        <w:jc w:val="both"/>
        <w:rPr>
          <w:rFonts w:ascii="Arial" w:hAnsi="Arial" w:cs="Arial"/>
          <w:sz w:val="24"/>
          <w:szCs w:val="24"/>
        </w:rPr>
      </w:pPr>
      <w:r w:rsidRPr="00C03430">
        <w:rPr>
          <w:rFonts w:ascii="Arial" w:eastAsia="Calibri" w:hAnsi="Arial" w:cs="Arial"/>
          <w:sz w:val="24"/>
          <w:szCs w:val="24"/>
          <w:lang w:val="af-ZA" w:eastAsia="en-US"/>
        </w:rPr>
        <w:t>[20]</w:t>
      </w:r>
      <w:r w:rsidRPr="00C03430">
        <w:rPr>
          <w:rFonts w:ascii="Arial" w:eastAsia="Calibri" w:hAnsi="Arial" w:cs="Arial"/>
          <w:sz w:val="24"/>
          <w:szCs w:val="24"/>
          <w:lang w:val="af-ZA" w:eastAsia="en-US"/>
        </w:rPr>
        <w:tab/>
      </w:r>
      <w:r w:rsidR="00C03430" w:rsidRPr="00BB7FF7">
        <w:rPr>
          <w:rFonts w:ascii="Arial" w:hAnsi="Arial" w:cs="Arial"/>
          <w:sz w:val="24"/>
          <w:szCs w:val="24"/>
        </w:rPr>
        <w:t>C</w:t>
      </w:r>
      <w:r w:rsidR="001A3806" w:rsidRPr="00BB7FF7">
        <w:rPr>
          <w:rFonts w:ascii="Arial" w:hAnsi="Arial" w:cs="Arial"/>
          <w:sz w:val="24"/>
          <w:szCs w:val="24"/>
        </w:rPr>
        <w:t>onsequently, I make the following order:</w:t>
      </w:r>
    </w:p>
    <w:p w14:paraId="2B520B84" w14:textId="1C2E165D" w:rsidR="001A3806" w:rsidRDefault="00C03430" w:rsidP="00C03430">
      <w:pPr>
        <w:pStyle w:val="ListParagraph"/>
        <w:spacing w:line="480" w:lineRule="auto"/>
        <w:ind w:left="216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B75AB8">
        <w:rPr>
          <w:rFonts w:ascii="Arial" w:hAnsi="Arial" w:cs="Arial"/>
          <w:sz w:val="24"/>
          <w:szCs w:val="24"/>
        </w:rPr>
        <w:t>The</w:t>
      </w:r>
      <w:r w:rsidR="00270EDB">
        <w:rPr>
          <w:rFonts w:ascii="Arial" w:hAnsi="Arial" w:cs="Arial"/>
          <w:sz w:val="24"/>
          <w:szCs w:val="24"/>
        </w:rPr>
        <w:t xml:space="preserve"> application for leave to appeal </w:t>
      </w:r>
      <w:r w:rsidR="00B75AB8">
        <w:rPr>
          <w:rFonts w:ascii="Arial" w:hAnsi="Arial" w:cs="Arial"/>
          <w:sz w:val="24"/>
          <w:szCs w:val="24"/>
        </w:rPr>
        <w:t>is</w:t>
      </w:r>
      <w:r w:rsidR="00270EDB">
        <w:rPr>
          <w:rFonts w:ascii="Arial" w:hAnsi="Arial" w:cs="Arial"/>
          <w:sz w:val="24"/>
          <w:szCs w:val="24"/>
        </w:rPr>
        <w:t xml:space="preserve"> dismissed with costs</w:t>
      </w:r>
      <w:r w:rsidR="00B75AB8">
        <w:rPr>
          <w:rFonts w:ascii="Arial" w:hAnsi="Arial" w:cs="Arial"/>
          <w:sz w:val="24"/>
          <w:szCs w:val="24"/>
        </w:rPr>
        <w:t xml:space="preserve"> on the</w:t>
      </w:r>
      <w:r w:rsidR="00B75AB8" w:rsidRPr="00DE0F95">
        <w:rPr>
          <w:rFonts w:ascii="Arial" w:hAnsi="Arial" w:cs="Arial"/>
          <w:sz w:val="24"/>
          <w:szCs w:val="24"/>
        </w:rPr>
        <w:t xml:space="preserve"> </w:t>
      </w:r>
      <w:r w:rsidR="00064689">
        <w:rPr>
          <w:rFonts w:ascii="Arial" w:hAnsi="Arial" w:cs="Arial"/>
          <w:sz w:val="24"/>
          <w:szCs w:val="24"/>
        </w:rPr>
        <w:t>scale as between attorney and client.</w:t>
      </w:r>
    </w:p>
    <w:p w14:paraId="23FEBC26" w14:textId="77777777" w:rsidR="00DE4E1D" w:rsidRDefault="00DE4E1D" w:rsidP="00DE4E1D">
      <w:r>
        <w:t xml:space="preserve">  </w:t>
      </w:r>
    </w:p>
    <w:p w14:paraId="7E84CCA0" w14:textId="77777777" w:rsidR="004D2F9B" w:rsidRDefault="004D2F9B" w:rsidP="004D2F9B">
      <w:pPr>
        <w:spacing w:line="480" w:lineRule="auto"/>
        <w:jc w:val="both"/>
        <w:rPr>
          <w:rFonts w:ascii="Arial" w:hAnsi="Arial" w:cs="Arial"/>
          <w:sz w:val="24"/>
          <w:szCs w:val="24"/>
          <w:lang w:val="en-ZA"/>
        </w:rPr>
      </w:pPr>
    </w:p>
    <w:p w14:paraId="0A02E093" w14:textId="77777777" w:rsidR="0065409C" w:rsidRPr="0058598C" w:rsidRDefault="0065409C" w:rsidP="0065409C">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r w:rsidRPr="0058598C">
        <w:rPr>
          <w:rFonts w:ascii="Arial" w:hAnsi="Arial" w:cs="Arial"/>
          <w:sz w:val="24"/>
          <w:szCs w:val="24"/>
        </w:rPr>
        <w:t>_____________________</w:t>
      </w:r>
    </w:p>
    <w:p w14:paraId="2B6E2BE3" w14:textId="5E436D71" w:rsidR="0065409C" w:rsidRDefault="001A3806" w:rsidP="001A3806">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r>
        <w:rPr>
          <w:rFonts w:ascii="Arial" w:hAnsi="Arial" w:cs="Arial"/>
          <w:sz w:val="24"/>
          <w:szCs w:val="24"/>
        </w:rPr>
        <w:t>Minnaar</w:t>
      </w:r>
      <w:r w:rsidR="00F14E87">
        <w:rPr>
          <w:rFonts w:ascii="Arial" w:hAnsi="Arial" w:cs="Arial"/>
          <w:sz w:val="24"/>
          <w:szCs w:val="24"/>
        </w:rPr>
        <w:t xml:space="preserve"> AJ</w:t>
      </w:r>
    </w:p>
    <w:p w14:paraId="46748173" w14:textId="63801983" w:rsidR="001A3806" w:rsidRDefault="001A3806" w:rsidP="001A3806">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r>
        <w:rPr>
          <w:rFonts w:ascii="Arial" w:hAnsi="Arial" w:cs="Arial"/>
          <w:sz w:val="24"/>
          <w:szCs w:val="24"/>
        </w:rPr>
        <w:t>Acting Judge of the High Court</w:t>
      </w:r>
    </w:p>
    <w:p w14:paraId="5471A806" w14:textId="473B9235" w:rsidR="0065409C" w:rsidRDefault="001A3806" w:rsidP="009E594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lang w:val="en-ZA"/>
        </w:rPr>
      </w:pPr>
      <w:r>
        <w:rPr>
          <w:rFonts w:ascii="Arial" w:hAnsi="Arial" w:cs="Arial"/>
          <w:sz w:val="24"/>
          <w:szCs w:val="24"/>
        </w:rPr>
        <w:t>Gauteng Division, Pretoria</w:t>
      </w:r>
      <w:r w:rsidR="0065409C" w:rsidRPr="0058598C">
        <w:rPr>
          <w:rFonts w:ascii="Arial" w:hAnsi="Arial" w:cs="Arial"/>
          <w:sz w:val="24"/>
          <w:szCs w:val="24"/>
          <w:lang w:val="en-ZA"/>
        </w:rPr>
        <w:tab/>
      </w:r>
    </w:p>
    <w:p w14:paraId="430998DF" w14:textId="77777777" w:rsidR="00034CDA" w:rsidRDefault="00034CDA" w:rsidP="009E594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lang w:val="en-ZA"/>
        </w:rPr>
      </w:pPr>
    </w:p>
    <w:p w14:paraId="7A9D944D" w14:textId="77777777" w:rsidR="00034CDA" w:rsidRDefault="00034CDA" w:rsidP="009E594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lang w:val="en-ZA"/>
        </w:rPr>
      </w:pPr>
    </w:p>
    <w:p w14:paraId="1EEFCC1A" w14:textId="77777777" w:rsidR="00034CDA" w:rsidRPr="0058598C" w:rsidRDefault="00034CDA" w:rsidP="009E594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lang w:val="en-ZA"/>
        </w:rPr>
      </w:pPr>
    </w:p>
    <w:p w14:paraId="2747C03A" w14:textId="215F0591" w:rsidR="0065409C" w:rsidRPr="0058598C" w:rsidRDefault="0065409C" w:rsidP="00034CDA">
      <w:pPr>
        <w:spacing w:line="360" w:lineRule="auto"/>
        <w:jc w:val="both"/>
        <w:rPr>
          <w:rFonts w:ascii="Arial" w:hAnsi="Arial" w:cs="Arial"/>
          <w:sz w:val="24"/>
          <w:szCs w:val="24"/>
          <w:lang w:val="en-ZA"/>
        </w:rPr>
      </w:pPr>
      <w:r w:rsidRPr="0058598C">
        <w:rPr>
          <w:rFonts w:ascii="Arial" w:hAnsi="Arial" w:cs="Arial"/>
          <w:sz w:val="24"/>
          <w:szCs w:val="24"/>
          <w:lang w:val="en-ZA"/>
        </w:rPr>
        <w:t>Heard on</w:t>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t>:</w:t>
      </w:r>
      <w:r w:rsidR="00ED3227">
        <w:rPr>
          <w:rFonts w:ascii="Arial" w:hAnsi="Arial" w:cs="Arial"/>
          <w:sz w:val="24"/>
          <w:szCs w:val="24"/>
          <w:lang w:val="en-ZA"/>
        </w:rPr>
        <w:t xml:space="preserve"> </w:t>
      </w:r>
      <w:r w:rsidR="00B75AB8">
        <w:rPr>
          <w:rFonts w:ascii="Arial" w:hAnsi="Arial" w:cs="Arial"/>
          <w:sz w:val="24"/>
          <w:szCs w:val="24"/>
          <w:lang w:val="en-ZA"/>
        </w:rPr>
        <w:t>8 March 2024 (virtually)</w:t>
      </w:r>
      <w:r w:rsidRPr="0058598C">
        <w:rPr>
          <w:rFonts w:ascii="Arial" w:hAnsi="Arial" w:cs="Arial"/>
          <w:sz w:val="24"/>
          <w:szCs w:val="24"/>
          <w:lang w:val="en-ZA"/>
        </w:rPr>
        <w:tab/>
      </w:r>
    </w:p>
    <w:p w14:paraId="06A646F1" w14:textId="104081C0" w:rsidR="00CF66AD" w:rsidRDefault="0065409C" w:rsidP="00034CDA">
      <w:pPr>
        <w:spacing w:line="360" w:lineRule="auto"/>
        <w:jc w:val="both"/>
        <w:rPr>
          <w:rFonts w:ascii="Arial" w:hAnsi="Arial" w:cs="Arial"/>
          <w:sz w:val="24"/>
          <w:szCs w:val="24"/>
          <w:lang w:val="en-ZA"/>
        </w:rPr>
      </w:pPr>
      <w:r w:rsidRPr="0058598C">
        <w:rPr>
          <w:rFonts w:ascii="Arial" w:hAnsi="Arial" w:cs="Arial"/>
          <w:sz w:val="24"/>
          <w:szCs w:val="24"/>
          <w:lang w:val="en-ZA"/>
        </w:rPr>
        <w:t>For the Applicant</w:t>
      </w:r>
      <w:r w:rsidR="00B75AB8">
        <w:rPr>
          <w:rFonts w:ascii="Arial" w:hAnsi="Arial" w:cs="Arial"/>
          <w:sz w:val="24"/>
          <w:szCs w:val="24"/>
          <w:lang w:val="en-ZA"/>
        </w:rPr>
        <w:tab/>
      </w:r>
      <w:r w:rsidR="00B75AB8">
        <w:rPr>
          <w:rFonts w:ascii="Arial" w:hAnsi="Arial" w:cs="Arial"/>
          <w:sz w:val="24"/>
          <w:szCs w:val="24"/>
          <w:lang w:val="en-ZA"/>
        </w:rPr>
        <w:tab/>
      </w:r>
      <w:r w:rsidRPr="0058598C">
        <w:rPr>
          <w:rFonts w:ascii="Arial" w:hAnsi="Arial" w:cs="Arial"/>
          <w:sz w:val="24"/>
          <w:szCs w:val="24"/>
          <w:lang w:val="en-ZA"/>
        </w:rPr>
        <w:tab/>
        <w:t>:</w:t>
      </w:r>
      <w:r w:rsidR="00EC2AF2">
        <w:rPr>
          <w:rFonts w:ascii="Arial" w:hAnsi="Arial" w:cs="Arial"/>
          <w:sz w:val="24"/>
          <w:szCs w:val="24"/>
          <w:lang w:val="en-ZA"/>
        </w:rPr>
        <w:t xml:space="preserve">  </w:t>
      </w:r>
      <w:r w:rsidR="00B75AB8">
        <w:rPr>
          <w:rFonts w:ascii="Arial" w:hAnsi="Arial" w:cs="Arial"/>
          <w:sz w:val="24"/>
          <w:szCs w:val="24"/>
          <w:lang w:val="en-ZA"/>
        </w:rPr>
        <w:t>Mr Z Omar</w:t>
      </w:r>
      <w:r w:rsidR="006A3DB6">
        <w:rPr>
          <w:rFonts w:ascii="Arial" w:hAnsi="Arial" w:cs="Arial"/>
          <w:sz w:val="24"/>
          <w:szCs w:val="24"/>
          <w:lang w:val="en-ZA"/>
        </w:rPr>
        <w:tab/>
      </w:r>
    </w:p>
    <w:p w14:paraId="33FC452C" w14:textId="0A21B099" w:rsidR="0065409C" w:rsidRPr="0058598C" w:rsidRDefault="0065409C" w:rsidP="00034CDA">
      <w:pPr>
        <w:spacing w:line="360" w:lineRule="auto"/>
        <w:jc w:val="both"/>
        <w:rPr>
          <w:rFonts w:ascii="Arial" w:hAnsi="Arial" w:cs="Arial"/>
          <w:sz w:val="24"/>
          <w:szCs w:val="24"/>
          <w:lang w:val="en-ZA"/>
        </w:rPr>
      </w:pPr>
      <w:r w:rsidRPr="0058598C">
        <w:rPr>
          <w:rFonts w:ascii="Arial" w:hAnsi="Arial" w:cs="Arial"/>
          <w:sz w:val="24"/>
          <w:szCs w:val="24"/>
          <w:lang w:val="en-ZA"/>
        </w:rPr>
        <w:t>Instructed by</w:t>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t>:</w:t>
      </w:r>
      <w:r w:rsidR="00ED3227">
        <w:rPr>
          <w:rFonts w:ascii="Arial" w:hAnsi="Arial" w:cs="Arial"/>
          <w:sz w:val="24"/>
          <w:szCs w:val="24"/>
          <w:lang w:val="en-ZA"/>
        </w:rPr>
        <w:t xml:space="preserve"> </w:t>
      </w:r>
      <w:proofErr w:type="spellStart"/>
      <w:r w:rsidR="00B75AB8">
        <w:rPr>
          <w:rFonts w:ascii="Arial" w:hAnsi="Arial" w:cs="Arial"/>
          <w:sz w:val="24"/>
          <w:szCs w:val="24"/>
          <w:lang w:val="en-ZA"/>
        </w:rPr>
        <w:t>Zehir</w:t>
      </w:r>
      <w:proofErr w:type="spellEnd"/>
      <w:r w:rsidR="00B75AB8">
        <w:rPr>
          <w:rFonts w:ascii="Arial" w:hAnsi="Arial" w:cs="Arial"/>
          <w:sz w:val="24"/>
          <w:szCs w:val="24"/>
          <w:lang w:val="en-ZA"/>
        </w:rPr>
        <w:t xml:space="preserve"> Omar</w:t>
      </w:r>
      <w:r w:rsidR="001A3806">
        <w:rPr>
          <w:rFonts w:ascii="Arial" w:hAnsi="Arial" w:cs="Arial"/>
          <w:sz w:val="24"/>
          <w:szCs w:val="24"/>
          <w:lang w:val="en-ZA"/>
        </w:rPr>
        <w:t xml:space="preserve"> Attorneys</w:t>
      </w:r>
      <w:r w:rsidR="00F807D5">
        <w:rPr>
          <w:rFonts w:ascii="Arial" w:hAnsi="Arial" w:cs="Arial"/>
          <w:sz w:val="24"/>
          <w:szCs w:val="24"/>
          <w:lang w:val="en-ZA"/>
        </w:rPr>
        <w:t xml:space="preserve"> </w:t>
      </w:r>
    </w:p>
    <w:p w14:paraId="6FF6769C" w14:textId="5716E460" w:rsidR="0065409C" w:rsidRPr="0058598C" w:rsidRDefault="0065409C" w:rsidP="00034CDA">
      <w:pPr>
        <w:spacing w:line="360" w:lineRule="auto"/>
        <w:jc w:val="both"/>
        <w:rPr>
          <w:rFonts w:ascii="Arial" w:hAnsi="Arial" w:cs="Arial"/>
          <w:sz w:val="24"/>
          <w:szCs w:val="24"/>
          <w:lang w:val="en-ZA"/>
        </w:rPr>
      </w:pPr>
      <w:r w:rsidRPr="0058598C">
        <w:rPr>
          <w:rFonts w:ascii="Arial" w:hAnsi="Arial" w:cs="Arial"/>
          <w:sz w:val="24"/>
          <w:szCs w:val="24"/>
          <w:lang w:val="en-ZA"/>
        </w:rPr>
        <w:t xml:space="preserve">For the </w:t>
      </w:r>
      <w:r w:rsidR="003F67E5">
        <w:rPr>
          <w:rFonts w:ascii="Arial" w:hAnsi="Arial" w:cs="Arial"/>
          <w:sz w:val="24"/>
          <w:szCs w:val="24"/>
          <w:lang w:val="en-ZA"/>
        </w:rPr>
        <w:t>Defendant</w:t>
      </w:r>
      <w:r w:rsidR="003F67E5">
        <w:rPr>
          <w:rFonts w:ascii="Arial" w:hAnsi="Arial" w:cs="Arial"/>
          <w:sz w:val="24"/>
          <w:szCs w:val="24"/>
          <w:lang w:val="en-ZA"/>
        </w:rPr>
        <w:tab/>
      </w:r>
      <w:r w:rsidRPr="0058598C">
        <w:rPr>
          <w:rFonts w:ascii="Arial" w:hAnsi="Arial" w:cs="Arial"/>
          <w:sz w:val="24"/>
          <w:szCs w:val="24"/>
          <w:lang w:val="en-ZA"/>
        </w:rPr>
        <w:t xml:space="preserve"> </w:t>
      </w:r>
      <w:r w:rsidR="006A3DB6">
        <w:rPr>
          <w:rFonts w:ascii="Arial" w:hAnsi="Arial" w:cs="Arial"/>
          <w:sz w:val="24"/>
          <w:szCs w:val="24"/>
          <w:lang w:val="en-ZA"/>
        </w:rPr>
        <w:tab/>
      </w:r>
      <w:r w:rsidRPr="0058598C">
        <w:rPr>
          <w:rFonts w:ascii="Arial" w:hAnsi="Arial" w:cs="Arial"/>
          <w:sz w:val="24"/>
          <w:szCs w:val="24"/>
          <w:lang w:val="en-ZA"/>
        </w:rPr>
        <w:tab/>
        <w:t xml:space="preserve">: </w:t>
      </w:r>
      <w:r w:rsidR="00A10EB6">
        <w:rPr>
          <w:rFonts w:ascii="Arial" w:hAnsi="Arial" w:cs="Arial"/>
          <w:sz w:val="24"/>
          <w:szCs w:val="24"/>
          <w:lang w:val="en-ZA"/>
        </w:rPr>
        <w:t>Ad</w:t>
      </w:r>
      <w:r w:rsidR="00CA61CD">
        <w:rPr>
          <w:rFonts w:ascii="Arial" w:hAnsi="Arial" w:cs="Arial"/>
          <w:sz w:val="24"/>
          <w:szCs w:val="24"/>
          <w:lang w:val="en-ZA"/>
        </w:rPr>
        <w:t xml:space="preserve">v. </w:t>
      </w:r>
      <w:r w:rsidR="00B75AB8">
        <w:rPr>
          <w:rFonts w:ascii="Arial" w:hAnsi="Arial" w:cs="Arial"/>
          <w:sz w:val="24"/>
          <w:szCs w:val="24"/>
          <w:lang w:val="en-ZA"/>
        </w:rPr>
        <w:t>Z Muhamed</w:t>
      </w:r>
    </w:p>
    <w:p w14:paraId="5D311F67" w14:textId="14324DE4" w:rsidR="006A3DB6" w:rsidRDefault="0065409C" w:rsidP="00034CDA">
      <w:pPr>
        <w:spacing w:line="360" w:lineRule="auto"/>
        <w:jc w:val="both"/>
        <w:rPr>
          <w:rFonts w:ascii="Arial" w:hAnsi="Arial" w:cs="Arial"/>
          <w:sz w:val="24"/>
          <w:szCs w:val="24"/>
          <w:lang w:val="en-ZA"/>
        </w:rPr>
      </w:pPr>
      <w:r w:rsidRPr="0058598C">
        <w:rPr>
          <w:rFonts w:ascii="Arial" w:hAnsi="Arial" w:cs="Arial"/>
          <w:sz w:val="24"/>
          <w:szCs w:val="24"/>
          <w:lang w:val="en-ZA"/>
        </w:rPr>
        <w:t>Instructed by</w:t>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t>:</w:t>
      </w:r>
      <w:r w:rsidR="005C083E">
        <w:rPr>
          <w:rFonts w:ascii="Arial" w:hAnsi="Arial" w:cs="Arial"/>
          <w:sz w:val="24"/>
          <w:szCs w:val="24"/>
          <w:lang w:val="en-ZA"/>
        </w:rPr>
        <w:t xml:space="preserve"> </w:t>
      </w:r>
      <w:proofErr w:type="spellStart"/>
      <w:r w:rsidR="00B75AB8">
        <w:rPr>
          <w:rFonts w:ascii="Arial" w:hAnsi="Arial" w:cs="Arial"/>
          <w:sz w:val="24"/>
          <w:szCs w:val="24"/>
          <w:lang w:val="en-ZA"/>
        </w:rPr>
        <w:t>Mothle</w:t>
      </w:r>
      <w:proofErr w:type="spellEnd"/>
      <w:r w:rsidR="00B75AB8">
        <w:rPr>
          <w:rFonts w:ascii="Arial" w:hAnsi="Arial" w:cs="Arial"/>
          <w:sz w:val="24"/>
          <w:szCs w:val="24"/>
          <w:lang w:val="en-ZA"/>
        </w:rPr>
        <w:t xml:space="preserve"> Jooma </w:t>
      </w:r>
      <w:proofErr w:type="spellStart"/>
      <w:r w:rsidR="00B75AB8">
        <w:rPr>
          <w:rFonts w:ascii="Arial" w:hAnsi="Arial" w:cs="Arial"/>
          <w:sz w:val="24"/>
          <w:szCs w:val="24"/>
          <w:lang w:val="en-ZA"/>
        </w:rPr>
        <w:t>Sabdia</w:t>
      </w:r>
      <w:proofErr w:type="spellEnd"/>
      <w:r w:rsidR="00B75AB8">
        <w:rPr>
          <w:rFonts w:ascii="Arial" w:hAnsi="Arial" w:cs="Arial"/>
          <w:sz w:val="24"/>
          <w:szCs w:val="24"/>
          <w:lang w:val="en-ZA"/>
        </w:rPr>
        <w:t xml:space="preserve"> Inc.</w:t>
      </w:r>
    </w:p>
    <w:p w14:paraId="408E9F70" w14:textId="2D816417" w:rsidR="00D20A7A" w:rsidRDefault="0065409C" w:rsidP="00034CD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4"/>
          <w:szCs w:val="24"/>
        </w:rPr>
      </w:pPr>
      <w:r w:rsidRPr="0058598C">
        <w:rPr>
          <w:rFonts w:ascii="Arial" w:hAnsi="Arial" w:cs="Arial"/>
          <w:sz w:val="24"/>
          <w:szCs w:val="24"/>
          <w:lang w:val="en-ZA"/>
        </w:rPr>
        <w:t>Date of Judgment</w:t>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t xml:space="preserve">: </w:t>
      </w:r>
      <w:r w:rsidR="009E594A">
        <w:rPr>
          <w:rFonts w:ascii="Arial" w:hAnsi="Arial" w:cs="Arial"/>
          <w:sz w:val="24"/>
          <w:szCs w:val="24"/>
          <w:lang w:val="en-ZA"/>
        </w:rPr>
        <w:t>15 March 2024</w:t>
      </w:r>
      <w:r w:rsidRPr="0058598C">
        <w:rPr>
          <w:rFonts w:ascii="Arial" w:hAnsi="Arial" w:cs="Arial"/>
          <w:sz w:val="24"/>
          <w:szCs w:val="24"/>
          <w:lang w:val="en-ZA"/>
        </w:rPr>
        <w:t xml:space="preserve"> </w:t>
      </w:r>
      <w:r w:rsidRPr="0058598C">
        <w:rPr>
          <w:rFonts w:ascii="Arial" w:hAnsi="Arial" w:cs="Arial"/>
          <w:i/>
          <w:sz w:val="24"/>
          <w:szCs w:val="24"/>
          <w:lang w:val="en-ZA"/>
        </w:rPr>
        <w:t xml:space="preserve">     </w:t>
      </w:r>
      <w:r w:rsidRPr="0058598C">
        <w:rPr>
          <w:rFonts w:ascii="Arial" w:hAnsi="Arial" w:cs="Arial"/>
          <w:i/>
          <w:sz w:val="24"/>
          <w:szCs w:val="24"/>
          <w:lang w:val="en-ZA"/>
        </w:rPr>
        <w:tab/>
      </w:r>
    </w:p>
    <w:sectPr w:rsidR="00D20A7A" w:rsidSect="00447D9A">
      <w:headerReference w:type="even" r:id="rId10"/>
      <w:headerReference w:type="default" r:id="rId1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28A86" w14:textId="77777777" w:rsidR="00447D9A" w:rsidRDefault="00447D9A">
      <w:r>
        <w:separator/>
      </w:r>
    </w:p>
  </w:endnote>
  <w:endnote w:type="continuationSeparator" w:id="0">
    <w:p w14:paraId="01D233B0" w14:textId="77777777" w:rsidR="00447D9A" w:rsidRDefault="0044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21F74" w14:textId="77777777" w:rsidR="00447D9A" w:rsidRDefault="00447D9A">
      <w:r>
        <w:separator/>
      </w:r>
    </w:p>
  </w:footnote>
  <w:footnote w:type="continuationSeparator" w:id="0">
    <w:p w14:paraId="3D000E93" w14:textId="77777777" w:rsidR="00447D9A" w:rsidRDefault="00447D9A">
      <w:r>
        <w:continuationSeparator/>
      </w:r>
    </w:p>
  </w:footnote>
  <w:footnote w:id="1">
    <w:p w14:paraId="4890E44C" w14:textId="7C9E8A13" w:rsidR="00304ADC" w:rsidRPr="000045CB" w:rsidRDefault="00304ADC" w:rsidP="00304ADC">
      <w:pPr>
        <w:pStyle w:val="FootnoteText"/>
      </w:pPr>
      <w:r>
        <w:rPr>
          <w:rStyle w:val="FootnoteReference"/>
        </w:rPr>
        <w:footnoteRef/>
      </w:r>
      <w:r>
        <w:t xml:space="preserve"> </w:t>
      </w:r>
      <w:r>
        <w:rPr>
          <w:i/>
          <w:iCs/>
        </w:rPr>
        <w:t xml:space="preserve">Mont Chevaux Trust </w:t>
      </w:r>
      <w:r w:rsidR="003D72E7">
        <w:rPr>
          <w:i/>
          <w:iCs/>
        </w:rPr>
        <w:t>at</w:t>
      </w:r>
      <w:r>
        <w:t xml:space="preserve"> par 6. See further </w:t>
      </w:r>
      <w:r>
        <w:rPr>
          <w:i/>
          <w:iCs/>
        </w:rPr>
        <w:t xml:space="preserve">Acting National Director of Public Prosecutions and Others v Democratic Alliance In Re: Democratic Alliance v Acting National Director of Public Prosecutions and Others </w:t>
      </w:r>
      <w:r>
        <w:t>(1957/09) [2016] ZAGPPHC 489 (24 June 2016) par 25</w:t>
      </w:r>
    </w:p>
  </w:footnote>
  <w:footnote w:id="2">
    <w:p w14:paraId="79931E8F" w14:textId="77777777" w:rsidR="00304ADC" w:rsidRDefault="00304ADC" w:rsidP="00304ADC">
      <w:pPr>
        <w:pStyle w:val="FootnoteText"/>
      </w:pPr>
      <w:r>
        <w:rPr>
          <w:rStyle w:val="FootnoteReference"/>
        </w:rPr>
        <w:footnoteRef/>
      </w:r>
      <w:r>
        <w:t xml:space="preserve"> Erasmus, Superior Court Practice (2021) A2-56 to 57</w:t>
      </w:r>
    </w:p>
  </w:footnote>
  <w:footnote w:id="3">
    <w:p w14:paraId="1C0843D2" w14:textId="77777777" w:rsidR="00304ADC" w:rsidRDefault="00304ADC" w:rsidP="00304ADC">
      <w:pPr>
        <w:pStyle w:val="FootnoteText"/>
      </w:pPr>
      <w:r>
        <w:rPr>
          <w:rStyle w:val="FootnoteReference"/>
        </w:rPr>
        <w:footnoteRef/>
      </w:r>
      <w:r>
        <w:t xml:space="preserve"> Erasmus, Superior Court Practice (2021) A2-56 to 57</w:t>
      </w:r>
    </w:p>
  </w:footnote>
  <w:footnote w:id="4">
    <w:p w14:paraId="041E8A1D" w14:textId="77777777" w:rsidR="00304ADC" w:rsidRPr="003574EE" w:rsidRDefault="00304ADC" w:rsidP="00304ADC">
      <w:pPr>
        <w:pStyle w:val="FootnoteText"/>
      </w:pPr>
      <w:r>
        <w:rPr>
          <w:rStyle w:val="FootnoteReference"/>
        </w:rPr>
        <w:footnoteRef/>
      </w:r>
      <w:r>
        <w:t xml:space="preserve"> </w:t>
      </w:r>
      <w:r>
        <w:rPr>
          <w:i/>
          <w:iCs/>
        </w:rPr>
        <w:t>City of Tshwane v Afriforum</w:t>
      </w:r>
      <w:r>
        <w:t xml:space="preserve"> 2016 (6) SA 279 (CC) par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BDB47" w14:textId="77777777" w:rsidR="00533498" w:rsidRDefault="0027404E" w:rsidP="007847CD">
    <w:pPr>
      <w:pStyle w:val="Header"/>
      <w:framePr w:wrap="around" w:vAnchor="text" w:hAnchor="margin" w:xAlign="center" w:y="1"/>
      <w:rPr>
        <w:rStyle w:val="PageNumber"/>
      </w:rPr>
    </w:pPr>
    <w:r>
      <w:rPr>
        <w:rStyle w:val="PageNumber"/>
      </w:rPr>
      <w:fldChar w:fldCharType="begin"/>
    </w:r>
    <w:r w:rsidR="00533498">
      <w:rPr>
        <w:rStyle w:val="PageNumber"/>
      </w:rPr>
      <w:instrText xml:space="preserve">PAGE  </w:instrText>
    </w:r>
    <w:r>
      <w:rPr>
        <w:rStyle w:val="PageNumber"/>
      </w:rPr>
      <w:fldChar w:fldCharType="end"/>
    </w:r>
  </w:p>
  <w:p w14:paraId="43A81493" w14:textId="77777777" w:rsidR="00533498" w:rsidRDefault="00533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FEA7B" w14:textId="6ED6E91D" w:rsidR="00533498" w:rsidRDefault="0027404E" w:rsidP="007847CD">
    <w:pPr>
      <w:pStyle w:val="Header"/>
      <w:framePr w:wrap="around" w:vAnchor="text" w:hAnchor="margin" w:xAlign="center" w:y="1"/>
      <w:rPr>
        <w:rStyle w:val="PageNumber"/>
      </w:rPr>
    </w:pPr>
    <w:r>
      <w:rPr>
        <w:rStyle w:val="PageNumber"/>
      </w:rPr>
      <w:fldChar w:fldCharType="begin"/>
    </w:r>
    <w:r w:rsidR="00533498">
      <w:rPr>
        <w:rStyle w:val="PageNumber"/>
      </w:rPr>
      <w:instrText xml:space="preserve">PAGE  </w:instrText>
    </w:r>
    <w:r>
      <w:rPr>
        <w:rStyle w:val="PageNumber"/>
      </w:rPr>
      <w:fldChar w:fldCharType="separate"/>
    </w:r>
    <w:r w:rsidR="00531E26">
      <w:rPr>
        <w:rStyle w:val="PageNumber"/>
        <w:noProof/>
      </w:rPr>
      <w:t>9</w:t>
    </w:r>
    <w:r>
      <w:rPr>
        <w:rStyle w:val="PageNumber"/>
      </w:rPr>
      <w:fldChar w:fldCharType="end"/>
    </w:r>
  </w:p>
  <w:p w14:paraId="51734042" w14:textId="77777777" w:rsidR="00533498" w:rsidRDefault="00533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7454"/>
    <w:multiLevelType w:val="hybridMultilevel"/>
    <w:tmpl w:val="58DEB91A"/>
    <w:lvl w:ilvl="0" w:tplc="AAB6BAA0">
      <w:start w:val="1"/>
      <w:numFmt w:val="decimal"/>
      <w:lvlText w:val="%1."/>
      <w:lvlJc w:val="left"/>
      <w:pPr>
        <w:tabs>
          <w:tab w:val="num" w:pos="2175"/>
        </w:tabs>
        <w:ind w:left="2175" w:hanging="360"/>
      </w:pPr>
      <w:rPr>
        <w:rFonts w:ascii="Times New Roman" w:eastAsia="Times New Roman" w:hAnsi="Times New Roman" w:cs="Times New Roman"/>
      </w:rPr>
    </w:lvl>
    <w:lvl w:ilvl="1" w:tplc="08090019" w:tentative="1">
      <w:start w:val="1"/>
      <w:numFmt w:val="lowerLetter"/>
      <w:lvlText w:val="%2."/>
      <w:lvlJc w:val="left"/>
      <w:pPr>
        <w:tabs>
          <w:tab w:val="num" w:pos="2895"/>
        </w:tabs>
        <w:ind w:left="2895" w:hanging="360"/>
      </w:pPr>
    </w:lvl>
    <w:lvl w:ilvl="2" w:tplc="0809001B" w:tentative="1">
      <w:start w:val="1"/>
      <w:numFmt w:val="lowerRoman"/>
      <w:lvlText w:val="%3."/>
      <w:lvlJc w:val="right"/>
      <w:pPr>
        <w:tabs>
          <w:tab w:val="num" w:pos="3615"/>
        </w:tabs>
        <w:ind w:left="3615" w:hanging="180"/>
      </w:pPr>
    </w:lvl>
    <w:lvl w:ilvl="3" w:tplc="0809000F" w:tentative="1">
      <w:start w:val="1"/>
      <w:numFmt w:val="decimal"/>
      <w:lvlText w:val="%4."/>
      <w:lvlJc w:val="left"/>
      <w:pPr>
        <w:tabs>
          <w:tab w:val="num" w:pos="4335"/>
        </w:tabs>
        <w:ind w:left="4335" w:hanging="360"/>
      </w:pPr>
    </w:lvl>
    <w:lvl w:ilvl="4" w:tplc="08090019" w:tentative="1">
      <w:start w:val="1"/>
      <w:numFmt w:val="lowerLetter"/>
      <w:lvlText w:val="%5."/>
      <w:lvlJc w:val="left"/>
      <w:pPr>
        <w:tabs>
          <w:tab w:val="num" w:pos="5055"/>
        </w:tabs>
        <w:ind w:left="5055" w:hanging="360"/>
      </w:pPr>
    </w:lvl>
    <w:lvl w:ilvl="5" w:tplc="0809001B" w:tentative="1">
      <w:start w:val="1"/>
      <w:numFmt w:val="lowerRoman"/>
      <w:lvlText w:val="%6."/>
      <w:lvlJc w:val="right"/>
      <w:pPr>
        <w:tabs>
          <w:tab w:val="num" w:pos="5775"/>
        </w:tabs>
        <w:ind w:left="5775" w:hanging="180"/>
      </w:pPr>
    </w:lvl>
    <w:lvl w:ilvl="6" w:tplc="0809000F" w:tentative="1">
      <w:start w:val="1"/>
      <w:numFmt w:val="decimal"/>
      <w:lvlText w:val="%7."/>
      <w:lvlJc w:val="left"/>
      <w:pPr>
        <w:tabs>
          <w:tab w:val="num" w:pos="6495"/>
        </w:tabs>
        <w:ind w:left="6495" w:hanging="360"/>
      </w:pPr>
    </w:lvl>
    <w:lvl w:ilvl="7" w:tplc="08090019" w:tentative="1">
      <w:start w:val="1"/>
      <w:numFmt w:val="lowerLetter"/>
      <w:lvlText w:val="%8."/>
      <w:lvlJc w:val="left"/>
      <w:pPr>
        <w:tabs>
          <w:tab w:val="num" w:pos="7215"/>
        </w:tabs>
        <w:ind w:left="7215" w:hanging="360"/>
      </w:pPr>
    </w:lvl>
    <w:lvl w:ilvl="8" w:tplc="0809001B" w:tentative="1">
      <w:start w:val="1"/>
      <w:numFmt w:val="lowerRoman"/>
      <w:lvlText w:val="%9."/>
      <w:lvlJc w:val="right"/>
      <w:pPr>
        <w:tabs>
          <w:tab w:val="num" w:pos="7935"/>
        </w:tabs>
        <w:ind w:left="7935" w:hanging="180"/>
      </w:pPr>
    </w:lvl>
  </w:abstractNum>
  <w:abstractNum w:abstractNumId="1" w15:restartNumberingAfterBreak="0">
    <w:nsid w:val="03115663"/>
    <w:multiLevelType w:val="hybridMultilevel"/>
    <w:tmpl w:val="C50CD2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011E16"/>
    <w:multiLevelType w:val="hybridMultilevel"/>
    <w:tmpl w:val="0ABC0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7D3E68"/>
    <w:multiLevelType w:val="multilevel"/>
    <w:tmpl w:val="D64814F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BFB557B"/>
    <w:multiLevelType w:val="hybridMultilevel"/>
    <w:tmpl w:val="6B3AFF38"/>
    <w:lvl w:ilvl="0" w:tplc="243C8A6C">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0F585D1A"/>
    <w:multiLevelType w:val="hybridMultilevel"/>
    <w:tmpl w:val="9ADC6DC0"/>
    <w:lvl w:ilvl="0" w:tplc="6532BC7C">
      <w:start w:val="28"/>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6" w15:restartNumberingAfterBreak="0">
    <w:nsid w:val="15F455A2"/>
    <w:multiLevelType w:val="hybridMultilevel"/>
    <w:tmpl w:val="9BD25560"/>
    <w:lvl w:ilvl="0" w:tplc="7458E054">
      <w:start w:val="3"/>
      <w:numFmt w:val="bullet"/>
      <w:lvlText w:val="-"/>
      <w:lvlJc w:val="left"/>
      <w:pPr>
        <w:tabs>
          <w:tab w:val="num" w:pos="1815"/>
        </w:tabs>
        <w:ind w:left="1815" w:hanging="360"/>
      </w:pPr>
      <w:rPr>
        <w:rFonts w:ascii="Arial" w:eastAsia="Times New Roman" w:hAnsi="Arial" w:cs="Arial" w:hint="default"/>
      </w:rPr>
    </w:lvl>
    <w:lvl w:ilvl="1" w:tplc="04090003" w:tentative="1">
      <w:start w:val="1"/>
      <w:numFmt w:val="bullet"/>
      <w:lvlText w:val="o"/>
      <w:lvlJc w:val="left"/>
      <w:pPr>
        <w:tabs>
          <w:tab w:val="num" w:pos="2535"/>
        </w:tabs>
        <w:ind w:left="2535" w:hanging="360"/>
      </w:pPr>
      <w:rPr>
        <w:rFonts w:ascii="Courier New" w:hAnsi="Courier New" w:cs="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7" w15:restartNumberingAfterBreak="0">
    <w:nsid w:val="179A2D46"/>
    <w:multiLevelType w:val="hybridMultilevel"/>
    <w:tmpl w:val="0E5EAF54"/>
    <w:lvl w:ilvl="0" w:tplc="5E72C040">
      <w:start w:val="1"/>
      <w:numFmt w:val="decimal"/>
      <w:lvlText w:val="%1."/>
      <w:lvlJc w:val="left"/>
      <w:pPr>
        <w:tabs>
          <w:tab w:val="num" w:pos="1815"/>
        </w:tabs>
        <w:ind w:left="1815" w:hanging="360"/>
      </w:pPr>
      <w:rPr>
        <w:rFonts w:hint="default"/>
      </w:rPr>
    </w:lvl>
    <w:lvl w:ilvl="1" w:tplc="04090019">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8" w15:restartNumberingAfterBreak="0">
    <w:nsid w:val="1B362A5A"/>
    <w:multiLevelType w:val="hybridMultilevel"/>
    <w:tmpl w:val="E49272BC"/>
    <w:lvl w:ilvl="0" w:tplc="243C8A6C">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20545E48"/>
    <w:multiLevelType w:val="hybridMultilevel"/>
    <w:tmpl w:val="E07CAFA4"/>
    <w:lvl w:ilvl="0" w:tplc="86CEFCD4">
      <w:start w:val="1"/>
      <w:numFmt w:val="lowerRoman"/>
      <w:lvlText w:val="(%1)"/>
      <w:lvlJc w:val="left"/>
      <w:pPr>
        <w:tabs>
          <w:tab w:val="num" w:pos="3593"/>
        </w:tabs>
        <w:ind w:left="3593" w:hanging="1065"/>
      </w:pPr>
      <w:rPr>
        <w:rFonts w:hint="default"/>
      </w:rPr>
    </w:lvl>
    <w:lvl w:ilvl="1" w:tplc="04090019">
      <w:start w:val="1"/>
      <w:numFmt w:val="lowerLetter"/>
      <w:lvlText w:val="%2."/>
      <w:lvlJc w:val="left"/>
      <w:pPr>
        <w:tabs>
          <w:tab w:val="num" w:pos="3608"/>
        </w:tabs>
        <w:ind w:left="3608" w:hanging="360"/>
      </w:pPr>
    </w:lvl>
    <w:lvl w:ilvl="2" w:tplc="0409001B" w:tentative="1">
      <w:start w:val="1"/>
      <w:numFmt w:val="lowerRoman"/>
      <w:lvlText w:val="%3."/>
      <w:lvlJc w:val="right"/>
      <w:pPr>
        <w:tabs>
          <w:tab w:val="num" w:pos="4328"/>
        </w:tabs>
        <w:ind w:left="4328" w:hanging="180"/>
      </w:pPr>
    </w:lvl>
    <w:lvl w:ilvl="3" w:tplc="0409000F" w:tentative="1">
      <w:start w:val="1"/>
      <w:numFmt w:val="decimal"/>
      <w:lvlText w:val="%4."/>
      <w:lvlJc w:val="left"/>
      <w:pPr>
        <w:tabs>
          <w:tab w:val="num" w:pos="5048"/>
        </w:tabs>
        <w:ind w:left="5048" w:hanging="360"/>
      </w:pPr>
    </w:lvl>
    <w:lvl w:ilvl="4" w:tplc="04090019" w:tentative="1">
      <w:start w:val="1"/>
      <w:numFmt w:val="lowerLetter"/>
      <w:lvlText w:val="%5."/>
      <w:lvlJc w:val="left"/>
      <w:pPr>
        <w:tabs>
          <w:tab w:val="num" w:pos="5768"/>
        </w:tabs>
        <w:ind w:left="5768" w:hanging="360"/>
      </w:pPr>
    </w:lvl>
    <w:lvl w:ilvl="5" w:tplc="0409001B" w:tentative="1">
      <w:start w:val="1"/>
      <w:numFmt w:val="lowerRoman"/>
      <w:lvlText w:val="%6."/>
      <w:lvlJc w:val="right"/>
      <w:pPr>
        <w:tabs>
          <w:tab w:val="num" w:pos="6488"/>
        </w:tabs>
        <w:ind w:left="6488" w:hanging="180"/>
      </w:pPr>
    </w:lvl>
    <w:lvl w:ilvl="6" w:tplc="0409000F" w:tentative="1">
      <w:start w:val="1"/>
      <w:numFmt w:val="decimal"/>
      <w:lvlText w:val="%7."/>
      <w:lvlJc w:val="left"/>
      <w:pPr>
        <w:tabs>
          <w:tab w:val="num" w:pos="7208"/>
        </w:tabs>
        <w:ind w:left="7208" w:hanging="360"/>
      </w:pPr>
    </w:lvl>
    <w:lvl w:ilvl="7" w:tplc="04090019" w:tentative="1">
      <w:start w:val="1"/>
      <w:numFmt w:val="lowerLetter"/>
      <w:lvlText w:val="%8."/>
      <w:lvlJc w:val="left"/>
      <w:pPr>
        <w:tabs>
          <w:tab w:val="num" w:pos="7928"/>
        </w:tabs>
        <w:ind w:left="7928" w:hanging="360"/>
      </w:pPr>
    </w:lvl>
    <w:lvl w:ilvl="8" w:tplc="0409001B" w:tentative="1">
      <w:start w:val="1"/>
      <w:numFmt w:val="lowerRoman"/>
      <w:lvlText w:val="%9."/>
      <w:lvlJc w:val="right"/>
      <w:pPr>
        <w:tabs>
          <w:tab w:val="num" w:pos="8648"/>
        </w:tabs>
        <w:ind w:left="8648" w:hanging="180"/>
      </w:pPr>
    </w:lvl>
  </w:abstractNum>
  <w:abstractNum w:abstractNumId="10" w15:restartNumberingAfterBreak="0">
    <w:nsid w:val="21FF6C66"/>
    <w:multiLevelType w:val="hybridMultilevel"/>
    <w:tmpl w:val="DE12F340"/>
    <w:lvl w:ilvl="0" w:tplc="243C8A6C">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24FD3A3E"/>
    <w:multiLevelType w:val="hybridMultilevel"/>
    <w:tmpl w:val="AD701DE4"/>
    <w:lvl w:ilvl="0" w:tplc="CBF63B92">
      <w:start w:val="1"/>
      <w:numFmt w:val="decimal"/>
      <w:lvlText w:val="%1."/>
      <w:lvlJc w:val="left"/>
      <w:pPr>
        <w:tabs>
          <w:tab w:val="num" w:pos="1815"/>
        </w:tabs>
        <w:ind w:left="1815" w:hanging="14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1661A6"/>
    <w:multiLevelType w:val="hybridMultilevel"/>
    <w:tmpl w:val="D3E2077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A16240"/>
    <w:multiLevelType w:val="multilevel"/>
    <w:tmpl w:val="474A3EF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345C7DB2"/>
    <w:multiLevelType w:val="hybridMultilevel"/>
    <w:tmpl w:val="C0866D8C"/>
    <w:lvl w:ilvl="0" w:tplc="BE28B86C">
      <w:start w:val="1"/>
      <w:numFmt w:val="decimal"/>
      <w:lvlText w:val="[%1]"/>
      <w:lvlJc w:val="center"/>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68124B2"/>
    <w:multiLevelType w:val="hybridMultilevel"/>
    <w:tmpl w:val="ED380FA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8F3B87"/>
    <w:multiLevelType w:val="multilevel"/>
    <w:tmpl w:val="F3A0FF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7741C32"/>
    <w:multiLevelType w:val="hybridMultilevel"/>
    <w:tmpl w:val="40C4EA14"/>
    <w:lvl w:ilvl="0" w:tplc="894489B2">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2E6B87"/>
    <w:multiLevelType w:val="hybridMultilevel"/>
    <w:tmpl w:val="FB082EE8"/>
    <w:lvl w:ilvl="0" w:tplc="3640A74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3E4C3156"/>
    <w:multiLevelType w:val="hybridMultilevel"/>
    <w:tmpl w:val="3C7479C2"/>
    <w:lvl w:ilvl="0" w:tplc="8AFC7A0A">
      <w:start w:val="1"/>
      <w:numFmt w:val="decimal"/>
      <w:lvlText w:val="%1."/>
      <w:lvlJc w:val="left"/>
      <w:pPr>
        <w:tabs>
          <w:tab w:val="num" w:pos="2175"/>
        </w:tabs>
        <w:ind w:left="2175" w:hanging="360"/>
      </w:pPr>
      <w:rPr>
        <w:rFonts w:ascii="Times New Roman" w:eastAsia="Times New Roman" w:hAnsi="Times New Roman" w:cs="Times New Roman"/>
      </w:rPr>
    </w:lvl>
    <w:lvl w:ilvl="1" w:tplc="08090019" w:tentative="1">
      <w:start w:val="1"/>
      <w:numFmt w:val="lowerLetter"/>
      <w:lvlText w:val="%2."/>
      <w:lvlJc w:val="left"/>
      <w:pPr>
        <w:tabs>
          <w:tab w:val="num" w:pos="2895"/>
        </w:tabs>
        <w:ind w:left="2895" w:hanging="360"/>
      </w:pPr>
    </w:lvl>
    <w:lvl w:ilvl="2" w:tplc="0809001B" w:tentative="1">
      <w:start w:val="1"/>
      <w:numFmt w:val="lowerRoman"/>
      <w:lvlText w:val="%3."/>
      <w:lvlJc w:val="right"/>
      <w:pPr>
        <w:tabs>
          <w:tab w:val="num" w:pos="3615"/>
        </w:tabs>
        <w:ind w:left="3615" w:hanging="180"/>
      </w:pPr>
    </w:lvl>
    <w:lvl w:ilvl="3" w:tplc="0809000F" w:tentative="1">
      <w:start w:val="1"/>
      <w:numFmt w:val="decimal"/>
      <w:lvlText w:val="%4."/>
      <w:lvlJc w:val="left"/>
      <w:pPr>
        <w:tabs>
          <w:tab w:val="num" w:pos="4335"/>
        </w:tabs>
        <w:ind w:left="4335" w:hanging="360"/>
      </w:pPr>
    </w:lvl>
    <w:lvl w:ilvl="4" w:tplc="08090019" w:tentative="1">
      <w:start w:val="1"/>
      <w:numFmt w:val="lowerLetter"/>
      <w:lvlText w:val="%5."/>
      <w:lvlJc w:val="left"/>
      <w:pPr>
        <w:tabs>
          <w:tab w:val="num" w:pos="5055"/>
        </w:tabs>
        <w:ind w:left="5055" w:hanging="360"/>
      </w:pPr>
    </w:lvl>
    <w:lvl w:ilvl="5" w:tplc="0809001B" w:tentative="1">
      <w:start w:val="1"/>
      <w:numFmt w:val="lowerRoman"/>
      <w:lvlText w:val="%6."/>
      <w:lvlJc w:val="right"/>
      <w:pPr>
        <w:tabs>
          <w:tab w:val="num" w:pos="5775"/>
        </w:tabs>
        <w:ind w:left="5775" w:hanging="180"/>
      </w:pPr>
    </w:lvl>
    <w:lvl w:ilvl="6" w:tplc="0809000F" w:tentative="1">
      <w:start w:val="1"/>
      <w:numFmt w:val="decimal"/>
      <w:lvlText w:val="%7."/>
      <w:lvlJc w:val="left"/>
      <w:pPr>
        <w:tabs>
          <w:tab w:val="num" w:pos="6495"/>
        </w:tabs>
        <w:ind w:left="6495" w:hanging="360"/>
      </w:pPr>
    </w:lvl>
    <w:lvl w:ilvl="7" w:tplc="08090019" w:tentative="1">
      <w:start w:val="1"/>
      <w:numFmt w:val="lowerLetter"/>
      <w:lvlText w:val="%8."/>
      <w:lvlJc w:val="left"/>
      <w:pPr>
        <w:tabs>
          <w:tab w:val="num" w:pos="7215"/>
        </w:tabs>
        <w:ind w:left="7215" w:hanging="360"/>
      </w:pPr>
    </w:lvl>
    <w:lvl w:ilvl="8" w:tplc="0809001B" w:tentative="1">
      <w:start w:val="1"/>
      <w:numFmt w:val="lowerRoman"/>
      <w:lvlText w:val="%9."/>
      <w:lvlJc w:val="right"/>
      <w:pPr>
        <w:tabs>
          <w:tab w:val="num" w:pos="7935"/>
        </w:tabs>
        <w:ind w:left="7935" w:hanging="180"/>
      </w:pPr>
    </w:lvl>
  </w:abstractNum>
  <w:abstractNum w:abstractNumId="21" w15:restartNumberingAfterBreak="0">
    <w:nsid w:val="3ECA0822"/>
    <w:multiLevelType w:val="hybridMultilevel"/>
    <w:tmpl w:val="F236AFB6"/>
    <w:lvl w:ilvl="0" w:tplc="05B67FC4">
      <w:start w:val="1"/>
      <w:numFmt w:val="decimal"/>
      <w:lvlText w:val="%1."/>
      <w:lvlJc w:val="left"/>
      <w:pPr>
        <w:tabs>
          <w:tab w:val="num" w:pos="2535"/>
        </w:tabs>
        <w:ind w:left="2535" w:hanging="1080"/>
      </w:pPr>
      <w:rPr>
        <w:rFonts w:hint="default"/>
      </w:rPr>
    </w:lvl>
    <w:lvl w:ilvl="1" w:tplc="7A88371E">
      <w:start w:val="1"/>
      <w:numFmt w:val="lowerLetter"/>
      <w:lvlText w:val="%2."/>
      <w:lvlJc w:val="left"/>
      <w:pPr>
        <w:tabs>
          <w:tab w:val="num" w:pos="2535"/>
        </w:tabs>
        <w:ind w:left="2535" w:hanging="360"/>
      </w:pPr>
      <w:rPr>
        <w:rFonts w:hint="default"/>
      </w:r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2" w15:restartNumberingAfterBreak="0">
    <w:nsid w:val="3FB376B9"/>
    <w:multiLevelType w:val="hybridMultilevel"/>
    <w:tmpl w:val="3F4248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1F1084F"/>
    <w:multiLevelType w:val="hybridMultilevel"/>
    <w:tmpl w:val="F410C7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2BC65D1"/>
    <w:multiLevelType w:val="hybridMultilevel"/>
    <w:tmpl w:val="8B70D880"/>
    <w:lvl w:ilvl="0" w:tplc="243C8A6C">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4401146F"/>
    <w:multiLevelType w:val="multilevel"/>
    <w:tmpl w:val="DF2AD222"/>
    <w:lvl w:ilvl="0">
      <w:start w:val="9"/>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45145B9B"/>
    <w:multiLevelType w:val="hybridMultilevel"/>
    <w:tmpl w:val="63226AC4"/>
    <w:lvl w:ilvl="0" w:tplc="8496E43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48A360F7"/>
    <w:multiLevelType w:val="singleLevel"/>
    <w:tmpl w:val="8C4E15AC"/>
    <w:lvl w:ilvl="0">
      <w:start w:val="1"/>
      <w:numFmt w:val="decimal"/>
      <w:lvlText w:val="%1."/>
      <w:lvlJc w:val="left"/>
      <w:pPr>
        <w:tabs>
          <w:tab w:val="num" w:pos="570"/>
        </w:tabs>
        <w:ind w:left="570" w:hanging="570"/>
      </w:pPr>
      <w:rPr>
        <w:rFonts w:hint="default"/>
      </w:rPr>
    </w:lvl>
  </w:abstractNum>
  <w:abstractNum w:abstractNumId="28" w15:restartNumberingAfterBreak="0">
    <w:nsid w:val="490170DE"/>
    <w:multiLevelType w:val="hybridMultilevel"/>
    <w:tmpl w:val="B48283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F6631E0"/>
    <w:multiLevelType w:val="multilevel"/>
    <w:tmpl w:val="D130DE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46B59E2"/>
    <w:multiLevelType w:val="multilevel"/>
    <w:tmpl w:val="E4A2BAD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56C040C1"/>
    <w:multiLevelType w:val="hybridMultilevel"/>
    <w:tmpl w:val="BD98037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9462B2C"/>
    <w:multiLevelType w:val="hybridMultilevel"/>
    <w:tmpl w:val="5FD6FB3A"/>
    <w:lvl w:ilvl="0" w:tplc="23A25F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13C06DA"/>
    <w:multiLevelType w:val="hybridMultilevel"/>
    <w:tmpl w:val="9C0E37A2"/>
    <w:lvl w:ilvl="0" w:tplc="3F16B450">
      <w:start w:val="2"/>
      <w:numFmt w:val="decimal"/>
      <w:lvlText w:val="%1."/>
      <w:lvlJc w:val="left"/>
      <w:pPr>
        <w:tabs>
          <w:tab w:val="num" w:pos="1810"/>
        </w:tabs>
        <w:ind w:left="1810" w:hanging="360"/>
      </w:pPr>
      <w:rPr>
        <w:rFonts w:hint="default"/>
      </w:rPr>
    </w:lvl>
    <w:lvl w:ilvl="1" w:tplc="9B32668E">
      <w:start w:val="1"/>
      <w:numFmt w:val="lowerLetter"/>
      <w:lvlText w:val="(%2)"/>
      <w:lvlJc w:val="left"/>
      <w:pPr>
        <w:tabs>
          <w:tab w:val="num" w:pos="2530"/>
        </w:tabs>
        <w:ind w:left="2530" w:hanging="360"/>
      </w:pPr>
      <w:rPr>
        <w:rFonts w:hint="default"/>
      </w:rPr>
    </w:lvl>
    <w:lvl w:ilvl="2" w:tplc="0809001B" w:tentative="1">
      <w:start w:val="1"/>
      <w:numFmt w:val="lowerRoman"/>
      <w:lvlText w:val="%3."/>
      <w:lvlJc w:val="right"/>
      <w:pPr>
        <w:tabs>
          <w:tab w:val="num" w:pos="3250"/>
        </w:tabs>
        <w:ind w:left="3250" w:hanging="180"/>
      </w:pPr>
    </w:lvl>
    <w:lvl w:ilvl="3" w:tplc="0809000F" w:tentative="1">
      <w:start w:val="1"/>
      <w:numFmt w:val="decimal"/>
      <w:lvlText w:val="%4."/>
      <w:lvlJc w:val="left"/>
      <w:pPr>
        <w:tabs>
          <w:tab w:val="num" w:pos="3970"/>
        </w:tabs>
        <w:ind w:left="3970" w:hanging="360"/>
      </w:pPr>
    </w:lvl>
    <w:lvl w:ilvl="4" w:tplc="08090019" w:tentative="1">
      <w:start w:val="1"/>
      <w:numFmt w:val="lowerLetter"/>
      <w:lvlText w:val="%5."/>
      <w:lvlJc w:val="left"/>
      <w:pPr>
        <w:tabs>
          <w:tab w:val="num" w:pos="4690"/>
        </w:tabs>
        <w:ind w:left="4690" w:hanging="360"/>
      </w:pPr>
    </w:lvl>
    <w:lvl w:ilvl="5" w:tplc="0809001B" w:tentative="1">
      <w:start w:val="1"/>
      <w:numFmt w:val="lowerRoman"/>
      <w:lvlText w:val="%6."/>
      <w:lvlJc w:val="right"/>
      <w:pPr>
        <w:tabs>
          <w:tab w:val="num" w:pos="5410"/>
        </w:tabs>
        <w:ind w:left="5410" w:hanging="180"/>
      </w:pPr>
    </w:lvl>
    <w:lvl w:ilvl="6" w:tplc="0809000F" w:tentative="1">
      <w:start w:val="1"/>
      <w:numFmt w:val="decimal"/>
      <w:lvlText w:val="%7."/>
      <w:lvlJc w:val="left"/>
      <w:pPr>
        <w:tabs>
          <w:tab w:val="num" w:pos="6130"/>
        </w:tabs>
        <w:ind w:left="6130" w:hanging="360"/>
      </w:pPr>
    </w:lvl>
    <w:lvl w:ilvl="7" w:tplc="08090019" w:tentative="1">
      <w:start w:val="1"/>
      <w:numFmt w:val="lowerLetter"/>
      <w:lvlText w:val="%8."/>
      <w:lvlJc w:val="left"/>
      <w:pPr>
        <w:tabs>
          <w:tab w:val="num" w:pos="6850"/>
        </w:tabs>
        <w:ind w:left="6850" w:hanging="360"/>
      </w:pPr>
    </w:lvl>
    <w:lvl w:ilvl="8" w:tplc="0809001B" w:tentative="1">
      <w:start w:val="1"/>
      <w:numFmt w:val="lowerRoman"/>
      <w:lvlText w:val="%9."/>
      <w:lvlJc w:val="right"/>
      <w:pPr>
        <w:tabs>
          <w:tab w:val="num" w:pos="7570"/>
        </w:tabs>
        <w:ind w:left="7570" w:hanging="180"/>
      </w:pPr>
    </w:lvl>
  </w:abstractNum>
  <w:abstractNum w:abstractNumId="34" w15:restartNumberingAfterBreak="0">
    <w:nsid w:val="620073BC"/>
    <w:multiLevelType w:val="hybridMultilevel"/>
    <w:tmpl w:val="D4B6CBC6"/>
    <w:lvl w:ilvl="0" w:tplc="E5C4466A">
      <w:start w:val="27"/>
      <w:numFmt w:val="lowerLetter"/>
      <w:lvlText w:val="(%1)"/>
      <w:lvlJc w:val="left"/>
      <w:pPr>
        <w:tabs>
          <w:tab w:val="num" w:pos="3593"/>
        </w:tabs>
        <w:ind w:left="3593" w:hanging="1065"/>
      </w:pPr>
      <w:rPr>
        <w:rFonts w:hint="default"/>
      </w:rPr>
    </w:lvl>
    <w:lvl w:ilvl="1" w:tplc="04090019" w:tentative="1">
      <w:start w:val="1"/>
      <w:numFmt w:val="lowerLetter"/>
      <w:lvlText w:val="%2."/>
      <w:lvlJc w:val="left"/>
      <w:pPr>
        <w:tabs>
          <w:tab w:val="num" w:pos="3608"/>
        </w:tabs>
        <w:ind w:left="3608" w:hanging="360"/>
      </w:pPr>
    </w:lvl>
    <w:lvl w:ilvl="2" w:tplc="0409001B" w:tentative="1">
      <w:start w:val="1"/>
      <w:numFmt w:val="lowerRoman"/>
      <w:lvlText w:val="%3."/>
      <w:lvlJc w:val="right"/>
      <w:pPr>
        <w:tabs>
          <w:tab w:val="num" w:pos="4328"/>
        </w:tabs>
        <w:ind w:left="4328" w:hanging="180"/>
      </w:pPr>
    </w:lvl>
    <w:lvl w:ilvl="3" w:tplc="0409000F" w:tentative="1">
      <w:start w:val="1"/>
      <w:numFmt w:val="decimal"/>
      <w:lvlText w:val="%4."/>
      <w:lvlJc w:val="left"/>
      <w:pPr>
        <w:tabs>
          <w:tab w:val="num" w:pos="5048"/>
        </w:tabs>
        <w:ind w:left="5048" w:hanging="360"/>
      </w:pPr>
    </w:lvl>
    <w:lvl w:ilvl="4" w:tplc="04090019" w:tentative="1">
      <w:start w:val="1"/>
      <w:numFmt w:val="lowerLetter"/>
      <w:lvlText w:val="%5."/>
      <w:lvlJc w:val="left"/>
      <w:pPr>
        <w:tabs>
          <w:tab w:val="num" w:pos="5768"/>
        </w:tabs>
        <w:ind w:left="5768" w:hanging="360"/>
      </w:pPr>
    </w:lvl>
    <w:lvl w:ilvl="5" w:tplc="0409001B" w:tentative="1">
      <w:start w:val="1"/>
      <w:numFmt w:val="lowerRoman"/>
      <w:lvlText w:val="%6."/>
      <w:lvlJc w:val="right"/>
      <w:pPr>
        <w:tabs>
          <w:tab w:val="num" w:pos="6488"/>
        </w:tabs>
        <w:ind w:left="6488" w:hanging="180"/>
      </w:pPr>
    </w:lvl>
    <w:lvl w:ilvl="6" w:tplc="0409000F" w:tentative="1">
      <w:start w:val="1"/>
      <w:numFmt w:val="decimal"/>
      <w:lvlText w:val="%7."/>
      <w:lvlJc w:val="left"/>
      <w:pPr>
        <w:tabs>
          <w:tab w:val="num" w:pos="7208"/>
        </w:tabs>
        <w:ind w:left="7208" w:hanging="360"/>
      </w:pPr>
    </w:lvl>
    <w:lvl w:ilvl="7" w:tplc="04090019" w:tentative="1">
      <w:start w:val="1"/>
      <w:numFmt w:val="lowerLetter"/>
      <w:lvlText w:val="%8."/>
      <w:lvlJc w:val="left"/>
      <w:pPr>
        <w:tabs>
          <w:tab w:val="num" w:pos="7928"/>
        </w:tabs>
        <w:ind w:left="7928" w:hanging="360"/>
      </w:pPr>
    </w:lvl>
    <w:lvl w:ilvl="8" w:tplc="0409001B" w:tentative="1">
      <w:start w:val="1"/>
      <w:numFmt w:val="lowerRoman"/>
      <w:lvlText w:val="%9."/>
      <w:lvlJc w:val="right"/>
      <w:pPr>
        <w:tabs>
          <w:tab w:val="num" w:pos="8648"/>
        </w:tabs>
        <w:ind w:left="8648" w:hanging="180"/>
      </w:pPr>
    </w:lvl>
  </w:abstractNum>
  <w:abstractNum w:abstractNumId="35" w15:restartNumberingAfterBreak="0">
    <w:nsid w:val="66CA264C"/>
    <w:multiLevelType w:val="hybridMultilevel"/>
    <w:tmpl w:val="A66E75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B4E64D0"/>
    <w:multiLevelType w:val="multilevel"/>
    <w:tmpl w:val="A766606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6F0F63B1"/>
    <w:multiLevelType w:val="multilevel"/>
    <w:tmpl w:val="A0B014D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20E4233"/>
    <w:multiLevelType w:val="multilevel"/>
    <w:tmpl w:val="DA62A00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8A117EA"/>
    <w:multiLevelType w:val="multilevel"/>
    <w:tmpl w:val="822A178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0" w15:restartNumberingAfterBreak="0">
    <w:nsid w:val="78D60411"/>
    <w:multiLevelType w:val="hybridMultilevel"/>
    <w:tmpl w:val="540E1E62"/>
    <w:lvl w:ilvl="0" w:tplc="F716A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D515EBD"/>
    <w:multiLevelType w:val="hybridMultilevel"/>
    <w:tmpl w:val="2F74ED1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86596208">
    <w:abstractNumId w:val="22"/>
  </w:num>
  <w:num w:numId="2" w16cid:durableId="552692349">
    <w:abstractNumId w:val="10"/>
  </w:num>
  <w:num w:numId="3" w16cid:durableId="1161510332">
    <w:abstractNumId w:val="24"/>
  </w:num>
  <w:num w:numId="4" w16cid:durableId="1033504090">
    <w:abstractNumId w:val="8"/>
  </w:num>
  <w:num w:numId="5" w16cid:durableId="1015427165">
    <w:abstractNumId w:val="4"/>
  </w:num>
  <w:num w:numId="6" w16cid:durableId="1810396651">
    <w:abstractNumId w:val="33"/>
  </w:num>
  <w:num w:numId="7" w16cid:durableId="2033988848">
    <w:abstractNumId w:val="11"/>
  </w:num>
  <w:num w:numId="8" w16cid:durableId="105776384">
    <w:abstractNumId w:val="23"/>
  </w:num>
  <w:num w:numId="9" w16cid:durableId="1058896367">
    <w:abstractNumId w:val="20"/>
  </w:num>
  <w:num w:numId="10" w16cid:durableId="1278756702">
    <w:abstractNumId w:val="0"/>
  </w:num>
  <w:num w:numId="11" w16cid:durableId="619381621">
    <w:abstractNumId w:val="16"/>
  </w:num>
  <w:num w:numId="12" w16cid:durableId="2112167092">
    <w:abstractNumId w:val="41"/>
  </w:num>
  <w:num w:numId="13" w16cid:durableId="1616787491">
    <w:abstractNumId w:val="31"/>
  </w:num>
  <w:num w:numId="14" w16cid:durableId="2075397082">
    <w:abstractNumId w:val="35"/>
  </w:num>
  <w:num w:numId="15" w16cid:durableId="670841604">
    <w:abstractNumId w:val="9"/>
  </w:num>
  <w:num w:numId="16" w16cid:durableId="421612011">
    <w:abstractNumId w:val="34"/>
  </w:num>
  <w:num w:numId="17" w16cid:durableId="1832408535">
    <w:abstractNumId w:val="5"/>
  </w:num>
  <w:num w:numId="18" w16cid:durableId="886532967">
    <w:abstractNumId w:val="19"/>
  </w:num>
  <w:num w:numId="19" w16cid:durableId="1930041857">
    <w:abstractNumId w:val="21"/>
  </w:num>
  <w:num w:numId="20" w16cid:durableId="1173842620">
    <w:abstractNumId w:val="6"/>
  </w:num>
  <w:num w:numId="21" w16cid:durableId="2040465507">
    <w:abstractNumId w:val="7"/>
  </w:num>
  <w:num w:numId="22" w16cid:durableId="1349528912">
    <w:abstractNumId w:val="13"/>
  </w:num>
  <w:num w:numId="23" w16cid:durableId="1372806953">
    <w:abstractNumId w:val="27"/>
  </w:num>
  <w:num w:numId="24" w16cid:durableId="1743022132">
    <w:abstractNumId w:val="25"/>
  </w:num>
  <w:num w:numId="25" w16cid:durableId="260071543">
    <w:abstractNumId w:val="29"/>
  </w:num>
  <w:num w:numId="26" w16cid:durableId="2031569731">
    <w:abstractNumId w:val="17"/>
  </w:num>
  <w:num w:numId="27" w16cid:durableId="195851226">
    <w:abstractNumId w:val="37"/>
  </w:num>
  <w:num w:numId="28" w16cid:durableId="480006310">
    <w:abstractNumId w:val="26"/>
  </w:num>
  <w:num w:numId="29" w16cid:durableId="1960142851">
    <w:abstractNumId w:val="2"/>
  </w:num>
  <w:num w:numId="30" w16cid:durableId="2113435076">
    <w:abstractNumId w:val="28"/>
  </w:num>
  <w:num w:numId="31" w16cid:durableId="526481190">
    <w:abstractNumId w:val="40"/>
  </w:num>
  <w:num w:numId="32" w16cid:durableId="517357667">
    <w:abstractNumId w:val="32"/>
  </w:num>
  <w:num w:numId="33" w16cid:durableId="1929997165">
    <w:abstractNumId w:val="39"/>
  </w:num>
  <w:num w:numId="34" w16cid:durableId="345909788">
    <w:abstractNumId w:val="12"/>
  </w:num>
  <w:num w:numId="35" w16cid:durableId="834995161">
    <w:abstractNumId w:val="38"/>
  </w:num>
  <w:num w:numId="36" w16cid:durableId="1691489784">
    <w:abstractNumId w:val="3"/>
  </w:num>
  <w:num w:numId="37" w16cid:durableId="462041953">
    <w:abstractNumId w:val="36"/>
  </w:num>
  <w:num w:numId="38" w16cid:durableId="199056236">
    <w:abstractNumId w:val="30"/>
  </w:num>
  <w:num w:numId="39" w16cid:durableId="1931893376">
    <w:abstractNumId w:val="1"/>
  </w:num>
  <w:num w:numId="40" w16cid:durableId="808936209">
    <w:abstractNumId w:val="15"/>
  </w:num>
  <w:num w:numId="41" w16cid:durableId="1123307383">
    <w:abstractNumId w:val="18"/>
  </w:num>
  <w:num w:numId="42" w16cid:durableId="10785958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38"/>
    <w:rsid w:val="00012F92"/>
    <w:rsid w:val="00017A62"/>
    <w:rsid w:val="00023E29"/>
    <w:rsid w:val="0003184C"/>
    <w:rsid w:val="000335F8"/>
    <w:rsid w:val="00034CDA"/>
    <w:rsid w:val="00043531"/>
    <w:rsid w:val="00047C27"/>
    <w:rsid w:val="000509B8"/>
    <w:rsid w:val="00051137"/>
    <w:rsid w:val="000513E1"/>
    <w:rsid w:val="000547DB"/>
    <w:rsid w:val="000561E8"/>
    <w:rsid w:val="00062906"/>
    <w:rsid w:val="000637D9"/>
    <w:rsid w:val="00064689"/>
    <w:rsid w:val="0008682C"/>
    <w:rsid w:val="00090DE5"/>
    <w:rsid w:val="00091066"/>
    <w:rsid w:val="00097B7B"/>
    <w:rsid w:val="000B1800"/>
    <w:rsid w:val="000B688C"/>
    <w:rsid w:val="000C5041"/>
    <w:rsid w:val="000D1B0F"/>
    <w:rsid w:val="000E0F27"/>
    <w:rsid w:val="000F5653"/>
    <w:rsid w:val="000F786C"/>
    <w:rsid w:val="00107B38"/>
    <w:rsid w:val="00113355"/>
    <w:rsid w:val="0011792A"/>
    <w:rsid w:val="001338CD"/>
    <w:rsid w:val="001643D7"/>
    <w:rsid w:val="00172182"/>
    <w:rsid w:val="00176527"/>
    <w:rsid w:val="001927C9"/>
    <w:rsid w:val="001A3806"/>
    <w:rsid w:val="001B3F83"/>
    <w:rsid w:val="001B4D70"/>
    <w:rsid w:val="001C16C9"/>
    <w:rsid w:val="001D1BC8"/>
    <w:rsid w:val="001D2AA2"/>
    <w:rsid w:val="001D2E9F"/>
    <w:rsid w:val="001E1BB8"/>
    <w:rsid w:val="001E343F"/>
    <w:rsid w:val="001F4F06"/>
    <w:rsid w:val="00200553"/>
    <w:rsid w:val="00203306"/>
    <w:rsid w:val="0020453D"/>
    <w:rsid w:val="00205CE2"/>
    <w:rsid w:val="00212FB7"/>
    <w:rsid w:val="00222272"/>
    <w:rsid w:val="002253AD"/>
    <w:rsid w:val="0023238A"/>
    <w:rsid w:val="00237194"/>
    <w:rsid w:val="0023738E"/>
    <w:rsid w:val="00240289"/>
    <w:rsid w:val="00241CA2"/>
    <w:rsid w:val="00243315"/>
    <w:rsid w:val="00245EB4"/>
    <w:rsid w:val="00254B45"/>
    <w:rsid w:val="002656DD"/>
    <w:rsid w:val="00270EDB"/>
    <w:rsid w:val="0027285D"/>
    <w:rsid w:val="00273118"/>
    <w:rsid w:val="0027404E"/>
    <w:rsid w:val="00274CDE"/>
    <w:rsid w:val="00282F68"/>
    <w:rsid w:val="00284F3B"/>
    <w:rsid w:val="002850CA"/>
    <w:rsid w:val="002853D0"/>
    <w:rsid w:val="00285525"/>
    <w:rsid w:val="002C4C2E"/>
    <w:rsid w:val="002D17EE"/>
    <w:rsid w:val="002D55CD"/>
    <w:rsid w:val="002E4A61"/>
    <w:rsid w:val="002F73C0"/>
    <w:rsid w:val="00300121"/>
    <w:rsid w:val="003018F5"/>
    <w:rsid w:val="00304ADC"/>
    <w:rsid w:val="00306623"/>
    <w:rsid w:val="00330AFD"/>
    <w:rsid w:val="00336F16"/>
    <w:rsid w:val="0036115E"/>
    <w:rsid w:val="00372A87"/>
    <w:rsid w:val="003A2563"/>
    <w:rsid w:val="003A3663"/>
    <w:rsid w:val="003A4EB1"/>
    <w:rsid w:val="003A51CB"/>
    <w:rsid w:val="003B01B0"/>
    <w:rsid w:val="003B2D69"/>
    <w:rsid w:val="003B3C34"/>
    <w:rsid w:val="003C2B08"/>
    <w:rsid w:val="003D72E7"/>
    <w:rsid w:val="003D74E1"/>
    <w:rsid w:val="003E4301"/>
    <w:rsid w:val="003F2C56"/>
    <w:rsid w:val="003F4037"/>
    <w:rsid w:val="003F67E5"/>
    <w:rsid w:val="00402798"/>
    <w:rsid w:val="004100FE"/>
    <w:rsid w:val="00410B71"/>
    <w:rsid w:val="00415FF8"/>
    <w:rsid w:val="004208AB"/>
    <w:rsid w:val="00423647"/>
    <w:rsid w:val="004351C0"/>
    <w:rsid w:val="00435F85"/>
    <w:rsid w:val="00442EFE"/>
    <w:rsid w:val="00443850"/>
    <w:rsid w:val="00447D9A"/>
    <w:rsid w:val="0045372D"/>
    <w:rsid w:val="00474EF9"/>
    <w:rsid w:val="0047661C"/>
    <w:rsid w:val="00486CC5"/>
    <w:rsid w:val="00493304"/>
    <w:rsid w:val="004972C3"/>
    <w:rsid w:val="004C5EDF"/>
    <w:rsid w:val="004D2F9B"/>
    <w:rsid w:val="004E0FA4"/>
    <w:rsid w:val="004E1D97"/>
    <w:rsid w:val="004E6EA4"/>
    <w:rsid w:val="004F6384"/>
    <w:rsid w:val="004F7BA8"/>
    <w:rsid w:val="00502D81"/>
    <w:rsid w:val="00514809"/>
    <w:rsid w:val="00521C04"/>
    <w:rsid w:val="005220F9"/>
    <w:rsid w:val="005250F8"/>
    <w:rsid w:val="0053028B"/>
    <w:rsid w:val="00531E26"/>
    <w:rsid w:val="00533498"/>
    <w:rsid w:val="00544F6B"/>
    <w:rsid w:val="00553213"/>
    <w:rsid w:val="00571107"/>
    <w:rsid w:val="00576091"/>
    <w:rsid w:val="0057660D"/>
    <w:rsid w:val="00581EE0"/>
    <w:rsid w:val="00585D57"/>
    <w:rsid w:val="00590D03"/>
    <w:rsid w:val="005934E9"/>
    <w:rsid w:val="005A09F6"/>
    <w:rsid w:val="005A0C7E"/>
    <w:rsid w:val="005A3A8B"/>
    <w:rsid w:val="005A4B5A"/>
    <w:rsid w:val="005A4E49"/>
    <w:rsid w:val="005B3B34"/>
    <w:rsid w:val="005B4040"/>
    <w:rsid w:val="005C083E"/>
    <w:rsid w:val="005C36EF"/>
    <w:rsid w:val="005E0249"/>
    <w:rsid w:val="005E404E"/>
    <w:rsid w:val="00630352"/>
    <w:rsid w:val="00633A4E"/>
    <w:rsid w:val="00644456"/>
    <w:rsid w:val="0065409C"/>
    <w:rsid w:val="0066144C"/>
    <w:rsid w:val="006655D6"/>
    <w:rsid w:val="00665F70"/>
    <w:rsid w:val="00670E0E"/>
    <w:rsid w:val="00670EE7"/>
    <w:rsid w:val="00671982"/>
    <w:rsid w:val="00680B09"/>
    <w:rsid w:val="006902B6"/>
    <w:rsid w:val="00691984"/>
    <w:rsid w:val="0069267F"/>
    <w:rsid w:val="00692EA4"/>
    <w:rsid w:val="0069429C"/>
    <w:rsid w:val="006A17DF"/>
    <w:rsid w:val="006A3DB6"/>
    <w:rsid w:val="006C52DB"/>
    <w:rsid w:val="006D38DD"/>
    <w:rsid w:val="006E118B"/>
    <w:rsid w:val="006E46CB"/>
    <w:rsid w:val="006F2121"/>
    <w:rsid w:val="006F7EBE"/>
    <w:rsid w:val="007012D4"/>
    <w:rsid w:val="00710C49"/>
    <w:rsid w:val="00716122"/>
    <w:rsid w:val="00717764"/>
    <w:rsid w:val="00724E28"/>
    <w:rsid w:val="00743EDB"/>
    <w:rsid w:val="007452A9"/>
    <w:rsid w:val="00755750"/>
    <w:rsid w:val="007613F5"/>
    <w:rsid w:val="00761B22"/>
    <w:rsid w:val="0077320A"/>
    <w:rsid w:val="00774B12"/>
    <w:rsid w:val="00780F99"/>
    <w:rsid w:val="00783FEC"/>
    <w:rsid w:val="007847CD"/>
    <w:rsid w:val="007943E7"/>
    <w:rsid w:val="007A2454"/>
    <w:rsid w:val="007B7C1E"/>
    <w:rsid w:val="007C22FA"/>
    <w:rsid w:val="007C3426"/>
    <w:rsid w:val="007C4A12"/>
    <w:rsid w:val="007C6534"/>
    <w:rsid w:val="007D598B"/>
    <w:rsid w:val="008043F9"/>
    <w:rsid w:val="00832BDB"/>
    <w:rsid w:val="00845401"/>
    <w:rsid w:val="0084559E"/>
    <w:rsid w:val="00853DA1"/>
    <w:rsid w:val="00856CE3"/>
    <w:rsid w:val="008649A2"/>
    <w:rsid w:val="00872C2B"/>
    <w:rsid w:val="008744F1"/>
    <w:rsid w:val="008756C3"/>
    <w:rsid w:val="008756D6"/>
    <w:rsid w:val="00876C77"/>
    <w:rsid w:val="00880296"/>
    <w:rsid w:val="0088368A"/>
    <w:rsid w:val="008902A2"/>
    <w:rsid w:val="0089167F"/>
    <w:rsid w:val="00893218"/>
    <w:rsid w:val="008B29B9"/>
    <w:rsid w:val="008B6C3C"/>
    <w:rsid w:val="008B7C1F"/>
    <w:rsid w:val="008C39E2"/>
    <w:rsid w:val="008C7F31"/>
    <w:rsid w:val="008D539F"/>
    <w:rsid w:val="008E0863"/>
    <w:rsid w:val="008F2176"/>
    <w:rsid w:val="00902BBD"/>
    <w:rsid w:val="00905868"/>
    <w:rsid w:val="0092289C"/>
    <w:rsid w:val="0092295C"/>
    <w:rsid w:val="00923842"/>
    <w:rsid w:val="009371E4"/>
    <w:rsid w:val="009472A8"/>
    <w:rsid w:val="0095081B"/>
    <w:rsid w:val="009519CB"/>
    <w:rsid w:val="009578CC"/>
    <w:rsid w:val="00964758"/>
    <w:rsid w:val="009738B1"/>
    <w:rsid w:val="00980D5A"/>
    <w:rsid w:val="00981F24"/>
    <w:rsid w:val="00984748"/>
    <w:rsid w:val="0098639C"/>
    <w:rsid w:val="009B08E5"/>
    <w:rsid w:val="009C07E6"/>
    <w:rsid w:val="009C350F"/>
    <w:rsid w:val="009C3E6C"/>
    <w:rsid w:val="009C4626"/>
    <w:rsid w:val="009C7E6C"/>
    <w:rsid w:val="009D27F9"/>
    <w:rsid w:val="009D3B77"/>
    <w:rsid w:val="009E066A"/>
    <w:rsid w:val="009E594A"/>
    <w:rsid w:val="009F22B1"/>
    <w:rsid w:val="009F33B2"/>
    <w:rsid w:val="009F3501"/>
    <w:rsid w:val="009F6F1E"/>
    <w:rsid w:val="00A026EE"/>
    <w:rsid w:val="00A10EB6"/>
    <w:rsid w:val="00A30222"/>
    <w:rsid w:val="00A31F36"/>
    <w:rsid w:val="00A445C3"/>
    <w:rsid w:val="00A47351"/>
    <w:rsid w:val="00A558B8"/>
    <w:rsid w:val="00A617EE"/>
    <w:rsid w:val="00A644D4"/>
    <w:rsid w:val="00A67196"/>
    <w:rsid w:val="00A92A19"/>
    <w:rsid w:val="00AA59C6"/>
    <w:rsid w:val="00AB11BC"/>
    <w:rsid w:val="00AB65F7"/>
    <w:rsid w:val="00AC5B0D"/>
    <w:rsid w:val="00AE4498"/>
    <w:rsid w:val="00AF4730"/>
    <w:rsid w:val="00B01F12"/>
    <w:rsid w:val="00B22169"/>
    <w:rsid w:val="00B25825"/>
    <w:rsid w:val="00B4025E"/>
    <w:rsid w:val="00B410E6"/>
    <w:rsid w:val="00B507DD"/>
    <w:rsid w:val="00B57AFC"/>
    <w:rsid w:val="00B620CC"/>
    <w:rsid w:val="00B66632"/>
    <w:rsid w:val="00B6691F"/>
    <w:rsid w:val="00B71DDE"/>
    <w:rsid w:val="00B75AB8"/>
    <w:rsid w:val="00B75DD1"/>
    <w:rsid w:val="00B84FCE"/>
    <w:rsid w:val="00BA1457"/>
    <w:rsid w:val="00BB1D72"/>
    <w:rsid w:val="00BB70B6"/>
    <w:rsid w:val="00BB7FF7"/>
    <w:rsid w:val="00BD3A51"/>
    <w:rsid w:val="00BE6617"/>
    <w:rsid w:val="00BF5C03"/>
    <w:rsid w:val="00C02E23"/>
    <w:rsid w:val="00C03430"/>
    <w:rsid w:val="00C043C8"/>
    <w:rsid w:val="00C064A1"/>
    <w:rsid w:val="00C11B38"/>
    <w:rsid w:val="00C202F2"/>
    <w:rsid w:val="00C20561"/>
    <w:rsid w:val="00C2213C"/>
    <w:rsid w:val="00C24D49"/>
    <w:rsid w:val="00C2657A"/>
    <w:rsid w:val="00C30F3B"/>
    <w:rsid w:val="00C438F1"/>
    <w:rsid w:val="00C5107A"/>
    <w:rsid w:val="00C635E8"/>
    <w:rsid w:val="00C76338"/>
    <w:rsid w:val="00C805EE"/>
    <w:rsid w:val="00C80B10"/>
    <w:rsid w:val="00C8184C"/>
    <w:rsid w:val="00C82AE8"/>
    <w:rsid w:val="00C96888"/>
    <w:rsid w:val="00CA1128"/>
    <w:rsid w:val="00CA4D06"/>
    <w:rsid w:val="00CA5422"/>
    <w:rsid w:val="00CA61CD"/>
    <w:rsid w:val="00CB4C9A"/>
    <w:rsid w:val="00CC2763"/>
    <w:rsid w:val="00CC3AF1"/>
    <w:rsid w:val="00CF27F5"/>
    <w:rsid w:val="00CF3E6A"/>
    <w:rsid w:val="00CF433A"/>
    <w:rsid w:val="00CF66AD"/>
    <w:rsid w:val="00CF75B0"/>
    <w:rsid w:val="00D05F87"/>
    <w:rsid w:val="00D12613"/>
    <w:rsid w:val="00D15AEB"/>
    <w:rsid w:val="00D16537"/>
    <w:rsid w:val="00D20A7A"/>
    <w:rsid w:val="00D23C20"/>
    <w:rsid w:val="00D24DBB"/>
    <w:rsid w:val="00D33A64"/>
    <w:rsid w:val="00D3557F"/>
    <w:rsid w:val="00D36CC1"/>
    <w:rsid w:val="00D42027"/>
    <w:rsid w:val="00D439A8"/>
    <w:rsid w:val="00D44A98"/>
    <w:rsid w:val="00D450A9"/>
    <w:rsid w:val="00D506FC"/>
    <w:rsid w:val="00D523F3"/>
    <w:rsid w:val="00D53DD9"/>
    <w:rsid w:val="00D544A0"/>
    <w:rsid w:val="00D54E06"/>
    <w:rsid w:val="00D60F1B"/>
    <w:rsid w:val="00D6302E"/>
    <w:rsid w:val="00D6470F"/>
    <w:rsid w:val="00D653B0"/>
    <w:rsid w:val="00D74142"/>
    <w:rsid w:val="00D81BA4"/>
    <w:rsid w:val="00D840F3"/>
    <w:rsid w:val="00D8661E"/>
    <w:rsid w:val="00DA466D"/>
    <w:rsid w:val="00DA752C"/>
    <w:rsid w:val="00DA7DF7"/>
    <w:rsid w:val="00DB537E"/>
    <w:rsid w:val="00DD5E99"/>
    <w:rsid w:val="00DE0A65"/>
    <w:rsid w:val="00DE4E1D"/>
    <w:rsid w:val="00E17E2F"/>
    <w:rsid w:val="00E22864"/>
    <w:rsid w:val="00E27150"/>
    <w:rsid w:val="00E33108"/>
    <w:rsid w:val="00E35FFB"/>
    <w:rsid w:val="00E37EB3"/>
    <w:rsid w:val="00E465D6"/>
    <w:rsid w:val="00E53AEF"/>
    <w:rsid w:val="00E53F75"/>
    <w:rsid w:val="00E6055A"/>
    <w:rsid w:val="00E60EDA"/>
    <w:rsid w:val="00E67FF0"/>
    <w:rsid w:val="00E707D1"/>
    <w:rsid w:val="00E7333F"/>
    <w:rsid w:val="00E81311"/>
    <w:rsid w:val="00E91946"/>
    <w:rsid w:val="00E93D3E"/>
    <w:rsid w:val="00E94647"/>
    <w:rsid w:val="00EB0233"/>
    <w:rsid w:val="00EB317B"/>
    <w:rsid w:val="00EB5AB4"/>
    <w:rsid w:val="00EC0E89"/>
    <w:rsid w:val="00EC2AF2"/>
    <w:rsid w:val="00EC76F3"/>
    <w:rsid w:val="00ED2CE0"/>
    <w:rsid w:val="00ED3227"/>
    <w:rsid w:val="00ED7BA8"/>
    <w:rsid w:val="00EE0011"/>
    <w:rsid w:val="00EE4C2B"/>
    <w:rsid w:val="00EE5F16"/>
    <w:rsid w:val="00EE75F9"/>
    <w:rsid w:val="00EF1E41"/>
    <w:rsid w:val="00EF57D1"/>
    <w:rsid w:val="00EF7B94"/>
    <w:rsid w:val="00F03401"/>
    <w:rsid w:val="00F06951"/>
    <w:rsid w:val="00F14E87"/>
    <w:rsid w:val="00F215E1"/>
    <w:rsid w:val="00F25216"/>
    <w:rsid w:val="00F43842"/>
    <w:rsid w:val="00F44020"/>
    <w:rsid w:val="00F5076C"/>
    <w:rsid w:val="00F51FA8"/>
    <w:rsid w:val="00F77ABB"/>
    <w:rsid w:val="00F807D5"/>
    <w:rsid w:val="00F8099C"/>
    <w:rsid w:val="00F84B30"/>
    <w:rsid w:val="00F87DEC"/>
    <w:rsid w:val="00F91155"/>
    <w:rsid w:val="00FA3E63"/>
    <w:rsid w:val="00FA530F"/>
    <w:rsid w:val="00FA5C82"/>
    <w:rsid w:val="00FB2C26"/>
    <w:rsid w:val="00FE2397"/>
    <w:rsid w:val="00FE248E"/>
    <w:rsid w:val="00FF4A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CCE8C"/>
  <w15:docId w15:val="{D7D6D557-13E7-4785-99A4-C9956D3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B38"/>
    <w:pPr>
      <w:widowControl w:val="0"/>
      <w:autoSpaceDE w:val="0"/>
      <w:autoSpaceDN w:val="0"/>
      <w:adjustRightInd w:val="0"/>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3426"/>
    <w:pPr>
      <w:tabs>
        <w:tab w:val="center" w:pos="4153"/>
        <w:tab w:val="right" w:pos="8306"/>
      </w:tabs>
    </w:pPr>
  </w:style>
  <w:style w:type="character" w:styleId="PageNumber">
    <w:name w:val="page number"/>
    <w:basedOn w:val="DefaultParagraphFont"/>
    <w:rsid w:val="007C3426"/>
  </w:style>
  <w:style w:type="paragraph" w:styleId="BalloonText">
    <w:name w:val="Balloon Text"/>
    <w:basedOn w:val="Normal"/>
    <w:semiHidden/>
    <w:rsid w:val="000C5041"/>
    <w:rPr>
      <w:rFonts w:ascii="Tahoma" w:hAnsi="Tahoma" w:cs="Tahoma"/>
      <w:sz w:val="16"/>
      <w:szCs w:val="16"/>
    </w:rPr>
  </w:style>
  <w:style w:type="paragraph" w:styleId="ListParagraph">
    <w:name w:val="List Paragraph"/>
    <w:basedOn w:val="Normal"/>
    <w:uiPriority w:val="34"/>
    <w:qFormat/>
    <w:rsid w:val="003F4037"/>
    <w:pPr>
      <w:widowControl/>
      <w:autoSpaceDE/>
      <w:autoSpaceDN/>
      <w:adjustRightInd/>
      <w:spacing w:after="200" w:line="276" w:lineRule="auto"/>
      <w:ind w:left="720"/>
      <w:contextualSpacing/>
    </w:pPr>
    <w:rPr>
      <w:rFonts w:ascii="Calibri" w:eastAsia="Calibri" w:hAnsi="Calibri"/>
      <w:sz w:val="22"/>
      <w:szCs w:val="22"/>
      <w:lang w:val="af-ZA" w:eastAsia="en-US"/>
    </w:rPr>
  </w:style>
  <w:style w:type="paragraph" w:styleId="BodyTextIndent">
    <w:name w:val="Body Text Indent"/>
    <w:basedOn w:val="Normal"/>
    <w:link w:val="BodyTextIndentChar"/>
    <w:rsid w:val="00A558B8"/>
    <w:pPr>
      <w:tabs>
        <w:tab w:val="left" w:pos="-720"/>
        <w:tab w:val="left" w:pos="0"/>
        <w:tab w:val="left" w:pos="720"/>
        <w:tab w:val="left" w:pos="1440"/>
      </w:tabs>
      <w:suppressAutoHyphens/>
      <w:autoSpaceDE/>
      <w:autoSpaceDN/>
      <w:adjustRightInd/>
      <w:spacing w:line="360" w:lineRule="auto"/>
      <w:ind w:left="2160" w:hanging="2160"/>
      <w:jc w:val="both"/>
    </w:pPr>
    <w:rPr>
      <w:rFonts w:ascii="Arial" w:hAnsi="Arial"/>
      <w:snapToGrid w:val="0"/>
      <w:spacing w:val="-3"/>
      <w:sz w:val="24"/>
      <w:lang w:eastAsia="en-US"/>
    </w:rPr>
  </w:style>
  <w:style w:type="character" w:customStyle="1" w:styleId="BodyTextIndentChar">
    <w:name w:val="Body Text Indent Char"/>
    <w:basedOn w:val="DefaultParagraphFont"/>
    <w:link w:val="BodyTextIndent"/>
    <w:rsid w:val="00A558B8"/>
    <w:rPr>
      <w:rFonts w:ascii="Arial" w:hAnsi="Arial"/>
      <w:snapToGrid w:val="0"/>
      <w:spacing w:val="-3"/>
      <w:sz w:val="24"/>
      <w:lang w:val="en-GB" w:eastAsia="en-US"/>
    </w:rPr>
  </w:style>
  <w:style w:type="paragraph" w:styleId="BodyTextIndent2">
    <w:name w:val="Body Text Indent 2"/>
    <w:basedOn w:val="Normal"/>
    <w:link w:val="BodyTextIndent2Char"/>
    <w:rsid w:val="00A558B8"/>
    <w:pPr>
      <w:widowControl/>
      <w:tabs>
        <w:tab w:val="left" w:pos="-720"/>
        <w:tab w:val="left" w:pos="0"/>
        <w:tab w:val="left" w:pos="720"/>
        <w:tab w:val="right" w:pos="8222"/>
      </w:tabs>
      <w:suppressAutoHyphens/>
      <w:autoSpaceDE/>
      <w:autoSpaceDN/>
      <w:adjustRightInd/>
      <w:spacing w:line="360" w:lineRule="auto"/>
      <w:ind w:left="1440" w:hanging="1440"/>
      <w:jc w:val="both"/>
    </w:pPr>
    <w:rPr>
      <w:rFonts w:ascii="Arial" w:hAnsi="Arial"/>
      <w:spacing w:val="-3"/>
      <w:sz w:val="28"/>
      <w:lang w:val="en-US" w:eastAsia="en-US"/>
    </w:rPr>
  </w:style>
  <w:style w:type="character" w:customStyle="1" w:styleId="BodyTextIndent2Char">
    <w:name w:val="Body Text Indent 2 Char"/>
    <w:basedOn w:val="DefaultParagraphFont"/>
    <w:link w:val="BodyTextIndent2"/>
    <w:rsid w:val="00A558B8"/>
    <w:rPr>
      <w:rFonts w:ascii="Arial" w:hAnsi="Arial"/>
      <w:spacing w:val="-3"/>
      <w:sz w:val="28"/>
      <w:lang w:val="en-US" w:eastAsia="en-US"/>
    </w:rPr>
  </w:style>
  <w:style w:type="paragraph" w:styleId="BodyText2">
    <w:name w:val="Body Text 2"/>
    <w:basedOn w:val="Normal"/>
    <w:link w:val="BodyText2Char"/>
    <w:rsid w:val="00A558B8"/>
    <w:pPr>
      <w:widowControl/>
      <w:tabs>
        <w:tab w:val="right" w:pos="713"/>
        <w:tab w:val="left" w:pos="9139"/>
      </w:tabs>
      <w:autoSpaceDE/>
      <w:autoSpaceDN/>
      <w:adjustRightInd/>
      <w:spacing w:line="360" w:lineRule="auto"/>
      <w:jc w:val="both"/>
    </w:pPr>
    <w:rPr>
      <w:sz w:val="24"/>
      <w:lang w:val="en-ZA" w:eastAsia="en-US"/>
    </w:rPr>
  </w:style>
  <w:style w:type="character" w:customStyle="1" w:styleId="BodyText2Char">
    <w:name w:val="Body Text 2 Char"/>
    <w:basedOn w:val="DefaultParagraphFont"/>
    <w:link w:val="BodyText2"/>
    <w:rsid w:val="00A558B8"/>
    <w:rPr>
      <w:sz w:val="24"/>
      <w:lang w:eastAsia="en-US"/>
    </w:rPr>
  </w:style>
  <w:style w:type="character" w:customStyle="1" w:styleId="HeaderChar">
    <w:name w:val="Header Char"/>
    <w:basedOn w:val="DefaultParagraphFont"/>
    <w:link w:val="Header"/>
    <w:uiPriority w:val="99"/>
    <w:rsid w:val="004E0FA4"/>
    <w:rPr>
      <w:lang w:val="en-GB" w:eastAsia="en-GB"/>
    </w:rPr>
  </w:style>
  <w:style w:type="paragraph" w:styleId="Footer">
    <w:name w:val="footer"/>
    <w:basedOn w:val="Normal"/>
    <w:link w:val="FooterChar"/>
    <w:uiPriority w:val="99"/>
    <w:unhideWhenUsed/>
    <w:rsid w:val="004E0FA4"/>
    <w:pPr>
      <w:widowControl/>
      <w:tabs>
        <w:tab w:val="center" w:pos="4513"/>
        <w:tab w:val="right" w:pos="9026"/>
      </w:tabs>
      <w:autoSpaceDE/>
      <w:autoSpaceDN/>
      <w:adjustRightInd/>
    </w:pPr>
    <w:rPr>
      <w:rFonts w:asciiTheme="minorHAnsi" w:eastAsiaTheme="minorHAnsi" w:hAnsiTheme="minorHAnsi" w:cstheme="minorBidi"/>
      <w:sz w:val="22"/>
      <w:szCs w:val="22"/>
      <w:lang w:val="af-ZA" w:eastAsia="en-US"/>
    </w:rPr>
  </w:style>
  <w:style w:type="character" w:customStyle="1" w:styleId="FooterChar">
    <w:name w:val="Footer Char"/>
    <w:basedOn w:val="DefaultParagraphFont"/>
    <w:link w:val="Footer"/>
    <w:uiPriority w:val="99"/>
    <w:rsid w:val="004E0FA4"/>
    <w:rPr>
      <w:rFonts w:asciiTheme="minorHAnsi" w:eastAsiaTheme="minorHAnsi" w:hAnsiTheme="minorHAnsi" w:cstheme="minorBidi"/>
      <w:sz w:val="22"/>
      <w:szCs w:val="22"/>
      <w:lang w:val="af-ZA" w:eastAsia="en-US"/>
    </w:rPr>
  </w:style>
  <w:style w:type="character" w:styleId="Hyperlink">
    <w:name w:val="Hyperlink"/>
    <w:basedOn w:val="DefaultParagraphFont"/>
    <w:uiPriority w:val="99"/>
    <w:rsid w:val="004E0FA4"/>
    <w:rPr>
      <w:color w:val="0000FF"/>
      <w:u w:val="single"/>
    </w:rPr>
  </w:style>
  <w:style w:type="paragraph" w:styleId="FootnoteText">
    <w:name w:val="footnote text"/>
    <w:basedOn w:val="Normal"/>
    <w:link w:val="FootnoteTextChar"/>
    <w:uiPriority w:val="99"/>
    <w:rsid w:val="00285525"/>
  </w:style>
  <w:style w:type="character" w:customStyle="1" w:styleId="FootnoteTextChar">
    <w:name w:val="Footnote Text Char"/>
    <w:basedOn w:val="DefaultParagraphFont"/>
    <w:link w:val="FootnoteText"/>
    <w:uiPriority w:val="99"/>
    <w:rsid w:val="00285525"/>
    <w:rPr>
      <w:lang w:val="en-GB" w:eastAsia="en-GB"/>
    </w:rPr>
  </w:style>
  <w:style w:type="character" w:styleId="FootnoteReference">
    <w:name w:val="footnote reference"/>
    <w:basedOn w:val="DefaultParagraphFont"/>
    <w:uiPriority w:val="99"/>
    <w:rsid w:val="00285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A2F4-EC0F-46FE-BF75-88857814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 DIE HOOGGEREGSHOF VAN SUID-AFRIKA</vt:lpstr>
    </vt:vector>
  </TitlesOfParts>
  <Company>Dept. of Justice</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DIE HOOGGEREGSHOF VAN SUID-AFRIKA</dc:title>
  <dc:creator>JoVanZyl</dc:creator>
  <cp:lastModifiedBy>sathish sarshan  mohan</cp:lastModifiedBy>
  <cp:revision>4</cp:revision>
  <cp:lastPrinted>2024-03-15T05:22:00Z</cp:lastPrinted>
  <dcterms:created xsi:type="dcterms:W3CDTF">2024-03-15T11:49:00Z</dcterms:created>
  <dcterms:modified xsi:type="dcterms:W3CDTF">2024-04-01T21:19:00Z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05c7dfdedc3200eb5abb1185dafb6e4df15bd9bbc39fda7ad29ab1aa57299851</vt:lpwstr>
  </property>
</Properties>
</file>