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58241" w14:textId="77777777" w:rsidR="007B7DC9" w:rsidRPr="00323B8E" w:rsidRDefault="007B7DC9" w:rsidP="007B7DC9">
      <w:pPr>
        <w:spacing w:after="120" w:line="360" w:lineRule="auto"/>
        <w:jc w:val="center"/>
        <w:rPr>
          <w:rFonts w:ascii="Arial" w:eastAsia="Times New Roman" w:hAnsi="Arial" w:cs="Arial"/>
          <w:b/>
          <w:bCs/>
        </w:rPr>
      </w:pPr>
      <w:r w:rsidRPr="00323B8E">
        <w:rPr>
          <w:rFonts w:ascii="Arial" w:eastAsia="Times New Roman" w:hAnsi="Arial" w:cs="Arial"/>
          <w:b/>
          <w:bCs/>
          <w:noProof/>
          <w:lang w:eastAsia="en-ZA"/>
        </w:rPr>
        <w:drawing>
          <wp:inline distT="0" distB="0" distL="0" distR="0" wp14:anchorId="5EAFA4A2" wp14:editId="134BCCAC">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6232D319" w14:textId="77777777" w:rsidR="007B7DC9" w:rsidRPr="00323B8E" w:rsidRDefault="007B7DC9" w:rsidP="007B7DC9">
      <w:pPr>
        <w:jc w:val="center"/>
        <w:rPr>
          <w:rFonts w:ascii="Arial" w:eastAsia="Times New Roman" w:hAnsi="Arial" w:cs="Times New Roman"/>
          <w:b/>
        </w:rPr>
      </w:pPr>
      <w:r w:rsidRPr="00323B8E">
        <w:rPr>
          <w:rFonts w:ascii="Arial" w:eastAsia="Times New Roman" w:hAnsi="Arial" w:cs="Times New Roman"/>
          <w:b/>
        </w:rPr>
        <w:t xml:space="preserve">IN THE HIGH COURT OF SOUTH AFRICA, </w:t>
      </w:r>
    </w:p>
    <w:p w14:paraId="52D95DF7" w14:textId="77777777" w:rsidR="007B7DC9" w:rsidRPr="00323B8E" w:rsidRDefault="007B7DC9" w:rsidP="007B7DC9">
      <w:pPr>
        <w:jc w:val="center"/>
        <w:rPr>
          <w:rFonts w:ascii="Arial" w:eastAsia="Times New Roman" w:hAnsi="Arial" w:cs="Times New Roman"/>
          <w:b/>
        </w:rPr>
      </w:pPr>
      <w:r w:rsidRPr="00323B8E">
        <w:rPr>
          <w:rFonts w:ascii="Arial" w:eastAsia="Times New Roman" w:hAnsi="Arial" w:cs="Times New Roman"/>
          <w:b/>
        </w:rPr>
        <w:t>GAUTENG DIVISION, PRETORIA</w:t>
      </w:r>
    </w:p>
    <w:p w14:paraId="77F6BE8B" w14:textId="77777777" w:rsidR="007B7DC9" w:rsidRPr="00323B8E" w:rsidRDefault="007B7DC9" w:rsidP="007B7DC9">
      <w:pPr>
        <w:spacing w:line="360" w:lineRule="auto"/>
        <w:jc w:val="right"/>
        <w:rPr>
          <w:rFonts w:ascii="Arial" w:eastAsia="Times New Roman" w:hAnsi="Arial" w:cs="Times New Roman"/>
        </w:rPr>
      </w:pPr>
    </w:p>
    <w:p w14:paraId="4FF8D753" w14:textId="62ADCEB5" w:rsidR="007B7DC9" w:rsidRPr="00366C3E" w:rsidRDefault="007B7DC9" w:rsidP="007B7DC9">
      <w:pPr>
        <w:spacing w:line="360" w:lineRule="auto"/>
        <w:jc w:val="right"/>
        <w:rPr>
          <w:rFonts w:ascii="Arial" w:eastAsia="Times New Roman" w:hAnsi="Arial" w:cs="Times New Roman"/>
          <w:b/>
          <w:lang w:val="en-US"/>
        </w:rPr>
      </w:pPr>
      <w:r w:rsidRPr="00366C3E">
        <w:rPr>
          <w:rFonts w:ascii="Arial" w:eastAsia="Times New Roman" w:hAnsi="Arial" w:cs="Times New Roman"/>
          <w:b/>
          <w:lang w:val="en-US"/>
        </w:rPr>
        <w:t xml:space="preserve">CASE NO:  </w:t>
      </w:r>
      <w:r w:rsidRPr="00366C3E">
        <w:rPr>
          <w:rFonts w:ascii="Arial" w:hAnsi="Arial" w:cs="Arial"/>
          <w:b/>
          <w:sz w:val="24"/>
          <w:szCs w:val="24"/>
          <w:lang w:val="en-US"/>
        </w:rPr>
        <w:t>B</w:t>
      </w:r>
      <w:r>
        <w:rPr>
          <w:rFonts w:ascii="Arial" w:hAnsi="Arial" w:cs="Arial"/>
          <w:b/>
          <w:sz w:val="24"/>
          <w:szCs w:val="24"/>
          <w:lang w:val="en-US"/>
        </w:rPr>
        <w:t>560</w:t>
      </w:r>
      <w:r w:rsidRPr="00366C3E">
        <w:rPr>
          <w:rFonts w:ascii="Arial" w:hAnsi="Arial" w:cs="Arial"/>
          <w:b/>
          <w:sz w:val="24"/>
          <w:szCs w:val="24"/>
          <w:lang w:val="en-US"/>
        </w:rPr>
        <w:t>/2024</w:t>
      </w:r>
    </w:p>
    <w:p w14:paraId="18697CAC" w14:textId="77777777" w:rsidR="007B7DC9" w:rsidRPr="00323B8E" w:rsidRDefault="007B7DC9" w:rsidP="007B7DC9">
      <w:pPr>
        <w:spacing w:line="360" w:lineRule="auto"/>
        <w:jc w:val="right"/>
        <w:rPr>
          <w:rFonts w:ascii="Arial" w:eastAsia="Times New Roman" w:hAnsi="Arial" w:cs="Times New Roman"/>
        </w:rPr>
      </w:pPr>
      <w:r w:rsidRPr="00323B8E">
        <w:rPr>
          <w:rFonts w:ascii="Arial" w:eastAsia="Times New Roman" w:hAnsi="Arial" w:cs="Times New Roman"/>
          <w:noProof/>
          <w:lang w:eastAsia="en-ZA"/>
        </w:rPr>
        <mc:AlternateContent>
          <mc:Choice Requires="wps">
            <w:drawing>
              <wp:anchor distT="0" distB="0" distL="114300" distR="114300" simplePos="0" relativeHeight="251659264" behindDoc="0" locked="0" layoutInCell="1" allowOverlap="1" wp14:anchorId="5DF79296" wp14:editId="7DBF75DB">
                <wp:simplePos x="0" y="0"/>
                <wp:positionH relativeFrom="margin">
                  <wp:align>left</wp:align>
                </wp:positionH>
                <wp:positionV relativeFrom="paragraph">
                  <wp:posOffset>50164</wp:posOffset>
                </wp:positionV>
                <wp:extent cx="3314700" cy="17049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04975"/>
                        </a:xfrm>
                        <a:prstGeom prst="rect">
                          <a:avLst/>
                        </a:prstGeom>
                        <a:solidFill>
                          <a:srgbClr val="FFFFFF"/>
                        </a:solidFill>
                        <a:ln w="9525">
                          <a:solidFill>
                            <a:srgbClr val="000000"/>
                          </a:solidFill>
                          <a:miter lim="800000"/>
                          <a:headEnd/>
                          <a:tailEnd/>
                        </a:ln>
                      </wps:spPr>
                      <wps:txbx>
                        <w:txbxContent>
                          <w:p w14:paraId="73369B0A" w14:textId="77777777" w:rsidR="007B7DC9" w:rsidRPr="00913F95" w:rsidRDefault="007B7DC9" w:rsidP="007B7DC9">
                            <w:pPr>
                              <w:jc w:val="center"/>
                              <w:rPr>
                                <w:rFonts w:ascii="Century Gothic" w:hAnsi="Century Gothic"/>
                                <w:b/>
                                <w:sz w:val="20"/>
                                <w:szCs w:val="20"/>
                              </w:rPr>
                            </w:pPr>
                          </w:p>
                          <w:p w14:paraId="10E6C566" w14:textId="58E8AF5D" w:rsidR="007B7DC9" w:rsidRPr="00D53D69" w:rsidRDefault="003C1AE7" w:rsidP="003C1AE7">
                            <w:pPr>
                              <w:tabs>
                                <w:tab w:val="left" w:pos="900"/>
                              </w:tabs>
                              <w:spacing w:after="0" w:line="240" w:lineRule="auto"/>
                              <w:ind w:left="900" w:hanging="720"/>
                              <w:rPr>
                                <w:rFonts w:ascii="Arial" w:hAnsi="Arial" w:cs="Arial"/>
                                <w:sz w:val="20"/>
                                <w:szCs w:val="20"/>
                              </w:rPr>
                            </w:pPr>
                            <w:r w:rsidRPr="00D53D69">
                              <w:rPr>
                                <w:rFonts w:ascii="Arial" w:hAnsi="Arial" w:cs="Arial"/>
                                <w:sz w:val="20"/>
                                <w:szCs w:val="20"/>
                              </w:rPr>
                              <w:t>(1)</w:t>
                            </w:r>
                            <w:r w:rsidRPr="00D53D69">
                              <w:rPr>
                                <w:rFonts w:ascii="Arial" w:hAnsi="Arial" w:cs="Arial"/>
                                <w:sz w:val="20"/>
                                <w:szCs w:val="20"/>
                              </w:rPr>
                              <w:tab/>
                            </w:r>
                            <w:r w:rsidR="007B7DC9" w:rsidRPr="00D53D69">
                              <w:rPr>
                                <w:rFonts w:ascii="Arial" w:hAnsi="Arial" w:cs="Arial"/>
                                <w:sz w:val="20"/>
                                <w:szCs w:val="20"/>
                              </w:rPr>
                              <w:t>REPORTABLE: NO</w:t>
                            </w:r>
                          </w:p>
                          <w:p w14:paraId="002F89CA" w14:textId="6FFD0654" w:rsidR="007B7DC9" w:rsidRPr="00D53D69" w:rsidRDefault="003C1AE7" w:rsidP="003C1AE7">
                            <w:pPr>
                              <w:tabs>
                                <w:tab w:val="left" w:pos="900"/>
                              </w:tabs>
                              <w:spacing w:after="0" w:line="240" w:lineRule="auto"/>
                              <w:ind w:left="900" w:hanging="720"/>
                              <w:rPr>
                                <w:rFonts w:ascii="Arial" w:hAnsi="Arial" w:cs="Arial"/>
                                <w:sz w:val="20"/>
                                <w:szCs w:val="20"/>
                              </w:rPr>
                            </w:pPr>
                            <w:r w:rsidRPr="00D53D69">
                              <w:rPr>
                                <w:rFonts w:ascii="Arial" w:hAnsi="Arial" w:cs="Arial"/>
                                <w:sz w:val="20"/>
                                <w:szCs w:val="20"/>
                              </w:rPr>
                              <w:t>(2)</w:t>
                            </w:r>
                            <w:r w:rsidRPr="00D53D69">
                              <w:rPr>
                                <w:rFonts w:ascii="Arial" w:hAnsi="Arial" w:cs="Arial"/>
                                <w:sz w:val="20"/>
                                <w:szCs w:val="20"/>
                              </w:rPr>
                              <w:tab/>
                            </w:r>
                            <w:r w:rsidR="007B7DC9" w:rsidRPr="00D53D69">
                              <w:rPr>
                                <w:rFonts w:ascii="Arial" w:hAnsi="Arial" w:cs="Arial"/>
                                <w:sz w:val="20"/>
                                <w:szCs w:val="20"/>
                              </w:rPr>
                              <w:t xml:space="preserve">OF INTEREST TO OTHER JUDGES: NO </w:t>
                            </w:r>
                          </w:p>
                          <w:p w14:paraId="3AC5B28C" w14:textId="682BB649" w:rsidR="007B7DC9" w:rsidRPr="00D53D69" w:rsidRDefault="003C1AE7" w:rsidP="003C1AE7">
                            <w:pPr>
                              <w:tabs>
                                <w:tab w:val="left" w:pos="900"/>
                              </w:tabs>
                              <w:spacing w:after="0" w:line="240" w:lineRule="auto"/>
                              <w:ind w:left="900" w:hanging="720"/>
                              <w:rPr>
                                <w:rFonts w:ascii="Arial" w:hAnsi="Arial" w:cs="Arial"/>
                                <w:sz w:val="20"/>
                                <w:szCs w:val="20"/>
                              </w:rPr>
                            </w:pPr>
                            <w:r w:rsidRPr="00D53D69">
                              <w:rPr>
                                <w:rFonts w:ascii="Arial" w:hAnsi="Arial" w:cs="Arial"/>
                                <w:sz w:val="20"/>
                                <w:szCs w:val="20"/>
                              </w:rPr>
                              <w:t>(3)</w:t>
                            </w:r>
                            <w:r w:rsidRPr="00D53D69">
                              <w:rPr>
                                <w:rFonts w:ascii="Arial" w:hAnsi="Arial" w:cs="Arial"/>
                                <w:sz w:val="20"/>
                                <w:szCs w:val="20"/>
                              </w:rPr>
                              <w:tab/>
                            </w:r>
                            <w:r w:rsidR="007B7DC9" w:rsidRPr="00D53D69">
                              <w:rPr>
                                <w:rFonts w:ascii="Arial" w:hAnsi="Arial" w:cs="Arial"/>
                                <w:sz w:val="20"/>
                                <w:szCs w:val="20"/>
                              </w:rPr>
                              <w:t xml:space="preserve">REVISED: NO </w:t>
                            </w:r>
                          </w:p>
                          <w:p w14:paraId="4D5F661F" w14:textId="77777777" w:rsidR="007B7DC9" w:rsidRPr="00D53D69" w:rsidRDefault="007B7DC9" w:rsidP="007B7DC9">
                            <w:pPr>
                              <w:rPr>
                                <w:rFonts w:ascii="Arial" w:hAnsi="Arial" w:cs="Arial"/>
                                <w:b/>
                                <w:sz w:val="18"/>
                                <w:szCs w:val="18"/>
                              </w:rPr>
                            </w:pPr>
                          </w:p>
                          <w:p w14:paraId="5FDDA381" w14:textId="3B6701ED" w:rsidR="007B7DC9" w:rsidRPr="00D53D69" w:rsidRDefault="007B7DC9" w:rsidP="007B7DC9">
                            <w:pPr>
                              <w:rPr>
                                <w:rFonts w:ascii="Arial" w:eastAsia="Times New Roman" w:hAnsi="Arial" w:cs="Arial"/>
                                <w:b/>
                                <w:sz w:val="18"/>
                                <w:szCs w:val="18"/>
                              </w:rPr>
                            </w:pPr>
                            <w:r w:rsidRPr="00D53D69">
                              <w:rPr>
                                <w:rFonts w:ascii="Arial" w:hAnsi="Arial" w:cs="Arial"/>
                                <w:b/>
                                <w:sz w:val="18"/>
                                <w:szCs w:val="18"/>
                              </w:rPr>
                              <w:t xml:space="preserve">         </w:t>
                            </w:r>
                            <w:r>
                              <w:rPr>
                                <w:rFonts w:ascii="Arial" w:eastAsia="Times New Roman" w:hAnsi="Arial" w:cs="Arial"/>
                                <w:b/>
                                <w:sz w:val="18"/>
                                <w:szCs w:val="18"/>
                              </w:rPr>
                              <w:t>2</w:t>
                            </w:r>
                            <w:r w:rsidRPr="00D53D69">
                              <w:rPr>
                                <w:rFonts w:ascii="Arial" w:eastAsia="Times New Roman" w:hAnsi="Arial" w:cs="Arial"/>
                                <w:b/>
                                <w:sz w:val="18"/>
                                <w:szCs w:val="18"/>
                              </w:rPr>
                              <w:t xml:space="preserve"> </w:t>
                            </w:r>
                            <w:r>
                              <w:rPr>
                                <w:rFonts w:ascii="Arial" w:eastAsia="Times New Roman" w:hAnsi="Arial" w:cs="Arial"/>
                                <w:b/>
                                <w:sz w:val="18"/>
                                <w:szCs w:val="18"/>
                              </w:rPr>
                              <w:t>APRIL</w:t>
                            </w:r>
                            <w:r w:rsidRPr="00D53D69">
                              <w:rPr>
                                <w:rFonts w:ascii="Arial" w:eastAsia="Times New Roman" w:hAnsi="Arial" w:cs="Arial"/>
                                <w:b/>
                                <w:sz w:val="18"/>
                                <w:szCs w:val="18"/>
                              </w:rPr>
                              <w:t xml:space="preserve"> 2024</w:t>
                            </w:r>
                            <w:r w:rsidRPr="00D53D69">
                              <w:rPr>
                                <w:rFonts w:ascii="Arial" w:eastAsia="Times New Roman" w:hAnsi="Arial" w:cs="Arial"/>
                                <w:b/>
                                <w:sz w:val="18"/>
                                <w:szCs w:val="18"/>
                              </w:rPr>
                              <w:tab/>
                            </w:r>
                            <w:r w:rsidRPr="00D53D69">
                              <w:rPr>
                                <w:rFonts w:ascii="Arial" w:eastAsia="Times New Roman" w:hAnsi="Arial" w:cs="Arial"/>
                                <w:b/>
                                <w:sz w:val="18"/>
                                <w:szCs w:val="18"/>
                              </w:rPr>
                              <w:tab/>
                            </w:r>
                          </w:p>
                          <w:p w14:paraId="54D66973" w14:textId="77777777" w:rsidR="007B7DC9" w:rsidRPr="00D53D69" w:rsidRDefault="007B7DC9" w:rsidP="007B7DC9">
                            <w:pPr>
                              <w:spacing w:line="360" w:lineRule="auto"/>
                              <w:jc w:val="both"/>
                              <w:rPr>
                                <w:rFonts w:ascii="Arial" w:eastAsia="Times New Roman" w:hAnsi="Arial" w:cs="Arial"/>
                                <w:sz w:val="18"/>
                                <w:szCs w:val="18"/>
                              </w:rPr>
                            </w:pPr>
                            <w:r w:rsidRPr="00D53D69">
                              <w:rPr>
                                <w:rFonts w:ascii="Arial" w:eastAsia="Times New Roman" w:hAnsi="Arial" w:cs="Arial"/>
                                <w:sz w:val="18"/>
                                <w:szCs w:val="18"/>
                              </w:rPr>
                              <w:t xml:space="preserve">                   DATE</w:t>
                            </w:r>
                            <w:r w:rsidRPr="00D53D69">
                              <w:rPr>
                                <w:rFonts w:ascii="Arial" w:eastAsia="Times New Roman" w:hAnsi="Arial" w:cs="Arial"/>
                                <w:sz w:val="18"/>
                                <w:szCs w:val="18"/>
                              </w:rPr>
                              <w:tab/>
                            </w:r>
                            <w:r w:rsidRPr="00D53D69">
                              <w:rPr>
                                <w:rFonts w:ascii="Arial" w:eastAsia="Times New Roman" w:hAnsi="Arial" w:cs="Arial"/>
                                <w:sz w:val="18"/>
                                <w:szCs w:val="18"/>
                              </w:rPr>
                              <w:tab/>
                            </w:r>
                            <w:r w:rsidRPr="00D53D69">
                              <w:rPr>
                                <w:rFonts w:ascii="Arial" w:eastAsia="Times New Roman" w:hAnsi="Arial" w:cs="Arial"/>
                                <w:sz w:val="18"/>
                                <w:szCs w:val="18"/>
                              </w:rPr>
                              <w:tab/>
                              <w:t xml:space="preserve">        SIGNATURE</w:t>
                            </w:r>
                          </w:p>
                          <w:p w14:paraId="40983599" w14:textId="77777777" w:rsidR="007B7DC9" w:rsidRPr="00D53D69" w:rsidRDefault="007B7DC9" w:rsidP="007B7DC9">
                            <w:pPr>
                              <w:rPr>
                                <w:rFonts w:ascii="Century Gothic" w:hAnsi="Century Gothic"/>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79296" id="_x0000_t202" coordsize="21600,21600" o:spt="202" path="m,l,21600r21600,l21600,xe">
                <v:stroke joinstyle="miter"/>
                <v:path gradientshapeok="t" o:connecttype="rect"/>
              </v:shapetype>
              <v:shape id="Text Box 4" o:spid="_x0000_s1026" type="#_x0000_t202" style="position:absolute;left:0;text-align:left;margin-left:0;margin-top:3.95pt;width:261pt;height:13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">
                <v:textbox>
                  <w:txbxContent>
                    <w:p w14:paraId="73369B0A" w14:textId="77777777" w:rsidR="007B7DC9" w:rsidRPr="00913F95" w:rsidRDefault="007B7DC9" w:rsidP="007B7DC9">
                      <w:pPr>
                        <w:jc w:val="center"/>
                        <w:rPr>
                          <w:rFonts w:ascii="Century Gothic" w:hAnsi="Century Gothic"/>
                          <w:b/>
                          <w:sz w:val="20"/>
                          <w:szCs w:val="20"/>
                        </w:rPr>
                      </w:pPr>
                    </w:p>
                    <w:p w14:paraId="10E6C566" w14:textId="58E8AF5D" w:rsidR="007B7DC9" w:rsidRPr="00D53D69" w:rsidRDefault="003C1AE7" w:rsidP="003C1AE7">
                      <w:pPr>
                        <w:tabs>
                          <w:tab w:val="left" w:pos="900"/>
                        </w:tabs>
                        <w:spacing w:after="0" w:line="240" w:lineRule="auto"/>
                        <w:ind w:left="900" w:hanging="720"/>
                        <w:rPr>
                          <w:rFonts w:ascii="Arial" w:hAnsi="Arial" w:cs="Arial"/>
                          <w:sz w:val="20"/>
                          <w:szCs w:val="20"/>
                        </w:rPr>
                      </w:pPr>
                      <w:r w:rsidRPr="00D53D69">
                        <w:rPr>
                          <w:rFonts w:ascii="Arial" w:hAnsi="Arial" w:cs="Arial"/>
                          <w:sz w:val="20"/>
                          <w:szCs w:val="20"/>
                        </w:rPr>
                        <w:t>(1)</w:t>
                      </w:r>
                      <w:r w:rsidRPr="00D53D69">
                        <w:rPr>
                          <w:rFonts w:ascii="Arial" w:hAnsi="Arial" w:cs="Arial"/>
                          <w:sz w:val="20"/>
                          <w:szCs w:val="20"/>
                        </w:rPr>
                        <w:tab/>
                      </w:r>
                      <w:r w:rsidR="007B7DC9" w:rsidRPr="00D53D69">
                        <w:rPr>
                          <w:rFonts w:ascii="Arial" w:hAnsi="Arial" w:cs="Arial"/>
                          <w:sz w:val="20"/>
                          <w:szCs w:val="20"/>
                        </w:rPr>
                        <w:t>REPORTABLE: NO</w:t>
                      </w:r>
                    </w:p>
                    <w:p w14:paraId="002F89CA" w14:textId="6FFD0654" w:rsidR="007B7DC9" w:rsidRPr="00D53D69" w:rsidRDefault="003C1AE7" w:rsidP="003C1AE7">
                      <w:pPr>
                        <w:tabs>
                          <w:tab w:val="left" w:pos="900"/>
                        </w:tabs>
                        <w:spacing w:after="0" w:line="240" w:lineRule="auto"/>
                        <w:ind w:left="900" w:hanging="720"/>
                        <w:rPr>
                          <w:rFonts w:ascii="Arial" w:hAnsi="Arial" w:cs="Arial"/>
                          <w:sz w:val="20"/>
                          <w:szCs w:val="20"/>
                        </w:rPr>
                      </w:pPr>
                      <w:r w:rsidRPr="00D53D69">
                        <w:rPr>
                          <w:rFonts w:ascii="Arial" w:hAnsi="Arial" w:cs="Arial"/>
                          <w:sz w:val="20"/>
                          <w:szCs w:val="20"/>
                        </w:rPr>
                        <w:t>(2)</w:t>
                      </w:r>
                      <w:r w:rsidRPr="00D53D69">
                        <w:rPr>
                          <w:rFonts w:ascii="Arial" w:hAnsi="Arial" w:cs="Arial"/>
                          <w:sz w:val="20"/>
                          <w:szCs w:val="20"/>
                        </w:rPr>
                        <w:tab/>
                      </w:r>
                      <w:r w:rsidR="007B7DC9" w:rsidRPr="00D53D69">
                        <w:rPr>
                          <w:rFonts w:ascii="Arial" w:hAnsi="Arial" w:cs="Arial"/>
                          <w:sz w:val="20"/>
                          <w:szCs w:val="20"/>
                        </w:rPr>
                        <w:t xml:space="preserve">OF INTEREST TO OTHER JUDGES: NO </w:t>
                      </w:r>
                    </w:p>
                    <w:p w14:paraId="3AC5B28C" w14:textId="682BB649" w:rsidR="007B7DC9" w:rsidRPr="00D53D69" w:rsidRDefault="003C1AE7" w:rsidP="003C1AE7">
                      <w:pPr>
                        <w:tabs>
                          <w:tab w:val="left" w:pos="900"/>
                        </w:tabs>
                        <w:spacing w:after="0" w:line="240" w:lineRule="auto"/>
                        <w:ind w:left="900" w:hanging="720"/>
                        <w:rPr>
                          <w:rFonts w:ascii="Arial" w:hAnsi="Arial" w:cs="Arial"/>
                          <w:sz w:val="20"/>
                          <w:szCs w:val="20"/>
                        </w:rPr>
                      </w:pPr>
                      <w:r w:rsidRPr="00D53D69">
                        <w:rPr>
                          <w:rFonts w:ascii="Arial" w:hAnsi="Arial" w:cs="Arial"/>
                          <w:sz w:val="20"/>
                          <w:szCs w:val="20"/>
                        </w:rPr>
                        <w:t>(3)</w:t>
                      </w:r>
                      <w:r w:rsidRPr="00D53D69">
                        <w:rPr>
                          <w:rFonts w:ascii="Arial" w:hAnsi="Arial" w:cs="Arial"/>
                          <w:sz w:val="20"/>
                          <w:szCs w:val="20"/>
                        </w:rPr>
                        <w:tab/>
                      </w:r>
                      <w:r w:rsidR="007B7DC9" w:rsidRPr="00D53D69">
                        <w:rPr>
                          <w:rFonts w:ascii="Arial" w:hAnsi="Arial" w:cs="Arial"/>
                          <w:sz w:val="20"/>
                          <w:szCs w:val="20"/>
                        </w:rPr>
                        <w:t xml:space="preserve">REVISED: NO </w:t>
                      </w:r>
                    </w:p>
                    <w:p w14:paraId="4D5F661F" w14:textId="77777777" w:rsidR="007B7DC9" w:rsidRPr="00D53D69" w:rsidRDefault="007B7DC9" w:rsidP="007B7DC9">
                      <w:pPr>
                        <w:rPr>
                          <w:rFonts w:ascii="Arial" w:hAnsi="Arial" w:cs="Arial"/>
                          <w:b/>
                          <w:sz w:val="18"/>
                          <w:szCs w:val="18"/>
                        </w:rPr>
                      </w:pPr>
                    </w:p>
                    <w:p w14:paraId="5FDDA381" w14:textId="3B6701ED" w:rsidR="007B7DC9" w:rsidRPr="00D53D69" w:rsidRDefault="007B7DC9" w:rsidP="007B7DC9">
                      <w:pPr>
                        <w:rPr>
                          <w:rFonts w:ascii="Arial" w:eastAsia="Times New Roman" w:hAnsi="Arial" w:cs="Arial"/>
                          <w:b/>
                          <w:sz w:val="18"/>
                          <w:szCs w:val="18"/>
                        </w:rPr>
                      </w:pPr>
                      <w:r w:rsidRPr="00D53D69">
                        <w:rPr>
                          <w:rFonts w:ascii="Arial" w:hAnsi="Arial" w:cs="Arial"/>
                          <w:b/>
                          <w:sz w:val="18"/>
                          <w:szCs w:val="18"/>
                        </w:rPr>
                        <w:t xml:space="preserve">         </w:t>
                      </w:r>
                      <w:r>
                        <w:rPr>
                          <w:rFonts w:ascii="Arial" w:eastAsia="Times New Roman" w:hAnsi="Arial" w:cs="Arial"/>
                          <w:b/>
                          <w:sz w:val="18"/>
                          <w:szCs w:val="18"/>
                        </w:rPr>
                        <w:t>2</w:t>
                      </w:r>
                      <w:r w:rsidRPr="00D53D69">
                        <w:rPr>
                          <w:rFonts w:ascii="Arial" w:eastAsia="Times New Roman" w:hAnsi="Arial" w:cs="Arial"/>
                          <w:b/>
                          <w:sz w:val="18"/>
                          <w:szCs w:val="18"/>
                        </w:rPr>
                        <w:t xml:space="preserve"> </w:t>
                      </w:r>
                      <w:r>
                        <w:rPr>
                          <w:rFonts w:ascii="Arial" w:eastAsia="Times New Roman" w:hAnsi="Arial" w:cs="Arial"/>
                          <w:b/>
                          <w:sz w:val="18"/>
                          <w:szCs w:val="18"/>
                        </w:rPr>
                        <w:t>APRIL</w:t>
                      </w:r>
                      <w:r w:rsidRPr="00D53D69">
                        <w:rPr>
                          <w:rFonts w:ascii="Arial" w:eastAsia="Times New Roman" w:hAnsi="Arial" w:cs="Arial"/>
                          <w:b/>
                          <w:sz w:val="18"/>
                          <w:szCs w:val="18"/>
                        </w:rPr>
                        <w:t xml:space="preserve"> 2024</w:t>
                      </w:r>
                      <w:r w:rsidRPr="00D53D69">
                        <w:rPr>
                          <w:rFonts w:ascii="Arial" w:eastAsia="Times New Roman" w:hAnsi="Arial" w:cs="Arial"/>
                          <w:b/>
                          <w:sz w:val="18"/>
                          <w:szCs w:val="18"/>
                        </w:rPr>
                        <w:tab/>
                      </w:r>
                      <w:r w:rsidRPr="00D53D69">
                        <w:rPr>
                          <w:rFonts w:ascii="Arial" w:eastAsia="Times New Roman" w:hAnsi="Arial" w:cs="Arial"/>
                          <w:b/>
                          <w:sz w:val="18"/>
                          <w:szCs w:val="18"/>
                        </w:rPr>
                        <w:tab/>
                      </w:r>
                    </w:p>
                    <w:p w14:paraId="54D66973" w14:textId="77777777" w:rsidR="007B7DC9" w:rsidRPr="00D53D69" w:rsidRDefault="007B7DC9" w:rsidP="007B7DC9">
                      <w:pPr>
                        <w:spacing w:line="360" w:lineRule="auto"/>
                        <w:jc w:val="both"/>
                        <w:rPr>
                          <w:rFonts w:ascii="Arial" w:eastAsia="Times New Roman" w:hAnsi="Arial" w:cs="Arial"/>
                          <w:sz w:val="18"/>
                          <w:szCs w:val="18"/>
                        </w:rPr>
                      </w:pPr>
                      <w:r w:rsidRPr="00D53D69">
                        <w:rPr>
                          <w:rFonts w:ascii="Arial" w:eastAsia="Times New Roman" w:hAnsi="Arial" w:cs="Arial"/>
                          <w:sz w:val="18"/>
                          <w:szCs w:val="18"/>
                        </w:rPr>
                        <w:t xml:space="preserve">                   DATE</w:t>
                      </w:r>
                      <w:r w:rsidRPr="00D53D69">
                        <w:rPr>
                          <w:rFonts w:ascii="Arial" w:eastAsia="Times New Roman" w:hAnsi="Arial" w:cs="Arial"/>
                          <w:sz w:val="18"/>
                          <w:szCs w:val="18"/>
                        </w:rPr>
                        <w:tab/>
                      </w:r>
                      <w:r w:rsidRPr="00D53D69">
                        <w:rPr>
                          <w:rFonts w:ascii="Arial" w:eastAsia="Times New Roman" w:hAnsi="Arial" w:cs="Arial"/>
                          <w:sz w:val="18"/>
                          <w:szCs w:val="18"/>
                        </w:rPr>
                        <w:tab/>
                      </w:r>
                      <w:r w:rsidRPr="00D53D69">
                        <w:rPr>
                          <w:rFonts w:ascii="Arial" w:eastAsia="Times New Roman" w:hAnsi="Arial" w:cs="Arial"/>
                          <w:sz w:val="18"/>
                          <w:szCs w:val="18"/>
                        </w:rPr>
                        <w:tab/>
                        <w:t xml:space="preserve">        SIGNATURE</w:t>
                      </w:r>
                    </w:p>
                    <w:p w14:paraId="40983599" w14:textId="77777777" w:rsidR="007B7DC9" w:rsidRPr="00D53D69" w:rsidRDefault="007B7DC9" w:rsidP="007B7DC9">
                      <w:pPr>
                        <w:rPr>
                          <w:rFonts w:ascii="Century Gothic" w:hAnsi="Century Gothic"/>
                          <w:b/>
                          <w:sz w:val="18"/>
                          <w:szCs w:val="18"/>
                          <w:u w:val="single"/>
                        </w:rPr>
                      </w:pPr>
                    </w:p>
                  </w:txbxContent>
                </v:textbox>
                <w10:wrap anchorx="margin"/>
              </v:shape>
            </w:pict>
          </mc:Fallback>
        </mc:AlternateContent>
      </w:r>
    </w:p>
    <w:p w14:paraId="21E08D15" w14:textId="77777777" w:rsidR="007B7DC9" w:rsidRPr="00323B8E" w:rsidRDefault="007B7DC9" w:rsidP="007B7DC9">
      <w:pPr>
        <w:spacing w:line="360" w:lineRule="auto"/>
        <w:jc w:val="both"/>
        <w:rPr>
          <w:rFonts w:ascii="Arial" w:eastAsia="Times New Roman" w:hAnsi="Arial" w:cs="Times New Roman"/>
        </w:rPr>
      </w:pPr>
    </w:p>
    <w:p w14:paraId="3E9113C1" w14:textId="77777777" w:rsidR="007B7DC9" w:rsidRPr="00323B8E" w:rsidRDefault="007B7DC9" w:rsidP="007B7DC9">
      <w:pPr>
        <w:spacing w:line="360" w:lineRule="auto"/>
        <w:jc w:val="both"/>
        <w:rPr>
          <w:rFonts w:ascii="Arial" w:eastAsia="Times New Roman" w:hAnsi="Arial" w:cs="Times New Roman"/>
        </w:rPr>
      </w:pPr>
    </w:p>
    <w:p w14:paraId="5C1A0669" w14:textId="77777777" w:rsidR="00E5468C" w:rsidRPr="00E5468C" w:rsidRDefault="00E5468C">
      <w:pPr>
        <w:rPr>
          <w:rFonts w:ascii="Arial" w:hAnsi="Arial" w:cs="Arial"/>
          <w:sz w:val="24"/>
          <w:szCs w:val="24"/>
          <w:lang w:val="en-US"/>
        </w:rPr>
      </w:pPr>
    </w:p>
    <w:p w14:paraId="33F127D3" w14:textId="77777777" w:rsidR="00E5468C" w:rsidRPr="00E5468C" w:rsidRDefault="00E5468C">
      <w:pPr>
        <w:rPr>
          <w:rFonts w:ascii="Arial" w:hAnsi="Arial" w:cs="Arial"/>
          <w:sz w:val="24"/>
          <w:szCs w:val="24"/>
          <w:lang w:val="en-US"/>
        </w:rPr>
      </w:pPr>
    </w:p>
    <w:p w14:paraId="45918A04" w14:textId="77777777" w:rsidR="00E5468C" w:rsidRPr="00E5468C" w:rsidRDefault="00E5468C">
      <w:pPr>
        <w:rPr>
          <w:rFonts w:ascii="Arial" w:hAnsi="Arial" w:cs="Arial"/>
          <w:sz w:val="24"/>
          <w:szCs w:val="24"/>
          <w:lang w:val="en-US"/>
        </w:rPr>
      </w:pPr>
      <w:r w:rsidRPr="00E5468C">
        <w:rPr>
          <w:rFonts w:ascii="Arial" w:hAnsi="Arial" w:cs="Arial"/>
          <w:sz w:val="24"/>
          <w:szCs w:val="24"/>
          <w:lang w:val="en-US"/>
        </w:rPr>
        <w:t xml:space="preserve">In the matter between: </w:t>
      </w:r>
    </w:p>
    <w:p w14:paraId="7B68966A" w14:textId="7EB76466" w:rsidR="00E5468C" w:rsidRDefault="00E5468C">
      <w:pPr>
        <w:rPr>
          <w:rFonts w:ascii="Arial" w:hAnsi="Arial" w:cs="Arial"/>
          <w:sz w:val="24"/>
          <w:szCs w:val="24"/>
          <w:lang w:val="en-US"/>
        </w:rPr>
      </w:pPr>
    </w:p>
    <w:p w14:paraId="1A99B476" w14:textId="3666900A" w:rsidR="007B7DC9" w:rsidRDefault="007B7DC9">
      <w:pPr>
        <w:rPr>
          <w:rFonts w:ascii="Arial" w:hAnsi="Arial" w:cs="Arial"/>
          <w:sz w:val="24"/>
          <w:szCs w:val="24"/>
          <w:lang w:val="en-US"/>
        </w:rPr>
      </w:pPr>
      <w:r>
        <w:rPr>
          <w:rFonts w:ascii="Arial" w:hAnsi="Arial" w:cs="Arial"/>
          <w:sz w:val="24"/>
          <w:szCs w:val="24"/>
          <w:lang w:val="en-US"/>
        </w:rPr>
        <w:t>In the matter between:</w:t>
      </w:r>
    </w:p>
    <w:p w14:paraId="6DD5AA79" w14:textId="77777777" w:rsidR="007B7DC9" w:rsidRPr="00E5468C" w:rsidRDefault="007B7DC9">
      <w:pPr>
        <w:rPr>
          <w:rFonts w:ascii="Arial" w:hAnsi="Arial" w:cs="Arial"/>
          <w:sz w:val="24"/>
          <w:szCs w:val="24"/>
          <w:lang w:val="en-US"/>
        </w:rPr>
      </w:pPr>
    </w:p>
    <w:p w14:paraId="765F4DFA" w14:textId="77777777" w:rsidR="00E5468C" w:rsidRPr="00E5468C" w:rsidRDefault="00E5468C">
      <w:pPr>
        <w:rPr>
          <w:rFonts w:ascii="Arial" w:hAnsi="Arial" w:cs="Arial"/>
          <w:b/>
          <w:sz w:val="24"/>
          <w:szCs w:val="24"/>
          <w:lang w:val="en-US"/>
        </w:rPr>
      </w:pPr>
      <w:r w:rsidRPr="00E5468C">
        <w:rPr>
          <w:rFonts w:ascii="Arial" w:hAnsi="Arial" w:cs="Arial"/>
          <w:b/>
          <w:sz w:val="24"/>
          <w:szCs w:val="24"/>
          <w:lang w:val="en-US"/>
        </w:rPr>
        <w:t>BETTERLIFE ORIGINATION SERVICE (PTY) LTD</w:t>
      </w:r>
    </w:p>
    <w:p w14:paraId="413F5832" w14:textId="77777777" w:rsidR="00E5468C" w:rsidRPr="00E5468C" w:rsidRDefault="00E5468C">
      <w:pPr>
        <w:rPr>
          <w:rFonts w:ascii="Arial" w:hAnsi="Arial" w:cs="Arial"/>
          <w:sz w:val="24"/>
          <w:szCs w:val="24"/>
          <w:lang w:val="en-US"/>
        </w:rPr>
      </w:pPr>
      <w:r w:rsidRPr="00E5468C">
        <w:rPr>
          <w:rFonts w:ascii="Arial" w:hAnsi="Arial" w:cs="Arial"/>
          <w:b/>
          <w:sz w:val="24"/>
          <w:szCs w:val="24"/>
          <w:lang w:val="en-US"/>
        </w:rPr>
        <w:t>T/A BETTERBOND</w:t>
      </w:r>
      <w:r w:rsidRPr="00E5468C">
        <w:rPr>
          <w:rFonts w:ascii="Arial" w:hAnsi="Arial" w:cs="Arial"/>
          <w:sz w:val="24"/>
          <w:szCs w:val="24"/>
          <w:lang w:val="en-US"/>
        </w:rPr>
        <w:tab/>
      </w:r>
      <w:r w:rsidRPr="00E5468C">
        <w:rPr>
          <w:rFonts w:ascii="Arial" w:hAnsi="Arial" w:cs="Arial"/>
          <w:sz w:val="24"/>
          <w:szCs w:val="24"/>
          <w:lang w:val="en-US"/>
        </w:rPr>
        <w:tab/>
      </w:r>
      <w:r w:rsidRPr="00E5468C">
        <w:rPr>
          <w:rFonts w:ascii="Arial" w:hAnsi="Arial" w:cs="Arial"/>
          <w:sz w:val="24"/>
          <w:szCs w:val="24"/>
          <w:lang w:val="en-US"/>
        </w:rPr>
        <w:tab/>
      </w:r>
      <w:r w:rsidRPr="00E5468C">
        <w:rPr>
          <w:rFonts w:ascii="Arial" w:hAnsi="Arial" w:cs="Arial"/>
          <w:sz w:val="24"/>
          <w:szCs w:val="24"/>
          <w:lang w:val="en-US"/>
        </w:rPr>
        <w:tab/>
      </w:r>
      <w:r w:rsidRPr="00E5468C">
        <w:rPr>
          <w:rFonts w:ascii="Arial" w:hAnsi="Arial" w:cs="Arial"/>
          <w:sz w:val="24"/>
          <w:szCs w:val="24"/>
          <w:lang w:val="en-US"/>
        </w:rPr>
        <w:tab/>
      </w:r>
      <w:r w:rsidRPr="00E5468C">
        <w:rPr>
          <w:rFonts w:ascii="Arial" w:hAnsi="Arial" w:cs="Arial"/>
          <w:sz w:val="24"/>
          <w:szCs w:val="24"/>
          <w:lang w:val="en-US"/>
        </w:rPr>
        <w:tab/>
      </w:r>
      <w:r w:rsidRPr="00E5468C">
        <w:rPr>
          <w:rFonts w:ascii="Arial" w:hAnsi="Arial" w:cs="Arial"/>
          <w:sz w:val="24"/>
          <w:szCs w:val="24"/>
          <w:lang w:val="en-US"/>
        </w:rPr>
        <w:tab/>
        <w:t xml:space="preserve">     </w:t>
      </w:r>
      <w:r>
        <w:rPr>
          <w:rFonts w:ascii="Arial" w:hAnsi="Arial" w:cs="Arial"/>
          <w:sz w:val="24"/>
          <w:szCs w:val="24"/>
          <w:lang w:val="en-US"/>
        </w:rPr>
        <w:t xml:space="preserve">                  Applicant </w:t>
      </w:r>
    </w:p>
    <w:p w14:paraId="3627510E" w14:textId="77777777" w:rsidR="00E5468C" w:rsidRPr="00E5468C" w:rsidRDefault="00E5468C">
      <w:pPr>
        <w:rPr>
          <w:rFonts w:ascii="Arial" w:hAnsi="Arial" w:cs="Arial"/>
          <w:sz w:val="24"/>
          <w:szCs w:val="24"/>
          <w:lang w:val="en-US"/>
        </w:rPr>
      </w:pPr>
    </w:p>
    <w:p w14:paraId="1D5D463A" w14:textId="77777777" w:rsidR="00E5468C" w:rsidRPr="00E5468C" w:rsidRDefault="00E5468C">
      <w:pPr>
        <w:rPr>
          <w:rFonts w:ascii="Arial" w:hAnsi="Arial" w:cs="Arial"/>
          <w:sz w:val="24"/>
          <w:szCs w:val="24"/>
          <w:lang w:val="en-US"/>
        </w:rPr>
      </w:pPr>
      <w:r w:rsidRPr="00E5468C">
        <w:rPr>
          <w:rFonts w:ascii="Arial" w:hAnsi="Arial" w:cs="Arial"/>
          <w:sz w:val="24"/>
          <w:szCs w:val="24"/>
          <w:lang w:val="en-US"/>
        </w:rPr>
        <w:t>and</w:t>
      </w:r>
    </w:p>
    <w:p w14:paraId="1E5BE521" w14:textId="77777777" w:rsidR="00E5468C" w:rsidRPr="00E5468C" w:rsidRDefault="00E5468C">
      <w:pPr>
        <w:rPr>
          <w:rFonts w:ascii="Arial" w:hAnsi="Arial" w:cs="Arial"/>
          <w:sz w:val="24"/>
          <w:szCs w:val="24"/>
          <w:lang w:val="en-US"/>
        </w:rPr>
      </w:pPr>
    </w:p>
    <w:p w14:paraId="4671F675" w14:textId="77777777" w:rsidR="00E5468C" w:rsidRDefault="00E5468C">
      <w:pPr>
        <w:rPr>
          <w:rFonts w:ascii="Arial" w:hAnsi="Arial" w:cs="Arial"/>
          <w:sz w:val="24"/>
          <w:szCs w:val="24"/>
          <w:lang w:val="en-US"/>
        </w:rPr>
      </w:pPr>
      <w:r w:rsidRPr="00E5468C">
        <w:rPr>
          <w:rFonts w:ascii="Arial" w:hAnsi="Arial" w:cs="Arial"/>
          <w:b/>
          <w:sz w:val="24"/>
          <w:szCs w:val="24"/>
          <w:lang w:val="en-US"/>
        </w:rPr>
        <w:t>LEBOHANG LETLHAKU</w:t>
      </w:r>
      <w:r w:rsidRPr="00E5468C">
        <w:rPr>
          <w:rFonts w:ascii="Arial" w:hAnsi="Arial" w:cs="Arial"/>
          <w:sz w:val="24"/>
          <w:szCs w:val="24"/>
          <w:lang w:val="en-US"/>
        </w:rPr>
        <w:t xml:space="preserve">                                       </w:t>
      </w:r>
      <w:r>
        <w:rPr>
          <w:rFonts w:ascii="Arial" w:hAnsi="Arial" w:cs="Arial"/>
          <w:sz w:val="24"/>
          <w:szCs w:val="24"/>
          <w:lang w:val="en-US"/>
        </w:rPr>
        <w:t xml:space="preserve">                           First Respondent</w:t>
      </w:r>
    </w:p>
    <w:p w14:paraId="1D08CDAF" w14:textId="77777777" w:rsidR="00E5468C" w:rsidRDefault="00E5468C">
      <w:pPr>
        <w:rPr>
          <w:rFonts w:ascii="Arial" w:hAnsi="Arial" w:cs="Arial"/>
          <w:sz w:val="24"/>
          <w:szCs w:val="24"/>
          <w:lang w:val="en-US"/>
        </w:rPr>
      </w:pPr>
    </w:p>
    <w:p w14:paraId="75C76A9E" w14:textId="77777777" w:rsidR="00E5468C" w:rsidRPr="00E5468C" w:rsidRDefault="00E5468C">
      <w:pPr>
        <w:rPr>
          <w:rFonts w:ascii="Arial" w:hAnsi="Arial" w:cs="Arial"/>
          <w:sz w:val="24"/>
          <w:szCs w:val="24"/>
          <w:lang w:val="en-US"/>
        </w:rPr>
      </w:pPr>
      <w:r w:rsidRPr="00E5468C">
        <w:rPr>
          <w:rFonts w:ascii="Arial" w:hAnsi="Arial" w:cs="Arial"/>
          <w:b/>
          <w:sz w:val="24"/>
          <w:szCs w:val="24"/>
          <w:lang w:val="en-US"/>
        </w:rPr>
        <w:t>MORTGAGEMARKET (PTY) LTD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Second Respondent</w:t>
      </w:r>
    </w:p>
    <w:p w14:paraId="7E522A81" w14:textId="77777777" w:rsidR="00E5468C" w:rsidRDefault="00E5468C">
      <w:pPr>
        <w:rPr>
          <w:rFonts w:ascii="Arial" w:hAnsi="Arial" w:cs="Arial"/>
          <w:sz w:val="24"/>
          <w:szCs w:val="24"/>
          <w:lang w:val="en-US"/>
        </w:rPr>
      </w:pPr>
    </w:p>
    <w:p w14:paraId="63A496E5" w14:textId="77777777" w:rsidR="007B7DC9" w:rsidRDefault="007B7DC9">
      <w:pPr>
        <w:rPr>
          <w:rFonts w:ascii="Arial" w:hAnsi="Arial" w:cs="Arial"/>
          <w:sz w:val="24"/>
          <w:szCs w:val="24"/>
          <w:lang w:val="en-US"/>
        </w:rPr>
      </w:pPr>
    </w:p>
    <w:p w14:paraId="2819A095" w14:textId="77777777" w:rsidR="007B7DC9" w:rsidRPr="00E5468C" w:rsidRDefault="007B7DC9">
      <w:pPr>
        <w:rPr>
          <w:rFonts w:ascii="Arial" w:hAnsi="Arial" w:cs="Arial"/>
          <w:sz w:val="24"/>
          <w:szCs w:val="24"/>
          <w:lang w:val="en-US"/>
        </w:rPr>
      </w:pPr>
    </w:p>
    <w:p w14:paraId="3135817D" w14:textId="77777777" w:rsidR="00E5468C" w:rsidRPr="00E5468C" w:rsidRDefault="00E5468C">
      <w:pPr>
        <w:pBdr>
          <w:top w:val="single" w:sz="12" w:space="1" w:color="auto"/>
          <w:bottom w:val="single" w:sz="12" w:space="1" w:color="auto"/>
        </w:pBdr>
        <w:rPr>
          <w:rFonts w:ascii="Arial" w:hAnsi="Arial" w:cs="Arial"/>
          <w:sz w:val="24"/>
          <w:szCs w:val="24"/>
          <w:lang w:val="en-US"/>
        </w:rPr>
      </w:pPr>
    </w:p>
    <w:p w14:paraId="6CB55E2A" w14:textId="77777777" w:rsidR="00E5468C" w:rsidRPr="00E5468C" w:rsidRDefault="00E5468C" w:rsidP="00E5468C">
      <w:pPr>
        <w:pBdr>
          <w:top w:val="single" w:sz="12" w:space="1" w:color="auto"/>
          <w:bottom w:val="single" w:sz="12" w:space="1" w:color="auto"/>
        </w:pBdr>
        <w:jc w:val="center"/>
        <w:rPr>
          <w:rFonts w:ascii="Arial" w:hAnsi="Arial" w:cs="Arial"/>
          <w:b/>
          <w:sz w:val="24"/>
          <w:szCs w:val="24"/>
          <w:lang w:val="en-US"/>
        </w:rPr>
      </w:pPr>
      <w:r w:rsidRPr="00E5468C">
        <w:rPr>
          <w:rFonts w:ascii="Arial" w:hAnsi="Arial" w:cs="Arial"/>
          <w:b/>
          <w:sz w:val="24"/>
          <w:szCs w:val="24"/>
          <w:lang w:val="en-US"/>
        </w:rPr>
        <w:t>JUDGMENT</w:t>
      </w:r>
    </w:p>
    <w:p w14:paraId="04EA7596" w14:textId="77777777" w:rsidR="00E5468C" w:rsidRPr="00E5468C" w:rsidRDefault="00E5468C">
      <w:pPr>
        <w:pBdr>
          <w:top w:val="single" w:sz="12" w:space="1" w:color="auto"/>
          <w:bottom w:val="single" w:sz="12" w:space="1" w:color="auto"/>
        </w:pBdr>
        <w:rPr>
          <w:rFonts w:ascii="Arial" w:hAnsi="Arial" w:cs="Arial"/>
          <w:sz w:val="24"/>
          <w:szCs w:val="24"/>
          <w:lang w:val="en-US"/>
        </w:rPr>
      </w:pPr>
    </w:p>
    <w:p w14:paraId="31ADA694" w14:textId="77777777" w:rsidR="00ED74DF" w:rsidRDefault="00ED74DF">
      <w:pPr>
        <w:rPr>
          <w:rFonts w:ascii="Arial" w:hAnsi="Arial" w:cs="Arial"/>
          <w:b/>
          <w:sz w:val="24"/>
          <w:szCs w:val="24"/>
          <w:lang w:val="en-US"/>
        </w:rPr>
      </w:pPr>
    </w:p>
    <w:p w14:paraId="6DDC403F" w14:textId="77777777" w:rsidR="00E5468C" w:rsidRDefault="00E5468C">
      <w:pPr>
        <w:rPr>
          <w:rFonts w:ascii="Arial" w:hAnsi="Arial" w:cs="Arial"/>
          <w:b/>
          <w:sz w:val="24"/>
          <w:szCs w:val="24"/>
          <w:lang w:val="en-US"/>
        </w:rPr>
      </w:pPr>
      <w:r w:rsidRPr="00E5468C">
        <w:rPr>
          <w:rFonts w:ascii="Arial" w:hAnsi="Arial" w:cs="Arial"/>
          <w:b/>
          <w:sz w:val="24"/>
          <w:szCs w:val="24"/>
          <w:lang w:val="en-US"/>
        </w:rPr>
        <w:t>COWEN J</w:t>
      </w:r>
    </w:p>
    <w:p w14:paraId="3599B1D7" w14:textId="77777777" w:rsidR="008662B2" w:rsidRDefault="008662B2">
      <w:pPr>
        <w:rPr>
          <w:rFonts w:ascii="Arial" w:hAnsi="Arial" w:cs="Arial"/>
          <w:b/>
          <w:sz w:val="24"/>
          <w:szCs w:val="24"/>
          <w:lang w:val="en-US"/>
        </w:rPr>
      </w:pPr>
    </w:p>
    <w:p w14:paraId="64484FCF" w14:textId="70437D52" w:rsidR="008C71BD"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8C71BD" w:rsidRPr="003C1AE7">
        <w:rPr>
          <w:rFonts w:ascii="Arial" w:hAnsi="Arial" w:cs="Arial"/>
          <w:sz w:val="24"/>
          <w:szCs w:val="24"/>
          <w:lang w:val="en-US"/>
        </w:rPr>
        <w:t>The applicant, Betterlife Origination Service (Pty) Ltd (Betterbond)</w:t>
      </w:r>
      <w:r w:rsidR="00ED74DF" w:rsidRPr="003C1AE7">
        <w:rPr>
          <w:rFonts w:ascii="Arial" w:hAnsi="Arial" w:cs="Arial"/>
          <w:sz w:val="24"/>
          <w:szCs w:val="24"/>
          <w:lang w:val="en-US"/>
        </w:rPr>
        <w:t>, is in the business of bond origination, bond consulting and financial intermediation services</w:t>
      </w:r>
      <w:r w:rsidR="00D849C9" w:rsidRPr="003C1AE7">
        <w:rPr>
          <w:rFonts w:ascii="Arial" w:hAnsi="Arial" w:cs="Arial"/>
          <w:sz w:val="24"/>
          <w:szCs w:val="24"/>
          <w:lang w:val="en-US"/>
        </w:rPr>
        <w:t>.</w:t>
      </w:r>
      <w:r w:rsidR="008C71BD" w:rsidRPr="003C1AE7">
        <w:rPr>
          <w:rFonts w:ascii="Arial" w:hAnsi="Arial" w:cs="Arial"/>
          <w:sz w:val="24"/>
          <w:szCs w:val="24"/>
          <w:lang w:val="en-US"/>
        </w:rPr>
        <w:t xml:space="preserve">  Betterbond has approached this Court urgently to enforce a restraint of trade agreement against the first respondent, Lebohang Letlhaku</w:t>
      </w:r>
      <w:r w:rsidR="00266165" w:rsidRPr="003C1AE7">
        <w:rPr>
          <w:rFonts w:ascii="Arial" w:hAnsi="Arial" w:cs="Arial"/>
          <w:sz w:val="24"/>
          <w:szCs w:val="24"/>
          <w:lang w:val="en-US"/>
        </w:rPr>
        <w:t xml:space="preserve">.  Ms Letlhaku is currently </w:t>
      </w:r>
      <w:r w:rsidR="008C71BD" w:rsidRPr="003C1AE7">
        <w:rPr>
          <w:rFonts w:ascii="Arial" w:hAnsi="Arial" w:cs="Arial"/>
          <w:sz w:val="24"/>
          <w:szCs w:val="24"/>
          <w:lang w:val="en-US"/>
        </w:rPr>
        <w:t>working with</w:t>
      </w:r>
      <w:r w:rsidR="00D849C9" w:rsidRPr="003C1AE7">
        <w:rPr>
          <w:rFonts w:ascii="Arial" w:hAnsi="Arial" w:cs="Arial"/>
          <w:sz w:val="24"/>
          <w:szCs w:val="24"/>
          <w:lang w:val="en-US"/>
        </w:rPr>
        <w:t xml:space="preserve"> a direct competitor,</w:t>
      </w:r>
      <w:r w:rsidR="008C71BD" w:rsidRPr="003C1AE7">
        <w:rPr>
          <w:rFonts w:ascii="Arial" w:hAnsi="Arial" w:cs="Arial"/>
          <w:sz w:val="24"/>
          <w:szCs w:val="24"/>
          <w:lang w:val="en-US"/>
        </w:rPr>
        <w:t xml:space="preserve"> the second respondent, MortgageMarket (Pty) Ltd</w:t>
      </w:r>
      <w:r w:rsidR="00D22847" w:rsidRPr="003C1AE7">
        <w:rPr>
          <w:rFonts w:ascii="Arial" w:hAnsi="Arial" w:cs="Arial"/>
          <w:sz w:val="24"/>
          <w:szCs w:val="24"/>
          <w:lang w:val="en-US"/>
        </w:rPr>
        <w:t>.</w:t>
      </w:r>
      <w:r w:rsidR="00D849C9" w:rsidRPr="003C1AE7">
        <w:rPr>
          <w:rFonts w:ascii="Arial" w:hAnsi="Arial" w:cs="Arial"/>
          <w:sz w:val="24"/>
          <w:szCs w:val="24"/>
          <w:lang w:val="en-US"/>
        </w:rPr>
        <w:t xml:space="preserve">  The first respondent opposes the application. </w:t>
      </w:r>
    </w:p>
    <w:p w14:paraId="452A95B6" w14:textId="77777777" w:rsidR="00D82C6E" w:rsidRDefault="00D82C6E" w:rsidP="00D82C6E">
      <w:pPr>
        <w:pStyle w:val="ListParagraph"/>
        <w:spacing w:line="480" w:lineRule="auto"/>
        <w:jc w:val="both"/>
        <w:rPr>
          <w:rFonts w:ascii="Arial" w:hAnsi="Arial" w:cs="Arial"/>
          <w:sz w:val="24"/>
          <w:szCs w:val="24"/>
          <w:lang w:val="en-US"/>
        </w:rPr>
      </w:pPr>
    </w:p>
    <w:p w14:paraId="0DBE34F9" w14:textId="4ABAB2E0" w:rsidR="00D849C9"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D849C9" w:rsidRPr="003C1AE7">
        <w:rPr>
          <w:rFonts w:ascii="Arial" w:hAnsi="Arial" w:cs="Arial"/>
          <w:sz w:val="24"/>
          <w:szCs w:val="24"/>
          <w:lang w:val="en-US"/>
        </w:rPr>
        <w:t xml:space="preserve">As the applicant is seeking final relief, the facts fall to be determined in accordance with the principles of </w:t>
      </w:r>
      <w:r w:rsidR="00D849C9" w:rsidRPr="003C1AE7">
        <w:rPr>
          <w:rFonts w:ascii="Arial" w:hAnsi="Arial" w:cs="Arial"/>
          <w:i/>
          <w:sz w:val="24"/>
          <w:szCs w:val="24"/>
          <w:lang w:val="en-US"/>
        </w:rPr>
        <w:t xml:space="preserve">Plascon Evans </w:t>
      </w:r>
      <w:r w:rsidR="00D849C9" w:rsidRPr="003C1AE7">
        <w:rPr>
          <w:rFonts w:ascii="Arial" w:hAnsi="Arial" w:cs="Arial"/>
          <w:sz w:val="24"/>
          <w:szCs w:val="24"/>
          <w:lang w:val="en-US"/>
        </w:rPr>
        <w:t xml:space="preserve">and </w:t>
      </w:r>
      <w:r w:rsidR="00D849C9" w:rsidRPr="003C1AE7">
        <w:rPr>
          <w:rFonts w:ascii="Arial" w:hAnsi="Arial" w:cs="Arial"/>
          <w:i/>
          <w:sz w:val="24"/>
          <w:szCs w:val="24"/>
          <w:lang w:val="en-US"/>
        </w:rPr>
        <w:t>Wightman</w:t>
      </w:r>
      <w:r w:rsidR="00D849C9" w:rsidRPr="003C1AE7">
        <w:rPr>
          <w:rFonts w:ascii="Arial" w:hAnsi="Arial" w:cs="Arial"/>
          <w:sz w:val="24"/>
          <w:szCs w:val="24"/>
          <w:lang w:val="en-US"/>
        </w:rPr>
        <w:t>.</w:t>
      </w:r>
      <w:r w:rsidR="00ED74DF" w:rsidRPr="00ED74DF">
        <w:rPr>
          <w:rStyle w:val="FootnoteReference"/>
          <w:rFonts w:ascii="Arial" w:hAnsi="Arial" w:cs="Arial"/>
          <w:sz w:val="24"/>
          <w:szCs w:val="24"/>
          <w:lang w:val="en-US"/>
        </w:rPr>
        <w:footnoteReference w:id="1"/>
      </w:r>
      <w:r w:rsidR="00D849C9" w:rsidRPr="003C1AE7">
        <w:rPr>
          <w:rFonts w:ascii="Arial" w:hAnsi="Arial" w:cs="Arial"/>
          <w:i/>
          <w:sz w:val="24"/>
          <w:szCs w:val="24"/>
          <w:lang w:val="en-US"/>
        </w:rPr>
        <w:t xml:space="preserve"> </w:t>
      </w:r>
      <w:r w:rsidR="00ED74DF" w:rsidRPr="003C1AE7">
        <w:rPr>
          <w:rFonts w:ascii="Arial" w:hAnsi="Arial" w:cs="Arial"/>
          <w:i/>
          <w:sz w:val="24"/>
          <w:szCs w:val="24"/>
          <w:lang w:val="en-US"/>
        </w:rPr>
        <w:t xml:space="preserve"> </w:t>
      </w:r>
    </w:p>
    <w:p w14:paraId="5502DD5E" w14:textId="77777777" w:rsidR="00D849C9" w:rsidRPr="00D849C9" w:rsidRDefault="00D849C9" w:rsidP="00D849C9">
      <w:pPr>
        <w:pStyle w:val="ListParagraph"/>
        <w:rPr>
          <w:rFonts w:ascii="Arial" w:hAnsi="Arial" w:cs="Arial"/>
          <w:sz w:val="24"/>
          <w:szCs w:val="24"/>
          <w:lang w:val="en-US"/>
        </w:rPr>
      </w:pPr>
    </w:p>
    <w:p w14:paraId="69F33FBB" w14:textId="75DEA9AE" w:rsidR="00D73553"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D849C9" w:rsidRPr="003C1AE7">
        <w:rPr>
          <w:rFonts w:ascii="Arial" w:hAnsi="Arial" w:cs="Arial"/>
          <w:sz w:val="24"/>
          <w:szCs w:val="24"/>
          <w:lang w:val="en-US"/>
        </w:rPr>
        <w:t>It is common cause that</w:t>
      </w:r>
      <w:r w:rsidR="008C71BD" w:rsidRPr="003C1AE7">
        <w:rPr>
          <w:rFonts w:ascii="Arial" w:hAnsi="Arial" w:cs="Arial"/>
          <w:sz w:val="24"/>
          <w:szCs w:val="24"/>
          <w:lang w:val="en-US"/>
        </w:rPr>
        <w:t xml:space="preserve"> </w:t>
      </w:r>
      <w:r w:rsidR="00BB46D9" w:rsidRPr="003C1AE7">
        <w:rPr>
          <w:rFonts w:ascii="Arial" w:hAnsi="Arial" w:cs="Arial"/>
          <w:sz w:val="24"/>
          <w:szCs w:val="24"/>
          <w:lang w:val="en-US"/>
        </w:rPr>
        <w:t>Betterbond and Ms Letlhaku concluded a written contract of employment on 3 October 2022 (the employment agreement).  The restraint clause that Betterbond seeks to enforce is contained in Clause 19</w:t>
      </w:r>
      <w:r w:rsidR="00266165" w:rsidRPr="003C1AE7">
        <w:rPr>
          <w:rFonts w:ascii="Arial" w:hAnsi="Arial" w:cs="Arial"/>
          <w:sz w:val="24"/>
          <w:szCs w:val="24"/>
          <w:lang w:val="en-US"/>
        </w:rPr>
        <w:t xml:space="preserve">.  I </w:t>
      </w:r>
      <w:r w:rsidR="00D73553" w:rsidRPr="003C1AE7">
        <w:rPr>
          <w:rFonts w:ascii="Arial" w:hAnsi="Arial" w:cs="Arial"/>
          <w:sz w:val="24"/>
          <w:szCs w:val="24"/>
          <w:lang w:val="en-US"/>
        </w:rPr>
        <w:t>return to its terms below</w:t>
      </w:r>
      <w:r w:rsidR="00266165" w:rsidRPr="003C1AE7">
        <w:rPr>
          <w:rFonts w:ascii="Arial" w:hAnsi="Arial" w:cs="Arial"/>
          <w:sz w:val="24"/>
          <w:szCs w:val="24"/>
          <w:lang w:val="en-US"/>
        </w:rPr>
        <w:t xml:space="preserve">, but the relief claimed </w:t>
      </w:r>
      <w:r w:rsidR="00D73553" w:rsidRPr="003C1AE7">
        <w:rPr>
          <w:rFonts w:ascii="Arial" w:hAnsi="Arial" w:cs="Arial"/>
          <w:sz w:val="24"/>
          <w:szCs w:val="24"/>
          <w:lang w:val="en-US"/>
        </w:rPr>
        <w:t>seeks to rest</w:t>
      </w:r>
      <w:r w:rsidR="00266165" w:rsidRPr="003C1AE7">
        <w:rPr>
          <w:rFonts w:ascii="Arial" w:hAnsi="Arial" w:cs="Arial"/>
          <w:sz w:val="24"/>
          <w:szCs w:val="24"/>
          <w:lang w:val="en-US"/>
        </w:rPr>
        <w:t>r</w:t>
      </w:r>
      <w:r w:rsidR="00D73553" w:rsidRPr="003C1AE7">
        <w:rPr>
          <w:rFonts w:ascii="Arial" w:hAnsi="Arial" w:cs="Arial"/>
          <w:sz w:val="24"/>
          <w:szCs w:val="24"/>
          <w:lang w:val="en-US"/>
        </w:rPr>
        <w:t xml:space="preserve">ain three activities: </w:t>
      </w:r>
    </w:p>
    <w:p w14:paraId="33E0C7F2" w14:textId="77777777" w:rsidR="00D73553" w:rsidRPr="00D73553" w:rsidRDefault="00D73553" w:rsidP="00D73553">
      <w:pPr>
        <w:pStyle w:val="ListParagraph"/>
        <w:rPr>
          <w:rFonts w:ascii="Arial" w:hAnsi="Arial" w:cs="Arial"/>
          <w:sz w:val="24"/>
          <w:szCs w:val="24"/>
          <w:lang w:val="en-US"/>
        </w:rPr>
      </w:pPr>
    </w:p>
    <w:p w14:paraId="51634EAD" w14:textId="57C7DCC3" w:rsidR="00D73553" w:rsidRPr="003C1AE7" w:rsidRDefault="003C1AE7" w:rsidP="003C1AE7">
      <w:pPr>
        <w:spacing w:line="480" w:lineRule="auto"/>
        <w:ind w:left="792" w:hanging="432"/>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D73553" w:rsidRPr="003C1AE7">
        <w:rPr>
          <w:rFonts w:ascii="Arial" w:hAnsi="Arial" w:cs="Arial"/>
          <w:sz w:val="24"/>
          <w:szCs w:val="24"/>
          <w:lang w:val="en-US"/>
        </w:rPr>
        <w:t>The conduct of any business with the second respondent or any</w:t>
      </w:r>
      <w:r w:rsidR="00D22847" w:rsidRPr="003C1AE7">
        <w:rPr>
          <w:rFonts w:ascii="Arial" w:hAnsi="Arial" w:cs="Arial"/>
          <w:sz w:val="24"/>
          <w:szCs w:val="24"/>
          <w:lang w:val="en-US"/>
        </w:rPr>
        <w:t xml:space="preserve"> other direct competitor of Betterbond</w:t>
      </w:r>
      <w:r w:rsidR="00D73553" w:rsidRPr="003C1AE7">
        <w:rPr>
          <w:rFonts w:ascii="Arial" w:hAnsi="Arial" w:cs="Arial"/>
          <w:sz w:val="24"/>
          <w:szCs w:val="24"/>
          <w:lang w:val="en-US"/>
        </w:rPr>
        <w:t xml:space="preserve"> in regard to any restricted lead sources (as defined </w:t>
      </w:r>
      <w:r w:rsidR="00D73553" w:rsidRPr="003C1AE7">
        <w:rPr>
          <w:rFonts w:ascii="Arial" w:hAnsi="Arial" w:cs="Arial"/>
          <w:sz w:val="24"/>
          <w:szCs w:val="24"/>
          <w:lang w:val="en-US"/>
        </w:rPr>
        <w:lastRenderedPageBreak/>
        <w:t xml:space="preserve">in the employment agreement) within Gauteng, for a period of 6 (six) months from the date of the order. </w:t>
      </w:r>
    </w:p>
    <w:p w14:paraId="69CE32CA" w14:textId="77777777" w:rsidR="00D73553" w:rsidRDefault="00D73553" w:rsidP="00D73553">
      <w:pPr>
        <w:pStyle w:val="ListParagraph"/>
        <w:spacing w:line="480" w:lineRule="auto"/>
        <w:ind w:left="1440"/>
        <w:jc w:val="both"/>
        <w:rPr>
          <w:rFonts w:ascii="Arial" w:hAnsi="Arial" w:cs="Arial"/>
          <w:sz w:val="24"/>
          <w:szCs w:val="24"/>
          <w:lang w:val="en-US"/>
        </w:rPr>
      </w:pPr>
    </w:p>
    <w:p w14:paraId="267F5776" w14:textId="10D5C03C" w:rsidR="00D73553" w:rsidRPr="003C1AE7" w:rsidRDefault="003C1AE7" w:rsidP="003C1AE7">
      <w:pPr>
        <w:spacing w:line="480" w:lineRule="auto"/>
        <w:ind w:left="792" w:hanging="432"/>
        <w:jc w:val="both"/>
        <w:rPr>
          <w:rFonts w:ascii="Arial" w:hAnsi="Arial" w:cs="Arial"/>
          <w:sz w:val="24"/>
          <w:szCs w:val="24"/>
          <w:lang w:val="en-US"/>
        </w:rPr>
      </w:pPr>
      <w:r w:rsidRPr="00E6657B">
        <w:rPr>
          <w:rFonts w:ascii="Arial" w:hAnsi="Arial" w:cs="Arial"/>
          <w:sz w:val="24"/>
          <w:szCs w:val="24"/>
          <w:lang w:val="en-US"/>
        </w:rPr>
        <w:t>3.2.</w:t>
      </w:r>
      <w:r w:rsidRPr="00E6657B">
        <w:rPr>
          <w:rFonts w:ascii="Arial" w:hAnsi="Arial" w:cs="Arial"/>
          <w:sz w:val="24"/>
          <w:szCs w:val="24"/>
          <w:lang w:val="en-US"/>
        </w:rPr>
        <w:tab/>
      </w:r>
      <w:r w:rsidR="00D73553" w:rsidRPr="003C1AE7">
        <w:rPr>
          <w:rFonts w:ascii="Arial" w:hAnsi="Arial" w:cs="Arial"/>
          <w:sz w:val="24"/>
          <w:szCs w:val="24"/>
          <w:lang w:val="en-US"/>
        </w:rPr>
        <w:t>The enticement of restricted parties (as defined in the employment agreement) to terminate their business relationships with Betterbond or to provide their business to the second respondent or any other third party who operates in direct competition with the appl</w:t>
      </w:r>
      <w:r w:rsidR="00E6657B" w:rsidRPr="003C1AE7">
        <w:rPr>
          <w:rFonts w:ascii="Arial" w:hAnsi="Arial" w:cs="Arial"/>
          <w:sz w:val="24"/>
          <w:szCs w:val="24"/>
          <w:lang w:val="en-US"/>
        </w:rPr>
        <w:t>icant for the restraint period.</w:t>
      </w:r>
      <w:r w:rsidR="00D73553" w:rsidRPr="003C1AE7">
        <w:rPr>
          <w:rFonts w:ascii="Arial" w:hAnsi="Arial" w:cs="Arial"/>
          <w:sz w:val="24"/>
          <w:szCs w:val="24"/>
          <w:lang w:val="en-US"/>
        </w:rPr>
        <w:t xml:space="preserve"> </w:t>
      </w:r>
    </w:p>
    <w:p w14:paraId="7E4B08CE" w14:textId="77777777" w:rsidR="00E6657B" w:rsidRDefault="00E6657B" w:rsidP="00E6657B">
      <w:pPr>
        <w:pStyle w:val="ListParagraph"/>
        <w:spacing w:line="480" w:lineRule="auto"/>
        <w:ind w:left="792"/>
        <w:jc w:val="both"/>
        <w:rPr>
          <w:rFonts w:ascii="Arial" w:hAnsi="Arial" w:cs="Arial"/>
          <w:sz w:val="24"/>
          <w:szCs w:val="24"/>
          <w:lang w:val="en-US"/>
        </w:rPr>
      </w:pPr>
    </w:p>
    <w:p w14:paraId="1F9DB6DB" w14:textId="5A886EA4" w:rsidR="00D73553" w:rsidRPr="003C1AE7" w:rsidRDefault="003C1AE7" w:rsidP="003C1AE7">
      <w:pPr>
        <w:spacing w:line="480" w:lineRule="auto"/>
        <w:ind w:left="792" w:hanging="432"/>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D73553" w:rsidRPr="003C1AE7">
        <w:rPr>
          <w:rFonts w:ascii="Arial" w:hAnsi="Arial" w:cs="Arial"/>
          <w:sz w:val="24"/>
          <w:szCs w:val="24"/>
          <w:lang w:val="en-US"/>
        </w:rPr>
        <w:t>The further dissemination of confidential in</w:t>
      </w:r>
      <w:r w:rsidR="00B15619" w:rsidRPr="003C1AE7">
        <w:rPr>
          <w:rFonts w:ascii="Arial" w:hAnsi="Arial" w:cs="Arial"/>
          <w:sz w:val="24"/>
          <w:szCs w:val="24"/>
          <w:lang w:val="en-US"/>
        </w:rPr>
        <w:t>formation of Betterbond to the second r</w:t>
      </w:r>
      <w:r w:rsidR="00D73553" w:rsidRPr="003C1AE7">
        <w:rPr>
          <w:rFonts w:ascii="Arial" w:hAnsi="Arial" w:cs="Arial"/>
          <w:sz w:val="24"/>
          <w:szCs w:val="24"/>
          <w:lang w:val="en-US"/>
        </w:rPr>
        <w:t xml:space="preserve">espondent or any other third party. </w:t>
      </w:r>
    </w:p>
    <w:p w14:paraId="007CB851" w14:textId="77777777" w:rsidR="00BB46D9" w:rsidRPr="00B15619" w:rsidRDefault="00BB46D9" w:rsidP="00D22847">
      <w:pPr>
        <w:rPr>
          <w:rFonts w:ascii="Arial" w:hAnsi="Arial" w:cs="Arial"/>
          <w:sz w:val="24"/>
          <w:szCs w:val="24"/>
          <w:lang w:val="en-US"/>
        </w:rPr>
      </w:pPr>
    </w:p>
    <w:p w14:paraId="4BB7BD36" w14:textId="0D18293F" w:rsidR="00B15619" w:rsidRPr="003C1AE7" w:rsidRDefault="003C1AE7" w:rsidP="003C1AE7">
      <w:pPr>
        <w:spacing w:line="480" w:lineRule="auto"/>
        <w:ind w:left="360" w:hanging="360"/>
        <w:jc w:val="both"/>
        <w:rPr>
          <w:rFonts w:ascii="Arial" w:hAnsi="Arial" w:cs="Arial"/>
          <w:color w:val="FF0000"/>
          <w:sz w:val="24"/>
          <w:szCs w:val="24"/>
          <w:lang w:val="en-US"/>
        </w:rPr>
      </w:pPr>
      <w:r w:rsidRPr="00A33EF3">
        <w:rPr>
          <w:rFonts w:ascii="Arial" w:hAnsi="Arial" w:cs="Arial"/>
          <w:sz w:val="24"/>
          <w:szCs w:val="24"/>
          <w:lang w:val="en-US"/>
        </w:rPr>
        <w:t>4.</w:t>
      </w:r>
      <w:r w:rsidRPr="00A33EF3">
        <w:rPr>
          <w:rFonts w:ascii="Arial" w:hAnsi="Arial" w:cs="Arial"/>
          <w:sz w:val="24"/>
          <w:szCs w:val="24"/>
          <w:lang w:val="en-US"/>
        </w:rPr>
        <w:tab/>
      </w:r>
      <w:r w:rsidR="00D22847" w:rsidRPr="003C1AE7">
        <w:rPr>
          <w:rFonts w:ascii="Arial" w:hAnsi="Arial" w:cs="Arial"/>
          <w:sz w:val="24"/>
          <w:szCs w:val="24"/>
          <w:lang w:val="en-US"/>
        </w:rPr>
        <w:t xml:space="preserve">The general principles relating to enforcement of restraints of trade agreements are </w:t>
      </w:r>
      <w:r w:rsidR="00B15619" w:rsidRPr="003C1AE7">
        <w:rPr>
          <w:rFonts w:ascii="Arial" w:hAnsi="Arial" w:cs="Arial"/>
          <w:sz w:val="24"/>
          <w:szCs w:val="24"/>
          <w:lang w:val="en-US"/>
        </w:rPr>
        <w:t xml:space="preserve">now </w:t>
      </w:r>
      <w:r w:rsidR="00D22847" w:rsidRPr="003C1AE7">
        <w:rPr>
          <w:rFonts w:ascii="Arial" w:hAnsi="Arial" w:cs="Arial"/>
          <w:sz w:val="24"/>
          <w:szCs w:val="24"/>
          <w:lang w:val="en-US"/>
        </w:rPr>
        <w:t>well-established.  In</w:t>
      </w:r>
      <w:r w:rsidR="00B15619" w:rsidRPr="003C1AE7">
        <w:rPr>
          <w:rFonts w:ascii="Arial" w:hAnsi="Arial" w:cs="Arial"/>
          <w:sz w:val="24"/>
          <w:szCs w:val="24"/>
          <w:lang w:val="en-US"/>
        </w:rPr>
        <w:t xml:space="preserve"> the pre-constitutional era, the then Appellate Division confirmed, in</w:t>
      </w:r>
      <w:r w:rsidR="00FA3E6E" w:rsidRPr="003C1AE7">
        <w:rPr>
          <w:rFonts w:ascii="Arial" w:hAnsi="Arial" w:cs="Arial"/>
          <w:sz w:val="24"/>
          <w:szCs w:val="24"/>
          <w:lang w:val="en-US"/>
        </w:rPr>
        <w:t xml:space="preserve"> </w:t>
      </w:r>
      <w:r w:rsidR="00FA3E6E" w:rsidRPr="003C1AE7">
        <w:rPr>
          <w:rFonts w:ascii="Arial" w:hAnsi="Arial" w:cs="Arial"/>
          <w:i/>
          <w:sz w:val="24"/>
          <w:szCs w:val="24"/>
          <w:lang w:val="en-US"/>
        </w:rPr>
        <w:t>Magna Alloys</w:t>
      </w:r>
      <w:r w:rsidR="00B15619" w:rsidRPr="003C1AE7">
        <w:rPr>
          <w:rFonts w:ascii="Arial" w:hAnsi="Arial" w:cs="Arial"/>
          <w:sz w:val="24"/>
          <w:szCs w:val="24"/>
          <w:lang w:val="en-US"/>
        </w:rPr>
        <w:t>,</w:t>
      </w:r>
      <w:r w:rsidR="00FA3E6E" w:rsidRPr="00B15619">
        <w:rPr>
          <w:rStyle w:val="FootnoteReference"/>
          <w:rFonts w:ascii="Arial" w:hAnsi="Arial" w:cs="Arial"/>
          <w:sz w:val="24"/>
          <w:szCs w:val="24"/>
          <w:lang w:val="en-US"/>
        </w:rPr>
        <w:footnoteReference w:id="2"/>
      </w:r>
      <w:r w:rsidR="00D22847" w:rsidRPr="003C1AE7">
        <w:rPr>
          <w:rFonts w:ascii="Arial" w:hAnsi="Arial" w:cs="Arial"/>
          <w:sz w:val="24"/>
          <w:szCs w:val="24"/>
          <w:lang w:val="en-US"/>
        </w:rPr>
        <w:t xml:space="preserve"> </w:t>
      </w:r>
      <w:r w:rsidR="00FA3E6E" w:rsidRPr="003C1AE7">
        <w:rPr>
          <w:rFonts w:ascii="Arial" w:hAnsi="Arial" w:cs="Arial"/>
          <w:sz w:val="24"/>
          <w:szCs w:val="24"/>
          <w:lang w:val="en-US"/>
        </w:rPr>
        <w:t xml:space="preserve">that restraint of trade agreements are </w:t>
      </w:r>
      <w:r w:rsidR="00FA3E6E" w:rsidRPr="003C1AE7">
        <w:rPr>
          <w:rFonts w:ascii="Arial" w:hAnsi="Arial" w:cs="Arial"/>
          <w:i/>
          <w:sz w:val="24"/>
          <w:szCs w:val="24"/>
          <w:lang w:val="en-US"/>
        </w:rPr>
        <w:t xml:space="preserve">prima facie </w:t>
      </w:r>
      <w:r w:rsidR="00FA3E6E" w:rsidRPr="003C1AE7">
        <w:rPr>
          <w:rFonts w:ascii="Arial" w:hAnsi="Arial" w:cs="Arial"/>
          <w:sz w:val="24"/>
          <w:szCs w:val="24"/>
          <w:lang w:val="en-US"/>
        </w:rPr>
        <w:t xml:space="preserve">valid and enforceable in accordance with the principle of </w:t>
      </w:r>
      <w:r w:rsidR="00FA3E6E" w:rsidRPr="003C1AE7">
        <w:rPr>
          <w:rFonts w:ascii="Arial" w:hAnsi="Arial" w:cs="Arial"/>
          <w:i/>
          <w:sz w:val="24"/>
          <w:szCs w:val="24"/>
          <w:lang w:val="en-US"/>
        </w:rPr>
        <w:t xml:space="preserve">pacta sunt servanda.  </w:t>
      </w:r>
      <w:r w:rsidR="00FA3E6E" w:rsidRPr="003C1AE7">
        <w:rPr>
          <w:rFonts w:ascii="Arial" w:hAnsi="Arial" w:cs="Arial"/>
          <w:sz w:val="24"/>
          <w:szCs w:val="24"/>
          <w:lang w:val="en-US"/>
        </w:rPr>
        <w:t xml:space="preserve"> However, this is subject to </w:t>
      </w:r>
      <w:r w:rsidR="00B15619" w:rsidRPr="003C1AE7">
        <w:rPr>
          <w:rFonts w:ascii="Arial" w:hAnsi="Arial" w:cs="Arial"/>
          <w:sz w:val="24"/>
          <w:szCs w:val="24"/>
          <w:lang w:val="en-US"/>
        </w:rPr>
        <w:t>its</w:t>
      </w:r>
      <w:r w:rsidR="00FA3E6E" w:rsidRPr="003C1AE7">
        <w:rPr>
          <w:rFonts w:ascii="Arial" w:hAnsi="Arial" w:cs="Arial"/>
          <w:sz w:val="24"/>
          <w:szCs w:val="24"/>
          <w:lang w:val="en-US"/>
        </w:rPr>
        <w:t xml:space="preserve"> reasonabl</w:t>
      </w:r>
      <w:r w:rsidR="004642C6" w:rsidRPr="003C1AE7">
        <w:rPr>
          <w:rFonts w:ascii="Arial" w:hAnsi="Arial" w:cs="Arial"/>
          <w:sz w:val="24"/>
          <w:szCs w:val="24"/>
          <w:lang w:val="en-US"/>
        </w:rPr>
        <w:t>en</w:t>
      </w:r>
      <w:r w:rsidR="00FA3E6E" w:rsidRPr="003C1AE7">
        <w:rPr>
          <w:rFonts w:ascii="Arial" w:hAnsi="Arial" w:cs="Arial"/>
          <w:sz w:val="24"/>
          <w:szCs w:val="24"/>
          <w:lang w:val="en-US"/>
        </w:rPr>
        <w:t>ess</w:t>
      </w:r>
      <w:r w:rsidR="00FE7234" w:rsidRPr="003C1AE7">
        <w:rPr>
          <w:rFonts w:ascii="Arial" w:hAnsi="Arial" w:cs="Arial"/>
          <w:sz w:val="24"/>
          <w:szCs w:val="24"/>
          <w:lang w:val="en-US"/>
        </w:rPr>
        <w:t>, and resultant accordance with public policy.</w:t>
      </w:r>
      <w:r w:rsidR="004642C6" w:rsidRPr="003C1AE7">
        <w:rPr>
          <w:rFonts w:ascii="Arial" w:hAnsi="Arial" w:cs="Arial"/>
          <w:sz w:val="24"/>
          <w:szCs w:val="24"/>
          <w:lang w:val="en-US"/>
        </w:rPr>
        <w:t xml:space="preserve"> </w:t>
      </w:r>
      <w:r w:rsidR="004642C6" w:rsidRPr="003C1AE7">
        <w:rPr>
          <w:rFonts w:ascii="Arial" w:hAnsi="Arial" w:cs="Arial"/>
          <w:color w:val="FF0000"/>
          <w:sz w:val="24"/>
          <w:szCs w:val="24"/>
          <w:lang w:val="en-US"/>
        </w:rPr>
        <w:t xml:space="preserve"> </w:t>
      </w:r>
      <w:r w:rsidR="00B15619" w:rsidRPr="003C1AE7">
        <w:rPr>
          <w:rFonts w:ascii="Arial" w:hAnsi="Arial" w:cs="Arial"/>
          <w:color w:val="FF0000"/>
          <w:sz w:val="24"/>
          <w:szCs w:val="24"/>
          <w:lang w:val="en-US"/>
        </w:rPr>
        <w:t xml:space="preserve"> </w:t>
      </w:r>
    </w:p>
    <w:p w14:paraId="62E2ACE3" w14:textId="77777777" w:rsidR="00A33EF3" w:rsidRDefault="00A33EF3" w:rsidP="00A33EF3">
      <w:pPr>
        <w:pStyle w:val="ListParagraph"/>
        <w:spacing w:line="480" w:lineRule="auto"/>
        <w:ind w:left="360"/>
        <w:jc w:val="both"/>
        <w:rPr>
          <w:rFonts w:ascii="Arial" w:hAnsi="Arial" w:cs="Arial"/>
          <w:color w:val="FF0000"/>
          <w:sz w:val="24"/>
          <w:szCs w:val="24"/>
          <w:lang w:val="en-US"/>
        </w:rPr>
      </w:pPr>
    </w:p>
    <w:p w14:paraId="2D0F77D4" w14:textId="34E612A3" w:rsidR="00B15619" w:rsidRPr="003C1AE7" w:rsidRDefault="003C1AE7" w:rsidP="003C1AE7">
      <w:pPr>
        <w:spacing w:line="480" w:lineRule="auto"/>
        <w:ind w:left="360" w:hanging="360"/>
        <w:jc w:val="both"/>
        <w:rPr>
          <w:rFonts w:ascii="Arial" w:hAnsi="Arial" w:cs="Arial"/>
          <w:sz w:val="24"/>
          <w:szCs w:val="24"/>
          <w:lang w:val="en-US"/>
        </w:rPr>
      </w:pPr>
      <w:r w:rsidRPr="008662B2">
        <w:rPr>
          <w:rFonts w:ascii="Arial" w:hAnsi="Arial" w:cs="Arial"/>
          <w:sz w:val="24"/>
          <w:szCs w:val="24"/>
          <w:lang w:val="en-US"/>
        </w:rPr>
        <w:t>5.</w:t>
      </w:r>
      <w:r w:rsidRPr="008662B2">
        <w:rPr>
          <w:rFonts w:ascii="Arial" w:hAnsi="Arial" w:cs="Arial"/>
          <w:sz w:val="24"/>
          <w:szCs w:val="24"/>
          <w:lang w:val="en-US"/>
        </w:rPr>
        <w:tab/>
      </w:r>
      <w:r w:rsidR="008B1E4C" w:rsidRPr="003C1AE7">
        <w:rPr>
          <w:rFonts w:ascii="Arial" w:hAnsi="Arial" w:cs="Arial"/>
          <w:sz w:val="24"/>
          <w:szCs w:val="24"/>
          <w:lang w:val="en-US"/>
        </w:rPr>
        <w:t xml:space="preserve">In </w:t>
      </w:r>
      <w:r w:rsidR="008B1E4C" w:rsidRPr="003C1AE7">
        <w:rPr>
          <w:rFonts w:ascii="Arial" w:hAnsi="Arial" w:cs="Arial"/>
          <w:i/>
          <w:sz w:val="24"/>
          <w:szCs w:val="24"/>
          <w:lang w:val="en-US"/>
        </w:rPr>
        <w:t>Basson v Chilwan</w:t>
      </w:r>
      <w:r w:rsidR="008B1E4C" w:rsidRPr="003C1AE7">
        <w:rPr>
          <w:rFonts w:ascii="Arial" w:hAnsi="Arial" w:cs="Arial"/>
          <w:sz w:val="24"/>
          <w:szCs w:val="24"/>
          <w:lang w:val="en-US"/>
        </w:rPr>
        <w:t>, t</w:t>
      </w:r>
      <w:r w:rsidR="00A33EF3" w:rsidRPr="003C1AE7">
        <w:rPr>
          <w:rFonts w:ascii="Arial" w:hAnsi="Arial" w:cs="Arial"/>
          <w:sz w:val="24"/>
          <w:szCs w:val="24"/>
          <w:lang w:val="en-US"/>
        </w:rPr>
        <w:t>he Appellate Division</w:t>
      </w:r>
      <w:r w:rsidR="008B1E4C" w:rsidRPr="003C1AE7">
        <w:rPr>
          <w:rFonts w:ascii="Arial" w:hAnsi="Arial" w:cs="Arial"/>
          <w:sz w:val="24"/>
          <w:szCs w:val="24"/>
          <w:lang w:val="en-US"/>
        </w:rPr>
        <w:t xml:space="preserve"> held that it is in itself contrary to public policy if a restraint operates to prevent a person from conducting commerce or pursuing a profession in the absence of a protectable interest asser</w:t>
      </w:r>
      <w:r w:rsidR="00015B98" w:rsidRPr="003C1AE7">
        <w:rPr>
          <w:rFonts w:ascii="Arial" w:hAnsi="Arial" w:cs="Arial"/>
          <w:sz w:val="24"/>
          <w:szCs w:val="24"/>
          <w:lang w:val="en-US"/>
        </w:rPr>
        <w:t xml:space="preserve">ted by the restraining party.  </w:t>
      </w:r>
      <w:r w:rsidR="008B1E4C" w:rsidRPr="003C1AE7">
        <w:rPr>
          <w:rFonts w:ascii="Arial" w:hAnsi="Arial" w:cs="Arial"/>
          <w:sz w:val="24"/>
          <w:szCs w:val="24"/>
          <w:lang w:val="en-US"/>
        </w:rPr>
        <w:t xml:space="preserve">A restriction that is reasonable between the parties may </w:t>
      </w:r>
      <w:r w:rsidR="008B1E4C" w:rsidRPr="003C1AE7">
        <w:rPr>
          <w:rFonts w:ascii="Arial" w:hAnsi="Arial" w:cs="Arial"/>
          <w:sz w:val="24"/>
          <w:szCs w:val="24"/>
          <w:lang w:val="en-US"/>
        </w:rPr>
        <w:lastRenderedPageBreak/>
        <w:t xml:space="preserve">nevertheless harm the public interest and </w:t>
      </w:r>
      <w:r w:rsidR="008B1E4C" w:rsidRPr="003C1AE7">
        <w:rPr>
          <w:rFonts w:ascii="Arial" w:hAnsi="Arial" w:cs="Arial"/>
          <w:i/>
          <w:sz w:val="24"/>
          <w:szCs w:val="24"/>
          <w:lang w:val="en-US"/>
        </w:rPr>
        <w:t>vice versa</w:t>
      </w:r>
      <w:r w:rsidR="008B1E4C" w:rsidRPr="003C1AE7">
        <w:rPr>
          <w:rFonts w:ascii="Arial" w:hAnsi="Arial" w:cs="Arial"/>
          <w:sz w:val="24"/>
          <w:szCs w:val="24"/>
          <w:lang w:val="en-US"/>
        </w:rPr>
        <w:t xml:space="preserve">.  The following </w:t>
      </w:r>
      <w:r w:rsidR="00037816" w:rsidRPr="003C1AE7">
        <w:rPr>
          <w:rFonts w:ascii="Arial" w:hAnsi="Arial" w:cs="Arial"/>
          <w:sz w:val="24"/>
          <w:szCs w:val="24"/>
          <w:lang w:val="en-US"/>
        </w:rPr>
        <w:t>considerations would</w:t>
      </w:r>
      <w:r w:rsidR="00B15619" w:rsidRPr="003C1AE7">
        <w:rPr>
          <w:rFonts w:ascii="Arial" w:hAnsi="Arial" w:cs="Arial"/>
          <w:sz w:val="24"/>
          <w:szCs w:val="24"/>
          <w:lang w:val="en-US"/>
        </w:rPr>
        <w:t xml:space="preserve"> need to be determined:</w:t>
      </w:r>
      <w:r w:rsidR="008B1E4C">
        <w:rPr>
          <w:rStyle w:val="FootnoteReference"/>
          <w:rFonts w:ascii="Arial" w:hAnsi="Arial" w:cs="Arial"/>
          <w:sz w:val="24"/>
          <w:szCs w:val="24"/>
          <w:lang w:val="en-US"/>
        </w:rPr>
        <w:footnoteReference w:id="3"/>
      </w:r>
      <w:r w:rsidR="00B15619" w:rsidRPr="003C1AE7">
        <w:rPr>
          <w:rFonts w:ascii="Arial" w:hAnsi="Arial" w:cs="Arial"/>
          <w:sz w:val="24"/>
          <w:szCs w:val="24"/>
          <w:lang w:val="en-US"/>
        </w:rPr>
        <w:t xml:space="preserve"> </w:t>
      </w:r>
    </w:p>
    <w:p w14:paraId="4574C10E" w14:textId="12711180" w:rsidR="00B15619" w:rsidRPr="003C1AE7" w:rsidRDefault="003C1AE7" w:rsidP="003C1AE7">
      <w:pPr>
        <w:spacing w:line="480" w:lineRule="auto"/>
        <w:ind w:left="792" w:hanging="432"/>
        <w:jc w:val="both"/>
        <w:rPr>
          <w:rFonts w:ascii="Arial" w:hAnsi="Arial" w:cs="Arial"/>
          <w:sz w:val="24"/>
          <w:szCs w:val="24"/>
          <w:lang w:val="en-US"/>
        </w:rPr>
      </w:pPr>
      <w:r w:rsidRPr="008662B2">
        <w:rPr>
          <w:rFonts w:ascii="Arial" w:hAnsi="Arial" w:cs="Arial"/>
          <w:sz w:val="24"/>
          <w:szCs w:val="24"/>
          <w:lang w:val="en-US"/>
        </w:rPr>
        <w:t>5.1.</w:t>
      </w:r>
      <w:r w:rsidRPr="008662B2">
        <w:rPr>
          <w:rFonts w:ascii="Arial" w:hAnsi="Arial" w:cs="Arial"/>
          <w:sz w:val="24"/>
          <w:szCs w:val="24"/>
          <w:lang w:val="en-US"/>
        </w:rPr>
        <w:tab/>
      </w:r>
      <w:r w:rsidR="00B15619" w:rsidRPr="003C1AE7">
        <w:rPr>
          <w:rFonts w:ascii="Arial" w:hAnsi="Arial" w:cs="Arial"/>
          <w:sz w:val="24"/>
          <w:szCs w:val="24"/>
          <w:lang w:val="en-US"/>
        </w:rPr>
        <w:t xml:space="preserve">Does the applicant have a protectable interest that deserves protection. </w:t>
      </w:r>
    </w:p>
    <w:p w14:paraId="2B1F030A" w14:textId="28501B1C" w:rsidR="00B15619" w:rsidRPr="003C1AE7" w:rsidRDefault="003C1AE7" w:rsidP="003C1AE7">
      <w:pPr>
        <w:spacing w:line="480" w:lineRule="auto"/>
        <w:ind w:left="792" w:hanging="432"/>
        <w:jc w:val="both"/>
        <w:rPr>
          <w:rFonts w:ascii="Arial" w:hAnsi="Arial" w:cs="Arial"/>
          <w:sz w:val="24"/>
          <w:szCs w:val="24"/>
          <w:lang w:val="en-US"/>
        </w:rPr>
      </w:pPr>
      <w:r w:rsidRPr="008662B2">
        <w:rPr>
          <w:rFonts w:ascii="Arial" w:hAnsi="Arial" w:cs="Arial"/>
          <w:sz w:val="24"/>
          <w:szCs w:val="24"/>
          <w:lang w:val="en-US"/>
        </w:rPr>
        <w:t>5.2.</w:t>
      </w:r>
      <w:r w:rsidRPr="008662B2">
        <w:rPr>
          <w:rFonts w:ascii="Arial" w:hAnsi="Arial" w:cs="Arial"/>
          <w:sz w:val="24"/>
          <w:szCs w:val="24"/>
          <w:lang w:val="en-US"/>
        </w:rPr>
        <w:tab/>
      </w:r>
      <w:r w:rsidR="00B15619" w:rsidRPr="003C1AE7">
        <w:rPr>
          <w:rFonts w:ascii="Arial" w:hAnsi="Arial" w:cs="Arial"/>
          <w:sz w:val="24"/>
          <w:szCs w:val="24"/>
          <w:lang w:val="en-US"/>
        </w:rPr>
        <w:t>Is so, is that interested threate</w:t>
      </w:r>
      <w:r w:rsidR="00266165" w:rsidRPr="003C1AE7">
        <w:rPr>
          <w:rFonts w:ascii="Arial" w:hAnsi="Arial" w:cs="Arial"/>
          <w:sz w:val="24"/>
          <w:szCs w:val="24"/>
          <w:lang w:val="en-US"/>
        </w:rPr>
        <w:t>ne</w:t>
      </w:r>
      <w:r w:rsidR="00B15619" w:rsidRPr="003C1AE7">
        <w:rPr>
          <w:rFonts w:ascii="Arial" w:hAnsi="Arial" w:cs="Arial"/>
          <w:sz w:val="24"/>
          <w:szCs w:val="24"/>
          <w:lang w:val="en-US"/>
        </w:rPr>
        <w:t xml:space="preserve">d or breached by the other party. </w:t>
      </w:r>
    </w:p>
    <w:p w14:paraId="5FC45F03" w14:textId="09AB01FA" w:rsidR="008B1E4C" w:rsidRPr="003C1AE7" w:rsidRDefault="003C1AE7" w:rsidP="003C1AE7">
      <w:pPr>
        <w:spacing w:line="480" w:lineRule="auto"/>
        <w:ind w:left="792" w:hanging="432"/>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B15619" w:rsidRPr="003C1AE7">
        <w:rPr>
          <w:rFonts w:ascii="Arial" w:hAnsi="Arial" w:cs="Arial"/>
          <w:sz w:val="24"/>
          <w:szCs w:val="24"/>
          <w:lang w:val="en-US"/>
        </w:rPr>
        <w:t xml:space="preserve">Does such interest weigh qualitatively and quantitatively against the interest of the other party not to be economically inactive and unproductive.  </w:t>
      </w:r>
    </w:p>
    <w:p w14:paraId="0B7DE1C4" w14:textId="407B6642" w:rsidR="00B15619" w:rsidRPr="003C1AE7" w:rsidRDefault="003C1AE7" w:rsidP="003C1AE7">
      <w:pPr>
        <w:spacing w:line="480" w:lineRule="auto"/>
        <w:ind w:left="792" w:hanging="432"/>
        <w:jc w:val="both"/>
        <w:rPr>
          <w:rFonts w:ascii="Arial" w:hAnsi="Arial" w:cs="Arial"/>
          <w:sz w:val="24"/>
          <w:szCs w:val="24"/>
          <w:lang w:val="en-US"/>
        </w:rPr>
      </w:pPr>
      <w:r w:rsidRPr="008B1E4C">
        <w:rPr>
          <w:rFonts w:ascii="Arial" w:hAnsi="Arial" w:cs="Arial"/>
          <w:sz w:val="24"/>
          <w:szCs w:val="24"/>
          <w:lang w:val="en-US"/>
        </w:rPr>
        <w:t>5.4.</w:t>
      </w:r>
      <w:r w:rsidRPr="008B1E4C">
        <w:rPr>
          <w:rFonts w:ascii="Arial" w:hAnsi="Arial" w:cs="Arial"/>
          <w:sz w:val="24"/>
          <w:szCs w:val="24"/>
          <w:lang w:val="en-US"/>
        </w:rPr>
        <w:tab/>
      </w:r>
      <w:r w:rsidR="00B15619" w:rsidRPr="003C1AE7">
        <w:rPr>
          <w:rFonts w:ascii="Arial" w:hAnsi="Arial" w:cs="Arial"/>
          <w:sz w:val="24"/>
          <w:szCs w:val="24"/>
          <w:lang w:val="en-US"/>
        </w:rPr>
        <w:t>Is there an aspect of public policy unrelated to the relations</w:t>
      </w:r>
      <w:r w:rsidR="00FE7234" w:rsidRPr="003C1AE7">
        <w:rPr>
          <w:rFonts w:ascii="Arial" w:hAnsi="Arial" w:cs="Arial"/>
          <w:sz w:val="24"/>
          <w:szCs w:val="24"/>
          <w:lang w:val="en-US"/>
        </w:rPr>
        <w:t>hip that requires the restraint</w:t>
      </w:r>
      <w:r w:rsidR="00B15619" w:rsidRPr="003C1AE7">
        <w:rPr>
          <w:rFonts w:ascii="Arial" w:hAnsi="Arial" w:cs="Arial"/>
          <w:sz w:val="24"/>
          <w:szCs w:val="24"/>
          <w:lang w:val="en-US"/>
        </w:rPr>
        <w:t xml:space="preserve"> to be maintained or rejected;</w:t>
      </w:r>
      <w:r w:rsidR="00B15619" w:rsidRPr="008662B2">
        <w:rPr>
          <w:rStyle w:val="FootnoteReference"/>
          <w:rFonts w:ascii="Arial" w:hAnsi="Arial" w:cs="Arial"/>
          <w:sz w:val="24"/>
          <w:szCs w:val="24"/>
          <w:lang w:val="en-US"/>
        </w:rPr>
        <w:footnoteReference w:id="4"/>
      </w:r>
    </w:p>
    <w:p w14:paraId="774AD05A" w14:textId="48D2F146" w:rsidR="00B15619" w:rsidRPr="003C1AE7" w:rsidRDefault="003C1AE7" w:rsidP="003C1AE7">
      <w:pPr>
        <w:spacing w:line="480" w:lineRule="auto"/>
        <w:ind w:left="792" w:hanging="432"/>
        <w:jc w:val="both"/>
        <w:rPr>
          <w:rFonts w:ascii="Arial" w:hAnsi="Arial" w:cs="Arial"/>
          <w:sz w:val="24"/>
          <w:szCs w:val="24"/>
          <w:lang w:val="en-US"/>
        </w:rPr>
      </w:pPr>
      <w:r w:rsidRPr="00907EBF">
        <w:rPr>
          <w:rFonts w:ascii="Arial" w:hAnsi="Arial" w:cs="Arial"/>
          <w:sz w:val="24"/>
          <w:szCs w:val="24"/>
          <w:lang w:val="en-US"/>
        </w:rPr>
        <w:t>5.5.</w:t>
      </w:r>
      <w:r w:rsidRPr="00907EBF">
        <w:rPr>
          <w:rFonts w:ascii="Arial" w:hAnsi="Arial" w:cs="Arial"/>
          <w:sz w:val="24"/>
          <w:szCs w:val="24"/>
          <w:lang w:val="en-US"/>
        </w:rPr>
        <w:tab/>
      </w:r>
      <w:r w:rsidR="00B15619" w:rsidRPr="003C1AE7">
        <w:rPr>
          <w:rFonts w:ascii="Arial" w:hAnsi="Arial" w:cs="Arial"/>
          <w:sz w:val="24"/>
          <w:szCs w:val="24"/>
          <w:lang w:val="en-US"/>
        </w:rPr>
        <w:t>Does the restraint go further than necessary to protect the relevant interest.</w:t>
      </w:r>
      <w:r w:rsidR="00B15619" w:rsidRPr="008662B2">
        <w:rPr>
          <w:rStyle w:val="FootnoteReference"/>
          <w:rFonts w:ascii="Arial" w:hAnsi="Arial" w:cs="Arial"/>
          <w:sz w:val="24"/>
          <w:szCs w:val="24"/>
          <w:lang w:val="en-US"/>
        </w:rPr>
        <w:footnoteReference w:id="5"/>
      </w:r>
      <w:r w:rsidR="00B15619" w:rsidRPr="003C1AE7">
        <w:rPr>
          <w:rFonts w:ascii="Arial" w:hAnsi="Arial" w:cs="Arial"/>
          <w:sz w:val="24"/>
          <w:szCs w:val="24"/>
          <w:lang w:val="en-US"/>
        </w:rPr>
        <w:t xml:space="preserve"> </w:t>
      </w:r>
    </w:p>
    <w:p w14:paraId="0C27F6B9" w14:textId="77777777" w:rsidR="00B15619" w:rsidRPr="00907EBF" w:rsidRDefault="00B15619" w:rsidP="00B15619">
      <w:pPr>
        <w:pStyle w:val="ListParagraph"/>
        <w:spacing w:line="480" w:lineRule="auto"/>
        <w:ind w:left="360"/>
        <w:jc w:val="both"/>
        <w:rPr>
          <w:rFonts w:ascii="Arial" w:hAnsi="Arial" w:cs="Arial"/>
          <w:sz w:val="24"/>
          <w:szCs w:val="24"/>
          <w:lang w:val="en-US"/>
        </w:rPr>
      </w:pPr>
    </w:p>
    <w:p w14:paraId="7430CB94" w14:textId="40E30C94" w:rsidR="00A77137"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A77137" w:rsidRPr="003C1AE7">
        <w:rPr>
          <w:rFonts w:ascii="Arial" w:hAnsi="Arial" w:cs="Arial"/>
          <w:sz w:val="24"/>
          <w:szCs w:val="24"/>
          <w:lang w:val="en-US"/>
        </w:rPr>
        <w:t xml:space="preserve">In </w:t>
      </w:r>
      <w:r w:rsidR="00A77137" w:rsidRPr="003C1AE7">
        <w:rPr>
          <w:rFonts w:ascii="Arial" w:hAnsi="Arial" w:cs="Arial"/>
          <w:i/>
          <w:sz w:val="24"/>
          <w:szCs w:val="24"/>
          <w:lang w:val="en-US"/>
        </w:rPr>
        <w:t xml:space="preserve">Reddy v Siemens Telecommunications, </w:t>
      </w:r>
      <w:r w:rsidR="00A77137" w:rsidRPr="003C1AE7">
        <w:rPr>
          <w:rFonts w:ascii="Arial" w:hAnsi="Arial" w:cs="Arial"/>
          <w:sz w:val="24"/>
          <w:szCs w:val="24"/>
          <w:lang w:val="en-US"/>
        </w:rPr>
        <w:t xml:space="preserve">the SCA affirmed the consistency of the common law approach with constitutional values, holding specifically that the considerations set out in </w:t>
      </w:r>
      <w:r w:rsidR="00A77137" w:rsidRPr="003C1AE7">
        <w:rPr>
          <w:rFonts w:ascii="Arial" w:hAnsi="Arial" w:cs="Arial"/>
          <w:i/>
          <w:sz w:val="24"/>
          <w:szCs w:val="24"/>
          <w:lang w:val="en-US"/>
        </w:rPr>
        <w:t xml:space="preserve">Basson </w:t>
      </w:r>
      <w:r w:rsidR="00A77137" w:rsidRPr="003C1AE7">
        <w:rPr>
          <w:rFonts w:ascii="Arial" w:hAnsi="Arial" w:cs="Arial"/>
          <w:sz w:val="24"/>
          <w:szCs w:val="24"/>
          <w:lang w:val="en-US"/>
        </w:rPr>
        <w:t>‘comprehend’ the considerations in section 36(1) of the Constitution, the limitations clause.</w:t>
      </w:r>
    </w:p>
    <w:p w14:paraId="0EFEEBB3" w14:textId="191CDEF9" w:rsidR="002972AA"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A42FB7" w:rsidRPr="003C1AE7">
        <w:rPr>
          <w:rFonts w:ascii="Arial" w:hAnsi="Arial" w:cs="Arial"/>
          <w:sz w:val="24"/>
          <w:szCs w:val="24"/>
          <w:lang w:val="en-US"/>
        </w:rPr>
        <w:t xml:space="preserve">This approach is subject to the Constitutional Court’s holdings in </w:t>
      </w:r>
      <w:r w:rsidR="004642C6" w:rsidRPr="003C1AE7">
        <w:rPr>
          <w:rFonts w:ascii="Arial" w:hAnsi="Arial" w:cs="Arial"/>
          <w:i/>
          <w:sz w:val="24"/>
          <w:szCs w:val="24"/>
          <w:lang w:val="en-US"/>
        </w:rPr>
        <w:t>Barkhuizen v Napier</w:t>
      </w:r>
      <w:r w:rsidR="004642C6" w:rsidRPr="00907EBF">
        <w:rPr>
          <w:rStyle w:val="FootnoteReference"/>
          <w:rFonts w:ascii="Arial" w:hAnsi="Arial" w:cs="Arial"/>
          <w:sz w:val="24"/>
          <w:szCs w:val="24"/>
          <w:lang w:val="en-US"/>
        </w:rPr>
        <w:footnoteReference w:id="6"/>
      </w:r>
      <w:r w:rsidR="00A42FB7" w:rsidRPr="003C1AE7">
        <w:rPr>
          <w:rFonts w:ascii="Arial" w:hAnsi="Arial" w:cs="Arial"/>
          <w:i/>
          <w:sz w:val="24"/>
          <w:szCs w:val="24"/>
          <w:lang w:val="en-US"/>
        </w:rPr>
        <w:t xml:space="preserve"> </w:t>
      </w:r>
      <w:r w:rsidR="00A42FB7" w:rsidRPr="003C1AE7">
        <w:rPr>
          <w:rFonts w:ascii="Arial" w:hAnsi="Arial" w:cs="Arial"/>
          <w:sz w:val="24"/>
          <w:szCs w:val="24"/>
          <w:lang w:val="en-US"/>
        </w:rPr>
        <w:t xml:space="preserve">and more recently </w:t>
      </w:r>
      <w:r w:rsidR="00A42FB7" w:rsidRPr="003C1AE7">
        <w:rPr>
          <w:rFonts w:ascii="Arial" w:hAnsi="Arial" w:cs="Arial"/>
          <w:i/>
          <w:sz w:val="24"/>
          <w:szCs w:val="24"/>
          <w:lang w:val="en-US"/>
        </w:rPr>
        <w:t>Beadica v Trustees, Oregon Trust.</w:t>
      </w:r>
      <w:r w:rsidR="00A42FB7" w:rsidRPr="00A42FB7">
        <w:rPr>
          <w:rStyle w:val="FootnoteReference"/>
          <w:rFonts w:ascii="Arial" w:hAnsi="Arial" w:cs="Arial"/>
          <w:sz w:val="24"/>
          <w:szCs w:val="24"/>
          <w:lang w:val="en-US"/>
        </w:rPr>
        <w:footnoteReference w:id="7"/>
      </w:r>
      <w:r w:rsidR="004642C6" w:rsidRPr="003C1AE7">
        <w:rPr>
          <w:rFonts w:ascii="Arial" w:hAnsi="Arial" w:cs="Arial"/>
          <w:i/>
          <w:sz w:val="24"/>
          <w:szCs w:val="24"/>
          <w:lang w:val="en-US"/>
        </w:rPr>
        <w:t xml:space="preserve"> </w:t>
      </w:r>
      <w:r w:rsidR="004642C6" w:rsidRPr="003C1AE7">
        <w:rPr>
          <w:rFonts w:ascii="Arial" w:hAnsi="Arial" w:cs="Arial"/>
          <w:sz w:val="24"/>
          <w:szCs w:val="24"/>
          <w:lang w:val="en-US"/>
        </w:rPr>
        <w:t xml:space="preserve"> </w:t>
      </w:r>
      <w:r w:rsidR="002972AA" w:rsidRPr="003C1AE7">
        <w:rPr>
          <w:rFonts w:ascii="Arial" w:hAnsi="Arial" w:cs="Arial"/>
          <w:sz w:val="24"/>
          <w:szCs w:val="24"/>
          <w:lang w:val="en-US"/>
        </w:rPr>
        <w:t xml:space="preserve"> In brief, the determination of public policy is now ‘rooted in the Constitution and the objective, normative value system it embodies.’</w:t>
      </w:r>
      <w:r w:rsidR="002972AA">
        <w:rPr>
          <w:rStyle w:val="FootnoteReference"/>
          <w:rFonts w:ascii="Arial" w:hAnsi="Arial" w:cs="Arial"/>
          <w:sz w:val="24"/>
          <w:szCs w:val="24"/>
          <w:lang w:val="en-US"/>
        </w:rPr>
        <w:footnoteReference w:id="8"/>
      </w:r>
      <w:r w:rsidR="002972AA" w:rsidRPr="003C1AE7">
        <w:rPr>
          <w:rFonts w:ascii="Arial" w:hAnsi="Arial" w:cs="Arial"/>
          <w:sz w:val="24"/>
          <w:szCs w:val="24"/>
          <w:lang w:val="en-US"/>
        </w:rPr>
        <w:t xml:space="preserve">  What is required is a careful balancing exercise to determine whether the enforcement of a contractual term would be </w:t>
      </w:r>
      <w:r w:rsidR="002972AA" w:rsidRPr="003C1AE7">
        <w:rPr>
          <w:rFonts w:ascii="Arial" w:hAnsi="Arial" w:cs="Arial"/>
          <w:sz w:val="24"/>
          <w:szCs w:val="24"/>
          <w:lang w:val="en-US"/>
        </w:rPr>
        <w:lastRenderedPageBreak/>
        <w:t>contrary to public policy, balancing any ‘unacceptable excesses of “freedom of contract” while permitting individuals the dignity and autonomy to regulate their own lives.</w:t>
      </w:r>
      <w:r w:rsidR="002972AA">
        <w:rPr>
          <w:rStyle w:val="FootnoteReference"/>
          <w:rFonts w:ascii="Arial" w:hAnsi="Arial" w:cs="Arial"/>
          <w:sz w:val="24"/>
          <w:szCs w:val="24"/>
          <w:lang w:val="en-US"/>
        </w:rPr>
        <w:footnoteReference w:id="9"/>
      </w:r>
      <w:r w:rsidR="00247A33" w:rsidRPr="003C1AE7">
        <w:rPr>
          <w:rFonts w:ascii="Arial" w:hAnsi="Arial" w:cs="Arial"/>
          <w:sz w:val="24"/>
          <w:szCs w:val="24"/>
          <w:lang w:val="en-US"/>
        </w:rPr>
        <w:t xml:space="preserve">  Importantly, ‘public policy imports values of fairness, reasonableness and justice’, and ‘Ubuntu, which encompasses these values, is now also recognized as a constitutional value, inspiring our constitutional compact.’</w:t>
      </w:r>
      <w:r w:rsidR="00247A33">
        <w:rPr>
          <w:rStyle w:val="FootnoteReference"/>
          <w:rFonts w:ascii="Arial" w:hAnsi="Arial" w:cs="Arial"/>
          <w:sz w:val="24"/>
          <w:szCs w:val="24"/>
          <w:lang w:val="en-US"/>
        </w:rPr>
        <w:footnoteReference w:id="10"/>
      </w:r>
      <w:r w:rsidR="00247A33" w:rsidRPr="003C1AE7">
        <w:rPr>
          <w:rFonts w:ascii="Arial" w:hAnsi="Arial" w:cs="Arial"/>
          <w:sz w:val="24"/>
          <w:szCs w:val="24"/>
          <w:lang w:val="en-US"/>
        </w:rPr>
        <w:t xml:space="preserve">  The Constitutional Court emphasized in </w:t>
      </w:r>
      <w:r w:rsidR="00247A33" w:rsidRPr="003C1AE7">
        <w:rPr>
          <w:rFonts w:ascii="Arial" w:hAnsi="Arial" w:cs="Arial"/>
          <w:i/>
          <w:sz w:val="24"/>
          <w:szCs w:val="24"/>
          <w:lang w:val="en-US"/>
        </w:rPr>
        <w:t xml:space="preserve">Beadica </w:t>
      </w:r>
      <w:r w:rsidR="00247A33" w:rsidRPr="003C1AE7">
        <w:rPr>
          <w:rFonts w:ascii="Arial" w:hAnsi="Arial" w:cs="Arial"/>
          <w:sz w:val="24"/>
          <w:szCs w:val="24"/>
          <w:lang w:val="en-US"/>
        </w:rPr>
        <w:t>that: ‘It is only where a contractual term, or its enforcement, is so unfair, unreasonable or unjust that it is contrary to public policy that a court may refuse to enforce it.’</w:t>
      </w:r>
      <w:r w:rsidR="00247A33">
        <w:rPr>
          <w:rStyle w:val="FootnoteReference"/>
          <w:rFonts w:ascii="Arial" w:hAnsi="Arial" w:cs="Arial"/>
          <w:sz w:val="24"/>
          <w:szCs w:val="24"/>
          <w:lang w:val="en-US"/>
        </w:rPr>
        <w:footnoteReference w:id="11"/>
      </w:r>
      <w:r w:rsidR="00247A33" w:rsidRPr="003C1AE7">
        <w:rPr>
          <w:rFonts w:ascii="Arial" w:hAnsi="Arial" w:cs="Arial"/>
          <w:sz w:val="24"/>
          <w:szCs w:val="24"/>
          <w:lang w:val="en-US"/>
        </w:rPr>
        <w:t xml:space="preserve">  The Court continued</w:t>
      </w:r>
      <w:r w:rsidR="00A77137" w:rsidRPr="003C1AE7">
        <w:rPr>
          <w:rFonts w:ascii="Arial" w:hAnsi="Arial" w:cs="Arial"/>
          <w:sz w:val="24"/>
          <w:szCs w:val="24"/>
          <w:lang w:val="en-US"/>
        </w:rPr>
        <w:t xml:space="preserve"> by emphasi</w:t>
      </w:r>
      <w:r w:rsidR="00247A33" w:rsidRPr="003C1AE7">
        <w:rPr>
          <w:rFonts w:ascii="Arial" w:hAnsi="Arial" w:cs="Arial"/>
          <w:sz w:val="24"/>
          <w:szCs w:val="24"/>
          <w:lang w:val="en-US"/>
        </w:rPr>
        <w:t xml:space="preserve">sing that the principle of </w:t>
      </w:r>
      <w:r w:rsidR="00247A33" w:rsidRPr="003C1AE7">
        <w:rPr>
          <w:rFonts w:ascii="Arial" w:hAnsi="Arial" w:cs="Arial"/>
          <w:i/>
          <w:sz w:val="24"/>
          <w:szCs w:val="24"/>
          <w:lang w:val="en-US"/>
        </w:rPr>
        <w:t xml:space="preserve">pacta sunt servanda </w:t>
      </w:r>
      <w:r w:rsidR="00247A33" w:rsidRPr="003C1AE7">
        <w:rPr>
          <w:rFonts w:ascii="Arial" w:hAnsi="Arial" w:cs="Arial"/>
          <w:sz w:val="24"/>
          <w:szCs w:val="24"/>
          <w:lang w:val="en-US"/>
        </w:rPr>
        <w:t>‘</w:t>
      </w:r>
      <w:r w:rsidR="00A77137" w:rsidRPr="003C1AE7">
        <w:rPr>
          <w:rFonts w:ascii="Arial" w:hAnsi="Arial" w:cs="Arial"/>
          <w:sz w:val="24"/>
          <w:szCs w:val="24"/>
          <w:lang w:val="en-US"/>
        </w:rPr>
        <w:t>plays a crucial role in the judicial control of contracts through the instrument of public policy, as it gives expression to central constitutional values.’  However</w:t>
      </w:r>
      <w:r w:rsidR="00247A33" w:rsidRPr="003C1AE7">
        <w:rPr>
          <w:rFonts w:ascii="Arial" w:hAnsi="Arial" w:cs="Arial"/>
          <w:sz w:val="24"/>
          <w:szCs w:val="24"/>
          <w:lang w:val="en-US"/>
        </w:rPr>
        <w:t xml:space="preserve">: </w:t>
      </w:r>
    </w:p>
    <w:p w14:paraId="64A4DA1D" w14:textId="77777777" w:rsidR="00247A33" w:rsidRPr="00A77137" w:rsidRDefault="00247A33" w:rsidP="00A77137">
      <w:pPr>
        <w:pStyle w:val="ListParagraph"/>
        <w:spacing w:line="360" w:lineRule="auto"/>
        <w:jc w:val="both"/>
        <w:rPr>
          <w:rFonts w:ascii="Arial" w:hAnsi="Arial" w:cs="Arial"/>
          <w:lang w:val="en-US"/>
        </w:rPr>
      </w:pPr>
      <w:r w:rsidRPr="00A77137">
        <w:rPr>
          <w:rFonts w:ascii="Arial" w:hAnsi="Arial" w:cs="Arial"/>
          <w:lang w:val="en-US"/>
        </w:rPr>
        <w:t xml:space="preserve">‘ In our new constitutional era, </w:t>
      </w:r>
      <w:r w:rsidRPr="00A77137">
        <w:rPr>
          <w:rFonts w:ascii="Arial" w:hAnsi="Arial" w:cs="Arial"/>
          <w:i/>
          <w:lang w:val="en-US"/>
        </w:rPr>
        <w:t xml:space="preserve">pacta sunt servanda </w:t>
      </w:r>
      <w:r w:rsidRPr="00A77137">
        <w:rPr>
          <w:rFonts w:ascii="Arial" w:hAnsi="Arial" w:cs="Arial"/>
          <w:lang w:val="en-US"/>
        </w:rPr>
        <w:t xml:space="preserve">is not the only, nor the most important principle informing the judicial control of contracts.  The requirements of public policy are informed by a wide range of constitutional values.  There is no basis for privileging </w:t>
      </w:r>
      <w:r w:rsidRPr="00A77137">
        <w:rPr>
          <w:rFonts w:ascii="Arial" w:hAnsi="Arial" w:cs="Arial"/>
          <w:i/>
          <w:lang w:val="en-US"/>
        </w:rPr>
        <w:t xml:space="preserve">pacta sunt servanda </w:t>
      </w:r>
      <w:r w:rsidRPr="00A77137">
        <w:rPr>
          <w:rFonts w:ascii="Arial" w:hAnsi="Arial" w:cs="Arial"/>
          <w:lang w:val="en-US"/>
        </w:rPr>
        <w:t>over other constitutional rights and values.  Where a number of constitutional rights and values are implicated, a careful balancing exercise is required to determine whether enforcement of the contractual terms would be contrary to public policy in the circumstances.’</w:t>
      </w:r>
    </w:p>
    <w:p w14:paraId="23506B32" w14:textId="77777777" w:rsidR="00247A33" w:rsidRPr="002972AA" w:rsidRDefault="00247A33" w:rsidP="00247A33">
      <w:pPr>
        <w:pStyle w:val="ListParagraph"/>
        <w:spacing w:line="480" w:lineRule="auto"/>
        <w:ind w:left="360"/>
        <w:jc w:val="both"/>
        <w:rPr>
          <w:rFonts w:ascii="Arial" w:hAnsi="Arial" w:cs="Arial"/>
          <w:sz w:val="24"/>
          <w:szCs w:val="24"/>
          <w:lang w:val="en-US"/>
        </w:rPr>
      </w:pPr>
    </w:p>
    <w:p w14:paraId="5F2D1CC7" w14:textId="77777777" w:rsidR="004803CB" w:rsidRPr="00B27A12" w:rsidRDefault="004803CB" w:rsidP="004803CB">
      <w:pPr>
        <w:pStyle w:val="ListParagraph"/>
        <w:spacing w:line="480" w:lineRule="auto"/>
        <w:jc w:val="both"/>
        <w:rPr>
          <w:rFonts w:ascii="Arial" w:hAnsi="Arial" w:cs="Arial"/>
          <w:color w:val="FF0000"/>
          <w:sz w:val="24"/>
          <w:szCs w:val="24"/>
          <w:lang w:val="en-US"/>
        </w:rPr>
      </w:pPr>
    </w:p>
    <w:p w14:paraId="60B5E04C" w14:textId="0ECA2139" w:rsidR="00907EBF"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A77137" w:rsidRPr="003C1AE7">
        <w:rPr>
          <w:rFonts w:ascii="Arial" w:hAnsi="Arial" w:cs="Arial"/>
          <w:sz w:val="24"/>
          <w:szCs w:val="24"/>
          <w:lang w:val="en-US"/>
        </w:rPr>
        <w:t>Finally, the Constitutional Court</w:t>
      </w:r>
      <w:r w:rsidR="005C2C75" w:rsidRPr="003C1AE7">
        <w:rPr>
          <w:rFonts w:ascii="Arial" w:hAnsi="Arial" w:cs="Arial"/>
          <w:sz w:val="24"/>
          <w:szCs w:val="24"/>
          <w:lang w:val="en-US"/>
        </w:rPr>
        <w:t xml:space="preserve"> in </w:t>
      </w:r>
      <w:r w:rsidR="005C2C75" w:rsidRPr="003C1AE7">
        <w:rPr>
          <w:rFonts w:ascii="Arial" w:hAnsi="Arial" w:cs="Arial"/>
          <w:i/>
          <w:sz w:val="24"/>
          <w:szCs w:val="24"/>
          <w:lang w:val="en-US"/>
        </w:rPr>
        <w:t>Beadica</w:t>
      </w:r>
      <w:r w:rsidR="00A77137" w:rsidRPr="003C1AE7">
        <w:rPr>
          <w:rFonts w:ascii="Arial" w:hAnsi="Arial" w:cs="Arial"/>
          <w:sz w:val="24"/>
          <w:szCs w:val="24"/>
          <w:lang w:val="en-US"/>
        </w:rPr>
        <w:t xml:space="preserve"> elucidated the principle of ‘perceptive restraint’, which a Court must exercise when approaching the task of refusing to enforce a contractual term.  What this means is that while Courts must nor shrink </w:t>
      </w:r>
      <w:r w:rsidR="00A77137" w:rsidRPr="003C1AE7">
        <w:rPr>
          <w:rFonts w:ascii="Arial" w:hAnsi="Arial" w:cs="Arial"/>
          <w:sz w:val="24"/>
          <w:szCs w:val="24"/>
          <w:lang w:val="en-US"/>
        </w:rPr>
        <w:lastRenderedPageBreak/>
        <w:t>from their constitutional duty to infuse public policy with constitutional values, the power is to be exercised sparingly, in the clearest of, or worthy, cases.</w:t>
      </w:r>
      <w:r w:rsidR="00A77137">
        <w:rPr>
          <w:rStyle w:val="FootnoteReference"/>
          <w:rFonts w:ascii="Arial" w:hAnsi="Arial" w:cs="Arial"/>
          <w:sz w:val="24"/>
          <w:szCs w:val="24"/>
          <w:lang w:val="en-US"/>
        </w:rPr>
        <w:footnoteReference w:id="12"/>
      </w:r>
      <w:r w:rsidR="00A77137" w:rsidRPr="003C1AE7">
        <w:rPr>
          <w:rFonts w:ascii="Arial" w:hAnsi="Arial" w:cs="Arial"/>
          <w:sz w:val="24"/>
          <w:szCs w:val="24"/>
          <w:lang w:val="en-US"/>
        </w:rPr>
        <w:t xml:space="preserve"> </w:t>
      </w:r>
    </w:p>
    <w:p w14:paraId="3C6AB3ED" w14:textId="77777777" w:rsidR="00A77137" w:rsidRDefault="00A77137" w:rsidP="00A77137">
      <w:pPr>
        <w:spacing w:line="480" w:lineRule="auto"/>
        <w:jc w:val="both"/>
        <w:rPr>
          <w:rFonts w:ascii="Arial" w:hAnsi="Arial" w:cs="Arial"/>
          <w:sz w:val="24"/>
          <w:szCs w:val="24"/>
          <w:lang w:val="en-US"/>
        </w:rPr>
      </w:pPr>
    </w:p>
    <w:p w14:paraId="64856FA6" w14:textId="77777777" w:rsidR="0029671B" w:rsidRPr="00A77137" w:rsidRDefault="00B27A12" w:rsidP="00A77137">
      <w:pPr>
        <w:spacing w:line="480" w:lineRule="auto"/>
        <w:jc w:val="both"/>
        <w:rPr>
          <w:rFonts w:ascii="Arial" w:hAnsi="Arial" w:cs="Arial"/>
          <w:sz w:val="24"/>
          <w:szCs w:val="24"/>
          <w:lang w:val="en-US"/>
        </w:rPr>
      </w:pPr>
      <w:r w:rsidRPr="00A77137">
        <w:rPr>
          <w:rFonts w:ascii="Arial" w:hAnsi="Arial" w:cs="Arial"/>
          <w:b/>
          <w:sz w:val="24"/>
          <w:szCs w:val="24"/>
          <w:lang w:val="en-US"/>
        </w:rPr>
        <w:t xml:space="preserve">The </w:t>
      </w:r>
      <w:r w:rsidR="0057689E" w:rsidRPr="00A77137">
        <w:rPr>
          <w:rFonts w:ascii="Arial" w:hAnsi="Arial" w:cs="Arial"/>
          <w:b/>
          <w:sz w:val="24"/>
          <w:szCs w:val="24"/>
          <w:lang w:val="en-US"/>
        </w:rPr>
        <w:t>events giving rise to the application</w:t>
      </w:r>
    </w:p>
    <w:p w14:paraId="6E192A5D" w14:textId="24239FB7" w:rsidR="00E6657B"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E6657B" w:rsidRPr="003C1AE7">
        <w:rPr>
          <w:rFonts w:ascii="Arial" w:hAnsi="Arial" w:cs="Arial"/>
          <w:sz w:val="24"/>
          <w:szCs w:val="24"/>
          <w:lang w:val="en-US"/>
        </w:rPr>
        <w:t xml:space="preserve">It is common cause that before joining Betterbond, Ms Letlakhu worked for some seventeen years in the bond origination </w:t>
      </w:r>
      <w:r w:rsidR="005C2C75" w:rsidRPr="003C1AE7">
        <w:rPr>
          <w:rFonts w:ascii="Arial" w:hAnsi="Arial" w:cs="Arial"/>
          <w:sz w:val="24"/>
          <w:szCs w:val="24"/>
          <w:lang w:val="en-US"/>
        </w:rPr>
        <w:t xml:space="preserve">or related </w:t>
      </w:r>
      <w:r w:rsidR="00E6657B" w:rsidRPr="003C1AE7">
        <w:rPr>
          <w:rFonts w:ascii="Arial" w:hAnsi="Arial" w:cs="Arial"/>
          <w:sz w:val="24"/>
          <w:szCs w:val="24"/>
          <w:lang w:val="en-US"/>
        </w:rPr>
        <w:t>business</w:t>
      </w:r>
      <w:r w:rsidR="005C2C75" w:rsidRPr="003C1AE7">
        <w:rPr>
          <w:rFonts w:ascii="Arial" w:hAnsi="Arial" w:cs="Arial"/>
          <w:sz w:val="24"/>
          <w:szCs w:val="24"/>
          <w:lang w:val="en-US"/>
        </w:rPr>
        <w:t>es</w:t>
      </w:r>
      <w:r w:rsidR="00E6657B" w:rsidRPr="003C1AE7">
        <w:rPr>
          <w:rFonts w:ascii="Arial" w:hAnsi="Arial" w:cs="Arial"/>
          <w:sz w:val="24"/>
          <w:szCs w:val="24"/>
          <w:lang w:val="en-US"/>
        </w:rPr>
        <w:t xml:space="preserve">. </w:t>
      </w:r>
    </w:p>
    <w:p w14:paraId="567B23AD" w14:textId="77777777" w:rsidR="00E6657B" w:rsidRPr="00E6657B" w:rsidRDefault="00E6657B" w:rsidP="00E6657B">
      <w:pPr>
        <w:pStyle w:val="ListParagraph"/>
        <w:rPr>
          <w:rFonts w:ascii="Arial" w:hAnsi="Arial" w:cs="Arial"/>
          <w:sz w:val="24"/>
          <w:szCs w:val="24"/>
          <w:lang w:val="en-US"/>
        </w:rPr>
      </w:pPr>
    </w:p>
    <w:p w14:paraId="4D148148" w14:textId="1CEAD349" w:rsidR="00E6657B" w:rsidRPr="003C1AE7" w:rsidRDefault="003C1AE7" w:rsidP="003C1AE7">
      <w:pPr>
        <w:spacing w:line="480" w:lineRule="auto"/>
        <w:ind w:left="360" w:hanging="360"/>
        <w:jc w:val="both"/>
        <w:rPr>
          <w:rFonts w:ascii="Arial" w:hAnsi="Arial" w:cs="Arial"/>
          <w:sz w:val="24"/>
          <w:szCs w:val="24"/>
          <w:lang w:val="en-US"/>
        </w:rPr>
      </w:pPr>
      <w:r w:rsidRPr="00E6657B">
        <w:rPr>
          <w:rFonts w:ascii="Arial" w:hAnsi="Arial" w:cs="Arial"/>
          <w:sz w:val="24"/>
          <w:szCs w:val="24"/>
          <w:lang w:val="en-US"/>
        </w:rPr>
        <w:t>10.</w:t>
      </w:r>
      <w:r w:rsidRPr="00E6657B">
        <w:rPr>
          <w:rFonts w:ascii="Arial" w:hAnsi="Arial" w:cs="Arial"/>
          <w:sz w:val="24"/>
          <w:szCs w:val="24"/>
          <w:lang w:val="en-US"/>
        </w:rPr>
        <w:tab/>
      </w:r>
      <w:r w:rsidR="00BB46D9" w:rsidRPr="003C1AE7">
        <w:rPr>
          <w:rFonts w:ascii="Arial" w:hAnsi="Arial" w:cs="Arial"/>
          <w:sz w:val="24"/>
          <w:szCs w:val="24"/>
          <w:lang w:val="en-US"/>
        </w:rPr>
        <w:t>According to the applicant, Ms Letlakhu resigned unexpected</w:t>
      </w:r>
      <w:r w:rsidR="0029671B" w:rsidRPr="003C1AE7">
        <w:rPr>
          <w:rFonts w:ascii="Arial" w:hAnsi="Arial" w:cs="Arial"/>
          <w:sz w:val="24"/>
          <w:szCs w:val="24"/>
          <w:lang w:val="en-US"/>
        </w:rPr>
        <w:t xml:space="preserve">ly and without proper notice on or about 22 February 2024.  </w:t>
      </w:r>
      <w:r w:rsidR="004A3D7F" w:rsidRPr="003C1AE7">
        <w:rPr>
          <w:rFonts w:ascii="Arial" w:hAnsi="Arial" w:cs="Arial"/>
          <w:sz w:val="24"/>
          <w:szCs w:val="24"/>
          <w:lang w:val="en-US"/>
        </w:rPr>
        <w:t xml:space="preserve">The letter of resignation serves as a formal notification of resignation and records that it is motivated not by any unhappiness but by a ‘strategic career move’.  </w:t>
      </w:r>
      <w:r w:rsidR="00E6657B" w:rsidRPr="003C1AE7">
        <w:rPr>
          <w:rFonts w:ascii="Arial" w:hAnsi="Arial" w:cs="Arial"/>
          <w:sz w:val="24"/>
          <w:szCs w:val="24"/>
          <w:lang w:val="en-US"/>
        </w:rPr>
        <w:t>According to Ms Letlakhu</w:t>
      </w:r>
      <w:r w:rsidR="0029671B" w:rsidRPr="003C1AE7">
        <w:rPr>
          <w:rFonts w:ascii="Arial" w:hAnsi="Arial" w:cs="Arial"/>
          <w:sz w:val="24"/>
          <w:szCs w:val="24"/>
          <w:lang w:val="en-US"/>
        </w:rPr>
        <w:t>, whose evidence I accept, there w</w:t>
      </w:r>
      <w:r w:rsidR="00E6657B" w:rsidRPr="003C1AE7">
        <w:rPr>
          <w:rFonts w:ascii="Arial" w:hAnsi="Arial" w:cs="Arial"/>
          <w:sz w:val="24"/>
          <w:szCs w:val="24"/>
          <w:lang w:val="en-US"/>
        </w:rPr>
        <w:t>ere prior engagements</w:t>
      </w:r>
      <w:r w:rsidR="00CC753C" w:rsidRPr="003C1AE7">
        <w:rPr>
          <w:rFonts w:ascii="Arial" w:hAnsi="Arial" w:cs="Arial"/>
          <w:sz w:val="24"/>
          <w:szCs w:val="24"/>
          <w:lang w:val="en-US"/>
        </w:rPr>
        <w:t xml:space="preserve"> on 17 February 2022,</w:t>
      </w:r>
      <w:r w:rsidR="00E6657B" w:rsidRPr="003C1AE7">
        <w:rPr>
          <w:rFonts w:ascii="Arial" w:hAnsi="Arial" w:cs="Arial"/>
          <w:sz w:val="24"/>
          <w:szCs w:val="24"/>
          <w:lang w:val="en-US"/>
        </w:rPr>
        <w:t xml:space="preserve"> between herself and </w:t>
      </w:r>
      <w:r w:rsidR="00CC753C" w:rsidRPr="003C1AE7">
        <w:rPr>
          <w:rFonts w:ascii="Arial" w:hAnsi="Arial" w:cs="Arial"/>
          <w:sz w:val="24"/>
          <w:szCs w:val="24"/>
          <w:lang w:val="en-US"/>
        </w:rPr>
        <w:t xml:space="preserve">Ms </w:t>
      </w:r>
      <w:r w:rsidR="0029671B" w:rsidRPr="003C1AE7">
        <w:rPr>
          <w:rFonts w:ascii="Arial" w:hAnsi="Arial" w:cs="Arial"/>
          <w:sz w:val="24"/>
          <w:szCs w:val="24"/>
          <w:lang w:val="en-US"/>
        </w:rPr>
        <w:t>Rosita Garde, Betterbond’s regional manager and Ms Letlakhu’s superior</w:t>
      </w:r>
      <w:r w:rsidR="00CC753C" w:rsidRPr="003C1AE7">
        <w:rPr>
          <w:rFonts w:ascii="Arial" w:hAnsi="Arial" w:cs="Arial"/>
          <w:sz w:val="24"/>
          <w:szCs w:val="24"/>
          <w:lang w:val="en-US"/>
        </w:rPr>
        <w:t>.</w:t>
      </w:r>
      <w:r w:rsidR="0029671B" w:rsidRPr="003C1AE7">
        <w:rPr>
          <w:rFonts w:ascii="Arial" w:hAnsi="Arial" w:cs="Arial"/>
          <w:sz w:val="24"/>
          <w:szCs w:val="24"/>
          <w:lang w:val="en-US"/>
        </w:rPr>
        <w:t xml:space="preserve"> </w:t>
      </w:r>
      <w:r w:rsidR="00CC753C" w:rsidRPr="003C1AE7">
        <w:rPr>
          <w:rFonts w:ascii="Arial" w:hAnsi="Arial" w:cs="Arial"/>
          <w:sz w:val="24"/>
          <w:szCs w:val="24"/>
          <w:lang w:val="en-US"/>
        </w:rPr>
        <w:t xml:space="preserve"> </w:t>
      </w:r>
      <w:r w:rsidR="0029671B" w:rsidRPr="003C1AE7">
        <w:rPr>
          <w:rFonts w:ascii="Arial" w:hAnsi="Arial" w:cs="Arial"/>
          <w:sz w:val="24"/>
          <w:szCs w:val="24"/>
          <w:lang w:val="en-US"/>
        </w:rPr>
        <w:t>During this</w:t>
      </w:r>
      <w:r w:rsidR="00B7285B" w:rsidRPr="003C1AE7">
        <w:rPr>
          <w:rFonts w:ascii="Arial" w:hAnsi="Arial" w:cs="Arial"/>
          <w:sz w:val="24"/>
          <w:szCs w:val="24"/>
          <w:lang w:val="en-US"/>
        </w:rPr>
        <w:t xml:space="preserve"> engagement, Ms Letlakhu informed Ms Garde of her intention to leave Betterbond and</w:t>
      </w:r>
      <w:r w:rsidR="00B27A12" w:rsidRPr="003C1AE7">
        <w:rPr>
          <w:rFonts w:ascii="Arial" w:hAnsi="Arial" w:cs="Arial"/>
          <w:sz w:val="24"/>
          <w:szCs w:val="24"/>
          <w:lang w:val="en-US"/>
        </w:rPr>
        <w:t xml:space="preserve"> her</w:t>
      </w:r>
      <w:r w:rsidR="00B7285B" w:rsidRPr="003C1AE7">
        <w:rPr>
          <w:rFonts w:ascii="Arial" w:hAnsi="Arial" w:cs="Arial"/>
          <w:sz w:val="24"/>
          <w:szCs w:val="24"/>
          <w:lang w:val="en-US"/>
        </w:rPr>
        <w:t xml:space="preserve"> intention to take up an engagement with the second respondent as a partner with </w:t>
      </w:r>
      <w:r w:rsidR="00CC753C" w:rsidRPr="003C1AE7">
        <w:rPr>
          <w:rFonts w:ascii="Arial" w:hAnsi="Arial" w:cs="Arial"/>
          <w:sz w:val="24"/>
          <w:szCs w:val="24"/>
          <w:lang w:val="en-US"/>
        </w:rPr>
        <w:t>a significantly improved payment package</w:t>
      </w:r>
      <w:r w:rsidR="00B7285B" w:rsidRPr="003C1AE7">
        <w:rPr>
          <w:rFonts w:ascii="Arial" w:hAnsi="Arial" w:cs="Arial"/>
          <w:sz w:val="24"/>
          <w:szCs w:val="24"/>
          <w:lang w:val="en-US"/>
        </w:rPr>
        <w:t>.</w:t>
      </w:r>
    </w:p>
    <w:p w14:paraId="26B09467" w14:textId="77777777" w:rsidR="00E6657B" w:rsidRPr="00E6657B" w:rsidRDefault="00E6657B" w:rsidP="00E6657B">
      <w:pPr>
        <w:pStyle w:val="ListParagraph"/>
        <w:rPr>
          <w:rFonts w:ascii="Arial" w:hAnsi="Arial" w:cs="Arial"/>
          <w:sz w:val="24"/>
          <w:szCs w:val="24"/>
          <w:lang w:val="en-US"/>
        </w:rPr>
      </w:pPr>
    </w:p>
    <w:p w14:paraId="5F3A06D0" w14:textId="5509DDA4" w:rsidR="004A3D7F"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4A3D7F" w:rsidRPr="003C1AE7">
        <w:rPr>
          <w:rFonts w:ascii="Arial" w:hAnsi="Arial" w:cs="Arial"/>
          <w:sz w:val="24"/>
          <w:szCs w:val="24"/>
          <w:lang w:val="en-US"/>
        </w:rPr>
        <w:t xml:space="preserve">On </w:t>
      </w:r>
      <w:r w:rsidR="00B7285B" w:rsidRPr="003C1AE7">
        <w:rPr>
          <w:rFonts w:ascii="Arial" w:hAnsi="Arial" w:cs="Arial"/>
          <w:sz w:val="24"/>
          <w:szCs w:val="24"/>
          <w:lang w:val="en-US"/>
        </w:rPr>
        <w:t xml:space="preserve">Monday </w:t>
      </w:r>
      <w:r w:rsidR="004A3D7F" w:rsidRPr="003C1AE7">
        <w:rPr>
          <w:rFonts w:ascii="Arial" w:hAnsi="Arial" w:cs="Arial"/>
          <w:sz w:val="24"/>
          <w:szCs w:val="24"/>
          <w:lang w:val="en-US"/>
        </w:rPr>
        <w:t>26 February 2024, Ms Garde sent Ms Letlakhu an e-mail relating</w:t>
      </w:r>
      <w:r w:rsidR="00CC753C" w:rsidRPr="003C1AE7">
        <w:rPr>
          <w:rFonts w:ascii="Arial" w:hAnsi="Arial" w:cs="Arial"/>
          <w:sz w:val="24"/>
          <w:szCs w:val="24"/>
          <w:lang w:val="en-US"/>
        </w:rPr>
        <w:t xml:space="preserve"> to the restraint and requested</w:t>
      </w:r>
      <w:r w:rsidR="004A3D7F" w:rsidRPr="003C1AE7">
        <w:rPr>
          <w:rFonts w:ascii="Arial" w:hAnsi="Arial" w:cs="Arial"/>
          <w:sz w:val="24"/>
          <w:szCs w:val="24"/>
          <w:lang w:val="en-US"/>
        </w:rPr>
        <w:t xml:space="preserve"> an undertaking that she will not breach it.  The letter records that Ms Letlakhu has, during her employment with Betterbond ‘had access to extensive confidential and proprietary info</w:t>
      </w:r>
      <w:r w:rsidR="00CC753C" w:rsidRPr="003C1AE7">
        <w:rPr>
          <w:rFonts w:ascii="Arial" w:hAnsi="Arial" w:cs="Arial"/>
          <w:sz w:val="24"/>
          <w:szCs w:val="24"/>
          <w:lang w:val="en-US"/>
        </w:rPr>
        <w:t>rmation, belonging to Betterbond</w:t>
      </w:r>
      <w:r w:rsidR="004A3D7F" w:rsidRPr="003C1AE7">
        <w:rPr>
          <w:rFonts w:ascii="Arial" w:hAnsi="Arial" w:cs="Arial"/>
          <w:sz w:val="24"/>
          <w:szCs w:val="24"/>
          <w:lang w:val="en-US"/>
        </w:rPr>
        <w:t>, which possesses commercial value to Betterbond’</w:t>
      </w:r>
      <w:r w:rsidR="00CC753C" w:rsidRPr="003C1AE7">
        <w:rPr>
          <w:rFonts w:ascii="Arial" w:hAnsi="Arial" w:cs="Arial"/>
          <w:sz w:val="24"/>
          <w:szCs w:val="24"/>
          <w:lang w:val="en-US"/>
        </w:rPr>
        <w:t>s</w:t>
      </w:r>
      <w:r w:rsidR="004A3D7F" w:rsidRPr="003C1AE7">
        <w:rPr>
          <w:rFonts w:ascii="Arial" w:hAnsi="Arial" w:cs="Arial"/>
          <w:sz w:val="24"/>
          <w:szCs w:val="24"/>
          <w:lang w:val="en-US"/>
        </w:rPr>
        <w:t xml:space="preserve"> competitors.’  It records that it </w:t>
      </w:r>
      <w:r w:rsidR="004A3D7F" w:rsidRPr="003C1AE7">
        <w:rPr>
          <w:rFonts w:ascii="Arial" w:hAnsi="Arial" w:cs="Arial"/>
          <w:sz w:val="24"/>
          <w:szCs w:val="24"/>
          <w:lang w:val="en-US"/>
        </w:rPr>
        <w:lastRenderedPageBreak/>
        <w:t xml:space="preserve">has come to Betterbond’s intention that she has taken up employment with the second respondent, a direct competitor.  </w:t>
      </w:r>
    </w:p>
    <w:p w14:paraId="502439C5" w14:textId="77777777" w:rsidR="004A3D7F" w:rsidRPr="004A3D7F" w:rsidRDefault="004A3D7F" w:rsidP="004A3D7F">
      <w:pPr>
        <w:pStyle w:val="ListParagraph"/>
        <w:rPr>
          <w:rFonts w:ascii="Arial" w:hAnsi="Arial" w:cs="Arial"/>
          <w:sz w:val="24"/>
          <w:szCs w:val="24"/>
          <w:lang w:val="en-US"/>
        </w:rPr>
      </w:pPr>
    </w:p>
    <w:p w14:paraId="18C91D1A" w14:textId="5B8A43C7" w:rsidR="004A3D7F"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4A3D7F" w:rsidRPr="003C1AE7">
        <w:rPr>
          <w:rFonts w:ascii="Arial" w:hAnsi="Arial" w:cs="Arial"/>
          <w:sz w:val="24"/>
          <w:szCs w:val="24"/>
          <w:lang w:val="en-US"/>
        </w:rPr>
        <w:t>The letter then records, in paragraph 4:</w:t>
      </w:r>
    </w:p>
    <w:p w14:paraId="766E1C73" w14:textId="77777777" w:rsidR="004A3D7F" w:rsidRDefault="004A3D7F" w:rsidP="004A3D7F">
      <w:pPr>
        <w:pStyle w:val="ListParagraph"/>
        <w:spacing w:line="360" w:lineRule="auto"/>
        <w:jc w:val="both"/>
        <w:rPr>
          <w:rFonts w:ascii="Arial" w:hAnsi="Arial" w:cs="Arial"/>
          <w:lang w:val="en-US"/>
        </w:rPr>
      </w:pPr>
      <w:r w:rsidRPr="004A3D7F">
        <w:rPr>
          <w:rFonts w:ascii="Arial" w:hAnsi="Arial" w:cs="Arial"/>
          <w:lang w:val="en-US"/>
        </w:rPr>
        <w:t>‘While your employment with Mortgage Market amounts to a direct violation of your restraint of trade undertaking and accordingly amounts to</w:t>
      </w:r>
      <w:r w:rsidR="00CC753C">
        <w:rPr>
          <w:rFonts w:ascii="Arial" w:hAnsi="Arial" w:cs="Arial"/>
          <w:lang w:val="en-US"/>
        </w:rPr>
        <w:t xml:space="preserve"> a breach thereof, it is not our</w:t>
      </w:r>
      <w:r w:rsidRPr="004A3D7F">
        <w:rPr>
          <w:rFonts w:ascii="Arial" w:hAnsi="Arial" w:cs="Arial"/>
          <w:lang w:val="en-US"/>
        </w:rPr>
        <w:t xml:space="preserve"> intention to prevent you from taking up your new position at Mortgage Market, provided that you do not engage (whether directly or indirectly) any restricted lead sources, restricted parties and restricted transactions, nor are you to solicit any of Betterbond’s staff or disclose any confidential or proprietary information of Betterbond.  Attached hereto as Annexure “B” is an undertaking which you are required to sign immediately and return to us by no later than 17h00 on Tuesday 27 February 2024.’ </w:t>
      </w:r>
      <w:r>
        <w:rPr>
          <w:rStyle w:val="FootnoteReference"/>
          <w:rFonts w:ascii="Arial" w:hAnsi="Arial" w:cs="Arial"/>
          <w:lang w:val="en-US"/>
        </w:rPr>
        <w:footnoteReference w:id="13"/>
      </w:r>
    </w:p>
    <w:p w14:paraId="794655D8" w14:textId="77777777" w:rsidR="004A3D7F" w:rsidRPr="004A3D7F" w:rsidRDefault="004A3D7F" w:rsidP="004A3D7F">
      <w:pPr>
        <w:pStyle w:val="ListParagraph"/>
        <w:spacing w:line="360" w:lineRule="auto"/>
        <w:jc w:val="both"/>
        <w:rPr>
          <w:rFonts w:ascii="Arial" w:hAnsi="Arial" w:cs="Arial"/>
          <w:lang w:val="en-US"/>
        </w:rPr>
      </w:pPr>
    </w:p>
    <w:p w14:paraId="1A58393B" w14:textId="173773DC" w:rsidR="004B3210" w:rsidRPr="003C1AE7" w:rsidRDefault="003C1AE7" w:rsidP="003C1AE7">
      <w:pPr>
        <w:spacing w:line="480" w:lineRule="auto"/>
        <w:ind w:left="360" w:hanging="360"/>
        <w:jc w:val="both"/>
        <w:rPr>
          <w:rFonts w:ascii="Arial" w:hAnsi="Arial" w:cs="Arial"/>
          <w:sz w:val="24"/>
          <w:szCs w:val="24"/>
          <w:lang w:val="en-US"/>
        </w:rPr>
      </w:pPr>
      <w:r w:rsidRPr="005C2C75">
        <w:rPr>
          <w:rFonts w:ascii="Arial" w:hAnsi="Arial" w:cs="Arial"/>
          <w:sz w:val="24"/>
          <w:szCs w:val="24"/>
          <w:lang w:val="en-US"/>
        </w:rPr>
        <w:t>13.</w:t>
      </w:r>
      <w:r w:rsidRPr="005C2C75">
        <w:rPr>
          <w:rFonts w:ascii="Arial" w:hAnsi="Arial" w:cs="Arial"/>
          <w:sz w:val="24"/>
          <w:szCs w:val="24"/>
          <w:lang w:val="en-US"/>
        </w:rPr>
        <w:tab/>
      </w:r>
      <w:r w:rsidR="00B7285B" w:rsidRPr="003C1AE7">
        <w:rPr>
          <w:rFonts w:ascii="Arial" w:hAnsi="Arial" w:cs="Arial"/>
          <w:sz w:val="24"/>
          <w:szCs w:val="24"/>
          <w:lang w:val="en-US"/>
        </w:rPr>
        <w:t xml:space="preserve">Ms Letlakhu did not take up the offer and did not supply the undertaking sought. </w:t>
      </w:r>
      <w:r w:rsidR="00B27A12" w:rsidRPr="003C1AE7">
        <w:rPr>
          <w:rFonts w:ascii="Arial" w:hAnsi="Arial" w:cs="Arial"/>
          <w:sz w:val="24"/>
          <w:szCs w:val="24"/>
          <w:lang w:val="en-US"/>
        </w:rPr>
        <w:t xml:space="preserve"> </w:t>
      </w:r>
      <w:r w:rsidR="004B3210" w:rsidRPr="003C1AE7">
        <w:rPr>
          <w:rFonts w:ascii="Arial" w:hAnsi="Arial" w:cs="Arial"/>
          <w:sz w:val="24"/>
          <w:szCs w:val="24"/>
          <w:lang w:val="en-US"/>
        </w:rPr>
        <w:t xml:space="preserve"> According to the applicant, Ms Letlhaku in fact advised repeatedly that she would sign the undertaking, including by way of a voice note sent t</w:t>
      </w:r>
      <w:r w:rsidR="005C2C75" w:rsidRPr="003C1AE7">
        <w:rPr>
          <w:rFonts w:ascii="Arial" w:hAnsi="Arial" w:cs="Arial"/>
          <w:sz w:val="24"/>
          <w:szCs w:val="24"/>
          <w:lang w:val="en-US"/>
        </w:rPr>
        <w:t>o Ms Garde on 27 February 2024.</w:t>
      </w:r>
      <w:r w:rsidR="004B3210" w:rsidRPr="003C1AE7">
        <w:rPr>
          <w:rFonts w:ascii="Arial" w:hAnsi="Arial" w:cs="Arial"/>
          <w:sz w:val="24"/>
          <w:szCs w:val="24"/>
          <w:lang w:val="en-US"/>
        </w:rPr>
        <w:t xml:space="preserve">  This did not happen and Ms Garde confirms the evidence in the founding affidavit.  By 1 March 2024, there were numerous queries from clients.  </w:t>
      </w:r>
    </w:p>
    <w:p w14:paraId="4598465A" w14:textId="77777777" w:rsidR="005C2C75" w:rsidRDefault="005C2C75" w:rsidP="005C2C75">
      <w:pPr>
        <w:pStyle w:val="ListParagraph"/>
        <w:spacing w:line="480" w:lineRule="auto"/>
        <w:ind w:left="360"/>
        <w:jc w:val="both"/>
        <w:rPr>
          <w:rFonts w:ascii="Arial" w:hAnsi="Arial" w:cs="Arial"/>
          <w:sz w:val="24"/>
          <w:szCs w:val="24"/>
          <w:lang w:val="en-US"/>
        </w:rPr>
      </w:pPr>
    </w:p>
    <w:p w14:paraId="7DCFD431" w14:textId="65C02E42" w:rsidR="00CC753C"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4B3210" w:rsidRPr="003C1AE7">
        <w:rPr>
          <w:rFonts w:ascii="Arial" w:hAnsi="Arial" w:cs="Arial"/>
          <w:sz w:val="24"/>
          <w:szCs w:val="24"/>
          <w:lang w:val="en-US"/>
        </w:rPr>
        <w:t xml:space="preserve">Between 1 and 3 March 2024, the IT department of Betterbond conducted investigations and discovered that: </w:t>
      </w:r>
    </w:p>
    <w:p w14:paraId="290C526A" w14:textId="77777777" w:rsidR="004B3210" w:rsidRPr="004B3210" w:rsidRDefault="004B3210" w:rsidP="004B3210">
      <w:pPr>
        <w:pStyle w:val="ListParagraph"/>
        <w:rPr>
          <w:rFonts w:ascii="Arial" w:hAnsi="Arial" w:cs="Arial"/>
          <w:sz w:val="24"/>
          <w:szCs w:val="24"/>
          <w:lang w:val="en-US"/>
        </w:rPr>
      </w:pPr>
    </w:p>
    <w:p w14:paraId="58C274AA" w14:textId="76EBC5D1" w:rsidR="004B3210" w:rsidRPr="003C1AE7" w:rsidRDefault="003C1AE7" w:rsidP="003C1AE7">
      <w:pPr>
        <w:spacing w:line="480" w:lineRule="auto"/>
        <w:ind w:left="1134" w:hanging="774"/>
        <w:jc w:val="both"/>
        <w:rPr>
          <w:rFonts w:ascii="Arial" w:hAnsi="Arial" w:cs="Arial"/>
          <w:sz w:val="24"/>
          <w:szCs w:val="24"/>
          <w:lang w:val="en-US"/>
        </w:rPr>
      </w:pPr>
      <w:r>
        <w:rPr>
          <w:rFonts w:ascii="Arial" w:hAnsi="Arial" w:cs="Arial"/>
          <w:sz w:val="24"/>
          <w:szCs w:val="24"/>
          <w:lang w:val="en-US"/>
        </w:rPr>
        <w:t>14.1.</w:t>
      </w:r>
      <w:r>
        <w:rPr>
          <w:rFonts w:ascii="Arial" w:hAnsi="Arial" w:cs="Arial"/>
          <w:sz w:val="24"/>
          <w:szCs w:val="24"/>
          <w:lang w:val="en-US"/>
        </w:rPr>
        <w:tab/>
      </w:r>
      <w:r w:rsidR="004B3210" w:rsidRPr="003C1AE7">
        <w:rPr>
          <w:rFonts w:ascii="Arial" w:hAnsi="Arial" w:cs="Arial"/>
          <w:sz w:val="24"/>
          <w:szCs w:val="24"/>
          <w:lang w:val="en-US"/>
        </w:rPr>
        <w:t xml:space="preserve">On 15 February 2024, Ms Letlhaku received her employment contract with MortgageMarket which she signed and returned on 16 February 2024. </w:t>
      </w:r>
    </w:p>
    <w:p w14:paraId="37027487" w14:textId="77777777" w:rsidR="004B3210" w:rsidRPr="004B3210" w:rsidRDefault="004B3210" w:rsidP="004B3210">
      <w:pPr>
        <w:pStyle w:val="ListParagraph"/>
        <w:rPr>
          <w:rFonts w:ascii="Arial" w:hAnsi="Arial" w:cs="Arial"/>
          <w:sz w:val="24"/>
          <w:szCs w:val="24"/>
          <w:lang w:val="en-US"/>
        </w:rPr>
      </w:pPr>
    </w:p>
    <w:p w14:paraId="743D1F8E" w14:textId="43B1C2E1" w:rsidR="004B3210" w:rsidRPr="003C1AE7" w:rsidRDefault="003C1AE7" w:rsidP="003C1AE7">
      <w:pPr>
        <w:spacing w:line="480" w:lineRule="auto"/>
        <w:ind w:left="1134" w:hanging="774"/>
        <w:jc w:val="both"/>
        <w:rPr>
          <w:rFonts w:ascii="Arial" w:hAnsi="Arial" w:cs="Arial"/>
          <w:sz w:val="24"/>
          <w:szCs w:val="24"/>
          <w:lang w:val="en-US"/>
        </w:rPr>
      </w:pPr>
      <w:r>
        <w:rPr>
          <w:rFonts w:ascii="Arial" w:hAnsi="Arial" w:cs="Arial"/>
          <w:sz w:val="24"/>
          <w:szCs w:val="24"/>
          <w:lang w:val="en-US"/>
        </w:rPr>
        <w:lastRenderedPageBreak/>
        <w:t>14.2.</w:t>
      </w:r>
      <w:r>
        <w:rPr>
          <w:rFonts w:ascii="Arial" w:hAnsi="Arial" w:cs="Arial"/>
          <w:sz w:val="24"/>
          <w:szCs w:val="24"/>
          <w:lang w:val="en-US"/>
        </w:rPr>
        <w:tab/>
      </w:r>
      <w:r w:rsidR="004B3210" w:rsidRPr="003C1AE7">
        <w:rPr>
          <w:rFonts w:ascii="Arial" w:hAnsi="Arial" w:cs="Arial"/>
          <w:sz w:val="24"/>
          <w:szCs w:val="24"/>
          <w:lang w:val="en-US"/>
        </w:rPr>
        <w:t xml:space="preserve">During the period 16 February 2024 and 26 February 2024, Ms Letlhaku was engaging with both Betterbond and MortgageMarket and referring Betterbond’s clients to MortgageMarket. </w:t>
      </w:r>
    </w:p>
    <w:p w14:paraId="67F0737C" w14:textId="77777777" w:rsidR="004B3210" w:rsidRPr="004B3210" w:rsidRDefault="004B3210" w:rsidP="004B3210">
      <w:pPr>
        <w:pStyle w:val="ListParagraph"/>
        <w:rPr>
          <w:rFonts w:ascii="Arial" w:hAnsi="Arial" w:cs="Arial"/>
          <w:sz w:val="24"/>
          <w:szCs w:val="24"/>
          <w:lang w:val="en-US"/>
        </w:rPr>
      </w:pPr>
    </w:p>
    <w:p w14:paraId="0E8B4147" w14:textId="32C09FD5" w:rsidR="004B3210" w:rsidRPr="003C1AE7" w:rsidRDefault="003C1AE7" w:rsidP="003C1AE7">
      <w:pPr>
        <w:spacing w:line="480" w:lineRule="auto"/>
        <w:ind w:left="1134" w:hanging="715"/>
        <w:jc w:val="both"/>
        <w:rPr>
          <w:rFonts w:ascii="Arial" w:hAnsi="Arial" w:cs="Arial"/>
          <w:sz w:val="24"/>
          <w:szCs w:val="24"/>
          <w:lang w:val="en-US"/>
        </w:rPr>
      </w:pPr>
      <w:r>
        <w:rPr>
          <w:rFonts w:ascii="Arial" w:hAnsi="Arial" w:cs="Arial"/>
          <w:sz w:val="24"/>
          <w:szCs w:val="24"/>
          <w:lang w:val="en-US"/>
        </w:rPr>
        <w:t>14.3.</w:t>
      </w:r>
      <w:r>
        <w:rPr>
          <w:rFonts w:ascii="Arial" w:hAnsi="Arial" w:cs="Arial"/>
          <w:sz w:val="24"/>
          <w:szCs w:val="24"/>
          <w:lang w:val="en-US"/>
        </w:rPr>
        <w:tab/>
      </w:r>
      <w:r w:rsidR="004B3210" w:rsidRPr="003C1AE7">
        <w:rPr>
          <w:rFonts w:ascii="Arial" w:hAnsi="Arial" w:cs="Arial"/>
          <w:sz w:val="24"/>
          <w:szCs w:val="24"/>
          <w:lang w:val="en-US"/>
        </w:rPr>
        <w:t xml:space="preserve">Both prior to and during the period 16 to 26 February 2024, Ms Letlhaku redirected lead providers and clients to MortgageMarket.  The lead providers are property practitioners that work for real estate agencies which have concluded agreements (some exclusive) to send leads to Betterbond. </w:t>
      </w:r>
    </w:p>
    <w:p w14:paraId="0F54037C" w14:textId="77777777" w:rsidR="004B3210" w:rsidRPr="004B3210" w:rsidRDefault="004B3210" w:rsidP="004B3210">
      <w:pPr>
        <w:pStyle w:val="ListParagraph"/>
        <w:rPr>
          <w:rFonts w:ascii="Arial" w:hAnsi="Arial" w:cs="Arial"/>
          <w:sz w:val="24"/>
          <w:szCs w:val="24"/>
          <w:lang w:val="en-US"/>
        </w:rPr>
      </w:pPr>
    </w:p>
    <w:p w14:paraId="2516527D" w14:textId="17BCE3B4" w:rsidR="004B3210" w:rsidRPr="003C1AE7" w:rsidRDefault="003C1AE7" w:rsidP="003C1AE7">
      <w:pPr>
        <w:spacing w:line="480" w:lineRule="auto"/>
        <w:ind w:left="1134" w:hanging="715"/>
        <w:jc w:val="both"/>
        <w:rPr>
          <w:rFonts w:ascii="Arial" w:hAnsi="Arial" w:cs="Arial"/>
          <w:sz w:val="24"/>
          <w:szCs w:val="24"/>
          <w:lang w:val="en-US"/>
        </w:rPr>
      </w:pPr>
      <w:r>
        <w:rPr>
          <w:rFonts w:ascii="Arial" w:hAnsi="Arial" w:cs="Arial"/>
          <w:sz w:val="24"/>
          <w:szCs w:val="24"/>
          <w:lang w:val="en-US"/>
        </w:rPr>
        <w:t>14.4.</w:t>
      </w:r>
      <w:r>
        <w:rPr>
          <w:rFonts w:ascii="Arial" w:hAnsi="Arial" w:cs="Arial"/>
          <w:sz w:val="24"/>
          <w:szCs w:val="24"/>
          <w:lang w:val="en-US"/>
        </w:rPr>
        <w:tab/>
      </w:r>
      <w:r w:rsidR="004B3210" w:rsidRPr="003C1AE7">
        <w:rPr>
          <w:rFonts w:ascii="Arial" w:hAnsi="Arial" w:cs="Arial"/>
          <w:sz w:val="24"/>
          <w:szCs w:val="24"/>
          <w:lang w:val="en-US"/>
        </w:rPr>
        <w:t xml:space="preserve">During the same period, Ms Letlhaku sent a vast amount of BetterBond client information to her personal gmail account. </w:t>
      </w:r>
    </w:p>
    <w:p w14:paraId="64673FDA" w14:textId="77777777" w:rsidR="004B3210" w:rsidRPr="004B3210" w:rsidRDefault="004B3210" w:rsidP="004B3210">
      <w:pPr>
        <w:pStyle w:val="ListParagraph"/>
        <w:rPr>
          <w:rFonts w:ascii="Arial" w:hAnsi="Arial" w:cs="Arial"/>
          <w:sz w:val="24"/>
          <w:szCs w:val="24"/>
          <w:lang w:val="en-US"/>
        </w:rPr>
      </w:pPr>
    </w:p>
    <w:p w14:paraId="6809821B" w14:textId="584A311A" w:rsidR="004B3210" w:rsidRPr="003C1AE7" w:rsidRDefault="003C1AE7" w:rsidP="003C1AE7">
      <w:pPr>
        <w:spacing w:line="480" w:lineRule="auto"/>
        <w:ind w:left="1134" w:hanging="715"/>
        <w:jc w:val="both"/>
        <w:rPr>
          <w:rFonts w:ascii="Arial" w:hAnsi="Arial" w:cs="Arial"/>
          <w:sz w:val="24"/>
          <w:szCs w:val="24"/>
          <w:lang w:val="en-US"/>
        </w:rPr>
      </w:pPr>
      <w:r w:rsidRPr="004B3210">
        <w:rPr>
          <w:rFonts w:ascii="Arial" w:hAnsi="Arial" w:cs="Arial"/>
          <w:sz w:val="24"/>
          <w:szCs w:val="24"/>
          <w:lang w:val="en-US"/>
        </w:rPr>
        <w:t>14.5.</w:t>
      </w:r>
      <w:r w:rsidRPr="004B3210">
        <w:rPr>
          <w:rFonts w:ascii="Arial" w:hAnsi="Arial" w:cs="Arial"/>
          <w:sz w:val="24"/>
          <w:szCs w:val="24"/>
          <w:lang w:val="en-US"/>
        </w:rPr>
        <w:tab/>
      </w:r>
      <w:r w:rsidR="004B3210" w:rsidRPr="003C1AE7">
        <w:rPr>
          <w:rFonts w:ascii="Arial" w:hAnsi="Arial" w:cs="Arial"/>
          <w:sz w:val="24"/>
          <w:szCs w:val="24"/>
          <w:lang w:val="en-US"/>
        </w:rPr>
        <w:t xml:space="preserve">At least two customers were pre-approved by BetterBond with Ms Letlhaku as their consultant but were redirected by Ms Letlhalu to MortgageMarket. </w:t>
      </w:r>
    </w:p>
    <w:p w14:paraId="4FD145EF" w14:textId="77777777" w:rsidR="00B7285B" w:rsidRPr="00886628" w:rsidRDefault="00B7285B" w:rsidP="00B7285B">
      <w:pPr>
        <w:pStyle w:val="ListParagraph"/>
        <w:spacing w:line="480" w:lineRule="auto"/>
        <w:ind w:left="360"/>
        <w:jc w:val="both"/>
        <w:rPr>
          <w:rFonts w:ascii="Arial" w:hAnsi="Arial" w:cs="Arial"/>
          <w:sz w:val="24"/>
          <w:szCs w:val="24"/>
          <w:lang w:val="en-US"/>
        </w:rPr>
      </w:pPr>
    </w:p>
    <w:p w14:paraId="2A74D2E5" w14:textId="2029D654" w:rsidR="00B7285B" w:rsidRPr="003C1AE7" w:rsidRDefault="003C1AE7" w:rsidP="003C1AE7">
      <w:pPr>
        <w:spacing w:line="480" w:lineRule="auto"/>
        <w:ind w:left="360" w:hanging="360"/>
        <w:jc w:val="both"/>
        <w:rPr>
          <w:rFonts w:ascii="Arial" w:hAnsi="Arial" w:cs="Arial"/>
          <w:sz w:val="24"/>
          <w:szCs w:val="24"/>
          <w:lang w:val="en-US"/>
        </w:rPr>
      </w:pPr>
      <w:r w:rsidRPr="00886628">
        <w:rPr>
          <w:rFonts w:ascii="Arial" w:hAnsi="Arial" w:cs="Arial"/>
          <w:sz w:val="24"/>
          <w:szCs w:val="24"/>
          <w:lang w:val="en-US"/>
        </w:rPr>
        <w:t>15.</w:t>
      </w:r>
      <w:r w:rsidRPr="00886628">
        <w:rPr>
          <w:rFonts w:ascii="Arial" w:hAnsi="Arial" w:cs="Arial"/>
          <w:sz w:val="24"/>
          <w:szCs w:val="24"/>
          <w:lang w:val="en-US"/>
        </w:rPr>
        <w:tab/>
      </w:r>
      <w:r w:rsidR="004B3210" w:rsidRPr="003C1AE7">
        <w:rPr>
          <w:rFonts w:ascii="Arial" w:hAnsi="Arial" w:cs="Arial"/>
          <w:sz w:val="24"/>
          <w:szCs w:val="24"/>
          <w:lang w:val="en-US"/>
        </w:rPr>
        <w:t xml:space="preserve">At that point, the applicant arranged an urgent consultation with its attorneys and </w:t>
      </w:r>
      <w:r w:rsidR="00B7285B" w:rsidRPr="003C1AE7">
        <w:rPr>
          <w:rFonts w:ascii="Arial" w:hAnsi="Arial" w:cs="Arial"/>
          <w:sz w:val="24"/>
          <w:szCs w:val="24"/>
          <w:lang w:val="en-US"/>
        </w:rPr>
        <w:t xml:space="preserve">on Monday 4 March 2024, the applicant’s attorneys wrote to the applicant </w:t>
      </w:r>
      <w:r w:rsidR="004B3210" w:rsidRPr="003C1AE7">
        <w:rPr>
          <w:rFonts w:ascii="Arial" w:hAnsi="Arial" w:cs="Arial"/>
          <w:sz w:val="24"/>
          <w:szCs w:val="24"/>
          <w:lang w:val="en-US"/>
        </w:rPr>
        <w:t xml:space="preserve">to demand that she terminate her business relationship with MortgageMarket, undertake not to contact or solicit BetterBond’s </w:t>
      </w:r>
      <w:r w:rsidR="00886628" w:rsidRPr="003C1AE7">
        <w:rPr>
          <w:rFonts w:ascii="Arial" w:hAnsi="Arial" w:cs="Arial"/>
          <w:sz w:val="24"/>
          <w:szCs w:val="24"/>
          <w:lang w:val="en-US"/>
        </w:rPr>
        <w:t xml:space="preserve">lead providers and customers and confirm under oath what confidential information has been misappropriated.  A letter of demand was also sent to MortgageMarket.  Betterbond requested responses to the letters on 6 March 2024.  Ms Letlhaku elected not to respond.  Mortgage Market declined to accede to any demands and I return to what they say below.  </w:t>
      </w:r>
      <w:r w:rsidR="00B7285B" w:rsidRPr="003C1AE7">
        <w:rPr>
          <w:rFonts w:ascii="Arial" w:hAnsi="Arial" w:cs="Arial"/>
          <w:sz w:val="24"/>
          <w:szCs w:val="24"/>
          <w:lang w:val="en-US"/>
        </w:rPr>
        <w:t xml:space="preserve">  </w:t>
      </w:r>
    </w:p>
    <w:p w14:paraId="5ECB5256" w14:textId="77777777" w:rsidR="00B7285B" w:rsidRPr="00B7285B" w:rsidRDefault="00B7285B" w:rsidP="00B7285B">
      <w:pPr>
        <w:pStyle w:val="ListParagraph"/>
        <w:rPr>
          <w:rFonts w:ascii="Arial" w:hAnsi="Arial" w:cs="Arial"/>
          <w:sz w:val="24"/>
          <w:szCs w:val="24"/>
          <w:lang w:val="en-US"/>
        </w:rPr>
      </w:pPr>
    </w:p>
    <w:p w14:paraId="3922A175" w14:textId="261AC5A9" w:rsidR="0003790E"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B7285B" w:rsidRPr="003C1AE7">
        <w:rPr>
          <w:rFonts w:ascii="Arial" w:hAnsi="Arial" w:cs="Arial"/>
          <w:sz w:val="24"/>
          <w:szCs w:val="24"/>
          <w:lang w:val="en-US"/>
        </w:rPr>
        <w:t>The application was sent to the first respondent (first in draft and later filed) on 8 March 2024.   In the notice of motion, she was meant to deliver her answering affidavit a mere three days later, on 11 March 2024.  She did not manage that in circumstances where she initially sought to access legal representation of her own and thereafter was able to secure legal representation with the assist</w:t>
      </w:r>
      <w:r w:rsidR="005C2C75" w:rsidRPr="003C1AE7">
        <w:rPr>
          <w:rFonts w:ascii="Arial" w:hAnsi="Arial" w:cs="Arial"/>
          <w:sz w:val="24"/>
          <w:szCs w:val="24"/>
          <w:lang w:val="en-US"/>
        </w:rPr>
        <w:t xml:space="preserve">ance of the second respondent. </w:t>
      </w:r>
      <w:r w:rsidR="00B7285B" w:rsidRPr="003C1AE7">
        <w:rPr>
          <w:rFonts w:ascii="Arial" w:hAnsi="Arial" w:cs="Arial"/>
          <w:sz w:val="24"/>
          <w:szCs w:val="24"/>
          <w:lang w:val="en-US"/>
        </w:rPr>
        <w:t>A consultation was held on Monday 11 March 2024, consultations continued on 12 March 2024 and a comprehensive answering affidavit was then delivered on 16 March 2024.</w:t>
      </w:r>
      <w:r w:rsidR="0003790E" w:rsidRPr="003C1AE7">
        <w:rPr>
          <w:rFonts w:ascii="Arial" w:hAnsi="Arial" w:cs="Arial"/>
          <w:sz w:val="24"/>
          <w:szCs w:val="24"/>
          <w:lang w:val="en-US"/>
        </w:rPr>
        <w:t xml:space="preserve">  The applicant replied the following day, on 17 March 2024.  The parties then delivered heads of argument</w:t>
      </w:r>
    </w:p>
    <w:p w14:paraId="0098D4C8" w14:textId="77777777" w:rsidR="0057689E" w:rsidRDefault="0057689E" w:rsidP="00B27A12">
      <w:pPr>
        <w:rPr>
          <w:rFonts w:ascii="Arial" w:hAnsi="Arial" w:cs="Arial"/>
          <w:b/>
          <w:sz w:val="24"/>
          <w:szCs w:val="24"/>
          <w:lang w:val="en-US"/>
        </w:rPr>
      </w:pPr>
    </w:p>
    <w:p w14:paraId="0227B6E1" w14:textId="77777777" w:rsidR="0003790E" w:rsidRPr="00B27A12" w:rsidRDefault="00B27A12" w:rsidP="00B27A12">
      <w:pPr>
        <w:rPr>
          <w:rFonts w:ascii="Arial" w:hAnsi="Arial" w:cs="Arial"/>
          <w:b/>
          <w:sz w:val="24"/>
          <w:szCs w:val="24"/>
          <w:lang w:val="en-US"/>
        </w:rPr>
      </w:pPr>
      <w:r w:rsidRPr="00B27A12">
        <w:rPr>
          <w:rFonts w:ascii="Arial" w:hAnsi="Arial" w:cs="Arial"/>
          <w:b/>
          <w:sz w:val="24"/>
          <w:szCs w:val="24"/>
          <w:lang w:val="en-US"/>
        </w:rPr>
        <w:t>Urgency</w:t>
      </w:r>
    </w:p>
    <w:p w14:paraId="489F8E63" w14:textId="77777777" w:rsidR="00B27A12" w:rsidRDefault="00B27A12" w:rsidP="00B27A12">
      <w:pPr>
        <w:pStyle w:val="ListParagraph"/>
        <w:spacing w:line="480" w:lineRule="auto"/>
        <w:ind w:left="360"/>
        <w:jc w:val="both"/>
        <w:rPr>
          <w:rFonts w:ascii="Arial" w:hAnsi="Arial" w:cs="Arial"/>
          <w:sz w:val="24"/>
          <w:szCs w:val="24"/>
          <w:lang w:val="en-US"/>
        </w:rPr>
      </w:pPr>
    </w:p>
    <w:p w14:paraId="2C26373B" w14:textId="4EC91413" w:rsidR="0057689E"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03790E" w:rsidRPr="003C1AE7">
        <w:rPr>
          <w:rFonts w:ascii="Arial" w:hAnsi="Arial" w:cs="Arial"/>
          <w:sz w:val="24"/>
          <w:szCs w:val="24"/>
          <w:lang w:val="en-US"/>
        </w:rPr>
        <w:t>I am satisfied that the application must be heard on an urgent basis.</w:t>
      </w:r>
      <w:r w:rsidR="00B27A12" w:rsidRPr="003C1AE7">
        <w:rPr>
          <w:rFonts w:ascii="Arial" w:hAnsi="Arial" w:cs="Arial"/>
          <w:sz w:val="24"/>
          <w:szCs w:val="24"/>
          <w:lang w:val="en-US"/>
        </w:rPr>
        <w:t xml:space="preserve"> </w:t>
      </w:r>
      <w:r w:rsidR="0057689E" w:rsidRPr="003C1AE7">
        <w:rPr>
          <w:rFonts w:ascii="Arial" w:hAnsi="Arial" w:cs="Arial"/>
          <w:sz w:val="24"/>
          <w:szCs w:val="24"/>
          <w:lang w:val="en-US"/>
        </w:rPr>
        <w:t xml:space="preserve"> These are restraint proceedings, which as a general rule, have an inherent quality of urgency, and the usual requirements for an urgent application are met. </w:t>
      </w:r>
      <w:r w:rsidR="00B27A12" w:rsidRPr="003C1AE7">
        <w:rPr>
          <w:rFonts w:ascii="Arial" w:hAnsi="Arial" w:cs="Arial"/>
          <w:sz w:val="24"/>
          <w:szCs w:val="24"/>
          <w:lang w:val="en-US"/>
        </w:rPr>
        <w:t xml:space="preserve"> </w:t>
      </w:r>
      <w:r w:rsidR="006F2CD2" w:rsidRPr="003C1AE7">
        <w:rPr>
          <w:rFonts w:ascii="Arial" w:hAnsi="Arial" w:cs="Arial"/>
          <w:sz w:val="24"/>
          <w:szCs w:val="24"/>
          <w:lang w:val="en-US"/>
        </w:rPr>
        <w:t xml:space="preserve"> The applicant will lose its right to enforce the restraint clause unless it can do so urgently. </w:t>
      </w:r>
    </w:p>
    <w:p w14:paraId="512193B2" w14:textId="77777777" w:rsidR="0057689E" w:rsidRDefault="0057689E" w:rsidP="0057689E">
      <w:pPr>
        <w:pStyle w:val="ListParagraph"/>
        <w:spacing w:line="480" w:lineRule="auto"/>
        <w:ind w:left="360"/>
        <w:jc w:val="both"/>
        <w:rPr>
          <w:rFonts w:ascii="Arial" w:hAnsi="Arial" w:cs="Arial"/>
          <w:sz w:val="24"/>
          <w:szCs w:val="24"/>
          <w:lang w:val="en-US"/>
        </w:rPr>
      </w:pPr>
    </w:p>
    <w:p w14:paraId="102BF586" w14:textId="34E2532E" w:rsidR="0057689E"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B27A12" w:rsidRPr="003C1AE7">
        <w:rPr>
          <w:rFonts w:ascii="Arial" w:hAnsi="Arial" w:cs="Arial"/>
          <w:sz w:val="24"/>
          <w:szCs w:val="24"/>
          <w:lang w:val="en-US"/>
        </w:rPr>
        <w:t>I do not consider any urgency to have been self-created in this case</w:t>
      </w:r>
      <w:r w:rsidR="0057689E" w:rsidRPr="003C1AE7">
        <w:rPr>
          <w:rFonts w:ascii="Arial" w:hAnsi="Arial" w:cs="Arial"/>
          <w:sz w:val="24"/>
          <w:szCs w:val="24"/>
          <w:lang w:val="en-US"/>
        </w:rPr>
        <w:t xml:space="preserve"> as it was not unreasonable for the applicant to act as it did after the discussions of 17 February 2022.  Moreover, the first respondent did not share all relevant information at that time with the applicant, which only came to learn of material relevant </w:t>
      </w:r>
      <w:r w:rsidR="00886628" w:rsidRPr="003C1AE7">
        <w:rPr>
          <w:rFonts w:ascii="Arial" w:hAnsi="Arial" w:cs="Arial"/>
          <w:sz w:val="24"/>
          <w:szCs w:val="24"/>
          <w:lang w:val="en-US"/>
        </w:rPr>
        <w:t xml:space="preserve">information about </w:t>
      </w:r>
      <w:r w:rsidR="006F2CD2" w:rsidRPr="003C1AE7">
        <w:rPr>
          <w:rFonts w:ascii="Arial" w:hAnsi="Arial" w:cs="Arial"/>
          <w:sz w:val="24"/>
          <w:szCs w:val="24"/>
          <w:lang w:val="en-US"/>
        </w:rPr>
        <w:t xml:space="preserve">what was ensuing and </w:t>
      </w:r>
      <w:r w:rsidR="00886628" w:rsidRPr="003C1AE7">
        <w:rPr>
          <w:rFonts w:ascii="Arial" w:hAnsi="Arial" w:cs="Arial"/>
          <w:sz w:val="24"/>
          <w:szCs w:val="24"/>
          <w:lang w:val="en-US"/>
        </w:rPr>
        <w:t>her alleged breaches</w:t>
      </w:r>
      <w:r w:rsidR="0057689E" w:rsidRPr="003C1AE7">
        <w:rPr>
          <w:rFonts w:ascii="Arial" w:hAnsi="Arial" w:cs="Arial"/>
          <w:sz w:val="24"/>
          <w:szCs w:val="24"/>
          <w:lang w:val="en-US"/>
        </w:rPr>
        <w:t xml:space="preserve"> </w:t>
      </w:r>
      <w:r w:rsidR="00886628" w:rsidRPr="003C1AE7">
        <w:rPr>
          <w:rFonts w:ascii="Arial" w:hAnsi="Arial" w:cs="Arial"/>
          <w:sz w:val="24"/>
          <w:szCs w:val="24"/>
          <w:lang w:val="en-US"/>
        </w:rPr>
        <w:t xml:space="preserve">in early </w:t>
      </w:r>
      <w:r w:rsidR="0057689E" w:rsidRPr="003C1AE7">
        <w:rPr>
          <w:rFonts w:ascii="Arial" w:hAnsi="Arial" w:cs="Arial"/>
          <w:sz w:val="24"/>
          <w:szCs w:val="24"/>
          <w:lang w:val="en-US"/>
        </w:rPr>
        <w:t xml:space="preserve">March 2024.  The first respondent also sought to resolve the matter without litigation on 26 March 2024 ultimately to no avail.  </w:t>
      </w:r>
    </w:p>
    <w:p w14:paraId="0176D1B4" w14:textId="77777777" w:rsidR="0057689E" w:rsidRDefault="0057689E" w:rsidP="0057689E">
      <w:pPr>
        <w:pStyle w:val="ListParagraph"/>
        <w:spacing w:line="480" w:lineRule="auto"/>
        <w:ind w:left="360"/>
        <w:jc w:val="both"/>
        <w:rPr>
          <w:rFonts w:ascii="Arial" w:hAnsi="Arial" w:cs="Arial"/>
          <w:sz w:val="24"/>
          <w:szCs w:val="24"/>
          <w:lang w:val="en-US"/>
        </w:rPr>
      </w:pPr>
    </w:p>
    <w:p w14:paraId="46578676" w14:textId="1DD3D43B" w:rsidR="0057689E"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57689E" w:rsidRPr="003C1AE7">
        <w:rPr>
          <w:rFonts w:ascii="Arial" w:hAnsi="Arial" w:cs="Arial"/>
          <w:sz w:val="24"/>
          <w:szCs w:val="24"/>
          <w:lang w:val="en-US"/>
        </w:rPr>
        <w:t>The time frames for respondent in this case were unduly truncated</w:t>
      </w:r>
      <w:r w:rsidR="0003790E" w:rsidRPr="003C1AE7">
        <w:rPr>
          <w:rFonts w:ascii="Arial" w:hAnsi="Arial" w:cs="Arial"/>
          <w:sz w:val="24"/>
          <w:szCs w:val="24"/>
          <w:lang w:val="en-US"/>
        </w:rPr>
        <w:t xml:space="preserve">.  However, the affidavits and heads of argument </w:t>
      </w:r>
      <w:r w:rsidR="0057689E" w:rsidRPr="003C1AE7">
        <w:rPr>
          <w:rFonts w:ascii="Arial" w:hAnsi="Arial" w:cs="Arial"/>
          <w:sz w:val="24"/>
          <w:szCs w:val="24"/>
          <w:lang w:val="en-US"/>
        </w:rPr>
        <w:t>were ultimately delivered within extended time-frames</w:t>
      </w:r>
      <w:r w:rsidR="0003790E" w:rsidRPr="003C1AE7">
        <w:rPr>
          <w:rFonts w:ascii="Arial" w:hAnsi="Arial" w:cs="Arial"/>
          <w:sz w:val="24"/>
          <w:szCs w:val="24"/>
          <w:lang w:val="en-US"/>
        </w:rPr>
        <w:t xml:space="preserve"> that enabled the </w:t>
      </w:r>
      <w:r w:rsidR="00886628" w:rsidRPr="003C1AE7">
        <w:rPr>
          <w:rFonts w:ascii="Arial" w:hAnsi="Arial" w:cs="Arial"/>
          <w:sz w:val="24"/>
          <w:szCs w:val="24"/>
          <w:lang w:val="en-US"/>
        </w:rPr>
        <w:t xml:space="preserve">first respondent to deliver her answering affidavit and enabled the </w:t>
      </w:r>
      <w:r w:rsidR="0003790E" w:rsidRPr="003C1AE7">
        <w:rPr>
          <w:rFonts w:ascii="Arial" w:hAnsi="Arial" w:cs="Arial"/>
          <w:sz w:val="24"/>
          <w:szCs w:val="24"/>
          <w:lang w:val="en-US"/>
        </w:rPr>
        <w:t xml:space="preserve">application to be argued before me on Friday 22 March 2024 as allocated. </w:t>
      </w:r>
      <w:r w:rsidR="00B7285B" w:rsidRPr="003C1AE7">
        <w:rPr>
          <w:rFonts w:ascii="Arial" w:hAnsi="Arial" w:cs="Arial"/>
          <w:sz w:val="24"/>
          <w:szCs w:val="24"/>
          <w:lang w:val="en-US"/>
        </w:rPr>
        <w:t xml:space="preserve"> </w:t>
      </w:r>
      <w:r w:rsidR="001B76A8" w:rsidRPr="003C1AE7">
        <w:rPr>
          <w:rFonts w:ascii="Arial" w:hAnsi="Arial" w:cs="Arial"/>
          <w:sz w:val="24"/>
          <w:szCs w:val="24"/>
          <w:lang w:val="en-US"/>
        </w:rPr>
        <w:t xml:space="preserve"> This ensued in circumstances where the second respondent facilitated the first respondent’s access to legal representation. </w:t>
      </w:r>
    </w:p>
    <w:p w14:paraId="26CE2CD2" w14:textId="77777777" w:rsidR="0057689E" w:rsidRDefault="0057689E" w:rsidP="0057689E">
      <w:pPr>
        <w:pStyle w:val="ListParagraph"/>
        <w:spacing w:line="480" w:lineRule="auto"/>
        <w:ind w:left="360"/>
        <w:jc w:val="both"/>
        <w:rPr>
          <w:rFonts w:ascii="Arial" w:hAnsi="Arial" w:cs="Arial"/>
          <w:sz w:val="24"/>
          <w:szCs w:val="24"/>
          <w:lang w:val="en-US"/>
        </w:rPr>
      </w:pPr>
    </w:p>
    <w:p w14:paraId="4E9A2BF6" w14:textId="7D25760A" w:rsidR="00B7285B"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57689E" w:rsidRPr="003C1AE7">
        <w:rPr>
          <w:rFonts w:ascii="Arial" w:hAnsi="Arial" w:cs="Arial"/>
          <w:sz w:val="24"/>
          <w:szCs w:val="24"/>
          <w:lang w:val="en-US"/>
        </w:rPr>
        <w:t xml:space="preserve">Against this background, </w:t>
      </w:r>
      <w:r w:rsidR="0003790E" w:rsidRPr="003C1AE7">
        <w:rPr>
          <w:rFonts w:ascii="Arial" w:hAnsi="Arial" w:cs="Arial"/>
          <w:sz w:val="24"/>
          <w:szCs w:val="24"/>
          <w:lang w:val="en-US"/>
        </w:rPr>
        <w:t xml:space="preserve">I am grateful for the assistance provided to me by counsel for both the applicant and first respondent, not least in the heavily burdened context of the urgent roll.  I would have preferred to have had more time to prepare my reasons for decision but the circumstances are such that warrant a speedy judgment and accordingly I am not in a position to detail every submission or aspect considered. </w:t>
      </w:r>
    </w:p>
    <w:p w14:paraId="0B9554A3" w14:textId="77777777" w:rsidR="00FB4B45" w:rsidRDefault="00FB4B45" w:rsidP="00886628">
      <w:pPr>
        <w:rPr>
          <w:rFonts w:ascii="Arial" w:hAnsi="Arial" w:cs="Arial"/>
          <w:b/>
          <w:sz w:val="24"/>
          <w:szCs w:val="24"/>
          <w:lang w:val="en-US"/>
        </w:rPr>
      </w:pPr>
    </w:p>
    <w:p w14:paraId="7ADCA3A3" w14:textId="77777777" w:rsidR="00886628" w:rsidRDefault="00886628" w:rsidP="00886628">
      <w:pPr>
        <w:rPr>
          <w:rFonts w:ascii="Arial" w:hAnsi="Arial" w:cs="Arial"/>
          <w:b/>
          <w:sz w:val="24"/>
          <w:szCs w:val="24"/>
          <w:lang w:val="en-US"/>
        </w:rPr>
      </w:pPr>
      <w:r w:rsidRPr="00886628">
        <w:rPr>
          <w:rFonts w:ascii="Arial" w:hAnsi="Arial" w:cs="Arial"/>
          <w:b/>
          <w:sz w:val="24"/>
          <w:szCs w:val="24"/>
          <w:lang w:val="en-US"/>
        </w:rPr>
        <w:t>Issues for decision</w:t>
      </w:r>
    </w:p>
    <w:p w14:paraId="7D7EADC8" w14:textId="77777777" w:rsidR="00DF409E" w:rsidRPr="00886628" w:rsidRDefault="00DF409E" w:rsidP="00886628">
      <w:pPr>
        <w:rPr>
          <w:rFonts w:ascii="Arial" w:hAnsi="Arial" w:cs="Arial"/>
          <w:b/>
          <w:sz w:val="24"/>
          <w:szCs w:val="24"/>
          <w:lang w:val="en-US"/>
        </w:rPr>
      </w:pPr>
    </w:p>
    <w:p w14:paraId="7FDDBE60" w14:textId="2C675E33" w:rsidR="00DF409E"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886628" w:rsidRPr="003C1AE7">
        <w:rPr>
          <w:rFonts w:ascii="Arial" w:hAnsi="Arial" w:cs="Arial"/>
          <w:sz w:val="24"/>
          <w:szCs w:val="24"/>
          <w:lang w:val="en-US"/>
        </w:rPr>
        <w:t xml:space="preserve">The </w:t>
      </w:r>
      <w:r w:rsidR="00DF409E" w:rsidRPr="003C1AE7">
        <w:rPr>
          <w:rFonts w:ascii="Arial" w:hAnsi="Arial" w:cs="Arial"/>
          <w:sz w:val="24"/>
          <w:szCs w:val="24"/>
          <w:lang w:val="en-US"/>
        </w:rPr>
        <w:t xml:space="preserve">issue for decision in </w:t>
      </w:r>
      <w:r w:rsidR="00886628" w:rsidRPr="003C1AE7">
        <w:rPr>
          <w:rFonts w:ascii="Arial" w:hAnsi="Arial" w:cs="Arial"/>
          <w:sz w:val="24"/>
          <w:szCs w:val="24"/>
          <w:lang w:val="en-US"/>
        </w:rPr>
        <w:t xml:space="preserve">this matter is whether the restraint agreement </w:t>
      </w:r>
      <w:r w:rsidR="00DF409E" w:rsidRPr="003C1AE7">
        <w:rPr>
          <w:rFonts w:ascii="Arial" w:hAnsi="Arial" w:cs="Arial"/>
          <w:sz w:val="24"/>
          <w:szCs w:val="24"/>
          <w:lang w:val="en-US"/>
        </w:rPr>
        <w:t xml:space="preserve">is enforceable </w:t>
      </w:r>
      <w:r w:rsidR="005C2C75" w:rsidRPr="003C1AE7">
        <w:rPr>
          <w:rFonts w:ascii="Arial" w:hAnsi="Arial" w:cs="Arial"/>
          <w:sz w:val="24"/>
          <w:szCs w:val="24"/>
          <w:lang w:val="en-US"/>
        </w:rPr>
        <w:t xml:space="preserve">in light of the principles articulated above. </w:t>
      </w:r>
      <w:r w:rsidR="00DF409E" w:rsidRPr="003C1AE7">
        <w:rPr>
          <w:rFonts w:ascii="Arial" w:hAnsi="Arial" w:cs="Arial"/>
          <w:sz w:val="24"/>
          <w:szCs w:val="24"/>
          <w:lang w:val="en-US"/>
        </w:rPr>
        <w:t>The onus of proving that the restraint is unreasonable and against public policy lies with the first respondent herself.</w:t>
      </w:r>
      <w:r w:rsidR="00DF409E">
        <w:rPr>
          <w:rStyle w:val="FootnoteReference"/>
          <w:rFonts w:ascii="Arial" w:hAnsi="Arial" w:cs="Arial"/>
          <w:sz w:val="24"/>
          <w:szCs w:val="24"/>
          <w:lang w:val="en-US"/>
        </w:rPr>
        <w:footnoteReference w:id="14"/>
      </w:r>
      <w:r w:rsidR="00DF409E" w:rsidRPr="003C1AE7">
        <w:rPr>
          <w:rFonts w:ascii="Arial" w:hAnsi="Arial" w:cs="Arial"/>
          <w:sz w:val="24"/>
          <w:szCs w:val="24"/>
          <w:lang w:val="en-US"/>
        </w:rPr>
        <w:t xml:space="preserve">  </w:t>
      </w:r>
    </w:p>
    <w:p w14:paraId="78DD584A" w14:textId="77777777" w:rsidR="00DF409E" w:rsidRDefault="00DF409E" w:rsidP="00DF409E">
      <w:pPr>
        <w:pStyle w:val="ListParagraph"/>
        <w:spacing w:line="480" w:lineRule="auto"/>
        <w:ind w:left="360"/>
        <w:jc w:val="both"/>
        <w:rPr>
          <w:rFonts w:ascii="Arial" w:hAnsi="Arial" w:cs="Arial"/>
          <w:sz w:val="24"/>
          <w:szCs w:val="24"/>
          <w:lang w:val="en-US"/>
        </w:rPr>
      </w:pPr>
    </w:p>
    <w:p w14:paraId="5E9112FB" w14:textId="2D3D9644" w:rsidR="00DF409E"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22.</w:t>
      </w:r>
      <w:r>
        <w:rPr>
          <w:rFonts w:ascii="Arial" w:hAnsi="Arial" w:cs="Arial"/>
          <w:sz w:val="24"/>
          <w:szCs w:val="24"/>
          <w:lang w:val="en-US"/>
        </w:rPr>
        <w:tab/>
      </w:r>
      <w:r w:rsidR="00DF409E" w:rsidRPr="003C1AE7">
        <w:rPr>
          <w:rFonts w:ascii="Arial" w:hAnsi="Arial" w:cs="Arial"/>
          <w:sz w:val="24"/>
          <w:szCs w:val="24"/>
          <w:lang w:val="en-US"/>
        </w:rPr>
        <w:t>The central contention advanced by the first respondent in this regard is that the applicant has no protectable interest, is merely seeking to stifle legitimate competition</w:t>
      </w:r>
      <w:r w:rsidR="001D373A">
        <w:rPr>
          <w:rStyle w:val="FootnoteReference"/>
          <w:rFonts w:ascii="Arial" w:hAnsi="Arial" w:cs="Arial"/>
          <w:sz w:val="24"/>
          <w:szCs w:val="24"/>
          <w:lang w:val="en-US"/>
        </w:rPr>
        <w:footnoteReference w:id="15"/>
      </w:r>
      <w:r w:rsidR="00DF409E" w:rsidRPr="003C1AE7">
        <w:rPr>
          <w:rFonts w:ascii="Arial" w:hAnsi="Arial" w:cs="Arial"/>
          <w:sz w:val="24"/>
          <w:szCs w:val="24"/>
          <w:lang w:val="en-US"/>
        </w:rPr>
        <w:t xml:space="preserve"> and in consequence, to enforce the agreement would amount to an unlawful limitation of the first respondent’s constitutionally protected rights</w:t>
      </w:r>
      <w:r w:rsidR="00051CB1" w:rsidRPr="003C1AE7">
        <w:rPr>
          <w:rFonts w:ascii="Arial" w:hAnsi="Arial" w:cs="Arial"/>
          <w:sz w:val="24"/>
          <w:szCs w:val="24"/>
          <w:lang w:val="en-US"/>
        </w:rPr>
        <w:t>.  S</w:t>
      </w:r>
      <w:r w:rsidR="00DF409E" w:rsidRPr="003C1AE7">
        <w:rPr>
          <w:rFonts w:ascii="Arial" w:hAnsi="Arial" w:cs="Arial"/>
          <w:sz w:val="24"/>
          <w:szCs w:val="24"/>
          <w:lang w:val="en-US"/>
        </w:rPr>
        <w:t>pecifically</w:t>
      </w:r>
      <w:r w:rsidR="00051CB1" w:rsidRPr="003C1AE7">
        <w:rPr>
          <w:rFonts w:ascii="Arial" w:hAnsi="Arial" w:cs="Arial"/>
          <w:sz w:val="24"/>
          <w:szCs w:val="24"/>
          <w:lang w:val="en-US"/>
        </w:rPr>
        <w:t>,</w:t>
      </w:r>
      <w:r w:rsidR="00DF409E" w:rsidRPr="003C1AE7">
        <w:rPr>
          <w:rFonts w:ascii="Arial" w:hAnsi="Arial" w:cs="Arial"/>
          <w:sz w:val="24"/>
          <w:szCs w:val="24"/>
          <w:lang w:val="en-US"/>
        </w:rPr>
        <w:t xml:space="preserve"> section 22 of the Constitution, which gives every citizen the </w:t>
      </w:r>
      <w:r w:rsidR="00051CB1" w:rsidRPr="003C1AE7">
        <w:rPr>
          <w:rFonts w:ascii="Arial" w:hAnsi="Arial" w:cs="Arial"/>
          <w:sz w:val="24"/>
          <w:szCs w:val="24"/>
          <w:lang w:val="en-US"/>
        </w:rPr>
        <w:t>right to choose their trade occupation or profession freely, and her right to dignity, protected in section 10</w:t>
      </w:r>
      <w:r w:rsidR="00DF409E" w:rsidRPr="003C1AE7">
        <w:rPr>
          <w:rFonts w:ascii="Arial" w:hAnsi="Arial" w:cs="Arial"/>
          <w:sz w:val="24"/>
          <w:szCs w:val="24"/>
          <w:lang w:val="en-US"/>
        </w:rPr>
        <w:t xml:space="preserve">.  </w:t>
      </w:r>
    </w:p>
    <w:p w14:paraId="7E920A03" w14:textId="77777777" w:rsidR="00DF409E" w:rsidRPr="00DF409E" w:rsidRDefault="00DF409E" w:rsidP="00DF409E">
      <w:pPr>
        <w:pStyle w:val="ListParagraph"/>
        <w:rPr>
          <w:rFonts w:ascii="Arial" w:hAnsi="Arial" w:cs="Arial"/>
          <w:sz w:val="24"/>
          <w:szCs w:val="24"/>
          <w:lang w:val="en-US"/>
        </w:rPr>
      </w:pPr>
    </w:p>
    <w:p w14:paraId="43970555" w14:textId="14B115A2" w:rsidR="00051CB1"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DF409E" w:rsidRPr="003C1AE7">
        <w:rPr>
          <w:rFonts w:ascii="Arial" w:hAnsi="Arial" w:cs="Arial"/>
          <w:sz w:val="24"/>
          <w:szCs w:val="24"/>
          <w:lang w:val="en-US"/>
        </w:rPr>
        <w:t>Most centrally, the first respondent relies on the fact that when she joined Betterbond, she had seventeen years of experience in the area, during which she had built up an extensive pre-existing client base and acquired leads that she then maintained whilst at Betterbond.  She explains that before she joined Betterbond, she disclosed her extensive network of leads in the Johannesburg area and that she was employed precisely because she was bringing these relationships to Betterbond.</w:t>
      </w:r>
      <w:r w:rsidR="00051CB1" w:rsidRPr="003C1AE7">
        <w:rPr>
          <w:rFonts w:ascii="Arial" w:hAnsi="Arial" w:cs="Arial"/>
          <w:sz w:val="24"/>
          <w:szCs w:val="24"/>
          <w:lang w:val="en-US"/>
        </w:rPr>
        <w:t xml:space="preserve">  Before joining Betterbond, she worked with Absa Homeloans (for eight years), SA Homeloans </w:t>
      </w:r>
      <w:r w:rsidR="00091B10" w:rsidRPr="003C1AE7">
        <w:rPr>
          <w:rFonts w:ascii="Arial" w:hAnsi="Arial" w:cs="Arial"/>
          <w:sz w:val="24"/>
          <w:szCs w:val="24"/>
          <w:lang w:val="en-US"/>
        </w:rPr>
        <w:t>(</w:t>
      </w:r>
      <w:r w:rsidR="00051CB1" w:rsidRPr="003C1AE7">
        <w:rPr>
          <w:rFonts w:ascii="Arial" w:hAnsi="Arial" w:cs="Arial"/>
          <w:sz w:val="24"/>
          <w:szCs w:val="24"/>
          <w:lang w:val="en-US"/>
        </w:rPr>
        <w:t>for four years</w:t>
      </w:r>
      <w:r w:rsidR="00091B10" w:rsidRPr="003C1AE7">
        <w:rPr>
          <w:rFonts w:ascii="Arial" w:hAnsi="Arial" w:cs="Arial"/>
          <w:sz w:val="24"/>
          <w:szCs w:val="24"/>
          <w:lang w:val="en-US"/>
        </w:rPr>
        <w:t>)</w:t>
      </w:r>
      <w:r w:rsidR="00051CB1" w:rsidRPr="003C1AE7">
        <w:rPr>
          <w:rFonts w:ascii="Arial" w:hAnsi="Arial" w:cs="Arial"/>
          <w:sz w:val="24"/>
          <w:szCs w:val="24"/>
          <w:lang w:val="en-US"/>
        </w:rPr>
        <w:t xml:space="preserve"> and with Multinet </w:t>
      </w:r>
      <w:r w:rsidR="00091B10" w:rsidRPr="003C1AE7">
        <w:rPr>
          <w:rFonts w:ascii="Arial" w:hAnsi="Arial" w:cs="Arial"/>
          <w:sz w:val="24"/>
          <w:szCs w:val="24"/>
          <w:lang w:val="en-US"/>
        </w:rPr>
        <w:t>(</w:t>
      </w:r>
      <w:r w:rsidR="00051CB1" w:rsidRPr="003C1AE7">
        <w:rPr>
          <w:rFonts w:ascii="Arial" w:hAnsi="Arial" w:cs="Arial"/>
          <w:sz w:val="24"/>
          <w:szCs w:val="24"/>
          <w:lang w:val="en-US"/>
        </w:rPr>
        <w:t>for four years</w:t>
      </w:r>
      <w:r w:rsidR="00091B10" w:rsidRPr="003C1AE7">
        <w:rPr>
          <w:rFonts w:ascii="Arial" w:hAnsi="Arial" w:cs="Arial"/>
          <w:sz w:val="24"/>
          <w:szCs w:val="24"/>
          <w:lang w:val="en-US"/>
        </w:rPr>
        <w:t>).</w:t>
      </w:r>
      <w:r w:rsidR="00C15F60" w:rsidRPr="003C1AE7">
        <w:rPr>
          <w:rFonts w:ascii="Arial" w:hAnsi="Arial" w:cs="Arial"/>
          <w:sz w:val="24"/>
          <w:szCs w:val="24"/>
          <w:lang w:val="en-US"/>
        </w:rPr>
        <w:t xml:space="preserve"> She only worked with Betterbond for eighteen months, from October 2022 to February 2024, in the Pretoria region.   </w:t>
      </w:r>
    </w:p>
    <w:p w14:paraId="13B46B9E" w14:textId="77777777" w:rsidR="00051CB1" w:rsidRPr="00051CB1" w:rsidRDefault="00051CB1" w:rsidP="00051CB1">
      <w:pPr>
        <w:pStyle w:val="ListParagraph"/>
        <w:rPr>
          <w:rFonts w:ascii="Arial" w:hAnsi="Arial" w:cs="Arial"/>
          <w:sz w:val="24"/>
          <w:szCs w:val="24"/>
          <w:lang w:val="en-US"/>
        </w:rPr>
      </w:pPr>
    </w:p>
    <w:p w14:paraId="0B9148CB" w14:textId="42F64F14" w:rsidR="00C15F60"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051CB1" w:rsidRPr="003C1AE7">
        <w:rPr>
          <w:rFonts w:ascii="Arial" w:hAnsi="Arial" w:cs="Arial"/>
          <w:sz w:val="24"/>
          <w:szCs w:val="24"/>
          <w:lang w:val="en-US"/>
        </w:rPr>
        <w:t xml:space="preserve">She explains that Gauteng outperforms other regions of the country in terms of the number of homeloans granted, with more than 50% of the total number of home loans for the twelve months to July 2023.  Betterbond operates in regions, including Johannesburg North West, Johannesburg South East, Western Cape, Greater Pretoria, KwaZulu-Natal, North West, Eastern Cape, Free State &amp; Northern Cape </w:t>
      </w:r>
      <w:r w:rsidR="00051CB1" w:rsidRPr="003C1AE7">
        <w:rPr>
          <w:rFonts w:ascii="Arial" w:hAnsi="Arial" w:cs="Arial"/>
          <w:sz w:val="24"/>
          <w:szCs w:val="24"/>
          <w:lang w:val="en-US"/>
        </w:rPr>
        <w:lastRenderedPageBreak/>
        <w:t xml:space="preserve">and Mpumalanga.  It claims to have a market share of approximately 45% of originated home loans in South Africa and owns Private Property, PayProf, Remax, Chas Everit and Cell Captive for the insurance business. </w:t>
      </w:r>
      <w:r w:rsidR="00DF409E" w:rsidRPr="003C1AE7">
        <w:rPr>
          <w:rFonts w:ascii="Arial" w:hAnsi="Arial" w:cs="Arial"/>
          <w:sz w:val="24"/>
          <w:szCs w:val="24"/>
          <w:lang w:val="en-US"/>
        </w:rPr>
        <w:t xml:space="preserve"> </w:t>
      </w:r>
    </w:p>
    <w:p w14:paraId="5FA256A8" w14:textId="77777777" w:rsidR="00C15F60" w:rsidRPr="00C15F60" w:rsidRDefault="00C15F60" w:rsidP="00C15F60">
      <w:pPr>
        <w:pStyle w:val="ListParagraph"/>
        <w:rPr>
          <w:rFonts w:ascii="Arial" w:hAnsi="Arial" w:cs="Arial"/>
          <w:sz w:val="24"/>
          <w:szCs w:val="24"/>
          <w:lang w:val="en-US"/>
        </w:rPr>
      </w:pPr>
    </w:p>
    <w:p w14:paraId="71E34CBC" w14:textId="358A2CBF" w:rsidR="00C15F60"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C15F60" w:rsidRPr="003C1AE7">
        <w:rPr>
          <w:rFonts w:ascii="Arial" w:hAnsi="Arial" w:cs="Arial"/>
          <w:sz w:val="24"/>
          <w:szCs w:val="24"/>
          <w:lang w:val="en-US"/>
        </w:rPr>
        <w:t>She explains that high value employees and agents of Betterbond convert approximately R40 million per month, on which they earn commission.  The value of the first respondent’s intake was on average R15 million</w:t>
      </w:r>
      <w:r w:rsidR="00095B35" w:rsidRPr="003C1AE7">
        <w:rPr>
          <w:rFonts w:ascii="Arial" w:hAnsi="Arial" w:cs="Arial"/>
          <w:sz w:val="24"/>
          <w:szCs w:val="24"/>
          <w:lang w:val="en-US"/>
        </w:rPr>
        <w:t>,</w:t>
      </w:r>
      <w:r w:rsidR="00C15F60" w:rsidRPr="003C1AE7">
        <w:rPr>
          <w:rFonts w:ascii="Arial" w:hAnsi="Arial" w:cs="Arial"/>
          <w:sz w:val="24"/>
          <w:szCs w:val="24"/>
          <w:lang w:val="en-US"/>
        </w:rPr>
        <w:t xml:space="preserve"> of which she converted about R7 million monthly.  She earned a basic salary of R 12 000 a month, with deductions R10 891.  After commission her salary ranged from between her basic salary to R22 754. </w:t>
      </w:r>
    </w:p>
    <w:p w14:paraId="3803C31B" w14:textId="77777777" w:rsidR="00C15F60" w:rsidRPr="00C15F60" w:rsidRDefault="00C15F60" w:rsidP="00C15F60">
      <w:pPr>
        <w:pStyle w:val="ListParagraph"/>
        <w:rPr>
          <w:rFonts w:ascii="Arial" w:hAnsi="Arial" w:cs="Arial"/>
          <w:sz w:val="24"/>
          <w:szCs w:val="24"/>
          <w:lang w:val="en-US"/>
        </w:rPr>
      </w:pPr>
    </w:p>
    <w:p w14:paraId="0360B190" w14:textId="308F5CAA" w:rsidR="00886628"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C15F60" w:rsidRPr="003C1AE7">
        <w:rPr>
          <w:rFonts w:ascii="Arial" w:hAnsi="Arial" w:cs="Arial"/>
          <w:sz w:val="24"/>
          <w:szCs w:val="24"/>
          <w:lang w:val="en-US"/>
        </w:rPr>
        <w:t xml:space="preserve">Contending for the unreasonableness of the restraint, the first respondent refers to South Africa’s </w:t>
      </w:r>
      <w:r w:rsidR="00095B35" w:rsidRPr="003C1AE7">
        <w:rPr>
          <w:rFonts w:ascii="Arial" w:hAnsi="Arial" w:cs="Arial"/>
          <w:sz w:val="24"/>
          <w:szCs w:val="24"/>
          <w:lang w:val="en-US"/>
        </w:rPr>
        <w:t xml:space="preserve">employment market, marked by </w:t>
      </w:r>
      <w:r w:rsidR="00C15F60" w:rsidRPr="003C1AE7">
        <w:rPr>
          <w:rFonts w:ascii="Arial" w:hAnsi="Arial" w:cs="Arial"/>
          <w:sz w:val="24"/>
          <w:szCs w:val="24"/>
          <w:lang w:val="en-US"/>
        </w:rPr>
        <w:t>unemployment</w:t>
      </w:r>
      <w:r w:rsidR="00095B35" w:rsidRPr="003C1AE7">
        <w:rPr>
          <w:rFonts w:ascii="Arial" w:hAnsi="Arial" w:cs="Arial"/>
          <w:sz w:val="24"/>
          <w:szCs w:val="24"/>
          <w:lang w:val="en-US"/>
        </w:rPr>
        <w:t>, drops in employment levels and fluctuations in available jobs.   She avers that the applicant is effectively seeking to ‘throw (her) into the unemployment market.</w:t>
      </w:r>
      <w:r w:rsidR="005C2C75" w:rsidRPr="003C1AE7">
        <w:rPr>
          <w:rFonts w:ascii="Arial" w:hAnsi="Arial" w:cs="Arial"/>
          <w:sz w:val="24"/>
          <w:szCs w:val="24"/>
          <w:lang w:val="en-US"/>
        </w:rPr>
        <w:t>’</w:t>
      </w:r>
      <w:r w:rsidR="00095B35" w:rsidRPr="003C1AE7">
        <w:rPr>
          <w:rFonts w:ascii="Arial" w:hAnsi="Arial" w:cs="Arial"/>
          <w:sz w:val="24"/>
          <w:szCs w:val="24"/>
          <w:lang w:val="en-US"/>
        </w:rPr>
        <w:t xml:space="preserve">  As against this, she avers that the applicant is not protecting any protectable interest, emphasizing that the applicant does not own her network of contacts which she did not acquire as a consequence of her employment with it.  She refers to three deals that she initiated while running e-Bond, where she worked before she joined Betterbond.  </w:t>
      </w:r>
      <w:r w:rsidR="001B76A8" w:rsidRPr="003C1AE7">
        <w:rPr>
          <w:rFonts w:ascii="Arial" w:hAnsi="Arial" w:cs="Arial"/>
          <w:sz w:val="24"/>
          <w:szCs w:val="24"/>
          <w:lang w:val="en-US"/>
        </w:rPr>
        <w:t xml:space="preserve">Moreover, she tenders to relinquish </w:t>
      </w:r>
      <w:r w:rsidR="003E5D3F" w:rsidRPr="003C1AE7">
        <w:rPr>
          <w:rFonts w:ascii="Arial" w:hAnsi="Arial" w:cs="Arial"/>
          <w:sz w:val="24"/>
          <w:szCs w:val="24"/>
          <w:lang w:val="en-US"/>
        </w:rPr>
        <w:t xml:space="preserve">trade relationships she created in Pretoria and Tembisa which she accepts may arguably be said to have been secured while working at Betterbond.  </w:t>
      </w:r>
    </w:p>
    <w:p w14:paraId="2F88911E" w14:textId="77777777" w:rsidR="003E5D3F" w:rsidRPr="003E5D3F" w:rsidRDefault="003E5D3F" w:rsidP="003E5D3F">
      <w:pPr>
        <w:pStyle w:val="ListParagraph"/>
        <w:rPr>
          <w:rFonts w:ascii="Arial" w:hAnsi="Arial" w:cs="Arial"/>
          <w:sz w:val="24"/>
          <w:szCs w:val="24"/>
          <w:lang w:val="en-US"/>
        </w:rPr>
      </w:pPr>
    </w:p>
    <w:p w14:paraId="25340165" w14:textId="68B7CBF6" w:rsidR="00FB4B45"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3E5D3F" w:rsidRPr="003C1AE7">
        <w:rPr>
          <w:rFonts w:ascii="Arial" w:hAnsi="Arial" w:cs="Arial"/>
          <w:sz w:val="24"/>
          <w:szCs w:val="24"/>
          <w:lang w:val="en-US"/>
        </w:rPr>
        <w:t xml:space="preserve">In reply, the applicant points out that when enforcing restraints such as those in issue in this case, it is important to </w:t>
      </w:r>
      <w:r w:rsidR="005E53BD" w:rsidRPr="003C1AE7">
        <w:rPr>
          <w:rFonts w:ascii="Arial" w:hAnsi="Arial" w:cs="Arial"/>
          <w:sz w:val="24"/>
          <w:szCs w:val="24"/>
          <w:lang w:val="en-US"/>
        </w:rPr>
        <w:t xml:space="preserve">ensure that each consultant is held to their </w:t>
      </w:r>
      <w:r w:rsidR="005E53BD" w:rsidRPr="003C1AE7">
        <w:rPr>
          <w:rFonts w:ascii="Arial" w:hAnsi="Arial" w:cs="Arial"/>
          <w:sz w:val="24"/>
          <w:szCs w:val="24"/>
          <w:lang w:val="en-US"/>
        </w:rPr>
        <w:lastRenderedPageBreak/>
        <w:t xml:space="preserve">restraint otherwise there would be a cumulative harmful effect on the business of BetterBond.  It points out that the applicant appears to have understated her earnings.  On the terms of the restraint, Betterbond emphasizes that it is of limited duration, only 6 months, whereafter it accepts that it should be ‘fair game’ in the interests of competition.  However, during the restraint period, it contends that it can legitimately protect its </w:t>
      </w:r>
      <w:r w:rsidR="005C2C75" w:rsidRPr="003C1AE7">
        <w:rPr>
          <w:rFonts w:ascii="Arial" w:hAnsi="Arial" w:cs="Arial"/>
          <w:sz w:val="24"/>
          <w:szCs w:val="24"/>
          <w:lang w:val="en-US"/>
        </w:rPr>
        <w:t xml:space="preserve">business dealings </w:t>
      </w:r>
      <w:r w:rsidR="005E53BD" w:rsidRPr="003C1AE7">
        <w:rPr>
          <w:rFonts w:ascii="Arial" w:hAnsi="Arial" w:cs="Arial"/>
          <w:sz w:val="24"/>
          <w:szCs w:val="24"/>
          <w:lang w:val="en-US"/>
        </w:rPr>
        <w:t xml:space="preserve">with its lead providers and continue with its </w:t>
      </w:r>
      <w:r w:rsidR="005C2C75" w:rsidRPr="003C1AE7">
        <w:rPr>
          <w:rFonts w:ascii="Arial" w:hAnsi="Arial" w:cs="Arial"/>
          <w:sz w:val="24"/>
          <w:szCs w:val="24"/>
          <w:lang w:val="en-US"/>
        </w:rPr>
        <w:t xml:space="preserve">current </w:t>
      </w:r>
      <w:r w:rsidR="005E53BD" w:rsidRPr="003C1AE7">
        <w:rPr>
          <w:rFonts w:ascii="Arial" w:hAnsi="Arial" w:cs="Arial"/>
          <w:sz w:val="24"/>
          <w:szCs w:val="24"/>
          <w:lang w:val="en-US"/>
        </w:rPr>
        <w:t>business.  The Court’s attention is then drawn to two recent cases, in which BetterBond has successfull</w:t>
      </w:r>
      <w:r w:rsidR="00613697" w:rsidRPr="003C1AE7">
        <w:rPr>
          <w:rFonts w:ascii="Arial" w:hAnsi="Arial" w:cs="Arial"/>
          <w:sz w:val="24"/>
          <w:szCs w:val="24"/>
          <w:lang w:val="en-US"/>
        </w:rPr>
        <w:t xml:space="preserve">y enforced its restraint clause, to which I will refer as the </w:t>
      </w:r>
      <w:r w:rsidR="00613697" w:rsidRPr="003C1AE7">
        <w:rPr>
          <w:rFonts w:ascii="Arial" w:hAnsi="Arial" w:cs="Arial"/>
          <w:i/>
          <w:sz w:val="24"/>
          <w:szCs w:val="24"/>
          <w:lang w:val="en-US"/>
        </w:rPr>
        <w:t xml:space="preserve">Smit </w:t>
      </w:r>
      <w:r w:rsidR="00613697" w:rsidRPr="003C1AE7">
        <w:rPr>
          <w:rFonts w:ascii="Arial" w:hAnsi="Arial" w:cs="Arial"/>
          <w:sz w:val="24"/>
          <w:szCs w:val="24"/>
          <w:lang w:val="en-US"/>
        </w:rPr>
        <w:t>case</w:t>
      </w:r>
      <w:r w:rsidR="00613697">
        <w:rPr>
          <w:rStyle w:val="FootnoteReference"/>
          <w:rFonts w:ascii="Arial" w:hAnsi="Arial" w:cs="Arial"/>
          <w:sz w:val="24"/>
          <w:szCs w:val="24"/>
          <w:lang w:val="en-US"/>
        </w:rPr>
        <w:footnoteReference w:id="16"/>
      </w:r>
      <w:r w:rsidR="00613697" w:rsidRPr="003C1AE7">
        <w:rPr>
          <w:rFonts w:ascii="Arial" w:hAnsi="Arial" w:cs="Arial"/>
          <w:sz w:val="24"/>
          <w:szCs w:val="24"/>
          <w:lang w:val="en-US"/>
        </w:rPr>
        <w:t xml:space="preserve"> and the </w:t>
      </w:r>
      <w:r w:rsidR="00613697" w:rsidRPr="003C1AE7">
        <w:rPr>
          <w:rFonts w:ascii="Arial" w:hAnsi="Arial" w:cs="Arial"/>
          <w:i/>
          <w:sz w:val="24"/>
          <w:szCs w:val="24"/>
          <w:lang w:val="en-US"/>
        </w:rPr>
        <w:t xml:space="preserve">Maluleke </w:t>
      </w:r>
      <w:r w:rsidR="00613697" w:rsidRPr="003C1AE7">
        <w:rPr>
          <w:rFonts w:ascii="Arial" w:hAnsi="Arial" w:cs="Arial"/>
          <w:sz w:val="24"/>
          <w:szCs w:val="24"/>
          <w:lang w:val="en-US"/>
        </w:rPr>
        <w:t>case.</w:t>
      </w:r>
      <w:r w:rsidR="00613697">
        <w:rPr>
          <w:rStyle w:val="FootnoteReference"/>
          <w:rFonts w:ascii="Arial" w:hAnsi="Arial" w:cs="Arial"/>
          <w:sz w:val="24"/>
          <w:szCs w:val="24"/>
          <w:lang w:val="en-US"/>
        </w:rPr>
        <w:footnoteReference w:id="17"/>
      </w:r>
      <w:r w:rsidR="005E53BD" w:rsidRPr="003C1AE7">
        <w:rPr>
          <w:rFonts w:ascii="Arial" w:hAnsi="Arial" w:cs="Arial"/>
          <w:sz w:val="24"/>
          <w:szCs w:val="24"/>
          <w:lang w:val="en-US"/>
        </w:rPr>
        <w:t xml:space="preserve">  In respect of the three leads she brought to Betterbond, the applicant points out that she appears to have been working for her own account </w:t>
      </w:r>
      <w:r w:rsidR="00FB4B45" w:rsidRPr="003C1AE7">
        <w:rPr>
          <w:rFonts w:ascii="Arial" w:hAnsi="Arial" w:cs="Arial"/>
          <w:sz w:val="24"/>
          <w:szCs w:val="24"/>
          <w:lang w:val="en-US"/>
        </w:rPr>
        <w:t xml:space="preserve">shortly </w:t>
      </w:r>
      <w:r w:rsidR="005E53BD" w:rsidRPr="003C1AE7">
        <w:rPr>
          <w:rFonts w:ascii="Arial" w:hAnsi="Arial" w:cs="Arial"/>
          <w:sz w:val="24"/>
          <w:szCs w:val="24"/>
          <w:lang w:val="en-US"/>
        </w:rPr>
        <w:t xml:space="preserve">before joining BetterBond and thus caused no harm in doing so.  </w:t>
      </w:r>
      <w:r w:rsidR="00FB4B45" w:rsidRPr="003C1AE7">
        <w:rPr>
          <w:rFonts w:ascii="Arial" w:hAnsi="Arial" w:cs="Arial"/>
          <w:sz w:val="24"/>
          <w:szCs w:val="24"/>
          <w:lang w:val="en-US"/>
        </w:rPr>
        <w:t xml:space="preserve">The applicant contends that the first respondent has failed to demonstrate that the leads referred to are her pre-existing clients and contend that in any event, the restraint does not differentiate. </w:t>
      </w:r>
    </w:p>
    <w:p w14:paraId="57263CD5" w14:textId="77777777" w:rsidR="005C2C75" w:rsidRDefault="005C2C75" w:rsidP="00FB4B45">
      <w:pPr>
        <w:spacing w:line="480" w:lineRule="auto"/>
        <w:jc w:val="both"/>
        <w:rPr>
          <w:rFonts w:ascii="Arial" w:hAnsi="Arial" w:cs="Arial"/>
          <w:b/>
          <w:sz w:val="24"/>
          <w:szCs w:val="24"/>
          <w:lang w:val="en-US"/>
        </w:rPr>
      </w:pPr>
    </w:p>
    <w:p w14:paraId="70F8999B" w14:textId="77777777" w:rsidR="004A3D7F" w:rsidRPr="00FB4B45" w:rsidRDefault="00FB4B45" w:rsidP="00FB4B45">
      <w:pPr>
        <w:spacing w:line="480" w:lineRule="auto"/>
        <w:jc w:val="both"/>
        <w:rPr>
          <w:rFonts w:ascii="Arial" w:hAnsi="Arial" w:cs="Arial"/>
          <w:b/>
          <w:sz w:val="24"/>
          <w:szCs w:val="24"/>
          <w:lang w:val="en-US"/>
        </w:rPr>
      </w:pPr>
      <w:r w:rsidRPr="00FB4B45">
        <w:rPr>
          <w:rFonts w:ascii="Arial" w:hAnsi="Arial" w:cs="Arial"/>
          <w:b/>
          <w:sz w:val="24"/>
          <w:szCs w:val="24"/>
          <w:lang w:val="en-US"/>
        </w:rPr>
        <w:t>The agreement</w:t>
      </w:r>
    </w:p>
    <w:p w14:paraId="0C29D489" w14:textId="38CBC689" w:rsidR="000457F9" w:rsidRPr="003C1AE7" w:rsidRDefault="003C1AE7" w:rsidP="003C1AE7">
      <w:pPr>
        <w:spacing w:line="480" w:lineRule="auto"/>
        <w:ind w:left="360" w:hanging="360"/>
        <w:jc w:val="both"/>
        <w:rPr>
          <w:rFonts w:ascii="Arial" w:hAnsi="Arial" w:cs="Arial"/>
          <w:lang w:val="en-US"/>
        </w:rPr>
      </w:pPr>
      <w:r w:rsidRPr="000457F9">
        <w:rPr>
          <w:rFonts w:ascii="Arial" w:hAnsi="Arial" w:cs="Arial"/>
          <w:lang w:val="en-US"/>
        </w:rPr>
        <w:t>28.</w:t>
      </w:r>
      <w:r w:rsidRPr="000457F9">
        <w:rPr>
          <w:rFonts w:ascii="Arial" w:hAnsi="Arial" w:cs="Arial"/>
          <w:lang w:val="en-US"/>
        </w:rPr>
        <w:tab/>
      </w:r>
      <w:r w:rsidR="003E5D3F" w:rsidRPr="003C1AE7">
        <w:rPr>
          <w:rFonts w:ascii="Arial" w:hAnsi="Arial" w:cs="Arial"/>
          <w:sz w:val="24"/>
          <w:szCs w:val="24"/>
          <w:lang w:val="en-US"/>
        </w:rPr>
        <w:t>Clause 19 o</w:t>
      </w:r>
      <w:r w:rsidR="00FB4B45" w:rsidRPr="003C1AE7">
        <w:rPr>
          <w:rFonts w:ascii="Arial" w:hAnsi="Arial" w:cs="Arial"/>
          <w:sz w:val="24"/>
          <w:szCs w:val="24"/>
          <w:lang w:val="en-US"/>
        </w:rPr>
        <w:t>f the agreement is entitled ‘Restraint of Trade and Restriction Against Soliciting Employees</w:t>
      </w:r>
      <w:r w:rsidR="005C2C75" w:rsidRPr="003C1AE7">
        <w:rPr>
          <w:rFonts w:ascii="Arial" w:hAnsi="Arial" w:cs="Arial"/>
          <w:sz w:val="24"/>
          <w:szCs w:val="24"/>
          <w:lang w:val="en-US"/>
        </w:rPr>
        <w:t>.  I</w:t>
      </w:r>
      <w:r w:rsidR="00FB4B45" w:rsidRPr="003C1AE7">
        <w:rPr>
          <w:rFonts w:ascii="Arial" w:hAnsi="Arial" w:cs="Arial"/>
          <w:sz w:val="24"/>
          <w:szCs w:val="24"/>
          <w:lang w:val="en-US"/>
        </w:rPr>
        <w:t xml:space="preserve"> only repeat the</w:t>
      </w:r>
      <w:r w:rsidR="000457F9" w:rsidRPr="003C1AE7">
        <w:rPr>
          <w:rFonts w:ascii="Arial" w:hAnsi="Arial" w:cs="Arial"/>
          <w:sz w:val="24"/>
          <w:szCs w:val="24"/>
          <w:lang w:val="en-US"/>
        </w:rPr>
        <w:t xml:space="preserve"> core</w:t>
      </w:r>
      <w:r w:rsidR="00FB4B45" w:rsidRPr="003C1AE7">
        <w:rPr>
          <w:rFonts w:ascii="Arial" w:hAnsi="Arial" w:cs="Arial"/>
          <w:sz w:val="24"/>
          <w:szCs w:val="24"/>
          <w:lang w:val="en-US"/>
        </w:rPr>
        <w:t xml:space="preserve"> parts</w:t>
      </w:r>
      <w:r w:rsidR="000457F9" w:rsidRPr="003C1AE7">
        <w:rPr>
          <w:rFonts w:ascii="Arial" w:hAnsi="Arial" w:cs="Arial"/>
          <w:sz w:val="24"/>
          <w:szCs w:val="24"/>
          <w:lang w:val="en-US"/>
        </w:rPr>
        <w:t>, being Clause</w:t>
      </w:r>
      <w:r w:rsidR="005C2C75" w:rsidRPr="003C1AE7">
        <w:rPr>
          <w:rFonts w:ascii="Arial" w:hAnsi="Arial" w:cs="Arial"/>
          <w:sz w:val="24"/>
          <w:szCs w:val="24"/>
          <w:lang w:val="en-US"/>
        </w:rPr>
        <w:t>s</w:t>
      </w:r>
      <w:r w:rsidR="000457F9" w:rsidRPr="003C1AE7">
        <w:rPr>
          <w:rFonts w:ascii="Arial" w:hAnsi="Arial" w:cs="Arial"/>
          <w:sz w:val="24"/>
          <w:szCs w:val="24"/>
          <w:lang w:val="en-US"/>
        </w:rPr>
        <w:t xml:space="preserve"> 19.3 and 19.4</w:t>
      </w:r>
      <w:r w:rsidR="00FB4B45" w:rsidRPr="003C1AE7">
        <w:rPr>
          <w:rFonts w:ascii="Arial" w:hAnsi="Arial" w:cs="Arial"/>
          <w:sz w:val="24"/>
          <w:szCs w:val="24"/>
          <w:lang w:val="en-US"/>
        </w:rPr>
        <w:t xml:space="preserve">. </w:t>
      </w:r>
      <w:r w:rsidR="0006290E" w:rsidRPr="003C1AE7">
        <w:rPr>
          <w:rFonts w:ascii="Arial" w:hAnsi="Arial" w:cs="Arial"/>
          <w:sz w:val="24"/>
          <w:szCs w:val="24"/>
          <w:lang w:val="en-US"/>
        </w:rPr>
        <w:t xml:space="preserve"> By definition, the Restr</w:t>
      </w:r>
      <w:r w:rsidR="000457F9" w:rsidRPr="003C1AE7">
        <w:rPr>
          <w:rFonts w:ascii="Arial" w:hAnsi="Arial" w:cs="Arial"/>
          <w:sz w:val="24"/>
          <w:szCs w:val="24"/>
          <w:lang w:val="en-US"/>
        </w:rPr>
        <w:t>aint Period is limited to a six-</w:t>
      </w:r>
      <w:r w:rsidR="0006290E" w:rsidRPr="003C1AE7">
        <w:rPr>
          <w:rFonts w:ascii="Arial" w:hAnsi="Arial" w:cs="Arial"/>
          <w:sz w:val="24"/>
          <w:szCs w:val="24"/>
          <w:lang w:val="en-US"/>
        </w:rPr>
        <w:t>month period from the Terminate Date, being the date on which the employee ceases to be a full time employee of the applicant, in this case 22 February 2024.</w:t>
      </w:r>
      <w:r w:rsidR="000457F9" w:rsidRPr="003C1AE7">
        <w:rPr>
          <w:rFonts w:ascii="Arial" w:hAnsi="Arial" w:cs="Arial"/>
          <w:sz w:val="24"/>
          <w:szCs w:val="24"/>
          <w:lang w:val="en-US"/>
        </w:rPr>
        <w:t xml:space="preserve">  Clause 19.3 and Clause 19.4 read: </w:t>
      </w:r>
    </w:p>
    <w:p w14:paraId="3BCB3DBF" w14:textId="77777777" w:rsidR="00FB4B45" w:rsidRPr="0006290E" w:rsidRDefault="000457F9" w:rsidP="000457F9">
      <w:pPr>
        <w:pStyle w:val="ListParagraph"/>
        <w:spacing w:line="360" w:lineRule="auto"/>
        <w:jc w:val="both"/>
        <w:rPr>
          <w:rFonts w:ascii="Arial" w:hAnsi="Arial" w:cs="Arial"/>
          <w:lang w:val="en-US"/>
        </w:rPr>
      </w:pPr>
      <w:r>
        <w:rPr>
          <w:rFonts w:ascii="Arial" w:hAnsi="Arial" w:cs="Arial"/>
          <w:lang w:val="en-GB"/>
        </w:rPr>
        <w:lastRenderedPageBreak/>
        <w:t xml:space="preserve">‘19.3 </w:t>
      </w:r>
      <w:r w:rsidR="00FB4B45" w:rsidRPr="0006290E">
        <w:rPr>
          <w:rFonts w:ascii="Arial" w:hAnsi="Arial" w:cs="Arial"/>
          <w:lang w:val="en-GB"/>
        </w:rPr>
        <w:t>The Employee warrants and undertakes that he/she shall not during the Restraint Period, in any capacity whatsoever, (including that of principal or proprietor, agent, broker, partner, representative, assistant, trustee or beneficiary of a trust, manager, member of a close corporation, member of a voluntary association, shareholder, director, employee, consultant, contractor, advisor, financier, demonstrator)-</w:t>
      </w:r>
    </w:p>
    <w:p w14:paraId="7F0CA824" w14:textId="77777777" w:rsidR="00FB4B45" w:rsidRPr="0006290E" w:rsidRDefault="00FB4B45" w:rsidP="000457F9">
      <w:pPr>
        <w:tabs>
          <w:tab w:val="left" w:pos="851"/>
        </w:tabs>
        <w:spacing w:line="360" w:lineRule="auto"/>
        <w:ind w:left="1440"/>
        <w:jc w:val="both"/>
        <w:rPr>
          <w:rFonts w:ascii="Arial" w:hAnsi="Arial" w:cs="Arial"/>
          <w:lang w:val="en-GB"/>
        </w:rPr>
      </w:pPr>
      <w:r w:rsidRPr="0006290E">
        <w:rPr>
          <w:rFonts w:ascii="Arial" w:hAnsi="Arial" w:cs="Arial"/>
          <w:lang w:val="en-GB"/>
        </w:rPr>
        <w:t>19.3.1 directly or indirectly be associated or concerned with or interested or engaged in any Restricted Business or entity carrying on any restricted Business in the Territory or;</w:t>
      </w:r>
    </w:p>
    <w:p w14:paraId="239B7287" w14:textId="77777777" w:rsidR="0006290E" w:rsidRDefault="00FB4B45" w:rsidP="000457F9">
      <w:pPr>
        <w:tabs>
          <w:tab w:val="left" w:pos="851"/>
        </w:tabs>
        <w:spacing w:line="360" w:lineRule="auto"/>
        <w:ind w:left="1440"/>
        <w:jc w:val="both"/>
        <w:rPr>
          <w:rFonts w:ascii="Arial" w:hAnsi="Arial" w:cs="Arial"/>
          <w:lang w:val="en-GB"/>
        </w:rPr>
      </w:pPr>
      <w:r w:rsidRPr="0006290E">
        <w:rPr>
          <w:rFonts w:ascii="Arial" w:hAnsi="Arial" w:cs="Arial"/>
          <w:lang w:val="en-GB"/>
        </w:rPr>
        <w:t>19.3.2 conduct any Business, the same or similar to, or in competition with the Business of the employer</w:t>
      </w:r>
      <w:r w:rsidR="000457F9">
        <w:rPr>
          <w:rStyle w:val="FootnoteReference"/>
          <w:rFonts w:ascii="Arial" w:hAnsi="Arial" w:cs="Arial"/>
          <w:lang w:val="en-GB"/>
        </w:rPr>
        <w:footnoteReference w:id="18"/>
      </w:r>
      <w:r w:rsidRPr="0006290E">
        <w:rPr>
          <w:rFonts w:ascii="Arial" w:hAnsi="Arial" w:cs="Arial"/>
          <w:lang w:val="en-GB"/>
        </w:rPr>
        <w:t xml:space="preserve"> and/or the Group in regard to any Restricted Lead Source.</w:t>
      </w:r>
      <w:r w:rsidR="000457F9">
        <w:rPr>
          <w:rStyle w:val="FootnoteReference"/>
          <w:rFonts w:ascii="Arial" w:hAnsi="Arial" w:cs="Arial"/>
          <w:lang w:val="en-GB"/>
        </w:rPr>
        <w:footnoteReference w:id="19"/>
      </w:r>
    </w:p>
    <w:p w14:paraId="1D856BDA" w14:textId="77777777" w:rsidR="0006290E" w:rsidRPr="0006290E" w:rsidRDefault="0006290E" w:rsidP="000457F9">
      <w:pPr>
        <w:tabs>
          <w:tab w:val="left" w:pos="851"/>
        </w:tabs>
        <w:spacing w:line="360" w:lineRule="auto"/>
        <w:ind w:left="851"/>
        <w:jc w:val="both"/>
        <w:rPr>
          <w:rFonts w:ascii="Arial" w:hAnsi="Arial" w:cs="Arial"/>
          <w:lang w:val="en-US"/>
        </w:rPr>
      </w:pPr>
      <w:r w:rsidRPr="0006290E">
        <w:rPr>
          <w:rFonts w:ascii="Arial" w:hAnsi="Arial" w:cs="Arial"/>
          <w:lang w:val="en-GB"/>
        </w:rPr>
        <w:t>The Employee shall not, either for his/her own account or as a representative or agent for any third party, while he/she is employed by the Employer and for a period of 6 (six) months after the T</w:t>
      </w:r>
      <w:r>
        <w:rPr>
          <w:rFonts w:ascii="Arial" w:hAnsi="Arial" w:cs="Arial"/>
          <w:lang w:val="en-GB"/>
        </w:rPr>
        <w:t>ermination</w:t>
      </w:r>
      <w:r w:rsidRPr="0006290E">
        <w:rPr>
          <w:rFonts w:ascii="Arial" w:hAnsi="Arial" w:cs="Arial"/>
          <w:lang w:val="en-GB"/>
        </w:rPr>
        <w:t xml:space="preserve"> date, conduct any business, the same as, similar to, or in any competition with the Business of the Employer and/or the Group in regard to any Restricted Lead Source, nor shall the Employee be interested in any legal entity that conducts business with the Restricted Lead Source. The Employee shall not, either for his/her account or a representative or agent for any third party while he/she is employed by the Employer and for a period of 6 (six) months after the Termination date, persuade, induce, procure, solicit, entice or attempt to entice away a Restricted Party</w:t>
      </w:r>
      <w:r w:rsidR="000457F9">
        <w:rPr>
          <w:rStyle w:val="FootnoteReference"/>
          <w:rFonts w:ascii="Arial" w:hAnsi="Arial" w:cs="Arial"/>
          <w:lang w:val="en-GB"/>
        </w:rPr>
        <w:footnoteReference w:id="20"/>
      </w:r>
      <w:r w:rsidRPr="0006290E">
        <w:rPr>
          <w:rFonts w:ascii="Arial" w:hAnsi="Arial" w:cs="Arial"/>
          <w:lang w:val="en-GB"/>
        </w:rPr>
        <w:t xml:space="preserve"> from the Business of the Employer and/or the Group and/or from concluding a Restricted Transaction.</w:t>
      </w:r>
      <w:r w:rsidR="000457F9">
        <w:rPr>
          <w:rStyle w:val="FootnoteReference"/>
          <w:rFonts w:ascii="Arial" w:hAnsi="Arial" w:cs="Arial"/>
          <w:lang w:val="en-GB"/>
        </w:rPr>
        <w:footnoteReference w:id="21"/>
      </w:r>
    </w:p>
    <w:p w14:paraId="228756A0" w14:textId="77777777" w:rsidR="0006290E" w:rsidRDefault="0006290E" w:rsidP="000457F9">
      <w:pPr>
        <w:tabs>
          <w:tab w:val="left" w:pos="851"/>
        </w:tabs>
        <w:spacing w:line="360" w:lineRule="auto"/>
        <w:ind w:left="851"/>
        <w:jc w:val="both"/>
        <w:rPr>
          <w:rFonts w:ascii="Arial" w:hAnsi="Arial" w:cs="Arial"/>
          <w:lang w:val="en-GB"/>
        </w:rPr>
      </w:pPr>
      <w:r w:rsidRPr="0006290E">
        <w:rPr>
          <w:rFonts w:ascii="Arial" w:hAnsi="Arial" w:cs="Arial"/>
          <w:lang w:val="en-GB"/>
        </w:rPr>
        <w:lastRenderedPageBreak/>
        <w:t>19.4 Without limiting the generality of clause 19.3, the Employee shall not, during the period mentioned, in any capacity deal in any way with a Restricted Party in respect of any services and/or products which are substantially the same the same as those services and/or products which are offered by the Employer and/or the Group to the Restricted Party in question.</w:t>
      </w:r>
    </w:p>
    <w:p w14:paraId="3D12F617" w14:textId="77777777" w:rsidR="000457F9" w:rsidRPr="00E158BD" w:rsidRDefault="00E158BD" w:rsidP="00E158BD">
      <w:pPr>
        <w:tabs>
          <w:tab w:val="left" w:pos="851"/>
        </w:tabs>
        <w:spacing w:line="360" w:lineRule="auto"/>
        <w:jc w:val="both"/>
        <w:rPr>
          <w:rFonts w:ascii="Arial" w:hAnsi="Arial" w:cs="Arial"/>
          <w:b/>
          <w:lang w:val="en-US"/>
        </w:rPr>
      </w:pPr>
      <w:r w:rsidRPr="00E158BD">
        <w:rPr>
          <w:rFonts w:ascii="Arial" w:hAnsi="Arial" w:cs="Arial"/>
          <w:b/>
          <w:lang w:val="en-US"/>
        </w:rPr>
        <w:t>Analysis</w:t>
      </w:r>
    </w:p>
    <w:p w14:paraId="1B77B284" w14:textId="6EE0F426" w:rsidR="006F2CD2"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0457F9" w:rsidRPr="003C1AE7">
        <w:rPr>
          <w:rFonts w:ascii="Arial" w:hAnsi="Arial" w:cs="Arial"/>
          <w:sz w:val="24"/>
          <w:szCs w:val="24"/>
          <w:lang w:val="en-US"/>
        </w:rPr>
        <w:t xml:space="preserve"> I am unable to agree with the first respondent that the applicant does not have a protectable interest that is </w:t>
      </w:r>
      <w:r w:rsidR="006F2CD2" w:rsidRPr="003C1AE7">
        <w:rPr>
          <w:rFonts w:ascii="Arial" w:hAnsi="Arial" w:cs="Arial"/>
          <w:sz w:val="24"/>
          <w:szCs w:val="24"/>
          <w:lang w:val="en-US"/>
        </w:rPr>
        <w:t xml:space="preserve">not susceptible to protection under a restraint clause.  In context, what is being protected is the applicant’s </w:t>
      </w:r>
      <w:r w:rsidR="00E158BD" w:rsidRPr="003C1AE7">
        <w:rPr>
          <w:rFonts w:ascii="Arial" w:hAnsi="Arial" w:cs="Arial"/>
          <w:sz w:val="24"/>
          <w:szCs w:val="24"/>
          <w:lang w:val="en-US"/>
        </w:rPr>
        <w:t>trade connections</w:t>
      </w:r>
      <w:r w:rsidR="00E12E76" w:rsidRPr="003C1AE7">
        <w:rPr>
          <w:rFonts w:ascii="Arial" w:hAnsi="Arial" w:cs="Arial"/>
          <w:sz w:val="24"/>
          <w:szCs w:val="24"/>
          <w:lang w:val="en-US"/>
        </w:rPr>
        <w:t>, current business dealings</w:t>
      </w:r>
      <w:r w:rsidR="00E158BD" w:rsidRPr="003C1AE7">
        <w:rPr>
          <w:rFonts w:ascii="Arial" w:hAnsi="Arial" w:cs="Arial"/>
          <w:sz w:val="24"/>
          <w:szCs w:val="24"/>
          <w:lang w:val="en-US"/>
        </w:rPr>
        <w:t xml:space="preserve"> and </w:t>
      </w:r>
      <w:r w:rsidR="006F2CD2" w:rsidRPr="003C1AE7">
        <w:rPr>
          <w:rFonts w:ascii="Arial" w:hAnsi="Arial" w:cs="Arial"/>
          <w:sz w:val="24"/>
          <w:szCs w:val="24"/>
          <w:lang w:val="en-US"/>
        </w:rPr>
        <w:t xml:space="preserve">client base which it obtains through its lead sources and who comprise parties with whom the applicant interacts for purposes of its business.   </w:t>
      </w:r>
    </w:p>
    <w:p w14:paraId="5A08237B" w14:textId="77777777" w:rsidR="006F2CD2" w:rsidRDefault="006F2CD2" w:rsidP="006F2CD2">
      <w:pPr>
        <w:pStyle w:val="ListParagraph"/>
        <w:spacing w:line="480" w:lineRule="auto"/>
        <w:ind w:left="360"/>
        <w:jc w:val="both"/>
        <w:rPr>
          <w:rFonts w:ascii="Arial" w:hAnsi="Arial" w:cs="Arial"/>
          <w:sz w:val="24"/>
          <w:szCs w:val="24"/>
          <w:lang w:val="en-US"/>
        </w:rPr>
      </w:pPr>
    </w:p>
    <w:p w14:paraId="05460200" w14:textId="5FBDE0E6" w:rsidR="00FB4B45"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6F2CD2" w:rsidRPr="003C1AE7">
        <w:rPr>
          <w:rFonts w:ascii="Arial" w:hAnsi="Arial" w:cs="Arial"/>
          <w:sz w:val="24"/>
          <w:szCs w:val="24"/>
          <w:lang w:val="en-US"/>
        </w:rPr>
        <w:t>Moreover, there can be no real debate that</w:t>
      </w:r>
      <w:r w:rsidR="00790EA2" w:rsidRPr="003C1AE7">
        <w:rPr>
          <w:rFonts w:ascii="Arial" w:hAnsi="Arial" w:cs="Arial"/>
          <w:sz w:val="24"/>
          <w:szCs w:val="24"/>
          <w:lang w:val="en-US"/>
        </w:rPr>
        <w:t>, on the evidence before me,</w:t>
      </w:r>
      <w:r w:rsidR="006F2CD2" w:rsidRPr="003C1AE7">
        <w:rPr>
          <w:rFonts w:ascii="Arial" w:hAnsi="Arial" w:cs="Arial"/>
          <w:sz w:val="24"/>
          <w:szCs w:val="24"/>
          <w:lang w:val="en-US"/>
        </w:rPr>
        <w:t xml:space="preserve"> the interest has been breached by</w:t>
      </w:r>
      <w:r w:rsidR="00790EA2" w:rsidRPr="003C1AE7">
        <w:rPr>
          <w:rFonts w:ascii="Arial" w:hAnsi="Arial" w:cs="Arial"/>
          <w:sz w:val="24"/>
          <w:szCs w:val="24"/>
          <w:lang w:val="en-US"/>
        </w:rPr>
        <w:t xml:space="preserve"> the first respondent</w:t>
      </w:r>
      <w:r w:rsidR="006F2CD2" w:rsidRPr="003C1AE7">
        <w:rPr>
          <w:rFonts w:ascii="Arial" w:hAnsi="Arial" w:cs="Arial"/>
          <w:sz w:val="24"/>
          <w:szCs w:val="24"/>
          <w:lang w:val="en-US"/>
        </w:rPr>
        <w:t xml:space="preserve"> in her business relationship with the second respondent</w:t>
      </w:r>
      <w:r w:rsidR="00E12E76" w:rsidRPr="003C1AE7">
        <w:rPr>
          <w:rFonts w:ascii="Arial" w:hAnsi="Arial" w:cs="Arial"/>
          <w:sz w:val="24"/>
          <w:szCs w:val="24"/>
          <w:lang w:val="en-US"/>
        </w:rPr>
        <w:t>,</w:t>
      </w:r>
      <w:r w:rsidR="006F2CD2" w:rsidRPr="003C1AE7">
        <w:rPr>
          <w:rFonts w:ascii="Arial" w:hAnsi="Arial" w:cs="Arial"/>
          <w:sz w:val="24"/>
          <w:szCs w:val="24"/>
          <w:lang w:val="en-US"/>
        </w:rPr>
        <w:t xml:space="preserve"> and </w:t>
      </w:r>
      <w:r w:rsidR="00E12E76" w:rsidRPr="003C1AE7">
        <w:rPr>
          <w:rFonts w:ascii="Arial" w:hAnsi="Arial" w:cs="Arial"/>
          <w:sz w:val="24"/>
          <w:szCs w:val="24"/>
          <w:lang w:val="en-US"/>
        </w:rPr>
        <w:t xml:space="preserve">that </w:t>
      </w:r>
      <w:r w:rsidR="00790EA2" w:rsidRPr="003C1AE7">
        <w:rPr>
          <w:rFonts w:ascii="Arial" w:hAnsi="Arial" w:cs="Arial"/>
          <w:sz w:val="24"/>
          <w:szCs w:val="24"/>
          <w:lang w:val="en-US"/>
        </w:rPr>
        <w:t>is threatened in her pursuing restricted transactions</w:t>
      </w:r>
      <w:r w:rsidR="00E823D4" w:rsidRPr="003C1AE7">
        <w:rPr>
          <w:rFonts w:ascii="Arial" w:hAnsi="Arial" w:cs="Arial"/>
          <w:sz w:val="24"/>
          <w:szCs w:val="24"/>
          <w:lang w:val="en-US"/>
        </w:rPr>
        <w:t xml:space="preserve"> and by her conduct</w:t>
      </w:r>
      <w:r w:rsidR="00790EA2" w:rsidRPr="003C1AE7">
        <w:rPr>
          <w:rFonts w:ascii="Arial" w:hAnsi="Arial" w:cs="Arial"/>
          <w:sz w:val="24"/>
          <w:szCs w:val="24"/>
          <w:lang w:val="en-US"/>
        </w:rPr>
        <w:t xml:space="preserve">.  </w:t>
      </w:r>
      <w:r w:rsidR="00E823D4" w:rsidRPr="003C1AE7">
        <w:rPr>
          <w:rFonts w:ascii="Arial" w:hAnsi="Arial" w:cs="Arial"/>
          <w:sz w:val="24"/>
          <w:szCs w:val="24"/>
          <w:lang w:val="en-US"/>
        </w:rPr>
        <w:t>Furthermore, while her legal representatives have done their best to assist her, t</w:t>
      </w:r>
      <w:r w:rsidR="00B7395E" w:rsidRPr="003C1AE7">
        <w:rPr>
          <w:rFonts w:ascii="Arial" w:hAnsi="Arial" w:cs="Arial"/>
          <w:sz w:val="24"/>
          <w:szCs w:val="24"/>
          <w:lang w:val="en-US"/>
        </w:rPr>
        <w:t>he first respondent has</w:t>
      </w:r>
      <w:r w:rsidR="00E823D4" w:rsidRPr="003C1AE7">
        <w:rPr>
          <w:rFonts w:ascii="Arial" w:hAnsi="Arial" w:cs="Arial"/>
          <w:sz w:val="24"/>
          <w:szCs w:val="24"/>
          <w:lang w:val="en-US"/>
        </w:rPr>
        <w:t xml:space="preserve"> – in her conduct - demonstrated</w:t>
      </w:r>
      <w:r w:rsidR="00B7395E" w:rsidRPr="003C1AE7">
        <w:rPr>
          <w:rFonts w:ascii="Arial" w:hAnsi="Arial" w:cs="Arial"/>
          <w:sz w:val="24"/>
          <w:szCs w:val="24"/>
          <w:lang w:val="en-US"/>
        </w:rPr>
        <w:t xml:space="preserve"> an apparent disregard for her contractual obligations, which fortifies this conclusion. </w:t>
      </w:r>
    </w:p>
    <w:p w14:paraId="69C76515" w14:textId="77777777" w:rsidR="00790EA2" w:rsidRPr="00790EA2" w:rsidRDefault="00790EA2" w:rsidP="00790EA2">
      <w:pPr>
        <w:pStyle w:val="ListParagraph"/>
        <w:rPr>
          <w:rFonts w:ascii="Arial" w:hAnsi="Arial" w:cs="Arial"/>
          <w:sz w:val="24"/>
          <w:szCs w:val="24"/>
          <w:lang w:val="en-US"/>
        </w:rPr>
      </w:pPr>
    </w:p>
    <w:p w14:paraId="217DC17B" w14:textId="3DCDCDD8" w:rsidR="00E823D4" w:rsidRPr="003C1AE7" w:rsidRDefault="003C1AE7" w:rsidP="003C1AE7">
      <w:pPr>
        <w:spacing w:line="480" w:lineRule="auto"/>
        <w:ind w:left="360" w:hanging="360"/>
        <w:jc w:val="both"/>
        <w:rPr>
          <w:rFonts w:ascii="Arial" w:hAnsi="Arial" w:cs="Arial"/>
          <w:sz w:val="24"/>
          <w:szCs w:val="24"/>
          <w:lang w:val="en-US"/>
        </w:rPr>
      </w:pPr>
      <w:r w:rsidRPr="00E823D4">
        <w:rPr>
          <w:rFonts w:ascii="Arial" w:hAnsi="Arial" w:cs="Arial"/>
          <w:sz w:val="24"/>
          <w:szCs w:val="24"/>
          <w:lang w:val="en-US"/>
        </w:rPr>
        <w:t>31.</w:t>
      </w:r>
      <w:r w:rsidRPr="00E823D4">
        <w:rPr>
          <w:rFonts w:ascii="Arial" w:hAnsi="Arial" w:cs="Arial"/>
          <w:sz w:val="24"/>
          <w:szCs w:val="24"/>
          <w:lang w:val="en-US"/>
        </w:rPr>
        <w:tab/>
      </w:r>
      <w:r w:rsidR="00790EA2" w:rsidRPr="003C1AE7">
        <w:rPr>
          <w:rFonts w:ascii="Arial" w:hAnsi="Arial" w:cs="Arial"/>
          <w:sz w:val="24"/>
          <w:szCs w:val="24"/>
          <w:lang w:val="en-US"/>
        </w:rPr>
        <w:t>In considering whether the restraint goes further than necessary to protect the interest, I am of the view that the restraint probably does</w:t>
      </w:r>
      <w:r w:rsidR="00E823D4" w:rsidRPr="003C1AE7">
        <w:rPr>
          <w:rFonts w:ascii="Arial" w:hAnsi="Arial" w:cs="Arial"/>
          <w:sz w:val="24"/>
          <w:szCs w:val="24"/>
          <w:lang w:val="en-US"/>
        </w:rPr>
        <w:t>, both due to its duration and its broadly framed terms</w:t>
      </w:r>
      <w:r w:rsidR="00790EA2" w:rsidRPr="003C1AE7">
        <w:rPr>
          <w:rFonts w:ascii="Arial" w:hAnsi="Arial" w:cs="Arial"/>
          <w:sz w:val="24"/>
          <w:szCs w:val="24"/>
          <w:lang w:val="en-US"/>
        </w:rPr>
        <w:t xml:space="preserve">.  However, </w:t>
      </w:r>
      <w:r w:rsidR="00E823D4" w:rsidRPr="003C1AE7">
        <w:rPr>
          <w:rFonts w:ascii="Arial" w:hAnsi="Arial" w:cs="Arial"/>
          <w:sz w:val="24"/>
          <w:szCs w:val="24"/>
          <w:lang w:val="en-US"/>
        </w:rPr>
        <w:t xml:space="preserve">having regard to the </w:t>
      </w:r>
      <w:r w:rsidR="00484226" w:rsidRPr="003C1AE7">
        <w:rPr>
          <w:rFonts w:ascii="Arial" w:hAnsi="Arial" w:cs="Arial"/>
          <w:sz w:val="24"/>
          <w:szCs w:val="24"/>
          <w:lang w:val="en-US"/>
        </w:rPr>
        <w:t xml:space="preserve">circumstances and the </w:t>
      </w:r>
      <w:r w:rsidR="00E823D4" w:rsidRPr="003C1AE7">
        <w:rPr>
          <w:rFonts w:ascii="Arial" w:hAnsi="Arial" w:cs="Arial"/>
          <w:sz w:val="24"/>
          <w:szCs w:val="24"/>
          <w:lang w:val="en-US"/>
        </w:rPr>
        <w:t xml:space="preserve">relief sought in this case, </w:t>
      </w:r>
      <w:r w:rsidR="00B7395E" w:rsidRPr="003C1AE7">
        <w:rPr>
          <w:rFonts w:ascii="Arial" w:hAnsi="Arial" w:cs="Arial"/>
          <w:sz w:val="24"/>
          <w:szCs w:val="24"/>
          <w:lang w:val="en-US"/>
        </w:rPr>
        <w:t>this</w:t>
      </w:r>
      <w:r w:rsidR="00790EA2" w:rsidRPr="003C1AE7">
        <w:rPr>
          <w:rFonts w:ascii="Arial" w:hAnsi="Arial" w:cs="Arial"/>
          <w:sz w:val="24"/>
          <w:szCs w:val="24"/>
          <w:lang w:val="en-US"/>
        </w:rPr>
        <w:t xml:space="preserve"> can be practically and sensibly addressed by following the approach in </w:t>
      </w:r>
      <w:r w:rsidR="00E158BD" w:rsidRPr="003C1AE7">
        <w:rPr>
          <w:rFonts w:ascii="Arial" w:hAnsi="Arial" w:cs="Arial"/>
          <w:i/>
          <w:sz w:val="24"/>
          <w:szCs w:val="24"/>
          <w:lang w:val="en-US"/>
        </w:rPr>
        <w:t>Maluleka</w:t>
      </w:r>
      <w:r w:rsidR="00790EA2" w:rsidRPr="003C1AE7">
        <w:rPr>
          <w:rFonts w:ascii="Arial" w:hAnsi="Arial" w:cs="Arial"/>
          <w:i/>
          <w:sz w:val="24"/>
          <w:szCs w:val="24"/>
          <w:lang w:val="en-US"/>
        </w:rPr>
        <w:t xml:space="preserve">, </w:t>
      </w:r>
      <w:r w:rsidR="00790EA2" w:rsidRPr="003C1AE7">
        <w:rPr>
          <w:rFonts w:ascii="Arial" w:hAnsi="Arial" w:cs="Arial"/>
          <w:sz w:val="24"/>
          <w:szCs w:val="24"/>
          <w:lang w:val="en-US"/>
        </w:rPr>
        <w:t xml:space="preserve">which limits the </w:t>
      </w:r>
      <w:r w:rsidR="00484226" w:rsidRPr="003C1AE7">
        <w:rPr>
          <w:rFonts w:ascii="Arial" w:hAnsi="Arial" w:cs="Arial"/>
          <w:sz w:val="24"/>
          <w:szCs w:val="24"/>
          <w:lang w:val="en-US"/>
        </w:rPr>
        <w:t>duration</w:t>
      </w:r>
      <w:r w:rsidR="00790EA2" w:rsidRPr="003C1AE7">
        <w:rPr>
          <w:rFonts w:ascii="Arial" w:hAnsi="Arial" w:cs="Arial"/>
          <w:sz w:val="24"/>
          <w:szCs w:val="24"/>
          <w:lang w:val="en-US"/>
        </w:rPr>
        <w:t xml:space="preserve"> of the restraint clause</w:t>
      </w:r>
      <w:r w:rsidR="00015B98" w:rsidRPr="003C1AE7">
        <w:rPr>
          <w:rFonts w:ascii="Arial" w:hAnsi="Arial" w:cs="Arial"/>
          <w:sz w:val="24"/>
          <w:szCs w:val="24"/>
          <w:lang w:val="en-US"/>
        </w:rPr>
        <w:t xml:space="preserve">.  In </w:t>
      </w:r>
      <w:r w:rsidR="00015B98" w:rsidRPr="003C1AE7">
        <w:rPr>
          <w:rFonts w:ascii="Arial" w:hAnsi="Arial" w:cs="Arial"/>
          <w:i/>
          <w:sz w:val="24"/>
          <w:szCs w:val="24"/>
          <w:lang w:val="en-US"/>
        </w:rPr>
        <w:t xml:space="preserve">Maluleka, </w:t>
      </w:r>
      <w:r w:rsidR="00015B98" w:rsidRPr="003C1AE7">
        <w:rPr>
          <w:rFonts w:ascii="Arial" w:hAnsi="Arial" w:cs="Arial"/>
          <w:sz w:val="24"/>
          <w:szCs w:val="24"/>
          <w:lang w:val="en-US"/>
        </w:rPr>
        <w:t>the duration was limited</w:t>
      </w:r>
      <w:r w:rsidR="00790EA2" w:rsidRPr="003C1AE7">
        <w:rPr>
          <w:rFonts w:ascii="Arial" w:hAnsi="Arial" w:cs="Arial"/>
          <w:sz w:val="24"/>
          <w:szCs w:val="24"/>
          <w:lang w:val="en-US"/>
        </w:rPr>
        <w:t xml:space="preserve"> to a period </w:t>
      </w:r>
      <w:r w:rsidR="00B7395E" w:rsidRPr="003C1AE7">
        <w:rPr>
          <w:rFonts w:ascii="Arial" w:hAnsi="Arial" w:cs="Arial"/>
          <w:sz w:val="24"/>
          <w:szCs w:val="24"/>
          <w:lang w:val="en-US"/>
        </w:rPr>
        <w:t>of 4</w:t>
      </w:r>
      <w:r w:rsidR="00790EA2" w:rsidRPr="003C1AE7">
        <w:rPr>
          <w:rFonts w:ascii="Arial" w:hAnsi="Arial" w:cs="Arial"/>
          <w:sz w:val="24"/>
          <w:szCs w:val="24"/>
          <w:lang w:val="en-US"/>
        </w:rPr>
        <w:t xml:space="preserve"> </w:t>
      </w:r>
      <w:r w:rsidR="00015B98" w:rsidRPr="003C1AE7">
        <w:rPr>
          <w:rFonts w:ascii="Arial" w:hAnsi="Arial" w:cs="Arial"/>
          <w:sz w:val="24"/>
          <w:szCs w:val="24"/>
          <w:lang w:val="en-US"/>
        </w:rPr>
        <w:t xml:space="preserve">(four) </w:t>
      </w:r>
      <w:r w:rsidR="00790EA2" w:rsidRPr="003C1AE7">
        <w:rPr>
          <w:rFonts w:ascii="Arial" w:hAnsi="Arial" w:cs="Arial"/>
          <w:sz w:val="24"/>
          <w:szCs w:val="24"/>
          <w:lang w:val="en-US"/>
        </w:rPr>
        <w:t xml:space="preserve">months from the </w:t>
      </w:r>
      <w:r w:rsidR="00790EA2" w:rsidRPr="003C1AE7">
        <w:rPr>
          <w:rFonts w:ascii="Arial" w:hAnsi="Arial" w:cs="Arial"/>
          <w:sz w:val="24"/>
          <w:szCs w:val="24"/>
          <w:lang w:val="en-US"/>
        </w:rPr>
        <w:lastRenderedPageBreak/>
        <w:t>termination date.</w:t>
      </w:r>
      <w:r w:rsidR="00015B98" w:rsidRPr="003C1AE7">
        <w:rPr>
          <w:rFonts w:ascii="Arial" w:hAnsi="Arial" w:cs="Arial"/>
          <w:sz w:val="24"/>
          <w:szCs w:val="24"/>
          <w:lang w:val="en-US"/>
        </w:rPr>
        <w:t xml:space="preserve">  In this case, and given</w:t>
      </w:r>
      <w:r w:rsidR="00E12E76" w:rsidRPr="003C1AE7">
        <w:rPr>
          <w:rFonts w:ascii="Arial" w:hAnsi="Arial" w:cs="Arial"/>
          <w:sz w:val="24"/>
          <w:szCs w:val="24"/>
          <w:lang w:val="en-US"/>
        </w:rPr>
        <w:t xml:space="preserve"> the evidence and</w:t>
      </w:r>
      <w:r w:rsidR="00015B98" w:rsidRPr="003C1AE7">
        <w:rPr>
          <w:rFonts w:ascii="Arial" w:hAnsi="Arial" w:cs="Arial"/>
          <w:sz w:val="24"/>
          <w:szCs w:val="24"/>
          <w:lang w:val="en-US"/>
        </w:rPr>
        <w:t xml:space="preserve"> the first respondent’s history in the industry, a 3 (three) month period is reasonable. </w:t>
      </w:r>
      <w:r w:rsidR="00790EA2" w:rsidRPr="003C1AE7">
        <w:rPr>
          <w:rFonts w:ascii="Arial" w:hAnsi="Arial" w:cs="Arial"/>
          <w:sz w:val="24"/>
          <w:szCs w:val="24"/>
          <w:lang w:val="en-US"/>
        </w:rPr>
        <w:t xml:space="preserve">   </w:t>
      </w:r>
      <w:r w:rsidR="00E823D4" w:rsidRPr="003C1AE7">
        <w:rPr>
          <w:rFonts w:ascii="Arial" w:hAnsi="Arial" w:cs="Arial"/>
          <w:sz w:val="24"/>
          <w:szCs w:val="24"/>
          <w:lang w:val="en-US"/>
        </w:rPr>
        <w:t xml:space="preserve">As regards the geographical constraint, </w:t>
      </w:r>
      <w:r w:rsidR="004728ED" w:rsidRPr="003C1AE7">
        <w:rPr>
          <w:rFonts w:ascii="Arial" w:hAnsi="Arial" w:cs="Arial"/>
          <w:sz w:val="24"/>
          <w:szCs w:val="24"/>
          <w:lang w:val="en-US"/>
        </w:rPr>
        <w:t xml:space="preserve">I am satisfied that restricting the restraint to Gauteng for this </w:t>
      </w:r>
      <w:r w:rsidR="00015B98" w:rsidRPr="003C1AE7">
        <w:rPr>
          <w:rFonts w:ascii="Arial" w:hAnsi="Arial" w:cs="Arial"/>
          <w:sz w:val="24"/>
          <w:szCs w:val="24"/>
          <w:lang w:val="en-US"/>
        </w:rPr>
        <w:t xml:space="preserve">short </w:t>
      </w:r>
      <w:r w:rsidR="004728ED" w:rsidRPr="003C1AE7">
        <w:rPr>
          <w:rFonts w:ascii="Arial" w:hAnsi="Arial" w:cs="Arial"/>
          <w:sz w:val="24"/>
          <w:szCs w:val="24"/>
          <w:lang w:val="en-US"/>
        </w:rPr>
        <w:t>time period is reasonable</w:t>
      </w:r>
      <w:r w:rsidR="00E823D4" w:rsidRPr="003C1AE7">
        <w:rPr>
          <w:rFonts w:ascii="Arial" w:hAnsi="Arial" w:cs="Arial"/>
          <w:sz w:val="24"/>
          <w:szCs w:val="24"/>
          <w:lang w:val="en-US"/>
        </w:rPr>
        <w:t>.  Although the second respondent says that she worked in the Pretoria region, she later says that she did work in the Johannesburg area using her historical trade networks.  It is true that Gauteng is the economic hub</w:t>
      </w:r>
      <w:r w:rsidR="00C34025" w:rsidRPr="003C1AE7">
        <w:rPr>
          <w:rFonts w:ascii="Arial" w:hAnsi="Arial" w:cs="Arial"/>
          <w:sz w:val="24"/>
          <w:szCs w:val="24"/>
          <w:lang w:val="en-US"/>
        </w:rPr>
        <w:t xml:space="preserve"> but on the second respondent’s own evidence there is substantial work available in other provinces</w:t>
      </w:r>
      <w:r w:rsidR="00015B98" w:rsidRPr="003C1AE7">
        <w:rPr>
          <w:rFonts w:ascii="Arial" w:hAnsi="Arial" w:cs="Arial"/>
          <w:sz w:val="24"/>
          <w:szCs w:val="24"/>
          <w:lang w:val="en-US"/>
        </w:rPr>
        <w:t xml:space="preserve"> and she has sufficient experience to work in various </w:t>
      </w:r>
      <w:r w:rsidR="00E12E76" w:rsidRPr="003C1AE7">
        <w:rPr>
          <w:rFonts w:ascii="Arial" w:hAnsi="Arial" w:cs="Arial"/>
          <w:sz w:val="24"/>
          <w:szCs w:val="24"/>
          <w:lang w:val="en-US"/>
        </w:rPr>
        <w:t xml:space="preserve">related </w:t>
      </w:r>
      <w:r w:rsidR="00015B98" w:rsidRPr="003C1AE7">
        <w:rPr>
          <w:rFonts w:ascii="Arial" w:hAnsi="Arial" w:cs="Arial"/>
          <w:sz w:val="24"/>
          <w:szCs w:val="24"/>
          <w:lang w:val="en-US"/>
        </w:rPr>
        <w:t>roles</w:t>
      </w:r>
      <w:r w:rsidR="00E12E76" w:rsidRPr="003C1AE7">
        <w:rPr>
          <w:rFonts w:ascii="Arial" w:hAnsi="Arial" w:cs="Arial"/>
          <w:sz w:val="24"/>
          <w:szCs w:val="24"/>
          <w:lang w:val="en-US"/>
        </w:rPr>
        <w:t xml:space="preserve"> in Gauteng</w:t>
      </w:r>
      <w:r w:rsidR="00C34025" w:rsidRPr="003C1AE7">
        <w:rPr>
          <w:rFonts w:ascii="Arial" w:hAnsi="Arial" w:cs="Arial"/>
          <w:sz w:val="24"/>
          <w:szCs w:val="24"/>
          <w:lang w:val="en-US"/>
        </w:rPr>
        <w:t xml:space="preserve">. </w:t>
      </w:r>
    </w:p>
    <w:p w14:paraId="70743FE8" w14:textId="77777777" w:rsidR="00E823D4" w:rsidRPr="00E823D4" w:rsidRDefault="00E823D4" w:rsidP="00E823D4">
      <w:pPr>
        <w:pStyle w:val="ListParagraph"/>
        <w:rPr>
          <w:rFonts w:ascii="Arial" w:hAnsi="Arial" w:cs="Arial"/>
          <w:color w:val="FF0000"/>
          <w:sz w:val="24"/>
          <w:szCs w:val="24"/>
          <w:lang w:val="en-US"/>
        </w:rPr>
      </w:pPr>
    </w:p>
    <w:p w14:paraId="36C49846" w14:textId="155AA5D6" w:rsidR="000B427A"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4728ED" w:rsidRPr="003C1AE7">
        <w:rPr>
          <w:rFonts w:ascii="Arial" w:hAnsi="Arial" w:cs="Arial"/>
          <w:color w:val="FF0000"/>
          <w:sz w:val="24"/>
          <w:szCs w:val="24"/>
          <w:lang w:val="en-US"/>
        </w:rPr>
        <w:t xml:space="preserve"> </w:t>
      </w:r>
      <w:r w:rsidR="004728ED" w:rsidRPr="003C1AE7">
        <w:rPr>
          <w:rFonts w:ascii="Arial" w:hAnsi="Arial" w:cs="Arial"/>
          <w:sz w:val="24"/>
          <w:szCs w:val="24"/>
          <w:lang w:val="en-US"/>
        </w:rPr>
        <w:t xml:space="preserve">Regarding prior relationships, Mr Lennox submitted that this argument was rejected in the </w:t>
      </w:r>
      <w:r w:rsidR="004728ED" w:rsidRPr="003C1AE7">
        <w:rPr>
          <w:rFonts w:ascii="Arial" w:hAnsi="Arial" w:cs="Arial"/>
          <w:i/>
          <w:sz w:val="24"/>
          <w:szCs w:val="24"/>
          <w:lang w:val="en-US"/>
        </w:rPr>
        <w:t xml:space="preserve">Maluleka </w:t>
      </w:r>
      <w:r w:rsidR="004728ED" w:rsidRPr="003C1AE7">
        <w:rPr>
          <w:rFonts w:ascii="Arial" w:hAnsi="Arial" w:cs="Arial"/>
          <w:sz w:val="24"/>
          <w:szCs w:val="24"/>
          <w:lang w:val="en-US"/>
        </w:rPr>
        <w:t xml:space="preserve">case. </w:t>
      </w:r>
      <w:r w:rsidR="00E823D4" w:rsidRPr="003C1AE7">
        <w:rPr>
          <w:rFonts w:ascii="Arial" w:hAnsi="Arial" w:cs="Arial"/>
          <w:sz w:val="24"/>
          <w:szCs w:val="24"/>
          <w:lang w:val="en-US"/>
        </w:rPr>
        <w:t xml:space="preserve"> That is indeed so, but </w:t>
      </w:r>
      <w:r w:rsidR="004728ED" w:rsidRPr="003C1AE7">
        <w:rPr>
          <w:rFonts w:ascii="Arial" w:hAnsi="Arial" w:cs="Arial"/>
          <w:sz w:val="24"/>
          <w:szCs w:val="24"/>
          <w:lang w:val="en-US"/>
        </w:rPr>
        <w:t xml:space="preserve">in circumstances where the </w:t>
      </w:r>
      <w:r w:rsidR="00E823D4" w:rsidRPr="003C1AE7">
        <w:rPr>
          <w:rFonts w:ascii="Arial" w:hAnsi="Arial" w:cs="Arial"/>
          <w:sz w:val="24"/>
          <w:szCs w:val="24"/>
          <w:lang w:val="en-US"/>
        </w:rPr>
        <w:t xml:space="preserve">direct </w:t>
      </w:r>
      <w:r w:rsidR="004728ED" w:rsidRPr="003C1AE7">
        <w:rPr>
          <w:rFonts w:ascii="Arial" w:hAnsi="Arial" w:cs="Arial"/>
          <w:sz w:val="24"/>
          <w:szCs w:val="24"/>
          <w:lang w:val="en-US"/>
        </w:rPr>
        <w:t>evidence showe</w:t>
      </w:r>
      <w:r w:rsidR="00E823D4" w:rsidRPr="003C1AE7">
        <w:rPr>
          <w:rFonts w:ascii="Arial" w:hAnsi="Arial" w:cs="Arial"/>
          <w:sz w:val="24"/>
          <w:szCs w:val="24"/>
          <w:lang w:val="en-US"/>
        </w:rPr>
        <w:t>d that those relationships were</w:t>
      </w:r>
      <w:r w:rsidR="004728ED" w:rsidRPr="003C1AE7">
        <w:rPr>
          <w:rFonts w:ascii="Arial" w:hAnsi="Arial" w:cs="Arial"/>
          <w:sz w:val="24"/>
          <w:szCs w:val="24"/>
          <w:lang w:val="en-US"/>
        </w:rPr>
        <w:t xml:space="preserve"> enhanced or reinforced during the respondent’s employment with BetterBond.  There is no </w:t>
      </w:r>
      <w:r w:rsidR="00E823D4" w:rsidRPr="003C1AE7">
        <w:rPr>
          <w:rFonts w:ascii="Arial" w:hAnsi="Arial" w:cs="Arial"/>
          <w:sz w:val="24"/>
          <w:szCs w:val="24"/>
          <w:lang w:val="en-US"/>
        </w:rPr>
        <w:t>direct</w:t>
      </w:r>
      <w:r w:rsidR="004728ED" w:rsidRPr="003C1AE7">
        <w:rPr>
          <w:rFonts w:ascii="Arial" w:hAnsi="Arial" w:cs="Arial"/>
          <w:sz w:val="24"/>
          <w:szCs w:val="24"/>
          <w:lang w:val="en-US"/>
        </w:rPr>
        <w:t xml:space="preserve"> evidence in this case</w:t>
      </w:r>
      <w:r w:rsidR="00E12E76" w:rsidRPr="003C1AE7">
        <w:rPr>
          <w:rFonts w:ascii="Arial" w:hAnsi="Arial" w:cs="Arial"/>
          <w:sz w:val="24"/>
          <w:szCs w:val="24"/>
          <w:lang w:val="en-US"/>
        </w:rPr>
        <w:t xml:space="preserve"> to that effect</w:t>
      </w:r>
      <w:r w:rsidR="004728ED" w:rsidRPr="003C1AE7">
        <w:rPr>
          <w:rFonts w:ascii="Arial" w:hAnsi="Arial" w:cs="Arial"/>
          <w:sz w:val="24"/>
          <w:szCs w:val="24"/>
          <w:lang w:val="en-US"/>
        </w:rPr>
        <w:t xml:space="preserve">. </w:t>
      </w:r>
      <w:r w:rsidR="00C34025" w:rsidRPr="003C1AE7">
        <w:rPr>
          <w:rFonts w:ascii="Arial" w:hAnsi="Arial" w:cs="Arial"/>
          <w:sz w:val="24"/>
          <w:szCs w:val="24"/>
          <w:lang w:val="en-US"/>
        </w:rPr>
        <w:t xml:space="preserve"> </w:t>
      </w:r>
    </w:p>
    <w:p w14:paraId="2F128BF9" w14:textId="77777777" w:rsidR="000B427A" w:rsidRPr="000B427A" w:rsidRDefault="000B427A" w:rsidP="000B427A">
      <w:pPr>
        <w:pStyle w:val="ListParagraph"/>
        <w:rPr>
          <w:rFonts w:ascii="Arial" w:hAnsi="Arial" w:cs="Arial"/>
          <w:sz w:val="24"/>
          <w:szCs w:val="24"/>
          <w:lang w:val="en-US"/>
        </w:rPr>
      </w:pPr>
    </w:p>
    <w:p w14:paraId="7590A16D" w14:textId="1E964F7F" w:rsidR="00C34025"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C34025" w:rsidRPr="003C1AE7">
        <w:rPr>
          <w:rFonts w:ascii="Arial" w:hAnsi="Arial" w:cs="Arial"/>
          <w:sz w:val="24"/>
          <w:szCs w:val="24"/>
          <w:lang w:val="en-US"/>
        </w:rPr>
        <w:t xml:space="preserve">Notably, however, in </w:t>
      </w:r>
      <w:r w:rsidR="00C34025" w:rsidRPr="003C1AE7">
        <w:rPr>
          <w:rFonts w:ascii="Arial" w:hAnsi="Arial" w:cs="Arial"/>
          <w:i/>
          <w:sz w:val="24"/>
          <w:szCs w:val="24"/>
          <w:lang w:val="en-US"/>
        </w:rPr>
        <w:t>Rawlins,</w:t>
      </w:r>
      <w:r w:rsidR="00C34025">
        <w:rPr>
          <w:rStyle w:val="FootnoteReference"/>
          <w:rFonts w:ascii="Arial" w:hAnsi="Arial" w:cs="Arial"/>
          <w:i/>
          <w:sz w:val="24"/>
          <w:szCs w:val="24"/>
          <w:lang w:val="en-US"/>
        </w:rPr>
        <w:footnoteReference w:id="22"/>
      </w:r>
      <w:r w:rsidR="00C34025" w:rsidRPr="003C1AE7">
        <w:rPr>
          <w:rFonts w:ascii="Arial" w:hAnsi="Arial" w:cs="Arial"/>
          <w:i/>
          <w:sz w:val="24"/>
          <w:szCs w:val="24"/>
          <w:lang w:val="en-US"/>
        </w:rPr>
        <w:t xml:space="preserve"> </w:t>
      </w:r>
      <w:r w:rsidR="00C34025" w:rsidRPr="003C1AE7">
        <w:rPr>
          <w:rFonts w:ascii="Arial" w:hAnsi="Arial" w:cs="Arial"/>
          <w:sz w:val="24"/>
          <w:szCs w:val="24"/>
          <w:lang w:val="en-US"/>
        </w:rPr>
        <w:t xml:space="preserve">referred to in </w:t>
      </w:r>
      <w:r w:rsidR="00C34025" w:rsidRPr="003C1AE7">
        <w:rPr>
          <w:rFonts w:ascii="Arial" w:hAnsi="Arial" w:cs="Arial"/>
          <w:i/>
          <w:sz w:val="24"/>
          <w:szCs w:val="24"/>
          <w:lang w:val="en-US"/>
        </w:rPr>
        <w:t xml:space="preserve">Smit, </w:t>
      </w:r>
      <w:r w:rsidR="00C34025" w:rsidRPr="003C1AE7">
        <w:rPr>
          <w:rFonts w:ascii="Arial" w:hAnsi="Arial" w:cs="Arial"/>
          <w:sz w:val="24"/>
          <w:szCs w:val="24"/>
          <w:lang w:val="en-US"/>
        </w:rPr>
        <w:t xml:space="preserve">the then AD stated: </w:t>
      </w:r>
    </w:p>
    <w:p w14:paraId="488DC7DC" w14:textId="77777777" w:rsidR="00C34025" w:rsidRPr="00C34025" w:rsidRDefault="00C34025" w:rsidP="00C34025">
      <w:pPr>
        <w:pStyle w:val="ListParagraph"/>
        <w:rPr>
          <w:rFonts w:ascii="Arial" w:hAnsi="Arial" w:cs="Arial"/>
          <w:sz w:val="24"/>
          <w:szCs w:val="24"/>
          <w:lang w:val="en-US"/>
        </w:rPr>
      </w:pPr>
    </w:p>
    <w:p w14:paraId="0239271B" w14:textId="77777777" w:rsidR="00F52274" w:rsidRPr="000B427A" w:rsidRDefault="00C34025" w:rsidP="00F52274">
      <w:pPr>
        <w:pStyle w:val="ListParagraph"/>
        <w:spacing w:line="360" w:lineRule="auto"/>
        <w:ind w:left="1134"/>
        <w:jc w:val="both"/>
        <w:rPr>
          <w:rFonts w:ascii="Arial" w:hAnsi="Arial" w:cs="Arial"/>
          <w:lang w:val="en-US"/>
        </w:rPr>
      </w:pPr>
      <w:r w:rsidRPr="000B427A">
        <w:rPr>
          <w:rFonts w:ascii="Arial" w:hAnsi="Arial" w:cs="Arial"/>
          <w:lang w:val="en-US"/>
        </w:rPr>
        <w:t>‘</w:t>
      </w:r>
      <w:r w:rsidR="000B427A" w:rsidRPr="000B427A">
        <w:rPr>
          <w:rFonts w:ascii="Arial" w:hAnsi="Arial" w:cs="Arial"/>
          <w:lang w:val="en-US"/>
        </w:rPr>
        <w:t xml:space="preserve">In summary then, what Rawlins says is that during his employment with the respondent he largely dealt, not with its existing customers, but with his own pre-existing following or buyers whom he later found.  Does this establish that the respondent did not have a proprietary interest of the kind under consideration?  It is, of course, a factor in his favour; but not conclusively so (see </w:t>
      </w:r>
      <w:r w:rsidR="000B427A" w:rsidRPr="000B427A">
        <w:rPr>
          <w:rFonts w:ascii="Arial" w:hAnsi="Arial" w:cs="Arial"/>
          <w:i/>
          <w:lang w:val="en-US"/>
        </w:rPr>
        <w:t xml:space="preserve">Cansa (Pty) Ltd v Van der Nest </w:t>
      </w:r>
      <w:r w:rsidR="000B427A" w:rsidRPr="000B427A">
        <w:rPr>
          <w:rFonts w:ascii="Arial" w:hAnsi="Arial" w:cs="Arial"/>
          <w:lang w:val="en-US"/>
        </w:rPr>
        <w:t>1974(2) SA 64</w:t>
      </w:r>
      <w:r w:rsidR="00015B98">
        <w:rPr>
          <w:rFonts w:ascii="Arial" w:hAnsi="Arial" w:cs="Arial"/>
          <w:lang w:val="en-US"/>
        </w:rPr>
        <w:t xml:space="preserve"> (C) </w:t>
      </w:r>
      <w:r w:rsidR="000B427A" w:rsidRPr="000B427A">
        <w:rPr>
          <w:rFonts w:ascii="Arial" w:hAnsi="Arial" w:cs="Arial"/>
          <w:lang w:val="en-US"/>
        </w:rPr>
        <w:t xml:space="preserve">at 69E-H and </w:t>
      </w:r>
      <w:r w:rsidR="000B427A" w:rsidRPr="000B427A">
        <w:rPr>
          <w:rFonts w:ascii="Arial" w:hAnsi="Arial" w:cs="Arial"/>
          <w:i/>
          <w:lang w:val="en-US"/>
        </w:rPr>
        <w:t xml:space="preserve">M&amp;S Drapers (a firm) v Reynolds [1956] 3 All ER 814 (CA) at 820E; compare, however, the views of Denning LJ at 821A-E).  </w:t>
      </w:r>
      <w:r w:rsidRPr="000B427A">
        <w:rPr>
          <w:rFonts w:ascii="Arial" w:hAnsi="Arial" w:cs="Arial"/>
          <w:lang w:val="en-US"/>
        </w:rPr>
        <w:t xml:space="preserve">Even though the persons to whom an employee sells and whom he canvasses were previously known to him and in this sense “his customers’, he may nevertheless during his employment, and because of it, form an attachment to and acquire an influence over them which he never had before.  Where this occurs, what I call the customer goodwill which is created or enhanced, is at least in part an asset of the employer.  As such it becomes a trade connection of the employer which is capable of protection by means of a restraint of trade clause. </w:t>
      </w:r>
    </w:p>
    <w:p w14:paraId="659DE4AA" w14:textId="77777777" w:rsidR="00F52274" w:rsidRPr="000B427A" w:rsidRDefault="00F52274" w:rsidP="00F52274">
      <w:pPr>
        <w:pStyle w:val="ListParagraph"/>
        <w:spacing w:line="360" w:lineRule="auto"/>
        <w:ind w:left="1134"/>
        <w:jc w:val="both"/>
        <w:rPr>
          <w:rFonts w:ascii="Arial" w:hAnsi="Arial" w:cs="Arial"/>
          <w:lang w:val="en-US"/>
        </w:rPr>
      </w:pPr>
    </w:p>
    <w:p w14:paraId="755A2DE4" w14:textId="77777777" w:rsidR="00C34025" w:rsidRDefault="00C34025" w:rsidP="00F52274">
      <w:pPr>
        <w:pStyle w:val="ListParagraph"/>
        <w:spacing w:line="360" w:lineRule="auto"/>
        <w:ind w:left="1134"/>
        <w:jc w:val="both"/>
        <w:rPr>
          <w:rFonts w:ascii="Arial" w:hAnsi="Arial" w:cs="Arial"/>
          <w:sz w:val="24"/>
          <w:szCs w:val="24"/>
          <w:lang w:val="en-US"/>
        </w:rPr>
      </w:pPr>
      <w:r w:rsidRPr="000B427A">
        <w:rPr>
          <w:rFonts w:ascii="Arial" w:hAnsi="Arial" w:cs="Arial"/>
          <w:lang w:val="en-US"/>
        </w:rPr>
        <w:t>The onus being on Rawlins to prove the unreasonableness of the restraint, it was for him to show that he never acquired any significant personal knowledge of or influence over the persons he dealt with as a salesman of the</w:t>
      </w:r>
      <w:r w:rsidR="00F52274" w:rsidRPr="000B427A">
        <w:rPr>
          <w:rFonts w:ascii="Arial" w:hAnsi="Arial" w:cs="Arial"/>
          <w:lang w:val="en-US"/>
        </w:rPr>
        <w:t xml:space="preserve"> responden</w:t>
      </w:r>
      <w:r w:rsidRPr="000B427A">
        <w:rPr>
          <w:rFonts w:ascii="Arial" w:hAnsi="Arial" w:cs="Arial"/>
          <w:lang w:val="en-US"/>
        </w:rPr>
        <w:t>t over and above that which previously existed.  In my opinion he did not do so.  No allegation that he did not acquire such knowledge or influence is made by Rawlins.  No</w:t>
      </w:r>
      <w:r w:rsidR="00F52274" w:rsidRPr="000B427A">
        <w:rPr>
          <w:rFonts w:ascii="Arial" w:hAnsi="Arial" w:cs="Arial"/>
          <w:lang w:val="en-US"/>
        </w:rPr>
        <w:t>r</w:t>
      </w:r>
      <w:r w:rsidRPr="000B427A">
        <w:rPr>
          <w:rFonts w:ascii="Arial" w:hAnsi="Arial" w:cs="Arial"/>
          <w:lang w:val="en-US"/>
        </w:rPr>
        <w:t xml:space="preserve"> do I think that it can be inferred.  On the contrary, it would appear to be no less probable that Rawlins’ relationship with the customers he dealt with as a salesman of the respondent were such as to make it reasonable for the respondent to protect itself.  Rawlins worked for the respondent for some fifteen months.  During this time, he received tra</w:t>
      </w:r>
      <w:r w:rsidR="00E158BD" w:rsidRPr="000B427A">
        <w:rPr>
          <w:rFonts w:ascii="Arial" w:hAnsi="Arial" w:cs="Arial"/>
          <w:lang w:val="en-US"/>
        </w:rPr>
        <w:t>ining</w:t>
      </w:r>
      <w:r w:rsidRPr="000B427A">
        <w:rPr>
          <w:rFonts w:ascii="Arial" w:hAnsi="Arial" w:cs="Arial"/>
          <w:lang w:val="en-US"/>
        </w:rPr>
        <w:t xml:space="preserve"> in the us</w:t>
      </w:r>
      <w:r w:rsidR="00F52274" w:rsidRPr="000B427A">
        <w:rPr>
          <w:rFonts w:ascii="Arial" w:hAnsi="Arial" w:cs="Arial"/>
          <w:lang w:val="en-US"/>
        </w:rPr>
        <w:t>e and marketing of products s</w:t>
      </w:r>
      <w:r w:rsidRPr="000B427A">
        <w:rPr>
          <w:rFonts w:ascii="Arial" w:hAnsi="Arial" w:cs="Arial"/>
          <w:lang w:val="en-US"/>
        </w:rPr>
        <w:t xml:space="preserve">old by the respondent.  He was obviously a successful salesman.  Taking account of the realities of commerce, it is a fair inference in these circumstances that it was Rawlins’ employment with the respondent that gave him the opportunity to consolidate or even strengthen the prior rapport which he had with his customers.’ </w:t>
      </w:r>
    </w:p>
    <w:p w14:paraId="1F9F7665" w14:textId="77777777" w:rsidR="00C34025" w:rsidRPr="00C34025" w:rsidRDefault="00C34025" w:rsidP="00C34025">
      <w:pPr>
        <w:pStyle w:val="ListParagraph"/>
        <w:rPr>
          <w:rFonts w:ascii="Arial" w:hAnsi="Arial" w:cs="Arial"/>
          <w:sz w:val="24"/>
          <w:szCs w:val="24"/>
          <w:lang w:val="en-US"/>
        </w:rPr>
      </w:pPr>
    </w:p>
    <w:p w14:paraId="438DD031" w14:textId="77777777" w:rsidR="000D2652" w:rsidRDefault="000D2652" w:rsidP="000B427A">
      <w:pPr>
        <w:pStyle w:val="ListParagraph"/>
        <w:spacing w:line="480" w:lineRule="auto"/>
        <w:ind w:left="360"/>
        <w:jc w:val="both"/>
        <w:rPr>
          <w:rFonts w:ascii="Arial" w:hAnsi="Arial" w:cs="Arial"/>
          <w:sz w:val="24"/>
          <w:szCs w:val="24"/>
          <w:lang w:val="en-US"/>
        </w:rPr>
      </w:pPr>
    </w:p>
    <w:p w14:paraId="3278B6ED" w14:textId="15E9F60C" w:rsidR="00015B98"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0B427A" w:rsidRPr="003C1AE7">
        <w:rPr>
          <w:rFonts w:ascii="Arial" w:hAnsi="Arial" w:cs="Arial"/>
          <w:sz w:val="24"/>
          <w:szCs w:val="24"/>
          <w:lang w:val="en-US"/>
        </w:rPr>
        <w:t xml:space="preserve">The first respondent relied upon </w:t>
      </w:r>
      <w:r w:rsidR="00AE0E8F" w:rsidRPr="003C1AE7">
        <w:rPr>
          <w:rFonts w:ascii="Arial" w:hAnsi="Arial" w:cs="Arial"/>
          <w:i/>
          <w:sz w:val="24"/>
          <w:szCs w:val="24"/>
          <w:lang w:val="en-US"/>
        </w:rPr>
        <w:t>Digicore Fleet Management v Steyn</w:t>
      </w:r>
      <w:r w:rsidR="00AE0E8F">
        <w:rPr>
          <w:rStyle w:val="FootnoteReference"/>
          <w:rFonts w:ascii="Arial" w:hAnsi="Arial" w:cs="Arial"/>
          <w:i/>
          <w:sz w:val="24"/>
          <w:szCs w:val="24"/>
          <w:lang w:val="en-US"/>
        </w:rPr>
        <w:footnoteReference w:id="23"/>
      </w:r>
      <w:r w:rsidR="00AE0E8F" w:rsidRPr="003C1AE7">
        <w:rPr>
          <w:rFonts w:ascii="Arial" w:hAnsi="Arial" w:cs="Arial"/>
          <w:sz w:val="24"/>
          <w:szCs w:val="24"/>
          <w:lang w:val="en-US"/>
        </w:rPr>
        <w:t xml:space="preserve"> to avoid the restraint.  In that case, the employee worked for some 8 (eight) months as a ‘sales executive’ for a company that sold vehicle tracking systems to fleet owner, corporate and individual clients.  She had come with useful contacts valuable to </w:t>
      </w:r>
      <w:r w:rsidR="00AE0E8F" w:rsidRPr="003C1AE7">
        <w:rPr>
          <w:rFonts w:ascii="Arial" w:hAnsi="Arial" w:cs="Arial"/>
          <w:sz w:val="24"/>
          <w:szCs w:val="24"/>
          <w:lang w:val="en-US"/>
        </w:rPr>
        <w:lastRenderedPageBreak/>
        <w:t xml:space="preserve">the appellant, both from previously selling tracking systems and from working in the insurance industry.  The evidence in that case showed that she was not trained by Digicore, was given no support save for a computer, phone and brochures describing the products.  She was given no confidential client information save for details of 20 (twenty) clients from a previous sales executive.  </w:t>
      </w:r>
      <w:r w:rsidR="00E12E76" w:rsidRPr="003C1AE7">
        <w:rPr>
          <w:rFonts w:ascii="Arial" w:hAnsi="Arial" w:cs="Arial"/>
          <w:sz w:val="24"/>
          <w:szCs w:val="24"/>
          <w:lang w:val="en-US"/>
        </w:rPr>
        <w:t xml:space="preserve">Moreover, </w:t>
      </w:r>
      <w:r w:rsidR="00AE0E8F" w:rsidRPr="003C1AE7">
        <w:rPr>
          <w:rFonts w:ascii="Arial" w:hAnsi="Arial" w:cs="Arial"/>
          <w:sz w:val="24"/>
          <w:szCs w:val="24"/>
          <w:lang w:val="en-US"/>
        </w:rPr>
        <w:t xml:space="preserve">Digicore </w:t>
      </w:r>
      <w:r w:rsidR="00E12E76" w:rsidRPr="003C1AE7">
        <w:rPr>
          <w:rFonts w:ascii="Arial" w:hAnsi="Arial" w:cs="Arial"/>
          <w:sz w:val="24"/>
          <w:szCs w:val="24"/>
          <w:lang w:val="en-US"/>
        </w:rPr>
        <w:t>had previously concentra</w:t>
      </w:r>
      <w:r w:rsidR="00AE0E8F" w:rsidRPr="003C1AE7">
        <w:rPr>
          <w:rFonts w:ascii="Arial" w:hAnsi="Arial" w:cs="Arial"/>
          <w:sz w:val="24"/>
          <w:szCs w:val="24"/>
          <w:lang w:val="en-US"/>
        </w:rPr>
        <w:t xml:space="preserve">ted on corporate and fleet management clients whereas she concentrated on cultivating her insurance contacts.  In this context, it was held:  </w:t>
      </w:r>
    </w:p>
    <w:p w14:paraId="5C0E74BE" w14:textId="77777777" w:rsidR="000B427A" w:rsidRPr="00015B98" w:rsidRDefault="00AE0E8F" w:rsidP="00015B98">
      <w:pPr>
        <w:pStyle w:val="ListParagraph"/>
        <w:spacing w:line="360" w:lineRule="auto"/>
        <w:jc w:val="both"/>
        <w:rPr>
          <w:rFonts w:ascii="Arial" w:hAnsi="Arial" w:cs="Arial"/>
          <w:lang w:val="en-US"/>
        </w:rPr>
      </w:pPr>
      <w:r w:rsidRPr="00015B98">
        <w:rPr>
          <w:rFonts w:ascii="Arial" w:hAnsi="Arial" w:cs="Arial"/>
          <w:lang w:val="en-US"/>
        </w:rPr>
        <w:t>‘</w:t>
      </w:r>
      <w:r w:rsidR="00BE4A4E" w:rsidRPr="00015B98">
        <w:rPr>
          <w:rFonts w:ascii="Arial" w:hAnsi="Arial" w:cs="Arial"/>
          <w:lang w:val="en-US"/>
        </w:rPr>
        <w:t>When she left Digicore she took with her no more than she had brought to the business in the first place:  experience in the field and contacts with insurance brokers in the Durban area.  It can hardly be said, in the circumstances, that Digicore had any proprietary right that was in jeopardy when she left to work for a competitor’</w:t>
      </w:r>
      <w:r w:rsidR="00015B98">
        <w:rPr>
          <w:rFonts w:ascii="Arial" w:hAnsi="Arial" w:cs="Arial"/>
          <w:lang w:val="en-US"/>
        </w:rPr>
        <w:t>.</w:t>
      </w:r>
      <w:r w:rsidRPr="00015B98">
        <w:rPr>
          <w:rFonts w:ascii="Arial" w:hAnsi="Arial" w:cs="Arial"/>
          <w:lang w:val="en-US"/>
        </w:rPr>
        <w:t xml:space="preserve"> </w:t>
      </w:r>
    </w:p>
    <w:p w14:paraId="31A18447" w14:textId="77777777" w:rsidR="00AE0E8F" w:rsidRDefault="00AE0E8F" w:rsidP="00BE4A4E">
      <w:pPr>
        <w:pStyle w:val="ListParagraph"/>
        <w:spacing w:line="480" w:lineRule="auto"/>
        <w:ind w:left="360"/>
        <w:jc w:val="both"/>
        <w:rPr>
          <w:rFonts w:ascii="Arial" w:hAnsi="Arial" w:cs="Arial"/>
          <w:sz w:val="24"/>
          <w:szCs w:val="24"/>
          <w:lang w:val="en-US"/>
        </w:rPr>
      </w:pPr>
    </w:p>
    <w:p w14:paraId="1C5C56CF" w14:textId="54B7656E" w:rsidR="00E158BD"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BE4A4E" w:rsidRPr="003C1AE7">
        <w:rPr>
          <w:rFonts w:ascii="Arial" w:hAnsi="Arial" w:cs="Arial"/>
          <w:sz w:val="24"/>
          <w:szCs w:val="24"/>
          <w:lang w:val="en-US"/>
        </w:rPr>
        <w:t xml:space="preserve">It would have been an easy matter for the first respondent to provide more information regarding her alleged historical contacts </w:t>
      </w:r>
      <w:r w:rsidR="00015B98" w:rsidRPr="003C1AE7">
        <w:rPr>
          <w:rFonts w:ascii="Arial" w:hAnsi="Arial" w:cs="Arial"/>
          <w:sz w:val="24"/>
          <w:szCs w:val="24"/>
          <w:lang w:val="en-US"/>
        </w:rPr>
        <w:t xml:space="preserve">and her work at BetterBond, </w:t>
      </w:r>
      <w:r w:rsidR="00BE4A4E" w:rsidRPr="003C1AE7">
        <w:rPr>
          <w:rFonts w:ascii="Arial" w:hAnsi="Arial" w:cs="Arial"/>
          <w:sz w:val="24"/>
          <w:szCs w:val="24"/>
          <w:lang w:val="en-US"/>
        </w:rPr>
        <w:t xml:space="preserve">if </w:t>
      </w:r>
      <w:r w:rsidR="00E12E76" w:rsidRPr="003C1AE7">
        <w:rPr>
          <w:rFonts w:ascii="Arial" w:hAnsi="Arial" w:cs="Arial"/>
          <w:sz w:val="24"/>
          <w:szCs w:val="24"/>
          <w:lang w:val="en-US"/>
        </w:rPr>
        <w:t>it existed, so as to bring</w:t>
      </w:r>
      <w:r w:rsidR="00015B98" w:rsidRPr="003C1AE7">
        <w:rPr>
          <w:rFonts w:ascii="Arial" w:hAnsi="Arial" w:cs="Arial"/>
          <w:sz w:val="24"/>
          <w:szCs w:val="24"/>
          <w:lang w:val="en-US"/>
        </w:rPr>
        <w:t xml:space="preserve"> herself </w:t>
      </w:r>
      <w:r w:rsidR="00BE4A4E" w:rsidRPr="003C1AE7">
        <w:rPr>
          <w:rFonts w:ascii="Arial" w:hAnsi="Arial" w:cs="Arial"/>
          <w:sz w:val="24"/>
          <w:szCs w:val="24"/>
          <w:lang w:val="en-US"/>
        </w:rPr>
        <w:t xml:space="preserve">into the </w:t>
      </w:r>
      <w:r w:rsidR="00BE4A4E" w:rsidRPr="003C1AE7">
        <w:rPr>
          <w:rFonts w:ascii="Arial" w:hAnsi="Arial" w:cs="Arial"/>
          <w:i/>
          <w:sz w:val="24"/>
          <w:szCs w:val="24"/>
          <w:lang w:val="en-US"/>
        </w:rPr>
        <w:t xml:space="preserve">ratio </w:t>
      </w:r>
      <w:r w:rsidR="00BE4A4E" w:rsidRPr="003C1AE7">
        <w:rPr>
          <w:rFonts w:ascii="Arial" w:hAnsi="Arial" w:cs="Arial"/>
          <w:sz w:val="24"/>
          <w:szCs w:val="24"/>
          <w:lang w:val="en-US"/>
        </w:rPr>
        <w:t xml:space="preserve">of </w:t>
      </w:r>
      <w:r w:rsidR="00BE4A4E" w:rsidRPr="003C1AE7">
        <w:rPr>
          <w:rFonts w:ascii="Arial" w:hAnsi="Arial" w:cs="Arial"/>
          <w:i/>
          <w:sz w:val="24"/>
          <w:szCs w:val="24"/>
          <w:lang w:val="en-US"/>
        </w:rPr>
        <w:t xml:space="preserve">Digicor.  </w:t>
      </w:r>
      <w:r w:rsidR="00E158BD" w:rsidRPr="003C1AE7">
        <w:rPr>
          <w:rFonts w:ascii="Arial" w:hAnsi="Arial" w:cs="Arial"/>
          <w:sz w:val="24"/>
          <w:szCs w:val="24"/>
          <w:lang w:val="en-US"/>
        </w:rPr>
        <w:t>In my view,</w:t>
      </w:r>
      <w:r w:rsidR="00BE4A4E" w:rsidRPr="003C1AE7">
        <w:rPr>
          <w:rFonts w:ascii="Arial" w:hAnsi="Arial" w:cs="Arial"/>
          <w:sz w:val="24"/>
          <w:szCs w:val="24"/>
          <w:lang w:val="en-US"/>
        </w:rPr>
        <w:t xml:space="preserve"> the evidence and circumstances in this case is more aligned with </w:t>
      </w:r>
      <w:r w:rsidR="00BE4A4E" w:rsidRPr="003C1AE7">
        <w:rPr>
          <w:rFonts w:ascii="Arial" w:hAnsi="Arial" w:cs="Arial"/>
          <w:i/>
          <w:sz w:val="24"/>
          <w:szCs w:val="24"/>
          <w:lang w:val="en-US"/>
        </w:rPr>
        <w:t xml:space="preserve">Rawlins.  </w:t>
      </w:r>
      <w:r w:rsidR="00BE4A4E" w:rsidRPr="003C1AE7">
        <w:rPr>
          <w:rFonts w:ascii="Arial" w:hAnsi="Arial" w:cs="Arial"/>
          <w:sz w:val="24"/>
          <w:szCs w:val="24"/>
          <w:lang w:val="en-US"/>
        </w:rPr>
        <w:t>In other words,</w:t>
      </w:r>
      <w:r w:rsidR="000D2652" w:rsidRPr="003C1AE7">
        <w:rPr>
          <w:rFonts w:ascii="Arial" w:hAnsi="Arial" w:cs="Arial"/>
          <w:i/>
          <w:sz w:val="24"/>
          <w:szCs w:val="24"/>
          <w:lang w:val="en-US"/>
        </w:rPr>
        <w:t xml:space="preserve"> </w:t>
      </w:r>
      <w:r w:rsidR="00E158BD" w:rsidRPr="003C1AE7">
        <w:rPr>
          <w:rFonts w:ascii="Arial" w:hAnsi="Arial" w:cs="Arial"/>
          <w:sz w:val="24"/>
          <w:szCs w:val="24"/>
          <w:lang w:val="en-US"/>
        </w:rPr>
        <w:t>the first respondent has not gone far enough to counter a common sense inference</w:t>
      </w:r>
      <w:r w:rsidR="00E12E76" w:rsidRPr="003C1AE7">
        <w:rPr>
          <w:rFonts w:ascii="Arial" w:hAnsi="Arial" w:cs="Arial"/>
          <w:sz w:val="24"/>
          <w:szCs w:val="24"/>
          <w:lang w:val="en-US"/>
        </w:rPr>
        <w:t xml:space="preserve"> on the evidence</w:t>
      </w:r>
      <w:r w:rsidR="00E158BD" w:rsidRPr="003C1AE7">
        <w:rPr>
          <w:rFonts w:ascii="Arial" w:hAnsi="Arial" w:cs="Arial"/>
          <w:sz w:val="24"/>
          <w:szCs w:val="24"/>
          <w:lang w:val="en-US"/>
        </w:rPr>
        <w:t xml:space="preserve"> that any historical trade connections she had were probably consolidated and strengthened as a result of her employment with Betterbond, a leading player in the industry.  Moreover, she has failed,</w:t>
      </w:r>
      <w:r w:rsidR="00E12E76" w:rsidRPr="003C1AE7">
        <w:rPr>
          <w:rFonts w:ascii="Arial" w:hAnsi="Arial" w:cs="Arial"/>
          <w:sz w:val="24"/>
          <w:szCs w:val="24"/>
          <w:lang w:val="en-US"/>
        </w:rPr>
        <w:t xml:space="preserve"> save in one instance, to prove adequately </w:t>
      </w:r>
      <w:r w:rsidR="00E158BD" w:rsidRPr="003C1AE7">
        <w:rPr>
          <w:rFonts w:ascii="Arial" w:hAnsi="Arial" w:cs="Arial"/>
          <w:sz w:val="24"/>
          <w:szCs w:val="24"/>
          <w:lang w:val="en-US"/>
        </w:rPr>
        <w:t xml:space="preserve">that she did bring in clients based on her prior relationships.  It does appear that she brought in three </w:t>
      </w:r>
      <w:r w:rsidR="00484226" w:rsidRPr="003C1AE7">
        <w:rPr>
          <w:rFonts w:ascii="Arial" w:hAnsi="Arial" w:cs="Arial"/>
          <w:sz w:val="24"/>
          <w:szCs w:val="24"/>
          <w:lang w:val="en-US"/>
        </w:rPr>
        <w:t>imminent deals</w:t>
      </w:r>
      <w:r w:rsidR="00E158BD" w:rsidRPr="003C1AE7">
        <w:rPr>
          <w:rFonts w:ascii="Arial" w:hAnsi="Arial" w:cs="Arial"/>
          <w:sz w:val="24"/>
          <w:szCs w:val="24"/>
          <w:lang w:val="en-US"/>
        </w:rPr>
        <w:t xml:space="preserve"> </w:t>
      </w:r>
      <w:r w:rsidR="00484226" w:rsidRPr="003C1AE7">
        <w:rPr>
          <w:rFonts w:ascii="Arial" w:hAnsi="Arial" w:cs="Arial"/>
          <w:sz w:val="24"/>
          <w:szCs w:val="24"/>
          <w:lang w:val="en-US"/>
        </w:rPr>
        <w:t xml:space="preserve">when she joined </w:t>
      </w:r>
      <w:r w:rsidR="00E158BD" w:rsidRPr="003C1AE7">
        <w:rPr>
          <w:rFonts w:ascii="Arial" w:hAnsi="Arial" w:cs="Arial"/>
          <w:sz w:val="24"/>
          <w:szCs w:val="24"/>
          <w:lang w:val="en-US"/>
        </w:rPr>
        <w:t>B</w:t>
      </w:r>
      <w:r w:rsidR="00BE4A4E" w:rsidRPr="003C1AE7">
        <w:rPr>
          <w:rFonts w:ascii="Arial" w:hAnsi="Arial" w:cs="Arial"/>
          <w:sz w:val="24"/>
          <w:szCs w:val="24"/>
          <w:lang w:val="en-US"/>
        </w:rPr>
        <w:t>etterBond, but beyond that the evidence merely suggests that she may have had historical contacts from working in the industry.   Moreover, she worked at BetterBond for some 18 (eighteen months) and the restraint clause is designed specifically to target contacts for a confined period, both backwards and forwards in time</w:t>
      </w:r>
      <w:r w:rsidR="00E12E76" w:rsidRPr="003C1AE7">
        <w:rPr>
          <w:rFonts w:ascii="Arial" w:hAnsi="Arial" w:cs="Arial"/>
          <w:sz w:val="24"/>
          <w:szCs w:val="24"/>
          <w:lang w:val="en-US"/>
        </w:rPr>
        <w:t>, thereby targeting current business</w:t>
      </w:r>
      <w:r w:rsidR="00BE4A4E" w:rsidRPr="003C1AE7">
        <w:rPr>
          <w:rFonts w:ascii="Arial" w:hAnsi="Arial" w:cs="Arial"/>
          <w:sz w:val="24"/>
          <w:szCs w:val="24"/>
          <w:lang w:val="en-US"/>
        </w:rPr>
        <w:t xml:space="preserve">. </w:t>
      </w:r>
    </w:p>
    <w:p w14:paraId="1D7B13D3" w14:textId="77777777" w:rsidR="00E158BD" w:rsidRPr="00E158BD" w:rsidRDefault="00E158BD" w:rsidP="00E158BD">
      <w:pPr>
        <w:pStyle w:val="ListParagraph"/>
        <w:spacing w:line="480" w:lineRule="auto"/>
        <w:ind w:left="360"/>
        <w:jc w:val="both"/>
        <w:rPr>
          <w:rFonts w:ascii="Arial" w:hAnsi="Arial" w:cs="Arial"/>
          <w:sz w:val="24"/>
          <w:szCs w:val="24"/>
          <w:lang w:val="en-US"/>
        </w:rPr>
      </w:pPr>
    </w:p>
    <w:p w14:paraId="15B44A37" w14:textId="79808350" w:rsidR="00484226"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B7395E" w:rsidRPr="003C1AE7">
        <w:rPr>
          <w:rFonts w:ascii="Arial" w:hAnsi="Arial" w:cs="Arial"/>
          <w:sz w:val="24"/>
          <w:szCs w:val="24"/>
          <w:lang w:val="en-US"/>
        </w:rPr>
        <w:t>If th</w:t>
      </w:r>
      <w:r w:rsidR="00484226" w:rsidRPr="003C1AE7">
        <w:rPr>
          <w:rFonts w:ascii="Arial" w:hAnsi="Arial" w:cs="Arial"/>
          <w:sz w:val="24"/>
          <w:szCs w:val="24"/>
          <w:lang w:val="en-US"/>
        </w:rPr>
        <w:t>e res</w:t>
      </w:r>
      <w:r w:rsidR="00015B98" w:rsidRPr="003C1AE7">
        <w:rPr>
          <w:rFonts w:ascii="Arial" w:hAnsi="Arial" w:cs="Arial"/>
          <w:sz w:val="24"/>
          <w:szCs w:val="24"/>
          <w:lang w:val="en-US"/>
        </w:rPr>
        <w:t>traint is limited in time</w:t>
      </w:r>
      <w:r w:rsidR="00484226" w:rsidRPr="003C1AE7">
        <w:rPr>
          <w:rFonts w:ascii="Arial" w:hAnsi="Arial" w:cs="Arial"/>
          <w:sz w:val="24"/>
          <w:szCs w:val="24"/>
          <w:lang w:val="en-US"/>
        </w:rPr>
        <w:t xml:space="preserve">, </w:t>
      </w:r>
      <w:r w:rsidR="00B7395E" w:rsidRPr="003C1AE7">
        <w:rPr>
          <w:rFonts w:ascii="Arial" w:hAnsi="Arial" w:cs="Arial"/>
          <w:sz w:val="24"/>
          <w:szCs w:val="24"/>
          <w:lang w:val="en-US"/>
        </w:rPr>
        <w:t xml:space="preserve">I am satisfied that the parties’ respective interests are duly </w:t>
      </w:r>
      <w:r w:rsidR="00484226" w:rsidRPr="003C1AE7">
        <w:rPr>
          <w:rFonts w:ascii="Arial" w:hAnsi="Arial" w:cs="Arial"/>
          <w:sz w:val="24"/>
          <w:szCs w:val="24"/>
          <w:lang w:val="en-US"/>
        </w:rPr>
        <w:t>balanced in accordance with the Constitution.</w:t>
      </w:r>
      <w:r w:rsidR="00B7395E" w:rsidRPr="003C1AE7">
        <w:rPr>
          <w:rFonts w:ascii="Arial" w:hAnsi="Arial" w:cs="Arial"/>
          <w:sz w:val="24"/>
          <w:szCs w:val="24"/>
          <w:lang w:val="en-US"/>
        </w:rPr>
        <w:t xml:space="preserve">  </w:t>
      </w:r>
      <w:r w:rsidR="00484226" w:rsidRPr="003C1AE7">
        <w:rPr>
          <w:rFonts w:ascii="Arial" w:hAnsi="Arial" w:cs="Arial"/>
          <w:sz w:val="24"/>
          <w:szCs w:val="24"/>
          <w:lang w:val="en-US"/>
        </w:rPr>
        <w:t xml:space="preserve">The applicant’s interests are protected.  </w:t>
      </w:r>
      <w:r w:rsidR="00B7395E" w:rsidRPr="003C1AE7">
        <w:rPr>
          <w:rFonts w:ascii="Arial" w:hAnsi="Arial" w:cs="Arial"/>
          <w:sz w:val="24"/>
          <w:szCs w:val="24"/>
          <w:lang w:val="en-US"/>
        </w:rPr>
        <w:t xml:space="preserve">The first respondent is only precluded from working </w:t>
      </w:r>
      <w:r w:rsidR="00613697" w:rsidRPr="003C1AE7">
        <w:rPr>
          <w:rFonts w:ascii="Arial" w:hAnsi="Arial" w:cs="Arial"/>
          <w:sz w:val="24"/>
          <w:szCs w:val="24"/>
          <w:lang w:val="en-US"/>
        </w:rPr>
        <w:t>with the second respondent</w:t>
      </w:r>
      <w:r w:rsidR="00484226" w:rsidRPr="003C1AE7">
        <w:rPr>
          <w:rFonts w:ascii="Arial" w:hAnsi="Arial" w:cs="Arial"/>
          <w:sz w:val="24"/>
          <w:szCs w:val="24"/>
          <w:lang w:val="en-US"/>
        </w:rPr>
        <w:t>, or another competitor,</w:t>
      </w:r>
      <w:r w:rsidR="00613697" w:rsidRPr="003C1AE7">
        <w:rPr>
          <w:rFonts w:ascii="Arial" w:hAnsi="Arial" w:cs="Arial"/>
          <w:sz w:val="24"/>
          <w:szCs w:val="24"/>
          <w:lang w:val="en-US"/>
        </w:rPr>
        <w:t xml:space="preserve"> </w:t>
      </w:r>
      <w:r w:rsidR="00B7395E" w:rsidRPr="003C1AE7">
        <w:rPr>
          <w:rFonts w:ascii="Arial" w:hAnsi="Arial" w:cs="Arial"/>
          <w:sz w:val="24"/>
          <w:szCs w:val="24"/>
          <w:lang w:val="en-US"/>
        </w:rPr>
        <w:t xml:space="preserve">in Gauteng for this </w:t>
      </w:r>
      <w:r w:rsidR="00015B98" w:rsidRPr="003C1AE7">
        <w:rPr>
          <w:rFonts w:ascii="Arial" w:hAnsi="Arial" w:cs="Arial"/>
          <w:sz w:val="24"/>
          <w:szCs w:val="24"/>
          <w:lang w:val="en-US"/>
        </w:rPr>
        <w:t>three-month</w:t>
      </w:r>
      <w:r w:rsidR="00B7395E" w:rsidRPr="003C1AE7">
        <w:rPr>
          <w:rFonts w:ascii="Arial" w:hAnsi="Arial" w:cs="Arial"/>
          <w:sz w:val="24"/>
          <w:szCs w:val="24"/>
          <w:lang w:val="en-US"/>
        </w:rPr>
        <w:t xml:space="preserve"> period and is not disabled from working </w:t>
      </w:r>
      <w:r w:rsidR="00B7395E" w:rsidRPr="003C1AE7">
        <w:rPr>
          <w:rFonts w:ascii="Arial" w:hAnsi="Arial" w:cs="Arial"/>
          <w:i/>
          <w:sz w:val="24"/>
          <w:szCs w:val="24"/>
          <w:lang w:val="en-US"/>
        </w:rPr>
        <w:t>per se</w:t>
      </w:r>
      <w:r w:rsidR="004728ED" w:rsidRPr="003C1AE7">
        <w:rPr>
          <w:rFonts w:ascii="Arial" w:hAnsi="Arial" w:cs="Arial"/>
          <w:i/>
          <w:sz w:val="24"/>
          <w:szCs w:val="24"/>
          <w:lang w:val="en-US"/>
        </w:rPr>
        <w:t xml:space="preserve"> </w:t>
      </w:r>
      <w:r w:rsidR="00484226" w:rsidRPr="003C1AE7">
        <w:rPr>
          <w:rFonts w:ascii="Arial" w:hAnsi="Arial" w:cs="Arial"/>
          <w:sz w:val="24"/>
          <w:szCs w:val="24"/>
          <w:lang w:val="en-US"/>
        </w:rPr>
        <w:t xml:space="preserve">even during this brief period.  She can, thereafter, pursue the work of her choosing wherever she may choose. </w:t>
      </w:r>
    </w:p>
    <w:p w14:paraId="408FDB2D" w14:textId="77777777" w:rsidR="00470C65" w:rsidRPr="00470C65" w:rsidRDefault="00470C65" w:rsidP="00470C65">
      <w:pPr>
        <w:pStyle w:val="ListParagraph"/>
        <w:rPr>
          <w:rFonts w:ascii="Arial" w:hAnsi="Arial" w:cs="Arial"/>
          <w:sz w:val="24"/>
          <w:szCs w:val="24"/>
          <w:lang w:val="en-US"/>
        </w:rPr>
      </w:pPr>
    </w:p>
    <w:p w14:paraId="69D813DA" w14:textId="2D4F3D8B" w:rsidR="00470C65"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470C65" w:rsidRPr="003C1AE7">
        <w:rPr>
          <w:rFonts w:ascii="Arial" w:hAnsi="Arial" w:cs="Arial"/>
          <w:sz w:val="24"/>
          <w:szCs w:val="24"/>
          <w:lang w:val="en-US"/>
        </w:rPr>
        <w:t xml:space="preserve">I am satisfied that the requirements for an interdict are met, in context of a restraint of trade dispute.  A party cannot be expected to forego its entitlement to claim specific performance of a restraint clause merely because it might have a claim for damages in due course.  Damages for a claim in this case would, moreover, be difficult to prove.  The harm flows from the nature of the right protected.  </w:t>
      </w:r>
    </w:p>
    <w:p w14:paraId="217E8F7A" w14:textId="77777777" w:rsidR="00484226" w:rsidRPr="00484226" w:rsidRDefault="00484226" w:rsidP="00484226">
      <w:pPr>
        <w:pStyle w:val="ListParagraph"/>
        <w:rPr>
          <w:rFonts w:ascii="Arial" w:hAnsi="Arial" w:cs="Arial"/>
          <w:sz w:val="24"/>
          <w:szCs w:val="24"/>
          <w:lang w:val="en-US"/>
        </w:rPr>
      </w:pPr>
    </w:p>
    <w:p w14:paraId="0F5309C6" w14:textId="466F0B89" w:rsidR="00E12E76"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484226" w:rsidRPr="003C1AE7">
        <w:rPr>
          <w:rFonts w:ascii="Arial" w:hAnsi="Arial" w:cs="Arial"/>
          <w:sz w:val="24"/>
          <w:szCs w:val="24"/>
          <w:lang w:val="en-US"/>
        </w:rPr>
        <w:t xml:space="preserve">There is a further matter which concerns a prayer sought to restrain the first respondent’s ongoing distribution of </w:t>
      </w:r>
      <w:r w:rsidR="009338E0" w:rsidRPr="003C1AE7">
        <w:rPr>
          <w:rFonts w:ascii="Arial" w:hAnsi="Arial" w:cs="Arial"/>
          <w:sz w:val="24"/>
          <w:szCs w:val="24"/>
          <w:lang w:val="en-US"/>
        </w:rPr>
        <w:t>‘</w:t>
      </w:r>
      <w:r w:rsidR="00484226" w:rsidRPr="003C1AE7">
        <w:rPr>
          <w:rFonts w:ascii="Arial" w:hAnsi="Arial" w:cs="Arial"/>
          <w:sz w:val="24"/>
          <w:szCs w:val="24"/>
          <w:lang w:val="en-US"/>
        </w:rPr>
        <w:t>confidential</w:t>
      </w:r>
      <w:r w:rsidR="009338E0" w:rsidRPr="003C1AE7">
        <w:rPr>
          <w:rFonts w:ascii="Arial" w:hAnsi="Arial" w:cs="Arial"/>
          <w:sz w:val="24"/>
          <w:szCs w:val="24"/>
          <w:lang w:val="en-US"/>
        </w:rPr>
        <w:t>’</w:t>
      </w:r>
      <w:r w:rsidR="00484226" w:rsidRPr="003C1AE7">
        <w:rPr>
          <w:rFonts w:ascii="Arial" w:hAnsi="Arial" w:cs="Arial"/>
          <w:sz w:val="24"/>
          <w:szCs w:val="24"/>
          <w:lang w:val="en-US"/>
        </w:rPr>
        <w:t xml:space="preserve"> information.  What has been shown to have happened is the distribution of inf</w:t>
      </w:r>
      <w:r w:rsidR="00674A5C" w:rsidRPr="003C1AE7">
        <w:rPr>
          <w:rFonts w:ascii="Arial" w:hAnsi="Arial" w:cs="Arial"/>
          <w:sz w:val="24"/>
          <w:szCs w:val="24"/>
          <w:lang w:val="en-US"/>
        </w:rPr>
        <w:t xml:space="preserve">ormation germane to restrained activities, indeed entailing the appropriation of specific clients and business opportunities.  </w:t>
      </w:r>
      <w:r w:rsidR="009338E0" w:rsidRPr="003C1AE7">
        <w:rPr>
          <w:rFonts w:ascii="Arial" w:hAnsi="Arial" w:cs="Arial"/>
          <w:sz w:val="24"/>
          <w:szCs w:val="24"/>
          <w:lang w:val="en-US"/>
        </w:rPr>
        <w:t>T</w:t>
      </w:r>
      <w:r w:rsidR="00484226" w:rsidRPr="003C1AE7">
        <w:rPr>
          <w:rFonts w:ascii="Arial" w:hAnsi="Arial" w:cs="Arial"/>
          <w:sz w:val="24"/>
          <w:szCs w:val="24"/>
          <w:lang w:val="en-US"/>
        </w:rPr>
        <w:t xml:space="preserve">he first respondent </w:t>
      </w:r>
      <w:r w:rsidR="009338E0" w:rsidRPr="003C1AE7">
        <w:rPr>
          <w:rFonts w:ascii="Arial" w:hAnsi="Arial" w:cs="Arial"/>
          <w:sz w:val="24"/>
          <w:szCs w:val="24"/>
          <w:lang w:val="en-US"/>
        </w:rPr>
        <w:t>submits that it has not been shown that th</w:t>
      </w:r>
      <w:r w:rsidR="00674A5C" w:rsidRPr="003C1AE7">
        <w:rPr>
          <w:rFonts w:ascii="Arial" w:hAnsi="Arial" w:cs="Arial"/>
          <w:sz w:val="24"/>
          <w:szCs w:val="24"/>
          <w:lang w:val="en-US"/>
        </w:rPr>
        <w:t xml:space="preserve">e information </w:t>
      </w:r>
      <w:r w:rsidR="009338E0" w:rsidRPr="003C1AE7">
        <w:rPr>
          <w:rFonts w:ascii="Arial" w:hAnsi="Arial" w:cs="Arial"/>
          <w:sz w:val="24"/>
          <w:szCs w:val="24"/>
          <w:lang w:val="en-US"/>
        </w:rPr>
        <w:t>is confidential</w:t>
      </w:r>
      <w:r w:rsidR="000D2652" w:rsidRPr="003C1AE7">
        <w:rPr>
          <w:rFonts w:ascii="Arial" w:hAnsi="Arial" w:cs="Arial"/>
          <w:sz w:val="24"/>
          <w:szCs w:val="24"/>
          <w:lang w:val="en-US"/>
        </w:rPr>
        <w:t>.</w:t>
      </w:r>
      <w:r w:rsidR="000D2652">
        <w:rPr>
          <w:rStyle w:val="FootnoteReference"/>
          <w:rFonts w:ascii="Arial" w:hAnsi="Arial" w:cs="Arial"/>
          <w:sz w:val="24"/>
          <w:szCs w:val="24"/>
          <w:lang w:val="en-US"/>
        </w:rPr>
        <w:footnoteReference w:id="24"/>
      </w:r>
      <w:r w:rsidR="000D2652" w:rsidRPr="003C1AE7">
        <w:rPr>
          <w:rFonts w:ascii="Arial" w:hAnsi="Arial" w:cs="Arial"/>
          <w:sz w:val="24"/>
          <w:szCs w:val="24"/>
          <w:lang w:val="en-US"/>
        </w:rPr>
        <w:t xml:space="preserve">  However, it is </w:t>
      </w:r>
      <w:r w:rsidR="009338E0" w:rsidRPr="003C1AE7">
        <w:rPr>
          <w:rFonts w:ascii="Arial" w:hAnsi="Arial" w:cs="Arial"/>
          <w:sz w:val="24"/>
          <w:szCs w:val="24"/>
          <w:lang w:val="en-US"/>
        </w:rPr>
        <w:t xml:space="preserve">not necessary to deal with </w:t>
      </w:r>
      <w:r w:rsidR="00674A5C" w:rsidRPr="003C1AE7">
        <w:rPr>
          <w:rFonts w:ascii="Arial" w:hAnsi="Arial" w:cs="Arial"/>
          <w:sz w:val="24"/>
          <w:szCs w:val="24"/>
          <w:lang w:val="en-US"/>
        </w:rPr>
        <w:t>that characterisation</w:t>
      </w:r>
      <w:r w:rsidR="000D2652" w:rsidRPr="003C1AE7">
        <w:rPr>
          <w:rFonts w:ascii="Arial" w:hAnsi="Arial" w:cs="Arial"/>
          <w:sz w:val="24"/>
          <w:szCs w:val="24"/>
          <w:lang w:val="en-US"/>
        </w:rPr>
        <w:t xml:space="preserve"> as an alternative narrower remedy suffices. T</w:t>
      </w:r>
      <w:r w:rsidR="009338E0" w:rsidRPr="003C1AE7">
        <w:rPr>
          <w:rFonts w:ascii="Arial" w:hAnsi="Arial" w:cs="Arial"/>
          <w:sz w:val="24"/>
          <w:szCs w:val="24"/>
          <w:lang w:val="en-US"/>
        </w:rPr>
        <w:t xml:space="preserve">he </w:t>
      </w:r>
      <w:r w:rsidR="00484226" w:rsidRPr="003C1AE7">
        <w:rPr>
          <w:rFonts w:ascii="Arial" w:hAnsi="Arial" w:cs="Arial"/>
          <w:sz w:val="24"/>
          <w:szCs w:val="24"/>
          <w:lang w:val="en-US"/>
        </w:rPr>
        <w:t xml:space="preserve">order that I make is to restrain the </w:t>
      </w:r>
      <w:r w:rsidR="009338E0" w:rsidRPr="003C1AE7">
        <w:rPr>
          <w:rFonts w:ascii="Arial" w:hAnsi="Arial" w:cs="Arial"/>
          <w:sz w:val="24"/>
          <w:szCs w:val="24"/>
          <w:lang w:val="en-US"/>
        </w:rPr>
        <w:t xml:space="preserve">ongoing </w:t>
      </w:r>
      <w:r w:rsidR="00484226" w:rsidRPr="003C1AE7">
        <w:rPr>
          <w:rFonts w:ascii="Arial" w:hAnsi="Arial" w:cs="Arial"/>
          <w:sz w:val="24"/>
          <w:szCs w:val="24"/>
          <w:lang w:val="en-US"/>
        </w:rPr>
        <w:t>distribution of material that furthers the</w:t>
      </w:r>
      <w:r w:rsidR="009338E0" w:rsidRPr="003C1AE7">
        <w:rPr>
          <w:rFonts w:ascii="Arial" w:hAnsi="Arial" w:cs="Arial"/>
          <w:sz w:val="24"/>
          <w:szCs w:val="24"/>
          <w:lang w:val="en-US"/>
        </w:rPr>
        <w:t xml:space="preserve"> pursuit of any</w:t>
      </w:r>
      <w:r w:rsidR="00484226" w:rsidRPr="003C1AE7">
        <w:rPr>
          <w:rFonts w:ascii="Arial" w:hAnsi="Arial" w:cs="Arial"/>
          <w:sz w:val="24"/>
          <w:szCs w:val="24"/>
          <w:lang w:val="en-US"/>
        </w:rPr>
        <w:t xml:space="preserve"> </w:t>
      </w:r>
      <w:r w:rsidR="00674A5C" w:rsidRPr="003C1AE7">
        <w:rPr>
          <w:rFonts w:ascii="Arial" w:hAnsi="Arial" w:cs="Arial"/>
          <w:sz w:val="24"/>
          <w:szCs w:val="24"/>
          <w:lang w:val="en-US"/>
        </w:rPr>
        <w:t>restrained activity</w:t>
      </w:r>
      <w:r w:rsidR="00E12E76" w:rsidRPr="003C1AE7">
        <w:rPr>
          <w:rFonts w:ascii="Arial" w:hAnsi="Arial" w:cs="Arial"/>
          <w:sz w:val="24"/>
          <w:szCs w:val="24"/>
          <w:lang w:val="en-US"/>
        </w:rPr>
        <w:t xml:space="preserve"> or concerns business dealings of the applicant.</w:t>
      </w:r>
      <w:r w:rsidR="00484226" w:rsidRPr="003C1AE7">
        <w:rPr>
          <w:rFonts w:ascii="Arial" w:hAnsi="Arial" w:cs="Arial"/>
          <w:sz w:val="24"/>
          <w:szCs w:val="24"/>
          <w:lang w:val="en-US"/>
        </w:rPr>
        <w:t xml:space="preserve"> </w:t>
      </w:r>
    </w:p>
    <w:p w14:paraId="7FAAAB38" w14:textId="77777777" w:rsidR="00E12E76" w:rsidRPr="00E12E76" w:rsidRDefault="00E12E76" w:rsidP="00E12E76">
      <w:pPr>
        <w:pStyle w:val="ListParagraph"/>
        <w:rPr>
          <w:rFonts w:ascii="Arial" w:hAnsi="Arial" w:cs="Arial"/>
          <w:sz w:val="24"/>
          <w:szCs w:val="24"/>
          <w:lang w:val="en-US"/>
        </w:rPr>
      </w:pPr>
    </w:p>
    <w:p w14:paraId="51778FAF" w14:textId="4B407C2E" w:rsidR="009338E0"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E12E76" w:rsidRPr="003C1AE7">
        <w:rPr>
          <w:rFonts w:ascii="Arial" w:hAnsi="Arial" w:cs="Arial"/>
          <w:sz w:val="24"/>
          <w:szCs w:val="24"/>
          <w:lang w:val="en-US"/>
        </w:rPr>
        <w:t xml:space="preserve">As to costs, they should follow the result. </w:t>
      </w:r>
      <w:r w:rsidR="00484226" w:rsidRPr="003C1AE7">
        <w:rPr>
          <w:rFonts w:ascii="Arial" w:hAnsi="Arial" w:cs="Arial"/>
          <w:sz w:val="24"/>
          <w:szCs w:val="24"/>
          <w:lang w:val="en-US"/>
        </w:rPr>
        <w:t xml:space="preserve"> </w:t>
      </w:r>
    </w:p>
    <w:p w14:paraId="72D00EA7" w14:textId="77777777" w:rsidR="009338E0" w:rsidRPr="009338E0" w:rsidRDefault="009338E0" w:rsidP="009338E0">
      <w:pPr>
        <w:pStyle w:val="ListParagraph"/>
        <w:rPr>
          <w:rFonts w:ascii="Arial" w:hAnsi="Arial" w:cs="Arial"/>
          <w:sz w:val="24"/>
          <w:szCs w:val="24"/>
          <w:lang w:val="en-US"/>
        </w:rPr>
      </w:pPr>
    </w:p>
    <w:p w14:paraId="32CF13F4" w14:textId="6469F2F3" w:rsidR="009338E0" w:rsidRPr="003C1AE7" w:rsidRDefault="003C1AE7" w:rsidP="003C1AE7">
      <w:pPr>
        <w:spacing w:line="480" w:lineRule="auto"/>
        <w:ind w:left="360" w:hanging="360"/>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9338E0" w:rsidRPr="003C1AE7">
        <w:rPr>
          <w:rFonts w:ascii="Arial" w:hAnsi="Arial" w:cs="Arial"/>
          <w:sz w:val="24"/>
          <w:szCs w:val="24"/>
          <w:lang w:val="en-US"/>
        </w:rPr>
        <w:t xml:space="preserve">I make the following order: </w:t>
      </w:r>
    </w:p>
    <w:p w14:paraId="4D3D5813" w14:textId="77777777" w:rsidR="009338E0" w:rsidRPr="009338E0" w:rsidRDefault="009338E0" w:rsidP="009338E0">
      <w:pPr>
        <w:pStyle w:val="ListParagraph"/>
        <w:rPr>
          <w:rFonts w:ascii="Arial" w:hAnsi="Arial" w:cs="Arial"/>
          <w:sz w:val="24"/>
          <w:szCs w:val="24"/>
          <w:lang w:val="en-US"/>
        </w:rPr>
      </w:pPr>
    </w:p>
    <w:p w14:paraId="4568A1FA" w14:textId="052753FA" w:rsidR="009338E0" w:rsidRPr="003C1AE7" w:rsidRDefault="003C1AE7" w:rsidP="003C1AE7">
      <w:pPr>
        <w:spacing w:line="480" w:lineRule="auto"/>
        <w:ind w:left="1134" w:hanging="774"/>
        <w:jc w:val="both"/>
        <w:rPr>
          <w:rFonts w:ascii="Arial" w:hAnsi="Arial" w:cs="Arial"/>
          <w:sz w:val="24"/>
          <w:szCs w:val="24"/>
          <w:lang w:val="en-US"/>
        </w:rPr>
      </w:pPr>
      <w:r>
        <w:rPr>
          <w:rFonts w:ascii="Arial" w:hAnsi="Arial" w:cs="Arial"/>
          <w:sz w:val="24"/>
          <w:szCs w:val="24"/>
          <w:lang w:val="en-US"/>
        </w:rPr>
        <w:t>40.1.</w:t>
      </w:r>
      <w:r>
        <w:rPr>
          <w:rFonts w:ascii="Arial" w:hAnsi="Arial" w:cs="Arial"/>
          <w:sz w:val="24"/>
          <w:szCs w:val="24"/>
          <w:lang w:val="en-US"/>
        </w:rPr>
        <w:tab/>
      </w:r>
      <w:r w:rsidR="009338E0" w:rsidRPr="003C1AE7">
        <w:rPr>
          <w:rFonts w:ascii="Arial" w:hAnsi="Arial" w:cs="Arial"/>
          <w:sz w:val="24"/>
          <w:szCs w:val="24"/>
          <w:lang w:val="en-US"/>
        </w:rPr>
        <w:t xml:space="preserve">The forms and time limits prescribed by the Rules of this Court are dispensed with and the application is heard as one of urgency. </w:t>
      </w:r>
    </w:p>
    <w:p w14:paraId="5A1ABBD3" w14:textId="77777777" w:rsidR="009338E0" w:rsidRDefault="009338E0" w:rsidP="009338E0">
      <w:pPr>
        <w:pStyle w:val="ListParagraph"/>
        <w:spacing w:line="480" w:lineRule="auto"/>
        <w:ind w:left="1134"/>
        <w:jc w:val="both"/>
        <w:rPr>
          <w:rFonts w:ascii="Arial" w:hAnsi="Arial" w:cs="Arial"/>
          <w:sz w:val="24"/>
          <w:szCs w:val="24"/>
          <w:lang w:val="en-US"/>
        </w:rPr>
      </w:pPr>
    </w:p>
    <w:p w14:paraId="4EA47CD8" w14:textId="334A7E55" w:rsidR="009338E0" w:rsidRPr="003C1AE7" w:rsidRDefault="003C1AE7" w:rsidP="003C1AE7">
      <w:pPr>
        <w:spacing w:line="480" w:lineRule="auto"/>
        <w:ind w:left="1134" w:hanging="774"/>
        <w:jc w:val="both"/>
        <w:rPr>
          <w:rFonts w:ascii="Arial" w:hAnsi="Arial" w:cs="Arial"/>
          <w:sz w:val="24"/>
          <w:szCs w:val="24"/>
          <w:lang w:val="en-US"/>
        </w:rPr>
      </w:pPr>
      <w:r>
        <w:rPr>
          <w:rFonts w:ascii="Arial" w:hAnsi="Arial" w:cs="Arial"/>
          <w:sz w:val="24"/>
          <w:szCs w:val="24"/>
          <w:lang w:val="en-US"/>
        </w:rPr>
        <w:t>40.2.</w:t>
      </w:r>
      <w:r>
        <w:rPr>
          <w:rFonts w:ascii="Arial" w:hAnsi="Arial" w:cs="Arial"/>
          <w:sz w:val="24"/>
          <w:szCs w:val="24"/>
          <w:lang w:val="en-US"/>
        </w:rPr>
        <w:tab/>
      </w:r>
      <w:r w:rsidR="009338E0" w:rsidRPr="003C1AE7">
        <w:rPr>
          <w:rFonts w:ascii="Arial" w:hAnsi="Arial" w:cs="Arial"/>
          <w:sz w:val="24"/>
          <w:szCs w:val="24"/>
          <w:lang w:val="en-US"/>
        </w:rPr>
        <w:t xml:space="preserve">The First Respondent is interdicted and restrained from further breaching her restraint of trade undertakings in the following manner: </w:t>
      </w:r>
    </w:p>
    <w:p w14:paraId="17565997" w14:textId="77777777" w:rsidR="009338E0" w:rsidRPr="009338E0" w:rsidRDefault="009338E0" w:rsidP="009338E0">
      <w:pPr>
        <w:spacing w:line="480" w:lineRule="auto"/>
        <w:jc w:val="both"/>
        <w:rPr>
          <w:rFonts w:ascii="Arial" w:hAnsi="Arial" w:cs="Arial"/>
          <w:sz w:val="24"/>
          <w:szCs w:val="24"/>
          <w:lang w:val="en-US"/>
        </w:rPr>
      </w:pPr>
    </w:p>
    <w:p w14:paraId="66B7B7A4" w14:textId="1C159190" w:rsidR="009338E0" w:rsidRPr="003C1AE7" w:rsidRDefault="003C1AE7" w:rsidP="003C1AE7">
      <w:pPr>
        <w:spacing w:line="480" w:lineRule="auto"/>
        <w:ind w:left="1701" w:hanging="981"/>
        <w:jc w:val="both"/>
        <w:rPr>
          <w:rFonts w:ascii="Arial" w:hAnsi="Arial" w:cs="Arial"/>
          <w:sz w:val="24"/>
          <w:szCs w:val="24"/>
          <w:lang w:val="en-US"/>
        </w:rPr>
      </w:pPr>
      <w:r>
        <w:rPr>
          <w:rFonts w:ascii="Arial" w:hAnsi="Arial" w:cs="Arial"/>
          <w:sz w:val="24"/>
          <w:szCs w:val="24"/>
          <w:lang w:val="en-US"/>
        </w:rPr>
        <w:t>40.2.1.</w:t>
      </w:r>
      <w:r>
        <w:rPr>
          <w:rFonts w:ascii="Arial" w:hAnsi="Arial" w:cs="Arial"/>
          <w:sz w:val="24"/>
          <w:szCs w:val="24"/>
          <w:lang w:val="en-US"/>
        </w:rPr>
        <w:tab/>
      </w:r>
      <w:r w:rsidR="009338E0" w:rsidRPr="003C1AE7">
        <w:rPr>
          <w:rFonts w:ascii="Arial" w:hAnsi="Arial" w:cs="Arial"/>
          <w:sz w:val="24"/>
          <w:szCs w:val="24"/>
          <w:lang w:val="en-US"/>
        </w:rPr>
        <w:t>The First Respondent is restrained, either from being employed by or for her own account or as an agent for a third party, from conducting any business with the Second Respondent, or any other direct competitor of the Applicant, in regard to any restricted lead sources (as defined in the First Respondent’s contract of employment) w</w:t>
      </w:r>
      <w:r w:rsidR="00015B98" w:rsidRPr="003C1AE7">
        <w:rPr>
          <w:rFonts w:ascii="Arial" w:hAnsi="Arial" w:cs="Arial"/>
          <w:sz w:val="24"/>
          <w:szCs w:val="24"/>
          <w:lang w:val="en-US"/>
        </w:rPr>
        <w:t>ithin Gauteng, for a period of 3 (three</w:t>
      </w:r>
      <w:r w:rsidR="009338E0" w:rsidRPr="003C1AE7">
        <w:rPr>
          <w:rFonts w:ascii="Arial" w:hAnsi="Arial" w:cs="Arial"/>
          <w:sz w:val="24"/>
          <w:szCs w:val="24"/>
          <w:lang w:val="en-US"/>
        </w:rPr>
        <w:t xml:space="preserve">) months from the date of termination of the employment contract being 22 February 2024. </w:t>
      </w:r>
    </w:p>
    <w:p w14:paraId="310CFADA" w14:textId="77777777" w:rsidR="009338E0" w:rsidRDefault="009338E0" w:rsidP="009338E0">
      <w:pPr>
        <w:pStyle w:val="ListParagraph"/>
        <w:spacing w:line="480" w:lineRule="auto"/>
        <w:ind w:left="1701"/>
        <w:jc w:val="both"/>
        <w:rPr>
          <w:rFonts w:ascii="Arial" w:hAnsi="Arial" w:cs="Arial"/>
          <w:sz w:val="24"/>
          <w:szCs w:val="24"/>
          <w:lang w:val="en-US"/>
        </w:rPr>
      </w:pPr>
    </w:p>
    <w:p w14:paraId="5A0042BA" w14:textId="6592A78F" w:rsidR="001D38CA" w:rsidRPr="003C1AE7" w:rsidRDefault="003C1AE7" w:rsidP="003C1AE7">
      <w:pPr>
        <w:spacing w:line="480" w:lineRule="auto"/>
        <w:ind w:left="1701" w:hanging="981"/>
        <w:jc w:val="both"/>
        <w:rPr>
          <w:rFonts w:ascii="Arial" w:hAnsi="Arial" w:cs="Arial"/>
          <w:sz w:val="24"/>
          <w:szCs w:val="24"/>
          <w:lang w:val="en-US"/>
        </w:rPr>
      </w:pPr>
      <w:r>
        <w:rPr>
          <w:rFonts w:ascii="Arial" w:hAnsi="Arial" w:cs="Arial"/>
          <w:sz w:val="24"/>
          <w:szCs w:val="24"/>
          <w:lang w:val="en-US"/>
        </w:rPr>
        <w:t>40.2.2.</w:t>
      </w:r>
      <w:r>
        <w:rPr>
          <w:rFonts w:ascii="Arial" w:hAnsi="Arial" w:cs="Arial"/>
          <w:sz w:val="24"/>
          <w:szCs w:val="24"/>
          <w:lang w:val="en-US"/>
        </w:rPr>
        <w:tab/>
      </w:r>
      <w:r w:rsidR="009338E0" w:rsidRPr="003C1AE7">
        <w:rPr>
          <w:rFonts w:ascii="Arial" w:hAnsi="Arial" w:cs="Arial"/>
          <w:sz w:val="24"/>
          <w:szCs w:val="24"/>
          <w:lang w:val="en-US"/>
        </w:rPr>
        <w:t>The First Respondent is restrained, either for her own account or as an agent for a third party, from contacting, inducing, pursuing, soliciting, enticing or attempting to entice away any restricted party (as defined in the first respondent’s contract of employment) of the applicant to terminate their business relationships with the applicant and / or to provide their business to the second respondent or any other third party</w:t>
      </w:r>
      <w:r w:rsidR="001D38CA" w:rsidRPr="003C1AE7">
        <w:rPr>
          <w:rFonts w:ascii="Arial" w:hAnsi="Arial" w:cs="Arial"/>
          <w:sz w:val="24"/>
          <w:szCs w:val="24"/>
          <w:lang w:val="en-US"/>
        </w:rPr>
        <w:t xml:space="preserve"> for the restraint period</w:t>
      </w:r>
      <w:r w:rsidR="009338E0" w:rsidRPr="003C1AE7">
        <w:rPr>
          <w:rFonts w:ascii="Arial" w:hAnsi="Arial" w:cs="Arial"/>
          <w:sz w:val="24"/>
          <w:szCs w:val="24"/>
          <w:lang w:val="en-US"/>
        </w:rPr>
        <w:t>.</w:t>
      </w:r>
    </w:p>
    <w:p w14:paraId="570CC8FD" w14:textId="77777777" w:rsidR="001D38CA" w:rsidRPr="001D38CA" w:rsidRDefault="001D38CA" w:rsidP="001D38CA">
      <w:pPr>
        <w:pStyle w:val="ListParagraph"/>
        <w:rPr>
          <w:rFonts w:ascii="Arial" w:hAnsi="Arial" w:cs="Arial"/>
          <w:sz w:val="24"/>
          <w:szCs w:val="24"/>
          <w:lang w:val="en-US"/>
        </w:rPr>
      </w:pPr>
    </w:p>
    <w:p w14:paraId="20876F93" w14:textId="3A64EA4C" w:rsidR="00790EA2" w:rsidRPr="003C1AE7" w:rsidRDefault="003C1AE7" w:rsidP="003C1AE7">
      <w:pPr>
        <w:spacing w:line="480" w:lineRule="auto"/>
        <w:ind w:left="1134" w:hanging="648"/>
        <w:jc w:val="both"/>
        <w:rPr>
          <w:rFonts w:ascii="Arial" w:hAnsi="Arial" w:cs="Arial"/>
          <w:sz w:val="24"/>
          <w:szCs w:val="24"/>
          <w:lang w:val="en-US"/>
        </w:rPr>
      </w:pPr>
      <w:r>
        <w:rPr>
          <w:rFonts w:ascii="Arial" w:hAnsi="Arial" w:cs="Arial"/>
          <w:sz w:val="24"/>
          <w:szCs w:val="24"/>
          <w:lang w:val="en-US"/>
        </w:rPr>
        <w:lastRenderedPageBreak/>
        <w:t>40.3.</w:t>
      </w:r>
      <w:r>
        <w:rPr>
          <w:rFonts w:ascii="Arial" w:hAnsi="Arial" w:cs="Arial"/>
          <w:sz w:val="24"/>
          <w:szCs w:val="24"/>
          <w:lang w:val="en-US"/>
        </w:rPr>
        <w:tab/>
      </w:r>
      <w:r w:rsidR="009338E0" w:rsidRPr="003C1AE7">
        <w:rPr>
          <w:rFonts w:ascii="Arial" w:hAnsi="Arial" w:cs="Arial"/>
          <w:sz w:val="24"/>
          <w:szCs w:val="24"/>
          <w:lang w:val="en-US"/>
        </w:rPr>
        <w:t>The</w:t>
      </w:r>
      <w:r w:rsidR="001D38CA" w:rsidRPr="003C1AE7">
        <w:rPr>
          <w:rFonts w:ascii="Arial" w:hAnsi="Arial" w:cs="Arial"/>
          <w:sz w:val="24"/>
          <w:szCs w:val="24"/>
          <w:lang w:val="en-US"/>
        </w:rPr>
        <w:t xml:space="preserve"> first r</w:t>
      </w:r>
      <w:r w:rsidR="009338E0" w:rsidRPr="003C1AE7">
        <w:rPr>
          <w:rFonts w:ascii="Arial" w:hAnsi="Arial" w:cs="Arial"/>
          <w:sz w:val="24"/>
          <w:szCs w:val="24"/>
          <w:lang w:val="en-US"/>
        </w:rPr>
        <w:t xml:space="preserve">espondent is restrained </w:t>
      </w:r>
      <w:r w:rsidR="001D38CA" w:rsidRPr="003C1AE7">
        <w:rPr>
          <w:rFonts w:ascii="Arial" w:hAnsi="Arial" w:cs="Arial"/>
          <w:sz w:val="24"/>
          <w:szCs w:val="24"/>
          <w:lang w:val="en-US"/>
        </w:rPr>
        <w:t xml:space="preserve">from </w:t>
      </w:r>
      <w:r w:rsidR="009338E0" w:rsidRPr="003C1AE7">
        <w:rPr>
          <w:rFonts w:ascii="Arial" w:hAnsi="Arial" w:cs="Arial"/>
          <w:sz w:val="24"/>
          <w:szCs w:val="24"/>
          <w:lang w:val="en-US"/>
        </w:rPr>
        <w:t>further disseminating information of the Applicant to the second respondent or any other third party that furthers the pursu</w:t>
      </w:r>
      <w:r w:rsidR="001D38CA" w:rsidRPr="003C1AE7">
        <w:rPr>
          <w:rFonts w:ascii="Arial" w:hAnsi="Arial" w:cs="Arial"/>
          <w:sz w:val="24"/>
          <w:szCs w:val="24"/>
          <w:lang w:val="en-US"/>
        </w:rPr>
        <w:t>it</w:t>
      </w:r>
      <w:r w:rsidR="009338E0" w:rsidRPr="003C1AE7">
        <w:rPr>
          <w:rFonts w:ascii="Arial" w:hAnsi="Arial" w:cs="Arial"/>
          <w:sz w:val="24"/>
          <w:szCs w:val="24"/>
          <w:lang w:val="en-US"/>
        </w:rPr>
        <w:t xml:space="preserve"> of any of the restrained activities</w:t>
      </w:r>
      <w:r w:rsidR="00E12E76" w:rsidRPr="003C1AE7">
        <w:rPr>
          <w:rFonts w:ascii="Arial" w:hAnsi="Arial" w:cs="Arial"/>
          <w:sz w:val="24"/>
          <w:szCs w:val="24"/>
          <w:lang w:val="en-US"/>
        </w:rPr>
        <w:t xml:space="preserve"> or concerns business dealings of the applicant</w:t>
      </w:r>
      <w:r w:rsidR="009338E0" w:rsidRPr="003C1AE7">
        <w:rPr>
          <w:rFonts w:ascii="Arial" w:hAnsi="Arial" w:cs="Arial"/>
          <w:sz w:val="24"/>
          <w:szCs w:val="24"/>
          <w:lang w:val="en-US"/>
        </w:rPr>
        <w:t xml:space="preserve">. </w:t>
      </w:r>
      <w:r w:rsidR="00B7395E" w:rsidRPr="003C1AE7">
        <w:rPr>
          <w:rFonts w:ascii="Arial" w:hAnsi="Arial" w:cs="Arial"/>
          <w:sz w:val="24"/>
          <w:szCs w:val="24"/>
          <w:lang w:val="en-US"/>
        </w:rPr>
        <w:t xml:space="preserve">  </w:t>
      </w:r>
    </w:p>
    <w:p w14:paraId="06D00FD4" w14:textId="77777777" w:rsidR="00F579C5" w:rsidRPr="00F579C5" w:rsidRDefault="00F579C5" w:rsidP="00F579C5">
      <w:pPr>
        <w:pStyle w:val="ListParagraph"/>
        <w:rPr>
          <w:rFonts w:ascii="Arial" w:hAnsi="Arial" w:cs="Arial"/>
          <w:sz w:val="24"/>
          <w:szCs w:val="24"/>
          <w:lang w:val="en-US"/>
        </w:rPr>
      </w:pPr>
    </w:p>
    <w:p w14:paraId="76FBFF0B" w14:textId="13436266" w:rsidR="00F579C5" w:rsidRPr="003C1AE7" w:rsidRDefault="003C1AE7" w:rsidP="003C1AE7">
      <w:pPr>
        <w:spacing w:line="480" w:lineRule="auto"/>
        <w:ind w:left="1134" w:hanging="774"/>
        <w:jc w:val="both"/>
        <w:rPr>
          <w:rFonts w:ascii="Arial" w:hAnsi="Arial" w:cs="Arial"/>
          <w:sz w:val="24"/>
          <w:szCs w:val="24"/>
          <w:lang w:val="en-US"/>
        </w:rPr>
      </w:pPr>
      <w:r w:rsidRPr="001D38CA">
        <w:rPr>
          <w:rFonts w:ascii="Arial" w:hAnsi="Arial" w:cs="Arial"/>
          <w:sz w:val="24"/>
          <w:szCs w:val="24"/>
          <w:lang w:val="en-US"/>
        </w:rPr>
        <w:t>40.4.</w:t>
      </w:r>
      <w:r w:rsidRPr="001D38CA">
        <w:rPr>
          <w:rFonts w:ascii="Arial" w:hAnsi="Arial" w:cs="Arial"/>
          <w:sz w:val="24"/>
          <w:szCs w:val="24"/>
          <w:lang w:val="en-US"/>
        </w:rPr>
        <w:tab/>
      </w:r>
      <w:r w:rsidR="00F579C5" w:rsidRPr="003C1AE7">
        <w:rPr>
          <w:rFonts w:ascii="Arial" w:hAnsi="Arial" w:cs="Arial"/>
          <w:sz w:val="24"/>
          <w:szCs w:val="24"/>
          <w:lang w:val="en-US"/>
        </w:rPr>
        <w:t xml:space="preserve">The first respondent must pay the costs of the application on a party and party scale. </w:t>
      </w:r>
    </w:p>
    <w:p w14:paraId="3C7450B1" w14:textId="77777777" w:rsidR="00790EA2" w:rsidRDefault="00790EA2" w:rsidP="00484226">
      <w:pPr>
        <w:pStyle w:val="ListParagraph"/>
        <w:spacing w:line="480" w:lineRule="auto"/>
        <w:ind w:left="360"/>
        <w:jc w:val="both"/>
        <w:rPr>
          <w:rFonts w:ascii="Arial" w:hAnsi="Arial" w:cs="Arial"/>
          <w:sz w:val="24"/>
          <w:szCs w:val="24"/>
          <w:lang w:val="en-US"/>
        </w:rPr>
      </w:pPr>
    </w:p>
    <w:p w14:paraId="55486E57" w14:textId="77777777" w:rsidR="006F2CD2" w:rsidRPr="000457F9" w:rsidRDefault="006F2CD2" w:rsidP="00484226">
      <w:pPr>
        <w:pStyle w:val="ListParagraph"/>
        <w:spacing w:line="480" w:lineRule="auto"/>
        <w:ind w:left="360"/>
        <w:jc w:val="both"/>
        <w:rPr>
          <w:rFonts w:ascii="Arial" w:hAnsi="Arial" w:cs="Arial"/>
          <w:sz w:val="24"/>
          <w:szCs w:val="24"/>
          <w:lang w:val="en-US"/>
        </w:rPr>
      </w:pPr>
    </w:p>
    <w:p w14:paraId="16E55E60" w14:textId="77777777" w:rsidR="007B7DC9" w:rsidRPr="00323B8E" w:rsidRDefault="001D38CA" w:rsidP="007B7DC9">
      <w:pPr>
        <w:keepNext/>
        <w:tabs>
          <w:tab w:val="right" w:pos="0"/>
        </w:tabs>
        <w:spacing w:line="360" w:lineRule="auto"/>
        <w:contextualSpacing/>
        <w:jc w:val="right"/>
        <w:rPr>
          <w:rFonts w:ascii="Arial" w:eastAsia="Times New Roman" w:hAnsi="Arial" w:cs="Arial"/>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F579C5">
        <w:rPr>
          <w:rFonts w:ascii="Arial" w:hAnsi="Arial" w:cs="Arial"/>
          <w:sz w:val="24"/>
          <w:szCs w:val="24"/>
          <w:lang w:val="en-GB"/>
        </w:rPr>
        <w:tab/>
      </w:r>
      <w:r w:rsidR="007B7DC9">
        <w:rPr>
          <w:rFonts w:cs="Arial"/>
        </w:rPr>
        <w:tab/>
      </w:r>
      <w:r w:rsidR="007B7DC9" w:rsidRPr="00323B8E">
        <w:rPr>
          <w:rFonts w:ascii="Arial" w:eastAsia="Times New Roman" w:hAnsi="Arial" w:cs="Arial"/>
        </w:rPr>
        <w:t>_____________________________________</w:t>
      </w:r>
    </w:p>
    <w:p w14:paraId="78625347" w14:textId="77777777" w:rsidR="007B7DC9" w:rsidRPr="00323B8E" w:rsidRDefault="007B7DC9" w:rsidP="007B7DC9">
      <w:pPr>
        <w:tabs>
          <w:tab w:val="right" w:pos="0"/>
        </w:tabs>
        <w:spacing w:line="360" w:lineRule="auto"/>
        <w:contextualSpacing/>
        <w:jc w:val="right"/>
        <w:rPr>
          <w:rFonts w:ascii="Arial" w:eastAsia="Times New Roman" w:hAnsi="Arial" w:cs="Arial"/>
          <w:b/>
        </w:rPr>
      </w:pPr>
      <w:r w:rsidRPr="00323B8E">
        <w:rPr>
          <w:rFonts w:ascii="Arial" w:eastAsia="Times New Roman" w:hAnsi="Arial" w:cs="Arial"/>
          <w:b/>
        </w:rPr>
        <w:t>S J COWEN</w:t>
      </w:r>
    </w:p>
    <w:p w14:paraId="6F21B2CA" w14:textId="77777777" w:rsidR="007B7DC9" w:rsidRPr="00323B8E" w:rsidRDefault="007B7DC9" w:rsidP="007B7DC9">
      <w:pPr>
        <w:tabs>
          <w:tab w:val="right" w:pos="0"/>
        </w:tabs>
        <w:spacing w:line="360" w:lineRule="auto"/>
        <w:contextualSpacing/>
        <w:jc w:val="right"/>
        <w:rPr>
          <w:rFonts w:ascii="Arial" w:eastAsia="Times New Roman" w:hAnsi="Arial" w:cs="Arial"/>
          <w:b/>
        </w:rPr>
      </w:pPr>
      <w:r w:rsidRPr="00323B8E">
        <w:rPr>
          <w:rFonts w:ascii="Arial" w:eastAsia="Times New Roman" w:hAnsi="Arial" w:cs="Arial"/>
          <w:b/>
        </w:rPr>
        <w:t>JUDGE OF THE HIGH COURT OF SOUTH AFRICA</w:t>
      </w:r>
    </w:p>
    <w:p w14:paraId="7AD4F414" w14:textId="77777777" w:rsidR="007B7DC9" w:rsidRPr="00323B8E" w:rsidRDefault="007B7DC9" w:rsidP="007B7DC9">
      <w:pPr>
        <w:tabs>
          <w:tab w:val="right" w:pos="0"/>
          <w:tab w:val="left" w:pos="4253"/>
        </w:tabs>
        <w:spacing w:line="360" w:lineRule="auto"/>
        <w:contextualSpacing/>
        <w:jc w:val="right"/>
        <w:rPr>
          <w:rFonts w:ascii="Arial" w:eastAsia="Times New Roman" w:hAnsi="Arial" w:cs="Arial"/>
          <w:b/>
        </w:rPr>
      </w:pPr>
      <w:r w:rsidRPr="00323B8E">
        <w:rPr>
          <w:rFonts w:ascii="Arial" w:eastAsia="Times New Roman" w:hAnsi="Arial" w:cs="Arial"/>
          <w:b/>
        </w:rPr>
        <w:t>GAUTENG DIVISION</w:t>
      </w:r>
    </w:p>
    <w:p w14:paraId="56A4977A" w14:textId="77777777" w:rsidR="007B7DC9" w:rsidRDefault="007B7DC9" w:rsidP="007B7DC9">
      <w:pPr>
        <w:tabs>
          <w:tab w:val="right" w:pos="0"/>
          <w:tab w:val="left" w:pos="4253"/>
        </w:tabs>
        <w:spacing w:line="360" w:lineRule="auto"/>
        <w:contextualSpacing/>
        <w:jc w:val="right"/>
        <w:rPr>
          <w:rFonts w:ascii="Arial" w:eastAsia="Times New Roman" w:hAnsi="Arial" w:cs="Arial"/>
          <w:b/>
        </w:rPr>
      </w:pPr>
      <w:r w:rsidRPr="00323B8E">
        <w:rPr>
          <w:rFonts w:ascii="Arial" w:eastAsia="Times New Roman" w:hAnsi="Arial" w:cs="Arial"/>
          <w:b/>
        </w:rPr>
        <w:t>PRETORIA</w:t>
      </w:r>
    </w:p>
    <w:p w14:paraId="0EC6B1EB" w14:textId="77777777" w:rsidR="007B7DC9" w:rsidRPr="00323B8E" w:rsidRDefault="007B7DC9" w:rsidP="007B7DC9">
      <w:pPr>
        <w:tabs>
          <w:tab w:val="right" w:pos="0"/>
          <w:tab w:val="left" w:pos="4253"/>
        </w:tabs>
        <w:spacing w:line="360" w:lineRule="auto"/>
        <w:contextualSpacing/>
        <w:jc w:val="right"/>
        <w:rPr>
          <w:rFonts w:ascii="Arial" w:eastAsia="Times New Roman" w:hAnsi="Arial" w:cs="Arial"/>
          <w:b/>
        </w:rPr>
      </w:pPr>
    </w:p>
    <w:p w14:paraId="3D02273C" w14:textId="03541909" w:rsidR="00D22847" w:rsidRPr="00E16B36" w:rsidRDefault="00D22847" w:rsidP="007B7DC9">
      <w:pPr>
        <w:tabs>
          <w:tab w:val="left" w:pos="1134"/>
        </w:tabs>
        <w:ind w:left="1134"/>
        <w:jc w:val="both"/>
        <w:rPr>
          <w:rFonts w:ascii="Arial" w:hAnsi="Arial" w:cs="Arial"/>
          <w:sz w:val="24"/>
          <w:szCs w:val="24"/>
          <w:lang w:val="en-GB"/>
        </w:rPr>
      </w:pPr>
    </w:p>
    <w:p w14:paraId="16A7F095" w14:textId="374365AB" w:rsidR="003E5D3F" w:rsidRDefault="001D38CA" w:rsidP="00D22847">
      <w:pPr>
        <w:jc w:val="both"/>
        <w:rPr>
          <w:rFonts w:ascii="Arial" w:hAnsi="Arial" w:cs="Arial"/>
          <w:sz w:val="24"/>
          <w:szCs w:val="24"/>
          <w:lang w:val="en-GB"/>
        </w:rPr>
      </w:pPr>
      <w:r>
        <w:rPr>
          <w:rFonts w:ascii="Arial" w:hAnsi="Arial" w:cs="Arial"/>
          <w:sz w:val="24"/>
          <w:szCs w:val="24"/>
          <w:lang w:val="en-GB"/>
        </w:rPr>
        <w:t xml:space="preserve">Date of hearing: </w:t>
      </w:r>
      <w:r w:rsidR="007B7DC9">
        <w:rPr>
          <w:rFonts w:ascii="Arial" w:hAnsi="Arial" w:cs="Arial"/>
          <w:sz w:val="24"/>
          <w:szCs w:val="24"/>
          <w:lang w:val="en-GB"/>
        </w:rPr>
        <w:tab/>
      </w:r>
      <w:r>
        <w:rPr>
          <w:rFonts w:ascii="Arial" w:hAnsi="Arial" w:cs="Arial"/>
          <w:sz w:val="24"/>
          <w:szCs w:val="24"/>
          <w:lang w:val="en-GB"/>
        </w:rPr>
        <w:t xml:space="preserve"> </w:t>
      </w:r>
      <w:r w:rsidR="007B7DC9">
        <w:rPr>
          <w:rFonts w:ascii="Arial" w:hAnsi="Arial" w:cs="Arial"/>
          <w:sz w:val="24"/>
          <w:szCs w:val="24"/>
          <w:lang w:val="en-GB"/>
        </w:rPr>
        <w:tab/>
      </w:r>
      <w:r>
        <w:rPr>
          <w:rFonts w:ascii="Arial" w:hAnsi="Arial" w:cs="Arial"/>
          <w:sz w:val="24"/>
          <w:szCs w:val="24"/>
          <w:lang w:val="en-GB"/>
        </w:rPr>
        <w:t>22 March 2024</w:t>
      </w:r>
    </w:p>
    <w:p w14:paraId="43C5380E" w14:textId="79C1C4F9" w:rsidR="001D38CA" w:rsidRPr="00E16B36" w:rsidRDefault="001D38CA" w:rsidP="00D22847">
      <w:pPr>
        <w:jc w:val="both"/>
        <w:rPr>
          <w:rFonts w:ascii="Arial" w:hAnsi="Arial" w:cs="Arial"/>
          <w:sz w:val="24"/>
          <w:szCs w:val="24"/>
          <w:lang w:val="en-GB"/>
        </w:rPr>
      </w:pPr>
      <w:r>
        <w:rPr>
          <w:rFonts w:ascii="Arial" w:hAnsi="Arial" w:cs="Arial"/>
          <w:sz w:val="24"/>
          <w:szCs w:val="24"/>
          <w:lang w:val="en-GB"/>
        </w:rPr>
        <w:t xml:space="preserve">Date of decision:  </w:t>
      </w:r>
      <w:r w:rsidR="007B7DC9">
        <w:rPr>
          <w:rFonts w:ascii="Arial" w:hAnsi="Arial" w:cs="Arial"/>
          <w:sz w:val="24"/>
          <w:szCs w:val="24"/>
          <w:lang w:val="en-GB"/>
        </w:rPr>
        <w:tab/>
      </w:r>
      <w:r w:rsidR="007B7DC9">
        <w:rPr>
          <w:rFonts w:ascii="Arial" w:hAnsi="Arial" w:cs="Arial"/>
          <w:sz w:val="24"/>
          <w:szCs w:val="24"/>
          <w:lang w:val="en-GB"/>
        </w:rPr>
        <w:tab/>
      </w:r>
      <w:r>
        <w:rPr>
          <w:rFonts w:ascii="Arial" w:hAnsi="Arial" w:cs="Arial"/>
          <w:sz w:val="24"/>
          <w:szCs w:val="24"/>
          <w:lang w:val="en-GB"/>
        </w:rPr>
        <w:t>2 April 2024</w:t>
      </w:r>
    </w:p>
    <w:p w14:paraId="00044635" w14:textId="77777777" w:rsidR="00B27A12" w:rsidRDefault="00B27A12" w:rsidP="00B27A12">
      <w:pPr>
        <w:spacing w:line="480" w:lineRule="auto"/>
        <w:jc w:val="both"/>
        <w:rPr>
          <w:rFonts w:ascii="Arial" w:hAnsi="Arial" w:cs="Arial"/>
          <w:sz w:val="24"/>
          <w:szCs w:val="24"/>
          <w:lang w:val="en-GB"/>
        </w:rPr>
      </w:pPr>
    </w:p>
    <w:p w14:paraId="3F061FEB" w14:textId="77777777" w:rsidR="00B27A12" w:rsidRDefault="00B27A12" w:rsidP="00B27A12">
      <w:pPr>
        <w:spacing w:line="480" w:lineRule="auto"/>
        <w:jc w:val="both"/>
        <w:rPr>
          <w:rFonts w:ascii="Arial" w:hAnsi="Arial" w:cs="Arial"/>
          <w:sz w:val="24"/>
          <w:szCs w:val="24"/>
          <w:lang w:val="en-GB"/>
        </w:rPr>
      </w:pPr>
      <w:r>
        <w:rPr>
          <w:rFonts w:ascii="Arial" w:hAnsi="Arial" w:cs="Arial"/>
          <w:sz w:val="24"/>
          <w:szCs w:val="24"/>
          <w:lang w:val="en-GB"/>
        </w:rPr>
        <w:t xml:space="preserve">Appearances:  </w:t>
      </w:r>
    </w:p>
    <w:p w14:paraId="69034AD8" w14:textId="77777777" w:rsidR="001D38CA" w:rsidRDefault="001D38CA" w:rsidP="00F579C5">
      <w:pPr>
        <w:spacing w:line="240" w:lineRule="auto"/>
        <w:jc w:val="both"/>
        <w:rPr>
          <w:rFonts w:ascii="Arial" w:hAnsi="Arial" w:cs="Arial"/>
          <w:sz w:val="24"/>
          <w:szCs w:val="24"/>
          <w:lang w:val="en-GB"/>
        </w:rPr>
      </w:pPr>
      <w:r>
        <w:rPr>
          <w:rFonts w:ascii="Arial" w:hAnsi="Arial" w:cs="Arial"/>
          <w:sz w:val="24"/>
          <w:szCs w:val="24"/>
          <w:lang w:val="en-GB"/>
        </w:rPr>
        <w:t xml:space="preserve">Applicant:  </w:t>
      </w:r>
      <w:r w:rsidR="00F579C5">
        <w:rPr>
          <w:rFonts w:ascii="Arial" w:hAnsi="Arial" w:cs="Arial"/>
          <w:sz w:val="24"/>
          <w:szCs w:val="24"/>
          <w:lang w:val="en-GB"/>
        </w:rPr>
        <w:tab/>
      </w:r>
      <w:r w:rsidR="00F579C5">
        <w:rPr>
          <w:rFonts w:ascii="Arial" w:hAnsi="Arial" w:cs="Arial"/>
          <w:sz w:val="24"/>
          <w:szCs w:val="24"/>
          <w:lang w:val="en-GB"/>
        </w:rPr>
        <w:tab/>
      </w:r>
      <w:r w:rsidR="00F579C5">
        <w:rPr>
          <w:rFonts w:ascii="Arial" w:hAnsi="Arial" w:cs="Arial"/>
          <w:sz w:val="24"/>
          <w:szCs w:val="24"/>
          <w:lang w:val="en-GB"/>
        </w:rPr>
        <w:tab/>
      </w:r>
      <w:r>
        <w:rPr>
          <w:rFonts w:ascii="Arial" w:hAnsi="Arial" w:cs="Arial"/>
          <w:sz w:val="24"/>
          <w:szCs w:val="24"/>
          <w:lang w:val="en-GB"/>
        </w:rPr>
        <w:t>Adv MA</w:t>
      </w:r>
      <w:r w:rsidR="00B27A12">
        <w:rPr>
          <w:rFonts w:ascii="Arial" w:hAnsi="Arial" w:cs="Arial"/>
          <w:sz w:val="24"/>
          <w:szCs w:val="24"/>
          <w:lang w:val="en-GB"/>
        </w:rPr>
        <w:t xml:space="preserve"> Lennox instructed by</w:t>
      </w:r>
      <w:r>
        <w:rPr>
          <w:rFonts w:ascii="Arial" w:hAnsi="Arial" w:cs="Arial"/>
          <w:sz w:val="24"/>
          <w:szCs w:val="24"/>
          <w:lang w:val="en-GB"/>
        </w:rPr>
        <w:t xml:space="preserve"> Hinrichsen Attorneys</w:t>
      </w:r>
    </w:p>
    <w:p w14:paraId="3E5B2B51" w14:textId="77777777" w:rsidR="00F579C5" w:rsidRDefault="001D38CA" w:rsidP="00F579C5">
      <w:pPr>
        <w:spacing w:line="240" w:lineRule="auto"/>
        <w:jc w:val="both"/>
        <w:rPr>
          <w:rFonts w:ascii="Arial" w:hAnsi="Arial" w:cs="Arial"/>
          <w:sz w:val="24"/>
          <w:szCs w:val="24"/>
          <w:lang w:val="en-GB"/>
        </w:rPr>
      </w:pPr>
      <w:r>
        <w:rPr>
          <w:rFonts w:ascii="Arial" w:hAnsi="Arial" w:cs="Arial"/>
          <w:sz w:val="24"/>
          <w:szCs w:val="24"/>
          <w:lang w:val="en-GB"/>
        </w:rPr>
        <w:t xml:space="preserve">First Respondent: </w:t>
      </w:r>
      <w:r w:rsidR="00F579C5">
        <w:rPr>
          <w:rFonts w:ascii="Arial" w:hAnsi="Arial" w:cs="Arial"/>
          <w:sz w:val="24"/>
          <w:szCs w:val="24"/>
          <w:lang w:val="en-GB"/>
        </w:rPr>
        <w:t xml:space="preserve"> </w:t>
      </w:r>
      <w:r w:rsidR="00F579C5">
        <w:rPr>
          <w:rFonts w:ascii="Arial" w:hAnsi="Arial" w:cs="Arial"/>
          <w:sz w:val="24"/>
          <w:szCs w:val="24"/>
          <w:lang w:val="en-GB"/>
        </w:rPr>
        <w:tab/>
      </w:r>
      <w:r w:rsidR="00F579C5">
        <w:rPr>
          <w:rFonts w:ascii="Arial" w:hAnsi="Arial" w:cs="Arial"/>
          <w:sz w:val="24"/>
          <w:szCs w:val="24"/>
          <w:lang w:val="en-GB"/>
        </w:rPr>
        <w:tab/>
        <w:t>Adv S Ogunronbi instructed by DOA Attorneys Inc</w:t>
      </w:r>
    </w:p>
    <w:p w14:paraId="4A999D04" w14:textId="77777777" w:rsidR="00B27A12" w:rsidRPr="00B27A12" w:rsidRDefault="00F579C5" w:rsidP="00F579C5">
      <w:pPr>
        <w:spacing w:line="240" w:lineRule="auto"/>
        <w:ind w:left="2880" w:hanging="2880"/>
        <w:jc w:val="both"/>
        <w:rPr>
          <w:rFonts w:ascii="Arial" w:hAnsi="Arial" w:cs="Arial"/>
          <w:sz w:val="24"/>
          <w:szCs w:val="24"/>
          <w:lang w:val="en-US"/>
        </w:rPr>
      </w:pPr>
      <w:r>
        <w:rPr>
          <w:rFonts w:ascii="Arial" w:hAnsi="Arial" w:cs="Arial"/>
          <w:sz w:val="24"/>
          <w:szCs w:val="24"/>
          <w:lang w:val="en-GB"/>
        </w:rPr>
        <w:t xml:space="preserve">Second Respondent:  </w:t>
      </w:r>
      <w:r>
        <w:rPr>
          <w:rFonts w:ascii="Arial" w:hAnsi="Arial" w:cs="Arial"/>
          <w:sz w:val="24"/>
          <w:szCs w:val="24"/>
          <w:lang w:val="en-GB"/>
        </w:rPr>
        <w:tab/>
        <w:t xml:space="preserve">Adv M Madi (watching brief) instructed by Mtshabe Attorneys Inc. </w:t>
      </w:r>
      <w:r w:rsidR="00B27A12">
        <w:rPr>
          <w:rFonts w:ascii="Arial" w:hAnsi="Arial" w:cs="Arial"/>
          <w:sz w:val="24"/>
          <w:szCs w:val="24"/>
          <w:lang w:val="en-GB"/>
        </w:rPr>
        <w:t xml:space="preserve"> </w:t>
      </w:r>
    </w:p>
    <w:sectPr w:rsidR="00B27A12" w:rsidRPr="00B27A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9D649" w14:textId="77777777" w:rsidR="000D2E19" w:rsidRDefault="000D2E19" w:rsidP="00D82C6E">
      <w:pPr>
        <w:spacing w:after="0" w:line="240" w:lineRule="auto"/>
      </w:pPr>
      <w:r>
        <w:separator/>
      </w:r>
    </w:p>
  </w:endnote>
  <w:endnote w:type="continuationSeparator" w:id="0">
    <w:p w14:paraId="6BA3FF29" w14:textId="77777777" w:rsidR="000D2E19" w:rsidRDefault="000D2E19" w:rsidP="00D8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62985" w14:textId="77777777" w:rsidR="000D2E19" w:rsidRDefault="000D2E19" w:rsidP="00D82C6E">
      <w:pPr>
        <w:spacing w:after="0" w:line="240" w:lineRule="auto"/>
      </w:pPr>
      <w:r>
        <w:separator/>
      </w:r>
    </w:p>
  </w:footnote>
  <w:footnote w:type="continuationSeparator" w:id="0">
    <w:p w14:paraId="75086F35" w14:textId="77777777" w:rsidR="000D2E19" w:rsidRDefault="000D2E19" w:rsidP="00D82C6E">
      <w:pPr>
        <w:spacing w:after="0" w:line="240" w:lineRule="auto"/>
      </w:pPr>
      <w:r>
        <w:continuationSeparator/>
      </w:r>
    </w:p>
  </w:footnote>
  <w:footnote w:id="1">
    <w:p w14:paraId="10B58413" w14:textId="77777777" w:rsidR="00BE4A4E" w:rsidRPr="00ED74DF" w:rsidRDefault="00BE4A4E">
      <w:pPr>
        <w:pStyle w:val="FootnoteText"/>
        <w:rPr>
          <w:rFonts w:ascii="Arial" w:hAnsi="Arial" w:cs="Arial"/>
          <w:sz w:val="18"/>
          <w:szCs w:val="18"/>
          <w:lang w:val="en-US"/>
        </w:rPr>
      </w:pPr>
      <w:r w:rsidRPr="00ED74DF">
        <w:rPr>
          <w:rStyle w:val="FootnoteReference"/>
          <w:rFonts w:ascii="Arial" w:hAnsi="Arial" w:cs="Arial"/>
          <w:sz w:val="18"/>
          <w:szCs w:val="18"/>
        </w:rPr>
        <w:footnoteRef/>
      </w:r>
      <w:r w:rsidRPr="00ED74DF">
        <w:rPr>
          <w:rFonts w:ascii="Arial" w:hAnsi="Arial" w:cs="Arial"/>
          <w:sz w:val="18"/>
          <w:szCs w:val="18"/>
        </w:rPr>
        <w:t xml:space="preserve"> </w:t>
      </w:r>
      <w:r w:rsidRPr="00ED74DF">
        <w:rPr>
          <w:rFonts w:ascii="Arial" w:hAnsi="Arial" w:cs="Arial"/>
          <w:i/>
          <w:sz w:val="18"/>
          <w:szCs w:val="18"/>
        </w:rPr>
        <w:t>Plascon-Evans Paints v Van Riebeeck Paints</w:t>
      </w:r>
      <w:r w:rsidRPr="00ED74DF">
        <w:rPr>
          <w:rFonts w:ascii="Arial" w:hAnsi="Arial" w:cs="Arial"/>
          <w:sz w:val="18"/>
          <w:szCs w:val="18"/>
        </w:rPr>
        <w:t xml:space="preserve"> 1984(3) 623 (A) at 634H-635C; </w:t>
      </w:r>
      <w:r w:rsidRPr="00ED74DF">
        <w:rPr>
          <w:rFonts w:ascii="Arial" w:hAnsi="Arial" w:cs="Arial"/>
          <w:i/>
          <w:sz w:val="18"/>
          <w:szCs w:val="18"/>
        </w:rPr>
        <w:t>Wightman t/a JW Construction v Headfour (Pty) Ltd and ano</w:t>
      </w:r>
      <w:r w:rsidRPr="00ED74DF">
        <w:rPr>
          <w:rFonts w:ascii="Arial" w:hAnsi="Arial" w:cs="Arial"/>
          <w:sz w:val="18"/>
          <w:szCs w:val="18"/>
        </w:rPr>
        <w:t xml:space="preserve"> 2008(3) SA 371 (SCA), para 13.</w:t>
      </w:r>
    </w:p>
  </w:footnote>
  <w:footnote w:id="2">
    <w:p w14:paraId="1E988627" w14:textId="77777777" w:rsidR="00BE4A4E" w:rsidRPr="00B15619" w:rsidRDefault="00BE4A4E">
      <w:pPr>
        <w:pStyle w:val="FootnoteText"/>
        <w:rPr>
          <w:rFonts w:ascii="Arial" w:hAnsi="Arial" w:cs="Arial"/>
          <w:sz w:val="18"/>
          <w:szCs w:val="18"/>
          <w:lang w:val="en-US"/>
        </w:rPr>
      </w:pPr>
      <w:r w:rsidRPr="00FA3E6E">
        <w:rPr>
          <w:rStyle w:val="FootnoteReference"/>
          <w:rFonts w:ascii="Arial" w:hAnsi="Arial" w:cs="Arial"/>
          <w:sz w:val="18"/>
          <w:szCs w:val="18"/>
        </w:rPr>
        <w:footnoteRef/>
      </w:r>
      <w:r w:rsidRPr="00FA3E6E">
        <w:rPr>
          <w:rFonts w:ascii="Arial" w:hAnsi="Arial" w:cs="Arial"/>
          <w:sz w:val="18"/>
          <w:szCs w:val="18"/>
        </w:rPr>
        <w:t xml:space="preserve"> </w:t>
      </w:r>
      <w:r w:rsidRPr="00FA3E6E">
        <w:rPr>
          <w:rFonts w:ascii="Arial" w:hAnsi="Arial" w:cs="Arial"/>
          <w:i/>
          <w:sz w:val="18"/>
          <w:szCs w:val="18"/>
          <w:lang w:val="en-US"/>
        </w:rPr>
        <w:t>Magna Alloys and Research (Pty) Ltd v Ellis</w:t>
      </w:r>
      <w:r w:rsidRPr="00FA3E6E">
        <w:rPr>
          <w:rFonts w:ascii="Arial" w:hAnsi="Arial" w:cs="Arial"/>
          <w:sz w:val="18"/>
          <w:szCs w:val="18"/>
          <w:lang w:val="en-US"/>
        </w:rPr>
        <w:t xml:space="preserve"> 1984(4) SA 874 (A)</w:t>
      </w:r>
      <w:r w:rsidR="00266165">
        <w:rPr>
          <w:rFonts w:ascii="Arial" w:hAnsi="Arial" w:cs="Arial"/>
          <w:sz w:val="18"/>
          <w:szCs w:val="18"/>
          <w:lang w:val="en-US"/>
        </w:rPr>
        <w:t>.</w:t>
      </w:r>
    </w:p>
  </w:footnote>
  <w:footnote w:id="3">
    <w:p w14:paraId="5C5F3C74" w14:textId="77777777" w:rsidR="00BE4A4E" w:rsidRPr="00A42FB7" w:rsidRDefault="00BE4A4E" w:rsidP="00907EBF">
      <w:pPr>
        <w:pStyle w:val="FootnoteText"/>
        <w:jc w:val="both"/>
        <w:rPr>
          <w:rFonts w:ascii="Arial" w:hAnsi="Arial" w:cs="Arial"/>
          <w:sz w:val="18"/>
          <w:szCs w:val="18"/>
          <w:lang w:val="en-US"/>
        </w:rPr>
      </w:pPr>
      <w:r w:rsidRPr="00A42FB7">
        <w:rPr>
          <w:rStyle w:val="FootnoteReference"/>
          <w:rFonts w:ascii="Arial" w:hAnsi="Arial" w:cs="Arial"/>
          <w:sz w:val="18"/>
          <w:szCs w:val="18"/>
        </w:rPr>
        <w:footnoteRef/>
      </w:r>
      <w:r w:rsidRPr="00A42FB7">
        <w:rPr>
          <w:rFonts w:ascii="Arial" w:hAnsi="Arial" w:cs="Arial"/>
          <w:sz w:val="18"/>
          <w:szCs w:val="18"/>
        </w:rPr>
        <w:t xml:space="preserve"> </w:t>
      </w:r>
      <w:r w:rsidRPr="00A42FB7">
        <w:rPr>
          <w:rFonts w:ascii="Arial" w:hAnsi="Arial" w:cs="Arial"/>
          <w:sz w:val="18"/>
          <w:szCs w:val="18"/>
          <w:lang w:val="en-US"/>
        </w:rPr>
        <w:t xml:space="preserve">[1993] 2 All SA 373, 1993(3) SA 742 (A) 767E-I.   These findings </w:t>
      </w:r>
      <w:r w:rsidR="00470C65" w:rsidRPr="00A42FB7">
        <w:rPr>
          <w:rFonts w:ascii="Arial" w:hAnsi="Arial" w:cs="Arial"/>
          <w:sz w:val="18"/>
          <w:szCs w:val="18"/>
          <w:lang w:val="en-US"/>
        </w:rPr>
        <w:t xml:space="preserve">were affirmed in </w:t>
      </w:r>
      <w:r w:rsidR="00470C65" w:rsidRPr="00A42FB7">
        <w:rPr>
          <w:rFonts w:ascii="Arial" w:hAnsi="Arial" w:cs="Arial"/>
          <w:i/>
          <w:sz w:val="18"/>
          <w:szCs w:val="18"/>
          <w:lang w:val="en-US"/>
        </w:rPr>
        <w:t>Reddy v Siemen</w:t>
      </w:r>
      <w:r w:rsidRPr="00A42FB7">
        <w:rPr>
          <w:rFonts w:ascii="Arial" w:hAnsi="Arial" w:cs="Arial"/>
          <w:i/>
          <w:sz w:val="18"/>
          <w:szCs w:val="18"/>
          <w:lang w:val="en-US"/>
        </w:rPr>
        <w:t>s Telecommunications (Pty) Ltd</w:t>
      </w:r>
      <w:r w:rsidRPr="00A42FB7">
        <w:rPr>
          <w:rFonts w:ascii="Arial" w:hAnsi="Arial" w:cs="Arial"/>
          <w:sz w:val="18"/>
          <w:szCs w:val="18"/>
          <w:lang w:val="en-US"/>
        </w:rPr>
        <w:t xml:space="preserve"> 2007(2) SA 486 (SCA) at para 16. </w:t>
      </w:r>
    </w:p>
  </w:footnote>
  <w:footnote w:id="4">
    <w:p w14:paraId="4C9F0BC3" w14:textId="77777777" w:rsidR="00BE4A4E" w:rsidRPr="00A42FB7" w:rsidRDefault="00BE4A4E" w:rsidP="00B15619">
      <w:pPr>
        <w:pStyle w:val="FootnoteText"/>
        <w:rPr>
          <w:rFonts w:ascii="Arial" w:hAnsi="Arial" w:cs="Arial"/>
          <w:sz w:val="18"/>
          <w:szCs w:val="18"/>
          <w:lang w:val="en-US"/>
        </w:rPr>
      </w:pPr>
      <w:r w:rsidRPr="00A42FB7">
        <w:rPr>
          <w:rStyle w:val="FootnoteReference"/>
          <w:rFonts w:ascii="Arial" w:hAnsi="Arial" w:cs="Arial"/>
          <w:sz w:val="18"/>
          <w:szCs w:val="18"/>
        </w:rPr>
        <w:footnoteRef/>
      </w:r>
      <w:r w:rsidRPr="00A42FB7">
        <w:rPr>
          <w:rFonts w:ascii="Arial" w:hAnsi="Arial" w:cs="Arial"/>
          <w:sz w:val="18"/>
          <w:szCs w:val="18"/>
        </w:rPr>
        <w:t xml:space="preserve"> </w:t>
      </w:r>
      <w:r w:rsidRPr="00A42FB7">
        <w:rPr>
          <w:rFonts w:ascii="Arial" w:hAnsi="Arial" w:cs="Arial"/>
          <w:i/>
          <w:sz w:val="18"/>
          <w:szCs w:val="18"/>
          <w:lang w:val="en-US"/>
        </w:rPr>
        <w:t>Basson v Chilwan and others</w:t>
      </w:r>
      <w:r w:rsidR="00A77137">
        <w:rPr>
          <w:rFonts w:ascii="Arial" w:hAnsi="Arial" w:cs="Arial"/>
          <w:sz w:val="18"/>
          <w:szCs w:val="18"/>
          <w:lang w:val="en-US"/>
        </w:rPr>
        <w:t xml:space="preserve"> </w:t>
      </w:r>
      <w:r w:rsidRPr="00A42FB7">
        <w:rPr>
          <w:rFonts w:ascii="Arial" w:hAnsi="Arial" w:cs="Arial"/>
          <w:sz w:val="18"/>
          <w:szCs w:val="18"/>
          <w:lang w:val="en-US"/>
        </w:rPr>
        <w:t xml:space="preserve">1993(3) SA 742 (A) at 767G-H; </w:t>
      </w:r>
      <w:r w:rsidR="00A77137">
        <w:rPr>
          <w:rFonts w:ascii="Arial" w:hAnsi="Arial" w:cs="Arial"/>
          <w:sz w:val="18"/>
          <w:szCs w:val="18"/>
          <w:lang w:val="en-US"/>
        </w:rPr>
        <w:t>[1993] 2 All SA 373 (A); [1993] ZASCA 61.</w:t>
      </w:r>
    </w:p>
  </w:footnote>
  <w:footnote w:id="5">
    <w:p w14:paraId="0C93234A" w14:textId="77777777" w:rsidR="00BE4A4E" w:rsidRPr="00A42FB7" w:rsidRDefault="00BE4A4E" w:rsidP="00B15619">
      <w:pPr>
        <w:pStyle w:val="FootnoteText"/>
        <w:rPr>
          <w:rFonts w:ascii="Arial" w:hAnsi="Arial" w:cs="Arial"/>
          <w:i/>
          <w:sz w:val="18"/>
          <w:szCs w:val="18"/>
          <w:lang w:val="en-US"/>
        </w:rPr>
      </w:pPr>
      <w:r w:rsidRPr="00A42FB7">
        <w:rPr>
          <w:rStyle w:val="FootnoteReference"/>
          <w:rFonts w:ascii="Arial" w:hAnsi="Arial" w:cs="Arial"/>
          <w:sz w:val="18"/>
          <w:szCs w:val="18"/>
        </w:rPr>
        <w:footnoteRef/>
      </w:r>
      <w:r w:rsidRPr="00A42FB7">
        <w:rPr>
          <w:rFonts w:ascii="Arial" w:hAnsi="Arial" w:cs="Arial"/>
          <w:sz w:val="18"/>
          <w:szCs w:val="18"/>
        </w:rPr>
        <w:t xml:space="preserve"> This latter consideration was added in </w:t>
      </w:r>
      <w:r w:rsidRPr="00A42FB7">
        <w:rPr>
          <w:rFonts w:ascii="Arial" w:hAnsi="Arial" w:cs="Arial"/>
          <w:i/>
          <w:sz w:val="18"/>
          <w:szCs w:val="18"/>
          <w:lang w:val="en-US"/>
        </w:rPr>
        <w:t>Kwik Kopy (SA) (Pty) Ltd v Van Haarlem and another</w:t>
      </w:r>
      <w:r w:rsidRPr="00A42FB7">
        <w:rPr>
          <w:rFonts w:ascii="Arial" w:hAnsi="Arial" w:cs="Arial"/>
          <w:sz w:val="18"/>
          <w:szCs w:val="18"/>
          <w:lang w:val="en-US"/>
        </w:rPr>
        <w:t xml:space="preserve"> 1999(1) SA 472 (W) at 484E.</w:t>
      </w:r>
    </w:p>
  </w:footnote>
  <w:footnote w:id="6">
    <w:p w14:paraId="03BD937F" w14:textId="77777777" w:rsidR="00BE4A4E" w:rsidRPr="00A42FB7" w:rsidRDefault="00BE4A4E">
      <w:pPr>
        <w:pStyle w:val="FootnoteText"/>
        <w:rPr>
          <w:rFonts w:ascii="Arial" w:hAnsi="Arial" w:cs="Arial"/>
          <w:sz w:val="18"/>
          <w:szCs w:val="18"/>
          <w:lang w:val="en-US"/>
        </w:rPr>
      </w:pPr>
      <w:r w:rsidRPr="00A42FB7">
        <w:rPr>
          <w:rStyle w:val="FootnoteReference"/>
          <w:rFonts w:ascii="Arial" w:hAnsi="Arial" w:cs="Arial"/>
          <w:sz w:val="18"/>
          <w:szCs w:val="18"/>
        </w:rPr>
        <w:footnoteRef/>
      </w:r>
      <w:r w:rsidRPr="00A42FB7">
        <w:rPr>
          <w:rFonts w:ascii="Arial" w:hAnsi="Arial" w:cs="Arial"/>
          <w:sz w:val="18"/>
          <w:szCs w:val="18"/>
        </w:rPr>
        <w:t xml:space="preserve"> [2007] ZACC 5; </w:t>
      </w:r>
      <w:r w:rsidRPr="00A42FB7">
        <w:rPr>
          <w:rFonts w:ascii="Arial" w:hAnsi="Arial" w:cs="Arial"/>
          <w:sz w:val="18"/>
          <w:szCs w:val="18"/>
          <w:lang w:val="en-US"/>
        </w:rPr>
        <w:t>2007(5) SA 323 (CC); 2007(7) BCLR 691 (CC) at para</w:t>
      </w:r>
      <w:r w:rsidR="00A42FB7">
        <w:rPr>
          <w:rFonts w:ascii="Arial" w:hAnsi="Arial" w:cs="Arial"/>
          <w:sz w:val="18"/>
          <w:szCs w:val="18"/>
          <w:lang w:val="en-US"/>
        </w:rPr>
        <w:t>s</w:t>
      </w:r>
      <w:r w:rsidRPr="00A42FB7">
        <w:rPr>
          <w:rFonts w:ascii="Arial" w:hAnsi="Arial" w:cs="Arial"/>
          <w:sz w:val="18"/>
          <w:szCs w:val="18"/>
          <w:lang w:val="en-US"/>
        </w:rPr>
        <w:t xml:space="preserve"> </w:t>
      </w:r>
      <w:r w:rsidR="00A42FB7">
        <w:rPr>
          <w:rFonts w:ascii="Arial" w:hAnsi="Arial" w:cs="Arial"/>
          <w:sz w:val="18"/>
          <w:szCs w:val="18"/>
          <w:lang w:val="en-US"/>
        </w:rPr>
        <w:t xml:space="preserve">28 to </w:t>
      </w:r>
      <w:r w:rsidRPr="00A42FB7">
        <w:rPr>
          <w:rFonts w:ascii="Arial" w:hAnsi="Arial" w:cs="Arial"/>
          <w:sz w:val="18"/>
          <w:szCs w:val="18"/>
          <w:lang w:val="en-US"/>
        </w:rPr>
        <w:t xml:space="preserve">30.  </w:t>
      </w:r>
    </w:p>
  </w:footnote>
  <w:footnote w:id="7">
    <w:p w14:paraId="1AD018CD" w14:textId="77777777" w:rsidR="00A42FB7" w:rsidRPr="00A42FB7" w:rsidRDefault="00A42FB7">
      <w:pPr>
        <w:pStyle w:val="FootnoteText"/>
        <w:rPr>
          <w:rFonts w:ascii="Arial" w:hAnsi="Arial" w:cs="Arial"/>
          <w:sz w:val="18"/>
          <w:szCs w:val="18"/>
          <w:lang w:val="en-US"/>
        </w:rPr>
      </w:pPr>
      <w:r w:rsidRPr="00A42FB7">
        <w:rPr>
          <w:rStyle w:val="FootnoteReference"/>
          <w:rFonts w:ascii="Arial" w:hAnsi="Arial" w:cs="Arial"/>
          <w:sz w:val="18"/>
          <w:szCs w:val="18"/>
        </w:rPr>
        <w:footnoteRef/>
      </w:r>
      <w:r w:rsidRPr="00A42FB7">
        <w:rPr>
          <w:rFonts w:ascii="Arial" w:hAnsi="Arial" w:cs="Arial"/>
          <w:sz w:val="18"/>
          <w:szCs w:val="18"/>
        </w:rPr>
        <w:t xml:space="preserve"> </w:t>
      </w:r>
      <w:r w:rsidRPr="00A42FB7">
        <w:rPr>
          <w:rFonts w:ascii="Arial" w:hAnsi="Arial" w:cs="Arial"/>
          <w:sz w:val="18"/>
          <w:szCs w:val="18"/>
          <w:lang w:val="en-US"/>
        </w:rPr>
        <w:t>2020(5) SA 247 (CC)</w:t>
      </w:r>
      <w:r w:rsidR="002972AA">
        <w:rPr>
          <w:rFonts w:ascii="Arial" w:hAnsi="Arial" w:cs="Arial"/>
          <w:sz w:val="18"/>
          <w:szCs w:val="18"/>
          <w:lang w:val="en-US"/>
        </w:rPr>
        <w:t xml:space="preserve"> especially at paras 71 to 90</w:t>
      </w:r>
      <w:r w:rsidRPr="00A42FB7">
        <w:rPr>
          <w:rFonts w:ascii="Arial" w:hAnsi="Arial" w:cs="Arial"/>
          <w:sz w:val="18"/>
          <w:szCs w:val="18"/>
          <w:lang w:val="en-US"/>
        </w:rPr>
        <w:t>.</w:t>
      </w:r>
    </w:p>
  </w:footnote>
  <w:footnote w:id="8">
    <w:p w14:paraId="3C5423A6" w14:textId="77777777" w:rsidR="002972AA" w:rsidRPr="002972AA" w:rsidRDefault="002972AA">
      <w:pPr>
        <w:pStyle w:val="FootnoteText"/>
        <w:rPr>
          <w:rFonts w:ascii="Arial" w:hAnsi="Arial" w:cs="Arial"/>
          <w:i/>
          <w:sz w:val="18"/>
          <w:szCs w:val="18"/>
          <w:lang w:val="en-US"/>
        </w:rPr>
      </w:pPr>
      <w:r w:rsidRPr="002972AA">
        <w:rPr>
          <w:rStyle w:val="FootnoteReference"/>
          <w:rFonts w:ascii="Arial" w:hAnsi="Arial" w:cs="Arial"/>
          <w:sz w:val="18"/>
          <w:szCs w:val="18"/>
        </w:rPr>
        <w:footnoteRef/>
      </w:r>
      <w:r w:rsidRPr="002972AA">
        <w:rPr>
          <w:rFonts w:ascii="Arial" w:hAnsi="Arial" w:cs="Arial"/>
          <w:sz w:val="18"/>
          <w:szCs w:val="18"/>
        </w:rPr>
        <w:t xml:space="preserve"> </w:t>
      </w:r>
      <w:r w:rsidRPr="002972AA">
        <w:rPr>
          <w:rFonts w:ascii="Arial" w:hAnsi="Arial" w:cs="Arial"/>
          <w:i/>
          <w:sz w:val="18"/>
          <w:szCs w:val="18"/>
          <w:lang w:val="en-US"/>
        </w:rPr>
        <w:t xml:space="preserve">Beadica </w:t>
      </w:r>
      <w:r w:rsidRPr="002972AA">
        <w:rPr>
          <w:rFonts w:ascii="Arial" w:hAnsi="Arial" w:cs="Arial"/>
          <w:sz w:val="18"/>
          <w:szCs w:val="18"/>
          <w:lang w:val="en-US"/>
        </w:rPr>
        <w:t xml:space="preserve">at para 71.  I do not separately reference the many cases referred to in </w:t>
      </w:r>
      <w:r w:rsidRPr="002972AA">
        <w:rPr>
          <w:rFonts w:ascii="Arial" w:hAnsi="Arial" w:cs="Arial"/>
          <w:i/>
          <w:sz w:val="18"/>
          <w:szCs w:val="18"/>
          <w:lang w:val="en-US"/>
        </w:rPr>
        <w:t xml:space="preserve">Beadica. </w:t>
      </w:r>
    </w:p>
  </w:footnote>
  <w:footnote w:id="9">
    <w:p w14:paraId="02E87378" w14:textId="77777777" w:rsidR="002972AA" w:rsidRPr="00247A33" w:rsidRDefault="002972AA">
      <w:pPr>
        <w:pStyle w:val="FootnoteText"/>
        <w:rPr>
          <w:rFonts w:ascii="Arial" w:hAnsi="Arial" w:cs="Arial"/>
          <w:sz w:val="18"/>
          <w:szCs w:val="18"/>
          <w:lang w:val="en-US"/>
        </w:rPr>
      </w:pPr>
      <w:r w:rsidRPr="00247A33">
        <w:rPr>
          <w:rStyle w:val="FootnoteReference"/>
          <w:rFonts w:ascii="Arial" w:hAnsi="Arial" w:cs="Arial"/>
          <w:sz w:val="18"/>
          <w:szCs w:val="18"/>
        </w:rPr>
        <w:footnoteRef/>
      </w:r>
      <w:r w:rsidRPr="00247A33">
        <w:rPr>
          <w:rFonts w:ascii="Arial" w:hAnsi="Arial" w:cs="Arial"/>
          <w:sz w:val="18"/>
          <w:szCs w:val="18"/>
        </w:rPr>
        <w:t xml:space="preserve"> </w:t>
      </w:r>
      <w:r w:rsidRPr="00247A33">
        <w:rPr>
          <w:rFonts w:ascii="Arial" w:hAnsi="Arial" w:cs="Arial"/>
          <w:sz w:val="18"/>
          <w:szCs w:val="18"/>
          <w:lang w:val="en-US"/>
        </w:rPr>
        <w:t xml:space="preserve">Id. </w:t>
      </w:r>
    </w:p>
  </w:footnote>
  <w:footnote w:id="10">
    <w:p w14:paraId="2AA2861B" w14:textId="77777777" w:rsidR="00247A33" w:rsidRPr="00247A33" w:rsidRDefault="00247A33">
      <w:pPr>
        <w:pStyle w:val="FootnoteText"/>
        <w:rPr>
          <w:lang w:val="en-US"/>
        </w:rPr>
      </w:pPr>
      <w:r>
        <w:rPr>
          <w:rStyle w:val="FootnoteReference"/>
        </w:rPr>
        <w:footnoteRef/>
      </w:r>
      <w:r>
        <w:t xml:space="preserve"> </w:t>
      </w:r>
      <w:r>
        <w:rPr>
          <w:lang w:val="en-US"/>
        </w:rPr>
        <w:t xml:space="preserve">Id at para 72. </w:t>
      </w:r>
    </w:p>
  </w:footnote>
  <w:footnote w:id="11">
    <w:p w14:paraId="37FF868A" w14:textId="77777777" w:rsidR="00247A33" w:rsidRPr="00247A33" w:rsidRDefault="00247A33">
      <w:pPr>
        <w:pStyle w:val="FootnoteText"/>
        <w:rPr>
          <w:lang w:val="en-US"/>
        </w:rPr>
      </w:pPr>
      <w:r>
        <w:rPr>
          <w:rStyle w:val="FootnoteReference"/>
        </w:rPr>
        <w:footnoteRef/>
      </w:r>
      <w:r>
        <w:t xml:space="preserve"> </w:t>
      </w:r>
      <w:r>
        <w:rPr>
          <w:lang w:val="en-US"/>
        </w:rPr>
        <w:t xml:space="preserve">Id at para 80. </w:t>
      </w:r>
    </w:p>
  </w:footnote>
  <w:footnote w:id="12">
    <w:p w14:paraId="60D9269C" w14:textId="77777777" w:rsidR="00A77137" w:rsidRPr="00A77137" w:rsidRDefault="00A77137">
      <w:pPr>
        <w:pStyle w:val="FootnoteText"/>
        <w:rPr>
          <w:rFonts w:ascii="Arial" w:hAnsi="Arial" w:cs="Arial"/>
          <w:sz w:val="18"/>
          <w:szCs w:val="18"/>
          <w:lang w:val="en-US"/>
        </w:rPr>
      </w:pPr>
      <w:r w:rsidRPr="00A77137">
        <w:rPr>
          <w:rStyle w:val="FootnoteReference"/>
          <w:rFonts w:ascii="Arial" w:hAnsi="Arial" w:cs="Arial"/>
          <w:sz w:val="18"/>
          <w:szCs w:val="18"/>
        </w:rPr>
        <w:footnoteRef/>
      </w:r>
      <w:r w:rsidRPr="00A77137">
        <w:rPr>
          <w:rFonts w:ascii="Arial" w:hAnsi="Arial" w:cs="Arial"/>
          <w:sz w:val="18"/>
          <w:szCs w:val="18"/>
        </w:rPr>
        <w:t xml:space="preserve"> </w:t>
      </w:r>
      <w:r w:rsidRPr="00A77137">
        <w:rPr>
          <w:rFonts w:ascii="Arial" w:hAnsi="Arial" w:cs="Arial"/>
          <w:sz w:val="18"/>
          <w:szCs w:val="18"/>
          <w:lang w:val="en-US"/>
        </w:rPr>
        <w:t>Id at paras 88 to 90</w:t>
      </w:r>
      <w:r>
        <w:rPr>
          <w:rFonts w:ascii="Arial" w:hAnsi="Arial" w:cs="Arial"/>
          <w:sz w:val="18"/>
          <w:szCs w:val="18"/>
          <w:lang w:val="en-US"/>
        </w:rPr>
        <w:t>, where this principle is elaborated upon</w:t>
      </w:r>
      <w:r w:rsidRPr="00A77137">
        <w:rPr>
          <w:rFonts w:ascii="Arial" w:hAnsi="Arial" w:cs="Arial"/>
          <w:sz w:val="18"/>
          <w:szCs w:val="18"/>
          <w:lang w:val="en-US"/>
        </w:rPr>
        <w:t>.</w:t>
      </w:r>
    </w:p>
  </w:footnote>
  <w:footnote w:id="13">
    <w:p w14:paraId="05AB1DA5" w14:textId="77777777" w:rsidR="00BE4A4E" w:rsidRPr="004A3D7F" w:rsidRDefault="00BE4A4E">
      <w:pPr>
        <w:pStyle w:val="FootnoteText"/>
        <w:rPr>
          <w:rFonts w:ascii="Arial" w:hAnsi="Arial" w:cs="Arial"/>
          <w:sz w:val="18"/>
          <w:szCs w:val="18"/>
          <w:lang w:val="en-US"/>
        </w:rPr>
      </w:pPr>
      <w:r w:rsidRPr="004A3D7F">
        <w:rPr>
          <w:rStyle w:val="FootnoteReference"/>
          <w:rFonts w:ascii="Arial" w:hAnsi="Arial" w:cs="Arial"/>
          <w:sz w:val="18"/>
          <w:szCs w:val="18"/>
        </w:rPr>
        <w:footnoteRef/>
      </w:r>
      <w:r w:rsidRPr="004A3D7F">
        <w:rPr>
          <w:rFonts w:ascii="Arial" w:hAnsi="Arial" w:cs="Arial"/>
          <w:sz w:val="18"/>
          <w:szCs w:val="18"/>
        </w:rPr>
        <w:t xml:space="preserve"> </w:t>
      </w:r>
      <w:r w:rsidRPr="004A3D7F">
        <w:rPr>
          <w:rFonts w:ascii="Arial" w:hAnsi="Arial" w:cs="Arial"/>
          <w:sz w:val="18"/>
          <w:szCs w:val="18"/>
          <w:lang w:val="en-US"/>
        </w:rPr>
        <w:t xml:space="preserve">The letter expressly records that the proposed undertaking does not constitute a novation or waiver. </w:t>
      </w:r>
    </w:p>
  </w:footnote>
  <w:footnote w:id="14">
    <w:p w14:paraId="109CF6CC" w14:textId="77777777" w:rsidR="00BE4A4E" w:rsidRPr="00DF409E" w:rsidRDefault="00BE4A4E">
      <w:pPr>
        <w:pStyle w:val="FootnoteText"/>
        <w:rPr>
          <w:rFonts w:ascii="Arial" w:hAnsi="Arial" w:cs="Arial"/>
          <w:sz w:val="18"/>
          <w:szCs w:val="18"/>
          <w:lang w:val="en-US"/>
        </w:rPr>
      </w:pPr>
      <w:r w:rsidRPr="00674A5C">
        <w:rPr>
          <w:rStyle w:val="FootnoteReference"/>
          <w:rFonts w:ascii="Arial" w:hAnsi="Arial" w:cs="Arial"/>
          <w:sz w:val="18"/>
          <w:szCs w:val="18"/>
        </w:rPr>
        <w:footnoteRef/>
      </w:r>
      <w:r w:rsidRPr="00674A5C">
        <w:rPr>
          <w:rFonts w:ascii="Arial" w:hAnsi="Arial" w:cs="Arial"/>
          <w:sz w:val="18"/>
          <w:szCs w:val="18"/>
        </w:rPr>
        <w:t xml:space="preserve"> </w:t>
      </w:r>
      <w:r w:rsidRPr="00674A5C">
        <w:rPr>
          <w:rFonts w:ascii="Arial" w:hAnsi="Arial" w:cs="Arial"/>
          <w:i/>
          <w:sz w:val="18"/>
          <w:szCs w:val="18"/>
          <w:lang w:val="en-US"/>
        </w:rPr>
        <w:t>Magna Alloys. BHT Water Treatment (Pty) Ltd v Leslie</w:t>
      </w:r>
      <w:r w:rsidRPr="00674A5C">
        <w:rPr>
          <w:rFonts w:ascii="Arial" w:hAnsi="Arial" w:cs="Arial"/>
          <w:sz w:val="18"/>
          <w:szCs w:val="18"/>
          <w:lang w:val="en-US"/>
        </w:rPr>
        <w:t xml:space="preserve"> [1993] 3</w:t>
      </w:r>
      <w:r w:rsidR="00674A5C" w:rsidRPr="00674A5C">
        <w:rPr>
          <w:rFonts w:ascii="Arial" w:hAnsi="Arial" w:cs="Arial"/>
          <w:sz w:val="18"/>
          <w:szCs w:val="18"/>
          <w:lang w:val="en-US"/>
        </w:rPr>
        <w:t xml:space="preserve"> All SA 126;</w:t>
      </w:r>
      <w:r w:rsidRPr="00674A5C">
        <w:rPr>
          <w:rFonts w:ascii="Arial" w:hAnsi="Arial" w:cs="Arial"/>
          <w:sz w:val="18"/>
          <w:szCs w:val="18"/>
          <w:lang w:val="en-US"/>
        </w:rPr>
        <w:t xml:space="preserve"> 1993(1) SA 47 (W) 52F-54I.</w:t>
      </w:r>
      <w:r w:rsidRPr="00DF409E">
        <w:rPr>
          <w:rFonts w:ascii="Arial" w:hAnsi="Arial" w:cs="Arial"/>
          <w:sz w:val="18"/>
          <w:szCs w:val="18"/>
          <w:lang w:val="en-US"/>
        </w:rPr>
        <w:t xml:space="preserve"> </w:t>
      </w:r>
    </w:p>
  </w:footnote>
  <w:footnote w:id="15">
    <w:p w14:paraId="70B497E5" w14:textId="77777777" w:rsidR="001D373A" w:rsidRPr="00674A5C" w:rsidRDefault="001D373A">
      <w:pPr>
        <w:pStyle w:val="FootnoteText"/>
        <w:rPr>
          <w:rFonts w:ascii="Arial" w:hAnsi="Arial" w:cs="Arial"/>
          <w:lang w:val="en-US"/>
        </w:rPr>
      </w:pPr>
      <w:r w:rsidRPr="00674A5C">
        <w:rPr>
          <w:rStyle w:val="FootnoteReference"/>
          <w:rFonts w:ascii="Arial" w:hAnsi="Arial" w:cs="Arial"/>
        </w:rPr>
        <w:footnoteRef/>
      </w:r>
      <w:r w:rsidRPr="00674A5C">
        <w:rPr>
          <w:rFonts w:ascii="Arial" w:hAnsi="Arial" w:cs="Arial"/>
        </w:rPr>
        <w:t xml:space="preserve"> </w:t>
      </w:r>
      <w:r w:rsidRPr="00674A5C">
        <w:rPr>
          <w:rFonts w:ascii="Arial" w:hAnsi="Arial" w:cs="Arial"/>
          <w:lang w:val="en-US"/>
        </w:rPr>
        <w:t xml:space="preserve">Cf </w:t>
      </w:r>
      <w:r w:rsidRPr="00674A5C">
        <w:rPr>
          <w:rFonts w:ascii="Arial" w:hAnsi="Arial" w:cs="Arial"/>
          <w:i/>
          <w:lang w:val="en-US"/>
        </w:rPr>
        <w:t xml:space="preserve">Pam Golding Franchise Services (Pty) Ltd v Douglas </w:t>
      </w:r>
      <w:r w:rsidRPr="00674A5C">
        <w:rPr>
          <w:rFonts w:ascii="Arial" w:hAnsi="Arial" w:cs="Arial"/>
          <w:lang w:val="en-US"/>
        </w:rPr>
        <w:t>1996(4) SA 1217 (D)</w:t>
      </w:r>
    </w:p>
  </w:footnote>
  <w:footnote w:id="16">
    <w:p w14:paraId="5B341756" w14:textId="77777777" w:rsidR="00BE4A4E" w:rsidRPr="00613697" w:rsidRDefault="00BE4A4E">
      <w:pPr>
        <w:pStyle w:val="FootnoteText"/>
        <w:rPr>
          <w:rFonts w:ascii="Arial" w:hAnsi="Arial" w:cs="Arial"/>
          <w:sz w:val="18"/>
          <w:szCs w:val="18"/>
          <w:lang w:val="en-US"/>
        </w:rPr>
      </w:pPr>
      <w:r w:rsidRPr="00613697">
        <w:rPr>
          <w:rStyle w:val="FootnoteReference"/>
          <w:rFonts w:ascii="Arial" w:hAnsi="Arial" w:cs="Arial"/>
          <w:sz w:val="18"/>
          <w:szCs w:val="18"/>
        </w:rPr>
        <w:footnoteRef/>
      </w:r>
      <w:r w:rsidRPr="00613697">
        <w:rPr>
          <w:rFonts w:ascii="Arial" w:hAnsi="Arial" w:cs="Arial"/>
          <w:sz w:val="18"/>
          <w:szCs w:val="18"/>
        </w:rPr>
        <w:t xml:space="preserve"> </w:t>
      </w:r>
      <w:r w:rsidRPr="00613697">
        <w:rPr>
          <w:rFonts w:ascii="Arial" w:hAnsi="Arial" w:cs="Arial"/>
          <w:i/>
          <w:sz w:val="18"/>
          <w:szCs w:val="18"/>
          <w:lang w:val="en-US"/>
        </w:rPr>
        <w:t xml:space="preserve">Betterbond (Pty) Ltd and another v Alister Smit and another </w:t>
      </w:r>
      <w:r w:rsidRPr="00613697">
        <w:rPr>
          <w:rFonts w:ascii="Arial" w:hAnsi="Arial" w:cs="Arial"/>
          <w:sz w:val="18"/>
          <w:szCs w:val="18"/>
          <w:lang w:val="en-US"/>
        </w:rPr>
        <w:t>(Case No:  J2898/18) delivered in the Labour Court on 5 October 2018</w:t>
      </w:r>
      <w:r>
        <w:rPr>
          <w:rFonts w:ascii="Arial" w:hAnsi="Arial" w:cs="Arial"/>
          <w:sz w:val="18"/>
          <w:szCs w:val="18"/>
          <w:lang w:val="en-US"/>
        </w:rPr>
        <w:t xml:space="preserve"> (</w:t>
      </w:r>
      <w:r w:rsidRPr="00613697">
        <w:rPr>
          <w:rFonts w:ascii="Arial" w:hAnsi="Arial" w:cs="Arial"/>
          <w:i/>
          <w:sz w:val="18"/>
          <w:szCs w:val="18"/>
          <w:lang w:val="en-US"/>
        </w:rPr>
        <w:t>Smit</w:t>
      </w:r>
      <w:r>
        <w:rPr>
          <w:rFonts w:ascii="Arial" w:hAnsi="Arial" w:cs="Arial"/>
          <w:sz w:val="18"/>
          <w:szCs w:val="18"/>
          <w:lang w:val="en-US"/>
        </w:rPr>
        <w:t>)</w:t>
      </w:r>
      <w:r w:rsidRPr="00613697">
        <w:rPr>
          <w:rFonts w:ascii="Arial" w:hAnsi="Arial" w:cs="Arial"/>
          <w:sz w:val="18"/>
          <w:szCs w:val="18"/>
          <w:lang w:val="en-US"/>
        </w:rPr>
        <w:t xml:space="preserve">. </w:t>
      </w:r>
    </w:p>
  </w:footnote>
  <w:footnote w:id="17">
    <w:p w14:paraId="787034DA" w14:textId="77777777" w:rsidR="00BE4A4E" w:rsidRPr="00613697" w:rsidRDefault="00BE4A4E">
      <w:pPr>
        <w:pStyle w:val="FootnoteText"/>
        <w:rPr>
          <w:lang w:val="en-US"/>
        </w:rPr>
      </w:pPr>
      <w:r w:rsidRPr="00613697">
        <w:rPr>
          <w:rStyle w:val="FootnoteReference"/>
          <w:rFonts w:ascii="Arial" w:hAnsi="Arial" w:cs="Arial"/>
          <w:sz w:val="18"/>
          <w:szCs w:val="18"/>
        </w:rPr>
        <w:footnoteRef/>
      </w:r>
      <w:r w:rsidRPr="00613697">
        <w:rPr>
          <w:rFonts w:ascii="Arial" w:hAnsi="Arial" w:cs="Arial"/>
          <w:sz w:val="18"/>
          <w:szCs w:val="18"/>
        </w:rPr>
        <w:t xml:space="preserve"> </w:t>
      </w:r>
      <w:r w:rsidRPr="00613697">
        <w:rPr>
          <w:rFonts w:ascii="Arial" w:hAnsi="Arial" w:cs="Arial"/>
          <w:i/>
          <w:sz w:val="18"/>
          <w:szCs w:val="18"/>
          <w:lang w:val="en-US"/>
        </w:rPr>
        <w:t xml:space="preserve">Betterlife Origination Services (Pty) Ltd t/a Betterbond v Karabo Maluleke and others </w:t>
      </w:r>
      <w:r w:rsidRPr="00613697">
        <w:rPr>
          <w:rFonts w:ascii="Arial" w:hAnsi="Arial" w:cs="Arial"/>
          <w:sz w:val="18"/>
          <w:szCs w:val="18"/>
          <w:lang w:val="en-US"/>
        </w:rPr>
        <w:t>Case no 2024-013771 delivered in the High Court, Johannesburg on 22 February 2024</w:t>
      </w:r>
      <w:r w:rsidR="005C2C75">
        <w:rPr>
          <w:rFonts w:ascii="Arial" w:hAnsi="Arial" w:cs="Arial"/>
          <w:sz w:val="18"/>
          <w:szCs w:val="18"/>
          <w:lang w:val="en-US"/>
        </w:rPr>
        <w:t xml:space="preserve"> (</w:t>
      </w:r>
      <w:r w:rsidR="005C2C75">
        <w:rPr>
          <w:rFonts w:ascii="Arial" w:hAnsi="Arial" w:cs="Arial"/>
          <w:i/>
          <w:sz w:val="18"/>
          <w:szCs w:val="18"/>
          <w:lang w:val="en-US"/>
        </w:rPr>
        <w:t>Maluleke)</w:t>
      </w:r>
      <w:r w:rsidRPr="00613697">
        <w:rPr>
          <w:rFonts w:ascii="Arial" w:hAnsi="Arial" w:cs="Arial"/>
          <w:sz w:val="18"/>
          <w:szCs w:val="18"/>
          <w:lang w:val="en-US"/>
        </w:rPr>
        <w:t xml:space="preserve">. </w:t>
      </w:r>
    </w:p>
  </w:footnote>
  <w:footnote w:id="18">
    <w:p w14:paraId="03A87DA5" w14:textId="77777777" w:rsidR="00BE4A4E" w:rsidRPr="000457F9" w:rsidRDefault="00BE4A4E" w:rsidP="000457F9">
      <w:pPr>
        <w:spacing w:after="0" w:line="240" w:lineRule="auto"/>
        <w:jc w:val="both"/>
        <w:rPr>
          <w:rFonts w:ascii="Arial" w:hAnsi="Arial" w:cs="Arial"/>
          <w:sz w:val="18"/>
          <w:szCs w:val="18"/>
          <w:lang w:val="en-GB"/>
        </w:rPr>
      </w:pPr>
      <w:r w:rsidRPr="000457F9">
        <w:rPr>
          <w:rStyle w:val="FootnoteReference"/>
          <w:rFonts w:ascii="Arial" w:hAnsi="Arial" w:cs="Arial"/>
          <w:sz w:val="18"/>
          <w:szCs w:val="18"/>
        </w:rPr>
        <w:footnoteRef/>
      </w:r>
      <w:r w:rsidRPr="000457F9">
        <w:rPr>
          <w:rFonts w:ascii="Arial" w:hAnsi="Arial" w:cs="Arial"/>
          <w:sz w:val="18"/>
          <w:szCs w:val="18"/>
        </w:rPr>
        <w:t xml:space="preserve"> </w:t>
      </w:r>
      <w:r w:rsidRPr="000457F9">
        <w:rPr>
          <w:rFonts w:ascii="Arial" w:hAnsi="Arial" w:cs="Arial"/>
          <w:sz w:val="18"/>
          <w:szCs w:val="18"/>
          <w:lang w:val="en-GB"/>
        </w:rPr>
        <w:t>“Business” means the business of the Employer, such business consisting of mortgage origination and related services conducted by the by the Employer and or the Group, including but not limited to:</w:t>
      </w:r>
    </w:p>
    <w:p w14:paraId="71E8CC86" w14:textId="77777777" w:rsidR="00BE4A4E" w:rsidRPr="000457F9" w:rsidRDefault="00BE4A4E" w:rsidP="000457F9">
      <w:pPr>
        <w:spacing w:after="0" w:line="240" w:lineRule="auto"/>
        <w:jc w:val="both"/>
        <w:rPr>
          <w:rFonts w:ascii="Arial" w:hAnsi="Arial" w:cs="Arial"/>
          <w:sz w:val="18"/>
          <w:szCs w:val="18"/>
          <w:lang w:val="en-GB"/>
        </w:rPr>
      </w:pPr>
      <w:r w:rsidRPr="000457F9">
        <w:rPr>
          <w:rFonts w:ascii="Arial" w:hAnsi="Arial" w:cs="Arial"/>
          <w:sz w:val="18"/>
          <w:szCs w:val="18"/>
          <w:lang w:val="en-GB"/>
        </w:rPr>
        <w:t>- mortgage origination and aggregation;</w:t>
      </w:r>
    </w:p>
    <w:p w14:paraId="0AFB299E" w14:textId="77777777" w:rsidR="00BE4A4E" w:rsidRPr="000457F9" w:rsidRDefault="00BE4A4E" w:rsidP="000457F9">
      <w:pPr>
        <w:spacing w:after="0" w:line="240" w:lineRule="auto"/>
        <w:jc w:val="both"/>
        <w:rPr>
          <w:rFonts w:ascii="Arial" w:hAnsi="Arial" w:cs="Arial"/>
          <w:sz w:val="18"/>
          <w:szCs w:val="18"/>
          <w:lang w:val="en-GB"/>
        </w:rPr>
      </w:pPr>
      <w:r w:rsidRPr="000457F9">
        <w:rPr>
          <w:rFonts w:ascii="Arial" w:hAnsi="Arial" w:cs="Arial"/>
          <w:sz w:val="18"/>
          <w:szCs w:val="18"/>
          <w:lang w:val="en-GB"/>
        </w:rPr>
        <w:t>- insurance and insurance systems and products relating to mortgage origination;</w:t>
      </w:r>
    </w:p>
    <w:p w14:paraId="60784C77" w14:textId="77777777" w:rsidR="00BE4A4E" w:rsidRPr="000457F9" w:rsidRDefault="00BE4A4E" w:rsidP="000457F9">
      <w:pPr>
        <w:spacing w:after="0" w:line="240" w:lineRule="auto"/>
        <w:jc w:val="both"/>
        <w:rPr>
          <w:rFonts w:ascii="Arial" w:hAnsi="Arial" w:cs="Arial"/>
          <w:sz w:val="18"/>
          <w:szCs w:val="18"/>
          <w:lang w:val="en-GB"/>
        </w:rPr>
      </w:pPr>
      <w:r w:rsidRPr="000457F9">
        <w:rPr>
          <w:rFonts w:ascii="Arial" w:hAnsi="Arial" w:cs="Arial"/>
          <w:sz w:val="18"/>
          <w:szCs w:val="18"/>
          <w:lang w:val="en-GB"/>
        </w:rPr>
        <w:t>- related value added products;</w:t>
      </w:r>
    </w:p>
    <w:p w14:paraId="021A68AC" w14:textId="77777777" w:rsidR="00BE4A4E" w:rsidRPr="000457F9" w:rsidRDefault="00BE4A4E" w:rsidP="000457F9">
      <w:pPr>
        <w:spacing w:after="0" w:line="240" w:lineRule="auto"/>
        <w:jc w:val="both"/>
        <w:rPr>
          <w:rFonts w:ascii="Arial" w:hAnsi="Arial" w:cs="Arial"/>
          <w:sz w:val="18"/>
          <w:szCs w:val="18"/>
          <w:lang w:val="en-GB"/>
        </w:rPr>
      </w:pPr>
      <w:r>
        <w:rPr>
          <w:rFonts w:ascii="Arial" w:hAnsi="Arial" w:cs="Arial"/>
          <w:sz w:val="18"/>
          <w:szCs w:val="18"/>
          <w:lang w:val="en-GB"/>
        </w:rPr>
        <w:t>a</w:t>
      </w:r>
      <w:r w:rsidRPr="000457F9">
        <w:rPr>
          <w:rFonts w:ascii="Arial" w:hAnsi="Arial" w:cs="Arial"/>
          <w:sz w:val="18"/>
          <w:szCs w:val="18"/>
          <w:lang w:val="en-GB"/>
        </w:rPr>
        <w:t>nd including all other processes and methods employed by the employer in conducting its business.’</w:t>
      </w:r>
    </w:p>
  </w:footnote>
  <w:footnote w:id="19">
    <w:p w14:paraId="4A2E3020" w14:textId="77777777" w:rsidR="00BE4A4E" w:rsidRPr="000457F9" w:rsidRDefault="00BE4A4E" w:rsidP="000457F9">
      <w:pPr>
        <w:pStyle w:val="FootnoteText"/>
        <w:jc w:val="both"/>
        <w:rPr>
          <w:rFonts w:ascii="Arial" w:hAnsi="Arial" w:cs="Arial"/>
          <w:sz w:val="18"/>
          <w:szCs w:val="18"/>
          <w:lang w:val="en-US"/>
        </w:rPr>
      </w:pPr>
      <w:r w:rsidRPr="000457F9">
        <w:rPr>
          <w:rStyle w:val="FootnoteReference"/>
          <w:rFonts w:ascii="Arial" w:hAnsi="Arial" w:cs="Arial"/>
          <w:sz w:val="18"/>
          <w:szCs w:val="18"/>
        </w:rPr>
        <w:footnoteRef/>
      </w:r>
      <w:r w:rsidRPr="000457F9">
        <w:rPr>
          <w:rFonts w:ascii="Arial" w:hAnsi="Arial" w:cs="Arial"/>
          <w:sz w:val="18"/>
          <w:szCs w:val="18"/>
        </w:rPr>
        <w:t xml:space="preserve"> </w:t>
      </w:r>
      <w:r w:rsidRPr="000457F9">
        <w:rPr>
          <w:rFonts w:ascii="Arial" w:hAnsi="Arial" w:cs="Arial"/>
          <w:sz w:val="18"/>
          <w:szCs w:val="18"/>
          <w:lang w:val="en-GB"/>
        </w:rPr>
        <w:t xml:space="preserve"> “Restricted Lead Sources” means each and every entity that continues to be, or has been in the last 12 (twelve) months prior to the Termination Date, a business lead source for the Employer and/or the Group in regard to the Business within the Territory, including, but not limited to, any estate agency, estate agent, attorney firm, auctioneer, aggregation franchise, that has received or is entitled to receive remuneration from the Employer or the Group for the referral of the Business.</w:t>
      </w:r>
    </w:p>
  </w:footnote>
  <w:footnote w:id="20">
    <w:p w14:paraId="68F92AD2" w14:textId="77777777" w:rsidR="00BE4A4E" w:rsidRPr="000457F9" w:rsidRDefault="00BE4A4E" w:rsidP="000457F9">
      <w:pPr>
        <w:pStyle w:val="FootnoteText"/>
        <w:jc w:val="both"/>
        <w:rPr>
          <w:rFonts w:ascii="Arial" w:hAnsi="Arial" w:cs="Arial"/>
          <w:sz w:val="18"/>
          <w:szCs w:val="18"/>
          <w:lang w:val="en-US"/>
        </w:rPr>
      </w:pPr>
      <w:r w:rsidRPr="000457F9">
        <w:rPr>
          <w:rStyle w:val="FootnoteReference"/>
          <w:rFonts w:ascii="Arial" w:hAnsi="Arial" w:cs="Arial"/>
          <w:sz w:val="18"/>
          <w:szCs w:val="18"/>
        </w:rPr>
        <w:footnoteRef/>
      </w:r>
      <w:r w:rsidRPr="000457F9">
        <w:rPr>
          <w:rFonts w:ascii="Arial" w:hAnsi="Arial" w:cs="Arial"/>
          <w:sz w:val="18"/>
          <w:szCs w:val="18"/>
        </w:rPr>
        <w:t xml:space="preserve"> </w:t>
      </w:r>
      <w:r w:rsidRPr="000457F9">
        <w:rPr>
          <w:rFonts w:ascii="Arial" w:hAnsi="Arial" w:cs="Arial"/>
          <w:sz w:val="18"/>
          <w:szCs w:val="18"/>
          <w:lang w:val="en-GB"/>
        </w:rPr>
        <w:t>“Restricted Party” means each and every entity with whom the Employee has interacted with, in the course and scope of his/her employment and/or on behalf of the Employee or the Group and all other entities with which the Business or Group participates or proposes to participate in a Restricted Transaction, to the reasonable knowledge of the Employee;</w:t>
      </w:r>
    </w:p>
  </w:footnote>
  <w:footnote w:id="21">
    <w:p w14:paraId="39EC9A0C" w14:textId="77777777" w:rsidR="00BE4A4E" w:rsidRPr="000457F9" w:rsidRDefault="00BE4A4E" w:rsidP="000457F9">
      <w:pPr>
        <w:pStyle w:val="FootnoteText"/>
        <w:jc w:val="both"/>
        <w:rPr>
          <w:rFonts w:ascii="Arial" w:hAnsi="Arial" w:cs="Arial"/>
          <w:sz w:val="18"/>
          <w:szCs w:val="18"/>
          <w:lang w:val="en-US"/>
        </w:rPr>
      </w:pPr>
      <w:r w:rsidRPr="000457F9">
        <w:rPr>
          <w:rStyle w:val="FootnoteReference"/>
          <w:rFonts w:ascii="Arial" w:hAnsi="Arial" w:cs="Arial"/>
          <w:sz w:val="18"/>
          <w:szCs w:val="18"/>
        </w:rPr>
        <w:footnoteRef/>
      </w:r>
      <w:r w:rsidRPr="000457F9">
        <w:rPr>
          <w:rFonts w:ascii="Arial" w:hAnsi="Arial" w:cs="Arial"/>
          <w:sz w:val="18"/>
          <w:szCs w:val="18"/>
        </w:rPr>
        <w:t xml:space="preserve"> </w:t>
      </w:r>
      <w:r w:rsidRPr="000457F9">
        <w:rPr>
          <w:rFonts w:ascii="Arial" w:hAnsi="Arial" w:cs="Arial"/>
          <w:sz w:val="18"/>
          <w:szCs w:val="18"/>
          <w:lang w:val="en-GB"/>
        </w:rPr>
        <w:t>“Restricted Transaction” means any business transaction or proposed transaction between the Employer or the Group and any other entity in regards to the Business within the Territory, undertaken or under consideration as at or during the preceding 12 (twelve) months of the Termination Date including but not limited to, any transaction pursuant to which  the Restricted Party will participate in the conduct of the Business with the Employer and /or the Group, whether as a lead source or otherwise;</w:t>
      </w:r>
    </w:p>
  </w:footnote>
  <w:footnote w:id="22">
    <w:p w14:paraId="44DE9D72" w14:textId="77777777" w:rsidR="00BE4A4E" w:rsidRPr="00F579C5" w:rsidRDefault="00BE4A4E">
      <w:pPr>
        <w:pStyle w:val="FootnoteText"/>
        <w:rPr>
          <w:rFonts w:ascii="Arial" w:hAnsi="Arial" w:cs="Arial"/>
          <w:sz w:val="18"/>
          <w:szCs w:val="18"/>
          <w:lang w:val="en-US"/>
        </w:rPr>
      </w:pPr>
      <w:r w:rsidRPr="00F579C5">
        <w:rPr>
          <w:rStyle w:val="FootnoteReference"/>
          <w:rFonts w:ascii="Arial" w:hAnsi="Arial" w:cs="Arial"/>
          <w:sz w:val="18"/>
          <w:szCs w:val="18"/>
        </w:rPr>
        <w:footnoteRef/>
      </w:r>
      <w:r w:rsidRPr="00F579C5">
        <w:rPr>
          <w:rFonts w:ascii="Arial" w:hAnsi="Arial" w:cs="Arial"/>
          <w:sz w:val="18"/>
          <w:szCs w:val="18"/>
        </w:rPr>
        <w:t xml:space="preserve"> </w:t>
      </w:r>
      <w:r w:rsidRPr="00F579C5">
        <w:rPr>
          <w:rFonts w:ascii="Arial" w:hAnsi="Arial" w:cs="Arial"/>
          <w:i/>
          <w:sz w:val="18"/>
          <w:szCs w:val="18"/>
          <w:lang w:val="en-US"/>
        </w:rPr>
        <w:t xml:space="preserve">Rawlins and another v Caravantruck (Pty) Ltd </w:t>
      </w:r>
      <w:r w:rsidRPr="00F579C5">
        <w:rPr>
          <w:rFonts w:ascii="Arial" w:hAnsi="Arial" w:cs="Arial"/>
          <w:sz w:val="18"/>
          <w:szCs w:val="18"/>
          <w:lang w:val="en-US"/>
        </w:rPr>
        <w:t>1993(1) SA 537 (A) at 542G-H.</w:t>
      </w:r>
    </w:p>
  </w:footnote>
  <w:footnote w:id="23">
    <w:p w14:paraId="2B4AE526" w14:textId="77777777" w:rsidR="00BE4A4E" w:rsidRPr="00AE0E8F" w:rsidRDefault="00BE4A4E">
      <w:pPr>
        <w:pStyle w:val="FootnoteText"/>
        <w:rPr>
          <w:rFonts w:ascii="Arial" w:hAnsi="Arial" w:cs="Arial"/>
          <w:sz w:val="18"/>
          <w:szCs w:val="18"/>
          <w:lang w:val="en-US"/>
        </w:rPr>
      </w:pPr>
      <w:r w:rsidRPr="00AE0E8F">
        <w:rPr>
          <w:rStyle w:val="FootnoteReference"/>
          <w:rFonts w:ascii="Arial" w:hAnsi="Arial" w:cs="Arial"/>
          <w:sz w:val="18"/>
          <w:szCs w:val="18"/>
        </w:rPr>
        <w:footnoteRef/>
      </w:r>
      <w:r w:rsidRPr="00AE0E8F">
        <w:rPr>
          <w:rFonts w:ascii="Arial" w:hAnsi="Arial" w:cs="Arial"/>
          <w:sz w:val="18"/>
          <w:szCs w:val="18"/>
        </w:rPr>
        <w:t xml:space="preserve"> [2009] 1 All SA 442 (SCA)</w:t>
      </w:r>
      <w:r w:rsidR="00674A5C">
        <w:rPr>
          <w:rFonts w:ascii="Arial" w:hAnsi="Arial" w:cs="Arial"/>
          <w:sz w:val="18"/>
          <w:szCs w:val="18"/>
        </w:rPr>
        <w:t>.</w:t>
      </w:r>
      <w:r w:rsidR="00015B98">
        <w:rPr>
          <w:rFonts w:ascii="Arial" w:hAnsi="Arial" w:cs="Arial"/>
          <w:sz w:val="18"/>
          <w:szCs w:val="18"/>
        </w:rPr>
        <w:t xml:space="preserve"> </w:t>
      </w:r>
    </w:p>
  </w:footnote>
  <w:footnote w:id="24">
    <w:p w14:paraId="7345A843" w14:textId="77777777" w:rsidR="00BE4A4E" w:rsidRPr="000D2652" w:rsidRDefault="00BE4A4E">
      <w:pPr>
        <w:pStyle w:val="FootnoteText"/>
        <w:rPr>
          <w:rFonts w:ascii="Arial" w:hAnsi="Arial" w:cs="Arial"/>
          <w:sz w:val="18"/>
          <w:szCs w:val="18"/>
          <w:lang w:val="en-US"/>
        </w:rPr>
      </w:pPr>
      <w:r w:rsidRPr="000D2652">
        <w:rPr>
          <w:rStyle w:val="FootnoteReference"/>
          <w:rFonts w:ascii="Arial" w:hAnsi="Arial" w:cs="Arial"/>
          <w:sz w:val="18"/>
          <w:szCs w:val="18"/>
        </w:rPr>
        <w:footnoteRef/>
      </w:r>
      <w:r w:rsidRPr="000D2652">
        <w:rPr>
          <w:rFonts w:ascii="Arial" w:hAnsi="Arial" w:cs="Arial"/>
          <w:sz w:val="18"/>
          <w:szCs w:val="18"/>
        </w:rPr>
        <w:t xml:space="preserve"> </w:t>
      </w:r>
      <w:r>
        <w:rPr>
          <w:rFonts w:ascii="Arial" w:hAnsi="Arial" w:cs="Arial"/>
          <w:sz w:val="18"/>
          <w:szCs w:val="18"/>
        </w:rPr>
        <w:t xml:space="preserve">I was referred to </w:t>
      </w:r>
      <w:r w:rsidRPr="000D2652">
        <w:rPr>
          <w:rFonts w:ascii="Arial" w:hAnsi="Arial" w:cs="Arial"/>
          <w:i/>
          <w:sz w:val="18"/>
          <w:szCs w:val="18"/>
          <w:lang w:val="en-US"/>
        </w:rPr>
        <w:t>Recycling Indu</w:t>
      </w:r>
      <w:r>
        <w:rPr>
          <w:rFonts w:ascii="Arial" w:hAnsi="Arial" w:cs="Arial"/>
          <w:i/>
          <w:sz w:val="18"/>
          <w:szCs w:val="18"/>
          <w:lang w:val="en-US"/>
        </w:rPr>
        <w:t>s</w:t>
      </w:r>
      <w:r w:rsidRPr="000D2652">
        <w:rPr>
          <w:rFonts w:ascii="Arial" w:hAnsi="Arial" w:cs="Arial"/>
          <w:i/>
          <w:sz w:val="18"/>
          <w:szCs w:val="18"/>
          <w:lang w:val="en-US"/>
        </w:rPr>
        <w:t>tries (Pty) Ltd v Mohammed and another</w:t>
      </w:r>
      <w:r w:rsidRPr="000D2652">
        <w:rPr>
          <w:rFonts w:ascii="Arial" w:hAnsi="Arial" w:cs="Arial"/>
          <w:sz w:val="18"/>
          <w:szCs w:val="18"/>
          <w:lang w:val="en-US"/>
        </w:rPr>
        <w:t xml:space="preserve"> 1981(3) SA 250 (SE)</w:t>
      </w:r>
      <w:r>
        <w:rPr>
          <w:rFonts w:ascii="Arial" w:hAnsi="Arial" w:cs="Arial"/>
          <w:sz w:val="18"/>
          <w:szCs w:val="18"/>
          <w:lang w:val="en-US"/>
        </w:rPr>
        <w:t xml:space="preserve"> at 258H-259F and </w:t>
      </w:r>
      <w:r>
        <w:rPr>
          <w:rFonts w:ascii="Arial" w:hAnsi="Arial" w:cs="Arial"/>
          <w:i/>
          <w:sz w:val="18"/>
          <w:szCs w:val="18"/>
          <w:lang w:val="en-US"/>
        </w:rPr>
        <w:t xml:space="preserve">Premier Medical and Industrial Equipment (Pty) Ltd v Winkler and another </w:t>
      </w:r>
      <w:r>
        <w:rPr>
          <w:rFonts w:ascii="Arial" w:hAnsi="Arial" w:cs="Arial"/>
          <w:sz w:val="18"/>
          <w:szCs w:val="18"/>
          <w:lang w:val="en-US"/>
        </w:rPr>
        <w:t>1971(3) SA 866 (W)</w:t>
      </w:r>
      <w:r w:rsidR="00674A5C">
        <w:rPr>
          <w:rFonts w:ascii="Arial" w:hAnsi="Arial" w:cs="Arial"/>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398863CA"/>
    <w:multiLevelType w:val="multilevel"/>
    <w:tmpl w:val="C868ECE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0738">
    <w:abstractNumId w:val="1"/>
  </w:num>
  <w:num w:numId="2" w16cid:durableId="46867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8C"/>
    <w:rsid w:val="00015B98"/>
    <w:rsid w:val="00037816"/>
    <w:rsid w:val="0003790E"/>
    <w:rsid w:val="000457F9"/>
    <w:rsid w:val="00051CB1"/>
    <w:rsid w:val="0006290E"/>
    <w:rsid w:val="00091B10"/>
    <w:rsid w:val="00095B35"/>
    <w:rsid w:val="000B427A"/>
    <w:rsid w:val="000D2652"/>
    <w:rsid w:val="000D2E19"/>
    <w:rsid w:val="001144EA"/>
    <w:rsid w:val="001A7DE8"/>
    <w:rsid w:val="001B76A8"/>
    <w:rsid w:val="001D373A"/>
    <w:rsid w:val="001D38CA"/>
    <w:rsid w:val="001F766E"/>
    <w:rsid w:val="00247A33"/>
    <w:rsid w:val="00266165"/>
    <w:rsid w:val="0029671B"/>
    <w:rsid w:val="002972AA"/>
    <w:rsid w:val="003C1AE7"/>
    <w:rsid w:val="003E5D3F"/>
    <w:rsid w:val="004642C6"/>
    <w:rsid w:val="00470C65"/>
    <w:rsid w:val="004728ED"/>
    <w:rsid w:val="004803CB"/>
    <w:rsid w:val="00484226"/>
    <w:rsid w:val="004A3D7F"/>
    <w:rsid w:val="004B3210"/>
    <w:rsid w:val="004B66FB"/>
    <w:rsid w:val="0057688F"/>
    <w:rsid w:val="0057689E"/>
    <w:rsid w:val="005C2C75"/>
    <w:rsid w:val="005E53BD"/>
    <w:rsid w:val="00600879"/>
    <w:rsid w:val="00613697"/>
    <w:rsid w:val="00674A5C"/>
    <w:rsid w:val="006F2CD2"/>
    <w:rsid w:val="0073403C"/>
    <w:rsid w:val="00790EA2"/>
    <w:rsid w:val="007B7DC9"/>
    <w:rsid w:val="008662B2"/>
    <w:rsid w:val="00886628"/>
    <w:rsid w:val="008B1E4C"/>
    <w:rsid w:val="008C71BD"/>
    <w:rsid w:val="00907EBF"/>
    <w:rsid w:val="009338E0"/>
    <w:rsid w:val="00A33EF3"/>
    <w:rsid w:val="00A42FB7"/>
    <w:rsid w:val="00A77137"/>
    <w:rsid w:val="00AE0E8F"/>
    <w:rsid w:val="00B15619"/>
    <w:rsid w:val="00B27A12"/>
    <w:rsid w:val="00B42BB5"/>
    <w:rsid w:val="00B7285B"/>
    <w:rsid w:val="00B7395E"/>
    <w:rsid w:val="00BB46D9"/>
    <w:rsid w:val="00BE4A4E"/>
    <w:rsid w:val="00BF1809"/>
    <w:rsid w:val="00C15F60"/>
    <w:rsid w:val="00C34025"/>
    <w:rsid w:val="00CC753C"/>
    <w:rsid w:val="00D22847"/>
    <w:rsid w:val="00D73553"/>
    <w:rsid w:val="00D82C6E"/>
    <w:rsid w:val="00D849C9"/>
    <w:rsid w:val="00DF409E"/>
    <w:rsid w:val="00E12E76"/>
    <w:rsid w:val="00E158BD"/>
    <w:rsid w:val="00E5468C"/>
    <w:rsid w:val="00E6657B"/>
    <w:rsid w:val="00E823D4"/>
    <w:rsid w:val="00ED74DF"/>
    <w:rsid w:val="00F52274"/>
    <w:rsid w:val="00F53C87"/>
    <w:rsid w:val="00F579C5"/>
    <w:rsid w:val="00F80287"/>
    <w:rsid w:val="00FA3E6E"/>
    <w:rsid w:val="00FB4B45"/>
    <w:rsid w:val="00FE7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5B69"/>
  <w15:chartTrackingRefBased/>
  <w15:docId w15:val="{1FBFB612-38E7-4EF6-81FE-D554EE7E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8C"/>
    <w:pPr>
      <w:ind w:left="720"/>
      <w:contextualSpacing/>
    </w:pPr>
  </w:style>
  <w:style w:type="paragraph" w:styleId="FootnoteText">
    <w:name w:val="footnote text"/>
    <w:basedOn w:val="Normal"/>
    <w:link w:val="FootnoteTextChar"/>
    <w:uiPriority w:val="99"/>
    <w:semiHidden/>
    <w:unhideWhenUsed/>
    <w:rsid w:val="00D82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C6E"/>
    <w:rPr>
      <w:sz w:val="20"/>
      <w:szCs w:val="20"/>
    </w:rPr>
  </w:style>
  <w:style w:type="character" w:styleId="FootnoteReference">
    <w:name w:val="footnote reference"/>
    <w:basedOn w:val="DefaultParagraphFont"/>
    <w:uiPriority w:val="99"/>
    <w:semiHidden/>
    <w:unhideWhenUsed/>
    <w:rsid w:val="00D82C6E"/>
    <w:rPr>
      <w:vertAlign w:val="superscript"/>
    </w:rPr>
  </w:style>
  <w:style w:type="paragraph" w:styleId="Header">
    <w:name w:val="header"/>
    <w:basedOn w:val="Normal"/>
    <w:link w:val="HeaderChar"/>
    <w:uiPriority w:val="99"/>
    <w:unhideWhenUsed/>
    <w:rsid w:val="00907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BF"/>
  </w:style>
  <w:style w:type="paragraph" w:styleId="Footer">
    <w:name w:val="footer"/>
    <w:basedOn w:val="Normal"/>
    <w:link w:val="FooterChar"/>
    <w:uiPriority w:val="99"/>
    <w:unhideWhenUsed/>
    <w:rsid w:val="0090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9D6D-9693-461A-919D-31C527AF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Judge-Susannah Cowen</dc:creator>
  <cp:keywords/>
  <dc:description/>
  <cp:lastModifiedBy>sathish sarshan  mohan</cp:lastModifiedBy>
  <cp:revision>5</cp:revision>
  <dcterms:created xsi:type="dcterms:W3CDTF">2024-04-02T13:45:00Z</dcterms:created>
  <dcterms:modified xsi:type="dcterms:W3CDTF">2024-04-06T14:35:00Z</dcterms:modified>
</cp:coreProperties>
</file>