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AD4D4" w14:textId="77777777" w:rsidR="004466A8" w:rsidRDefault="004466A8" w:rsidP="004466A8">
      <w:pPr>
        <w:pStyle w:val="LegalTitle"/>
        <w:spacing w:after="120" w:line="360" w:lineRule="auto"/>
        <w:rPr>
          <w:u w:val="single"/>
        </w:rPr>
      </w:pPr>
      <w:r>
        <w:rPr>
          <w:noProof/>
          <w:lang w:val="en-ZA" w:eastAsia="en-ZA"/>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034996" w:rsidRDefault="004466A8" w:rsidP="004466A8">
      <w:pPr>
        <w:pStyle w:val="LegalTitle"/>
        <w:spacing w:after="240" w:line="360" w:lineRule="auto"/>
        <w:rPr>
          <w:rFonts w:cs="Arial"/>
          <w:u w:val="single"/>
        </w:rPr>
      </w:pPr>
      <w:r w:rsidRPr="00034996">
        <w:rPr>
          <w:rFonts w:cs="Arial"/>
          <w:u w:val="single"/>
        </w:rPr>
        <w:t>IN THE HIGH COURT OF SOUTH AFRICA</w:t>
      </w:r>
    </w:p>
    <w:p w14:paraId="40792349" w14:textId="5CECDE9C" w:rsidR="00034996" w:rsidRPr="00034996" w:rsidRDefault="004466A8" w:rsidP="00034996">
      <w:pPr>
        <w:pStyle w:val="LegalTitle"/>
        <w:spacing w:line="360" w:lineRule="auto"/>
        <w:rPr>
          <w:rFonts w:cs="Arial"/>
          <w:u w:val="single"/>
        </w:rPr>
      </w:pPr>
      <w:r w:rsidRPr="00034996">
        <w:rPr>
          <w:rFonts w:cs="Arial"/>
          <w:u w:val="single"/>
        </w:rPr>
        <w:t xml:space="preserve">GAUTENG DIVISION, </w:t>
      </w:r>
      <w:r w:rsidR="000B2477">
        <w:rPr>
          <w:rFonts w:cs="Arial"/>
          <w:u w:val="single"/>
        </w:rPr>
        <w:t>PR</w:t>
      </w:r>
      <w:r w:rsidR="00E200FC">
        <w:rPr>
          <w:rFonts w:cs="Arial"/>
          <w:u w:val="single"/>
        </w:rPr>
        <w:t>E</w:t>
      </w:r>
      <w:r w:rsidR="000B2477">
        <w:rPr>
          <w:rFonts w:cs="Arial"/>
          <w:u w:val="single"/>
        </w:rPr>
        <w:t>TORIA</w:t>
      </w:r>
    </w:p>
    <w:p w14:paraId="1192C484" w14:textId="4942A209" w:rsidR="00310AC5" w:rsidRPr="00247FAD" w:rsidRDefault="00247FAD" w:rsidP="00310AC5">
      <w:pPr>
        <w:pStyle w:val="LegalNormal"/>
        <w:rPr>
          <w:rFonts w:ascii="Times New Roman" w:hAnsi="Times New Roman"/>
          <w:sz w:val="28"/>
          <w:szCs w:val="28"/>
        </w:rPr>
      </w:pPr>
      <w:r w:rsidRPr="00034996">
        <w:rPr>
          <w:rFonts w:eastAsiaTheme="minorEastAsia" w:cs="Arial"/>
          <w:noProof/>
          <w:lang w:val="en-ZA" w:eastAsia="en-ZA"/>
        </w:rPr>
        <mc:AlternateContent>
          <mc:Choice Requires="wps">
            <w:drawing>
              <wp:anchor distT="0" distB="0" distL="114300" distR="114300" simplePos="0" relativeHeight="251659264" behindDoc="0" locked="0" layoutInCell="1" allowOverlap="1" wp14:anchorId="7C9EE0E3" wp14:editId="2E8104FC">
                <wp:simplePos x="0" y="0"/>
                <wp:positionH relativeFrom="margin">
                  <wp:posOffset>-133350</wp:posOffset>
                </wp:positionH>
                <wp:positionV relativeFrom="paragraph">
                  <wp:posOffset>256540</wp:posOffset>
                </wp:positionV>
                <wp:extent cx="4025900" cy="149860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498600"/>
                        </a:xfrm>
                        <a:prstGeom prst="rect">
                          <a:avLst/>
                        </a:prstGeom>
                        <a:solidFill>
                          <a:srgbClr val="FFFFFF"/>
                        </a:solidFill>
                        <a:ln w="9525">
                          <a:solidFill>
                            <a:srgbClr val="000000"/>
                          </a:solidFill>
                          <a:miter lim="800000"/>
                          <a:headEnd/>
                          <a:tailEnd/>
                        </a:ln>
                      </wps:spPr>
                      <wps:txb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73BE27ED" w:rsidR="00B621CF" w:rsidRPr="0038792A" w:rsidRDefault="00114A3F" w:rsidP="00114A3F">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5B1FF31B" w:rsidR="00B621CF" w:rsidRPr="0038792A" w:rsidRDefault="00114A3F" w:rsidP="00114A3F">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61642D05" w:rsidR="00B621CF" w:rsidRPr="00247FAD" w:rsidRDefault="00114A3F" w:rsidP="00114A3F">
                            <w:pPr>
                              <w:tabs>
                                <w:tab w:val="left" w:pos="900"/>
                              </w:tabs>
                              <w:ind w:left="900" w:hanging="720"/>
                              <w:rPr>
                                <w:rFonts w:ascii="Century Gothic" w:hAnsi="Century Gothic"/>
                                <w:sz w:val="20"/>
                                <w:szCs w:val="20"/>
                              </w:rPr>
                            </w:pPr>
                            <w:r w:rsidRPr="00247FAD">
                              <w:rPr>
                                <w:rFonts w:ascii="Century Gothic" w:hAnsi="Century Gothic"/>
                                <w:sz w:val="20"/>
                                <w:szCs w:val="20"/>
                              </w:rPr>
                              <w:t>(3)</w:t>
                            </w:r>
                            <w:r w:rsidRPr="00247FAD">
                              <w:rPr>
                                <w:rFonts w:ascii="Century Gothic" w:hAnsi="Century Gothic"/>
                                <w:sz w:val="20"/>
                                <w:szCs w:val="20"/>
                              </w:rPr>
                              <w:tab/>
                            </w:r>
                            <w:r w:rsidR="00B621CF" w:rsidRPr="0038792A">
                              <w:rPr>
                                <w:rFonts w:ascii="Century Gothic" w:hAnsi="Century Gothic"/>
                                <w:sz w:val="20"/>
                                <w:szCs w:val="20"/>
                              </w:rPr>
                              <w:t>REVISED:</w:t>
                            </w:r>
                            <w:r w:rsidR="00B621CF" w:rsidRPr="00247FAD">
                              <w:rPr>
                                <w:rFonts w:ascii="Century Gothic" w:hAnsi="Century Gothic"/>
                                <w:i/>
                                <w:sz w:val="20"/>
                                <w:szCs w:val="20"/>
                              </w:rPr>
                              <w:t xml:space="preserve"> </w:t>
                            </w:r>
                            <w:r w:rsidR="00980835" w:rsidRPr="00247FAD">
                              <w:rPr>
                                <w:rFonts w:ascii="Century Gothic" w:hAnsi="Century Gothic"/>
                                <w:b/>
                                <w:bCs/>
                                <w:i/>
                                <w:sz w:val="20"/>
                                <w:szCs w:val="20"/>
                              </w:rPr>
                              <w:t>NO</w:t>
                            </w:r>
                          </w:p>
                          <w:p w14:paraId="40BA5B3D" w14:textId="77777777" w:rsidR="00247FAD" w:rsidRDefault="00247FAD" w:rsidP="00247FAD">
                            <w:pPr>
                              <w:ind w:left="900"/>
                              <w:rPr>
                                <w:rFonts w:ascii="Century Gothic" w:hAnsi="Century Gothic"/>
                                <w:sz w:val="20"/>
                                <w:szCs w:val="20"/>
                              </w:rPr>
                            </w:pPr>
                          </w:p>
                          <w:p w14:paraId="248EFA67" w14:textId="3330BF1A"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475E27" w:rsidRPr="00475E27">
                              <w:rPr>
                                <w:rFonts w:ascii="Century Gothic" w:hAnsi="Century Gothic"/>
                                <w:b/>
                                <w:i/>
                                <w:sz w:val="22"/>
                                <w:szCs w:val="22"/>
                                <w:u w:val="single"/>
                              </w:rPr>
                              <w:t>02 APRIL 2024</w:t>
                            </w:r>
                            <w:r>
                              <w:rPr>
                                <w:rFonts w:ascii="Century Gothic" w:hAnsi="Century Gothic"/>
                                <w:sz w:val="22"/>
                                <w:szCs w:val="22"/>
                              </w:rPr>
                              <w:t xml:space="preserve"> </w:t>
                            </w:r>
                            <w:r w:rsidR="00247FAD">
                              <w:rPr>
                                <w:rFonts w:ascii="Century Gothic" w:hAnsi="Century Gothic"/>
                                <w:sz w:val="22"/>
                                <w:szCs w:val="22"/>
                              </w:rPr>
                              <w:t xml:space="preserve">   </w:t>
                            </w:r>
                            <w:r w:rsidR="00995C9F">
                              <w:rPr>
                                <w:rFonts w:ascii="Century Gothic" w:hAnsi="Century Gothic"/>
                                <w:sz w:val="22"/>
                                <w:szCs w:val="22"/>
                              </w:rPr>
                              <w:t xml:space="preserve">Signature: </w:t>
                            </w:r>
                            <w:r w:rsidR="00995C9F" w:rsidRPr="00247FAD">
                              <w:rPr>
                                <w:rFonts w:ascii="Century Gothic" w:hAnsi="Century Gothic"/>
                                <w:sz w:val="22"/>
                                <w:szCs w:val="22"/>
                              </w:rPr>
                              <w:t>_</w:t>
                            </w:r>
                            <w:r w:rsidRPr="00247FAD">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10.5pt;margin-top:20.2pt;width:317pt;height:1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">
                <v:textbo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73BE27ED" w:rsidR="00B621CF" w:rsidRPr="0038792A" w:rsidRDefault="00114A3F" w:rsidP="00114A3F">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5B1FF31B" w:rsidR="00B621CF" w:rsidRPr="0038792A" w:rsidRDefault="00114A3F" w:rsidP="00114A3F">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61642D05" w:rsidR="00B621CF" w:rsidRPr="00247FAD" w:rsidRDefault="00114A3F" w:rsidP="00114A3F">
                      <w:pPr>
                        <w:tabs>
                          <w:tab w:val="left" w:pos="900"/>
                        </w:tabs>
                        <w:ind w:left="900" w:hanging="720"/>
                        <w:rPr>
                          <w:rFonts w:ascii="Century Gothic" w:hAnsi="Century Gothic"/>
                          <w:sz w:val="20"/>
                          <w:szCs w:val="20"/>
                        </w:rPr>
                      </w:pPr>
                      <w:r w:rsidRPr="00247FAD">
                        <w:rPr>
                          <w:rFonts w:ascii="Century Gothic" w:hAnsi="Century Gothic"/>
                          <w:sz w:val="20"/>
                          <w:szCs w:val="20"/>
                        </w:rPr>
                        <w:t>(3)</w:t>
                      </w:r>
                      <w:r w:rsidRPr="00247FAD">
                        <w:rPr>
                          <w:rFonts w:ascii="Century Gothic" w:hAnsi="Century Gothic"/>
                          <w:sz w:val="20"/>
                          <w:szCs w:val="20"/>
                        </w:rPr>
                        <w:tab/>
                      </w:r>
                      <w:r w:rsidR="00B621CF" w:rsidRPr="0038792A">
                        <w:rPr>
                          <w:rFonts w:ascii="Century Gothic" w:hAnsi="Century Gothic"/>
                          <w:sz w:val="20"/>
                          <w:szCs w:val="20"/>
                        </w:rPr>
                        <w:t>REVISED:</w:t>
                      </w:r>
                      <w:r w:rsidR="00B621CF" w:rsidRPr="00247FAD">
                        <w:rPr>
                          <w:rFonts w:ascii="Century Gothic" w:hAnsi="Century Gothic"/>
                          <w:i/>
                          <w:sz w:val="20"/>
                          <w:szCs w:val="20"/>
                        </w:rPr>
                        <w:t xml:space="preserve"> </w:t>
                      </w:r>
                      <w:r w:rsidR="00980835" w:rsidRPr="00247FAD">
                        <w:rPr>
                          <w:rFonts w:ascii="Century Gothic" w:hAnsi="Century Gothic"/>
                          <w:b/>
                          <w:bCs/>
                          <w:i/>
                          <w:sz w:val="20"/>
                          <w:szCs w:val="20"/>
                        </w:rPr>
                        <w:t>NO</w:t>
                      </w:r>
                    </w:p>
                    <w:p w14:paraId="40BA5B3D" w14:textId="77777777" w:rsidR="00247FAD" w:rsidRDefault="00247FAD" w:rsidP="00247FAD">
                      <w:pPr>
                        <w:ind w:left="900"/>
                        <w:rPr>
                          <w:rFonts w:ascii="Century Gothic" w:hAnsi="Century Gothic"/>
                          <w:sz w:val="20"/>
                          <w:szCs w:val="20"/>
                        </w:rPr>
                      </w:pPr>
                    </w:p>
                    <w:p w14:paraId="248EFA67" w14:textId="3330BF1A"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475E27" w:rsidRPr="00475E27">
                        <w:rPr>
                          <w:rFonts w:ascii="Century Gothic" w:hAnsi="Century Gothic"/>
                          <w:b/>
                          <w:i/>
                          <w:sz w:val="22"/>
                          <w:szCs w:val="22"/>
                          <w:u w:val="single"/>
                        </w:rPr>
                        <w:t>02 APRIL 2024</w:t>
                      </w:r>
                      <w:r>
                        <w:rPr>
                          <w:rFonts w:ascii="Century Gothic" w:hAnsi="Century Gothic"/>
                          <w:sz w:val="22"/>
                          <w:szCs w:val="22"/>
                        </w:rPr>
                        <w:t xml:space="preserve"> </w:t>
                      </w:r>
                      <w:r w:rsidR="00247FAD">
                        <w:rPr>
                          <w:rFonts w:ascii="Century Gothic" w:hAnsi="Century Gothic"/>
                          <w:sz w:val="22"/>
                          <w:szCs w:val="22"/>
                        </w:rPr>
                        <w:t xml:space="preserve">   </w:t>
                      </w:r>
                      <w:r w:rsidR="00995C9F">
                        <w:rPr>
                          <w:rFonts w:ascii="Century Gothic" w:hAnsi="Century Gothic"/>
                          <w:sz w:val="22"/>
                          <w:szCs w:val="22"/>
                        </w:rPr>
                        <w:t xml:space="preserve">Signature: </w:t>
                      </w:r>
                      <w:r w:rsidR="00995C9F" w:rsidRPr="00247FAD">
                        <w:rPr>
                          <w:rFonts w:ascii="Century Gothic" w:hAnsi="Century Gothic"/>
                          <w:sz w:val="22"/>
                          <w:szCs w:val="22"/>
                        </w:rPr>
                        <w:t>_</w:t>
                      </w:r>
                      <w:r w:rsidRPr="00247FAD">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Pr>
          <w:b/>
        </w:rPr>
        <w:t xml:space="preserve">                                                                                                       </w:t>
      </w:r>
      <w:r w:rsidR="00310AC5" w:rsidRPr="00310AC5">
        <w:rPr>
          <w:b/>
        </w:rPr>
        <w:t>CASE</w:t>
      </w:r>
      <w:r w:rsidR="001F4034">
        <w:rPr>
          <w:b/>
        </w:rPr>
        <w:t xml:space="preserve"> </w:t>
      </w:r>
      <w:r w:rsidR="00310AC5" w:rsidRPr="00310AC5">
        <w:rPr>
          <w:b/>
        </w:rPr>
        <w:t>NO</w:t>
      </w:r>
      <w:r w:rsidR="001F4034">
        <w:rPr>
          <w:b/>
        </w:rPr>
        <w:t xml:space="preserve">. </w:t>
      </w:r>
      <w:r w:rsidR="00B56D54">
        <w:rPr>
          <w:b/>
        </w:rPr>
        <w:t>2890</w:t>
      </w:r>
      <w:r w:rsidR="007A1943">
        <w:rPr>
          <w:b/>
        </w:rPr>
        <w:t>4</w:t>
      </w:r>
      <w:r w:rsidR="002621C1">
        <w:rPr>
          <w:b/>
        </w:rPr>
        <w:t>/</w:t>
      </w:r>
      <w:r w:rsidR="001F4034">
        <w:rPr>
          <w:b/>
        </w:rPr>
        <w:t>20</w:t>
      </w:r>
      <w:r w:rsidR="00EA3A92">
        <w:rPr>
          <w:b/>
        </w:rPr>
        <w:t>2</w:t>
      </w:r>
      <w:r w:rsidR="00B56D54">
        <w:rPr>
          <w:b/>
        </w:rPr>
        <w:t>2</w:t>
      </w:r>
    </w:p>
    <w:p w14:paraId="43854107" w14:textId="66A31B5B" w:rsidR="00117E26" w:rsidRDefault="00117E26" w:rsidP="00310AC5">
      <w:pPr>
        <w:pStyle w:val="LegalNormal"/>
      </w:pPr>
    </w:p>
    <w:p w14:paraId="48F47479" w14:textId="25014C64" w:rsidR="00247FAD" w:rsidRDefault="00247FAD" w:rsidP="00310AC5">
      <w:pPr>
        <w:pStyle w:val="LegalNormal"/>
      </w:pPr>
    </w:p>
    <w:p w14:paraId="4689B533" w14:textId="75B889A4" w:rsidR="00310AC5" w:rsidRPr="00310AC5" w:rsidRDefault="00310AC5" w:rsidP="00310AC5">
      <w:pPr>
        <w:pStyle w:val="LegalNormal"/>
        <w:rPr>
          <w:b/>
        </w:rPr>
      </w:pPr>
      <w:r w:rsidRPr="00310AC5">
        <w:t>In the matter between:</w:t>
      </w:r>
    </w:p>
    <w:p w14:paraId="2BF936AD" w14:textId="10C1E6B9" w:rsidR="00310AC5" w:rsidRPr="00814B29" w:rsidRDefault="0017564E" w:rsidP="00FA6668">
      <w:pPr>
        <w:pStyle w:val="LegalNormal"/>
        <w:spacing w:line="276" w:lineRule="auto"/>
        <w:rPr>
          <w:bCs/>
        </w:rPr>
      </w:pPr>
      <w:r>
        <w:rPr>
          <w:b/>
        </w:rPr>
        <w:t>E</w:t>
      </w:r>
      <w:r w:rsidR="00B56D54">
        <w:rPr>
          <w:b/>
        </w:rPr>
        <w:t>CENTE</w:t>
      </w:r>
      <w:r>
        <w:rPr>
          <w:b/>
        </w:rPr>
        <w:t>R</w:t>
      </w:r>
      <w:r w:rsidR="002F6C3C">
        <w:rPr>
          <w:b/>
        </w:rPr>
        <w:t xml:space="preserve"> TRADING (PTY) </w:t>
      </w:r>
      <w:r w:rsidR="00047A30">
        <w:rPr>
          <w:b/>
        </w:rPr>
        <w:t>LTD</w:t>
      </w:r>
      <w:r w:rsidR="00047A30">
        <w:rPr>
          <w:bCs/>
          <w:vertAlign w:val="superscript"/>
        </w:rPr>
        <w:t xml:space="preserve"> </w:t>
      </w:r>
      <w:r w:rsidR="00047A30">
        <w:rPr>
          <w:bCs/>
          <w:vertAlign w:val="superscript"/>
        </w:rPr>
        <w:tab/>
      </w:r>
      <w:r w:rsidR="005B535D">
        <w:rPr>
          <w:bCs/>
          <w:vertAlign w:val="superscript"/>
        </w:rPr>
        <w:tab/>
      </w:r>
      <w:r w:rsidR="006B1A6A">
        <w:rPr>
          <w:bCs/>
          <w:vertAlign w:val="superscript"/>
        </w:rPr>
        <w:tab/>
      </w:r>
      <w:r w:rsidR="005E6BFC">
        <w:rPr>
          <w:bCs/>
          <w:vertAlign w:val="superscript"/>
        </w:rPr>
        <w:t xml:space="preserve"> </w:t>
      </w:r>
      <w:r w:rsidR="00744AB5">
        <w:rPr>
          <w:bCs/>
          <w:vertAlign w:val="superscript"/>
        </w:rPr>
        <w:tab/>
      </w:r>
      <w:r w:rsidR="00386BA5">
        <w:rPr>
          <w:bCs/>
          <w:vertAlign w:val="superscript"/>
        </w:rPr>
        <w:t xml:space="preserve"> </w:t>
      </w:r>
      <w:r w:rsidR="00C517F5">
        <w:rPr>
          <w:bCs/>
        </w:rPr>
        <w:t xml:space="preserve">  </w:t>
      </w:r>
      <w:r>
        <w:rPr>
          <w:bCs/>
        </w:rPr>
        <w:t xml:space="preserve">  </w:t>
      </w:r>
      <w:r>
        <w:rPr>
          <w:bCs/>
        </w:rPr>
        <w:tab/>
      </w:r>
      <w:r w:rsidRPr="00814B29">
        <w:rPr>
          <w:bCs/>
        </w:rPr>
        <w:t xml:space="preserve">      </w:t>
      </w:r>
      <w:r w:rsidR="00047A30">
        <w:rPr>
          <w:bCs/>
        </w:rPr>
        <w:tab/>
        <w:t xml:space="preserve">      </w:t>
      </w:r>
      <w:r w:rsidRPr="00814B29">
        <w:rPr>
          <w:bCs/>
        </w:rPr>
        <w:t xml:space="preserve">  </w:t>
      </w:r>
      <w:r w:rsidR="00FF237F" w:rsidRPr="00814B29">
        <w:rPr>
          <w:bCs/>
        </w:rPr>
        <w:t xml:space="preserve"> </w:t>
      </w:r>
      <w:r w:rsidRPr="00814B29">
        <w:rPr>
          <w:bCs/>
        </w:rPr>
        <w:t>First</w:t>
      </w:r>
      <w:r w:rsidR="00C517F5" w:rsidRPr="00814B29">
        <w:rPr>
          <w:bCs/>
        </w:rPr>
        <w:t xml:space="preserve"> </w:t>
      </w:r>
      <w:r w:rsidR="002940B9" w:rsidRPr="00814B29">
        <w:rPr>
          <w:bCs/>
        </w:rPr>
        <w:t>A</w:t>
      </w:r>
      <w:r w:rsidR="000324B4" w:rsidRPr="00814B29">
        <w:rPr>
          <w:bCs/>
        </w:rPr>
        <w:t>ppl</w:t>
      </w:r>
      <w:r w:rsidR="00744AB5" w:rsidRPr="00814B29">
        <w:rPr>
          <w:bCs/>
        </w:rPr>
        <w:t>i</w:t>
      </w:r>
      <w:r w:rsidR="000324B4" w:rsidRPr="00814B29">
        <w:rPr>
          <w:bCs/>
        </w:rPr>
        <w:t>cant</w:t>
      </w:r>
    </w:p>
    <w:p w14:paraId="4F2EB35C" w14:textId="57F7BC9D" w:rsidR="0017564E" w:rsidRPr="00814B29" w:rsidRDefault="00292422" w:rsidP="00FA6668">
      <w:pPr>
        <w:pStyle w:val="LegalNormal"/>
        <w:spacing w:line="276" w:lineRule="auto"/>
        <w:rPr>
          <w:bCs/>
        </w:rPr>
      </w:pPr>
      <w:r>
        <w:rPr>
          <w:b/>
        </w:rPr>
        <w:t>BL</w:t>
      </w:r>
      <w:r w:rsidR="00D845A1" w:rsidRPr="009F3A64">
        <w:rPr>
          <w:b/>
        </w:rPr>
        <w:t>A</w:t>
      </w:r>
      <w:r>
        <w:rPr>
          <w:b/>
        </w:rPr>
        <w:t>CKI</w:t>
      </w:r>
      <w:r w:rsidR="00D845A1" w:rsidRPr="009F3A64">
        <w:rPr>
          <w:b/>
        </w:rPr>
        <w:t>R</w:t>
      </w:r>
      <w:r>
        <w:rPr>
          <w:b/>
        </w:rPr>
        <w:t>ON</w:t>
      </w:r>
      <w:r w:rsidR="00FC512D">
        <w:rPr>
          <w:b/>
        </w:rPr>
        <w:t xml:space="preserve"> TRADING (PTY) </w:t>
      </w:r>
      <w:r w:rsidR="00047A30">
        <w:rPr>
          <w:b/>
        </w:rPr>
        <w:t xml:space="preserve">LTD </w:t>
      </w:r>
      <w:r w:rsidR="00047A30" w:rsidRPr="00814B29">
        <w:rPr>
          <w:bCs/>
        </w:rPr>
        <w:tab/>
      </w:r>
      <w:r w:rsidR="00D845A1" w:rsidRPr="00814B29">
        <w:rPr>
          <w:bCs/>
        </w:rPr>
        <w:tab/>
      </w:r>
      <w:r w:rsidR="00D845A1" w:rsidRPr="00814B29">
        <w:rPr>
          <w:bCs/>
        </w:rPr>
        <w:tab/>
      </w:r>
      <w:r w:rsidR="00D845A1" w:rsidRPr="00814B29">
        <w:rPr>
          <w:bCs/>
        </w:rPr>
        <w:tab/>
      </w:r>
      <w:r w:rsidR="00D845A1" w:rsidRPr="00814B29">
        <w:rPr>
          <w:bCs/>
        </w:rPr>
        <w:tab/>
      </w:r>
      <w:r w:rsidR="00FF237F" w:rsidRPr="00814B29">
        <w:rPr>
          <w:bCs/>
        </w:rPr>
        <w:t xml:space="preserve">    Second Applicant</w:t>
      </w:r>
    </w:p>
    <w:p w14:paraId="40A0F55C" w14:textId="78D3E13A" w:rsidR="00427D39" w:rsidRDefault="00427D39" w:rsidP="00FA6668">
      <w:pPr>
        <w:pStyle w:val="LegalNormal"/>
        <w:spacing w:line="276" w:lineRule="auto"/>
        <w:rPr>
          <w:bCs/>
        </w:rPr>
      </w:pPr>
      <w:r w:rsidRPr="009F3A64">
        <w:rPr>
          <w:b/>
        </w:rPr>
        <w:t>N</w:t>
      </w:r>
      <w:r w:rsidR="00FC512D">
        <w:rPr>
          <w:b/>
        </w:rPr>
        <w:t>GE</w:t>
      </w:r>
      <w:r w:rsidRPr="009F3A64">
        <w:rPr>
          <w:b/>
        </w:rPr>
        <w:t>N</w:t>
      </w:r>
      <w:r w:rsidR="00233E55">
        <w:rPr>
          <w:b/>
        </w:rPr>
        <w:t>I</w:t>
      </w:r>
      <w:r w:rsidRPr="009F3A64">
        <w:rPr>
          <w:b/>
        </w:rPr>
        <w:t>S</w:t>
      </w:r>
      <w:r w:rsidR="00233E55">
        <w:rPr>
          <w:b/>
        </w:rPr>
        <w:t>A</w:t>
      </w:r>
      <w:r w:rsidRPr="009F3A64">
        <w:rPr>
          <w:b/>
        </w:rPr>
        <w:t xml:space="preserve"> K</w:t>
      </w:r>
      <w:r w:rsidR="00233E55">
        <w:rPr>
          <w:b/>
        </w:rPr>
        <w:t>ON</w:t>
      </w:r>
      <w:r w:rsidRPr="009F3A64">
        <w:rPr>
          <w:b/>
        </w:rPr>
        <w:t>KE</w:t>
      </w:r>
      <w:r w:rsidR="00233E55">
        <w:rPr>
          <w:b/>
        </w:rPr>
        <w:t xml:space="preserve"> IMPO</w:t>
      </w:r>
      <w:r w:rsidRPr="009F3A64">
        <w:rPr>
          <w:b/>
        </w:rPr>
        <w:t>R</w:t>
      </w:r>
      <w:r w:rsidR="00233E55">
        <w:rPr>
          <w:b/>
        </w:rPr>
        <w:t>T &amp; EXPORT (PTY) LTD</w:t>
      </w:r>
      <w:r w:rsidR="00233E55">
        <w:rPr>
          <w:b/>
        </w:rPr>
        <w:tab/>
      </w:r>
      <w:r w:rsidR="00C63149" w:rsidRPr="00814B29">
        <w:rPr>
          <w:bCs/>
        </w:rPr>
        <w:tab/>
      </w:r>
      <w:r w:rsidR="00C63149" w:rsidRPr="00814B29">
        <w:rPr>
          <w:bCs/>
        </w:rPr>
        <w:tab/>
        <w:t xml:space="preserve">      </w:t>
      </w:r>
      <w:r w:rsidR="00840FFB" w:rsidRPr="00814B29">
        <w:rPr>
          <w:bCs/>
        </w:rPr>
        <w:t xml:space="preserve">  </w:t>
      </w:r>
      <w:r w:rsidR="00C63149" w:rsidRPr="00814B29">
        <w:rPr>
          <w:bCs/>
        </w:rPr>
        <w:t>Third Applicant</w:t>
      </w:r>
    </w:p>
    <w:p w14:paraId="54CE4424" w14:textId="7DD82C47" w:rsidR="00233E55" w:rsidRPr="004A2E3C" w:rsidRDefault="00233E55" w:rsidP="00FA6668">
      <w:pPr>
        <w:pStyle w:val="LegalNormal"/>
        <w:spacing w:line="276" w:lineRule="auto"/>
        <w:rPr>
          <w:b/>
        </w:rPr>
      </w:pPr>
      <w:r w:rsidRPr="004A2E3C">
        <w:rPr>
          <w:b/>
        </w:rPr>
        <w:t xml:space="preserve">INTER SPACE IMPORT </w:t>
      </w:r>
      <w:r w:rsidR="004A2E3C" w:rsidRPr="004A2E3C">
        <w:rPr>
          <w:b/>
        </w:rPr>
        <w:t>&amp; EXPORT (PTY) LTD</w:t>
      </w:r>
      <w:r w:rsidR="004A2E3C">
        <w:rPr>
          <w:b/>
        </w:rPr>
        <w:tab/>
      </w:r>
      <w:r w:rsidR="004A2E3C">
        <w:rPr>
          <w:b/>
        </w:rPr>
        <w:tab/>
      </w:r>
      <w:r w:rsidR="004A2E3C">
        <w:rPr>
          <w:b/>
        </w:rPr>
        <w:tab/>
      </w:r>
      <w:r w:rsidR="008D0D1F">
        <w:rPr>
          <w:b/>
        </w:rPr>
        <w:t xml:space="preserve">      </w:t>
      </w:r>
      <w:r w:rsidR="008D0D1F" w:rsidRPr="008D0D1F">
        <w:rPr>
          <w:bCs/>
        </w:rPr>
        <w:t>F</w:t>
      </w:r>
      <w:r w:rsidR="008D0D1F">
        <w:rPr>
          <w:bCs/>
        </w:rPr>
        <w:t>ourth Applicant</w:t>
      </w:r>
    </w:p>
    <w:p w14:paraId="12B359D3" w14:textId="77777777" w:rsidR="00310AC5" w:rsidRPr="00814B29" w:rsidRDefault="00310AC5" w:rsidP="00FA6668">
      <w:pPr>
        <w:pStyle w:val="LegalNormal"/>
        <w:spacing w:line="276" w:lineRule="auto"/>
        <w:rPr>
          <w:bCs/>
        </w:rPr>
      </w:pPr>
      <w:r w:rsidRPr="00814B29">
        <w:rPr>
          <w:bCs/>
        </w:rPr>
        <w:t>And</w:t>
      </w:r>
    </w:p>
    <w:p w14:paraId="3E8ED2E4" w14:textId="3E5406AB" w:rsidR="006A778B" w:rsidRDefault="006431AC" w:rsidP="003C30AA">
      <w:pPr>
        <w:pStyle w:val="LegalNormal"/>
        <w:spacing w:line="240" w:lineRule="auto"/>
        <w:rPr>
          <w:bCs/>
        </w:rPr>
      </w:pPr>
      <w:r>
        <w:rPr>
          <w:b/>
        </w:rPr>
        <w:t xml:space="preserve">FIRST </w:t>
      </w:r>
      <w:r w:rsidR="006D09DD" w:rsidRPr="009F3A64">
        <w:rPr>
          <w:b/>
        </w:rPr>
        <w:t>N</w:t>
      </w:r>
      <w:r>
        <w:rPr>
          <w:b/>
        </w:rPr>
        <w:t>ATIONAL BAN</w:t>
      </w:r>
      <w:r w:rsidR="001D48AD">
        <w:rPr>
          <w:b/>
        </w:rPr>
        <w:t>K LTD</w:t>
      </w:r>
      <w:r w:rsidR="006B1A6A" w:rsidRPr="009F3A64">
        <w:rPr>
          <w:b/>
        </w:rPr>
        <w:tab/>
      </w:r>
      <w:r w:rsidR="009F031D" w:rsidRPr="00814B29">
        <w:rPr>
          <w:bCs/>
        </w:rPr>
        <w:tab/>
      </w:r>
      <w:r w:rsidR="009F031D" w:rsidRPr="00814B29">
        <w:rPr>
          <w:bCs/>
        </w:rPr>
        <w:tab/>
      </w:r>
      <w:r w:rsidR="009F031D" w:rsidRPr="00814B29">
        <w:rPr>
          <w:bCs/>
        </w:rPr>
        <w:tab/>
      </w:r>
      <w:r w:rsidR="009F031D" w:rsidRPr="00814B29">
        <w:rPr>
          <w:bCs/>
        </w:rPr>
        <w:tab/>
      </w:r>
      <w:r w:rsidR="006423B2" w:rsidRPr="00814B29">
        <w:rPr>
          <w:bCs/>
        </w:rPr>
        <w:t xml:space="preserve">       </w:t>
      </w:r>
      <w:r w:rsidR="007C3283" w:rsidRPr="00814B29">
        <w:rPr>
          <w:bCs/>
        </w:rPr>
        <w:t xml:space="preserve"> </w:t>
      </w:r>
      <w:r w:rsidR="00406581" w:rsidRPr="00814B29">
        <w:rPr>
          <w:bCs/>
        </w:rPr>
        <w:tab/>
      </w:r>
      <w:r w:rsidR="006D09DD" w:rsidRPr="00814B29">
        <w:rPr>
          <w:bCs/>
        </w:rPr>
        <w:t xml:space="preserve">     First </w:t>
      </w:r>
      <w:r w:rsidR="004B27AC" w:rsidRPr="00814B29">
        <w:rPr>
          <w:bCs/>
        </w:rPr>
        <w:t>Respondent</w:t>
      </w:r>
      <w:r w:rsidR="009F031D" w:rsidRPr="00814B29">
        <w:rPr>
          <w:bCs/>
        </w:rPr>
        <w:t xml:space="preserve"> </w:t>
      </w:r>
    </w:p>
    <w:p w14:paraId="1EB6AEFE" w14:textId="2C67664A" w:rsidR="001D48AD" w:rsidRPr="001308A6" w:rsidRDefault="001D48AD" w:rsidP="003C30AA">
      <w:pPr>
        <w:pStyle w:val="LegalNormal"/>
        <w:spacing w:line="240" w:lineRule="auto"/>
        <w:rPr>
          <w:bCs/>
        </w:rPr>
      </w:pPr>
      <w:r w:rsidRPr="001D48AD">
        <w:rPr>
          <w:b/>
        </w:rPr>
        <w:t>T</w:t>
      </w:r>
      <w:r w:rsidR="001308A6">
        <w:rPr>
          <w:b/>
        </w:rPr>
        <w:t>HE SOUTH AFRICAN RESERVE BANK</w:t>
      </w:r>
      <w:r w:rsidR="001308A6">
        <w:rPr>
          <w:b/>
        </w:rPr>
        <w:tab/>
      </w:r>
      <w:r w:rsidR="001308A6">
        <w:rPr>
          <w:b/>
        </w:rPr>
        <w:tab/>
      </w:r>
      <w:r w:rsidR="001308A6">
        <w:rPr>
          <w:b/>
        </w:rPr>
        <w:tab/>
      </w:r>
      <w:r w:rsidR="001308A6">
        <w:rPr>
          <w:b/>
        </w:rPr>
        <w:tab/>
      </w:r>
      <w:r w:rsidR="001308A6">
        <w:rPr>
          <w:bCs/>
        </w:rPr>
        <w:t>Second Respondent</w:t>
      </w:r>
    </w:p>
    <w:p w14:paraId="33FAEEB3" w14:textId="77777777" w:rsidR="00B404BD" w:rsidRPr="00310AC5" w:rsidRDefault="00B404BD" w:rsidP="00B404BD">
      <w:pPr>
        <w:pStyle w:val="LegalNormal"/>
        <w:spacing w:line="240" w:lineRule="auto"/>
        <w:rPr>
          <w:b/>
        </w:rPr>
      </w:pPr>
    </w:p>
    <w:p w14:paraId="72F74422" w14:textId="0B27322D" w:rsidR="00673136" w:rsidRPr="00DE5C90" w:rsidRDefault="004466A8" w:rsidP="00C62517">
      <w:pPr>
        <w:pStyle w:val="LegalTramLines"/>
        <w:spacing w:line="480" w:lineRule="auto"/>
        <w:rPr>
          <w:rFonts w:ascii="Arial" w:hAnsi="Arial" w:cs="Arial"/>
        </w:rPr>
      </w:pPr>
      <w:r w:rsidRPr="00DE5C90">
        <w:rPr>
          <w:rFonts w:ascii="Arial" w:hAnsi="Arial" w:cs="Arial"/>
        </w:rPr>
        <w:lastRenderedPageBreak/>
        <w:t>JUDGMENT</w:t>
      </w:r>
    </w:p>
    <w:p w14:paraId="12FDC8A9" w14:textId="2E519A22" w:rsidR="00673136" w:rsidRDefault="00EC47D2" w:rsidP="00673136">
      <w:pPr>
        <w:pStyle w:val="LegalMAINHEADING"/>
        <w:rPr>
          <w:rFonts w:cs="Arial"/>
        </w:rPr>
      </w:pPr>
      <w:r w:rsidRPr="00DE5C90">
        <w:rPr>
          <w:rFonts w:cs="Arial"/>
        </w:rPr>
        <w:t xml:space="preserve">nyathi </w:t>
      </w:r>
      <w:r w:rsidR="00673136" w:rsidRPr="00DE5C90">
        <w:rPr>
          <w:rFonts w:cs="Arial"/>
        </w:rPr>
        <w:t>j</w:t>
      </w:r>
    </w:p>
    <w:p w14:paraId="2C5DEEC5" w14:textId="05A68C62" w:rsidR="00310AC5" w:rsidRPr="00310AC5" w:rsidRDefault="00114A3F" w:rsidP="00114A3F">
      <w:pPr>
        <w:pStyle w:val="LegalNormal"/>
        <w:ind w:left="720" w:hanging="360"/>
        <w:rPr>
          <w:b/>
        </w:rPr>
      </w:pPr>
      <w:r w:rsidRPr="00310AC5">
        <w:rPr>
          <w:b/>
        </w:rPr>
        <w:t>A.</w:t>
      </w:r>
      <w:r w:rsidRPr="00310AC5">
        <w:rPr>
          <w:b/>
        </w:rPr>
        <w:tab/>
      </w:r>
      <w:r w:rsidR="00310AC5" w:rsidRPr="00310AC5">
        <w:rPr>
          <w:b/>
        </w:rPr>
        <w:t>INTRODUCTION</w:t>
      </w:r>
    </w:p>
    <w:p w14:paraId="7569BF3C" w14:textId="3BE2C4D9" w:rsidR="0000463E" w:rsidRDefault="00114A3F" w:rsidP="00114A3F">
      <w:pPr>
        <w:pStyle w:val="LegalNormal"/>
        <w:tabs>
          <w:tab w:val="left" w:pos="927"/>
        </w:tabs>
        <w:ind w:left="927" w:hanging="567"/>
        <w:rPr>
          <w:lang w:val="en-US"/>
        </w:rPr>
      </w:pPr>
      <w:r>
        <w:rPr>
          <w:sz w:val="28"/>
          <w:szCs w:val="28"/>
          <w:lang w:val="en-US"/>
        </w:rPr>
        <w:t>[1]</w:t>
      </w:r>
      <w:r>
        <w:rPr>
          <w:sz w:val="28"/>
          <w:szCs w:val="28"/>
          <w:lang w:val="en-US"/>
        </w:rPr>
        <w:tab/>
      </w:r>
      <w:r w:rsidR="003535D0" w:rsidRPr="0000463E">
        <w:rPr>
          <w:lang w:val="en-US"/>
        </w:rPr>
        <w:t>Th</w:t>
      </w:r>
      <w:r w:rsidR="00837799" w:rsidRPr="0000463E">
        <w:rPr>
          <w:lang w:val="en-US"/>
        </w:rPr>
        <w:t>is is a</w:t>
      </w:r>
      <w:r w:rsidR="00D63B0F" w:rsidRPr="0000463E">
        <w:rPr>
          <w:lang w:val="en-US"/>
        </w:rPr>
        <w:t xml:space="preserve">n application </w:t>
      </w:r>
      <w:r w:rsidR="002E0DA9" w:rsidRPr="0000463E">
        <w:rPr>
          <w:lang w:val="en-US"/>
        </w:rPr>
        <w:t xml:space="preserve">for a </w:t>
      </w:r>
      <w:r w:rsidR="002E0DA9" w:rsidRPr="0000463E">
        <w:rPr>
          <w:i/>
          <w:iCs/>
          <w:lang w:val="en-US"/>
        </w:rPr>
        <w:t>ma</w:t>
      </w:r>
      <w:r w:rsidR="006736DF" w:rsidRPr="0000463E">
        <w:rPr>
          <w:i/>
          <w:iCs/>
          <w:lang w:val="en-US"/>
        </w:rPr>
        <w:t>ndamus</w:t>
      </w:r>
      <w:r w:rsidR="006736DF" w:rsidRPr="0000463E">
        <w:rPr>
          <w:lang w:val="en-US"/>
        </w:rPr>
        <w:t xml:space="preserve"> against the</w:t>
      </w:r>
      <w:r w:rsidR="00AE7B26">
        <w:rPr>
          <w:lang w:val="en-US"/>
        </w:rPr>
        <w:t xml:space="preserve"> respondents</w:t>
      </w:r>
      <w:r w:rsidR="006736DF" w:rsidRPr="0000463E">
        <w:rPr>
          <w:lang w:val="en-US"/>
        </w:rPr>
        <w:t xml:space="preserve"> </w:t>
      </w:r>
      <w:r w:rsidR="00AE7B26">
        <w:rPr>
          <w:lang w:val="en-US"/>
        </w:rPr>
        <w:t>ordering</w:t>
      </w:r>
      <w:r w:rsidR="00872504">
        <w:rPr>
          <w:lang w:val="en-US"/>
        </w:rPr>
        <w:t xml:space="preserve"> them to release mo</w:t>
      </w:r>
      <w:r w:rsidR="008810BB">
        <w:rPr>
          <w:lang w:val="en-US"/>
        </w:rPr>
        <w:t>nies on hold in respect of various accounts held by each of the four</w:t>
      </w:r>
      <w:r w:rsidR="00CC5D06">
        <w:rPr>
          <w:lang w:val="en-US"/>
        </w:rPr>
        <w:t xml:space="preserve"> applicants with the first respondent.</w:t>
      </w:r>
      <w:r w:rsidR="006D195E">
        <w:rPr>
          <w:lang w:val="en-US"/>
        </w:rPr>
        <w:t xml:space="preserve"> The respondents oppose the application.</w:t>
      </w:r>
    </w:p>
    <w:p w14:paraId="3EB7929C" w14:textId="3A752A41" w:rsidR="00BA5004" w:rsidRDefault="00114A3F" w:rsidP="00114A3F">
      <w:pPr>
        <w:pStyle w:val="LegalNormal"/>
        <w:tabs>
          <w:tab w:val="left" w:pos="927"/>
        </w:tabs>
        <w:ind w:left="927" w:hanging="567"/>
        <w:rPr>
          <w:lang w:val="en-US"/>
        </w:rPr>
      </w:pPr>
      <w:r>
        <w:rPr>
          <w:sz w:val="28"/>
          <w:szCs w:val="28"/>
          <w:lang w:val="en-US"/>
        </w:rPr>
        <w:t>[2]</w:t>
      </w:r>
      <w:r>
        <w:rPr>
          <w:sz w:val="28"/>
          <w:szCs w:val="28"/>
          <w:lang w:val="en-US"/>
        </w:rPr>
        <w:tab/>
      </w:r>
      <w:r w:rsidR="00BA5004">
        <w:rPr>
          <w:lang w:val="en-US"/>
        </w:rPr>
        <w:t>The applicants seek a punitive cost order</w:t>
      </w:r>
      <w:r w:rsidR="00420885">
        <w:rPr>
          <w:lang w:val="en-US"/>
        </w:rPr>
        <w:t xml:space="preserve"> against the respondents.</w:t>
      </w:r>
    </w:p>
    <w:p w14:paraId="17CC2516" w14:textId="5A383C7B" w:rsidR="004D6C47" w:rsidRPr="004D6C47" w:rsidRDefault="00114A3F" w:rsidP="00114A3F">
      <w:pPr>
        <w:pStyle w:val="LegalNormal"/>
        <w:ind w:left="720" w:hanging="360"/>
        <w:rPr>
          <w:b/>
          <w:bCs/>
          <w:lang w:val="en-US"/>
        </w:rPr>
      </w:pPr>
      <w:r w:rsidRPr="004D6C47">
        <w:rPr>
          <w:b/>
          <w:bCs/>
          <w:lang w:val="en-US"/>
        </w:rPr>
        <w:t>B.</w:t>
      </w:r>
      <w:r w:rsidRPr="004D6C47">
        <w:rPr>
          <w:b/>
          <w:bCs/>
          <w:lang w:val="en-US"/>
        </w:rPr>
        <w:tab/>
      </w:r>
      <w:r w:rsidR="004D6C47" w:rsidRPr="004D6C47">
        <w:rPr>
          <w:b/>
          <w:bCs/>
          <w:lang w:val="en-US"/>
        </w:rPr>
        <w:t>BACKGROUND</w:t>
      </w:r>
    </w:p>
    <w:p w14:paraId="110F0572" w14:textId="72058E7D" w:rsidR="00F458C9" w:rsidRDefault="00114A3F" w:rsidP="00114A3F">
      <w:pPr>
        <w:pStyle w:val="LegalNormal"/>
        <w:tabs>
          <w:tab w:val="left" w:pos="927"/>
        </w:tabs>
        <w:ind w:left="927" w:hanging="567"/>
        <w:rPr>
          <w:lang w:val="en-US"/>
        </w:rPr>
      </w:pPr>
      <w:r>
        <w:rPr>
          <w:sz w:val="28"/>
          <w:szCs w:val="28"/>
          <w:lang w:val="en-US"/>
        </w:rPr>
        <w:t>[3]</w:t>
      </w:r>
      <w:r>
        <w:rPr>
          <w:sz w:val="28"/>
          <w:szCs w:val="28"/>
          <w:lang w:val="en-US"/>
        </w:rPr>
        <w:tab/>
      </w:r>
      <w:r w:rsidR="006F0055">
        <w:rPr>
          <w:lang w:val="en-US"/>
        </w:rPr>
        <w:t>Th</w:t>
      </w:r>
      <w:r w:rsidR="00AE1E67">
        <w:rPr>
          <w:lang w:val="en-US"/>
        </w:rPr>
        <w:t>e A</w:t>
      </w:r>
      <w:r w:rsidR="005F6D8F">
        <w:rPr>
          <w:lang w:val="en-US"/>
        </w:rPr>
        <w:t xml:space="preserve">pplicants </w:t>
      </w:r>
      <w:r w:rsidR="006F0055">
        <w:rPr>
          <w:lang w:val="en-US"/>
        </w:rPr>
        <w:t>i</w:t>
      </w:r>
      <w:r w:rsidR="005F6D8F">
        <w:rPr>
          <w:lang w:val="en-US"/>
        </w:rPr>
        <w:t>n thi</w:t>
      </w:r>
      <w:r w:rsidR="006F0055">
        <w:rPr>
          <w:lang w:val="en-US"/>
        </w:rPr>
        <w:t>s ma</w:t>
      </w:r>
      <w:r w:rsidR="000930E8">
        <w:rPr>
          <w:lang w:val="en-US"/>
        </w:rPr>
        <w:t>t</w:t>
      </w:r>
      <w:r w:rsidR="006F0055">
        <w:rPr>
          <w:lang w:val="en-US"/>
        </w:rPr>
        <w:t>ter</w:t>
      </w:r>
      <w:r w:rsidR="00544733">
        <w:rPr>
          <w:lang w:val="en-US"/>
        </w:rPr>
        <w:t xml:space="preserve"> </w:t>
      </w:r>
      <w:r w:rsidR="00544733" w:rsidRPr="00544733">
        <w:t xml:space="preserve">all have their own bank accounts at the first respondent which they utilise, among others, to pay their suppliers in the normal course of their </w:t>
      </w:r>
      <w:r w:rsidR="006D195E" w:rsidRPr="00544733">
        <w:t>business.</w:t>
      </w:r>
      <w:r w:rsidR="008E5000">
        <w:t xml:space="preserve"> </w:t>
      </w:r>
    </w:p>
    <w:p w14:paraId="27615CAC" w14:textId="18683D54" w:rsidR="00B023A7" w:rsidRPr="00B023A7" w:rsidRDefault="00114A3F" w:rsidP="00114A3F">
      <w:pPr>
        <w:pStyle w:val="LegalNormal"/>
        <w:tabs>
          <w:tab w:val="left" w:pos="927"/>
        </w:tabs>
        <w:ind w:left="927" w:hanging="567"/>
        <w:rPr>
          <w:lang w:val="en-US"/>
        </w:rPr>
      </w:pPr>
      <w:r w:rsidRPr="00B023A7">
        <w:rPr>
          <w:sz w:val="28"/>
          <w:szCs w:val="28"/>
          <w:lang w:val="en-US"/>
        </w:rPr>
        <w:t>[4]</w:t>
      </w:r>
      <w:r w:rsidRPr="00B023A7">
        <w:rPr>
          <w:sz w:val="28"/>
          <w:szCs w:val="28"/>
          <w:lang w:val="en-US"/>
        </w:rPr>
        <w:tab/>
      </w:r>
      <w:r w:rsidR="008E5000" w:rsidRPr="008E5000">
        <w:t xml:space="preserve">During June and July 2021, the applicants made certain payments to their Chinese suppliers from their respective bank </w:t>
      </w:r>
      <w:proofErr w:type="gramStart"/>
      <w:r w:rsidR="008E5000" w:rsidRPr="008E5000">
        <w:t>accounts</w:t>
      </w:r>
      <w:proofErr w:type="gramEnd"/>
      <w:r w:rsidR="008E5000" w:rsidRPr="008E5000">
        <w:t xml:space="preserve"> but the suppliers did not receive these payments</w:t>
      </w:r>
      <w:r w:rsidR="00B023A7">
        <w:t>.</w:t>
      </w:r>
    </w:p>
    <w:p w14:paraId="3077415E" w14:textId="63503E05" w:rsidR="00A85F88" w:rsidRPr="00A85F88" w:rsidRDefault="00114A3F" w:rsidP="00114A3F">
      <w:pPr>
        <w:pStyle w:val="LegalNormal"/>
        <w:tabs>
          <w:tab w:val="left" w:pos="927"/>
        </w:tabs>
        <w:ind w:left="927" w:hanging="567"/>
        <w:rPr>
          <w:lang w:val="en-US"/>
        </w:rPr>
      </w:pPr>
      <w:r w:rsidRPr="00A85F88">
        <w:rPr>
          <w:sz w:val="28"/>
          <w:szCs w:val="28"/>
          <w:lang w:val="en-US"/>
        </w:rPr>
        <w:t>[5]</w:t>
      </w:r>
      <w:r w:rsidRPr="00A85F88">
        <w:rPr>
          <w:sz w:val="28"/>
          <w:szCs w:val="28"/>
          <w:lang w:val="en-US"/>
        </w:rPr>
        <w:tab/>
      </w:r>
      <w:r w:rsidR="00B023A7">
        <w:t xml:space="preserve">After </w:t>
      </w:r>
      <w:r w:rsidR="00FB5CCE">
        <w:t xml:space="preserve">several attempts to ascertain the status of the </w:t>
      </w:r>
      <w:r w:rsidR="000A726F">
        <w:t>transactions, it appeared</w:t>
      </w:r>
      <w:r w:rsidR="00FB5CCE">
        <w:t xml:space="preserve"> </w:t>
      </w:r>
      <w:r w:rsidR="00600B12">
        <w:t>that the payments were blocked.</w:t>
      </w:r>
    </w:p>
    <w:p w14:paraId="0007E96B" w14:textId="2A24DD73" w:rsidR="00BB237B" w:rsidRPr="00BB237B" w:rsidRDefault="00114A3F" w:rsidP="00114A3F">
      <w:pPr>
        <w:pStyle w:val="LegalNormal"/>
        <w:tabs>
          <w:tab w:val="left" w:pos="927"/>
        </w:tabs>
        <w:ind w:left="927" w:hanging="567"/>
        <w:rPr>
          <w:lang w:val="en-US"/>
        </w:rPr>
      </w:pPr>
      <w:r w:rsidRPr="00BB237B">
        <w:rPr>
          <w:sz w:val="28"/>
          <w:szCs w:val="28"/>
          <w:lang w:val="en-US"/>
        </w:rPr>
        <w:lastRenderedPageBreak/>
        <w:t>[6]</w:t>
      </w:r>
      <w:r w:rsidRPr="00BB237B">
        <w:rPr>
          <w:sz w:val="28"/>
          <w:szCs w:val="28"/>
          <w:lang w:val="en-US"/>
        </w:rPr>
        <w:tab/>
      </w:r>
      <w:r w:rsidR="00D0507E" w:rsidRPr="00D0507E">
        <w:t xml:space="preserve">Neither the first </w:t>
      </w:r>
      <w:r w:rsidR="0013140B">
        <w:t>n</w:t>
      </w:r>
      <w:r w:rsidR="00D0507E" w:rsidRPr="00D0507E">
        <w:t>or the second respondent</w:t>
      </w:r>
      <w:r w:rsidR="003268DC" w:rsidRPr="003268DC">
        <w:t xml:space="preserve"> </w:t>
      </w:r>
      <w:r w:rsidR="0013140B">
        <w:t>n</w:t>
      </w:r>
      <w:r w:rsidR="003268DC" w:rsidRPr="003268DC">
        <w:t>otified any of the applicants that the relevant transactions were blocked and</w:t>
      </w:r>
      <w:r w:rsidR="0013140B">
        <w:t>/o</w:t>
      </w:r>
      <w:r w:rsidR="003268DC" w:rsidRPr="003268DC">
        <w:t xml:space="preserve">r </w:t>
      </w:r>
      <w:r w:rsidR="0013140B">
        <w:t>o</w:t>
      </w:r>
      <w:r w:rsidR="003268DC" w:rsidRPr="003268DC">
        <w:t>n which grounds.</w:t>
      </w:r>
      <w:r w:rsidR="00BB237B">
        <w:t xml:space="preserve"> </w:t>
      </w:r>
    </w:p>
    <w:p w14:paraId="65EDC3B5" w14:textId="25CC4FF9" w:rsidR="00FB1375" w:rsidRPr="00FB1375" w:rsidRDefault="00114A3F" w:rsidP="00114A3F">
      <w:pPr>
        <w:pStyle w:val="LegalNormal"/>
        <w:tabs>
          <w:tab w:val="left" w:pos="927"/>
        </w:tabs>
        <w:ind w:left="927" w:hanging="567"/>
        <w:rPr>
          <w:lang w:val="en-US"/>
        </w:rPr>
      </w:pPr>
      <w:r w:rsidRPr="00FB1375">
        <w:rPr>
          <w:sz w:val="28"/>
          <w:szCs w:val="28"/>
          <w:lang w:val="en-US"/>
        </w:rPr>
        <w:t>[7]</w:t>
      </w:r>
      <w:r w:rsidRPr="00FB1375">
        <w:rPr>
          <w:sz w:val="28"/>
          <w:szCs w:val="28"/>
          <w:lang w:val="en-US"/>
        </w:rPr>
        <w:tab/>
      </w:r>
      <w:r w:rsidR="00BB237B" w:rsidRPr="00BB237B">
        <w:t xml:space="preserve">It is apparent from the answering papers filed by the first and second respondents that the holds/blocks were placed on the transactions, by the first respondent on instructions from the second </w:t>
      </w:r>
      <w:r w:rsidR="003A5BA9" w:rsidRPr="00BB237B">
        <w:t>respondent.</w:t>
      </w:r>
      <w:r w:rsidR="00FB1375">
        <w:t xml:space="preserve"> </w:t>
      </w:r>
    </w:p>
    <w:p w14:paraId="316596EE" w14:textId="2B48E029" w:rsidR="00F1705D" w:rsidRPr="00F1705D" w:rsidRDefault="00114A3F" w:rsidP="00114A3F">
      <w:pPr>
        <w:pStyle w:val="LegalNormal"/>
        <w:tabs>
          <w:tab w:val="left" w:pos="927"/>
        </w:tabs>
        <w:ind w:left="927" w:hanging="567"/>
        <w:rPr>
          <w:lang w:val="en-US"/>
        </w:rPr>
      </w:pPr>
      <w:r w:rsidRPr="00F1705D">
        <w:rPr>
          <w:sz w:val="28"/>
          <w:szCs w:val="28"/>
          <w:lang w:val="en-US"/>
        </w:rPr>
        <w:t>[8]</w:t>
      </w:r>
      <w:r w:rsidRPr="00F1705D">
        <w:rPr>
          <w:sz w:val="28"/>
          <w:szCs w:val="28"/>
          <w:lang w:val="en-US"/>
        </w:rPr>
        <w:tab/>
      </w:r>
      <w:r w:rsidR="00FB1375" w:rsidRPr="00FB1375">
        <w:t>The second respondent requested specific information and documentation from the first respondent to verify and clarify certain information during their compulsory due diligence checks, before instructions could be given to release such holds/</w:t>
      </w:r>
      <w:r w:rsidR="003A5BA9" w:rsidRPr="00FB1375">
        <w:t>blocks.</w:t>
      </w:r>
      <w:r w:rsidR="00F1705D">
        <w:t xml:space="preserve"> </w:t>
      </w:r>
    </w:p>
    <w:p w14:paraId="6647E630" w14:textId="688E0453" w:rsidR="00DD5B40" w:rsidRPr="00DD5B40" w:rsidRDefault="00114A3F" w:rsidP="00114A3F">
      <w:pPr>
        <w:pStyle w:val="LegalNormal"/>
        <w:tabs>
          <w:tab w:val="left" w:pos="927"/>
        </w:tabs>
        <w:ind w:left="927" w:hanging="567"/>
        <w:rPr>
          <w:lang w:val="en-US"/>
        </w:rPr>
      </w:pPr>
      <w:r w:rsidRPr="00DD5B40">
        <w:rPr>
          <w:sz w:val="28"/>
          <w:szCs w:val="28"/>
          <w:lang w:val="en-US"/>
        </w:rPr>
        <w:t>[9]</w:t>
      </w:r>
      <w:r w:rsidRPr="00DD5B40">
        <w:rPr>
          <w:sz w:val="28"/>
          <w:szCs w:val="28"/>
          <w:lang w:val="en-US"/>
        </w:rPr>
        <w:tab/>
      </w:r>
      <w:r w:rsidR="00403F0B" w:rsidRPr="00F1705D">
        <w:t>All</w:t>
      </w:r>
      <w:r w:rsidR="00F1705D" w:rsidRPr="00F1705D">
        <w:t xml:space="preserve"> the information and documentation were not provided to the second respondent by the first respondent and the applicants were never informed of any required and/or outstanding information and/or documentation to be able to assist the second respondent</w:t>
      </w:r>
      <w:r w:rsidR="00326308">
        <w:t xml:space="preserve">. </w:t>
      </w:r>
    </w:p>
    <w:p w14:paraId="69092B19" w14:textId="54D7741B" w:rsidR="002C4D39" w:rsidRPr="002C4D39" w:rsidRDefault="00114A3F" w:rsidP="00114A3F">
      <w:pPr>
        <w:pStyle w:val="LegalNormal"/>
        <w:tabs>
          <w:tab w:val="left" w:pos="927"/>
        </w:tabs>
        <w:ind w:left="927" w:hanging="567"/>
        <w:rPr>
          <w:lang w:val="en-US"/>
        </w:rPr>
      </w:pPr>
      <w:r w:rsidRPr="002C4D39">
        <w:rPr>
          <w:sz w:val="28"/>
          <w:szCs w:val="28"/>
          <w:lang w:val="en-US"/>
        </w:rPr>
        <w:t>[10]</w:t>
      </w:r>
      <w:r w:rsidRPr="002C4D39">
        <w:rPr>
          <w:sz w:val="28"/>
          <w:szCs w:val="28"/>
          <w:lang w:val="en-US"/>
        </w:rPr>
        <w:tab/>
      </w:r>
      <w:r w:rsidR="00326308" w:rsidRPr="00326308">
        <w:t xml:space="preserve">Except for being referred to the second respondent at the second respondent's physical address and general contact details, the applicants were not provided with any information or the reasons for the holds/blocks placed on their accounts until receipt of the respondents' answering </w:t>
      </w:r>
      <w:r w:rsidR="00DD5B40" w:rsidRPr="00326308">
        <w:t>papers.</w:t>
      </w:r>
      <w:r w:rsidR="002814FA">
        <w:t xml:space="preserve"> </w:t>
      </w:r>
      <w:r w:rsidR="002814FA" w:rsidRPr="002814FA">
        <w:t xml:space="preserve">The first respondent is of the view that the applicants should have pursued a judicial review of the second respondent's decision to issue blocking orders, but this is under circumstances </w:t>
      </w:r>
      <w:r w:rsidR="002814FA" w:rsidRPr="002814FA">
        <w:lastRenderedPageBreak/>
        <w:t>that the applicants were never provided with any information to put them in a position to even consider such review.</w:t>
      </w:r>
      <w:r w:rsidR="002814FA">
        <w:t xml:space="preserve"> </w:t>
      </w:r>
    </w:p>
    <w:p w14:paraId="4FE92B03" w14:textId="10101A8E" w:rsidR="00111A06" w:rsidRPr="00D84E2F" w:rsidRDefault="00114A3F" w:rsidP="00114A3F">
      <w:pPr>
        <w:pStyle w:val="LegalNormal"/>
        <w:tabs>
          <w:tab w:val="left" w:pos="927"/>
        </w:tabs>
        <w:ind w:left="927" w:hanging="567"/>
        <w:rPr>
          <w:lang w:val="en-US"/>
        </w:rPr>
      </w:pPr>
      <w:r w:rsidRPr="00D84E2F">
        <w:rPr>
          <w:sz w:val="28"/>
          <w:szCs w:val="28"/>
          <w:lang w:val="en-US"/>
        </w:rPr>
        <w:t>[11]</w:t>
      </w:r>
      <w:r w:rsidRPr="00D84E2F">
        <w:rPr>
          <w:sz w:val="28"/>
          <w:szCs w:val="28"/>
          <w:lang w:val="en-US"/>
        </w:rPr>
        <w:tab/>
      </w:r>
      <w:r w:rsidR="002C4D39" w:rsidRPr="002C4D39">
        <w:t>The applicants amended their Notice of Motion after receipt of the respondents Answering Affidavits and therefore after being informed of the second respondent's instructions to the first respondent. The amended notice seeks to postpone the initial relief sought until after compliance with the interdict.</w:t>
      </w:r>
    </w:p>
    <w:p w14:paraId="2DB85EE9" w14:textId="77777777" w:rsidR="00D84E2F" w:rsidRPr="005B2EF3" w:rsidRDefault="00D84E2F" w:rsidP="00D84E2F">
      <w:pPr>
        <w:pStyle w:val="LegalNormal"/>
        <w:ind w:left="927"/>
        <w:rPr>
          <w:lang w:val="en-US"/>
        </w:rPr>
      </w:pPr>
    </w:p>
    <w:p w14:paraId="3E18D71F" w14:textId="0F3219AF" w:rsidR="005B2EF3" w:rsidRPr="00D84E2F" w:rsidRDefault="00114A3F" w:rsidP="00114A3F">
      <w:pPr>
        <w:pStyle w:val="LegalNormal"/>
        <w:ind w:left="720" w:hanging="360"/>
        <w:rPr>
          <w:b/>
          <w:bCs/>
          <w:lang w:val="en-US"/>
        </w:rPr>
      </w:pPr>
      <w:r w:rsidRPr="00D84E2F">
        <w:rPr>
          <w:b/>
          <w:bCs/>
          <w:lang w:val="en-US"/>
        </w:rPr>
        <w:t>C.</w:t>
      </w:r>
      <w:r w:rsidRPr="00D84E2F">
        <w:rPr>
          <w:b/>
          <w:bCs/>
          <w:lang w:val="en-US"/>
        </w:rPr>
        <w:tab/>
      </w:r>
      <w:r w:rsidR="00FE4B43" w:rsidRPr="00D84E2F">
        <w:rPr>
          <w:b/>
          <w:bCs/>
        </w:rPr>
        <w:t>APPLICABLE LEGAL FRAMEWORK</w:t>
      </w:r>
      <w:r w:rsidR="006B3011">
        <w:rPr>
          <w:rStyle w:val="FootnoteReference"/>
          <w:b/>
          <w:bCs/>
        </w:rPr>
        <w:footnoteReference w:id="1"/>
      </w:r>
    </w:p>
    <w:p w14:paraId="23FFAE7E" w14:textId="04280AC7" w:rsidR="00517753" w:rsidRPr="00517753" w:rsidRDefault="00114A3F" w:rsidP="00114A3F">
      <w:pPr>
        <w:pStyle w:val="LegalNormal"/>
        <w:tabs>
          <w:tab w:val="left" w:pos="927"/>
        </w:tabs>
        <w:ind w:left="927" w:hanging="567"/>
        <w:rPr>
          <w:lang w:val="en-US"/>
        </w:rPr>
      </w:pPr>
      <w:r w:rsidRPr="00517753">
        <w:rPr>
          <w:sz w:val="28"/>
          <w:szCs w:val="28"/>
          <w:lang w:val="en-US"/>
        </w:rPr>
        <w:t>[12]</w:t>
      </w:r>
      <w:r w:rsidRPr="00517753">
        <w:rPr>
          <w:sz w:val="28"/>
          <w:szCs w:val="28"/>
          <w:lang w:val="en-US"/>
        </w:rPr>
        <w:tab/>
      </w:r>
      <w:r w:rsidR="001E0DBB">
        <w:t>The SARB is the central ba</w:t>
      </w:r>
      <w:r w:rsidR="00530860">
        <w:t xml:space="preserve">nk of South Africa. It is governed by the South African Reserve Bank </w:t>
      </w:r>
      <w:r w:rsidR="00E27F8D">
        <w:t>Act 89 of 1990 (“SARB Act”) and the C</w:t>
      </w:r>
      <w:r w:rsidR="00785A01">
        <w:t>onstitution of the Republic of South Af</w:t>
      </w:r>
      <w:r w:rsidR="00E8451C">
        <w:t>rica</w:t>
      </w:r>
      <w:r w:rsidR="00E7509B">
        <w:t xml:space="preserve"> Act 108 of </w:t>
      </w:r>
      <w:r w:rsidR="0038691D">
        <w:t>1996 (“the Constitution”).</w:t>
      </w:r>
      <w:r w:rsidR="00517753">
        <w:t xml:space="preserve"> </w:t>
      </w:r>
    </w:p>
    <w:p w14:paraId="2DE6610C" w14:textId="6F0DEC1D" w:rsidR="00CC1941" w:rsidRPr="00CC1941" w:rsidRDefault="00114A3F" w:rsidP="00114A3F">
      <w:pPr>
        <w:pStyle w:val="LegalNormal"/>
        <w:tabs>
          <w:tab w:val="left" w:pos="927"/>
        </w:tabs>
        <w:ind w:left="927" w:hanging="567"/>
        <w:rPr>
          <w:lang w:val="en-US"/>
        </w:rPr>
      </w:pPr>
      <w:r w:rsidRPr="00CC1941">
        <w:rPr>
          <w:sz w:val="28"/>
          <w:szCs w:val="28"/>
          <w:lang w:val="en-US"/>
        </w:rPr>
        <w:t>[13]</w:t>
      </w:r>
      <w:r w:rsidRPr="00CC1941">
        <w:rPr>
          <w:sz w:val="28"/>
          <w:szCs w:val="28"/>
          <w:lang w:val="en-US"/>
        </w:rPr>
        <w:tab/>
      </w:r>
      <w:r w:rsidR="00517753" w:rsidRPr="00517753">
        <w:t>The primary objective of SARB is to protect the value of the currency in the interest of balanced and sustainable economic growth in the Republic. The powers and functions of SARB are those customarily exercised and performed by central banks, as contemplated in section 225 of the Constitution</w:t>
      </w:r>
      <w:r w:rsidR="00CC1941">
        <w:t xml:space="preserve">. </w:t>
      </w:r>
    </w:p>
    <w:p w14:paraId="76E56392" w14:textId="1B46328C" w:rsidR="002B4280" w:rsidRPr="002B4280" w:rsidRDefault="00114A3F" w:rsidP="00114A3F">
      <w:pPr>
        <w:pStyle w:val="LegalNormal"/>
        <w:tabs>
          <w:tab w:val="left" w:pos="927"/>
        </w:tabs>
        <w:ind w:left="927" w:hanging="567"/>
        <w:rPr>
          <w:lang w:val="en-US"/>
        </w:rPr>
      </w:pPr>
      <w:r w:rsidRPr="002B4280">
        <w:rPr>
          <w:sz w:val="28"/>
          <w:szCs w:val="28"/>
          <w:lang w:val="en-US"/>
        </w:rPr>
        <w:t>[14]</w:t>
      </w:r>
      <w:r w:rsidRPr="002B4280">
        <w:rPr>
          <w:sz w:val="28"/>
          <w:szCs w:val="28"/>
          <w:lang w:val="en-US"/>
        </w:rPr>
        <w:tab/>
      </w:r>
      <w:r w:rsidR="00CC1941" w:rsidRPr="00CC1941">
        <w:t xml:space="preserve">Exchange controls are government-imposed limitations on the purchase and sale of foreign currencies. Exchange controls are used </w:t>
      </w:r>
      <w:r w:rsidR="00CC1941" w:rsidRPr="00247FAD">
        <w:rPr>
          <w:i/>
        </w:rPr>
        <w:t>inter alia</w:t>
      </w:r>
      <w:r w:rsidR="00CC1941" w:rsidRPr="00CC1941">
        <w:t xml:space="preserve"> to ensure the </w:t>
      </w:r>
      <w:r w:rsidR="00CC1941" w:rsidRPr="00CC1941">
        <w:lastRenderedPageBreak/>
        <w:t>stability of an economy and prevent exchange rate volatility. In the Republic, exchange controls are overseen by the SARB.</w:t>
      </w:r>
      <w:r w:rsidR="00F03088">
        <w:t xml:space="preserve"> </w:t>
      </w:r>
    </w:p>
    <w:p w14:paraId="0EE44E9F" w14:textId="46C55477" w:rsidR="00E50259" w:rsidRPr="00E50259" w:rsidRDefault="00114A3F" w:rsidP="00114A3F">
      <w:pPr>
        <w:pStyle w:val="LegalNormal"/>
        <w:tabs>
          <w:tab w:val="left" w:pos="927"/>
        </w:tabs>
        <w:ind w:left="927" w:hanging="567"/>
        <w:rPr>
          <w:lang w:val="en-ZA"/>
        </w:rPr>
      </w:pPr>
      <w:r w:rsidRPr="00E50259">
        <w:rPr>
          <w:sz w:val="28"/>
          <w:szCs w:val="28"/>
          <w:lang w:val="en-ZA"/>
        </w:rPr>
        <w:t>[15]</w:t>
      </w:r>
      <w:r w:rsidRPr="00E50259">
        <w:rPr>
          <w:sz w:val="28"/>
          <w:szCs w:val="28"/>
          <w:lang w:val="en-ZA"/>
        </w:rPr>
        <w:tab/>
      </w:r>
      <w:r w:rsidR="009C5D22">
        <w:t xml:space="preserve">In </w:t>
      </w:r>
      <w:r w:rsidR="00FA7FEB" w:rsidRPr="0054526F">
        <w:rPr>
          <w:i/>
          <w:iCs/>
        </w:rPr>
        <w:t xml:space="preserve">South African Reserve Bank and Another v </w:t>
      </w:r>
      <w:r w:rsidR="00EC2133" w:rsidRPr="0054526F">
        <w:rPr>
          <w:i/>
          <w:iCs/>
        </w:rPr>
        <w:t>Shuttleworth and Another</w:t>
      </w:r>
      <w:r w:rsidR="00EC2133">
        <w:t xml:space="preserve"> 2015 (5) SA 146 (CC</w:t>
      </w:r>
      <w:r w:rsidR="0054526F">
        <w:t>)</w:t>
      </w:r>
      <w:r w:rsidR="009C2454">
        <w:rPr>
          <w:rStyle w:val="FootnoteReference"/>
        </w:rPr>
        <w:footnoteReference w:id="2"/>
      </w:r>
      <w:r w:rsidR="0054526F">
        <w:t xml:space="preserve"> the</w:t>
      </w:r>
      <w:r w:rsidR="002B4280" w:rsidRPr="002B4280">
        <w:t xml:space="preserve"> Constitutional Court explained the purpose of exchange control regulation in the following terms:</w:t>
      </w:r>
      <w:r w:rsidR="002B4280">
        <w:t xml:space="preserve"> </w:t>
      </w:r>
    </w:p>
    <w:p w14:paraId="1E71EE14" w14:textId="4F947F4B" w:rsidR="002D73DD" w:rsidRDefault="002D73DD" w:rsidP="00E50259">
      <w:pPr>
        <w:pStyle w:val="LegalNormal"/>
        <w:ind w:left="927"/>
        <w:rPr>
          <w:i/>
          <w:iCs/>
          <w:u w:val="single"/>
          <w:lang w:val="en-ZA"/>
        </w:rPr>
      </w:pPr>
      <w:r w:rsidRPr="00E50259">
        <w:rPr>
          <w:i/>
          <w:iCs/>
          <w:lang w:val="en-ZA"/>
        </w:rPr>
        <w:t xml:space="preserve">"Here we are dealing with exchange control legislation. </w:t>
      </w:r>
      <w:r w:rsidRPr="00E50259">
        <w:rPr>
          <w:i/>
          <w:iCs/>
          <w:u w:val="single"/>
          <w:lang w:val="en-ZA"/>
        </w:rPr>
        <w:t>Its avowed purpose was to curb or regulate the export of capital from the country.</w:t>
      </w:r>
      <w:r w:rsidRPr="00E50259">
        <w:rPr>
          <w:i/>
          <w:iCs/>
          <w:lang w:val="en-ZA"/>
        </w:rPr>
        <w:t xml:space="preserve"> The very historic origins of the Act, in 1933, were </w:t>
      </w:r>
      <w:proofErr w:type="gramStart"/>
      <w:r w:rsidRPr="00E50259">
        <w:rPr>
          <w:i/>
          <w:iCs/>
          <w:lang w:val="en-ZA"/>
        </w:rPr>
        <w:t>in the midst of</w:t>
      </w:r>
      <w:proofErr w:type="gramEnd"/>
      <w:r w:rsidRPr="00E50259">
        <w:rPr>
          <w:i/>
          <w:iCs/>
          <w:lang w:val="en-ZA"/>
        </w:rPr>
        <w:t xml:space="preserve"> the 1929 Great Depression, pointing to a necessity to curb outflows of capital. The Regulations were then passed in the aftermath of the economic crises following the Sharpeville shootings in 1960. </w:t>
      </w:r>
      <w:r w:rsidRPr="00E50259">
        <w:rPr>
          <w:i/>
          <w:iCs/>
          <w:u w:val="single"/>
          <w:lang w:val="en-ZA"/>
        </w:rPr>
        <w:t xml:space="preserve">The domestic economy had to be shielded from capital flight. Regulation 10's very heading is "Restriction on Export of Capital". The measures were introduced and kept </w:t>
      </w:r>
      <w:proofErr w:type="gramStart"/>
      <w:r w:rsidRPr="00E50259">
        <w:rPr>
          <w:i/>
          <w:iCs/>
          <w:u w:val="single"/>
          <w:lang w:val="en-ZA"/>
        </w:rPr>
        <w:t>to shore</w:t>
      </w:r>
      <w:proofErr w:type="gramEnd"/>
      <w:r w:rsidRPr="00E50259">
        <w:rPr>
          <w:i/>
          <w:iCs/>
          <w:u w:val="single"/>
          <w:lang w:val="en-ZA"/>
        </w:rPr>
        <w:t xml:space="preserve"> up the country's balance of payments position. The plain dominant purpose of the measure was to regulate and discourage the export of capital and to protect the domestic economy.</w:t>
      </w:r>
    </w:p>
    <w:p w14:paraId="1E039971" w14:textId="56ED1F2B" w:rsidR="00A8489B" w:rsidRDefault="00A8489B" w:rsidP="00E50259">
      <w:pPr>
        <w:pStyle w:val="LegalNormal"/>
        <w:ind w:left="927"/>
        <w:rPr>
          <w:i/>
          <w:iCs/>
        </w:rPr>
      </w:pPr>
      <w:r w:rsidRPr="00A8489B">
        <w:rPr>
          <w:i/>
          <w:iCs/>
          <w:u w:val="single"/>
        </w:rPr>
        <w:t xml:space="preserve">...[T]he exchange control system is designed to regulate capital </w:t>
      </w:r>
      <w:proofErr w:type="spellStart"/>
      <w:r w:rsidRPr="00A8489B">
        <w:rPr>
          <w:i/>
          <w:iCs/>
          <w:u w:val="single"/>
        </w:rPr>
        <w:t>oufflows</w:t>
      </w:r>
      <w:proofErr w:type="spellEnd"/>
      <w:r w:rsidRPr="00A8489B">
        <w:rPr>
          <w:i/>
          <w:iCs/>
          <w:u w:val="single"/>
        </w:rPr>
        <w:t xml:space="preserve"> from the country.</w:t>
      </w:r>
      <w:r w:rsidRPr="00D0361C">
        <w:rPr>
          <w:i/>
          <w:iCs/>
        </w:rPr>
        <w:t xml:space="preserve"> The fickle nature of the international financial environment required the exchange control system to allow for swift responses to economic changes. Exchange control provided a framework for the repatriation of foreign currencies </w:t>
      </w:r>
      <w:r w:rsidRPr="00D0361C">
        <w:rPr>
          <w:i/>
          <w:iCs/>
        </w:rPr>
        <w:lastRenderedPageBreak/>
        <w:t xml:space="preserve">acquired by South African residents into the South African banking system. </w:t>
      </w:r>
      <w:r w:rsidRPr="00A8489B">
        <w:rPr>
          <w:i/>
          <w:iCs/>
          <w:u w:val="single"/>
        </w:rPr>
        <w:t>The controls protected the South African economy against the ebb and flow of capital. One of these controls which we are here dealing with specifically</w:t>
      </w:r>
      <w:r w:rsidR="00D0361C">
        <w:rPr>
          <w:i/>
          <w:iCs/>
          <w:u w:val="single"/>
        </w:rPr>
        <w:t>,</w:t>
      </w:r>
      <w:r w:rsidRPr="00A8489B">
        <w:rPr>
          <w:i/>
          <w:iCs/>
          <w:u w:val="single"/>
        </w:rPr>
        <w:t xml:space="preserve"> serves to prohibit the export of capital from the Republic (unless certain conditions were complied with)"</w:t>
      </w:r>
      <w:r w:rsidR="00F72C33">
        <w:rPr>
          <w:i/>
          <w:iCs/>
          <w:u w:val="single"/>
        </w:rPr>
        <w:t>.</w:t>
      </w:r>
      <w:r w:rsidR="00F72C33" w:rsidRPr="00F72C33">
        <w:rPr>
          <w:i/>
          <w:iCs/>
        </w:rPr>
        <w:t xml:space="preserve"> </w:t>
      </w:r>
      <w:r w:rsidRPr="00F72C33">
        <w:rPr>
          <w:i/>
          <w:iCs/>
        </w:rPr>
        <w:t xml:space="preserve"> (Underlined for emphasis).</w:t>
      </w:r>
    </w:p>
    <w:p w14:paraId="6111832A" w14:textId="77777777" w:rsidR="005F3998" w:rsidRPr="00E50259" w:rsidRDefault="005F3998" w:rsidP="00E50259">
      <w:pPr>
        <w:pStyle w:val="LegalNormal"/>
        <w:ind w:left="927"/>
        <w:rPr>
          <w:i/>
          <w:iCs/>
          <w:u w:val="single"/>
          <w:lang w:val="en-ZA"/>
        </w:rPr>
      </w:pPr>
    </w:p>
    <w:p w14:paraId="24C7AF95" w14:textId="42BF7A58" w:rsidR="0038691D" w:rsidRPr="006F6A6E" w:rsidRDefault="00114A3F" w:rsidP="00114A3F">
      <w:pPr>
        <w:pStyle w:val="LegalNormal"/>
        <w:ind w:left="720" w:hanging="360"/>
        <w:rPr>
          <w:b/>
          <w:bCs/>
          <w:lang w:val="en-US"/>
        </w:rPr>
      </w:pPr>
      <w:r w:rsidRPr="006F6A6E">
        <w:rPr>
          <w:b/>
          <w:bCs/>
          <w:lang w:val="en-US"/>
        </w:rPr>
        <w:t>D.</w:t>
      </w:r>
      <w:r w:rsidRPr="006F6A6E">
        <w:rPr>
          <w:b/>
          <w:bCs/>
          <w:lang w:val="en-US"/>
        </w:rPr>
        <w:tab/>
      </w:r>
      <w:r w:rsidR="008F03EE" w:rsidRPr="006F6A6E">
        <w:rPr>
          <w:b/>
          <w:bCs/>
          <w:lang w:val="en-US"/>
        </w:rPr>
        <w:t>APPLICANTS’ CONTENTIONS</w:t>
      </w:r>
    </w:p>
    <w:p w14:paraId="425AF705" w14:textId="768761CA" w:rsidR="00535972" w:rsidRDefault="00114A3F" w:rsidP="00114A3F">
      <w:pPr>
        <w:pStyle w:val="LegalNormal"/>
        <w:tabs>
          <w:tab w:val="left" w:pos="927"/>
        </w:tabs>
        <w:ind w:left="927" w:hanging="567"/>
        <w:rPr>
          <w:lang w:val="en-US"/>
        </w:rPr>
      </w:pPr>
      <w:r>
        <w:rPr>
          <w:sz w:val="28"/>
          <w:szCs w:val="28"/>
          <w:lang w:val="en-US"/>
        </w:rPr>
        <w:t>[16]</w:t>
      </w:r>
      <w:r>
        <w:rPr>
          <w:sz w:val="28"/>
          <w:szCs w:val="28"/>
          <w:lang w:val="en-US"/>
        </w:rPr>
        <w:tab/>
      </w:r>
      <w:r w:rsidR="00535972" w:rsidRPr="00535972">
        <w:rPr>
          <w:lang w:val="en-US"/>
        </w:rPr>
        <w:t>Both FirstRand and the Reserve Bank assert that the applicants should have brought a review application in terms of PAJA, but the applicants say that PAJA either does not apply or is not the only relief provided for in section 9 of the Currency and Exchanges Act; an aggrieved person may also institute action or lodge proceedings in court for any other relief.</w:t>
      </w:r>
    </w:p>
    <w:p w14:paraId="61EAE012" w14:textId="49EBCF95" w:rsidR="005A370A" w:rsidRDefault="00114A3F" w:rsidP="00114A3F">
      <w:pPr>
        <w:pStyle w:val="LegalNormal"/>
        <w:tabs>
          <w:tab w:val="left" w:pos="927"/>
        </w:tabs>
        <w:ind w:left="927" w:hanging="567"/>
        <w:rPr>
          <w:lang w:val="en-US"/>
        </w:rPr>
      </w:pPr>
      <w:r>
        <w:rPr>
          <w:sz w:val="28"/>
          <w:szCs w:val="28"/>
          <w:lang w:val="en-US"/>
        </w:rPr>
        <w:t>[17]</w:t>
      </w:r>
      <w:r>
        <w:rPr>
          <w:sz w:val="28"/>
          <w:szCs w:val="28"/>
          <w:lang w:val="en-US"/>
        </w:rPr>
        <w:tab/>
      </w:r>
      <w:r w:rsidR="005647F9">
        <w:rPr>
          <w:lang w:val="en-US"/>
        </w:rPr>
        <w:t xml:space="preserve">It was contended on behalf of the applicants that they were not </w:t>
      </w:r>
      <w:r w:rsidR="00434B21">
        <w:rPr>
          <w:lang w:val="en-US"/>
        </w:rPr>
        <w:t>afforded a right to be heard before the</w:t>
      </w:r>
      <w:r w:rsidR="00F83C56">
        <w:rPr>
          <w:lang w:val="en-US"/>
        </w:rPr>
        <w:t xml:space="preserve"> blocking orders were issued.</w:t>
      </w:r>
    </w:p>
    <w:p w14:paraId="1253A4E6" w14:textId="672D24DB" w:rsidR="003E47D4" w:rsidRPr="00535972" w:rsidRDefault="00114A3F" w:rsidP="00114A3F">
      <w:pPr>
        <w:pStyle w:val="LegalNormal"/>
        <w:tabs>
          <w:tab w:val="left" w:pos="927"/>
        </w:tabs>
        <w:ind w:left="927" w:hanging="567"/>
        <w:rPr>
          <w:lang w:val="en-US"/>
        </w:rPr>
      </w:pPr>
      <w:r w:rsidRPr="00535972">
        <w:rPr>
          <w:sz w:val="28"/>
          <w:szCs w:val="28"/>
          <w:lang w:val="en-US"/>
        </w:rPr>
        <w:t>[18]</w:t>
      </w:r>
      <w:r w:rsidRPr="00535972">
        <w:rPr>
          <w:sz w:val="28"/>
          <w:szCs w:val="28"/>
          <w:lang w:val="en-US"/>
        </w:rPr>
        <w:tab/>
      </w:r>
      <w:r w:rsidR="00D00A4E">
        <w:rPr>
          <w:lang w:val="en-US"/>
        </w:rPr>
        <w:t xml:space="preserve">Mr. Du Preez </w:t>
      </w:r>
      <w:r w:rsidR="00BA0DE3">
        <w:rPr>
          <w:lang w:val="en-US"/>
        </w:rPr>
        <w:t xml:space="preserve">referred to caselaw, more specifically </w:t>
      </w:r>
      <w:bookmarkStart w:id="0" w:name="_Hlk154757003"/>
      <w:proofErr w:type="spellStart"/>
      <w:r w:rsidR="009153A0" w:rsidRPr="001D46A8">
        <w:rPr>
          <w:i/>
          <w:iCs/>
          <w:lang w:val="en-US"/>
        </w:rPr>
        <w:t>Evergrand</w:t>
      </w:r>
      <w:proofErr w:type="spellEnd"/>
      <w:r w:rsidR="009153A0" w:rsidRPr="001D46A8">
        <w:rPr>
          <w:i/>
          <w:iCs/>
          <w:lang w:val="en-US"/>
        </w:rPr>
        <w:t xml:space="preserve"> Trading (Pty) Ltd v. SARB</w:t>
      </w:r>
      <w:r w:rsidR="002E78A6" w:rsidRPr="001D46A8">
        <w:rPr>
          <w:i/>
          <w:iCs/>
          <w:lang w:val="en-US"/>
        </w:rPr>
        <w:t xml:space="preserve"> &amp; Another</w:t>
      </w:r>
      <w:r w:rsidR="008B0802">
        <w:rPr>
          <w:i/>
          <w:iCs/>
          <w:lang w:val="en-US"/>
        </w:rPr>
        <w:t xml:space="preserve"> </w:t>
      </w:r>
      <w:r w:rsidR="001248B9">
        <w:rPr>
          <w:lang w:val="en-US"/>
        </w:rPr>
        <w:t xml:space="preserve">[2022] </w:t>
      </w:r>
      <w:r w:rsidR="00AE3BB1">
        <w:rPr>
          <w:lang w:val="en-US"/>
        </w:rPr>
        <w:t>ZAGPPHC</w:t>
      </w:r>
      <w:r w:rsidR="002E78A6" w:rsidRPr="001D46A8">
        <w:rPr>
          <w:i/>
          <w:iCs/>
          <w:lang w:val="en-US"/>
        </w:rPr>
        <w:t>, Yanling International Trade CC v SARB</w:t>
      </w:r>
      <w:r w:rsidR="00AE3BB1">
        <w:rPr>
          <w:i/>
          <w:iCs/>
          <w:lang w:val="en-US"/>
        </w:rPr>
        <w:t xml:space="preserve"> </w:t>
      </w:r>
      <w:r w:rsidR="00A178C1">
        <w:rPr>
          <w:lang w:val="en-US"/>
        </w:rPr>
        <w:t>[2023] ZA</w:t>
      </w:r>
      <w:r w:rsidR="006C0D5A">
        <w:rPr>
          <w:lang w:val="en-US"/>
        </w:rPr>
        <w:t>GPPHC 79</w:t>
      </w:r>
      <w:r w:rsidR="00F51819" w:rsidRPr="001D46A8">
        <w:rPr>
          <w:i/>
          <w:iCs/>
          <w:lang w:val="en-US"/>
        </w:rPr>
        <w:t>, Odendaal v S</w:t>
      </w:r>
      <w:r w:rsidR="00DB64D3">
        <w:rPr>
          <w:i/>
          <w:iCs/>
          <w:lang w:val="en-US"/>
        </w:rPr>
        <w:t>A</w:t>
      </w:r>
      <w:r w:rsidR="00F51819" w:rsidRPr="001D46A8">
        <w:rPr>
          <w:i/>
          <w:iCs/>
          <w:lang w:val="en-US"/>
        </w:rPr>
        <w:t>RB</w:t>
      </w:r>
      <w:r w:rsidR="00DB64D3">
        <w:rPr>
          <w:i/>
          <w:iCs/>
          <w:lang w:val="en-US"/>
        </w:rPr>
        <w:t xml:space="preserve"> </w:t>
      </w:r>
      <w:r w:rsidR="007D661E">
        <w:rPr>
          <w:lang w:val="en-US"/>
        </w:rPr>
        <w:t>[2023] ZAWCHC 160</w:t>
      </w:r>
      <w:r w:rsidR="00F51819" w:rsidRPr="001D46A8">
        <w:rPr>
          <w:i/>
          <w:iCs/>
          <w:lang w:val="en-US"/>
        </w:rPr>
        <w:t xml:space="preserve"> and </w:t>
      </w:r>
      <w:r w:rsidR="000E44AC" w:rsidRPr="001D46A8">
        <w:rPr>
          <w:i/>
          <w:iCs/>
          <w:lang w:val="en-US"/>
        </w:rPr>
        <w:t xml:space="preserve">SARB v </w:t>
      </w:r>
      <w:r w:rsidR="000E44AC" w:rsidRPr="001D46A8">
        <w:rPr>
          <w:i/>
          <w:iCs/>
          <w:lang w:val="en-US"/>
        </w:rPr>
        <w:lastRenderedPageBreak/>
        <w:t>Leathern &amp; Others</w:t>
      </w:r>
      <w:bookmarkEnd w:id="0"/>
      <w:r w:rsidR="007A2251">
        <w:rPr>
          <w:i/>
          <w:iCs/>
          <w:lang w:val="en-US"/>
        </w:rPr>
        <w:t xml:space="preserve"> </w:t>
      </w:r>
      <w:r w:rsidR="007A2251">
        <w:rPr>
          <w:lang w:val="en-US"/>
        </w:rPr>
        <w:t>2021 (5) SA 543</w:t>
      </w:r>
      <w:r w:rsidR="00D525A2">
        <w:rPr>
          <w:lang w:val="en-US"/>
        </w:rPr>
        <w:t xml:space="preserve"> (SCA)</w:t>
      </w:r>
      <w:r w:rsidR="000E44AC">
        <w:rPr>
          <w:lang w:val="en-US"/>
        </w:rPr>
        <w:t>.</w:t>
      </w:r>
      <w:r w:rsidR="00977394">
        <w:rPr>
          <w:rStyle w:val="FootnoteReference"/>
          <w:lang w:val="en-US"/>
        </w:rPr>
        <w:footnoteReference w:id="3"/>
      </w:r>
      <w:r w:rsidR="000E44AC">
        <w:rPr>
          <w:lang w:val="en-US"/>
        </w:rPr>
        <w:t xml:space="preserve"> I will deal with each </w:t>
      </w:r>
      <w:r w:rsidR="00D525A2">
        <w:rPr>
          <w:lang w:val="en-US"/>
        </w:rPr>
        <w:t>in paragraphs that follow</w:t>
      </w:r>
      <w:r w:rsidR="0025682B">
        <w:rPr>
          <w:lang w:val="en-US"/>
        </w:rPr>
        <w:t xml:space="preserve"> hereunder.</w:t>
      </w:r>
      <w:r w:rsidR="00BA0DE3">
        <w:rPr>
          <w:lang w:val="en-US"/>
        </w:rPr>
        <w:t xml:space="preserve"> </w:t>
      </w:r>
    </w:p>
    <w:p w14:paraId="1138BCC6" w14:textId="6C73745B" w:rsidR="00FE4B43" w:rsidRPr="00857CAA" w:rsidRDefault="00FE4B43" w:rsidP="000506DF">
      <w:pPr>
        <w:pStyle w:val="LegalNormal"/>
        <w:ind w:left="927"/>
        <w:rPr>
          <w:lang w:val="en-US"/>
        </w:rPr>
      </w:pPr>
    </w:p>
    <w:p w14:paraId="4E03DE44" w14:textId="1A6D1E39" w:rsidR="00857CAA" w:rsidRPr="00526C95" w:rsidRDefault="00114A3F" w:rsidP="00114A3F">
      <w:pPr>
        <w:pStyle w:val="LegalNormal"/>
        <w:ind w:left="720" w:hanging="360"/>
        <w:rPr>
          <w:b/>
          <w:bCs/>
          <w:lang w:val="en-US"/>
        </w:rPr>
      </w:pPr>
      <w:r w:rsidRPr="00526C95">
        <w:rPr>
          <w:b/>
          <w:bCs/>
          <w:lang w:val="en-US"/>
        </w:rPr>
        <w:t>E.</w:t>
      </w:r>
      <w:r w:rsidRPr="00526C95">
        <w:rPr>
          <w:b/>
          <w:bCs/>
          <w:lang w:val="en-US"/>
        </w:rPr>
        <w:tab/>
      </w:r>
      <w:r w:rsidR="00526C95" w:rsidRPr="00526C95">
        <w:rPr>
          <w:b/>
          <w:bCs/>
        </w:rPr>
        <w:t>THE RESPONDENTS’ CONTENTIONS:</w:t>
      </w:r>
    </w:p>
    <w:p w14:paraId="28844977" w14:textId="43BF3BFC" w:rsidR="00055B4F" w:rsidRPr="005F17C4" w:rsidRDefault="00114A3F" w:rsidP="00114A3F">
      <w:pPr>
        <w:pStyle w:val="LegalNormal"/>
        <w:tabs>
          <w:tab w:val="left" w:pos="927"/>
        </w:tabs>
        <w:ind w:left="927" w:hanging="567"/>
        <w:rPr>
          <w:lang w:val="en-US"/>
        </w:rPr>
      </w:pPr>
      <w:r w:rsidRPr="005F17C4">
        <w:rPr>
          <w:sz w:val="28"/>
          <w:szCs w:val="28"/>
          <w:lang w:val="en-US"/>
        </w:rPr>
        <w:t>[19]</w:t>
      </w:r>
      <w:r w:rsidRPr="005F17C4">
        <w:rPr>
          <w:sz w:val="28"/>
          <w:szCs w:val="28"/>
          <w:lang w:val="en-US"/>
        </w:rPr>
        <w:tab/>
      </w:r>
      <w:r w:rsidR="00CD1B58">
        <w:t>t</w:t>
      </w:r>
      <w:r w:rsidR="00CD1B58" w:rsidRPr="00CD1B58">
        <w:t>he second respondent issued blocking orders in terms of regulations 22A and or 22C of the Exchange Control Regulations</w:t>
      </w:r>
      <w:r w:rsidR="002A2FF4">
        <w:rPr>
          <w:rStyle w:val="FootnoteReference"/>
        </w:rPr>
        <w:footnoteReference w:id="4"/>
      </w:r>
      <w:r w:rsidR="00CD1B58">
        <w:t xml:space="preserve"> </w:t>
      </w:r>
      <w:r w:rsidR="0095049D">
        <w:t>(</w:t>
      </w:r>
      <w:r w:rsidR="00CD1B58" w:rsidRPr="000F401C">
        <w:rPr>
          <w:b/>
          <w:bCs/>
        </w:rPr>
        <w:t>“the</w:t>
      </w:r>
      <w:r w:rsidR="00CD1B58" w:rsidRPr="00CD1B58">
        <w:t xml:space="preserve"> </w:t>
      </w:r>
      <w:r w:rsidR="00CD1B58" w:rsidRPr="0095049D">
        <w:rPr>
          <w:b/>
          <w:bCs/>
        </w:rPr>
        <w:t>regulations</w:t>
      </w:r>
      <w:r w:rsidR="0095049D" w:rsidRPr="000F401C">
        <w:rPr>
          <w:b/>
          <w:bCs/>
        </w:rPr>
        <w:t>”</w:t>
      </w:r>
      <w:r w:rsidR="00CD1B58" w:rsidRPr="00CD1B58">
        <w:t>), read with section 9(2) of the Currency and Exchanges Act 9</w:t>
      </w:r>
      <w:r w:rsidR="00D200E0">
        <w:t xml:space="preserve"> </w:t>
      </w:r>
      <w:r w:rsidR="00CD1B58" w:rsidRPr="00CD1B58">
        <w:t>of</w:t>
      </w:r>
      <w:r w:rsidR="00D200E0">
        <w:t xml:space="preserve"> </w:t>
      </w:r>
      <w:r w:rsidR="00CD1B58" w:rsidRPr="00CD1B58">
        <w:t>1933</w:t>
      </w:r>
      <w:r w:rsidR="00D200E0">
        <w:t xml:space="preserve"> </w:t>
      </w:r>
      <w:r w:rsidR="00CD1B58" w:rsidRPr="00CD1B58">
        <w:t>(</w:t>
      </w:r>
      <w:r w:rsidR="000F401C" w:rsidRPr="000F401C">
        <w:rPr>
          <w:b/>
          <w:bCs/>
        </w:rPr>
        <w:t>“</w:t>
      </w:r>
      <w:r w:rsidR="00CD1B58" w:rsidRPr="000F401C">
        <w:rPr>
          <w:b/>
          <w:bCs/>
        </w:rPr>
        <w:t>the</w:t>
      </w:r>
      <w:r w:rsidR="00CD1B58" w:rsidRPr="00CD1B58">
        <w:t xml:space="preserve"> </w:t>
      </w:r>
      <w:r w:rsidR="00CD1B58" w:rsidRPr="000F401C">
        <w:rPr>
          <w:b/>
          <w:bCs/>
        </w:rPr>
        <w:t>Act"</w:t>
      </w:r>
      <w:r w:rsidR="00CD1B58" w:rsidRPr="00CD1B58">
        <w:t>) in respect of each of the four applicants.</w:t>
      </w:r>
      <w:r w:rsidR="00DC5674">
        <w:t xml:space="preserve"> </w:t>
      </w:r>
      <w:r w:rsidR="00582D27">
        <w:t>The issue of the blocking orders constitutes</w:t>
      </w:r>
      <w:r w:rsidR="00C61FB0">
        <w:t xml:space="preserve"> “administrative action” as contemplated in </w:t>
      </w:r>
      <w:r w:rsidR="00B843B7">
        <w:t>the Promotion of Administrative Justice Act</w:t>
      </w:r>
      <w:r w:rsidR="005644A6">
        <w:t xml:space="preserve"> 3 of</w:t>
      </w:r>
      <w:r w:rsidR="00BD7ADC">
        <w:t xml:space="preserve"> 2000 (“PAJA”).</w:t>
      </w:r>
    </w:p>
    <w:p w14:paraId="4A7988FE" w14:textId="7D5BBF1A" w:rsidR="008D46F6" w:rsidRDefault="00114A3F" w:rsidP="00114A3F">
      <w:pPr>
        <w:pStyle w:val="LegalNormal"/>
        <w:tabs>
          <w:tab w:val="left" w:pos="927"/>
        </w:tabs>
        <w:ind w:left="927" w:hanging="567"/>
        <w:rPr>
          <w:lang w:val="en-ZA"/>
        </w:rPr>
      </w:pPr>
      <w:r>
        <w:rPr>
          <w:sz w:val="28"/>
          <w:szCs w:val="28"/>
          <w:lang w:val="en-ZA"/>
        </w:rPr>
        <w:t>[20]</w:t>
      </w:r>
      <w:r>
        <w:rPr>
          <w:sz w:val="28"/>
          <w:szCs w:val="28"/>
          <w:lang w:val="en-ZA"/>
        </w:rPr>
        <w:tab/>
      </w:r>
      <w:r w:rsidR="005520AF">
        <w:t xml:space="preserve">The respondents contend that </w:t>
      </w:r>
      <w:r w:rsidR="008D46F6" w:rsidRPr="008D46F6">
        <w:rPr>
          <w:lang w:val="en-ZA"/>
        </w:rPr>
        <w:t xml:space="preserve">instead of pursuing a review of the blocking orders in terms of regulation 22D, the applicants brought a mandatory interdict to release the funds subject to the blocking orders. Which </w:t>
      </w:r>
      <w:r w:rsidR="008D46F6">
        <w:rPr>
          <w:lang w:val="en-ZA"/>
        </w:rPr>
        <w:t xml:space="preserve">application </w:t>
      </w:r>
      <w:r w:rsidR="008D46F6" w:rsidRPr="008D46F6">
        <w:rPr>
          <w:lang w:val="en-ZA"/>
        </w:rPr>
        <w:t>was later amended to seek orders against the first respondent only, that the first respondent be compelled to furnish to the second respondent all the information which the second respondent had previously requested from the first respondent pertaining to the applicants'</w:t>
      </w:r>
      <w:r w:rsidR="00AF0B55">
        <w:rPr>
          <w:lang w:val="en-ZA"/>
        </w:rPr>
        <w:t xml:space="preserve"> b</w:t>
      </w:r>
      <w:r w:rsidR="008D46F6" w:rsidRPr="008D46F6">
        <w:rPr>
          <w:lang w:val="en-ZA"/>
        </w:rPr>
        <w:t xml:space="preserve">anking transactions, alternatively that the second </w:t>
      </w:r>
      <w:r w:rsidR="008D46F6" w:rsidRPr="008D46F6">
        <w:rPr>
          <w:lang w:val="en-ZA"/>
        </w:rPr>
        <w:lastRenderedPageBreak/>
        <w:t>respondent be compelled to tell the applicant what information is required so that the applicants can assist the first respondent to provide the information to the first respondent.</w:t>
      </w:r>
    </w:p>
    <w:p w14:paraId="2F6DC911" w14:textId="005CA612" w:rsidR="00CC3E64" w:rsidRPr="008D46F6" w:rsidRDefault="00114A3F" w:rsidP="00114A3F">
      <w:pPr>
        <w:pStyle w:val="LegalNormal"/>
        <w:tabs>
          <w:tab w:val="left" w:pos="927"/>
        </w:tabs>
        <w:ind w:left="927" w:hanging="567"/>
        <w:rPr>
          <w:lang w:val="en-ZA"/>
        </w:rPr>
      </w:pPr>
      <w:r w:rsidRPr="008D46F6">
        <w:rPr>
          <w:sz w:val="28"/>
          <w:szCs w:val="28"/>
          <w:lang w:val="en-ZA"/>
        </w:rPr>
        <w:t>[21]</w:t>
      </w:r>
      <w:r w:rsidRPr="008D46F6">
        <w:rPr>
          <w:sz w:val="28"/>
          <w:szCs w:val="28"/>
          <w:lang w:val="en-ZA"/>
        </w:rPr>
        <w:tab/>
      </w:r>
      <w:r w:rsidR="001A1739">
        <w:rPr>
          <w:lang w:val="en-ZA"/>
        </w:rPr>
        <w:t>A blocking order may endure for a period of up to 36 months as provided for</w:t>
      </w:r>
      <w:r w:rsidR="009C1629">
        <w:rPr>
          <w:lang w:val="en-ZA"/>
        </w:rPr>
        <w:t xml:space="preserve"> in section 9(2)(g) of the Act read w</w:t>
      </w:r>
      <w:r w:rsidR="00B723D0">
        <w:rPr>
          <w:lang w:val="en-ZA"/>
        </w:rPr>
        <w:t>ith regulation 22B.</w:t>
      </w:r>
    </w:p>
    <w:p w14:paraId="4EB741F1" w14:textId="72C1656B" w:rsidR="005F17C4" w:rsidRPr="009B4953" w:rsidRDefault="00114A3F" w:rsidP="00114A3F">
      <w:pPr>
        <w:pStyle w:val="LegalNormal"/>
        <w:tabs>
          <w:tab w:val="left" w:pos="927"/>
        </w:tabs>
        <w:ind w:left="927" w:hanging="567"/>
        <w:rPr>
          <w:lang w:val="en-US"/>
        </w:rPr>
      </w:pPr>
      <w:r w:rsidRPr="009B4953">
        <w:rPr>
          <w:sz w:val="28"/>
          <w:szCs w:val="28"/>
          <w:lang w:val="en-US"/>
        </w:rPr>
        <w:t>[22]</w:t>
      </w:r>
      <w:r w:rsidRPr="009B4953">
        <w:rPr>
          <w:sz w:val="28"/>
          <w:szCs w:val="28"/>
          <w:lang w:val="en-US"/>
        </w:rPr>
        <w:tab/>
      </w:r>
      <w:r w:rsidR="00E7759B" w:rsidRPr="00E7759B">
        <w:t xml:space="preserve">Firstly, </w:t>
      </w:r>
      <w:r w:rsidR="00E7759B">
        <w:t>the responden</w:t>
      </w:r>
      <w:r w:rsidR="009B4953">
        <w:t>ts</w:t>
      </w:r>
      <w:r w:rsidR="00E7759B" w:rsidRPr="00E7759B">
        <w:t xml:space="preserve"> submitted that the relief sought by the applicants is not competent, given that the 36 months period afforded under section 9(2)(g) of the Act has not yet expired, and the blocking orders remain valid unless and until reviewed and set</w:t>
      </w:r>
      <w:r w:rsidR="009B4953">
        <w:t xml:space="preserve"> aside</w:t>
      </w:r>
      <w:r w:rsidR="00E7759B" w:rsidRPr="00E7759B">
        <w:t>.</w:t>
      </w:r>
    </w:p>
    <w:p w14:paraId="67A46110" w14:textId="155B831B" w:rsidR="009B4953" w:rsidRPr="001F50C2" w:rsidRDefault="00114A3F" w:rsidP="00114A3F">
      <w:pPr>
        <w:pStyle w:val="LegalNormal"/>
        <w:tabs>
          <w:tab w:val="left" w:pos="927"/>
        </w:tabs>
        <w:ind w:left="927" w:hanging="567"/>
        <w:rPr>
          <w:lang w:val="en-US"/>
        </w:rPr>
      </w:pPr>
      <w:r w:rsidRPr="001F50C2">
        <w:rPr>
          <w:sz w:val="28"/>
          <w:szCs w:val="28"/>
          <w:lang w:val="en-US"/>
        </w:rPr>
        <w:t>[23]</w:t>
      </w:r>
      <w:r w:rsidRPr="001F50C2">
        <w:rPr>
          <w:sz w:val="28"/>
          <w:szCs w:val="28"/>
          <w:lang w:val="en-US"/>
        </w:rPr>
        <w:tab/>
      </w:r>
      <w:r w:rsidR="00533C2A" w:rsidRPr="00533C2A">
        <w:t>Secondly, the second respondent in this regard submits that the applicants, jointly or severally, have</w:t>
      </w:r>
      <w:r w:rsidR="00533C2A">
        <w:t xml:space="preserve"> not</w:t>
      </w:r>
      <w:r w:rsidR="00533C2A" w:rsidRPr="00533C2A">
        <w:t xml:space="preserve"> demonstrated the grounds contained in section 9(2)(d)(</w:t>
      </w:r>
      <w:proofErr w:type="spellStart"/>
      <w:r w:rsidR="00533C2A" w:rsidRPr="00533C2A">
        <w:t>i</w:t>
      </w:r>
      <w:proofErr w:type="spellEnd"/>
      <w:r w:rsidR="00533C2A" w:rsidRPr="00533C2A">
        <w:t>) of the Act read with regulation 22D</w:t>
      </w:r>
      <w:r w:rsidR="001F50C2">
        <w:t>,</w:t>
      </w:r>
      <w:r w:rsidR="00533C2A" w:rsidRPr="00533C2A">
        <w:t xml:space="preserve"> and therefore ha</w:t>
      </w:r>
      <w:r w:rsidR="001F50C2">
        <w:t>ve</w:t>
      </w:r>
      <w:r w:rsidR="00533C2A" w:rsidRPr="00533C2A">
        <w:t xml:space="preserve"> failed to make out a proper case for the relief sought.</w:t>
      </w:r>
    </w:p>
    <w:p w14:paraId="76DA1BAD" w14:textId="2A3D8672" w:rsidR="001F50C2" w:rsidRPr="008F691D" w:rsidRDefault="00114A3F" w:rsidP="00114A3F">
      <w:pPr>
        <w:pStyle w:val="LegalNormal"/>
        <w:tabs>
          <w:tab w:val="left" w:pos="927"/>
        </w:tabs>
        <w:ind w:left="927" w:hanging="567"/>
        <w:rPr>
          <w:lang w:val="en-US"/>
        </w:rPr>
      </w:pPr>
      <w:r w:rsidRPr="008F691D">
        <w:rPr>
          <w:sz w:val="28"/>
          <w:szCs w:val="28"/>
          <w:lang w:val="en-US"/>
        </w:rPr>
        <w:t>[24]</w:t>
      </w:r>
      <w:r w:rsidRPr="008F691D">
        <w:rPr>
          <w:sz w:val="28"/>
          <w:szCs w:val="28"/>
          <w:lang w:val="en-US"/>
        </w:rPr>
        <w:tab/>
      </w:r>
      <w:r w:rsidR="007F4EF1" w:rsidRPr="007F4EF1">
        <w:t>Thirdly, the relief sought against the first respondent in terms of prayers 1 and 2 of the amended notice of motion is a precursor to the relief sought in terms of prayers 4 and 5 therein. Therefore, given prayers 4 and 5 are wholly incompetent and unsustainable, the relief sought in prayers 1 and 2 will serve no purpose and should also be dismissed.</w:t>
      </w:r>
    </w:p>
    <w:p w14:paraId="5068CA9D" w14:textId="0C801F4D" w:rsidR="008F691D" w:rsidRPr="007F4EF1" w:rsidRDefault="00114A3F" w:rsidP="00114A3F">
      <w:pPr>
        <w:pStyle w:val="LegalNormal"/>
        <w:tabs>
          <w:tab w:val="left" w:pos="927"/>
        </w:tabs>
        <w:ind w:left="927" w:hanging="567"/>
        <w:rPr>
          <w:lang w:val="en-US"/>
        </w:rPr>
      </w:pPr>
      <w:r w:rsidRPr="007F4EF1">
        <w:rPr>
          <w:sz w:val="28"/>
          <w:szCs w:val="28"/>
          <w:lang w:val="en-US"/>
        </w:rPr>
        <w:lastRenderedPageBreak/>
        <w:t>[25]</w:t>
      </w:r>
      <w:r w:rsidRPr="007F4EF1">
        <w:rPr>
          <w:sz w:val="28"/>
          <w:szCs w:val="28"/>
          <w:lang w:val="en-US"/>
        </w:rPr>
        <w:tab/>
      </w:r>
      <w:r w:rsidR="00403345" w:rsidRPr="00403345">
        <w:rPr>
          <w:lang w:val="en-ZA"/>
        </w:rPr>
        <w:t>A</w:t>
      </w:r>
      <w:r w:rsidR="00403345">
        <w:rPr>
          <w:lang w:val="en-ZA"/>
        </w:rPr>
        <w:t xml:space="preserve">s regards the applicants’ contention that they </w:t>
      </w:r>
      <w:r w:rsidR="008272BC">
        <w:rPr>
          <w:lang w:val="en-ZA"/>
        </w:rPr>
        <w:t xml:space="preserve">were not given a right to be heard before </w:t>
      </w:r>
      <w:r w:rsidR="00797B86">
        <w:rPr>
          <w:lang w:val="en-ZA"/>
        </w:rPr>
        <w:t xml:space="preserve">the blocking orders were issued, Mr Maritz </w:t>
      </w:r>
      <w:r w:rsidR="0026760B">
        <w:rPr>
          <w:lang w:val="en-ZA"/>
        </w:rPr>
        <w:t>submitted that a</w:t>
      </w:r>
      <w:r w:rsidR="00403345" w:rsidRPr="00403345">
        <w:rPr>
          <w:lang w:val="en-ZA"/>
        </w:rPr>
        <w:t xml:space="preserve"> party has no right to be heard in respect of the issue of a blocking order. A party has no right to be heard before seiz</w:t>
      </w:r>
      <w:r w:rsidR="0099368F">
        <w:rPr>
          <w:lang w:val="en-ZA"/>
        </w:rPr>
        <w:t>ure of</w:t>
      </w:r>
      <w:r w:rsidR="00403345" w:rsidRPr="00403345">
        <w:rPr>
          <w:lang w:val="en-ZA"/>
        </w:rPr>
        <w:t xml:space="preserve"> their funds</w:t>
      </w:r>
      <w:r w:rsidR="0099368F">
        <w:rPr>
          <w:lang w:val="en-ZA"/>
        </w:rPr>
        <w:t xml:space="preserve"> which are</w:t>
      </w:r>
      <w:r w:rsidR="00403345" w:rsidRPr="00403345">
        <w:rPr>
          <w:lang w:val="en-ZA"/>
        </w:rPr>
        <w:t xml:space="preserve"> suspected to be involved in</w:t>
      </w:r>
      <w:r w:rsidR="0099368F">
        <w:rPr>
          <w:lang w:val="en-ZA"/>
        </w:rPr>
        <w:t xml:space="preserve"> a contravention of the Exchange control legislation.</w:t>
      </w:r>
      <w:r w:rsidR="00E42AC0">
        <w:rPr>
          <w:lang w:val="en-ZA"/>
        </w:rPr>
        <w:t xml:space="preserve"> He referred to the C</w:t>
      </w:r>
      <w:r w:rsidR="00480651">
        <w:rPr>
          <w:lang w:val="en-ZA"/>
        </w:rPr>
        <w:t>onstitutional Court</w:t>
      </w:r>
      <w:r w:rsidR="00E42AC0">
        <w:rPr>
          <w:lang w:val="en-ZA"/>
        </w:rPr>
        <w:t xml:space="preserve"> decision of </w:t>
      </w:r>
      <w:r w:rsidR="00E42AC0" w:rsidRPr="005E2224">
        <w:rPr>
          <w:i/>
          <w:iCs/>
          <w:lang w:val="en-ZA"/>
        </w:rPr>
        <w:t>Ambruster</w:t>
      </w:r>
      <w:r w:rsidR="00480651" w:rsidRPr="005E2224">
        <w:rPr>
          <w:i/>
          <w:iCs/>
          <w:lang w:val="en-ZA"/>
        </w:rPr>
        <w:t xml:space="preserve"> v SARB</w:t>
      </w:r>
      <w:r w:rsidR="00CD167C">
        <w:rPr>
          <w:rStyle w:val="FootnoteReference"/>
          <w:lang w:val="en-ZA"/>
        </w:rPr>
        <w:footnoteReference w:id="5"/>
      </w:r>
      <w:r w:rsidR="00E42AC0">
        <w:rPr>
          <w:lang w:val="en-ZA"/>
        </w:rPr>
        <w:t xml:space="preserve"> </w:t>
      </w:r>
      <w:r w:rsidR="003236B9">
        <w:rPr>
          <w:lang w:val="en-ZA"/>
        </w:rPr>
        <w:t xml:space="preserve">which </w:t>
      </w:r>
      <w:r w:rsidR="003236B9" w:rsidRPr="003236B9">
        <w:rPr>
          <w:lang w:val="en-ZA"/>
        </w:rPr>
        <w:t>deal</w:t>
      </w:r>
      <w:r w:rsidR="003236B9">
        <w:rPr>
          <w:lang w:val="en-ZA"/>
        </w:rPr>
        <w:t>t</w:t>
      </w:r>
      <w:r w:rsidR="003236B9" w:rsidRPr="003236B9">
        <w:rPr>
          <w:lang w:val="en-ZA"/>
        </w:rPr>
        <w:t xml:space="preserve"> with the seizure and forfeiture of foreign currency under the Exchange Control Regulations and the constitutional validity of the forfeiture provision.</w:t>
      </w:r>
      <w:r w:rsidR="003236B9">
        <w:rPr>
          <w:lang w:val="en-ZA"/>
        </w:rPr>
        <w:t xml:space="preserve"> </w:t>
      </w:r>
      <w:r w:rsidR="00934606">
        <w:rPr>
          <w:lang w:val="en-ZA"/>
        </w:rPr>
        <w:t>The Constitutional Court</w:t>
      </w:r>
      <w:r w:rsidR="00274817">
        <w:rPr>
          <w:lang w:val="en-ZA"/>
        </w:rPr>
        <w:t xml:space="preserve"> held that the Regulations would never work i</w:t>
      </w:r>
      <w:r w:rsidR="009830DF">
        <w:rPr>
          <w:lang w:val="en-ZA"/>
        </w:rPr>
        <w:t>f</w:t>
      </w:r>
      <w:r w:rsidR="00274817">
        <w:rPr>
          <w:lang w:val="en-ZA"/>
        </w:rPr>
        <w:t xml:space="preserve"> </w:t>
      </w:r>
      <w:r w:rsidR="00F36620">
        <w:rPr>
          <w:lang w:val="en-ZA"/>
        </w:rPr>
        <w:t>a party was warned and given a hearing before action was taken by the SARB.</w:t>
      </w:r>
      <w:r w:rsidR="00201C5F">
        <w:rPr>
          <w:lang w:val="en-ZA"/>
        </w:rPr>
        <w:t xml:space="preserve"> The SARB preserves first, then grants the hearing</w:t>
      </w:r>
      <w:r w:rsidR="00D93C86">
        <w:rPr>
          <w:lang w:val="en-ZA"/>
        </w:rPr>
        <w:t xml:space="preserve"> before </w:t>
      </w:r>
      <w:r w:rsidR="00A826E1">
        <w:rPr>
          <w:lang w:val="en-ZA"/>
        </w:rPr>
        <w:t>forfeiture</w:t>
      </w:r>
      <w:r w:rsidR="00D93C86">
        <w:rPr>
          <w:lang w:val="en-ZA"/>
        </w:rPr>
        <w:t>.</w:t>
      </w:r>
      <w:r w:rsidR="00274817">
        <w:rPr>
          <w:lang w:val="en-ZA"/>
        </w:rPr>
        <w:t xml:space="preserve"> </w:t>
      </w:r>
    </w:p>
    <w:p w14:paraId="20DF559A" w14:textId="07135A69" w:rsidR="007F4EF1" w:rsidRPr="00092991" w:rsidRDefault="00114A3F" w:rsidP="00114A3F">
      <w:pPr>
        <w:pStyle w:val="LegalNormal"/>
        <w:tabs>
          <w:tab w:val="left" w:pos="927"/>
        </w:tabs>
        <w:ind w:left="927" w:hanging="567"/>
        <w:rPr>
          <w:lang w:val="en-US"/>
        </w:rPr>
      </w:pPr>
      <w:r w:rsidRPr="00092991">
        <w:rPr>
          <w:sz w:val="28"/>
          <w:szCs w:val="28"/>
          <w:lang w:val="en-US"/>
        </w:rPr>
        <w:t>[26]</w:t>
      </w:r>
      <w:r w:rsidRPr="00092991">
        <w:rPr>
          <w:sz w:val="28"/>
          <w:szCs w:val="28"/>
          <w:lang w:val="en-US"/>
        </w:rPr>
        <w:tab/>
      </w:r>
      <w:r w:rsidR="00BA5004" w:rsidRPr="00BA5004">
        <w:t>Finally, the second respondent submits, a punitive costs order is justified given the conspectus of this matter.</w:t>
      </w:r>
    </w:p>
    <w:p w14:paraId="4F027D2F" w14:textId="77777777" w:rsidR="00092991" w:rsidRPr="00DB25CB" w:rsidRDefault="00092991" w:rsidP="00092991">
      <w:pPr>
        <w:pStyle w:val="LegalNormal"/>
        <w:ind w:left="927"/>
        <w:rPr>
          <w:lang w:val="en-US"/>
        </w:rPr>
      </w:pPr>
    </w:p>
    <w:p w14:paraId="4E0D297E" w14:textId="386EA096" w:rsidR="00DB25CB" w:rsidRPr="00092991" w:rsidRDefault="00114A3F" w:rsidP="00114A3F">
      <w:pPr>
        <w:pStyle w:val="LegalNormal"/>
        <w:ind w:left="720" w:hanging="360"/>
        <w:rPr>
          <w:b/>
          <w:bCs/>
          <w:lang w:val="en-US"/>
        </w:rPr>
      </w:pPr>
      <w:r w:rsidRPr="00092991">
        <w:rPr>
          <w:b/>
          <w:bCs/>
          <w:lang w:val="en-US"/>
        </w:rPr>
        <w:t>F.</w:t>
      </w:r>
      <w:r w:rsidRPr="00092991">
        <w:rPr>
          <w:b/>
          <w:bCs/>
          <w:lang w:val="en-US"/>
        </w:rPr>
        <w:tab/>
      </w:r>
      <w:r w:rsidR="00092991" w:rsidRPr="00092991">
        <w:rPr>
          <w:b/>
          <w:bCs/>
        </w:rPr>
        <w:t>CONSIDERATION</w:t>
      </w:r>
    </w:p>
    <w:p w14:paraId="6F54FDF5" w14:textId="7107199D" w:rsidR="00297CB0" w:rsidRDefault="00114A3F" w:rsidP="00114A3F">
      <w:pPr>
        <w:pStyle w:val="LegalNormal"/>
        <w:tabs>
          <w:tab w:val="left" w:pos="927"/>
        </w:tabs>
        <w:ind w:left="927" w:hanging="567"/>
        <w:rPr>
          <w:lang w:val="en-US"/>
        </w:rPr>
      </w:pPr>
      <w:r>
        <w:rPr>
          <w:sz w:val="28"/>
          <w:szCs w:val="28"/>
          <w:lang w:val="en-US"/>
        </w:rPr>
        <w:t>[27]</w:t>
      </w:r>
      <w:r>
        <w:rPr>
          <w:sz w:val="28"/>
          <w:szCs w:val="28"/>
          <w:lang w:val="en-US"/>
        </w:rPr>
        <w:tab/>
      </w:r>
      <w:r w:rsidR="001D02E0">
        <w:rPr>
          <w:lang w:val="en-US"/>
        </w:rPr>
        <w:t xml:space="preserve">In </w:t>
      </w:r>
      <w:r w:rsidR="00D46A4C" w:rsidRPr="009361C1">
        <w:rPr>
          <w:i/>
          <w:iCs/>
          <w:lang w:val="en-US"/>
        </w:rPr>
        <w:t>Yangling</w:t>
      </w:r>
      <w:r w:rsidR="007450C9" w:rsidRPr="009361C1">
        <w:rPr>
          <w:i/>
          <w:iCs/>
          <w:lang w:val="en-US"/>
        </w:rPr>
        <w:t xml:space="preserve"> </w:t>
      </w:r>
      <w:r w:rsidR="00D46A4C" w:rsidRPr="009361C1">
        <w:rPr>
          <w:i/>
          <w:iCs/>
          <w:lang w:val="en-US"/>
        </w:rPr>
        <w:t xml:space="preserve">International Trade CC v </w:t>
      </w:r>
      <w:r w:rsidR="00DE027A" w:rsidRPr="009361C1">
        <w:rPr>
          <w:i/>
          <w:iCs/>
          <w:lang w:val="en-US"/>
        </w:rPr>
        <w:t>SARB,</w:t>
      </w:r>
      <w:r w:rsidR="009361C1">
        <w:rPr>
          <w:i/>
          <w:iCs/>
          <w:lang w:val="en-US"/>
        </w:rPr>
        <w:t xml:space="preserve"> </w:t>
      </w:r>
      <w:r w:rsidR="009361C1">
        <w:rPr>
          <w:lang w:val="en-US"/>
        </w:rPr>
        <w:t xml:space="preserve">the court </w:t>
      </w:r>
      <w:r w:rsidR="003670A7">
        <w:rPr>
          <w:lang w:val="en-US"/>
        </w:rPr>
        <w:t xml:space="preserve">dealt with an application for condonation </w:t>
      </w:r>
      <w:r w:rsidR="001B689B">
        <w:rPr>
          <w:lang w:val="en-US"/>
        </w:rPr>
        <w:t>where a review application was out of time.</w:t>
      </w:r>
      <w:r w:rsidR="00871C9F">
        <w:rPr>
          <w:lang w:val="en-US"/>
        </w:rPr>
        <w:t xml:space="preserve"> The court </w:t>
      </w:r>
      <w:r w:rsidR="00005477">
        <w:rPr>
          <w:lang w:val="en-US"/>
        </w:rPr>
        <w:t xml:space="preserve">confirmed the findings in </w:t>
      </w:r>
      <w:proofErr w:type="spellStart"/>
      <w:r w:rsidR="00005477" w:rsidRPr="008B6E3B">
        <w:rPr>
          <w:i/>
          <w:iCs/>
          <w:lang w:val="en-US"/>
        </w:rPr>
        <w:t>Evergrand</w:t>
      </w:r>
      <w:proofErr w:type="spellEnd"/>
      <w:r w:rsidR="00005477" w:rsidRPr="008B6E3B">
        <w:rPr>
          <w:i/>
          <w:iCs/>
          <w:lang w:val="en-US"/>
        </w:rPr>
        <w:t xml:space="preserve"> </w:t>
      </w:r>
      <w:r w:rsidR="005C3E02" w:rsidRPr="008B6E3B">
        <w:rPr>
          <w:i/>
          <w:iCs/>
          <w:lang w:val="en-US"/>
        </w:rPr>
        <w:t>Trading (Pty) Ltd v SARB and Another</w:t>
      </w:r>
      <w:r w:rsidR="00FD3E1A">
        <w:rPr>
          <w:lang w:val="en-US"/>
        </w:rPr>
        <w:t xml:space="preserve">. In </w:t>
      </w:r>
      <w:proofErr w:type="spellStart"/>
      <w:r w:rsidR="00FD3E1A" w:rsidRPr="008B6E3B">
        <w:rPr>
          <w:i/>
          <w:iCs/>
          <w:lang w:val="en-US"/>
        </w:rPr>
        <w:t>Evergrand</w:t>
      </w:r>
      <w:proofErr w:type="spellEnd"/>
      <w:r w:rsidR="00FD3E1A" w:rsidRPr="008B6E3B">
        <w:rPr>
          <w:i/>
          <w:iCs/>
          <w:lang w:val="en-US"/>
        </w:rPr>
        <w:t xml:space="preserve"> </w:t>
      </w:r>
      <w:r w:rsidR="00FD3E1A" w:rsidRPr="008B6E3B">
        <w:rPr>
          <w:i/>
          <w:iCs/>
          <w:lang w:val="en-US"/>
        </w:rPr>
        <w:lastRenderedPageBreak/>
        <w:t>Trading,</w:t>
      </w:r>
      <w:r w:rsidR="00FD3E1A">
        <w:rPr>
          <w:lang w:val="en-US"/>
        </w:rPr>
        <w:t xml:space="preserve"> Ceylon AJ </w:t>
      </w:r>
      <w:r w:rsidR="000835E6">
        <w:rPr>
          <w:lang w:val="en-US"/>
        </w:rPr>
        <w:t>found that an application to review a forfeiture</w:t>
      </w:r>
      <w:r w:rsidR="00357699">
        <w:rPr>
          <w:lang w:val="en-US"/>
        </w:rPr>
        <w:t xml:space="preserve"> decision is governed by the Currency Act</w:t>
      </w:r>
      <w:r w:rsidR="00DE027A">
        <w:rPr>
          <w:lang w:val="en-US"/>
        </w:rPr>
        <w:t>, read with the Regulations, and not PAJA.</w:t>
      </w:r>
      <w:r w:rsidR="005702FA">
        <w:rPr>
          <w:lang w:val="en-US"/>
        </w:rPr>
        <w:t xml:space="preserve"> </w:t>
      </w:r>
      <w:r w:rsidR="009C5C7F">
        <w:rPr>
          <w:lang w:val="en-US"/>
        </w:rPr>
        <w:t>The importance of this distinction is that</w:t>
      </w:r>
      <w:r w:rsidR="007F3E34">
        <w:rPr>
          <w:lang w:val="en-US"/>
        </w:rPr>
        <w:t xml:space="preserve"> an application to review a forfeiture decision must be </w:t>
      </w:r>
      <w:r w:rsidR="009056C2">
        <w:rPr>
          <w:lang w:val="en-US"/>
        </w:rPr>
        <w:t>made within 90 days as provided in the Currency Act and Regulations</w:t>
      </w:r>
      <w:r w:rsidR="00FF1932">
        <w:rPr>
          <w:lang w:val="en-US"/>
        </w:rPr>
        <w:t xml:space="preserve">. </w:t>
      </w:r>
      <w:r w:rsidR="00DC616A">
        <w:rPr>
          <w:lang w:val="en-US"/>
        </w:rPr>
        <w:t>In reviews under PAJA</w:t>
      </w:r>
      <w:r w:rsidR="00DC7F8A">
        <w:rPr>
          <w:lang w:val="en-US"/>
        </w:rPr>
        <w:t xml:space="preserve">, the </w:t>
      </w:r>
      <w:r w:rsidR="008B6E3B">
        <w:rPr>
          <w:lang w:val="en-US"/>
        </w:rPr>
        <w:t>timeframe</w:t>
      </w:r>
      <w:r w:rsidR="00DC7F8A">
        <w:rPr>
          <w:lang w:val="en-US"/>
        </w:rPr>
        <w:t xml:space="preserve"> is 180 days.</w:t>
      </w:r>
      <w:r w:rsidR="007F3E34">
        <w:rPr>
          <w:lang w:val="en-US"/>
        </w:rPr>
        <w:t xml:space="preserve"> </w:t>
      </w:r>
    </w:p>
    <w:p w14:paraId="4A698451" w14:textId="54D10058" w:rsidR="00DC07C5" w:rsidRDefault="00114A3F" w:rsidP="00114A3F">
      <w:pPr>
        <w:pStyle w:val="LegalNormal"/>
        <w:tabs>
          <w:tab w:val="left" w:pos="927"/>
        </w:tabs>
        <w:ind w:left="927" w:hanging="567"/>
        <w:rPr>
          <w:lang w:val="en-US"/>
        </w:rPr>
      </w:pPr>
      <w:r>
        <w:rPr>
          <w:sz w:val="28"/>
          <w:szCs w:val="28"/>
          <w:lang w:val="en-US"/>
        </w:rPr>
        <w:t>[28]</w:t>
      </w:r>
      <w:r>
        <w:rPr>
          <w:sz w:val="28"/>
          <w:szCs w:val="28"/>
          <w:lang w:val="en-US"/>
        </w:rPr>
        <w:tab/>
      </w:r>
      <w:r w:rsidR="000708D2">
        <w:rPr>
          <w:lang w:val="en-US"/>
        </w:rPr>
        <w:t xml:space="preserve">A </w:t>
      </w:r>
      <w:r w:rsidR="0009051B">
        <w:rPr>
          <w:lang w:val="en-US"/>
        </w:rPr>
        <w:t xml:space="preserve">case that is more on point is </w:t>
      </w:r>
      <w:r w:rsidR="00BE6AF0" w:rsidRPr="00F04306">
        <w:rPr>
          <w:i/>
          <w:iCs/>
          <w:lang w:val="en-US"/>
        </w:rPr>
        <w:t>SARB v Lea</w:t>
      </w:r>
      <w:r w:rsidR="00F04306" w:rsidRPr="00F04306">
        <w:rPr>
          <w:i/>
          <w:iCs/>
          <w:lang w:val="en-US"/>
        </w:rPr>
        <w:t>thern and Others</w:t>
      </w:r>
      <w:r w:rsidR="00400124">
        <w:rPr>
          <w:i/>
          <w:iCs/>
          <w:lang w:val="en-US"/>
        </w:rPr>
        <w:t xml:space="preserve">. </w:t>
      </w:r>
      <w:r w:rsidR="00400124">
        <w:rPr>
          <w:lang w:val="en-US"/>
        </w:rPr>
        <w:t xml:space="preserve">In an application </w:t>
      </w:r>
      <w:r w:rsidR="002456F8">
        <w:rPr>
          <w:lang w:val="en-US"/>
        </w:rPr>
        <w:t>for a review of a blocki</w:t>
      </w:r>
      <w:r w:rsidR="00ED1A47">
        <w:rPr>
          <w:lang w:val="en-US"/>
        </w:rPr>
        <w:t>ng order by the SARB</w:t>
      </w:r>
      <w:r w:rsidR="00E73248">
        <w:rPr>
          <w:lang w:val="en-US"/>
        </w:rPr>
        <w:t>, which succeeded in the</w:t>
      </w:r>
      <w:r w:rsidR="005A480C">
        <w:rPr>
          <w:lang w:val="en-US"/>
        </w:rPr>
        <w:t xml:space="preserve"> High</w:t>
      </w:r>
      <w:r w:rsidR="00E73248">
        <w:rPr>
          <w:lang w:val="en-US"/>
        </w:rPr>
        <w:t xml:space="preserve"> </w:t>
      </w:r>
      <w:r w:rsidR="009735F7">
        <w:rPr>
          <w:lang w:val="en-US"/>
        </w:rPr>
        <w:t>C</w:t>
      </w:r>
      <w:r w:rsidR="005A480C">
        <w:rPr>
          <w:lang w:val="en-US"/>
        </w:rPr>
        <w:t>ourt</w:t>
      </w:r>
      <w:r w:rsidR="009735F7">
        <w:rPr>
          <w:lang w:val="en-US"/>
        </w:rPr>
        <w:t>, the Supreme Court of Appeal held that</w:t>
      </w:r>
      <w:r w:rsidR="00CC2548">
        <w:rPr>
          <w:lang w:val="en-US"/>
        </w:rPr>
        <w:t xml:space="preserve"> p</w:t>
      </w:r>
      <w:r w:rsidR="00E75FF5">
        <w:rPr>
          <w:lang w:val="en-US"/>
        </w:rPr>
        <w:t>rovided</w:t>
      </w:r>
      <w:r w:rsidR="00411B08">
        <w:rPr>
          <w:lang w:val="en-US"/>
        </w:rPr>
        <w:t xml:space="preserve"> the Reserve Bank’s</w:t>
      </w:r>
      <w:r w:rsidR="00F04306">
        <w:rPr>
          <w:lang w:val="en-US"/>
        </w:rPr>
        <w:t xml:space="preserve"> </w:t>
      </w:r>
      <w:r w:rsidR="001F682A">
        <w:rPr>
          <w:lang w:val="en-US"/>
        </w:rPr>
        <w:t>blo</w:t>
      </w:r>
      <w:r w:rsidR="00BD1F81">
        <w:rPr>
          <w:lang w:val="en-US"/>
        </w:rPr>
        <w:t>cking order c</w:t>
      </w:r>
      <w:r w:rsidR="003A5477">
        <w:rPr>
          <w:lang w:val="en-US"/>
        </w:rPr>
        <w:t>omplies with the regulations, it may b</w:t>
      </w:r>
      <w:r w:rsidR="004E2E13">
        <w:rPr>
          <w:lang w:val="en-US"/>
        </w:rPr>
        <w:t xml:space="preserve">lock the funds and the trustees </w:t>
      </w:r>
      <w:r w:rsidR="004E2E13" w:rsidRPr="00DC1474">
        <w:rPr>
          <w:u w:val="single"/>
          <w:lang w:val="en-US"/>
        </w:rPr>
        <w:t>(applicants</w:t>
      </w:r>
      <w:r w:rsidR="00D13E63" w:rsidRPr="00DC1474">
        <w:rPr>
          <w:u w:val="single"/>
          <w:lang w:val="en-US"/>
        </w:rPr>
        <w:t xml:space="preserve"> in the case)</w:t>
      </w:r>
      <w:r w:rsidR="00D13E63">
        <w:rPr>
          <w:rStyle w:val="FootnoteReference"/>
          <w:lang w:val="en-US"/>
        </w:rPr>
        <w:footnoteReference w:id="6"/>
      </w:r>
      <w:r w:rsidR="00DC1474">
        <w:rPr>
          <w:lang w:val="en-US"/>
        </w:rPr>
        <w:t xml:space="preserve"> cannot</w:t>
      </w:r>
      <w:r w:rsidR="00C84095">
        <w:rPr>
          <w:lang w:val="en-US"/>
        </w:rPr>
        <w:t xml:space="preserve"> enjoy access to them, whatever is ultimately</w:t>
      </w:r>
      <w:r w:rsidR="003D0BA4">
        <w:rPr>
          <w:lang w:val="en-US"/>
        </w:rPr>
        <w:t xml:space="preserve"> proven as to who has a claim to the </w:t>
      </w:r>
      <w:r w:rsidR="00511B47">
        <w:rPr>
          <w:lang w:val="en-US"/>
        </w:rPr>
        <w:t xml:space="preserve">funds. Viewed in this light, </w:t>
      </w:r>
      <w:proofErr w:type="spellStart"/>
      <w:r w:rsidR="00511B47">
        <w:rPr>
          <w:lang w:val="en-US"/>
        </w:rPr>
        <w:t>Makgoka</w:t>
      </w:r>
      <w:proofErr w:type="spellEnd"/>
      <w:r w:rsidR="00511B47">
        <w:rPr>
          <w:lang w:val="en-US"/>
        </w:rPr>
        <w:t xml:space="preserve"> JA concluded</w:t>
      </w:r>
      <w:r w:rsidR="00A7743F">
        <w:rPr>
          <w:lang w:val="en-US"/>
        </w:rPr>
        <w:t xml:space="preserve">, </w:t>
      </w:r>
      <w:r w:rsidR="00CC2548">
        <w:rPr>
          <w:lang w:val="en-US"/>
        </w:rPr>
        <w:t>the trustees</w:t>
      </w:r>
      <w:r w:rsidR="007B608C">
        <w:rPr>
          <w:lang w:val="en-US"/>
        </w:rPr>
        <w:t>’</w:t>
      </w:r>
      <w:r w:rsidR="00CC2548">
        <w:rPr>
          <w:lang w:val="en-US"/>
        </w:rPr>
        <w:t xml:space="preserve"> application to the High Court</w:t>
      </w:r>
      <w:r w:rsidR="00857BCA">
        <w:rPr>
          <w:lang w:val="en-US"/>
        </w:rPr>
        <w:t xml:space="preserve"> was premature and should not have succeeded.</w:t>
      </w:r>
    </w:p>
    <w:p w14:paraId="190B60AD" w14:textId="3CC4612E" w:rsidR="000708D2" w:rsidRPr="00547DD1" w:rsidRDefault="00114A3F" w:rsidP="00114A3F">
      <w:pPr>
        <w:pStyle w:val="LegalNormal"/>
        <w:tabs>
          <w:tab w:val="left" w:pos="927"/>
        </w:tabs>
        <w:ind w:left="927" w:hanging="567"/>
        <w:rPr>
          <w:lang w:val="en-US"/>
        </w:rPr>
      </w:pPr>
      <w:r w:rsidRPr="00547DD1">
        <w:rPr>
          <w:sz w:val="28"/>
          <w:szCs w:val="28"/>
          <w:lang w:val="en-US"/>
        </w:rPr>
        <w:t>[29]</w:t>
      </w:r>
      <w:r w:rsidRPr="00547DD1">
        <w:rPr>
          <w:sz w:val="28"/>
          <w:szCs w:val="28"/>
          <w:lang w:val="en-US"/>
        </w:rPr>
        <w:tab/>
      </w:r>
      <w:r w:rsidR="00F61DEB">
        <w:rPr>
          <w:lang w:val="en-US"/>
        </w:rPr>
        <w:t xml:space="preserve">In </w:t>
      </w:r>
      <w:r w:rsidR="00F61DEB" w:rsidRPr="00F61DEB">
        <w:rPr>
          <w:i/>
          <w:iCs/>
          <w:lang w:val="en-US"/>
        </w:rPr>
        <w:t>SARB and Another v Maddocks N.O. and Another</w:t>
      </w:r>
      <w:r w:rsidR="00C84095">
        <w:rPr>
          <w:lang w:val="en-US"/>
        </w:rPr>
        <w:t xml:space="preserve"> </w:t>
      </w:r>
      <w:r w:rsidR="00B774E8">
        <w:rPr>
          <w:rStyle w:val="FootnoteReference"/>
          <w:lang w:val="en-US"/>
        </w:rPr>
        <w:footnoteReference w:id="7"/>
      </w:r>
      <w:r w:rsidR="00DB4C03">
        <w:rPr>
          <w:lang w:val="en-US"/>
        </w:rPr>
        <w:t>the respondents upon their appointment</w:t>
      </w:r>
      <w:r w:rsidR="00AA733D">
        <w:rPr>
          <w:lang w:val="en-US"/>
        </w:rPr>
        <w:t xml:space="preserve"> as liquidators of </w:t>
      </w:r>
      <w:r w:rsidR="007B0CB6">
        <w:rPr>
          <w:lang w:val="en-US"/>
        </w:rPr>
        <w:t xml:space="preserve">the companies whose monies had been </w:t>
      </w:r>
      <w:r w:rsidR="001018C1">
        <w:rPr>
          <w:lang w:val="en-US"/>
        </w:rPr>
        <w:t>declared</w:t>
      </w:r>
      <w:r w:rsidR="007B0CB6">
        <w:rPr>
          <w:lang w:val="en-US"/>
        </w:rPr>
        <w:t xml:space="preserve"> forf</w:t>
      </w:r>
      <w:r w:rsidR="00FE38F5">
        <w:rPr>
          <w:lang w:val="en-US"/>
        </w:rPr>
        <w:t>e</w:t>
      </w:r>
      <w:r w:rsidR="007B0CB6">
        <w:rPr>
          <w:lang w:val="en-US"/>
        </w:rPr>
        <w:t>it</w:t>
      </w:r>
      <w:r w:rsidR="00FE38F5">
        <w:rPr>
          <w:lang w:val="en-US"/>
        </w:rPr>
        <w:t xml:space="preserve"> consequent to blocking order</w:t>
      </w:r>
      <w:r w:rsidR="001018C1">
        <w:rPr>
          <w:lang w:val="en-US"/>
        </w:rPr>
        <w:t>s</w:t>
      </w:r>
      <w:r w:rsidR="00A77BA0">
        <w:rPr>
          <w:lang w:val="en-US"/>
        </w:rPr>
        <w:t xml:space="preserve">, </w:t>
      </w:r>
      <w:r w:rsidR="00B44E68">
        <w:rPr>
          <w:lang w:val="en-US"/>
        </w:rPr>
        <w:t xml:space="preserve">demanded that the forfeited monies be paid out to </w:t>
      </w:r>
      <w:r w:rsidR="001715A2">
        <w:rPr>
          <w:lang w:val="en-US"/>
        </w:rPr>
        <w:t xml:space="preserve">them to be administered in terms of the insolvency laws. The SARB </w:t>
      </w:r>
      <w:r w:rsidR="009C7D7C">
        <w:rPr>
          <w:lang w:val="en-US"/>
        </w:rPr>
        <w:t xml:space="preserve">refused to </w:t>
      </w:r>
      <w:r w:rsidR="009C7D7C" w:rsidRPr="009C7D7C">
        <w:t xml:space="preserve">accede to the demand contending that the forfeiture orders were validly made pursuant to blocking orders made prior to the liquidation of the </w:t>
      </w:r>
      <w:r w:rsidR="009C7D7C" w:rsidRPr="009C7D7C">
        <w:lastRenderedPageBreak/>
        <w:t>companies</w:t>
      </w:r>
      <w:r w:rsidR="009C7D7C">
        <w:t xml:space="preserve">. </w:t>
      </w:r>
      <w:r w:rsidR="00F87E87">
        <w:t xml:space="preserve">The liquidators </w:t>
      </w:r>
      <w:r w:rsidR="004F76FC">
        <w:t>launched a review of the</w:t>
      </w:r>
      <w:r w:rsidR="009C3AD5">
        <w:t xml:space="preserve"> forfeiture orders and w</w:t>
      </w:r>
      <w:r w:rsidR="00CA3766">
        <w:t>ere</w:t>
      </w:r>
      <w:r w:rsidR="009C3AD5">
        <w:t xml:space="preserve"> </w:t>
      </w:r>
      <w:r w:rsidR="00CA3766">
        <w:t>successful</w:t>
      </w:r>
      <w:r w:rsidR="009C3AD5">
        <w:t xml:space="preserve"> </w:t>
      </w:r>
      <w:r w:rsidR="00CA3766">
        <w:t xml:space="preserve">in the </w:t>
      </w:r>
      <w:r w:rsidR="008B0802">
        <w:t>High Court</w:t>
      </w:r>
      <w:r w:rsidR="00CA3766">
        <w:t xml:space="preserve">. This led the SARB to </w:t>
      </w:r>
      <w:r w:rsidR="00547DD1">
        <w:t>escalate their unhappiness to the Supreme Court of Appeal.</w:t>
      </w:r>
    </w:p>
    <w:p w14:paraId="7A3C88E1" w14:textId="7D1F81D2" w:rsidR="00547DD1" w:rsidRPr="009807B8" w:rsidRDefault="00114A3F" w:rsidP="00114A3F">
      <w:pPr>
        <w:pStyle w:val="LegalNormal"/>
        <w:tabs>
          <w:tab w:val="left" w:pos="927"/>
        </w:tabs>
        <w:ind w:left="927" w:hanging="567"/>
        <w:rPr>
          <w:lang w:val="en-US"/>
        </w:rPr>
      </w:pPr>
      <w:r w:rsidRPr="009807B8">
        <w:rPr>
          <w:sz w:val="28"/>
          <w:szCs w:val="28"/>
          <w:lang w:val="en-US"/>
        </w:rPr>
        <w:t>[30]</w:t>
      </w:r>
      <w:r w:rsidRPr="009807B8">
        <w:rPr>
          <w:sz w:val="28"/>
          <w:szCs w:val="28"/>
          <w:lang w:val="en-US"/>
        </w:rPr>
        <w:tab/>
      </w:r>
      <w:r w:rsidR="00547DD1">
        <w:t xml:space="preserve">The SCA </w:t>
      </w:r>
      <w:r w:rsidR="00393344">
        <w:t xml:space="preserve">stated in </w:t>
      </w:r>
      <w:r w:rsidR="00393344" w:rsidRPr="00393344">
        <w:rPr>
          <w:i/>
          <w:iCs/>
        </w:rPr>
        <w:t>Maddocks</w:t>
      </w:r>
      <w:r w:rsidR="00393344">
        <w:rPr>
          <w:i/>
          <w:iCs/>
        </w:rPr>
        <w:t xml:space="preserve"> </w:t>
      </w:r>
      <w:r w:rsidR="00393344">
        <w:t>that the effect of the</w:t>
      </w:r>
      <w:r w:rsidR="001C2EC2">
        <w:t xml:space="preserve"> blocking</w:t>
      </w:r>
      <w:r w:rsidR="00393344">
        <w:t xml:space="preserve"> orders</w:t>
      </w:r>
      <w:r w:rsidR="001C2EC2">
        <w:t xml:space="preserve"> </w:t>
      </w:r>
      <w:r w:rsidR="000F01F7">
        <w:t xml:space="preserve">issued </w:t>
      </w:r>
      <w:r w:rsidR="000F01F7" w:rsidRPr="000F01F7">
        <w:t xml:space="preserve">in terms of Regulation 22A and/or Regulation 22C of the </w:t>
      </w:r>
      <w:r w:rsidR="00F25A7B" w:rsidRPr="000F01F7">
        <w:t>Regulations</w:t>
      </w:r>
      <w:r w:rsidR="00F25A7B">
        <w:t xml:space="preserve"> is</w:t>
      </w:r>
      <w:r w:rsidR="005011CD" w:rsidRPr="005011CD">
        <w:t xml:space="preserve"> that ‘no person may withdraw or cause the withdrawal of funds together with the interest thereon and/or accrual thereto in accounts held at the banks.’</w:t>
      </w:r>
      <w:r w:rsidR="00F9489D">
        <w:rPr>
          <w:rStyle w:val="FootnoteReference"/>
        </w:rPr>
        <w:footnoteReference w:id="8"/>
      </w:r>
    </w:p>
    <w:p w14:paraId="6C9404F6" w14:textId="6CA91DD6" w:rsidR="00074E7C" w:rsidRPr="00074E7C" w:rsidRDefault="00114A3F" w:rsidP="00114A3F">
      <w:pPr>
        <w:pStyle w:val="LegalNormal"/>
        <w:tabs>
          <w:tab w:val="left" w:pos="927"/>
        </w:tabs>
        <w:ind w:left="927" w:hanging="567"/>
        <w:rPr>
          <w:lang w:val="en-US"/>
        </w:rPr>
      </w:pPr>
      <w:r w:rsidRPr="00074E7C">
        <w:rPr>
          <w:sz w:val="28"/>
          <w:szCs w:val="28"/>
          <w:lang w:val="en-US"/>
        </w:rPr>
        <w:t>[31]</w:t>
      </w:r>
      <w:r w:rsidRPr="00074E7C">
        <w:rPr>
          <w:sz w:val="28"/>
          <w:szCs w:val="28"/>
          <w:lang w:val="en-US"/>
        </w:rPr>
        <w:tab/>
      </w:r>
      <w:r w:rsidR="009807B8" w:rsidRPr="009807B8">
        <w:rPr>
          <w:i/>
          <w:iCs/>
        </w:rPr>
        <w:t>Maddocks</w:t>
      </w:r>
      <w:r w:rsidR="009807B8">
        <w:t xml:space="preserve"> further confirms that </w:t>
      </w:r>
      <w:r w:rsidR="00E54BB3">
        <w:t>in terms of the</w:t>
      </w:r>
      <w:r w:rsidR="004E3AD7">
        <w:t xml:space="preserve"> Act and the</w:t>
      </w:r>
      <w:r w:rsidR="00E54BB3">
        <w:t xml:space="preserve"> regulations</w:t>
      </w:r>
      <w:r w:rsidR="004E3AD7">
        <w:t xml:space="preserve"> the Rese</w:t>
      </w:r>
      <w:r w:rsidR="00195847">
        <w:t xml:space="preserve">rve Bank </w:t>
      </w:r>
      <w:r w:rsidR="00452BBE">
        <w:t>notifies the</w:t>
      </w:r>
      <w:r w:rsidR="00452BBE" w:rsidRPr="00452BBE">
        <w:t xml:space="preserve"> companies </w:t>
      </w:r>
      <w:r w:rsidR="00E258AF">
        <w:t xml:space="preserve">whose funds are flagged as </w:t>
      </w:r>
      <w:r w:rsidR="006215F6">
        <w:t xml:space="preserve">suspicious </w:t>
      </w:r>
      <w:r w:rsidR="00452BBE" w:rsidRPr="00452BBE">
        <w:t>and to the attorney representing them, advising them of the issue of the blocking orders and informing them that the funds in the blocked banking accounts could be forfeited to the State. The Reserve Bank invite</w:t>
      </w:r>
      <w:r w:rsidR="006215F6">
        <w:t>s</w:t>
      </w:r>
      <w:r w:rsidR="00452BBE" w:rsidRPr="00452BBE">
        <w:t xml:space="preserve"> them to make representations as to why all or any of the monies should not be forfeited. </w:t>
      </w:r>
    </w:p>
    <w:p w14:paraId="4BAED028" w14:textId="20A4C869" w:rsidR="009807B8" w:rsidRPr="00CA2968" w:rsidRDefault="00114A3F" w:rsidP="00114A3F">
      <w:pPr>
        <w:pStyle w:val="LegalNormal"/>
        <w:tabs>
          <w:tab w:val="left" w:pos="927"/>
        </w:tabs>
        <w:ind w:left="927" w:hanging="567"/>
        <w:rPr>
          <w:lang w:val="en-US"/>
        </w:rPr>
      </w:pPr>
      <w:r w:rsidRPr="00CA2968">
        <w:rPr>
          <w:sz w:val="28"/>
          <w:szCs w:val="28"/>
          <w:lang w:val="en-US"/>
        </w:rPr>
        <w:t>[32]</w:t>
      </w:r>
      <w:r w:rsidRPr="00CA2968">
        <w:rPr>
          <w:sz w:val="28"/>
          <w:szCs w:val="28"/>
          <w:lang w:val="en-US"/>
        </w:rPr>
        <w:tab/>
      </w:r>
      <w:r w:rsidR="00074E7C">
        <w:t xml:space="preserve">In </w:t>
      </w:r>
      <w:r w:rsidR="00074E7C" w:rsidRPr="00074E7C">
        <w:rPr>
          <w:i/>
          <w:iCs/>
        </w:rPr>
        <w:t>Maddocks</w:t>
      </w:r>
      <w:r w:rsidR="004162B1">
        <w:rPr>
          <w:i/>
          <w:iCs/>
        </w:rPr>
        <w:t>,</w:t>
      </w:r>
      <w:r w:rsidR="00074E7C">
        <w:t xml:space="preserve"> </w:t>
      </w:r>
      <w:r w:rsidR="004162B1">
        <w:t>r</w:t>
      </w:r>
      <w:r w:rsidR="006E2976" w:rsidRPr="006E2976">
        <w:t>esponses were sent to the Reserve Bank, but the</w:t>
      </w:r>
      <w:r w:rsidR="004162B1">
        <w:t xml:space="preserve"> </w:t>
      </w:r>
      <w:r w:rsidR="000028E6">
        <w:t xml:space="preserve">liquidators </w:t>
      </w:r>
      <w:r w:rsidR="000028E6" w:rsidRPr="006E2976">
        <w:t>failed</w:t>
      </w:r>
      <w:r w:rsidR="006E2976" w:rsidRPr="006E2976">
        <w:t xml:space="preserve"> to provide valid reasons as to why the amounts standing to the credit of the blocked banking accounts should not be declared forfeited to the State. </w:t>
      </w:r>
      <w:r w:rsidR="000028E6">
        <w:t xml:space="preserve">They instead </w:t>
      </w:r>
      <w:r w:rsidR="006E2976" w:rsidRPr="006E2976">
        <w:t>contended that forfeiture could not validly take place after the winding-</w:t>
      </w:r>
      <w:r w:rsidR="006E2976" w:rsidRPr="006E2976">
        <w:lastRenderedPageBreak/>
        <w:t>up of the companies.</w:t>
      </w:r>
      <w:r w:rsidR="00217CE8">
        <w:t xml:space="preserve"> In the result</w:t>
      </w:r>
      <w:r w:rsidR="00A755DC">
        <w:t xml:space="preserve"> the appeal by the Reserve Bank succeeded and </w:t>
      </w:r>
      <w:r w:rsidR="008B4BEE">
        <w:t>the liquidators’</w:t>
      </w:r>
      <w:r w:rsidR="00747E0F">
        <w:t xml:space="preserve"> review application was dismissed.</w:t>
      </w:r>
    </w:p>
    <w:p w14:paraId="425DAB3D" w14:textId="13403102" w:rsidR="00CA2968" w:rsidRPr="009A4373" w:rsidRDefault="00114A3F" w:rsidP="00114A3F">
      <w:pPr>
        <w:pStyle w:val="LegalNormal"/>
        <w:ind w:left="720" w:hanging="360"/>
        <w:rPr>
          <w:b/>
          <w:bCs/>
          <w:lang w:val="en-US"/>
        </w:rPr>
      </w:pPr>
      <w:r w:rsidRPr="009A4373">
        <w:rPr>
          <w:b/>
          <w:bCs/>
          <w:lang w:val="en-US"/>
        </w:rPr>
        <w:t>G.</w:t>
      </w:r>
      <w:r w:rsidRPr="009A4373">
        <w:rPr>
          <w:b/>
          <w:bCs/>
          <w:lang w:val="en-US"/>
        </w:rPr>
        <w:tab/>
      </w:r>
      <w:r w:rsidR="009A4373" w:rsidRPr="009A4373">
        <w:rPr>
          <w:b/>
          <w:bCs/>
        </w:rPr>
        <w:t>CONCLUSION</w:t>
      </w:r>
    </w:p>
    <w:p w14:paraId="73AB4223" w14:textId="7D572555" w:rsidR="00AD32BF" w:rsidRDefault="00114A3F" w:rsidP="00114A3F">
      <w:pPr>
        <w:pStyle w:val="LegalNormal"/>
        <w:tabs>
          <w:tab w:val="left" w:pos="927"/>
        </w:tabs>
        <w:ind w:left="927" w:hanging="567"/>
        <w:rPr>
          <w:lang w:val="en-US"/>
        </w:rPr>
      </w:pPr>
      <w:r>
        <w:rPr>
          <w:sz w:val="28"/>
          <w:szCs w:val="28"/>
          <w:lang w:val="en-US"/>
        </w:rPr>
        <w:t>[33]</w:t>
      </w:r>
      <w:r>
        <w:rPr>
          <w:sz w:val="28"/>
          <w:szCs w:val="28"/>
          <w:lang w:val="en-US"/>
        </w:rPr>
        <w:tab/>
      </w:r>
      <w:r w:rsidR="006774F1">
        <w:rPr>
          <w:lang w:val="en-US"/>
        </w:rPr>
        <w:t>The</w:t>
      </w:r>
      <w:r w:rsidR="009A4373">
        <w:rPr>
          <w:lang w:val="en-US"/>
        </w:rPr>
        <w:t xml:space="preserve"> weight of author</w:t>
      </w:r>
      <w:r w:rsidR="00BD2885">
        <w:rPr>
          <w:lang w:val="en-US"/>
        </w:rPr>
        <w:t xml:space="preserve">ity </w:t>
      </w:r>
      <w:r w:rsidR="00C82264">
        <w:rPr>
          <w:lang w:val="en-US"/>
        </w:rPr>
        <w:t xml:space="preserve">points out </w:t>
      </w:r>
      <w:r w:rsidR="005110F9">
        <w:rPr>
          <w:lang w:val="en-US"/>
        </w:rPr>
        <w:t>emphatically</w:t>
      </w:r>
      <w:r w:rsidR="00C82264">
        <w:rPr>
          <w:lang w:val="en-US"/>
        </w:rPr>
        <w:t xml:space="preserve"> that the </w:t>
      </w:r>
      <w:r w:rsidR="00EE0109">
        <w:rPr>
          <w:lang w:val="en-US"/>
        </w:rPr>
        <w:t xml:space="preserve">applicants’ review application is not founded on </w:t>
      </w:r>
      <w:r w:rsidR="00F657F5">
        <w:rPr>
          <w:lang w:val="en-US"/>
        </w:rPr>
        <w:t>a sustainable legal basis and stands to be dismissed</w:t>
      </w:r>
      <w:r w:rsidR="008C3F36">
        <w:rPr>
          <w:lang w:val="en-US"/>
        </w:rPr>
        <w:t xml:space="preserve">. The </w:t>
      </w:r>
      <w:r w:rsidR="006A1DA5">
        <w:rPr>
          <w:lang w:val="en-US"/>
        </w:rPr>
        <w:t xml:space="preserve">issue of </w:t>
      </w:r>
      <w:r w:rsidR="001F101F">
        <w:rPr>
          <w:lang w:val="en-US"/>
        </w:rPr>
        <w:t xml:space="preserve">the award of </w:t>
      </w:r>
      <w:r w:rsidR="006A1DA5">
        <w:rPr>
          <w:lang w:val="en-US"/>
        </w:rPr>
        <w:t xml:space="preserve">costs </w:t>
      </w:r>
      <w:r w:rsidR="00C47755">
        <w:rPr>
          <w:lang w:val="en-US"/>
        </w:rPr>
        <w:t xml:space="preserve">needs determination </w:t>
      </w:r>
      <w:r w:rsidR="00FD1934">
        <w:rPr>
          <w:lang w:val="en-US"/>
        </w:rPr>
        <w:t>during</w:t>
      </w:r>
      <w:r w:rsidR="00C47755">
        <w:rPr>
          <w:lang w:val="en-US"/>
        </w:rPr>
        <w:t xml:space="preserve"> events. The</w:t>
      </w:r>
      <w:r w:rsidR="00FD1934">
        <w:rPr>
          <w:lang w:val="en-US"/>
        </w:rPr>
        <w:t xml:space="preserve">re is nothing suggestive </w:t>
      </w:r>
      <w:r w:rsidR="00F51F8D">
        <w:rPr>
          <w:lang w:val="en-US"/>
        </w:rPr>
        <w:t xml:space="preserve">of a departure from the </w:t>
      </w:r>
      <w:r w:rsidR="00ED3D9F">
        <w:rPr>
          <w:lang w:val="en-US"/>
        </w:rPr>
        <w:t xml:space="preserve">normal rule </w:t>
      </w:r>
      <w:r w:rsidR="00AD32BF">
        <w:rPr>
          <w:lang w:val="en-US"/>
        </w:rPr>
        <w:t>applicable</w:t>
      </w:r>
      <w:r w:rsidR="00F51F8D">
        <w:rPr>
          <w:lang w:val="en-US"/>
        </w:rPr>
        <w:t xml:space="preserve"> in </w:t>
      </w:r>
      <w:r w:rsidR="00FD1934">
        <w:rPr>
          <w:lang w:val="en-US"/>
        </w:rPr>
        <w:t>application</w:t>
      </w:r>
      <w:r w:rsidR="00F51F8D">
        <w:rPr>
          <w:lang w:val="en-US"/>
        </w:rPr>
        <w:t xml:space="preserve">s of this </w:t>
      </w:r>
      <w:r w:rsidR="00BF203B">
        <w:rPr>
          <w:lang w:val="en-US"/>
        </w:rPr>
        <w:t>nature</w:t>
      </w:r>
      <w:r w:rsidR="00FD1934">
        <w:rPr>
          <w:lang w:val="en-US"/>
        </w:rPr>
        <w:t>.</w:t>
      </w:r>
      <w:r w:rsidR="00222246">
        <w:rPr>
          <w:lang w:val="en-US"/>
        </w:rPr>
        <w:t xml:space="preserve"> </w:t>
      </w:r>
    </w:p>
    <w:p w14:paraId="08FCEEF5" w14:textId="10252DB5" w:rsidR="00495044" w:rsidRDefault="00114A3F" w:rsidP="00114A3F">
      <w:pPr>
        <w:pStyle w:val="LegalNormal"/>
        <w:tabs>
          <w:tab w:val="left" w:pos="927"/>
        </w:tabs>
        <w:ind w:left="927" w:hanging="567"/>
        <w:rPr>
          <w:lang w:val="en-US"/>
        </w:rPr>
      </w:pPr>
      <w:r>
        <w:rPr>
          <w:sz w:val="28"/>
          <w:szCs w:val="28"/>
          <w:lang w:val="en-US"/>
        </w:rPr>
        <w:t>[34]</w:t>
      </w:r>
      <w:r>
        <w:rPr>
          <w:sz w:val="28"/>
          <w:szCs w:val="28"/>
          <w:lang w:val="en-US"/>
        </w:rPr>
        <w:tab/>
      </w:r>
      <w:r w:rsidR="00AD32BF">
        <w:rPr>
          <w:lang w:val="en-US"/>
        </w:rPr>
        <w:t xml:space="preserve">The following order is </w:t>
      </w:r>
      <w:r w:rsidR="00495044">
        <w:rPr>
          <w:lang w:val="en-US"/>
        </w:rPr>
        <w:t>hereby made:</w:t>
      </w:r>
    </w:p>
    <w:p w14:paraId="5B8F3342" w14:textId="3088EB06" w:rsidR="00161DE4" w:rsidRDefault="00495044" w:rsidP="00495044">
      <w:pPr>
        <w:pStyle w:val="LegalNormal"/>
        <w:ind w:left="927"/>
        <w:rPr>
          <w:lang w:val="en-US"/>
        </w:rPr>
      </w:pPr>
      <w:r>
        <w:rPr>
          <w:lang w:val="en-US"/>
        </w:rPr>
        <w:t>The application is dismissed with costs, including costs of two Counsel</w:t>
      </w:r>
      <w:r w:rsidR="00B37DBF">
        <w:rPr>
          <w:lang w:val="en-US"/>
        </w:rPr>
        <w:t xml:space="preserve"> where so employed.</w:t>
      </w:r>
      <w:r w:rsidR="006A1DA5">
        <w:rPr>
          <w:lang w:val="en-US"/>
        </w:rPr>
        <w:t xml:space="preserve"> </w:t>
      </w:r>
      <w:r w:rsidR="005110F9">
        <w:rPr>
          <w:lang w:val="en-US"/>
        </w:rPr>
        <w:t xml:space="preserve"> </w:t>
      </w:r>
      <w:r w:rsidR="00BD2885">
        <w:rPr>
          <w:lang w:val="en-US"/>
        </w:rPr>
        <w:t xml:space="preserve"> </w:t>
      </w:r>
      <w:r w:rsidR="006774F1">
        <w:rPr>
          <w:lang w:val="en-US"/>
        </w:rPr>
        <w:t xml:space="preserve"> </w:t>
      </w:r>
    </w:p>
    <w:p w14:paraId="1BF56E4E" w14:textId="6BB59F42" w:rsidR="00310AC5" w:rsidRDefault="00310AC5" w:rsidP="00BD0BC6">
      <w:pPr>
        <w:pStyle w:val="LegalNormal"/>
        <w:ind w:left="927"/>
        <w:rPr>
          <w:lang w:val="en-US"/>
        </w:rPr>
      </w:pPr>
    </w:p>
    <w:p w14:paraId="1DD1166B" w14:textId="5BB1551B" w:rsidR="00310AC5" w:rsidRDefault="00310AC5" w:rsidP="00310AC5">
      <w:pPr>
        <w:pStyle w:val="LegalNormal"/>
        <w:rPr>
          <w:lang w:val="en-US"/>
        </w:rPr>
      </w:pPr>
    </w:p>
    <w:p w14:paraId="44705A57" w14:textId="77777777" w:rsidR="00310AC5" w:rsidRPr="00310AC5" w:rsidRDefault="00310AC5" w:rsidP="00310AC5">
      <w:pPr>
        <w:pStyle w:val="LegalNormal"/>
        <w:spacing w:after="0"/>
      </w:pPr>
      <w:r>
        <w:rPr>
          <w:lang w:val="en-US"/>
        </w:rPr>
        <w:t xml:space="preserve">                                                                                     </w:t>
      </w:r>
      <w:r w:rsidRPr="00310AC5">
        <w:t>____________________</w:t>
      </w:r>
    </w:p>
    <w:p w14:paraId="25468423" w14:textId="74A09951" w:rsidR="00310AC5" w:rsidRPr="00310AC5" w:rsidRDefault="00310AC5" w:rsidP="00310AC5">
      <w:pPr>
        <w:pStyle w:val="LegalNormal"/>
        <w:spacing w:after="0"/>
        <w:ind w:left="4320" w:firstLine="720"/>
      </w:pPr>
      <w:r w:rsidRPr="00310AC5">
        <w:t xml:space="preserve">      </w:t>
      </w:r>
      <w:r>
        <w:t xml:space="preserve"> </w:t>
      </w:r>
      <w:r w:rsidRPr="00310AC5">
        <w:t xml:space="preserve"> J.S. NYATHI</w:t>
      </w:r>
    </w:p>
    <w:p w14:paraId="1D4805F6" w14:textId="41BA2EBB" w:rsidR="00310AC5" w:rsidRPr="00310AC5" w:rsidRDefault="00310AC5" w:rsidP="00310AC5">
      <w:pPr>
        <w:pStyle w:val="LegalNormal"/>
        <w:spacing w:after="0"/>
        <w:ind w:left="5040"/>
      </w:pPr>
      <w:r>
        <w:t xml:space="preserve">      </w:t>
      </w:r>
      <w:r w:rsidRPr="00310AC5">
        <w:t>Judge of the High Court</w:t>
      </w:r>
    </w:p>
    <w:p w14:paraId="03EB4698" w14:textId="33CD9C80" w:rsidR="00310AC5" w:rsidRPr="00310AC5" w:rsidRDefault="00310AC5" w:rsidP="00310AC5">
      <w:pPr>
        <w:pStyle w:val="LegalNormal"/>
        <w:spacing w:after="0"/>
        <w:ind w:left="4320" w:firstLine="720"/>
      </w:pPr>
      <w:r>
        <w:t xml:space="preserve">      </w:t>
      </w:r>
      <w:r w:rsidRPr="00310AC5">
        <w:t xml:space="preserve">Gauteng Division, </w:t>
      </w:r>
      <w:r w:rsidR="000B2477">
        <w:t>Pretoria</w:t>
      </w:r>
    </w:p>
    <w:p w14:paraId="73FFE4B8" w14:textId="77777777" w:rsidR="00310AC5" w:rsidRPr="00310AC5" w:rsidRDefault="00310AC5" w:rsidP="00310AC5">
      <w:pPr>
        <w:pStyle w:val="LegalNormal"/>
      </w:pPr>
    </w:p>
    <w:p w14:paraId="7E0A6AA0" w14:textId="1BD006E8" w:rsidR="00310AC5" w:rsidRDefault="00310AC5" w:rsidP="00310AC5">
      <w:pPr>
        <w:pStyle w:val="LegalNormal"/>
        <w:spacing w:after="0"/>
      </w:pPr>
      <w:r>
        <w:lastRenderedPageBreak/>
        <w:t xml:space="preserve">Date of hearing: </w:t>
      </w:r>
      <w:r w:rsidR="00B90B64">
        <w:t>0</w:t>
      </w:r>
      <w:r w:rsidR="00475E27">
        <w:t>5</w:t>
      </w:r>
      <w:r w:rsidR="00E02A69">
        <w:t xml:space="preserve"> October</w:t>
      </w:r>
      <w:r>
        <w:t xml:space="preserve"> 202</w:t>
      </w:r>
      <w:r w:rsidR="0093569F">
        <w:t>3</w:t>
      </w:r>
    </w:p>
    <w:p w14:paraId="7BE41C33" w14:textId="72C7D16F" w:rsidR="00310AC5" w:rsidRDefault="00310AC5" w:rsidP="00310AC5">
      <w:pPr>
        <w:pStyle w:val="LegalNormal"/>
        <w:spacing w:after="0"/>
      </w:pPr>
      <w:r w:rsidRPr="00310AC5">
        <w:t xml:space="preserve">Date of Judgment: </w:t>
      </w:r>
      <w:r w:rsidR="00B90B64">
        <w:t>02 April</w:t>
      </w:r>
      <w:r>
        <w:t xml:space="preserve"> 202</w:t>
      </w:r>
      <w:r w:rsidR="0096182E">
        <w:t>4</w:t>
      </w:r>
    </w:p>
    <w:p w14:paraId="0AA0BB52" w14:textId="77777777" w:rsidR="000410CB" w:rsidRDefault="000410CB" w:rsidP="00310AC5">
      <w:pPr>
        <w:pStyle w:val="LegalNormal"/>
        <w:spacing w:after="0"/>
      </w:pPr>
    </w:p>
    <w:p w14:paraId="2E571142" w14:textId="77777777" w:rsidR="000410CB" w:rsidRPr="00310AC5" w:rsidRDefault="000410CB" w:rsidP="00310AC5">
      <w:pPr>
        <w:pStyle w:val="LegalNormal"/>
        <w:spacing w:after="0"/>
      </w:pPr>
    </w:p>
    <w:p w14:paraId="480657A7" w14:textId="781DF329" w:rsidR="00836B91" w:rsidRDefault="00310AC5" w:rsidP="00310AC5">
      <w:pPr>
        <w:pStyle w:val="LegalNormal"/>
        <w:spacing w:after="0"/>
      </w:pPr>
      <w:r w:rsidRPr="00310AC5">
        <w:t xml:space="preserve">On behalf of the </w:t>
      </w:r>
      <w:r w:rsidR="009303F9">
        <w:t>Applicant</w:t>
      </w:r>
      <w:r w:rsidRPr="00310AC5">
        <w:t xml:space="preserve">: </w:t>
      </w:r>
      <w:r w:rsidR="00D2668B">
        <w:t xml:space="preserve">Adv. </w:t>
      </w:r>
      <w:r w:rsidR="006215A5">
        <w:t>D.B. Du Preez SC</w:t>
      </w:r>
    </w:p>
    <w:p w14:paraId="6AC03B56" w14:textId="729E8F40" w:rsidR="00715E25" w:rsidRDefault="00836B91" w:rsidP="00310AC5">
      <w:pPr>
        <w:pStyle w:val="LegalNormal"/>
        <w:spacing w:after="0"/>
      </w:pPr>
      <w:r>
        <w:t xml:space="preserve">With him: </w:t>
      </w:r>
      <w:r>
        <w:tab/>
      </w:r>
      <w:r>
        <w:tab/>
      </w:r>
      <w:r>
        <w:tab/>
        <w:t xml:space="preserve">Adv. </w:t>
      </w:r>
      <w:r w:rsidR="00E33357">
        <w:t>E</w:t>
      </w:r>
      <w:r w:rsidR="007A7892">
        <w:t xml:space="preserve">. </w:t>
      </w:r>
      <w:r w:rsidR="00E33357">
        <w:t>de Lange</w:t>
      </w:r>
      <w:r w:rsidR="00310AC5" w:rsidRPr="00310AC5">
        <w:tab/>
      </w:r>
      <w:r w:rsidR="00310AC5" w:rsidRPr="00310AC5">
        <w:tab/>
      </w:r>
    </w:p>
    <w:p w14:paraId="58727036" w14:textId="46CB6EFF" w:rsidR="00ED0DC6" w:rsidRDefault="00310AC5" w:rsidP="00770B05">
      <w:pPr>
        <w:pStyle w:val="LegalNormal"/>
        <w:spacing w:after="0"/>
      </w:pPr>
      <w:r>
        <w:t xml:space="preserve"> </w:t>
      </w:r>
      <w:r w:rsidR="00770B05">
        <w:t xml:space="preserve">Attorneys for the </w:t>
      </w:r>
      <w:r w:rsidR="004A0E60">
        <w:t>Applicant</w:t>
      </w:r>
      <w:r w:rsidR="00770B05">
        <w:t xml:space="preserve">: </w:t>
      </w:r>
      <w:proofErr w:type="spellStart"/>
      <w:r w:rsidR="00BE144A">
        <w:t>Muthray</w:t>
      </w:r>
      <w:proofErr w:type="spellEnd"/>
      <w:r w:rsidR="00C30ED1">
        <w:t xml:space="preserve"> and Associates Inc.</w:t>
      </w:r>
    </w:p>
    <w:p w14:paraId="52FBBFC5" w14:textId="1BB5E5B7" w:rsidR="00E85E5E" w:rsidRDefault="00E85E5E" w:rsidP="00770B05">
      <w:pPr>
        <w:pStyle w:val="LegalNormal"/>
        <w:spacing w:after="0"/>
      </w:pPr>
      <w:r>
        <w:t xml:space="preserve">Tel: (012) </w:t>
      </w:r>
      <w:r w:rsidR="00A83293">
        <w:t xml:space="preserve">651 9000    </w:t>
      </w:r>
      <w:proofErr w:type="gramStart"/>
      <w:r w:rsidR="00A83293">
        <w:t>/  E-mail</w:t>
      </w:r>
      <w:proofErr w:type="gramEnd"/>
      <w:r w:rsidR="00A83293">
        <w:t xml:space="preserve">: </w:t>
      </w:r>
      <w:hyperlink r:id="rId9" w:history="1">
        <w:r w:rsidR="00334628" w:rsidRPr="004615C7">
          <w:rPr>
            <w:rStyle w:val="Hyperlink"/>
          </w:rPr>
          <w:t>kineil@malaw.co.za</w:t>
        </w:r>
      </w:hyperlink>
      <w:r w:rsidR="00334628">
        <w:t xml:space="preserve">  and  </w:t>
      </w:r>
      <w:hyperlink r:id="rId10" w:history="1">
        <w:r w:rsidR="00334628" w:rsidRPr="004615C7">
          <w:rPr>
            <w:rStyle w:val="Hyperlink"/>
          </w:rPr>
          <w:t>kaitli@malaw.co.za</w:t>
        </w:r>
      </w:hyperlink>
    </w:p>
    <w:p w14:paraId="5E2DF1C0" w14:textId="77777777" w:rsidR="00310AC5" w:rsidRPr="00310AC5" w:rsidRDefault="00310AC5" w:rsidP="00310AC5">
      <w:pPr>
        <w:pStyle w:val="LegalNormal"/>
        <w:spacing w:after="0"/>
      </w:pPr>
    </w:p>
    <w:p w14:paraId="23A03356" w14:textId="77777777" w:rsidR="00310AC5" w:rsidRPr="00310AC5" w:rsidRDefault="00310AC5" w:rsidP="00310AC5">
      <w:pPr>
        <w:pStyle w:val="LegalNormal"/>
        <w:spacing w:after="0"/>
      </w:pPr>
    </w:p>
    <w:p w14:paraId="7BB9CD8B" w14:textId="2B7C79F8" w:rsidR="00DC152D" w:rsidRDefault="00310AC5" w:rsidP="00310AC5">
      <w:pPr>
        <w:pStyle w:val="LegalNormal"/>
        <w:spacing w:after="0"/>
      </w:pPr>
      <w:r w:rsidRPr="00310AC5">
        <w:t xml:space="preserve">On behalf of </w:t>
      </w:r>
      <w:r w:rsidR="00BD23DB">
        <w:t xml:space="preserve">the </w:t>
      </w:r>
      <w:r w:rsidR="00A97BEA">
        <w:t xml:space="preserve">First </w:t>
      </w:r>
      <w:r w:rsidR="00483E9E">
        <w:t>Respo</w:t>
      </w:r>
      <w:r w:rsidR="00BD23DB">
        <w:t>nd</w:t>
      </w:r>
      <w:r w:rsidR="00483E9E">
        <w:t>e</w:t>
      </w:r>
      <w:r w:rsidR="00BD23DB">
        <w:t>nt</w:t>
      </w:r>
      <w:r w:rsidRPr="00310AC5">
        <w:t xml:space="preserve">: </w:t>
      </w:r>
      <w:r w:rsidR="0072663F">
        <w:t>Adv</w:t>
      </w:r>
      <w:r w:rsidR="00E53278">
        <w:t xml:space="preserve">. </w:t>
      </w:r>
      <w:r w:rsidR="00A97BEA">
        <w:t>G.W. Amm</w:t>
      </w:r>
    </w:p>
    <w:p w14:paraId="7194F4CD" w14:textId="11A0B544" w:rsidR="00310AC5" w:rsidRDefault="00BD1E48" w:rsidP="00DF6488">
      <w:pPr>
        <w:pStyle w:val="LegalNormal"/>
        <w:spacing w:after="0"/>
      </w:pPr>
      <w:r>
        <w:t>Attorney</w:t>
      </w:r>
      <w:r w:rsidR="009E7D6D">
        <w:t>s</w:t>
      </w:r>
      <w:r w:rsidR="0047436C">
        <w:t xml:space="preserve"> for the </w:t>
      </w:r>
      <w:r w:rsidR="00DF6488">
        <w:t xml:space="preserve">First </w:t>
      </w:r>
      <w:r w:rsidR="004A0E60">
        <w:t>Respondent</w:t>
      </w:r>
      <w:r w:rsidR="00E80CB2">
        <w:t xml:space="preserve">: Glover </w:t>
      </w:r>
      <w:proofErr w:type="spellStart"/>
      <w:r w:rsidR="00E80CB2">
        <w:t>Kannieappan</w:t>
      </w:r>
      <w:proofErr w:type="spellEnd"/>
      <w:r w:rsidR="00E80CB2">
        <w:t xml:space="preserve"> Inc.</w:t>
      </w:r>
    </w:p>
    <w:p w14:paraId="61E0324D" w14:textId="4EF9552C" w:rsidR="00E80CB2" w:rsidRDefault="00E80CB2" w:rsidP="00DF6488">
      <w:pPr>
        <w:pStyle w:val="LegalNormal"/>
        <w:spacing w:after="0"/>
      </w:pPr>
      <w:r>
        <w:t>Tel: (011) 482 5652</w:t>
      </w:r>
      <w:r w:rsidR="0048583D">
        <w:t xml:space="preserve">    E-mail: </w:t>
      </w:r>
      <w:hyperlink r:id="rId11" w:history="1">
        <w:r w:rsidR="00690D94" w:rsidRPr="00D530E6">
          <w:rPr>
            <w:rStyle w:val="Hyperlink"/>
          </w:rPr>
          <w:t>roger@gkinc.co.za</w:t>
        </w:r>
      </w:hyperlink>
    </w:p>
    <w:p w14:paraId="52CD4410" w14:textId="77777777" w:rsidR="00690D94" w:rsidRDefault="00690D94" w:rsidP="00DF6488">
      <w:pPr>
        <w:pStyle w:val="LegalNormal"/>
        <w:spacing w:after="0"/>
      </w:pPr>
    </w:p>
    <w:p w14:paraId="7CC72694" w14:textId="6C021FAF" w:rsidR="00690D94" w:rsidRDefault="00B60C10" w:rsidP="00DF6488">
      <w:pPr>
        <w:pStyle w:val="LegalNormal"/>
        <w:spacing w:after="0"/>
      </w:pPr>
      <w:r>
        <w:t>On behalf of the Second Respondent: Adv. NGD Maritz SC</w:t>
      </w:r>
    </w:p>
    <w:p w14:paraId="2077C405" w14:textId="7DFB374B" w:rsidR="00B24321" w:rsidRDefault="00B24321" w:rsidP="00DF6488">
      <w:pPr>
        <w:pStyle w:val="LegalNormal"/>
        <w:spacing w:after="0"/>
      </w:pPr>
      <w:r>
        <w:tab/>
      </w:r>
      <w:r>
        <w:tab/>
      </w:r>
      <w:r>
        <w:tab/>
      </w:r>
      <w:r>
        <w:tab/>
        <w:t xml:space="preserve">   With him: Adv. MN Davids</w:t>
      </w:r>
    </w:p>
    <w:p w14:paraId="6EA9492C" w14:textId="34EF89FC" w:rsidR="00C16EAE" w:rsidRDefault="00C16EAE" w:rsidP="00DF6488">
      <w:pPr>
        <w:pStyle w:val="LegalNormal"/>
        <w:spacing w:after="0"/>
      </w:pPr>
      <w:r>
        <w:t xml:space="preserve">Attorneys for the Second Respondent: </w:t>
      </w:r>
      <w:proofErr w:type="spellStart"/>
      <w:r>
        <w:t>Gilden</w:t>
      </w:r>
      <w:r w:rsidR="000235CA">
        <w:t>huys</w:t>
      </w:r>
      <w:proofErr w:type="spellEnd"/>
      <w:r w:rsidR="000235CA">
        <w:t xml:space="preserve"> Malatji Inc:</w:t>
      </w:r>
    </w:p>
    <w:p w14:paraId="1DD0AF7A" w14:textId="07A75459" w:rsidR="000235CA" w:rsidRDefault="000235CA" w:rsidP="00DF6488">
      <w:pPr>
        <w:pStyle w:val="LegalNormal"/>
        <w:spacing w:after="0"/>
      </w:pPr>
      <w:r>
        <w:t>Tel (012) 428 8600   / E</w:t>
      </w:r>
      <w:r w:rsidR="00611194">
        <w:t xml:space="preserve">-mail: </w:t>
      </w:r>
      <w:hyperlink r:id="rId12" w:history="1">
        <w:r w:rsidR="00611194" w:rsidRPr="00D530E6">
          <w:rPr>
            <w:rStyle w:val="Hyperlink"/>
          </w:rPr>
          <w:t>AduToit@gminc.co.za</w:t>
        </w:r>
      </w:hyperlink>
      <w:r w:rsidR="00611194">
        <w:t xml:space="preserve"> , </w:t>
      </w:r>
      <w:hyperlink r:id="rId13" w:history="1">
        <w:r w:rsidR="008A422A" w:rsidRPr="00D530E6">
          <w:rPr>
            <w:rStyle w:val="Hyperlink"/>
          </w:rPr>
          <w:t>Nmanganyi@gminc.co.za</w:t>
        </w:r>
      </w:hyperlink>
    </w:p>
    <w:p w14:paraId="1F213B3A" w14:textId="77777777" w:rsidR="008A422A" w:rsidRDefault="008A422A" w:rsidP="00DF6488">
      <w:pPr>
        <w:pStyle w:val="LegalNormal"/>
        <w:spacing w:after="0"/>
      </w:pPr>
    </w:p>
    <w:p w14:paraId="7E87BD3C" w14:textId="77777777" w:rsidR="00611194" w:rsidRDefault="00611194" w:rsidP="00DF6488">
      <w:pPr>
        <w:pStyle w:val="LegalNormal"/>
        <w:spacing w:after="0"/>
      </w:pPr>
    </w:p>
    <w:p w14:paraId="75CEE937" w14:textId="77777777" w:rsidR="00690D94" w:rsidRPr="00310AC5" w:rsidRDefault="00690D94" w:rsidP="00DF6488">
      <w:pPr>
        <w:pStyle w:val="LegalNormal"/>
        <w:spacing w:after="0"/>
      </w:pPr>
    </w:p>
    <w:p w14:paraId="3D1AD0FD" w14:textId="19B15663" w:rsidR="00310AC5" w:rsidRPr="00310AC5" w:rsidRDefault="00310AC5" w:rsidP="00310AC5">
      <w:pPr>
        <w:pStyle w:val="LegalNormal"/>
        <w:spacing w:after="0"/>
        <w:rPr>
          <w:sz w:val="22"/>
          <w:szCs w:val="22"/>
          <w:lang w:val="en-US"/>
        </w:rPr>
      </w:pPr>
    </w:p>
    <w:p w14:paraId="0E3CA618" w14:textId="5BBA52D1" w:rsidR="00012A18" w:rsidRDefault="00310AC5" w:rsidP="00F1291D">
      <w:pPr>
        <w:pStyle w:val="LegalNormal"/>
        <w:rPr>
          <w:rFonts w:ascii="Segoe UI Semilight" w:hAnsi="Segoe UI Semilight" w:cs="Segoe UI Semilight"/>
        </w:rPr>
      </w:pPr>
      <w:r w:rsidRPr="00310AC5">
        <w:rPr>
          <w:b/>
          <w:sz w:val="22"/>
          <w:szCs w:val="22"/>
        </w:rPr>
        <w:lastRenderedPageBreak/>
        <w:t>Delivery</w:t>
      </w:r>
      <w:r w:rsidRPr="00310AC5">
        <w:rPr>
          <w:sz w:val="22"/>
          <w:szCs w:val="22"/>
        </w:rPr>
        <w:t xml:space="preserve">: This judgment was handed down electronically by circulation to the parties' legal representatives by email and uploaded on the </w:t>
      </w:r>
      <w:proofErr w:type="spellStart"/>
      <w:r w:rsidRPr="00310AC5">
        <w:rPr>
          <w:sz w:val="22"/>
          <w:szCs w:val="22"/>
        </w:rPr>
        <w:t>CaseLines</w:t>
      </w:r>
      <w:proofErr w:type="spellEnd"/>
      <w:r w:rsidRPr="00310AC5">
        <w:rPr>
          <w:sz w:val="22"/>
          <w:szCs w:val="22"/>
        </w:rPr>
        <w:t xml:space="preserve"> electronic platform. The date for hand-down is deemed to be </w:t>
      </w:r>
      <w:r w:rsidR="00B90B64">
        <w:rPr>
          <w:sz w:val="22"/>
          <w:szCs w:val="22"/>
          <w:u w:val="single"/>
        </w:rPr>
        <w:t>02 April</w:t>
      </w:r>
      <w:r w:rsidRPr="00F1291D">
        <w:rPr>
          <w:sz w:val="22"/>
          <w:szCs w:val="22"/>
          <w:u w:val="single"/>
        </w:rPr>
        <w:t xml:space="preserve"> 202</w:t>
      </w:r>
      <w:r w:rsidR="004B3815">
        <w:rPr>
          <w:sz w:val="22"/>
          <w:szCs w:val="22"/>
          <w:u w:val="single"/>
        </w:rPr>
        <w:t>4</w:t>
      </w:r>
      <w:r w:rsidRPr="00310AC5">
        <w:rPr>
          <w:sz w:val="22"/>
          <w:szCs w:val="22"/>
        </w:rPr>
        <w:t>.</w:t>
      </w:r>
      <w:r>
        <w:rPr>
          <w:rFonts w:ascii="Segoe UI Semilight" w:hAnsi="Segoe UI Semilight" w:cs="Segoe UI Semilight"/>
        </w:rPr>
        <w:t xml:space="preserve">                                                                                     </w:t>
      </w:r>
    </w:p>
    <w:sectPr w:rsidR="00012A18" w:rsidSect="0043660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5DE3A" w14:textId="77777777" w:rsidR="00436609" w:rsidRDefault="00436609" w:rsidP="004466A8">
      <w:r>
        <w:separator/>
      </w:r>
    </w:p>
  </w:endnote>
  <w:endnote w:type="continuationSeparator" w:id="0">
    <w:p w14:paraId="556ADCBA" w14:textId="77777777" w:rsidR="00436609" w:rsidRDefault="00436609" w:rsidP="004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0130839"/>
      <w:docPartObj>
        <w:docPartGallery w:val="Page Numbers (Bottom of Page)"/>
        <w:docPartUnique/>
      </w:docPartObj>
    </w:sdtPr>
    <w:sdtEndPr>
      <w:rPr>
        <w:noProof/>
      </w:rPr>
    </w:sdtEndPr>
    <w:sdtContent>
      <w:p w14:paraId="379869DB" w14:textId="0ED25E72" w:rsidR="000A4529" w:rsidRDefault="000A4529">
        <w:pPr>
          <w:pStyle w:val="Footer"/>
          <w:jc w:val="center"/>
        </w:pPr>
        <w:r>
          <w:fldChar w:fldCharType="begin"/>
        </w:r>
        <w:r>
          <w:instrText xml:space="preserve"> PAGE   \* MERGEFORMAT </w:instrText>
        </w:r>
        <w:r>
          <w:fldChar w:fldCharType="separate"/>
        </w:r>
        <w:r w:rsidR="00475E27">
          <w:rPr>
            <w:noProof/>
          </w:rPr>
          <w:t>13</w:t>
        </w:r>
        <w:r>
          <w:rPr>
            <w:noProof/>
          </w:rPr>
          <w:fldChar w:fldCharType="end"/>
        </w:r>
      </w:p>
    </w:sdtContent>
  </w:sdt>
  <w:p w14:paraId="790A0DB5" w14:textId="77777777" w:rsidR="000A4529" w:rsidRDefault="000A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F70DC" w14:textId="77777777" w:rsidR="00436609" w:rsidRDefault="00436609" w:rsidP="004466A8">
      <w:r>
        <w:separator/>
      </w:r>
    </w:p>
  </w:footnote>
  <w:footnote w:type="continuationSeparator" w:id="0">
    <w:p w14:paraId="5079880B" w14:textId="77777777" w:rsidR="00436609" w:rsidRDefault="00436609" w:rsidP="004466A8">
      <w:r>
        <w:continuationSeparator/>
      </w:r>
    </w:p>
  </w:footnote>
  <w:footnote w:id="1">
    <w:p w14:paraId="511A8E20" w14:textId="7FAC76FA" w:rsidR="006B3011" w:rsidRPr="006B3011" w:rsidRDefault="006B3011">
      <w:pPr>
        <w:pStyle w:val="FootnoteText"/>
        <w:rPr>
          <w:lang w:val="en-US"/>
        </w:rPr>
      </w:pPr>
      <w:r>
        <w:rPr>
          <w:rStyle w:val="FootnoteReference"/>
        </w:rPr>
        <w:footnoteRef/>
      </w:r>
      <w:r>
        <w:t xml:space="preserve"> </w:t>
      </w:r>
      <w:r>
        <w:rPr>
          <w:lang w:val="en-US"/>
        </w:rPr>
        <w:t xml:space="preserve">Excerpted </w:t>
      </w:r>
      <w:r w:rsidR="004A059C">
        <w:rPr>
          <w:lang w:val="en-US"/>
        </w:rPr>
        <w:t>from second respondent’s heads of argument</w:t>
      </w:r>
      <w:r w:rsidR="00EB014C">
        <w:rPr>
          <w:lang w:val="en-US"/>
        </w:rPr>
        <w:t xml:space="preserve"> </w:t>
      </w:r>
      <w:r w:rsidR="000D33E1">
        <w:rPr>
          <w:lang w:val="en-US"/>
        </w:rPr>
        <w:t>P</w:t>
      </w:r>
      <w:r w:rsidR="00772BC4">
        <w:rPr>
          <w:lang w:val="en-US"/>
        </w:rPr>
        <w:t>ara 10</w:t>
      </w:r>
      <w:r w:rsidR="00D76901">
        <w:rPr>
          <w:lang w:val="en-US"/>
        </w:rPr>
        <w:t>.</w:t>
      </w:r>
    </w:p>
  </w:footnote>
  <w:footnote w:id="2">
    <w:p w14:paraId="0270FC50" w14:textId="032D0D0E" w:rsidR="009C2454" w:rsidRPr="009C2454" w:rsidRDefault="009C2454">
      <w:pPr>
        <w:pStyle w:val="FootnoteText"/>
        <w:rPr>
          <w:lang w:val="en-US"/>
        </w:rPr>
      </w:pPr>
      <w:r>
        <w:rPr>
          <w:rStyle w:val="FootnoteReference"/>
        </w:rPr>
        <w:footnoteRef/>
      </w:r>
      <w:r>
        <w:t xml:space="preserve"> </w:t>
      </w:r>
      <w:r w:rsidR="00CF66F9" w:rsidRPr="00CF66F9">
        <w:t>South African Reserve Bank and Another v Shuttleworth and Another 2015 (5) SA 146 (CC) at paras 53 to 54.</w:t>
      </w:r>
    </w:p>
  </w:footnote>
  <w:footnote w:id="3">
    <w:p w14:paraId="323DA29B" w14:textId="5A7B83B7" w:rsidR="00977394" w:rsidRPr="00977394" w:rsidRDefault="00977394">
      <w:pPr>
        <w:pStyle w:val="FootnoteText"/>
        <w:rPr>
          <w:lang w:val="en-US"/>
        </w:rPr>
      </w:pPr>
      <w:r>
        <w:rPr>
          <w:rStyle w:val="FootnoteReference"/>
        </w:rPr>
        <w:footnoteRef/>
      </w:r>
      <w:r>
        <w:t xml:space="preserve"> </w:t>
      </w:r>
      <w:proofErr w:type="spellStart"/>
      <w:r w:rsidRPr="00977394">
        <w:rPr>
          <w:lang w:val="en-US"/>
        </w:rPr>
        <w:t>Evergrand</w:t>
      </w:r>
      <w:proofErr w:type="spellEnd"/>
      <w:r w:rsidRPr="00977394">
        <w:rPr>
          <w:lang w:val="en-US"/>
        </w:rPr>
        <w:t xml:space="preserve"> Trading (Pty) Ltd v. SARB &amp; Another</w:t>
      </w:r>
      <w:r>
        <w:rPr>
          <w:lang w:val="en-US"/>
        </w:rPr>
        <w:t xml:space="preserve"> [</w:t>
      </w:r>
      <w:r w:rsidR="00A0247D">
        <w:rPr>
          <w:lang w:val="en-US"/>
        </w:rPr>
        <w:t>2022] ZAGPPHC</w:t>
      </w:r>
      <w:r w:rsidRPr="00977394">
        <w:rPr>
          <w:lang w:val="en-US"/>
        </w:rPr>
        <w:t>, Yanling International Trade CC v SARB</w:t>
      </w:r>
      <w:r w:rsidR="00792C8C">
        <w:rPr>
          <w:lang w:val="en-US"/>
        </w:rPr>
        <w:t xml:space="preserve"> [2023] ZAGPPHC 79</w:t>
      </w:r>
      <w:r w:rsidRPr="00977394">
        <w:rPr>
          <w:lang w:val="en-US"/>
        </w:rPr>
        <w:t>, Odendaal v S</w:t>
      </w:r>
      <w:r w:rsidR="00D32547">
        <w:rPr>
          <w:lang w:val="en-US"/>
        </w:rPr>
        <w:t>A</w:t>
      </w:r>
      <w:r w:rsidRPr="00977394">
        <w:rPr>
          <w:lang w:val="en-US"/>
        </w:rPr>
        <w:t>RB</w:t>
      </w:r>
      <w:r w:rsidR="00D32547">
        <w:rPr>
          <w:lang w:val="en-US"/>
        </w:rPr>
        <w:t xml:space="preserve"> [2023] ZAWCHC 160</w:t>
      </w:r>
      <w:r w:rsidRPr="00977394">
        <w:rPr>
          <w:lang w:val="en-US"/>
        </w:rPr>
        <w:t xml:space="preserve"> and SARB v Leathern &amp; Others</w:t>
      </w:r>
      <w:r w:rsidR="001D46A8">
        <w:rPr>
          <w:lang w:val="en-US"/>
        </w:rPr>
        <w:t xml:space="preserve"> 2021 (5) SA 543 (SCA).</w:t>
      </w:r>
    </w:p>
  </w:footnote>
  <w:footnote w:id="4">
    <w:p w14:paraId="53A24FCD" w14:textId="180233C7" w:rsidR="002A2FF4" w:rsidRPr="002A2FF4" w:rsidRDefault="002A2FF4">
      <w:pPr>
        <w:pStyle w:val="FootnoteText"/>
        <w:rPr>
          <w:lang w:val="en-US"/>
        </w:rPr>
      </w:pPr>
      <w:r>
        <w:rPr>
          <w:rStyle w:val="FootnoteReference"/>
        </w:rPr>
        <w:footnoteRef/>
      </w:r>
      <w:r>
        <w:t xml:space="preserve"> </w:t>
      </w:r>
      <w:r>
        <w:rPr>
          <w:lang w:val="en-US"/>
        </w:rPr>
        <w:t>GNR 1111 of 1 December 1961</w:t>
      </w:r>
      <w:r w:rsidR="00763679">
        <w:rPr>
          <w:lang w:val="en-US"/>
        </w:rPr>
        <w:t>: Regulations made under the Currency and Exchanges Act</w:t>
      </w:r>
      <w:r w:rsidR="000354CC">
        <w:rPr>
          <w:lang w:val="en-US"/>
        </w:rPr>
        <w:t xml:space="preserve"> 9 of 1933.</w:t>
      </w:r>
    </w:p>
  </w:footnote>
  <w:footnote w:id="5">
    <w:p w14:paraId="6D4878A3" w14:textId="531F7F6C" w:rsidR="00CD167C" w:rsidRPr="00CD167C" w:rsidRDefault="00CD167C">
      <w:pPr>
        <w:pStyle w:val="FootnoteText"/>
        <w:rPr>
          <w:lang w:val="en-US"/>
        </w:rPr>
      </w:pPr>
      <w:r>
        <w:rPr>
          <w:rStyle w:val="FootnoteReference"/>
        </w:rPr>
        <w:footnoteRef/>
      </w:r>
      <w:r>
        <w:t xml:space="preserve"> </w:t>
      </w:r>
      <w:r>
        <w:rPr>
          <w:lang w:val="en-US"/>
        </w:rPr>
        <w:t>Armbruster v SARB [2007] ZACC</w:t>
      </w:r>
      <w:r w:rsidR="005E2224">
        <w:rPr>
          <w:lang w:val="en-US"/>
        </w:rPr>
        <w:t xml:space="preserve"> 17</w:t>
      </w:r>
      <w:r w:rsidR="008075DB">
        <w:rPr>
          <w:lang w:val="en-US"/>
        </w:rPr>
        <w:t xml:space="preserve">, </w:t>
      </w:r>
      <w:r w:rsidR="00E432AA">
        <w:rPr>
          <w:lang w:val="en-US"/>
        </w:rPr>
        <w:t>2007 (6) SA 550 (CC)</w:t>
      </w:r>
      <w:r w:rsidR="005E2224">
        <w:rPr>
          <w:lang w:val="en-US"/>
        </w:rPr>
        <w:t>.</w:t>
      </w:r>
    </w:p>
  </w:footnote>
  <w:footnote w:id="6">
    <w:p w14:paraId="206836E8" w14:textId="6C6547E9" w:rsidR="00D13E63" w:rsidRPr="00D13E63" w:rsidRDefault="00D13E63">
      <w:pPr>
        <w:pStyle w:val="FootnoteText"/>
        <w:rPr>
          <w:lang w:val="en-US"/>
        </w:rPr>
      </w:pPr>
      <w:r>
        <w:rPr>
          <w:rStyle w:val="FootnoteReference"/>
        </w:rPr>
        <w:footnoteRef/>
      </w:r>
      <w:r>
        <w:t xml:space="preserve"> </w:t>
      </w:r>
      <w:r>
        <w:rPr>
          <w:lang w:val="en-US"/>
        </w:rPr>
        <w:t>Inserted for clarity.</w:t>
      </w:r>
    </w:p>
  </w:footnote>
  <w:footnote w:id="7">
    <w:p w14:paraId="4B9140C3" w14:textId="6E548F30" w:rsidR="00B774E8" w:rsidRPr="00B774E8" w:rsidRDefault="00B774E8">
      <w:pPr>
        <w:pStyle w:val="FootnoteText"/>
        <w:rPr>
          <w:lang w:val="en-ZA"/>
        </w:rPr>
      </w:pPr>
      <w:r>
        <w:rPr>
          <w:rStyle w:val="FootnoteReference"/>
        </w:rPr>
        <w:footnoteRef/>
      </w:r>
      <w:r>
        <w:t xml:space="preserve"> </w:t>
      </w:r>
      <w:r>
        <w:rPr>
          <w:lang w:val="en-ZA"/>
        </w:rPr>
        <w:t xml:space="preserve"> </w:t>
      </w:r>
      <w:r w:rsidRPr="00B774E8">
        <w:rPr>
          <w:lang w:val="en-ZA"/>
        </w:rPr>
        <w:t>SARB and Another v Maddocks N.O. and Another [2023] ZASCA 04</w:t>
      </w:r>
    </w:p>
  </w:footnote>
  <w:footnote w:id="8">
    <w:p w14:paraId="467F4CC9" w14:textId="1D24E8B7" w:rsidR="00F9489D" w:rsidRPr="00F9489D" w:rsidRDefault="00F9489D">
      <w:pPr>
        <w:pStyle w:val="FootnoteText"/>
        <w:rPr>
          <w:lang w:val="en-US"/>
        </w:rPr>
      </w:pPr>
      <w:r>
        <w:rPr>
          <w:rStyle w:val="FootnoteReference"/>
        </w:rPr>
        <w:footnoteRef/>
      </w:r>
      <w:r>
        <w:t xml:space="preserve"> </w:t>
      </w:r>
      <w:r>
        <w:rPr>
          <w:lang w:val="en-US"/>
        </w:rPr>
        <w:t>Para 7 of SARB and Another v Maddocks N.O</w:t>
      </w:r>
      <w:r w:rsidR="006B5EE9">
        <w:rPr>
          <w:lang w:val="en-US"/>
        </w:rPr>
        <w:t>. and Another [2023] ZASCA</w:t>
      </w:r>
      <w:r w:rsidR="00186800">
        <w:rPr>
          <w:lang w:val="en-US"/>
        </w:rPr>
        <w:t xml:space="preserve"> 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B5A3A"/>
    <w:multiLevelType w:val="hybridMultilevel"/>
    <w:tmpl w:val="BCF21C94"/>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16491ECA"/>
    <w:multiLevelType w:val="hybridMultilevel"/>
    <w:tmpl w:val="BFEAEC16"/>
    <w:lvl w:ilvl="0" w:tplc="4A08A8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29B962C5"/>
    <w:multiLevelType w:val="hybridMultilevel"/>
    <w:tmpl w:val="0212D882"/>
    <w:lvl w:ilvl="0" w:tplc="A192DA30">
      <w:start w:val="1"/>
      <w:numFmt w:val="upp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5" w15:restartNumberingAfterBreak="0">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15:restartNumberingAfterBreak="0">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51C0287"/>
    <w:multiLevelType w:val="multilevel"/>
    <w:tmpl w:val="1B8E9C28"/>
    <w:lvl w:ilvl="0">
      <w:start w:val="1"/>
      <w:numFmt w:val="decimal"/>
      <w:lvlText w:val="[%1]"/>
      <w:lvlJc w:val="left"/>
      <w:pPr>
        <w:tabs>
          <w:tab w:val="num" w:pos="927"/>
        </w:tabs>
        <w:ind w:left="927" w:hanging="567"/>
      </w:pPr>
      <w:rPr>
        <w:rFonts w:hint="default"/>
        <w:b w:val="0"/>
        <w:i w:val="0"/>
        <w:sz w:val="28"/>
        <w:szCs w:val="28"/>
      </w:rPr>
    </w:lvl>
    <w:lvl w:ilvl="1">
      <w:start w:val="1"/>
      <w:numFmt w:val="decimal"/>
      <w:pStyle w:val="LegalHeading2"/>
      <w:lvlText w:val="%1.%2"/>
      <w:lvlJc w:val="left"/>
      <w:pPr>
        <w:tabs>
          <w:tab w:val="num" w:pos="2629"/>
        </w:tabs>
        <w:ind w:left="2629" w:hanging="1134"/>
      </w:pPr>
      <w:rPr>
        <w:rFonts w:ascii="Arial" w:hAnsi="Arial" w:cs="Arial" w:hint="default"/>
        <w:b w:val="0"/>
        <w:i w:val="0"/>
        <w:sz w:val="24"/>
        <w:szCs w:val="24"/>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9" w15:restartNumberingAfterBreak="0">
    <w:nsid w:val="4F8312BB"/>
    <w:multiLevelType w:val="hybridMultilevel"/>
    <w:tmpl w:val="C7E66F40"/>
    <w:lvl w:ilvl="0" w:tplc="1C090017">
      <w:start w:val="1"/>
      <w:numFmt w:val="lowerLetter"/>
      <w:lvlText w:val="%1)"/>
      <w:lvlJc w:val="lef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0" w15:restartNumberingAfterBreak="0">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BAD35A5"/>
    <w:multiLevelType w:val="hybridMultilevel"/>
    <w:tmpl w:val="0A5A806C"/>
    <w:lvl w:ilvl="0" w:tplc="B03EE300">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2" w15:restartNumberingAfterBreak="0">
    <w:nsid w:val="76881B5E"/>
    <w:multiLevelType w:val="hybridMultilevel"/>
    <w:tmpl w:val="20F0DFC8"/>
    <w:lvl w:ilvl="0" w:tplc="4FB8B61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15:restartNumberingAfterBreak="0">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4" w15:restartNumberingAfterBreak="0">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16cid:durableId="345788770">
    <w:abstractNumId w:val="8"/>
  </w:num>
  <w:num w:numId="2" w16cid:durableId="747774232">
    <w:abstractNumId w:val="2"/>
  </w:num>
  <w:num w:numId="3" w16cid:durableId="1935893368">
    <w:abstractNumId w:val="13"/>
  </w:num>
  <w:num w:numId="4" w16cid:durableId="948200232">
    <w:abstractNumId w:val="7"/>
  </w:num>
  <w:num w:numId="5" w16cid:durableId="97915501">
    <w:abstractNumId w:val="6"/>
  </w:num>
  <w:num w:numId="6" w16cid:durableId="3652590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0036538">
    <w:abstractNumId w:val="14"/>
  </w:num>
  <w:num w:numId="8" w16cid:durableId="9771066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89159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1083312">
    <w:abstractNumId w:val="10"/>
  </w:num>
  <w:num w:numId="11" w16cid:durableId="1505974524">
    <w:abstractNumId w:val="1"/>
  </w:num>
  <w:num w:numId="12" w16cid:durableId="1214464305">
    <w:abstractNumId w:val="5"/>
  </w:num>
  <w:num w:numId="13" w16cid:durableId="727536954">
    <w:abstractNumId w:val="3"/>
  </w:num>
  <w:num w:numId="14" w16cid:durableId="1143933633">
    <w:abstractNumId w:val="12"/>
  </w:num>
  <w:num w:numId="15" w16cid:durableId="956715871">
    <w:abstractNumId w:val="9"/>
  </w:num>
  <w:num w:numId="16" w16cid:durableId="1892307832">
    <w:abstractNumId w:val="4"/>
  </w:num>
  <w:num w:numId="17" w16cid:durableId="691223282">
    <w:abstractNumId w:val="11"/>
  </w:num>
  <w:num w:numId="18" w16cid:durableId="575164952">
    <w:abstractNumId w:val="0"/>
  </w:num>
  <w:num w:numId="19" w16cid:durableId="6915667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oNotDisplayPageBoundaries/>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A8"/>
    <w:rsid w:val="00000B8C"/>
    <w:rsid w:val="000017BA"/>
    <w:rsid w:val="000028E6"/>
    <w:rsid w:val="0000452E"/>
    <w:rsid w:val="0000463E"/>
    <w:rsid w:val="00004A49"/>
    <w:rsid w:val="00004B2E"/>
    <w:rsid w:val="00005477"/>
    <w:rsid w:val="0000633E"/>
    <w:rsid w:val="00006D46"/>
    <w:rsid w:val="00007F15"/>
    <w:rsid w:val="00010A11"/>
    <w:rsid w:val="00012781"/>
    <w:rsid w:val="0001286D"/>
    <w:rsid w:val="00012A18"/>
    <w:rsid w:val="00013845"/>
    <w:rsid w:val="00013F71"/>
    <w:rsid w:val="000158CB"/>
    <w:rsid w:val="00015913"/>
    <w:rsid w:val="000176F3"/>
    <w:rsid w:val="000206C6"/>
    <w:rsid w:val="000235CA"/>
    <w:rsid w:val="00023D43"/>
    <w:rsid w:val="00026395"/>
    <w:rsid w:val="00026CCB"/>
    <w:rsid w:val="000324B4"/>
    <w:rsid w:val="00032E89"/>
    <w:rsid w:val="00034996"/>
    <w:rsid w:val="0003542A"/>
    <w:rsid w:val="000354CC"/>
    <w:rsid w:val="000410CB"/>
    <w:rsid w:val="000417D8"/>
    <w:rsid w:val="00041E02"/>
    <w:rsid w:val="00041FF8"/>
    <w:rsid w:val="00042399"/>
    <w:rsid w:val="00044644"/>
    <w:rsid w:val="00044D86"/>
    <w:rsid w:val="00045AB1"/>
    <w:rsid w:val="00045BCB"/>
    <w:rsid w:val="00045F21"/>
    <w:rsid w:val="00045F7D"/>
    <w:rsid w:val="00046BC8"/>
    <w:rsid w:val="00046DD6"/>
    <w:rsid w:val="00047A30"/>
    <w:rsid w:val="000506DF"/>
    <w:rsid w:val="0005076C"/>
    <w:rsid w:val="00052665"/>
    <w:rsid w:val="00053B4E"/>
    <w:rsid w:val="00053F59"/>
    <w:rsid w:val="000541ED"/>
    <w:rsid w:val="00055B4F"/>
    <w:rsid w:val="00056306"/>
    <w:rsid w:val="000565E0"/>
    <w:rsid w:val="0005718D"/>
    <w:rsid w:val="00063047"/>
    <w:rsid w:val="000708D2"/>
    <w:rsid w:val="00070D60"/>
    <w:rsid w:val="000713CF"/>
    <w:rsid w:val="00072435"/>
    <w:rsid w:val="00074E7C"/>
    <w:rsid w:val="00075708"/>
    <w:rsid w:val="0008114E"/>
    <w:rsid w:val="00081DB4"/>
    <w:rsid w:val="000835E6"/>
    <w:rsid w:val="000874CB"/>
    <w:rsid w:val="0009051B"/>
    <w:rsid w:val="00092485"/>
    <w:rsid w:val="00092991"/>
    <w:rsid w:val="00092C48"/>
    <w:rsid w:val="000930E8"/>
    <w:rsid w:val="000934F2"/>
    <w:rsid w:val="0009487A"/>
    <w:rsid w:val="000956FF"/>
    <w:rsid w:val="00096022"/>
    <w:rsid w:val="000A134C"/>
    <w:rsid w:val="000A19F0"/>
    <w:rsid w:val="000A1FAF"/>
    <w:rsid w:val="000A3564"/>
    <w:rsid w:val="000A36B8"/>
    <w:rsid w:val="000A4529"/>
    <w:rsid w:val="000A49CD"/>
    <w:rsid w:val="000A59A0"/>
    <w:rsid w:val="000A5AF8"/>
    <w:rsid w:val="000A6572"/>
    <w:rsid w:val="000A678A"/>
    <w:rsid w:val="000A6E89"/>
    <w:rsid w:val="000A726F"/>
    <w:rsid w:val="000A731F"/>
    <w:rsid w:val="000B2477"/>
    <w:rsid w:val="000B4699"/>
    <w:rsid w:val="000B4D56"/>
    <w:rsid w:val="000B5B3C"/>
    <w:rsid w:val="000B5EC0"/>
    <w:rsid w:val="000C6C70"/>
    <w:rsid w:val="000D15BD"/>
    <w:rsid w:val="000D33E1"/>
    <w:rsid w:val="000D3633"/>
    <w:rsid w:val="000D3836"/>
    <w:rsid w:val="000D4B5B"/>
    <w:rsid w:val="000D604C"/>
    <w:rsid w:val="000D6331"/>
    <w:rsid w:val="000D72CE"/>
    <w:rsid w:val="000D78D8"/>
    <w:rsid w:val="000D7C9F"/>
    <w:rsid w:val="000E02D8"/>
    <w:rsid w:val="000E0ECB"/>
    <w:rsid w:val="000E44AC"/>
    <w:rsid w:val="000E54D2"/>
    <w:rsid w:val="000E5CF3"/>
    <w:rsid w:val="000E64E1"/>
    <w:rsid w:val="000E6743"/>
    <w:rsid w:val="000E7137"/>
    <w:rsid w:val="000F01F7"/>
    <w:rsid w:val="000F239E"/>
    <w:rsid w:val="000F401C"/>
    <w:rsid w:val="000F4395"/>
    <w:rsid w:val="000F5F9D"/>
    <w:rsid w:val="000F6959"/>
    <w:rsid w:val="000F69AA"/>
    <w:rsid w:val="00100B25"/>
    <w:rsid w:val="0010159A"/>
    <w:rsid w:val="001018C1"/>
    <w:rsid w:val="00103B97"/>
    <w:rsid w:val="00104DF9"/>
    <w:rsid w:val="00106F23"/>
    <w:rsid w:val="00111A06"/>
    <w:rsid w:val="001124E1"/>
    <w:rsid w:val="00112FF4"/>
    <w:rsid w:val="00114A3F"/>
    <w:rsid w:val="00117233"/>
    <w:rsid w:val="00117E26"/>
    <w:rsid w:val="001206E3"/>
    <w:rsid w:val="00120BD8"/>
    <w:rsid w:val="00122AF8"/>
    <w:rsid w:val="00122AFC"/>
    <w:rsid w:val="001248B9"/>
    <w:rsid w:val="00125DDE"/>
    <w:rsid w:val="00127822"/>
    <w:rsid w:val="00127EE8"/>
    <w:rsid w:val="001308A6"/>
    <w:rsid w:val="0013140B"/>
    <w:rsid w:val="00131748"/>
    <w:rsid w:val="00133A08"/>
    <w:rsid w:val="001340F0"/>
    <w:rsid w:val="001346CF"/>
    <w:rsid w:val="001351A5"/>
    <w:rsid w:val="00140E2C"/>
    <w:rsid w:val="00142D20"/>
    <w:rsid w:val="00145C17"/>
    <w:rsid w:val="00150347"/>
    <w:rsid w:val="0015042C"/>
    <w:rsid w:val="00150AAA"/>
    <w:rsid w:val="001522BF"/>
    <w:rsid w:val="001525CE"/>
    <w:rsid w:val="0015309C"/>
    <w:rsid w:val="00154A98"/>
    <w:rsid w:val="00154D4D"/>
    <w:rsid w:val="00157DE0"/>
    <w:rsid w:val="00160CFF"/>
    <w:rsid w:val="00161DE4"/>
    <w:rsid w:val="00161F21"/>
    <w:rsid w:val="00166BE2"/>
    <w:rsid w:val="00170B08"/>
    <w:rsid w:val="001715A2"/>
    <w:rsid w:val="00174ECE"/>
    <w:rsid w:val="0017564E"/>
    <w:rsid w:val="00180C68"/>
    <w:rsid w:val="00183965"/>
    <w:rsid w:val="0018563F"/>
    <w:rsid w:val="00186800"/>
    <w:rsid w:val="00186FE7"/>
    <w:rsid w:val="001879AC"/>
    <w:rsid w:val="00187E92"/>
    <w:rsid w:val="001929B7"/>
    <w:rsid w:val="001936EE"/>
    <w:rsid w:val="00193E19"/>
    <w:rsid w:val="00194E30"/>
    <w:rsid w:val="00195847"/>
    <w:rsid w:val="001A0211"/>
    <w:rsid w:val="001A1739"/>
    <w:rsid w:val="001A18A5"/>
    <w:rsid w:val="001A426A"/>
    <w:rsid w:val="001A5E34"/>
    <w:rsid w:val="001A7D35"/>
    <w:rsid w:val="001B087E"/>
    <w:rsid w:val="001B154A"/>
    <w:rsid w:val="001B271A"/>
    <w:rsid w:val="001B39E5"/>
    <w:rsid w:val="001B54C1"/>
    <w:rsid w:val="001B554E"/>
    <w:rsid w:val="001B55D9"/>
    <w:rsid w:val="001B567B"/>
    <w:rsid w:val="001B60B6"/>
    <w:rsid w:val="001B689B"/>
    <w:rsid w:val="001C119B"/>
    <w:rsid w:val="001C292E"/>
    <w:rsid w:val="001C2EC2"/>
    <w:rsid w:val="001C3512"/>
    <w:rsid w:val="001C3668"/>
    <w:rsid w:val="001C4A09"/>
    <w:rsid w:val="001C609A"/>
    <w:rsid w:val="001C7CBD"/>
    <w:rsid w:val="001D02E0"/>
    <w:rsid w:val="001D0493"/>
    <w:rsid w:val="001D1352"/>
    <w:rsid w:val="001D46A8"/>
    <w:rsid w:val="001D48AD"/>
    <w:rsid w:val="001E0DBB"/>
    <w:rsid w:val="001E3002"/>
    <w:rsid w:val="001E3272"/>
    <w:rsid w:val="001E5012"/>
    <w:rsid w:val="001E758B"/>
    <w:rsid w:val="001F101F"/>
    <w:rsid w:val="001F2478"/>
    <w:rsid w:val="001F24DD"/>
    <w:rsid w:val="001F3D61"/>
    <w:rsid w:val="001F4034"/>
    <w:rsid w:val="001F50C2"/>
    <w:rsid w:val="001F5D70"/>
    <w:rsid w:val="001F682A"/>
    <w:rsid w:val="00201C5F"/>
    <w:rsid w:val="002050FB"/>
    <w:rsid w:val="00206D30"/>
    <w:rsid w:val="00212AFF"/>
    <w:rsid w:val="00212EAB"/>
    <w:rsid w:val="00213E80"/>
    <w:rsid w:val="00214117"/>
    <w:rsid w:val="002144E7"/>
    <w:rsid w:val="0021532A"/>
    <w:rsid w:val="00215340"/>
    <w:rsid w:val="00215B62"/>
    <w:rsid w:val="0021656D"/>
    <w:rsid w:val="0021755E"/>
    <w:rsid w:val="00217CE8"/>
    <w:rsid w:val="0022009C"/>
    <w:rsid w:val="00220F3B"/>
    <w:rsid w:val="002210BF"/>
    <w:rsid w:val="00222246"/>
    <w:rsid w:val="00222CEF"/>
    <w:rsid w:val="00224F5A"/>
    <w:rsid w:val="00226526"/>
    <w:rsid w:val="00230814"/>
    <w:rsid w:val="00230DF1"/>
    <w:rsid w:val="00231079"/>
    <w:rsid w:val="00232A8E"/>
    <w:rsid w:val="002339B4"/>
    <w:rsid w:val="00233E55"/>
    <w:rsid w:val="00236087"/>
    <w:rsid w:val="0024301F"/>
    <w:rsid w:val="00244BEA"/>
    <w:rsid w:val="002456F8"/>
    <w:rsid w:val="00246FC1"/>
    <w:rsid w:val="00247FAD"/>
    <w:rsid w:val="0025116F"/>
    <w:rsid w:val="002522D6"/>
    <w:rsid w:val="002539B8"/>
    <w:rsid w:val="00254BE5"/>
    <w:rsid w:val="00255104"/>
    <w:rsid w:val="002557AB"/>
    <w:rsid w:val="0025682B"/>
    <w:rsid w:val="00257B41"/>
    <w:rsid w:val="00257E56"/>
    <w:rsid w:val="002601E8"/>
    <w:rsid w:val="00260D1A"/>
    <w:rsid w:val="00261618"/>
    <w:rsid w:val="002621C1"/>
    <w:rsid w:val="00265058"/>
    <w:rsid w:val="002672A5"/>
    <w:rsid w:val="00267411"/>
    <w:rsid w:val="0026760B"/>
    <w:rsid w:val="002705D2"/>
    <w:rsid w:val="002729D8"/>
    <w:rsid w:val="00274693"/>
    <w:rsid w:val="00274817"/>
    <w:rsid w:val="0027774A"/>
    <w:rsid w:val="002814FA"/>
    <w:rsid w:val="002818B1"/>
    <w:rsid w:val="002820B5"/>
    <w:rsid w:val="00282B15"/>
    <w:rsid w:val="0028349D"/>
    <w:rsid w:val="0028363A"/>
    <w:rsid w:val="0028397B"/>
    <w:rsid w:val="002848C2"/>
    <w:rsid w:val="00286CA7"/>
    <w:rsid w:val="00291000"/>
    <w:rsid w:val="00292422"/>
    <w:rsid w:val="00292A7A"/>
    <w:rsid w:val="00292E30"/>
    <w:rsid w:val="00294047"/>
    <w:rsid w:val="002940B9"/>
    <w:rsid w:val="002948C9"/>
    <w:rsid w:val="002976C6"/>
    <w:rsid w:val="00297CB0"/>
    <w:rsid w:val="00297E4B"/>
    <w:rsid w:val="002A0D22"/>
    <w:rsid w:val="002A2FF4"/>
    <w:rsid w:val="002A3236"/>
    <w:rsid w:val="002A40EE"/>
    <w:rsid w:val="002A452D"/>
    <w:rsid w:val="002A4941"/>
    <w:rsid w:val="002A57EF"/>
    <w:rsid w:val="002A716C"/>
    <w:rsid w:val="002B020E"/>
    <w:rsid w:val="002B1690"/>
    <w:rsid w:val="002B4280"/>
    <w:rsid w:val="002B5165"/>
    <w:rsid w:val="002B61A6"/>
    <w:rsid w:val="002C03EB"/>
    <w:rsid w:val="002C0738"/>
    <w:rsid w:val="002C1526"/>
    <w:rsid w:val="002C2AB6"/>
    <w:rsid w:val="002C4D39"/>
    <w:rsid w:val="002C52AC"/>
    <w:rsid w:val="002C5803"/>
    <w:rsid w:val="002C7405"/>
    <w:rsid w:val="002D043B"/>
    <w:rsid w:val="002D193B"/>
    <w:rsid w:val="002D1952"/>
    <w:rsid w:val="002D285C"/>
    <w:rsid w:val="002D4AC5"/>
    <w:rsid w:val="002D4BB7"/>
    <w:rsid w:val="002D73DD"/>
    <w:rsid w:val="002E0DA9"/>
    <w:rsid w:val="002E2D5A"/>
    <w:rsid w:val="002E5125"/>
    <w:rsid w:val="002E69C8"/>
    <w:rsid w:val="002E78A6"/>
    <w:rsid w:val="002E7AC1"/>
    <w:rsid w:val="002F23CF"/>
    <w:rsid w:val="002F3F1A"/>
    <w:rsid w:val="002F4682"/>
    <w:rsid w:val="002F575E"/>
    <w:rsid w:val="002F6C3C"/>
    <w:rsid w:val="00300CF5"/>
    <w:rsid w:val="00300CF8"/>
    <w:rsid w:val="003019DC"/>
    <w:rsid w:val="003032DC"/>
    <w:rsid w:val="0030600D"/>
    <w:rsid w:val="003064BF"/>
    <w:rsid w:val="00310AC5"/>
    <w:rsid w:val="0031100A"/>
    <w:rsid w:val="00314226"/>
    <w:rsid w:val="00314953"/>
    <w:rsid w:val="00314B4C"/>
    <w:rsid w:val="0031678C"/>
    <w:rsid w:val="00316C65"/>
    <w:rsid w:val="003170CC"/>
    <w:rsid w:val="003175B4"/>
    <w:rsid w:val="00322A09"/>
    <w:rsid w:val="003236B9"/>
    <w:rsid w:val="00323D51"/>
    <w:rsid w:val="00326308"/>
    <w:rsid w:val="003268DC"/>
    <w:rsid w:val="00334628"/>
    <w:rsid w:val="00336FD1"/>
    <w:rsid w:val="00340F30"/>
    <w:rsid w:val="00341B67"/>
    <w:rsid w:val="00345192"/>
    <w:rsid w:val="00346997"/>
    <w:rsid w:val="00346C63"/>
    <w:rsid w:val="00346FC7"/>
    <w:rsid w:val="003477F2"/>
    <w:rsid w:val="00350383"/>
    <w:rsid w:val="003535D0"/>
    <w:rsid w:val="00354480"/>
    <w:rsid w:val="0035549B"/>
    <w:rsid w:val="00357699"/>
    <w:rsid w:val="00357D59"/>
    <w:rsid w:val="00360A37"/>
    <w:rsid w:val="003646ED"/>
    <w:rsid w:val="00365BB3"/>
    <w:rsid w:val="003670A7"/>
    <w:rsid w:val="00373007"/>
    <w:rsid w:val="00374E4A"/>
    <w:rsid w:val="0037547B"/>
    <w:rsid w:val="00375B44"/>
    <w:rsid w:val="00380224"/>
    <w:rsid w:val="0038245A"/>
    <w:rsid w:val="00382FAE"/>
    <w:rsid w:val="00383C3A"/>
    <w:rsid w:val="003856A1"/>
    <w:rsid w:val="00386526"/>
    <w:rsid w:val="0038691D"/>
    <w:rsid w:val="00386BA5"/>
    <w:rsid w:val="00390817"/>
    <w:rsid w:val="00390B63"/>
    <w:rsid w:val="0039296B"/>
    <w:rsid w:val="00392EA3"/>
    <w:rsid w:val="00393344"/>
    <w:rsid w:val="00397C6C"/>
    <w:rsid w:val="003A3610"/>
    <w:rsid w:val="003A3C05"/>
    <w:rsid w:val="003A3DC0"/>
    <w:rsid w:val="003A3EBE"/>
    <w:rsid w:val="003A5477"/>
    <w:rsid w:val="003A5BA9"/>
    <w:rsid w:val="003A6A3D"/>
    <w:rsid w:val="003B0F74"/>
    <w:rsid w:val="003B18E3"/>
    <w:rsid w:val="003B1BA9"/>
    <w:rsid w:val="003B51F0"/>
    <w:rsid w:val="003B5843"/>
    <w:rsid w:val="003C2D48"/>
    <w:rsid w:val="003C30AA"/>
    <w:rsid w:val="003D0B82"/>
    <w:rsid w:val="003D0BA4"/>
    <w:rsid w:val="003D6896"/>
    <w:rsid w:val="003D7610"/>
    <w:rsid w:val="003E01E4"/>
    <w:rsid w:val="003E2D7F"/>
    <w:rsid w:val="003E47D4"/>
    <w:rsid w:val="003E6AAF"/>
    <w:rsid w:val="003E7D46"/>
    <w:rsid w:val="003F10D1"/>
    <w:rsid w:val="003F2339"/>
    <w:rsid w:val="003F3614"/>
    <w:rsid w:val="00400124"/>
    <w:rsid w:val="00402425"/>
    <w:rsid w:val="004027B9"/>
    <w:rsid w:val="00402D6A"/>
    <w:rsid w:val="00403345"/>
    <w:rsid w:val="00403F0B"/>
    <w:rsid w:val="004056C4"/>
    <w:rsid w:val="00406581"/>
    <w:rsid w:val="004104F6"/>
    <w:rsid w:val="00411B08"/>
    <w:rsid w:val="00412441"/>
    <w:rsid w:val="004162B1"/>
    <w:rsid w:val="0042065F"/>
    <w:rsid w:val="00420885"/>
    <w:rsid w:val="00421BE1"/>
    <w:rsid w:val="00424638"/>
    <w:rsid w:val="00427D39"/>
    <w:rsid w:val="004302B0"/>
    <w:rsid w:val="00434981"/>
    <w:rsid w:val="004349D2"/>
    <w:rsid w:val="00434B21"/>
    <w:rsid w:val="00436609"/>
    <w:rsid w:val="00437EA4"/>
    <w:rsid w:val="0044303B"/>
    <w:rsid w:val="004438FE"/>
    <w:rsid w:val="004466A8"/>
    <w:rsid w:val="00446737"/>
    <w:rsid w:val="00447C74"/>
    <w:rsid w:val="0045041E"/>
    <w:rsid w:val="00452BBE"/>
    <w:rsid w:val="00460C59"/>
    <w:rsid w:val="00460CEE"/>
    <w:rsid w:val="00461CEF"/>
    <w:rsid w:val="00462BF0"/>
    <w:rsid w:val="00463B8B"/>
    <w:rsid w:val="00467657"/>
    <w:rsid w:val="0047086F"/>
    <w:rsid w:val="00470DE6"/>
    <w:rsid w:val="004716DD"/>
    <w:rsid w:val="00473375"/>
    <w:rsid w:val="0047436C"/>
    <w:rsid w:val="00474A1F"/>
    <w:rsid w:val="00475381"/>
    <w:rsid w:val="00475E27"/>
    <w:rsid w:val="00476EC3"/>
    <w:rsid w:val="0047705C"/>
    <w:rsid w:val="00477A24"/>
    <w:rsid w:val="00480651"/>
    <w:rsid w:val="00481070"/>
    <w:rsid w:val="0048171F"/>
    <w:rsid w:val="00483920"/>
    <w:rsid w:val="00483E9E"/>
    <w:rsid w:val="0048583D"/>
    <w:rsid w:val="00486792"/>
    <w:rsid w:val="004868DD"/>
    <w:rsid w:val="00487B5C"/>
    <w:rsid w:val="004916C9"/>
    <w:rsid w:val="004938C5"/>
    <w:rsid w:val="00495044"/>
    <w:rsid w:val="0049561B"/>
    <w:rsid w:val="004A059C"/>
    <w:rsid w:val="004A0D82"/>
    <w:rsid w:val="004A0E60"/>
    <w:rsid w:val="004A1258"/>
    <w:rsid w:val="004A23A7"/>
    <w:rsid w:val="004A2E3C"/>
    <w:rsid w:val="004A3DE8"/>
    <w:rsid w:val="004A417D"/>
    <w:rsid w:val="004A63F1"/>
    <w:rsid w:val="004A7566"/>
    <w:rsid w:val="004B0045"/>
    <w:rsid w:val="004B182B"/>
    <w:rsid w:val="004B27AC"/>
    <w:rsid w:val="004B376D"/>
    <w:rsid w:val="004B3815"/>
    <w:rsid w:val="004B4EC8"/>
    <w:rsid w:val="004C054F"/>
    <w:rsid w:val="004C3A65"/>
    <w:rsid w:val="004C78D1"/>
    <w:rsid w:val="004D26F4"/>
    <w:rsid w:val="004D2C2D"/>
    <w:rsid w:val="004D2F7D"/>
    <w:rsid w:val="004D41C7"/>
    <w:rsid w:val="004D4436"/>
    <w:rsid w:val="004D6C47"/>
    <w:rsid w:val="004D71B4"/>
    <w:rsid w:val="004E101C"/>
    <w:rsid w:val="004E2E13"/>
    <w:rsid w:val="004E3AD7"/>
    <w:rsid w:val="004E72CB"/>
    <w:rsid w:val="004F16B1"/>
    <w:rsid w:val="004F5865"/>
    <w:rsid w:val="004F76FC"/>
    <w:rsid w:val="005011CD"/>
    <w:rsid w:val="005018DD"/>
    <w:rsid w:val="00501C40"/>
    <w:rsid w:val="00501D7E"/>
    <w:rsid w:val="00506B6B"/>
    <w:rsid w:val="005110F9"/>
    <w:rsid w:val="00511B47"/>
    <w:rsid w:val="005131A8"/>
    <w:rsid w:val="005169E8"/>
    <w:rsid w:val="00517392"/>
    <w:rsid w:val="00517753"/>
    <w:rsid w:val="00517E23"/>
    <w:rsid w:val="005201CF"/>
    <w:rsid w:val="00521645"/>
    <w:rsid w:val="00523169"/>
    <w:rsid w:val="005233B8"/>
    <w:rsid w:val="005235A5"/>
    <w:rsid w:val="00523698"/>
    <w:rsid w:val="00524AD4"/>
    <w:rsid w:val="005256DB"/>
    <w:rsid w:val="00525E79"/>
    <w:rsid w:val="00526C95"/>
    <w:rsid w:val="00530860"/>
    <w:rsid w:val="00532C9A"/>
    <w:rsid w:val="00533C2A"/>
    <w:rsid w:val="00535972"/>
    <w:rsid w:val="00541167"/>
    <w:rsid w:val="00542D2C"/>
    <w:rsid w:val="005431E5"/>
    <w:rsid w:val="00544733"/>
    <w:rsid w:val="0054526F"/>
    <w:rsid w:val="00547DD1"/>
    <w:rsid w:val="00550B3B"/>
    <w:rsid w:val="005520AF"/>
    <w:rsid w:val="00556732"/>
    <w:rsid w:val="00557AA9"/>
    <w:rsid w:val="00557BC6"/>
    <w:rsid w:val="00557E37"/>
    <w:rsid w:val="005601D1"/>
    <w:rsid w:val="00562C83"/>
    <w:rsid w:val="005644A6"/>
    <w:rsid w:val="005647F9"/>
    <w:rsid w:val="005664A7"/>
    <w:rsid w:val="00567DE3"/>
    <w:rsid w:val="005702FA"/>
    <w:rsid w:val="005708AA"/>
    <w:rsid w:val="0057253E"/>
    <w:rsid w:val="0057256F"/>
    <w:rsid w:val="005735F4"/>
    <w:rsid w:val="00574C5E"/>
    <w:rsid w:val="00575287"/>
    <w:rsid w:val="00576B53"/>
    <w:rsid w:val="005828BD"/>
    <w:rsid w:val="00582D27"/>
    <w:rsid w:val="0059028F"/>
    <w:rsid w:val="005909E4"/>
    <w:rsid w:val="00590D8C"/>
    <w:rsid w:val="0059103D"/>
    <w:rsid w:val="00591EE2"/>
    <w:rsid w:val="00592087"/>
    <w:rsid w:val="00596C62"/>
    <w:rsid w:val="005A1E63"/>
    <w:rsid w:val="005A370A"/>
    <w:rsid w:val="005A480C"/>
    <w:rsid w:val="005A651A"/>
    <w:rsid w:val="005A6757"/>
    <w:rsid w:val="005A6FDC"/>
    <w:rsid w:val="005A7CBD"/>
    <w:rsid w:val="005B1D2D"/>
    <w:rsid w:val="005B2EF3"/>
    <w:rsid w:val="005B3CC3"/>
    <w:rsid w:val="005B535D"/>
    <w:rsid w:val="005B7878"/>
    <w:rsid w:val="005C0665"/>
    <w:rsid w:val="005C115A"/>
    <w:rsid w:val="005C2295"/>
    <w:rsid w:val="005C29A9"/>
    <w:rsid w:val="005C342D"/>
    <w:rsid w:val="005C3A35"/>
    <w:rsid w:val="005C3E02"/>
    <w:rsid w:val="005C7688"/>
    <w:rsid w:val="005D3D9A"/>
    <w:rsid w:val="005E2224"/>
    <w:rsid w:val="005E3212"/>
    <w:rsid w:val="005E5AB7"/>
    <w:rsid w:val="005E5BBA"/>
    <w:rsid w:val="005E6BFC"/>
    <w:rsid w:val="005F17C4"/>
    <w:rsid w:val="005F2C06"/>
    <w:rsid w:val="005F3998"/>
    <w:rsid w:val="005F3D31"/>
    <w:rsid w:val="005F6D8F"/>
    <w:rsid w:val="006002CD"/>
    <w:rsid w:val="006004A1"/>
    <w:rsid w:val="00600B12"/>
    <w:rsid w:val="00603EBC"/>
    <w:rsid w:val="00604681"/>
    <w:rsid w:val="00605ECF"/>
    <w:rsid w:val="006070D5"/>
    <w:rsid w:val="00610FED"/>
    <w:rsid w:val="00611194"/>
    <w:rsid w:val="0061200C"/>
    <w:rsid w:val="006123F4"/>
    <w:rsid w:val="00613581"/>
    <w:rsid w:val="006167C7"/>
    <w:rsid w:val="006215A5"/>
    <w:rsid w:val="006215F6"/>
    <w:rsid w:val="00621B49"/>
    <w:rsid w:val="006238F1"/>
    <w:rsid w:val="00623A92"/>
    <w:rsid w:val="00624A79"/>
    <w:rsid w:val="00625637"/>
    <w:rsid w:val="00631257"/>
    <w:rsid w:val="00631344"/>
    <w:rsid w:val="006313A3"/>
    <w:rsid w:val="00632FEC"/>
    <w:rsid w:val="0063441C"/>
    <w:rsid w:val="006345DC"/>
    <w:rsid w:val="00636FF1"/>
    <w:rsid w:val="006376E3"/>
    <w:rsid w:val="006403F2"/>
    <w:rsid w:val="00640548"/>
    <w:rsid w:val="006417E4"/>
    <w:rsid w:val="0064212A"/>
    <w:rsid w:val="006423B2"/>
    <w:rsid w:val="006431AC"/>
    <w:rsid w:val="00644C73"/>
    <w:rsid w:val="00646CAC"/>
    <w:rsid w:val="00650256"/>
    <w:rsid w:val="006504FF"/>
    <w:rsid w:val="0065126B"/>
    <w:rsid w:val="006514A2"/>
    <w:rsid w:val="006536D9"/>
    <w:rsid w:val="006555CC"/>
    <w:rsid w:val="00656ECF"/>
    <w:rsid w:val="0065766D"/>
    <w:rsid w:val="00666963"/>
    <w:rsid w:val="006727E5"/>
    <w:rsid w:val="00672B56"/>
    <w:rsid w:val="00673136"/>
    <w:rsid w:val="006736DF"/>
    <w:rsid w:val="006739E2"/>
    <w:rsid w:val="006744D5"/>
    <w:rsid w:val="006774F1"/>
    <w:rsid w:val="00681696"/>
    <w:rsid w:val="00682301"/>
    <w:rsid w:val="00684C25"/>
    <w:rsid w:val="00690583"/>
    <w:rsid w:val="00690D94"/>
    <w:rsid w:val="006934C3"/>
    <w:rsid w:val="006A003D"/>
    <w:rsid w:val="006A1DA5"/>
    <w:rsid w:val="006A28A5"/>
    <w:rsid w:val="006A3147"/>
    <w:rsid w:val="006A38D3"/>
    <w:rsid w:val="006A4026"/>
    <w:rsid w:val="006A5774"/>
    <w:rsid w:val="006A6FCC"/>
    <w:rsid w:val="006A778B"/>
    <w:rsid w:val="006A782B"/>
    <w:rsid w:val="006B0FE1"/>
    <w:rsid w:val="006B10F8"/>
    <w:rsid w:val="006B1A6A"/>
    <w:rsid w:val="006B2F6C"/>
    <w:rsid w:val="006B3011"/>
    <w:rsid w:val="006B5EE9"/>
    <w:rsid w:val="006B6D89"/>
    <w:rsid w:val="006C03E4"/>
    <w:rsid w:val="006C0D5A"/>
    <w:rsid w:val="006C1111"/>
    <w:rsid w:val="006C118A"/>
    <w:rsid w:val="006C2FFD"/>
    <w:rsid w:val="006C437A"/>
    <w:rsid w:val="006C581D"/>
    <w:rsid w:val="006C7823"/>
    <w:rsid w:val="006C7B4E"/>
    <w:rsid w:val="006D09DD"/>
    <w:rsid w:val="006D195E"/>
    <w:rsid w:val="006D6E5E"/>
    <w:rsid w:val="006E2976"/>
    <w:rsid w:val="006E2CD1"/>
    <w:rsid w:val="006E339E"/>
    <w:rsid w:val="006E71A2"/>
    <w:rsid w:val="006F0055"/>
    <w:rsid w:val="006F0ED8"/>
    <w:rsid w:val="006F1D3F"/>
    <w:rsid w:val="006F4484"/>
    <w:rsid w:val="006F48B1"/>
    <w:rsid w:val="006F5F46"/>
    <w:rsid w:val="006F6684"/>
    <w:rsid w:val="006F6A6E"/>
    <w:rsid w:val="006F6B2B"/>
    <w:rsid w:val="006F7938"/>
    <w:rsid w:val="006F7F3F"/>
    <w:rsid w:val="00704FE8"/>
    <w:rsid w:val="0070682B"/>
    <w:rsid w:val="0070736B"/>
    <w:rsid w:val="00710BF3"/>
    <w:rsid w:val="00711712"/>
    <w:rsid w:val="00712C0D"/>
    <w:rsid w:val="007145CB"/>
    <w:rsid w:val="00714A2E"/>
    <w:rsid w:val="00715868"/>
    <w:rsid w:val="00715E25"/>
    <w:rsid w:val="007235ED"/>
    <w:rsid w:val="00723E3A"/>
    <w:rsid w:val="0072663F"/>
    <w:rsid w:val="00727584"/>
    <w:rsid w:val="0073006D"/>
    <w:rsid w:val="00732011"/>
    <w:rsid w:val="007368DE"/>
    <w:rsid w:val="00740C03"/>
    <w:rsid w:val="00740DF3"/>
    <w:rsid w:val="00744AB5"/>
    <w:rsid w:val="007450C9"/>
    <w:rsid w:val="007453D5"/>
    <w:rsid w:val="00747E0F"/>
    <w:rsid w:val="00750FC8"/>
    <w:rsid w:val="00753354"/>
    <w:rsid w:val="00755329"/>
    <w:rsid w:val="007624FD"/>
    <w:rsid w:val="00763679"/>
    <w:rsid w:val="00765999"/>
    <w:rsid w:val="007668F9"/>
    <w:rsid w:val="00770B05"/>
    <w:rsid w:val="00771307"/>
    <w:rsid w:val="00772BC4"/>
    <w:rsid w:val="00773260"/>
    <w:rsid w:val="00774FD3"/>
    <w:rsid w:val="007759E1"/>
    <w:rsid w:val="00777E30"/>
    <w:rsid w:val="00777E99"/>
    <w:rsid w:val="00780B5C"/>
    <w:rsid w:val="00782174"/>
    <w:rsid w:val="00783A61"/>
    <w:rsid w:val="00785A01"/>
    <w:rsid w:val="00787395"/>
    <w:rsid w:val="00787911"/>
    <w:rsid w:val="00787FF6"/>
    <w:rsid w:val="00790D97"/>
    <w:rsid w:val="00791DE0"/>
    <w:rsid w:val="00792293"/>
    <w:rsid w:val="00792C8C"/>
    <w:rsid w:val="00794C52"/>
    <w:rsid w:val="00795F08"/>
    <w:rsid w:val="00795FBB"/>
    <w:rsid w:val="00797B86"/>
    <w:rsid w:val="007A1943"/>
    <w:rsid w:val="007A1CC0"/>
    <w:rsid w:val="007A2251"/>
    <w:rsid w:val="007A305C"/>
    <w:rsid w:val="007A4E81"/>
    <w:rsid w:val="007A56FB"/>
    <w:rsid w:val="007A7892"/>
    <w:rsid w:val="007B0C47"/>
    <w:rsid w:val="007B0CB6"/>
    <w:rsid w:val="007B2755"/>
    <w:rsid w:val="007B3310"/>
    <w:rsid w:val="007B3F75"/>
    <w:rsid w:val="007B608C"/>
    <w:rsid w:val="007B6856"/>
    <w:rsid w:val="007B70CC"/>
    <w:rsid w:val="007B78BF"/>
    <w:rsid w:val="007C1DF0"/>
    <w:rsid w:val="007C1EAD"/>
    <w:rsid w:val="007C2044"/>
    <w:rsid w:val="007C3283"/>
    <w:rsid w:val="007C345D"/>
    <w:rsid w:val="007C46C3"/>
    <w:rsid w:val="007D661E"/>
    <w:rsid w:val="007E08AC"/>
    <w:rsid w:val="007E2408"/>
    <w:rsid w:val="007E2B90"/>
    <w:rsid w:val="007E2FF7"/>
    <w:rsid w:val="007F0FA0"/>
    <w:rsid w:val="007F3E34"/>
    <w:rsid w:val="007F4A82"/>
    <w:rsid w:val="007F4EF1"/>
    <w:rsid w:val="007F6BEF"/>
    <w:rsid w:val="008042F7"/>
    <w:rsid w:val="0080452F"/>
    <w:rsid w:val="0080504B"/>
    <w:rsid w:val="00805C7F"/>
    <w:rsid w:val="008075DB"/>
    <w:rsid w:val="00807E9A"/>
    <w:rsid w:val="00812961"/>
    <w:rsid w:val="00814707"/>
    <w:rsid w:val="00814B29"/>
    <w:rsid w:val="00815A14"/>
    <w:rsid w:val="00817883"/>
    <w:rsid w:val="008209E6"/>
    <w:rsid w:val="0082228A"/>
    <w:rsid w:val="008254F8"/>
    <w:rsid w:val="00825602"/>
    <w:rsid w:val="00825E38"/>
    <w:rsid w:val="00826714"/>
    <w:rsid w:val="008272BC"/>
    <w:rsid w:val="008340B8"/>
    <w:rsid w:val="00834B24"/>
    <w:rsid w:val="0083527D"/>
    <w:rsid w:val="00836B91"/>
    <w:rsid w:val="00837799"/>
    <w:rsid w:val="00840FFB"/>
    <w:rsid w:val="00842B88"/>
    <w:rsid w:val="00842F88"/>
    <w:rsid w:val="0085638A"/>
    <w:rsid w:val="00857BCA"/>
    <w:rsid w:val="00857CAA"/>
    <w:rsid w:val="008639AE"/>
    <w:rsid w:val="00863F01"/>
    <w:rsid w:val="00864F53"/>
    <w:rsid w:val="008653EF"/>
    <w:rsid w:val="00867294"/>
    <w:rsid w:val="00871C9F"/>
    <w:rsid w:val="00872504"/>
    <w:rsid w:val="0087606B"/>
    <w:rsid w:val="008810BB"/>
    <w:rsid w:val="008852F9"/>
    <w:rsid w:val="008903D0"/>
    <w:rsid w:val="008A1178"/>
    <w:rsid w:val="008A1B8F"/>
    <w:rsid w:val="008A2C2E"/>
    <w:rsid w:val="008A422A"/>
    <w:rsid w:val="008A6A30"/>
    <w:rsid w:val="008A6D08"/>
    <w:rsid w:val="008B0311"/>
    <w:rsid w:val="008B0802"/>
    <w:rsid w:val="008B08BC"/>
    <w:rsid w:val="008B17AB"/>
    <w:rsid w:val="008B24B0"/>
    <w:rsid w:val="008B4A76"/>
    <w:rsid w:val="008B4BEE"/>
    <w:rsid w:val="008B4C0B"/>
    <w:rsid w:val="008B502E"/>
    <w:rsid w:val="008B6E3B"/>
    <w:rsid w:val="008C1260"/>
    <w:rsid w:val="008C32B6"/>
    <w:rsid w:val="008C36A3"/>
    <w:rsid w:val="008C3F36"/>
    <w:rsid w:val="008C6890"/>
    <w:rsid w:val="008C7204"/>
    <w:rsid w:val="008D0D1F"/>
    <w:rsid w:val="008D1EBF"/>
    <w:rsid w:val="008D2A7A"/>
    <w:rsid w:val="008D421C"/>
    <w:rsid w:val="008D4472"/>
    <w:rsid w:val="008D46F6"/>
    <w:rsid w:val="008D6581"/>
    <w:rsid w:val="008D679A"/>
    <w:rsid w:val="008D6999"/>
    <w:rsid w:val="008D7B20"/>
    <w:rsid w:val="008E18EB"/>
    <w:rsid w:val="008E2B78"/>
    <w:rsid w:val="008E5000"/>
    <w:rsid w:val="008E63E2"/>
    <w:rsid w:val="008E6ECA"/>
    <w:rsid w:val="008E7C70"/>
    <w:rsid w:val="008F03EE"/>
    <w:rsid w:val="008F4362"/>
    <w:rsid w:val="008F691D"/>
    <w:rsid w:val="008F6C10"/>
    <w:rsid w:val="00901FFB"/>
    <w:rsid w:val="009056C2"/>
    <w:rsid w:val="00906392"/>
    <w:rsid w:val="00910139"/>
    <w:rsid w:val="00913849"/>
    <w:rsid w:val="009153A0"/>
    <w:rsid w:val="009164E2"/>
    <w:rsid w:val="00916B90"/>
    <w:rsid w:val="009224E2"/>
    <w:rsid w:val="00923BFC"/>
    <w:rsid w:val="00924715"/>
    <w:rsid w:val="009254FE"/>
    <w:rsid w:val="00930259"/>
    <w:rsid w:val="009303F9"/>
    <w:rsid w:val="009318BB"/>
    <w:rsid w:val="00931AF0"/>
    <w:rsid w:val="00933D4F"/>
    <w:rsid w:val="0093451C"/>
    <w:rsid w:val="00934606"/>
    <w:rsid w:val="0093569F"/>
    <w:rsid w:val="009361C1"/>
    <w:rsid w:val="00936927"/>
    <w:rsid w:val="00940FDD"/>
    <w:rsid w:val="00942AF9"/>
    <w:rsid w:val="009443D9"/>
    <w:rsid w:val="00945C15"/>
    <w:rsid w:val="00947405"/>
    <w:rsid w:val="00947ECD"/>
    <w:rsid w:val="0095049D"/>
    <w:rsid w:val="009562DC"/>
    <w:rsid w:val="0096182E"/>
    <w:rsid w:val="009622FE"/>
    <w:rsid w:val="00962968"/>
    <w:rsid w:val="00962C01"/>
    <w:rsid w:val="00964E27"/>
    <w:rsid w:val="0096505C"/>
    <w:rsid w:val="00965D44"/>
    <w:rsid w:val="00970B4B"/>
    <w:rsid w:val="009734D0"/>
    <w:rsid w:val="009735F7"/>
    <w:rsid w:val="00973C14"/>
    <w:rsid w:val="00976D6C"/>
    <w:rsid w:val="00977394"/>
    <w:rsid w:val="0098020C"/>
    <w:rsid w:val="009807B8"/>
    <w:rsid w:val="00980835"/>
    <w:rsid w:val="009830DF"/>
    <w:rsid w:val="009843EF"/>
    <w:rsid w:val="00985E0B"/>
    <w:rsid w:val="00990A96"/>
    <w:rsid w:val="009911EB"/>
    <w:rsid w:val="0099368F"/>
    <w:rsid w:val="00994277"/>
    <w:rsid w:val="00995C9F"/>
    <w:rsid w:val="009978DA"/>
    <w:rsid w:val="009A2EEC"/>
    <w:rsid w:val="009A4373"/>
    <w:rsid w:val="009A6958"/>
    <w:rsid w:val="009A7794"/>
    <w:rsid w:val="009B1B85"/>
    <w:rsid w:val="009B2ABA"/>
    <w:rsid w:val="009B456F"/>
    <w:rsid w:val="009B4953"/>
    <w:rsid w:val="009B5B0B"/>
    <w:rsid w:val="009B6EDB"/>
    <w:rsid w:val="009C03F5"/>
    <w:rsid w:val="009C147B"/>
    <w:rsid w:val="009C1629"/>
    <w:rsid w:val="009C1DA0"/>
    <w:rsid w:val="009C2245"/>
    <w:rsid w:val="009C2454"/>
    <w:rsid w:val="009C3AD5"/>
    <w:rsid w:val="009C4E5C"/>
    <w:rsid w:val="009C5C7F"/>
    <w:rsid w:val="009C5D22"/>
    <w:rsid w:val="009C639E"/>
    <w:rsid w:val="009C7D7C"/>
    <w:rsid w:val="009C7E87"/>
    <w:rsid w:val="009D09F3"/>
    <w:rsid w:val="009D0DEE"/>
    <w:rsid w:val="009D7D1C"/>
    <w:rsid w:val="009E0A9A"/>
    <w:rsid w:val="009E5C15"/>
    <w:rsid w:val="009E7BED"/>
    <w:rsid w:val="009E7D6D"/>
    <w:rsid w:val="009F0162"/>
    <w:rsid w:val="009F031D"/>
    <w:rsid w:val="009F165C"/>
    <w:rsid w:val="009F20B9"/>
    <w:rsid w:val="009F3A64"/>
    <w:rsid w:val="009F4559"/>
    <w:rsid w:val="009F5582"/>
    <w:rsid w:val="00A01FB4"/>
    <w:rsid w:val="00A0247D"/>
    <w:rsid w:val="00A02DA9"/>
    <w:rsid w:val="00A103D2"/>
    <w:rsid w:val="00A14807"/>
    <w:rsid w:val="00A14B1C"/>
    <w:rsid w:val="00A178C1"/>
    <w:rsid w:val="00A20FCE"/>
    <w:rsid w:val="00A21359"/>
    <w:rsid w:val="00A22190"/>
    <w:rsid w:val="00A23292"/>
    <w:rsid w:val="00A23F91"/>
    <w:rsid w:val="00A24370"/>
    <w:rsid w:val="00A259C9"/>
    <w:rsid w:val="00A265C9"/>
    <w:rsid w:val="00A30E0F"/>
    <w:rsid w:val="00A31767"/>
    <w:rsid w:val="00A337D5"/>
    <w:rsid w:val="00A34B57"/>
    <w:rsid w:val="00A34C62"/>
    <w:rsid w:val="00A3792A"/>
    <w:rsid w:val="00A37B52"/>
    <w:rsid w:val="00A41A71"/>
    <w:rsid w:val="00A4275F"/>
    <w:rsid w:val="00A43F67"/>
    <w:rsid w:val="00A46DCD"/>
    <w:rsid w:val="00A54028"/>
    <w:rsid w:val="00A55811"/>
    <w:rsid w:val="00A607B2"/>
    <w:rsid w:val="00A613D2"/>
    <w:rsid w:val="00A6181A"/>
    <w:rsid w:val="00A63D0A"/>
    <w:rsid w:val="00A71697"/>
    <w:rsid w:val="00A721A8"/>
    <w:rsid w:val="00A73377"/>
    <w:rsid w:val="00A7423E"/>
    <w:rsid w:val="00A74533"/>
    <w:rsid w:val="00A7459B"/>
    <w:rsid w:val="00A74DCE"/>
    <w:rsid w:val="00A755DC"/>
    <w:rsid w:val="00A7743F"/>
    <w:rsid w:val="00A77BA0"/>
    <w:rsid w:val="00A8196A"/>
    <w:rsid w:val="00A826E1"/>
    <w:rsid w:val="00A83293"/>
    <w:rsid w:val="00A833AE"/>
    <w:rsid w:val="00A84192"/>
    <w:rsid w:val="00A8489B"/>
    <w:rsid w:val="00A85F88"/>
    <w:rsid w:val="00A86A82"/>
    <w:rsid w:val="00A86CF1"/>
    <w:rsid w:val="00A90321"/>
    <w:rsid w:val="00A91E25"/>
    <w:rsid w:val="00A9248C"/>
    <w:rsid w:val="00A94E59"/>
    <w:rsid w:val="00A95059"/>
    <w:rsid w:val="00A95322"/>
    <w:rsid w:val="00A978EC"/>
    <w:rsid w:val="00A97BEA"/>
    <w:rsid w:val="00AA1D29"/>
    <w:rsid w:val="00AA2ACF"/>
    <w:rsid w:val="00AA410A"/>
    <w:rsid w:val="00AA47C0"/>
    <w:rsid w:val="00AA4D55"/>
    <w:rsid w:val="00AA733D"/>
    <w:rsid w:val="00AA76FF"/>
    <w:rsid w:val="00AB47D0"/>
    <w:rsid w:val="00AB485A"/>
    <w:rsid w:val="00AB4FF0"/>
    <w:rsid w:val="00AB5DCD"/>
    <w:rsid w:val="00AC0233"/>
    <w:rsid w:val="00AC5259"/>
    <w:rsid w:val="00AC6E16"/>
    <w:rsid w:val="00AD18E6"/>
    <w:rsid w:val="00AD1B3A"/>
    <w:rsid w:val="00AD2F94"/>
    <w:rsid w:val="00AD32BF"/>
    <w:rsid w:val="00AD45B7"/>
    <w:rsid w:val="00AD5927"/>
    <w:rsid w:val="00AD70D2"/>
    <w:rsid w:val="00AE1384"/>
    <w:rsid w:val="00AE1E67"/>
    <w:rsid w:val="00AE2756"/>
    <w:rsid w:val="00AE2BAD"/>
    <w:rsid w:val="00AE2D3E"/>
    <w:rsid w:val="00AE3BB1"/>
    <w:rsid w:val="00AE522E"/>
    <w:rsid w:val="00AE712E"/>
    <w:rsid w:val="00AE72C1"/>
    <w:rsid w:val="00AE7B26"/>
    <w:rsid w:val="00AE7C6E"/>
    <w:rsid w:val="00AF0B55"/>
    <w:rsid w:val="00AF17F6"/>
    <w:rsid w:val="00AF2740"/>
    <w:rsid w:val="00AF2BA9"/>
    <w:rsid w:val="00AF3AC2"/>
    <w:rsid w:val="00AF4082"/>
    <w:rsid w:val="00B0051E"/>
    <w:rsid w:val="00B012C7"/>
    <w:rsid w:val="00B023A7"/>
    <w:rsid w:val="00B02C59"/>
    <w:rsid w:val="00B0303C"/>
    <w:rsid w:val="00B03CDC"/>
    <w:rsid w:val="00B0734A"/>
    <w:rsid w:val="00B0739E"/>
    <w:rsid w:val="00B07D40"/>
    <w:rsid w:val="00B134B4"/>
    <w:rsid w:val="00B24321"/>
    <w:rsid w:val="00B30725"/>
    <w:rsid w:val="00B34E44"/>
    <w:rsid w:val="00B358E3"/>
    <w:rsid w:val="00B36C37"/>
    <w:rsid w:val="00B37DBF"/>
    <w:rsid w:val="00B404BD"/>
    <w:rsid w:val="00B407D6"/>
    <w:rsid w:val="00B408EC"/>
    <w:rsid w:val="00B41BF0"/>
    <w:rsid w:val="00B42483"/>
    <w:rsid w:val="00B44237"/>
    <w:rsid w:val="00B44D55"/>
    <w:rsid w:val="00B44E68"/>
    <w:rsid w:val="00B45216"/>
    <w:rsid w:val="00B45709"/>
    <w:rsid w:val="00B45A84"/>
    <w:rsid w:val="00B46188"/>
    <w:rsid w:val="00B52205"/>
    <w:rsid w:val="00B525F5"/>
    <w:rsid w:val="00B556A5"/>
    <w:rsid w:val="00B55969"/>
    <w:rsid w:val="00B564C9"/>
    <w:rsid w:val="00B56A5B"/>
    <w:rsid w:val="00B56D54"/>
    <w:rsid w:val="00B5709E"/>
    <w:rsid w:val="00B608EA"/>
    <w:rsid w:val="00B60C10"/>
    <w:rsid w:val="00B61C56"/>
    <w:rsid w:val="00B621CF"/>
    <w:rsid w:val="00B6226F"/>
    <w:rsid w:val="00B632F1"/>
    <w:rsid w:val="00B64108"/>
    <w:rsid w:val="00B65658"/>
    <w:rsid w:val="00B66514"/>
    <w:rsid w:val="00B70A7D"/>
    <w:rsid w:val="00B723D0"/>
    <w:rsid w:val="00B741E7"/>
    <w:rsid w:val="00B774E8"/>
    <w:rsid w:val="00B77601"/>
    <w:rsid w:val="00B81379"/>
    <w:rsid w:val="00B823A5"/>
    <w:rsid w:val="00B8311D"/>
    <w:rsid w:val="00B8329F"/>
    <w:rsid w:val="00B843B7"/>
    <w:rsid w:val="00B852AA"/>
    <w:rsid w:val="00B87159"/>
    <w:rsid w:val="00B9064B"/>
    <w:rsid w:val="00B90B64"/>
    <w:rsid w:val="00B959EA"/>
    <w:rsid w:val="00B96C10"/>
    <w:rsid w:val="00BA0496"/>
    <w:rsid w:val="00BA0DE3"/>
    <w:rsid w:val="00BA1B29"/>
    <w:rsid w:val="00BA489B"/>
    <w:rsid w:val="00BA5004"/>
    <w:rsid w:val="00BA675B"/>
    <w:rsid w:val="00BB237B"/>
    <w:rsid w:val="00BB2D47"/>
    <w:rsid w:val="00BB318E"/>
    <w:rsid w:val="00BB3BD9"/>
    <w:rsid w:val="00BB41CC"/>
    <w:rsid w:val="00BC0619"/>
    <w:rsid w:val="00BC0897"/>
    <w:rsid w:val="00BC0B58"/>
    <w:rsid w:val="00BC3D7D"/>
    <w:rsid w:val="00BC540C"/>
    <w:rsid w:val="00BC69F9"/>
    <w:rsid w:val="00BC6F73"/>
    <w:rsid w:val="00BC7E29"/>
    <w:rsid w:val="00BD0BC6"/>
    <w:rsid w:val="00BD0FD5"/>
    <w:rsid w:val="00BD11B0"/>
    <w:rsid w:val="00BD17CD"/>
    <w:rsid w:val="00BD1E48"/>
    <w:rsid w:val="00BD1F81"/>
    <w:rsid w:val="00BD23DB"/>
    <w:rsid w:val="00BD2865"/>
    <w:rsid w:val="00BD2885"/>
    <w:rsid w:val="00BD3DD5"/>
    <w:rsid w:val="00BD4F60"/>
    <w:rsid w:val="00BD66B1"/>
    <w:rsid w:val="00BD6C18"/>
    <w:rsid w:val="00BD71E4"/>
    <w:rsid w:val="00BD7ADC"/>
    <w:rsid w:val="00BE134A"/>
    <w:rsid w:val="00BE144A"/>
    <w:rsid w:val="00BE349C"/>
    <w:rsid w:val="00BE357A"/>
    <w:rsid w:val="00BE382D"/>
    <w:rsid w:val="00BE3E2B"/>
    <w:rsid w:val="00BE6AF0"/>
    <w:rsid w:val="00BE7670"/>
    <w:rsid w:val="00BF1FEE"/>
    <w:rsid w:val="00BF203B"/>
    <w:rsid w:val="00BF4706"/>
    <w:rsid w:val="00C04ECA"/>
    <w:rsid w:val="00C06E1D"/>
    <w:rsid w:val="00C10A4C"/>
    <w:rsid w:val="00C1324C"/>
    <w:rsid w:val="00C14620"/>
    <w:rsid w:val="00C16EAE"/>
    <w:rsid w:val="00C21815"/>
    <w:rsid w:val="00C2455E"/>
    <w:rsid w:val="00C25101"/>
    <w:rsid w:val="00C2552B"/>
    <w:rsid w:val="00C26DEE"/>
    <w:rsid w:val="00C30ED1"/>
    <w:rsid w:val="00C32D36"/>
    <w:rsid w:val="00C3434B"/>
    <w:rsid w:val="00C346DC"/>
    <w:rsid w:val="00C3499E"/>
    <w:rsid w:val="00C35E0E"/>
    <w:rsid w:val="00C36862"/>
    <w:rsid w:val="00C40A06"/>
    <w:rsid w:val="00C40DB1"/>
    <w:rsid w:val="00C41684"/>
    <w:rsid w:val="00C45376"/>
    <w:rsid w:val="00C47755"/>
    <w:rsid w:val="00C517F5"/>
    <w:rsid w:val="00C526B4"/>
    <w:rsid w:val="00C578B2"/>
    <w:rsid w:val="00C57DE4"/>
    <w:rsid w:val="00C61FB0"/>
    <w:rsid w:val="00C6239E"/>
    <w:rsid w:val="00C62517"/>
    <w:rsid w:val="00C63149"/>
    <w:rsid w:val="00C647F9"/>
    <w:rsid w:val="00C71242"/>
    <w:rsid w:val="00C719D5"/>
    <w:rsid w:val="00C71BEA"/>
    <w:rsid w:val="00C750A9"/>
    <w:rsid w:val="00C75C76"/>
    <w:rsid w:val="00C81E32"/>
    <w:rsid w:val="00C82264"/>
    <w:rsid w:val="00C84095"/>
    <w:rsid w:val="00C86611"/>
    <w:rsid w:val="00C90C84"/>
    <w:rsid w:val="00C90D85"/>
    <w:rsid w:val="00CA2968"/>
    <w:rsid w:val="00CA3766"/>
    <w:rsid w:val="00CA39B9"/>
    <w:rsid w:val="00CA4DE7"/>
    <w:rsid w:val="00CA5DE0"/>
    <w:rsid w:val="00CA6D9D"/>
    <w:rsid w:val="00CB1AA9"/>
    <w:rsid w:val="00CB1CF4"/>
    <w:rsid w:val="00CB4863"/>
    <w:rsid w:val="00CB7AAC"/>
    <w:rsid w:val="00CB7F09"/>
    <w:rsid w:val="00CC1941"/>
    <w:rsid w:val="00CC19A4"/>
    <w:rsid w:val="00CC1B46"/>
    <w:rsid w:val="00CC2037"/>
    <w:rsid w:val="00CC2548"/>
    <w:rsid w:val="00CC296B"/>
    <w:rsid w:val="00CC2EFF"/>
    <w:rsid w:val="00CC3A7D"/>
    <w:rsid w:val="00CC3E64"/>
    <w:rsid w:val="00CC3EC4"/>
    <w:rsid w:val="00CC5A34"/>
    <w:rsid w:val="00CC5D06"/>
    <w:rsid w:val="00CC5D0D"/>
    <w:rsid w:val="00CC6AE4"/>
    <w:rsid w:val="00CD0227"/>
    <w:rsid w:val="00CD167C"/>
    <w:rsid w:val="00CD1B58"/>
    <w:rsid w:val="00CD546E"/>
    <w:rsid w:val="00CD6083"/>
    <w:rsid w:val="00CD7D31"/>
    <w:rsid w:val="00CE20D1"/>
    <w:rsid w:val="00CE279A"/>
    <w:rsid w:val="00CE3C09"/>
    <w:rsid w:val="00CE5638"/>
    <w:rsid w:val="00CE75AE"/>
    <w:rsid w:val="00CE78D1"/>
    <w:rsid w:val="00CF28F0"/>
    <w:rsid w:val="00CF40E0"/>
    <w:rsid w:val="00CF47EF"/>
    <w:rsid w:val="00CF62DC"/>
    <w:rsid w:val="00CF6507"/>
    <w:rsid w:val="00CF66F9"/>
    <w:rsid w:val="00CF6B77"/>
    <w:rsid w:val="00CF7B1D"/>
    <w:rsid w:val="00CF7C45"/>
    <w:rsid w:val="00D00A4E"/>
    <w:rsid w:val="00D01A31"/>
    <w:rsid w:val="00D026D9"/>
    <w:rsid w:val="00D03047"/>
    <w:rsid w:val="00D0361C"/>
    <w:rsid w:val="00D03E04"/>
    <w:rsid w:val="00D04B07"/>
    <w:rsid w:val="00D04FB2"/>
    <w:rsid w:val="00D0507E"/>
    <w:rsid w:val="00D10504"/>
    <w:rsid w:val="00D11E53"/>
    <w:rsid w:val="00D13E63"/>
    <w:rsid w:val="00D16753"/>
    <w:rsid w:val="00D200E0"/>
    <w:rsid w:val="00D20F4A"/>
    <w:rsid w:val="00D21CCE"/>
    <w:rsid w:val="00D252DE"/>
    <w:rsid w:val="00D2668B"/>
    <w:rsid w:val="00D266E5"/>
    <w:rsid w:val="00D26982"/>
    <w:rsid w:val="00D26C38"/>
    <w:rsid w:val="00D32547"/>
    <w:rsid w:val="00D32A67"/>
    <w:rsid w:val="00D33142"/>
    <w:rsid w:val="00D3346C"/>
    <w:rsid w:val="00D3483F"/>
    <w:rsid w:val="00D4128C"/>
    <w:rsid w:val="00D42FAB"/>
    <w:rsid w:val="00D441A7"/>
    <w:rsid w:val="00D46A02"/>
    <w:rsid w:val="00D46A4C"/>
    <w:rsid w:val="00D500D5"/>
    <w:rsid w:val="00D525A2"/>
    <w:rsid w:val="00D56C0A"/>
    <w:rsid w:val="00D57378"/>
    <w:rsid w:val="00D61EB7"/>
    <w:rsid w:val="00D625E7"/>
    <w:rsid w:val="00D636A4"/>
    <w:rsid w:val="00D63B0F"/>
    <w:rsid w:val="00D7014A"/>
    <w:rsid w:val="00D70AC3"/>
    <w:rsid w:val="00D71B6E"/>
    <w:rsid w:val="00D729F4"/>
    <w:rsid w:val="00D72CDE"/>
    <w:rsid w:val="00D7609C"/>
    <w:rsid w:val="00D76901"/>
    <w:rsid w:val="00D8038F"/>
    <w:rsid w:val="00D81633"/>
    <w:rsid w:val="00D82D00"/>
    <w:rsid w:val="00D8392D"/>
    <w:rsid w:val="00D845A1"/>
    <w:rsid w:val="00D84E2F"/>
    <w:rsid w:val="00D877AE"/>
    <w:rsid w:val="00D90DE2"/>
    <w:rsid w:val="00D91A19"/>
    <w:rsid w:val="00D91B11"/>
    <w:rsid w:val="00D93C86"/>
    <w:rsid w:val="00D9418C"/>
    <w:rsid w:val="00D9534E"/>
    <w:rsid w:val="00D95782"/>
    <w:rsid w:val="00DA2B59"/>
    <w:rsid w:val="00DA2BC2"/>
    <w:rsid w:val="00DA515C"/>
    <w:rsid w:val="00DA6152"/>
    <w:rsid w:val="00DA7F1E"/>
    <w:rsid w:val="00DB0448"/>
    <w:rsid w:val="00DB0931"/>
    <w:rsid w:val="00DB0E88"/>
    <w:rsid w:val="00DB2343"/>
    <w:rsid w:val="00DB25CB"/>
    <w:rsid w:val="00DB38B1"/>
    <w:rsid w:val="00DB40A5"/>
    <w:rsid w:val="00DB4C03"/>
    <w:rsid w:val="00DB5BBA"/>
    <w:rsid w:val="00DB64D3"/>
    <w:rsid w:val="00DB742D"/>
    <w:rsid w:val="00DB77EC"/>
    <w:rsid w:val="00DB7D73"/>
    <w:rsid w:val="00DC07C5"/>
    <w:rsid w:val="00DC1474"/>
    <w:rsid w:val="00DC152D"/>
    <w:rsid w:val="00DC2110"/>
    <w:rsid w:val="00DC39A0"/>
    <w:rsid w:val="00DC51D2"/>
    <w:rsid w:val="00DC5674"/>
    <w:rsid w:val="00DC616A"/>
    <w:rsid w:val="00DC657F"/>
    <w:rsid w:val="00DC691F"/>
    <w:rsid w:val="00DC6D30"/>
    <w:rsid w:val="00DC7C96"/>
    <w:rsid w:val="00DC7C9A"/>
    <w:rsid w:val="00DC7F8A"/>
    <w:rsid w:val="00DD1B6F"/>
    <w:rsid w:val="00DD1EA0"/>
    <w:rsid w:val="00DD2D90"/>
    <w:rsid w:val="00DD3AE0"/>
    <w:rsid w:val="00DD5B40"/>
    <w:rsid w:val="00DD60CC"/>
    <w:rsid w:val="00DD7984"/>
    <w:rsid w:val="00DE027A"/>
    <w:rsid w:val="00DE399B"/>
    <w:rsid w:val="00DE427B"/>
    <w:rsid w:val="00DE5C90"/>
    <w:rsid w:val="00DE6FC0"/>
    <w:rsid w:val="00DF055A"/>
    <w:rsid w:val="00DF4B3D"/>
    <w:rsid w:val="00DF5CF0"/>
    <w:rsid w:val="00DF6488"/>
    <w:rsid w:val="00DF7FE1"/>
    <w:rsid w:val="00E003E7"/>
    <w:rsid w:val="00E02A69"/>
    <w:rsid w:val="00E03520"/>
    <w:rsid w:val="00E03AAF"/>
    <w:rsid w:val="00E1299D"/>
    <w:rsid w:val="00E132AE"/>
    <w:rsid w:val="00E135AD"/>
    <w:rsid w:val="00E15B7F"/>
    <w:rsid w:val="00E16C85"/>
    <w:rsid w:val="00E17477"/>
    <w:rsid w:val="00E200FC"/>
    <w:rsid w:val="00E20690"/>
    <w:rsid w:val="00E244F7"/>
    <w:rsid w:val="00E25806"/>
    <w:rsid w:val="00E258AF"/>
    <w:rsid w:val="00E25ACF"/>
    <w:rsid w:val="00E264B4"/>
    <w:rsid w:val="00E26AD4"/>
    <w:rsid w:val="00E27F8D"/>
    <w:rsid w:val="00E30EF8"/>
    <w:rsid w:val="00E33357"/>
    <w:rsid w:val="00E36E6E"/>
    <w:rsid w:val="00E3754F"/>
    <w:rsid w:val="00E37B95"/>
    <w:rsid w:val="00E42AC0"/>
    <w:rsid w:val="00E42E34"/>
    <w:rsid w:val="00E431A9"/>
    <w:rsid w:val="00E432AA"/>
    <w:rsid w:val="00E43B34"/>
    <w:rsid w:val="00E4491E"/>
    <w:rsid w:val="00E473E0"/>
    <w:rsid w:val="00E50259"/>
    <w:rsid w:val="00E52D9C"/>
    <w:rsid w:val="00E53278"/>
    <w:rsid w:val="00E53B5A"/>
    <w:rsid w:val="00E54BB3"/>
    <w:rsid w:val="00E55E33"/>
    <w:rsid w:val="00E57CC5"/>
    <w:rsid w:val="00E611B7"/>
    <w:rsid w:val="00E613C7"/>
    <w:rsid w:val="00E6526D"/>
    <w:rsid w:val="00E6549E"/>
    <w:rsid w:val="00E70F4D"/>
    <w:rsid w:val="00E73248"/>
    <w:rsid w:val="00E74C1B"/>
    <w:rsid w:val="00E7509B"/>
    <w:rsid w:val="00E75FF5"/>
    <w:rsid w:val="00E7731E"/>
    <w:rsid w:val="00E7759B"/>
    <w:rsid w:val="00E80CB2"/>
    <w:rsid w:val="00E81B28"/>
    <w:rsid w:val="00E82EA1"/>
    <w:rsid w:val="00E835B3"/>
    <w:rsid w:val="00E842CC"/>
    <w:rsid w:val="00E8451C"/>
    <w:rsid w:val="00E85E5E"/>
    <w:rsid w:val="00E86F21"/>
    <w:rsid w:val="00E9246F"/>
    <w:rsid w:val="00E92D68"/>
    <w:rsid w:val="00E94D5B"/>
    <w:rsid w:val="00E9576C"/>
    <w:rsid w:val="00E966CA"/>
    <w:rsid w:val="00EA1FCC"/>
    <w:rsid w:val="00EA375E"/>
    <w:rsid w:val="00EA3A92"/>
    <w:rsid w:val="00EA3D17"/>
    <w:rsid w:val="00EA3E30"/>
    <w:rsid w:val="00EA3E45"/>
    <w:rsid w:val="00EA45EA"/>
    <w:rsid w:val="00EB014C"/>
    <w:rsid w:val="00EB1221"/>
    <w:rsid w:val="00EB2C35"/>
    <w:rsid w:val="00EB41C2"/>
    <w:rsid w:val="00EB4CFE"/>
    <w:rsid w:val="00EB5389"/>
    <w:rsid w:val="00EB5606"/>
    <w:rsid w:val="00EB6107"/>
    <w:rsid w:val="00EC0B15"/>
    <w:rsid w:val="00EC2133"/>
    <w:rsid w:val="00EC2310"/>
    <w:rsid w:val="00EC26AF"/>
    <w:rsid w:val="00EC47D2"/>
    <w:rsid w:val="00EC50DA"/>
    <w:rsid w:val="00EC518F"/>
    <w:rsid w:val="00EC6B1F"/>
    <w:rsid w:val="00EC71BC"/>
    <w:rsid w:val="00EC723D"/>
    <w:rsid w:val="00EC74DF"/>
    <w:rsid w:val="00EC75F4"/>
    <w:rsid w:val="00ED0DC6"/>
    <w:rsid w:val="00ED1917"/>
    <w:rsid w:val="00ED1A47"/>
    <w:rsid w:val="00ED3D9F"/>
    <w:rsid w:val="00ED475D"/>
    <w:rsid w:val="00ED59CE"/>
    <w:rsid w:val="00ED672B"/>
    <w:rsid w:val="00ED693A"/>
    <w:rsid w:val="00ED69E2"/>
    <w:rsid w:val="00ED71A0"/>
    <w:rsid w:val="00ED7D24"/>
    <w:rsid w:val="00EE0109"/>
    <w:rsid w:val="00EE0653"/>
    <w:rsid w:val="00EE0D1B"/>
    <w:rsid w:val="00EE1706"/>
    <w:rsid w:val="00EE1EEA"/>
    <w:rsid w:val="00EE5EA9"/>
    <w:rsid w:val="00EF1B9B"/>
    <w:rsid w:val="00EF2844"/>
    <w:rsid w:val="00F03088"/>
    <w:rsid w:val="00F04306"/>
    <w:rsid w:val="00F04828"/>
    <w:rsid w:val="00F07058"/>
    <w:rsid w:val="00F070F7"/>
    <w:rsid w:val="00F07DD5"/>
    <w:rsid w:val="00F10DDE"/>
    <w:rsid w:val="00F111A9"/>
    <w:rsid w:val="00F12621"/>
    <w:rsid w:val="00F1291D"/>
    <w:rsid w:val="00F1705D"/>
    <w:rsid w:val="00F200E2"/>
    <w:rsid w:val="00F20CBA"/>
    <w:rsid w:val="00F21EBB"/>
    <w:rsid w:val="00F25A7B"/>
    <w:rsid w:val="00F2620A"/>
    <w:rsid w:val="00F2742E"/>
    <w:rsid w:val="00F3079A"/>
    <w:rsid w:val="00F30FE6"/>
    <w:rsid w:val="00F322D6"/>
    <w:rsid w:val="00F34043"/>
    <w:rsid w:val="00F34C13"/>
    <w:rsid w:val="00F35C2A"/>
    <w:rsid w:val="00F36620"/>
    <w:rsid w:val="00F369A0"/>
    <w:rsid w:val="00F36CEC"/>
    <w:rsid w:val="00F42C3D"/>
    <w:rsid w:val="00F43096"/>
    <w:rsid w:val="00F431DF"/>
    <w:rsid w:val="00F44384"/>
    <w:rsid w:val="00F458C9"/>
    <w:rsid w:val="00F478A6"/>
    <w:rsid w:val="00F51083"/>
    <w:rsid w:val="00F513B3"/>
    <w:rsid w:val="00F51570"/>
    <w:rsid w:val="00F51819"/>
    <w:rsid w:val="00F51ED4"/>
    <w:rsid w:val="00F51F8D"/>
    <w:rsid w:val="00F52950"/>
    <w:rsid w:val="00F53E09"/>
    <w:rsid w:val="00F60480"/>
    <w:rsid w:val="00F61DEB"/>
    <w:rsid w:val="00F6500B"/>
    <w:rsid w:val="00F657F5"/>
    <w:rsid w:val="00F663D1"/>
    <w:rsid w:val="00F67E61"/>
    <w:rsid w:val="00F7062A"/>
    <w:rsid w:val="00F70F4A"/>
    <w:rsid w:val="00F7157F"/>
    <w:rsid w:val="00F72691"/>
    <w:rsid w:val="00F72C33"/>
    <w:rsid w:val="00F7415E"/>
    <w:rsid w:val="00F74C71"/>
    <w:rsid w:val="00F75788"/>
    <w:rsid w:val="00F83C56"/>
    <w:rsid w:val="00F870FC"/>
    <w:rsid w:val="00F87E87"/>
    <w:rsid w:val="00F91CE3"/>
    <w:rsid w:val="00F92DB6"/>
    <w:rsid w:val="00F9429E"/>
    <w:rsid w:val="00F9489D"/>
    <w:rsid w:val="00F94E10"/>
    <w:rsid w:val="00F9593C"/>
    <w:rsid w:val="00F95986"/>
    <w:rsid w:val="00F97D6A"/>
    <w:rsid w:val="00FA0E33"/>
    <w:rsid w:val="00FA2198"/>
    <w:rsid w:val="00FA2735"/>
    <w:rsid w:val="00FA2993"/>
    <w:rsid w:val="00FA2BD2"/>
    <w:rsid w:val="00FA2BDB"/>
    <w:rsid w:val="00FA3313"/>
    <w:rsid w:val="00FA6668"/>
    <w:rsid w:val="00FA7F14"/>
    <w:rsid w:val="00FA7FEB"/>
    <w:rsid w:val="00FB1375"/>
    <w:rsid w:val="00FB2D8E"/>
    <w:rsid w:val="00FB3C65"/>
    <w:rsid w:val="00FB47B9"/>
    <w:rsid w:val="00FB5CCE"/>
    <w:rsid w:val="00FB5D6F"/>
    <w:rsid w:val="00FC48E1"/>
    <w:rsid w:val="00FC512D"/>
    <w:rsid w:val="00FC5466"/>
    <w:rsid w:val="00FC5EB6"/>
    <w:rsid w:val="00FC6FB4"/>
    <w:rsid w:val="00FD1934"/>
    <w:rsid w:val="00FD3E1A"/>
    <w:rsid w:val="00FD57D6"/>
    <w:rsid w:val="00FD5EFA"/>
    <w:rsid w:val="00FD70B9"/>
    <w:rsid w:val="00FE0C58"/>
    <w:rsid w:val="00FE1CD1"/>
    <w:rsid w:val="00FE38F5"/>
    <w:rsid w:val="00FE4221"/>
    <w:rsid w:val="00FE4B43"/>
    <w:rsid w:val="00FE5B73"/>
    <w:rsid w:val="00FE6AC4"/>
    <w:rsid w:val="00FE7D4B"/>
    <w:rsid w:val="00FF13DF"/>
    <w:rsid w:val="00FF1932"/>
    <w:rsid w:val="00FF237F"/>
    <w:rsid w:val="00FF6C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A8"/>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val="en-ZA"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 w:type="character" w:customStyle="1" w:styleId="UnresolvedMention2">
    <w:name w:val="Unresolved Mention2"/>
    <w:basedOn w:val="DefaultParagraphFont"/>
    <w:uiPriority w:val="99"/>
    <w:semiHidden/>
    <w:unhideWhenUsed/>
    <w:rsid w:val="0093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427433089">
      <w:bodyDiv w:val="1"/>
      <w:marLeft w:val="0"/>
      <w:marRight w:val="0"/>
      <w:marTop w:val="0"/>
      <w:marBottom w:val="0"/>
      <w:divBdr>
        <w:top w:val="none" w:sz="0" w:space="0" w:color="auto"/>
        <w:left w:val="none" w:sz="0" w:space="0" w:color="auto"/>
        <w:bottom w:val="none" w:sz="0" w:space="0" w:color="auto"/>
        <w:right w:val="none" w:sz="0" w:space="0" w:color="auto"/>
      </w:divBdr>
      <w:divsChild>
        <w:div w:id="818811986">
          <w:marLeft w:val="0"/>
          <w:marRight w:val="0"/>
          <w:marTop w:val="0"/>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249997238">
      <w:bodyDiv w:val="1"/>
      <w:marLeft w:val="0"/>
      <w:marRight w:val="0"/>
      <w:marTop w:val="0"/>
      <w:marBottom w:val="0"/>
      <w:divBdr>
        <w:top w:val="none" w:sz="0" w:space="0" w:color="auto"/>
        <w:left w:val="none" w:sz="0" w:space="0" w:color="auto"/>
        <w:bottom w:val="none" w:sz="0" w:space="0" w:color="auto"/>
        <w:right w:val="none" w:sz="0" w:space="0" w:color="auto"/>
      </w:divBdr>
      <w:divsChild>
        <w:div w:id="996111073">
          <w:marLeft w:val="0"/>
          <w:marRight w:val="0"/>
          <w:marTop w:val="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784879205">
      <w:bodyDiv w:val="1"/>
      <w:marLeft w:val="0"/>
      <w:marRight w:val="0"/>
      <w:marTop w:val="0"/>
      <w:marBottom w:val="0"/>
      <w:divBdr>
        <w:top w:val="none" w:sz="0" w:space="0" w:color="auto"/>
        <w:left w:val="none" w:sz="0" w:space="0" w:color="auto"/>
        <w:bottom w:val="none" w:sz="0" w:space="0" w:color="auto"/>
        <w:right w:val="none" w:sz="0" w:space="0" w:color="auto"/>
      </w:divBdr>
      <w:divsChild>
        <w:div w:id="1057360556">
          <w:marLeft w:val="0"/>
          <w:marRight w:val="0"/>
          <w:marTop w:val="0"/>
          <w:marBottom w:val="0"/>
          <w:divBdr>
            <w:top w:val="none" w:sz="0" w:space="0" w:color="auto"/>
            <w:left w:val="none" w:sz="0" w:space="0" w:color="auto"/>
            <w:bottom w:val="none" w:sz="0" w:space="0" w:color="auto"/>
            <w:right w:val="none" w:sz="0" w:space="0" w:color="auto"/>
          </w:divBdr>
        </w:div>
      </w:divsChild>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manganyi@gminc.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uToit@gminc.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ger@gkinc.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itli@malaw.co.za" TargetMode="External"/><Relationship Id="rId4" Type="http://schemas.openxmlformats.org/officeDocument/2006/relationships/settings" Target="settings.xml"/><Relationship Id="rId9" Type="http://schemas.openxmlformats.org/officeDocument/2006/relationships/hyperlink" Target="mailto:kineil@malaw.co.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7AD38-3C4A-41E4-BD54-0A7F6660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Zintle Twaku</dc:creator>
  <cp:lastModifiedBy>sathish sarshan  mohan</cp:lastModifiedBy>
  <cp:revision>5</cp:revision>
  <cp:lastPrinted>2024-04-02T13:16:00Z</cp:lastPrinted>
  <dcterms:created xsi:type="dcterms:W3CDTF">2024-04-02T13:12:00Z</dcterms:created>
  <dcterms:modified xsi:type="dcterms:W3CDTF">2024-04-06T15:05:00Z</dcterms:modified>
</cp:coreProperties>
</file>