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F1F7" w14:textId="77777777" w:rsidR="00761DEC" w:rsidRPr="00351268" w:rsidRDefault="00761DEC" w:rsidP="00351268">
      <w:pPr>
        <w:spacing w:after="0" w:line="360" w:lineRule="auto"/>
        <w:ind w:left="566" w:hangingChars="236" w:hanging="566"/>
        <w:jc w:val="center"/>
        <w:rPr>
          <w:rFonts w:ascii="Arial" w:eastAsia="Times New Roman" w:hAnsi="Arial" w:cs="Arial"/>
          <w:lang w:val="en-ZA" w:eastAsia="en-GB"/>
        </w:rPr>
      </w:pPr>
      <w:r w:rsidRPr="00351268">
        <w:rPr>
          <w:rFonts w:ascii="Arial" w:eastAsia="Times New Roman" w:hAnsi="Arial" w:cs="Arial"/>
          <w:lang w:val="en-ZA" w:eastAsia="en-GB"/>
        </w:rPr>
        <w:t>REPUBLIC OF SOUTH AFRICA</w:t>
      </w:r>
    </w:p>
    <w:p w14:paraId="6E833A50" w14:textId="77777777" w:rsidR="00761DEC" w:rsidRPr="00351268" w:rsidRDefault="0029526B" w:rsidP="00351268">
      <w:pPr>
        <w:spacing w:after="0" w:line="360" w:lineRule="auto"/>
        <w:ind w:left="566" w:hangingChars="236" w:hanging="566"/>
        <w:jc w:val="center"/>
        <w:rPr>
          <w:rFonts w:ascii="Arial" w:eastAsia="Times New Roman" w:hAnsi="Arial" w:cs="Arial"/>
          <w:lang w:val="en-ZA" w:eastAsia="en-GB"/>
        </w:rPr>
      </w:pPr>
      <w:r w:rsidRPr="00351268">
        <w:rPr>
          <w:rFonts w:ascii="Arial" w:hAnsi="Arial" w:cs="Helvetica"/>
          <w:noProof/>
          <w:lang w:val="en-US" w:eastAsia="en-US"/>
        </w:rPr>
        <w:drawing>
          <wp:inline distT="0" distB="0" distL="0" distR="0" wp14:anchorId="34842928" wp14:editId="4D2BBA4C">
            <wp:extent cx="906145" cy="906145"/>
            <wp:effectExtent l="0"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inline>
        </w:drawing>
      </w:r>
    </w:p>
    <w:p w14:paraId="3B6107FF" w14:textId="77777777" w:rsidR="00761DEC" w:rsidRPr="00351268" w:rsidRDefault="00761DEC" w:rsidP="00351268">
      <w:pPr>
        <w:spacing w:after="0" w:line="360" w:lineRule="auto"/>
        <w:ind w:left="566" w:hangingChars="236" w:hanging="566"/>
        <w:jc w:val="center"/>
        <w:rPr>
          <w:rFonts w:ascii="Arial" w:eastAsia="Times New Roman" w:hAnsi="Arial" w:cs="Arial"/>
          <w:lang w:val="en-ZA" w:eastAsia="en-GB"/>
        </w:rPr>
      </w:pPr>
      <w:r w:rsidRPr="00351268">
        <w:rPr>
          <w:rFonts w:ascii="Arial" w:eastAsia="Times New Roman" w:hAnsi="Arial" w:cs="Arial"/>
          <w:lang w:val="en-ZA" w:eastAsia="en-GB"/>
        </w:rPr>
        <w:t>IN THE HIGH COURT OF SOUTH AFRICA</w:t>
      </w:r>
    </w:p>
    <w:p w14:paraId="147CA1EC" w14:textId="77777777" w:rsidR="00761DEC" w:rsidRPr="00351268" w:rsidRDefault="00761DEC" w:rsidP="00351268">
      <w:pPr>
        <w:spacing w:after="0" w:line="360" w:lineRule="auto"/>
        <w:ind w:left="566" w:hangingChars="236" w:hanging="566"/>
        <w:jc w:val="center"/>
        <w:rPr>
          <w:rFonts w:ascii="Arial" w:eastAsia="Times New Roman" w:hAnsi="Arial" w:cs="Arial"/>
          <w:lang w:val="en-ZA" w:eastAsia="en-GB"/>
        </w:rPr>
      </w:pPr>
      <w:r w:rsidRPr="00351268">
        <w:rPr>
          <w:rFonts w:ascii="Arial" w:eastAsia="Times New Roman" w:hAnsi="Arial" w:cs="Arial"/>
          <w:lang w:val="en-ZA" w:eastAsia="en-GB"/>
        </w:rPr>
        <w:t>GAUTENG DIVISION, PRETORIA</w:t>
      </w:r>
    </w:p>
    <w:p w14:paraId="0C5C9DE0" w14:textId="77777777" w:rsidR="00761DEC" w:rsidRPr="00351268" w:rsidRDefault="00761DEC" w:rsidP="00351268">
      <w:pPr>
        <w:spacing w:after="0" w:line="360" w:lineRule="auto"/>
        <w:ind w:left="566" w:hangingChars="236" w:hanging="566"/>
        <w:jc w:val="both"/>
        <w:rPr>
          <w:rFonts w:ascii="Arial" w:eastAsia="Times New Roman" w:hAnsi="Arial" w:cs="Arial"/>
          <w:lang w:val="en-ZA" w:eastAsia="en-GB"/>
        </w:rPr>
      </w:pPr>
    </w:p>
    <w:p w14:paraId="58214442" w14:textId="045FDB28" w:rsidR="00761DEC" w:rsidRPr="00351268" w:rsidRDefault="00761DEC" w:rsidP="00351268">
      <w:pPr>
        <w:spacing w:after="0" w:line="360" w:lineRule="auto"/>
        <w:ind w:left="566" w:hangingChars="236" w:hanging="566"/>
        <w:jc w:val="right"/>
        <w:rPr>
          <w:rFonts w:ascii="Arial" w:eastAsia="Times New Roman" w:hAnsi="Arial" w:cs="Arial"/>
          <w:kern w:val="25"/>
          <w:lang w:eastAsia="en-GB"/>
        </w:rPr>
      </w:pPr>
      <w:r w:rsidRPr="00351268">
        <w:rPr>
          <w:rFonts w:ascii="Arial" w:eastAsia="Times New Roman" w:hAnsi="Arial" w:cs="Arial"/>
          <w:lang w:val="en-ZA" w:eastAsia="en-GB"/>
        </w:rPr>
        <w:t>CASE NO:</w:t>
      </w:r>
      <w:r w:rsidRPr="00351268">
        <w:rPr>
          <w:rFonts w:ascii="Arial" w:eastAsia="Times New Roman" w:hAnsi="Arial" w:cs="Arial"/>
          <w:kern w:val="25"/>
          <w:lang w:eastAsia="en-GB"/>
        </w:rPr>
        <w:t xml:space="preserve"> </w:t>
      </w:r>
      <w:r w:rsidR="00F26A46">
        <w:rPr>
          <w:rFonts w:ascii="Arial" w:eastAsia="Times New Roman" w:hAnsi="Arial" w:cs="Arial"/>
          <w:kern w:val="25"/>
          <w:lang w:eastAsia="en-GB"/>
        </w:rPr>
        <w:t>2327/2005</w:t>
      </w:r>
    </w:p>
    <w:p w14:paraId="0F44866D" w14:textId="77777777" w:rsidR="00761DEC" w:rsidRPr="00351268" w:rsidRDefault="0029526B" w:rsidP="00351268">
      <w:pPr>
        <w:spacing w:after="0" w:line="360" w:lineRule="auto"/>
        <w:ind w:left="566" w:hangingChars="236" w:hanging="566"/>
        <w:jc w:val="both"/>
        <w:rPr>
          <w:rFonts w:ascii="Arial" w:eastAsia="Times New Roman" w:hAnsi="Arial" w:cs="Arial"/>
          <w:kern w:val="25"/>
          <w:lang w:eastAsia="en-GB"/>
        </w:rPr>
      </w:pPr>
      <w:r w:rsidRPr="00351268">
        <w:rPr>
          <w:rFonts w:ascii="Arial" w:hAnsi="Arial"/>
          <w:noProof/>
          <w:lang w:val="en-US" w:eastAsia="en-US"/>
        </w:rPr>
        <mc:AlternateContent>
          <mc:Choice Requires="wps">
            <w:drawing>
              <wp:anchor distT="0" distB="0" distL="114300" distR="114300" simplePos="0" relativeHeight="251658240" behindDoc="0" locked="0" layoutInCell="1" allowOverlap="1" wp14:anchorId="2196DC7D" wp14:editId="339569F3">
                <wp:simplePos x="0" y="0"/>
                <wp:positionH relativeFrom="column">
                  <wp:posOffset>0</wp:posOffset>
                </wp:positionH>
                <wp:positionV relativeFrom="paragraph">
                  <wp:posOffset>210185</wp:posOffset>
                </wp:positionV>
                <wp:extent cx="3314700" cy="1266825"/>
                <wp:effectExtent l="0" t="0" r="38100" b="285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CC1A15A" w14:textId="77777777" w:rsidR="00FB34DC" w:rsidRPr="004120A8" w:rsidRDefault="00FB34DC" w:rsidP="00761DEC">
                            <w:pPr>
                              <w:jc w:val="center"/>
                              <w:rPr>
                                <w:rFonts w:ascii="Century Gothic" w:hAnsi="Century Gothic"/>
                                <w:b/>
                                <w:sz w:val="2"/>
                                <w:szCs w:val="18"/>
                              </w:rPr>
                            </w:pPr>
                          </w:p>
                          <w:p w14:paraId="6B57C4C5" w14:textId="77777777" w:rsidR="00FB34DC" w:rsidRPr="004120A8" w:rsidRDefault="00FB34DC"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2124B9EC" w14:textId="77777777" w:rsidR="00FB34DC" w:rsidRPr="004120A8" w:rsidRDefault="00FB34DC"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8FD4C0F" w14:textId="77777777" w:rsidR="00FB34DC" w:rsidRPr="004120A8" w:rsidRDefault="00FB34DC"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485B8D34" w14:textId="77777777" w:rsidR="00FB34DC" w:rsidRPr="004120A8" w:rsidRDefault="00FB34DC" w:rsidP="00761DEC">
                            <w:pPr>
                              <w:rPr>
                                <w:rFonts w:ascii="Century Gothic" w:hAnsi="Century Gothic"/>
                                <w:b/>
                                <w:sz w:val="18"/>
                                <w:szCs w:val="18"/>
                              </w:rPr>
                            </w:pPr>
                          </w:p>
                          <w:p w14:paraId="7B44CEBE" w14:textId="77777777" w:rsidR="00FB34DC" w:rsidRPr="004120A8" w:rsidRDefault="00FB34DC"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9BC3A79" w14:textId="77777777" w:rsidR="00FB34DC" w:rsidRPr="004120A8" w:rsidRDefault="00FB34DC"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BF990" w14:textId="77777777" w:rsidR="00FB34DC" w:rsidRPr="004120A8" w:rsidRDefault="00FB34DC" w:rsidP="00761DEC">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6DC7D" id="_x0000_t202" coordsize="21600,21600" o:spt="202" path="m,l,21600r21600,l21600,xe">
                <v:stroke joinstyle="miter"/>
                <v:path gradientshapeok="t" o:connecttype="rect"/>
              </v:shapetype>
              <v:shape id="Text Box 1" o:spid="_x0000_s1026" type="#_x0000_t202" style="position:absolute;left:0;text-align:left;margin-left:0;margin-top:16.55pt;width:261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">
                <v:textbox>
                  <w:txbxContent>
                    <w:p w14:paraId="3CC1A15A" w14:textId="77777777" w:rsidR="00FB34DC" w:rsidRPr="004120A8" w:rsidRDefault="00FB34DC" w:rsidP="00761DEC">
                      <w:pPr>
                        <w:jc w:val="center"/>
                        <w:rPr>
                          <w:rFonts w:ascii="Century Gothic" w:hAnsi="Century Gothic"/>
                          <w:b/>
                          <w:sz w:val="2"/>
                          <w:szCs w:val="18"/>
                        </w:rPr>
                      </w:pPr>
                    </w:p>
                    <w:p w14:paraId="6B57C4C5" w14:textId="77777777" w:rsidR="00FB34DC" w:rsidRPr="004120A8" w:rsidRDefault="00FB34DC" w:rsidP="00761DEC">
                      <w:pPr>
                        <w:numPr>
                          <w:ilvl w:val="0"/>
                          <w:numId w:val="1"/>
                        </w:numPr>
                        <w:spacing w:after="0"/>
                        <w:rPr>
                          <w:rFonts w:ascii="Century Gothic" w:hAnsi="Century Gothic"/>
                          <w:sz w:val="18"/>
                          <w:szCs w:val="18"/>
                        </w:rPr>
                      </w:pPr>
                      <w:r>
                        <w:rPr>
                          <w:rFonts w:ascii="Century Gothic" w:hAnsi="Century Gothic"/>
                          <w:sz w:val="18"/>
                          <w:szCs w:val="18"/>
                        </w:rPr>
                        <w:t xml:space="preserve">REPORTABLE: </w:t>
                      </w:r>
                      <w:r w:rsidRPr="004120A8">
                        <w:rPr>
                          <w:rFonts w:ascii="Century Gothic" w:hAnsi="Century Gothic"/>
                          <w:sz w:val="18"/>
                          <w:szCs w:val="18"/>
                        </w:rPr>
                        <w:t>NO</w:t>
                      </w:r>
                    </w:p>
                    <w:p w14:paraId="2124B9EC" w14:textId="77777777" w:rsidR="00FB34DC" w:rsidRPr="004120A8" w:rsidRDefault="00FB34DC" w:rsidP="00761DEC">
                      <w:pPr>
                        <w:numPr>
                          <w:ilvl w:val="0"/>
                          <w:numId w:val="1"/>
                        </w:numPr>
                        <w:spacing w:after="0"/>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Pr="004120A8">
                        <w:rPr>
                          <w:rFonts w:ascii="Century Gothic" w:hAnsi="Century Gothic"/>
                          <w:sz w:val="18"/>
                          <w:szCs w:val="18"/>
                        </w:rPr>
                        <w:t>NO</w:t>
                      </w:r>
                    </w:p>
                    <w:p w14:paraId="18FD4C0F" w14:textId="77777777" w:rsidR="00FB34DC" w:rsidRPr="004120A8" w:rsidRDefault="00FB34DC" w:rsidP="00761DEC">
                      <w:pPr>
                        <w:numPr>
                          <w:ilvl w:val="0"/>
                          <w:numId w:val="1"/>
                        </w:numPr>
                        <w:spacing w:after="0"/>
                        <w:rPr>
                          <w:rFonts w:ascii="Century Gothic" w:hAnsi="Century Gothic"/>
                          <w:sz w:val="18"/>
                          <w:szCs w:val="18"/>
                        </w:rPr>
                      </w:pPr>
                      <w:r w:rsidRPr="004120A8">
                        <w:rPr>
                          <w:rFonts w:ascii="Century Gothic" w:hAnsi="Century Gothic"/>
                          <w:sz w:val="18"/>
                          <w:szCs w:val="18"/>
                        </w:rPr>
                        <w:t xml:space="preserve">REVISED. </w:t>
                      </w:r>
                    </w:p>
                    <w:p w14:paraId="485B8D34" w14:textId="77777777" w:rsidR="00FB34DC" w:rsidRPr="004120A8" w:rsidRDefault="00FB34DC" w:rsidP="00761DEC">
                      <w:pPr>
                        <w:rPr>
                          <w:rFonts w:ascii="Century Gothic" w:hAnsi="Century Gothic"/>
                          <w:b/>
                          <w:sz w:val="18"/>
                          <w:szCs w:val="18"/>
                        </w:rPr>
                      </w:pPr>
                    </w:p>
                    <w:p w14:paraId="7B44CEBE" w14:textId="77777777" w:rsidR="00FB34DC" w:rsidRPr="004120A8" w:rsidRDefault="00FB34DC" w:rsidP="00761DEC">
                      <w:pPr>
                        <w:spacing w:after="0"/>
                        <w:rPr>
                          <w:rFonts w:ascii="Century Gothic" w:hAnsi="Century Gothic"/>
                          <w:b/>
                          <w:sz w:val="18"/>
                          <w:szCs w:val="18"/>
                        </w:rPr>
                      </w:pPr>
                      <w:r w:rsidRPr="004120A8">
                        <w:rPr>
                          <w:rFonts w:ascii="Century Gothic" w:hAnsi="Century Gothic"/>
                          <w:b/>
                          <w:sz w:val="18"/>
                          <w:szCs w:val="18"/>
                        </w:rPr>
                        <w:t xml:space="preserve"> …………..………….............</w:t>
                      </w:r>
                      <w:r w:rsidRPr="004120A8">
                        <w:rPr>
                          <w:rFonts w:ascii="Century Gothic" w:hAnsi="Century Gothic"/>
                          <w:b/>
                          <w:sz w:val="18"/>
                          <w:szCs w:val="18"/>
                        </w:rPr>
                        <w:tab/>
                        <w:t>……………………</w:t>
                      </w:r>
                    </w:p>
                    <w:p w14:paraId="19BC3A79" w14:textId="77777777" w:rsidR="00FB34DC" w:rsidRPr="004120A8" w:rsidRDefault="00FB34DC" w:rsidP="00761DEC">
                      <w:pPr>
                        <w:spacing w:after="0"/>
                        <w:rPr>
                          <w:rFonts w:ascii="Century Gothic" w:hAnsi="Century Gothic"/>
                          <w:b/>
                          <w:sz w:val="18"/>
                          <w:szCs w:val="18"/>
                        </w:rPr>
                      </w:pPr>
                      <w:r w:rsidRPr="004120A8">
                        <w:rPr>
                          <w:rFonts w:ascii="Century Gothic" w:hAnsi="Century Gothic"/>
                          <w:b/>
                          <w:sz w:val="18"/>
                          <w:szCs w:val="18"/>
                        </w:rPr>
                        <w:t xml:space="preserve"> SIGNATURE</w:t>
                      </w:r>
                      <w:r w:rsidRPr="004120A8">
                        <w:rPr>
                          <w:rFonts w:ascii="Century Gothic" w:hAnsi="Century Gothic"/>
                          <w:b/>
                          <w:sz w:val="18"/>
                          <w:szCs w:val="18"/>
                        </w:rPr>
                        <w:tab/>
                      </w:r>
                      <w:r w:rsidRPr="004120A8">
                        <w:rPr>
                          <w:rFonts w:ascii="Century Gothic" w:hAnsi="Century Gothic"/>
                          <w:b/>
                          <w:sz w:val="18"/>
                          <w:szCs w:val="18"/>
                        </w:rPr>
                        <w:tab/>
                      </w:r>
                      <w:r w:rsidRPr="004120A8">
                        <w:rPr>
                          <w:rFonts w:ascii="Century Gothic" w:hAnsi="Century Gothic"/>
                          <w:b/>
                          <w:sz w:val="18"/>
                          <w:szCs w:val="18"/>
                        </w:rPr>
                        <w:tab/>
                        <w:t>DATE</w:t>
                      </w:r>
                    </w:p>
                    <w:p w14:paraId="651BF990" w14:textId="77777777" w:rsidR="00FB34DC" w:rsidRPr="004120A8" w:rsidRDefault="00FB34DC" w:rsidP="00761DEC">
                      <w:pPr>
                        <w:rPr>
                          <w:rFonts w:ascii="Century Gothic" w:hAnsi="Century Gothic"/>
                          <w:b/>
                          <w:sz w:val="2"/>
                          <w:szCs w:val="18"/>
                        </w:rPr>
                      </w:pPr>
                    </w:p>
                  </w:txbxContent>
                </v:textbox>
              </v:shape>
            </w:pict>
          </mc:Fallback>
        </mc:AlternateContent>
      </w:r>
    </w:p>
    <w:p w14:paraId="52E5AD08" w14:textId="77777777" w:rsidR="00761DEC" w:rsidRPr="00351268" w:rsidRDefault="00761DEC" w:rsidP="00351268">
      <w:pPr>
        <w:spacing w:after="0" w:line="360" w:lineRule="auto"/>
        <w:ind w:left="566" w:hangingChars="236" w:hanging="566"/>
        <w:jc w:val="both"/>
        <w:rPr>
          <w:rFonts w:ascii="Arial" w:eastAsia="Times New Roman" w:hAnsi="Arial" w:cs="Arial"/>
          <w:u w:val="single"/>
          <w:lang w:eastAsia="en-GB"/>
        </w:rPr>
      </w:pPr>
    </w:p>
    <w:p w14:paraId="502BF6E7" w14:textId="77777777" w:rsidR="00761DEC" w:rsidRPr="00351268" w:rsidRDefault="00761DEC" w:rsidP="00351268">
      <w:pPr>
        <w:spacing w:after="0" w:line="360" w:lineRule="auto"/>
        <w:ind w:left="566" w:hangingChars="236" w:hanging="566"/>
        <w:jc w:val="both"/>
        <w:rPr>
          <w:rFonts w:ascii="Arial" w:eastAsia="Times New Roman" w:hAnsi="Arial" w:cs="Arial"/>
          <w:u w:val="single"/>
          <w:lang w:eastAsia="en-GB"/>
        </w:rPr>
      </w:pPr>
    </w:p>
    <w:p w14:paraId="41ABE471" w14:textId="77777777" w:rsidR="00761DEC" w:rsidRPr="00351268" w:rsidRDefault="00761DEC" w:rsidP="00351268">
      <w:pPr>
        <w:spacing w:after="0" w:line="360" w:lineRule="auto"/>
        <w:ind w:left="566" w:hangingChars="236" w:hanging="566"/>
        <w:jc w:val="both"/>
        <w:rPr>
          <w:rFonts w:ascii="Arial" w:eastAsia="Times New Roman" w:hAnsi="Arial" w:cs="Arial"/>
          <w:u w:val="single"/>
          <w:lang w:eastAsia="en-GB"/>
        </w:rPr>
      </w:pPr>
    </w:p>
    <w:p w14:paraId="7A67ABCC" w14:textId="77777777" w:rsidR="00761DEC" w:rsidRPr="00351268" w:rsidRDefault="00761DEC" w:rsidP="00351268">
      <w:pPr>
        <w:spacing w:after="0" w:line="360" w:lineRule="auto"/>
        <w:ind w:left="566" w:hangingChars="236" w:hanging="566"/>
        <w:jc w:val="both"/>
        <w:rPr>
          <w:rFonts w:ascii="Arial" w:eastAsia="Times New Roman" w:hAnsi="Arial" w:cs="Arial"/>
          <w:u w:val="single"/>
          <w:lang w:eastAsia="en-GB"/>
        </w:rPr>
      </w:pPr>
    </w:p>
    <w:p w14:paraId="7636AEC3" w14:textId="77777777" w:rsidR="00761DEC" w:rsidRPr="00351268" w:rsidRDefault="00761DEC" w:rsidP="00351268">
      <w:pPr>
        <w:spacing w:after="0" w:line="360" w:lineRule="auto"/>
        <w:jc w:val="both"/>
        <w:rPr>
          <w:rFonts w:ascii="Arial" w:eastAsia="Calibri" w:hAnsi="Arial" w:cs="Arial"/>
          <w:lang w:val="en-ZA" w:eastAsia="en-US"/>
        </w:rPr>
      </w:pPr>
    </w:p>
    <w:p w14:paraId="2ADB6035" w14:textId="77777777" w:rsidR="00761DEC" w:rsidRPr="00351268" w:rsidRDefault="00761DEC" w:rsidP="00351268">
      <w:pPr>
        <w:widowControl w:val="0"/>
        <w:tabs>
          <w:tab w:val="left" w:pos="220"/>
          <w:tab w:val="left" w:pos="720"/>
        </w:tabs>
        <w:autoSpaceDE w:val="0"/>
        <w:autoSpaceDN w:val="0"/>
        <w:adjustRightInd w:val="0"/>
        <w:spacing w:after="0" w:line="360" w:lineRule="auto"/>
        <w:jc w:val="both"/>
        <w:rPr>
          <w:rFonts w:ascii="Arial" w:hAnsi="Arial" w:cs="Verdana"/>
          <w:color w:val="0E3C0B"/>
        </w:rPr>
      </w:pPr>
    </w:p>
    <w:p w14:paraId="3D06A45A" w14:textId="77777777" w:rsidR="00761DEC" w:rsidRPr="00351268" w:rsidRDefault="00761DEC" w:rsidP="00351268">
      <w:pPr>
        <w:widowControl w:val="0"/>
        <w:autoSpaceDE w:val="0"/>
        <w:autoSpaceDN w:val="0"/>
        <w:adjustRightInd w:val="0"/>
        <w:spacing w:after="0" w:line="360" w:lineRule="auto"/>
        <w:jc w:val="both"/>
        <w:rPr>
          <w:rFonts w:ascii="Arial" w:hAnsi="Arial" w:cs="Times"/>
          <w:color w:val="1B1919"/>
        </w:rPr>
      </w:pPr>
    </w:p>
    <w:p w14:paraId="42DBD508" w14:textId="77777777" w:rsidR="00761DEC" w:rsidRPr="00351268" w:rsidRDefault="00761DEC" w:rsidP="00351268">
      <w:pPr>
        <w:widowControl w:val="0"/>
        <w:autoSpaceDE w:val="0"/>
        <w:autoSpaceDN w:val="0"/>
        <w:adjustRightInd w:val="0"/>
        <w:spacing w:after="0" w:line="360" w:lineRule="auto"/>
        <w:jc w:val="both"/>
        <w:rPr>
          <w:rFonts w:ascii="Arial" w:hAnsi="Arial" w:cs="Arial"/>
          <w:color w:val="1B1919"/>
        </w:rPr>
      </w:pPr>
      <w:r w:rsidRPr="00351268">
        <w:rPr>
          <w:rFonts w:ascii="Arial" w:hAnsi="Arial" w:cs="Arial"/>
          <w:color w:val="1B1919"/>
        </w:rPr>
        <w:t>In the matter between:</w:t>
      </w:r>
    </w:p>
    <w:p w14:paraId="27B5DCA9" w14:textId="7360FD77" w:rsidR="00F26A46" w:rsidRPr="00F26A46" w:rsidRDefault="00F26A46" w:rsidP="00351268">
      <w:pPr>
        <w:widowControl w:val="0"/>
        <w:autoSpaceDE w:val="0"/>
        <w:autoSpaceDN w:val="0"/>
        <w:adjustRightInd w:val="0"/>
        <w:spacing w:after="0" w:line="360" w:lineRule="auto"/>
        <w:jc w:val="both"/>
        <w:rPr>
          <w:rFonts w:ascii="Arial" w:hAnsi="Arial" w:cs="Arial"/>
          <w:bCs/>
          <w:color w:val="1B1919"/>
        </w:rPr>
      </w:pPr>
      <w:r>
        <w:rPr>
          <w:rFonts w:ascii="Arial" w:hAnsi="Arial" w:cs="Arial"/>
          <w:b/>
          <w:color w:val="1B1919"/>
        </w:rPr>
        <w:t>DE ABREU,</w:t>
      </w:r>
      <w:r w:rsidR="001B3CAA">
        <w:rPr>
          <w:rFonts w:ascii="Arial" w:hAnsi="Arial" w:cs="Arial"/>
          <w:b/>
          <w:color w:val="1B1919"/>
        </w:rPr>
        <w:t xml:space="preserve"> </w:t>
      </w:r>
      <w:r>
        <w:rPr>
          <w:rFonts w:ascii="Arial" w:hAnsi="Arial" w:cs="Arial"/>
          <w:b/>
          <w:color w:val="1B1919"/>
        </w:rPr>
        <w:t>JOSE ELADIO</w:t>
      </w:r>
      <w:r>
        <w:rPr>
          <w:rFonts w:ascii="Arial" w:hAnsi="Arial" w:cs="Arial"/>
          <w:b/>
          <w:color w:val="1B1919"/>
        </w:rPr>
        <w:tab/>
      </w:r>
      <w:r>
        <w:rPr>
          <w:rFonts w:ascii="Arial" w:hAnsi="Arial" w:cs="Arial"/>
          <w:b/>
          <w:color w:val="1B1919"/>
        </w:rPr>
        <w:tab/>
      </w:r>
      <w:r>
        <w:rPr>
          <w:rFonts w:ascii="Arial" w:hAnsi="Arial" w:cs="Arial"/>
          <w:b/>
          <w:color w:val="1B1919"/>
        </w:rPr>
        <w:tab/>
      </w:r>
      <w:r>
        <w:rPr>
          <w:rFonts w:ascii="Arial" w:hAnsi="Arial" w:cs="Arial"/>
          <w:b/>
          <w:color w:val="1B1919"/>
        </w:rPr>
        <w:tab/>
      </w:r>
      <w:r>
        <w:rPr>
          <w:rFonts w:ascii="Arial" w:hAnsi="Arial" w:cs="Arial"/>
          <w:b/>
          <w:color w:val="1B1919"/>
        </w:rPr>
        <w:tab/>
      </w:r>
      <w:r>
        <w:rPr>
          <w:rFonts w:ascii="Arial" w:hAnsi="Arial" w:cs="Arial"/>
          <w:bCs/>
          <w:color w:val="1B1919"/>
        </w:rPr>
        <w:t>First Plaintiff</w:t>
      </w:r>
    </w:p>
    <w:p w14:paraId="769A94EF" w14:textId="77777777" w:rsidR="00F26A46" w:rsidRDefault="00F26A46" w:rsidP="00351268">
      <w:pPr>
        <w:widowControl w:val="0"/>
        <w:autoSpaceDE w:val="0"/>
        <w:autoSpaceDN w:val="0"/>
        <w:adjustRightInd w:val="0"/>
        <w:spacing w:after="0" w:line="360" w:lineRule="auto"/>
        <w:jc w:val="both"/>
        <w:rPr>
          <w:rFonts w:ascii="Arial" w:hAnsi="Arial" w:cs="Arial"/>
          <w:b/>
          <w:color w:val="1B1919"/>
        </w:rPr>
      </w:pPr>
    </w:p>
    <w:p w14:paraId="04C34B89" w14:textId="6AE8A4F4" w:rsidR="00F26A46" w:rsidRPr="00F26A46" w:rsidRDefault="00F26A46" w:rsidP="00351268">
      <w:pPr>
        <w:widowControl w:val="0"/>
        <w:autoSpaceDE w:val="0"/>
        <w:autoSpaceDN w:val="0"/>
        <w:adjustRightInd w:val="0"/>
        <w:spacing w:after="0" w:line="360" w:lineRule="auto"/>
        <w:jc w:val="both"/>
        <w:rPr>
          <w:rFonts w:ascii="Arial" w:hAnsi="Arial" w:cs="Arial"/>
          <w:bCs/>
          <w:color w:val="1B1919"/>
        </w:rPr>
      </w:pPr>
      <w:r>
        <w:rPr>
          <w:rFonts w:ascii="Arial" w:hAnsi="Arial" w:cs="Arial"/>
          <w:b/>
          <w:color w:val="1B1919"/>
        </w:rPr>
        <w:t>FERNANDES,</w:t>
      </w:r>
      <w:r w:rsidR="001B3CAA">
        <w:rPr>
          <w:rFonts w:ascii="Arial" w:hAnsi="Arial" w:cs="Arial"/>
          <w:b/>
          <w:color w:val="1B1919"/>
        </w:rPr>
        <w:t xml:space="preserve"> </w:t>
      </w:r>
      <w:r>
        <w:rPr>
          <w:rFonts w:ascii="Arial" w:hAnsi="Arial" w:cs="Arial"/>
          <w:b/>
          <w:color w:val="1B1919"/>
        </w:rPr>
        <w:t xml:space="preserve">JOAO AIRES </w:t>
      </w:r>
      <w:r>
        <w:rPr>
          <w:rFonts w:ascii="Arial" w:hAnsi="Arial" w:cs="Arial"/>
          <w:b/>
          <w:color w:val="1B1919"/>
        </w:rPr>
        <w:tab/>
      </w:r>
      <w:r>
        <w:rPr>
          <w:rFonts w:ascii="Arial" w:hAnsi="Arial" w:cs="Arial"/>
          <w:b/>
          <w:color w:val="1B1919"/>
        </w:rPr>
        <w:tab/>
      </w:r>
      <w:r>
        <w:rPr>
          <w:rFonts w:ascii="Arial" w:hAnsi="Arial" w:cs="Arial"/>
          <w:b/>
          <w:color w:val="1B1919"/>
        </w:rPr>
        <w:tab/>
      </w:r>
      <w:r>
        <w:rPr>
          <w:rFonts w:ascii="Arial" w:hAnsi="Arial" w:cs="Arial"/>
          <w:b/>
          <w:color w:val="1B1919"/>
        </w:rPr>
        <w:tab/>
      </w:r>
      <w:r>
        <w:rPr>
          <w:rFonts w:ascii="Arial" w:hAnsi="Arial" w:cs="Arial"/>
          <w:b/>
          <w:color w:val="1B1919"/>
        </w:rPr>
        <w:tab/>
      </w:r>
      <w:r>
        <w:rPr>
          <w:rFonts w:ascii="Arial" w:hAnsi="Arial" w:cs="Arial"/>
          <w:bCs/>
          <w:color w:val="1B1919"/>
        </w:rPr>
        <w:t>Second Plaintiff</w:t>
      </w:r>
    </w:p>
    <w:p w14:paraId="471DE35C" w14:textId="77777777" w:rsidR="00F26A46" w:rsidRDefault="00F26A46" w:rsidP="00351268">
      <w:pPr>
        <w:widowControl w:val="0"/>
        <w:autoSpaceDE w:val="0"/>
        <w:autoSpaceDN w:val="0"/>
        <w:adjustRightInd w:val="0"/>
        <w:spacing w:after="0" w:line="360" w:lineRule="auto"/>
        <w:jc w:val="both"/>
        <w:rPr>
          <w:rFonts w:ascii="Arial" w:hAnsi="Arial" w:cs="Arial"/>
          <w:b/>
          <w:color w:val="1B1919"/>
        </w:rPr>
      </w:pPr>
    </w:p>
    <w:p w14:paraId="06886090" w14:textId="5AB24C25" w:rsidR="00761DEC" w:rsidRPr="00F26A46" w:rsidRDefault="00F26A46" w:rsidP="00351268">
      <w:pPr>
        <w:widowControl w:val="0"/>
        <w:autoSpaceDE w:val="0"/>
        <w:autoSpaceDN w:val="0"/>
        <w:adjustRightInd w:val="0"/>
        <w:spacing w:after="0" w:line="360" w:lineRule="auto"/>
        <w:jc w:val="both"/>
        <w:rPr>
          <w:rFonts w:ascii="Arial" w:hAnsi="Arial" w:cs="Arial"/>
          <w:b/>
          <w:color w:val="1B1919"/>
        </w:rPr>
      </w:pPr>
      <w:r>
        <w:rPr>
          <w:rFonts w:ascii="Arial" w:hAnsi="Arial" w:cs="Arial"/>
          <w:bCs/>
          <w:color w:val="1B1919"/>
        </w:rPr>
        <w:t>And</w:t>
      </w:r>
      <w:r w:rsidR="00761DEC" w:rsidRPr="00351268">
        <w:rPr>
          <w:rFonts w:ascii="Arial" w:hAnsi="Arial" w:cs="Arial"/>
          <w:bCs/>
          <w:color w:val="1B1919"/>
        </w:rPr>
        <w:tab/>
      </w:r>
      <w:r w:rsidR="00761DEC" w:rsidRPr="00351268">
        <w:rPr>
          <w:rFonts w:ascii="Arial" w:hAnsi="Arial" w:cs="Arial"/>
          <w:bCs/>
          <w:color w:val="1B1919"/>
        </w:rPr>
        <w:tab/>
      </w:r>
      <w:r w:rsidR="00761DEC" w:rsidRPr="00351268">
        <w:rPr>
          <w:rFonts w:ascii="Arial" w:hAnsi="Arial" w:cs="Arial"/>
          <w:bCs/>
          <w:color w:val="1B1919"/>
        </w:rPr>
        <w:tab/>
      </w:r>
      <w:r w:rsidR="00761DEC" w:rsidRPr="00351268">
        <w:rPr>
          <w:rFonts w:ascii="Arial" w:hAnsi="Arial" w:cs="Arial"/>
          <w:bCs/>
          <w:color w:val="1B1919"/>
        </w:rPr>
        <w:tab/>
      </w:r>
      <w:r w:rsidR="00761DEC" w:rsidRPr="00351268">
        <w:rPr>
          <w:rFonts w:ascii="Arial" w:hAnsi="Arial" w:cs="Arial"/>
          <w:bCs/>
          <w:color w:val="1B1919"/>
        </w:rPr>
        <w:tab/>
      </w:r>
    </w:p>
    <w:p w14:paraId="38ED20D2" w14:textId="41374097" w:rsidR="00761DEC" w:rsidRPr="00351268" w:rsidRDefault="00761DEC" w:rsidP="00351268">
      <w:pPr>
        <w:widowControl w:val="0"/>
        <w:autoSpaceDE w:val="0"/>
        <w:autoSpaceDN w:val="0"/>
        <w:adjustRightInd w:val="0"/>
        <w:spacing w:after="0" w:line="360" w:lineRule="auto"/>
        <w:jc w:val="both"/>
        <w:rPr>
          <w:rFonts w:ascii="Arial" w:hAnsi="Arial" w:cs="Arial"/>
          <w:color w:val="1B1919"/>
        </w:rPr>
      </w:pPr>
    </w:p>
    <w:p w14:paraId="20300274" w14:textId="2ACF9787" w:rsidR="00F26A46" w:rsidRPr="00F26A46" w:rsidRDefault="00F26A46" w:rsidP="00351268">
      <w:pPr>
        <w:widowControl w:val="0"/>
        <w:autoSpaceDE w:val="0"/>
        <w:autoSpaceDN w:val="0"/>
        <w:adjustRightInd w:val="0"/>
        <w:spacing w:after="0" w:line="360" w:lineRule="auto"/>
        <w:jc w:val="both"/>
        <w:rPr>
          <w:rFonts w:ascii="Arial" w:hAnsi="Arial" w:cs="Times"/>
          <w:color w:val="1B1919"/>
        </w:rPr>
      </w:pPr>
      <w:r>
        <w:rPr>
          <w:rFonts w:ascii="Arial" w:hAnsi="Arial" w:cs="Times"/>
          <w:b/>
          <w:bCs/>
          <w:color w:val="1B1919"/>
        </w:rPr>
        <w:t>PESTANA FAMILY MEAT AND CHICKEN CC</w:t>
      </w:r>
      <w:r>
        <w:rPr>
          <w:rFonts w:ascii="Arial" w:hAnsi="Arial" w:cs="Times"/>
          <w:b/>
          <w:bCs/>
          <w:color w:val="1B1919"/>
        </w:rPr>
        <w:tab/>
      </w:r>
      <w:r>
        <w:rPr>
          <w:rFonts w:ascii="Arial" w:hAnsi="Arial" w:cs="Times"/>
          <w:b/>
          <w:bCs/>
          <w:color w:val="1B1919"/>
        </w:rPr>
        <w:tab/>
      </w:r>
      <w:r>
        <w:rPr>
          <w:rFonts w:ascii="Arial" w:hAnsi="Arial" w:cs="Times"/>
          <w:b/>
          <w:bCs/>
          <w:color w:val="1B1919"/>
        </w:rPr>
        <w:tab/>
      </w:r>
      <w:r>
        <w:rPr>
          <w:rFonts w:ascii="Arial" w:hAnsi="Arial" w:cs="Times"/>
          <w:color w:val="1B1919"/>
        </w:rPr>
        <w:t>First Defendant</w:t>
      </w:r>
    </w:p>
    <w:p w14:paraId="2397B856" w14:textId="77777777" w:rsidR="00F26A46" w:rsidRDefault="00F26A46" w:rsidP="00351268">
      <w:pPr>
        <w:widowControl w:val="0"/>
        <w:autoSpaceDE w:val="0"/>
        <w:autoSpaceDN w:val="0"/>
        <w:adjustRightInd w:val="0"/>
        <w:spacing w:after="0" w:line="360" w:lineRule="auto"/>
        <w:jc w:val="both"/>
        <w:rPr>
          <w:rFonts w:ascii="Arial" w:hAnsi="Arial" w:cs="Times"/>
          <w:b/>
          <w:bCs/>
          <w:color w:val="1B1919"/>
        </w:rPr>
      </w:pPr>
    </w:p>
    <w:p w14:paraId="7C10EE14" w14:textId="55F55768" w:rsidR="00761DEC" w:rsidRPr="00351268" w:rsidRDefault="00F26A46" w:rsidP="00351268">
      <w:pPr>
        <w:widowControl w:val="0"/>
        <w:autoSpaceDE w:val="0"/>
        <w:autoSpaceDN w:val="0"/>
        <w:adjustRightInd w:val="0"/>
        <w:spacing w:after="0" w:line="360" w:lineRule="auto"/>
        <w:jc w:val="both"/>
        <w:rPr>
          <w:rFonts w:ascii="Arial" w:hAnsi="Arial" w:cs="Times"/>
          <w:color w:val="1B1919"/>
        </w:rPr>
      </w:pPr>
      <w:r>
        <w:rPr>
          <w:rFonts w:ascii="Arial" w:hAnsi="Arial" w:cs="Times"/>
          <w:b/>
          <w:bCs/>
          <w:color w:val="1B1919"/>
        </w:rPr>
        <w:t xml:space="preserve">PESTANA, RICHARD VICTOR </w:t>
      </w:r>
      <w:r w:rsidR="00761DEC" w:rsidRPr="00351268">
        <w:rPr>
          <w:rFonts w:ascii="Arial" w:hAnsi="Arial" w:cs="Times"/>
          <w:color w:val="1B1919"/>
        </w:rPr>
        <w:tab/>
      </w:r>
      <w:r w:rsidR="00761DEC" w:rsidRPr="00351268">
        <w:rPr>
          <w:rFonts w:ascii="Arial" w:hAnsi="Arial" w:cs="Times"/>
          <w:color w:val="1B1919"/>
        </w:rPr>
        <w:tab/>
      </w:r>
      <w:r w:rsidR="00761DEC" w:rsidRPr="00351268">
        <w:rPr>
          <w:rFonts w:ascii="Arial" w:hAnsi="Arial" w:cs="Times"/>
          <w:color w:val="1B1919"/>
        </w:rPr>
        <w:tab/>
      </w:r>
      <w:proofErr w:type="gramStart"/>
      <w:r w:rsidR="00761DEC" w:rsidRPr="00351268">
        <w:rPr>
          <w:rFonts w:ascii="Arial" w:hAnsi="Arial" w:cs="Times"/>
          <w:color w:val="1B1919"/>
        </w:rPr>
        <w:tab/>
      </w:r>
      <w:r>
        <w:rPr>
          <w:rFonts w:ascii="Arial" w:hAnsi="Arial" w:cs="Times"/>
          <w:color w:val="1B1919"/>
        </w:rPr>
        <w:t xml:space="preserve">  Second</w:t>
      </w:r>
      <w:proofErr w:type="gramEnd"/>
      <w:r>
        <w:rPr>
          <w:rFonts w:ascii="Arial" w:hAnsi="Arial" w:cs="Times"/>
          <w:color w:val="1B1919"/>
        </w:rPr>
        <w:t xml:space="preserve"> Defendant</w:t>
      </w:r>
      <w:r w:rsidR="00761DEC" w:rsidRPr="00351268">
        <w:rPr>
          <w:rFonts w:ascii="Arial" w:hAnsi="Arial" w:cs="Times"/>
          <w:color w:val="1B1919"/>
        </w:rPr>
        <w:tab/>
      </w:r>
      <w:r w:rsidR="00761DEC" w:rsidRPr="00351268">
        <w:rPr>
          <w:rFonts w:ascii="Arial" w:hAnsi="Arial" w:cs="Times"/>
          <w:color w:val="1B1919"/>
        </w:rPr>
        <w:tab/>
      </w:r>
      <w:r w:rsidR="00761DEC" w:rsidRPr="00351268">
        <w:rPr>
          <w:rFonts w:ascii="Arial" w:hAnsi="Arial" w:cs="Times"/>
          <w:color w:val="1B1919"/>
        </w:rPr>
        <w:tab/>
      </w:r>
    </w:p>
    <w:p w14:paraId="308A74A5" w14:textId="52C82BCF" w:rsidR="00761DEC" w:rsidRPr="00351268" w:rsidRDefault="008F48F9" w:rsidP="00351268">
      <w:pPr>
        <w:widowControl w:val="0"/>
        <w:autoSpaceDE w:val="0"/>
        <w:autoSpaceDN w:val="0"/>
        <w:adjustRightInd w:val="0"/>
        <w:spacing w:after="0" w:line="360" w:lineRule="auto"/>
        <w:jc w:val="both"/>
        <w:rPr>
          <w:rFonts w:ascii="Arial" w:hAnsi="Arial" w:cs="Arial"/>
          <w:color w:val="1B1919"/>
        </w:rPr>
      </w:pPr>
      <w:r>
        <w:rPr>
          <w:rFonts w:ascii="Arial" w:hAnsi="Arial" w:cs="Arial"/>
          <w:b/>
          <w:noProof/>
          <w:color w:val="1B1919"/>
        </w:rPr>
      </w:r>
      <w:r w:rsidR="008F48F9">
        <w:rPr>
          <w:rFonts w:ascii="Arial" w:hAnsi="Arial" w:cs="Arial"/>
          <w:b/>
          <w:noProof/>
          <w:color w:val="1B1919"/>
        </w:rPr>
        <w:pict w14:anchorId="6F5B9278">
          <v:rect id="_x0000_i1025" alt="" style="width:273.95pt;height:.05pt;mso-width-percent:0;mso-height-percent:0;mso-width-percent:0;mso-height-percent:0" o:hrpct="607" o:hralign="center" o:hrstd="t" o:hr="t" fillcolor="#a0a0a0" stroked="f"/>
        </w:pict>
      </w:r>
    </w:p>
    <w:p w14:paraId="4AA9AFB0" w14:textId="77777777" w:rsidR="00761DEC" w:rsidRPr="00F26A46" w:rsidRDefault="00761DEC" w:rsidP="00351268">
      <w:pPr>
        <w:widowControl w:val="0"/>
        <w:autoSpaceDE w:val="0"/>
        <w:autoSpaceDN w:val="0"/>
        <w:adjustRightInd w:val="0"/>
        <w:spacing w:after="0" w:line="360" w:lineRule="auto"/>
        <w:jc w:val="center"/>
        <w:rPr>
          <w:rFonts w:ascii="Arial" w:hAnsi="Arial" w:cs="Arial"/>
          <w:b/>
          <w:bCs/>
          <w:color w:val="1B1919"/>
        </w:rPr>
      </w:pPr>
      <w:r w:rsidRPr="00F26A46">
        <w:rPr>
          <w:rFonts w:ascii="Arial" w:hAnsi="Arial" w:cs="Arial"/>
          <w:b/>
          <w:bCs/>
          <w:color w:val="1B1919"/>
        </w:rPr>
        <w:t>JUDGMENT</w:t>
      </w:r>
    </w:p>
    <w:p w14:paraId="6AC5D34B" w14:textId="64458322" w:rsidR="00761DEC" w:rsidRPr="00351268" w:rsidRDefault="008F48F9" w:rsidP="00351268">
      <w:pPr>
        <w:widowControl w:val="0"/>
        <w:autoSpaceDE w:val="0"/>
        <w:autoSpaceDN w:val="0"/>
        <w:adjustRightInd w:val="0"/>
        <w:spacing w:after="0" w:line="360" w:lineRule="auto"/>
        <w:jc w:val="both"/>
        <w:rPr>
          <w:rFonts w:ascii="Arial" w:hAnsi="Arial" w:cs="Arial"/>
          <w:color w:val="1B1919"/>
        </w:rPr>
      </w:pPr>
      <w:r>
        <w:rPr>
          <w:rFonts w:ascii="Arial" w:hAnsi="Arial" w:cs="Arial"/>
          <w:b/>
          <w:noProof/>
          <w:color w:val="1B1919"/>
        </w:rPr>
      </w:r>
      <w:r w:rsidR="008F48F9">
        <w:rPr>
          <w:rFonts w:ascii="Arial" w:hAnsi="Arial" w:cs="Arial"/>
          <w:b/>
          <w:noProof/>
          <w:color w:val="1B1919"/>
        </w:rPr>
        <w:pict w14:anchorId="3F85B4B4">
          <v:rect id="_x0000_i1026" alt="" style="width:273.95pt;height:.05pt;mso-width-percent:0;mso-height-percent:0;mso-width-percent:0;mso-height-percent:0" o:hrpct="607" o:hralign="center" o:hrstd="t" o:hr="t" fillcolor="#a0a0a0" stroked="f"/>
        </w:pict>
      </w:r>
    </w:p>
    <w:p w14:paraId="35464F80" w14:textId="77777777" w:rsidR="00F26A46" w:rsidRDefault="00F26A46" w:rsidP="00351268">
      <w:pPr>
        <w:widowControl w:val="0"/>
        <w:autoSpaceDE w:val="0"/>
        <w:autoSpaceDN w:val="0"/>
        <w:adjustRightInd w:val="0"/>
        <w:spacing w:after="0" w:line="360" w:lineRule="auto"/>
        <w:jc w:val="both"/>
        <w:rPr>
          <w:rFonts w:ascii="Arial" w:hAnsi="Arial"/>
          <w:u w:val="single"/>
        </w:rPr>
      </w:pPr>
    </w:p>
    <w:p w14:paraId="4247D4B7" w14:textId="24C1AE3E" w:rsidR="00761DEC" w:rsidRPr="00351268" w:rsidRDefault="00761DEC" w:rsidP="00351268">
      <w:pPr>
        <w:widowControl w:val="0"/>
        <w:autoSpaceDE w:val="0"/>
        <w:autoSpaceDN w:val="0"/>
        <w:adjustRightInd w:val="0"/>
        <w:spacing w:after="0" w:line="360" w:lineRule="auto"/>
        <w:jc w:val="both"/>
        <w:rPr>
          <w:rFonts w:ascii="Arial" w:hAnsi="Arial"/>
          <w:u w:val="single"/>
        </w:rPr>
      </w:pPr>
      <w:r w:rsidRPr="00351268">
        <w:rPr>
          <w:rFonts w:ascii="Arial" w:hAnsi="Arial"/>
          <w:u w:val="single"/>
        </w:rPr>
        <w:t>MATOJANE J</w:t>
      </w:r>
    </w:p>
    <w:p w14:paraId="630E165C" w14:textId="77777777" w:rsidR="00351268" w:rsidRPr="00351268" w:rsidRDefault="00351268" w:rsidP="00351268">
      <w:pPr>
        <w:spacing w:after="0" w:line="360" w:lineRule="auto"/>
        <w:jc w:val="both"/>
        <w:rPr>
          <w:rFonts w:ascii="Arial" w:hAnsi="Arial"/>
          <w:lang w:val="en-US"/>
        </w:rPr>
      </w:pPr>
    </w:p>
    <w:p w14:paraId="2E7CB199" w14:textId="459F6319" w:rsidR="00351268" w:rsidRPr="00351268" w:rsidRDefault="00351268" w:rsidP="00351268">
      <w:pPr>
        <w:spacing w:after="0" w:line="360" w:lineRule="auto"/>
        <w:jc w:val="both"/>
        <w:rPr>
          <w:rFonts w:ascii="Arial" w:hAnsi="Arial"/>
          <w:lang w:val="en-ZA"/>
        </w:rPr>
      </w:pPr>
      <w:r w:rsidRPr="00351268">
        <w:rPr>
          <w:rFonts w:ascii="Arial" w:hAnsi="Arial"/>
          <w:lang w:val="en-ZA"/>
        </w:rPr>
        <w:t>[1]</w:t>
      </w:r>
      <w:r w:rsidRPr="00351268">
        <w:rPr>
          <w:rFonts w:ascii="Arial" w:hAnsi="Arial"/>
          <w:lang w:val="en-ZA"/>
        </w:rPr>
        <w:tab/>
        <w:t xml:space="preserve">The plaintiffs and defendants entered into two interconnected agreements. The first agreement was for the sale of a business conducted in Carletonville Extension 2, situated at 91 Annan Road, operating under the name and style of </w:t>
      </w:r>
      <w:r w:rsidR="001B3CAA">
        <w:rPr>
          <w:rFonts w:ascii="Arial" w:hAnsi="Arial"/>
          <w:lang w:val="en-ZA"/>
        </w:rPr>
        <w:t>"</w:t>
      </w:r>
      <w:r w:rsidRPr="00351268">
        <w:rPr>
          <w:rFonts w:ascii="Arial" w:hAnsi="Arial"/>
          <w:lang w:val="en-ZA"/>
        </w:rPr>
        <w:t>Sportsman Bar and Restaurant</w:t>
      </w:r>
      <w:r w:rsidR="001B3CAA">
        <w:rPr>
          <w:rFonts w:ascii="Arial" w:hAnsi="Arial"/>
          <w:lang w:val="en-ZA"/>
        </w:rPr>
        <w:t>"</w:t>
      </w:r>
      <w:r w:rsidRPr="00351268">
        <w:rPr>
          <w:rFonts w:ascii="Arial" w:hAnsi="Arial"/>
          <w:lang w:val="en-ZA"/>
        </w:rPr>
        <w:t xml:space="preserve">, which consisted of a restaurant, bar, hotel and a nightclub. </w:t>
      </w:r>
      <w:r w:rsidR="0088754F">
        <w:rPr>
          <w:rFonts w:ascii="Arial" w:hAnsi="Arial"/>
          <w:lang w:val="en-ZA"/>
        </w:rPr>
        <w:t xml:space="preserve">The business was sold as </w:t>
      </w:r>
      <w:r w:rsidR="00500F39">
        <w:rPr>
          <w:rFonts w:ascii="Arial" w:hAnsi="Arial"/>
          <w:lang w:val="en-ZA"/>
        </w:rPr>
        <w:t xml:space="preserve">a </w:t>
      </w:r>
      <w:r w:rsidR="0088754F">
        <w:rPr>
          <w:rFonts w:ascii="Arial" w:hAnsi="Arial"/>
          <w:lang w:val="en-ZA"/>
        </w:rPr>
        <w:t>going concern.</w:t>
      </w:r>
    </w:p>
    <w:p w14:paraId="00B5FCD3" w14:textId="77777777" w:rsidR="00351268" w:rsidRPr="00351268" w:rsidRDefault="00351268" w:rsidP="00351268">
      <w:pPr>
        <w:spacing w:after="0" w:line="360" w:lineRule="auto"/>
        <w:jc w:val="both"/>
        <w:rPr>
          <w:rFonts w:ascii="Arial" w:hAnsi="Arial"/>
          <w:lang w:val="en-ZA"/>
        </w:rPr>
      </w:pPr>
    </w:p>
    <w:p w14:paraId="60B0CDA4" w14:textId="0EA99911" w:rsidR="00351268" w:rsidRPr="00351268" w:rsidRDefault="00351268" w:rsidP="00351268">
      <w:pPr>
        <w:spacing w:after="0" w:line="360" w:lineRule="auto"/>
        <w:jc w:val="both"/>
        <w:rPr>
          <w:rFonts w:ascii="Arial" w:hAnsi="Arial"/>
          <w:lang w:val="en-ZA"/>
        </w:rPr>
      </w:pPr>
      <w:r w:rsidRPr="00351268">
        <w:rPr>
          <w:rFonts w:ascii="Arial" w:hAnsi="Arial"/>
          <w:lang w:val="en-ZA"/>
        </w:rPr>
        <w:t>[2]</w:t>
      </w:r>
      <w:r w:rsidRPr="00351268">
        <w:rPr>
          <w:rFonts w:ascii="Arial" w:hAnsi="Arial"/>
          <w:lang w:val="en-ZA"/>
        </w:rPr>
        <w:tab/>
        <w:t xml:space="preserve">The second agreement was a declaration where the second defendant acknowledged receiving </w:t>
      </w:r>
      <w:r w:rsidR="001B3CAA">
        <w:rPr>
          <w:rFonts w:ascii="Arial" w:hAnsi="Arial"/>
          <w:lang w:val="en-ZA"/>
        </w:rPr>
        <w:t>an</w:t>
      </w:r>
      <w:r w:rsidRPr="00351268">
        <w:rPr>
          <w:rFonts w:ascii="Arial" w:hAnsi="Arial"/>
          <w:lang w:val="en-ZA"/>
        </w:rPr>
        <w:t xml:space="preserve"> R1.5 million cash deposit from the plaintiffs and confirmed a remaining balance of R2.3 million to be paid over 60 months without Interest. The agreements are meant to be interpreted as linked, and it is common cause that both documents must be read together as a whole. </w:t>
      </w:r>
    </w:p>
    <w:p w14:paraId="79CE061C" w14:textId="77777777" w:rsidR="00351268" w:rsidRPr="00351268" w:rsidRDefault="00351268" w:rsidP="00351268">
      <w:pPr>
        <w:spacing w:after="0" w:line="360" w:lineRule="auto"/>
        <w:jc w:val="both"/>
        <w:rPr>
          <w:rFonts w:ascii="Arial" w:hAnsi="Arial"/>
          <w:lang w:val="en-ZA"/>
        </w:rPr>
      </w:pPr>
    </w:p>
    <w:p w14:paraId="26AA9425" w14:textId="7652AF5A" w:rsidR="00D65DAC" w:rsidRDefault="00351268" w:rsidP="00351268">
      <w:pPr>
        <w:spacing w:after="0" w:line="360" w:lineRule="auto"/>
        <w:jc w:val="both"/>
        <w:rPr>
          <w:rFonts w:ascii="Arial" w:hAnsi="Arial"/>
          <w:lang w:val="en-ZA"/>
        </w:rPr>
      </w:pPr>
      <w:r w:rsidRPr="00351268">
        <w:rPr>
          <w:rFonts w:ascii="Arial" w:hAnsi="Arial"/>
          <w:lang w:val="en-ZA"/>
        </w:rPr>
        <w:t>[3]</w:t>
      </w:r>
      <w:r w:rsidRPr="00351268">
        <w:rPr>
          <w:rFonts w:ascii="Arial" w:hAnsi="Arial"/>
          <w:lang w:val="en-ZA"/>
        </w:rPr>
        <w:tab/>
      </w:r>
      <w:r w:rsidR="00D65DAC" w:rsidRPr="00D65DAC">
        <w:rPr>
          <w:rFonts w:ascii="Arial" w:hAnsi="Arial"/>
        </w:rPr>
        <w:t xml:space="preserve">On </w:t>
      </w:r>
      <w:r w:rsidR="00D65DAC">
        <w:rPr>
          <w:rFonts w:ascii="Arial" w:hAnsi="Arial"/>
        </w:rPr>
        <w:t xml:space="preserve">2 </w:t>
      </w:r>
      <w:r w:rsidR="00D65DAC" w:rsidRPr="00D65DAC">
        <w:rPr>
          <w:rFonts w:ascii="Arial" w:hAnsi="Arial"/>
        </w:rPr>
        <w:t>April</w:t>
      </w:r>
      <w:r w:rsidR="00D65DAC">
        <w:rPr>
          <w:rFonts w:ascii="Arial" w:hAnsi="Arial"/>
        </w:rPr>
        <w:t xml:space="preserve"> </w:t>
      </w:r>
      <w:r w:rsidR="00D65DAC" w:rsidRPr="00D65DAC">
        <w:rPr>
          <w:rFonts w:ascii="Arial" w:hAnsi="Arial"/>
        </w:rPr>
        <w:t xml:space="preserve">2003, the plaintiffs took over control and possession of the business, becoming entitled to its income and responsible for all expenses from that date onward. It was </w:t>
      </w:r>
      <w:r w:rsidR="00D65DAC">
        <w:rPr>
          <w:rFonts w:ascii="Arial" w:hAnsi="Arial"/>
        </w:rPr>
        <w:t xml:space="preserve">a term of the agreement </w:t>
      </w:r>
      <w:r w:rsidR="00D65DAC" w:rsidRPr="00D65DAC">
        <w:rPr>
          <w:rFonts w:ascii="Arial" w:hAnsi="Arial"/>
        </w:rPr>
        <w:t xml:space="preserve">that the defendants transfer the existing liquor license to the plaintiffs' names within a reasonable timeframe after signing the agreements. However, this transfer never happened. </w:t>
      </w:r>
      <w:r w:rsidR="00D65DAC">
        <w:rPr>
          <w:rFonts w:ascii="Arial" w:hAnsi="Arial"/>
        </w:rPr>
        <w:t>On</w:t>
      </w:r>
      <w:r w:rsidR="00D65DAC" w:rsidRPr="00D65DAC">
        <w:rPr>
          <w:rFonts w:ascii="Arial" w:hAnsi="Arial"/>
        </w:rPr>
        <w:t xml:space="preserve"> </w:t>
      </w:r>
      <w:r w:rsidR="00D65DAC">
        <w:rPr>
          <w:rFonts w:ascii="Arial" w:hAnsi="Arial"/>
        </w:rPr>
        <w:t xml:space="preserve">31 </w:t>
      </w:r>
      <w:r w:rsidR="00D65DAC" w:rsidRPr="00D65DAC">
        <w:rPr>
          <w:rFonts w:ascii="Arial" w:hAnsi="Arial"/>
        </w:rPr>
        <w:t xml:space="preserve">August 2004, the plaintiffs formally notified the defendants in writing that the liquor license had not been transferred as agreed upon in the </w:t>
      </w:r>
      <w:r w:rsidR="001E7D01">
        <w:rPr>
          <w:rFonts w:ascii="Arial" w:hAnsi="Arial"/>
        </w:rPr>
        <w:t xml:space="preserve">13 </w:t>
      </w:r>
      <w:r w:rsidR="00F31FE4" w:rsidRPr="00D65DAC">
        <w:rPr>
          <w:rFonts w:ascii="Arial" w:hAnsi="Arial"/>
        </w:rPr>
        <w:t>May 2003</w:t>
      </w:r>
      <w:r w:rsidR="00D65DAC" w:rsidRPr="00D65DAC">
        <w:rPr>
          <w:rFonts w:ascii="Arial" w:hAnsi="Arial"/>
        </w:rPr>
        <w:t xml:space="preserve"> agreement, leading to the agreement lapsing. As a result, the plaintiffs returned the business to the </w:t>
      </w:r>
      <w:r w:rsidR="001E7D01">
        <w:rPr>
          <w:rFonts w:ascii="Arial" w:hAnsi="Arial"/>
        </w:rPr>
        <w:t xml:space="preserve">second </w:t>
      </w:r>
      <w:r w:rsidR="00D65DAC" w:rsidRPr="00D65DAC">
        <w:rPr>
          <w:rFonts w:ascii="Arial" w:hAnsi="Arial"/>
        </w:rPr>
        <w:t>defendant and requested reimbursement for the portion of the purchase price already paid to the second defendant.</w:t>
      </w:r>
    </w:p>
    <w:p w14:paraId="348139DA" w14:textId="77777777" w:rsidR="00351268" w:rsidRPr="00351268" w:rsidRDefault="00351268" w:rsidP="00351268">
      <w:pPr>
        <w:spacing w:after="0" w:line="360" w:lineRule="auto"/>
        <w:jc w:val="both"/>
        <w:rPr>
          <w:rFonts w:ascii="Arial" w:hAnsi="Arial"/>
          <w:lang w:val="en-ZA"/>
        </w:rPr>
      </w:pPr>
    </w:p>
    <w:p w14:paraId="1B4671DA" w14:textId="6F4140C2" w:rsidR="00D9224C" w:rsidRDefault="00351268" w:rsidP="00351268">
      <w:pPr>
        <w:spacing w:after="0" w:line="360" w:lineRule="auto"/>
        <w:jc w:val="both"/>
        <w:rPr>
          <w:rFonts w:ascii="Arial" w:hAnsi="Arial"/>
          <w:lang w:val="en-ZA"/>
        </w:rPr>
      </w:pPr>
      <w:r w:rsidRPr="00351268">
        <w:rPr>
          <w:rFonts w:ascii="Arial" w:hAnsi="Arial"/>
          <w:lang w:val="en-ZA"/>
        </w:rPr>
        <w:t>[4]</w:t>
      </w:r>
      <w:r w:rsidRPr="00351268">
        <w:rPr>
          <w:rFonts w:ascii="Arial" w:hAnsi="Arial"/>
          <w:lang w:val="en-ZA"/>
        </w:rPr>
        <w:tab/>
      </w:r>
      <w:r w:rsidR="00D9224C" w:rsidRPr="00D9224C">
        <w:rPr>
          <w:rFonts w:ascii="Arial" w:hAnsi="Arial"/>
        </w:rPr>
        <w:t xml:space="preserve">Upon receiving the letter on </w:t>
      </w:r>
      <w:r w:rsidR="00D9224C">
        <w:rPr>
          <w:rFonts w:ascii="Arial" w:hAnsi="Arial"/>
        </w:rPr>
        <w:t xml:space="preserve">31 </w:t>
      </w:r>
      <w:r w:rsidR="00D9224C" w:rsidRPr="00D9224C">
        <w:rPr>
          <w:rFonts w:ascii="Arial" w:hAnsi="Arial"/>
        </w:rPr>
        <w:t xml:space="preserve">August 2004, the defendants notified the plaintiffs on </w:t>
      </w:r>
      <w:r w:rsidR="00D9224C">
        <w:rPr>
          <w:rFonts w:ascii="Arial" w:hAnsi="Arial"/>
        </w:rPr>
        <w:t xml:space="preserve">3 </w:t>
      </w:r>
      <w:r w:rsidR="00D9224C" w:rsidRPr="00D9224C">
        <w:rPr>
          <w:rFonts w:ascii="Arial" w:hAnsi="Arial"/>
        </w:rPr>
        <w:t>September 200</w:t>
      </w:r>
      <w:r w:rsidR="001E7D01">
        <w:rPr>
          <w:rFonts w:ascii="Arial" w:hAnsi="Arial"/>
        </w:rPr>
        <w:t>4</w:t>
      </w:r>
      <w:r w:rsidR="00D9224C" w:rsidRPr="00D9224C">
        <w:rPr>
          <w:rFonts w:ascii="Arial" w:hAnsi="Arial"/>
        </w:rPr>
        <w:t xml:space="preserve"> that the plaintiffs had not paid the entire purchase price as required by the </w:t>
      </w:r>
      <w:proofErr w:type="spellStart"/>
      <w:r w:rsidR="00500F39">
        <w:rPr>
          <w:rFonts w:ascii="Arial" w:hAnsi="Arial"/>
        </w:rPr>
        <w:t>postdated</w:t>
      </w:r>
      <w:proofErr w:type="spellEnd"/>
      <w:r w:rsidR="00D9224C" w:rsidRPr="00D9224C">
        <w:rPr>
          <w:rFonts w:ascii="Arial" w:hAnsi="Arial"/>
        </w:rPr>
        <w:t xml:space="preserve"> </w:t>
      </w:r>
      <w:r w:rsidR="00500F39">
        <w:rPr>
          <w:rFonts w:ascii="Arial" w:hAnsi="Arial"/>
        </w:rPr>
        <w:t>cheque</w:t>
      </w:r>
      <w:r w:rsidR="00D9224C" w:rsidRPr="00D9224C">
        <w:rPr>
          <w:rFonts w:ascii="Arial" w:hAnsi="Arial"/>
        </w:rPr>
        <w:t xml:space="preserve"> payment schedule. Consequently, the defendants cancelled the agreement through written notice, citing the </w:t>
      </w:r>
      <w:r w:rsidR="00D9224C" w:rsidRPr="00D9224C">
        <w:rPr>
          <w:rFonts w:ascii="Arial" w:hAnsi="Arial"/>
          <w:i/>
          <w:iCs/>
        </w:rPr>
        <w:t xml:space="preserve">lex </w:t>
      </w:r>
      <w:proofErr w:type="spellStart"/>
      <w:r w:rsidR="00D9224C" w:rsidRPr="00D9224C">
        <w:rPr>
          <w:rFonts w:ascii="Arial" w:hAnsi="Arial"/>
          <w:i/>
          <w:iCs/>
        </w:rPr>
        <w:t>commissoria</w:t>
      </w:r>
      <w:proofErr w:type="spellEnd"/>
      <w:r w:rsidR="00D9224C" w:rsidRPr="00D9224C">
        <w:rPr>
          <w:rFonts w:ascii="Arial" w:hAnsi="Arial"/>
        </w:rPr>
        <w:t xml:space="preserve"> clause in the sale agreement.</w:t>
      </w:r>
      <w:r w:rsidR="00F31FE4">
        <w:rPr>
          <w:rFonts w:ascii="Arial" w:hAnsi="Arial"/>
        </w:rPr>
        <w:t xml:space="preserve"> The defendants failed to repay the plaintiffs the </w:t>
      </w:r>
      <w:r w:rsidR="00305070">
        <w:rPr>
          <w:rFonts w:ascii="Arial" w:hAnsi="Arial"/>
        </w:rPr>
        <w:t xml:space="preserve">deposit of R1 500 000.00 and the submitted </w:t>
      </w:r>
      <w:proofErr w:type="spellStart"/>
      <w:r w:rsidR="00500F39">
        <w:rPr>
          <w:rFonts w:ascii="Arial" w:hAnsi="Arial"/>
        </w:rPr>
        <w:t>postdated</w:t>
      </w:r>
      <w:proofErr w:type="spellEnd"/>
      <w:r w:rsidR="00305070">
        <w:rPr>
          <w:rFonts w:ascii="Arial" w:hAnsi="Arial"/>
        </w:rPr>
        <w:t xml:space="preserve"> cheques in the sum of R630 000.00.</w:t>
      </w:r>
    </w:p>
    <w:p w14:paraId="60652508" w14:textId="77777777" w:rsidR="00351268" w:rsidRPr="00351268" w:rsidRDefault="00351268" w:rsidP="00351268">
      <w:pPr>
        <w:spacing w:after="0" w:line="360" w:lineRule="auto"/>
        <w:jc w:val="both"/>
        <w:rPr>
          <w:rFonts w:ascii="Arial" w:hAnsi="Arial"/>
          <w:lang w:val="en-ZA"/>
        </w:rPr>
      </w:pPr>
    </w:p>
    <w:p w14:paraId="234A88D6" w14:textId="213D5E8E" w:rsidR="00351268" w:rsidRPr="00351268" w:rsidRDefault="00351268" w:rsidP="00351268">
      <w:pPr>
        <w:spacing w:after="0" w:line="360" w:lineRule="auto"/>
        <w:jc w:val="both"/>
        <w:rPr>
          <w:rFonts w:ascii="Arial" w:hAnsi="Arial"/>
          <w:lang w:val="en-ZA"/>
        </w:rPr>
      </w:pPr>
      <w:r w:rsidRPr="00351268">
        <w:rPr>
          <w:rFonts w:ascii="Arial" w:hAnsi="Arial"/>
          <w:lang w:val="en-ZA"/>
        </w:rPr>
        <w:t xml:space="preserve">[5] </w:t>
      </w:r>
      <w:r w:rsidR="00D9224C">
        <w:rPr>
          <w:rFonts w:ascii="Arial" w:hAnsi="Arial"/>
          <w:lang w:val="en-ZA"/>
        </w:rPr>
        <w:tab/>
      </w:r>
      <w:r w:rsidRPr="00351268">
        <w:rPr>
          <w:rFonts w:ascii="Arial" w:hAnsi="Arial"/>
          <w:lang w:val="en-ZA"/>
        </w:rPr>
        <w:t xml:space="preserve">The relief sought by the plaintiffs in the amended particulars of </w:t>
      </w:r>
      <w:r w:rsidR="00500F39">
        <w:rPr>
          <w:rFonts w:ascii="Arial" w:hAnsi="Arial"/>
          <w:lang w:val="en-ZA"/>
        </w:rPr>
        <w:t xml:space="preserve">the </w:t>
      </w:r>
      <w:r w:rsidRPr="00351268">
        <w:rPr>
          <w:rFonts w:ascii="Arial" w:hAnsi="Arial"/>
          <w:lang w:val="en-ZA"/>
        </w:rPr>
        <w:t>claim reads as follows;</w:t>
      </w:r>
    </w:p>
    <w:p w14:paraId="7D7046EA" w14:textId="77777777" w:rsidR="00351268" w:rsidRPr="00351268" w:rsidRDefault="00351268" w:rsidP="00351268">
      <w:pPr>
        <w:spacing w:after="0" w:line="360" w:lineRule="auto"/>
        <w:jc w:val="both"/>
        <w:rPr>
          <w:rFonts w:ascii="Arial" w:hAnsi="Arial"/>
          <w:lang w:val="en-ZA"/>
        </w:rPr>
      </w:pPr>
    </w:p>
    <w:p w14:paraId="575D82A8" w14:textId="63D8AD07" w:rsidR="00351268" w:rsidRPr="00351268" w:rsidRDefault="001B3CAA" w:rsidP="00647C3E">
      <w:pPr>
        <w:spacing w:after="0" w:line="360" w:lineRule="auto"/>
        <w:ind w:left="720"/>
        <w:jc w:val="both"/>
        <w:rPr>
          <w:rFonts w:ascii="Arial" w:hAnsi="Arial"/>
          <w:lang w:val="en-ZA"/>
        </w:rPr>
      </w:pPr>
      <w:r>
        <w:rPr>
          <w:rFonts w:ascii="Arial" w:hAnsi="Arial"/>
          <w:lang w:val="en-ZA"/>
        </w:rPr>
        <w:t>"</w:t>
      </w:r>
      <w:r w:rsidR="00351268" w:rsidRPr="00351268">
        <w:rPr>
          <w:rFonts w:ascii="Arial" w:hAnsi="Arial"/>
          <w:lang w:val="en-ZA"/>
        </w:rPr>
        <w:t>WHEREFORE the plaintiffs seek an order against the first and second defendants, the one paying the other to be absolved:</w:t>
      </w:r>
    </w:p>
    <w:p w14:paraId="396A466A" w14:textId="77777777" w:rsidR="00351268" w:rsidRPr="00351268" w:rsidRDefault="00351268" w:rsidP="00351268">
      <w:pPr>
        <w:spacing w:after="0" w:line="360" w:lineRule="auto"/>
        <w:jc w:val="both"/>
        <w:rPr>
          <w:rFonts w:ascii="Arial" w:hAnsi="Arial"/>
          <w:lang w:val="en-ZA"/>
        </w:rPr>
      </w:pPr>
      <w:r w:rsidRPr="00351268">
        <w:rPr>
          <w:rFonts w:ascii="Arial" w:hAnsi="Arial"/>
          <w:lang w:val="en-ZA"/>
        </w:rPr>
        <w:t xml:space="preserve"> </w:t>
      </w:r>
    </w:p>
    <w:p w14:paraId="3D1C331D" w14:textId="77777777" w:rsidR="00351268" w:rsidRPr="00351268" w:rsidRDefault="00351268" w:rsidP="00647C3E">
      <w:pPr>
        <w:spacing w:after="0" w:line="360" w:lineRule="auto"/>
        <w:ind w:firstLine="720"/>
        <w:jc w:val="both"/>
        <w:rPr>
          <w:rFonts w:ascii="Arial" w:hAnsi="Arial"/>
          <w:lang w:val="en-ZA"/>
        </w:rPr>
      </w:pPr>
      <w:r w:rsidRPr="00351268">
        <w:rPr>
          <w:rFonts w:ascii="Arial" w:hAnsi="Arial"/>
          <w:lang w:val="en-ZA"/>
        </w:rPr>
        <w:t>a.</w:t>
      </w:r>
      <w:r w:rsidRPr="00351268">
        <w:rPr>
          <w:rFonts w:ascii="Arial" w:hAnsi="Arial"/>
          <w:lang w:val="en-ZA"/>
        </w:rPr>
        <w:tab/>
        <w:t>payment in the amount of R1 500 000.00</w:t>
      </w:r>
    </w:p>
    <w:p w14:paraId="7DE1BADF" w14:textId="4A6122B6" w:rsidR="00351268" w:rsidRPr="00351268" w:rsidRDefault="00351268" w:rsidP="00647C3E">
      <w:pPr>
        <w:spacing w:after="0" w:line="360" w:lineRule="auto"/>
        <w:ind w:left="1440" w:hanging="720"/>
        <w:jc w:val="both"/>
        <w:rPr>
          <w:rFonts w:ascii="Arial" w:hAnsi="Arial"/>
          <w:lang w:val="en-ZA"/>
        </w:rPr>
      </w:pPr>
      <w:r w:rsidRPr="00351268">
        <w:rPr>
          <w:rFonts w:ascii="Arial" w:hAnsi="Arial"/>
          <w:lang w:val="en-ZA"/>
        </w:rPr>
        <w:t>b.</w:t>
      </w:r>
      <w:r w:rsidRPr="00351268">
        <w:rPr>
          <w:rFonts w:ascii="Arial" w:hAnsi="Arial"/>
          <w:lang w:val="en-ZA"/>
        </w:rPr>
        <w:tab/>
        <w:t xml:space="preserve">Interest on the amount of R1500 000.00 at a rate of 15,5% per annum from </w:t>
      </w:r>
      <w:r w:rsidR="00500F39">
        <w:rPr>
          <w:rFonts w:ascii="Arial" w:hAnsi="Arial"/>
          <w:lang w:val="en-ZA"/>
        </w:rPr>
        <w:t xml:space="preserve">the </w:t>
      </w:r>
      <w:r w:rsidRPr="00351268">
        <w:rPr>
          <w:rFonts w:ascii="Arial" w:hAnsi="Arial"/>
          <w:lang w:val="en-ZA"/>
        </w:rPr>
        <w:t>date of the summons until the date of final payment;</w:t>
      </w:r>
    </w:p>
    <w:p w14:paraId="57CAE6F6" w14:textId="77777777" w:rsidR="00351268" w:rsidRPr="00351268" w:rsidRDefault="00351268" w:rsidP="00647C3E">
      <w:pPr>
        <w:spacing w:after="0" w:line="360" w:lineRule="auto"/>
        <w:ind w:left="1440" w:hanging="720"/>
        <w:jc w:val="both"/>
        <w:rPr>
          <w:rFonts w:ascii="Arial" w:hAnsi="Arial"/>
          <w:lang w:val="en-ZA"/>
        </w:rPr>
      </w:pPr>
      <w:r w:rsidRPr="00351268">
        <w:rPr>
          <w:rFonts w:ascii="Arial" w:hAnsi="Arial"/>
          <w:lang w:val="en-ZA"/>
        </w:rPr>
        <w:t>c.</w:t>
      </w:r>
      <w:r w:rsidRPr="00351268">
        <w:rPr>
          <w:rFonts w:ascii="Arial" w:hAnsi="Arial"/>
          <w:lang w:val="en-ZA"/>
        </w:rPr>
        <w:tab/>
        <w:t>payment in the amount of R630 000.00 ( or such lesser amount as the Honourable Court may find);</w:t>
      </w:r>
    </w:p>
    <w:p w14:paraId="1E0B3F11" w14:textId="667D6C07" w:rsidR="00351268" w:rsidRPr="00351268" w:rsidRDefault="00351268" w:rsidP="00647C3E">
      <w:pPr>
        <w:spacing w:after="0" w:line="360" w:lineRule="auto"/>
        <w:ind w:left="1440" w:hanging="720"/>
        <w:jc w:val="both"/>
        <w:rPr>
          <w:rFonts w:ascii="Arial" w:hAnsi="Arial"/>
          <w:lang w:val="en-ZA"/>
        </w:rPr>
      </w:pPr>
      <w:r w:rsidRPr="00351268">
        <w:rPr>
          <w:rFonts w:ascii="Arial" w:hAnsi="Arial"/>
          <w:lang w:val="en-ZA"/>
        </w:rPr>
        <w:t>d.</w:t>
      </w:r>
      <w:r w:rsidRPr="00351268">
        <w:rPr>
          <w:rFonts w:ascii="Arial" w:hAnsi="Arial"/>
          <w:lang w:val="en-ZA"/>
        </w:rPr>
        <w:tab/>
        <w:t xml:space="preserve">Interest on the amount of R630 000.00 at a rate of 15,5 % per annum from date of </w:t>
      </w:r>
      <w:r w:rsidR="00500F39">
        <w:rPr>
          <w:rFonts w:ascii="Arial" w:hAnsi="Arial"/>
          <w:lang w:val="en-ZA"/>
        </w:rPr>
        <w:t xml:space="preserve">the </w:t>
      </w:r>
      <w:r w:rsidRPr="00351268">
        <w:rPr>
          <w:rFonts w:ascii="Arial" w:hAnsi="Arial"/>
          <w:lang w:val="en-ZA"/>
        </w:rPr>
        <w:t xml:space="preserve">summons until </w:t>
      </w:r>
      <w:r w:rsidR="00500F39">
        <w:rPr>
          <w:rFonts w:ascii="Arial" w:hAnsi="Arial"/>
          <w:lang w:val="en-ZA"/>
        </w:rPr>
        <w:t xml:space="preserve">the </w:t>
      </w:r>
      <w:r w:rsidRPr="00351268">
        <w:rPr>
          <w:rFonts w:ascii="Arial" w:hAnsi="Arial"/>
          <w:lang w:val="en-ZA"/>
        </w:rPr>
        <w:t>date of final payment.</w:t>
      </w:r>
    </w:p>
    <w:p w14:paraId="307F1E88" w14:textId="77777777" w:rsidR="00351268" w:rsidRPr="00351268" w:rsidRDefault="00351268" w:rsidP="00647C3E">
      <w:pPr>
        <w:spacing w:after="0" w:line="360" w:lineRule="auto"/>
        <w:ind w:firstLine="720"/>
        <w:jc w:val="both"/>
        <w:rPr>
          <w:rFonts w:ascii="Arial" w:hAnsi="Arial"/>
          <w:lang w:val="en-ZA"/>
        </w:rPr>
      </w:pPr>
      <w:r w:rsidRPr="00351268">
        <w:rPr>
          <w:rFonts w:ascii="Arial" w:hAnsi="Arial"/>
          <w:lang w:val="en-ZA"/>
        </w:rPr>
        <w:t>e.</w:t>
      </w:r>
      <w:r w:rsidRPr="00351268">
        <w:rPr>
          <w:rFonts w:ascii="Arial" w:hAnsi="Arial"/>
          <w:lang w:val="en-ZA"/>
        </w:rPr>
        <w:tab/>
        <w:t>Costs of the suit.</w:t>
      </w:r>
    </w:p>
    <w:p w14:paraId="17C31975" w14:textId="77777777" w:rsidR="00351268" w:rsidRPr="00351268" w:rsidRDefault="00351268" w:rsidP="00351268">
      <w:pPr>
        <w:spacing w:after="0" w:line="360" w:lineRule="auto"/>
        <w:jc w:val="both"/>
        <w:rPr>
          <w:rFonts w:ascii="Arial" w:hAnsi="Arial"/>
          <w:lang w:val="en-ZA"/>
        </w:rPr>
      </w:pPr>
    </w:p>
    <w:p w14:paraId="4A8BFC19" w14:textId="7AC63CDC" w:rsidR="001E7D01" w:rsidRDefault="00351268" w:rsidP="00351268">
      <w:pPr>
        <w:spacing w:after="0" w:line="360" w:lineRule="auto"/>
        <w:jc w:val="both"/>
        <w:rPr>
          <w:rFonts w:ascii="Arial" w:hAnsi="Arial"/>
          <w:lang w:val="en-ZA"/>
        </w:rPr>
      </w:pPr>
      <w:r w:rsidRPr="00351268">
        <w:rPr>
          <w:rFonts w:ascii="Arial" w:hAnsi="Arial"/>
          <w:lang w:val="en-ZA"/>
        </w:rPr>
        <w:t>[6]</w:t>
      </w:r>
      <w:r w:rsidRPr="00351268">
        <w:rPr>
          <w:rFonts w:ascii="Arial" w:hAnsi="Arial"/>
          <w:lang w:val="en-ZA"/>
        </w:rPr>
        <w:tab/>
      </w:r>
      <w:r w:rsidR="001E7D01" w:rsidRPr="001E7D01">
        <w:rPr>
          <w:rFonts w:ascii="Arial" w:hAnsi="Arial"/>
        </w:rPr>
        <w:t>It</w:t>
      </w:r>
      <w:r w:rsidR="00305070">
        <w:rPr>
          <w:rFonts w:ascii="Arial" w:hAnsi="Arial"/>
        </w:rPr>
        <w:t xml:space="preserve"> is</w:t>
      </w:r>
      <w:r w:rsidR="001E7D01" w:rsidRPr="001E7D01">
        <w:rPr>
          <w:rFonts w:ascii="Arial" w:hAnsi="Arial"/>
        </w:rPr>
        <w:t xml:space="preserve"> crucial to lay out some context before delving into the evidence supporting the plaintiff's case. This matter has a lengthy history, with the trial commencing on </w:t>
      </w:r>
      <w:r w:rsidR="001E7D01">
        <w:rPr>
          <w:rFonts w:ascii="Arial" w:hAnsi="Arial"/>
        </w:rPr>
        <w:t xml:space="preserve">15 </w:t>
      </w:r>
      <w:r w:rsidR="001E7D01" w:rsidRPr="001E7D01">
        <w:rPr>
          <w:rFonts w:ascii="Arial" w:hAnsi="Arial"/>
        </w:rPr>
        <w:t xml:space="preserve">March 2011. Following the second plaintiff's testimony, the plaintiffs sought to </w:t>
      </w:r>
      <w:r w:rsidR="001E7D01">
        <w:rPr>
          <w:rFonts w:ascii="Arial" w:hAnsi="Arial"/>
        </w:rPr>
        <w:t>amend</w:t>
      </w:r>
      <w:r w:rsidR="001E7D01" w:rsidRPr="001E7D01">
        <w:rPr>
          <w:rFonts w:ascii="Arial" w:hAnsi="Arial"/>
        </w:rPr>
        <w:t xml:space="preserve"> their particulars of claim</w:t>
      </w:r>
      <w:r w:rsidR="00F31FE4">
        <w:rPr>
          <w:rFonts w:ascii="Arial" w:hAnsi="Arial"/>
        </w:rPr>
        <w:t xml:space="preserve"> to record that an amount of R1 500 000.00 had already being paid and that the outstanding balance of R2.3 million </w:t>
      </w:r>
      <w:r w:rsidR="00500F39">
        <w:rPr>
          <w:rFonts w:ascii="Arial" w:hAnsi="Arial"/>
        </w:rPr>
        <w:t>would</w:t>
      </w:r>
      <w:r w:rsidR="00F31FE4">
        <w:rPr>
          <w:rFonts w:ascii="Arial" w:hAnsi="Arial"/>
        </w:rPr>
        <w:t xml:space="preserve"> be paid in 60 months with no interest</w:t>
      </w:r>
      <w:r w:rsidR="00500F39">
        <w:rPr>
          <w:rFonts w:ascii="Arial" w:hAnsi="Arial"/>
        </w:rPr>
        <w:t>. This</w:t>
      </w:r>
      <w:r w:rsidR="00F31FE4">
        <w:rPr>
          <w:rFonts w:ascii="Arial" w:hAnsi="Arial"/>
        </w:rPr>
        <w:t xml:space="preserve"> </w:t>
      </w:r>
      <w:r w:rsidR="001E7D01" w:rsidRPr="001E7D01">
        <w:rPr>
          <w:rFonts w:ascii="Arial" w:hAnsi="Arial"/>
        </w:rPr>
        <w:t>result</w:t>
      </w:r>
      <w:r w:rsidR="00F31FE4">
        <w:rPr>
          <w:rFonts w:ascii="Arial" w:hAnsi="Arial"/>
        </w:rPr>
        <w:t>ed</w:t>
      </w:r>
      <w:r w:rsidR="001E7D01" w:rsidRPr="001E7D01">
        <w:rPr>
          <w:rFonts w:ascii="Arial" w:hAnsi="Arial"/>
        </w:rPr>
        <w:t xml:space="preserve"> in a trial postponement. </w:t>
      </w:r>
      <w:r w:rsidR="00C13F49">
        <w:rPr>
          <w:rFonts w:ascii="Arial" w:hAnsi="Arial"/>
        </w:rPr>
        <w:t xml:space="preserve">Mr Justice </w:t>
      </w:r>
      <w:proofErr w:type="spellStart"/>
      <w:r w:rsidR="00C13F49">
        <w:rPr>
          <w:rFonts w:ascii="Arial" w:hAnsi="Arial"/>
        </w:rPr>
        <w:t>Mavundla</w:t>
      </w:r>
      <w:proofErr w:type="spellEnd"/>
      <w:r w:rsidR="00C13F49">
        <w:rPr>
          <w:rFonts w:ascii="Arial" w:hAnsi="Arial"/>
        </w:rPr>
        <w:t xml:space="preserve"> granted the </w:t>
      </w:r>
      <w:r w:rsidR="0044485D">
        <w:rPr>
          <w:rFonts w:ascii="Arial" w:hAnsi="Arial"/>
        </w:rPr>
        <w:t xml:space="preserve">plaintiffs </w:t>
      </w:r>
      <w:r w:rsidR="00C13F49">
        <w:rPr>
          <w:rFonts w:ascii="Arial" w:hAnsi="Arial"/>
        </w:rPr>
        <w:t>the right to amend</w:t>
      </w:r>
      <w:r w:rsidR="00500F39">
        <w:rPr>
          <w:rFonts w:ascii="Arial" w:hAnsi="Arial"/>
        </w:rPr>
        <w:t xml:space="preserve"> </w:t>
      </w:r>
      <w:r w:rsidR="001E7D01" w:rsidRPr="001E7D01">
        <w:rPr>
          <w:rFonts w:ascii="Arial" w:hAnsi="Arial"/>
        </w:rPr>
        <w:t>in February 2022.</w:t>
      </w:r>
    </w:p>
    <w:p w14:paraId="49FB25B6" w14:textId="77777777" w:rsidR="00351268" w:rsidRPr="00351268" w:rsidRDefault="00351268" w:rsidP="00351268">
      <w:pPr>
        <w:spacing w:after="0" w:line="360" w:lineRule="auto"/>
        <w:jc w:val="both"/>
        <w:rPr>
          <w:rFonts w:ascii="Arial" w:hAnsi="Arial"/>
          <w:lang w:val="en-US"/>
        </w:rPr>
      </w:pPr>
    </w:p>
    <w:p w14:paraId="42E284BE" w14:textId="7522577E" w:rsidR="00351268" w:rsidRPr="00351268" w:rsidRDefault="00351268" w:rsidP="00351268">
      <w:pPr>
        <w:spacing w:after="0" w:line="360" w:lineRule="auto"/>
        <w:jc w:val="both"/>
        <w:rPr>
          <w:rFonts w:ascii="Arial" w:hAnsi="Arial"/>
          <w:lang w:val="en-US"/>
        </w:rPr>
      </w:pPr>
      <w:r w:rsidRPr="00351268">
        <w:rPr>
          <w:rFonts w:ascii="Arial" w:hAnsi="Arial"/>
          <w:lang w:val="en-ZA"/>
        </w:rPr>
        <w:t>[7]</w:t>
      </w:r>
      <w:r w:rsidRPr="00351268">
        <w:rPr>
          <w:rFonts w:ascii="Arial" w:hAnsi="Arial"/>
          <w:lang w:val="en-ZA"/>
        </w:rPr>
        <w:tab/>
        <w:t xml:space="preserve">The trial resumed on 16 September 2013, and the plaintiffs closed their case the following day, leading to a postponement </w:t>
      </w:r>
      <w:r w:rsidRPr="00351268">
        <w:rPr>
          <w:rFonts w:ascii="Arial" w:hAnsi="Arial"/>
          <w:iCs/>
          <w:lang w:val="en-ZA"/>
        </w:rPr>
        <w:t>sine die</w:t>
      </w:r>
      <w:r w:rsidRPr="00351268">
        <w:rPr>
          <w:rFonts w:ascii="Arial" w:hAnsi="Arial"/>
          <w:lang w:val="en-ZA"/>
        </w:rPr>
        <w:t>. In May 2016, following a court order, the defendants amended their plea to include a special plea of prescription</w:t>
      </w:r>
      <w:r w:rsidR="00305070">
        <w:rPr>
          <w:rFonts w:ascii="Arial" w:hAnsi="Arial"/>
          <w:lang w:val="en-ZA"/>
        </w:rPr>
        <w:t xml:space="preserve"> alleging that the amended particulars of claim introduced a new cause of action which had </w:t>
      </w:r>
      <w:r w:rsidR="00C13F49">
        <w:rPr>
          <w:rFonts w:ascii="Arial" w:hAnsi="Arial"/>
          <w:lang w:val="en-ZA"/>
        </w:rPr>
        <w:t>prescribed</w:t>
      </w:r>
      <w:r w:rsidRPr="00351268">
        <w:rPr>
          <w:rFonts w:ascii="Arial" w:hAnsi="Arial"/>
          <w:lang w:val="en-ZA"/>
        </w:rPr>
        <w:t xml:space="preserve">. This </w:t>
      </w:r>
      <w:r w:rsidR="00500F39">
        <w:rPr>
          <w:rFonts w:ascii="Arial" w:hAnsi="Arial"/>
          <w:lang w:val="en-ZA"/>
        </w:rPr>
        <w:t>matter</w:t>
      </w:r>
      <w:r w:rsidRPr="00351268">
        <w:rPr>
          <w:rFonts w:ascii="Arial" w:hAnsi="Arial"/>
          <w:lang w:val="en-ZA"/>
        </w:rPr>
        <w:t xml:space="preserve"> was argued before Madam Justice Victor on 8 December 2021</w:t>
      </w:r>
      <w:r w:rsidR="00C13F49">
        <w:rPr>
          <w:rFonts w:ascii="Arial" w:hAnsi="Arial"/>
          <w:lang w:val="en-ZA"/>
        </w:rPr>
        <w:t>.</w:t>
      </w:r>
      <w:r w:rsidRPr="00351268">
        <w:rPr>
          <w:rFonts w:ascii="Arial" w:hAnsi="Arial"/>
          <w:lang w:val="en-ZA"/>
        </w:rPr>
        <w:t xml:space="preserve"> </w:t>
      </w:r>
      <w:r w:rsidR="00500F39">
        <w:rPr>
          <w:rFonts w:ascii="Arial" w:hAnsi="Arial"/>
          <w:lang w:val="en-ZA"/>
        </w:rPr>
        <w:t xml:space="preserve">The application was dismissed </w:t>
      </w:r>
      <w:r w:rsidRPr="00351268">
        <w:rPr>
          <w:rFonts w:ascii="Arial" w:hAnsi="Arial"/>
          <w:lang w:val="en-ZA"/>
        </w:rPr>
        <w:t xml:space="preserve">with an order to pay costs. Subsequently, on 19 April 2022, the defendants sought absolution from the instance, which was </w:t>
      </w:r>
      <w:r w:rsidR="00500F39">
        <w:rPr>
          <w:rFonts w:ascii="Arial" w:hAnsi="Arial"/>
          <w:lang w:val="en-ZA"/>
        </w:rPr>
        <w:t>refused</w:t>
      </w:r>
      <w:r w:rsidRPr="00351268">
        <w:rPr>
          <w:rFonts w:ascii="Arial" w:hAnsi="Arial"/>
          <w:lang w:val="en-ZA"/>
        </w:rPr>
        <w:t>, again with an order to pay costs.</w:t>
      </w:r>
    </w:p>
    <w:p w14:paraId="070B4DC2" w14:textId="77777777" w:rsidR="00351268" w:rsidRPr="00351268" w:rsidRDefault="00351268" w:rsidP="00351268">
      <w:pPr>
        <w:spacing w:after="0" w:line="360" w:lineRule="auto"/>
        <w:jc w:val="both"/>
        <w:rPr>
          <w:rFonts w:ascii="Arial" w:hAnsi="Arial"/>
          <w:lang w:val="en-US"/>
        </w:rPr>
      </w:pPr>
    </w:p>
    <w:p w14:paraId="57B2D20F" w14:textId="1888C080" w:rsidR="00351268" w:rsidRPr="00351268" w:rsidRDefault="00351268" w:rsidP="00351268">
      <w:pPr>
        <w:spacing w:after="0" w:line="360" w:lineRule="auto"/>
        <w:jc w:val="both"/>
        <w:rPr>
          <w:rFonts w:ascii="Arial" w:hAnsi="Arial"/>
          <w:lang w:val="en-US"/>
        </w:rPr>
      </w:pPr>
      <w:r w:rsidRPr="00351268">
        <w:rPr>
          <w:rFonts w:ascii="Arial" w:hAnsi="Arial"/>
          <w:lang w:val="en-ZA"/>
        </w:rPr>
        <w:t>[8]</w:t>
      </w:r>
      <w:r w:rsidRPr="00351268">
        <w:rPr>
          <w:rFonts w:ascii="Arial" w:hAnsi="Arial"/>
          <w:lang w:val="en-ZA"/>
        </w:rPr>
        <w:tab/>
        <w:t xml:space="preserve">Scheduling a suitable date for the </w:t>
      </w:r>
      <w:r w:rsidR="001B3CAA">
        <w:rPr>
          <w:rFonts w:ascii="Arial" w:hAnsi="Arial"/>
          <w:lang w:val="en-ZA"/>
        </w:rPr>
        <w:t>trial's</w:t>
      </w:r>
      <w:r w:rsidRPr="00351268">
        <w:rPr>
          <w:rFonts w:ascii="Arial" w:hAnsi="Arial"/>
          <w:lang w:val="en-ZA"/>
        </w:rPr>
        <w:t xml:space="preserve"> continuation was difficult due to the limited availability of those involved. This included the second defendant, who, due to poor health, was only available two days a week, as well as the availability of the advocates, attorneys, and the presiding judge.</w:t>
      </w:r>
      <w:r w:rsidRPr="00351268">
        <w:rPr>
          <w:rFonts w:ascii="Arial" w:hAnsi="Arial"/>
          <w:lang w:val="en-US"/>
        </w:rPr>
        <w:t xml:space="preserve"> The trial was ultimately set down for hearing on 12,17 and 20 October 2023.   </w:t>
      </w:r>
    </w:p>
    <w:p w14:paraId="02316757" w14:textId="77777777" w:rsidR="00351268" w:rsidRPr="00351268" w:rsidRDefault="00351268" w:rsidP="00351268">
      <w:pPr>
        <w:spacing w:after="0" w:line="360" w:lineRule="auto"/>
        <w:jc w:val="both"/>
        <w:rPr>
          <w:rFonts w:ascii="Arial" w:hAnsi="Arial"/>
          <w:lang w:val="en-US"/>
        </w:rPr>
      </w:pPr>
    </w:p>
    <w:p w14:paraId="3C561892" w14:textId="6D582DA2" w:rsidR="00351268" w:rsidRPr="00351268" w:rsidRDefault="00351268" w:rsidP="00351268">
      <w:pPr>
        <w:spacing w:after="0" w:line="360" w:lineRule="auto"/>
        <w:jc w:val="both"/>
        <w:rPr>
          <w:rFonts w:ascii="Arial" w:hAnsi="Arial"/>
          <w:lang w:val="en-ZA"/>
        </w:rPr>
      </w:pPr>
      <w:r w:rsidRPr="00351268">
        <w:rPr>
          <w:rFonts w:ascii="Arial" w:hAnsi="Arial"/>
          <w:lang w:val="en-ZA"/>
        </w:rPr>
        <w:t>[9]</w:t>
      </w:r>
      <w:r w:rsidRPr="00351268">
        <w:rPr>
          <w:rFonts w:ascii="Arial" w:hAnsi="Arial"/>
          <w:lang w:val="en-ZA"/>
        </w:rPr>
        <w:tab/>
        <w:t xml:space="preserve">At the reconvening of the trial, the second defendant disclosed to the court that the first defendant was deregistered because the second defendant, a sole member of the first defendant, had failed to file financial statements with the CIPC. The defendants brought an application to reopen the </w:t>
      </w:r>
      <w:r w:rsidR="001B3CAA">
        <w:rPr>
          <w:rFonts w:ascii="Arial" w:hAnsi="Arial"/>
          <w:lang w:val="en-ZA"/>
        </w:rPr>
        <w:t>plaintiffs'</w:t>
      </w:r>
      <w:r w:rsidRPr="00351268">
        <w:rPr>
          <w:rFonts w:ascii="Arial" w:hAnsi="Arial"/>
          <w:lang w:val="en-ZA"/>
        </w:rPr>
        <w:t xml:space="preserve"> case. The evidence sought to be examined with the second respondent related to the events leading up to the conclusion of the Memorandum of Agreement of </w:t>
      </w:r>
      <w:r w:rsidR="001B3CAA">
        <w:rPr>
          <w:rFonts w:ascii="Arial" w:hAnsi="Arial"/>
          <w:lang w:val="en-ZA"/>
        </w:rPr>
        <w:t>Sale</w:t>
      </w:r>
      <w:r w:rsidRPr="00351268">
        <w:rPr>
          <w:rFonts w:ascii="Arial" w:hAnsi="Arial"/>
          <w:lang w:val="en-ZA"/>
        </w:rPr>
        <w:t xml:space="preserve"> dated 13 May 2003 and the Declaration of </w:t>
      </w:r>
      <w:r w:rsidR="001B3CAA">
        <w:rPr>
          <w:rFonts w:ascii="Arial" w:hAnsi="Arial"/>
          <w:lang w:val="en-ZA"/>
        </w:rPr>
        <w:t>Sale</w:t>
      </w:r>
      <w:r w:rsidRPr="00351268">
        <w:rPr>
          <w:rFonts w:ascii="Arial" w:hAnsi="Arial"/>
          <w:lang w:val="en-ZA"/>
        </w:rPr>
        <w:t xml:space="preserve"> dated 31 March 2003. It encompasses issues such </w:t>
      </w:r>
      <w:r w:rsidR="001B3CAA">
        <w:rPr>
          <w:rFonts w:ascii="Arial" w:hAnsi="Arial"/>
          <w:lang w:val="en-ZA"/>
        </w:rPr>
        <w:t xml:space="preserve">as </w:t>
      </w:r>
      <w:r w:rsidRPr="00351268">
        <w:rPr>
          <w:rFonts w:ascii="Arial" w:hAnsi="Arial"/>
          <w:lang w:val="en-ZA"/>
        </w:rPr>
        <w:t xml:space="preserve">the purported delay in the liquor license application, the alterations made to the premises, the </w:t>
      </w:r>
      <w:r w:rsidR="00C13F49">
        <w:rPr>
          <w:rFonts w:ascii="Arial" w:hAnsi="Arial"/>
          <w:lang w:val="en-ZA"/>
        </w:rPr>
        <w:t>defendant's</w:t>
      </w:r>
      <w:r w:rsidRPr="00351268">
        <w:rPr>
          <w:rFonts w:ascii="Arial" w:hAnsi="Arial"/>
          <w:lang w:val="en-ZA"/>
        </w:rPr>
        <w:t xml:space="preserve"> explanation for the delay in the liquor license application, and why the defendants argue the Memorandum of Agreement of </w:t>
      </w:r>
      <w:r w:rsidR="001B3CAA">
        <w:rPr>
          <w:rFonts w:ascii="Arial" w:hAnsi="Arial"/>
          <w:lang w:val="en-ZA"/>
        </w:rPr>
        <w:t>Sale</w:t>
      </w:r>
      <w:r w:rsidRPr="00351268">
        <w:rPr>
          <w:rFonts w:ascii="Arial" w:hAnsi="Arial"/>
          <w:lang w:val="en-ZA"/>
        </w:rPr>
        <w:t xml:space="preserve"> did not lapse. Additionally, it covers whether the second plaintiff benefited from running the business after taking possession and the calculation of the amount claimed. The second defendant also intended to call Mr Steenkamp, a liquor </w:t>
      </w:r>
      <w:r w:rsidR="00C13F49">
        <w:rPr>
          <w:rFonts w:ascii="Arial" w:hAnsi="Arial"/>
          <w:lang w:val="en-ZA"/>
        </w:rPr>
        <w:t>license</w:t>
      </w:r>
      <w:r w:rsidRPr="00351268">
        <w:rPr>
          <w:rFonts w:ascii="Arial" w:hAnsi="Arial"/>
          <w:lang w:val="en-ZA"/>
        </w:rPr>
        <w:t xml:space="preserve"> consult</w:t>
      </w:r>
      <w:r w:rsidR="001B3CAA">
        <w:rPr>
          <w:rFonts w:ascii="Arial" w:hAnsi="Arial"/>
          <w:lang w:val="en-ZA"/>
        </w:rPr>
        <w:t>,</w:t>
      </w:r>
      <w:r w:rsidRPr="00351268">
        <w:rPr>
          <w:rFonts w:ascii="Arial" w:hAnsi="Arial"/>
          <w:lang w:val="en-ZA"/>
        </w:rPr>
        <w:t xml:space="preserve"> to give evidence </w:t>
      </w:r>
      <w:r w:rsidR="001B3CAA">
        <w:rPr>
          <w:rFonts w:ascii="Arial" w:hAnsi="Arial"/>
          <w:lang w:val="en-ZA"/>
        </w:rPr>
        <w:t>regarding</w:t>
      </w:r>
      <w:r w:rsidRPr="00351268">
        <w:rPr>
          <w:rFonts w:ascii="Arial" w:hAnsi="Arial"/>
          <w:lang w:val="en-ZA"/>
        </w:rPr>
        <w:t xml:space="preserve"> the procedures and time limits involved with a liquor license application. Mr Steenkamp has since passed away.</w:t>
      </w:r>
    </w:p>
    <w:p w14:paraId="4DF97A13" w14:textId="77777777" w:rsidR="00351268" w:rsidRPr="00351268" w:rsidRDefault="00351268" w:rsidP="00351268">
      <w:pPr>
        <w:spacing w:after="0" w:line="360" w:lineRule="auto"/>
        <w:jc w:val="both"/>
        <w:rPr>
          <w:rFonts w:ascii="Arial" w:hAnsi="Arial"/>
          <w:lang w:val="en-US"/>
        </w:rPr>
      </w:pPr>
    </w:p>
    <w:p w14:paraId="76CCFDFF" w14:textId="3A94C1E0" w:rsidR="00351268" w:rsidRPr="00351268" w:rsidRDefault="00351268" w:rsidP="00351268">
      <w:pPr>
        <w:spacing w:after="0" w:line="360" w:lineRule="auto"/>
        <w:jc w:val="both"/>
        <w:rPr>
          <w:rFonts w:ascii="Arial" w:hAnsi="Arial"/>
          <w:lang w:val="en-ZA"/>
        </w:rPr>
      </w:pPr>
      <w:r w:rsidRPr="00351268">
        <w:rPr>
          <w:rFonts w:ascii="Arial" w:hAnsi="Arial"/>
          <w:lang w:val="en-ZA"/>
        </w:rPr>
        <w:t>[10]</w:t>
      </w:r>
      <w:r w:rsidRPr="00351268">
        <w:rPr>
          <w:rFonts w:ascii="Arial" w:hAnsi="Arial"/>
          <w:lang w:val="en-ZA"/>
        </w:rPr>
        <w:tab/>
        <w:t>The relevant question raised by the application is whether, on the whole, it is in the interests of justice that leave be granted for the defendants</w:t>
      </w:r>
      <w:r w:rsidR="001B3CAA">
        <w:rPr>
          <w:rFonts w:ascii="Arial" w:hAnsi="Arial"/>
          <w:lang w:val="en-ZA"/>
        </w:rPr>
        <w:t xml:space="preserve"> </w:t>
      </w:r>
      <w:r w:rsidRPr="00351268">
        <w:rPr>
          <w:rFonts w:ascii="Arial" w:hAnsi="Arial"/>
          <w:lang w:val="en-ZA"/>
        </w:rPr>
        <w:t xml:space="preserve">to reopen their case. The court has </w:t>
      </w:r>
      <w:r w:rsidR="001B3CAA">
        <w:rPr>
          <w:rFonts w:ascii="Arial" w:hAnsi="Arial"/>
          <w:lang w:val="en-ZA"/>
        </w:rPr>
        <w:t>the</w:t>
      </w:r>
      <w:r w:rsidRPr="00351268">
        <w:rPr>
          <w:rFonts w:ascii="Arial" w:hAnsi="Arial"/>
          <w:lang w:val="en-ZA"/>
        </w:rPr>
        <w:t xml:space="preserve"> discretion to permit the reopening of a </w:t>
      </w:r>
      <w:r w:rsidR="001B3CAA">
        <w:rPr>
          <w:rFonts w:ascii="Arial" w:hAnsi="Arial"/>
          <w:lang w:val="en-ZA"/>
        </w:rPr>
        <w:t>party's</w:t>
      </w:r>
      <w:r w:rsidRPr="00351268">
        <w:rPr>
          <w:rFonts w:ascii="Arial" w:hAnsi="Arial"/>
          <w:lang w:val="en-ZA"/>
        </w:rPr>
        <w:t xml:space="preserve"> case, a decision influenced by principles of fairness and justice. In my view, for a party to justify reopening their case, they must prove that the proposed new evidence or examination is genuinely new and was not accessible during the initial trial. Simply stating that they did not adequately address certain matters is typically insufficient. The new evidence must also be material and likely to carry significant weight - not just an attempt to re-argue points already made or bolster </w:t>
      </w:r>
      <w:r w:rsidR="001B3CAA">
        <w:rPr>
          <w:rFonts w:ascii="Arial" w:hAnsi="Arial"/>
          <w:lang w:val="en-ZA"/>
        </w:rPr>
        <w:t>one's</w:t>
      </w:r>
      <w:r w:rsidRPr="00351268">
        <w:rPr>
          <w:rFonts w:ascii="Arial" w:hAnsi="Arial"/>
          <w:lang w:val="en-ZA"/>
        </w:rPr>
        <w:t xml:space="preserve"> original case. The court must balance the potential harm to the opposing party, should they need to contest settled issues again, against the injustice of excluding the new evidence</w:t>
      </w:r>
      <w:r w:rsidR="0044485D">
        <w:rPr>
          <w:rFonts w:ascii="Arial" w:hAnsi="Arial"/>
          <w:lang w:val="en-ZA"/>
        </w:rPr>
        <w:t>.</w:t>
      </w:r>
      <w:r w:rsidRPr="00351268">
        <w:rPr>
          <w:rFonts w:ascii="Arial" w:hAnsi="Arial"/>
          <w:lang w:val="en-ZA"/>
        </w:rPr>
        <w:t xml:space="preserve"> </w:t>
      </w:r>
    </w:p>
    <w:p w14:paraId="31390A56" w14:textId="77777777" w:rsidR="00351268" w:rsidRPr="00351268" w:rsidRDefault="00351268" w:rsidP="00351268">
      <w:pPr>
        <w:spacing w:after="0" w:line="360" w:lineRule="auto"/>
        <w:jc w:val="both"/>
        <w:rPr>
          <w:rFonts w:ascii="Arial" w:hAnsi="Arial"/>
          <w:lang w:val="en-US"/>
        </w:rPr>
      </w:pPr>
    </w:p>
    <w:p w14:paraId="744E51E4" w14:textId="2479C827" w:rsidR="00351268" w:rsidRPr="00351268" w:rsidRDefault="00351268" w:rsidP="00351268">
      <w:pPr>
        <w:spacing w:after="0" w:line="360" w:lineRule="auto"/>
        <w:jc w:val="both"/>
        <w:rPr>
          <w:rFonts w:ascii="Arial" w:hAnsi="Arial"/>
          <w:lang w:val="en-ZA"/>
        </w:rPr>
      </w:pPr>
      <w:r w:rsidRPr="00351268">
        <w:rPr>
          <w:rFonts w:ascii="Arial" w:hAnsi="Arial"/>
          <w:lang w:val="en-ZA"/>
        </w:rPr>
        <w:t>[11]</w:t>
      </w:r>
      <w:r w:rsidRPr="00351268">
        <w:rPr>
          <w:rFonts w:ascii="Arial" w:hAnsi="Arial"/>
          <w:lang w:val="en-ZA"/>
        </w:rPr>
        <w:tab/>
        <w:t xml:space="preserve">The defendants have not shown that the evidence they intend to present with the </w:t>
      </w:r>
      <w:r w:rsidR="002D1340">
        <w:rPr>
          <w:rFonts w:ascii="Arial" w:hAnsi="Arial"/>
          <w:lang w:val="en-ZA"/>
        </w:rPr>
        <w:t>cross-examination</w:t>
      </w:r>
      <w:r w:rsidRPr="00351268">
        <w:rPr>
          <w:rFonts w:ascii="Arial" w:hAnsi="Arial"/>
          <w:lang w:val="en-ZA"/>
        </w:rPr>
        <w:t xml:space="preserve"> of the second plaintiff qualifies as new evidence that was not available or could not have been reasonably discovered earlier. There is no indication of an unintentional error or misunderstanding of the facts or law. The second plaintiff was thoroughly cross-examined regarding the calculation of the claimed amount, which </w:t>
      </w:r>
      <w:r w:rsidR="002D1340">
        <w:rPr>
          <w:rFonts w:ascii="Arial" w:hAnsi="Arial"/>
          <w:lang w:val="en-ZA"/>
        </w:rPr>
        <w:t>led</w:t>
      </w:r>
      <w:r w:rsidRPr="00351268">
        <w:rPr>
          <w:rFonts w:ascii="Arial" w:hAnsi="Arial"/>
          <w:lang w:val="en-ZA"/>
        </w:rPr>
        <w:t xml:space="preserve"> to </w:t>
      </w:r>
      <w:r w:rsidR="002D1340">
        <w:rPr>
          <w:rFonts w:ascii="Arial" w:hAnsi="Arial"/>
          <w:lang w:val="en-ZA"/>
        </w:rPr>
        <w:t xml:space="preserve">the </w:t>
      </w:r>
      <w:r w:rsidRPr="00351268">
        <w:rPr>
          <w:rFonts w:ascii="Arial" w:hAnsi="Arial"/>
          <w:lang w:val="en-ZA"/>
        </w:rPr>
        <w:t xml:space="preserve">plaintiffs amending their Particulars of Claim to reflect his testimony. The circumstances leading to the conclusion of the contracts and whether the plaintiffs profited are not part of the </w:t>
      </w:r>
      <w:r w:rsidR="001B3CAA">
        <w:rPr>
          <w:rFonts w:ascii="Arial" w:hAnsi="Arial"/>
          <w:lang w:val="en-ZA"/>
        </w:rPr>
        <w:t>defendants'</w:t>
      </w:r>
      <w:r w:rsidRPr="00351268">
        <w:rPr>
          <w:rFonts w:ascii="Arial" w:hAnsi="Arial"/>
          <w:lang w:val="en-ZA"/>
        </w:rPr>
        <w:t xml:space="preserve"> case and are therefore irrelevant to the </w:t>
      </w:r>
      <w:r w:rsidR="002D1340">
        <w:rPr>
          <w:rFonts w:ascii="Arial" w:hAnsi="Arial"/>
          <w:lang w:val="en-ZA"/>
        </w:rPr>
        <w:t>defendants'</w:t>
      </w:r>
      <w:r w:rsidRPr="00351268">
        <w:rPr>
          <w:rFonts w:ascii="Arial" w:hAnsi="Arial"/>
          <w:lang w:val="en-ZA"/>
        </w:rPr>
        <w:t xml:space="preserve"> argument that they cancelled the agreement because </w:t>
      </w:r>
      <w:r w:rsidR="002D1340">
        <w:rPr>
          <w:rFonts w:ascii="Arial" w:hAnsi="Arial"/>
          <w:lang w:val="en-ZA"/>
        </w:rPr>
        <w:t xml:space="preserve">the </w:t>
      </w:r>
      <w:r w:rsidRPr="00351268">
        <w:rPr>
          <w:rFonts w:ascii="Arial" w:hAnsi="Arial"/>
          <w:lang w:val="en-ZA"/>
        </w:rPr>
        <w:t xml:space="preserve">plaintiffs defaulted on their July and August instalment payments. The defendants have failed to explain the relevance to their defence of the </w:t>
      </w:r>
      <w:r w:rsidR="00C13F49">
        <w:rPr>
          <w:rFonts w:ascii="Arial" w:hAnsi="Arial"/>
          <w:lang w:val="en-ZA"/>
        </w:rPr>
        <w:t>quantum calculation</w:t>
      </w:r>
      <w:r w:rsidRPr="00351268">
        <w:rPr>
          <w:rFonts w:ascii="Arial" w:hAnsi="Arial"/>
          <w:lang w:val="en-ZA"/>
        </w:rPr>
        <w:t xml:space="preserve">. The overriding principle is whether, considering all the evidence, the interests of justice favour granting leave to reopen the </w:t>
      </w:r>
      <w:r w:rsidR="001B3CAA">
        <w:rPr>
          <w:rFonts w:ascii="Arial" w:hAnsi="Arial"/>
          <w:lang w:val="en-ZA"/>
        </w:rPr>
        <w:t>plaintiffs'</w:t>
      </w:r>
      <w:r w:rsidRPr="00351268">
        <w:rPr>
          <w:rFonts w:ascii="Arial" w:hAnsi="Arial"/>
          <w:lang w:val="en-ZA"/>
        </w:rPr>
        <w:t xml:space="preserve"> case. The court is satisfied that in the present case, it does not, and therefore</w:t>
      </w:r>
      <w:r w:rsidR="002D1340">
        <w:rPr>
          <w:rFonts w:ascii="Arial" w:hAnsi="Arial"/>
          <w:lang w:val="en-ZA"/>
        </w:rPr>
        <w:t>,</w:t>
      </w:r>
      <w:r w:rsidRPr="00351268">
        <w:rPr>
          <w:rFonts w:ascii="Arial" w:hAnsi="Arial"/>
          <w:lang w:val="en-ZA"/>
        </w:rPr>
        <w:t xml:space="preserve"> refused to grant leave to reopen the </w:t>
      </w:r>
      <w:r w:rsidR="001B3CAA">
        <w:rPr>
          <w:rFonts w:ascii="Arial" w:hAnsi="Arial"/>
          <w:lang w:val="en-ZA"/>
        </w:rPr>
        <w:t>plaintiffs'</w:t>
      </w:r>
      <w:r w:rsidRPr="00351268">
        <w:rPr>
          <w:rFonts w:ascii="Arial" w:hAnsi="Arial"/>
          <w:lang w:val="en-ZA"/>
        </w:rPr>
        <w:t xml:space="preserve"> case.</w:t>
      </w:r>
    </w:p>
    <w:p w14:paraId="7BA8910F" w14:textId="77777777" w:rsidR="00351268" w:rsidRPr="00351268" w:rsidRDefault="00351268" w:rsidP="00351268">
      <w:pPr>
        <w:spacing w:after="0" w:line="360" w:lineRule="auto"/>
        <w:jc w:val="both"/>
        <w:rPr>
          <w:rFonts w:ascii="Arial" w:hAnsi="Arial"/>
          <w:lang w:val="en-ZA"/>
        </w:rPr>
      </w:pPr>
    </w:p>
    <w:p w14:paraId="0CD1E89C" w14:textId="4D5B8252" w:rsidR="00351268" w:rsidRPr="00351268" w:rsidRDefault="00351268" w:rsidP="00351268">
      <w:pPr>
        <w:spacing w:after="0" w:line="360" w:lineRule="auto"/>
        <w:jc w:val="both"/>
        <w:rPr>
          <w:rFonts w:ascii="Arial" w:hAnsi="Arial"/>
          <w:lang w:val="en-US"/>
        </w:rPr>
      </w:pPr>
      <w:r w:rsidRPr="00351268">
        <w:rPr>
          <w:rFonts w:ascii="Arial" w:hAnsi="Arial"/>
          <w:lang w:val="en-US"/>
        </w:rPr>
        <w:t>[12]</w:t>
      </w:r>
      <w:r w:rsidRPr="00351268">
        <w:rPr>
          <w:rFonts w:ascii="Arial" w:hAnsi="Arial"/>
          <w:lang w:val="en-US"/>
        </w:rPr>
        <w:tab/>
        <w:t xml:space="preserve">The substantive </w:t>
      </w:r>
      <w:r w:rsidR="00C13F49">
        <w:rPr>
          <w:rFonts w:ascii="Arial" w:hAnsi="Arial"/>
          <w:lang w:val="en-US"/>
        </w:rPr>
        <w:t>defenses</w:t>
      </w:r>
      <w:r w:rsidRPr="00351268">
        <w:rPr>
          <w:rFonts w:ascii="Arial" w:hAnsi="Arial"/>
          <w:lang w:val="en-US"/>
        </w:rPr>
        <w:t xml:space="preserve"> set up by the defendants were, in essence</w:t>
      </w:r>
      <w:r w:rsidR="002D1340">
        <w:rPr>
          <w:rFonts w:ascii="Arial" w:hAnsi="Arial"/>
          <w:lang w:val="en-US"/>
        </w:rPr>
        <w:t>,</w:t>
      </w:r>
      <w:r w:rsidRPr="00351268">
        <w:rPr>
          <w:rFonts w:ascii="Arial" w:hAnsi="Arial"/>
          <w:lang w:val="en-US"/>
        </w:rPr>
        <w:t xml:space="preserve"> the following: </w:t>
      </w:r>
    </w:p>
    <w:p w14:paraId="6BD55B65" w14:textId="77777777" w:rsidR="00351268" w:rsidRPr="00351268" w:rsidRDefault="00351268" w:rsidP="00351268">
      <w:pPr>
        <w:spacing w:after="0" w:line="360" w:lineRule="auto"/>
        <w:jc w:val="both"/>
        <w:rPr>
          <w:rFonts w:ascii="Arial" w:hAnsi="Arial"/>
          <w:lang w:val="en-US"/>
        </w:rPr>
      </w:pPr>
      <w:r w:rsidRPr="00351268">
        <w:rPr>
          <w:rFonts w:ascii="Arial" w:hAnsi="Arial"/>
          <w:lang w:val="en-US"/>
        </w:rPr>
        <w:t xml:space="preserve"> </w:t>
      </w:r>
    </w:p>
    <w:p w14:paraId="732030C4" w14:textId="2B447765" w:rsidR="00351268" w:rsidRPr="00351268" w:rsidRDefault="00351268" w:rsidP="002D1340">
      <w:pPr>
        <w:spacing w:after="0" w:line="360" w:lineRule="auto"/>
        <w:ind w:left="720" w:hanging="720"/>
        <w:jc w:val="both"/>
        <w:rPr>
          <w:rFonts w:ascii="Arial" w:hAnsi="Arial"/>
          <w:lang w:val="en-US"/>
        </w:rPr>
      </w:pPr>
      <w:r w:rsidRPr="00351268">
        <w:rPr>
          <w:rFonts w:ascii="Arial" w:hAnsi="Arial"/>
          <w:lang w:val="en-US"/>
        </w:rPr>
        <w:t>a.</w:t>
      </w:r>
      <w:r w:rsidRPr="00351268">
        <w:rPr>
          <w:rFonts w:ascii="Arial" w:hAnsi="Arial"/>
          <w:lang w:val="en-US"/>
        </w:rPr>
        <w:tab/>
        <w:t xml:space="preserve">There is no basis for the plaintiffs to claim from </w:t>
      </w:r>
      <w:r w:rsidR="002D1340">
        <w:rPr>
          <w:rFonts w:ascii="Arial" w:hAnsi="Arial"/>
          <w:lang w:val="en-US"/>
        </w:rPr>
        <w:t xml:space="preserve">the </w:t>
      </w:r>
      <w:r w:rsidRPr="00351268">
        <w:rPr>
          <w:rFonts w:ascii="Arial" w:hAnsi="Arial"/>
          <w:lang w:val="en-US"/>
        </w:rPr>
        <w:t xml:space="preserve">second defendant and any claim the plaintiff may have lies against the first defendant. </w:t>
      </w:r>
    </w:p>
    <w:p w14:paraId="34FBD1CE" w14:textId="46FB2197" w:rsidR="00351268" w:rsidRPr="00351268" w:rsidRDefault="00351268" w:rsidP="002D1340">
      <w:pPr>
        <w:spacing w:after="0" w:line="360" w:lineRule="auto"/>
        <w:ind w:left="720" w:hanging="720"/>
        <w:jc w:val="both"/>
        <w:rPr>
          <w:rFonts w:ascii="Arial" w:hAnsi="Arial"/>
          <w:lang w:val="en-US"/>
        </w:rPr>
      </w:pPr>
      <w:r w:rsidRPr="00351268">
        <w:rPr>
          <w:rFonts w:ascii="Arial" w:hAnsi="Arial"/>
          <w:lang w:val="en-US"/>
        </w:rPr>
        <w:t>b.</w:t>
      </w:r>
      <w:r w:rsidRPr="00351268">
        <w:rPr>
          <w:rFonts w:ascii="Arial" w:hAnsi="Arial"/>
          <w:lang w:val="en-US"/>
        </w:rPr>
        <w:tab/>
      </w:r>
      <w:r w:rsidR="002D1340">
        <w:rPr>
          <w:rFonts w:ascii="Arial" w:hAnsi="Arial"/>
          <w:lang w:val="en-US"/>
        </w:rPr>
        <w:t>The second</w:t>
      </w:r>
      <w:r w:rsidRPr="00351268">
        <w:rPr>
          <w:rFonts w:ascii="Arial" w:hAnsi="Arial"/>
          <w:lang w:val="en-US"/>
        </w:rPr>
        <w:t xml:space="preserve"> defendant denies that </w:t>
      </w:r>
      <w:r w:rsidR="00C13F49">
        <w:rPr>
          <w:rFonts w:ascii="Arial" w:hAnsi="Arial"/>
          <w:lang w:val="en-US"/>
        </w:rPr>
        <w:t xml:space="preserve">the </w:t>
      </w:r>
      <w:r w:rsidRPr="00351268">
        <w:rPr>
          <w:rFonts w:ascii="Arial" w:hAnsi="Arial"/>
          <w:lang w:val="en-US"/>
        </w:rPr>
        <w:t xml:space="preserve">first respondent failed to transfer the liquor license within a reasonable period as it took active steps to ensure the </w:t>
      </w:r>
      <w:r w:rsidR="002D1340">
        <w:rPr>
          <w:rFonts w:ascii="Arial" w:hAnsi="Arial"/>
          <w:lang w:val="en-US"/>
        </w:rPr>
        <w:t>liquor license transfer</w:t>
      </w:r>
      <w:r w:rsidRPr="00351268">
        <w:rPr>
          <w:rFonts w:ascii="Arial" w:hAnsi="Arial"/>
          <w:lang w:val="en-US"/>
        </w:rPr>
        <w:t xml:space="preserve"> in consultations with the plaintiffs. </w:t>
      </w:r>
    </w:p>
    <w:p w14:paraId="3BAC9664" w14:textId="12B3AEF9" w:rsidR="00351268" w:rsidRPr="00351268" w:rsidRDefault="00351268" w:rsidP="002D1340">
      <w:pPr>
        <w:spacing w:after="0" w:line="360" w:lineRule="auto"/>
        <w:ind w:left="720" w:hanging="720"/>
        <w:jc w:val="both"/>
        <w:rPr>
          <w:rFonts w:ascii="Arial" w:hAnsi="Arial"/>
          <w:lang w:val="en-US"/>
        </w:rPr>
      </w:pPr>
      <w:r w:rsidRPr="00351268">
        <w:rPr>
          <w:rFonts w:ascii="Arial" w:hAnsi="Arial"/>
          <w:lang w:val="en-US"/>
        </w:rPr>
        <w:t>c.</w:t>
      </w:r>
      <w:r w:rsidRPr="00351268">
        <w:rPr>
          <w:rFonts w:ascii="Arial" w:hAnsi="Arial"/>
          <w:lang w:val="en-US"/>
        </w:rPr>
        <w:tab/>
        <w:t>By the time the issue pertaining to the liquor license was raised, the plaintiffs were already in arrears with their monthly payments for July and August 2004 owing to the arrears</w:t>
      </w:r>
      <w:r w:rsidR="002D1340">
        <w:rPr>
          <w:rFonts w:ascii="Arial" w:hAnsi="Arial"/>
          <w:lang w:val="en-US"/>
        </w:rPr>
        <w:t>. On</w:t>
      </w:r>
      <w:r w:rsidRPr="00351268">
        <w:rPr>
          <w:rFonts w:ascii="Arial" w:hAnsi="Arial"/>
          <w:lang w:val="en-US"/>
        </w:rPr>
        <w:t xml:space="preserve"> 20 October 2004</w:t>
      </w:r>
      <w:r w:rsidR="002D1340">
        <w:rPr>
          <w:rFonts w:ascii="Arial" w:hAnsi="Arial"/>
          <w:lang w:val="en-US"/>
        </w:rPr>
        <w:t>, the</w:t>
      </w:r>
      <w:r w:rsidRPr="00351268">
        <w:rPr>
          <w:rFonts w:ascii="Arial" w:hAnsi="Arial"/>
          <w:lang w:val="en-US"/>
        </w:rPr>
        <w:t xml:space="preserve"> first respondent placed the plaintiffs on terms. The plaintiffs failed to rectify the breach</w:t>
      </w:r>
      <w:r w:rsidR="002D1340">
        <w:rPr>
          <w:rFonts w:ascii="Arial" w:hAnsi="Arial"/>
          <w:lang w:val="en-US"/>
        </w:rPr>
        <w:t>,</w:t>
      </w:r>
      <w:r w:rsidRPr="00351268">
        <w:rPr>
          <w:rFonts w:ascii="Arial" w:hAnsi="Arial"/>
          <w:lang w:val="en-US"/>
        </w:rPr>
        <w:t xml:space="preserve"> and on 24 November 2004</w:t>
      </w:r>
      <w:r w:rsidR="002D1340">
        <w:rPr>
          <w:rFonts w:ascii="Arial" w:hAnsi="Arial"/>
          <w:lang w:val="en-US"/>
        </w:rPr>
        <w:t>,</w:t>
      </w:r>
      <w:r w:rsidRPr="00351268">
        <w:rPr>
          <w:rFonts w:ascii="Arial" w:hAnsi="Arial"/>
          <w:lang w:val="en-US"/>
        </w:rPr>
        <w:t xml:space="preserve"> the </w:t>
      </w:r>
      <w:r w:rsidR="002D1340">
        <w:rPr>
          <w:rFonts w:ascii="Arial" w:hAnsi="Arial"/>
          <w:lang w:val="en-US"/>
        </w:rPr>
        <w:t>sale agreement</w:t>
      </w:r>
      <w:r w:rsidRPr="00351268">
        <w:rPr>
          <w:rFonts w:ascii="Arial" w:hAnsi="Arial"/>
          <w:lang w:val="en-US"/>
        </w:rPr>
        <w:t xml:space="preserve"> was cancelled.</w:t>
      </w:r>
    </w:p>
    <w:p w14:paraId="671249E6" w14:textId="138D9E06" w:rsidR="00351268" w:rsidRPr="00351268" w:rsidRDefault="00351268" w:rsidP="002D1340">
      <w:pPr>
        <w:spacing w:after="0" w:line="360" w:lineRule="auto"/>
        <w:ind w:left="720" w:hanging="720"/>
        <w:jc w:val="both"/>
        <w:rPr>
          <w:rFonts w:ascii="Arial" w:hAnsi="Arial"/>
          <w:lang w:val="en-US"/>
        </w:rPr>
      </w:pPr>
      <w:r w:rsidRPr="00351268">
        <w:rPr>
          <w:rFonts w:ascii="Arial" w:hAnsi="Arial"/>
          <w:lang w:val="en-US"/>
        </w:rPr>
        <w:t>d.</w:t>
      </w:r>
      <w:r w:rsidRPr="00351268">
        <w:rPr>
          <w:rFonts w:ascii="Arial" w:hAnsi="Arial"/>
          <w:lang w:val="en-US"/>
        </w:rPr>
        <w:tab/>
        <w:t xml:space="preserve">The first defendant denies that it accepted the tender of the business and </w:t>
      </w:r>
      <w:r w:rsidR="002D1340">
        <w:rPr>
          <w:rFonts w:ascii="Arial" w:hAnsi="Arial"/>
          <w:lang w:val="en-US"/>
        </w:rPr>
        <w:t>states</w:t>
      </w:r>
      <w:r w:rsidRPr="00351268">
        <w:rPr>
          <w:rFonts w:ascii="Arial" w:hAnsi="Arial"/>
          <w:lang w:val="en-US"/>
        </w:rPr>
        <w:t xml:space="preserve"> that it was entitled to reclaim possession of the business in terms of the agreement of sale and owing to valid cancellation of the agreement.</w:t>
      </w:r>
    </w:p>
    <w:p w14:paraId="43A9F903" w14:textId="77777777" w:rsidR="00351268" w:rsidRPr="00351268" w:rsidRDefault="00351268" w:rsidP="00351268">
      <w:pPr>
        <w:spacing w:after="0" w:line="360" w:lineRule="auto"/>
        <w:jc w:val="both"/>
        <w:rPr>
          <w:rFonts w:ascii="Arial" w:hAnsi="Arial"/>
          <w:lang w:val="en-US"/>
        </w:rPr>
      </w:pPr>
    </w:p>
    <w:p w14:paraId="6AC2B69D" w14:textId="77777777" w:rsidR="00351268" w:rsidRPr="00351268" w:rsidRDefault="00351268" w:rsidP="00351268">
      <w:pPr>
        <w:spacing w:after="0" w:line="360" w:lineRule="auto"/>
        <w:jc w:val="both"/>
        <w:rPr>
          <w:rFonts w:ascii="Arial" w:hAnsi="Arial"/>
          <w:lang w:val="en-US"/>
        </w:rPr>
      </w:pPr>
    </w:p>
    <w:p w14:paraId="4AE48CA9" w14:textId="4F2DC374" w:rsidR="00351268" w:rsidRPr="00351268" w:rsidRDefault="0088754F" w:rsidP="00351268">
      <w:pPr>
        <w:spacing w:after="0" w:line="360" w:lineRule="auto"/>
        <w:jc w:val="both"/>
        <w:rPr>
          <w:rFonts w:ascii="Arial" w:hAnsi="Arial"/>
          <w:lang w:val="en-ZA"/>
        </w:rPr>
      </w:pPr>
      <w:r>
        <w:rPr>
          <w:rFonts w:ascii="Arial" w:hAnsi="Arial"/>
          <w:lang w:val="en-ZA"/>
        </w:rPr>
        <w:t>[13]</w:t>
      </w:r>
      <w:r>
        <w:rPr>
          <w:rFonts w:ascii="Arial" w:hAnsi="Arial"/>
          <w:lang w:val="en-ZA"/>
        </w:rPr>
        <w:tab/>
      </w:r>
      <w:r w:rsidR="00351268" w:rsidRPr="00351268">
        <w:rPr>
          <w:rFonts w:ascii="Arial" w:hAnsi="Arial"/>
          <w:lang w:val="en-ZA"/>
        </w:rPr>
        <w:t xml:space="preserve">The second defendant argues that the plaintiffs have no grounds to make a claim against him, as he was either acting as an agent for the first defendant or was duly authorized to act on the first </w:t>
      </w:r>
      <w:r w:rsidR="001B3CAA">
        <w:rPr>
          <w:rFonts w:ascii="Arial" w:hAnsi="Arial"/>
          <w:lang w:val="en-ZA"/>
        </w:rPr>
        <w:t>defendant's</w:t>
      </w:r>
      <w:r w:rsidR="00351268" w:rsidRPr="00351268">
        <w:rPr>
          <w:rFonts w:ascii="Arial" w:hAnsi="Arial"/>
          <w:lang w:val="en-ZA"/>
        </w:rPr>
        <w:t xml:space="preserve"> behalf. The second defendant personally benefited from the agreement. The plaintiffs paid R1,500,000 in cash to the second defendant on 31  March 2003</w:t>
      </w:r>
      <w:r w:rsidR="002D1340">
        <w:rPr>
          <w:rFonts w:ascii="Arial" w:hAnsi="Arial"/>
          <w:lang w:val="en-ZA"/>
        </w:rPr>
        <w:t>; when</w:t>
      </w:r>
      <w:r w:rsidR="00351268" w:rsidRPr="00351268">
        <w:rPr>
          <w:rFonts w:ascii="Arial" w:hAnsi="Arial"/>
          <w:lang w:val="en-ZA"/>
        </w:rPr>
        <w:t xml:space="preserve"> he signed for the receipt of the money</w:t>
      </w:r>
      <w:r w:rsidR="00E66760">
        <w:rPr>
          <w:rFonts w:ascii="Arial" w:hAnsi="Arial"/>
          <w:lang w:val="en-ZA"/>
        </w:rPr>
        <w:t>,</w:t>
      </w:r>
      <w:r w:rsidR="00351268" w:rsidRPr="00351268">
        <w:rPr>
          <w:rFonts w:ascii="Arial" w:hAnsi="Arial"/>
          <w:lang w:val="en-ZA"/>
        </w:rPr>
        <w:t xml:space="preserve"> he never indicated that he was signing in his representative capacity. The second defendant was a beneficiary of the cheques in exchange for which he received </w:t>
      </w:r>
      <w:r w:rsidR="00E66760">
        <w:rPr>
          <w:rFonts w:ascii="Arial" w:hAnsi="Arial"/>
          <w:lang w:val="en-ZA"/>
        </w:rPr>
        <w:t>R630,000.00</w:t>
      </w:r>
      <w:r w:rsidR="00351268" w:rsidRPr="00351268">
        <w:rPr>
          <w:rFonts w:ascii="Arial" w:hAnsi="Arial"/>
          <w:lang w:val="en-ZA"/>
        </w:rPr>
        <w:t xml:space="preserve"> in cash from the plaintiffs. There is no evidence that </w:t>
      </w:r>
      <w:r w:rsidR="00E66760">
        <w:rPr>
          <w:rFonts w:ascii="Arial" w:hAnsi="Arial"/>
          <w:lang w:val="en-ZA"/>
        </w:rPr>
        <w:t>the first defendant received any of these monies</w:t>
      </w:r>
      <w:r w:rsidR="00351268" w:rsidRPr="00351268">
        <w:rPr>
          <w:rFonts w:ascii="Arial" w:hAnsi="Arial"/>
          <w:lang w:val="en-ZA"/>
        </w:rPr>
        <w:t>.</w:t>
      </w:r>
    </w:p>
    <w:p w14:paraId="3CF51140" w14:textId="77777777" w:rsidR="00351268" w:rsidRPr="00351268" w:rsidRDefault="00351268" w:rsidP="00351268">
      <w:pPr>
        <w:spacing w:after="0" w:line="360" w:lineRule="auto"/>
        <w:jc w:val="both"/>
        <w:rPr>
          <w:rFonts w:ascii="Arial" w:hAnsi="Arial"/>
          <w:lang w:val="en-ZA"/>
        </w:rPr>
      </w:pPr>
      <w:r w:rsidRPr="00351268">
        <w:rPr>
          <w:rFonts w:ascii="Arial" w:hAnsi="Arial"/>
          <w:lang w:val="en-ZA"/>
        </w:rPr>
        <w:t xml:space="preserve"> </w:t>
      </w:r>
    </w:p>
    <w:p w14:paraId="20A3A6A2" w14:textId="46F36529" w:rsidR="00351268" w:rsidRPr="00351268" w:rsidRDefault="0088754F" w:rsidP="00351268">
      <w:pPr>
        <w:spacing w:after="0" w:line="360" w:lineRule="auto"/>
        <w:jc w:val="both"/>
        <w:rPr>
          <w:rFonts w:ascii="Arial" w:hAnsi="Arial"/>
          <w:lang w:val="en-US"/>
        </w:rPr>
      </w:pPr>
      <w:r>
        <w:rPr>
          <w:rFonts w:ascii="Arial" w:hAnsi="Arial"/>
          <w:lang w:val="en-US"/>
        </w:rPr>
        <w:t>[14]</w:t>
      </w:r>
      <w:r>
        <w:rPr>
          <w:rFonts w:ascii="Arial" w:hAnsi="Arial"/>
          <w:lang w:val="en-US"/>
        </w:rPr>
        <w:tab/>
      </w:r>
      <w:r w:rsidR="00351268" w:rsidRPr="00351268">
        <w:rPr>
          <w:rFonts w:ascii="Arial" w:hAnsi="Arial"/>
          <w:lang w:val="en-US"/>
        </w:rPr>
        <w:t>The defendants</w:t>
      </w:r>
      <w:r w:rsidR="00E66760">
        <w:rPr>
          <w:rFonts w:ascii="Arial" w:hAnsi="Arial"/>
          <w:lang w:val="en-US"/>
        </w:rPr>
        <w:t>,</w:t>
      </w:r>
      <w:r w:rsidR="00351268" w:rsidRPr="00351268">
        <w:rPr>
          <w:rFonts w:ascii="Arial" w:hAnsi="Arial"/>
          <w:lang w:val="en-US"/>
        </w:rPr>
        <w:t xml:space="preserve"> relying on the forfeiture clause in the agreement</w:t>
      </w:r>
      <w:r w:rsidR="00E66760">
        <w:rPr>
          <w:rFonts w:ascii="Arial" w:hAnsi="Arial"/>
          <w:lang w:val="en-US"/>
        </w:rPr>
        <w:t>,</w:t>
      </w:r>
      <w:r w:rsidR="00351268" w:rsidRPr="00351268">
        <w:rPr>
          <w:rFonts w:ascii="Arial" w:hAnsi="Arial"/>
          <w:lang w:val="en-US"/>
        </w:rPr>
        <w:t xml:space="preserve"> assert that as the agreement has been cancelled</w:t>
      </w:r>
      <w:r w:rsidR="00E66760">
        <w:rPr>
          <w:rFonts w:ascii="Arial" w:hAnsi="Arial"/>
          <w:lang w:val="en-US"/>
        </w:rPr>
        <w:t>,</w:t>
      </w:r>
      <w:r w:rsidR="00351268" w:rsidRPr="00351268">
        <w:rPr>
          <w:rFonts w:ascii="Arial" w:hAnsi="Arial"/>
          <w:lang w:val="en-US"/>
        </w:rPr>
        <w:t xml:space="preserve"> the plaintiffs would have to return the business forthwith to the first defendant</w:t>
      </w:r>
      <w:r w:rsidR="00E66760">
        <w:rPr>
          <w:rFonts w:ascii="Arial" w:hAnsi="Arial"/>
          <w:lang w:val="en-US"/>
        </w:rPr>
        <w:t xml:space="preserve">, </w:t>
      </w:r>
      <w:r w:rsidR="00351268" w:rsidRPr="00351268">
        <w:rPr>
          <w:rFonts w:ascii="Arial" w:hAnsi="Arial"/>
          <w:lang w:val="en-US"/>
        </w:rPr>
        <w:t>and all the amounts already paid in terms of the agreement is</w:t>
      </w:r>
      <w:r w:rsidR="00E66760">
        <w:rPr>
          <w:rFonts w:ascii="Arial" w:hAnsi="Arial"/>
          <w:lang w:val="en-US"/>
        </w:rPr>
        <w:t xml:space="preserve"> </w:t>
      </w:r>
      <w:r w:rsidR="00351268" w:rsidRPr="00351268">
        <w:rPr>
          <w:rFonts w:ascii="Arial" w:hAnsi="Arial"/>
          <w:lang w:val="en-US"/>
        </w:rPr>
        <w:t>forfeited to the first respondent as liquidated damages. Clause 14 of the 13 May 2003 agreement provides:</w:t>
      </w:r>
    </w:p>
    <w:p w14:paraId="413C5B49" w14:textId="77777777" w:rsidR="00351268" w:rsidRPr="00351268" w:rsidRDefault="00351268" w:rsidP="00351268">
      <w:pPr>
        <w:spacing w:after="0" w:line="360" w:lineRule="auto"/>
        <w:jc w:val="both"/>
        <w:rPr>
          <w:rFonts w:ascii="Arial" w:hAnsi="Arial"/>
          <w:lang w:val="en-US"/>
        </w:rPr>
      </w:pPr>
    </w:p>
    <w:p w14:paraId="4386CF78" w14:textId="336384E3" w:rsidR="00351268" w:rsidRPr="00351268" w:rsidRDefault="001B3CAA" w:rsidP="0088754F">
      <w:pPr>
        <w:spacing w:after="0" w:line="360" w:lineRule="auto"/>
        <w:ind w:left="720"/>
        <w:jc w:val="both"/>
        <w:rPr>
          <w:rFonts w:ascii="Arial" w:hAnsi="Arial"/>
          <w:lang w:val="en-US"/>
        </w:rPr>
      </w:pPr>
      <w:r>
        <w:rPr>
          <w:rFonts w:ascii="Arial" w:hAnsi="Arial"/>
          <w:lang w:val="en-US"/>
        </w:rPr>
        <w:t>"</w:t>
      </w:r>
      <w:r w:rsidR="00351268" w:rsidRPr="00351268">
        <w:rPr>
          <w:rFonts w:ascii="Arial" w:hAnsi="Arial"/>
          <w:lang w:val="en-US"/>
        </w:rPr>
        <w:t>In the event of the cancellation of clause 14.1.2 above</w:t>
      </w:r>
      <w:r w:rsidR="00E66760">
        <w:rPr>
          <w:rFonts w:ascii="Arial" w:hAnsi="Arial"/>
          <w:lang w:val="en-US"/>
        </w:rPr>
        <w:t>,</w:t>
      </w:r>
      <w:r w:rsidR="00351268" w:rsidRPr="00351268">
        <w:rPr>
          <w:rFonts w:ascii="Arial" w:hAnsi="Arial"/>
          <w:lang w:val="en-US"/>
        </w:rPr>
        <w:t xml:space="preserve"> the purchasers shall forthwith return the business to the seller</w:t>
      </w:r>
      <w:r w:rsidR="00E66760">
        <w:rPr>
          <w:rFonts w:ascii="Arial" w:hAnsi="Arial"/>
          <w:lang w:val="en-US"/>
        </w:rPr>
        <w:t>,</w:t>
      </w:r>
      <w:r w:rsidR="00351268" w:rsidRPr="00351268">
        <w:rPr>
          <w:rFonts w:ascii="Arial" w:hAnsi="Arial"/>
          <w:lang w:val="en-US"/>
        </w:rPr>
        <w:t xml:space="preserve"> and all amounts already paid in terms of the agreement shall be forfeited to the seller as liquidated damages.</w:t>
      </w:r>
      <w:r>
        <w:rPr>
          <w:rFonts w:ascii="Arial" w:hAnsi="Arial"/>
          <w:lang w:val="en-US"/>
        </w:rPr>
        <w:t>"</w:t>
      </w:r>
    </w:p>
    <w:p w14:paraId="25D2012B" w14:textId="77777777" w:rsidR="00351268" w:rsidRPr="00351268" w:rsidRDefault="00351268" w:rsidP="00351268">
      <w:pPr>
        <w:spacing w:after="0" w:line="360" w:lineRule="auto"/>
        <w:jc w:val="both"/>
        <w:rPr>
          <w:rFonts w:ascii="Arial" w:hAnsi="Arial"/>
          <w:lang w:val="en-US"/>
        </w:rPr>
      </w:pPr>
    </w:p>
    <w:p w14:paraId="0483888B" w14:textId="002576B1" w:rsidR="00351268" w:rsidRPr="00351268" w:rsidRDefault="0088754F" w:rsidP="00351268">
      <w:pPr>
        <w:spacing w:after="0" w:line="360" w:lineRule="auto"/>
        <w:jc w:val="both"/>
        <w:rPr>
          <w:rFonts w:ascii="Arial" w:hAnsi="Arial"/>
          <w:lang w:val="en-US"/>
        </w:rPr>
      </w:pPr>
      <w:r>
        <w:rPr>
          <w:rFonts w:ascii="Arial" w:hAnsi="Arial"/>
          <w:lang w:val="en-US"/>
        </w:rPr>
        <w:t>[15]</w:t>
      </w:r>
      <w:r>
        <w:rPr>
          <w:rFonts w:ascii="Arial" w:hAnsi="Arial"/>
          <w:lang w:val="en-US"/>
        </w:rPr>
        <w:tab/>
      </w:r>
      <w:r w:rsidR="00351268" w:rsidRPr="00351268">
        <w:rPr>
          <w:rFonts w:ascii="Arial" w:hAnsi="Arial"/>
          <w:lang w:val="en-US"/>
        </w:rPr>
        <w:t>This clause constitutes a penalty clause as contemplated in section 2 of the Conventional Penalty Act, act 15 of 1962</w:t>
      </w:r>
      <w:r w:rsidR="00D354D2">
        <w:rPr>
          <w:rFonts w:ascii="Arial" w:hAnsi="Arial"/>
          <w:lang w:val="en-US"/>
        </w:rPr>
        <w:t>. T</w:t>
      </w:r>
      <w:r w:rsidR="009B3CD3">
        <w:rPr>
          <w:rFonts w:ascii="Arial" w:hAnsi="Arial"/>
          <w:lang w:val="en-US"/>
        </w:rPr>
        <w:t xml:space="preserve">he defendant cannot recover both the penalty and damages. The penalty is markedly </w:t>
      </w:r>
      <w:r w:rsidR="00C13F49">
        <w:rPr>
          <w:rFonts w:ascii="Arial" w:hAnsi="Arial"/>
          <w:lang w:val="en-US"/>
        </w:rPr>
        <w:t>disproportionate</w:t>
      </w:r>
      <w:r w:rsidR="00423EFF">
        <w:rPr>
          <w:rFonts w:ascii="Arial" w:hAnsi="Arial"/>
          <w:lang w:val="en-US"/>
        </w:rPr>
        <w:t xml:space="preserve"> to the prejudice suffered by the defendants.</w:t>
      </w:r>
      <w:r w:rsidR="00351268" w:rsidRPr="00351268">
        <w:rPr>
          <w:rFonts w:ascii="Arial" w:hAnsi="Arial"/>
          <w:lang w:val="en-US"/>
        </w:rPr>
        <w:t xml:space="preserve"> In an earlier interlocutory application</w:t>
      </w:r>
      <w:r w:rsidR="00E66760">
        <w:rPr>
          <w:rFonts w:ascii="Arial" w:hAnsi="Arial"/>
          <w:lang w:val="en-US"/>
        </w:rPr>
        <w:t>,</w:t>
      </w:r>
      <w:r w:rsidR="00351268" w:rsidRPr="00351268">
        <w:rPr>
          <w:rFonts w:ascii="Arial" w:hAnsi="Arial"/>
          <w:lang w:val="en-US"/>
        </w:rPr>
        <w:t xml:space="preserve"> I found that as the defendants had failed to prove any lo</w:t>
      </w:r>
      <w:r w:rsidR="00423EFF">
        <w:rPr>
          <w:rFonts w:ascii="Arial" w:hAnsi="Arial"/>
          <w:lang w:val="en-US"/>
        </w:rPr>
        <w:t>ss</w:t>
      </w:r>
      <w:r w:rsidR="00C13F49">
        <w:rPr>
          <w:rFonts w:ascii="Arial" w:hAnsi="Arial"/>
          <w:lang w:val="en-US"/>
        </w:rPr>
        <w:t>,</w:t>
      </w:r>
      <w:r w:rsidR="00351268" w:rsidRPr="00351268">
        <w:rPr>
          <w:rFonts w:ascii="Arial" w:hAnsi="Arial"/>
          <w:lang w:val="en-US"/>
        </w:rPr>
        <w:t xml:space="preserve"> the penalty stood to be reduced to zero.</w:t>
      </w:r>
    </w:p>
    <w:p w14:paraId="4519FFA2" w14:textId="77777777" w:rsidR="00351268" w:rsidRDefault="00351268" w:rsidP="00351268">
      <w:pPr>
        <w:spacing w:after="0" w:line="360" w:lineRule="auto"/>
        <w:jc w:val="both"/>
        <w:rPr>
          <w:rFonts w:ascii="Arial" w:hAnsi="Arial"/>
          <w:lang w:val="en-US"/>
        </w:rPr>
      </w:pPr>
    </w:p>
    <w:p w14:paraId="3178DFC5" w14:textId="255D0DAC" w:rsidR="00D0581F" w:rsidRDefault="0088754F" w:rsidP="00351268">
      <w:pPr>
        <w:spacing w:after="0" w:line="360" w:lineRule="auto"/>
        <w:jc w:val="both"/>
        <w:rPr>
          <w:rFonts w:ascii="Arial" w:hAnsi="Arial"/>
        </w:rPr>
      </w:pPr>
      <w:r>
        <w:rPr>
          <w:rFonts w:ascii="Arial" w:hAnsi="Arial"/>
        </w:rPr>
        <w:t>[16]</w:t>
      </w:r>
      <w:r>
        <w:rPr>
          <w:rFonts w:ascii="Arial" w:hAnsi="Arial"/>
        </w:rPr>
        <w:tab/>
      </w:r>
      <w:r w:rsidR="008E50B7">
        <w:rPr>
          <w:rFonts w:ascii="Arial" w:hAnsi="Arial"/>
        </w:rPr>
        <w:t>In Barkhuizen</w:t>
      </w:r>
      <w:r w:rsidR="00C13F49">
        <w:rPr>
          <w:rFonts w:ascii="Arial" w:hAnsi="Arial"/>
        </w:rPr>
        <w:t>,</w:t>
      </w:r>
      <w:r w:rsidR="008E50B7">
        <w:rPr>
          <w:rStyle w:val="FootnoteReference"/>
          <w:rFonts w:ascii="Arial" w:hAnsi="Arial"/>
        </w:rPr>
        <w:footnoteReference w:id="2"/>
      </w:r>
      <w:r w:rsidR="008E50B7">
        <w:rPr>
          <w:rFonts w:ascii="Arial" w:hAnsi="Arial"/>
        </w:rPr>
        <w:t xml:space="preserve"> the Constitutional Court </w:t>
      </w:r>
      <w:r w:rsidR="008E50B7" w:rsidRPr="008E50B7">
        <w:rPr>
          <w:rFonts w:ascii="Arial" w:hAnsi="Arial"/>
        </w:rPr>
        <w:t xml:space="preserve">stated that all laws, including common contract law, are now under constitutional scrutiny. The validity of any law is contingent upon its alignment with the Constitution's provisions and underlying values. Consequently, even the pacta sunt </w:t>
      </w:r>
      <w:proofErr w:type="spellStart"/>
      <w:r w:rsidR="008E50B7" w:rsidRPr="008E50B7">
        <w:rPr>
          <w:rFonts w:ascii="Arial" w:hAnsi="Arial"/>
        </w:rPr>
        <w:t>servanda</w:t>
      </w:r>
      <w:proofErr w:type="spellEnd"/>
      <w:r w:rsidR="00C13F49">
        <w:rPr>
          <w:rFonts w:ascii="Arial" w:hAnsi="Arial"/>
        </w:rPr>
        <w:t xml:space="preserve"> principle</w:t>
      </w:r>
      <w:r w:rsidR="008E50B7" w:rsidRPr="008E50B7">
        <w:rPr>
          <w:rFonts w:ascii="Arial" w:hAnsi="Arial"/>
        </w:rPr>
        <w:t xml:space="preserve"> is subject to constitutional review.</w:t>
      </w:r>
      <w:r w:rsidR="003A2B45">
        <w:rPr>
          <w:rFonts w:ascii="Arial" w:hAnsi="Arial"/>
        </w:rPr>
        <w:t xml:space="preserve"> </w:t>
      </w:r>
      <w:r w:rsidR="00D0581F" w:rsidRPr="00D0581F">
        <w:rPr>
          <w:rFonts w:ascii="Arial" w:hAnsi="Arial"/>
        </w:rPr>
        <w:t>In Botha v Rich</w:t>
      </w:r>
      <w:r w:rsidR="00C13F49">
        <w:rPr>
          <w:rStyle w:val="FootnoteReference"/>
          <w:rFonts w:ascii="Arial" w:hAnsi="Arial"/>
        </w:rPr>
        <w:footnoteReference w:id="3"/>
      </w:r>
      <w:r w:rsidR="00D0581F" w:rsidRPr="00D0581F">
        <w:rPr>
          <w:rFonts w:ascii="Arial" w:hAnsi="Arial"/>
        </w:rPr>
        <w:t xml:space="preserve">, the court declined to permit the termination of a contract for buying immovable property in instalments </w:t>
      </w:r>
      <w:r w:rsidR="00D0581F">
        <w:rPr>
          <w:rFonts w:ascii="Arial" w:hAnsi="Arial"/>
        </w:rPr>
        <w:t xml:space="preserve">in circumstances where </w:t>
      </w:r>
      <w:r w:rsidR="00D0581F" w:rsidRPr="00D0581F">
        <w:rPr>
          <w:rFonts w:ascii="Arial" w:hAnsi="Arial"/>
        </w:rPr>
        <w:t>the purchaser had paid nearly 80% of the purchase price but defaulted on payment. The court reasoned that cancelling the contract would be an excessive penalty for the breach.</w:t>
      </w:r>
      <w:r w:rsidR="00D0581F">
        <w:rPr>
          <w:rFonts w:ascii="Arial" w:hAnsi="Arial"/>
        </w:rPr>
        <w:t xml:space="preserve"> </w:t>
      </w:r>
    </w:p>
    <w:p w14:paraId="08EE79AA" w14:textId="77777777" w:rsidR="00740A51" w:rsidRDefault="00740A51" w:rsidP="00351268">
      <w:pPr>
        <w:spacing w:after="0" w:line="360" w:lineRule="auto"/>
        <w:jc w:val="both"/>
        <w:rPr>
          <w:rFonts w:ascii="Arial" w:hAnsi="Arial"/>
        </w:rPr>
      </w:pPr>
    </w:p>
    <w:p w14:paraId="419B3F9F" w14:textId="0366D2B3" w:rsidR="00740A51" w:rsidRDefault="0088754F" w:rsidP="00351268">
      <w:pPr>
        <w:spacing w:after="0" w:line="360" w:lineRule="auto"/>
        <w:jc w:val="both"/>
        <w:rPr>
          <w:rFonts w:ascii="Arial" w:hAnsi="Arial"/>
        </w:rPr>
      </w:pPr>
      <w:r>
        <w:rPr>
          <w:rFonts w:ascii="Arial" w:hAnsi="Arial"/>
        </w:rPr>
        <w:t>[17]</w:t>
      </w:r>
      <w:r>
        <w:rPr>
          <w:rFonts w:ascii="Arial" w:hAnsi="Arial"/>
        </w:rPr>
        <w:tab/>
      </w:r>
      <w:r w:rsidR="008B412E" w:rsidRPr="008B412E">
        <w:rPr>
          <w:rFonts w:ascii="Arial" w:hAnsi="Arial"/>
        </w:rPr>
        <w:t xml:space="preserve">In </w:t>
      </w:r>
      <w:proofErr w:type="spellStart"/>
      <w:r w:rsidR="008B412E" w:rsidRPr="008B412E">
        <w:rPr>
          <w:rFonts w:ascii="Arial" w:hAnsi="Arial"/>
        </w:rPr>
        <w:t>Beadica</w:t>
      </w:r>
      <w:proofErr w:type="spellEnd"/>
      <w:r w:rsidR="00647C3E">
        <w:rPr>
          <w:rStyle w:val="FootnoteReference"/>
          <w:rFonts w:ascii="Arial" w:hAnsi="Arial"/>
        </w:rPr>
        <w:footnoteReference w:id="4"/>
      </w:r>
      <w:r w:rsidR="00D354D2">
        <w:rPr>
          <w:rFonts w:ascii="Arial" w:hAnsi="Arial"/>
        </w:rPr>
        <w:t xml:space="preserve"> </w:t>
      </w:r>
      <w:r w:rsidR="008B412E" w:rsidRPr="008B412E">
        <w:rPr>
          <w:rFonts w:ascii="Arial" w:hAnsi="Arial"/>
        </w:rPr>
        <w:t xml:space="preserve">the Constitutional Court recognized the significance of incorporating constitutional values and ubuntu into contract law. It encouraged the courts to strive for substantive justice, which stems from the core principles of the Constitution. Given the context of this case, even if my </w:t>
      </w:r>
      <w:r w:rsidR="00C6574A">
        <w:rPr>
          <w:rFonts w:ascii="Arial" w:hAnsi="Arial"/>
        </w:rPr>
        <w:t>finding</w:t>
      </w:r>
      <w:r w:rsidR="008B412E" w:rsidRPr="008B412E">
        <w:rPr>
          <w:rFonts w:ascii="Arial" w:hAnsi="Arial"/>
        </w:rPr>
        <w:t xml:space="preserve"> that the agreements expired is incorrect, enforcing the penalty clause would be inequitable due to its disproportionate nature and unfairness, especially considering that the business has been returned to the defendants and a substantial amount has already been paid towards the purchase price.</w:t>
      </w:r>
    </w:p>
    <w:p w14:paraId="1A21AB28" w14:textId="77777777" w:rsidR="00C6574A" w:rsidRDefault="00C6574A" w:rsidP="00351268">
      <w:pPr>
        <w:spacing w:after="0" w:line="360" w:lineRule="auto"/>
        <w:jc w:val="both"/>
        <w:rPr>
          <w:rFonts w:ascii="Arial" w:hAnsi="Arial"/>
        </w:rPr>
      </w:pPr>
    </w:p>
    <w:p w14:paraId="2F05A7F7" w14:textId="7C255BEA" w:rsidR="00C6574A" w:rsidRDefault="00E6504E" w:rsidP="00351268">
      <w:pPr>
        <w:spacing w:after="0" w:line="360" w:lineRule="auto"/>
        <w:jc w:val="both"/>
        <w:rPr>
          <w:rFonts w:ascii="Arial" w:hAnsi="Arial"/>
        </w:rPr>
      </w:pPr>
      <w:r>
        <w:rPr>
          <w:rFonts w:ascii="Arial" w:hAnsi="Arial"/>
        </w:rPr>
        <w:t>[18]</w:t>
      </w:r>
      <w:r>
        <w:rPr>
          <w:rFonts w:ascii="Arial" w:hAnsi="Arial"/>
        </w:rPr>
        <w:tab/>
        <w:t xml:space="preserve">For all the above reasons I find that the </w:t>
      </w:r>
      <w:r w:rsidR="003F5EE9">
        <w:rPr>
          <w:rFonts w:ascii="Arial" w:hAnsi="Arial"/>
        </w:rPr>
        <w:t xml:space="preserve">plaintiffs have proven their case on the balance of probabilities </w:t>
      </w:r>
      <w:r w:rsidR="004C123B">
        <w:rPr>
          <w:rFonts w:ascii="Arial" w:hAnsi="Arial"/>
        </w:rPr>
        <w:t xml:space="preserve">and that judgment should be granted in their </w:t>
      </w:r>
      <w:proofErr w:type="spellStart"/>
      <w:r w:rsidR="004C123B">
        <w:rPr>
          <w:rFonts w:ascii="Arial" w:hAnsi="Arial"/>
        </w:rPr>
        <w:t>favor</w:t>
      </w:r>
      <w:proofErr w:type="spellEnd"/>
      <w:r w:rsidR="004C123B">
        <w:rPr>
          <w:rFonts w:ascii="Arial" w:hAnsi="Arial"/>
        </w:rPr>
        <w:t>.</w:t>
      </w:r>
    </w:p>
    <w:p w14:paraId="1AAF7C1E" w14:textId="77777777" w:rsidR="004C123B" w:rsidRDefault="004C123B" w:rsidP="00351268">
      <w:pPr>
        <w:spacing w:after="0" w:line="360" w:lineRule="auto"/>
        <w:jc w:val="both"/>
        <w:rPr>
          <w:rFonts w:ascii="Arial" w:hAnsi="Arial"/>
        </w:rPr>
      </w:pPr>
    </w:p>
    <w:p w14:paraId="0DA92AFE" w14:textId="2AB8DB7F" w:rsidR="004C123B" w:rsidRDefault="004C123B" w:rsidP="00351268">
      <w:pPr>
        <w:spacing w:after="0" w:line="360" w:lineRule="auto"/>
        <w:jc w:val="both"/>
        <w:rPr>
          <w:rFonts w:ascii="Arial" w:hAnsi="Arial"/>
        </w:rPr>
      </w:pPr>
      <w:r>
        <w:rPr>
          <w:rFonts w:ascii="Arial" w:hAnsi="Arial"/>
        </w:rPr>
        <w:t xml:space="preserve">In the result the following order is made </w:t>
      </w:r>
    </w:p>
    <w:p w14:paraId="0AB23B79" w14:textId="56F052D4" w:rsidR="00A35C08" w:rsidRPr="00351268" w:rsidRDefault="00A35C08" w:rsidP="00A35C08">
      <w:pPr>
        <w:spacing w:after="0" w:line="360" w:lineRule="auto"/>
        <w:ind w:left="720"/>
        <w:jc w:val="both"/>
        <w:rPr>
          <w:rFonts w:ascii="Arial" w:hAnsi="Arial"/>
          <w:lang w:val="en-ZA"/>
        </w:rPr>
      </w:pPr>
      <w:r w:rsidRPr="00351268">
        <w:rPr>
          <w:rFonts w:ascii="Arial" w:hAnsi="Arial"/>
          <w:lang w:val="en-ZA"/>
        </w:rPr>
        <w:t xml:space="preserve"> </w:t>
      </w:r>
      <w:r w:rsidR="00FE5754">
        <w:rPr>
          <w:rFonts w:ascii="Arial" w:hAnsi="Arial"/>
          <w:lang w:val="en-ZA"/>
        </w:rPr>
        <w:t>T</w:t>
      </w:r>
      <w:r w:rsidRPr="00351268">
        <w:rPr>
          <w:rFonts w:ascii="Arial" w:hAnsi="Arial"/>
          <w:lang w:val="en-ZA"/>
        </w:rPr>
        <w:t>he first and second defendants, the one paying the other to be absolved</w:t>
      </w:r>
      <w:r w:rsidR="008F7585">
        <w:rPr>
          <w:rFonts w:ascii="Arial" w:hAnsi="Arial"/>
          <w:lang w:val="en-ZA"/>
        </w:rPr>
        <w:t xml:space="preserve"> are ordered to make the following payments to the plaintiffs:</w:t>
      </w:r>
    </w:p>
    <w:p w14:paraId="72A05969" w14:textId="77777777" w:rsidR="00A35C08" w:rsidRPr="00351268" w:rsidRDefault="00A35C08" w:rsidP="00A35C08">
      <w:pPr>
        <w:spacing w:after="0" w:line="360" w:lineRule="auto"/>
        <w:jc w:val="both"/>
        <w:rPr>
          <w:rFonts w:ascii="Arial" w:hAnsi="Arial"/>
          <w:lang w:val="en-ZA"/>
        </w:rPr>
      </w:pPr>
      <w:r w:rsidRPr="00351268">
        <w:rPr>
          <w:rFonts w:ascii="Arial" w:hAnsi="Arial"/>
          <w:lang w:val="en-ZA"/>
        </w:rPr>
        <w:t xml:space="preserve"> </w:t>
      </w:r>
    </w:p>
    <w:p w14:paraId="0C9303CA" w14:textId="77777777" w:rsidR="00A35C08" w:rsidRPr="00351268" w:rsidRDefault="00A35C08" w:rsidP="00A35C08">
      <w:pPr>
        <w:spacing w:after="0" w:line="360" w:lineRule="auto"/>
        <w:ind w:firstLine="720"/>
        <w:jc w:val="both"/>
        <w:rPr>
          <w:rFonts w:ascii="Arial" w:hAnsi="Arial"/>
          <w:lang w:val="en-ZA"/>
        </w:rPr>
      </w:pPr>
      <w:r w:rsidRPr="00351268">
        <w:rPr>
          <w:rFonts w:ascii="Arial" w:hAnsi="Arial"/>
          <w:lang w:val="en-ZA"/>
        </w:rPr>
        <w:t>a.</w:t>
      </w:r>
      <w:r w:rsidRPr="00351268">
        <w:rPr>
          <w:rFonts w:ascii="Arial" w:hAnsi="Arial"/>
          <w:lang w:val="en-ZA"/>
        </w:rPr>
        <w:tab/>
        <w:t>payment in the amount of R1 500 000.00</w:t>
      </w:r>
    </w:p>
    <w:p w14:paraId="7F050C69" w14:textId="77777777" w:rsidR="00A35C08" w:rsidRPr="00351268" w:rsidRDefault="00A35C08" w:rsidP="00A35C08">
      <w:pPr>
        <w:spacing w:after="0" w:line="360" w:lineRule="auto"/>
        <w:ind w:left="1440" w:hanging="720"/>
        <w:jc w:val="both"/>
        <w:rPr>
          <w:rFonts w:ascii="Arial" w:hAnsi="Arial"/>
          <w:lang w:val="en-ZA"/>
        </w:rPr>
      </w:pPr>
      <w:r w:rsidRPr="00351268">
        <w:rPr>
          <w:rFonts w:ascii="Arial" w:hAnsi="Arial"/>
          <w:lang w:val="en-ZA"/>
        </w:rPr>
        <w:t>b.</w:t>
      </w:r>
      <w:r w:rsidRPr="00351268">
        <w:rPr>
          <w:rFonts w:ascii="Arial" w:hAnsi="Arial"/>
          <w:lang w:val="en-ZA"/>
        </w:rPr>
        <w:tab/>
        <w:t xml:space="preserve">Interest on the amount of R1500 000.00 at a rate of 15,5% per annum from </w:t>
      </w:r>
      <w:r>
        <w:rPr>
          <w:rFonts w:ascii="Arial" w:hAnsi="Arial"/>
          <w:lang w:val="en-ZA"/>
        </w:rPr>
        <w:t xml:space="preserve">the </w:t>
      </w:r>
      <w:r w:rsidRPr="00351268">
        <w:rPr>
          <w:rFonts w:ascii="Arial" w:hAnsi="Arial"/>
          <w:lang w:val="en-ZA"/>
        </w:rPr>
        <w:t>date of the summons until the date of final payment;</w:t>
      </w:r>
    </w:p>
    <w:p w14:paraId="7FBA028A" w14:textId="77777777" w:rsidR="00A35C08" w:rsidRPr="00351268" w:rsidRDefault="00A35C08" w:rsidP="00A35C08">
      <w:pPr>
        <w:spacing w:after="0" w:line="360" w:lineRule="auto"/>
        <w:ind w:left="1440" w:hanging="720"/>
        <w:jc w:val="both"/>
        <w:rPr>
          <w:rFonts w:ascii="Arial" w:hAnsi="Arial"/>
          <w:lang w:val="en-ZA"/>
        </w:rPr>
      </w:pPr>
      <w:r w:rsidRPr="00351268">
        <w:rPr>
          <w:rFonts w:ascii="Arial" w:hAnsi="Arial"/>
          <w:lang w:val="en-ZA"/>
        </w:rPr>
        <w:t>c.</w:t>
      </w:r>
      <w:r w:rsidRPr="00351268">
        <w:rPr>
          <w:rFonts w:ascii="Arial" w:hAnsi="Arial"/>
          <w:lang w:val="en-ZA"/>
        </w:rPr>
        <w:tab/>
        <w:t>payment in the amount of R630 000.00 ( or such lesser amount as the Honourable Court may find);</w:t>
      </w:r>
    </w:p>
    <w:p w14:paraId="1E0065A4" w14:textId="77777777" w:rsidR="00A35C08" w:rsidRPr="00351268" w:rsidRDefault="00A35C08" w:rsidP="00A35C08">
      <w:pPr>
        <w:spacing w:after="0" w:line="360" w:lineRule="auto"/>
        <w:ind w:left="1440" w:hanging="720"/>
        <w:jc w:val="both"/>
        <w:rPr>
          <w:rFonts w:ascii="Arial" w:hAnsi="Arial"/>
          <w:lang w:val="en-ZA"/>
        </w:rPr>
      </w:pPr>
      <w:r w:rsidRPr="00351268">
        <w:rPr>
          <w:rFonts w:ascii="Arial" w:hAnsi="Arial"/>
          <w:lang w:val="en-ZA"/>
        </w:rPr>
        <w:t>d.</w:t>
      </w:r>
      <w:r w:rsidRPr="00351268">
        <w:rPr>
          <w:rFonts w:ascii="Arial" w:hAnsi="Arial"/>
          <w:lang w:val="en-ZA"/>
        </w:rPr>
        <w:tab/>
        <w:t xml:space="preserve">Interest on the amount of R630 000.00 at a rate of 15,5 % per annum from date of </w:t>
      </w:r>
      <w:r>
        <w:rPr>
          <w:rFonts w:ascii="Arial" w:hAnsi="Arial"/>
          <w:lang w:val="en-ZA"/>
        </w:rPr>
        <w:t xml:space="preserve">the </w:t>
      </w:r>
      <w:r w:rsidRPr="00351268">
        <w:rPr>
          <w:rFonts w:ascii="Arial" w:hAnsi="Arial"/>
          <w:lang w:val="en-ZA"/>
        </w:rPr>
        <w:t xml:space="preserve">summons until </w:t>
      </w:r>
      <w:r>
        <w:rPr>
          <w:rFonts w:ascii="Arial" w:hAnsi="Arial"/>
          <w:lang w:val="en-ZA"/>
        </w:rPr>
        <w:t xml:space="preserve">the </w:t>
      </w:r>
      <w:r w:rsidRPr="00351268">
        <w:rPr>
          <w:rFonts w:ascii="Arial" w:hAnsi="Arial"/>
          <w:lang w:val="en-ZA"/>
        </w:rPr>
        <w:t>date of final payment.</w:t>
      </w:r>
    </w:p>
    <w:p w14:paraId="104801A6" w14:textId="77777777" w:rsidR="00A35C08" w:rsidRPr="00351268" w:rsidRDefault="00A35C08" w:rsidP="00A35C08">
      <w:pPr>
        <w:spacing w:after="0" w:line="360" w:lineRule="auto"/>
        <w:ind w:firstLine="720"/>
        <w:jc w:val="both"/>
        <w:rPr>
          <w:rFonts w:ascii="Arial" w:hAnsi="Arial"/>
          <w:lang w:val="en-ZA"/>
        </w:rPr>
      </w:pPr>
      <w:r w:rsidRPr="00351268">
        <w:rPr>
          <w:rFonts w:ascii="Arial" w:hAnsi="Arial"/>
          <w:lang w:val="en-ZA"/>
        </w:rPr>
        <w:t>e.</w:t>
      </w:r>
      <w:r w:rsidRPr="00351268">
        <w:rPr>
          <w:rFonts w:ascii="Arial" w:hAnsi="Arial"/>
          <w:lang w:val="en-ZA"/>
        </w:rPr>
        <w:tab/>
        <w:t>Costs of the suit.</w:t>
      </w:r>
    </w:p>
    <w:p w14:paraId="0A279A26" w14:textId="77777777" w:rsidR="00740A51" w:rsidRDefault="00740A51" w:rsidP="00351268">
      <w:pPr>
        <w:spacing w:after="0" w:line="360" w:lineRule="auto"/>
        <w:jc w:val="both"/>
        <w:rPr>
          <w:rFonts w:ascii="Arial" w:hAnsi="Arial"/>
        </w:rPr>
      </w:pPr>
    </w:p>
    <w:p w14:paraId="461E4762" w14:textId="77777777" w:rsidR="00740A51" w:rsidRDefault="00740A51" w:rsidP="00351268">
      <w:pPr>
        <w:spacing w:after="0" w:line="360" w:lineRule="auto"/>
        <w:jc w:val="both"/>
        <w:rPr>
          <w:rFonts w:ascii="Arial" w:hAnsi="Arial"/>
        </w:rPr>
      </w:pPr>
    </w:p>
    <w:p w14:paraId="5429489E" w14:textId="25C46982" w:rsidR="00351268" w:rsidRDefault="00D35BAD" w:rsidP="00B37F24">
      <w:pPr>
        <w:spacing w:after="0" w:line="360" w:lineRule="auto"/>
        <w:jc w:val="right"/>
        <w:rPr>
          <w:rFonts w:ascii="Arial" w:hAnsi="Arial"/>
          <w:lang w:val="en-US"/>
        </w:rPr>
      </w:pPr>
      <w:r>
        <w:rPr>
          <w:rFonts w:ascii="Arial" w:hAnsi="Arial"/>
          <w:lang w:val="en-US"/>
        </w:rPr>
        <w:t xml:space="preserve">_________________ </w:t>
      </w:r>
    </w:p>
    <w:p w14:paraId="3D25A987" w14:textId="578E8229" w:rsidR="00D35BAD" w:rsidRDefault="00D35BAD" w:rsidP="00B37F24">
      <w:pPr>
        <w:spacing w:after="0" w:line="360" w:lineRule="auto"/>
        <w:jc w:val="right"/>
        <w:rPr>
          <w:rFonts w:ascii="Arial" w:hAnsi="Arial"/>
          <w:lang w:val="en-US"/>
        </w:rPr>
      </w:pPr>
      <w:r>
        <w:rPr>
          <w:rFonts w:ascii="Arial" w:hAnsi="Arial"/>
          <w:lang w:val="en-US"/>
        </w:rPr>
        <w:t>KE MATOJANE</w:t>
      </w:r>
    </w:p>
    <w:p w14:paraId="38BD9225" w14:textId="58C017F2" w:rsidR="00D35BAD" w:rsidRDefault="00D35BAD" w:rsidP="00B37F24">
      <w:pPr>
        <w:spacing w:after="0" w:line="360" w:lineRule="auto"/>
        <w:jc w:val="right"/>
        <w:rPr>
          <w:rFonts w:ascii="Arial" w:hAnsi="Arial"/>
          <w:lang w:val="en-US"/>
        </w:rPr>
      </w:pPr>
      <w:r>
        <w:rPr>
          <w:rFonts w:ascii="Arial" w:hAnsi="Arial"/>
          <w:lang w:val="en-US"/>
        </w:rPr>
        <w:t xml:space="preserve">JUDGE OF THE HIGH COURT </w:t>
      </w:r>
    </w:p>
    <w:p w14:paraId="348E0723" w14:textId="77777777" w:rsidR="00D35BAD" w:rsidRPr="00351268" w:rsidRDefault="00D35BAD" w:rsidP="00B37F24">
      <w:pPr>
        <w:spacing w:after="0" w:line="360" w:lineRule="auto"/>
        <w:jc w:val="right"/>
        <w:rPr>
          <w:rFonts w:ascii="Arial" w:hAnsi="Arial"/>
          <w:lang w:val="en-US"/>
        </w:rPr>
      </w:pPr>
    </w:p>
    <w:p w14:paraId="4ED3BD40" w14:textId="77777777" w:rsidR="00351268" w:rsidRPr="00351268" w:rsidRDefault="00351268" w:rsidP="00351268">
      <w:pPr>
        <w:spacing w:after="0" w:line="360" w:lineRule="auto"/>
        <w:jc w:val="both"/>
        <w:rPr>
          <w:rFonts w:ascii="Arial" w:hAnsi="Arial"/>
          <w:lang w:val="en-US"/>
        </w:rPr>
      </w:pPr>
    </w:p>
    <w:p w14:paraId="2C1010A6" w14:textId="27D4335B" w:rsidR="00351268" w:rsidRDefault="00D35BAD" w:rsidP="00351268">
      <w:pPr>
        <w:spacing w:after="0" w:line="360" w:lineRule="auto"/>
        <w:jc w:val="both"/>
        <w:rPr>
          <w:rFonts w:ascii="Arial" w:hAnsi="Arial"/>
          <w:lang w:val="en-US"/>
        </w:rPr>
      </w:pPr>
      <w:r>
        <w:rPr>
          <w:rFonts w:ascii="Arial" w:hAnsi="Arial"/>
          <w:lang w:val="en-US"/>
        </w:rPr>
        <w:t xml:space="preserve">Appearances </w:t>
      </w:r>
    </w:p>
    <w:p w14:paraId="1E43F8BA" w14:textId="77777777" w:rsidR="00E22741" w:rsidRDefault="00E22741" w:rsidP="00351268">
      <w:pPr>
        <w:spacing w:after="0" w:line="360" w:lineRule="auto"/>
        <w:jc w:val="both"/>
        <w:rPr>
          <w:rFonts w:ascii="Arial" w:hAnsi="Arial"/>
          <w:lang w:val="en-US"/>
        </w:rPr>
      </w:pPr>
    </w:p>
    <w:p w14:paraId="5FBACDAE" w14:textId="45847C37" w:rsidR="00295E18" w:rsidRDefault="00E22741" w:rsidP="00351268">
      <w:pPr>
        <w:spacing w:after="0" w:line="360" w:lineRule="auto"/>
        <w:jc w:val="both"/>
        <w:rPr>
          <w:rFonts w:ascii="Arial" w:hAnsi="Arial"/>
          <w:lang w:val="en-US"/>
        </w:rPr>
      </w:pPr>
      <w:r>
        <w:rPr>
          <w:rFonts w:ascii="Arial" w:hAnsi="Arial"/>
          <w:lang w:val="en-US"/>
        </w:rPr>
        <w:t xml:space="preserve">For the plaintiffs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proofErr w:type="spellStart"/>
      <w:r>
        <w:rPr>
          <w:rFonts w:ascii="Arial" w:hAnsi="Arial"/>
          <w:lang w:val="en-US"/>
        </w:rPr>
        <w:t>Mr</w:t>
      </w:r>
      <w:proofErr w:type="spellEnd"/>
      <w:r>
        <w:rPr>
          <w:rFonts w:ascii="Arial" w:hAnsi="Arial"/>
          <w:lang w:val="en-US"/>
        </w:rPr>
        <w:t xml:space="preserve"> Botha </w:t>
      </w:r>
    </w:p>
    <w:p w14:paraId="4A83976C" w14:textId="3AE1AD6F" w:rsidR="00295E18" w:rsidRDefault="00E22741" w:rsidP="00351268">
      <w:pPr>
        <w:spacing w:after="0" w:line="360" w:lineRule="auto"/>
        <w:jc w:val="both"/>
        <w:rPr>
          <w:rFonts w:ascii="Arial" w:hAnsi="Arial"/>
          <w:lang w:val="en-US"/>
        </w:rPr>
      </w:pPr>
      <w:r>
        <w:rPr>
          <w:rFonts w:ascii="Arial" w:hAnsi="Arial"/>
          <w:lang w:val="en-US"/>
        </w:rPr>
        <w:t xml:space="preserve">Instructed by </w:t>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F65571">
        <w:rPr>
          <w:rFonts w:ascii="Arial" w:hAnsi="Arial"/>
          <w:lang w:val="en-US"/>
        </w:rPr>
        <w:t xml:space="preserve">Du Plessis De </w:t>
      </w:r>
      <w:proofErr w:type="spellStart"/>
      <w:r w:rsidR="00F65571">
        <w:rPr>
          <w:rFonts w:ascii="Arial" w:hAnsi="Arial"/>
          <w:lang w:val="en-US"/>
        </w:rPr>
        <w:t>Heus</w:t>
      </w:r>
      <w:proofErr w:type="spellEnd"/>
      <w:r w:rsidR="00F65571">
        <w:rPr>
          <w:rFonts w:ascii="Arial" w:hAnsi="Arial"/>
          <w:lang w:val="en-US"/>
        </w:rPr>
        <w:t xml:space="preserve"> &amp; Van </w:t>
      </w:r>
      <w:proofErr w:type="spellStart"/>
      <w:r w:rsidR="00F65571">
        <w:rPr>
          <w:rFonts w:ascii="Arial" w:hAnsi="Arial"/>
          <w:lang w:val="en-US"/>
        </w:rPr>
        <w:t>Wyk</w:t>
      </w:r>
      <w:proofErr w:type="spellEnd"/>
    </w:p>
    <w:p w14:paraId="28A4D205" w14:textId="2EA9F1DF" w:rsidR="007345C6" w:rsidRDefault="007345C6" w:rsidP="007345C6">
      <w:pPr>
        <w:spacing w:after="0" w:line="36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t xml:space="preserve">C/O </w:t>
      </w:r>
      <w:proofErr w:type="spellStart"/>
      <w:r>
        <w:rPr>
          <w:rFonts w:ascii="Arial" w:hAnsi="Arial"/>
          <w:lang w:val="en-US"/>
        </w:rPr>
        <w:t>Gildenhuys</w:t>
      </w:r>
      <w:proofErr w:type="spellEnd"/>
      <w:r>
        <w:rPr>
          <w:rFonts w:ascii="Arial" w:hAnsi="Arial"/>
          <w:lang w:val="en-US"/>
        </w:rPr>
        <w:t xml:space="preserve"> </w:t>
      </w:r>
      <w:proofErr w:type="spellStart"/>
      <w:r>
        <w:rPr>
          <w:rFonts w:ascii="Arial" w:hAnsi="Arial"/>
          <w:lang w:val="en-US"/>
        </w:rPr>
        <w:t>Malatji</w:t>
      </w:r>
      <w:proofErr w:type="spellEnd"/>
      <w:r>
        <w:rPr>
          <w:rFonts w:ascii="Arial" w:hAnsi="Arial"/>
          <w:lang w:val="en-US"/>
        </w:rPr>
        <w:t xml:space="preserve"> </w:t>
      </w:r>
      <w:proofErr w:type="spellStart"/>
      <w:r>
        <w:rPr>
          <w:rFonts w:ascii="Arial" w:hAnsi="Arial"/>
          <w:lang w:val="en-US"/>
        </w:rPr>
        <w:t>inc</w:t>
      </w:r>
      <w:proofErr w:type="spellEnd"/>
    </w:p>
    <w:p w14:paraId="3DF75D57" w14:textId="4E918574" w:rsidR="007345C6" w:rsidRDefault="007345C6" w:rsidP="007345C6">
      <w:pPr>
        <w:spacing w:after="0" w:line="36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AD3D9D">
        <w:rPr>
          <w:rFonts w:ascii="Arial" w:hAnsi="Arial"/>
          <w:lang w:val="en-US"/>
        </w:rPr>
        <w:t xml:space="preserve">Harlequins Office Park </w:t>
      </w:r>
    </w:p>
    <w:p w14:paraId="4AF53B48" w14:textId="71DACBB4" w:rsidR="00AD3D9D" w:rsidRDefault="00AD3D9D" w:rsidP="007345C6">
      <w:pPr>
        <w:spacing w:after="0" w:line="360" w:lineRule="auto"/>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r>
        <w:rPr>
          <w:rFonts w:ascii="Arial" w:hAnsi="Arial"/>
          <w:lang w:val="en-US"/>
        </w:rPr>
        <w:tab/>
      </w:r>
      <w:proofErr w:type="spellStart"/>
      <w:r>
        <w:rPr>
          <w:rFonts w:ascii="Arial" w:hAnsi="Arial"/>
          <w:lang w:val="en-US"/>
        </w:rPr>
        <w:t>Groenk</w:t>
      </w:r>
      <w:r w:rsidR="00E00FB0">
        <w:rPr>
          <w:rFonts w:ascii="Arial" w:hAnsi="Arial"/>
          <w:lang w:val="en-US"/>
        </w:rPr>
        <w:t>kloof</w:t>
      </w:r>
      <w:proofErr w:type="spellEnd"/>
    </w:p>
    <w:p w14:paraId="14C43E52" w14:textId="77777777" w:rsidR="00295E18" w:rsidRDefault="00295E18" w:rsidP="00351268">
      <w:pPr>
        <w:spacing w:after="0" w:line="360" w:lineRule="auto"/>
        <w:jc w:val="both"/>
        <w:rPr>
          <w:rFonts w:ascii="Arial" w:hAnsi="Arial"/>
          <w:lang w:val="en-US"/>
        </w:rPr>
      </w:pPr>
    </w:p>
    <w:p w14:paraId="19462861" w14:textId="77777777" w:rsidR="00295E18" w:rsidRDefault="00295E18" w:rsidP="00351268">
      <w:pPr>
        <w:spacing w:after="0" w:line="360" w:lineRule="auto"/>
        <w:jc w:val="both"/>
        <w:rPr>
          <w:rFonts w:ascii="Arial" w:hAnsi="Arial"/>
          <w:lang w:val="en-US"/>
        </w:rPr>
      </w:pPr>
    </w:p>
    <w:p w14:paraId="7D279467" w14:textId="39C23C58" w:rsidR="00295E18" w:rsidRDefault="00295E18" w:rsidP="00351268">
      <w:pPr>
        <w:spacing w:after="0" w:line="360" w:lineRule="auto"/>
        <w:jc w:val="both"/>
        <w:rPr>
          <w:rFonts w:ascii="Arial" w:hAnsi="Arial"/>
          <w:lang w:val="en-US"/>
        </w:rPr>
      </w:pPr>
      <w:r>
        <w:rPr>
          <w:rFonts w:ascii="Arial" w:hAnsi="Arial"/>
          <w:lang w:val="en-US"/>
        </w:rPr>
        <w:t xml:space="preserve">For the first and second defendants </w:t>
      </w:r>
      <w:r>
        <w:rPr>
          <w:rFonts w:ascii="Arial" w:hAnsi="Arial"/>
          <w:lang w:val="en-US"/>
        </w:rPr>
        <w:tab/>
        <w:t xml:space="preserve"> </w:t>
      </w:r>
      <w:proofErr w:type="spellStart"/>
      <w:r>
        <w:rPr>
          <w:rFonts w:ascii="Arial" w:hAnsi="Arial"/>
          <w:lang w:val="en-US"/>
        </w:rPr>
        <w:t>Mr</w:t>
      </w:r>
      <w:proofErr w:type="spellEnd"/>
      <w:r>
        <w:rPr>
          <w:rFonts w:ascii="Arial" w:hAnsi="Arial"/>
          <w:lang w:val="en-US"/>
        </w:rPr>
        <w:t xml:space="preserve"> Silver </w:t>
      </w:r>
    </w:p>
    <w:p w14:paraId="4FDBFC67" w14:textId="77777777" w:rsidR="00E00FB0" w:rsidRDefault="00507F61" w:rsidP="00E00FB0">
      <w:pPr>
        <w:spacing w:after="0" w:line="360" w:lineRule="auto"/>
        <w:jc w:val="both"/>
        <w:rPr>
          <w:rFonts w:ascii="Arial" w:hAnsi="Arial"/>
          <w:lang w:val="en-US"/>
        </w:rPr>
      </w:pPr>
      <w:r>
        <w:rPr>
          <w:rFonts w:ascii="Arial" w:hAnsi="Arial"/>
          <w:lang w:val="en-US"/>
        </w:rPr>
        <w:tab/>
      </w:r>
      <w:r>
        <w:rPr>
          <w:rFonts w:ascii="Arial" w:hAnsi="Arial"/>
          <w:lang w:val="en-US"/>
        </w:rPr>
        <w:tab/>
      </w:r>
      <w:r>
        <w:rPr>
          <w:rFonts w:ascii="Arial" w:hAnsi="Arial"/>
          <w:lang w:val="en-US"/>
        </w:rPr>
        <w:tab/>
      </w:r>
      <w:r>
        <w:rPr>
          <w:rFonts w:ascii="Arial" w:hAnsi="Arial"/>
          <w:lang w:val="en-US"/>
        </w:rPr>
        <w:tab/>
      </w:r>
      <w:r w:rsidR="00E00FB0">
        <w:rPr>
          <w:rFonts w:ascii="Arial" w:hAnsi="Arial"/>
          <w:lang w:val="en-US"/>
        </w:rPr>
        <w:tab/>
      </w:r>
      <w:r w:rsidR="00E00FB0">
        <w:rPr>
          <w:rFonts w:ascii="Arial" w:hAnsi="Arial"/>
          <w:lang w:val="en-US"/>
        </w:rPr>
        <w:tab/>
      </w:r>
      <w:r w:rsidR="00E23B17">
        <w:rPr>
          <w:rFonts w:ascii="Arial" w:hAnsi="Arial"/>
          <w:lang w:val="en-US"/>
        </w:rPr>
        <w:t xml:space="preserve">David </w:t>
      </w:r>
      <w:proofErr w:type="spellStart"/>
      <w:r w:rsidR="00E23B17">
        <w:rPr>
          <w:rFonts w:ascii="Arial" w:hAnsi="Arial"/>
          <w:lang w:val="en-US"/>
        </w:rPr>
        <w:t>Kotzen</w:t>
      </w:r>
      <w:proofErr w:type="spellEnd"/>
      <w:r w:rsidR="00E23B17">
        <w:rPr>
          <w:rFonts w:ascii="Arial" w:hAnsi="Arial"/>
          <w:lang w:val="en-US"/>
        </w:rPr>
        <w:t xml:space="preserve"> Attorneys</w:t>
      </w:r>
    </w:p>
    <w:p w14:paraId="08802567" w14:textId="0322246C" w:rsidR="00E23B17" w:rsidRDefault="00E23B17" w:rsidP="00E00FB0">
      <w:pPr>
        <w:spacing w:after="0" w:line="360" w:lineRule="auto"/>
        <w:ind w:left="3600" w:firstLine="720"/>
        <w:jc w:val="both"/>
        <w:rPr>
          <w:rFonts w:ascii="Arial" w:hAnsi="Arial"/>
          <w:lang w:val="en-US"/>
        </w:rPr>
      </w:pPr>
      <w:r>
        <w:rPr>
          <w:rFonts w:ascii="Arial" w:hAnsi="Arial"/>
          <w:lang w:val="en-US"/>
        </w:rPr>
        <w:t>c/o</w:t>
      </w:r>
      <w:r w:rsidR="00F84543">
        <w:rPr>
          <w:rFonts w:ascii="Arial" w:hAnsi="Arial"/>
          <w:lang w:val="en-US"/>
        </w:rPr>
        <w:t xml:space="preserve"> ANDREA RAE ATTORNEYS </w:t>
      </w:r>
    </w:p>
    <w:p w14:paraId="106AC42B" w14:textId="77777777" w:rsidR="00295E18" w:rsidRPr="00351268" w:rsidRDefault="00295E18" w:rsidP="00F84543">
      <w:pPr>
        <w:spacing w:after="0" w:line="360" w:lineRule="auto"/>
        <w:rPr>
          <w:rFonts w:ascii="Arial" w:hAnsi="Arial"/>
          <w:lang w:val="en-US"/>
        </w:rPr>
      </w:pPr>
    </w:p>
    <w:p w14:paraId="7F5B8652" w14:textId="77777777" w:rsidR="00351268" w:rsidRPr="00351268" w:rsidRDefault="00351268" w:rsidP="00351268">
      <w:pPr>
        <w:spacing w:after="0" w:line="360" w:lineRule="auto"/>
        <w:jc w:val="both"/>
        <w:rPr>
          <w:rFonts w:ascii="Arial" w:hAnsi="Arial"/>
          <w:lang w:val="en-US"/>
        </w:rPr>
      </w:pPr>
    </w:p>
    <w:p w14:paraId="5BC23A04" w14:textId="77777777" w:rsidR="00351268" w:rsidRPr="00351268" w:rsidRDefault="00351268" w:rsidP="00351268">
      <w:pPr>
        <w:spacing w:after="0" w:line="360" w:lineRule="auto"/>
        <w:jc w:val="both"/>
        <w:rPr>
          <w:rFonts w:ascii="Arial" w:hAnsi="Arial"/>
          <w:lang w:val="en-US"/>
        </w:rPr>
      </w:pPr>
    </w:p>
    <w:p w14:paraId="2EFCD500" w14:textId="77777777" w:rsidR="0086552A" w:rsidRPr="00351268" w:rsidRDefault="0086552A" w:rsidP="00351268">
      <w:pPr>
        <w:spacing w:after="0" w:line="360" w:lineRule="auto"/>
        <w:jc w:val="both"/>
        <w:rPr>
          <w:rFonts w:ascii="Arial" w:hAnsi="Arial"/>
        </w:rPr>
      </w:pPr>
    </w:p>
    <w:sectPr w:rsidR="0086552A" w:rsidRPr="00351268" w:rsidSect="00C5402E">
      <w:headerReference w:type="even" r:id="rId8"/>
      <w:headerReference w:type="default" r:id="rId9"/>
      <w:pgSz w:w="11900" w:h="16840"/>
      <w:pgMar w:top="1440" w:right="1797" w:bottom="1440" w:left="1797" w:header="731"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A95B" w14:textId="77777777" w:rsidR="00C5402E" w:rsidRDefault="00C5402E" w:rsidP="001B3CAA">
      <w:pPr>
        <w:spacing w:after="0"/>
      </w:pPr>
      <w:r>
        <w:separator/>
      </w:r>
    </w:p>
  </w:endnote>
  <w:endnote w:type="continuationSeparator" w:id="0">
    <w:p w14:paraId="7DEBF4A2" w14:textId="77777777" w:rsidR="00C5402E" w:rsidRDefault="00C5402E" w:rsidP="001B3CAA">
      <w:pPr>
        <w:spacing w:after="0"/>
      </w:pPr>
      <w:r>
        <w:continuationSeparator/>
      </w:r>
    </w:p>
  </w:endnote>
  <w:endnote w:type="continuationNotice" w:id="1">
    <w:p w14:paraId="1FB7F0BF" w14:textId="77777777" w:rsidR="00C5402E" w:rsidRDefault="00C540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04426" w14:textId="77777777" w:rsidR="00C5402E" w:rsidRDefault="00C5402E" w:rsidP="001B3CAA">
      <w:pPr>
        <w:spacing w:after="0"/>
      </w:pPr>
      <w:r>
        <w:separator/>
      </w:r>
    </w:p>
  </w:footnote>
  <w:footnote w:type="continuationSeparator" w:id="0">
    <w:p w14:paraId="4B74168F" w14:textId="77777777" w:rsidR="00C5402E" w:rsidRDefault="00C5402E" w:rsidP="001B3CAA">
      <w:pPr>
        <w:spacing w:after="0"/>
      </w:pPr>
      <w:r>
        <w:continuationSeparator/>
      </w:r>
    </w:p>
  </w:footnote>
  <w:footnote w:type="continuationNotice" w:id="1">
    <w:p w14:paraId="6997A789" w14:textId="77777777" w:rsidR="00C5402E" w:rsidRDefault="00C5402E">
      <w:pPr>
        <w:spacing w:after="0"/>
      </w:pPr>
    </w:p>
  </w:footnote>
  <w:footnote w:id="2">
    <w:p w14:paraId="17C0DD94" w14:textId="5D31811A" w:rsidR="008E50B7" w:rsidRPr="00C13F49" w:rsidRDefault="008E50B7">
      <w:pPr>
        <w:pStyle w:val="FootnoteText"/>
        <w:rPr>
          <w:rFonts w:ascii="Arial" w:hAnsi="Arial" w:cs="Arial"/>
          <w:lang w:val="en-US"/>
        </w:rPr>
      </w:pPr>
      <w:r w:rsidRPr="00C13F49">
        <w:rPr>
          <w:rStyle w:val="FootnoteReference"/>
          <w:rFonts w:ascii="Arial" w:hAnsi="Arial" w:cs="Arial"/>
        </w:rPr>
        <w:footnoteRef/>
      </w:r>
      <w:r w:rsidRPr="00C13F49">
        <w:rPr>
          <w:rFonts w:ascii="Arial" w:hAnsi="Arial" w:cs="Arial"/>
        </w:rPr>
        <w:t xml:space="preserve"> </w:t>
      </w:r>
      <w:r w:rsidRPr="00C13F49">
        <w:rPr>
          <w:rFonts w:ascii="Arial" w:hAnsi="Arial" w:cs="Arial"/>
          <w:lang w:val="en-US"/>
        </w:rPr>
        <w:t xml:space="preserve">Barkhuizen v Napier 2007 (5) SA 323 at para 11 </w:t>
      </w:r>
    </w:p>
  </w:footnote>
  <w:footnote w:id="3">
    <w:p w14:paraId="3BA0AE68" w14:textId="77777777" w:rsidR="00C13F49" w:rsidRPr="00C13F49" w:rsidRDefault="00C13F49" w:rsidP="00C13F49">
      <w:pPr>
        <w:pStyle w:val="FootnoteText"/>
        <w:rPr>
          <w:rFonts w:ascii="Arial" w:hAnsi="Arial" w:cs="Arial"/>
          <w:lang w:val="en-ZA"/>
        </w:rPr>
      </w:pPr>
      <w:r w:rsidRPr="00C13F49">
        <w:rPr>
          <w:rStyle w:val="FootnoteReference"/>
          <w:rFonts w:ascii="Arial" w:hAnsi="Arial" w:cs="Arial"/>
        </w:rPr>
        <w:footnoteRef/>
      </w:r>
      <w:r w:rsidRPr="00C13F49">
        <w:rPr>
          <w:rFonts w:ascii="Arial" w:hAnsi="Arial" w:cs="Arial"/>
        </w:rPr>
        <w:t xml:space="preserve"> </w:t>
      </w:r>
      <w:r w:rsidRPr="00C13F49">
        <w:rPr>
          <w:rFonts w:ascii="Arial" w:hAnsi="Arial" w:cs="Arial"/>
          <w:lang w:val="en-ZA"/>
        </w:rPr>
        <w:t>Botha and Another v Rich N.O. and Others (CCT 89/13) [2014] ZACC 11; 2014 (4) SA 124 (CC); 2014 (7) BCLR 741 (CC) (17 April 2014)</w:t>
      </w:r>
    </w:p>
    <w:tbl>
      <w:tblPr>
        <w:tblW w:w="18600" w:type="dxa"/>
        <w:tblCellSpacing w:w="15" w:type="dxa"/>
        <w:tblCellMar>
          <w:top w:w="15" w:type="dxa"/>
          <w:left w:w="15" w:type="dxa"/>
          <w:bottom w:w="15" w:type="dxa"/>
          <w:right w:w="15" w:type="dxa"/>
        </w:tblCellMar>
        <w:tblLook w:val="04A0" w:firstRow="1" w:lastRow="0" w:firstColumn="1" w:lastColumn="0" w:noHBand="0" w:noVBand="1"/>
      </w:tblPr>
      <w:tblGrid>
        <w:gridCol w:w="18600"/>
      </w:tblGrid>
      <w:tr w:rsidR="00C13F49" w:rsidRPr="00C13F49" w14:paraId="706C381D" w14:textId="77777777" w:rsidTr="00C13F49">
        <w:trPr>
          <w:tblCellSpacing w:w="15" w:type="dxa"/>
        </w:trPr>
        <w:tc>
          <w:tcPr>
            <w:tcW w:w="0" w:type="auto"/>
            <w:tcMar>
              <w:top w:w="72" w:type="dxa"/>
              <w:left w:w="120" w:type="dxa"/>
              <w:bottom w:w="72" w:type="dxa"/>
              <w:right w:w="120" w:type="dxa"/>
            </w:tcMar>
            <w:hideMark/>
          </w:tcPr>
          <w:p w14:paraId="1E4FA4A6" w14:textId="77777777" w:rsidR="00C13F49" w:rsidRPr="00C13F49" w:rsidRDefault="00C13F49" w:rsidP="00C13F49">
            <w:pPr>
              <w:pStyle w:val="FootnoteText"/>
              <w:rPr>
                <w:rFonts w:ascii="Arial" w:hAnsi="Arial" w:cs="Arial"/>
                <w:b/>
                <w:bCs/>
                <w:lang w:val="en-ZA"/>
              </w:rPr>
            </w:pPr>
          </w:p>
        </w:tc>
      </w:tr>
    </w:tbl>
    <w:p w14:paraId="7004393E" w14:textId="02B19924" w:rsidR="00C13F49" w:rsidRPr="00C13F49" w:rsidRDefault="00C13F49">
      <w:pPr>
        <w:pStyle w:val="FootnoteText"/>
        <w:rPr>
          <w:rFonts w:ascii="Arial" w:hAnsi="Arial" w:cs="Arial"/>
          <w:lang w:val="en-US"/>
        </w:rPr>
      </w:pPr>
    </w:p>
  </w:footnote>
  <w:footnote w:id="4">
    <w:p w14:paraId="26BF7074" w14:textId="77777777" w:rsidR="00647C3E" w:rsidRPr="00C13F49" w:rsidRDefault="00647C3E" w:rsidP="00647C3E">
      <w:pPr>
        <w:pStyle w:val="FootnoteText"/>
        <w:rPr>
          <w:rFonts w:ascii="Arial" w:hAnsi="Arial" w:cs="Arial"/>
          <w:lang w:val="en-ZA"/>
        </w:rPr>
      </w:pPr>
      <w:r w:rsidRPr="00C13F49">
        <w:rPr>
          <w:rStyle w:val="FootnoteReference"/>
          <w:rFonts w:ascii="Arial" w:hAnsi="Arial" w:cs="Arial"/>
        </w:rPr>
        <w:footnoteRef/>
      </w:r>
      <w:r w:rsidRPr="00C13F49">
        <w:rPr>
          <w:rFonts w:ascii="Arial" w:hAnsi="Arial" w:cs="Arial"/>
        </w:rPr>
        <w:t xml:space="preserve"> </w:t>
      </w:r>
      <w:proofErr w:type="spellStart"/>
      <w:r w:rsidRPr="00C13F49">
        <w:rPr>
          <w:rFonts w:ascii="Arial" w:hAnsi="Arial" w:cs="Arial"/>
          <w:lang w:val="en-ZA"/>
        </w:rPr>
        <w:t>Beadica</w:t>
      </w:r>
      <w:proofErr w:type="spellEnd"/>
      <w:r w:rsidRPr="00C13F49">
        <w:rPr>
          <w:rFonts w:ascii="Arial" w:hAnsi="Arial" w:cs="Arial"/>
          <w:lang w:val="en-ZA"/>
        </w:rPr>
        <w:t xml:space="preserve"> 231 CC and Others v Trustees for the time being of the Oregon Trust and Others (CCT109/19) [2020] ZACC 13; 2020 (5) SA 247 (CC); 2020 (9) BCLR 1098 (CC) (17 June 2020)</w:t>
      </w:r>
    </w:p>
    <w:p w14:paraId="1949E337" w14:textId="77777777" w:rsidR="00647C3E" w:rsidRPr="00647C3E" w:rsidRDefault="00647C3E" w:rsidP="00647C3E">
      <w:pPr>
        <w:pStyle w:val="FootnoteText"/>
        <w:rPr>
          <w:rFonts w:ascii="Arial" w:hAnsi="Arial" w:cs="Arial"/>
          <w:lang w:val="en-ZA"/>
        </w:rPr>
      </w:pPr>
    </w:p>
    <w:p w14:paraId="3F010A0C" w14:textId="429E7CFD" w:rsidR="00647C3E" w:rsidRPr="00C13F49" w:rsidRDefault="00647C3E">
      <w:pPr>
        <w:pStyle w:val="FootnoteText"/>
        <w:rPr>
          <w:rFonts w:ascii="Arial" w:hAnsi="Arial" w:cs="Arial"/>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8237280"/>
      <w:docPartObj>
        <w:docPartGallery w:val="Page Numbers (Top of Page)"/>
        <w:docPartUnique/>
      </w:docPartObj>
    </w:sdtPr>
    <w:sdtEndPr>
      <w:rPr>
        <w:rStyle w:val="PageNumber"/>
      </w:rPr>
    </w:sdtEndPr>
    <w:sdtContent>
      <w:p w14:paraId="7468048D" w14:textId="3034145F" w:rsidR="001B3CAA" w:rsidRDefault="001B3CAA" w:rsidP="007E06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48390" w14:textId="77777777" w:rsidR="001B3CAA" w:rsidRDefault="001B3CAA" w:rsidP="001B3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8615256"/>
      <w:docPartObj>
        <w:docPartGallery w:val="Page Numbers (Top of Page)"/>
        <w:docPartUnique/>
      </w:docPartObj>
    </w:sdtPr>
    <w:sdtEndPr>
      <w:rPr>
        <w:rStyle w:val="PageNumber"/>
      </w:rPr>
    </w:sdtEndPr>
    <w:sdtContent>
      <w:p w14:paraId="38D7F8F0" w14:textId="73F0AE70" w:rsidR="001B3CAA" w:rsidRDefault="001B3CAA" w:rsidP="007E06F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E6D075" w14:textId="77777777" w:rsidR="001B3CAA" w:rsidRDefault="001B3CAA" w:rsidP="001B3C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2AC04860"/>
    <w:multiLevelType w:val="multilevel"/>
    <w:tmpl w:val="BC26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9851932">
    <w:abstractNumId w:val="0"/>
  </w:num>
  <w:num w:numId="2" w16cid:durableId="841049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68"/>
    <w:rsid w:val="0004704A"/>
    <w:rsid w:val="00064367"/>
    <w:rsid w:val="000D26AA"/>
    <w:rsid w:val="001355FC"/>
    <w:rsid w:val="00187BE3"/>
    <w:rsid w:val="001B00A8"/>
    <w:rsid w:val="001B3CAA"/>
    <w:rsid w:val="001E7D01"/>
    <w:rsid w:val="00287200"/>
    <w:rsid w:val="0029526B"/>
    <w:rsid w:val="00295E18"/>
    <w:rsid w:val="002D1340"/>
    <w:rsid w:val="002D498B"/>
    <w:rsid w:val="002E1833"/>
    <w:rsid w:val="002E749D"/>
    <w:rsid w:val="003030BE"/>
    <w:rsid w:val="00305070"/>
    <w:rsid w:val="003269B2"/>
    <w:rsid w:val="0033731F"/>
    <w:rsid w:val="00351268"/>
    <w:rsid w:val="00391060"/>
    <w:rsid w:val="003A2B45"/>
    <w:rsid w:val="003A3D39"/>
    <w:rsid w:val="003B4FBC"/>
    <w:rsid w:val="003D17C7"/>
    <w:rsid w:val="003F5EE9"/>
    <w:rsid w:val="00415297"/>
    <w:rsid w:val="00423EFF"/>
    <w:rsid w:val="0044485D"/>
    <w:rsid w:val="0045452A"/>
    <w:rsid w:val="00477FC9"/>
    <w:rsid w:val="004C123B"/>
    <w:rsid w:val="004D7EBD"/>
    <w:rsid w:val="004F00EB"/>
    <w:rsid w:val="00500F39"/>
    <w:rsid w:val="00507F61"/>
    <w:rsid w:val="00536976"/>
    <w:rsid w:val="005933DA"/>
    <w:rsid w:val="005F1024"/>
    <w:rsid w:val="00610CC6"/>
    <w:rsid w:val="0064007B"/>
    <w:rsid w:val="00647C3E"/>
    <w:rsid w:val="00652B3E"/>
    <w:rsid w:val="00704A5D"/>
    <w:rsid w:val="007345C6"/>
    <w:rsid w:val="00740A51"/>
    <w:rsid w:val="00761DEC"/>
    <w:rsid w:val="007E06F0"/>
    <w:rsid w:val="00813C39"/>
    <w:rsid w:val="0086552A"/>
    <w:rsid w:val="0088716B"/>
    <w:rsid w:val="0088754F"/>
    <w:rsid w:val="008B412E"/>
    <w:rsid w:val="008E5004"/>
    <w:rsid w:val="008E50B7"/>
    <w:rsid w:val="008F48F9"/>
    <w:rsid w:val="008F7585"/>
    <w:rsid w:val="00987799"/>
    <w:rsid w:val="009B3CD3"/>
    <w:rsid w:val="00A35C08"/>
    <w:rsid w:val="00AA544F"/>
    <w:rsid w:val="00AD3D9D"/>
    <w:rsid w:val="00B37F24"/>
    <w:rsid w:val="00B540CE"/>
    <w:rsid w:val="00C13F49"/>
    <w:rsid w:val="00C5402E"/>
    <w:rsid w:val="00C6574A"/>
    <w:rsid w:val="00CD16CD"/>
    <w:rsid w:val="00D0581F"/>
    <w:rsid w:val="00D354D2"/>
    <w:rsid w:val="00D35BAD"/>
    <w:rsid w:val="00D65DAC"/>
    <w:rsid w:val="00D72D47"/>
    <w:rsid w:val="00D9224C"/>
    <w:rsid w:val="00E00FB0"/>
    <w:rsid w:val="00E22741"/>
    <w:rsid w:val="00E23B17"/>
    <w:rsid w:val="00E26067"/>
    <w:rsid w:val="00E52942"/>
    <w:rsid w:val="00E6504E"/>
    <w:rsid w:val="00E66760"/>
    <w:rsid w:val="00EA2FAD"/>
    <w:rsid w:val="00EA76EC"/>
    <w:rsid w:val="00F26A46"/>
    <w:rsid w:val="00F31FE4"/>
    <w:rsid w:val="00F36C3B"/>
    <w:rsid w:val="00F65571"/>
    <w:rsid w:val="00F74008"/>
    <w:rsid w:val="00F84543"/>
    <w:rsid w:val="00FB34DC"/>
    <w:rsid w:val="00FE5754"/>
  </w:rsids>
  <m:mathPr>
    <m:mathFont m:val="Cambria Math"/>
    <m:brkBin m:val="before"/>
    <m:brkBinSub m:val="--"/>
    <m:smallFrac m:val="0"/>
    <m:dispDef m:val="0"/>
    <m:lMargin m:val="0"/>
    <m:rMargin m:val="0"/>
    <m:defJc m:val="centerGroup"/>
    <m:wrapRight/>
    <m:intLim m:val="subSup"/>
    <m:naryLim m:val="subSup"/>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A8607D"/>
  <w15:docId w15:val="{0F92C3B4-AA68-FD4A-95EF-03BD8017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DEC"/>
    <w:pPr>
      <w:spacing w:after="200"/>
    </w:pPr>
    <w:rPr>
      <w:rFonts w:ascii="Verdana" w:hAnsi="Verdana"/>
      <w:sz w:val="24"/>
      <w:szCs w:val="24"/>
      <w:lang w:val="en-GB" w:eastAsia="ja-JP"/>
    </w:rPr>
  </w:style>
  <w:style w:type="paragraph" w:styleId="Heading2">
    <w:name w:val="heading 2"/>
    <w:basedOn w:val="Normal"/>
    <w:next w:val="Normal"/>
    <w:link w:val="Heading2Char"/>
    <w:uiPriority w:val="9"/>
    <w:semiHidden/>
    <w:unhideWhenUsed/>
    <w:qFormat/>
    <w:rsid w:val="00647C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D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4DC"/>
    <w:rPr>
      <w:rFonts w:ascii="Lucida Grande" w:eastAsia="MS Mincho" w:hAnsi="Lucida Grande" w:cs="Lucida Grande"/>
      <w:sz w:val="18"/>
      <w:szCs w:val="18"/>
      <w:lang w:val="en-GB" w:eastAsia="ja-JP"/>
    </w:rPr>
  </w:style>
  <w:style w:type="character" w:styleId="Hyperlink">
    <w:name w:val="Hyperlink"/>
    <w:basedOn w:val="DefaultParagraphFont"/>
    <w:uiPriority w:val="99"/>
    <w:unhideWhenUsed/>
    <w:rsid w:val="00351268"/>
    <w:rPr>
      <w:color w:val="0000FF" w:themeColor="hyperlink"/>
      <w:u w:val="single"/>
    </w:rPr>
  </w:style>
  <w:style w:type="character" w:styleId="UnresolvedMention">
    <w:name w:val="Unresolved Mention"/>
    <w:basedOn w:val="DefaultParagraphFont"/>
    <w:uiPriority w:val="99"/>
    <w:semiHidden/>
    <w:unhideWhenUsed/>
    <w:rsid w:val="00351268"/>
    <w:rPr>
      <w:color w:val="605E5C"/>
      <w:shd w:val="clear" w:color="auto" w:fill="E1DFDD"/>
    </w:rPr>
  </w:style>
  <w:style w:type="paragraph" w:styleId="Header">
    <w:name w:val="header"/>
    <w:basedOn w:val="Normal"/>
    <w:link w:val="HeaderChar"/>
    <w:uiPriority w:val="99"/>
    <w:unhideWhenUsed/>
    <w:rsid w:val="001B3CAA"/>
    <w:pPr>
      <w:tabs>
        <w:tab w:val="center" w:pos="4513"/>
        <w:tab w:val="right" w:pos="9026"/>
      </w:tabs>
      <w:spacing w:after="0"/>
    </w:pPr>
  </w:style>
  <w:style w:type="character" w:customStyle="1" w:styleId="HeaderChar">
    <w:name w:val="Header Char"/>
    <w:basedOn w:val="DefaultParagraphFont"/>
    <w:link w:val="Header"/>
    <w:uiPriority w:val="99"/>
    <w:rsid w:val="001B3CAA"/>
    <w:rPr>
      <w:rFonts w:ascii="Verdana" w:hAnsi="Verdana"/>
      <w:sz w:val="24"/>
      <w:szCs w:val="24"/>
      <w:lang w:val="en-GB" w:eastAsia="ja-JP"/>
    </w:rPr>
  </w:style>
  <w:style w:type="character" w:styleId="PageNumber">
    <w:name w:val="page number"/>
    <w:basedOn w:val="DefaultParagraphFont"/>
    <w:uiPriority w:val="99"/>
    <w:semiHidden/>
    <w:unhideWhenUsed/>
    <w:rsid w:val="001B3CAA"/>
  </w:style>
  <w:style w:type="paragraph" w:styleId="FootnoteText">
    <w:name w:val="footnote text"/>
    <w:basedOn w:val="Normal"/>
    <w:link w:val="FootnoteTextChar"/>
    <w:uiPriority w:val="99"/>
    <w:semiHidden/>
    <w:unhideWhenUsed/>
    <w:rsid w:val="001B3CAA"/>
    <w:pPr>
      <w:spacing w:after="0"/>
    </w:pPr>
    <w:rPr>
      <w:sz w:val="20"/>
      <w:szCs w:val="20"/>
    </w:rPr>
  </w:style>
  <w:style w:type="character" w:customStyle="1" w:styleId="FootnoteTextChar">
    <w:name w:val="Footnote Text Char"/>
    <w:basedOn w:val="DefaultParagraphFont"/>
    <w:link w:val="FootnoteText"/>
    <w:uiPriority w:val="99"/>
    <w:semiHidden/>
    <w:rsid w:val="001B3CAA"/>
    <w:rPr>
      <w:rFonts w:ascii="Verdana" w:hAnsi="Verdana"/>
      <w:lang w:val="en-GB" w:eastAsia="ja-JP"/>
    </w:rPr>
  </w:style>
  <w:style w:type="character" w:styleId="FootnoteReference">
    <w:name w:val="footnote reference"/>
    <w:basedOn w:val="DefaultParagraphFont"/>
    <w:uiPriority w:val="99"/>
    <w:semiHidden/>
    <w:unhideWhenUsed/>
    <w:rsid w:val="001B3CAA"/>
    <w:rPr>
      <w:vertAlign w:val="superscript"/>
    </w:rPr>
  </w:style>
  <w:style w:type="character" w:customStyle="1" w:styleId="Heading2Char">
    <w:name w:val="Heading 2 Char"/>
    <w:basedOn w:val="DefaultParagraphFont"/>
    <w:link w:val="Heading2"/>
    <w:uiPriority w:val="9"/>
    <w:semiHidden/>
    <w:rsid w:val="00647C3E"/>
    <w:rPr>
      <w:rFonts w:asciiTheme="majorHAnsi" w:eastAsiaTheme="majorEastAsia" w:hAnsiTheme="majorHAnsi" w:cstheme="majorBidi"/>
      <w:color w:val="365F91" w:themeColor="accent1" w:themeShade="BF"/>
      <w:sz w:val="26"/>
      <w:szCs w:val="26"/>
      <w:lang w:val="en-GB" w:eastAsia="ja-JP"/>
    </w:rPr>
  </w:style>
  <w:style w:type="paragraph" w:styleId="Footer">
    <w:name w:val="footer"/>
    <w:basedOn w:val="Normal"/>
    <w:link w:val="FooterChar"/>
    <w:uiPriority w:val="99"/>
    <w:semiHidden/>
    <w:unhideWhenUsed/>
    <w:rsid w:val="0064007B"/>
    <w:pPr>
      <w:tabs>
        <w:tab w:val="center" w:pos="4513"/>
        <w:tab w:val="right" w:pos="9026"/>
      </w:tabs>
      <w:spacing w:after="0"/>
    </w:pPr>
  </w:style>
  <w:style w:type="character" w:customStyle="1" w:styleId="FooterChar">
    <w:name w:val="Footer Char"/>
    <w:basedOn w:val="DefaultParagraphFont"/>
    <w:link w:val="Footer"/>
    <w:uiPriority w:val="99"/>
    <w:semiHidden/>
    <w:rsid w:val="0064007B"/>
    <w:rPr>
      <w:rFonts w:ascii="Verdana" w:hAnsi="Verdana"/>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22890">
      <w:bodyDiv w:val="1"/>
      <w:marLeft w:val="0"/>
      <w:marRight w:val="0"/>
      <w:marTop w:val="0"/>
      <w:marBottom w:val="0"/>
      <w:divBdr>
        <w:top w:val="none" w:sz="0" w:space="0" w:color="auto"/>
        <w:left w:val="none" w:sz="0" w:space="0" w:color="auto"/>
        <w:bottom w:val="none" w:sz="0" w:space="0" w:color="auto"/>
        <w:right w:val="none" w:sz="0" w:space="0" w:color="auto"/>
      </w:divBdr>
    </w:div>
    <w:div w:id="1290237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as/Library/Group%20Containers/UBF8T346G9.Office/User%20Content.localized/Templates.localized/OCJ%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B8B805-075A-6A45-ABB1-79EB5636FB9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OCJ Logo.dotx</Template>
  <TotalTime>6</TotalTime>
  <Pages>1</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Matojane</dc:creator>
  <cp:keywords/>
  <dc:description/>
  <cp:lastModifiedBy>Matojane</cp:lastModifiedBy>
  <cp:revision>8</cp:revision>
  <dcterms:created xsi:type="dcterms:W3CDTF">2024-04-07T11:56:00Z</dcterms:created>
  <dcterms:modified xsi:type="dcterms:W3CDTF">2024-04-08T06:39:00Z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documentId_2427</vt:lpwstr>
  </property>
  <property fmtid="{D5CDD505-2E9C-101B-9397-08002B2CF9AE}" pid="3" name="grammarly_documentContext">
    <vt:lpwstr>{"goals":[],"domain":"general","emotions":[],"dialect":"british"}</vt:lpwstr>
  </property>
</Properties>
</file>